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077" w:rsidRPr="00C706A5" w:rsidRDefault="00F3742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 w:rsidRPr="00C706A5">
        <w:rPr>
          <w:rFonts w:ascii="Book Antiqua" w:hAnsi="Book Antiqua" w:cs="Times New Roman"/>
          <w:b/>
          <w:bCs/>
          <w:color w:val="000000" w:themeColor="text1"/>
        </w:rPr>
        <w:t xml:space="preserve">         </w:t>
      </w: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Default="005A0745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  <w:rtl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8709C2" w:rsidRPr="00C706A5" w:rsidRDefault="00C80D73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                   </w:t>
      </w:r>
    </w:p>
    <w:p w:rsidR="000D4077" w:rsidRPr="00C706A5" w:rsidRDefault="00A064C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9E682C" w:rsidRPr="003A4987" w:rsidRDefault="009E68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</w:rPr>
      </w:pPr>
    </w:p>
    <w:p w:rsidR="00912704" w:rsidRPr="003A4987" w:rsidRDefault="00912704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Note d’information</w:t>
      </w:r>
      <w:r w:rsidR="0069792B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du Haut-commissariat au Plan</w:t>
      </w:r>
    </w:p>
    <w:p w:rsidR="00912704" w:rsidRPr="003A4987" w:rsidRDefault="00097300" w:rsidP="00CF744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R</w:t>
      </w:r>
      <w:r w:rsidR="00912704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ésultats de l’enquête de conjoncture auprès des ménages </w:t>
      </w:r>
    </w:p>
    <w:p w:rsidR="00912704" w:rsidRPr="003A4987" w:rsidRDefault="00A42774" w:rsidP="00301913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>
        <w:rPr>
          <w:rFonts w:ascii="Book Antiqua" w:hAnsi="Book Antiqua" w:cs="Times New Roman"/>
          <w:b/>
          <w:bCs/>
          <w:color w:val="660033"/>
          <w:sz w:val="26"/>
          <w:szCs w:val="26"/>
        </w:rPr>
        <w:t>Troisi</w:t>
      </w:r>
      <w:r w:rsidR="00F430E6">
        <w:rPr>
          <w:rFonts w:ascii="Book Antiqua" w:hAnsi="Book Antiqua" w:cs="Times New Roman"/>
          <w:b/>
          <w:bCs/>
          <w:color w:val="660033"/>
          <w:sz w:val="26"/>
          <w:szCs w:val="26"/>
        </w:rPr>
        <w:t>ème trimestre</w:t>
      </w:r>
      <w:r w:rsidR="00301913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2015</w:t>
      </w:r>
    </w:p>
    <w:p w:rsidR="004105E0" w:rsidRPr="00C706A5" w:rsidRDefault="004105E0" w:rsidP="000F7C4F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  <w:sz w:val="36"/>
          <w:szCs w:val="36"/>
        </w:rPr>
      </w:pPr>
    </w:p>
    <w:p w:rsidR="00A45128" w:rsidRPr="00C706A5" w:rsidRDefault="005E2815" w:rsidP="001968E2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color w:val="000000" w:themeColor="text1"/>
        </w:rPr>
        <w:t xml:space="preserve">Les 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résultats de l’enquête permanente de conjoncture auprès des ménages, menée par le HCP, </w:t>
      </w:r>
      <w:r w:rsidRPr="00C706A5">
        <w:rPr>
          <w:rFonts w:ascii="Times New Roman" w:hAnsi="Times New Roman" w:cs="Times New Roman"/>
          <w:b/>
          <w:color w:val="000000" w:themeColor="text1"/>
        </w:rPr>
        <w:t xml:space="preserve">montrent </w:t>
      </w:r>
      <w:r w:rsidR="003658EF" w:rsidRPr="00C706A5">
        <w:rPr>
          <w:rFonts w:ascii="Times New Roman" w:hAnsi="Times New Roman" w:cs="Times New Roman"/>
          <w:b/>
          <w:color w:val="000000" w:themeColor="text1"/>
        </w:rPr>
        <w:t>qu</w:t>
      </w:r>
      <w:r w:rsidR="003658EF">
        <w:rPr>
          <w:rFonts w:ascii="Times New Roman" w:hAnsi="Times New Roman" w:cs="Times New Roman"/>
          <w:b/>
          <w:color w:val="000000" w:themeColor="text1"/>
        </w:rPr>
        <w:t>’au</w:t>
      </w:r>
      <w:r w:rsidR="001424D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B33DDD">
        <w:rPr>
          <w:rFonts w:ascii="Times New Roman" w:hAnsi="Times New Roman" w:cs="Times New Roman"/>
          <w:b/>
          <w:color w:val="000000" w:themeColor="text1"/>
        </w:rPr>
        <w:t>troisième</w:t>
      </w:r>
      <w:r w:rsidR="001424D2">
        <w:rPr>
          <w:rFonts w:ascii="Times New Roman" w:hAnsi="Times New Roman" w:cs="Times New Roman"/>
          <w:b/>
          <w:color w:val="000000" w:themeColor="text1"/>
        </w:rPr>
        <w:t xml:space="preserve"> trimestre de 2015, </w:t>
      </w:r>
      <w:r w:rsidRPr="00C706A5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l’Indice de </w:t>
      </w:r>
      <w:r w:rsidR="00A45128" w:rsidRPr="00BD713D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Confiance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 des Ménages (ICM) </w:t>
      </w:r>
      <w:r w:rsidR="001424D2">
        <w:rPr>
          <w:rFonts w:ascii="Times New Roman" w:hAnsi="Times New Roman" w:cs="Times New Roman"/>
          <w:b/>
          <w:color w:val="000000" w:themeColor="text1"/>
        </w:rPr>
        <w:t xml:space="preserve">continue sa tendance haussière entamée depuis le quatrième trimestre de 2014. Il </w:t>
      </w:r>
      <w:r w:rsidR="003658EF">
        <w:rPr>
          <w:rFonts w:ascii="Times New Roman" w:hAnsi="Times New Roman" w:cs="Times New Roman"/>
          <w:b/>
          <w:bCs/>
          <w:color w:val="000000" w:themeColor="text1"/>
        </w:rPr>
        <w:t xml:space="preserve">aura enregistré </w:t>
      </w:r>
      <w:r w:rsidR="00825C9C">
        <w:rPr>
          <w:rFonts w:ascii="Times New Roman" w:hAnsi="Times New Roman" w:cs="Times New Roman"/>
          <w:b/>
          <w:bCs/>
          <w:color w:val="000000" w:themeColor="text1"/>
        </w:rPr>
        <w:t xml:space="preserve">une hausse </w:t>
      </w:r>
      <w:r w:rsidR="00825C9C" w:rsidRPr="008E7F17">
        <w:rPr>
          <w:rFonts w:ascii="Times New Roman" w:hAnsi="Times New Roman" w:cs="Times New Roman"/>
          <w:b/>
          <w:bCs/>
          <w:color w:val="000000" w:themeColor="text1"/>
        </w:rPr>
        <w:t xml:space="preserve">de </w:t>
      </w:r>
      <w:r w:rsidR="004A126D">
        <w:rPr>
          <w:rFonts w:ascii="Times New Roman" w:hAnsi="Times New Roman" w:cs="Times New Roman"/>
          <w:b/>
          <w:bCs/>
          <w:color w:val="000000" w:themeColor="text1"/>
        </w:rPr>
        <w:t>0,2</w:t>
      </w:r>
      <w:r w:rsidR="00B33DD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825C9C" w:rsidRPr="008E7F17">
        <w:rPr>
          <w:rFonts w:ascii="Times New Roman" w:hAnsi="Times New Roman" w:cs="Times New Roman"/>
          <w:b/>
          <w:bCs/>
          <w:color w:val="000000" w:themeColor="text1"/>
        </w:rPr>
        <w:t xml:space="preserve">point </w:t>
      </w:r>
      <w:r w:rsidR="00741BD7">
        <w:rPr>
          <w:rFonts w:ascii="Times New Roman" w:hAnsi="Times New Roman" w:cs="Times New Roman"/>
          <w:b/>
          <w:bCs/>
          <w:color w:val="000000" w:themeColor="text1"/>
        </w:rPr>
        <w:t xml:space="preserve">par rapport au </w:t>
      </w:r>
      <w:r w:rsidR="00B33DDD">
        <w:rPr>
          <w:rFonts w:ascii="Times New Roman" w:hAnsi="Times New Roman" w:cs="Times New Roman"/>
          <w:b/>
          <w:bCs/>
          <w:color w:val="000000" w:themeColor="text1"/>
        </w:rPr>
        <w:t>deuxième</w:t>
      </w:r>
      <w:r w:rsidR="00F430E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F430E6" w:rsidRPr="00E56675">
        <w:rPr>
          <w:rFonts w:ascii="Times New Roman" w:hAnsi="Times New Roman" w:cs="Times New Roman"/>
          <w:b/>
          <w:bCs/>
          <w:color w:val="000000" w:themeColor="text1"/>
        </w:rPr>
        <w:t>trimestre</w:t>
      </w:r>
      <w:r w:rsidR="00741BD7" w:rsidRPr="00E56675">
        <w:rPr>
          <w:rFonts w:ascii="Times New Roman" w:hAnsi="Times New Roman" w:cs="Times New Roman"/>
          <w:b/>
          <w:bCs/>
          <w:color w:val="000000" w:themeColor="text1"/>
        </w:rPr>
        <w:t xml:space="preserve"> de </w:t>
      </w:r>
      <w:r w:rsidR="006031AF" w:rsidRPr="00E56675">
        <w:rPr>
          <w:rFonts w:ascii="Times New Roman" w:hAnsi="Times New Roman" w:cs="Times New Roman" w:hint="cs"/>
          <w:b/>
          <w:bCs/>
          <w:color w:val="000000" w:themeColor="text1"/>
          <w:rtl/>
        </w:rPr>
        <w:t>2015</w:t>
      </w:r>
      <w:r w:rsidR="00741BD7" w:rsidRPr="00E56675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BE5779" w:rsidRPr="00E56675">
        <w:rPr>
          <w:rFonts w:ascii="Times New Roman" w:hAnsi="Times New Roman" w:cs="Times New Roman"/>
          <w:b/>
          <w:color w:val="000000" w:themeColor="text1"/>
        </w:rPr>
        <w:t>et</w:t>
      </w:r>
      <w:r w:rsidR="00BE577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553EB0">
        <w:rPr>
          <w:rFonts w:ascii="Times New Roman" w:hAnsi="Times New Roman" w:cs="Times New Roman"/>
          <w:b/>
          <w:bCs/>
          <w:color w:val="000000" w:themeColor="text1"/>
        </w:rPr>
        <w:t>de</w:t>
      </w:r>
      <w:r w:rsidR="00741BD7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4A126D">
        <w:rPr>
          <w:rFonts w:ascii="Times New Roman" w:hAnsi="Times New Roman" w:cs="Times New Roman"/>
          <w:b/>
          <w:bCs/>
          <w:color w:val="000000" w:themeColor="text1"/>
        </w:rPr>
        <w:t>3,2</w:t>
      </w:r>
      <w:r w:rsidR="00825C9C">
        <w:rPr>
          <w:rFonts w:ascii="Times New Roman" w:hAnsi="Times New Roman" w:cs="Times New Roman"/>
          <w:b/>
          <w:bCs/>
          <w:color w:val="000000" w:themeColor="text1"/>
        </w:rPr>
        <w:t xml:space="preserve"> point</w:t>
      </w:r>
      <w:r w:rsidR="00EB4313"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825C9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825C9C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par rapport au </w:t>
      </w:r>
      <w:r w:rsidR="00741BD7">
        <w:rPr>
          <w:rFonts w:ascii="Times New Roman" w:hAnsi="Times New Roman" w:cs="Times New Roman"/>
          <w:b/>
          <w:bCs/>
          <w:color w:val="000000" w:themeColor="text1"/>
        </w:rPr>
        <w:t xml:space="preserve">même trimestre de l’année 2014. </w:t>
      </w:r>
    </w:p>
    <w:p w:rsidR="00F80F35" w:rsidRPr="00C706A5" w:rsidRDefault="00A45128" w:rsidP="001968E2">
      <w:pPr>
        <w:widowControl/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A45128" w:rsidRPr="00C706A5" w:rsidRDefault="00CF09A5" w:rsidP="001968E2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C’est ainsi qu’a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u </w:t>
      </w:r>
      <w:r w:rsidR="00B33DDD">
        <w:rPr>
          <w:rFonts w:ascii="Times New Roman" w:hAnsi="Times New Roman" w:cs="Times New Roman"/>
          <w:color w:val="000000" w:themeColor="text1"/>
        </w:rPr>
        <w:t>troisième</w:t>
      </w:r>
      <w:r w:rsidR="00F430E6">
        <w:rPr>
          <w:rFonts w:ascii="Times New Roman" w:hAnsi="Times New Roman" w:cs="Times New Roman"/>
          <w:color w:val="000000" w:themeColor="text1"/>
        </w:rPr>
        <w:t xml:space="preserve"> trimestre</w:t>
      </w:r>
      <w:r w:rsidR="00CB09C6">
        <w:rPr>
          <w:rFonts w:ascii="Times New Roman" w:hAnsi="Times New Roman" w:cs="Times New Roman"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</w:t>
      </w:r>
      <w:r w:rsidR="00301913">
        <w:rPr>
          <w:rFonts w:ascii="Times New Roman" w:hAnsi="Times New Roman" w:cs="Times New Roman"/>
          <w:color w:val="000000" w:themeColor="text1"/>
        </w:rPr>
        <w:t>5</w:t>
      </w:r>
      <w:r w:rsidR="001347D2">
        <w:rPr>
          <w:rFonts w:ascii="Times New Roman" w:hAnsi="Times New Roman" w:cs="Times New Roman"/>
          <w:color w:val="000000" w:themeColor="text1"/>
        </w:rPr>
        <w:t xml:space="preserve">, l'ICM s’établit à </w:t>
      </w:r>
      <w:r w:rsidR="00301913">
        <w:rPr>
          <w:rFonts w:ascii="Times New Roman" w:hAnsi="Times New Roman" w:cs="Times New Roman"/>
          <w:color w:val="000000" w:themeColor="text1"/>
        </w:rPr>
        <w:t>7</w:t>
      </w:r>
      <w:r w:rsidR="00F430E6">
        <w:rPr>
          <w:rFonts w:ascii="Times New Roman" w:hAnsi="Times New Roman" w:cs="Times New Roman"/>
          <w:color w:val="000000" w:themeColor="text1"/>
        </w:rPr>
        <w:t>6</w:t>
      </w:r>
      <w:r w:rsidR="00301913">
        <w:rPr>
          <w:rFonts w:ascii="Times New Roman" w:hAnsi="Times New Roman" w:cs="Times New Roman"/>
          <w:color w:val="000000" w:themeColor="text1"/>
        </w:rPr>
        <w:t>,</w:t>
      </w:r>
      <w:r w:rsidR="00B33DDD">
        <w:rPr>
          <w:rFonts w:ascii="Times New Roman" w:hAnsi="Times New Roman" w:cs="Times New Roman"/>
          <w:color w:val="000000" w:themeColor="text1"/>
        </w:rPr>
        <w:t>3</w:t>
      </w:r>
      <w:r w:rsidR="009C76E3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color w:val="000000" w:themeColor="text1"/>
        </w:rPr>
        <w:t>points</w:t>
      </w:r>
      <w:r w:rsidR="007C4CD5"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contre </w:t>
      </w:r>
      <w:r w:rsidR="00301913">
        <w:rPr>
          <w:rFonts w:ascii="Times New Roman" w:hAnsi="Times New Roman" w:cs="Times New Roman"/>
          <w:color w:val="000000" w:themeColor="text1"/>
        </w:rPr>
        <w:t>7</w:t>
      </w:r>
      <w:r w:rsidR="00B33DDD">
        <w:rPr>
          <w:rFonts w:ascii="Times New Roman" w:hAnsi="Times New Roman" w:cs="Times New Roman"/>
          <w:color w:val="000000" w:themeColor="text1"/>
        </w:rPr>
        <w:t>6,1</w:t>
      </w:r>
      <w:r w:rsidR="009C76E3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color w:val="000000" w:themeColor="text1"/>
        </w:rPr>
        <w:t>points un trimestre auparavant</w:t>
      </w:r>
      <w:r w:rsidR="005A7C0B" w:rsidRPr="00C706A5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5A7C0B" w:rsidRPr="00C706A5">
        <w:rPr>
          <w:rFonts w:ascii="Times New Roman" w:hAnsi="Times New Roman" w:cs="Times New Roman"/>
          <w:color w:val="000000" w:themeColor="text1"/>
        </w:rPr>
        <w:t xml:space="preserve"> et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B33DDD">
        <w:rPr>
          <w:rFonts w:ascii="Times New Roman" w:hAnsi="Times New Roman" w:cs="Times New Roman"/>
          <w:color w:val="000000" w:themeColor="text1"/>
        </w:rPr>
        <w:t>73,1</w:t>
      </w:r>
      <w:r w:rsidR="004F4A05">
        <w:rPr>
          <w:rFonts w:ascii="Times New Roman" w:hAnsi="Times New Roman" w:cs="Times New Roman"/>
          <w:color w:val="000000" w:themeColor="text1"/>
        </w:rPr>
        <w:t xml:space="preserve"> </w:t>
      </w:r>
      <w:r w:rsidR="00BE269D" w:rsidRPr="00C706A5">
        <w:rPr>
          <w:rFonts w:ascii="Times New Roman" w:hAnsi="Times New Roman" w:cs="Times New Roman"/>
          <w:color w:val="000000" w:themeColor="text1"/>
        </w:rPr>
        <w:t xml:space="preserve"> points le m</w:t>
      </w:r>
      <w:r w:rsidR="004834BC">
        <w:rPr>
          <w:rFonts w:ascii="Times New Roman" w:hAnsi="Times New Roman" w:cs="Times New Roman"/>
          <w:color w:val="000000" w:themeColor="text1"/>
        </w:rPr>
        <w:t xml:space="preserve">ême trimestre de l’année </w:t>
      </w:r>
      <w:r w:rsidR="004834BC" w:rsidRPr="004834BC">
        <w:rPr>
          <w:rFonts w:ascii="Times New Roman" w:hAnsi="Times New Roman" w:cs="Times New Roman"/>
          <w:color w:val="000000" w:themeColor="text1"/>
        </w:rPr>
        <w:t>passée</w:t>
      </w:r>
      <w:r w:rsidR="00CB09C6">
        <w:rPr>
          <w:rFonts w:ascii="Times New Roman" w:hAnsi="Times New Roman" w:cs="Times New Roman"/>
          <w:color w:val="000000" w:themeColor="text1"/>
        </w:rPr>
        <w:t>.</w:t>
      </w:r>
      <w:r w:rsidR="00BE269D" w:rsidRPr="00C706A5">
        <w:rPr>
          <w:rFonts w:ascii="Times New Roman" w:hAnsi="Times New Roman" w:cs="Times New Roman"/>
          <w:color w:val="000000" w:themeColor="text1"/>
        </w:rPr>
        <w:t xml:space="preserve"> </w:t>
      </w:r>
    </w:p>
    <w:p w:rsidR="00430234" w:rsidRDefault="00430234" w:rsidP="001968E2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2A18ED" w:rsidRPr="00C706A5" w:rsidRDefault="000D54E1" w:rsidP="000D54E1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  <w:rtl/>
        </w:rPr>
      </w:pPr>
      <w:r w:rsidRPr="000D54E1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5974715" cy="2952750"/>
            <wp:effectExtent l="19050" t="0" r="26035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5224B" w:rsidRPr="008709C2" w:rsidRDefault="00E5224B" w:rsidP="001347D2">
      <w:pPr>
        <w:widowControl/>
        <w:tabs>
          <w:tab w:val="left" w:pos="567"/>
          <w:tab w:val="left" w:pos="709"/>
        </w:tabs>
        <w:spacing w:line="276" w:lineRule="auto"/>
        <w:jc w:val="center"/>
        <w:rPr>
          <w:rFonts w:ascii="Book Antiqua" w:hAnsi="Book Antiqua" w:cs="Times New Roman"/>
          <w:color w:val="000000" w:themeColor="text1"/>
          <w:sz w:val="20"/>
          <w:szCs w:val="20"/>
        </w:rPr>
      </w:pPr>
    </w:p>
    <w:p w:rsidR="002F5E6A" w:rsidRPr="00C706A5" w:rsidRDefault="00D26D39" w:rsidP="007137C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13767" w:rsidRPr="00C706A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:rsidR="008D3806" w:rsidRDefault="006F1D72" w:rsidP="002A18ED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Ref379209308"/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des </w:t>
      </w:r>
      <w:r w:rsidR="00860E86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composantes de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l'ICM</w:t>
      </w:r>
      <w:bookmarkEnd w:id="0"/>
    </w:p>
    <w:p w:rsidR="00636540" w:rsidRPr="003A3FCF" w:rsidRDefault="00636540" w:rsidP="00636540">
      <w:pPr>
        <w:pStyle w:val="Paragraphedeliste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F2C03" w:rsidRPr="00EF2C03" w:rsidRDefault="005E5EBF" w:rsidP="005E5EBF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Ressenti d’une</w:t>
      </w:r>
      <w:r w:rsidR="00126B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627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détérioration</w:t>
      </w:r>
      <w:r w:rsidR="00133687" w:rsidRPr="00EF2C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du n</w:t>
      </w:r>
      <w:r w:rsidRPr="00EF2C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iveau de vie </w:t>
      </w:r>
    </w:p>
    <w:p w:rsidR="00111470" w:rsidRPr="00EF2C03" w:rsidRDefault="002C2BED" w:rsidP="00A95E94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 w:rsidRPr="00EF2C03">
        <w:rPr>
          <w:rFonts w:ascii="Times New Roman" w:hAnsi="Times New Roman" w:cs="Times New Roman"/>
          <w:color w:val="000000" w:themeColor="text1"/>
        </w:rPr>
        <w:t xml:space="preserve">Au </w:t>
      </w:r>
      <w:r w:rsidR="004A126D">
        <w:rPr>
          <w:rFonts w:ascii="Times New Roman" w:hAnsi="Times New Roman" w:cs="Times New Roman"/>
          <w:color w:val="000000" w:themeColor="text1"/>
        </w:rPr>
        <w:t>troisième</w:t>
      </w:r>
      <w:r w:rsidRPr="00EF2C03">
        <w:rPr>
          <w:rFonts w:ascii="Times New Roman" w:hAnsi="Times New Roman" w:cs="Times New Roman"/>
          <w:color w:val="000000" w:themeColor="text1"/>
        </w:rPr>
        <w:t xml:space="preserve"> trimestre de 2015, </w:t>
      </w:r>
      <w:r w:rsidR="00FD7C67">
        <w:rPr>
          <w:rFonts w:ascii="Times New Roman" w:hAnsi="Times New Roman" w:cs="Times New Roman"/>
          <w:color w:val="000000" w:themeColor="text1"/>
        </w:rPr>
        <w:t>les perceptions par les ménages de</w:t>
      </w:r>
      <w:r w:rsidR="00FD7C67" w:rsidRPr="00EF2C03">
        <w:rPr>
          <w:rFonts w:ascii="Times New Roman" w:hAnsi="Times New Roman" w:cs="Times New Roman"/>
          <w:color w:val="000000" w:themeColor="text1"/>
        </w:rPr>
        <w:t xml:space="preserve"> </w:t>
      </w:r>
      <w:r w:rsidR="00BA05AF" w:rsidRPr="00EF2C03">
        <w:rPr>
          <w:rFonts w:ascii="Times New Roman" w:hAnsi="Times New Roman" w:cs="Times New Roman"/>
          <w:color w:val="000000" w:themeColor="text1"/>
        </w:rPr>
        <w:t xml:space="preserve">l’évolution passée du niveau de vie </w:t>
      </w:r>
      <w:r w:rsidR="00FD7C67" w:rsidRPr="00EF2C03">
        <w:rPr>
          <w:rFonts w:ascii="Times New Roman" w:hAnsi="Times New Roman" w:cs="Times New Roman"/>
          <w:color w:val="000000" w:themeColor="text1"/>
        </w:rPr>
        <w:t>se sont</w:t>
      </w:r>
      <w:r w:rsidR="00BA05AF" w:rsidRPr="00EF2C03">
        <w:rPr>
          <w:rFonts w:ascii="Times New Roman" w:hAnsi="Times New Roman" w:cs="Times New Roman"/>
          <w:color w:val="000000" w:themeColor="text1"/>
        </w:rPr>
        <w:t xml:space="preserve"> </w:t>
      </w:r>
      <w:r w:rsidR="00FD7C67">
        <w:rPr>
          <w:rFonts w:ascii="Times New Roman" w:hAnsi="Times New Roman" w:cs="Times New Roman"/>
          <w:color w:val="000000" w:themeColor="text1"/>
        </w:rPr>
        <w:t>détériorées</w:t>
      </w:r>
      <w:r w:rsidR="004A126D">
        <w:rPr>
          <w:rFonts w:ascii="Times New Roman" w:hAnsi="Times New Roman" w:cs="Times New Roman"/>
          <w:color w:val="000000" w:themeColor="text1"/>
        </w:rPr>
        <w:t xml:space="preserve"> de 2</w:t>
      </w:r>
      <w:r w:rsidR="00104CAC">
        <w:rPr>
          <w:rFonts w:ascii="Times New Roman" w:hAnsi="Times New Roman" w:cs="Times New Roman"/>
          <w:color w:val="000000" w:themeColor="text1"/>
        </w:rPr>
        <w:t>,</w:t>
      </w:r>
      <w:r w:rsidR="004A126D">
        <w:rPr>
          <w:rFonts w:ascii="Times New Roman" w:hAnsi="Times New Roman" w:cs="Times New Roman"/>
          <w:color w:val="000000" w:themeColor="text1"/>
        </w:rPr>
        <w:t>3 points</w:t>
      </w:r>
      <w:r w:rsidR="00A627E3">
        <w:rPr>
          <w:rFonts w:ascii="Times New Roman" w:hAnsi="Times New Roman" w:cs="Times New Roman"/>
          <w:color w:val="000000" w:themeColor="text1"/>
        </w:rPr>
        <w:t xml:space="preserve"> </w:t>
      </w:r>
      <w:r w:rsidR="007A0E66" w:rsidRPr="00EF2C03">
        <w:rPr>
          <w:rFonts w:ascii="Times New Roman" w:hAnsi="Times New Roman" w:cs="Times New Roman"/>
          <w:color w:val="000000" w:themeColor="text1"/>
        </w:rPr>
        <w:t xml:space="preserve">par rapport au trimestre précédent et </w:t>
      </w:r>
      <w:r w:rsidR="00A95E94">
        <w:rPr>
          <w:rFonts w:ascii="Times New Roman" w:hAnsi="Times New Roman" w:cs="Times New Roman"/>
          <w:color w:val="000000" w:themeColor="text1"/>
        </w:rPr>
        <w:t>ont</w:t>
      </w:r>
      <w:r w:rsidR="00A627E3">
        <w:rPr>
          <w:rFonts w:ascii="Times New Roman" w:hAnsi="Times New Roman" w:cs="Times New Roman"/>
          <w:color w:val="000000" w:themeColor="text1"/>
        </w:rPr>
        <w:t xml:space="preserve"> gagné 2,3</w:t>
      </w:r>
      <w:r w:rsidR="00111470" w:rsidRPr="00EF2C03">
        <w:rPr>
          <w:rFonts w:ascii="Times New Roman" w:hAnsi="Times New Roman" w:cs="Times New Roman"/>
          <w:color w:val="000000" w:themeColor="text1"/>
        </w:rPr>
        <w:t xml:space="preserve"> points par rapport </w:t>
      </w:r>
      <w:r w:rsidR="00FA1EC3">
        <w:rPr>
          <w:rFonts w:ascii="Times New Roman" w:hAnsi="Times New Roman" w:cs="Times New Roman"/>
          <w:color w:val="000000" w:themeColor="text1"/>
        </w:rPr>
        <w:t xml:space="preserve">à la même période un an </w:t>
      </w:r>
      <w:r w:rsidR="00FD7C67">
        <w:rPr>
          <w:rFonts w:ascii="Times New Roman" w:hAnsi="Times New Roman" w:cs="Times New Roman"/>
          <w:color w:val="000000" w:themeColor="text1"/>
        </w:rPr>
        <w:t>auparavant</w:t>
      </w:r>
      <w:r w:rsidR="00111470" w:rsidRPr="00EF2C03">
        <w:rPr>
          <w:rFonts w:ascii="Times New Roman" w:hAnsi="Times New Roman" w:cs="Times New Roman"/>
          <w:color w:val="000000" w:themeColor="text1"/>
        </w:rPr>
        <w:t>.</w:t>
      </w:r>
    </w:p>
    <w:p w:rsidR="00111470" w:rsidRDefault="00FD7C67" w:rsidP="00A95E94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 xml:space="preserve">La même tendance a été enregistrée pour  les perspectives d’évolution </w:t>
      </w:r>
      <w:r w:rsidR="00111470" w:rsidRPr="00C706A5">
        <w:rPr>
          <w:rFonts w:ascii="Times New Roman" w:hAnsi="Times New Roman" w:cs="Times New Roman"/>
          <w:color w:val="000000" w:themeColor="text1"/>
        </w:rPr>
        <w:t>d</w:t>
      </w:r>
      <w:r w:rsidR="00265566">
        <w:rPr>
          <w:rFonts w:ascii="Times New Roman" w:hAnsi="Times New Roman" w:cs="Times New Roman"/>
          <w:color w:val="000000" w:themeColor="text1"/>
        </w:rPr>
        <w:t>u</w:t>
      </w:r>
      <w:r w:rsidR="00111470" w:rsidRPr="00C706A5">
        <w:rPr>
          <w:rFonts w:ascii="Times New Roman" w:hAnsi="Times New Roman" w:cs="Times New Roman"/>
          <w:color w:val="000000" w:themeColor="text1"/>
        </w:rPr>
        <w:t xml:space="preserve"> niveau de vie</w:t>
      </w:r>
      <w:r w:rsidR="00111470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qui </w:t>
      </w:r>
      <w:r w:rsidR="00A95E94">
        <w:rPr>
          <w:rFonts w:ascii="Times New Roman" w:hAnsi="Times New Roman" w:cs="Times New Roman"/>
          <w:color w:val="000000" w:themeColor="text1"/>
        </w:rPr>
        <w:t>ont</w:t>
      </w:r>
      <w:r>
        <w:rPr>
          <w:rFonts w:ascii="Times New Roman" w:hAnsi="Times New Roman" w:cs="Times New Roman"/>
          <w:color w:val="000000" w:themeColor="text1"/>
        </w:rPr>
        <w:t xml:space="preserve"> connu </w:t>
      </w:r>
      <w:r w:rsidR="00A627E3">
        <w:rPr>
          <w:rFonts w:ascii="Times New Roman" w:hAnsi="Times New Roman" w:cs="Times New Roman"/>
          <w:color w:val="000000" w:themeColor="text1"/>
        </w:rPr>
        <w:t>une détérioration</w:t>
      </w:r>
      <w:r w:rsidR="00111470">
        <w:rPr>
          <w:rFonts w:ascii="Times New Roman" w:hAnsi="Times New Roman" w:cs="Times New Roman"/>
          <w:color w:val="000000" w:themeColor="text1"/>
        </w:rPr>
        <w:t xml:space="preserve"> de </w:t>
      </w:r>
      <w:r w:rsidR="00A627E3">
        <w:rPr>
          <w:rFonts w:ascii="Times New Roman" w:hAnsi="Times New Roman" w:cs="Times New Roman"/>
          <w:color w:val="000000" w:themeColor="text1"/>
        </w:rPr>
        <w:t>0,4</w:t>
      </w:r>
      <w:r w:rsidR="00111470">
        <w:rPr>
          <w:rFonts w:ascii="Times New Roman" w:hAnsi="Times New Roman" w:cs="Times New Roman"/>
          <w:color w:val="000000" w:themeColor="text1"/>
        </w:rPr>
        <w:t xml:space="preserve"> point par rapport au trimestre précédent </w:t>
      </w:r>
      <w:r w:rsidR="00A160AD">
        <w:rPr>
          <w:rFonts w:ascii="Times New Roman" w:hAnsi="Times New Roman" w:cs="Times New Roman"/>
          <w:color w:val="000000" w:themeColor="text1"/>
        </w:rPr>
        <w:t xml:space="preserve">et </w:t>
      </w:r>
      <w:r w:rsidR="00A627E3">
        <w:rPr>
          <w:rFonts w:ascii="Times New Roman" w:hAnsi="Times New Roman" w:cs="Times New Roman"/>
          <w:color w:val="000000" w:themeColor="text1"/>
        </w:rPr>
        <w:t>une amélioration de</w:t>
      </w:r>
      <w:r w:rsidR="00111470">
        <w:rPr>
          <w:rFonts w:ascii="Times New Roman" w:hAnsi="Times New Roman" w:cs="Times New Roman"/>
          <w:color w:val="000000" w:themeColor="text1"/>
        </w:rPr>
        <w:t xml:space="preserve"> </w:t>
      </w:r>
      <w:r w:rsidR="00A627E3">
        <w:rPr>
          <w:rFonts w:ascii="Times New Roman" w:hAnsi="Times New Roman" w:cs="Times New Roman"/>
          <w:color w:val="000000" w:themeColor="text1"/>
        </w:rPr>
        <w:t xml:space="preserve">5,4 </w:t>
      </w:r>
      <w:r w:rsidR="00111470">
        <w:rPr>
          <w:rFonts w:ascii="Times New Roman" w:hAnsi="Times New Roman" w:cs="Times New Roman"/>
          <w:color w:val="000000" w:themeColor="text1"/>
        </w:rPr>
        <w:t>points par rapport au même trimestre de l’année précédente.</w:t>
      </w:r>
    </w:p>
    <w:p w:rsidR="00FD7C67" w:rsidRDefault="00FD7C67" w:rsidP="00A627E3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2695A" w:rsidRDefault="002B79DC" w:rsidP="002A18ED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</w:rPr>
      </w:pPr>
      <w:r w:rsidRPr="002B79DC">
        <w:rPr>
          <w:rFonts w:ascii="Book Antiqua" w:hAnsi="Book Antiqua" w:cs="Times New Roman"/>
          <w:noProof/>
          <w:color w:val="000000" w:themeColor="text1"/>
        </w:rPr>
        <w:drawing>
          <wp:inline distT="0" distB="0" distL="0" distR="0">
            <wp:extent cx="5976153" cy="3071004"/>
            <wp:effectExtent l="19050" t="0" r="24597" b="0"/>
            <wp:docPr id="8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06E0C" w:rsidRDefault="00B06E0C" w:rsidP="002A18ED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</w:rPr>
      </w:pPr>
    </w:p>
    <w:p w:rsidR="00B06E0C" w:rsidRPr="00C706A5" w:rsidRDefault="00B06E0C" w:rsidP="002A18ED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  <w:rtl/>
        </w:rPr>
      </w:pPr>
    </w:p>
    <w:p w:rsidR="002C5954" w:rsidRPr="00C706A5" w:rsidRDefault="002C5954" w:rsidP="00892A7A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EF2C03">
        <w:rPr>
          <w:rFonts w:ascii="Times New Roman" w:hAnsi="Times New Roman" w:cs="Times New Roman"/>
          <w:b/>
          <w:bCs/>
          <w:color w:val="000000" w:themeColor="text1"/>
        </w:rPr>
        <w:t>•</w:t>
      </w:r>
      <w:r w:rsidR="00C01B45">
        <w:rPr>
          <w:rFonts w:ascii="Times New Roman" w:hAnsi="Times New Roman" w:cs="Times New Roman"/>
          <w:b/>
          <w:bCs/>
          <w:color w:val="000000" w:themeColor="text1"/>
        </w:rPr>
        <w:t>Chômage:</w:t>
      </w:r>
      <w:r w:rsidR="00FC7C7F" w:rsidRPr="00EF2C0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892A7A">
        <w:rPr>
          <w:rFonts w:ascii="Times New Roman" w:hAnsi="Times New Roman" w:cs="Times New Roman"/>
          <w:b/>
          <w:bCs/>
          <w:color w:val="000000" w:themeColor="text1"/>
        </w:rPr>
        <w:t>anticipation d</w:t>
      </w:r>
      <w:r w:rsidR="00104CAC">
        <w:rPr>
          <w:rFonts w:ascii="Times New Roman" w:hAnsi="Times New Roman" w:cs="Times New Roman" w:hint="cs"/>
          <w:b/>
          <w:bCs/>
          <w:color w:val="000000" w:themeColor="text1"/>
          <w:rtl/>
        </w:rPr>
        <w:t>'</w:t>
      </w:r>
      <w:r w:rsidR="00892A7A">
        <w:rPr>
          <w:rFonts w:ascii="Times New Roman" w:hAnsi="Times New Roman" w:cs="Times New Roman"/>
          <w:b/>
          <w:bCs/>
          <w:color w:val="000000" w:themeColor="text1"/>
        </w:rPr>
        <w:t>une hausse moins prononcée</w:t>
      </w:r>
      <w:r w:rsidR="005E5EBF">
        <w:rPr>
          <w:rFonts w:ascii="Times New Roman" w:hAnsi="Times New Roman" w:cs="Times New Roman"/>
          <w:b/>
          <w:bCs/>
          <w:color w:val="000000" w:themeColor="text1"/>
        </w:rPr>
        <w:t xml:space="preserve">  </w:t>
      </w:r>
      <w:r w:rsidR="0092082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3E657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D8421B" w:rsidRPr="00B117F6" w:rsidRDefault="00C553B5" w:rsidP="00A95E94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A627E3">
        <w:rPr>
          <w:rFonts w:ascii="Times New Roman" w:hAnsi="Times New Roman" w:cs="Times New Roman"/>
          <w:color w:val="000000" w:themeColor="text1"/>
        </w:rPr>
        <w:t>troisième</w:t>
      </w:r>
      <w:r w:rsidR="00F430E6">
        <w:rPr>
          <w:rFonts w:ascii="Times New Roman" w:hAnsi="Times New Roman" w:cs="Times New Roman"/>
          <w:color w:val="000000" w:themeColor="text1"/>
        </w:rPr>
        <w:t xml:space="preserve"> trimestre</w:t>
      </w:r>
      <w:r w:rsidR="0055426F">
        <w:rPr>
          <w:rFonts w:ascii="Times New Roman" w:hAnsi="Times New Roman" w:cs="Times New Roman"/>
          <w:color w:val="000000" w:themeColor="text1"/>
        </w:rPr>
        <w:t xml:space="preserve"> </w:t>
      </w:r>
      <w:r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</w:t>
      </w:r>
      <w:r w:rsidR="00E163A1">
        <w:rPr>
          <w:rFonts w:ascii="Times New Roman" w:hAnsi="Times New Roman" w:cs="Times New Roman"/>
          <w:color w:val="000000" w:themeColor="text1"/>
        </w:rPr>
        <w:t>5</w:t>
      </w:r>
      <w:r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B2066F" w:rsidRPr="00B2066F">
        <w:rPr>
          <w:rFonts w:ascii="Times New Roman" w:hAnsi="Times New Roman" w:cs="Times New Roman"/>
          <w:color w:val="000000" w:themeColor="text1"/>
        </w:rPr>
        <w:t>74,4</w:t>
      </w:r>
      <w:r w:rsidR="00A3172A" w:rsidRPr="00C706A5">
        <w:rPr>
          <w:rFonts w:ascii="Times New Roman" w:hAnsi="Times New Roman" w:cs="Times New Roman"/>
          <w:color w:val="000000" w:themeColor="text1"/>
        </w:rPr>
        <w:t xml:space="preserve">% des ménages </w:t>
      </w:r>
      <w:r w:rsidR="00A3172A">
        <w:rPr>
          <w:rFonts w:ascii="Times New Roman" w:hAnsi="Times New Roman" w:cs="Times New Roman"/>
          <w:color w:val="000000" w:themeColor="text1"/>
        </w:rPr>
        <w:t>s’attendent à</w:t>
      </w:r>
      <w:r w:rsidR="00A3172A" w:rsidRPr="00C706A5">
        <w:rPr>
          <w:rFonts w:ascii="Times New Roman" w:hAnsi="Times New Roman" w:cs="Times New Roman"/>
          <w:color w:val="000000" w:themeColor="text1"/>
        </w:rPr>
        <w:t xml:space="preserve"> une hausse du nombre de chômeurs pour les 12 mois à venir contre </w:t>
      </w:r>
      <w:r w:rsidR="00B2066F">
        <w:rPr>
          <w:rFonts w:ascii="Times New Roman" w:hAnsi="Times New Roman" w:cs="Times New Roman"/>
          <w:color w:val="000000" w:themeColor="text1"/>
        </w:rPr>
        <w:t>8,2</w:t>
      </w:r>
      <w:r w:rsidR="00A3172A" w:rsidRPr="00C706A5">
        <w:rPr>
          <w:rFonts w:ascii="Times New Roman" w:hAnsi="Times New Roman" w:cs="Times New Roman"/>
          <w:color w:val="000000" w:themeColor="text1"/>
        </w:rPr>
        <w:t>%</w:t>
      </w:r>
      <w:r w:rsidR="00A3172A">
        <w:rPr>
          <w:rFonts w:ascii="Times New Roman" w:hAnsi="Times New Roman" w:cs="Times New Roman"/>
          <w:color w:val="000000" w:themeColor="text1"/>
        </w:rPr>
        <w:t xml:space="preserve"> qui pensent le contraire. </w:t>
      </w:r>
      <w:r w:rsidR="00A3172A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3172A">
        <w:rPr>
          <w:rFonts w:ascii="Times New Roman" w:hAnsi="Times New Roman" w:cs="Times New Roman"/>
          <w:color w:val="000000" w:themeColor="text1"/>
        </w:rPr>
        <w:t>Avec un niveau négatif de -</w:t>
      </w:r>
      <w:r w:rsidR="00B2066F">
        <w:rPr>
          <w:rFonts w:ascii="Times New Roman" w:hAnsi="Times New Roman" w:cs="Times New Roman"/>
          <w:color w:val="000000" w:themeColor="text1"/>
        </w:rPr>
        <w:t>66,2</w:t>
      </w:r>
      <w:r w:rsidR="00A3172A" w:rsidRPr="00C706A5">
        <w:rPr>
          <w:rFonts w:ascii="Times New Roman" w:hAnsi="Times New Roman" w:cs="Times New Roman"/>
          <w:color w:val="000000" w:themeColor="text1"/>
        </w:rPr>
        <w:t xml:space="preserve"> points</w:t>
      </w:r>
      <w:r w:rsidR="00A3172A">
        <w:rPr>
          <w:rFonts w:ascii="Times New Roman" w:hAnsi="Times New Roman" w:cs="Times New Roman"/>
          <w:color w:val="000000" w:themeColor="text1"/>
        </w:rPr>
        <w:t>, l</w:t>
      </w:r>
      <w:r w:rsidR="00A3172A" w:rsidRPr="00C706A5">
        <w:rPr>
          <w:rFonts w:ascii="Times New Roman" w:hAnsi="Times New Roman" w:cs="Times New Roman"/>
          <w:color w:val="000000" w:themeColor="text1"/>
        </w:rPr>
        <w:t>e solde de cet indicateur</w:t>
      </w:r>
      <w:r w:rsidR="00A160AD">
        <w:rPr>
          <w:rFonts w:ascii="Times New Roman" w:hAnsi="Times New Roman" w:cs="Times New Roman"/>
          <w:color w:val="000000" w:themeColor="text1"/>
        </w:rPr>
        <w:t xml:space="preserve"> </w:t>
      </w:r>
      <w:r w:rsidR="00A95E94">
        <w:rPr>
          <w:rFonts w:ascii="Times New Roman" w:hAnsi="Times New Roman" w:cs="Times New Roman"/>
          <w:color w:val="000000" w:themeColor="text1"/>
        </w:rPr>
        <w:t>s’est amélioré</w:t>
      </w:r>
      <w:r w:rsidR="003243FF">
        <w:rPr>
          <w:rFonts w:ascii="Times New Roman" w:hAnsi="Times New Roman" w:cs="Times New Roman"/>
          <w:color w:val="000000" w:themeColor="text1"/>
        </w:rPr>
        <w:t xml:space="preserve"> aussi bien par rapport à un trimestre auparavant (+0,9</w:t>
      </w:r>
      <w:r w:rsidR="00A160AD">
        <w:rPr>
          <w:rFonts w:ascii="Times New Roman" w:hAnsi="Times New Roman" w:cs="Times New Roman"/>
          <w:color w:val="000000" w:themeColor="text1"/>
        </w:rPr>
        <w:t xml:space="preserve"> point</w:t>
      </w:r>
      <w:r w:rsidR="003243FF">
        <w:rPr>
          <w:rFonts w:ascii="Times New Roman" w:hAnsi="Times New Roman" w:cs="Times New Roman"/>
          <w:color w:val="000000" w:themeColor="text1"/>
        </w:rPr>
        <w:t>) que par rapport à un an auparavant (+2,6</w:t>
      </w:r>
      <w:r w:rsidR="00A160AD">
        <w:rPr>
          <w:rFonts w:ascii="Times New Roman" w:hAnsi="Times New Roman" w:cs="Times New Roman"/>
          <w:color w:val="000000" w:themeColor="text1"/>
        </w:rPr>
        <w:t xml:space="preserve"> points</w:t>
      </w:r>
      <w:r w:rsidR="003243FF">
        <w:rPr>
          <w:rFonts w:ascii="Times New Roman" w:hAnsi="Times New Roman" w:cs="Times New Roman"/>
          <w:color w:val="000000" w:themeColor="text1"/>
        </w:rPr>
        <w:t xml:space="preserve">). </w:t>
      </w:r>
    </w:p>
    <w:p w:rsidR="00D04DAB" w:rsidRDefault="005C68C9" w:rsidP="00C968CC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5C68C9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5976153" cy="2794958"/>
            <wp:effectExtent l="19050" t="0" r="24597" b="5392"/>
            <wp:docPr id="6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04DAB" w:rsidRDefault="00D04DAB" w:rsidP="00C968CC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EF2C03" w:rsidRDefault="00EF2C03" w:rsidP="00C968CC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233531" w:rsidRPr="00EF2C03" w:rsidRDefault="003849A2" w:rsidP="00A95E94">
      <w:pPr>
        <w:pStyle w:val="Paragraphedeliste"/>
        <w:numPr>
          <w:ilvl w:val="0"/>
          <w:numId w:val="8"/>
        </w:numPr>
        <w:ind w:left="142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4F6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892A7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Opinion toujours réservée, malgré son amélioration, sur l’opportunité d’a</w:t>
      </w:r>
      <w:r w:rsidR="00892A7A" w:rsidRPr="00EF2C0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chat des </w:t>
      </w:r>
      <w:r w:rsidR="00892A7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biens durables </w:t>
      </w:r>
    </w:p>
    <w:p w:rsidR="00FD2441" w:rsidRDefault="00C95C1F" w:rsidP="00A95E94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Près de </w:t>
      </w:r>
      <w:r w:rsidR="00B2066F">
        <w:rPr>
          <w:rFonts w:ascii="Times New Roman" w:hAnsi="Times New Roman" w:cs="Times New Roman"/>
          <w:color w:val="000000" w:themeColor="text1"/>
        </w:rPr>
        <w:t>5</w:t>
      </w:r>
      <w:r>
        <w:rPr>
          <w:rFonts w:ascii="Times New Roman" w:hAnsi="Times New Roman" w:cs="Times New Roman"/>
          <w:color w:val="000000" w:themeColor="text1"/>
        </w:rPr>
        <w:t>6</w:t>
      </w:r>
      <w:r w:rsidR="002226A1" w:rsidRPr="00C706A5">
        <w:rPr>
          <w:rFonts w:ascii="Times New Roman" w:hAnsi="Times New Roman" w:cs="Times New Roman"/>
          <w:color w:val="000000" w:themeColor="text1"/>
        </w:rPr>
        <w:t>% d</w:t>
      </w:r>
      <w:r w:rsidR="002D2970" w:rsidRPr="00C706A5">
        <w:rPr>
          <w:rFonts w:ascii="Times New Roman" w:hAnsi="Times New Roman" w:cs="Times New Roman"/>
          <w:color w:val="000000" w:themeColor="text1"/>
        </w:rPr>
        <w:t xml:space="preserve">es ménages marocains </w:t>
      </w:r>
      <w:r w:rsidR="00E265E4" w:rsidRPr="00C706A5">
        <w:rPr>
          <w:rFonts w:ascii="Times New Roman" w:hAnsi="Times New Roman" w:cs="Times New Roman"/>
          <w:color w:val="000000" w:themeColor="text1"/>
        </w:rPr>
        <w:t>considèrent</w:t>
      </w:r>
      <w:r w:rsidR="002D2970" w:rsidRPr="00C706A5">
        <w:rPr>
          <w:rFonts w:ascii="Times New Roman" w:hAnsi="Times New Roman" w:cs="Times New Roman"/>
          <w:color w:val="000000" w:themeColor="text1"/>
        </w:rPr>
        <w:t>,</w:t>
      </w:r>
      <w:r w:rsidR="00E265E4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2D2970"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B2066F">
        <w:rPr>
          <w:rFonts w:ascii="Times New Roman" w:hAnsi="Times New Roman" w:cs="Times New Roman"/>
          <w:color w:val="000000" w:themeColor="text1"/>
        </w:rPr>
        <w:t>troisième</w:t>
      </w:r>
      <w:r w:rsidR="00F430E6">
        <w:rPr>
          <w:rFonts w:ascii="Times New Roman" w:hAnsi="Times New Roman" w:cs="Times New Roman"/>
          <w:color w:val="000000" w:themeColor="text1"/>
        </w:rPr>
        <w:t xml:space="preserve"> trimestre</w:t>
      </w:r>
      <w:r w:rsidR="00A161A9">
        <w:rPr>
          <w:rFonts w:ascii="Times New Roman" w:hAnsi="Times New Roman" w:cs="Times New Roman"/>
          <w:color w:val="000000" w:themeColor="text1"/>
        </w:rPr>
        <w:t xml:space="preserve"> </w:t>
      </w:r>
      <w:r w:rsidR="002D2970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</w:t>
      </w:r>
      <w:r w:rsidR="00DE552A">
        <w:rPr>
          <w:rFonts w:ascii="Times New Roman" w:hAnsi="Times New Roman" w:cs="Times New Roman"/>
          <w:color w:val="000000" w:themeColor="text1"/>
        </w:rPr>
        <w:t>5</w:t>
      </w:r>
      <w:r w:rsidR="002D2970"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0F6CE8" w:rsidRPr="00C706A5">
        <w:rPr>
          <w:rFonts w:ascii="Times New Roman" w:hAnsi="Times New Roman" w:cs="Times New Roman"/>
          <w:color w:val="000000" w:themeColor="text1"/>
        </w:rPr>
        <w:t xml:space="preserve">que </w:t>
      </w:r>
      <w:r w:rsidR="0019435A" w:rsidRPr="00C706A5">
        <w:rPr>
          <w:rFonts w:ascii="Times New Roman" w:hAnsi="Times New Roman" w:cs="Times New Roman"/>
          <w:color w:val="000000" w:themeColor="text1"/>
        </w:rPr>
        <w:t xml:space="preserve">le moment </w:t>
      </w:r>
      <w:r w:rsidR="00E265E4" w:rsidRPr="00C706A5">
        <w:rPr>
          <w:rFonts w:ascii="Times New Roman" w:hAnsi="Times New Roman" w:cs="Times New Roman"/>
          <w:color w:val="000000" w:themeColor="text1"/>
        </w:rPr>
        <w:t xml:space="preserve">n’est pas </w:t>
      </w:r>
      <w:r w:rsidR="00E9062C" w:rsidRPr="00C706A5">
        <w:rPr>
          <w:rFonts w:ascii="Times New Roman" w:hAnsi="Times New Roman" w:cs="Times New Roman"/>
          <w:color w:val="000000" w:themeColor="text1"/>
        </w:rPr>
        <w:t xml:space="preserve">opportun </w:t>
      </w:r>
      <w:r w:rsidR="00A7325E" w:rsidRPr="00C706A5">
        <w:rPr>
          <w:rFonts w:ascii="Times New Roman" w:hAnsi="Times New Roman" w:cs="Times New Roman"/>
          <w:color w:val="000000" w:themeColor="text1"/>
        </w:rPr>
        <w:t>pour</w:t>
      </w:r>
      <w:r w:rsidR="00E9062C" w:rsidRPr="00C706A5">
        <w:rPr>
          <w:rFonts w:ascii="Times New Roman" w:hAnsi="Times New Roman" w:cs="Times New Roman"/>
          <w:color w:val="000000" w:themeColor="text1"/>
        </w:rPr>
        <w:t xml:space="preserve"> faire des achats </w:t>
      </w:r>
      <w:r w:rsidR="0019435A" w:rsidRPr="00C706A5">
        <w:rPr>
          <w:rFonts w:ascii="Times New Roman" w:hAnsi="Times New Roman" w:cs="Times New Roman"/>
          <w:color w:val="000000" w:themeColor="text1"/>
        </w:rPr>
        <w:t>de biens durables</w:t>
      </w:r>
      <w:r w:rsidR="00097300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9A2085" w:rsidRPr="00C706A5">
        <w:rPr>
          <w:rFonts w:ascii="Times New Roman" w:hAnsi="Times New Roman" w:cs="Times New Roman"/>
          <w:color w:val="000000" w:themeColor="text1"/>
        </w:rPr>
        <w:t>alors que</w:t>
      </w:r>
      <w:r w:rsidR="00381490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B2066F">
        <w:rPr>
          <w:rFonts w:ascii="Times New Roman" w:hAnsi="Times New Roman" w:cs="Times New Roman"/>
          <w:color w:val="000000" w:themeColor="text1"/>
        </w:rPr>
        <w:t>21,3</w:t>
      </w:r>
      <w:r w:rsidR="00381490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097300" w:rsidRPr="00C706A5">
        <w:rPr>
          <w:rFonts w:ascii="Times New Roman" w:hAnsi="Times New Roman" w:cs="Times New Roman"/>
          <w:color w:val="000000" w:themeColor="text1"/>
        </w:rPr>
        <w:t>pens</w:t>
      </w:r>
      <w:r w:rsidR="00381490" w:rsidRPr="00C706A5">
        <w:rPr>
          <w:rFonts w:ascii="Times New Roman" w:hAnsi="Times New Roman" w:cs="Times New Roman"/>
          <w:color w:val="000000" w:themeColor="text1"/>
        </w:rPr>
        <w:t>ent le contraire</w:t>
      </w:r>
      <w:r w:rsidR="00BC6D48">
        <w:rPr>
          <w:rFonts w:ascii="Times New Roman" w:hAnsi="Times New Roman" w:cs="Times New Roman"/>
          <w:color w:val="000000" w:themeColor="text1"/>
        </w:rPr>
        <w:t xml:space="preserve">. </w:t>
      </w:r>
      <w:r w:rsidR="00E442A1">
        <w:rPr>
          <w:rFonts w:ascii="Times New Roman" w:hAnsi="Times New Roman" w:cs="Times New Roman"/>
          <w:color w:val="000000" w:themeColor="text1"/>
        </w:rPr>
        <w:t>L</w:t>
      </w:r>
      <w:r w:rsidR="00381490" w:rsidRPr="00C706A5">
        <w:rPr>
          <w:rFonts w:ascii="Times New Roman" w:hAnsi="Times New Roman" w:cs="Times New Roman"/>
          <w:color w:val="000000" w:themeColor="text1"/>
        </w:rPr>
        <w:t>e solde re</w:t>
      </w:r>
      <w:r w:rsidR="003C4254" w:rsidRPr="00C706A5">
        <w:rPr>
          <w:rFonts w:ascii="Times New Roman" w:hAnsi="Times New Roman" w:cs="Times New Roman"/>
          <w:color w:val="000000" w:themeColor="text1"/>
        </w:rPr>
        <w:t xml:space="preserve">latif à cet indicateur </w:t>
      </w:r>
      <w:r w:rsidR="00E442A1">
        <w:rPr>
          <w:rFonts w:ascii="Times New Roman" w:hAnsi="Times New Roman" w:cs="Times New Roman"/>
          <w:color w:val="000000" w:themeColor="text1"/>
        </w:rPr>
        <w:t>s’établit à</w:t>
      </w:r>
      <w:r w:rsidR="00135D83" w:rsidRPr="00C706A5">
        <w:rPr>
          <w:rFonts w:ascii="Times New Roman" w:hAnsi="Times New Roman" w:cs="Times New Roman"/>
          <w:color w:val="000000" w:themeColor="text1"/>
        </w:rPr>
        <w:t xml:space="preserve"> -</w:t>
      </w:r>
      <w:r w:rsidR="00B2066F">
        <w:rPr>
          <w:rFonts w:ascii="Times New Roman" w:hAnsi="Times New Roman" w:cs="Times New Roman"/>
          <w:color w:val="000000" w:themeColor="text1"/>
        </w:rPr>
        <w:t xml:space="preserve">34,2 </w:t>
      </w:r>
      <w:r w:rsidR="00135D83" w:rsidRPr="00C706A5">
        <w:rPr>
          <w:rFonts w:ascii="Times New Roman" w:hAnsi="Times New Roman" w:cs="Times New Roman"/>
          <w:color w:val="000000" w:themeColor="text1"/>
        </w:rPr>
        <w:t xml:space="preserve">points </w:t>
      </w:r>
      <w:r w:rsidR="00135D83">
        <w:rPr>
          <w:rFonts w:ascii="Times New Roman" w:hAnsi="Times New Roman" w:cs="Times New Roman"/>
          <w:color w:val="000000" w:themeColor="text1"/>
        </w:rPr>
        <w:t>en</w:t>
      </w:r>
      <w:r w:rsidR="007C5542">
        <w:rPr>
          <w:rFonts w:ascii="Times New Roman" w:hAnsi="Times New Roman" w:cs="Times New Roman"/>
          <w:color w:val="000000" w:themeColor="text1"/>
        </w:rPr>
        <w:t xml:space="preserve"> </w:t>
      </w:r>
      <w:r w:rsidR="00D93D3C">
        <w:rPr>
          <w:rFonts w:ascii="Times New Roman" w:hAnsi="Times New Roman" w:cs="Times New Roman"/>
          <w:color w:val="000000" w:themeColor="text1"/>
        </w:rPr>
        <w:t>amélioration</w:t>
      </w:r>
      <w:r w:rsidR="00335081">
        <w:rPr>
          <w:rFonts w:ascii="Times New Roman" w:hAnsi="Times New Roman" w:cs="Times New Roman"/>
          <w:color w:val="000000" w:themeColor="text1"/>
        </w:rPr>
        <w:t xml:space="preserve"> </w:t>
      </w:r>
      <w:r w:rsidR="00B2066F">
        <w:rPr>
          <w:rFonts w:ascii="Times New Roman" w:hAnsi="Times New Roman" w:cs="Times New Roman"/>
          <w:color w:val="000000" w:themeColor="text1"/>
        </w:rPr>
        <w:t>de 1,7 point</w:t>
      </w:r>
      <w:r w:rsidR="002A7E1E">
        <w:rPr>
          <w:rFonts w:ascii="Times New Roman" w:hAnsi="Times New Roman" w:cs="Times New Roman"/>
          <w:color w:val="000000" w:themeColor="text1"/>
        </w:rPr>
        <w:t xml:space="preserve"> </w:t>
      </w:r>
      <w:r w:rsidR="004E183B" w:rsidRPr="00C706A5">
        <w:rPr>
          <w:rFonts w:ascii="Times New Roman" w:hAnsi="Times New Roman" w:cs="Times New Roman"/>
          <w:color w:val="000000" w:themeColor="text1"/>
        </w:rPr>
        <w:t>par rapport au trimestre précédent</w:t>
      </w:r>
      <w:r w:rsidR="00F766B2">
        <w:rPr>
          <w:rFonts w:ascii="Times New Roman" w:hAnsi="Times New Roman" w:cs="Times New Roman"/>
          <w:color w:val="000000" w:themeColor="text1"/>
        </w:rPr>
        <w:t xml:space="preserve"> </w:t>
      </w:r>
      <w:r w:rsidR="00D93D3C">
        <w:rPr>
          <w:rFonts w:ascii="Times New Roman" w:hAnsi="Times New Roman" w:cs="Times New Roman"/>
          <w:color w:val="000000" w:themeColor="text1"/>
        </w:rPr>
        <w:t xml:space="preserve">et en dégradation </w:t>
      </w:r>
      <w:r w:rsidR="002A7E1E">
        <w:rPr>
          <w:rFonts w:ascii="Times New Roman" w:hAnsi="Times New Roman" w:cs="Times New Roman"/>
          <w:color w:val="000000" w:themeColor="text1"/>
        </w:rPr>
        <w:t xml:space="preserve">de </w:t>
      </w:r>
      <w:r w:rsidR="00B2066F">
        <w:rPr>
          <w:rFonts w:ascii="Times New Roman" w:hAnsi="Times New Roman" w:cs="Times New Roman"/>
          <w:color w:val="000000" w:themeColor="text1"/>
        </w:rPr>
        <w:t>1,2</w:t>
      </w:r>
      <w:r w:rsidR="002A7E1E" w:rsidRPr="00C706A5">
        <w:rPr>
          <w:rFonts w:ascii="Times New Roman" w:hAnsi="Times New Roman" w:cs="Times New Roman"/>
          <w:color w:val="000000" w:themeColor="text1"/>
        </w:rPr>
        <w:t xml:space="preserve"> point </w:t>
      </w:r>
      <w:r w:rsidR="00D93D3C">
        <w:rPr>
          <w:rFonts w:ascii="Times New Roman" w:hAnsi="Times New Roman" w:cs="Times New Roman"/>
          <w:color w:val="000000" w:themeColor="text1"/>
        </w:rPr>
        <w:t>par rapport</w:t>
      </w:r>
      <w:r w:rsidR="00335081">
        <w:rPr>
          <w:rFonts w:ascii="Times New Roman" w:hAnsi="Times New Roman" w:cs="Times New Roman"/>
          <w:color w:val="000000" w:themeColor="text1"/>
        </w:rPr>
        <w:t xml:space="preserve"> a</w:t>
      </w:r>
      <w:r w:rsidR="00335081" w:rsidRPr="00C706A5">
        <w:rPr>
          <w:rFonts w:ascii="Times New Roman" w:hAnsi="Times New Roman" w:cs="Times New Roman"/>
          <w:color w:val="000000" w:themeColor="text1"/>
        </w:rPr>
        <w:t>u même trimestre de l’année précédente</w:t>
      </w:r>
      <w:r w:rsidR="002A7E1E">
        <w:rPr>
          <w:rFonts w:ascii="Times New Roman" w:hAnsi="Times New Roman" w:cs="Times New Roman"/>
          <w:color w:val="000000" w:themeColor="text1"/>
        </w:rPr>
        <w:t>.</w:t>
      </w:r>
      <w:r w:rsidR="002A18ED">
        <w:rPr>
          <w:rFonts w:ascii="Times New Roman" w:hAnsi="Times New Roman" w:cs="Times New Roman"/>
          <w:color w:val="000000" w:themeColor="text1"/>
        </w:rPr>
        <w:t xml:space="preserve"> </w:t>
      </w:r>
    </w:p>
    <w:p w:rsidR="00693D6C" w:rsidRDefault="00693D6C" w:rsidP="00693D6C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E657B" w:rsidRDefault="005429BE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5429BE"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>
            <wp:extent cx="6166089" cy="2536166"/>
            <wp:effectExtent l="19050" t="0" r="25161" b="0"/>
            <wp:docPr id="7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E657B" w:rsidRPr="00C706A5" w:rsidRDefault="003E657B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A147DB" w:rsidRPr="00C706A5" w:rsidRDefault="00A147DB" w:rsidP="00B36214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2C26D4" w:rsidRPr="00F50CB9" w:rsidRDefault="00222682" w:rsidP="00A95E94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EF2C03">
        <w:rPr>
          <w:rFonts w:ascii="Times New Roman" w:hAnsi="Times New Roman" w:cs="Times New Roman"/>
          <w:b/>
          <w:bCs/>
        </w:rPr>
        <w:t>•</w:t>
      </w:r>
      <w:r w:rsidR="002C1D2E" w:rsidRPr="00EF2C03">
        <w:rPr>
          <w:rFonts w:ascii="Times New Roman" w:hAnsi="Times New Roman" w:cs="Times New Roman"/>
          <w:b/>
          <w:bCs/>
        </w:rPr>
        <w:t xml:space="preserve"> </w:t>
      </w:r>
      <w:r w:rsidR="00A95E94">
        <w:rPr>
          <w:rFonts w:ascii="Times New Roman" w:hAnsi="Times New Roman" w:cs="Times New Roman"/>
          <w:b/>
          <w:bCs/>
        </w:rPr>
        <w:t>Situation financière des ménages : s</w:t>
      </w:r>
      <w:r w:rsidR="00892A7A">
        <w:rPr>
          <w:rFonts w:ascii="Times New Roman" w:hAnsi="Times New Roman" w:cs="Times New Roman"/>
          <w:b/>
          <w:bCs/>
        </w:rPr>
        <w:t xml:space="preserve">entiment </w:t>
      </w:r>
      <w:r w:rsidR="00A95E94">
        <w:rPr>
          <w:rFonts w:ascii="Times New Roman" w:hAnsi="Times New Roman" w:cs="Times New Roman"/>
          <w:b/>
          <w:bCs/>
        </w:rPr>
        <w:t xml:space="preserve">d’une </w:t>
      </w:r>
      <w:r w:rsidR="00892D30">
        <w:rPr>
          <w:rFonts w:ascii="Times New Roman" w:hAnsi="Times New Roman" w:cs="Times New Roman"/>
          <w:b/>
          <w:bCs/>
        </w:rPr>
        <w:t>amélioration</w:t>
      </w:r>
      <w:r w:rsidR="00892A7A">
        <w:rPr>
          <w:rFonts w:ascii="Times New Roman" w:hAnsi="Times New Roman" w:cs="Times New Roman"/>
          <w:b/>
          <w:bCs/>
        </w:rPr>
        <w:t xml:space="preserve"> </w:t>
      </w:r>
    </w:p>
    <w:p w:rsidR="00C93EAA" w:rsidRPr="002A18ED" w:rsidRDefault="00CB3616" w:rsidP="00C95C1F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Simplified Arabic"/>
          <w:lang w:bidi="ar-MA"/>
        </w:rPr>
        <w:t xml:space="preserve">Au </w:t>
      </w:r>
      <w:r w:rsidR="00C95C1F">
        <w:rPr>
          <w:rFonts w:ascii="Times New Roman" w:hAnsi="Times New Roman" w:cs="Simplified Arabic"/>
          <w:lang w:bidi="ar-MA"/>
        </w:rPr>
        <w:t xml:space="preserve">troisième </w:t>
      </w:r>
      <w:r>
        <w:rPr>
          <w:rFonts w:ascii="Times New Roman" w:hAnsi="Times New Roman" w:cs="Simplified Arabic"/>
          <w:lang w:bidi="ar-MA"/>
        </w:rPr>
        <w:t xml:space="preserve">trimestre de 2015, </w:t>
      </w:r>
      <w:r w:rsidR="00B2066F">
        <w:rPr>
          <w:rFonts w:ascii="Times New Roman" w:hAnsi="Times New Roman" w:cs="Simplified Arabic"/>
          <w:lang w:bidi="ar-MA"/>
        </w:rPr>
        <w:t>60</w:t>
      </w:r>
      <w:r w:rsidR="00887488">
        <w:rPr>
          <w:rFonts w:ascii="Times New Roman" w:hAnsi="Times New Roman" w:cs="Simplified Arabic"/>
          <w:lang w:bidi="ar-MA"/>
        </w:rPr>
        <w:t>,</w:t>
      </w:r>
      <w:r w:rsidR="00B2066F">
        <w:rPr>
          <w:rFonts w:ascii="Times New Roman" w:hAnsi="Times New Roman" w:cs="Simplified Arabic"/>
          <w:lang w:bidi="ar-MA"/>
        </w:rPr>
        <w:t>5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490E21" w:rsidRPr="00C706A5">
        <w:rPr>
          <w:rFonts w:ascii="Times New Roman" w:hAnsi="Times New Roman" w:cs="Times New Roman"/>
          <w:color w:val="000000" w:themeColor="text1"/>
        </w:rPr>
        <w:t>des ménages</w:t>
      </w:r>
      <w:r w:rsidR="00C229EC">
        <w:rPr>
          <w:rFonts w:ascii="Times New Roman" w:hAnsi="Times New Roman" w:cs="Times New Roman"/>
          <w:color w:val="000000" w:themeColor="text1"/>
        </w:rPr>
        <w:t xml:space="preserve"> considèrent que</w:t>
      </w:r>
      <w:r w:rsidR="00490E21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leurs revenus couvrent leurs dépenses, </w:t>
      </w:r>
      <w:r w:rsidR="00B2066F">
        <w:rPr>
          <w:rFonts w:ascii="Times New Roman" w:hAnsi="Times New Roman" w:cs="Times New Roman"/>
          <w:color w:val="000000" w:themeColor="text1"/>
        </w:rPr>
        <w:t>32,3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d’entre eux </w:t>
      </w:r>
      <w:r w:rsidR="00C229EC">
        <w:rPr>
          <w:rFonts w:ascii="Times New Roman" w:hAnsi="Times New Roman" w:cs="Times New Roman"/>
          <w:color w:val="000000" w:themeColor="text1"/>
        </w:rPr>
        <w:t xml:space="preserve">déclarent </w:t>
      </w:r>
      <w:r w:rsidR="001A6BB6" w:rsidRPr="00C706A5">
        <w:rPr>
          <w:rFonts w:ascii="Times New Roman" w:hAnsi="Times New Roman" w:cs="Times New Roman"/>
          <w:color w:val="000000" w:themeColor="text1"/>
        </w:rPr>
        <w:t>s’endette</w:t>
      </w:r>
      <w:r w:rsidR="00C229EC">
        <w:rPr>
          <w:rFonts w:ascii="Times New Roman" w:hAnsi="Times New Roman" w:cs="Times New Roman"/>
          <w:color w:val="000000" w:themeColor="text1"/>
        </w:rPr>
        <w:t>r</w:t>
      </w:r>
      <w:r w:rsidR="008D7E8B">
        <w:rPr>
          <w:rFonts w:ascii="Times New Roman" w:hAnsi="Times New Roman" w:cs="Times New Roman"/>
          <w:color w:val="000000" w:themeColor="text1"/>
        </w:rPr>
        <w:t xml:space="preserve"> </w:t>
      </w:r>
      <w:r w:rsidR="001A6BB6" w:rsidRPr="00C706A5">
        <w:rPr>
          <w:rFonts w:ascii="Times New Roman" w:hAnsi="Times New Roman" w:cs="Times New Roman"/>
          <w:color w:val="000000" w:themeColor="text1"/>
        </w:rPr>
        <w:t>ou puise</w:t>
      </w:r>
      <w:r w:rsidR="00C229EC">
        <w:rPr>
          <w:rFonts w:ascii="Times New Roman" w:hAnsi="Times New Roman" w:cs="Times New Roman"/>
          <w:color w:val="000000" w:themeColor="text1"/>
        </w:rPr>
        <w:t>r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 dans leur épargne</w:t>
      </w:r>
      <w:r w:rsidR="008941B1">
        <w:rPr>
          <w:rFonts w:ascii="Times New Roman" w:hAnsi="Times New Roman" w:cs="Times New Roman"/>
          <w:color w:val="000000" w:themeColor="text1"/>
        </w:rPr>
        <w:t xml:space="preserve"> et </w:t>
      </w:r>
      <w:r w:rsidR="00887488">
        <w:rPr>
          <w:rFonts w:ascii="Times New Roman" w:hAnsi="Times New Roman" w:cs="Times New Roman"/>
          <w:color w:val="000000" w:themeColor="text1"/>
        </w:rPr>
        <w:t>7</w:t>
      </w:r>
      <w:r w:rsidR="00EA2018">
        <w:rPr>
          <w:rFonts w:ascii="Times New Roman" w:hAnsi="Times New Roman" w:cs="Times New Roman"/>
          <w:color w:val="000000" w:themeColor="text1"/>
        </w:rPr>
        <w:t>,</w:t>
      </w:r>
      <w:r w:rsidR="00B2066F">
        <w:rPr>
          <w:rFonts w:ascii="Times New Roman" w:hAnsi="Times New Roman" w:cs="Times New Roman"/>
          <w:color w:val="000000" w:themeColor="text1"/>
        </w:rPr>
        <w:t>2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3E7065">
        <w:rPr>
          <w:rFonts w:ascii="Times New Roman" w:hAnsi="Times New Roman" w:cs="Times New Roman"/>
          <w:color w:val="000000" w:themeColor="text1"/>
        </w:rPr>
        <w:t>affirm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ent </w:t>
      </w:r>
      <w:r w:rsidR="00705867" w:rsidRPr="00C706A5">
        <w:rPr>
          <w:rFonts w:ascii="Times New Roman" w:hAnsi="Times New Roman" w:cs="Times New Roman"/>
          <w:color w:val="000000" w:themeColor="text1"/>
        </w:rPr>
        <w:t xml:space="preserve">pouvoir </w:t>
      </w:r>
      <w:r w:rsidR="004D3202" w:rsidRPr="00C706A5">
        <w:rPr>
          <w:rFonts w:ascii="Times New Roman" w:hAnsi="Times New Roman" w:cs="Times New Roman"/>
          <w:color w:val="000000" w:themeColor="text1"/>
        </w:rPr>
        <w:t>épargner</w:t>
      </w:r>
      <w:r w:rsidR="00705867" w:rsidRPr="00C706A5">
        <w:rPr>
          <w:rFonts w:ascii="Times New Roman" w:hAnsi="Times New Roman" w:cs="Times New Roman"/>
          <w:color w:val="000000" w:themeColor="text1"/>
        </w:rPr>
        <w:t xml:space="preserve"> une partie de leur revenu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. Le solde de </w:t>
      </w:r>
      <w:r w:rsidR="001A6BB6" w:rsidRPr="00C706A5">
        <w:rPr>
          <w:rFonts w:ascii="Times New Roman" w:hAnsi="Times New Roman" w:cs="Times New Roman"/>
          <w:color w:val="000000" w:themeColor="text1"/>
        </w:rPr>
        <w:t>l’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indicateur 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relatif à la situation financière actuelle des ménages </w:t>
      </w:r>
      <w:r w:rsidR="004D3202" w:rsidRPr="00C706A5">
        <w:rPr>
          <w:rFonts w:ascii="Times New Roman" w:hAnsi="Times New Roman" w:cs="Times New Roman"/>
          <w:color w:val="000000" w:themeColor="text1"/>
        </w:rPr>
        <w:t>s’établit</w:t>
      </w:r>
      <w:r w:rsidR="002B7509">
        <w:rPr>
          <w:rFonts w:ascii="Times New Roman" w:hAnsi="Times New Roman" w:cs="Times New Roman"/>
          <w:color w:val="000000" w:themeColor="text1"/>
        </w:rPr>
        <w:t>,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 ainsi</w:t>
      </w:r>
      <w:r w:rsidR="002B7509">
        <w:rPr>
          <w:rFonts w:ascii="Times New Roman" w:hAnsi="Times New Roman" w:cs="Times New Roman"/>
          <w:color w:val="000000" w:themeColor="text1"/>
        </w:rPr>
        <w:t>,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 à un niveau négatif de </w:t>
      </w:r>
      <w:r w:rsidR="00857F10" w:rsidRPr="00C706A5">
        <w:rPr>
          <w:rFonts w:ascii="Times New Roman" w:hAnsi="Times New Roman" w:cs="Times New Roman"/>
          <w:color w:val="000000" w:themeColor="text1"/>
        </w:rPr>
        <w:t>-</w:t>
      </w:r>
      <w:r w:rsidR="00B2066F">
        <w:rPr>
          <w:rFonts w:ascii="Times New Roman" w:hAnsi="Times New Roman" w:cs="Times New Roman"/>
          <w:color w:val="000000" w:themeColor="text1"/>
        </w:rPr>
        <w:t>25,1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 points, </w:t>
      </w:r>
      <w:r w:rsidR="006A0913" w:rsidRPr="00C706A5">
        <w:rPr>
          <w:rFonts w:ascii="Times New Roman" w:hAnsi="Times New Roman" w:cs="Times New Roman"/>
          <w:color w:val="000000" w:themeColor="text1"/>
        </w:rPr>
        <w:t xml:space="preserve">en </w:t>
      </w:r>
      <w:r w:rsidR="00887488">
        <w:rPr>
          <w:rFonts w:ascii="Times New Roman" w:hAnsi="Times New Roman" w:cs="Times New Roman"/>
          <w:color w:val="000000" w:themeColor="text1"/>
        </w:rPr>
        <w:t>amélioration</w:t>
      </w:r>
      <w:r w:rsidR="003E3A1D">
        <w:rPr>
          <w:rFonts w:ascii="Times New Roman" w:hAnsi="Times New Roman" w:cs="Times New Roman"/>
          <w:color w:val="000000" w:themeColor="text1"/>
        </w:rPr>
        <w:t xml:space="preserve"> </w:t>
      </w:r>
      <w:r w:rsidR="008B1424">
        <w:rPr>
          <w:rFonts w:ascii="Times New Roman" w:hAnsi="Times New Roman" w:cs="Times New Roman"/>
          <w:color w:val="000000" w:themeColor="text1"/>
        </w:rPr>
        <w:t xml:space="preserve">aussi bien </w:t>
      </w:r>
      <w:r w:rsidR="004D3202" w:rsidRPr="00C706A5">
        <w:rPr>
          <w:rFonts w:ascii="Times New Roman" w:hAnsi="Times New Roman" w:cs="Times New Roman"/>
          <w:color w:val="000000" w:themeColor="text1"/>
        </w:rPr>
        <w:t>par ra</w:t>
      </w:r>
      <w:r w:rsidR="00C35BF2" w:rsidRPr="00C706A5">
        <w:rPr>
          <w:rFonts w:ascii="Times New Roman" w:hAnsi="Times New Roman" w:cs="Times New Roman"/>
          <w:color w:val="000000" w:themeColor="text1"/>
        </w:rPr>
        <w:t xml:space="preserve">pport </w:t>
      </w:r>
      <w:r w:rsidR="008B1424">
        <w:rPr>
          <w:rFonts w:ascii="Times New Roman" w:hAnsi="Times New Roman" w:cs="Times New Roman"/>
          <w:color w:val="000000" w:themeColor="text1"/>
        </w:rPr>
        <w:t xml:space="preserve">au trimestre précédent </w:t>
      </w:r>
      <w:r w:rsidR="002C211A" w:rsidRPr="00C706A5">
        <w:rPr>
          <w:rFonts w:ascii="Times New Roman" w:hAnsi="Times New Roman" w:cs="Times New Roman"/>
          <w:color w:val="000000" w:themeColor="text1"/>
        </w:rPr>
        <w:t>(</w:t>
      </w:r>
      <w:r w:rsidR="00887488">
        <w:rPr>
          <w:rFonts w:ascii="Times New Roman" w:hAnsi="Times New Roman" w:cs="Times New Roman"/>
          <w:color w:val="000000" w:themeColor="text1"/>
        </w:rPr>
        <w:t>+</w:t>
      </w:r>
      <w:r w:rsidR="00BF4F5B">
        <w:rPr>
          <w:rFonts w:ascii="Times New Roman" w:hAnsi="Times New Roman" w:cs="Times New Roman"/>
          <w:color w:val="000000" w:themeColor="text1"/>
        </w:rPr>
        <w:t>2,9</w:t>
      </w:r>
      <w:r w:rsidR="002C211A" w:rsidRPr="00C706A5">
        <w:rPr>
          <w:rFonts w:ascii="Times New Roman" w:hAnsi="Times New Roman" w:cs="Times New Roman"/>
          <w:color w:val="000000" w:themeColor="text1"/>
        </w:rPr>
        <w:t xml:space="preserve"> point</w:t>
      </w:r>
      <w:r w:rsidR="00887488">
        <w:rPr>
          <w:rFonts w:ascii="Times New Roman" w:hAnsi="Times New Roman" w:cs="Times New Roman"/>
          <w:color w:val="000000" w:themeColor="text1"/>
        </w:rPr>
        <w:t>s</w:t>
      </w:r>
      <w:r w:rsidR="002C211A" w:rsidRPr="00C706A5">
        <w:rPr>
          <w:rFonts w:ascii="Times New Roman" w:hAnsi="Times New Roman" w:cs="Times New Roman"/>
          <w:color w:val="000000" w:themeColor="text1"/>
        </w:rPr>
        <w:t>)</w:t>
      </w:r>
      <w:r w:rsidR="008B1424">
        <w:rPr>
          <w:rFonts w:ascii="Times New Roman" w:hAnsi="Times New Roman" w:cs="Times New Roman"/>
          <w:color w:val="000000" w:themeColor="text1"/>
        </w:rPr>
        <w:t xml:space="preserve"> qu’</w:t>
      </w:r>
      <w:r w:rsidR="008B1424" w:rsidRPr="00C706A5">
        <w:rPr>
          <w:rFonts w:ascii="Times New Roman" w:hAnsi="Times New Roman" w:cs="Times New Roman"/>
          <w:color w:val="000000" w:themeColor="text1"/>
        </w:rPr>
        <w:t>au</w:t>
      </w:r>
      <w:r w:rsidR="00C35BF2" w:rsidRPr="00C706A5">
        <w:rPr>
          <w:rFonts w:ascii="Times New Roman" w:hAnsi="Times New Roman" w:cs="Times New Roman"/>
          <w:color w:val="000000" w:themeColor="text1"/>
        </w:rPr>
        <w:t xml:space="preserve"> même trimestre de </w:t>
      </w:r>
      <w:r w:rsidR="00FF44FD">
        <w:rPr>
          <w:rFonts w:ascii="Times New Roman" w:hAnsi="Times New Roman" w:cs="Times New Roman"/>
          <w:color w:val="000000" w:themeColor="text1"/>
        </w:rPr>
        <w:t>201</w:t>
      </w:r>
      <w:r w:rsidR="00D93D3C">
        <w:rPr>
          <w:rFonts w:ascii="Times New Roman" w:hAnsi="Times New Roman" w:cs="Times New Roman"/>
          <w:color w:val="000000" w:themeColor="text1"/>
        </w:rPr>
        <w:t>4</w:t>
      </w:r>
      <w:r w:rsidR="008B1424">
        <w:rPr>
          <w:rFonts w:ascii="Times New Roman" w:hAnsi="Times New Roman" w:cs="Times New Roman"/>
          <w:color w:val="000000" w:themeColor="text1"/>
        </w:rPr>
        <w:t xml:space="preserve"> (</w:t>
      </w:r>
      <w:r w:rsidR="00887488">
        <w:rPr>
          <w:rFonts w:ascii="Times New Roman" w:hAnsi="Times New Roman" w:cs="Times New Roman"/>
          <w:color w:val="000000" w:themeColor="text1"/>
        </w:rPr>
        <w:t>+</w:t>
      </w:r>
      <w:r w:rsidR="00BF4F5B">
        <w:rPr>
          <w:rFonts w:ascii="Times New Roman" w:hAnsi="Times New Roman" w:cs="Times New Roman"/>
          <w:color w:val="000000" w:themeColor="text1"/>
        </w:rPr>
        <w:t>3,3</w:t>
      </w:r>
      <w:r w:rsidR="008B1424">
        <w:rPr>
          <w:rFonts w:ascii="Times New Roman" w:hAnsi="Times New Roman" w:cs="Times New Roman"/>
          <w:color w:val="000000" w:themeColor="text1"/>
        </w:rPr>
        <w:t xml:space="preserve"> point</w:t>
      </w:r>
      <w:r w:rsidR="00C95C1F">
        <w:rPr>
          <w:rFonts w:ascii="Times New Roman" w:hAnsi="Times New Roman" w:cs="Times New Roman"/>
          <w:color w:val="000000" w:themeColor="text1"/>
        </w:rPr>
        <w:t>s</w:t>
      </w:r>
      <w:r w:rsidR="008B1424">
        <w:rPr>
          <w:rFonts w:ascii="Times New Roman" w:hAnsi="Times New Roman" w:cs="Times New Roman"/>
          <w:color w:val="000000" w:themeColor="text1"/>
        </w:rPr>
        <w:t>)</w:t>
      </w:r>
      <w:r w:rsidR="002C211A" w:rsidRPr="00C706A5">
        <w:rPr>
          <w:rFonts w:ascii="Times New Roman" w:hAnsi="Times New Roman" w:cs="Times New Roman"/>
          <w:color w:val="000000" w:themeColor="text1"/>
        </w:rPr>
        <w:t>.</w:t>
      </w:r>
    </w:p>
    <w:p w:rsidR="002A18ED" w:rsidRDefault="00C95C1F" w:rsidP="00A95E94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Pour </w:t>
      </w:r>
      <w:r w:rsidR="00A95E94">
        <w:rPr>
          <w:rFonts w:ascii="Times New Roman" w:hAnsi="Times New Roman" w:cs="Times New Roman"/>
          <w:color w:val="000000"/>
        </w:rPr>
        <w:t>leurs</w:t>
      </w:r>
      <w:r>
        <w:rPr>
          <w:rFonts w:ascii="Times New Roman" w:hAnsi="Times New Roman" w:cs="Times New Roman"/>
          <w:color w:val="000000"/>
        </w:rPr>
        <w:t xml:space="preserve"> part</w:t>
      </w:r>
      <w:r w:rsidR="00A95E94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>, les perceptions des ménages sur l’évolution passée de l</w:t>
      </w:r>
      <w:r w:rsidRPr="00B10F10">
        <w:rPr>
          <w:rFonts w:ascii="Times New Roman" w:hAnsi="Times New Roman" w:cs="Times New Roman"/>
          <w:color w:val="000000"/>
        </w:rPr>
        <w:t>eur situation financière personnelle</w:t>
      </w:r>
      <w:r>
        <w:rPr>
          <w:rFonts w:ascii="Times New Roman" w:hAnsi="Times New Roman" w:cs="Times New Roman"/>
          <w:color w:val="000000"/>
        </w:rPr>
        <w:t xml:space="preserve"> ont </w:t>
      </w:r>
      <w:r w:rsidR="00481C22">
        <w:rPr>
          <w:rFonts w:ascii="Times New Roman" w:hAnsi="Times New Roman" w:cs="Times New Roman"/>
          <w:color w:val="000000"/>
        </w:rPr>
        <w:t xml:space="preserve">connu une </w:t>
      </w:r>
      <w:r w:rsidR="00BF4F5B">
        <w:rPr>
          <w:rFonts w:ascii="Times New Roman" w:hAnsi="Times New Roman" w:cs="Times New Roman"/>
          <w:color w:val="000000"/>
        </w:rPr>
        <w:t xml:space="preserve">dégradation </w:t>
      </w:r>
      <w:r w:rsidR="00100026">
        <w:rPr>
          <w:rFonts w:ascii="Times New Roman" w:hAnsi="Times New Roman" w:cs="Times New Roman"/>
          <w:color w:val="000000"/>
        </w:rPr>
        <w:t xml:space="preserve">de </w:t>
      </w:r>
      <w:r w:rsidR="00BF4F5B">
        <w:rPr>
          <w:rFonts w:ascii="Times New Roman" w:hAnsi="Times New Roman" w:cs="Times New Roman"/>
          <w:color w:val="000000"/>
        </w:rPr>
        <w:t>0,6</w:t>
      </w:r>
      <w:r w:rsidR="00100026">
        <w:rPr>
          <w:rFonts w:ascii="Times New Roman" w:hAnsi="Times New Roman" w:cs="Times New Roman"/>
          <w:color w:val="000000"/>
        </w:rPr>
        <w:t xml:space="preserve"> point </w:t>
      </w:r>
      <w:r w:rsidR="00C35F99">
        <w:rPr>
          <w:rFonts w:ascii="Times New Roman" w:hAnsi="Times New Roman" w:cs="Times New Roman"/>
          <w:color w:val="000000"/>
        </w:rPr>
        <w:t xml:space="preserve">par rapport </w:t>
      </w:r>
      <w:r w:rsidR="00E2206C">
        <w:rPr>
          <w:rFonts w:ascii="Times New Roman" w:hAnsi="Times New Roman" w:cs="Times New Roman"/>
          <w:color w:val="000000"/>
        </w:rPr>
        <w:t>au trimestre précédent</w:t>
      </w:r>
      <w:r w:rsidR="00100026">
        <w:rPr>
          <w:rFonts w:ascii="Times New Roman" w:hAnsi="Times New Roman" w:cs="Times New Roman"/>
          <w:color w:val="000000"/>
        </w:rPr>
        <w:t xml:space="preserve"> </w:t>
      </w:r>
      <w:r w:rsidR="008D7E8B">
        <w:rPr>
          <w:rFonts w:ascii="Times New Roman" w:hAnsi="Times New Roman" w:cs="Times New Roman"/>
          <w:color w:val="000000"/>
        </w:rPr>
        <w:t>et</w:t>
      </w:r>
      <w:r w:rsidR="00100026">
        <w:rPr>
          <w:rFonts w:ascii="Times New Roman" w:hAnsi="Times New Roman" w:cs="Times New Roman"/>
          <w:color w:val="000000"/>
        </w:rPr>
        <w:t xml:space="preserve"> </w:t>
      </w:r>
      <w:r w:rsidR="00BF4F5B">
        <w:rPr>
          <w:rFonts w:ascii="Times New Roman" w:hAnsi="Times New Roman" w:cs="Times New Roman"/>
          <w:color w:val="000000"/>
        </w:rPr>
        <w:t>une amélioration de</w:t>
      </w:r>
      <w:r w:rsidR="00100026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5 </w:t>
      </w:r>
      <w:r w:rsidR="00100026">
        <w:rPr>
          <w:rFonts w:ascii="Times New Roman" w:hAnsi="Times New Roman" w:cs="Times New Roman"/>
          <w:color w:val="000000"/>
        </w:rPr>
        <w:t xml:space="preserve">points </w:t>
      </w:r>
      <w:r w:rsidR="00023DE5" w:rsidRPr="00B10F10">
        <w:rPr>
          <w:rFonts w:ascii="Times New Roman" w:hAnsi="Times New Roman" w:cs="Times New Roman"/>
          <w:color w:val="000000"/>
        </w:rPr>
        <w:t xml:space="preserve">par rapport </w:t>
      </w:r>
      <w:r w:rsidR="00F82FA0">
        <w:rPr>
          <w:rFonts w:ascii="Times New Roman" w:hAnsi="Times New Roman" w:cs="Times New Roman"/>
          <w:color w:val="000000"/>
        </w:rPr>
        <w:t xml:space="preserve">au même trimestre de l’année </w:t>
      </w:r>
      <w:r>
        <w:rPr>
          <w:rFonts w:ascii="Times New Roman" w:hAnsi="Times New Roman" w:cs="Times New Roman"/>
          <w:color w:val="000000"/>
        </w:rPr>
        <w:t>précédente</w:t>
      </w:r>
      <w:r w:rsidR="00F82FA0">
        <w:rPr>
          <w:rFonts w:ascii="Times New Roman" w:hAnsi="Times New Roman" w:cs="Times New Roman"/>
          <w:color w:val="000000"/>
        </w:rPr>
        <w:t>.</w:t>
      </w:r>
    </w:p>
    <w:p w:rsidR="00480253" w:rsidRDefault="00480253" w:rsidP="002A18ED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DF369E" w:rsidRDefault="00F76B9D" w:rsidP="00BF4F5B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 même, les</w:t>
      </w:r>
      <w:r>
        <w:rPr>
          <w:rFonts w:ascii="Times New Roman" w:hAnsi="Times New Roman" w:cs="Times New Roman" w:hint="cs"/>
          <w:color w:val="000000"/>
          <w:rtl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opinions des ménages sur </w:t>
      </w:r>
      <w:r w:rsidR="00763B79">
        <w:rPr>
          <w:rFonts w:ascii="Times New Roman" w:hAnsi="Times New Roman" w:cs="Times New Roman"/>
          <w:color w:val="000000"/>
        </w:rPr>
        <w:t>l’</w:t>
      </w:r>
      <w:r w:rsidR="00DF369E">
        <w:rPr>
          <w:rFonts w:ascii="Times New Roman" w:hAnsi="Times New Roman" w:cs="Times New Roman"/>
          <w:color w:val="000000"/>
        </w:rPr>
        <w:t>évolution future de l</w:t>
      </w:r>
      <w:r w:rsidR="00DF369E" w:rsidRPr="00B10F10">
        <w:rPr>
          <w:rFonts w:ascii="Times New Roman" w:hAnsi="Times New Roman" w:cs="Times New Roman"/>
          <w:color w:val="000000"/>
        </w:rPr>
        <w:t>eur situation financière personnelle</w:t>
      </w:r>
      <w:r w:rsidR="00DF369E">
        <w:rPr>
          <w:rFonts w:ascii="Times New Roman" w:hAnsi="Times New Roman" w:cs="Times New Roman"/>
          <w:color w:val="000000"/>
        </w:rPr>
        <w:t xml:space="preserve"> </w:t>
      </w:r>
      <w:r w:rsidR="00D039D9">
        <w:rPr>
          <w:rFonts w:ascii="Times New Roman" w:hAnsi="Times New Roman" w:cs="Times New Roman"/>
          <w:color w:val="000000"/>
        </w:rPr>
        <w:t xml:space="preserve">ont connu la même tendance avec une </w:t>
      </w:r>
      <w:r w:rsidR="00BF4F5B">
        <w:rPr>
          <w:rFonts w:ascii="Times New Roman" w:hAnsi="Times New Roman" w:cs="Times New Roman"/>
          <w:color w:val="000000"/>
        </w:rPr>
        <w:t xml:space="preserve"> dégradation de </w:t>
      </w:r>
      <w:r w:rsidR="00DF369E">
        <w:rPr>
          <w:rFonts w:ascii="Times New Roman" w:hAnsi="Times New Roman" w:cs="Times New Roman"/>
          <w:color w:val="000000"/>
        </w:rPr>
        <w:t xml:space="preserve"> </w:t>
      </w:r>
      <w:r w:rsidR="00BF4F5B">
        <w:rPr>
          <w:rFonts w:ascii="Times New Roman" w:hAnsi="Times New Roman" w:cs="Times New Roman"/>
          <w:color w:val="000000"/>
        </w:rPr>
        <w:t>0,8</w:t>
      </w:r>
      <w:r w:rsidR="00D039D9">
        <w:rPr>
          <w:rFonts w:ascii="Times New Roman" w:hAnsi="Times New Roman" w:cs="Times New Roman"/>
          <w:color w:val="000000"/>
        </w:rPr>
        <w:t xml:space="preserve"> </w:t>
      </w:r>
      <w:r w:rsidR="00A95E94">
        <w:rPr>
          <w:rFonts w:ascii="Times New Roman" w:hAnsi="Times New Roman" w:cs="Times New Roman"/>
          <w:color w:val="000000"/>
        </w:rPr>
        <w:t>point</w:t>
      </w:r>
      <w:r w:rsidR="00DF369E">
        <w:rPr>
          <w:rFonts w:ascii="Times New Roman" w:hAnsi="Times New Roman" w:cs="Times New Roman"/>
          <w:color w:val="000000"/>
        </w:rPr>
        <w:t xml:space="preserve"> par rapport au trimestre précédent et</w:t>
      </w:r>
      <w:r w:rsidR="00D039D9">
        <w:rPr>
          <w:rFonts w:ascii="Times New Roman" w:hAnsi="Times New Roman" w:cs="Times New Roman"/>
          <w:color w:val="000000"/>
        </w:rPr>
        <w:t xml:space="preserve"> </w:t>
      </w:r>
      <w:r w:rsidR="00BF4F5B">
        <w:rPr>
          <w:rFonts w:ascii="Times New Roman" w:hAnsi="Times New Roman" w:cs="Times New Roman"/>
          <w:color w:val="000000"/>
        </w:rPr>
        <w:t>une augmentation de 4,8</w:t>
      </w:r>
      <w:r w:rsidR="00DF369E">
        <w:rPr>
          <w:rFonts w:ascii="Times New Roman" w:hAnsi="Times New Roman" w:cs="Times New Roman"/>
          <w:color w:val="000000"/>
        </w:rPr>
        <w:t xml:space="preserve"> point</w:t>
      </w:r>
      <w:r w:rsidR="00420913">
        <w:rPr>
          <w:rFonts w:ascii="Times New Roman" w:hAnsi="Times New Roman" w:cs="Times New Roman"/>
          <w:color w:val="000000"/>
        </w:rPr>
        <w:t>s</w:t>
      </w:r>
      <w:r w:rsidR="00DF369E">
        <w:rPr>
          <w:rFonts w:ascii="Times New Roman" w:hAnsi="Times New Roman" w:cs="Times New Roman"/>
          <w:color w:val="000000"/>
        </w:rPr>
        <w:t xml:space="preserve"> </w:t>
      </w:r>
      <w:r w:rsidR="00DF369E" w:rsidRPr="00B10F10">
        <w:rPr>
          <w:rFonts w:ascii="Times New Roman" w:hAnsi="Times New Roman" w:cs="Times New Roman"/>
          <w:color w:val="000000"/>
        </w:rPr>
        <w:t>par rapport</w:t>
      </w:r>
      <w:r w:rsidR="00F82FA0" w:rsidRPr="00F82FA0">
        <w:rPr>
          <w:rFonts w:ascii="Times New Roman" w:hAnsi="Times New Roman" w:cs="Times New Roman"/>
          <w:color w:val="000000"/>
        </w:rPr>
        <w:t xml:space="preserve"> </w:t>
      </w:r>
      <w:r w:rsidR="00F82FA0" w:rsidRPr="00B10F10">
        <w:rPr>
          <w:rFonts w:ascii="Times New Roman" w:hAnsi="Times New Roman" w:cs="Times New Roman"/>
          <w:color w:val="000000"/>
        </w:rPr>
        <w:t xml:space="preserve">à un </w:t>
      </w:r>
      <w:r w:rsidR="00F82FA0">
        <w:rPr>
          <w:rFonts w:ascii="Times New Roman" w:hAnsi="Times New Roman" w:cs="Times New Roman"/>
          <w:color w:val="000000"/>
        </w:rPr>
        <w:t xml:space="preserve">an </w:t>
      </w:r>
      <w:r w:rsidR="00F82FA0" w:rsidRPr="00B10F10">
        <w:rPr>
          <w:rFonts w:ascii="Times New Roman" w:hAnsi="Times New Roman" w:cs="Times New Roman"/>
          <w:color w:val="000000"/>
        </w:rPr>
        <w:t>auparavant</w:t>
      </w:r>
      <w:r w:rsidR="00F82FA0">
        <w:rPr>
          <w:rFonts w:ascii="Times New Roman" w:hAnsi="Times New Roman" w:cs="Times New Roman"/>
          <w:color w:val="000000"/>
        </w:rPr>
        <w:t>.</w:t>
      </w:r>
    </w:p>
    <w:p w:rsidR="0045471C" w:rsidRDefault="0045471C" w:rsidP="00D039D9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45471C" w:rsidRPr="0045471C" w:rsidRDefault="0045471C" w:rsidP="0045471C">
      <w:pPr>
        <w:widowControl/>
        <w:spacing w:line="276" w:lineRule="auto"/>
        <w:jc w:val="both"/>
        <w:rPr>
          <w:rFonts w:ascii="Times New Roman" w:hAnsi="Times New Roman" w:cs="Times New Roman"/>
          <w:color w:val="FF0000"/>
        </w:rPr>
      </w:pPr>
    </w:p>
    <w:p w:rsidR="0045471C" w:rsidRDefault="0045471C" w:rsidP="00D039D9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AF6349" w:rsidRDefault="00AF6349" w:rsidP="00F656E6">
      <w:pPr>
        <w:widowControl/>
        <w:spacing w:before="240"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F656E6" w:rsidRDefault="00F656E6" w:rsidP="00D46521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62F85" w:rsidRDefault="004F63DF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4F63DF"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>
            <wp:extent cx="6381750" cy="3638550"/>
            <wp:effectExtent l="19050" t="0" r="19050" b="0"/>
            <wp:docPr id="13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151DD" w:rsidRDefault="000151DD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0151DD" w:rsidRDefault="000151DD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0E21A1" w:rsidRPr="003A3FCF" w:rsidRDefault="000E21A1" w:rsidP="00D75C4F">
      <w:pPr>
        <w:pStyle w:val="Paragraphedeliste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d’autres indicateurs </w:t>
      </w:r>
      <w:r w:rsidR="005D5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trimestriels </w:t>
      </w:r>
      <w:r w:rsidR="00421A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perception</w:t>
      </w:r>
      <w:r w:rsidR="00421A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75C4F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 conjoncture</w:t>
      </w:r>
      <w:r w:rsidR="00D75C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21A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par l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es ménages </w:t>
      </w:r>
    </w:p>
    <w:p w:rsidR="00A52030" w:rsidRPr="00C706A5" w:rsidRDefault="00A52030" w:rsidP="00E531E7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En plus des sept indicateurs composant l’ICM, l’enquête fournit des données trimestrielles sur l</w:t>
      </w:r>
      <w:r w:rsidR="00E531E7">
        <w:rPr>
          <w:rFonts w:ascii="Times New Roman" w:hAnsi="Times New Roman" w:cs="Times New Roman"/>
          <w:color w:val="000000" w:themeColor="text1"/>
        </w:rPr>
        <w:t>a</w:t>
      </w:r>
      <w:r w:rsidRPr="00C706A5">
        <w:rPr>
          <w:rFonts w:ascii="Times New Roman" w:hAnsi="Times New Roman" w:cs="Times New Roman"/>
          <w:color w:val="000000" w:themeColor="text1"/>
        </w:rPr>
        <w:t xml:space="preserve"> perception des ménages relatives à d’autres aspects de leurs conditions de vie. Il s’agit en particulier de la capacité d’épargne et de l’évolution des prix des produits alimentaires. </w:t>
      </w:r>
    </w:p>
    <w:p w:rsidR="00A52030" w:rsidRPr="00C706A5" w:rsidRDefault="00A52030" w:rsidP="00A52030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812210" w:rsidRPr="00D243B7" w:rsidRDefault="00E07170" w:rsidP="00D243B7">
      <w:pPr>
        <w:pStyle w:val="Paragraphedeliste"/>
        <w:numPr>
          <w:ilvl w:val="0"/>
          <w:numId w:val="8"/>
        </w:numPr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Les m</w:t>
      </w:r>
      <w:r w:rsidR="00FE0E04" w:rsidRPr="00D243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énages </w:t>
      </w:r>
      <w:r w:rsidR="005E5EBF" w:rsidRPr="00D243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demeurent pessimistes</w:t>
      </w:r>
      <w:r w:rsidR="00FE0E04" w:rsidRPr="00D243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quant à leur capacité future d’épargner </w:t>
      </w:r>
    </w:p>
    <w:p w:rsidR="00F66680" w:rsidRPr="00C706A5" w:rsidRDefault="000B09BA" w:rsidP="005B6C42">
      <w:pPr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BF4F5B">
        <w:rPr>
          <w:rFonts w:ascii="Times New Roman" w:hAnsi="Times New Roman" w:cs="Times New Roman"/>
          <w:color w:val="000000" w:themeColor="text1"/>
        </w:rPr>
        <w:t>troisième</w:t>
      </w:r>
      <w:r w:rsidR="00F430E6">
        <w:rPr>
          <w:rFonts w:ascii="Times New Roman" w:hAnsi="Times New Roman" w:cs="Times New Roman"/>
          <w:color w:val="000000" w:themeColor="text1"/>
        </w:rPr>
        <w:t xml:space="preserve"> trimestre</w:t>
      </w:r>
      <w:r w:rsidR="00F406EF">
        <w:rPr>
          <w:rFonts w:ascii="Times New Roman" w:hAnsi="Times New Roman" w:cs="Times New Roman"/>
          <w:color w:val="000000" w:themeColor="text1"/>
        </w:rPr>
        <w:t xml:space="preserve"> </w:t>
      </w:r>
      <w:r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</w:t>
      </w:r>
      <w:r w:rsidR="00D93D3C">
        <w:rPr>
          <w:rFonts w:ascii="Times New Roman" w:hAnsi="Times New Roman" w:cs="Times New Roman"/>
          <w:color w:val="000000" w:themeColor="text1"/>
        </w:rPr>
        <w:t>5</w:t>
      </w:r>
      <w:r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BF4F5B">
        <w:rPr>
          <w:rFonts w:ascii="Times New Roman" w:hAnsi="Times New Roman" w:cs="Times New Roman"/>
          <w:color w:val="000000" w:themeColor="text1"/>
        </w:rPr>
        <w:t>85,</w:t>
      </w:r>
      <w:r w:rsidR="005B6C42">
        <w:rPr>
          <w:rFonts w:ascii="Times New Roman" w:hAnsi="Times New Roman" w:cs="Times New Roman" w:hint="cs"/>
          <w:color w:val="000000" w:themeColor="text1"/>
          <w:rtl/>
        </w:rPr>
        <w:t>3</w:t>
      </w:r>
      <w:r w:rsidR="00741C47" w:rsidRPr="00A938F3">
        <w:rPr>
          <w:rFonts w:ascii="Times New Roman" w:hAnsi="Times New Roman" w:cs="Times New Roman"/>
          <w:color w:val="000000" w:themeColor="text1"/>
        </w:rPr>
        <w:t>%</w:t>
      </w:r>
      <w:r w:rsidR="00DE048F">
        <w:rPr>
          <w:rFonts w:ascii="Times New Roman" w:hAnsi="Times New Roman" w:cs="Times New Roman"/>
          <w:color w:val="000000" w:themeColor="text1"/>
        </w:rPr>
        <w:t xml:space="preserve"> des ménages</w:t>
      </w:r>
      <w:r w:rsidR="00511C57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F469DA">
        <w:rPr>
          <w:rFonts w:ascii="Times New Roman" w:hAnsi="Times New Roman" w:cs="Times New Roman"/>
          <w:color w:val="000000" w:themeColor="text1"/>
        </w:rPr>
        <w:t>estiment</w:t>
      </w:r>
      <w:r w:rsidR="00511C57" w:rsidRPr="00C706A5">
        <w:rPr>
          <w:rFonts w:ascii="Times New Roman" w:hAnsi="Times New Roman" w:cs="Times New Roman"/>
          <w:color w:val="000000" w:themeColor="text1"/>
        </w:rPr>
        <w:t xml:space="preserve"> ne pas pouvoir épargner au cours des 12 prochains mois</w:t>
      </w:r>
      <w:r w:rsidR="007F3847" w:rsidRPr="00C706A5">
        <w:rPr>
          <w:rFonts w:ascii="Times New Roman" w:hAnsi="Times New Roman" w:cs="Times New Roman"/>
          <w:color w:val="000000" w:themeColor="text1"/>
        </w:rPr>
        <w:t xml:space="preserve"> contre </w:t>
      </w:r>
      <w:r w:rsidR="00BF4F5B">
        <w:rPr>
          <w:rFonts w:ascii="Times New Roman" w:hAnsi="Times New Roman" w:cs="Times New Roman"/>
          <w:color w:val="000000" w:themeColor="text1"/>
        </w:rPr>
        <w:t>14,7</w:t>
      </w:r>
      <w:r w:rsidR="007F3847" w:rsidRPr="00A938F3">
        <w:rPr>
          <w:rFonts w:ascii="Times New Roman" w:hAnsi="Times New Roman" w:cs="Times New Roman"/>
          <w:color w:val="000000" w:themeColor="text1"/>
        </w:rPr>
        <w:t>%</w:t>
      </w:r>
      <w:r w:rsidR="00735526" w:rsidRPr="00C706A5">
        <w:rPr>
          <w:rFonts w:ascii="Times New Roman" w:hAnsi="Times New Roman" w:cs="Times New Roman"/>
          <w:color w:val="000000" w:themeColor="text1"/>
        </w:rPr>
        <w:t xml:space="preserve"> qui </w:t>
      </w:r>
      <w:r w:rsidR="00675156">
        <w:rPr>
          <w:rFonts w:ascii="Times New Roman" w:hAnsi="Times New Roman" w:cs="Times New Roman"/>
          <w:color w:val="000000" w:themeColor="text1"/>
        </w:rPr>
        <w:t>affirment</w:t>
      </w:r>
      <w:r w:rsidR="00735526" w:rsidRPr="00C706A5">
        <w:rPr>
          <w:rFonts w:ascii="Times New Roman" w:hAnsi="Times New Roman" w:cs="Times New Roman"/>
          <w:color w:val="000000" w:themeColor="text1"/>
        </w:rPr>
        <w:t xml:space="preserve"> le contraire</w:t>
      </w:r>
      <w:r w:rsidR="00507FF6">
        <w:rPr>
          <w:rFonts w:ascii="Times New Roman" w:hAnsi="Times New Roman" w:cs="Times New Roman"/>
          <w:color w:val="000000" w:themeColor="text1"/>
        </w:rPr>
        <w:t>.</w:t>
      </w:r>
      <w:r w:rsidR="00BF4F5B" w:rsidRPr="00BF4F5B">
        <w:rPr>
          <w:rFonts w:ascii="Times New Roman" w:hAnsi="Times New Roman" w:cs="Times New Roman"/>
          <w:color w:val="000000" w:themeColor="text1"/>
        </w:rPr>
        <w:t xml:space="preserve"> </w:t>
      </w:r>
      <w:r w:rsidR="00BF4F5B" w:rsidRPr="00F66680">
        <w:rPr>
          <w:rFonts w:ascii="Times New Roman" w:hAnsi="Times New Roman" w:cs="Times New Roman"/>
          <w:color w:val="000000" w:themeColor="text1"/>
        </w:rPr>
        <w:t>Le solde</w:t>
      </w:r>
      <w:r w:rsidR="00BF4F5B">
        <w:rPr>
          <w:rFonts w:ascii="Times New Roman" w:hAnsi="Times New Roman" w:cs="Times New Roman"/>
          <w:color w:val="000000" w:themeColor="text1"/>
        </w:rPr>
        <w:t xml:space="preserve"> relatif à l</w:t>
      </w:r>
      <w:r w:rsidR="00F66680" w:rsidRPr="00F66680">
        <w:rPr>
          <w:rFonts w:ascii="Times New Roman" w:hAnsi="Times New Roman" w:cs="Times New Roman"/>
          <w:color w:val="000000" w:themeColor="text1"/>
        </w:rPr>
        <w:t>’opinion des ménages sur leur capacité d’épargne s</w:t>
      </w:r>
      <w:r w:rsidR="00BF4F5B">
        <w:rPr>
          <w:rFonts w:ascii="Times New Roman" w:hAnsi="Times New Roman" w:cs="Times New Roman"/>
          <w:color w:val="000000" w:themeColor="text1"/>
        </w:rPr>
        <w:t>’est dégradé</w:t>
      </w:r>
      <w:r w:rsidR="00F66680" w:rsidRPr="00F66680">
        <w:rPr>
          <w:rFonts w:ascii="Times New Roman" w:hAnsi="Times New Roman" w:cs="Times New Roman"/>
          <w:color w:val="000000" w:themeColor="text1"/>
        </w:rPr>
        <w:t xml:space="preserve"> par rapport au trimestre précédent </w:t>
      </w:r>
      <w:r w:rsidR="00BF4F5B">
        <w:rPr>
          <w:rFonts w:ascii="Times New Roman" w:hAnsi="Times New Roman" w:cs="Times New Roman"/>
          <w:color w:val="000000" w:themeColor="text1"/>
        </w:rPr>
        <w:t>de 3,</w:t>
      </w:r>
      <w:r w:rsidR="005B6C42">
        <w:rPr>
          <w:rFonts w:ascii="Times New Roman" w:hAnsi="Times New Roman" w:cs="Times New Roman" w:hint="cs"/>
          <w:color w:val="000000" w:themeColor="text1"/>
          <w:rtl/>
        </w:rPr>
        <w:t>2</w:t>
      </w:r>
      <w:r w:rsidR="00BF4F5B">
        <w:rPr>
          <w:rFonts w:ascii="Times New Roman" w:hAnsi="Times New Roman" w:cs="Times New Roman"/>
          <w:color w:val="000000" w:themeColor="text1"/>
        </w:rPr>
        <w:t xml:space="preserve"> points  et s’est amélioré de 3,</w:t>
      </w:r>
      <w:r w:rsidR="005B6C42">
        <w:rPr>
          <w:rFonts w:ascii="Times New Roman" w:hAnsi="Times New Roman" w:cs="Times New Roman" w:hint="cs"/>
          <w:color w:val="000000" w:themeColor="text1"/>
          <w:rtl/>
        </w:rPr>
        <w:t>4</w:t>
      </w:r>
      <w:r w:rsidR="00BF4F5B">
        <w:rPr>
          <w:rFonts w:ascii="Times New Roman" w:hAnsi="Times New Roman" w:cs="Times New Roman"/>
          <w:color w:val="000000" w:themeColor="text1"/>
        </w:rPr>
        <w:t xml:space="preserve"> points par rapport </w:t>
      </w:r>
      <w:r w:rsidR="00F66680" w:rsidRPr="00F66680">
        <w:rPr>
          <w:rFonts w:ascii="Times New Roman" w:hAnsi="Times New Roman" w:cs="Times New Roman"/>
          <w:color w:val="000000" w:themeColor="text1"/>
        </w:rPr>
        <w:t>au même t</w:t>
      </w:r>
      <w:r w:rsidR="00BF4F5B">
        <w:rPr>
          <w:rFonts w:ascii="Times New Roman" w:hAnsi="Times New Roman" w:cs="Times New Roman"/>
          <w:color w:val="000000" w:themeColor="text1"/>
        </w:rPr>
        <w:t>rimestre de l’année précédente</w:t>
      </w:r>
      <w:r w:rsidR="001F5970">
        <w:rPr>
          <w:rFonts w:ascii="Times New Roman" w:hAnsi="Times New Roman" w:cs="Times New Roman"/>
          <w:color w:val="000000" w:themeColor="text1"/>
        </w:rPr>
        <w:t>.</w:t>
      </w:r>
    </w:p>
    <w:p w:rsidR="00FE0E04" w:rsidRPr="00C706A5" w:rsidRDefault="00FE0E04" w:rsidP="00C60EE9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92F9F" w:rsidRPr="00D243B7" w:rsidRDefault="00A95E94" w:rsidP="00A95E94">
      <w:pPr>
        <w:pStyle w:val="Paragraphedeliste"/>
        <w:numPr>
          <w:ilvl w:val="0"/>
          <w:numId w:val="8"/>
        </w:numPr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95E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Perspectives d’évolution des prix des produits alimentaires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: a</w:t>
      </w:r>
      <w:r w:rsidR="005E5EBF" w:rsidRPr="00D243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ttente </w:t>
      </w:r>
      <w:r w:rsidR="00126B26" w:rsidRPr="00D243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d’une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hausse moins prononcée</w:t>
      </w:r>
    </w:p>
    <w:p w:rsidR="00A644C5" w:rsidRDefault="00985AB3" w:rsidP="0026141F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2364B4">
        <w:rPr>
          <w:rFonts w:ascii="Times New Roman" w:hAnsi="Times New Roman" w:cs="Times New Roman"/>
          <w:color w:val="000000" w:themeColor="text1"/>
        </w:rPr>
        <w:t>troisième</w:t>
      </w:r>
      <w:r w:rsidR="00F430E6">
        <w:rPr>
          <w:rFonts w:ascii="Times New Roman" w:hAnsi="Times New Roman" w:cs="Times New Roman"/>
          <w:color w:val="000000" w:themeColor="text1"/>
        </w:rPr>
        <w:t xml:space="preserve"> trimestre</w:t>
      </w:r>
      <w:r w:rsidR="006E004B">
        <w:rPr>
          <w:rFonts w:ascii="Times New Roman" w:hAnsi="Times New Roman" w:cs="Times New Roman"/>
          <w:color w:val="000000" w:themeColor="text1"/>
        </w:rPr>
        <w:t xml:space="preserve"> </w:t>
      </w:r>
      <w:r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</w:t>
      </w:r>
      <w:r w:rsidR="00107E17">
        <w:rPr>
          <w:rFonts w:ascii="Times New Roman" w:hAnsi="Times New Roman" w:cs="Times New Roman"/>
          <w:color w:val="000000" w:themeColor="text1"/>
        </w:rPr>
        <w:t>5</w:t>
      </w:r>
      <w:r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2364B4">
        <w:rPr>
          <w:rFonts w:ascii="Times New Roman" w:hAnsi="Times New Roman" w:cs="Times New Roman"/>
          <w:color w:val="000000" w:themeColor="text1"/>
        </w:rPr>
        <w:t>84,9</w:t>
      </w:r>
      <w:r w:rsidR="00563170" w:rsidRPr="00C706A5">
        <w:rPr>
          <w:rFonts w:ascii="Times New Roman" w:hAnsi="Times New Roman" w:cs="Times New Roman"/>
          <w:color w:val="000000" w:themeColor="text1"/>
        </w:rPr>
        <w:t>%</w:t>
      </w:r>
      <w:r w:rsidR="00742AC3" w:rsidRPr="00C706A5">
        <w:rPr>
          <w:rFonts w:ascii="Times New Roman" w:hAnsi="Times New Roman" w:cs="Times New Roman"/>
          <w:color w:val="000000" w:themeColor="text1"/>
        </w:rPr>
        <w:t xml:space="preserve"> des ménages</w:t>
      </w:r>
      <w:r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F656E6">
        <w:rPr>
          <w:rFonts w:ascii="Times New Roman" w:hAnsi="Times New Roman" w:cs="Times New Roman"/>
          <w:color w:val="000000" w:themeColor="text1"/>
        </w:rPr>
        <w:t>estiment</w:t>
      </w:r>
      <w:r w:rsidR="00F656E6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644C5" w:rsidRPr="00C706A5">
        <w:rPr>
          <w:rFonts w:ascii="Times New Roman" w:hAnsi="Times New Roman" w:cs="Times New Roman"/>
          <w:color w:val="000000" w:themeColor="text1"/>
        </w:rPr>
        <w:t>que les prix des produits alimentaires ont augmenté</w:t>
      </w:r>
      <w:r w:rsidR="00DC1E47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E009EE">
        <w:rPr>
          <w:rFonts w:ascii="Times New Roman" w:hAnsi="Times New Roman" w:cs="Times New Roman"/>
          <w:color w:val="000000" w:themeColor="text1"/>
        </w:rPr>
        <w:t>durant les 12 derniers mois</w:t>
      </w:r>
      <w:r w:rsidR="00D77F27">
        <w:rPr>
          <w:rFonts w:ascii="Times New Roman" w:hAnsi="Times New Roman" w:cs="Times New Roman"/>
          <w:color w:val="000000" w:themeColor="text1"/>
        </w:rPr>
        <w:t xml:space="preserve">, </w:t>
      </w:r>
      <w:r w:rsidR="002364B4">
        <w:rPr>
          <w:rFonts w:ascii="Times New Roman" w:hAnsi="Times New Roman" w:cs="Times New Roman"/>
          <w:color w:val="000000" w:themeColor="text1"/>
        </w:rPr>
        <w:t>14,</w:t>
      </w:r>
      <w:r w:rsidR="0026141F">
        <w:rPr>
          <w:rFonts w:ascii="Times New Roman" w:hAnsi="Times New Roman" w:cs="Times New Roman"/>
          <w:color w:val="000000" w:themeColor="text1"/>
        </w:rPr>
        <w:t>5</w:t>
      </w:r>
      <w:r w:rsidR="00D77F27">
        <w:rPr>
          <w:rFonts w:ascii="Times New Roman" w:hAnsi="Times New Roman" w:cs="Times New Roman"/>
          <w:color w:val="000000" w:themeColor="text1"/>
        </w:rPr>
        <w:t xml:space="preserve"> % </w:t>
      </w:r>
      <w:r w:rsidR="00F656E6">
        <w:rPr>
          <w:rFonts w:ascii="Times New Roman" w:hAnsi="Times New Roman" w:cs="Times New Roman"/>
          <w:color w:val="000000" w:themeColor="text1"/>
        </w:rPr>
        <w:t xml:space="preserve">jugent </w:t>
      </w:r>
      <w:r w:rsidR="00D77F27">
        <w:rPr>
          <w:rFonts w:ascii="Times New Roman" w:hAnsi="Times New Roman" w:cs="Times New Roman"/>
          <w:color w:val="000000" w:themeColor="text1"/>
        </w:rPr>
        <w:t>qu’ils ont stagné et 0,</w:t>
      </w:r>
      <w:r w:rsidR="002364B4">
        <w:rPr>
          <w:rFonts w:ascii="Times New Roman" w:hAnsi="Times New Roman" w:cs="Times New Roman"/>
          <w:color w:val="000000" w:themeColor="text1"/>
        </w:rPr>
        <w:t>6</w:t>
      </w:r>
      <w:r w:rsidR="0023661B">
        <w:rPr>
          <w:rFonts w:ascii="Times New Roman" w:hAnsi="Times New Roman" w:cs="Times New Roman"/>
          <w:color w:val="000000" w:themeColor="text1"/>
        </w:rPr>
        <w:t xml:space="preserve"> </w:t>
      </w:r>
      <w:r w:rsidR="00173781">
        <w:rPr>
          <w:rFonts w:ascii="Times New Roman" w:hAnsi="Times New Roman" w:cs="Times New Roman"/>
          <w:color w:val="000000" w:themeColor="text1"/>
        </w:rPr>
        <w:t xml:space="preserve">% </w:t>
      </w:r>
      <w:r w:rsidR="0064773C">
        <w:rPr>
          <w:rFonts w:ascii="Times New Roman" w:hAnsi="Times New Roman" w:cs="Times New Roman"/>
          <w:color w:val="000000" w:themeColor="text1"/>
        </w:rPr>
        <w:t xml:space="preserve">croient </w:t>
      </w:r>
      <w:r w:rsidR="00D77F27">
        <w:rPr>
          <w:rFonts w:ascii="Times New Roman" w:hAnsi="Times New Roman" w:cs="Times New Roman"/>
          <w:color w:val="000000" w:themeColor="text1"/>
        </w:rPr>
        <w:t>qu’ils ont baissé. Avec un niveau de -</w:t>
      </w:r>
      <w:r w:rsidR="002364B4">
        <w:rPr>
          <w:rFonts w:ascii="Times New Roman" w:hAnsi="Times New Roman" w:cs="Times New Roman"/>
          <w:color w:val="000000" w:themeColor="text1"/>
        </w:rPr>
        <w:t>84,3</w:t>
      </w:r>
      <w:r w:rsidR="00D77F27">
        <w:rPr>
          <w:rFonts w:ascii="Times New Roman" w:hAnsi="Times New Roman" w:cs="Times New Roman"/>
          <w:color w:val="000000" w:themeColor="text1"/>
        </w:rPr>
        <w:t xml:space="preserve"> points, l</w:t>
      </w:r>
      <w:r w:rsidR="006B2086">
        <w:rPr>
          <w:rFonts w:ascii="Times New Roman" w:hAnsi="Times New Roman" w:cs="Times New Roman"/>
          <w:color w:val="000000" w:themeColor="text1"/>
        </w:rPr>
        <w:t>e</w:t>
      </w:r>
      <w:r w:rsidR="00C17A37" w:rsidRPr="00C706A5">
        <w:rPr>
          <w:rFonts w:ascii="Times New Roman" w:hAnsi="Times New Roman" w:cs="Times New Roman"/>
          <w:color w:val="000000" w:themeColor="text1"/>
        </w:rPr>
        <w:t xml:space="preserve"> solde d</w:t>
      </w:r>
      <w:r w:rsidR="00A644C5" w:rsidRPr="00C706A5">
        <w:rPr>
          <w:rFonts w:ascii="Times New Roman" w:hAnsi="Times New Roman" w:cs="Times New Roman"/>
          <w:color w:val="000000" w:themeColor="text1"/>
        </w:rPr>
        <w:t xml:space="preserve">e cet indicateur </w:t>
      </w:r>
      <w:r w:rsidR="00513F5E">
        <w:rPr>
          <w:rFonts w:ascii="Times New Roman" w:hAnsi="Times New Roman" w:cs="Times New Roman"/>
          <w:color w:val="000000" w:themeColor="text1"/>
        </w:rPr>
        <w:t xml:space="preserve">s’est </w:t>
      </w:r>
      <w:r w:rsidR="0065045C">
        <w:rPr>
          <w:rFonts w:ascii="Times New Roman" w:hAnsi="Times New Roman" w:cs="Times New Roman"/>
          <w:color w:val="000000" w:themeColor="text1"/>
        </w:rPr>
        <w:t xml:space="preserve">amélioré </w:t>
      </w:r>
      <w:r w:rsidR="002364B4">
        <w:rPr>
          <w:rFonts w:ascii="Times New Roman" w:hAnsi="Times New Roman" w:cs="Times New Roman"/>
          <w:color w:val="000000" w:themeColor="text1"/>
        </w:rPr>
        <w:t xml:space="preserve">d’un </w:t>
      </w:r>
      <w:r w:rsidR="0075581F">
        <w:rPr>
          <w:rFonts w:ascii="Times New Roman" w:hAnsi="Times New Roman" w:cs="Times New Roman"/>
          <w:color w:val="000000" w:themeColor="text1"/>
        </w:rPr>
        <w:t>point</w:t>
      </w:r>
      <w:r w:rsidR="00107E17">
        <w:rPr>
          <w:rFonts w:ascii="Times New Roman" w:hAnsi="Times New Roman" w:cs="Times New Roman"/>
          <w:color w:val="000000" w:themeColor="text1"/>
        </w:rPr>
        <w:t xml:space="preserve"> </w:t>
      </w:r>
      <w:r w:rsidR="0075581F" w:rsidRPr="00C706A5">
        <w:rPr>
          <w:rFonts w:ascii="Times New Roman" w:hAnsi="Times New Roman" w:cs="Times New Roman"/>
          <w:color w:val="000000" w:themeColor="text1"/>
        </w:rPr>
        <w:t>par rapport au trimestre précédent</w:t>
      </w:r>
      <w:r w:rsidR="0075581F">
        <w:rPr>
          <w:rFonts w:ascii="Times New Roman" w:hAnsi="Times New Roman" w:cs="Times New Roman"/>
          <w:color w:val="000000" w:themeColor="text1"/>
        </w:rPr>
        <w:t xml:space="preserve"> et </w:t>
      </w:r>
      <w:r w:rsidR="006F2FA8">
        <w:rPr>
          <w:rFonts w:ascii="Times New Roman" w:hAnsi="Times New Roman" w:cs="Times New Roman"/>
          <w:color w:val="000000" w:themeColor="text1"/>
        </w:rPr>
        <w:t xml:space="preserve">s’est </w:t>
      </w:r>
      <w:r w:rsidR="0065045C">
        <w:rPr>
          <w:rFonts w:ascii="Times New Roman" w:hAnsi="Times New Roman" w:cs="Times New Roman"/>
          <w:color w:val="000000" w:themeColor="text1"/>
        </w:rPr>
        <w:t>dé</w:t>
      </w:r>
      <w:r w:rsidR="0026141F">
        <w:rPr>
          <w:rFonts w:ascii="Times New Roman" w:hAnsi="Times New Roman" w:cs="Times New Roman"/>
          <w:color w:val="000000" w:themeColor="text1"/>
        </w:rPr>
        <w:t>gradé</w:t>
      </w:r>
      <w:r w:rsidR="0065045C">
        <w:rPr>
          <w:rFonts w:ascii="Times New Roman" w:hAnsi="Times New Roman" w:cs="Times New Roman"/>
          <w:color w:val="000000" w:themeColor="text1"/>
        </w:rPr>
        <w:t xml:space="preserve"> </w:t>
      </w:r>
      <w:r w:rsidR="006F2FA8">
        <w:rPr>
          <w:rFonts w:ascii="Times New Roman" w:hAnsi="Times New Roman" w:cs="Times New Roman"/>
          <w:color w:val="000000" w:themeColor="text1"/>
        </w:rPr>
        <w:t xml:space="preserve">de </w:t>
      </w:r>
      <w:r w:rsidR="002364B4">
        <w:rPr>
          <w:rFonts w:ascii="Times New Roman" w:hAnsi="Times New Roman" w:cs="Times New Roman"/>
          <w:color w:val="000000" w:themeColor="text1"/>
        </w:rPr>
        <w:t>2,5</w:t>
      </w:r>
      <w:r w:rsidR="00C427E9">
        <w:rPr>
          <w:rFonts w:ascii="Times New Roman" w:hAnsi="Times New Roman" w:cs="Times New Roman"/>
          <w:color w:val="000000" w:themeColor="text1"/>
        </w:rPr>
        <w:t xml:space="preserve"> </w:t>
      </w:r>
      <w:r w:rsidR="00A21054" w:rsidRPr="00C706A5">
        <w:rPr>
          <w:rFonts w:ascii="Times New Roman" w:hAnsi="Times New Roman" w:cs="Times New Roman"/>
          <w:color w:val="000000" w:themeColor="text1"/>
        </w:rPr>
        <w:t>point</w:t>
      </w:r>
      <w:r w:rsidR="002364B4">
        <w:rPr>
          <w:rFonts w:ascii="Times New Roman" w:hAnsi="Times New Roman" w:cs="Times New Roman"/>
          <w:color w:val="000000" w:themeColor="text1"/>
        </w:rPr>
        <w:t>s</w:t>
      </w:r>
      <w:r w:rsidR="00352D33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21054" w:rsidRPr="00C706A5">
        <w:rPr>
          <w:rFonts w:ascii="Times New Roman" w:hAnsi="Times New Roman" w:cs="Times New Roman"/>
          <w:color w:val="000000" w:themeColor="text1"/>
        </w:rPr>
        <w:t xml:space="preserve">par rapport au même trimestre de </w:t>
      </w:r>
      <w:r w:rsidR="00FF44FD">
        <w:rPr>
          <w:rFonts w:ascii="Times New Roman" w:hAnsi="Times New Roman" w:cs="Times New Roman"/>
          <w:color w:val="000000" w:themeColor="text1"/>
        </w:rPr>
        <w:t>201</w:t>
      </w:r>
      <w:r w:rsidR="00107E17">
        <w:rPr>
          <w:rFonts w:ascii="Times New Roman" w:hAnsi="Times New Roman" w:cs="Times New Roman"/>
          <w:color w:val="000000" w:themeColor="text1"/>
        </w:rPr>
        <w:t>4</w:t>
      </w:r>
      <w:r w:rsidR="00A21054" w:rsidRPr="00C706A5">
        <w:rPr>
          <w:rFonts w:ascii="Times New Roman" w:hAnsi="Times New Roman" w:cs="Times New Roman"/>
          <w:color w:val="000000" w:themeColor="text1"/>
        </w:rPr>
        <w:t>.</w:t>
      </w:r>
    </w:p>
    <w:p w:rsidR="00BC5D13" w:rsidRPr="00C706A5" w:rsidRDefault="006B2086" w:rsidP="002364B4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S’agissant des</w:t>
      </w:r>
      <w:r w:rsidR="00700954" w:rsidRPr="00C706A5">
        <w:rPr>
          <w:rFonts w:ascii="Times New Roman" w:hAnsi="Times New Roman" w:cs="Times New Roman"/>
          <w:color w:val="000000" w:themeColor="text1"/>
        </w:rPr>
        <w:t xml:space="preserve"> perspectives d’évolution des prix des produits alimentaires, </w:t>
      </w:r>
      <w:r w:rsidR="002A7E5D">
        <w:rPr>
          <w:rFonts w:ascii="Times New Roman" w:hAnsi="Times New Roman" w:cs="Times New Roman"/>
          <w:color w:val="000000" w:themeColor="text1"/>
        </w:rPr>
        <w:t>7</w:t>
      </w:r>
      <w:r w:rsidR="002364B4">
        <w:rPr>
          <w:rFonts w:ascii="Times New Roman" w:hAnsi="Times New Roman" w:cs="Times New Roman"/>
          <w:color w:val="000000" w:themeColor="text1"/>
        </w:rPr>
        <w:t>6</w:t>
      </w:r>
      <w:r w:rsidR="002A7E5D">
        <w:rPr>
          <w:rFonts w:ascii="Times New Roman" w:hAnsi="Times New Roman" w:cs="Times New Roman"/>
          <w:color w:val="000000" w:themeColor="text1"/>
        </w:rPr>
        <w:t>%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2A7E5D">
        <w:rPr>
          <w:rFonts w:ascii="Times New Roman" w:hAnsi="Times New Roman" w:cs="Times New Roman"/>
          <w:color w:val="000000" w:themeColor="text1"/>
        </w:rPr>
        <w:t xml:space="preserve">des ménages </w:t>
      </w:r>
      <w:r w:rsidR="002A1C56" w:rsidRPr="00C706A5">
        <w:rPr>
          <w:rFonts w:ascii="Times New Roman" w:hAnsi="Times New Roman" w:cs="Times New Roman"/>
          <w:color w:val="000000" w:themeColor="text1"/>
        </w:rPr>
        <w:t>pensent qu</w:t>
      </w:r>
      <w:r w:rsidR="00B42576">
        <w:rPr>
          <w:rFonts w:ascii="Times New Roman" w:hAnsi="Times New Roman" w:cs="Times New Roman"/>
          <w:color w:val="000000" w:themeColor="text1"/>
        </w:rPr>
        <w:t xml:space="preserve">’ils 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continueront à augmenter dans le futur </w:t>
      </w:r>
      <w:r w:rsidR="00985AB3" w:rsidRPr="00C706A5">
        <w:rPr>
          <w:rFonts w:ascii="Times New Roman" w:hAnsi="Times New Roman" w:cs="Times New Roman"/>
          <w:color w:val="000000" w:themeColor="text1"/>
        </w:rPr>
        <w:t xml:space="preserve">contre </w:t>
      </w:r>
      <w:r w:rsidR="002364B4">
        <w:rPr>
          <w:rFonts w:ascii="Times New Roman" w:hAnsi="Times New Roman" w:cs="Times New Roman"/>
          <w:color w:val="000000" w:themeColor="text1"/>
        </w:rPr>
        <w:t>23,2</w:t>
      </w:r>
      <w:r w:rsidR="00985AB3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8D3987">
        <w:rPr>
          <w:rFonts w:ascii="Times New Roman" w:hAnsi="Times New Roman" w:cs="Times New Roman"/>
          <w:color w:val="000000" w:themeColor="text1"/>
        </w:rPr>
        <w:t xml:space="preserve">qui prévoient leur stagnation et </w:t>
      </w:r>
      <w:r w:rsidR="002364B4">
        <w:rPr>
          <w:rFonts w:ascii="Times New Roman" w:hAnsi="Times New Roman" w:cs="Times New Roman"/>
          <w:color w:val="000000" w:themeColor="text1"/>
        </w:rPr>
        <w:t>0,7</w:t>
      </w:r>
      <w:r w:rsidR="008D3987">
        <w:rPr>
          <w:rFonts w:ascii="Times New Roman" w:hAnsi="Times New Roman" w:cs="Times New Roman"/>
          <w:color w:val="000000" w:themeColor="text1"/>
        </w:rPr>
        <w:t xml:space="preserve">% </w:t>
      </w:r>
      <w:r w:rsidR="00B42576">
        <w:rPr>
          <w:rFonts w:ascii="Times New Roman" w:hAnsi="Times New Roman" w:cs="Times New Roman"/>
          <w:color w:val="000000" w:themeColor="text1"/>
        </w:rPr>
        <w:t>leur b</w:t>
      </w:r>
      <w:r w:rsidR="008D3987">
        <w:rPr>
          <w:rFonts w:ascii="Times New Roman" w:hAnsi="Times New Roman" w:cs="Times New Roman"/>
          <w:color w:val="000000" w:themeColor="text1"/>
        </w:rPr>
        <w:t xml:space="preserve">aisse. </w:t>
      </w:r>
      <w:r w:rsidR="00511BC9">
        <w:rPr>
          <w:rFonts w:ascii="Times New Roman" w:hAnsi="Times New Roman" w:cs="Times New Roman"/>
          <w:color w:val="000000" w:themeColor="text1"/>
        </w:rPr>
        <w:t>Avec -7</w:t>
      </w:r>
      <w:r w:rsidR="00995616">
        <w:rPr>
          <w:rFonts w:ascii="Times New Roman" w:hAnsi="Times New Roman" w:cs="Times New Roman"/>
          <w:color w:val="000000" w:themeColor="text1"/>
        </w:rPr>
        <w:t>5</w:t>
      </w:r>
      <w:r w:rsidR="00511BC9">
        <w:rPr>
          <w:rFonts w:ascii="Times New Roman" w:hAnsi="Times New Roman" w:cs="Times New Roman"/>
          <w:color w:val="000000" w:themeColor="text1"/>
        </w:rPr>
        <w:t>,</w:t>
      </w:r>
      <w:r w:rsidR="002364B4">
        <w:rPr>
          <w:rFonts w:ascii="Times New Roman" w:hAnsi="Times New Roman" w:cs="Times New Roman"/>
          <w:color w:val="000000" w:themeColor="text1"/>
        </w:rPr>
        <w:t>3</w:t>
      </w:r>
      <w:r w:rsidR="00511BC9">
        <w:rPr>
          <w:rFonts w:ascii="Times New Roman" w:hAnsi="Times New Roman" w:cs="Times New Roman"/>
          <w:color w:val="000000" w:themeColor="text1"/>
        </w:rPr>
        <w:t xml:space="preserve"> points, l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e solde </w:t>
      </w:r>
      <w:r w:rsidR="003A52E9" w:rsidRPr="00C706A5">
        <w:rPr>
          <w:rFonts w:ascii="Times New Roman" w:hAnsi="Times New Roman" w:cs="Times New Roman"/>
          <w:color w:val="000000" w:themeColor="text1"/>
        </w:rPr>
        <w:t xml:space="preserve"> relatif aux perspectives d’évolution </w:t>
      </w:r>
      <w:r w:rsidR="002A1C56" w:rsidRPr="00C706A5">
        <w:rPr>
          <w:rFonts w:ascii="Times New Roman" w:hAnsi="Times New Roman" w:cs="Times New Roman"/>
          <w:color w:val="000000" w:themeColor="text1"/>
        </w:rPr>
        <w:t>de</w:t>
      </w:r>
      <w:r w:rsidR="00511BC9">
        <w:rPr>
          <w:rFonts w:ascii="Times New Roman" w:hAnsi="Times New Roman" w:cs="Times New Roman"/>
          <w:color w:val="000000" w:themeColor="text1"/>
        </w:rPr>
        <w:t xml:space="preserve">s </w:t>
      </w:r>
      <w:r w:rsidR="002A1C56" w:rsidRPr="00C706A5">
        <w:rPr>
          <w:rFonts w:ascii="Times New Roman" w:hAnsi="Times New Roman" w:cs="Times New Roman"/>
          <w:color w:val="000000" w:themeColor="text1"/>
        </w:rPr>
        <w:t>prix</w:t>
      </w:r>
      <w:r w:rsidR="008D3987">
        <w:rPr>
          <w:rFonts w:ascii="Times New Roman" w:hAnsi="Times New Roman" w:cs="Times New Roman"/>
          <w:color w:val="000000" w:themeColor="text1"/>
        </w:rPr>
        <w:t xml:space="preserve"> </w:t>
      </w:r>
      <w:r w:rsidR="002364B4">
        <w:rPr>
          <w:rFonts w:ascii="Times New Roman" w:hAnsi="Times New Roman" w:cs="Times New Roman"/>
          <w:color w:val="000000" w:themeColor="text1"/>
        </w:rPr>
        <w:t>gagne 0,3</w:t>
      </w:r>
      <w:r w:rsidR="00D04545">
        <w:rPr>
          <w:rFonts w:ascii="Times New Roman" w:hAnsi="Times New Roman" w:cs="Times New Roman"/>
          <w:color w:val="000000" w:themeColor="text1"/>
        </w:rPr>
        <w:t xml:space="preserve"> point </w:t>
      </w:r>
      <w:r w:rsidR="00C95A6B">
        <w:rPr>
          <w:rFonts w:ascii="Times New Roman" w:hAnsi="Times New Roman" w:cs="Times New Roman"/>
          <w:color w:val="000000" w:themeColor="text1"/>
        </w:rPr>
        <w:t xml:space="preserve">par rapport au trimestre précédent </w:t>
      </w:r>
      <w:r w:rsidR="002364B4">
        <w:rPr>
          <w:rFonts w:ascii="Times New Roman" w:hAnsi="Times New Roman" w:cs="Times New Roman"/>
          <w:color w:val="000000" w:themeColor="text1"/>
        </w:rPr>
        <w:t>et 1,6</w:t>
      </w:r>
      <w:r w:rsidR="00D04545">
        <w:rPr>
          <w:rFonts w:ascii="Times New Roman" w:hAnsi="Times New Roman" w:cs="Times New Roman"/>
          <w:color w:val="000000" w:themeColor="text1"/>
        </w:rPr>
        <w:t xml:space="preserve"> point par rapport </w:t>
      </w:r>
      <w:r w:rsidR="00C95A6B">
        <w:rPr>
          <w:rFonts w:ascii="Times New Roman" w:hAnsi="Times New Roman" w:cs="Times New Roman"/>
          <w:color w:val="000000" w:themeColor="text1"/>
        </w:rPr>
        <w:t xml:space="preserve">au même trimestre de l’année </w:t>
      </w:r>
      <w:r w:rsidR="00387270">
        <w:rPr>
          <w:rFonts w:ascii="Times New Roman" w:hAnsi="Times New Roman" w:cs="Times New Roman"/>
          <w:color w:val="000000" w:themeColor="text1"/>
        </w:rPr>
        <w:t>passée</w:t>
      </w:r>
      <w:r w:rsidR="00D04545">
        <w:rPr>
          <w:rFonts w:ascii="Times New Roman" w:hAnsi="Times New Roman" w:cs="Times New Roman"/>
          <w:color w:val="000000" w:themeColor="text1"/>
        </w:rPr>
        <w:t>.</w:t>
      </w:r>
      <w:r w:rsidR="00995616">
        <w:rPr>
          <w:rFonts w:ascii="Times New Roman" w:hAnsi="Times New Roman" w:cs="Times New Roman"/>
          <w:color w:val="000000" w:themeColor="text1"/>
        </w:rPr>
        <w:t xml:space="preserve"> </w:t>
      </w:r>
      <w:r w:rsidR="00BC5D13" w:rsidRPr="00C706A5">
        <w:rPr>
          <w:rFonts w:ascii="Times New Roman" w:hAnsi="Times New Roman" w:cs="Times New Roman"/>
          <w:noProof/>
          <w:color w:val="000000" w:themeColor="text1"/>
        </w:rPr>
        <w:t xml:space="preserve">  </w:t>
      </w:r>
      <w:r w:rsidR="00C72318" w:rsidRPr="00C706A5">
        <w:rPr>
          <w:noProof/>
          <w:color w:val="000000" w:themeColor="text1"/>
        </w:rPr>
        <w:t xml:space="preserve"> </w:t>
      </w:r>
      <w:r w:rsidR="00C21ABF" w:rsidRPr="00C21ABF">
        <w:rPr>
          <w:noProof/>
        </w:rPr>
        <w:t xml:space="preserve"> </w:t>
      </w:r>
    </w:p>
    <w:p w:rsidR="006013E0" w:rsidRDefault="0069760B" w:rsidP="00DB0E7C">
      <w:pPr>
        <w:widowControl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B57ECB">
        <w:rPr>
          <w:rFonts w:ascii="Times New Roman" w:hAnsi="Times New Roman" w:cs="Times New Roman"/>
          <w:color w:val="000000" w:themeColor="text1"/>
        </w:rPr>
        <w:t xml:space="preserve">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B57ECB">
        <w:rPr>
          <w:rFonts w:ascii="Times New Roman" w:hAnsi="Times New Roman" w:cs="Times New Roman"/>
          <w:color w:val="000000" w:themeColor="text1"/>
        </w:rPr>
        <w:t xml:space="preserve">   </w:t>
      </w:r>
    </w:p>
    <w:p w:rsidR="006013E0" w:rsidRDefault="00081434" w:rsidP="00B57ECB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081434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5972810" cy="3390900"/>
            <wp:effectExtent l="19050" t="0" r="27940" b="0"/>
            <wp:docPr id="14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A1290" w:rsidRDefault="003A1290" w:rsidP="00B57ECB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C72318" w:rsidRPr="00C706A5" w:rsidRDefault="00C72318" w:rsidP="00B57ECB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Ci-joint  les détails des différents indicateurs et un rappel des principaux concepts.</w:t>
      </w:r>
    </w:p>
    <w:p w:rsidR="009D209A" w:rsidRDefault="009D209A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Pr="00C706A5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1F5970" w:rsidRPr="00C706A5" w:rsidSect="005B1014">
          <w:footerReference w:type="default" r:id="rId14"/>
          <w:pgSz w:w="11906" w:h="16838" w:code="9"/>
          <w:pgMar w:top="1134" w:right="720" w:bottom="720" w:left="1077" w:header="709" w:footer="709" w:gutter="0"/>
          <w:cols w:space="708"/>
          <w:docGrid w:linePitch="360"/>
        </w:sectPr>
      </w:pPr>
    </w:p>
    <w:p w:rsidR="00B623D5" w:rsidRPr="00C706A5" w:rsidRDefault="00B623D5" w:rsidP="00C35BF2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22ACC" w:rsidRPr="00A160AD" w:rsidRDefault="005D5B33" w:rsidP="002F5E45">
      <w:pPr>
        <w:spacing w:line="360" w:lineRule="auto"/>
        <w:ind w:left="-14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t>Evolution de l’I</w:t>
      </w:r>
      <w:r w:rsidR="00C35BF2"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ndice de </w:t>
      </w:r>
      <w:r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t>C</w:t>
      </w:r>
      <w:r w:rsidR="00C35BF2"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onfiance des </w:t>
      </w:r>
      <w:r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t>M</w:t>
      </w:r>
      <w:r w:rsidR="00C35BF2"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énages  (ICM) </w:t>
      </w:r>
      <w:r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t>et de ses composantes</w:t>
      </w:r>
    </w:p>
    <w:tbl>
      <w:tblPr>
        <w:tblW w:w="16223" w:type="dxa"/>
        <w:jc w:val="center"/>
        <w:tblInd w:w="31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113"/>
        <w:gridCol w:w="393"/>
        <w:gridCol w:w="10"/>
        <w:gridCol w:w="370"/>
        <w:gridCol w:w="14"/>
        <w:gridCol w:w="368"/>
        <w:gridCol w:w="17"/>
        <w:gridCol w:w="365"/>
        <w:gridCol w:w="21"/>
        <w:gridCol w:w="364"/>
        <w:gridCol w:w="21"/>
        <w:gridCol w:w="363"/>
        <w:gridCol w:w="22"/>
        <w:gridCol w:w="363"/>
        <w:gridCol w:w="22"/>
        <w:gridCol w:w="367"/>
        <w:gridCol w:w="19"/>
        <w:gridCol w:w="367"/>
        <w:gridCol w:w="19"/>
        <w:gridCol w:w="366"/>
        <w:gridCol w:w="20"/>
        <w:gridCol w:w="365"/>
        <w:gridCol w:w="21"/>
        <w:gridCol w:w="368"/>
        <w:gridCol w:w="19"/>
        <w:gridCol w:w="366"/>
        <w:gridCol w:w="20"/>
        <w:gridCol w:w="366"/>
        <w:gridCol w:w="20"/>
        <w:gridCol w:w="365"/>
        <w:gridCol w:w="21"/>
        <w:gridCol w:w="366"/>
        <w:gridCol w:w="21"/>
        <w:gridCol w:w="364"/>
        <w:gridCol w:w="22"/>
        <w:gridCol w:w="364"/>
        <w:gridCol w:w="22"/>
        <w:gridCol w:w="363"/>
        <w:gridCol w:w="23"/>
        <w:gridCol w:w="367"/>
        <w:gridCol w:w="24"/>
        <w:gridCol w:w="361"/>
        <w:gridCol w:w="25"/>
        <w:gridCol w:w="360"/>
        <w:gridCol w:w="26"/>
        <w:gridCol w:w="360"/>
        <w:gridCol w:w="26"/>
        <w:gridCol w:w="361"/>
        <w:gridCol w:w="28"/>
        <w:gridCol w:w="358"/>
        <w:gridCol w:w="28"/>
        <w:gridCol w:w="357"/>
        <w:gridCol w:w="29"/>
        <w:gridCol w:w="363"/>
        <w:gridCol w:w="23"/>
        <w:gridCol w:w="367"/>
        <w:gridCol w:w="20"/>
        <w:gridCol w:w="480"/>
        <w:gridCol w:w="425"/>
        <w:gridCol w:w="375"/>
      </w:tblGrid>
      <w:tr w:rsidR="006279EF" w:rsidRPr="0069760B" w:rsidTr="008709C2">
        <w:trPr>
          <w:trHeight w:val="675"/>
          <w:jc w:val="center"/>
        </w:trPr>
        <w:tc>
          <w:tcPr>
            <w:tcW w:w="4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DC" w:rsidRPr="0069760B" w:rsidRDefault="002B79DC" w:rsidP="002B79DC">
            <w:pPr>
              <w:widowControl/>
              <w:autoSpaceDE/>
              <w:autoSpaceDN/>
              <w:adjustRightInd/>
              <w:ind w:left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Indicateur</w:t>
            </w:r>
          </w:p>
        </w:tc>
        <w:tc>
          <w:tcPr>
            <w:tcW w:w="15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9DC" w:rsidRPr="0069760B" w:rsidRDefault="002B79DC" w:rsidP="0026212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2008</w:t>
            </w:r>
          </w:p>
        </w:tc>
        <w:tc>
          <w:tcPr>
            <w:tcW w:w="154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9DC" w:rsidRPr="0069760B" w:rsidRDefault="002B79DC" w:rsidP="0026212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2009</w:t>
            </w:r>
          </w:p>
        </w:tc>
        <w:tc>
          <w:tcPr>
            <w:tcW w:w="1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9DC" w:rsidRDefault="002B79DC" w:rsidP="0026212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2B79DC" w:rsidRPr="00262122" w:rsidRDefault="002B79DC" w:rsidP="0026212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2010</w:t>
            </w:r>
          </w:p>
          <w:p w:rsidR="002B79DC" w:rsidRDefault="002B79DC" w:rsidP="0026212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54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9DC" w:rsidRDefault="002B79DC" w:rsidP="0026212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2B79DC" w:rsidRDefault="002B79DC" w:rsidP="0026212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2B79DC" w:rsidRDefault="002B79DC" w:rsidP="0026212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2011</w:t>
            </w:r>
          </w:p>
          <w:p w:rsidR="002B79DC" w:rsidRDefault="002B79DC" w:rsidP="0026212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  <w:p w:rsidR="002B79DC" w:rsidRDefault="002B79DC" w:rsidP="0026212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5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9DC" w:rsidRDefault="002B79DC" w:rsidP="0026212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2012</w:t>
            </w:r>
          </w:p>
        </w:tc>
        <w:tc>
          <w:tcPr>
            <w:tcW w:w="154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9DC" w:rsidRDefault="002B79DC" w:rsidP="0026212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15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9DC" w:rsidRDefault="002B79DC" w:rsidP="0026212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1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9DC" w:rsidRDefault="002B79DC" w:rsidP="0026212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2015</w:t>
            </w:r>
          </w:p>
        </w:tc>
      </w:tr>
      <w:tr w:rsidR="00A160AD" w:rsidRPr="0069760B" w:rsidTr="008709C2">
        <w:trPr>
          <w:trHeight w:val="510"/>
          <w:jc w:val="center"/>
        </w:trPr>
        <w:tc>
          <w:tcPr>
            <w:tcW w:w="4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85A" w:rsidRPr="0069760B" w:rsidRDefault="0028485A" w:rsidP="002B79DC">
            <w:pPr>
              <w:widowControl/>
              <w:autoSpaceDE/>
              <w:autoSpaceDN/>
              <w:adjustRightInd/>
              <w:ind w:left="1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A160AD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T1/08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85A" w:rsidRPr="00A160AD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T2/08</w:t>
            </w:r>
          </w:p>
        </w:tc>
        <w:tc>
          <w:tcPr>
            <w:tcW w:w="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85A" w:rsidRPr="00A160AD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T3/08</w:t>
            </w:r>
          </w:p>
        </w:tc>
        <w:tc>
          <w:tcPr>
            <w:tcW w:w="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85A" w:rsidRPr="00A160AD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T4/08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85A" w:rsidRPr="00A160AD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T1/09</w:t>
            </w:r>
          </w:p>
        </w:tc>
        <w:tc>
          <w:tcPr>
            <w:tcW w:w="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85A" w:rsidRPr="00A160AD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T2/09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85A" w:rsidRPr="00A160AD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T3/09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85A" w:rsidRPr="00A160AD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T4/09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85A" w:rsidRPr="00A160AD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T1/10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85A" w:rsidRPr="00A160AD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T2/10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85A" w:rsidRPr="00A160AD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T3/10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85A" w:rsidRPr="00A160AD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T4/10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85A" w:rsidRPr="00A160AD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T1/11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85A" w:rsidRPr="00A160AD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T2/11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85A" w:rsidRPr="00A160AD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T3/11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85A" w:rsidRPr="00A160AD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T4/11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85A" w:rsidRPr="00A160AD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T1/12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85A" w:rsidRPr="00A160AD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T2/12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A160AD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T3/12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A160AD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T4/12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85A" w:rsidRPr="00A160AD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T1/13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85A" w:rsidRPr="00A160AD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T2/13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85A" w:rsidRPr="00A160AD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T3/13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85A" w:rsidRPr="00A160AD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T4/13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85A" w:rsidRPr="00A160AD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T1/14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A160AD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T2/14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A160AD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T3/14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A160AD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T4/14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A160AD" w:rsidRDefault="0028485A" w:rsidP="0026212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T1/15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A160AD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T2/15</w:t>
            </w: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A160AD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T3/15</w:t>
            </w:r>
          </w:p>
        </w:tc>
      </w:tr>
      <w:tr w:rsidR="00A160AD" w:rsidRPr="0069760B" w:rsidTr="008709C2">
        <w:trPr>
          <w:trHeight w:val="623"/>
          <w:jc w:val="center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69760B" w:rsidRDefault="0028485A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Indice de Confiance des Ménages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85,9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77,7</w:t>
            </w:r>
          </w:p>
        </w:tc>
        <w:tc>
          <w:tcPr>
            <w:tcW w:w="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75,6</w:t>
            </w:r>
          </w:p>
        </w:tc>
        <w:tc>
          <w:tcPr>
            <w:tcW w:w="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80,1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76,9</w:t>
            </w:r>
          </w:p>
        </w:tc>
        <w:tc>
          <w:tcPr>
            <w:tcW w:w="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77,6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79,1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79,5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80,1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78,8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78,6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74,7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78,4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85A" w:rsidRPr="002B79DC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85,8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86,5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84,5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82,9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80,7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77,6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78,4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85A" w:rsidRPr="002B79DC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75,8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85A" w:rsidRPr="002B79DC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74,3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85A" w:rsidRPr="002B79DC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75,4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85A" w:rsidRPr="002B79DC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74,2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85A" w:rsidRPr="002B79DC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74,1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2B79DC" w:rsidRDefault="0028485A" w:rsidP="002B79DC">
            <w:pPr>
              <w:ind w:left="-68"/>
              <w:jc w:val="center"/>
              <w:rPr>
                <w:rFonts w:ascii="Calibri" w:hAnsi="Calibri"/>
                <w:b/>
                <w:bCs/>
                <w:sz w:val="13"/>
                <w:szCs w:val="13"/>
              </w:rPr>
            </w:pPr>
            <w:r w:rsidRPr="002B79DC">
              <w:rPr>
                <w:rFonts w:ascii="Calibri" w:hAnsi="Calibri"/>
                <w:b/>
                <w:bCs/>
                <w:sz w:val="13"/>
                <w:szCs w:val="13"/>
              </w:rPr>
              <w:t>74,0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2B79DC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73,1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2B79DC" w:rsidRDefault="0028485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71,6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2B79DC" w:rsidRDefault="0028485A" w:rsidP="002B79DC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73,7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2B79DC" w:rsidRDefault="0028485A" w:rsidP="002B79DC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76,1</w:t>
            </w: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2B79DC" w:rsidRDefault="0028485A" w:rsidP="006279EF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76,3</w:t>
            </w:r>
          </w:p>
        </w:tc>
      </w:tr>
      <w:tr w:rsidR="00A160AD" w:rsidRPr="0069760B" w:rsidTr="008709C2">
        <w:trPr>
          <w:trHeight w:val="623"/>
          <w:jc w:val="center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69760B" w:rsidRDefault="0028485A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Perspectives d'évolution du nombre de chômeurs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-52,1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-56,6</w:t>
            </w:r>
          </w:p>
        </w:tc>
        <w:tc>
          <w:tcPr>
            <w:tcW w:w="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-51,6</w:t>
            </w:r>
          </w:p>
        </w:tc>
        <w:tc>
          <w:tcPr>
            <w:tcW w:w="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-51,1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-51</w:t>
            </w:r>
          </w:p>
        </w:tc>
        <w:tc>
          <w:tcPr>
            <w:tcW w:w="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-59,1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-57,9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-57,5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-59,2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-61,0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-56,1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-52,3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-52,4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-46,0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-41,0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-41,6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-44,1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-48,6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-56,7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-58,1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-61,7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-67,8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-69,8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-68,2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-69,1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2B79DC" w:rsidRDefault="0028485A" w:rsidP="0069760B">
            <w:pPr>
              <w:ind w:left="-68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B79DC">
              <w:rPr>
                <w:rFonts w:ascii="Arial" w:hAnsi="Arial" w:cs="Arial"/>
                <w:sz w:val="12"/>
                <w:szCs w:val="12"/>
              </w:rPr>
              <w:t>-66,5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-68,8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-68,0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2B79DC" w:rsidRDefault="0028485A" w:rsidP="00B33DD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-65,2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2B79DC" w:rsidRDefault="0028485A" w:rsidP="005D3E5E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-67,1</w:t>
            </w: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D93EB1" w:rsidRDefault="00B50AB7" w:rsidP="006279EF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-66,2</w:t>
            </w:r>
          </w:p>
        </w:tc>
      </w:tr>
      <w:tr w:rsidR="00B50AB7" w:rsidRPr="0069760B" w:rsidTr="008709C2">
        <w:trPr>
          <w:trHeight w:val="623"/>
          <w:jc w:val="center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69760B" w:rsidRDefault="00B50AB7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Evolution  passée du niveau de vie en général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-10,4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-25,2</w:t>
            </w:r>
          </w:p>
        </w:tc>
        <w:tc>
          <w:tcPr>
            <w:tcW w:w="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-31,1</w:t>
            </w:r>
          </w:p>
        </w:tc>
        <w:tc>
          <w:tcPr>
            <w:tcW w:w="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-29,4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-36,7</w:t>
            </w:r>
          </w:p>
        </w:tc>
        <w:tc>
          <w:tcPr>
            <w:tcW w:w="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-29,1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-25,7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-26,5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-25,7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-28,6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-27,9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-37,2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-26,1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-17,0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-13,4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-20,2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-26,2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-21,8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-27,9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-28,1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-29,2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-23,1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-21,2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-19,9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-18,1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2B79DC" w:rsidRDefault="00B50AB7" w:rsidP="0069760B">
            <w:pPr>
              <w:ind w:left="-68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B79DC">
              <w:rPr>
                <w:rFonts w:ascii="Arial" w:hAnsi="Arial" w:cs="Arial"/>
                <w:sz w:val="12"/>
                <w:szCs w:val="12"/>
              </w:rPr>
              <w:t>-17,7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-17,4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-16,5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2B79DC" w:rsidRDefault="00B50AB7" w:rsidP="00B33DD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-14,1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2B79DC" w:rsidRDefault="00B50AB7" w:rsidP="005D3E5E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-12,8</w:t>
            </w: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D93EB1" w:rsidRDefault="00B50AB7" w:rsidP="00B23E2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D93EB1">
              <w:rPr>
                <w:rFonts w:ascii="Arial" w:hAnsi="Arial" w:cs="Arial"/>
                <w:color w:val="000000" w:themeColor="text1"/>
                <w:sz w:val="12"/>
                <w:szCs w:val="12"/>
              </w:rPr>
              <w:t>-15,1</w:t>
            </w:r>
          </w:p>
        </w:tc>
      </w:tr>
      <w:tr w:rsidR="00B50AB7" w:rsidRPr="0069760B" w:rsidTr="008709C2">
        <w:trPr>
          <w:trHeight w:val="623"/>
          <w:jc w:val="center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69760B" w:rsidRDefault="00B50AB7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Perspectives d'évolution du niveau de vie en général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14,4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-11,5</w:t>
            </w:r>
          </w:p>
        </w:tc>
        <w:tc>
          <w:tcPr>
            <w:tcW w:w="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-21,4</w:t>
            </w:r>
          </w:p>
        </w:tc>
        <w:tc>
          <w:tcPr>
            <w:tcW w:w="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-3,5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-9,3</w:t>
            </w:r>
          </w:p>
        </w:tc>
        <w:tc>
          <w:tcPr>
            <w:tcW w:w="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-3,5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0,1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2,2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0,4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2,7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0,2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-11,4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-1,9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18,1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11,9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13,1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11,2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9,0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-3,2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-1,2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-5,1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-4,2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-3,1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-7,9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-11,4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2B79DC" w:rsidRDefault="00B50AB7" w:rsidP="0069760B">
            <w:pPr>
              <w:ind w:left="-68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B79DC">
              <w:rPr>
                <w:rFonts w:ascii="Arial" w:hAnsi="Arial" w:cs="Arial"/>
                <w:sz w:val="12"/>
                <w:szCs w:val="12"/>
              </w:rPr>
              <w:t>-13,1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-13,1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-12,7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2B79DC" w:rsidRDefault="00B50AB7" w:rsidP="00B33DD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-8,8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2B79DC" w:rsidRDefault="00B50AB7" w:rsidP="005D3E5E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-7,3</w:t>
            </w: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D93EB1" w:rsidRDefault="00B50AB7" w:rsidP="00B23E2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D93EB1">
              <w:rPr>
                <w:rFonts w:ascii="Arial" w:hAnsi="Arial" w:cs="Arial"/>
                <w:color w:val="000000" w:themeColor="text1"/>
                <w:sz w:val="12"/>
                <w:szCs w:val="12"/>
              </w:rPr>
              <w:t>-7,7</w:t>
            </w:r>
          </w:p>
        </w:tc>
      </w:tr>
      <w:tr w:rsidR="00B50AB7" w:rsidRPr="0069760B" w:rsidTr="008709C2">
        <w:trPr>
          <w:trHeight w:val="623"/>
          <w:jc w:val="center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69760B" w:rsidRDefault="00B50AB7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Opportunité d'achat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-30,0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-34,3</w:t>
            </w:r>
          </w:p>
        </w:tc>
        <w:tc>
          <w:tcPr>
            <w:tcW w:w="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-37,5</w:t>
            </w:r>
          </w:p>
        </w:tc>
        <w:tc>
          <w:tcPr>
            <w:tcW w:w="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-39,1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-41,8</w:t>
            </w:r>
          </w:p>
        </w:tc>
        <w:tc>
          <w:tcPr>
            <w:tcW w:w="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-46,5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-43,4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-42,6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-34,8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-37,5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-36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-44,3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-39,9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-39,0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-36,4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-38,5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-32,5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-37,4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-29,5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-29,3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-28,3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-31,7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-29,5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-31,8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-31,3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2B79DC" w:rsidRDefault="00B50AB7" w:rsidP="0069760B">
            <w:pPr>
              <w:ind w:left="-68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B79DC">
              <w:rPr>
                <w:rFonts w:ascii="Arial" w:hAnsi="Arial" w:cs="Arial"/>
                <w:sz w:val="12"/>
                <w:szCs w:val="12"/>
              </w:rPr>
              <w:t>-28,9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-33,1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-38,1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2B79DC" w:rsidRDefault="00B50AB7" w:rsidP="00B33DD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-37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2B79DC" w:rsidRDefault="00B50AB7" w:rsidP="00633518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-36,0</w:t>
            </w: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D93EB1" w:rsidRDefault="00B50AB7" w:rsidP="00B23E2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D93EB1">
              <w:rPr>
                <w:rFonts w:ascii="Arial" w:hAnsi="Arial" w:cs="Arial"/>
                <w:color w:val="000000" w:themeColor="text1"/>
                <w:sz w:val="12"/>
                <w:szCs w:val="12"/>
              </w:rPr>
              <w:t>-34,2</w:t>
            </w:r>
          </w:p>
        </w:tc>
      </w:tr>
      <w:tr w:rsidR="00B50AB7" w:rsidRPr="0069760B" w:rsidTr="008709C2">
        <w:trPr>
          <w:trHeight w:val="623"/>
          <w:jc w:val="center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69760B" w:rsidRDefault="00B50AB7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Situation financière actuelle des ménages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-33,0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-32,9</w:t>
            </w:r>
          </w:p>
        </w:tc>
        <w:tc>
          <w:tcPr>
            <w:tcW w:w="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-34,4</w:t>
            </w:r>
          </w:p>
        </w:tc>
        <w:tc>
          <w:tcPr>
            <w:tcW w:w="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-33,1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-31,3</w:t>
            </w:r>
          </w:p>
        </w:tc>
        <w:tc>
          <w:tcPr>
            <w:tcW w:w="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-26,9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-28,3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-25,3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-27,5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-27,6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-30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-28,1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-30,6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-27,1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-24,3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-25,7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-25,4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-30,8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-29,4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-29,8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-30,2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-29,5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-29,5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-31,3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2B79DC" w:rsidRDefault="00B50AB7" w:rsidP="0069760B">
            <w:pPr>
              <w:ind w:left="-68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B79DC">
              <w:rPr>
                <w:rFonts w:ascii="Arial" w:hAnsi="Arial" w:cs="Arial"/>
                <w:sz w:val="12"/>
                <w:szCs w:val="12"/>
              </w:rPr>
              <w:t>-29,7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-28,3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-30,6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2B79DC" w:rsidRDefault="00B50AB7" w:rsidP="00B33DD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-32,4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2B79DC" w:rsidRDefault="00B50AB7" w:rsidP="005D3E5E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-28,0</w:t>
            </w: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D93EB1" w:rsidRDefault="00B50AB7" w:rsidP="00B23E2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D93EB1">
              <w:rPr>
                <w:rFonts w:ascii="Arial" w:hAnsi="Arial" w:cs="Arial"/>
                <w:color w:val="000000" w:themeColor="text1"/>
                <w:sz w:val="12"/>
                <w:szCs w:val="12"/>
              </w:rPr>
              <w:t>-25,1</w:t>
            </w:r>
          </w:p>
        </w:tc>
      </w:tr>
      <w:tr w:rsidR="00B50AB7" w:rsidRPr="0069760B" w:rsidTr="008709C2">
        <w:trPr>
          <w:trHeight w:val="623"/>
          <w:jc w:val="center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69760B" w:rsidRDefault="00B50AB7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Evolution  passée  de la situation financière des ménages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-11,8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-11,4</w:t>
            </w:r>
          </w:p>
        </w:tc>
        <w:tc>
          <w:tcPr>
            <w:tcW w:w="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-11,7</w:t>
            </w:r>
          </w:p>
        </w:tc>
        <w:tc>
          <w:tcPr>
            <w:tcW w:w="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-9,5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-18,4</w:t>
            </w:r>
          </w:p>
        </w:tc>
        <w:tc>
          <w:tcPr>
            <w:tcW w:w="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-13,4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-8,3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-11,0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-10,0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-7,9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-7,5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-12,8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-10,5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-8,9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-6,4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-9,8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-14,1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-16,6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-16,7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-15,7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-19,6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-23,8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-21,9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-21,9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-21,3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2B79DC" w:rsidRDefault="00B50AB7" w:rsidP="0069760B">
            <w:pPr>
              <w:ind w:left="-68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B79DC">
              <w:rPr>
                <w:rFonts w:ascii="Arial" w:hAnsi="Arial" w:cs="Arial"/>
                <w:sz w:val="12"/>
                <w:szCs w:val="12"/>
              </w:rPr>
              <w:t>-23,3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-25 ,8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-29,2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2B79DC" w:rsidRDefault="00B50AB7" w:rsidP="00B33DD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-27,0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2B79DC" w:rsidRDefault="00B50AB7" w:rsidP="005D3E5E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-20.2</w:t>
            </w: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D93EB1" w:rsidRDefault="00B50AB7" w:rsidP="00B23E2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D93EB1">
              <w:rPr>
                <w:rFonts w:ascii="Arial" w:hAnsi="Arial" w:cs="Arial"/>
                <w:color w:val="000000" w:themeColor="text1"/>
                <w:sz w:val="12"/>
                <w:szCs w:val="12"/>
              </w:rPr>
              <w:t>-20,8</w:t>
            </w:r>
          </w:p>
        </w:tc>
      </w:tr>
      <w:tr w:rsidR="00B50AB7" w:rsidRPr="0069760B" w:rsidTr="008709C2">
        <w:trPr>
          <w:trHeight w:val="623"/>
          <w:jc w:val="center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69760B" w:rsidRDefault="00B50AB7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Evolution  future de la situation financière des ménages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23,9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15,6</w:t>
            </w:r>
          </w:p>
        </w:tc>
        <w:tc>
          <w:tcPr>
            <w:tcW w:w="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16,6</w:t>
            </w:r>
          </w:p>
        </w:tc>
        <w:tc>
          <w:tcPr>
            <w:tcW w:w="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26,7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26,8</w:t>
            </w:r>
          </w:p>
        </w:tc>
        <w:tc>
          <w:tcPr>
            <w:tcW w:w="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22,0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17,5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17,1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17,8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11,8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7,8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9,4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10,2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20,4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15,1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14,0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11,2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11,1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7,7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10,6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4,5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0,7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2,8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-1,7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1,2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2B79DC" w:rsidRDefault="00B50AB7" w:rsidP="0069760B">
            <w:pPr>
              <w:ind w:left="-68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B79DC">
              <w:rPr>
                <w:rFonts w:ascii="Arial" w:hAnsi="Arial" w:cs="Arial"/>
                <w:sz w:val="12"/>
                <w:szCs w:val="12"/>
              </w:rPr>
              <w:t>-2,7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-1,5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2B79DC" w:rsidRDefault="00B50AB7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-3,9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2B79DC" w:rsidRDefault="00B50AB7" w:rsidP="00B33DD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0,1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2B79DC" w:rsidRDefault="00B50AB7" w:rsidP="005D3E5E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4,2</w:t>
            </w: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B7" w:rsidRPr="00D93EB1" w:rsidRDefault="00B50AB7" w:rsidP="00B23E2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D93EB1">
              <w:rPr>
                <w:rFonts w:ascii="Arial" w:hAnsi="Arial" w:cs="Arial"/>
                <w:color w:val="000000" w:themeColor="text1"/>
                <w:sz w:val="12"/>
                <w:szCs w:val="12"/>
              </w:rPr>
              <w:t>3,3</w:t>
            </w:r>
          </w:p>
        </w:tc>
      </w:tr>
      <w:tr w:rsidR="002B79DC" w:rsidRPr="0069760B" w:rsidTr="008709C2">
        <w:trPr>
          <w:trHeight w:val="426"/>
          <w:jc w:val="center"/>
        </w:trPr>
        <w:tc>
          <w:tcPr>
            <w:tcW w:w="16223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DC" w:rsidRDefault="002B79DC" w:rsidP="002B79DC">
            <w:pPr>
              <w:widowControl/>
              <w:autoSpaceDE/>
              <w:autoSpaceDN/>
              <w:adjustRightInd/>
              <w:spacing w:line="276" w:lineRule="auto"/>
              <w:ind w:left="156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:rsidR="002B79DC" w:rsidRPr="0028485A" w:rsidRDefault="002B79DC" w:rsidP="0028485A">
            <w:pPr>
              <w:widowControl/>
              <w:autoSpaceDE/>
              <w:autoSpaceDN/>
              <w:adjustRightInd/>
              <w:spacing w:line="276" w:lineRule="auto"/>
              <w:ind w:left="-68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617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Autres soldes</w:t>
            </w:r>
          </w:p>
        </w:tc>
      </w:tr>
      <w:tr w:rsidR="006279EF" w:rsidRPr="0069760B" w:rsidTr="008709C2">
        <w:trPr>
          <w:trHeight w:val="454"/>
          <w:jc w:val="center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69760B" w:rsidRDefault="0028485A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Evolution future des prix des produits alimentaires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-74,1</w:t>
            </w:r>
          </w:p>
        </w:tc>
        <w:tc>
          <w:tcPr>
            <w:tcW w:w="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-77,7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-78,9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-49,7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-34,9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-33,5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-50,9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-47,9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-46,5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-56,8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-62,2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-70,2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-73,4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-58,8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-72,6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-73,0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-69,8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-71,5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-73,6</w:t>
            </w:r>
          </w:p>
        </w:tc>
        <w:tc>
          <w:tcPr>
            <w:tcW w:w="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-70,0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-76,1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-73,4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-76,0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-76,0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-77,6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B79DC">
              <w:rPr>
                <w:rFonts w:ascii="Arial" w:hAnsi="Arial" w:cs="Arial"/>
                <w:sz w:val="12"/>
                <w:szCs w:val="12"/>
              </w:rPr>
              <w:t>-78,0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-76,9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-77,2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2B79DC" w:rsidRDefault="0028485A" w:rsidP="00B33DD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-77,2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2B79DC" w:rsidRDefault="0028485A" w:rsidP="005D3E5E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-75.6</w:t>
            </w: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2B79DC" w:rsidRDefault="0028485A" w:rsidP="0028485A">
            <w:pPr>
              <w:ind w:left="-68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-75,3</w:t>
            </w:r>
          </w:p>
        </w:tc>
      </w:tr>
      <w:tr w:rsidR="006279EF" w:rsidRPr="0069760B" w:rsidTr="008709C2">
        <w:trPr>
          <w:trHeight w:val="454"/>
          <w:jc w:val="center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69760B" w:rsidRDefault="0028485A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Evolution  passée des prix des produits alimentaires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-93,6</w:t>
            </w:r>
          </w:p>
        </w:tc>
        <w:tc>
          <w:tcPr>
            <w:tcW w:w="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-95,9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-98,0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-96,2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-94,0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-87,2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-85,7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-83,3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-79,5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-87,8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-89,7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-90,9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-95,5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-87,2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-89,9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-92,5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-91,6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-91,1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-91,7</w:t>
            </w:r>
          </w:p>
        </w:tc>
        <w:tc>
          <w:tcPr>
            <w:tcW w:w="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-90,6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-91,6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-89,0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-90,5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-90,8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-89,4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2B79DC" w:rsidRDefault="0028485A" w:rsidP="0069760B">
            <w:pPr>
              <w:ind w:left="-68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B79DC">
              <w:rPr>
                <w:rFonts w:ascii="Arial" w:hAnsi="Arial" w:cs="Arial"/>
                <w:sz w:val="12"/>
                <w:szCs w:val="12"/>
              </w:rPr>
              <w:t>-84,1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-81,8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-84,5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2B79DC" w:rsidRDefault="0028485A" w:rsidP="00B33DD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-87,2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2B79DC" w:rsidRDefault="0028485A" w:rsidP="005D3E5E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-85,3</w:t>
            </w: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2B79DC" w:rsidRDefault="0028485A" w:rsidP="0028485A">
            <w:pPr>
              <w:ind w:left="-68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-84,3</w:t>
            </w:r>
          </w:p>
        </w:tc>
      </w:tr>
      <w:tr w:rsidR="006279EF" w:rsidRPr="0069760B" w:rsidTr="008709C2">
        <w:trPr>
          <w:trHeight w:val="454"/>
          <w:jc w:val="center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85A" w:rsidRPr="0069760B" w:rsidRDefault="0028485A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Capacité à épargner des ménages dans les mois à venir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-61,2</w:t>
            </w:r>
          </w:p>
        </w:tc>
        <w:tc>
          <w:tcPr>
            <w:tcW w:w="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-61,3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-60,7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-56,7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-56,8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-57,1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-57,8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-58,5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-56,6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-61,1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-67,6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-66,6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-61,7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-63,3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-64,9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-64,7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-62,5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-63,5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-65,3</w:t>
            </w:r>
          </w:p>
        </w:tc>
        <w:tc>
          <w:tcPr>
            <w:tcW w:w="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-64,5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-67,0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-70,3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-69,1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-66,7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-66,6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2B79DC" w:rsidRDefault="0028485A" w:rsidP="0069760B">
            <w:pPr>
              <w:ind w:left="-68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B79DC">
              <w:rPr>
                <w:rFonts w:ascii="Arial" w:hAnsi="Arial" w:cs="Arial"/>
                <w:sz w:val="12"/>
                <w:szCs w:val="12"/>
              </w:rPr>
              <w:t>-70,2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-74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2B79DC" w:rsidRDefault="0028485A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-71,1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2B79DC" w:rsidRDefault="0028485A" w:rsidP="00B33DD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-69,8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2B79DC" w:rsidRDefault="0028485A" w:rsidP="003C205E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-67,4</w:t>
            </w: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85A" w:rsidRPr="002B79DC" w:rsidRDefault="0028485A" w:rsidP="00CE2B11">
            <w:pPr>
              <w:ind w:left="-68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-70,</w:t>
            </w:r>
            <w:r w:rsidR="00CE2B11"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</w:p>
        </w:tc>
      </w:tr>
    </w:tbl>
    <w:p w:rsidR="005D5B33" w:rsidRPr="00C706A5" w:rsidRDefault="005D5B33" w:rsidP="00F04758">
      <w:pPr>
        <w:rPr>
          <w:rFonts w:ascii="Calibri" w:hAnsi="Calibri" w:cs="Times New Roman"/>
          <w:color w:val="000000" w:themeColor="text1"/>
          <w:szCs w:val="22"/>
        </w:rPr>
        <w:sectPr w:rsidR="005D5B33" w:rsidRPr="00C706A5" w:rsidSect="005D5B33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:rsidR="00B10786" w:rsidRPr="00C706A5" w:rsidRDefault="00B10786" w:rsidP="00DB06E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pPr w:leftFromText="141" w:rightFromText="141" w:vertAnchor="text" w:horzAnchor="margin" w:tblpY="289"/>
        <w:tblW w:w="10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91"/>
      </w:tblGrid>
      <w:tr w:rsidR="008D7771" w:rsidRPr="00C706A5" w:rsidTr="001133D2">
        <w:trPr>
          <w:trHeight w:val="6511"/>
        </w:trPr>
        <w:tc>
          <w:tcPr>
            <w:tcW w:w="10791" w:type="dxa"/>
          </w:tcPr>
          <w:p w:rsidR="001133D2" w:rsidRDefault="001133D2" w:rsidP="008D777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7771" w:rsidRPr="00C706A5" w:rsidRDefault="008D7771" w:rsidP="008D7771">
            <w:pPr>
              <w:spacing w:line="276" w:lineRule="auto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Times New Roman" w:hAnsi="Times New Roman" w:cs="Times New Roman"/>
                <w:color w:val="000000" w:themeColor="text1"/>
              </w:rPr>
              <w:br w:type="page"/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Rappelons que :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les questions abordées sont qualitatives à 3 modalités (amélioration, stagnation, détérioration). Les  évolutions se réfèrent à une période de 12 mois. Les résultats sont présentés sous forme  de soldes (différence entre les pourcentages des réponses « amélioration » et  des réponses «détérioration»). Le niveau des soldes n’est pas directement interprétable, c’est leur évolution qui est analysée. 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L’Indice de Confiance des Ménages (ICM) est calculé sur la base de sept indicateurs, quatre relatifs à la situation générale et trois à la situation propre du ménage :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du niveau de vie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niveau de vie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nombre de chômeurs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opportunité d'achat de biens durables;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situation financière actuelle des ménages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de la situation financière des ménages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future de la situation financière des ménages.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L’ICM est la  moyenne arithmétique simple des  soldes des 7 indicateurs, augmentée de 100, sa valeur varie ainsi de 0 à 200.</w:t>
            </w:r>
          </w:p>
          <w:p w:rsidR="002C768B" w:rsidRPr="0074699A" w:rsidRDefault="002C768B" w:rsidP="0074699A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DA386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Des tests statistiques de Fisher</w:t>
            </w:r>
            <w:r w:rsidR="0074699A" w:rsidRPr="00DA386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sur l</w:t>
            </w:r>
            <w:r w:rsidR="0074699A"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a série de l’indice de confiance des ménages</w:t>
            </w:r>
            <w:r w:rsid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durant </w:t>
            </w:r>
            <w:r w:rsidR="0074699A"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la période allant de 2008 à 2014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DA3867"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ont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confirmé l’absence des variations saisonnières stables et mobiles</w:t>
            </w:r>
            <w:r w:rsid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.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D7771" w:rsidRPr="00C706A5" w:rsidRDefault="008D7771" w:rsidP="008D7771">
            <w:pPr>
              <w:spacing w:line="276" w:lineRule="auto"/>
              <w:jc w:val="both"/>
              <w:rPr>
                <w:rFonts w:ascii="Book Antiqua" w:hAnsi="Book Antiqua" w:cs="Times New Roman"/>
                <w:b/>
                <w:bCs/>
                <w:color w:val="000000" w:themeColor="text1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Pour plus d’informations sur les aspects méthodologiques de cette enquête, consulter le site web du HCP au  </w:t>
            </w:r>
            <w:hyperlink r:id="rId15" w:history="1">
              <w:r w:rsidRPr="00C706A5">
                <w:rPr>
                  <w:rStyle w:val="Lienhypertexte"/>
                  <w:rFonts w:ascii="Book Antiqua" w:hAnsi="Book Antiqua" w:cs="Times New Roman"/>
                  <w:color w:val="000000" w:themeColor="text1"/>
                  <w:sz w:val="20"/>
                  <w:szCs w:val="20"/>
                </w:rPr>
                <w:t>www.hcp.ma</w:t>
              </w:r>
            </w:hyperlink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B10786" w:rsidRPr="00C706A5" w:rsidRDefault="00B10786" w:rsidP="00DB06E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68173C" w:rsidRPr="00C706A5" w:rsidRDefault="0068173C" w:rsidP="00DB06E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68173C" w:rsidRPr="00C706A5" w:rsidRDefault="0068173C" w:rsidP="00DB06E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68173C" w:rsidRPr="00C706A5" w:rsidSect="00B879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2427" w:rsidRDefault="00692427" w:rsidP="00460705">
      <w:r>
        <w:separator/>
      </w:r>
    </w:p>
  </w:endnote>
  <w:endnote w:type="continuationSeparator" w:id="0">
    <w:p w:rsidR="00692427" w:rsidRDefault="00692427" w:rsidP="00460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2132658"/>
      <w:docPartObj>
        <w:docPartGallery w:val="Page Numbers (Bottom of Page)"/>
        <w:docPartUnique/>
      </w:docPartObj>
    </w:sdtPr>
    <w:sdtContent>
      <w:p w:rsidR="00104CAC" w:rsidRDefault="00EC5FD1">
        <w:pPr>
          <w:pStyle w:val="Pieddepage"/>
          <w:jc w:val="center"/>
        </w:pPr>
        <w:fldSimple w:instr=" PAGE   \* MERGEFORMAT ">
          <w:r w:rsidR="00692427">
            <w:rPr>
              <w:noProof/>
            </w:rPr>
            <w:t>1</w:t>
          </w:r>
        </w:fldSimple>
      </w:p>
    </w:sdtContent>
  </w:sdt>
  <w:p w:rsidR="00104CAC" w:rsidRDefault="00104CA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2427" w:rsidRDefault="00692427" w:rsidP="00460705">
      <w:r>
        <w:separator/>
      </w:r>
    </w:p>
  </w:footnote>
  <w:footnote w:type="continuationSeparator" w:id="0">
    <w:p w:rsidR="00692427" w:rsidRDefault="00692427" w:rsidP="00460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A8E"/>
    <w:multiLevelType w:val="hybridMultilevel"/>
    <w:tmpl w:val="DEAAA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02827"/>
    <w:multiLevelType w:val="hybridMultilevel"/>
    <w:tmpl w:val="651C7EFE"/>
    <w:lvl w:ilvl="0" w:tplc="B100CA10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0A122E6"/>
    <w:multiLevelType w:val="hybridMultilevel"/>
    <w:tmpl w:val="826865B6"/>
    <w:lvl w:ilvl="0" w:tplc="0616EC8E">
      <w:numFmt w:val="bullet"/>
      <w:lvlText w:val="-"/>
      <w:lvlJc w:val="left"/>
      <w:pPr>
        <w:ind w:left="108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CC54CD3"/>
    <w:multiLevelType w:val="hybridMultilevel"/>
    <w:tmpl w:val="0EF07944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9C3212"/>
    <w:multiLevelType w:val="hybridMultilevel"/>
    <w:tmpl w:val="3CEA41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245C66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28527B"/>
    <w:multiLevelType w:val="multilevel"/>
    <w:tmpl w:val="6150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3E6100A"/>
    <w:multiLevelType w:val="hybridMultilevel"/>
    <w:tmpl w:val="F000AF92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>
    <w:nsid w:val="498D60E8"/>
    <w:multiLevelType w:val="hybridMultilevel"/>
    <w:tmpl w:val="E83A8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355FAE"/>
    <w:multiLevelType w:val="hybridMultilevel"/>
    <w:tmpl w:val="5A8C44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2DB559E"/>
    <w:multiLevelType w:val="hybridMultilevel"/>
    <w:tmpl w:val="C6182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657841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2F3FE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BD7D01"/>
    <w:multiLevelType w:val="hybridMultilevel"/>
    <w:tmpl w:val="0E2043F8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9"/>
  </w:num>
  <w:num w:numId="5">
    <w:abstractNumId w:val="6"/>
  </w:num>
  <w:num w:numId="6">
    <w:abstractNumId w:val="8"/>
  </w:num>
  <w:num w:numId="7">
    <w:abstractNumId w:val="0"/>
  </w:num>
  <w:num w:numId="8">
    <w:abstractNumId w:val="4"/>
  </w:num>
  <w:num w:numId="9">
    <w:abstractNumId w:val="11"/>
  </w:num>
  <w:num w:numId="10">
    <w:abstractNumId w:val="3"/>
  </w:num>
  <w:num w:numId="11">
    <w:abstractNumId w:val="13"/>
  </w:num>
  <w:num w:numId="12">
    <w:abstractNumId w:val="1"/>
  </w:num>
  <w:num w:numId="13">
    <w:abstractNumId w:val="1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12704"/>
    <w:rsid w:val="000016A1"/>
    <w:rsid w:val="000023E0"/>
    <w:rsid w:val="00002F9B"/>
    <w:rsid w:val="00003F54"/>
    <w:rsid w:val="000060F8"/>
    <w:rsid w:val="000069AE"/>
    <w:rsid w:val="00011A0E"/>
    <w:rsid w:val="00011BC4"/>
    <w:rsid w:val="00011F4E"/>
    <w:rsid w:val="00014940"/>
    <w:rsid w:val="00015112"/>
    <w:rsid w:val="000151DD"/>
    <w:rsid w:val="00016F90"/>
    <w:rsid w:val="000174FE"/>
    <w:rsid w:val="00017526"/>
    <w:rsid w:val="0001754D"/>
    <w:rsid w:val="00022644"/>
    <w:rsid w:val="00023DE5"/>
    <w:rsid w:val="00024686"/>
    <w:rsid w:val="0002532B"/>
    <w:rsid w:val="00025F15"/>
    <w:rsid w:val="000265CF"/>
    <w:rsid w:val="000315FD"/>
    <w:rsid w:val="00031CFB"/>
    <w:rsid w:val="000324B4"/>
    <w:rsid w:val="00032AF9"/>
    <w:rsid w:val="00032ECD"/>
    <w:rsid w:val="000356C1"/>
    <w:rsid w:val="000364EF"/>
    <w:rsid w:val="00036F7C"/>
    <w:rsid w:val="0003703D"/>
    <w:rsid w:val="000370B6"/>
    <w:rsid w:val="0004211E"/>
    <w:rsid w:val="00043430"/>
    <w:rsid w:val="0004437F"/>
    <w:rsid w:val="000451AC"/>
    <w:rsid w:val="00046C56"/>
    <w:rsid w:val="00046EB3"/>
    <w:rsid w:val="00047B2B"/>
    <w:rsid w:val="00051534"/>
    <w:rsid w:val="000518A6"/>
    <w:rsid w:val="00051B80"/>
    <w:rsid w:val="00052C8E"/>
    <w:rsid w:val="00055B18"/>
    <w:rsid w:val="0005628D"/>
    <w:rsid w:val="000569E9"/>
    <w:rsid w:val="00056F4A"/>
    <w:rsid w:val="00057262"/>
    <w:rsid w:val="00057BC7"/>
    <w:rsid w:val="00057E1A"/>
    <w:rsid w:val="00061CA4"/>
    <w:rsid w:val="00062779"/>
    <w:rsid w:val="00064021"/>
    <w:rsid w:val="000646B0"/>
    <w:rsid w:val="00066E22"/>
    <w:rsid w:val="00067347"/>
    <w:rsid w:val="00067D35"/>
    <w:rsid w:val="000706EE"/>
    <w:rsid w:val="000712A9"/>
    <w:rsid w:val="000720FD"/>
    <w:rsid w:val="00072708"/>
    <w:rsid w:val="00072CF2"/>
    <w:rsid w:val="00072F7C"/>
    <w:rsid w:val="00073079"/>
    <w:rsid w:val="000749D1"/>
    <w:rsid w:val="000779C2"/>
    <w:rsid w:val="00077CAA"/>
    <w:rsid w:val="00081434"/>
    <w:rsid w:val="0008224D"/>
    <w:rsid w:val="00082D2E"/>
    <w:rsid w:val="000836A6"/>
    <w:rsid w:val="0008574A"/>
    <w:rsid w:val="000877E9"/>
    <w:rsid w:val="00087DA2"/>
    <w:rsid w:val="00090FCF"/>
    <w:rsid w:val="00090FEC"/>
    <w:rsid w:val="00091D64"/>
    <w:rsid w:val="00091FB9"/>
    <w:rsid w:val="00093D84"/>
    <w:rsid w:val="00097300"/>
    <w:rsid w:val="00097799"/>
    <w:rsid w:val="0009797C"/>
    <w:rsid w:val="00097D75"/>
    <w:rsid w:val="000A0177"/>
    <w:rsid w:val="000A0881"/>
    <w:rsid w:val="000A14AD"/>
    <w:rsid w:val="000A158A"/>
    <w:rsid w:val="000A20DC"/>
    <w:rsid w:val="000A40C3"/>
    <w:rsid w:val="000A5F4A"/>
    <w:rsid w:val="000A62F9"/>
    <w:rsid w:val="000B0844"/>
    <w:rsid w:val="000B09BA"/>
    <w:rsid w:val="000B1487"/>
    <w:rsid w:val="000B16D1"/>
    <w:rsid w:val="000B552C"/>
    <w:rsid w:val="000C0C01"/>
    <w:rsid w:val="000C39F9"/>
    <w:rsid w:val="000C439F"/>
    <w:rsid w:val="000C4C0E"/>
    <w:rsid w:val="000C511D"/>
    <w:rsid w:val="000C56EA"/>
    <w:rsid w:val="000C7F17"/>
    <w:rsid w:val="000D1CF5"/>
    <w:rsid w:val="000D24FA"/>
    <w:rsid w:val="000D2586"/>
    <w:rsid w:val="000D2E52"/>
    <w:rsid w:val="000D341B"/>
    <w:rsid w:val="000D367A"/>
    <w:rsid w:val="000D4077"/>
    <w:rsid w:val="000D54E1"/>
    <w:rsid w:val="000D5638"/>
    <w:rsid w:val="000D5AB2"/>
    <w:rsid w:val="000D5B0A"/>
    <w:rsid w:val="000E10E0"/>
    <w:rsid w:val="000E17D9"/>
    <w:rsid w:val="000E20BC"/>
    <w:rsid w:val="000E21A1"/>
    <w:rsid w:val="000E4DC7"/>
    <w:rsid w:val="000F0919"/>
    <w:rsid w:val="000F0DB1"/>
    <w:rsid w:val="000F184A"/>
    <w:rsid w:val="000F2945"/>
    <w:rsid w:val="000F2B60"/>
    <w:rsid w:val="000F6CE8"/>
    <w:rsid w:val="000F70E8"/>
    <w:rsid w:val="000F74C5"/>
    <w:rsid w:val="000F7A57"/>
    <w:rsid w:val="000F7C4F"/>
    <w:rsid w:val="00100026"/>
    <w:rsid w:val="00101249"/>
    <w:rsid w:val="00102B5C"/>
    <w:rsid w:val="001037B3"/>
    <w:rsid w:val="00104438"/>
    <w:rsid w:val="00104463"/>
    <w:rsid w:val="00104CAC"/>
    <w:rsid w:val="001052BE"/>
    <w:rsid w:val="00105320"/>
    <w:rsid w:val="00106E19"/>
    <w:rsid w:val="00106EC0"/>
    <w:rsid w:val="00106FA4"/>
    <w:rsid w:val="00107534"/>
    <w:rsid w:val="00107E17"/>
    <w:rsid w:val="00107F1E"/>
    <w:rsid w:val="001103D0"/>
    <w:rsid w:val="00110B90"/>
    <w:rsid w:val="00110BE5"/>
    <w:rsid w:val="00111470"/>
    <w:rsid w:val="001116C8"/>
    <w:rsid w:val="00113273"/>
    <w:rsid w:val="001133D2"/>
    <w:rsid w:val="00113767"/>
    <w:rsid w:val="0011495F"/>
    <w:rsid w:val="00115D48"/>
    <w:rsid w:val="001161C4"/>
    <w:rsid w:val="00116945"/>
    <w:rsid w:val="0011726A"/>
    <w:rsid w:val="00117A2F"/>
    <w:rsid w:val="00117F82"/>
    <w:rsid w:val="00121180"/>
    <w:rsid w:val="00121CCC"/>
    <w:rsid w:val="00122941"/>
    <w:rsid w:val="00123E79"/>
    <w:rsid w:val="00124827"/>
    <w:rsid w:val="00125161"/>
    <w:rsid w:val="001254E5"/>
    <w:rsid w:val="00125543"/>
    <w:rsid w:val="00126B26"/>
    <w:rsid w:val="00126E55"/>
    <w:rsid w:val="00127D67"/>
    <w:rsid w:val="00131E2D"/>
    <w:rsid w:val="00133286"/>
    <w:rsid w:val="0013347C"/>
    <w:rsid w:val="00133687"/>
    <w:rsid w:val="00133860"/>
    <w:rsid w:val="001347D2"/>
    <w:rsid w:val="00135D83"/>
    <w:rsid w:val="00137D7D"/>
    <w:rsid w:val="001404A9"/>
    <w:rsid w:val="001414F3"/>
    <w:rsid w:val="001424D2"/>
    <w:rsid w:val="0014379B"/>
    <w:rsid w:val="001438AB"/>
    <w:rsid w:val="0014398F"/>
    <w:rsid w:val="00144320"/>
    <w:rsid w:val="0014733D"/>
    <w:rsid w:val="00151C70"/>
    <w:rsid w:val="0015212E"/>
    <w:rsid w:val="001523D7"/>
    <w:rsid w:val="00152D59"/>
    <w:rsid w:val="00153ECF"/>
    <w:rsid w:val="00154339"/>
    <w:rsid w:val="001545AE"/>
    <w:rsid w:val="00154E44"/>
    <w:rsid w:val="00156587"/>
    <w:rsid w:val="00157CA9"/>
    <w:rsid w:val="0016005A"/>
    <w:rsid w:val="00162062"/>
    <w:rsid w:val="001638CE"/>
    <w:rsid w:val="001648E6"/>
    <w:rsid w:val="0016596E"/>
    <w:rsid w:val="001672BD"/>
    <w:rsid w:val="00173781"/>
    <w:rsid w:val="00174542"/>
    <w:rsid w:val="00174553"/>
    <w:rsid w:val="001757C5"/>
    <w:rsid w:val="001760CB"/>
    <w:rsid w:val="00181B72"/>
    <w:rsid w:val="00182E1E"/>
    <w:rsid w:val="00184023"/>
    <w:rsid w:val="00184250"/>
    <w:rsid w:val="00185207"/>
    <w:rsid w:val="00185ABC"/>
    <w:rsid w:val="00186530"/>
    <w:rsid w:val="001871C4"/>
    <w:rsid w:val="00187A5C"/>
    <w:rsid w:val="00187EB7"/>
    <w:rsid w:val="00190672"/>
    <w:rsid w:val="00191E08"/>
    <w:rsid w:val="00191F62"/>
    <w:rsid w:val="00193B35"/>
    <w:rsid w:val="00193B4D"/>
    <w:rsid w:val="0019435A"/>
    <w:rsid w:val="001956DC"/>
    <w:rsid w:val="00195D2E"/>
    <w:rsid w:val="001960E9"/>
    <w:rsid w:val="001968E2"/>
    <w:rsid w:val="00196D8E"/>
    <w:rsid w:val="00196DF3"/>
    <w:rsid w:val="001975D4"/>
    <w:rsid w:val="00197D9A"/>
    <w:rsid w:val="00197F64"/>
    <w:rsid w:val="001A048A"/>
    <w:rsid w:val="001A0F65"/>
    <w:rsid w:val="001A384F"/>
    <w:rsid w:val="001A4203"/>
    <w:rsid w:val="001A4BB7"/>
    <w:rsid w:val="001A648B"/>
    <w:rsid w:val="001A69DD"/>
    <w:rsid w:val="001A6BB6"/>
    <w:rsid w:val="001B0AB6"/>
    <w:rsid w:val="001B1130"/>
    <w:rsid w:val="001B1C9F"/>
    <w:rsid w:val="001B1E0E"/>
    <w:rsid w:val="001B2334"/>
    <w:rsid w:val="001B3593"/>
    <w:rsid w:val="001B3707"/>
    <w:rsid w:val="001B3CB2"/>
    <w:rsid w:val="001B50A1"/>
    <w:rsid w:val="001B561B"/>
    <w:rsid w:val="001B5B96"/>
    <w:rsid w:val="001B5F02"/>
    <w:rsid w:val="001B69A3"/>
    <w:rsid w:val="001B7322"/>
    <w:rsid w:val="001B7854"/>
    <w:rsid w:val="001C0839"/>
    <w:rsid w:val="001C4D54"/>
    <w:rsid w:val="001C5AA4"/>
    <w:rsid w:val="001C67D4"/>
    <w:rsid w:val="001C6846"/>
    <w:rsid w:val="001C6883"/>
    <w:rsid w:val="001D0C73"/>
    <w:rsid w:val="001D28DC"/>
    <w:rsid w:val="001D2D35"/>
    <w:rsid w:val="001D709D"/>
    <w:rsid w:val="001E0D0B"/>
    <w:rsid w:val="001E1901"/>
    <w:rsid w:val="001E36D5"/>
    <w:rsid w:val="001E42CC"/>
    <w:rsid w:val="001E4F55"/>
    <w:rsid w:val="001E6198"/>
    <w:rsid w:val="001E78BD"/>
    <w:rsid w:val="001F062E"/>
    <w:rsid w:val="001F14B0"/>
    <w:rsid w:val="001F20AF"/>
    <w:rsid w:val="001F321B"/>
    <w:rsid w:val="001F3646"/>
    <w:rsid w:val="001F4A3E"/>
    <w:rsid w:val="001F4FE4"/>
    <w:rsid w:val="001F5970"/>
    <w:rsid w:val="001F59E2"/>
    <w:rsid w:val="001F5D34"/>
    <w:rsid w:val="001F626D"/>
    <w:rsid w:val="001F6A9C"/>
    <w:rsid w:val="001F739C"/>
    <w:rsid w:val="001F7711"/>
    <w:rsid w:val="002021DE"/>
    <w:rsid w:val="002041E9"/>
    <w:rsid w:val="00206A7F"/>
    <w:rsid w:val="0020711A"/>
    <w:rsid w:val="00207730"/>
    <w:rsid w:val="0021180E"/>
    <w:rsid w:val="0021213E"/>
    <w:rsid w:val="00212E56"/>
    <w:rsid w:val="00213786"/>
    <w:rsid w:val="00214D50"/>
    <w:rsid w:val="002163AF"/>
    <w:rsid w:val="002164DC"/>
    <w:rsid w:val="00216E7C"/>
    <w:rsid w:val="00221FC5"/>
    <w:rsid w:val="00222682"/>
    <w:rsid w:val="002226A1"/>
    <w:rsid w:val="00222815"/>
    <w:rsid w:val="00222831"/>
    <w:rsid w:val="00223178"/>
    <w:rsid w:val="00223808"/>
    <w:rsid w:val="0022467F"/>
    <w:rsid w:val="00226BE3"/>
    <w:rsid w:val="00227B1B"/>
    <w:rsid w:val="0023094A"/>
    <w:rsid w:val="00232556"/>
    <w:rsid w:val="00233531"/>
    <w:rsid w:val="002364B4"/>
    <w:rsid w:val="0023661B"/>
    <w:rsid w:val="00236927"/>
    <w:rsid w:val="0024028E"/>
    <w:rsid w:val="002431B9"/>
    <w:rsid w:val="002436BE"/>
    <w:rsid w:val="00243AE1"/>
    <w:rsid w:val="00245992"/>
    <w:rsid w:val="00246518"/>
    <w:rsid w:val="002478EF"/>
    <w:rsid w:val="00247A3B"/>
    <w:rsid w:val="002502C2"/>
    <w:rsid w:val="00251ABE"/>
    <w:rsid w:val="0025259C"/>
    <w:rsid w:val="00253166"/>
    <w:rsid w:val="002534E9"/>
    <w:rsid w:val="00254D8A"/>
    <w:rsid w:val="00256232"/>
    <w:rsid w:val="00256FBC"/>
    <w:rsid w:val="00257385"/>
    <w:rsid w:val="00260173"/>
    <w:rsid w:val="00260D98"/>
    <w:rsid w:val="0026141F"/>
    <w:rsid w:val="00262122"/>
    <w:rsid w:val="00262237"/>
    <w:rsid w:val="0026337D"/>
    <w:rsid w:val="002636A0"/>
    <w:rsid w:val="00263D54"/>
    <w:rsid w:val="0026440A"/>
    <w:rsid w:val="00264457"/>
    <w:rsid w:val="00265566"/>
    <w:rsid w:val="00265CFD"/>
    <w:rsid w:val="00266110"/>
    <w:rsid w:val="00267202"/>
    <w:rsid w:val="00267298"/>
    <w:rsid w:val="002672A0"/>
    <w:rsid w:val="0026748C"/>
    <w:rsid w:val="00267B6E"/>
    <w:rsid w:val="00270AD9"/>
    <w:rsid w:val="00270B31"/>
    <w:rsid w:val="0027263B"/>
    <w:rsid w:val="00272727"/>
    <w:rsid w:val="00272D28"/>
    <w:rsid w:val="002751C2"/>
    <w:rsid w:val="00275256"/>
    <w:rsid w:val="00276077"/>
    <w:rsid w:val="00280072"/>
    <w:rsid w:val="0028098C"/>
    <w:rsid w:val="002821C5"/>
    <w:rsid w:val="0028485A"/>
    <w:rsid w:val="00287EC1"/>
    <w:rsid w:val="00290113"/>
    <w:rsid w:val="002915B7"/>
    <w:rsid w:val="00291C4B"/>
    <w:rsid w:val="00292082"/>
    <w:rsid w:val="00293863"/>
    <w:rsid w:val="002941A3"/>
    <w:rsid w:val="00295A6D"/>
    <w:rsid w:val="00295DF0"/>
    <w:rsid w:val="00296645"/>
    <w:rsid w:val="00296E08"/>
    <w:rsid w:val="002A0DFB"/>
    <w:rsid w:val="002A18ED"/>
    <w:rsid w:val="002A1C56"/>
    <w:rsid w:val="002A1D28"/>
    <w:rsid w:val="002A1FD6"/>
    <w:rsid w:val="002A29D2"/>
    <w:rsid w:val="002A2E36"/>
    <w:rsid w:val="002A321D"/>
    <w:rsid w:val="002A4737"/>
    <w:rsid w:val="002A53E5"/>
    <w:rsid w:val="002A7486"/>
    <w:rsid w:val="002A7E1E"/>
    <w:rsid w:val="002A7E5D"/>
    <w:rsid w:val="002B15A7"/>
    <w:rsid w:val="002B15E6"/>
    <w:rsid w:val="002B2EC5"/>
    <w:rsid w:val="002B3D5B"/>
    <w:rsid w:val="002B4B64"/>
    <w:rsid w:val="002B51C3"/>
    <w:rsid w:val="002B7130"/>
    <w:rsid w:val="002B74FD"/>
    <w:rsid w:val="002B7509"/>
    <w:rsid w:val="002B799E"/>
    <w:rsid w:val="002B79DC"/>
    <w:rsid w:val="002C03DA"/>
    <w:rsid w:val="002C0743"/>
    <w:rsid w:val="002C0BC4"/>
    <w:rsid w:val="002C0E6A"/>
    <w:rsid w:val="002C10D7"/>
    <w:rsid w:val="002C18A0"/>
    <w:rsid w:val="002C1D2E"/>
    <w:rsid w:val="002C211A"/>
    <w:rsid w:val="002C26D4"/>
    <w:rsid w:val="002C2BED"/>
    <w:rsid w:val="002C3101"/>
    <w:rsid w:val="002C366D"/>
    <w:rsid w:val="002C5954"/>
    <w:rsid w:val="002C768B"/>
    <w:rsid w:val="002C79A8"/>
    <w:rsid w:val="002C7EF2"/>
    <w:rsid w:val="002D112B"/>
    <w:rsid w:val="002D2100"/>
    <w:rsid w:val="002D2970"/>
    <w:rsid w:val="002D3C52"/>
    <w:rsid w:val="002D3E22"/>
    <w:rsid w:val="002D54C7"/>
    <w:rsid w:val="002D56C5"/>
    <w:rsid w:val="002D5AAA"/>
    <w:rsid w:val="002D6616"/>
    <w:rsid w:val="002D6FC3"/>
    <w:rsid w:val="002E3AEC"/>
    <w:rsid w:val="002E5787"/>
    <w:rsid w:val="002E5ABF"/>
    <w:rsid w:val="002E5BEC"/>
    <w:rsid w:val="002E6F5B"/>
    <w:rsid w:val="002E710F"/>
    <w:rsid w:val="002F08CD"/>
    <w:rsid w:val="002F1287"/>
    <w:rsid w:val="002F56E4"/>
    <w:rsid w:val="002F5CBB"/>
    <w:rsid w:val="002F5E45"/>
    <w:rsid w:val="002F5E6A"/>
    <w:rsid w:val="002F61B2"/>
    <w:rsid w:val="002F6AEC"/>
    <w:rsid w:val="002F7AAE"/>
    <w:rsid w:val="00300726"/>
    <w:rsid w:val="00301913"/>
    <w:rsid w:val="00302717"/>
    <w:rsid w:val="003043BE"/>
    <w:rsid w:val="00306F45"/>
    <w:rsid w:val="00307232"/>
    <w:rsid w:val="00307E20"/>
    <w:rsid w:val="00311292"/>
    <w:rsid w:val="00312C75"/>
    <w:rsid w:val="00313590"/>
    <w:rsid w:val="00313E26"/>
    <w:rsid w:val="00314363"/>
    <w:rsid w:val="00315331"/>
    <w:rsid w:val="00315FDD"/>
    <w:rsid w:val="0032273E"/>
    <w:rsid w:val="0032393A"/>
    <w:rsid w:val="00323DD3"/>
    <w:rsid w:val="00324379"/>
    <w:rsid w:val="003243FF"/>
    <w:rsid w:val="0032457C"/>
    <w:rsid w:val="00325F2B"/>
    <w:rsid w:val="00326439"/>
    <w:rsid w:val="0032654E"/>
    <w:rsid w:val="003266B8"/>
    <w:rsid w:val="00326D4A"/>
    <w:rsid w:val="0033159D"/>
    <w:rsid w:val="003325C2"/>
    <w:rsid w:val="00333CD8"/>
    <w:rsid w:val="00335081"/>
    <w:rsid w:val="00335AA7"/>
    <w:rsid w:val="00337515"/>
    <w:rsid w:val="00342196"/>
    <w:rsid w:val="00344737"/>
    <w:rsid w:val="00346706"/>
    <w:rsid w:val="003514ED"/>
    <w:rsid w:val="00351E1C"/>
    <w:rsid w:val="00352106"/>
    <w:rsid w:val="0035217E"/>
    <w:rsid w:val="00352D33"/>
    <w:rsid w:val="00353CB2"/>
    <w:rsid w:val="00354A18"/>
    <w:rsid w:val="00354E92"/>
    <w:rsid w:val="003559FA"/>
    <w:rsid w:val="00360176"/>
    <w:rsid w:val="00360720"/>
    <w:rsid w:val="0036132C"/>
    <w:rsid w:val="00362A0D"/>
    <w:rsid w:val="0036400D"/>
    <w:rsid w:val="003658EF"/>
    <w:rsid w:val="00365FDC"/>
    <w:rsid w:val="003670AA"/>
    <w:rsid w:val="00370A60"/>
    <w:rsid w:val="003713F9"/>
    <w:rsid w:val="003719C4"/>
    <w:rsid w:val="003724EE"/>
    <w:rsid w:val="00373C93"/>
    <w:rsid w:val="00377971"/>
    <w:rsid w:val="00380461"/>
    <w:rsid w:val="003812CC"/>
    <w:rsid w:val="00381490"/>
    <w:rsid w:val="00381936"/>
    <w:rsid w:val="00384704"/>
    <w:rsid w:val="0038490E"/>
    <w:rsid w:val="003849A2"/>
    <w:rsid w:val="00385E59"/>
    <w:rsid w:val="00386E22"/>
    <w:rsid w:val="00387270"/>
    <w:rsid w:val="00391350"/>
    <w:rsid w:val="00393479"/>
    <w:rsid w:val="003937BF"/>
    <w:rsid w:val="003960C1"/>
    <w:rsid w:val="003A1290"/>
    <w:rsid w:val="003A18CF"/>
    <w:rsid w:val="003A3105"/>
    <w:rsid w:val="003A32A5"/>
    <w:rsid w:val="003A35D3"/>
    <w:rsid w:val="003A3FCF"/>
    <w:rsid w:val="003A4987"/>
    <w:rsid w:val="003A50A2"/>
    <w:rsid w:val="003A5110"/>
    <w:rsid w:val="003A5245"/>
    <w:rsid w:val="003A52E9"/>
    <w:rsid w:val="003A5304"/>
    <w:rsid w:val="003A5AEB"/>
    <w:rsid w:val="003A6EC4"/>
    <w:rsid w:val="003A70BA"/>
    <w:rsid w:val="003A7ECC"/>
    <w:rsid w:val="003B092A"/>
    <w:rsid w:val="003B0EDF"/>
    <w:rsid w:val="003B12AD"/>
    <w:rsid w:val="003B27AF"/>
    <w:rsid w:val="003B330D"/>
    <w:rsid w:val="003B478B"/>
    <w:rsid w:val="003B6387"/>
    <w:rsid w:val="003B6E43"/>
    <w:rsid w:val="003B7237"/>
    <w:rsid w:val="003C0E95"/>
    <w:rsid w:val="003C1028"/>
    <w:rsid w:val="003C205E"/>
    <w:rsid w:val="003C2208"/>
    <w:rsid w:val="003C2924"/>
    <w:rsid w:val="003C3114"/>
    <w:rsid w:val="003C4254"/>
    <w:rsid w:val="003C79A0"/>
    <w:rsid w:val="003D554F"/>
    <w:rsid w:val="003D5D63"/>
    <w:rsid w:val="003D6DF2"/>
    <w:rsid w:val="003D76D8"/>
    <w:rsid w:val="003E04DE"/>
    <w:rsid w:val="003E1044"/>
    <w:rsid w:val="003E22C4"/>
    <w:rsid w:val="003E3A1D"/>
    <w:rsid w:val="003E470E"/>
    <w:rsid w:val="003E4DD3"/>
    <w:rsid w:val="003E657B"/>
    <w:rsid w:val="003E7065"/>
    <w:rsid w:val="003E7485"/>
    <w:rsid w:val="003F0597"/>
    <w:rsid w:val="003F107C"/>
    <w:rsid w:val="003F18F7"/>
    <w:rsid w:val="003F1E9D"/>
    <w:rsid w:val="003F362B"/>
    <w:rsid w:val="003F3656"/>
    <w:rsid w:val="003F3B02"/>
    <w:rsid w:val="003F3BF4"/>
    <w:rsid w:val="003F3FAF"/>
    <w:rsid w:val="00400110"/>
    <w:rsid w:val="00400526"/>
    <w:rsid w:val="00400983"/>
    <w:rsid w:val="00401990"/>
    <w:rsid w:val="0040459B"/>
    <w:rsid w:val="00404C21"/>
    <w:rsid w:val="00405940"/>
    <w:rsid w:val="004074DD"/>
    <w:rsid w:val="00407696"/>
    <w:rsid w:val="004105E0"/>
    <w:rsid w:val="0041160A"/>
    <w:rsid w:val="00412740"/>
    <w:rsid w:val="00413F4D"/>
    <w:rsid w:val="0041457A"/>
    <w:rsid w:val="004158F0"/>
    <w:rsid w:val="00416870"/>
    <w:rsid w:val="0042017B"/>
    <w:rsid w:val="00420913"/>
    <w:rsid w:val="00420B43"/>
    <w:rsid w:val="00420D3C"/>
    <w:rsid w:val="004211F6"/>
    <w:rsid w:val="00421A81"/>
    <w:rsid w:val="00422883"/>
    <w:rsid w:val="00422ACC"/>
    <w:rsid w:val="00424E25"/>
    <w:rsid w:val="0042529A"/>
    <w:rsid w:val="00426845"/>
    <w:rsid w:val="00427219"/>
    <w:rsid w:val="004274C1"/>
    <w:rsid w:val="00430234"/>
    <w:rsid w:val="00431767"/>
    <w:rsid w:val="00431E4B"/>
    <w:rsid w:val="0043296A"/>
    <w:rsid w:val="00434700"/>
    <w:rsid w:val="00434E44"/>
    <w:rsid w:val="00435604"/>
    <w:rsid w:val="00435631"/>
    <w:rsid w:val="00435C79"/>
    <w:rsid w:val="0043688A"/>
    <w:rsid w:val="0043785F"/>
    <w:rsid w:val="00437CA2"/>
    <w:rsid w:val="00440B2D"/>
    <w:rsid w:val="00440D16"/>
    <w:rsid w:val="004421AE"/>
    <w:rsid w:val="004421E3"/>
    <w:rsid w:val="004430BB"/>
    <w:rsid w:val="0044331B"/>
    <w:rsid w:val="00443831"/>
    <w:rsid w:val="00445B5E"/>
    <w:rsid w:val="00446EA3"/>
    <w:rsid w:val="00450950"/>
    <w:rsid w:val="00450EFF"/>
    <w:rsid w:val="00451104"/>
    <w:rsid w:val="00451534"/>
    <w:rsid w:val="00452F6C"/>
    <w:rsid w:val="00454144"/>
    <w:rsid w:val="0045422F"/>
    <w:rsid w:val="0045433C"/>
    <w:rsid w:val="0045471C"/>
    <w:rsid w:val="00457115"/>
    <w:rsid w:val="00460705"/>
    <w:rsid w:val="00460A24"/>
    <w:rsid w:val="00460BC9"/>
    <w:rsid w:val="0046151F"/>
    <w:rsid w:val="00464052"/>
    <w:rsid w:val="00465799"/>
    <w:rsid w:val="0046586B"/>
    <w:rsid w:val="004660F5"/>
    <w:rsid w:val="0046675F"/>
    <w:rsid w:val="004674F7"/>
    <w:rsid w:val="00470256"/>
    <w:rsid w:val="004708C0"/>
    <w:rsid w:val="00471039"/>
    <w:rsid w:val="00471447"/>
    <w:rsid w:val="00471B70"/>
    <w:rsid w:val="00471D1D"/>
    <w:rsid w:val="0047220A"/>
    <w:rsid w:val="0047271F"/>
    <w:rsid w:val="00472EDA"/>
    <w:rsid w:val="004732C6"/>
    <w:rsid w:val="004744E1"/>
    <w:rsid w:val="00474682"/>
    <w:rsid w:val="00475AE3"/>
    <w:rsid w:val="00475F4B"/>
    <w:rsid w:val="004769C3"/>
    <w:rsid w:val="00477159"/>
    <w:rsid w:val="00477B88"/>
    <w:rsid w:val="00480253"/>
    <w:rsid w:val="00481C22"/>
    <w:rsid w:val="004825A3"/>
    <w:rsid w:val="00482DFE"/>
    <w:rsid w:val="004834BC"/>
    <w:rsid w:val="00484AD3"/>
    <w:rsid w:val="004851EA"/>
    <w:rsid w:val="0048573D"/>
    <w:rsid w:val="00485A63"/>
    <w:rsid w:val="004868DB"/>
    <w:rsid w:val="00486BF3"/>
    <w:rsid w:val="004872D2"/>
    <w:rsid w:val="00487AE4"/>
    <w:rsid w:val="00490B11"/>
    <w:rsid w:val="00490E21"/>
    <w:rsid w:val="00491AFA"/>
    <w:rsid w:val="004931A3"/>
    <w:rsid w:val="00493412"/>
    <w:rsid w:val="00495348"/>
    <w:rsid w:val="0049640D"/>
    <w:rsid w:val="00497168"/>
    <w:rsid w:val="00497732"/>
    <w:rsid w:val="00497984"/>
    <w:rsid w:val="00497D4F"/>
    <w:rsid w:val="004A126D"/>
    <w:rsid w:val="004A2333"/>
    <w:rsid w:val="004A33E9"/>
    <w:rsid w:val="004A3EA6"/>
    <w:rsid w:val="004A3ECA"/>
    <w:rsid w:val="004A4BF6"/>
    <w:rsid w:val="004A590B"/>
    <w:rsid w:val="004A69AD"/>
    <w:rsid w:val="004B04C6"/>
    <w:rsid w:val="004B35F7"/>
    <w:rsid w:val="004B4273"/>
    <w:rsid w:val="004B4E32"/>
    <w:rsid w:val="004B5383"/>
    <w:rsid w:val="004B64B5"/>
    <w:rsid w:val="004B7076"/>
    <w:rsid w:val="004C26D2"/>
    <w:rsid w:val="004C612A"/>
    <w:rsid w:val="004C7237"/>
    <w:rsid w:val="004D03FA"/>
    <w:rsid w:val="004D07E5"/>
    <w:rsid w:val="004D14A8"/>
    <w:rsid w:val="004D2992"/>
    <w:rsid w:val="004D3202"/>
    <w:rsid w:val="004D469E"/>
    <w:rsid w:val="004D4741"/>
    <w:rsid w:val="004D48A5"/>
    <w:rsid w:val="004D4E20"/>
    <w:rsid w:val="004D7FEA"/>
    <w:rsid w:val="004E0C6B"/>
    <w:rsid w:val="004E0D06"/>
    <w:rsid w:val="004E183B"/>
    <w:rsid w:val="004E2497"/>
    <w:rsid w:val="004E2DFB"/>
    <w:rsid w:val="004E3D51"/>
    <w:rsid w:val="004E3F63"/>
    <w:rsid w:val="004E4F5A"/>
    <w:rsid w:val="004E5131"/>
    <w:rsid w:val="004E5520"/>
    <w:rsid w:val="004E55BA"/>
    <w:rsid w:val="004E67DD"/>
    <w:rsid w:val="004E7840"/>
    <w:rsid w:val="004F07EF"/>
    <w:rsid w:val="004F0AE6"/>
    <w:rsid w:val="004F18F6"/>
    <w:rsid w:val="004F1AD1"/>
    <w:rsid w:val="004F344E"/>
    <w:rsid w:val="004F3CFC"/>
    <w:rsid w:val="004F4A05"/>
    <w:rsid w:val="004F59BE"/>
    <w:rsid w:val="004F63DF"/>
    <w:rsid w:val="004F6CAB"/>
    <w:rsid w:val="005016B0"/>
    <w:rsid w:val="00501D0E"/>
    <w:rsid w:val="0050202E"/>
    <w:rsid w:val="00502774"/>
    <w:rsid w:val="00503DFC"/>
    <w:rsid w:val="00503F34"/>
    <w:rsid w:val="005041F1"/>
    <w:rsid w:val="00504C1B"/>
    <w:rsid w:val="0050642C"/>
    <w:rsid w:val="00506B0A"/>
    <w:rsid w:val="00506B3B"/>
    <w:rsid w:val="00506E8E"/>
    <w:rsid w:val="00507250"/>
    <w:rsid w:val="005076C2"/>
    <w:rsid w:val="00507FF6"/>
    <w:rsid w:val="00510671"/>
    <w:rsid w:val="00510B87"/>
    <w:rsid w:val="00511346"/>
    <w:rsid w:val="00511BC9"/>
    <w:rsid w:val="00511C57"/>
    <w:rsid w:val="0051274C"/>
    <w:rsid w:val="005128B6"/>
    <w:rsid w:val="00512E54"/>
    <w:rsid w:val="00513F5E"/>
    <w:rsid w:val="00514271"/>
    <w:rsid w:val="00514F62"/>
    <w:rsid w:val="00515560"/>
    <w:rsid w:val="00517831"/>
    <w:rsid w:val="005216FD"/>
    <w:rsid w:val="00522383"/>
    <w:rsid w:val="005228C3"/>
    <w:rsid w:val="0052315E"/>
    <w:rsid w:val="005231BF"/>
    <w:rsid w:val="005234AF"/>
    <w:rsid w:val="00525787"/>
    <w:rsid w:val="00530E86"/>
    <w:rsid w:val="00530E90"/>
    <w:rsid w:val="00531247"/>
    <w:rsid w:val="005314AC"/>
    <w:rsid w:val="00531A41"/>
    <w:rsid w:val="005325CC"/>
    <w:rsid w:val="005346FE"/>
    <w:rsid w:val="0054064D"/>
    <w:rsid w:val="0054089B"/>
    <w:rsid w:val="00540AC5"/>
    <w:rsid w:val="005426C2"/>
    <w:rsid w:val="005429BE"/>
    <w:rsid w:val="00545A36"/>
    <w:rsid w:val="005465E0"/>
    <w:rsid w:val="005467EB"/>
    <w:rsid w:val="00546AA5"/>
    <w:rsid w:val="00547601"/>
    <w:rsid w:val="0055015D"/>
    <w:rsid w:val="0055058D"/>
    <w:rsid w:val="00550895"/>
    <w:rsid w:val="00551FFF"/>
    <w:rsid w:val="00553EB0"/>
    <w:rsid w:val="0055426F"/>
    <w:rsid w:val="00557809"/>
    <w:rsid w:val="00557C85"/>
    <w:rsid w:val="00560C19"/>
    <w:rsid w:val="00561B7D"/>
    <w:rsid w:val="00562D36"/>
    <w:rsid w:val="00562E23"/>
    <w:rsid w:val="00563170"/>
    <w:rsid w:val="00565E32"/>
    <w:rsid w:val="005665B1"/>
    <w:rsid w:val="0056722B"/>
    <w:rsid w:val="00567CDC"/>
    <w:rsid w:val="00570BDD"/>
    <w:rsid w:val="0057388C"/>
    <w:rsid w:val="0057657D"/>
    <w:rsid w:val="00576614"/>
    <w:rsid w:val="005768F3"/>
    <w:rsid w:val="00576E52"/>
    <w:rsid w:val="00577957"/>
    <w:rsid w:val="00581039"/>
    <w:rsid w:val="005814AC"/>
    <w:rsid w:val="00581D56"/>
    <w:rsid w:val="00582246"/>
    <w:rsid w:val="0058309C"/>
    <w:rsid w:val="00584093"/>
    <w:rsid w:val="0058425B"/>
    <w:rsid w:val="00585AB6"/>
    <w:rsid w:val="00585AD7"/>
    <w:rsid w:val="00585C38"/>
    <w:rsid w:val="00586FA1"/>
    <w:rsid w:val="005879B7"/>
    <w:rsid w:val="005926A9"/>
    <w:rsid w:val="005926FE"/>
    <w:rsid w:val="00593A64"/>
    <w:rsid w:val="00593B3D"/>
    <w:rsid w:val="005950FE"/>
    <w:rsid w:val="00596CE0"/>
    <w:rsid w:val="00597CC7"/>
    <w:rsid w:val="005A0745"/>
    <w:rsid w:val="005A23B8"/>
    <w:rsid w:val="005A27B6"/>
    <w:rsid w:val="005A2E34"/>
    <w:rsid w:val="005A3289"/>
    <w:rsid w:val="005A36A6"/>
    <w:rsid w:val="005A4BB0"/>
    <w:rsid w:val="005A5697"/>
    <w:rsid w:val="005A5FB6"/>
    <w:rsid w:val="005A60A1"/>
    <w:rsid w:val="005A6B2B"/>
    <w:rsid w:val="005A7C0B"/>
    <w:rsid w:val="005B0A27"/>
    <w:rsid w:val="005B1014"/>
    <w:rsid w:val="005B1521"/>
    <w:rsid w:val="005B325E"/>
    <w:rsid w:val="005B33EC"/>
    <w:rsid w:val="005B6912"/>
    <w:rsid w:val="005B6C42"/>
    <w:rsid w:val="005B77A5"/>
    <w:rsid w:val="005C01F5"/>
    <w:rsid w:val="005C029D"/>
    <w:rsid w:val="005C1110"/>
    <w:rsid w:val="005C1739"/>
    <w:rsid w:val="005C331A"/>
    <w:rsid w:val="005C41EB"/>
    <w:rsid w:val="005C473B"/>
    <w:rsid w:val="005C68C9"/>
    <w:rsid w:val="005D0118"/>
    <w:rsid w:val="005D0483"/>
    <w:rsid w:val="005D07D9"/>
    <w:rsid w:val="005D1941"/>
    <w:rsid w:val="005D1BE9"/>
    <w:rsid w:val="005D238E"/>
    <w:rsid w:val="005D2895"/>
    <w:rsid w:val="005D3E5E"/>
    <w:rsid w:val="005D3EA9"/>
    <w:rsid w:val="005D44DC"/>
    <w:rsid w:val="005D466C"/>
    <w:rsid w:val="005D5B33"/>
    <w:rsid w:val="005D5DB2"/>
    <w:rsid w:val="005D63D7"/>
    <w:rsid w:val="005D6464"/>
    <w:rsid w:val="005D6C02"/>
    <w:rsid w:val="005D733B"/>
    <w:rsid w:val="005D7830"/>
    <w:rsid w:val="005D7D69"/>
    <w:rsid w:val="005D7E3C"/>
    <w:rsid w:val="005E180C"/>
    <w:rsid w:val="005E1D4B"/>
    <w:rsid w:val="005E2815"/>
    <w:rsid w:val="005E2EB3"/>
    <w:rsid w:val="005E3E9B"/>
    <w:rsid w:val="005E5415"/>
    <w:rsid w:val="005E5D06"/>
    <w:rsid w:val="005E5EBF"/>
    <w:rsid w:val="005E6632"/>
    <w:rsid w:val="005F0D2E"/>
    <w:rsid w:val="005F1F0E"/>
    <w:rsid w:val="005F1FC0"/>
    <w:rsid w:val="005F2467"/>
    <w:rsid w:val="005F2E1B"/>
    <w:rsid w:val="005F3E46"/>
    <w:rsid w:val="005F4616"/>
    <w:rsid w:val="005F5357"/>
    <w:rsid w:val="00600D77"/>
    <w:rsid w:val="00600D95"/>
    <w:rsid w:val="006013E0"/>
    <w:rsid w:val="006031AF"/>
    <w:rsid w:val="00607796"/>
    <w:rsid w:val="006078F5"/>
    <w:rsid w:val="00613A81"/>
    <w:rsid w:val="00615041"/>
    <w:rsid w:val="006170EF"/>
    <w:rsid w:val="00617A67"/>
    <w:rsid w:val="00617BEB"/>
    <w:rsid w:val="00621856"/>
    <w:rsid w:val="00622CF0"/>
    <w:rsid w:val="00623440"/>
    <w:rsid w:val="00624CE0"/>
    <w:rsid w:val="00625499"/>
    <w:rsid w:val="00626C37"/>
    <w:rsid w:val="00627948"/>
    <w:rsid w:val="006279EF"/>
    <w:rsid w:val="00627C24"/>
    <w:rsid w:val="0063078B"/>
    <w:rsid w:val="006318E1"/>
    <w:rsid w:val="006332C7"/>
    <w:rsid w:val="00633518"/>
    <w:rsid w:val="00633DBA"/>
    <w:rsid w:val="00633F5E"/>
    <w:rsid w:val="00634247"/>
    <w:rsid w:val="00634856"/>
    <w:rsid w:val="00634C05"/>
    <w:rsid w:val="00636540"/>
    <w:rsid w:val="00637056"/>
    <w:rsid w:val="0064120B"/>
    <w:rsid w:val="00641433"/>
    <w:rsid w:val="00641937"/>
    <w:rsid w:val="00642021"/>
    <w:rsid w:val="0064218D"/>
    <w:rsid w:val="0064322F"/>
    <w:rsid w:val="00645377"/>
    <w:rsid w:val="0064643D"/>
    <w:rsid w:val="00646954"/>
    <w:rsid w:val="006473DB"/>
    <w:rsid w:val="0064773C"/>
    <w:rsid w:val="00647BE8"/>
    <w:rsid w:val="0065045C"/>
    <w:rsid w:val="00651154"/>
    <w:rsid w:val="00651A47"/>
    <w:rsid w:val="00652533"/>
    <w:rsid w:val="0065300A"/>
    <w:rsid w:val="00653B79"/>
    <w:rsid w:val="006550AF"/>
    <w:rsid w:val="006551E0"/>
    <w:rsid w:val="006559CC"/>
    <w:rsid w:val="00655B47"/>
    <w:rsid w:val="00655B8C"/>
    <w:rsid w:val="006575AC"/>
    <w:rsid w:val="00657DDA"/>
    <w:rsid w:val="0066027B"/>
    <w:rsid w:val="00660A7D"/>
    <w:rsid w:val="0066108F"/>
    <w:rsid w:val="0066175C"/>
    <w:rsid w:val="00661A4E"/>
    <w:rsid w:val="006620AD"/>
    <w:rsid w:val="00663397"/>
    <w:rsid w:val="00663FAD"/>
    <w:rsid w:val="00665ECF"/>
    <w:rsid w:val="0066619E"/>
    <w:rsid w:val="00667089"/>
    <w:rsid w:val="00671777"/>
    <w:rsid w:val="00671ECF"/>
    <w:rsid w:val="00672A2B"/>
    <w:rsid w:val="00672FEF"/>
    <w:rsid w:val="00675156"/>
    <w:rsid w:val="0068033A"/>
    <w:rsid w:val="0068173C"/>
    <w:rsid w:val="006817AF"/>
    <w:rsid w:val="006820FF"/>
    <w:rsid w:val="00682795"/>
    <w:rsid w:val="00683592"/>
    <w:rsid w:val="00683796"/>
    <w:rsid w:val="00684C07"/>
    <w:rsid w:val="0068542B"/>
    <w:rsid w:val="00685467"/>
    <w:rsid w:val="006864D5"/>
    <w:rsid w:val="00686596"/>
    <w:rsid w:val="00686868"/>
    <w:rsid w:val="00687307"/>
    <w:rsid w:val="0069013E"/>
    <w:rsid w:val="00690E47"/>
    <w:rsid w:val="00691370"/>
    <w:rsid w:val="0069195E"/>
    <w:rsid w:val="00692427"/>
    <w:rsid w:val="00692444"/>
    <w:rsid w:val="006934E4"/>
    <w:rsid w:val="00693D6C"/>
    <w:rsid w:val="006945C1"/>
    <w:rsid w:val="006946EF"/>
    <w:rsid w:val="00695A2C"/>
    <w:rsid w:val="00696BA6"/>
    <w:rsid w:val="006975E3"/>
    <w:rsid w:val="0069760B"/>
    <w:rsid w:val="0069792B"/>
    <w:rsid w:val="00697B51"/>
    <w:rsid w:val="00697E8F"/>
    <w:rsid w:val="006A0757"/>
    <w:rsid w:val="006A0913"/>
    <w:rsid w:val="006A1512"/>
    <w:rsid w:val="006A230B"/>
    <w:rsid w:val="006A3B5A"/>
    <w:rsid w:val="006A552D"/>
    <w:rsid w:val="006A5708"/>
    <w:rsid w:val="006A5A1C"/>
    <w:rsid w:val="006A7BD0"/>
    <w:rsid w:val="006B11E8"/>
    <w:rsid w:val="006B12D2"/>
    <w:rsid w:val="006B14FF"/>
    <w:rsid w:val="006B2086"/>
    <w:rsid w:val="006B3C2A"/>
    <w:rsid w:val="006B695F"/>
    <w:rsid w:val="006B6E07"/>
    <w:rsid w:val="006B7ED4"/>
    <w:rsid w:val="006C0202"/>
    <w:rsid w:val="006C0438"/>
    <w:rsid w:val="006C0465"/>
    <w:rsid w:val="006C0877"/>
    <w:rsid w:val="006C09E5"/>
    <w:rsid w:val="006C1139"/>
    <w:rsid w:val="006C15C1"/>
    <w:rsid w:val="006C15D0"/>
    <w:rsid w:val="006C1ABB"/>
    <w:rsid w:val="006C2CF5"/>
    <w:rsid w:val="006C31B7"/>
    <w:rsid w:val="006C39DF"/>
    <w:rsid w:val="006C4C14"/>
    <w:rsid w:val="006C60A7"/>
    <w:rsid w:val="006C6BFF"/>
    <w:rsid w:val="006C7006"/>
    <w:rsid w:val="006D0BD2"/>
    <w:rsid w:val="006D0E54"/>
    <w:rsid w:val="006D3119"/>
    <w:rsid w:val="006D5C60"/>
    <w:rsid w:val="006D68DC"/>
    <w:rsid w:val="006D7C72"/>
    <w:rsid w:val="006E004B"/>
    <w:rsid w:val="006E15E3"/>
    <w:rsid w:val="006E2078"/>
    <w:rsid w:val="006E2BE2"/>
    <w:rsid w:val="006E2F48"/>
    <w:rsid w:val="006E3028"/>
    <w:rsid w:val="006E51CE"/>
    <w:rsid w:val="006E54CD"/>
    <w:rsid w:val="006E743A"/>
    <w:rsid w:val="006F0E4F"/>
    <w:rsid w:val="006F193E"/>
    <w:rsid w:val="006F1D72"/>
    <w:rsid w:val="006F2FA8"/>
    <w:rsid w:val="006F62E6"/>
    <w:rsid w:val="006F6A79"/>
    <w:rsid w:val="006F794A"/>
    <w:rsid w:val="0070068D"/>
    <w:rsid w:val="00700954"/>
    <w:rsid w:val="007034D0"/>
    <w:rsid w:val="00705867"/>
    <w:rsid w:val="007067B6"/>
    <w:rsid w:val="00706F3D"/>
    <w:rsid w:val="00707120"/>
    <w:rsid w:val="00707602"/>
    <w:rsid w:val="00710424"/>
    <w:rsid w:val="00710591"/>
    <w:rsid w:val="007119A5"/>
    <w:rsid w:val="007122EA"/>
    <w:rsid w:val="007125AF"/>
    <w:rsid w:val="00712B97"/>
    <w:rsid w:val="007137CC"/>
    <w:rsid w:val="00714273"/>
    <w:rsid w:val="007143DA"/>
    <w:rsid w:val="00714E60"/>
    <w:rsid w:val="00715DF7"/>
    <w:rsid w:val="00716AC6"/>
    <w:rsid w:val="00717305"/>
    <w:rsid w:val="00717A01"/>
    <w:rsid w:val="00720767"/>
    <w:rsid w:val="00722189"/>
    <w:rsid w:val="00723882"/>
    <w:rsid w:val="00724CEF"/>
    <w:rsid w:val="00725C97"/>
    <w:rsid w:val="007325A2"/>
    <w:rsid w:val="00732857"/>
    <w:rsid w:val="007328CF"/>
    <w:rsid w:val="00732D99"/>
    <w:rsid w:val="0073492C"/>
    <w:rsid w:val="00735526"/>
    <w:rsid w:val="007355D2"/>
    <w:rsid w:val="007360D9"/>
    <w:rsid w:val="00740BD9"/>
    <w:rsid w:val="00741BD7"/>
    <w:rsid w:val="00741C47"/>
    <w:rsid w:val="00742AC3"/>
    <w:rsid w:val="00742C5C"/>
    <w:rsid w:val="00743347"/>
    <w:rsid w:val="00743C10"/>
    <w:rsid w:val="00744469"/>
    <w:rsid w:val="00745483"/>
    <w:rsid w:val="00745AD8"/>
    <w:rsid w:val="0074699A"/>
    <w:rsid w:val="00751D5F"/>
    <w:rsid w:val="007539E9"/>
    <w:rsid w:val="00753AB7"/>
    <w:rsid w:val="00754325"/>
    <w:rsid w:val="0075581F"/>
    <w:rsid w:val="00756238"/>
    <w:rsid w:val="0075742A"/>
    <w:rsid w:val="00760577"/>
    <w:rsid w:val="00760F13"/>
    <w:rsid w:val="00761915"/>
    <w:rsid w:val="00761A82"/>
    <w:rsid w:val="00763124"/>
    <w:rsid w:val="00763B79"/>
    <w:rsid w:val="007645FF"/>
    <w:rsid w:val="00765A34"/>
    <w:rsid w:val="00766BC9"/>
    <w:rsid w:val="00766FB9"/>
    <w:rsid w:val="0076762A"/>
    <w:rsid w:val="0076780C"/>
    <w:rsid w:val="00770188"/>
    <w:rsid w:val="00772D6A"/>
    <w:rsid w:val="00773421"/>
    <w:rsid w:val="00773FE4"/>
    <w:rsid w:val="007745FE"/>
    <w:rsid w:val="00774BE8"/>
    <w:rsid w:val="00774E22"/>
    <w:rsid w:val="0077630F"/>
    <w:rsid w:val="00777AFE"/>
    <w:rsid w:val="00777F87"/>
    <w:rsid w:val="00780E61"/>
    <w:rsid w:val="00781DEE"/>
    <w:rsid w:val="0078348A"/>
    <w:rsid w:val="00784FCF"/>
    <w:rsid w:val="0078567D"/>
    <w:rsid w:val="007909B3"/>
    <w:rsid w:val="007926D5"/>
    <w:rsid w:val="007937C5"/>
    <w:rsid w:val="007A00D5"/>
    <w:rsid w:val="007A02DF"/>
    <w:rsid w:val="007A0429"/>
    <w:rsid w:val="007A0E66"/>
    <w:rsid w:val="007A106F"/>
    <w:rsid w:val="007A2498"/>
    <w:rsid w:val="007A3C20"/>
    <w:rsid w:val="007A4238"/>
    <w:rsid w:val="007A430C"/>
    <w:rsid w:val="007A7334"/>
    <w:rsid w:val="007B2E46"/>
    <w:rsid w:val="007B348B"/>
    <w:rsid w:val="007B4778"/>
    <w:rsid w:val="007B4F7A"/>
    <w:rsid w:val="007B601C"/>
    <w:rsid w:val="007B6A7F"/>
    <w:rsid w:val="007C11F4"/>
    <w:rsid w:val="007C17FC"/>
    <w:rsid w:val="007C2155"/>
    <w:rsid w:val="007C2C4A"/>
    <w:rsid w:val="007C2DEA"/>
    <w:rsid w:val="007C32BD"/>
    <w:rsid w:val="007C33B5"/>
    <w:rsid w:val="007C34A5"/>
    <w:rsid w:val="007C4CD5"/>
    <w:rsid w:val="007C52B7"/>
    <w:rsid w:val="007C5542"/>
    <w:rsid w:val="007C58E4"/>
    <w:rsid w:val="007C7142"/>
    <w:rsid w:val="007C7AFB"/>
    <w:rsid w:val="007D01A0"/>
    <w:rsid w:val="007D04AD"/>
    <w:rsid w:val="007D0D66"/>
    <w:rsid w:val="007D41E2"/>
    <w:rsid w:val="007D4ED5"/>
    <w:rsid w:val="007D6641"/>
    <w:rsid w:val="007D7349"/>
    <w:rsid w:val="007D76C4"/>
    <w:rsid w:val="007D7FDE"/>
    <w:rsid w:val="007E05B5"/>
    <w:rsid w:val="007E06E3"/>
    <w:rsid w:val="007E0752"/>
    <w:rsid w:val="007E0D7B"/>
    <w:rsid w:val="007E656C"/>
    <w:rsid w:val="007E6919"/>
    <w:rsid w:val="007E79BB"/>
    <w:rsid w:val="007F09E0"/>
    <w:rsid w:val="007F2CA7"/>
    <w:rsid w:val="007F2FA3"/>
    <w:rsid w:val="007F353D"/>
    <w:rsid w:val="007F3847"/>
    <w:rsid w:val="007F3975"/>
    <w:rsid w:val="007F4106"/>
    <w:rsid w:val="007F5D85"/>
    <w:rsid w:val="007F5E32"/>
    <w:rsid w:val="007F664B"/>
    <w:rsid w:val="007F722E"/>
    <w:rsid w:val="007F7693"/>
    <w:rsid w:val="008004F5"/>
    <w:rsid w:val="00800D8F"/>
    <w:rsid w:val="00801868"/>
    <w:rsid w:val="00801956"/>
    <w:rsid w:val="00802183"/>
    <w:rsid w:val="00802A9E"/>
    <w:rsid w:val="00802F87"/>
    <w:rsid w:val="00803155"/>
    <w:rsid w:val="00803A06"/>
    <w:rsid w:val="00806401"/>
    <w:rsid w:val="00811DBB"/>
    <w:rsid w:val="00812210"/>
    <w:rsid w:val="0081223B"/>
    <w:rsid w:val="00812C84"/>
    <w:rsid w:val="00813336"/>
    <w:rsid w:val="00815AFF"/>
    <w:rsid w:val="00816354"/>
    <w:rsid w:val="00816666"/>
    <w:rsid w:val="00817EBC"/>
    <w:rsid w:val="00820C60"/>
    <w:rsid w:val="00820E63"/>
    <w:rsid w:val="00822F6F"/>
    <w:rsid w:val="00823DE5"/>
    <w:rsid w:val="00823EFA"/>
    <w:rsid w:val="008246A6"/>
    <w:rsid w:val="00825C9C"/>
    <w:rsid w:val="0082604B"/>
    <w:rsid w:val="0082661B"/>
    <w:rsid w:val="00827634"/>
    <w:rsid w:val="00827916"/>
    <w:rsid w:val="00827C0D"/>
    <w:rsid w:val="00827DE2"/>
    <w:rsid w:val="008325C4"/>
    <w:rsid w:val="00833A0C"/>
    <w:rsid w:val="00833A84"/>
    <w:rsid w:val="008344F7"/>
    <w:rsid w:val="00834762"/>
    <w:rsid w:val="00834825"/>
    <w:rsid w:val="00834D94"/>
    <w:rsid w:val="0083547E"/>
    <w:rsid w:val="00835BBC"/>
    <w:rsid w:val="008379F4"/>
    <w:rsid w:val="0084029C"/>
    <w:rsid w:val="008407EE"/>
    <w:rsid w:val="00842AB8"/>
    <w:rsid w:val="0084366E"/>
    <w:rsid w:val="0084390C"/>
    <w:rsid w:val="00844D2C"/>
    <w:rsid w:val="00845B57"/>
    <w:rsid w:val="00845E27"/>
    <w:rsid w:val="00846510"/>
    <w:rsid w:val="008473C5"/>
    <w:rsid w:val="00852392"/>
    <w:rsid w:val="00853079"/>
    <w:rsid w:val="00853CBC"/>
    <w:rsid w:val="00855149"/>
    <w:rsid w:val="008557C6"/>
    <w:rsid w:val="008577BA"/>
    <w:rsid w:val="00857F10"/>
    <w:rsid w:val="00860E74"/>
    <w:rsid w:val="00860E86"/>
    <w:rsid w:val="00862AF0"/>
    <w:rsid w:val="0086425D"/>
    <w:rsid w:val="008660BF"/>
    <w:rsid w:val="00866C9F"/>
    <w:rsid w:val="00867752"/>
    <w:rsid w:val="008704DD"/>
    <w:rsid w:val="008709C2"/>
    <w:rsid w:val="008735A9"/>
    <w:rsid w:val="0087393D"/>
    <w:rsid w:val="00874D53"/>
    <w:rsid w:val="008750A7"/>
    <w:rsid w:val="00876C88"/>
    <w:rsid w:val="008770F6"/>
    <w:rsid w:val="00877221"/>
    <w:rsid w:val="00881FD0"/>
    <w:rsid w:val="008824D7"/>
    <w:rsid w:val="00882754"/>
    <w:rsid w:val="008840E8"/>
    <w:rsid w:val="00884DDB"/>
    <w:rsid w:val="0088505E"/>
    <w:rsid w:val="00885A0C"/>
    <w:rsid w:val="00886365"/>
    <w:rsid w:val="008870BF"/>
    <w:rsid w:val="0088731E"/>
    <w:rsid w:val="00887488"/>
    <w:rsid w:val="00887F4C"/>
    <w:rsid w:val="00890C24"/>
    <w:rsid w:val="00892A7A"/>
    <w:rsid w:val="00892D30"/>
    <w:rsid w:val="00892EE4"/>
    <w:rsid w:val="008931AC"/>
    <w:rsid w:val="00893809"/>
    <w:rsid w:val="008941B1"/>
    <w:rsid w:val="00894425"/>
    <w:rsid w:val="008944F4"/>
    <w:rsid w:val="00894BC8"/>
    <w:rsid w:val="00896312"/>
    <w:rsid w:val="00896515"/>
    <w:rsid w:val="00897342"/>
    <w:rsid w:val="008A0C9C"/>
    <w:rsid w:val="008A184F"/>
    <w:rsid w:val="008A1CBA"/>
    <w:rsid w:val="008A3AF4"/>
    <w:rsid w:val="008A448E"/>
    <w:rsid w:val="008A4DF1"/>
    <w:rsid w:val="008A6651"/>
    <w:rsid w:val="008A6CD6"/>
    <w:rsid w:val="008B0864"/>
    <w:rsid w:val="008B1424"/>
    <w:rsid w:val="008B1F2A"/>
    <w:rsid w:val="008B4A63"/>
    <w:rsid w:val="008B4AC5"/>
    <w:rsid w:val="008B4FD3"/>
    <w:rsid w:val="008B50A5"/>
    <w:rsid w:val="008B595A"/>
    <w:rsid w:val="008B6246"/>
    <w:rsid w:val="008B79DF"/>
    <w:rsid w:val="008C02D0"/>
    <w:rsid w:val="008C0A72"/>
    <w:rsid w:val="008C154C"/>
    <w:rsid w:val="008C1716"/>
    <w:rsid w:val="008C2130"/>
    <w:rsid w:val="008C2EDB"/>
    <w:rsid w:val="008C3CBE"/>
    <w:rsid w:val="008C7124"/>
    <w:rsid w:val="008D14A9"/>
    <w:rsid w:val="008D1AAF"/>
    <w:rsid w:val="008D27B7"/>
    <w:rsid w:val="008D2E6F"/>
    <w:rsid w:val="008D37EC"/>
    <w:rsid w:val="008D3806"/>
    <w:rsid w:val="008D3987"/>
    <w:rsid w:val="008D449D"/>
    <w:rsid w:val="008D45C1"/>
    <w:rsid w:val="008D4C14"/>
    <w:rsid w:val="008D51E7"/>
    <w:rsid w:val="008D56B0"/>
    <w:rsid w:val="008D7771"/>
    <w:rsid w:val="008D7E8B"/>
    <w:rsid w:val="008E0A82"/>
    <w:rsid w:val="008E2CA1"/>
    <w:rsid w:val="008E2FF5"/>
    <w:rsid w:val="008E3E7B"/>
    <w:rsid w:val="008E6069"/>
    <w:rsid w:val="008E6F7E"/>
    <w:rsid w:val="008E7C4D"/>
    <w:rsid w:val="008E7F17"/>
    <w:rsid w:val="008F01C0"/>
    <w:rsid w:val="008F16DE"/>
    <w:rsid w:val="008F1A4F"/>
    <w:rsid w:val="008F2722"/>
    <w:rsid w:val="008F3C1D"/>
    <w:rsid w:val="008F4F52"/>
    <w:rsid w:val="008F617D"/>
    <w:rsid w:val="008F649D"/>
    <w:rsid w:val="008F7AF7"/>
    <w:rsid w:val="00900152"/>
    <w:rsid w:val="00902061"/>
    <w:rsid w:val="009020FD"/>
    <w:rsid w:val="00902516"/>
    <w:rsid w:val="00902EFF"/>
    <w:rsid w:val="0090394D"/>
    <w:rsid w:val="00904143"/>
    <w:rsid w:val="00904392"/>
    <w:rsid w:val="00905625"/>
    <w:rsid w:val="00905DCF"/>
    <w:rsid w:val="009062E4"/>
    <w:rsid w:val="0090637D"/>
    <w:rsid w:val="0090769B"/>
    <w:rsid w:val="00907B6A"/>
    <w:rsid w:val="0091058F"/>
    <w:rsid w:val="00911F1B"/>
    <w:rsid w:val="00912426"/>
    <w:rsid w:val="00912704"/>
    <w:rsid w:val="00912A95"/>
    <w:rsid w:val="009130EC"/>
    <w:rsid w:val="00913D87"/>
    <w:rsid w:val="00915686"/>
    <w:rsid w:val="00916F2D"/>
    <w:rsid w:val="00917757"/>
    <w:rsid w:val="00920825"/>
    <w:rsid w:val="009208FB"/>
    <w:rsid w:val="009251D3"/>
    <w:rsid w:val="00925C4D"/>
    <w:rsid w:val="0092631F"/>
    <w:rsid w:val="009264E7"/>
    <w:rsid w:val="0092695A"/>
    <w:rsid w:val="00927831"/>
    <w:rsid w:val="00927ECD"/>
    <w:rsid w:val="0093047E"/>
    <w:rsid w:val="00930FD8"/>
    <w:rsid w:val="009314EC"/>
    <w:rsid w:val="009326A8"/>
    <w:rsid w:val="009342AC"/>
    <w:rsid w:val="009407CD"/>
    <w:rsid w:val="00941491"/>
    <w:rsid w:val="00943520"/>
    <w:rsid w:val="00943EDF"/>
    <w:rsid w:val="0094475D"/>
    <w:rsid w:val="00945AD3"/>
    <w:rsid w:val="00946866"/>
    <w:rsid w:val="00947733"/>
    <w:rsid w:val="00950395"/>
    <w:rsid w:val="009508D9"/>
    <w:rsid w:val="00950B72"/>
    <w:rsid w:val="00950CC4"/>
    <w:rsid w:val="00951B74"/>
    <w:rsid w:val="0095365D"/>
    <w:rsid w:val="00953D66"/>
    <w:rsid w:val="00954235"/>
    <w:rsid w:val="00954470"/>
    <w:rsid w:val="00954845"/>
    <w:rsid w:val="009559E4"/>
    <w:rsid w:val="00955B9E"/>
    <w:rsid w:val="009563BB"/>
    <w:rsid w:val="009576E4"/>
    <w:rsid w:val="00957E37"/>
    <w:rsid w:val="00957FC4"/>
    <w:rsid w:val="009603D0"/>
    <w:rsid w:val="00960BF0"/>
    <w:rsid w:val="0096486F"/>
    <w:rsid w:val="00965AF2"/>
    <w:rsid w:val="00966D00"/>
    <w:rsid w:val="009716F2"/>
    <w:rsid w:val="00975C25"/>
    <w:rsid w:val="009766A1"/>
    <w:rsid w:val="00976C98"/>
    <w:rsid w:val="00981872"/>
    <w:rsid w:val="00983D5F"/>
    <w:rsid w:val="00985AB3"/>
    <w:rsid w:val="00985DD2"/>
    <w:rsid w:val="0098660E"/>
    <w:rsid w:val="009874E6"/>
    <w:rsid w:val="00987987"/>
    <w:rsid w:val="00991EC1"/>
    <w:rsid w:val="009921AC"/>
    <w:rsid w:val="00995616"/>
    <w:rsid w:val="00996593"/>
    <w:rsid w:val="009969D7"/>
    <w:rsid w:val="009974CC"/>
    <w:rsid w:val="00997739"/>
    <w:rsid w:val="009978D4"/>
    <w:rsid w:val="00997EF3"/>
    <w:rsid w:val="00997F9E"/>
    <w:rsid w:val="009A19F3"/>
    <w:rsid w:val="009A1F5D"/>
    <w:rsid w:val="009A1FF0"/>
    <w:rsid w:val="009A2085"/>
    <w:rsid w:val="009A3696"/>
    <w:rsid w:val="009A4775"/>
    <w:rsid w:val="009A47E3"/>
    <w:rsid w:val="009A55CF"/>
    <w:rsid w:val="009A67C9"/>
    <w:rsid w:val="009A6BC1"/>
    <w:rsid w:val="009A6D05"/>
    <w:rsid w:val="009A7820"/>
    <w:rsid w:val="009A7F14"/>
    <w:rsid w:val="009B04AF"/>
    <w:rsid w:val="009B0755"/>
    <w:rsid w:val="009B20AD"/>
    <w:rsid w:val="009B31E6"/>
    <w:rsid w:val="009B4A71"/>
    <w:rsid w:val="009B4BFB"/>
    <w:rsid w:val="009B4C6F"/>
    <w:rsid w:val="009B563C"/>
    <w:rsid w:val="009B5D6E"/>
    <w:rsid w:val="009B764C"/>
    <w:rsid w:val="009B7955"/>
    <w:rsid w:val="009B7B83"/>
    <w:rsid w:val="009C09FE"/>
    <w:rsid w:val="009C2B2F"/>
    <w:rsid w:val="009C5A25"/>
    <w:rsid w:val="009C6033"/>
    <w:rsid w:val="009C6D75"/>
    <w:rsid w:val="009C76E3"/>
    <w:rsid w:val="009D209A"/>
    <w:rsid w:val="009D3683"/>
    <w:rsid w:val="009D40CA"/>
    <w:rsid w:val="009D430B"/>
    <w:rsid w:val="009D5532"/>
    <w:rsid w:val="009D577D"/>
    <w:rsid w:val="009D5A45"/>
    <w:rsid w:val="009D5CA0"/>
    <w:rsid w:val="009D60C2"/>
    <w:rsid w:val="009D614B"/>
    <w:rsid w:val="009D68B9"/>
    <w:rsid w:val="009D6BE7"/>
    <w:rsid w:val="009D7551"/>
    <w:rsid w:val="009D788B"/>
    <w:rsid w:val="009E1083"/>
    <w:rsid w:val="009E2A58"/>
    <w:rsid w:val="009E3156"/>
    <w:rsid w:val="009E52D7"/>
    <w:rsid w:val="009E682C"/>
    <w:rsid w:val="009E7131"/>
    <w:rsid w:val="009F7A1C"/>
    <w:rsid w:val="00A000CA"/>
    <w:rsid w:val="00A00639"/>
    <w:rsid w:val="00A0221A"/>
    <w:rsid w:val="00A0394D"/>
    <w:rsid w:val="00A04837"/>
    <w:rsid w:val="00A064CC"/>
    <w:rsid w:val="00A104FC"/>
    <w:rsid w:val="00A124D9"/>
    <w:rsid w:val="00A129F3"/>
    <w:rsid w:val="00A137F7"/>
    <w:rsid w:val="00A13982"/>
    <w:rsid w:val="00A13B42"/>
    <w:rsid w:val="00A147DB"/>
    <w:rsid w:val="00A14DE7"/>
    <w:rsid w:val="00A15A25"/>
    <w:rsid w:val="00A15B7C"/>
    <w:rsid w:val="00A160AD"/>
    <w:rsid w:val="00A161A9"/>
    <w:rsid w:val="00A16D17"/>
    <w:rsid w:val="00A16EFD"/>
    <w:rsid w:val="00A20BC5"/>
    <w:rsid w:val="00A21054"/>
    <w:rsid w:val="00A21497"/>
    <w:rsid w:val="00A22750"/>
    <w:rsid w:val="00A231DE"/>
    <w:rsid w:val="00A24DA0"/>
    <w:rsid w:val="00A25B0F"/>
    <w:rsid w:val="00A26209"/>
    <w:rsid w:val="00A271B5"/>
    <w:rsid w:val="00A276D8"/>
    <w:rsid w:val="00A27CEB"/>
    <w:rsid w:val="00A3041C"/>
    <w:rsid w:val="00A3172A"/>
    <w:rsid w:val="00A34F03"/>
    <w:rsid w:val="00A374B1"/>
    <w:rsid w:val="00A400D9"/>
    <w:rsid w:val="00A413F7"/>
    <w:rsid w:val="00A41973"/>
    <w:rsid w:val="00A420CE"/>
    <w:rsid w:val="00A42774"/>
    <w:rsid w:val="00A43410"/>
    <w:rsid w:val="00A43DB9"/>
    <w:rsid w:val="00A44630"/>
    <w:rsid w:val="00A44E07"/>
    <w:rsid w:val="00A45128"/>
    <w:rsid w:val="00A4517E"/>
    <w:rsid w:val="00A502E5"/>
    <w:rsid w:val="00A51B13"/>
    <w:rsid w:val="00A51DC1"/>
    <w:rsid w:val="00A52030"/>
    <w:rsid w:val="00A521F4"/>
    <w:rsid w:val="00A5313B"/>
    <w:rsid w:val="00A53B08"/>
    <w:rsid w:val="00A544A4"/>
    <w:rsid w:val="00A547C5"/>
    <w:rsid w:val="00A604A4"/>
    <w:rsid w:val="00A627E3"/>
    <w:rsid w:val="00A6296B"/>
    <w:rsid w:val="00A644C5"/>
    <w:rsid w:val="00A654CA"/>
    <w:rsid w:val="00A675BA"/>
    <w:rsid w:val="00A67EC1"/>
    <w:rsid w:val="00A70962"/>
    <w:rsid w:val="00A70B4A"/>
    <w:rsid w:val="00A71977"/>
    <w:rsid w:val="00A71B9D"/>
    <w:rsid w:val="00A72622"/>
    <w:rsid w:val="00A7325E"/>
    <w:rsid w:val="00A7345B"/>
    <w:rsid w:val="00A7352E"/>
    <w:rsid w:val="00A76613"/>
    <w:rsid w:val="00A77DC2"/>
    <w:rsid w:val="00A82F5A"/>
    <w:rsid w:val="00A83E10"/>
    <w:rsid w:val="00A84468"/>
    <w:rsid w:val="00A861D2"/>
    <w:rsid w:val="00A8649F"/>
    <w:rsid w:val="00A90165"/>
    <w:rsid w:val="00A90C4D"/>
    <w:rsid w:val="00A90F20"/>
    <w:rsid w:val="00A91DBE"/>
    <w:rsid w:val="00A938F3"/>
    <w:rsid w:val="00A948E9"/>
    <w:rsid w:val="00A950DB"/>
    <w:rsid w:val="00A95D14"/>
    <w:rsid w:val="00A95E94"/>
    <w:rsid w:val="00A95F76"/>
    <w:rsid w:val="00A978EA"/>
    <w:rsid w:val="00A97CE2"/>
    <w:rsid w:val="00AA2C91"/>
    <w:rsid w:val="00AA3F50"/>
    <w:rsid w:val="00AA42D6"/>
    <w:rsid w:val="00AA42EB"/>
    <w:rsid w:val="00AA4B9B"/>
    <w:rsid w:val="00AA7979"/>
    <w:rsid w:val="00AB1B38"/>
    <w:rsid w:val="00AB33B7"/>
    <w:rsid w:val="00AB3C59"/>
    <w:rsid w:val="00AB4418"/>
    <w:rsid w:val="00AB4E95"/>
    <w:rsid w:val="00AB5E04"/>
    <w:rsid w:val="00AB717C"/>
    <w:rsid w:val="00AB72BA"/>
    <w:rsid w:val="00AB7AC9"/>
    <w:rsid w:val="00AC0073"/>
    <w:rsid w:val="00AC18C7"/>
    <w:rsid w:val="00AC22CF"/>
    <w:rsid w:val="00AC3986"/>
    <w:rsid w:val="00AC66D2"/>
    <w:rsid w:val="00AD1582"/>
    <w:rsid w:val="00AD272E"/>
    <w:rsid w:val="00AD2999"/>
    <w:rsid w:val="00AD370F"/>
    <w:rsid w:val="00AD3812"/>
    <w:rsid w:val="00AD4377"/>
    <w:rsid w:val="00AD4F26"/>
    <w:rsid w:val="00AD5BB6"/>
    <w:rsid w:val="00AD6880"/>
    <w:rsid w:val="00AD736B"/>
    <w:rsid w:val="00AE068C"/>
    <w:rsid w:val="00AE0D89"/>
    <w:rsid w:val="00AE1C32"/>
    <w:rsid w:val="00AE27A6"/>
    <w:rsid w:val="00AE2ABD"/>
    <w:rsid w:val="00AE3F60"/>
    <w:rsid w:val="00AE553B"/>
    <w:rsid w:val="00AE5E67"/>
    <w:rsid w:val="00AE67F8"/>
    <w:rsid w:val="00AE779F"/>
    <w:rsid w:val="00AF015F"/>
    <w:rsid w:val="00AF09F9"/>
    <w:rsid w:val="00AF162A"/>
    <w:rsid w:val="00AF3096"/>
    <w:rsid w:val="00AF4665"/>
    <w:rsid w:val="00AF5E0B"/>
    <w:rsid w:val="00AF6349"/>
    <w:rsid w:val="00AF6C57"/>
    <w:rsid w:val="00AF6EFE"/>
    <w:rsid w:val="00B01809"/>
    <w:rsid w:val="00B01E6B"/>
    <w:rsid w:val="00B0283E"/>
    <w:rsid w:val="00B02BDD"/>
    <w:rsid w:val="00B033F4"/>
    <w:rsid w:val="00B04FEC"/>
    <w:rsid w:val="00B0688B"/>
    <w:rsid w:val="00B06DB1"/>
    <w:rsid w:val="00B06E0C"/>
    <w:rsid w:val="00B10786"/>
    <w:rsid w:val="00B10909"/>
    <w:rsid w:val="00B10F10"/>
    <w:rsid w:val="00B11331"/>
    <w:rsid w:val="00B117F6"/>
    <w:rsid w:val="00B14433"/>
    <w:rsid w:val="00B16CE4"/>
    <w:rsid w:val="00B16D1D"/>
    <w:rsid w:val="00B16E69"/>
    <w:rsid w:val="00B20494"/>
    <w:rsid w:val="00B2066F"/>
    <w:rsid w:val="00B226CD"/>
    <w:rsid w:val="00B2336A"/>
    <w:rsid w:val="00B234AD"/>
    <w:rsid w:val="00B3257C"/>
    <w:rsid w:val="00B33398"/>
    <w:rsid w:val="00B33DDD"/>
    <w:rsid w:val="00B36132"/>
    <w:rsid w:val="00B3617A"/>
    <w:rsid w:val="00B36214"/>
    <w:rsid w:val="00B36E89"/>
    <w:rsid w:val="00B42576"/>
    <w:rsid w:val="00B446BF"/>
    <w:rsid w:val="00B44ADE"/>
    <w:rsid w:val="00B453A5"/>
    <w:rsid w:val="00B4597A"/>
    <w:rsid w:val="00B45A8F"/>
    <w:rsid w:val="00B50AB7"/>
    <w:rsid w:val="00B50EDD"/>
    <w:rsid w:val="00B531DA"/>
    <w:rsid w:val="00B55B9F"/>
    <w:rsid w:val="00B570D1"/>
    <w:rsid w:val="00B57E11"/>
    <w:rsid w:val="00B57ECB"/>
    <w:rsid w:val="00B600A7"/>
    <w:rsid w:val="00B607A0"/>
    <w:rsid w:val="00B6102A"/>
    <w:rsid w:val="00B6182C"/>
    <w:rsid w:val="00B61B79"/>
    <w:rsid w:val="00B61D96"/>
    <w:rsid w:val="00B61F69"/>
    <w:rsid w:val="00B623D5"/>
    <w:rsid w:val="00B62A94"/>
    <w:rsid w:val="00B62B0B"/>
    <w:rsid w:val="00B6354C"/>
    <w:rsid w:val="00B635C0"/>
    <w:rsid w:val="00B639AE"/>
    <w:rsid w:val="00B63BC5"/>
    <w:rsid w:val="00B64FE9"/>
    <w:rsid w:val="00B66ADA"/>
    <w:rsid w:val="00B70A77"/>
    <w:rsid w:val="00B70FEA"/>
    <w:rsid w:val="00B7208B"/>
    <w:rsid w:val="00B73F50"/>
    <w:rsid w:val="00B73F56"/>
    <w:rsid w:val="00B7423F"/>
    <w:rsid w:val="00B744FD"/>
    <w:rsid w:val="00B74770"/>
    <w:rsid w:val="00B750B3"/>
    <w:rsid w:val="00B7692B"/>
    <w:rsid w:val="00B772A4"/>
    <w:rsid w:val="00B80B06"/>
    <w:rsid w:val="00B817CC"/>
    <w:rsid w:val="00B82E10"/>
    <w:rsid w:val="00B851E2"/>
    <w:rsid w:val="00B85C21"/>
    <w:rsid w:val="00B85F87"/>
    <w:rsid w:val="00B86C71"/>
    <w:rsid w:val="00B87925"/>
    <w:rsid w:val="00B87AC9"/>
    <w:rsid w:val="00B87C77"/>
    <w:rsid w:val="00B94BD5"/>
    <w:rsid w:val="00BA05AF"/>
    <w:rsid w:val="00BA05CB"/>
    <w:rsid w:val="00BA1CE0"/>
    <w:rsid w:val="00BA20BF"/>
    <w:rsid w:val="00BA3DCF"/>
    <w:rsid w:val="00BA72B1"/>
    <w:rsid w:val="00BA7DFB"/>
    <w:rsid w:val="00BB0D2B"/>
    <w:rsid w:val="00BB1F54"/>
    <w:rsid w:val="00BB3C65"/>
    <w:rsid w:val="00BB47D6"/>
    <w:rsid w:val="00BB4BB2"/>
    <w:rsid w:val="00BC0290"/>
    <w:rsid w:val="00BC1675"/>
    <w:rsid w:val="00BC1AA8"/>
    <w:rsid w:val="00BC2F5D"/>
    <w:rsid w:val="00BC3558"/>
    <w:rsid w:val="00BC41DA"/>
    <w:rsid w:val="00BC427A"/>
    <w:rsid w:val="00BC4D62"/>
    <w:rsid w:val="00BC53BD"/>
    <w:rsid w:val="00BC5673"/>
    <w:rsid w:val="00BC5D13"/>
    <w:rsid w:val="00BC62BA"/>
    <w:rsid w:val="00BC6D48"/>
    <w:rsid w:val="00BC7770"/>
    <w:rsid w:val="00BD0705"/>
    <w:rsid w:val="00BD1F1D"/>
    <w:rsid w:val="00BD2328"/>
    <w:rsid w:val="00BD275A"/>
    <w:rsid w:val="00BD2D08"/>
    <w:rsid w:val="00BD2DA1"/>
    <w:rsid w:val="00BD4497"/>
    <w:rsid w:val="00BD46C6"/>
    <w:rsid w:val="00BD4F67"/>
    <w:rsid w:val="00BD5B10"/>
    <w:rsid w:val="00BD62C1"/>
    <w:rsid w:val="00BD6F03"/>
    <w:rsid w:val="00BD713D"/>
    <w:rsid w:val="00BD79F2"/>
    <w:rsid w:val="00BE052F"/>
    <w:rsid w:val="00BE0F84"/>
    <w:rsid w:val="00BE269D"/>
    <w:rsid w:val="00BE26EE"/>
    <w:rsid w:val="00BE2B7A"/>
    <w:rsid w:val="00BE2C7E"/>
    <w:rsid w:val="00BE3EBD"/>
    <w:rsid w:val="00BE4D50"/>
    <w:rsid w:val="00BE5779"/>
    <w:rsid w:val="00BE681E"/>
    <w:rsid w:val="00BF011D"/>
    <w:rsid w:val="00BF0E04"/>
    <w:rsid w:val="00BF0F38"/>
    <w:rsid w:val="00BF14F4"/>
    <w:rsid w:val="00BF15FE"/>
    <w:rsid w:val="00BF1D74"/>
    <w:rsid w:val="00BF28A9"/>
    <w:rsid w:val="00BF2C8B"/>
    <w:rsid w:val="00BF332E"/>
    <w:rsid w:val="00BF3780"/>
    <w:rsid w:val="00BF3E41"/>
    <w:rsid w:val="00BF4F5B"/>
    <w:rsid w:val="00BF54EF"/>
    <w:rsid w:val="00BF7AFA"/>
    <w:rsid w:val="00C00EC9"/>
    <w:rsid w:val="00C013B4"/>
    <w:rsid w:val="00C016BD"/>
    <w:rsid w:val="00C01B45"/>
    <w:rsid w:val="00C02059"/>
    <w:rsid w:val="00C0250F"/>
    <w:rsid w:val="00C02639"/>
    <w:rsid w:val="00C02A7D"/>
    <w:rsid w:val="00C046B1"/>
    <w:rsid w:val="00C049EB"/>
    <w:rsid w:val="00C0692C"/>
    <w:rsid w:val="00C070B3"/>
    <w:rsid w:val="00C077F1"/>
    <w:rsid w:val="00C10A05"/>
    <w:rsid w:val="00C10BA4"/>
    <w:rsid w:val="00C10C88"/>
    <w:rsid w:val="00C12EDB"/>
    <w:rsid w:val="00C13086"/>
    <w:rsid w:val="00C166F9"/>
    <w:rsid w:val="00C179F7"/>
    <w:rsid w:val="00C17A37"/>
    <w:rsid w:val="00C200F7"/>
    <w:rsid w:val="00C21058"/>
    <w:rsid w:val="00C21104"/>
    <w:rsid w:val="00C217BA"/>
    <w:rsid w:val="00C21ABF"/>
    <w:rsid w:val="00C229EC"/>
    <w:rsid w:val="00C24351"/>
    <w:rsid w:val="00C268CF"/>
    <w:rsid w:val="00C26D09"/>
    <w:rsid w:val="00C2764E"/>
    <w:rsid w:val="00C305AE"/>
    <w:rsid w:val="00C307A8"/>
    <w:rsid w:val="00C30E83"/>
    <w:rsid w:val="00C334F9"/>
    <w:rsid w:val="00C3468B"/>
    <w:rsid w:val="00C359BC"/>
    <w:rsid w:val="00C35BF2"/>
    <w:rsid w:val="00C35F99"/>
    <w:rsid w:val="00C3731B"/>
    <w:rsid w:val="00C374B5"/>
    <w:rsid w:val="00C374C9"/>
    <w:rsid w:val="00C37D45"/>
    <w:rsid w:val="00C40D94"/>
    <w:rsid w:val="00C411BC"/>
    <w:rsid w:val="00C427E9"/>
    <w:rsid w:val="00C429E3"/>
    <w:rsid w:val="00C42A4D"/>
    <w:rsid w:val="00C42BDE"/>
    <w:rsid w:val="00C476FD"/>
    <w:rsid w:val="00C51C29"/>
    <w:rsid w:val="00C5433E"/>
    <w:rsid w:val="00C54C3D"/>
    <w:rsid w:val="00C55103"/>
    <w:rsid w:val="00C553B5"/>
    <w:rsid w:val="00C60EE9"/>
    <w:rsid w:val="00C62F85"/>
    <w:rsid w:val="00C63C71"/>
    <w:rsid w:val="00C6435B"/>
    <w:rsid w:val="00C64827"/>
    <w:rsid w:val="00C649B2"/>
    <w:rsid w:val="00C65929"/>
    <w:rsid w:val="00C67698"/>
    <w:rsid w:val="00C701B3"/>
    <w:rsid w:val="00C706A5"/>
    <w:rsid w:val="00C71138"/>
    <w:rsid w:val="00C72080"/>
    <w:rsid w:val="00C72318"/>
    <w:rsid w:val="00C73AF1"/>
    <w:rsid w:val="00C73C35"/>
    <w:rsid w:val="00C744C3"/>
    <w:rsid w:val="00C76249"/>
    <w:rsid w:val="00C77FF2"/>
    <w:rsid w:val="00C80D73"/>
    <w:rsid w:val="00C80E65"/>
    <w:rsid w:val="00C814E3"/>
    <w:rsid w:val="00C823BD"/>
    <w:rsid w:val="00C82FA2"/>
    <w:rsid w:val="00C85227"/>
    <w:rsid w:val="00C85F79"/>
    <w:rsid w:val="00C87EFC"/>
    <w:rsid w:val="00C91677"/>
    <w:rsid w:val="00C929CE"/>
    <w:rsid w:val="00C93EAA"/>
    <w:rsid w:val="00C93FD8"/>
    <w:rsid w:val="00C94A80"/>
    <w:rsid w:val="00C94E38"/>
    <w:rsid w:val="00C94F63"/>
    <w:rsid w:val="00C95A6B"/>
    <w:rsid w:val="00C95C1F"/>
    <w:rsid w:val="00C968CC"/>
    <w:rsid w:val="00C976F1"/>
    <w:rsid w:val="00C97B9F"/>
    <w:rsid w:val="00CA482A"/>
    <w:rsid w:val="00CA49CC"/>
    <w:rsid w:val="00CA5870"/>
    <w:rsid w:val="00CA6364"/>
    <w:rsid w:val="00CA6F5A"/>
    <w:rsid w:val="00CA6F70"/>
    <w:rsid w:val="00CA71DA"/>
    <w:rsid w:val="00CA7EF6"/>
    <w:rsid w:val="00CB00C5"/>
    <w:rsid w:val="00CB09C6"/>
    <w:rsid w:val="00CB1696"/>
    <w:rsid w:val="00CB2C1A"/>
    <w:rsid w:val="00CB3616"/>
    <w:rsid w:val="00CB3CA9"/>
    <w:rsid w:val="00CB45B8"/>
    <w:rsid w:val="00CB592A"/>
    <w:rsid w:val="00CB6356"/>
    <w:rsid w:val="00CB6AA0"/>
    <w:rsid w:val="00CC30D7"/>
    <w:rsid w:val="00CC3DB6"/>
    <w:rsid w:val="00CC4490"/>
    <w:rsid w:val="00CC5917"/>
    <w:rsid w:val="00CC665B"/>
    <w:rsid w:val="00CC77E4"/>
    <w:rsid w:val="00CD00FA"/>
    <w:rsid w:val="00CD1559"/>
    <w:rsid w:val="00CD1E97"/>
    <w:rsid w:val="00CD259B"/>
    <w:rsid w:val="00CD3A9A"/>
    <w:rsid w:val="00CD4181"/>
    <w:rsid w:val="00CD7B38"/>
    <w:rsid w:val="00CE0A3F"/>
    <w:rsid w:val="00CE24DD"/>
    <w:rsid w:val="00CE27F5"/>
    <w:rsid w:val="00CE2B11"/>
    <w:rsid w:val="00CE4D13"/>
    <w:rsid w:val="00CE5396"/>
    <w:rsid w:val="00CE555C"/>
    <w:rsid w:val="00CE7872"/>
    <w:rsid w:val="00CF0163"/>
    <w:rsid w:val="00CF09A5"/>
    <w:rsid w:val="00CF3082"/>
    <w:rsid w:val="00CF3268"/>
    <w:rsid w:val="00CF3541"/>
    <w:rsid w:val="00CF38B5"/>
    <w:rsid w:val="00CF490A"/>
    <w:rsid w:val="00CF5E47"/>
    <w:rsid w:val="00CF6BB4"/>
    <w:rsid w:val="00CF6E6C"/>
    <w:rsid w:val="00CF6E70"/>
    <w:rsid w:val="00CF7444"/>
    <w:rsid w:val="00D002B7"/>
    <w:rsid w:val="00D00FB0"/>
    <w:rsid w:val="00D035C0"/>
    <w:rsid w:val="00D039D9"/>
    <w:rsid w:val="00D039E6"/>
    <w:rsid w:val="00D03E2E"/>
    <w:rsid w:val="00D04545"/>
    <w:rsid w:val="00D04DAB"/>
    <w:rsid w:val="00D05527"/>
    <w:rsid w:val="00D05A1E"/>
    <w:rsid w:val="00D05E8E"/>
    <w:rsid w:val="00D063DF"/>
    <w:rsid w:val="00D0784E"/>
    <w:rsid w:val="00D1034E"/>
    <w:rsid w:val="00D1059C"/>
    <w:rsid w:val="00D10EF1"/>
    <w:rsid w:val="00D1103E"/>
    <w:rsid w:val="00D1110F"/>
    <w:rsid w:val="00D113DE"/>
    <w:rsid w:val="00D11897"/>
    <w:rsid w:val="00D11FA6"/>
    <w:rsid w:val="00D12F92"/>
    <w:rsid w:val="00D138F5"/>
    <w:rsid w:val="00D139C9"/>
    <w:rsid w:val="00D13B8F"/>
    <w:rsid w:val="00D13E89"/>
    <w:rsid w:val="00D16D05"/>
    <w:rsid w:val="00D17130"/>
    <w:rsid w:val="00D17758"/>
    <w:rsid w:val="00D21428"/>
    <w:rsid w:val="00D23E6D"/>
    <w:rsid w:val="00D23F6C"/>
    <w:rsid w:val="00D243B7"/>
    <w:rsid w:val="00D25B22"/>
    <w:rsid w:val="00D268A1"/>
    <w:rsid w:val="00D26D39"/>
    <w:rsid w:val="00D302B4"/>
    <w:rsid w:val="00D31987"/>
    <w:rsid w:val="00D319FE"/>
    <w:rsid w:val="00D323D1"/>
    <w:rsid w:val="00D33B2C"/>
    <w:rsid w:val="00D33BC0"/>
    <w:rsid w:val="00D33DDC"/>
    <w:rsid w:val="00D34415"/>
    <w:rsid w:val="00D35B9B"/>
    <w:rsid w:val="00D35EAD"/>
    <w:rsid w:val="00D37DFB"/>
    <w:rsid w:val="00D40078"/>
    <w:rsid w:val="00D4022D"/>
    <w:rsid w:val="00D414F5"/>
    <w:rsid w:val="00D41F51"/>
    <w:rsid w:val="00D454E7"/>
    <w:rsid w:val="00D46097"/>
    <w:rsid w:val="00D46521"/>
    <w:rsid w:val="00D53275"/>
    <w:rsid w:val="00D54358"/>
    <w:rsid w:val="00D553C6"/>
    <w:rsid w:val="00D5577E"/>
    <w:rsid w:val="00D55F1F"/>
    <w:rsid w:val="00D5614A"/>
    <w:rsid w:val="00D563AD"/>
    <w:rsid w:val="00D5679E"/>
    <w:rsid w:val="00D567AA"/>
    <w:rsid w:val="00D604DA"/>
    <w:rsid w:val="00D62952"/>
    <w:rsid w:val="00D62B1A"/>
    <w:rsid w:val="00D6316F"/>
    <w:rsid w:val="00D63E9A"/>
    <w:rsid w:val="00D641F8"/>
    <w:rsid w:val="00D64A9F"/>
    <w:rsid w:val="00D66AE3"/>
    <w:rsid w:val="00D67390"/>
    <w:rsid w:val="00D673AA"/>
    <w:rsid w:val="00D713A0"/>
    <w:rsid w:val="00D7152A"/>
    <w:rsid w:val="00D7233D"/>
    <w:rsid w:val="00D724DC"/>
    <w:rsid w:val="00D741FC"/>
    <w:rsid w:val="00D7524D"/>
    <w:rsid w:val="00D75C4F"/>
    <w:rsid w:val="00D76CA5"/>
    <w:rsid w:val="00D76ED3"/>
    <w:rsid w:val="00D77DC1"/>
    <w:rsid w:val="00D77E85"/>
    <w:rsid w:val="00D77F27"/>
    <w:rsid w:val="00D80A2B"/>
    <w:rsid w:val="00D80D6A"/>
    <w:rsid w:val="00D83DDB"/>
    <w:rsid w:val="00D84084"/>
    <w:rsid w:val="00D8421B"/>
    <w:rsid w:val="00D85054"/>
    <w:rsid w:val="00D851B0"/>
    <w:rsid w:val="00D90594"/>
    <w:rsid w:val="00D90AA2"/>
    <w:rsid w:val="00D9112C"/>
    <w:rsid w:val="00D92B4D"/>
    <w:rsid w:val="00D93334"/>
    <w:rsid w:val="00D93A63"/>
    <w:rsid w:val="00D93D3C"/>
    <w:rsid w:val="00D93D73"/>
    <w:rsid w:val="00D93EB1"/>
    <w:rsid w:val="00D9452B"/>
    <w:rsid w:val="00D94ADC"/>
    <w:rsid w:val="00D96AB7"/>
    <w:rsid w:val="00D977C8"/>
    <w:rsid w:val="00DA244B"/>
    <w:rsid w:val="00DA3198"/>
    <w:rsid w:val="00DA3867"/>
    <w:rsid w:val="00DA3E9A"/>
    <w:rsid w:val="00DA6F31"/>
    <w:rsid w:val="00DA706E"/>
    <w:rsid w:val="00DA7137"/>
    <w:rsid w:val="00DA7D1B"/>
    <w:rsid w:val="00DB03ED"/>
    <w:rsid w:val="00DB06E9"/>
    <w:rsid w:val="00DB0E7C"/>
    <w:rsid w:val="00DB181D"/>
    <w:rsid w:val="00DB1B17"/>
    <w:rsid w:val="00DB1EDB"/>
    <w:rsid w:val="00DB210F"/>
    <w:rsid w:val="00DB220A"/>
    <w:rsid w:val="00DB2DBE"/>
    <w:rsid w:val="00DB49B6"/>
    <w:rsid w:val="00DB5B40"/>
    <w:rsid w:val="00DB6DA6"/>
    <w:rsid w:val="00DC1302"/>
    <w:rsid w:val="00DC13E1"/>
    <w:rsid w:val="00DC1E47"/>
    <w:rsid w:val="00DC2397"/>
    <w:rsid w:val="00DC364B"/>
    <w:rsid w:val="00DC4B35"/>
    <w:rsid w:val="00DC4FBE"/>
    <w:rsid w:val="00DC5A31"/>
    <w:rsid w:val="00DC676B"/>
    <w:rsid w:val="00DD2648"/>
    <w:rsid w:val="00DD79E3"/>
    <w:rsid w:val="00DE048F"/>
    <w:rsid w:val="00DE215D"/>
    <w:rsid w:val="00DE491D"/>
    <w:rsid w:val="00DE552A"/>
    <w:rsid w:val="00DE5A78"/>
    <w:rsid w:val="00DE5D94"/>
    <w:rsid w:val="00DE7FFC"/>
    <w:rsid w:val="00DF0119"/>
    <w:rsid w:val="00DF171F"/>
    <w:rsid w:val="00DF1AB3"/>
    <w:rsid w:val="00DF1AB5"/>
    <w:rsid w:val="00DF221E"/>
    <w:rsid w:val="00DF369E"/>
    <w:rsid w:val="00E0008D"/>
    <w:rsid w:val="00E009EE"/>
    <w:rsid w:val="00E00CDF"/>
    <w:rsid w:val="00E0120D"/>
    <w:rsid w:val="00E01521"/>
    <w:rsid w:val="00E016C4"/>
    <w:rsid w:val="00E0246A"/>
    <w:rsid w:val="00E02A34"/>
    <w:rsid w:val="00E030B1"/>
    <w:rsid w:val="00E040F3"/>
    <w:rsid w:val="00E0420B"/>
    <w:rsid w:val="00E042F5"/>
    <w:rsid w:val="00E07170"/>
    <w:rsid w:val="00E0719F"/>
    <w:rsid w:val="00E07465"/>
    <w:rsid w:val="00E11853"/>
    <w:rsid w:val="00E11BB7"/>
    <w:rsid w:val="00E11D10"/>
    <w:rsid w:val="00E11EBD"/>
    <w:rsid w:val="00E1447C"/>
    <w:rsid w:val="00E1484A"/>
    <w:rsid w:val="00E14DE9"/>
    <w:rsid w:val="00E163A1"/>
    <w:rsid w:val="00E16DF8"/>
    <w:rsid w:val="00E16EEC"/>
    <w:rsid w:val="00E1715A"/>
    <w:rsid w:val="00E204D1"/>
    <w:rsid w:val="00E2206C"/>
    <w:rsid w:val="00E234D4"/>
    <w:rsid w:val="00E25030"/>
    <w:rsid w:val="00E265E4"/>
    <w:rsid w:val="00E3029E"/>
    <w:rsid w:val="00E30F1C"/>
    <w:rsid w:val="00E32127"/>
    <w:rsid w:val="00E3351C"/>
    <w:rsid w:val="00E33A89"/>
    <w:rsid w:val="00E3427F"/>
    <w:rsid w:val="00E34506"/>
    <w:rsid w:val="00E345E9"/>
    <w:rsid w:val="00E36F48"/>
    <w:rsid w:val="00E40EFD"/>
    <w:rsid w:val="00E41784"/>
    <w:rsid w:val="00E41E05"/>
    <w:rsid w:val="00E41E0C"/>
    <w:rsid w:val="00E42A8D"/>
    <w:rsid w:val="00E44128"/>
    <w:rsid w:val="00E442A1"/>
    <w:rsid w:val="00E443E4"/>
    <w:rsid w:val="00E45315"/>
    <w:rsid w:val="00E45773"/>
    <w:rsid w:val="00E461FA"/>
    <w:rsid w:val="00E477A6"/>
    <w:rsid w:val="00E47D6F"/>
    <w:rsid w:val="00E50D58"/>
    <w:rsid w:val="00E5131F"/>
    <w:rsid w:val="00E5224B"/>
    <w:rsid w:val="00E531E7"/>
    <w:rsid w:val="00E543BB"/>
    <w:rsid w:val="00E55C95"/>
    <w:rsid w:val="00E55FB3"/>
    <w:rsid w:val="00E56009"/>
    <w:rsid w:val="00E56675"/>
    <w:rsid w:val="00E571CC"/>
    <w:rsid w:val="00E57400"/>
    <w:rsid w:val="00E60F25"/>
    <w:rsid w:val="00E61B27"/>
    <w:rsid w:val="00E627F6"/>
    <w:rsid w:val="00E62E41"/>
    <w:rsid w:val="00E638BD"/>
    <w:rsid w:val="00E640FA"/>
    <w:rsid w:val="00E6458A"/>
    <w:rsid w:val="00E66872"/>
    <w:rsid w:val="00E67510"/>
    <w:rsid w:val="00E67EE4"/>
    <w:rsid w:val="00E7052B"/>
    <w:rsid w:val="00E709DF"/>
    <w:rsid w:val="00E70D2A"/>
    <w:rsid w:val="00E70FF3"/>
    <w:rsid w:val="00E7109F"/>
    <w:rsid w:val="00E71175"/>
    <w:rsid w:val="00E7128A"/>
    <w:rsid w:val="00E729D8"/>
    <w:rsid w:val="00E72FB5"/>
    <w:rsid w:val="00E73938"/>
    <w:rsid w:val="00E74794"/>
    <w:rsid w:val="00E7611D"/>
    <w:rsid w:val="00E7678D"/>
    <w:rsid w:val="00E772C0"/>
    <w:rsid w:val="00E8457A"/>
    <w:rsid w:val="00E85462"/>
    <w:rsid w:val="00E85929"/>
    <w:rsid w:val="00E865C9"/>
    <w:rsid w:val="00E870DB"/>
    <w:rsid w:val="00E87D24"/>
    <w:rsid w:val="00E905BD"/>
    <w:rsid w:val="00E9062C"/>
    <w:rsid w:val="00E92BE9"/>
    <w:rsid w:val="00E92F9F"/>
    <w:rsid w:val="00E94716"/>
    <w:rsid w:val="00E9473C"/>
    <w:rsid w:val="00E94AC2"/>
    <w:rsid w:val="00E95525"/>
    <w:rsid w:val="00E959E8"/>
    <w:rsid w:val="00E96060"/>
    <w:rsid w:val="00E96E14"/>
    <w:rsid w:val="00E9702D"/>
    <w:rsid w:val="00E974FA"/>
    <w:rsid w:val="00E97A41"/>
    <w:rsid w:val="00EA1EEC"/>
    <w:rsid w:val="00EA2018"/>
    <w:rsid w:val="00EA205A"/>
    <w:rsid w:val="00EA3C3C"/>
    <w:rsid w:val="00EA4C22"/>
    <w:rsid w:val="00EA5580"/>
    <w:rsid w:val="00EA57D0"/>
    <w:rsid w:val="00EB078A"/>
    <w:rsid w:val="00EB0D9D"/>
    <w:rsid w:val="00EB1F10"/>
    <w:rsid w:val="00EB284E"/>
    <w:rsid w:val="00EB2FF9"/>
    <w:rsid w:val="00EB35F3"/>
    <w:rsid w:val="00EB41C4"/>
    <w:rsid w:val="00EB4313"/>
    <w:rsid w:val="00EB54B3"/>
    <w:rsid w:val="00EB5E7C"/>
    <w:rsid w:val="00EB61C0"/>
    <w:rsid w:val="00EB676E"/>
    <w:rsid w:val="00EB68B6"/>
    <w:rsid w:val="00EB6BE8"/>
    <w:rsid w:val="00EB6C77"/>
    <w:rsid w:val="00EC04CA"/>
    <w:rsid w:val="00EC1D43"/>
    <w:rsid w:val="00EC42FA"/>
    <w:rsid w:val="00EC5534"/>
    <w:rsid w:val="00EC578A"/>
    <w:rsid w:val="00EC5FD1"/>
    <w:rsid w:val="00EC6555"/>
    <w:rsid w:val="00EC6F5C"/>
    <w:rsid w:val="00EC75B2"/>
    <w:rsid w:val="00EC7956"/>
    <w:rsid w:val="00ED0791"/>
    <w:rsid w:val="00ED0ED5"/>
    <w:rsid w:val="00ED2CEA"/>
    <w:rsid w:val="00ED3373"/>
    <w:rsid w:val="00ED602D"/>
    <w:rsid w:val="00ED6E53"/>
    <w:rsid w:val="00ED7023"/>
    <w:rsid w:val="00ED71A4"/>
    <w:rsid w:val="00EE0397"/>
    <w:rsid w:val="00EE0655"/>
    <w:rsid w:val="00EE1923"/>
    <w:rsid w:val="00EE3490"/>
    <w:rsid w:val="00EE571A"/>
    <w:rsid w:val="00EE7955"/>
    <w:rsid w:val="00EF0475"/>
    <w:rsid w:val="00EF1E54"/>
    <w:rsid w:val="00EF24E6"/>
    <w:rsid w:val="00EF2C03"/>
    <w:rsid w:val="00EF2FA6"/>
    <w:rsid w:val="00EF2FFA"/>
    <w:rsid w:val="00EF3BCC"/>
    <w:rsid w:val="00EF4D2C"/>
    <w:rsid w:val="00EF5A96"/>
    <w:rsid w:val="00EF772F"/>
    <w:rsid w:val="00F04758"/>
    <w:rsid w:val="00F06A6A"/>
    <w:rsid w:val="00F06B39"/>
    <w:rsid w:val="00F06F28"/>
    <w:rsid w:val="00F07166"/>
    <w:rsid w:val="00F078CD"/>
    <w:rsid w:val="00F10829"/>
    <w:rsid w:val="00F109BA"/>
    <w:rsid w:val="00F11462"/>
    <w:rsid w:val="00F119B5"/>
    <w:rsid w:val="00F12B69"/>
    <w:rsid w:val="00F16BDC"/>
    <w:rsid w:val="00F17B9D"/>
    <w:rsid w:val="00F20644"/>
    <w:rsid w:val="00F20E5B"/>
    <w:rsid w:val="00F21FD0"/>
    <w:rsid w:val="00F23039"/>
    <w:rsid w:val="00F24882"/>
    <w:rsid w:val="00F24E95"/>
    <w:rsid w:val="00F27A8A"/>
    <w:rsid w:val="00F35575"/>
    <w:rsid w:val="00F3570E"/>
    <w:rsid w:val="00F35DBC"/>
    <w:rsid w:val="00F3620D"/>
    <w:rsid w:val="00F37379"/>
    <w:rsid w:val="00F37422"/>
    <w:rsid w:val="00F406EF"/>
    <w:rsid w:val="00F409B1"/>
    <w:rsid w:val="00F40FCE"/>
    <w:rsid w:val="00F40FEE"/>
    <w:rsid w:val="00F430E6"/>
    <w:rsid w:val="00F44BD0"/>
    <w:rsid w:val="00F44CD1"/>
    <w:rsid w:val="00F4574D"/>
    <w:rsid w:val="00F469DA"/>
    <w:rsid w:val="00F50003"/>
    <w:rsid w:val="00F50CB9"/>
    <w:rsid w:val="00F52F0C"/>
    <w:rsid w:val="00F53CD4"/>
    <w:rsid w:val="00F5423D"/>
    <w:rsid w:val="00F57895"/>
    <w:rsid w:val="00F6021D"/>
    <w:rsid w:val="00F60885"/>
    <w:rsid w:val="00F60DDE"/>
    <w:rsid w:val="00F61D79"/>
    <w:rsid w:val="00F625E1"/>
    <w:rsid w:val="00F628B0"/>
    <w:rsid w:val="00F62B6E"/>
    <w:rsid w:val="00F65398"/>
    <w:rsid w:val="00F654BE"/>
    <w:rsid w:val="00F656E6"/>
    <w:rsid w:val="00F65FAF"/>
    <w:rsid w:val="00F663A6"/>
    <w:rsid w:val="00F66680"/>
    <w:rsid w:val="00F66E42"/>
    <w:rsid w:val="00F671C6"/>
    <w:rsid w:val="00F70FE5"/>
    <w:rsid w:val="00F71ED3"/>
    <w:rsid w:val="00F727CB"/>
    <w:rsid w:val="00F733C9"/>
    <w:rsid w:val="00F752D4"/>
    <w:rsid w:val="00F766B2"/>
    <w:rsid w:val="00F76B9D"/>
    <w:rsid w:val="00F80F35"/>
    <w:rsid w:val="00F81337"/>
    <w:rsid w:val="00F82FA0"/>
    <w:rsid w:val="00F8335D"/>
    <w:rsid w:val="00F83AD4"/>
    <w:rsid w:val="00F83EC5"/>
    <w:rsid w:val="00F8477B"/>
    <w:rsid w:val="00F86A23"/>
    <w:rsid w:val="00F86EAC"/>
    <w:rsid w:val="00F86FF5"/>
    <w:rsid w:val="00F90C09"/>
    <w:rsid w:val="00F90E31"/>
    <w:rsid w:val="00F93158"/>
    <w:rsid w:val="00F9424E"/>
    <w:rsid w:val="00F95AB9"/>
    <w:rsid w:val="00F96227"/>
    <w:rsid w:val="00FA00D7"/>
    <w:rsid w:val="00FA12E0"/>
    <w:rsid w:val="00FA1489"/>
    <w:rsid w:val="00FA174F"/>
    <w:rsid w:val="00FA1EC3"/>
    <w:rsid w:val="00FA2D27"/>
    <w:rsid w:val="00FA2E00"/>
    <w:rsid w:val="00FA3097"/>
    <w:rsid w:val="00FA33E5"/>
    <w:rsid w:val="00FA37C6"/>
    <w:rsid w:val="00FA5F0F"/>
    <w:rsid w:val="00FB444E"/>
    <w:rsid w:val="00FB45CC"/>
    <w:rsid w:val="00FB52FD"/>
    <w:rsid w:val="00FB5856"/>
    <w:rsid w:val="00FB5EC3"/>
    <w:rsid w:val="00FB6069"/>
    <w:rsid w:val="00FB60D3"/>
    <w:rsid w:val="00FB6CFF"/>
    <w:rsid w:val="00FB7CD3"/>
    <w:rsid w:val="00FC12D6"/>
    <w:rsid w:val="00FC2160"/>
    <w:rsid w:val="00FC2218"/>
    <w:rsid w:val="00FC2BA0"/>
    <w:rsid w:val="00FC336F"/>
    <w:rsid w:val="00FC370A"/>
    <w:rsid w:val="00FC4BB0"/>
    <w:rsid w:val="00FC4E57"/>
    <w:rsid w:val="00FC7126"/>
    <w:rsid w:val="00FC7143"/>
    <w:rsid w:val="00FC7C7F"/>
    <w:rsid w:val="00FD2441"/>
    <w:rsid w:val="00FD3616"/>
    <w:rsid w:val="00FD3A4D"/>
    <w:rsid w:val="00FD44AB"/>
    <w:rsid w:val="00FD4A4B"/>
    <w:rsid w:val="00FD511B"/>
    <w:rsid w:val="00FD5C41"/>
    <w:rsid w:val="00FD5E2D"/>
    <w:rsid w:val="00FD7AD8"/>
    <w:rsid w:val="00FD7BFC"/>
    <w:rsid w:val="00FD7C67"/>
    <w:rsid w:val="00FD7CAB"/>
    <w:rsid w:val="00FE0E04"/>
    <w:rsid w:val="00FE0FCA"/>
    <w:rsid w:val="00FE1AEA"/>
    <w:rsid w:val="00FE20AE"/>
    <w:rsid w:val="00FE3CBE"/>
    <w:rsid w:val="00FE4BDD"/>
    <w:rsid w:val="00FE639A"/>
    <w:rsid w:val="00FE6B1B"/>
    <w:rsid w:val="00FF1F1D"/>
    <w:rsid w:val="00FF2FF6"/>
    <w:rsid w:val="00FF31FB"/>
    <w:rsid w:val="00FF392F"/>
    <w:rsid w:val="00FF44FD"/>
    <w:rsid w:val="00FF53E4"/>
    <w:rsid w:val="00FF662E"/>
    <w:rsid w:val="00FF7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6C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5D6C0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D6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E9062C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460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60705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705"/>
    <w:rPr>
      <w:rFonts w:ascii="Courier New" w:hAnsi="Courier New" w:cs="Courier New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26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5E4"/>
    <w:rPr>
      <w:rFonts w:ascii="Courier New" w:hAnsi="Courier New" w:cs="Courier Ne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5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yperlink" Target="http://www.hcp.ma" TargetMode="Externa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Conjoncture\2015TRIM3\resultatseECM(trim1-08-trim3-2015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Conjoncture\2015TRIM3\resultatseECM(trim1-08-trim3-2015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Conjoncture\2015TRIM3\resultatseECM(trim1-08-trim3-2015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Conjoncture\2015TRIM3\resultatseECM(trim1-08-trim3-2015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Conjoncture\2015TRIM3\resultatseECM(trim1-08-trim3-2015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Conjoncture\2015TRIM3\resultatseECM(trim1-08-trim3-2015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600"/>
            </a:pPr>
            <a:r>
              <a:rPr lang="en-US" sz="1600"/>
              <a:t>Evolution de l'Indice de Confiance des Ménages</a:t>
            </a:r>
            <a:endParaRPr lang="fr-FR" sz="1600"/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'graphe fr'!$B$17:$AF$17</c:f>
              <c:strCache>
                <c:ptCount val="1"/>
                <c:pt idx="0">
                  <c:v>85,9 77,7 75,6 80,1 76,9 77,6 79,1 79,5 80,1 78,8 78,6 74,7 78,4 85,8 86,5 84,5 82,9 80,7 77,6 78,4 75,8 74,3 75,4 74,2 74,1 74,0 73,1 71,6 73,7 76,1 76,3</c:v>
                </c:pt>
              </c:strCache>
            </c:strRef>
          </c:tx>
          <c:dLbls>
            <c:dLbl>
              <c:idx val="26"/>
              <c:layout/>
              <c:showVal val="1"/>
            </c:dLbl>
            <c:dLbl>
              <c:idx val="29"/>
              <c:layout>
                <c:manualLayout>
                  <c:x val="-1.7010418881564973E-2"/>
                  <c:y val="1.0449320794148401E-2"/>
                </c:manualLayout>
              </c:layout>
              <c:showVal val="1"/>
            </c:dLbl>
            <c:dLbl>
              <c:idx val="30"/>
              <c:layout/>
              <c:showVal val="1"/>
            </c:dLbl>
            <c:delete val="1"/>
          </c:dLbls>
          <c:cat>
            <c:strRef>
              <c:f>'graphe fr'!$B$8:$AF$8</c:f>
              <c:strCache>
                <c:ptCount val="3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</c:strCache>
            </c:strRef>
          </c:cat>
          <c:val>
            <c:numRef>
              <c:f>'graphe fr'!$B$17:$AF$17</c:f>
              <c:numCache>
                <c:formatCode>#,##0.0</c:formatCode>
                <c:ptCount val="31"/>
                <c:pt idx="0">
                  <c:v>85.866502294191648</c:v>
                </c:pt>
                <c:pt idx="1">
                  <c:v>77.678707955852772</c:v>
                </c:pt>
                <c:pt idx="2">
                  <c:v>75.552480635756169</c:v>
                </c:pt>
                <c:pt idx="3">
                  <c:v>80.136884034904298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80.136086093618985</c:v>
                </c:pt>
                <c:pt idx="9">
                  <c:v>78.833388330573882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78.406406130604537</c:v>
                </c:pt>
                <c:pt idx="13">
                  <c:v>85.789532632532399</c:v>
                </c:pt>
                <c:pt idx="14">
                  <c:v>86.506225251482533</c:v>
                </c:pt>
                <c:pt idx="15">
                  <c:v>84.477214694877432</c:v>
                </c:pt>
                <c:pt idx="16">
                  <c:v>82.88047854282118</c:v>
                </c:pt>
                <c:pt idx="17">
                  <c:v>80.673652783725359</c:v>
                </c:pt>
                <c:pt idx="18">
                  <c:v>77.553867036569088</c:v>
                </c:pt>
                <c:pt idx="19">
                  <c:v>78.40335368134987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74.01455309996183</c:v>
                </c:pt>
                <c:pt idx="26">
                  <c:v>73.148145370690258</c:v>
                </c:pt>
                <c:pt idx="27">
                  <c:v>71.583460003653542</c:v>
                </c:pt>
                <c:pt idx="28">
                  <c:v>73.659282965035374</c:v>
                </c:pt>
                <c:pt idx="29">
                  <c:v>76.139385287093688</c:v>
                </c:pt>
                <c:pt idx="30">
                  <c:v>76.315005733685709</c:v>
                </c:pt>
              </c:numCache>
            </c:numRef>
          </c:val>
        </c:ser>
        <c:axId val="72338816"/>
        <c:axId val="123958400"/>
      </c:barChart>
      <c:catAx>
        <c:axId val="72338816"/>
        <c:scaling>
          <c:orientation val="minMax"/>
        </c:scaling>
        <c:axPos val="b"/>
        <c:tickLblPos val="nextTo"/>
        <c:txPr>
          <a:bodyPr/>
          <a:lstStyle/>
          <a:p>
            <a:pPr>
              <a:defRPr sz="600"/>
            </a:pPr>
            <a:endParaRPr lang="fr-FR"/>
          </a:p>
        </c:txPr>
        <c:crossAx val="123958400"/>
        <c:crosses val="autoZero"/>
        <c:auto val="1"/>
        <c:lblAlgn val="ctr"/>
        <c:lblOffset val="100"/>
      </c:catAx>
      <c:valAx>
        <c:axId val="123958400"/>
        <c:scaling>
          <c:orientation val="minMax"/>
        </c:scaling>
        <c:axPos val="l"/>
        <c:majorGridlines/>
        <c:numFmt formatCode="#,##0.0" sourceLinked="1"/>
        <c:tickLblPos val="nextTo"/>
        <c:txPr>
          <a:bodyPr/>
          <a:lstStyle/>
          <a:p>
            <a:pPr>
              <a:defRPr sz="600"/>
            </a:pPr>
            <a:endParaRPr lang="fr-FR"/>
          </a:p>
        </c:txPr>
        <c:crossAx val="72338816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200"/>
            </a:pPr>
            <a:r>
              <a:rPr lang="fr-FR" sz="1400" b="1" i="0" baseline="0"/>
              <a:t>Perception de l'évolution passée et future du niveau de vie</a:t>
            </a:r>
          </a:p>
          <a:p>
            <a:pPr algn="ctr">
              <a:defRPr sz="1200"/>
            </a:pPr>
            <a:r>
              <a:rPr lang="fr-FR" sz="1400" b="1" i="0" baseline="0"/>
              <a:t>(soldes d'opinions) </a:t>
            </a:r>
          </a:p>
        </c:rich>
      </c:tx>
      <c:layout>
        <c:manualLayout>
          <c:xMode val="edge"/>
          <c:yMode val="edge"/>
          <c:x val="0.13691290861369601"/>
          <c:y val="4.6376803126453842E-2"/>
        </c:manualLayout>
      </c:layout>
    </c:title>
    <c:plotArea>
      <c:layout/>
      <c:lineChart>
        <c:grouping val="standard"/>
        <c:ser>
          <c:idx val="0"/>
          <c:order val="0"/>
          <c:tx>
            <c:strRef>
              <c:f>'graphe fr'!$A$10</c:f>
              <c:strCache>
                <c:ptCount val="1"/>
                <c:pt idx="0">
                  <c:v>Evolution  passée du niveau de vie</c:v>
                </c:pt>
              </c:strCache>
            </c:strRef>
          </c:tx>
          <c:marker>
            <c:symbol val="triangle"/>
            <c:size val="5"/>
          </c:marker>
          <c:cat>
            <c:strRef>
              <c:f>'graphe fr'!$B$8:$AF$8</c:f>
              <c:strCache>
                <c:ptCount val="3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</c:strCache>
            </c:strRef>
          </c:cat>
          <c:val>
            <c:numRef>
              <c:f>'graphe fr'!$B$10:$AF$10</c:f>
              <c:numCache>
                <c:formatCode>#,##0.0</c:formatCode>
                <c:ptCount val="31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-31.141291421499744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-25.723634629572988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-37.236760344983431</c:v>
                </c:pt>
                <c:pt idx="12">
                  <c:v>-26.050959167650099</c:v>
                </c:pt>
                <c:pt idx="13">
                  <c:v>-16.961438303130869</c:v>
                </c:pt>
                <c:pt idx="14">
                  <c:v>-13.439142519852023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-28.088708351168659</c:v>
                </c:pt>
                <c:pt idx="20">
                  <c:v>-29.212341127418195</c:v>
                </c:pt>
                <c:pt idx="21">
                  <c:v>-23.102864483982085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-17.387590506775613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</c:numCache>
            </c:numRef>
          </c:val>
        </c:ser>
        <c:ser>
          <c:idx val="1"/>
          <c:order val="1"/>
          <c:tx>
            <c:strRef>
              <c:f>'graphe fr'!$A$11</c:f>
              <c:strCache>
                <c:ptCount val="1"/>
                <c:pt idx="0">
                  <c:v>Perspective d'évolution du niveau de vie</c:v>
                </c:pt>
              </c:strCache>
            </c:strRef>
          </c:tx>
          <c:marker>
            <c:symbol val="square"/>
            <c:size val="5"/>
          </c:marker>
          <c:cat>
            <c:strRef>
              <c:f>'graphe fr'!$B$8:$AF$8</c:f>
              <c:strCache>
                <c:ptCount val="3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</c:strCache>
            </c:strRef>
          </c:cat>
          <c:val>
            <c:numRef>
              <c:f>'graphe fr'!$B$11:$AF$11</c:f>
              <c:numCache>
                <c:formatCode>#,##0.0</c:formatCode>
                <c:ptCount val="31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8.4334302751112991E-2</c:v>
                </c:pt>
                <c:pt idx="7">
                  <c:v>2.1853913991610052</c:v>
                </c:pt>
                <c:pt idx="8">
                  <c:v>0.39154986438085693</c:v>
                </c:pt>
                <c:pt idx="9">
                  <c:v>2.7314646872285109</c:v>
                </c:pt>
                <c:pt idx="10">
                  <c:v>0.19418325799955102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18.132139936578785</c:v>
                </c:pt>
                <c:pt idx="14">
                  <c:v>11.870106120928302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-4.2068608448306479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-11.389732068783619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-12.672429336417764</c:v>
                </c:pt>
                <c:pt idx="28">
                  <c:v>-8.8537661336825266</c:v>
                </c:pt>
                <c:pt idx="29">
                  <c:v>-7.2727206831161846</c:v>
                </c:pt>
                <c:pt idx="30">
                  <c:v>-7.7131091840762114</c:v>
                </c:pt>
              </c:numCache>
            </c:numRef>
          </c:val>
        </c:ser>
        <c:marker val="1"/>
        <c:axId val="124020224"/>
        <c:axId val="124021760"/>
      </c:lineChart>
      <c:catAx>
        <c:axId val="12402022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24021760"/>
        <c:crosses val="autoZero"/>
        <c:auto val="1"/>
        <c:lblAlgn val="ctr"/>
        <c:lblOffset val="100"/>
      </c:catAx>
      <c:valAx>
        <c:axId val="124021760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crossAx val="124020224"/>
        <c:crosses val="autoZero"/>
        <c:crossBetween val="between"/>
      </c:valAx>
    </c:plotArea>
    <c:legend>
      <c:legendPos val="b"/>
      <c:txPr>
        <a:bodyPr/>
        <a:lstStyle/>
        <a:p>
          <a:pPr>
            <a:defRPr sz="900"/>
          </a:pPr>
          <a:endParaRPr lang="fr-FR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400"/>
            </a:pPr>
            <a:r>
              <a:rPr lang="fr-FR" sz="1400"/>
              <a:t>Perspective d'évolution du nombre de chômeurs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 fr'!$A$9</c:f>
              <c:strCache>
                <c:ptCount val="1"/>
                <c:pt idx="0">
                  <c:v>Perspective d'évolution du nombre de chômeur</c:v>
                </c:pt>
              </c:strCache>
            </c:strRef>
          </c:tx>
          <c:marker>
            <c:symbol val="none"/>
          </c:marker>
          <c:cat>
            <c:strRef>
              <c:f>'graphe fr'!$B$8:$AF$8</c:f>
              <c:strCache>
                <c:ptCount val="3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</c:strCache>
            </c:strRef>
          </c:cat>
          <c:val>
            <c:numRef>
              <c:f>'graphe fr'!$B$9:$AF$9</c:f>
              <c:numCache>
                <c:formatCode>#,##0.0</c:formatCode>
                <c:ptCount val="31"/>
                <c:pt idx="0">
                  <c:v>-52.09569227917931</c:v>
                </c:pt>
                <c:pt idx="1">
                  <c:v>-56.601297669293096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-57.930600458568392</c:v>
                </c:pt>
                <c:pt idx="7">
                  <c:v>-57.517749523976427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-52.335316844022536</c:v>
                </c:pt>
                <c:pt idx="12">
                  <c:v>-52.408437207990296</c:v>
                </c:pt>
                <c:pt idx="13">
                  <c:v>-45.982278486233369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-66.493969881109479</c:v>
                </c:pt>
                <c:pt idx="26">
                  <c:v>-68.825577821249638</c:v>
                </c:pt>
                <c:pt idx="27">
                  <c:v>-68.019160185663324</c:v>
                </c:pt>
                <c:pt idx="28">
                  <c:v>-65.155740215393394</c:v>
                </c:pt>
                <c:pt idx="29">
                  <c:v>-67.056481822589248</c:v>
                </c:pt>
                <c:pt idx="30">
                  <c:v>-66.189276460398091</c:v>
                </c:pt>
              </c:numCache>
            </c:numRef>
          </c:val>
        </c:ser>
        <c:marker val="1"/>
        <c:axId val="124045568"/>
        <c:axId val="124051456"/>
      </c:lineChart>
      <c:catAx>
        <c:axId val="124045568"/>
        <c:scaling>
          <c:orientation val="minMax"/>
        </c:scaling>
        <c:axPos val="b"/>
        <c:tickLblPos val="nextTo"/>
        <c:txPr>
          <a:bodyPr/>
          <a:lstStyle/>
          <a:p>
            <a:pPr>
              <a:defRPr sz="600"/>
            </a:pPr>
            <a:endParaRPr lang="fr-FR"/>
          </a:p>
        </c:txPr>
        <c:crossAx val="124051456"/>
        <c:crosses val="autoZero"/>
        <c:auto val="1"/>
        <c:lblAlgn val="ctr"/>
        <c:lblOffset val="100"/>
      </c:catAx>
      <c:valAx>
        <c:axId val="124051456"/>
        <c:scaling>
          <c:orientation val="minMax"/>
        </c:scaling>
        <c:axPos val="l"/>
        <c:majorGridlines/>
        <c:numFmt formatCode="#,##0.0" sourceLinked="1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124045568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en-US" sz="1400" b="1" i="0" baseline="0"/>
              <a:t>Perceptions par les ménages de l'opportunité d'achat des biens durables</a:t>
            </a:r>
            <a:r>
              <a:rPr lang="fr-FR" sz="1400" b="1" i="0" baseline="0"/>
              <a:t> (soldes d'opinions) </a:t>
            </a:r>
            <a:endParaRPr lang="fr-FR" sz="14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 fr'!$A$12</c:f>
              <c:strCache>
                <c:ptCount val="1"/>
                <c:pt idx="0">
                  <c:v>Opportunité d'achat</c:v>
                </c:pt>
              </c:strCache>
            </c:strRef>
          </c:tx>
          <c:marker>
            <c:symbol val="none"/>
          </c:marker>
          <c:cat>
            <c:strRef>
              <c:f>'graphe fr'!$B$8:$AF$8</c:f>
              <c:strCache>
                <c:ptCount val="3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</c:strCache>
            </c:strRef>
          </c:cat>
          <c:val>
            <c:numRef>
              <c:f>'graphe fr'!$B$12:$AF$12</c:f>
              <c:numCache>
                <c:formatCode>#,##0.0</c:formatCode>
                <c:ptCount val="31"/>
                <c:pt idx="0">
                  <c:v>-30.018449770831737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-41.765350509034015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-37.532519098271976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-39.860076277616599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-37.38858716910039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-28.34824029908166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</c:numCache>
            </c:numRef>
          </c:val>
        </c:ser>
        <c:marker val="1"/>
        <c:axId val="124058240"/>
        <c:axId val="131133824"/>
      </c:lineChart>
      <c:catAx>
        <c:axId val="124058240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31133824"/>
        <c:crosses val="autoZero"/>
        <c:auto val="1"/>
        <c:lblAlgn val="ctr"/>
        <c:lblOffset val="100"/>
      </c:catAx>
      <c:valAx>
        <c:axId val="131133824"/>
        <c:scaling>
          <c:orientation val="minMax"/>
        </c:scaling>
        <c:axPos val="l"/>
        <c:majorGridlines/>
        <c:numFmt formatCode="#,##0.0" sourceLinked="1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24058240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fr-FR" sz="1400" b="1" i="0" baseline="0"/>
              <a:t>Perceptions  par les ménages de leurs situations financières</a:t>
            </a:r>
            <a:endParaRPr lang="fr-FR" sz="1400"/>
          </a:p>
          <a:p>
            <a:pPr algn="ctr">
              <a:defRPr sz="1400"/>
            </a:pPr>
            <a:r>
              <a:rPr lang="fr-FR" sz="1400" b="1" i="0" baseline="0"/>
              <a:t>(soldes d'opinions) </a:t>
            </a:r>
          </a:p>
        </c:rich>
      </c:tx>
    </c:title>
    <c:plotArea>
      <c:layout>
        <c:manualLayout>
          <c:layoutTarget val="inner"/>
          <c:xMode val="edge"/>
          <c:yMode val="edge"/>
          <c:x val="6.8643312075244406E-2"/>
          <c:y val="0.18901654457211325"/>
          <c:w val="0.91046841759315855"/>
          <c:h val="0.58130761125035257"/>
        </c:manualLayout>
      </c:layout>
      <c:lineChart>
        <c:grouping val="standard"/>
        <c:ser>
          <c:idx val="0"/>
          <c:order val="0"/>
          <c:tx>
            <c:strRef>
              <c:f>'graphe fr'!$A$13</c:f>
              <c:strCache>
                <c:ptCount val="1"/>
                <c:pt idx="0">
                  <c:v>Situation financière actuelle des ménages</c:v>
                </c:pt>
              </c:strCache>
            </c:strRef>
          </c:tx>
          <c:marker>
            <c:symbol val="triangle"/>
            <c:size val="5"/>
          </c:marker>
          <c:cat>
            <c:strRef>
              <c:f>'graphe fr'!$B$8:$AF$8</c:f>
              <c:strCache>
                <c:ptCount val="3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</c:strCache>
            </c:strRef>
          </c:cat>
          <c:val>
            <c:numRef>
              <c:f>'graphe fr'!$B$13:$AF$13</c:f>
              <c:numCache>
                <c:formatCode>#,##0.0</c:formatCode>
                <c:ptCount val="31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-28.062624892496274</c:v>
                </c:pt>
                <c:pt idx="12">
                  <c:v>-30.645498931903695</c:v>
                </c:pt>
                <c:pt idx="13">
                  <c:v>-27.092549889444257</c:v>
                </c:pt>
                <c:pt idx="14">
                  <c:v>-24.28899054728441</c:v>
                </c:pt>
                <c:pt idx="15">
                  <c:v>-25.669712181349691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-30.846093343724164</c:v>
                </c:pt>
                <c:pt idx="19">
                  <c:v>-29.426966691861228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-29.484131282651173</c:v>
                </c:pt>
                <c:pt idx="23">
                  <c:v>-29.485585569479909</c:v>
                </c:pt>
                <c:pt idx="24">
                  <c:v>-31.290770339915007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-30.637429411694097</c:v>
                </c:pt>
                <c:pt idx="28">
                  <c:v>-32.404955656558201</c:v>
                </c:pt>
                <c:pt idx="29">
                  <c:v>-27.9</c:v>
                </c:pt>
                <c:pt idx="30">
                  <c:v>-25.071467645625653</c:v>
                </c:pt>
              </c:numCache>
            </c:numRef>
          </c:val>
        </c:ser>
        <c:ser>
          <c:idx val="1"/>
          <c:order val="1"/>
          <c:tx>
            <c:strRef>
              <c:f>'graphe fr'!$A$14</c:f>
              <c:strCache>
                <c:ptCount val="1"/>
                <c:pt idx="0">
                  <c:v>Evolution  passée de la situation financière des ménages</c:v>
                </c:pt>
              </c:strCache>
            </c:strRef>
          </c:tx>
          <c:marker>
            <c:symbol val="none"/>
          </c:marker>
          <c:cat>
            <c:strRef>
              <c:f>'graphe fr'!$B$8:$AF$8</c:f>
              <c:strCache>
                <c:ptCount val="3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</c:strCache>
            </c:strRef>
          </c:cat>
          <c:val>
            <c:numRef>
              <c:f>'graphe fr'!$B$14:$AF$14</c:f>
              <c:numCache>
                <c:formatCode>#,##0.0</c:formatCode>
                <c:ptCount val="31"/>
                <c:pt idx="0">
                  <c:v>-11.760493904860514</c:v>
                </c:pt>
                <c:pt idx="1">
                  <c:v>-11.376439540974202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-18.438210074457313</c:v>
                </c:pt>
                <c:pt idx="5">
                  <c:v>-13.353492384896784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-9.8004349690184291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-21.891965579068547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-29.150994705705731</c:v>
                </c:pt>
                <c:pt idx="28">
                  <c:v>-26.965288381475716</c:v>
                </c:pt>
                <c:pt idx="29">
                  <c:v>-20.216971341645095</c:v>
                </c:pt>
                <c:pt idx="30">
                  <c:v>-20.789363149769219</c:v>
                </c:pt>
              </c:numCache>
            </c:numRef>
          </c:val>
        </c:ser>
        <c:ser>
          <c:idx val="2"/>
          <c:order val="2"/>
          <c:tx>
            <c:strRef>
              <c:f>'graphe fr'!$A$15</c:f>
              <c:strCache>
                <c:ptCount val="1"/>
                <c:pt idx="0">
                  <c:v>Evolution  future de la situation financière des ménages</c:v>
                </c:pt>
              </c:strCache>
            </c:strRef>
          </c:tx>
          <c:marker>
            <c:symbol val="square"/>
            <c:size val="5"/>
          </c:marker>
          <c:cat>
            <c:strRef>
              <c:f>'graphe fr'!$B$8:$AF$8</c:f>
              <c:strCache>
                <c:ptCount val="3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</c:strCache>
            </c:strRef>
          </c:cat>
          <c:val>
            <c:numRef>
              <c:f>'graphe fr'!$B$15:$AF$15</c:f>
              <c:numCache>
                <c:formatCode>#,##0.0</c:formatCode>
                <c:ptCount val="31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26.705941849103141</c:v>
                </c:pt>
                <c:pt idx="4">
                  <c:v>26.769154239001889</c:v>
                </c:pt>
                <c:pt idx="5">
                  <c:v>21.986954089697061</c:v>
                </c:pt>
                <c:pt idx="6">
                  <c:v>17.532817766676544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11.776375704730468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11.230833640450308</c:v>
                </c:pt>
                <c:pt idx="17">
                  <c:v>11.136340416980383</c:v>
                </c:pt>
                <c:pt idx="18">
                  <c:v>7.6658451594012842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-1.7003971659207227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-3.9139038482871626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</c:numCache>
            </c:numRef>
          </c:val>
        </c:ser>
        <c:marker val="1"/>
        <c:axId val="87455616"/>
        <c:axId val="87457152"/>
      </c:lineChart>
      <c:catAx>
        <c:axId val="8745561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87457152"/>
        <c:crosses val="autoZero"/>
        <c:auto val="1"/>
        <c:lblAlgn val="ctr"/>
        <c:lblOffset val="100"/>
      </c:catAx>
      <c:valAx>
        <c:axId val="87457152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/>
            </a:pPr>
            <a:endParaRPr lang="fr-FR"/>
          </a:p>
        </c:txPr>
        <c:crossAx val="8745561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3349623293426888"/>
          <c:y val="0.84358638240080341"/>
          <c:w val="0.6551512538045996"/>
          <c:h val="0.13548155286252891"/>
        </c:manualLayout>
      </c:layout>
      <c:txPr>
        <a:bodyPr/>
        <a:lstStyle/>
        <a:p>
          <a:pPr>
            <a:defRPr sz="900"/>
          </a:pPr>
          <a:endParaRPr lang="fr-FR"/>
        </a:p>
      </c:txPr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400"/>
            </a:pPr>
            <a:r>
              <a:rPr lang="fr-FR" sz="1400" b="1" i="0" baseline="0"/>
              <a:t>Perception des évolutions passée et future des prix des produits alimentaires (soldes d'opinions)</a:t>
            </a:r>
            <a:endParaRPr lang="fr-FR" sz="1400"/>
          </a:p>
        </c:rich>
      </c:tx>
      <c:layout>
        <c:manualLayout>
          <c:xMode val="edge"/>
          <c:yMode val="edge"/>
          <c:x val="0.12986201378082754"/>
          <c:y val="3.8095238095238099E-2"/>
        </c:manualLayout>
      </c:layout>
    </c:title>
    <c:plotArea>
      <c:layout>
        <c:manualLayout>
          <c:layoutTarget val="inner"/>
          <c:xMode val="edge"/>
          <c:yMode val="edge"/>
          <c:x val="6.2122954216600933E-2"/>
          <c:y val="0.2041558441558442"/>
          <c:w val="0.91993616797490063"/>
          <c:h val="0.65702887139108157"/>
        </c:manualLayout>
      </c:layout>
      <c:lineChart>
        <c:grouping val="standard"/>
        <c:ser>
          <c:idx val="0"/>
          <c:order val="0"/>
          <c:tx>
            <c:strRef>
              <c:f>'graphe fr'!$A$19</c:f>
              <c:strCache>
                <c:ptCount val="1"/>
                <c:pt idx="0">
                  <c:v>Evolution  future des prix des produits alimentaires</c:v>
                </c:pt>
              </c:strCache>
            </c:strRef>
          </c:tx>
          <c:marker>
            <c:symbol val="triangle"/>
            <c:size val="5"/>
          </c:marker>
          <c:cat>
            <c:strRef>
              <c:f>'graphe fr'!$B$8:$AF$8</c:f>
              <c:strCache>
                <c:ptCount val="3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</c:strCache>
            </c:strRef>
          </c:cat>
          <c:val>
            <c:numRef>
              <c:f>'graphe fr'!$B$19:$AF$19</c:f>
              <c:numCache>
                <c:formatCode>#,##0.0</c:formatCode>
                <c:ptCount val="31"/>
                <c:pt idx="0">
                  <c:v>-74.061389031284818</c:v>
                </c:pt>
                <c:pt idx="1">
                  <c:v>-77.716574651610529</c:v>
                </c:pt>
                <c:pt idx="2">
                  <c:v>-78.940542419693813</c:v>
                </c:pt>
                <c:pt idx="3">
                  <c:v>-49.653420650313393</c:v>
                </c:pt>
                <c:pt idx="4">
                  <c:v>-34.869529990694446</c:v>
                </c:pt>
                <c:pt idx="5">
                  <c:v>-33.523065681383294</c:v>
                </c:pt>
                <c:pt idx="6">
                  <c:v>-50.919242344766445</c:v>
                </c:pt>
                <c:pt idx="7">
                  <c:v>-47.871947864454484</c:v>
                </c:pt>
                <c:pt idx="8">
                  <c:v>-46.515022811525917</c:v>
                </c:pt>
                <c:pt idx="9">
                  <c:v>-56.832932011427999</c:v>
                </c:pt>
                <c:pt idx="10">
                  <c:v>-62.176731306137</c:v>
                </c:pt>
                <c:pt idx="11">
                  <c:v>-70.131788082403887</c:v>
                </c:pt>
                <c:pt idx="12">
                  <c:v>-73.412747182583587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-72.965887012434621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-73.578371466433552</c:v>
                </c:pt>
                <c:pt idx="19">
                  <c:v>-70.049698245525676</c:v>
                </c:pt>
                <c:pt idx="20">
                  <c:v>-76.09629668730085</c:v>
                </c:pt>
                <c:pt idx="21">
                  <c:v>-73.375476646911324</c:v>
                </c:pt>
                <c:pt idx="22">
                  <c:v>-76.007455926126042</c:v>
                </c:pt>
                <c:pt idx="23">
                  <c:v>-76.048555842624253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-76.898841721729539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</c:numCache>
            </c:numRef>
          </c:val>
        </c:ser>
        <c:ser>
          <c:idx val="1"/>
          <c:order val="1"/>
          <c:tx>
            <c:strRef>
              <c:f>'graphe fr'!$A$20</c:f>
              <c:strCache>
                <c:ptCount val="1"/>
                <c:pt idx="0">
                  <c:v>Evolution  passée des prix des produits alimentaires</c:v>
                </c:pt>
              </c:strCache>
            </c:strRef>
          </c:tx>
          <c:marker>
            <c:symbol val="square"/>
            <c:size val="5"/>
          </c:marker>
          <c:cat>
            <c:strRef>
              <c:f>'graphe fr'!$B$8:$AF$8</c:f>
              <c:strCache>
                <c:ptCount val="3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</c:strCache>
            </c:strRef>
          </c:cat>
          <c:val>
            <c:numRef>
              <c:f>'graphe fr'!$B$20:$AF$20</c:f>
              <c:numCache>
                <c:formatCode>#,##0.0</c:formatCode>
                <c:ptCount val="31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-83.278098478101271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-90.967802162493342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-89.924388392525728</c:v>
                </c:pt>
                <c:pt idx="15">
                  <c:v>-92.495216554147945</c:v>
                </c:pt>
                <c:pt idx="16">
                  <c:v>-91.625316584481453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-91.630328830979394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-84.135715875788804</c:v>
                </c:pt>
                <c:pt idx="26">
                  <c:v>-81.763249669623946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-84.284507159523585</c:v>
                </c:pt>
              </c:numCache>
            </c:numRef>
          </c:val>
        </c:ser>
        <c:marker val="1"/>
        <c:axId val="87489920"/>
        <c:axId val="108467328"/>
      </c:lineChart>
      <c:catAx>
        <c:axId val="8748992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108467328"/>
        <c:crosses val="autoZero"/>
        <c:auto val="1"/>
        <c:lblAlgn val="ctr"/>
        <c:lblOffset val="100"/>
      </c:catAx>
      <c:valAx>
        <c:axId val="108467328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fr-FR"/>
          </a:p>
        </c:txPr>
        <c:crossAx val="87489920"/>
        <c:crossesAt val="1"/>
        <c:crossBetween val="between"/>
      </c:valAx>
    </c:plotArea>
    <c:legend>
      <c:legendPos val="b"/>
      <c:layout>
        <c:manualLayout>
          <c:xMode val="edge"/>
          <c:yMode val="edge"/>
          <c:x val="0.2733574314267489"/>
          <c:y val="0.87697410284211164"/>
          <c:w val="0.5170742079523708"/>
          <c:h val="0.12302589715788922"/>
        </c:manualLayout>
      </c:layout>
      <c:txPr>
        <a:bodyPr/>
        <a:lstStyle/>
        <a:p>
          <a:pPr>
            <a:defRPr sz="800"/>
          </a:pPr>
          <a:endParaRPr lang="fr-FR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435E4-9DB7-4334-A2DD-3619FDD02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1448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9398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user</cp:lastModifiedBy>
  <cp:revision>2</cp:revision>
  <cp:lastPrinted>2015-11-12T11:29:00Z</cp:lastPrinted>
  <dcterms:created xsi:type="dcterms:W3CDTF">2015-11-15T20:03:00Z</dcterms:created>
  <dcterms:modified xsi:type="dcterms:W3CDTF">2015-11-15T20:03:00Z</dcterms:modified>
</cp:coreProperties>
</file>