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Default Extension="gif" ContentType="image/gif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0E76B0" w:rsidP="002A7221">
      <w:r w:rsidRPr="000E76B0">
        <w:rPr>
          <w:rFonts w:eastAsia="Arial Unicode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77" type="#_x0000_t202" style="position:absolute;margin-left:-62.95pt;margin-top:-63.05pt;width:48.75pt;height:97.35pt;z-index:251664384" stroked="f">
            <v:textbox>
              <w:txbxContent>
                <w:p w:rsidR="00AD53FD" w:rsidRDefault="00AD53FD"/>
              </w:txbxContent>
            </v:textbox>
          </v:shape>
        </w:pict>
      </w:r>
      <w:r w:rsidRPr="000E76B0">
        <w:rPr>
          <w:rFonts w:eastAsia="Arial Unicode MS"/>
          <w:noProof/>
        </w:rPr>
        <w:pict>
          <v:shape id="_x0000_s1136" type="#_x0000_t202" style="position:absolute;margin-left:504.8pt;margin-top:-59.65pt;width:43.05pt;height:201.95pt;z-index:251655168" stroked="f">
            <v:textbox style="mso-next-textbox:#_x0000_s1136">
              <w:txbxContent>
                <w:p w:rsidR="00AD53FD" w:rsidRDefault="00AD53FD"/>
              </w:txbxContent>
            </v:textbox>
          </v:shape>
        </w:pict>
      </w:r>
      <w:r w:rsidRPr="000E76B0">
        <w:rPr>
          <w:rFonts w:eastAsia="Arial Unicode MS"/>
          <w:noProof/>
        </w:rPr>
        <w:pict>
          <v:shape id="_x0000_s1133" type="#_x0000_t75" style="position:absolute;margin-left:386.8pt;margin-top:-49.9pt;width:118pt;height:59.3pt;z-index:251652096" wrapcoords="-106 0 -106 21308 21600 21308 21600 0 -106 0">
            <v:imagedata r:id="rId8" o:title=""/>
            <w10:wrap type="tight"/>
          </v:shape>
          <o:OLEObject Type="Embed" ProgID="PBrush" ShapeID="_x0000_s1133" DrawAspect="Content" ObjectID="_1504888794" r:id="rId9"/>
        </w:pict>
      </w:r>
      <w:r>
        <w:pict>
          <v:group id="_x0000_s1029" style="position:absolute;margin-left:-146.55pt;margin-top:-51.45pt;width:910.15pt;height:205.35pt;z-index:251650048" coordorigin="105626194,104688723" coordsize="8335958,3528000">
            <v:shape id="_x0000_s1030" style="position:absolute;left:105682152;top:104688723;width:8280000;height:1871718;mso-wrap-distance-left:2.88pt;mso-wrap-distance-top:2.88pt;mso-wrap-distance-right:2.88pt;mso-wrap-distance-bottom:2.88pt" coordsize="4248000,2160000" path="m4248000,2160000v-456000,-30000,-912000,-60000,-1368000,-360000c2424000,1500000,1992000,660000,1512000,360000,1032000,60000,252000,60000,,e" filled="f" strokecolor="#e36c0a" strokeweight="20pt" o:cliptowrap="t">
              <v:shadow color="#ccc"/>
              <v:path arrowok="t"/>
            </v:shape>
            <v:shape id="_x0000_s1031" style="position:absolute;left:107050152;top:104688723;width:6912000;height:1871718;mso-wrap-distance-left:2.88pt;mso-wrap-distance-top:2.88pt;mso-wrap-distance-right:2.88pt;mso-wrap-distance-bottom:2.88pt" coordsize="5328000,1944000" path="m1008000,144000l3168000,1512000r936000,360000l5328000,1944000,5328000,,,,1008000,144000xe" filled="f" fillcolor="#f28d2c" strokecolor="#e36c0a" o:cliptowrap="t">
              <v:shadow color="#ccc"/>
              <v:path arrowok="t"/>
            </v:shape>
            <v:shape id="_x0000_s1032" style="position:absolute;left:105626194;top:104829689;width:8335958;height:1998140;mso-wrap-distance-left:2.88pt;mso-wrap-distance-top:2.88pt;mso-wrap-distance-right:2.88pt;mso-wrap-distance-bottom:2.88pt" coordsize="4248000,2160000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3" style="position:absolute;left:105708410;top:104861339;width:8197784;height:2152137;mso-wrap-distance-left:2.88pt;mso-wrap-distance-top:2.88pt;mso-wrap-distance-right:2.88pt;mso-wrap-distance-bottom:2.88pt" coordsize="4248000,2160000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4" style="position:absolute;left:105726458;top:104892989;width:8163694;height:2335922;mso-wrap-distance-left:2.88pt;mso-wrap-distance-top:2.88pt;mso-wrap-distance-right:2.88pt;mso-wrap-distance-bottom:2.88pt" coordsize="4248000,2160000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5" style="position:absolute;left:105744506;top:104924639;width:8073646;height:2489919;mso-wrap-distance-left:2.88pt;mso-wrap-distance-top:2.88pt;mso-wrap-distance-right:2.88pt;mso-wrap-distance-bottom:2.88pt" coordsize="4248000,2160000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6" style="position:absolute;left:105762554;top:104956289;width:8039556;height:2658811;mso-wrap-distance-left:2.88pt;mso-wrap-distance-top:2.88pt;mso-wrap-distance-right:2.88pt;mso-wrap-distance-bottom:2.88pt" coordsize="4248000,2160000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7" style="position:absolute;left:105684350;top:104973046;width:8125592;height:2842595;mso-wrap-distance-left:2.88pt;mso-wrap-distance-top:2.88pt;mso-wrap-distance-right:2.88pt;mso-wrap-distance-bottom:2.88pt" coordsize="4248000,2160000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8" style="position:absolute;left:105686356;top:105004696;width:8139628;height:3011486;mso-wrap-distance-left:2.88pt;mso-wrap-distance-top:2.88pt;mso-wrap-distance-right:2.88pt;mso-wrap-distance-bottom:2.88pt" coordsize="4248000,2160000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  <v:shape id="_x0000_s1039" style="position:absolute;left:105720446;top:105036346;width:8065622;height:3180377;mso-wrap-distance-left:2.88pt;mso-wrap-distance-top:2.88pt;mso-wrap-distance-right:2.88pt;mso-wrap-distance-bottom:2.88pt" coordsize="4248000,2160000" path="m4248000,2160000v-456000,-30000,-912000,-60000,-1368000,-360000c2424000,1500000,1992000,660000,1512000,360000,1032000,60000,252000,60000,,e" filled="f" strokecolor="#e36c0a" strokeweight="1pt" o:cliptowrap="t">
              <v:shadow color="#ccc"/>
              <v:path arrowok="t"/>
            </v:shape>
          </v:group>
        </w:pict>
      </w:r>
      <w:r w:rsidRPr="000E76B0">
        <w:rPr>
          <w:rFonts w:eastAsia="Arial Unicode MS"/>
          <w:noProof/>
        </w:rPr>
        <w:pict>
          <v:shape id="_x0000_s1135" type="#_x0000_t202" style="position:absolute;margin-left:-197.2pt;margin-top:-63.05pt;width:59.8pt;height:41pt;z-index:251654144" stroked="f">
            <v:textbox style="mso-next-textbox:#_x0000_s1135">
              <w:txbxContent>
                <w:p w:rsidR="00AD53FD" w:rsidRDefault="00AD53FD"/>
              </w:txbxContent>
            </v:textbox>
          </v:shape>
        </w:pict>
      </w:r>
      <w:r w:rsidR="001A2AA6">
        <w:t xml:space="preserve">       </w:t>
      </w:r>
      <w:r w:rsidR="008B7C79" w:rsidRPr="003A2CE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7C79" w:rsidRPr="003A2CE4" w:rsidRDefault="008B7C79" w:rsidP="003A2CE4">
      <w:pPr>
        <w:jc w:val="both"/>
      </w:pPr>
    </w:p>
    <w:p w:rsidR="008B7C79" w:rsidRPr="003A2CE4" w:rsidRDefault="004249F6" w:rsidP="003A2CE4">
      <w:pPr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145415</wp:posOffset>
            </wp:positionV>
            <wp:extent cx="3902075" cy="805815"/>
            <wp:effectExtent l="19050" t="0" r="3175" b="0"/>
            <wp:wrapTight wrapText="bothSides">
              <wp:wrapPolygon edited="0">
                <wp:start x="-105" y="0"/>
                <wp:lineTo x="-105" y="20936"/>
                <wp:lineTo x="21618" y="20936"/>
                <wp:lineTo x="21618" y="0"/>
                <wp:lineTo x="-105" y="0"/>
              </wp:wrapPolygon>
            </wp:wrapTight>
            <wp:docPr id="352" name="Imag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0E76B0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  <w:r w:rsidRPr="000E76B0">
        <w:rPr>
          <w:noProof/>
        </w:rPr>
        <w:pict>
          <v:shape id="_x0000_s1132" type="#_x0000_t202" style="position:absolute;left:0;text-align:left;margin-left:-67.85pt;margin-top:25.25pt;width:143.1pt;height:22.5pt;z-index:251651072" stroked="f">
            <v:textbox style="mso-next-textbox:#_x0000_s1132">
              <w:txbxContent>
                <w:p w:rsidR="00AD53FD" w:rsidRPr="00305B12" w:rsidRDefault="00B77653" w:rsidP="003A2CE4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Septembre </w:t>
                  </w:r>
                  <w:r w:rsidR="00AD53FD" w:rsidRPr="00305B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2015</w:t>
                  </w:r>
                </w:p>
              </w:txbxContent>
            </v:textbox>
          </v:shape>
        </w:pict>
      </w:r>
      <w:r w:rsidRPr="000E76B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74" type="#_x0000_t32" style="position:absolute;left:0;text-align:left;margin-left:-310.2pt;margin-top:19.7pt;width:371.15pt;height:4.7pt;flip:y;z-index:251662336" o:connectortype="straight" strokecolor="#e36c0a"/>
        </w:pict>
      </w:r>
    </w:p>
    <w:bookmarkEnd w:id="0"/>
    <w:p w:rsidR="00302E80" w:rsidRDefault="00302E80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</w:p>
    <w:p w:rsidR="00302E80" w:rsidRDefault="00302E80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</w:p>
    <w:p w:rsidR="00302E80" w:rsidRDefault="00302E80" w:rsidP="00F75DAA">
      <w:pPr>
        <w:spacing w:after="240" w:line="276" w:lineRule="auto"/>
        <w:ind w:right="-1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</w:p>
    <w:p w:rsidR="003A2CE4" w:rsidRPr="008F3532" w:rsidRDefault="00006861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 w:rsidRPr="008F3532">
        <w:rPr>
          <w:rFonts w:ascii="Trebuchet MS" w:eastAsia="Arial Unicode MS" w:hAnsi="Trebuchet MS"/>
          <w:b/>
          <w:bCs/>
          <w:color w:val="660033"/>
          <w:sz w:val="28"/>
          <w:szCs w:val="28"/>
        </w:rPr>
        <w:t>Appréciation</w:t>
      </w:r>
      <w:r w:rsidR="00FC6CB3" w:rsidRPr="008F3532">
        <w:rPr>
          <w:rFonts w:ascii="Trebuchet MS" w:eastAsia="Arial Unicode MS" w:hAnsi="Trebuchet MS"/>
          <w:b/>
          <w:bCs/>
          <w:color w:val="660033"/>
          <w:sz w:val="28"/>
          <w:szCs w:val="28"/>
        </w:rPr>
        <w:t>s</w:t>
      </w:r>
      <w:r w:rsidRPr="008F353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</w:t>
      </w:r>
      <w:r w:rsidR="008F3532" w:rsidRPr="008F353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des chefs d’entreprises </w:t>
      </w:r>
      <w:r w:rsidR="00600F6D" w:rsidRPr="008F353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pour le </w:t>
      </w:r>
      <w:r w:rsidR="00006DD3" w:rsidRPr="008F3532">
        <w:rPr>
          <w:rFonts w:ascii="Trebuchet MS" w:eastAsia="Arial Unicode MS" w:hAnsi="Trebuchet MS"/>
          <w:b/>
          <w:bCs/>
          <w:color w:val="660033"/>
          <w:sz w:val="28"/>
          <w:szCs w:val="28"/>
        </w:rPr>
        <w:t>deuxième</w:t>
      </w:r>
      <w:r w:rsidR="00600F6D" w:rsidRPr="008F353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trimestre 2015</w:t>
      </w:r>
    </w:p>
    <w:p w:rsidR="003A2CE4" w:rsidRDefault="00EF16E4" w:rsidP="003A2CE4">
      <w:pPr>
        <w:spacing w:before="120" w:after="120" w:line="276" w:lineRule="auto"/>
        <w:ind w:firstLine="346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3195955</wp:posOffset>
            </wp:positionH>
            <wp:positionV relativeFrom="margin">
              <wp:posOffset>3316605</wp:posOffset>
            </wp:positionV>
            <wp:extent cx="3001645" cy="2863850"/>
            <wp:effectExtent l="0" t="0" r="0" b="0"/>
            <wp:wrapSquare wrapText="bothSides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3A2CE4" w:rsidRPr="003A2CE4" w:rsidRDefault="003A2CE4" w:rsidP="003A2CE4">
      <w:pPr>
        <w:spacing w:before="120" w:after="120" w:line="276" w:lineRule="auto"/>
        <w:ind w:firstLine="346"/>
        <w:jc w:val="both"/>
        <w:rPr>
          <w:rFonts w:eastAsia="Arial Unicode MS"/>
        </w:rPr>
        <w:sectPr w:rsidR="003A2CE4" w:rsidRPr="003A2CE4" w:rsidSect="00C67995">
          <w:footerReference w:type="default" r:id="rId12"/>
          <w:footerReference w:type="first" r:id="rId13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95483F" w:rsidRDefault="003A2CE4" w:rsidP="002A7221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FF24EF">
        <w:rPr>
          <w:rFonts w:eastAsia="Arial Unicode MS"/>
          <w:sz w:val="22"/>
          <w:szCs w:val="22"/>
        </w:rPr>
        <w:lastRenderedPageBreak/>
        <w:t xml:space="preserve">Au </w:t>
      </w:r>
      <w:r w:rsidR="00EC1447">
        <w:rPr>
          <w:rFonts w:eastAsia="Arial Unicode MS"/>
          <w:sz w:val="22"/>
          <w:szCs w:val="22"/>
        </w:rPr>
        <w:t>deuxième</w:t>
      </w:r>
      <w:r w:rsidR="00302E80">
        <w:rPr>
          <w:rFonts w:eastAsia="Arial Unicode MS"/>
          <w:sz w:val="22"/>
          <w:szCs w:val="22"/>
        </w:rPr>
        <w:t xml:space="preserve"> </w:t>
      </w:r>
      <w:r w:rsidRPr="00FF24EF">
        <w:rPr>
          <w:rFonts w:eastAsia="Arial Unicode MS"/>
          <w:sz w:val="22"/>
          <w:szCs w:val="22"/>
        </w:rPr>
        <w:t>trimestre 2015, la production</w:t>
      </w:r>
      <w:r w:rsidR="00D00354">
        <w:rPr>
          <w:rFonts w:eastAsia="Arial Unicode MS"/>
          <w:sz w:val="22"/>
          <w:szCs w:val="22"/>
        </w:rPr>
        <w:t xml:space="preserve"> </w:t>
      </w:r>
      <w:r w:rsidR="00D00354" w:rsidRPr="00801153">
        <w:rPr>
          <w:rFonts w:eastAsia="Arial Unicode MS"/>
          <w:b/>
          <w:bCs/>
          <w:color w:val="660033"/>
          <w:sz w:val="22"/>
          <w:szCs w:val="22"/>
        </w:rPr>
        <w:t>industrielle</w:t>
      </w:r>
      <w:r w:rsidR="00801153">
        <w:rPr>
          <w:rFonts w:eastAsia="Arial Unicode MS"/>
          <w:b/>
          <w:bCs/>
          <w:color w:val="660033"/>
          <w:sz w:val="22"/>
          <w:szCs w:val="22"/>
        </w:rPr>
        <w:t xml:space="preserve"> manufacturière </w:t>
      </w:r>
      <w:r w:rsidRPr="00FF24EF">
        <w:rPr>
          <w:rFonts w:eastAsia="Arial Unicode MS"/>
          <w:sz w:val="22"/>
          <w:szCs w:val="22"/>
        </w:rPr>
        <w:t xml:space="preserve">aurait </w:t>
      </w:r>
      <w:r w:rsidR="009D5321" w:rsidRPr="00801153">
        <w:rPr>
          <w:rFonts w:eastAsia="Arial Unicode MS"/>
          <w:sz w:val="22"/>
          <w:szCs w:val="22"/>
        </w:rPr>
        <w:t>connu</w:t>
      </w:r>
      <w:r w:rsidR="002A7221">
        <w:rPr>
          <w:rFonts w:eastAsia="Arial Unicode MS"/>
          <w:sz w:val="22"/>
          <w:szCs w:val="22"/>
        </w:rPr>
        <w:t xml:space="preserve">, </w:t>
      </w:r>
      <w:r w:rsidR="00801153" w:rsidRPr="00801153">
        <w:rPr>
          <w:rFonts w:eastAsia="Arial Unicode MS"/>
          <w:sz w:val="22"/>
          <w:szCs w:val="22"/>
        </w:rPr>
        <w:t>selon 35% des patrons</w:t>
      </w:r>
      <w:r w:rsidR="002A7221">
        <w:rPr>
          <w:rFonts w:eastAsia="Arial Unicode MS"/>
          <w:sz w:val="22"/>
          <w:szCs w:val="22"/>
        </w:rPr>
        <w:t xml:space="preserve">, </w:t>
      </w:r>
      <w:r w:rsidR="009D5321" w:rsidRPr="00801153">
        <w:rPr>
          <w:rFonts w:eastAsia="Arial Unicode MS"/>
          <w:sz w:val="22"/>
          <w:szCs w:val="22"/>
        </w:rPr>
        <w:t xml:space="preserve">une hausse </w:t>
      </w:r>
      <w:r w:rsidR="002A7221">
        <w:rPr>
          <w:rFonts w:eastAsia="Arial Unicode MS"/>
          <w:sz w:val="22"/>
          <w:szCs w:val="22"/>
        </w:rPr>
        <w:t xml:space="preserve">et, </w:t>
      </w:r>
      <w:r w:rsidR="00801153" w:rsidRPr="00801153">
        <w:rPr>
          <w:rFonts w:eastAsia="Arial Unicode MS"/>
          <w:sz w:val="22"/>
          <w:szCs w:val="22"/>
        </w:rPr>
        <w:t>selon 21%</w:t>
      </w:r>
      <w:r w:rsidR="002A7221">
        <w:rPr>
          <w:rFonts w:eastAsia="Arial Unicode MS"/>
          <w:sz w:val="22"/>
          <w:szCs w:val="22"/>
        </w:rPr>
        <w:t xml:space="preserve">, </w:t>
      </w:r>
      <w:r w:rsidR="009D5321" w:rsidRPr="00801153">
        <w:rPr>
          <w:rFonts w:eastAsia="Arial Unicode MS"/>
          <w:sz w:val="22"/>
          <w:szCs w:val="22"/>
        </w:rPr>
        <w:t>plutôt une baisse</w:t>
      </w:r>
      <w:r w:rsidRPr="00801153">
        <w:rPr>
          <w:rFonts w:eastAsia="Arial Unicode MS"/>
          <w:sz w:val="22"/>
          <w:szCs w:val="22"/>
        </w:rPr>
        <w:t>.</w:t>
      </w:r>
      <w:r w:rsidRPr="00FF24EF">
        <w:rPr>
          <w:rFonts w:eastAsia="Arial Unicode MS"/>
          <w:sz w:val="22"/>
          <w:szCs w:val="22"/>
        </w:rPr>
        <w:t xml:space="preserve"> </w:t>
      </w:r>
      <w:r w:rsidR="008758DE">
        <w:rPr>
          <w:rFonts w:eastAsia="Arial Unicode MS"/>
          <w:sz w:val="22"/>
          <w:szCs w:val="22"/>
        </w:rPr>
        <w:t xml:space="preserve">Au total, une </w:t>
      </w:r>
      <w:r w:rsidRPr="00FF24EF">
        <w:rPr>
          <w:rFonts w:eastAsia="Arial Unicode MS"/>
          <w:sz w:val="22"/>
          <w:szCs w:val="22"/>
        </w:rPr>
        <w:t xml:space="preserve">légère </w:t>
      </w:r>
      <w:r w:rsidR="009D5321">
        <w:rPr>
          <w:rFonts w:eastAsia="Arial Unicode MS"/>
          <w:sz w:val="22"/>
          <w:szCs w:val="22"/>
        </w:rPr>
        <w:t>amélioration</w:t>
      </w:r>
      <w:r w:rsidRPr="00FF24EF"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sz w:val="22"/>
          <w:szCs w:val="22"/>
        </w:rPr>
        <w:t xml:space="preserve">aurait </w:t>
      </w:r>
      <w:r w:rsidR="009D5321" w:rsidRPr="00801153">
        <w:rPr>
          <w:rFonts w:eastAsia="Arial Unicode MS"/>
          <w:sz w:val="22"/>
          <w:szCs w:val="22"/>
        </w:rPr>
        <w:t>été enregistrée, attribuable principalement</w:t>
      </w:r>
      <w:r w:rsidRPr="00801153">
        <w:rPr>
          <w:rFonts w:eastAsia="Arial Unicode MS"/>
          <w:sz w:val="22"/>
          <w:szCs w:val="22"/>
        </w:rPr>
        <w:t xml:space="preserve"> </w:t>
      </w:r>
      <w:r w:rsidR="009D5321" w:rsidRPr="00801153">
        <w:rPr>
          <w:rFonts w:eastAsia="Arial Unicode MS"/>
          <w:sz w:val="22"/>
          <w:szCs w:val="22"/>
        </w:rPr>
        <w:t>à une</w:t>
      </w:r>
      <w:r w:rsidRPr="00FF24EF">
        <w:rPr>
          <w:rFonts w:eastAsia="Arial Unicode MS"/>
          <w:sz w:val="22"/>
          <w:szCs w:val="22"/>
        </w:rPr>
        <w:t xml:space="preserve"> </w:t>
      </w:r>
      <w:r w:rsidR="009D5321">
        <w:rPr>
          <w:rFonts w:eastAsia="Arial Unicode MS"/>
          <w:sz w:val="22"/>
          <w:szCs w:val="22"/>
        </w:rPr>
        <w:t>augmentation</w:t>
      </w:r>
      <w:r w:rsidR="008758DE">
        <w:rPr>
          <w:rFonts w:eastAsia="Arial Unicode MS"/>
          <w:sz w:val="22"/>
          <w:szCs w:val="22"/>
        </w:rPr>
        <w:t xml:space="preserve"> </w:t>
      </w:r>
      <w:r w:rsidRPr="00FF24EF">
        <w:rPr>
          <w:rFonts w:eastAsia="Arial Unicode MS"/>
          <w:sz w:val="22"/>
          <w:szCs w:val="22"/>
        </w:rPr>
        <w:t>de la production dans les branches d’activités</w:t>
      </w:r>
      <w:r w:rsidR="00302E80">
        <w:rPr>
          <w:rFonts w:eastAsia="Arial Unicode MS"/>
          <w:sz w:val="22"/>
          <w:szCs w:val="22"/>
        </w:rPr>
        <w:t xml:space="preserve"> de</w:t>
      </w:r>
      <w:r w:rsidR="007D09FF">
        <w:rPr>
          <w:rFonts w:eastAsia="Arial Unicode MS"/>
          <w:sz w:val="22"/>
          <w:szCs w:val="22"/>
        </w:rPr>
        <w:t>s</w:t>
      </w:r>
      <w:r w:rsidR="00302E80">
        <w:rPr>
          <w:rFonts w:eastAsia="Arial Unicode MS"/>
          <w:sz w:val="22"/>
          <w:szCs w:val="22"/>
        </w:rPr>
        <w:t xml:space="preserve"> </w:t>
      </w:r>
      <w:r w:rsidRPr="00FF24EF">
        <w:rPr>
          <w:rFonts w:eastAsia="Arial Unicode MS"/>
          <w:sz w:val="22"/>
          <w:szCs w:val="22"/>
        </w:rPr>
        <w:t>«</w:t>
      </w:r>
      <w:r w:rsidR="00006861">
        <w:rPr>
          <w:rFonts w:eastAsia="Arial Unicode MS"/>
          <w:sz w:val="22"/>
          <w:szCs w:val="22"/>
        </w:rPr>
        <w:t>Industrie</w:t>
      </w:r>
      <w:r w:rsidR="007D09FF">
        <w:rPr>
          <w:rFonts w:eastAsia="Arial Unicode MS"/>
          <w:sz w:val="22"/>
          <w:szCs w:val="22"/>
        </w:rPr>
        <w:t>s</w:t>
      </w:r>
      <w:r w:rsidR="00006861">
        <w:rPr>
          <w:rFonts w:eastAsia="Arial Unicode MS"/>
          <w:sz w:val="22"/>
          <w:szCs w:val="22"/>
        </w:rPr>
        <w:t xml:space="preserve"> </w:t>
      </w:r>
      <w:r w:rsidR="007D09FF">
        <w:rPr>
          <w:rFonts w:eastAsia="Arial Unicode MS"/>
          <w:sz w:val="22"/>
          <w:szCs w:val="22"/>
        </w:rPr>
        <w:t>alimentaires</w:t>
      </w:r>
      <w:r w:rsidR="00006861">
        <w:rPr>
          <w:rFonts w:eastAsia="Arial Unicode MS"/>
          <w:sz w:val="22"/>
          <w:szCs w:val="22"/>
        </w:rPr>
        <w:t>»</w:t>
      </w:r>
      <w:r w:rsidR="00302E80">
        <w:rPr>
          <w:rFonts w:eastAsia="Arial Unicode MS"/>
          <w:sz w:val="22"/>
          <w:szCs w:val="22"/>
        </w:rPr>
        <w:t xml:space="preserve"> </w:t>
      </w:r>
      <w:r w:rsidR="00006861">
        <w:rPr>
          <w:rFonts w:eastAsia="Arial Unicode MS"/>
          <w:sz w:val="22"/>
          <w:szCs w:val="22"/>
        </w:rPr>
        <w:t xml:space="preserve">et </w:t>
      </w:r>
      <w:r w:rsidRPr="00FF24EF">
        <w:rPr>
          <w:rFonts w:eastAsia="Arial Unicode MS"/>
          <w:sz w:val="22"/>
          <w:szCs w:val="22"/>
        </w:rPr>
        <w:t>de</w:t>
      </w:r>
      <w:r w:rsidR="00302E80">
        <w:rPr>
          <w:rFonts w:eastAsia="Arial Unicode MS"/>
          <w:sz w:val="22"/>
          <w:szCs w:val="22"/>
        </w:rPr>
        <w:t xml:space="preserve"> </w:t>
      </w:r>
      <w:r w:rsidR="00983318">
        <w:rPr>
          <w:rFonts w:eastAsia="Arial Unicode MS"/>
          <w:sz w:val="22"/>
          <w:szCs w:val="22"/>
        </w:rPr>
        <w:t>la</w:t>
      </w:r>
      <w:r w:rsidR="002A7221">
        <w:rPr>
          <w:rFonts w:eastAsia="Arial Unicode MS"/>
          <w:sz w:val="22"/>
          <w:szCs w:val="22"/>
        </w:rPr>
        <w:t xml:space="preserve">          </w:t>
      </w:r>
      <w:r w:rsidRPr="00FF24EF">
        <w:rPr>
          <w:rFonts w:eastAsia="Arial Unicode MS"/>
          <w:sz w:val="22"/>
          <w:szCs w:val="22"/>
        </w:rPr>
        <w:t>«</w:t>
      </w:r>
      <w:r w:rsidR="00983318">
        <w:rPr>
          <w:rFonts w:eastAsia="Arial Unicode MS"/>
          <w:sz w:val="22"/>
          <w:szCs w:val="22"/>
        </w:rPr>
        <w:t xml:space="preserve">fabrication </w:t>
      </w:r>
      <w:r w:rsidR="007D09FF">
        <w:rPr>
          <w:rFonts w:eastAsia="Arial Unicode MS"/>
          <w:sz w:val="22"/>
          <w:szCs w:val="22"/>
        </w:rPr>
        <w:t>d’autres produits minéraux non métalliques</w:t>
      </w:r>
      <w:r w:rsidRPr="00FF24EF">
        <w:rPr>
          <w:rFonts w:eastAsia="Arial Unicode MS"/>
          <w:sz w:val="22"/>
          <w:szCs w:val="22"/>
        </w:rPr>
        <w:t xml:space="preserve">». </w:t>
      </w:r>
    </w:p>
    <w:p w:rsidR="003A2CE4" w:rsidRPr="00CE3972" w:rsidRDefault="00EF16E4" w:rsidP="002A7221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3169920</wp:posOffset>
            </wp:positionH>
            <wp:positionV relativeFrom="margin">
              <wp:posOffset>6362065</wp:posOffset>
            </wp:positionV>
            <wp:extent cx="2907030" cy="2768600"/>
            <wp:effectExtent l="0" t="0" r="0" b="0"/>
            <wp:wrapSquare wrapText="bothSides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D75067" w:rsidRPr="00FF24EF">
        <w:rPr>
          <w:rFonts w:eastAsia="Arial Unicode MS"/>
          <w:sz w:val="22"/>
          <w:szCs w:val="22"/>
        </w:rPr>
        <w:t xml:space="preserve">Les carnets de commandes </w:t>
      </w:r>
      <w:r w:rsidR="00D75067">
        <w:rPr>
          <w:rFonts w:eastAsia="Arial Unicode MS"/>
          <w:sz w:val="22"/>
          <w:szCs w:val="22"/>
        </w:rPr>
        <w:t xml:space="preserve">du secteur </w:t>
      </w:r>
      <w:r w:rsidR="00D75067" w:rsidRPr="00FF24EF">
        <w:rPr>
          <w:rFonts w:eastAsia="Arial Unicode MS"/>
          <w:sz w:val="22"/>
          <w:szCs w:val="22"/>
        </w:rPr>
        <w:t xml:space="preserve">ont été jugés d’un niveau normal par </w:t>
      </w:r>
      <w:r w:rsidR="00D75067">
        <w:rPr>
          <w:rFonts w:eastAsia="Arial Unicode MS"/>
          <w:sz w:val="22"/>
          <w:szCs w:val="22"/>
        </w:rPr>
        <w:t xml:space="preserve">62% des chefs d’entreprises </w:t>
      </w:r>
      <w:r w:rsidR="002A7221">
        <w:rPr>
          <w:rFonts w:eastAsia="Arial Unicode MS"/>
          <w:sz w:val="22"/>
          <w:szCs w:val="22"/>
        </w:rPr>
        <w:t>et</w:t>
      </w:r>
      <w:r w:rsidR="00D75067" w:rsidRPr="00FF24EF">
        <w:rPr>
          <w:rFonts w:eastAsia="Arial Unicode MS"/>
          <w:sz w:val="22"/>
          <w:szCs w:val="22"/>
        </w:rPr>
        <w:t xml:space="preserve"> peu garni</w:t>
      </w:r>
      <w:r w:rsidR="00D75067">
        <w:rPr>
          <w:rFonts w:eastAsia="Arial Unicode MS"/>
          <w:sz w:val="22"/>
          <w:szCs w:val="22"/>
        </w:rPr>
        <w:t>s</w:t>
      </w:r>
      <w:r w:rsidR="00D75067" w:rsidRPr="00FF24EF">
        <w:rPr>
          <w:rFonts w:eastAsia="Arial Unicode MS"/>
          <w:sz w:val="22"/>
          <w:szCs w:val="22"/>
        </w:rPr>
        <w:t xml:space="preserve"> par 3</w:t>
      </w:r>
      <w:r w:rsidR="00D75067">
        <w:rPr>
          <w:rFonts w:eastAsia="Arial Unicode MS"/>
          <w:sz w:val="22"/>
          <w:szCs w:val="22"/>
        </w:rPr>
        <w:t>1</w:t>
      </w:r>
      <w:r w:rsidR="007D2263">
        <w:rPr>
          <w:rFonts w:eastAsia="Arial Unicode MS"/>
          <w:sz w:val="22"/>
          <w:szCs w:val="22"/>
        </w:rPr>
        <w:t>%</w:t>
      </w:r>
      <w:r w:rsidR="0095483F">
        <w:rPr>
          <w:rFonts w:eastAsia="Arial Unicode MS"/>
          <w:sz w:val="22"/>
          <w:szCs w:val="22"/>
        </w:rPr>
        <w:t xml:space="preserve">. </w:t>
      </w:r>
      <w:r w:rsidR="0095483F" w:rsidRPr="00801153">
        <w:rPr>
          <w:rFonts w:eastAsia="Arial Unicode MS"/>
          <w:sz w:val="22"/>
          <w:szCs w:val="22"/>
        </w:rPr>
        <w:t>Quant à</w:t>
      </w:r>
      <w:r w:rsidR="0095483F">
        <w:rPr>
          <w:rFonts w:eastAsia="Arial Unicode MS"/>
          <w:sz w:val="22"/>
          <w:szCs w:val="22"/>
        </w:rPr>
        <w:t xml:space="preserve"> </w:t>
      </w:r>
      <w:r w:rsidR="00FF24EF" w:rsidRPr="00FF24EF">
        <w:rPr>
          <w:rFonts w:eastAsia="Arial Unicode MS"/>
          <w:sz w:val="22"/>
          <w:szCs w:val="22"/>
        </w:rPr>
        <w:t>l’emp</w:t>
      </w:r>
      <w:r w:rsidR="00480B1C">
        <w:rPr>
          <w:rFonts w:eastAsia="Arial Unicode MS"/>
          <w:sz w:val="22"/>
          <w:szCs w:val="22"/>
        </w:rPr>
        <w:t>loi</w:t>
      </w:r>
      <w:r w:rsidR="001F2033">
        <w:rPr>
          <w:rFonts w:eastAsia="Arial Unicode MS"/>
          <w:sz w:val="22"/>
          <w:szCs w:val="22"/>
        </w:rPr>
        <w:t>, il</w:t>
      </w:r>
      <w:r w:rsidR="00480B1C">
        <w:rPr>
          <w:rFonts w:eastAsia="Arial Unicode MS"/>
          <w:sz w:val="22"/>
          <w:szCs w:val="22"/>
        </w:rPr>
        <w:t xml:space="preserve"> aurait connu</w:t>
      </w:r>
      <w:r w:rsidR="002A7221">
        <w:rPr>
          <w:rFonts w:eastAsia="Arial Unicode MS"/>
          <w:sz w:val="22"/>
          <w:szCs w:val="22"/>
        </w:rPr>
        <w:t xml:space="preserve">, </w:t>
      </w:r>
      <w:r w:rsidR="005D0DC1">
        <w:rPr>
          <w:rFonts w:eastAsia="Arial Unicode MS"/>
          <w:sz w:val="22"/>
          <w:szCs w:val="22"/>
        </w:rPr>
        <w:t>selon 34% des patrons</w:t>
      </w:r>
      <w:r w:rsidR="002A7221">
        <w:rPr>
          <w:rFonts w:eastAsia="Arial Unicode MS"/>
          <w:sz w:val="22"/>
          <w:szCs w:val="22"/>
        </w:rPr>
        <w:t xml:space="preserve">, </w:t>
      </w:r>
      <w:r w:rsidR="00480B1C">
        <w:rPr>
          <w:rFonts w:eastAsia="Arial Unicode MS"/>
          <w:sz w:val="22"/>
          <w:szCs w:val="22"/>
        </w:rPr>
        <w:t xml:space="preserve">une </w:t>
      </w:r>
      <w:r w:rsidR="001F2033">
        <w:rPr>
          <w:rFonts w:eastAsia="Arial Unicode MS"/>
          <w:sz w:val="22"/>
          <w:szCs w:val="22"/>
        </w:rPr>
        <w:t xml:space="preserve">hausse </w:t>
      </w:r>
      <w:r w:rsidR="00480B1C" w:rsidRPr="00801153">
        <w:rPr>
          <w:rFonts w:eastAsia="Arial Unicode MS"/>
          <w:sz w:val="22"/>
          <w:szCs w:val="22"/>
        </w:rPr>
        <w:t>et</w:t>
      </w:r>
      <w:r w:rsidR="002A7221">
        <w:rPr>
          <w:rFonts w:eastAsia="Arial Unicode MS"/>
          <w:sz w:val="22"/>
          <w:szCs w:val="22"/>
        </w:rPr>
        <w:t xml:space="preserve">, </w:t>
      </w:r>
      <w:r w:rsidR="002A7221" w:rsidRPr="00801153">
        <w:rPr>
          <w:rFonts w:eastAsia="Arial Unicode MS"/>
          <w:sz w:val="22"/>
          <w:szCs w:val="22"/>
        </w:rPr>
        <w:t>selon 32%</w:t>
      </w:r>
      <w:r w:rsidR="002A7221">
        <w:rPr>
          <w:rFonts w:eastAsia="Arial Unicode MS"/>
          <w:sz w:val="22"/>
          <w:szCs w:val="22"/>
        </w:rPr>
        <w:t xml:space="preserve">, </w:t>
      </w:r>
      <w:r w:rsidR="00D75067" w:rsidRPr="00801153">
        <w:rPr>
          <w:rFonts w:eastAsia="Arial Unicode MS"/>
          <w:sz w:val="22"/>
          <w:szCs w:val="22"/>
        </w:rPr>
        <w:t>une baisse</w:t>
      </w:r>
      <w:r w:rsidR="00FF24EF" w:rsidRPr="00801153">
        <w:rPr>
          <w:rFonts w:eastAsia="Arial Unicode MS"/>
          <w:sz w:val="22"/>
          <w:szCs w:val="22"/>
        </w:rPr>
        <w:t xml:space="preserve">. </w:t>
      </w:r>
      <w:r w:rsidR="00FF24EF" w:rsidRPr="00FF24EF">
        <w:rPr>
          <w:rFonts w:eastAsia="Arial Unicode MS"/>
          <w:sz w:val="22"/>
          <w:szCs w:val="22"/>
        </w:rPr>
        <w:t xml:space="preserve">Dans ce contexte, </w:t>
      </w:r>
      <w:r w:rsidR="00FF24EF" w:rsidRPr="00CE3972">
        <w:rPr>
          <w:rFonts w:eastAsia="Arial Unicode MS"/>
          <w:sz w:val="22"/>
          <w:szCs w:val="22"/>
        </w:rPr>
        <w:t>le taux d’utilisation de la capacité productive (TUC) se serait établi à 7</w:t>
      </w:r>
      <w:r w:rsidR="00CE3972" w:rsidRPr="00CE3972">
        <w:rPr>
          <w:rFonts w:eastAsia="Arial Unicode MS"/>
          <w:sz w:val="22"/>
          <w:szCs w:val="22"/>
        </w:rPr>
        <w:t>6</w:t>
      </w:r>
      <w:r w:rsidR="00FF24EF" w:rsidRPr="00CE3972">
        <w:rPr>
          <w:rFonts w:eastAsia="Arial Unicode MS"/>
          <w:sz w:val="22"/>
          <w:szCs w:val="22"/>
        </w:rPr>
        <w:t xml:space="preserve">% au </w:t>
      </w:r>
      <w:r w:rsidR="00FF3DF1" w:rsidRPr="00CE3972">
        <w:rPr>
          <w:rFonts w:eastAsia="Arial Unicode MS"/>
          <w:sz w:val="22"/>
          <w:szCs w:val="22"/>
        </w:rPr>
        <w:t>deuxième</w:t>
      </w:r>
      <w:r w:rsidR="00480B1C" w:rsidRPr="00CE3972">
        <w:rPr>
          <w:rFonts w:eastAsia="Arial Unicode MS"/>
          <w:sz w:val="22"/>
          <w:szCs w:val="22"/>
        </w:rPr>
        <w:t xml:space="preserve"> </w:t>
      </w:r>
      <w:r w:rsidR="00FF24EF" w:rsidRPr="00CE3972">
        <w:rPr>
          <w:rFonts w:eastAsia="Arial Unicode MS"/>
          <w:sz w:val="22"/>
          <w:szCs w:val="22"/>
        </w:rPr>
        <w:t xml:space="preserve">trimestre 2015. </w:t>
      </w:r>
    </w:p>
    <w:p w:rsidR="00FF24EF" w:rsidRPr="00FF24EF" w:rsidRDefault="00FF24EF" w:rsidP="00302E80">
      <w:pPr>
        <w:jc w:val="both"/>
        <w:rPr>
          <w:rFonts w:eastAsia="Arial Unicode MS"/>
          <w:sz w:val="22"/>
          <w:szCs w:val="22"/>
        </w:rPr>
      </w:pPr>
    </w:p>
    <w:p w:rsidR="003A2CE4" w:rsidRPr="00FF24EF" w:rsidRDefault="003A2CE4" w:rsidP="004A2AD5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FF24EF">
        <w:rPr>
          <w:rFonts w:eastAsia="Arial Unicode MS"/>
          <w:sz w:val="22"/>
          <w:szCs w:val="22"/>
        </w:rPr>
        <w:t xml:space="preserve">La production du secteur de </w:t>
      </w:r>
      <w:r w:rsidRPr="00801153"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 w:rsidRPr="00FF24EF">
        <w:rPr>
          <w:rFonts w:eastAsia="Arial Unicode MS"/>
          <w:sz w:val="22"/>
          <w:szCs w:val="22"/>
        </w:rPr>
        <w:t xml:space="preserve"> aurait</w:t>
      </w:r>
      <w:r w:rsidR="008758DE">
        <w:rPr>
          <w:rFonts w:eastAsia="Arial Unicode MS"/>
          <w:sz w:val="22"/>
          <w:szCs w:val="22"/>
        </w:rPr>
        <w:t xml:space="preserve">, en revanche, </w:t>
      </w:r>
      <w:r w:rsidR="00DE26C3" w:rsidRPr="00801153">
        <w:rPr>
          <w:rFonts w:eastAsia="Arial Unicode MS"/>
          <w:sz w:val="22"/>
          <w:szCs w:val="22"/>
        </w:rPr>
        <w:t>affiché</w:t>
      </w:r>
      <w:r w:rsidR="004249F6" w:rsidRPr="00801153">
        <w:rPr>
          <w:rFonts w:eastAsia="Arial Unicode MS"/>
          <w:sz w:val="22"/>
          <w:szCs w:val="22"/>
        </w:rPr>
        <w:t>,</w:t>
      </w:r>
      <w:r w:rsidR="004249F6">
        <w:rPr>
          <w:rFonts w:eastAsia="Arial Unicode MS"/>
          <w:sz w:val="22"/>
          <w:szCs w:val="22"/>
        </w:rPr>
        <w:t xml:space="preserve"> </w:t>
      </w:r>
      <w:r w:rsidR="00480B1C" w:rsidRPr="00FF24EF">
        <w:rPr>
          <w:rFonts w:eastAsia="Arial Unicode MS"/>
          <w:sz w:val="22"/>
          <w:szCs w:val="22"/>
        </w:rPr>
        <w:t xml:space="preserve">au </w:t>
      </w:r>
      <w:r w:rsidR="00FF3DF1">
        <w:rPr>
          <w:rFonts w:eastAsia="Arial Unicode MS"/>
          <w:sz w:val="22"/>
          <w:szCs w:val="22"/>
        </w:rPr>
        <w:t>deuxième</w:t>
      </w:r>
      <w:r w:rsidR="00480B1C" w:rsidRPr="00FF24EF">
        <w:rPr>
          <w:rFonts w:eastAsia="Arial Unicode MS"/>
          <w:sz w:val="22"/>
          <w:szCs w:val="22"/>
        </w:rPr>
        <w:t xml:space="preserve"> trimestre 2015</w:t>
      </w:r>
      <w:r w:rsidR="00480B1C">
        <w:rPr>
          <w:rFonts w:eastAsia="Arial Unicode MS"/>
          <w:sz w:val="22"/>
          <w:szCs w:val="22"/>
        </w:rPr>
        <w:t xml:space="preserve">, </w:t>
      </w:r>
      <w:r w:rsidRPr="00FF24EF">
        <w:rPr>
          <w:rFonts w:eastAsia="Arial Unicode MS"/>
          <w:sz w:val="22"/>
          <w:szCs w:val="22"/>
        </w:rPr>
        <w:t>une baisse</w:t>
      </w:r>
      <w:r w:rsidR="00480B1C">
        <w:rPr>
          <w:rFonts w:eastAsia="Arial Unicode MS"/>
          <w:sz w:val="22"/>
          <w:szCs w:val="22"/>
        </w:rPr>
        <w:t xml:space="preserve"> selon </w:t>
      </w:r>
      <w:r w:rsidR="00906EB8">
        <w:rPr>
          <w:rFonts w:eastAsia="Arial Unicode MS"/>
          <w:sz w:val="22"/>
          <w:szCs w:val="22"/>
        </w:rPr>
        <w:t>la majorité</w:t>
      </w:r>
      <w:r w:rsidR="00480B1C">
        <w:rPr>
          <w:rFonts w:eastAsia="Arial Unicode MS"/>
          <w:sz w:val="22"/>
          <w:szCs w:val="22"/>
        </w:rPr>
        <w:t xml:space="preserve"> des patrons</w:t>
      </w:r>
      <w:r w:rsidR="009D5321">
        <w:rPr>
          <w:rFonts w:eastAsia="Arial Unicode MS"/>
          <w:sz w:val="22"/>
          <w:szCs w:val="22"/>
        </w:rPr>
        <w:t>,</w:t>
      </w:r>
      <w:r w:rsidR="00480B1C">
        <w:rPr>
          <w:rFonts w:eastAsia="Arial Unicode MS"/>
          <w:sz w:val="22"/>
          <w:szCs w:val="22"/>
        </w:rPr>
        <w:t xml:space="preserve"> </w:t>
      </w:r>
      <w:r w:rsidRPr="00FF24EF">
        <w:rPr>
          <w:rFonts w:eastAsia="Arial Unicode MS"/>
          <w:sz w:val="22"/>
          <w:szCs w:val="22"/>
        </w:rPr>
        <w:t xml:space="preserve">due, </w:t>
      </w:r>
      <w:r w:rsidR="004A2AD5">
        <w:rPr>
          <w:rFonts w:eastAsia="Arial Unicode MS"/>
          <w:sz w:val="22"/>
          <w:szCs w:val="22"/>
        </w:rPr>
        <w:t>en particulier</w:t>
      </w:r>
      <w:r w:rsidRPr="00FF24EF">
        <w:rPr>
          <w:rFonts w:eastAsia="Arial Unicode MS"/>
          <w:sz w:val="22"/>
          <w:szCs w:val="22"/>
        </w:rPr>
        <w:t xml:space="preserve">, à une régression de la production des </w:t>
      </w:r>
      <w:r w:rsidR="007D2263">
        <w:rPr>
          <w:rFonts w:eastAsia="Arial Unicode MS"/>
          <w:sz w:val="22"/>
          <w:szCs w:val="22"/>
        </w:rPr>
        <w:t xml:space="preserve">       </w:t>
      </w:r>
      <w:r w:rsidRPr="00FF24EF">
        <w:rPr>
          <w:rFonts w:eastAsia="Arial Unicode MS"/>
          <w:sz w:val="22"/>
          <w:szCs w:val="22"/>
        </w:rPr>
        <w:t>« Autres industries extractives»</w:t>
      </w:r>
      <w:r w:rsidR="009D5321">
        <w:rPr>
          <w:rFonts w:eastAsia="Arial Unicode MS"/>
          <w:sz w:val="22"/>
          <w:szCs w:val="22"/>
        </w:rPr>
        <w:t xml:space="preserve">, </w:t>
      </w:r>
      <w:r w:rsidR="009D5321" w:rsidRPr="00801153">
        <w:rPr>
          <w:rFonts w:eastAsia="Arial Unicode MS"/>
          <w:sz w:val="22"/>
          <w:szCs w:val="22"/>
        </w:rPr>
        <w:t xml:space="preserve">notamment </w:t>
      </w:r>
      <w:r w:rsidRPr="00FF24EF">
        <w:rPr>
          <w:rFonts w:eastAsia="Arial Unicode MS"/>
          <w:sz w:val="22"/>
          <w:szCs w:val="22"/>
        </w:rPr>
        <w:t xml:space="preserve">celle des phosphates. </w:t>
      </w:r>
    </w:p>
    <w:p w:rsidR="003A2CE4" w:rsidRPr="00FF24EF" w:rsidRDefault="003A2CE4" w:rsidP="00704699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  <w:sectPr w:rsidR="003A2CE4" w:rsidRPr="00FF24EF" w:rsidSect="003A2CE4">
          <w:type w:val="continuous"/>
          <w:pgSz w:w="11906" w:h="16838"/>
          <w:pgMar w:top="1134" w:right="1134" w:bottom="1134" w:left="1134" w:header="708" w:footer="275" w:gutter="0"/>
          <w:pgNumType w:start="1"/>
          <w:cols w:space="708"/>
          <w:titlePg/>
          <w:docGrid w:linePitch="360"/>
        </w:sectPr>
      </w:pPr>
    </w:p>
    <w:p w:rsidR="00AB24B6" w:rsidRDefault="00AB24B6" w:rsidP="00DE26C3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 w:rsidRPr="00A13AFA">
        <w:rPr>
          <w:rFonts w:eastAsia="Arial Unicode MS"/>
          <w:sz w:val="22"/>
          <w:szCs w:val="22"/>
        </w:rPr>
        <w:lastRenderedPageBreak/>
        <w:t>La situation des carnets de commande a été, par ailleurs, jugée d’un niveau normal par la plupart des chefs d’entreprises de ce secteur.</w:t>
      </w:r>
      <w:r w:rsidRPr="00FF24EF">
        <w:rPr>
          <w:rFonts w:eastAsia="Arial Unicode MS"/>
          <w:sz w:val="22"/>
          <w:szCs w:val="22"/>
        </w:rPr>
        <w:t xml:space="preserve"> L’emploi, de son côté, aurait connu une stabilité selon </w:t>
      </w:r>
      <w:r w:rsidRPr="004249F6">
        <w:rPr>
          <w:rFonts w:eastAsia="Arial Unicode MS"/>
          <w:sz w:val="22"/>
          <w:szCs w:val="22"/>
        </w:rPr>
        <w:t xml:space="preserve">la </w:t>
      </w:r>
      <w:r w:rsidRPr="00AB24B6">
        <w:rPr>
          <w:rFonts w:eastAsia="Arial Unicode MS"/>
          <w:sz w:val="22"/>
          <w:szCs w:val="22"/>
        </w:rPr>
        <w:t>quasi-totalité des patrons</w:t>
      </w:r>
      <w:r w:rsidRPr="00FF24EF">
        <w:rPr>
          <w:rFonts w:eastAsia="Arial Unicode MS"/>
          <w:sz w:val="22"/>
          <w:szCs w:val="22"/>
        </w:rPr>
        <w:t xml:space="preserve">. Pour ce qui </w:t>
      </w:r>
      <w:r w:rsidRPr="00602C7C">
        <w:rPr>
          <w:rFonts w:eastAsia="Arial Unicode MS"/>
          <w:sz w:val="22"/>
          <w:szCs w:val="22"/>
        </w:rPr>
        <w:t>est du TUC, il se serait établi, dans  ce secteur, à 50%</w:t>
      </w:r>
      <w:r w:rsidR="00DE26C3">
        <w:rPr>
          <w:rFonts w:eastAsia="Arial Unicode MS"/>
          <w:sz w:val="22"/>
          <w:szCs w:val="22"/>
        </w:rPr>
        <w:t>,</w:t>
      </w:r>
      <w:r w:rsidRPr="00602C7C"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sz w:val="22"/>
          <w:szCs w:val="22"/>
        </w:rPr>
        <w:t xml:space="preserve">au </w:t>
      </w:r>
      <w:r w:rsidR="00DE26C3" w:rsidRPr="00801153">
        <w:rPr>
          <w:rFonts w:eastAsia="Arial Unicode MS"/>
          <w:sz w:val="22"/>
          <w:szCs w:val="22"/>
        </w:rPr>
        <w:t>deuxième trimestre</w:t>
      </w:r>
      <w:r w:rsidR="00DE26C3" w:rsidRPr="00CE3972">
        <w:rPr>
          <w:rFonts w:eastAsia="Arial Unicode MS"/>
          <w:sz w:val="22"/>
          <w:szCs w:val="22"/>
        </w:rPr>
        <w:t xml:space="preserve"> </w:t>
      </w:r>
      <w:r w:rsidRPr="00AB24B6">
        <w:rPr>
          <w:rFonts w:eastAsia="Arial Unicode MS"/>
          <w:sz w:val="22"/>
          <w:szCs w:val="22"/>
        </w:rPr>
        <w:t>2015</w:t>
      </w:r>
      <w:r w:rsidRPr="00602C7C">
        <w:rPr>
          <w:rFonts w:eastAsia="Arial Unicode MS"/>
          <w:sz w:val="22"/>
          <w:szCs w:val="22"/>
        </w:rPr>
        <w:t>.</w:t>
      </w:r>
      <w:r w:rsidRPr="00FF24EF">
        <w:rPr>
          <w:rFonts w:eastAsia="Arial Unicode MS"/>
          <w:sz w:val="22"/>
          <w:szCs w:val="22"/>
        </w:rPr>
        <w:t xml:space="preserve"> </w:t>
      </w:r>
    </w:p>
    <w:p w:rsidR="002A7221" w:rsidRPr="002A7221" w:rsidRDefault="002A7221" w:rsidP="007D2263">
      <w:pPr>
        <w:spacing w:after="120" w:line="276" w:lineRule="auto"/>
        <w:jc w:val="both"/>
        <w:rPr>
          <w:rFonts w:eastAsia="Arial Unicode MS"/>
          <w:sz w:val="12"/>
          <w:szCs w:val="12"/>
        </w:rPr>
      </w:pPr>
    </w:p>
    <w:p w:rsidR="009A431C" w:rsidRDefault="004915DF" w:rsidP="007D2263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4915DF">
        <w:rPr>
          <w:rFonts w:eastAsia="Arial Unicode MS"/>
          <w:sz w:val="22"/>
          <w:szCs w:val="22"/>
        </w:rPr>
        <w:lastRenderedPageBreak/>
        <w:t xml:space="preserve">En ce qui concerne les secteurs des </w:t>
      </w:r>
      <w:r w:rsidRPr="00CF6F9D">
        <w:rPr>
          <w:rFonts w:eastAsia="Arial Unicode MS"/>
          <w:b/>
          <w:bCs/>
          <w:color w:val="660033"/>
          <w:sz w:val="22"/>
          <w:szCs w:val="22"/>
        </w:rPr>
        <w:t>industries énergétique et environnementale</w:t>
      </w:r>
      <w:r w:rsidRPr="004915DF">
        <w:rPr>
          <w:rFonts w:eastAsia="Arial Unicode MS"/>
          <w:sz w:val="22"/>
          <w:szCs w:val="22"/>
        </w:rPr>
        <w:t>, la production aurait connu une</w:t>
      </w:r>
      <w:r w:rsidR="00C827BD">
        <w:rPr>
          <w:rFonts w:eastAsia="Arial Unicode MS"/>
          <w:sz w:val="22"/>
          <w:szCs w:val="22"/>
        </w:rPr>
        <w:t xml:space="preserve"> augmentation selon </w:t>
      </w:r>
      <w:r w:rsidR="00801153">
        <w:rPr>
          <w:rFonts w:eastAsia="Arial Unicode MS"/>
          <w:sz w:val="22"/>
          <w:szCs w:val="22"/>
        </w:rPr>
        <w:t xml:space="preserve"> </w:t>
      </w:r>
      <w:r w:rsidR="00C827BD" w:rsidRPr="00801153">
        <w:rPr>
          <w:rFonts w:eastAsia="Arial Unicode MS"/>
          <w:sz w:val="22"/>
          <w:szCs w:val="22"/>
        </w:rPr>
        <w:t>la déclaration</w:t>
      </w:r>
      <w:r w:rsidR="0095483F">
        <w:rPr>
          <w:rFonts w:eastAsia="Arial Unicode MS"/>
          <w:sz w:val="22"/>
          <w:szCs w:val="22"/>
        </w:rPr>
        <w:t> </w:t>
      </w:r>
      <w:r w:rsidR="0095483F" w:rsidRPr="00801153">
        <w:rPr>
          <w:rFonts w:eastAsia="Arial Unicode MS"/>
          <w:sz w:val="22"/>
          <w:szCs w:val="22"/>
        </w:rPr>
        <w:t>de</w:t>
      </w:r>
      <w:r w:rsidR="00801153">
        <w:rPr>
          <w:rFonts w:eastAsia="Arial Unicode MS"/>
          <w:sz w:val="22"/>
          <w:szCs w:val="22"/>
        </w:rPr>
        <w:t xml:space="preserve"> </w:t>
      </w:r>
      <w:r w:rsidR="00C827BD">
        <w:rPr>
          <w:rFonts w:eastAsia="Arial Unicode MS"/>
          <w:sz w:val="22"/>
          <w:szCs w:val="22"/>
        </w:rPr>
        <w:t>la majorité des chefs d’entreprises</w:t>
      </w:r>
      <w:r w:rsidR="0095483F">
        <w:rPr>
          <w:rFonts w:eastAsia="Arial Unicode MS"/>
          <w:sz w:val="22"/>
          <w:szCs w:val="22"/>
        </w:rPr>
        <w:t xml:space="preserve">, </w:t>
      </w:r>
      <w:r w:rsidR="0095483F" w:rsidRPr="00801153">
        <w:rPr>
          <w:rFonts w:eastAsia="Arial Unicode MS"/>
          <w:sz w:val="22"/>
          <w:szCs w:val="22"/>
        </w:rPr>
        <w:t>imputable</w:t>
      </w:r>
      <w:r w:rsidRPr="004915DF">
        <w:rPr>
          <w:rFonts w:eastAsia="Arial Unicode MS"/>
          <w:sz w:val="22"/>
          <w:szCs w:val="22"/>
        </w:rPr>
        <w:t xml:space="preserve">, pour le secteur énergétique, à une </w:t>
      </w:r>
      <w:r w:rsidR="00C827BD">
        <w:rPr>
          <w:rFonts w:eastAsia="Arial Unicode MS"/>
          <w:sz w:val="22"/>
          <w:szCs w:val="22"/>
        </w:rPr>
        <w:t>hausse</w:t>
      </w:r>
      <w:r w:rsidRPr="004915DF">
        <w:rPr>
          <w:rFonts w:eastAsia="Arial Unicode MS"/>
          <w:sz w:val="22"/>
          <w:szCs w:val="22"/>
        </w:rPr>
        <w:t xml:space="preserve"> de la « Production et distribution d’électricité, de gaz, de vapeur et d’air conditionné» et</w:t>
      </w:r>
      <w:r w:rsidR="008758DE">
        <w:rPr>
          <w:rFonts w:eastAsia="Arial Unicode MS"/>
          <w:sz w:val="22"/>
          <w:szCs w:val="22"/>
        </w:rPr>
        <w:t xml:space="preserve"> à une hausse du</w:t>
      </w:r>
      <w:r w:rsidR="008758DE" w:rsidRPr="004915DF">
        <w:rPr>
          <w:rFonts w:eastAsia="Arial Unicode MS"/>
          <w:sz w:val="22"/>
          <w:szCs w:val="22"/>
        </w:rPr>
        <w:t xml:space="preserve"> «</w:t>
      </w:r>
      <w:r w:rsidR="008758DE">
        <w:rPr>
          <w:rFonts w:eastAsia="Arial Unicode MS"/>
          <w:sz w:val="22"/>
          <w:szCs w:val="22"/>
        </w:rPr>
        <w:t>Captage, traitement et distribution d’eau</w:t>
      </w:r>
      <w:r w:rsidR="008758DE" w:rsidRPr="004915DF">
        <w:rPr>
          <w:rFonts w:eastAsia="Arial Unicode MS"/>
          <w:sz w:val="22"/>
          <w:szCs w:val="22"/>
        </w:rPr>
        <w:t>»</w:t>
      </w:r>
      <w:r w:rsidR="008758DE">
        <w:rPr>
          <w:rFonts w:eastAsia="Arial Unicode MS"/>
          <w:sz w:val="22"/>
          <w:szCs w:val="22"/>
        </w:rPr>
        <w:t xml:space="preserve"> </w:t>
      </w:r>
      <w:r w:rsidRPr="004915DF">
        <w:rPr>
          <w:rFonts w:eastAsia="Arial Unicode MS"/>
          <w:sz w:val="22"/>
          <w:szCs w:val="22"/>
        </w:rPr>
        <w:t xml:space="preserve">pour le secteur de l’industrie environnementale. </w:t>
      </w:r>
      <w:r w:rsidR="009A431C">
        <w:rPr>
          <w:rFonts w:eastAsia="Arial Unicode MS"/>
          <w:sz w:val="22"/>
          <w:szCs w:val="22"/>
        </w:rPr>
        <w:t xml:space="preserve">Les carnets de commandes </w:t>
      </w:r>
      <w:r w:rsidR="00CF6F9D">
        <w:rPr>
          <w:rFonts w:eastAsia="Arial Unicode MS"/>
          <w:sz w:val="22"/>
          <w:szCs w:val="22"/>
        </w:rPr>
        <w:t>ont été</w:t>
      </w:r>
      <w:r w:rsidR="009A431C">
        <w:rPr>
          <w:rFonts w:eastAsia="Arial Unicode MS"/>
          <w:sz w:val="22"/>
          <w:szCs w:val="22"/>
        </w:rPr>
        <w:t xml:space="preserve"> jugés </w:t>
      </w:r>
      <w:r w:rsidR="00CF6F9D">
        <w:rPr>
          <w:rFonts w:eastAsia="Arial Unicode MS"/>
          <w:sz w:val="22"/>
          <w:szCs w:val="22"/>
        </w:rPr>
        <w:t xml:space="preserve">d’un niveau normal par la totalité des chefs d’entreprises des deux secteurs. Quant à l’emploi, il aurait connu également une progression d’après la majorité des patrons. </w:t>
      </w:r>
      <w:r w:rsidR="0095483F" w:rsidRPr="00801153">
        <w:rPr>
          <w:rFonts w:eastAsia="Arial Unicode MS"/>
          <w:sz w:val="22"/>
          <w:szCs w:val="22"/>
        </w:rPr>
        <w:t>Dans ces conditions, le</w:t>
      </w:r>
      <w:r w:rsidR="00EF0241" w:rsidRPr="00801153">
        <w:rPr>
          <w:rFonts w:eastAsia="Arial Unicode MS"/>
          <w:sz w:val="22"/>
          <w:szCs w:val="22"/>
        </w:rPr>
        <w:t xml:space="preserve"> TUC</w:t>
      </w:r>
      <w:r w:rsidR="00EF0241">
        <w:rPr>
          <w:rFonts w:eastAsia="Arial Unicode MS"/>
          <w:sz w:val="22"/>
          <w:szCs w:val="22"/>
        </w:rPr>
        <w:t xml:space="preserve"> se serait établi à 87% au deuxième trimestre 2015 pour le secteur énergétique et à 50% pour l’industrie environnementale.</w:t>
      </w:r>
      <w:r w:rsidR="00CF6F9D">
        <w:rPr>
          <w:rFonts w:eastAsia="Arial Unicode MS"/>
          <w:sz w:val="22"/>
          <w:szCs w:val="22"/>
        </w:rPr>
        <w:t xml:space="preserve">    </w:t>
      </w:r>
    </w:p>
    <w:p w:rsidR="00302E80" w:rsidRDefault="007D2263" w:rsidP="007F4BA9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-286385</wp:posOffset>
            </wp:positionH>
            <wp:positionV relativeFrom="margin">
              <wp:posOffset>1793875</wp:posOffset>
            </wp:positionV>
            <wp:extent cx="2927985" cy="2326005"/>
            <wp:effectExtent l="0" t="0" r="0" b="0"/>
            <wp:wrapSquare wrapText="bothSides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2942590</wp:posOffset>
            </wp:positionH>
            <wp:positionV relativeFrom="margin">
              <wp:posOffset>1793875</wp:posOffset>
            </wp:positionV>
            <wp:extent cx="3009265" cy="2326005"/>
            <wp:effectExtent l="0" t="0" r="0" b="0"/>
            <wp:wrapSquare wrapText="bothSides"/>
            <wp:docPr id="9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7D2263" w:rsidRDefault="007D2263" w:rsidP="00EF16E4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</w:pPr>
    </w:p>
    <w:p w:rsidR="007D2263" w:rsidRDefault="007D2263" w:rsidP="00EF16E4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2572385</wp:posOffset>
            </wp:positionH>
            <wp:positionV relativeFrom="margin">
              <wp:posOffset>4432300</wp:posOffset>
            </wp:positionV>
            <wp:extent cx="3529965" cy="3390900"/>
            <wp:effectExtent l="0" t="0" r="0" b="0"/>
            <wp:wrapSquare wrapText="bothSides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653F59" w:rsidRPr="00801153" w:rsidRDefault="00653F59" w:rsidP="001B3EBA">
      <w:pPr>
        <w:spacing w:line="276" w:lineRule="auto"/>
        <w:ind w:right="170"/>
        <w:jc w:val="both"/>
        <w:rPr>
          <w:rFonts w:eastAsia="Arial Unicode MS"/>
          <w:color w:val="000000"/>
          <w:sz w:val="22"/>
          <w:szCs w:val="22"/>
        </w:rPr>
      </w:pPr>
      <w:r w:rsidRPr="00F75DAA">
        <w:rPr>
          <w:rFonts w:eastAsia="Arial Unicode MS"/>
          <w:sz w:val="22"/>
          <w:szCs w:val="22"/>
        </w:rPr>
        <w:t>Dans</w:t>
      </w:r>
      <w:r>
        <w:rPr>
          <w:rFonts w:eastAsia="Arial Unicode MS"/>
          <w:sz w:val="22"/>
          <w:szCs w:val="22"/>
        </w:rPr>
        <w:t xml:space="preserve"> </w:t>
      </w:r>
      <w:r w:rsidRPr="00D00354">
        <w:rPr>
          <w:rFonts w:eastAsia="Arial Unicode MS"/>
          <w:b/>
          <w:bCs/>
          <w:color w:val="660033"/>
          <w:sz w:val="22"/>
          <w:szCs w:val="22"/>
        </w:rPr>
        <w:t>l</w:t>
      </w:r>
      <w:r w:rsidR="002A7221">
        <w:rPr>
          <w:rFonts w:eastAsia="Arial Unicode MS"/>
          <w:b/>
          <w:bCs/>
          <w:color w:val="660033"/>
          <w:sz w:val="22"/>
          <w:szCs w:val="22"/>
        </w:rPr>
        <w:t>e secteur de l</w:t>
      </w:r>
      <w:r w:rsidRPr="00D00354">
        <w:rPr>
          <w:rFonts w:eastAsia="Arial Unicode MS"/>
          <w:b/>
          <w:bCs/>
          <w:color w:val="660033"/>
          <w:sz w:val="22"/>
          <w:szCs w:val="22"/>
        </w:rPr>
        <w:t>a construction</w:t>
      </w:r>
      <w:r w:rsidRPr="00DD1D7B">
        <w:rPr>
          <w:rFonts w:eastAsia="Arial Unicode MS"/>
          <w:sz w:val="22"/>
          <w:szCs w:val="22"/>
        </w:rPr>
        <w:t>, l’activité aurait connu</w:t>
      </w:r>
      <w:r>
        <w:rPr>
          <w:rFonts w:eastAsia="Arial Unicode MS"/>
          <w:sz w:val="22"/>
          <w:szCs w:val="22"/>
        </w:rPr>
        <w:t xml:space="preserve">, </w:t>
      </w:r>
      <w:r w:rsidR="008758DE" w:rsidRPr="00DD1D7B">
        <w:rPr>
          <w:rFonts w:eastAsia="Arial Unicode MS"/>
          <w:sz w:val="22"/>
          <w:szCs w:val="22"/>
        </w:rPr>
        <w:t xml:space="preserve">selon </w:t>
      </w:r>
      <w:r w:rsidR="008758DE">
        <w:rPr>
          <w:rFonts w:eastAsia="Arial Unicode MS"/>
          <w:sz w:val="22"/>
          <w:szCs w:val="22"/>
        </w:rPr>
        <w:t>3</w:t>
      </w:r>
      <w:r w:rsidR="008758DE" w:rsidRPr="00DD1D7B">
        <w:rPr>
          <w:rFonts w:eastAsia="Arial Unicode MS"/>
          <w:sz w:val="22"/>
          <w:szCs w:val="22"/>
        </w:rPr>
        <w:t xml:space="preserve">5% des </w:t>
      </w:r>
      <w:r w:rsidR="008758DE" w:rsidRPr="00F75DAA">
        <w:rPr>
          <w:rFonts w:eastAsia="Arial Unicode MS"/>
          <w:color w:val="000000"/>
          <w:sz w:val="22"/>
          <w:szCs w:val="22"/>
        </w:rPr>
        <w:t>patrons</w:t>
      </w:r>
      <w:r w:rsidR="00583A84">
        <w:rPr>
          <w:rFonts w:eastAsia="Arial Unicode MS"/>
          <w:color w:val="000000"/>
          <w:sz w:val="22"/>
          <w:szCs w:val="22"/>
        </w:rPr>
        <w:t xml:space="preserve">, </w:t>
      </w:r>
      <w:r w:rsidRPr="00DD1D7B">
        <w:rPr>
          <w:rFonts w:eastAsia="Arial Unicode MS"/>
          <w:sz w:val="22"/>
          <w:szCs w:val="22"/>
        </w:rPr>
        <w:t xml:space="preserve">une </w:t>
      </w:r>
      <w:r w:rsidR="008758DE">
        <w:rPr>
          <w:rFonts w:eastAsia="Arial Unicode MS"/>
          <w:sz w:val="22"/>
          <w:szCs w:val="22"/>
        </w:rPr>
        <w:t xml:space="preserve">hausse au </w:t>
      </w:r>
      <w:r w:rsidR="00A13AFA">
        <w:rPr>
          <w:rFonts w:eastAsia="Arial Unicode MS"/>
          <w:sz w:val="22"/>
          <w:szCs w:val="22"/>
        </w:rPr>
        <w:t>deuxième</w:t>
      </w:r>
      <w:r w:rsidR="008758DE">
        <w:rPr>
          <w:rFonts w:eastAsia="Arial Unicode MS"/>
          <w:sz w:val="22"/>
          <w:szCs w:val="22"/>
        </w:rPr>
        <w:t xml:space="preserve"> trimestre 2015</w:t>
      </w:r>
      <w:r w:rsidR="002A7221">
        <w:rPr>
          <w:rFonts w:eastAsia="Arial Unicode MS"/>
          <w:sz w:val="22"/>
          <w:szCs w:val="22"/>
        </w:rPr>
        <w:t xml:space="preserve"> et</w:t>
      </w:r>
      <w:r w:rsidR="00583A84">
        <w:rPr>
          <w:rFonts w:eastAsia="Arial Unicode MS"/>
          <w:sz w:val="22"/>
          <w:szCs w:val="22"/>
        </w:rPr>
        <w:t xml:space="preserve">, </w:t>
      </w:r>
      <w:r w:rsidR="002A7221" w:rsidRPr="00F75DAA">
        <w:rPr>
          <w:rFonts w:eastAsia="Arial Unicode MS"/>
          <w:color w:val="000000"/>
          <w:sz w:val="22"/>
          <w:szCs w:val="22"/>
        </w:rPr>
        <w:t xml:space="preserve">selon </w:t>
      </w:r>
      <w:r w:rsidR="002A7221">
        <w:rPr>
          <w:rFonts w:eastAsia="Arial Unicode MS"/>
          <w:color w:val="000000"/>
          <w:sz w:val="22"/>
          <w:szCs w:val="22"/>
        </w:rPr>
        <w:t>25</w:t>
      </w:r>
      <w:r w:rsidR="002A7221" w:rsidRPr="00F75DAA">
        <w:rPr>
          <w:rFonts w:eastAsia="Arial Unicode MS"/>
          <w:color w:val="000000"/>
          <w:sz w:val="22"/>
          <w:szCs w:val="22"/>
        </w:rPr>
        <w:t>%</w:t>
      </w:r>
      <w:r w:rsidR="00583A84">
        <w:rPr>
          <w:rFonts w:eastAsia="Arial Unicode MS"/>
          <w:color w:val="000000"/>
          <w:sz w:val="22"/>
          <w:szCs w:val="22"/>
        </w:rPr>
        <w:t xml:space="preserve">, </w:t>
      </w:r>
      <w:r w:rsidRPr="00F75DAA">
        <w:rPr>
          <w:rFonts w:eastAsia="Arial Unicode MS"/>
          <w:color w:val="000000"/>
          <w:sz w:val="22"/>
          <w:szCs w:val="22"/>
        </w:rPr>
        <w:t xml:space="preserve">une baisse. Cette légère </w:t>
      </w:r>
      <w:r w:rsidR="006056E5">
        <w:rPr>
          <w:rFonts w:eastAsia="Arial Unicode MS"/>
          <w:color w:val="000000"/>
          <w:sz w:val="22"/>
          <w:szCs w:val="22"/>
        </w:rPr>
        <w:t>augmentation</w:t>
      </w:r>
      <w:r w:rsidRPr="00F75DAA">
        <w:rPr>
          <w:rFonts w:eastAsia="Arial Unicode MS"/>
          <w:color w:val="000000"/>
          <w:sz w:val="22"/>
          <w:szCs w:val="22"/>
        </w:rPr>
        <w:t xml:space="preserve"> aurait </w:t>
      </w:r>
      <w:r w:rsidRPr="00801153">
        <w:rPr>
          <w:rFonts w:eastAsia="Arial Unicode MS"/>
          <w:color w:val="000000"/>
          <w:sz w:val="22"/>
          <w:szCs w:val="22"/>
        </w:rPr>
        <w:t xml:space="preserve">été </w:t>
      </w:r>
      <w:r w:rsidR="00A13AFA" w:rsidRPr="00801153">
        <w:rPr>
          <w:rFonts w:eastAsia="Arial Unicode MS"/>
          <w:color w:val="000000"/>
          <w:sz w:val="22"/>
          <w:szCs w:val="22"/>
        </w:rPr>
        <w:t>principalement le fait</w:t>
      </w:r>
      <w:r w:rsidRPr="00F75DAA">
        <w:rPr>
          <w:rFonts w:eastAsia="Arial Unicode MS"/>
          <w:color w:val="000000"/>
          <w:sz w:val="22"/>
          <w:szCs w:val="22"/>
        </w:rPr>
        <w:t xml:space="preserve"> </w:t>
      </w:r>
      <w:r w:rsidR="00A13AFA">
        <w:rPr>
          <w:rFonts w:eastAsia="Arial Unicode MS"/>
          <w:color w:val="000000"/>
          <w:sz w:val="22"/>
          <w:szCs w:val="22"/>
        </w:rPr>
        <w:t>d’une</w:t>
      </w:r>
      <w:r>
        <w:rPr>
          <w:rFonts w:eastAsia="Arial Unicode MS"/>
          <w:color w:val="000000"/>
          <w:sz w:val="22"/>
          <w:szCs w:val="22"/>
        </w:rPr>
        <w:t xml:space="preserve"> </w:t>
      </w:r>
      <w:r w:rsidR="002164FB" w:rsidRPr="00801153">
        <w:rPr>
          <w:rFonts w:eastAsia="Arial Unicode MS"/>
          <w:color w:val="000000"/>
          <w:sz w:val="22"/>
          <w:szCs w:val="22"/>
        </w:rPr>
        <w:t>amélioration</w:t>
      </w:r>
      <w:r w:rsidRPr="00F75DAA">
        <w:rPr>
          <w:rFonts w:eastAsia="Arial Unicode MS"/>
          <w:color w:val="000000"/>
          <w:sz w:val="22"/>
          <w:szCs w:val="22"/>
        </w:rPr>
        <w:t xml:space="preserve"> </w:t>
      </w:r>
      <w:r w:rsidR="00A13AFA">
        <w:rPr>
          <w:rFonts w:eastAsia="Arial Unicode MS"/>
          <w:color w:val="000000"/>
          <w:sz w:val="22"/>
          <w:szCs w:val="22"/>
        </w:rPr>
        <w:t>de l’</w:t>
      </w:r>
      <w:r w:rsidRPr="00F75DAA">
        <w:rPr>
          <w:rFonts w:eastAsia="Arial Unicode MS"/>
          <w:color w:val="000000"/>
          <w:sz w:val="22"/>
          <w:szCs w:val="22"/>
        </w:rPr>
        <w:t xml:space="preserve">activité dans le « Génie Civil » </w:t>
      </w:r>
      <w:r w:rsidR="00AE4467">
        <w:rPr>
          <w:rFonts w:eastAsia="Arial Unicode MS"/>
          <w:color w:val="000000"/>
          <w:sz w:val="22"/>
          <w:szCs w:val="22"/>
        </w:rPr>
        <w:t>et dans l</w:t>
      </w:r>
      <w:r w:rsidRPr="00F75DAA">
        <w:rPr>
          <w:rFonts w:eastAsia="Arial Unicode MS"/>
          <w:color w:val="000000"/>
          <w:sz w:val="22"/>
          <w:szCs w:val="22"/>
        </w:rPr>
        <w:t>a «</w:t>
      </w:r>
      <w:r w:rsidRPr="0065632B">
        <w:rPr>
          <w:rFonts w:eastAsia="Arial Unicode MS"/>
          <w:color w:val="000000"/>
          <w:sz w:val="22"/>
          <w:szCs w:val="22"/>
        </w:rPr>
        <w:t>Construction de bâtiments</w:t>
      </w:r>
      <w:r w:rsidRPr="00F75DAA">
        <w:rPr>
          <w:rFonts w:eastAsia="Arial Unicode MS"/>
          <w:color w:val="000000"/>
          <w:sz w:val="22"/>
          <w:szCs w:val="22"/>
        </w:rPr>
        <w:t>»</w:t>
      </w:r>
      <w:r w:rsidR="002164FB">
        <w:rPr>
          <w:rFonts w:eastAsia="Arial Unicode MS"/>
          <w:color w:val="000000"/>
          <w:sz w:val="22"/>
          <w:szCs w:val="22"/>
        </w:rPr>
        <w:t xml:space="preserve">, </w:t>
      </w:r>
      <w:r w:rsidR="002164FB" w:rsidRPr="00801153">
        <w:rPr>
          <w:rFonts w:eastAsia="Arial Unicode MS"/>
          <w:color w:val="000000"/>
          <w:sz w:val="22"/>
          <w:szCs w:val="22"/>
        </w:rPr>
        <w:t xml:space="preserve">alors que </w:t>
      </w:r>
      <w:r w:rsidRPr="00801153">
        <w:rPr>
          <w:rFonts w:eastAsia="Arial Unicode MS"/>
          <w:color w:val="000000"/>
          <w:sz w:val="22"/>
          <w:szCs w:val="22"/>
        </w:rPr>
        <w:t xml:space="preserve"> </w:t>
      </w:r>
      <w:r w:rsidR="002164FB" w:rsidRPr="00801153">
        <w:rPr>
          <w:rFonts w:eastAsia="Arial Unicode MS"/>
          <w:color w:val="000000"/>
          <w:sz w:val="22"/>
          <w:szCs w:val="22"/>
        </w:rPr>
        <w:t>dans les  «Travaux de Construction Spécialisés», l’activité aurait connu</w:t>
      </w:r>
      <w:r w:rsidR="002A7221">
        <w:rPr>
          <w:rFonts w:eastAsia="Arial Unicode MS"/>
          <w:color w:val="000000"/>
          <w:sz w:val="22"/>
          <w:szCs w:val="22"/>
        </w:rPr>
        <w:t xml:space="preserve">, </w:t>
      </w:r>
      <w:r w:rsidR="002164FB" w:rsidRPr="00801153">
        <w:rPr>
          <w:rFonts w:eastAsia="Arial Unicode MS"/>
          <w:color w:val="000000"/>
          <w:sz w:val="22"/>
          <w:szCs w:val="22"/>
        </w:rPr>
        <w:t>plutôt</w:t>
      </w:r>
      <w:r w:rsidR="002A7221">
        <w:rPr>
          <w:rFonts w:eastAsia="Arial Unicode MS"/>
          <w:color w:val="000000"/>
          <w:sz w:val="22"/>
          <w:szCs w:val="22"/>
        </w:rPr>
        <w:t xml:space="preserve">, </w:t>
      </w:r>
      <w:r w:rsidR="002164FB" w:rsidRPr="00801153">
        <w:rPr>
          <w:rFonts w:eastAsia="Arial Unicode MS"/>
          <w:color w:val="000000"/>
          <w:sz w:val="22"/>
          <w:szCs w:val="22"/>
        </w:rPr>
        <w:t>une</w:t>
      </w:r>
      <w:r w:rsidRPr="00801153">
        <w:rPr>
          <w:rFonts w:eastAsia="Arial Unicode MS"/>
          <w:color w:val="000000"/>
          <w:sz w:val="22"/>
          <w:szCs w:val="22"/>
        </w:rPr>
        <w:t xml:space="preserve"> baisse</w:t>
      </w:r>
      <w:r w:rsidR="00AE4467" w:rsidRPr="00801153">
        <w:rPr>
          <w:rFonts w:eastAsia="Arial Unicode MS"/>
          <w:color w:val="000000"/>
          <w:sz w:val="22"/>
          <w:szCs w:val="22"/>
        </w:rPr>
        <w:t>.</w:t>
      </w:r>
    </w:p>
    <w:p w:rsidR="00653F59" w:rsidRPr="004915DF" w:rsidRDefault="00653F59" w:rsidP="00653F59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</w:p>
    <w:p w:rsidR="00653F59" w:rsidRDefault="00653F59" w:rsidP="008C6873">
      <w:pPr>
        <w:spacing w:line="280" w:lineRule="exact"/>
        <w:ind w:right="17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La</w:t>
      </w:r>
      <w:r w:rsidRPr="00DD1D7B">
        <w:rPr>
          <w:rFonts w:eastAsia="Arial Unicode MS"/>
          <w:sz w:val="22"/>
          <w:szCs w:val="22"/>
        </w:rPr>
        <w:t xml:space="preserve"> situation des carnets de commande dans ce secteur a été jugée d’un niveau normal par </w:t>
      </w:r>
      <w:r>
        <w:rPr>
          <w:rFonts w:eastAsia="Arial Unicode MS"/>
          <w:sz w:val="22"/>
          <w:szCs w:val="22"/>
        </w:rPr>
        <w:t>57</w:t>
      </w:r>
      <w:r w:rsidRPr="00DD1D7B">
        <w:rPr>
          <w:rFonts w:eastAsia="Arial Unicode MS"/>
          <w:sz w:val="22"/>
          <w:szCs w:val="22"/>
        </w:rPr>
        <w:t>% des patrons et peu garnie par 3</w:t>
      </w:r>
      <w:r>
        <w:rPr>
          <w:rFonts w:eastAsia="Arial Unicode MS"/>
          <w:sz w:val="22"/>
          <w:szCs w:val="22"/>
        </w:rPr>
        <w:t>0</w:t>
      </w:r>
      <w:r w:rsidRPr="00DD1D7B">
        <w:rPr>
          <w:rFonts w:eastAsia="Arial Unicode MS"/>
          <w:sz w:val="22"/>
          <w:szCs w:val="22"/>
        </w:rPr>
        <w:t>% d’entre eux. Quant à l’emploi</w:t>
      </w:r>
      <w:r>
        <w:rPr>
          <w:rFonts w:eastAsia="Arial Unicode MS"/>
          <w:sz w:val="22"/>
          <w:szCs w:val="22"/>
        </w:rPr>
        <w:t xml:space="preserve">, </w:t>
      </w:r>
      <w:r w:rsidRPr="00DD1D7B">
        <w:rPr>
          <w:rFonts w:eastAsia="Arial Unicode MS"/>
          <w:sz w:val="22"/>
          <w:szCs w:val="22"/>
        </w:rPr>
        <w:t>une stabilité aurait été exprimée selon 7</w:t>
      </w:r>
      <w:r>
        <w:rPr>
          <w:rFonts w:eastAsia="Arial Unicode MS"/>
          <w:sz w:val="22"/>
          <w:szCs w:val="22"/>
        </w:rPr>
        <w:t>0</w:t>
      </w:r>
      <w:r w:rsidRPr="00DD1D7B">
        <w:rPr>
          <w:rFonts w:eastAsia="Arial Unicode MS"/>
          <w:sz w:val="22"/>
          <w:szCs w:val="22"/>
        </w:rPr>
        <w:t>% des patrons. Dans ce contexte, le taux d’utilisation de la capac</w:t>
      </w:r>
      <w:r w:rsidR="009D7D48">
        <w:rPr>
          <w:rFonts w:eastAsia="Arial Unicode MS"/>
          <w:sz w:val="22"/>
          <w:szCs w:val="22"/>
        </w:rPr>
        <w:t xml:space="preserve">ité productive (TUC) se serait </w:t>
      </w:r>
      <w:r w:rsidRPr="00DD1D7B">
        <w:rPr>
          <w:rFonts w:eastAsia="Arial Unicode MS"/>
          <w:sz w:val="22"/>
          <w:szCs w:val="22"/>
        </w:rPr>
        <w:t xml:space="preserve">établi à </w:t>
      </w:r>
      <w:r>
        <w:rPr>
          <w:rFonts w:eastAsia="Arial Unicode MS"/>
          <w:sz w:val="22"/>
          <w:szCs w:val="22"/>
        </w:rPr>
        <w:t>6</w:t>
      </w:r>
      <w:r w:rsidR="008C6873">
        <w:rPr>
          <w:rFonts w:eastAsia="Arial Unicode MS" w:hint="cs"/>
          <w:sz w:val="22"/>
          <w:szCs w:val="22"/>
          <w:rtl/>
        </w:rPr>
        <w:t>7</w:t>
      </w:r>
      <w:r>
        <w:rPr>
          <w:rFonts w:eastAsia="Arial Unicode MS"/>
          <w:sz w:val="22"/>
          <w:szCs w:val="22"/>
        </w:rPr>
        <w:t>%</w:t>
      </w:r>
      <w:r w:rsidRPr="00DD1D7B">
        <w:rPr>
          <w:rFonts w:eastAsia="Arial Unicode MS"/>
          <w:sz w:val="22"/>
          <w:szCs w:val="22"/>
        </w:rPr>
        <w:t xml:space="preserve"> au </w:t>
      </w:r>
      <w:r>
        <w:rPr>
          <w:rFonts w:eastAsia="Arial Unicode MS"/>
          <w:sz w:val="22"/>
          <w:szCs w:val="22"/>
        </w:rPr>
        <w:t xml:space="preserve">deuxième </w:t>
      </w:r>
      <w:r w:rsidRPr="00DD1D7B">
        <w:rPr>
          <w:rFonts w:eastAsia="Arial Unicode MS"/>
          <w:sz w:val="22"/>
          <w:szCs w:val="22"/>
        </w:rPr>
        <w:t>trimestre 2015.</w:t>
      </w:r>
    </w:p>
    <w:p w:rsidR="007D2263" w:rsidRDefault="007D2263">
      <w:pPr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rFonts w:ascii="Trebuchet MS" w:eastAsia="Arial Unicode MS" w:hAnsi="Trebuchet MS"/>
          <w:b/>
          <w:bCs/>
          <w:color w:val="660033"/>
          <w:sz w:val="32"/>
          <w:szCs w:val="32"/>
        </w:rPr>
        <w:br w:type="page"/>
      </w:r>
    </w:p>
    <w:p w:rsidR="002E1737" w:rsidRPr="008F3532" w:rsidRDefault="002E1737" w:rsidP="008F3532">
      <w:pPr>
        <w:spacing w:after="24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 w:rsidRPr="008F353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Anticipations </w:t>
      </w:r>
      <w:r w:rsidR="008F3532" w:rsidRPr="008F353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des chefs d’entreprises </w:t>
      </w:r>
      <w:r w:rsidRPr="008F353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pour le </w:t>
      </w:r>
      <w:r w:rsidR="00006DD3" w:rsidRPr="008F3532">
        <w:rPr>
          <w:rFonts w:ascii="Trebuchet MS" w:eastAsia="Arial Unicode MS" w:hAnsi="Trebuchet MS"/>
          <w:b/>
          <w:bCs/>
          <w:color w:val="660033"/>
          <w:sz w:val="28"/>
          <w:szCs w:val="28"/>
        </w:rPr>
        <w:t>troisième</w:t>
      </w:r>
      <w:r w:rsidR="009D02F2" w:rsidRPr="008F353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</w:t>
      </w:r>
      <w:r w:rsidRPr="008F3532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trimestre 2015</w:t>
      </w:r>
    </w:p>
    <w:p w:rsidR="002E1737" w:rsidRDefault="00B55AAA" w:rsidP="00B81D2D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2938780</wp:posOffset>
            </wp:positionH>
            <wp:positionV relativeFrom="margin">
              <wp:posOffset>668020</wp:posOffset>
            </wp:positionV>
            <wp:extent cx="3552825" cy="3352800"/>
            <wp:effectExtent l="0" t="0" r="0" b="0"/>
            <wp:wrapSquare wrapText="bothSides"/>
            <wp:docPr id="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704699" w:rsidRPr="00FF24EF">
        <w:rPr>
          <w:rFonts w:eastAsia="Arial Unicode MS"/>
          <w:sz w:val="22"/>
          <w:szCs w:val="22"/>
        </w:rPr>
        <w:t xml:space="preserve">La production </w:t>
      </w:r>
      <w:r w:rsidR="00704699" w:rsidRPr="000E5893">
        <w:rPr>
          <w:rFonts w:eastAsia="Arial Unicode MS"/>
          <w:b/>
          <w:bCs/>
          <w:color w:val="660033"/>
          <w:sz w:val="22"/>
          <w:szCs w:val="22"/>
        </w:rPr>
        <w:t>industrielle</w:t>
      </w:r>
      <w:r w:rsidR="00583A84">
        <w:rPr>
          <w:rFonts w:eastAsia="Arial Unicode MS"/>
          <w:sz w:val="22"/>
          <w:szCs w:val="22"/>
        </w:rPr>
        <w:t xml:space="preserve"> </w:t>
      </w:r>
      <w:r w:rsidR="00583A84" w:rsidRPr="00583A84">
        <w:rPr>
          <w:rFonts w:eastAsia="Arial Unicode MS"/>
          <w:b/>
          <w:bCs/>
          <w:color w:val="660033"/>
          <w:sz w:val="22"/>
          <w:szCs w:val="22"/>
        </w:rPr>
        <w:t>manufacturière</w:t>
      </w:r>
      <w:r w:rsidR="00583A84">
        <w:rPr>
          <w:rFonts w:eastAsia="Arial Unicode MS"/>
          <w:sz w:val="22"/>
          <w:szCs w:val="22"/>
        </w:rPr>
        <w:t xml:space="preserve"> </w:t>
      </w:r>
      <w:r w:rsidR="00F75DAA">
        <w:rPr>
          <w:rFonts w:eastAsia="Arial Unicode MS"/>
          <w:sz w:val="22"/>
          <w:szCs w:val="22"/>
        </w:rPr>
        <w:t>anticipée</w:t>
      </w:r>
      <w:r w:rsidR="00704699" w:rsidRPr="00FF24EF">
        <w:rPr>
          <w:rFonts w:eastAsia="Arial Unicode MS"/>
          <w:sz w:val="22"/>
          <w:szCs w:val="22"/>
        </w:rPr>
        <w:t xml:space="preserve"> pour le </w:t>
      </w:r>
      <w:r w:rsidR="001724B1">
        <w:rPr>
          <w:rFonts w:eastAsia="Arial Unicode MS"/>
          <w:sz w:val="22"/>
          <w:szCs w:val="22"/>
        </w:rPr>
        <w:t>troisième</w:t>
      </w:r>
      <w:r w:rsidR="00704699" w:rsidRPr="00FF24EF">
        <w:rPr>
          <w:rFonts w:eastAsia="Arial Unicode MS"/>
          <w:sz w:val="22"/>
          <w:szCs w:val="22"/>
        </w:rPr>
        <w:t xml:space="preserve"> </w:t>
      </w:r>
      <w:r w:rsidR="00DC0356" w:rsidRPr="00DC0356">
        <w:rPr>
          <w:rFonts w:eastAsia="Arial Unicode MS"/>
          <w:sz w:val="22"/>
          <w:szCs w:val="22"/>
        </w:rPr>
        <w:t xml:space="preserve"> </w:t>
      </w:r>
      <w:r w:rsidR="00704699" w:rsidRPr="00FF24EF">
        <w:rPr>
          <w:rFonts w:eastAsia="Arial Unicode MS"/>
          <w:sz w:val="22"/>
          <w:szCs w:val="22"/>
        </w:rPr>
        <w:t>t</w:t>
      </w:r>
      <w:r w:rsidR="001724B1">
        <w:rPr>
          <w:rFonts w:eastAsia="Arial Unicode MS"/>
          <w:sz w:val="22"/>
          <w:szCs w:val="22"/>
        </w:rPr>
        <w:t>rimestre 2015 devrait connaî</w:t>
      </w:r>
      <w:r w:rsidR="00704699" w:rsidRPr="00FF24EF">
        <w:rPr>
          <w:rFonts w:eastAsia="Arial Unicode MS"/>
          <w:sz w:val="22"/>
          <w:szCs w:val="22"/>
        </w:rPr>
        <w:t>tre</w:t>
      </w:r>
      <w:r w:rsidR="00B81D2D">
        <w:rPr>
          <w:rFonts w:eastAsia="Arial Unicode MS"/>
          <w:sz w:val="22"/>
          <w:szCs w:val="22"/>
        </w:rPr>
        <w:t xml:space="preserve">, </w:t>
      </w:r>
      <w:r w:rsidR="00B81D2D" w:rsidRPr="00FF24EF">
        <w:rPr>
          <w:rFonts w:eastAsia="Arial Unicode MS"/>
          <w:sz w:val="22"/>
          <w:szCs w:val="22"/>
        </w:rPr>
        <w:t>selon 4</w:t>
      </w:r>
      <w:r w:rsidR="00B81D2D">
        <w:rPr>
          <w:rFonts w:eastAsia="Arial Unicode MS"/>
          <w:sz w:val="22"/>
          <w:szCs w:val="22"/>
        </w:rPr>
        <w:t>7</w:t>
      </w:r>
      <w:r w:rsidR="00B81D2D" w:rsidRPr="00FF24EF">
        <w:rPr>
          <w:rFonts w:eastAsia="Arial Unicode MS"/>
          <w:sz w:val="22"/>
          <w:szCs w:val="22"/>
        </w:rPr>
        <w:t>% des chefs d’entreprises</w:t>
      </w:r>
      <w:r w:rsidR="00B81D2D">
        <w:rPr>
          <w:rFonts w:eastAsia="Arial Unicode MS"/>
          <w:sz w:val="22"/>
          <w:szCs w:val="22"/>
        </w:rPr>
        <w:t xml:space="preserve">, </w:t>
      </w:r>
      <w:r w:rsidR="00B81D2D" w:rsidRPr="00FF24EF">
        <w:rPr>
          <w:rFonts w:eastAsia="Arial Unicode MS"/>
          <w:sz w:val="22"/>
          <w:szCs w:val="22"/>
        </w:rPr>
        <w:t>une hausse</w:t>
      </w:r>
      <w:r w:rsidR="00B81D2D">
        <w:rPr>
          <w:rFonts w:eastAsia="Arial Unicode MS"/>
          <w:sz w:val="22"/>
          <w:szCs w:val="22"/>
        </w:rPr>
        <w:t xml:space="preserve"> </w:t>
      </w:r>
      <w:r w:rsidR="00B81D2D" w:rsidRPr="00FF24EF">
        <w:rPr>
          <w:rFonts w:eastAsia="Arial Unicode MS"/>
          <w:sz w:val="22"/>
          <w:szCs w:val="22"/>
        </w:rPr>
        <w:t>et</w:t>
      </w:r>
      <w:r w:rsidR="00B81D2D">
        <w:rPr>
          <w:rFonts w:eastAsia="Arial Unicode MS"/>
          <w:sz w:val="22"/>
          <w:szCs w:val="22"/>
        </w:rPr>
        <w:t>, s</w:t>
      </w:r>
      <w:r w:rsidR="00B81D2D" w:rsidRPr="00FF24EF">
        <w:rPr>
          <w:rFonts w:eastAsia="Arial Unicode MS"/>
          <w:sz w:val="22"/>
          <w:szCs w:val="22"/>
        </w:rPr>
        <w:t xml:space="preserve">elon </w:t>
      </w:r>
      <w:r w:rsidR="00B81D2D">
        <w:rPr>
          <w:rFonts w:eastAsia="Arial Unicode MS"/>
          <w:sz w:val="22"/>
          <w:szCs w:val="22"/>
        </w:rPr>
        <w:t>21</w:t>
      </w:r>
      <w:r w:rsidR="00B81D2D" w:rsidRPr="00FF24EF">
        <w:rPr>
          <w:rFonts w:eastAsia="Arial Unicode MS"/>
          <w:sz w:val="22"/>
          <w:szCs w:val="22"/>
        </w:rPr>
        <w:t>%</w:t>
      </w:r>
      <w:r w:rsidR="00B81D2D">
        <w:rPr>
          <w:rFonts w:eastAsia="Arial Unicode MS"/>
          <w:sz w:val="22"/>
          <w:szCs w:val="22"/>
        </w:rPr>
        <w:t xml:space="preserve">, </w:t>
      </w:r>
      <w:r w:rsidR="00704699" w:rsidRPr="00FF24EF">
        <w:rPr>
          <w:rFonts w:eastAsia="Arial Unicode MS"/>
          <w:sz w:val="22"/>
          <w:szCs w:val="22"/>
        </w:rPr>
        <w:t xml:space="preserve">une baisse. Cette amélioration concernerait, principalement, les activités </w:t>
      </w:r>
      <w:r w:rsidR="00FC6CB3">
        <w:rPr>
          <w:rFonts w:eastAsia="Arial Unicode MS"/>
          <w:sz w:val="22"/>
          <w:szCs w:val="22"/>
        </w:rPr>
        <w:t>des</w:t>
      </w:r>
      <w:r w:rsidR="00FC6CB3" w:rsidRPr="00FF24EF">
        <w:rPr>
          <w:rFonts w:eastAsia="Arial Unicode MS"/>
          <w:sz w:val="22"/>
          <w:szCs w:val="22"/>
        </w:rPr>
        <w:t xml:space="preserve"> «</w:t>
      </w:r>
      <w:r w:rsidR="00FC6CB3">
        <w:rPr>
          <w:rFonts w:eastAsia="Arial Unicode MS"/>
          <w:sz w:val="22"/>
          <w:szCs w:val="22"/>
        </w:rPr>
        <w:t>Industries alimentaires</w:t>
      </w:r>
      <w:r w:rsidR="00FC6CB3" w:rsidRPr="00FF24EF">
        <w:rPr>
          <w:rFonts w:eastAsia="Arial Unicode MS"/>
          <w:sz w:val="22"/>
          <w:szCs w:val="22"/>
        </w:rPr>
        <w:t>»</w:t>
      </w:r>
      <w:r w:rsidR="00FC6CB3">
        <w:rPr>
          <w:rFonts w:eastAsia="Arial Unicode MS"/>
          <w:sz w:val="22"/>
          <w:szCs w:val="22"/>
        </w:rPr>
        <w:t xml:space="preserve"> et celles de </w:t>
      </w:r>
      <w:r w:rsidR="00E663F9">
        <w:rPr>
          <w:rFonts w:eastAsia="Arial Unicode MS"/>
          <w:sz w:val="22"/>
          <w:szCs w:val="22"/>
        </w:rPr>
        <w:t>l’</w:t>
      </w:r>
      <w:r w:rsidR="00704699" w:rsidRPr="00FF24EF">
        <w:rPr>
          <w:rFonts w:eastAsia="Arial Unicode MS"/>
          <w:sz w:val="22"/>
          <w:szCs w:val="22"/>
        </w:rPr>
        <w:t>« </w:t>
      </w:r>
      <w:r w:rsidR="00E663F9">
        <w:rPr>
          <w:rFonts w:eastAsia="Arial Unicode MS"/>
          <w:sz w:val="22"/>
          <w:szCs w:val="22"/>
        </w:rPr>
        <w:t>Industrie chimique</w:t>
      </w:r>
      <w:r w:rsidR="00FC6CB3">
        <w:rPr>
          <w:rFonts w:eastAsia="Arial Unicode MS"/>
          <w:sz w:val="22"/>
          <w:szCs w:val="22"/>
        </w:rPr>
        <w:t>»</w:t>
      </w:r>
      <w:r w:rsidR="00704699" w:rsidRPr="00FF24EF">
        <w:rPr>
          <w:rFonts w:eastAsia="Arial Unicode MS"/>
          <w:sz w:val="22"/>
          <w:szCs w:val="22"/>
        </w:rPr>
        <w:t>. Quant à l’emploi, 4</w:t>
      </w:r>
      <w:r w:rsidR="001724B1">
        <w:rPr>
          <w:rFonts w:eastAsia="Arial Unicode MS"/>
          <w:sz w:val="22"/>
          <w:szCs w:val="22"/>
        </w:rPr>
        <w:t>1</w:t>
      </w:r>
      <w:r w:rsidR="00704699" w:rsidRPr="00FF24EF">
        <w:rPr>
          <w:rFonts w:eastAsia="Arial Unicode MS"/>
          <w:sz w:val="22"/>
          <w:szCs w:val="22"/>
        </w:rPr>
        <w:t>% des chefs d’entreprises prévoient une stabilité des effectifs et 3</w:t>
      </w:r>
      <w:r w:rsidR="001724B1">
        <w:rPr>
          <w:rFonts w:eastAsia="Arial Unicode MS"/>
          <w:sz w:val="22"/>
          <w:szCs w:val="22"/>
        </w:rPr>
        <w:t>9</w:t>
      </w:r>
      <w:r w:rsidR="00704699" w:rsidRPr="00FF24EF">
        <w:rPr>
          <w:rFonts w:eastAsia="Arial Unicode MS"/>
          <w:sz w:val="22"/>
          <w:szCs w:val="22"/>
        </w:rPr>
        <w:t xml:space="preserve">% une hausse pour le </w:t>
      </w:r>
      <w:r w:rsidR="001724B1">
        <w:rPr>
          <w:rFonts w:eastAsia="Arial Unicode MS"/>
          <w:sz w:val="22"/>
          <w:szCs w:val="22"/>
        </w:rPr>
        <w:t>3</w:t>
      </w:r>
      <w:r w:rsidR="00704699" w:rsidRPr="00FF24EF">
        <w:rPr>
          <w:rFonts w:eastAsia="Arial Unicode MS"/>
          <w:sz w:val="22"/>
          <w:szCs w:val="22"/>
          <w:vertAlign w:val="superscript"/>
        </w:rPr>
        <w:t>ème</w:t>
      </w:r>
      <w:r w:rsidR="00704699" w:rsidRPr="00FF24EF">
        <w:rPr>
          <w:rFonts w:eastAsia="Arial Unicode MS"/>
          <w:sz w:val="22"/>
          <w:szCs w:val="22"/>
        </w:rPr>
        <w:t xml:space="preserve"> trimestre 2015.</w:t>
      </w:r>
    </w:p>
    <w:p w:rsidR="00DC0356" w:rsidRDefault="00FF3112" w:rsidP="00DC0356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Dans </w:t>
      </w:r>
      <w:r w:rsidRPr="00FF24EF">
        <w:rPr>
          <w:rFonts w:eastAsia="Arial Unicode MS"/>
          <w:sz w:val="22"/>
          <w:szCs w:val="22"/>
        </w:rPr>
        <w:t xml:space="preserve">le secteur de </w:t>
      </w:r>
      <w:r w:rsidRPr="000E5893"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>
        <w:rPr>
          <w:rFonts w:eastAsia="Arial Unicode MS"/>
          <w:b/>
          <w:bCs/>
          <w:color w:val="660033"/>
          <w:sz w:val="22"/>
          <w:szCs w:val="22"/>
        </w:rPr>
        <w:t>,</w:t>
      </w:r>
      <w:r w:rsidRPr="00FF24EF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l</w:t>
      </w:r>
      <w:r w:rsidR="00704699" w:rsidRPr="00FF24EF">
        <w:rPr>
          <w:rFonts w:eastAsia="Arial Unicode MS"/>
          <w:sz w:val="22"/>
          <w:szCs w:val="22"/>
        </w:rPr>
        <w:t xml:space="preserve">es anticipations pour le </w:t>
      </w:r>
      <w:r w:rsidR="003B5F82">
        <w:rPr>
          <w:rFonts w:eastAsia="Arial Unicode MS"/>
          <w:sz w:val="22"/>
          <w:szCs w:val="22"/>
        </w:rPr>
        <w:t>troisième</w:t>
      </w:r>
      <w:r w:rsidR="00704699" w:rsidRPr="00FF24EF">
        <w:rPr>
          <w:rFonts w:eastAsia="Arial Unicode MS"/>
          <w:sz w:val="22"/>
          <w:szCs w:val="22"/>
        </w:rPr>
        <w:t xml:space="preserve"> trimestre 2015 affichent, selon la majorité des patrons, une hausse de la production</w:t>
      </w:r>
      <w:r w:rsidR="004B411A">
        <w:rPr>
          <w:rFonts w:eastAsia="Arial Unicode MS"/>
          <w:sz w:val="22"/>
          <w:szCs w:val="22"/>
        </w:rPr>
        <w:t>,</w:t>
      </w:r>
      <w:r w:rsidR="00704699" w:rsidRPr="00FF24EF">
        <w:rPr>
          <w:rFonts w:eastAsia="Arial Unicode MS"/>
          <w:sz w:val="22"/>
          <w:szCs w:val="22"/>
        </w:rPr>
        <w:t xml:space="preserve"> </w:t>
      </w:r>
      <w:r w:rsidR="00801153" w:rsidRPr="00801153">
        <w:rPr>
          <w:rFonts w:eastAsia="Arial Unicode MS"/>
          <w:sz w:val="22"/>
          <w:szCs w:val="22"/>
        </w:rPr>
        <w:t>imputable</w:t>
      </w:r>
      <w:r w:rsidR="000E5893">
        <w:rPr>
          <w:rFonts w:eastAsia="Arial Unicode MS"/>
          <w:sz w:val="22"/>
          <w:szCs w:val="22"/>
        </w:rPr>
        <w:t xml:space="preserve"> à</w:t>
      </w:r>
      <w:r w:rsidR="00704699" w:rsidRPr="00FF24EF">
        <w:rPr>
          <w:rFonts w:eastAsia="Arial Unicode MS"/>
          <w:sz w:val="22"/>
          <w:szCs w:val="22"/>
        </w:rPr>
        <w:t xml:space="preserve"> une progression de la production dans les « </w:t>
      </w:r>
      <w:r w:rsidR="00684DA3">
        <w:rPr>
          <w:rFonts w:eastAsia="Arial Unicode MS"/>
          <w:sz w:val="22"/>
          <w:szCs w:val="22"/>
        </w:rPr>
        <w:t>Autres industries extractives».</w:t>
      </w:r>
      <w:r w:rsidR="00DC0356">
        <w:rPr>
          <w:rFonts w:eastAsia="Arial Unicode MS"/>
          <w:sz w:val="22"/>
          <w:szCs w:val="22"/>
        </w:rPr>
        <w:t xml:space="preserve"> </w:t>
      </w:r>
    </w:p>
    <w:p w:rsidR="00F75DAA" w:rsidRDefault="004B411A" w:rsidP="009D7D48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 w:rsidRPr="00801153">
        <w:rPr>
          <w:rFonts w:eastAsia="Arial Unicode MS"/>
          <w:sz w:val="22"/>
          <w:szCs w:val="22"/>
        </w:rPr>
        <w:t>S’agissant de</w:t>
      </w:r>
      <w:r>
        <w:rPr>
          <w:rFonts w:eastAsia="Arial Unicode MS"/>
          <w:sz w:val="22"/>
          <w:szCs w:val="22"/>
        </w:rPr>
        <w:t xml:space="preserve"> </w:t>
      </w:r>
      <w:r w:rsidR="00A01DE9" w:rsidRPr="007E71EE">
        <w:rPr>
          <w:rFonts w:eastAsia="Arial Unicode MS"/>
          <w:b/>
          <w:bCs/>
          <w:color w:val="660033"/>
          <w:sz w:val="22"/>
          <w:szCs w:val="22"/>
        </w:rPr>
        <w:t>l’industrie</w:t>
      </w:r>
      <w:r w:rsidR="00676B69" w:rsidRPr="007E71EE">
        <w:rPr>
          <w:rFonts w:eastAsia="Arial Unicode MS"/>
          <w:b/>
          <w:bCs/>
          <w:color w:val="660033"/>
          <w:sz w:val="22"/>
          <w:szCs w:val="22"/>
        </w:rPr>
        <w:t xml:space="preserve"> énergétique</w:t>
      </w:r>
      <w:r w:rsidR="000B6C46" w:rsidRPr="007E71EE">
        <w:rPr>
          <w:rFonts w:eastAsia="Arial Unicode MS"/>
          <w:b/>
          <w:bCs/>
          <w:color w:val="660033"/>
          <w:sz w:val="22"/>
          <w:szCs w:val="22"/>
        </w:rPr>
        <w:t>,</w:t>
      </w:r>
      <w:r w:rsidR="00676B69" w:rsidRPr="007E71EE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676B69" w:rsidRPr="007E71EE">
        <w:rPr>
          <w:rFonts w:eastAsia="Arial Unicode MS"/>
          <w:sz w:val="22"/>
          <w:szCs w:val="22"/>
        </w:rPr>
        <w:t xml:space="preserve">et selon </w:t>
      </w:r>
      <w:r w:rsidR="00435B96" w:rsidRPr="007E71EE">
        <w:rPr>
          <w:rFonts w:eastAsia="Arial Unicode MS"/>
          <w:sz w:val="22"/>
          <w:szCs w:val="22"/>
        </w:rPr>
        <w:t>presque la totalité</w:t>
      </w:r>
      <w:r w:rsidR="00676B69" w:rsidRPr="007E71EE">
        <w:rPr>
          <w:rFonts w:eastAsia="Arial Unicode MS"/>
          <w:sz w:val="22"/>
          <w:szCs w:val="22"/>
        </w:rPr>
        <w:t xml:space="preserve"> des chefs d’entreprises</w:t>
      </w:r>
      <w:r>
        <w:rPr>
          <w:rFonts w:eastAsia="Arial Unicode MS"/>
          <w:sz w:val="22"/>
          <w:szCs w:val="22"/>
        </w:rPr>
        <w:t>,</w:t>
      </w:r>
      <w:r w:rsidR="00A01DE9" w:rsidRPr="007E71EE">
        <w:rPr>
          <w:rFonts w:eastAsia="Arial Unicode MS"/>
          <w:sz w:val="22"/>
          <w:szCs w:val="22"/>
        </w:rPr>
        <w:t xml:space="preserve"> </w:t>
      </w:r>
      <w:r w:rsidR="00676B69" w:rsidRPr="007E71EE">
        <w:rPr>
          <w:rFonts w:eastAsia="Arial Unicode MS"/>
          <w:sz w:val="22"/>
          <w:szCs w:val="22"/>
        </w:rPr>
        <w:t xml:space="preserve">la production connaîtrait </w:t>
      </w:r>
      <w:r w:rsidR="002E1737" w:rsidRPr="007E71EE">
        <w:rPr>
          <w:rFonts w:eastAsia="Arial Unicode MS"/>
          <w:sz w:val="22"/>
          <w:szCs w:val="22"/>
        </w:rPr>
        <w:t xml:space="preserve">une </w:t>
      </w:r>
      <w:r w:rsidR="003B5F82" w:rsidRPr="007E71EE">
        <w:rPr>
          <w:rFonts w:eastAsia="Arial Unicode MS"/>
          <w:sz w:val="22"/>
          <w:szCs w:val="22"/>
        </w:rPr>
        <w:t>augmentation</w:t>
      </w:r>
      <w:r>
        <w:rPr>
          <w:rFonts w:eastAsia="Arial Unicode MS"/>
          <w:sz w:val="22"/>
          <w:szCs w:val="22"/>
        </w:rPr>
        <w:t xml:space="preserve">, </w:t>
      </w:r>
      <w:r w:rsidRPr="00801153">
        <w:rPr>
          <w:rFonts w:eastAsia="Arial Unicode MS"/>
          <w:sz w:val="22"/>
          <w:szCs w:val="22"/>
        </w:rPr>
        <w:t>portée par</w:t>
      </w:r>
      <w:r w:rsidR="002E1737" w:rsidRPr="007E71EE">
        <w:rPr>
          <w:rFonts w:eastAsia="Arial Unicode MS"/>
          <w:sz w:val="22"/>
          <w:szCs w:val="22"/>
        </w:rPr>
        <w:t xml:space="preserve"> </w:t>
      </w:r>
      <w:r w:rsidR="00A7438D" w:rsidRPr="007E71EE">
        <w:rPr>
          <w:rFonts w:eastAsia="Arial Unicode MS"/>
          <w:sz w:val="22"/>
          <w:szCs w:val="22"/>
        </w:rPr>
        <w:t xml:space="preserve">une hausse de la </w:t>
      </w:r>
      <w:r w:rsidR="00DB4906" w:rsidRPr="007E71EE">
        <w:rPr>
          <w:rFonts w:eastAsia="Arial Unicode MS"/>
          <w:sz w:val="22"/>
          <w:szCs w:val="22"/>
        </w:rPr>
        <w:t xml:space="preserve">« Production et distribution d’électricité, de gaz, de vapeur et d’air conditionné». </w:t>
      </w:r>
      <w:r w:rsidR="00435B96" w:rsidRPr="007E71EE">
        <w:rPr>
          <w:rFonts w:eastAsia="Arial Unicode MS"/>
          <w:sz w:val="22"/>
          <w:szCs w:val="22"/>
        </w:rPr>
        <w:t xml:space="preserve">Pour </w:t>
      </w:r>
      <w:r w:rsidR="00435B96" w:rsidRPr="007E71EE">
        <w:rPr>
          <w:rFonts w:eastAsia="Arial Unicode MS"/>
          <w:b/>
          <w:bCs/>
          <w:color w:val="660033"/>
          <w:sz w:val="22"/>
          <w:szCs w:val="22"/>
        </w:rPr>
        <w:t>l’industrie environnementale,</w:t>
      </w:r>
      <w:r w:rsidR="00435B96" w:rsidRPr="007E71EE">
        <w:rPr>
          <w:rFonts w:eastAsia="Arial Unicode MS"/>
          <w:sz w:val="22"/>
          <w:szCs w:val="22"/>
        </w:rPr>
        <w:t xml:space="preserve"> </w:t>
      </w:r>
      <w:r w:rsidR="00DB4906" w:rsidRPr="007E71EE">
        <w:rPr>
          <w:rFonts w:eastAsia="Arial Unicode MS"/>
          <w:sz w:val="22"/>
          <w:szCs w:val="22"/>
        </w:rPr>
        <w:t>la plupart des industriels prévoient une stabilité de la production</w:t>
      </w:r>
      <w:r>
        <w:rPr>
          <w:rFonts w:eastAsia="Arial Unicode MS"/>
          <w:sz w:val="22"/>
          <w:szCs w:val="22"/>
        </w:rPr>
        <w:t>,</w:t>
      </w:r>
      <w:r w:rsidR="000B6C46" w:rsidRPr="007E71EE">
        <w:rPr>
          <w:rFonts w:eastAsia="Arial Unicode MS"/>
          <w:sz w:val="22"/>
          <w:szCs w:val="22"/>
        </w:rPr>
        <w:t xml:space="preserve"> </w:t>
      </w:r>
      <w:r w:rsidRPr="00801153">
        <w:rPr>
          <w:rFonts w:eastAsia="Arial Unicode MS"/>
          <w:sz w:val="22"/>
          <w:szCs w:val="22"/>
        </w:rPr>
        <w:t>notamment</w:t>
      </w:r>
      <w:r w:rsidR="009D7D48">
        <w:rPr>
          <w:rFonts w:eastAsia="Arial Unicode MS"/>
          <w:sz w:val="22"/>
          <w:szCs w:val="22"/>
        </w:rPr>
        <w:t xml:space="preserve">, </w:t>
      </w:r>
      <w:r w:rsidRPr="00801153">
        <w:rPr>
          <w:rFonts w:eastAsia="Arial Unicode MS"/>
          <w:sz w:val="22"/>
          <w:szCs w:val="22"/>
        </w:rPr>
        <w:t>dans le</w:t>
      </w:r>
      <w:r w:rsidR="00B81D2D">
        <w:rPr>
          <w:rFonts w:eastAsia="Arial Unicode MS"/>
          <w:sz w:val="22"/>
          <w:szCs w:val="22"/>
        </w:rPr>
        <w:t xml:space="preserve">s activités du </w:t>
      </w:r>
      <w:r w:rsidR="00D626C6">
        <w:rPr>
          <w:rFonts w:eastAsia="Arial Unicode MS"/>
          <w:sz w:val="22"/>
          <w:szCs w:val="22"/>
        </w:rPr>
        <w:t xml:space="preserve"> </w:t>
      </w:r>
      <w:r w:rsidR="000B6C46" w:rsidRPr="007E71EE">
        <w:rPr>
          <w:rFonts w:eastAsia="Arial Unicode MS"/>
          <w:sz w:val="22"/>
          <w:szCs w:val="22"/>
        </w:rPr>
        <w:t>«</w:t>
      </w:r>
      <w:r w:rsidR="00FF3112">
        <w:rPr>
          <w:rFonts w:eastAsia="Arial Unicode MS"/>
          <w:sz w:val="22"/>
          <w:szCs w:val="22"/>
        </w:rPr>
        <w:t>Captage, traitement et distribution d’eau</w:t>
      </w:r>
      <w:r w:rsidR="000B6C46" w:rsidRPr="007E71EE">
        <w:rPr>
          <w:rFonts w:eastAsia="Arial Unicode MS"/>
          <w:sz w:val="22"/>
          <w:szCs w:val="22"/>
        </w:rPr>
        <w:t>».</w:t>
      </w:r>
      <w:r w:rsidR="00435B96" w:rsidRPr="007E71EE">
        <w:rPr>
          <w:rFonts w:eastAsia="Arial Unicode MS"/>
          <w:sz w:val="22"/>
          <w:szCs w:val="22"/>
        </w:rPr>
        <w:t xml:space="preserve"> </w:t>
      </w:r>
    </w:p>
    <w:p w:rsidR="00653F59" w:rsidRPr="002E1737" w:rsidRDefault="000E76B0" w:rsidP="00583A84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pict>
          <v:shape id="_x0000_s1143" type="#_x0000_t202" style="position:absolute;left:0;text-align:left;margin-left:1.15pt;margin-top:199.5pt;width:462.15pt;height:245.3pt;z-index:251660288" fillcolor="#fbd4b4">
            <v:textbox style="mso-next-textbox:#_x0000_s1143">
              <w:txbxContent>
                <w:p w:rsidR="00157A43" w:rsidRPr="00CF5EA6" w:rsidRDefault="00AD53FD" w:rsidP="00CF5EA6">
                  <w:pPr>
                    <w:spacing w:after="120"/>
                    <w:jc w:val="both"/>
                    <w:rPr>
                      <w:b/>
                      <w:bCs/>
                      <w:color w:val="C00000"/>
                    </w:rPr>
                  </w:pPr>
                  <w:r w:rsidRPr="00CF5EA6">
                    <w:rPr>
                      <w:b/>
                      <w:bCs/>
                      <w:color w:val="C00000"/>
                    </w:rPr>
                    <w:t>Réforme du dispositif des enquêtes de conjoncture auprès des entreprises</w:t>
                  </w:r>
                </w:p>
                <w:p w:rsidR="00AD53FD" w:rsidRPr="007F4BA9" w:rsidRDefault="00AD53FD" w:rsidP="00737135">
                  <w:pPr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Dans le cadre de la politique de mise à niveau de son système d’information statistique, et pour mieux répondre aux besoins des entreprises et des utilisateurs de l’information socio-économique au sens le plus large, le HCP a entrepris, à partir du deuxième trimestre 2015, une rénovation majeure de son dispositif d’enquêtes de conjoncture auprès des entreprises. Cette rénovation a été </w:t>
                  </w:r>
                  <w:r w:rsidR="00157A43">
                    <w:rPr>
                      <w:rFonts w:eastAsia="Arial Unicode MS"/>
                      <w:sz w:val="20"/>
                      <w:szCs w:val="20"/>
                    </w:rPr>
                    <w:t>articulée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, principalement, </w:t>
                  </w:r>
                  <w:r w:rsidR="00157A43">
                    <w:rPr>
                      <w:rFonts w:eastAsia="Arial Unicode MS"/>
                      <w:sz w:val="20"/>
                      <w:szCs w:val="20"/>
                    </w:rPr>
                    <w:t>autour de </w:t>
                  </w:r>
                  <w:r w:rsidR="008C6873">
                    <w:rPr>
                      <w:rFonts w:eastAsia="Arial Unicode MS"/>
                      <w:sz w:val="20"/>
                      <w:szCs w:val="20"/>
                    </w:rPr>
                    <w:t>l</w:t>
                  </w:r>
                  <w:r w:rsidR="00157A43" w:rsidRPr="00157A43">
                    <w:rPr>
                      <w:rFonts w:eastAsia="Arial Unicode MS"/>
                      <w:sz w:val="20"/>
                      <w:szCs w:val="20"/>
                    </w:rPr>
                    <w:t xml:space="preserve">’élargissement du champ des enquêtes de conjoncture </w:t>
                  </w:r>
                  <w:r w:rsidR="00DC0356">
                    <w:rPr>
                      <w:rFonts w:eastAsia="Arial Unicode MS"/>
                      <w:sz w:val="20"/>
                      <w:szCs w:val="20"/>
                    </w:rPr>
                    <w:t xml:space="preserve">aux </w:t>
                  </w:r>
                  <w:r w:rsidR="008C6873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157A43" w:rsidRPr="00157A43">
                    <w:rPr>
                      <w:rFonts w:eastAsia="Arial Unicode MS"/>
                      <w:sz w:val="20"/>
                      <w:szCs w:val="20"/>
                    </w:rPr>
                    <w:t>entreprises opérant dans les secteurs d</w:t>
                  </w:r>
                  <w:r w:rsidR="00583A84">
                    <w:rPr>
                      <w:rFonts w:eastAsia="Arial Unicode MS"/>
                      <w:sz w:val="20"/>
                      <w:szCs w:val="20"/>
                    </w:rPr>
                    <w:t xml:space="preserve">u </w:t>
                  </w:r>
                  <w:r w:rsidR="00157A43" w:rsidRPr="00157A43">
                    <w:rPr>
                      <w:rFonts w:eastAsia="Arial Unicode MS"/>
                      <w:sz w:val="20"/>
                      <w:szCs w:val="20"/>
                    </w:rPr>
                    <w:t>commerce de gros et des services marchands non financiers</w:t>
                  </w:r>
                  <w:r w:rsidR="00583A84">
                    <w:rPr>
                      <w:rFonts w:eastAsia="Arial Unicode MS"/>
                      <w:sz w:val="20"/>
                      <w:szCs w:val="20"/>
                    </w:rPr>
                    <w:t xml:space="preserve"> et </w:t>
                  </w:r>
                  <w:r w:rsidR="008C6873">
                    <w:rPr>
                      <w:rFonts w:eastAsia="Arial Unicode MS"/>
                      <w:sz w:val="20"/>
                      <w:szCs w:val="20"/>
                    </w:rPr>
                    <w:t xml:space="preserve">de </w:t>
                  </w:r>
                  <w:r w:rsidR="00157A43" w:rsidRPr="00157A43">
                    <w:rPr>
                      <w:rFonts w:eastAsia="Arial Unicode MS"/>
                      <w:sz w:val="20"/>
                      <w:szCs w:val="20"/>
                    </w:rPr>
                    <w:t xml:space="preserve">l’adoption de la nouvelle nomenclature </w:t>
                  </w:r>
                  <w:r w:rsidR="008C6873">
                    <w:rPr>
                      <w:rFonts w:eastAsia="Arial Unicode MS"/>
                      <w:sz w:val="20"/>
                      <w:szCs w:val="20"/>
                    </w:rPr>
                    <w:t xml:space="preserve">marocaine d’activité </w:t>
                  </w:r>
                  <w:r w:rsidR="00CA2006">
                    <w:rPr>
                      <w:rFonts w:eastAsia="Arial Unicode MS"/>
                      <w:sz w:val="20"/>
                      <w:szCs w:val="20"/>
                    </w:rPr>
                    <w:t xml:space="preserve">économique </w:t>
                  </w:r>
                  <w:r w:rsidR="008C6873">
                    <w:rPr>
                      <w:rFonts w:eastAsia="Arial Unicode MS"/>
                      <w:sz w:val="20"/>
                      <w:szCs w:val="20"/>
                    </w:rPr>
                    <w:t>(NMA2010)</w:t>
                  </w:r>
                  <w:r w:rsidR="00157A43" w:rsidRPr="00157A43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  <w:r w:rsidR="00DC0356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Cette note présente l’appréciation des chefs d’entreprises, telle qu’elle ressort des enquêtes de conjoncture auprès des entreprises opérant dans le</w:t>
                  </w:r>
                  <w:r w:rsidR="008C6873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secteur</w:t>
                  </w:r>
                  <w:r w:rsidR="008C6873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industrie</w:t>
                  </w:r>
                  <w:r w:rsidR="008C6873">
                    <w:rPr>
                      <w:rFonts w:eastAsia="Arial Unicode MS"/>
                      <w:sz w:val="20"/>
                      <w:szCs w:val="20"/>
                    </w:rPr>
                    <w:t>ls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et dans celui de la construction, réalisées par le HCP au titre du </w:t>
                  </w:r>
                  <w:r w:rsidR="003D0B92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Pr="008C6873">
                    <w:rPr>
                      <w:rFonts w:eastAsia="Arial Unicode MS"/>
                      <w:sz w:val="20"/>
                      <w:szCs w:val="20"/>
                    </w:rPr>
                    <w:t>ème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trimestre 2015. Cette appréciation porte sur l’évolution de l’activité au cours du </w:t>
                  </w:r>
                  <w:r w:rsidR="003D0B92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3D0B92" w:rsidRPr="008C6873">
                    <w:rPr>
                      <w:rFonts w:eastAsia="Arial Unicode MS"/>
                      <w:sz w:val="20"/>
                      <w:szCs w:val="20"/>
                    </w:rPr>
                    <w:t>ème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trimestre et les pronostics pour le </w:t>
                  </w:r>
                  <w:r w:rsidR="003D0B92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Pr="008C6873">
                    <w:rPr>
                      <w:rFonts w:eastAsia="Arial Unicode MS"/>
                      <w:sz w:val="20"/>
                      <w:szCs w:val="20"/>
                    </w:rPr>
                    <w:t>ème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trimestre 2015. Pour ce qui est des appréciations des chefs d’entreprises dans les nouveaux secteurs </w:t>
                  </w:r>
                  <w:r w:rsidR="00436AE5" w:rsidRPr="007F4BA9">
                    <w:rPr>
                      <w:rFonts w:eastAsia="Arial Unicode MS"/>
                      <w:sz w:val="20"/>
                      <w:szCs w:val="20"/>
                    </w:rPr>
                    <w:t xml:space="preserve">du commerce de gros et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des services marchands</w:t>
                  </w:r>
                  <w:r w:rsidR="00583A84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583A84" w:rsidRPr="00157A43">
                    <w:rPr>
                      <w:rFonts w:eastAsia="Arial Unicode MS"/>
                      <w:sz w:val="20"/>
                      <w:szCs w:val="20"/>
                    </w:rPr>
                    <w:t>non financiers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, elles seront diffusé</w:t>
                  </w:r>
                  <w:r w:rsidR="00804FEE">
                    <w:rPr>
                      <w:rFonts w:eastAsia="Arial Unicode MS"/>
                      <w:sz w:val="20"/>
                      <w:szCs w:val="20"/>
                    </w:rPr>
                    <w:t>e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s et mises à la disposition des entreprises et des différents utilisateurs au 4</w:t>
                  </w:r>
                  <w:r w:rsidRPr="008C6873">
                    <w:rPr>
                      <w:rFonts w:eastAsia="Arial Unicode MS"/>
                      <w:sz w:val="20"/>
                      <w:szCs w:val="20"/>
                    </w:rPr>
                    <w:t xml:space="preserve">ème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2015 et ce, après une analyse plus fine de leur</w:t>
                  </w:r>
                  <w:r w:rsidR="00804FEE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cohérences temporelle et analytique (deux ou trois trimestres au moins).</w:t>
                  </w:r>
                </w:p>
              </w:txbxContent>
            </v:textbox>
          </v:shape>
        </w:pict>
      </w:r>
      <w:r w:rsidR="00DC0356">
        <w:rPr>
          <w:rFonts w:eastAsia="Arial Unicode MS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2780665</wp:posOffset>
            </wp:positionH>
            <wp:positionV relativeFrom="margin">
              <wp:posOffset>4814570</wp:posOffset>
            </wp:positionV>
            <wp:extent cx="3344545" cy="2291715"/>
            <wp:effectExtent l="0" t="0" r="0" b="0"/>
            <wp:wrapSquare wrapText="bothSides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684DA3" w:rsidRPr="00801153">
        <w:rPr>
          <w:rFonts w:eastAsia="Arial Unicode MS"/>
          <w:sz w:val="22"/>
          <w:szCs w:val="22"/>
        </w:rPr>
        <w:t>En ce qui concerne le secteur de</w:t>
      </w:r>
      <w:r w:rsidR="00684DA3" w:rsidRPr="00684DA3">
        <w:rPr>
          <w:rFonts w:eastAsia="Arial Unicode MS"/>
          <w:color w:val="FF0000"/>
          <w:sz w:val="22"/>
          <w:szCs w:val="22"/>
        </w:rPr>
        <w:t xml:space="preserve"> </w:t>
      </w:r>
      <w:r w:rsidR="00684DA3" w:rsidRPr="00684DA3">
        <w:rPr>
          <w:rFonts w:eastAsia="Arial Unicode MS"/>
          <w:b/>
          <w:bCs/>
          <w:color w:val="660033"/>
          <w:sz w:val="22"/>
          <w:szCs w:val="22"/>
        </w:rPr>
        <w:t>la Construction</w:t>
      </w:r>
      <w:r w:rsidR="00684DA3">
        <w:rPr>
          <w:rFonts w:eastAsia="Arial Unicode MS"/>
          <w:sz w:val="22"/>
          <w:szCs w:val="22"/>
        </w:rPr>
        <w:t xml:space="preserve">, </w:t>
      </w:r>
      <w:r w:rsidR="00684DA3" w:rsidRPr="00801153">
        <w:rPr>
          <w:rFonts w:eastAsia="Arial Unicode MS"/>
          <w:sz w:val="22"/>
          <w:szCs w:val="22"/>
        </w:rPr>
        <w:t>les</w:t>
      </w:r>
      <w:r w:rsidR="00653F59" w:rsidRPr="00801153">
        <w:rPr>
          <w:rFonts w:eastAsia="Arial Unicode MS"/>
          <w:sz w:val="22"/>
          <w:szCs w:val="22"/>
        </w:rPr>
        <w:t xml:space="preserve"> </w:t>
      </w:r>
      <w:r w:rsidR="00684DA3" w:rsidRPr="00801153">
        <w:rPr>
          <w:rFonts w:eastAsia="Arial Unicode MS"/>
          <w:sz w:val="22"/>
          <w:szCs w:val="22"/>
        </w:rPr>
        <w:t xml:space="preserve">anticipations </w:t>
      </w:r>
      <w:r w:rsidR="00653F59" w:rsidRPr="00801153">
        <w:rPr>
          <w:rFonts w:eastAsia="Arial Unicode MS"/>
          <w:sz w:val="22"/>
          <w:szCs w:val="22"/>
        </w:rPr>
        <w:t>avancé</w:t>
      </w:r>
      <w:r w:rsidR="00684DA3" w:rsidRPr="00801153">
        <w:rPr>
          <w:rFonts w:eastAsia="Arial Unicode MS"/>
          <w:sz w:val="22"/>
          <w:szCs w:val="22"/>
        </w:rPr>
        <w:t>e</w:t>
      </w:r>
      <w:r w:rsidR="00653F59" w:rsidRPr="00801153">
        <w:rPr>
          <w:rFonts w:eastAsia="Arial Unicode MS"/>
          <w:sz w:val="22"/>
          <w:szCs w:val="22"/>
        </w:rPr>
        <w:t>s</w:t>
      </w:r>
      <w:r w:rsidR="00653F59" w:rsidRPr="002E1737">
        <w:rPr>
          <w:rFonts w:eastAsia="Arial Unicode MS"/>
          <w:sz w:val="22"/>
          <w:szCs w:val="22"/>
        </w:rPr>
        <w:t xml:space="preserve"> pour le </w:t>
      </w:r>
      <w:r w:rsidR="00653F59">
        <w:rPr>
          <w:rFonts w:eastAsia="Arial Unicode MS"/>
          <w:sz w:val="22"/>
          <w:szCs w:val="22"/>
        </w:rPr>
        <w:t xml:space="preserve">troisième </w:t>
      </w:r>
      <w:r w:rsidR="00653F59" w:rsidRPr="002E1737">
        <w:rPr>
          <w:rFonts w:eastAsia="Arial Unicode MS"/>
          <w:sz w:val="22"/>
          <w:szCs w:val="22"/>
        </w:rPr>
        <w:t>trimestre 2015</w:t>
      </w:r>
      <w:r w:rsidR="00684DA3">
        <w:rPr>
          <w:rFonts w:eastAsia="Arial Unicode MS"/>
          <w:sz w:val="22"/>
          <w:szCs w:val="22"/>
        </w:rPr>
        <w:t>,</w:t>
      </w:r>
      <w:r w:rsidR="00583A84">
        <w:rPr>
          <w:rFonts w:eastAsia="Arial Unicode MS"/>
          <w:sz w:val="22"/>
          <w:szCs w:val="22"/>
        </w:rPr>
        <w:t xml:space="preserve"> font ressortir</w:t>
      </w:r>
      <w:r w:rsidR="00583A84" w:rsidRPr="00583A84">
        <w:rPr>
          <w:rFonts w:eastAsia="Arial Unicode MS"/>
          <w:sz w:val="22"/>
          <w:szCs w:val="22"/>
        </w:rPr>
        <w:t xml:space="preserve"> </w:t>
      </w:r>
      <w:r w:rsidR="00583A84" w:rsidRPr="002E1737">
        <w:rPr>
          <w:rFonts w:eastAsia="Arial Unicode MS"/>
          <w:sz w:val="22"/>
          <w:szCs w:val="22"/>
        </w:rPr>
        <w:t xml:space="preserve">une </w:t>
      </w:r>
      <w:r w:rsidR="00583A84">
        <w:rPr>
          <w:rFonts w:eastAsia="Arial Unicode MS"/>
          <w:sz w:val="22"/>
          <w:szCs w:val="22"/>
        </w:rPr>
        <w:t>stabilité de l’</w:t>
      </w:r>
      <w:r w:rsidR="00583A84" w:rsidRPr="002E1737">
        <w:rPr>
          <w:rFonts w:eastAsia="Arial Unicode MS"/>
          <w:sz w:val="22"/>
          <w:szCs w:val="22"/>
        </w:rPr>
        <w:t>activité</w:t>
      </w:r>
      <w:r w:rsidR="00583A84">
        <w:rPr>
          <w:rFonts w:eastAsia="Arial Unicode MS"/>
          <w:sz w:val="22"/>
          <w:szCs w:val="22"/>
        </w:rPr>
        <w:t xml:space="preserve"> </w:t>
      </w:r>
      <w:r w:rsidR="00583A84" w:rsidRPr="002E1737">
        <w:rPr>
          <w:rFonts w:eastAsia="Arial Unicode MS"/>
          <w:sz w:val="22"/>
          <w:szCs w:val="22"/>
        </w:rPr>
        <w:t xml:space="preserve">selon </w:t>
      </w:r>
      <w:r w:rsidR="00583A84">
        <w:rPr>
          <w:rFonts w:eastAsia="Arial Unicode MS"/>
          <w:sz w:val="22"/>
          <w:szCs w:val="22"/>
        </w:rPr>
        <w:t>61</w:t>
      </w:r>
      <w:r w:rsidR="00583A84" w:rsidRPr="002E1737">
        <w:rPr>
          <w:rFonts w:eastAsia="Arial Unicode MS"/>
          <w:sz w:val="22"/>
          <w:szCs w:val="22"/>
        </w:rPr>
        <w:t>% des chefs d’entreprises</w:t>
      </w:r>
      <w:r w:rsidR="00583A84">
        <w:rPr>
          <w:rFonts w:eastAsia="Arial Unicode MS"/>
          <w:sz w:val="22"/>
          <w:szCs w:val="22"/>
        </w:rPr>
        <w:t xml:space="preserve"> </w:t>
      </w:r>
      <w:r w:rsidR="00653F59" w:rsidRPr="002E1737">
        <w:rPr>
          <w:rFonts w:eastAsia="Arial Unicode MS"/>
          <w:sz w:val="22"/>
          <w:szCs w:val="22"/>
        </w:rPr>
        <w:t>et</w:t>
      </w:r>
      <w:r w:rsidR="00583A84">
        <w:rPr>
          <w:rFonts w:eastAsia="Arial Unicode MS"/>
          <w:sz w:val="22"/>
          <w:szCs w:val="22"/>
        </w:rPr>
        <w:t xml:space="preserve"> une hausse </w:t>
      </w:r>
      <w:r w:rsidR="00583A84" w:rsidRPr="002E1737">
        <w:rPr>
          <w:rFonts w:eastAsia="Arial Unicode MS"/>
          <w:sz w:val="22"/>
          <w:szCs w:val="22"/>
        </w:rPr>
        <w:t xml:space="preserve">selon </w:t>
      </w:r>
      <w:r w:rsidR="00583A84">
        <w:rPr>
          <w:rFonts w:eastAsia="Arial Unicode MS"/>
          <w:sz w:val="22"/>
          <w:szCs w:val="22"/>
        </w:rPr>
        <w:t>23</w:t>
      </w:r>
      <w:r w:rsidR="00583A84" w:rsidRPr="002E1737">
        <w:rPr>
          <w:rFonts w:eastAsia="Arial Unicode MS"/>
          <w:sz w:val="22"/>
          <w:szCs w:val="22"/>
        </w:rPr>
        <w:t>%</w:t>
      </w:r>
      <w:r w:rsidR="00583A84">
        <w:rPr>
          <w:rFonts w:eastAsia="Arial Unicode MS"/>
          <w:sz w:val="22"/>
          <w:szCs w:val="22"/>
        </w:rPr>
        <w:t>.</w:t>
      </w:r>
      <w:r w:rsidR="00653F59" w:rsidRPr="002E1737">
        <w:rPr>
          <w:rFonts w:eastAsia="Arial Unicode MS"/>
          <w:sz w:val="22"/>
          <w:szCs w:val="22"/>
        </w:rPr>
        <w:t xml:space="preserve"> </w:t>
      </w:r>
      <w:r w:rsidR="00653F59">
        <w:rPr>
          <w:rFonts w:eastAsia="Arial Unicode MS"/>
          <w:sz w:val="22"/>
          <w:szCs w:val="22"/>
        </w:rPr>
        <w:t>Cette stabilité</w:t>
      </w:r>
      <w:r w:rsidR="00653F59" w:rsidRPr="002E1737">
        <w:rPr>
          <w:rFonts w:eastAsia="Arial Unicode MS"/>
          <w:sz w:val="22"/>
          <w:szCs w:val="22"/>
        </w:rPr>
        <w:t xml:space="preserve"> résulterait de l’effet conjugué de la hausse d’activité prévue au niveau d</w:t>
      </w:r>
      <w:r w:rsidR="00653F59">
        <w:rPr>
          <w:rFonts w:eastAsia="Arial Unicode MS"/>
          <w:sz w:val="22"/>
          <w:szCs w:val="22"/>
        </w:rPr>
        <w:t xml:space="preserve">u </w:t>
      </w:r>
      <w:r w:rsidR="00653F59" w:rsidRPr="002E1737">
        <w:rPr>
          <w:rFonts w:eastAsia="Arial Unicode MS"/>
          <w:sz w:val="22"/>
          <w:szCs w:val="22"/>
        </w:rPr>
        <w:t xml:space="preserve">«Génie Civil»  et de la </w:t>
      </w:r>
      <w:r w:rsidR="00684DA3" w:rsidRPr="00157A43">
        <w:rPr>
          <w:rFonts w:eastAsia="Arial Unicode MS"/>
          <w:sz w:val="22"/>
          <w:szCs w:val="22"/>
        </w:rPr>
        <w:t>stagnation</w:t>
      </w:r>
      <w:r w:rsidR="00653F59" w:rsidRPr="00157A43">
        <w:rPr>
          <w:rFonts w:eastAsia="Arial Unicode MS"/>
          <w:sz w:val="22"/>
          <w:szCs w:val="22"/>
        </w:rPr>
        <w:t xml:space="preserve"> </w:t>
      </w:r>
      <w:r w:rsidR="00653F59" w:rsidRPr="002E1737">
        <w:rPr>
          <w:rFonts w:eastAsia="Arial Unicode MS"/>
          <w:sz w:val="22"/>
          <w:szCs w:val="22"/>
        </w:rPr>
        <w:t>des activités des «Travaux de Construction Spécialisés »</w:t>
      </w:r>
      <w:r w:rsidR="00653F59">
        <w:rPr>
          <w:rFonts w:eastAsia="Arial Unicode MS"/>
          <w:sz w:val="22"/>
          <w:szCs w:val="22"/>
        </w:rPr>
        <w:t xml:space="preserve"> et </w:t>
      </w:r>
      <w:r w:rsidR="00653F59" w:rsidRPr="002E1737">
        <w:rPr>
          <w:rFonts w:eastAsia="Arial Unicode MS"/>
          <w:sz w:val="22"/>
          <w:szCs w:val="22"/>
        </w:rPr>
        <w:t>des activités d</w:t>
      </w:r>
      <w:r w:rsidR="00653F59">
        <w:rPr>
          <w:rFonts w:eastAsia="Arial Unicode MS"/>
          <w:sz w:val="22"/>
          <w:szCs w:val="22"/>
        </w:rPr>
        <w:t>e</w:t>
      </w:r>
      <w:r w:rsidR="00AE4467">
        <w:rPr>
          <w:rFonts w:eastAsia="Arial Unicode MS"/>
          <w:sz w:val="22"/>
          <w:szCs w:val="22"/>
        </w:rPr>
        <w:t xml:space="preserve"> « </w:t>
      </w:r>
      <w:r w:rsidR="00653F59" w:rsidRPr="002E1737">
        <w:rPr>
          <w:rFonts w:eastAsia="Arial Unicode MS"/>
          <w:sz w:val="22"/>
          <w:szCs w:val="22"/>
        </w:rPr>
        <w:t>Construction de Bâtiments</w:t>
      </w:r>
      <w:r w:rsidR="00653F59">
        <w:rPr>
          <w:rFonts w:eastAsia="Arial Unicode MS"/>
          <w:sz w:val="22"/>
          <w:szCs w:val="22"/>
        </w:rPr>
        <w:t> »</w:t>
      </w:r>
      <w:r w:rsidR="00653F59" w:rsidRPr="002E1737">
        <w:rPr>
          <w:rFonts w:eastAsia="Arial Unicode MS"/>
          <w:sz w:val="22"/>
          <w:szCs w:val="22"/>
        </w:rPr>
        <w:t xml:space="preserve">. </w:t>
      </w:r>
      <w:r w:rsidR="00470F06" w:rsidRPr="00157A43">
        <w:rPr>
          <w:rFonts w:eastAsia="Arial Unicode MS"/>
          <w:sz w:val="22"/>
          <w:szCs w:val="22"/>
        </w:rPr>
        <w:t>Cette évolution serait accompagnée par une stabilité</w:t>
      </w:r>
      <w:r w:rsidR="00AE4467" w:rsidRPr="00157A43">
        <w:rPr>
          <w:rFonts w:eastAsia="Arial Unicode MS"/>
          <w:sz w:val="22"/>
          <w:szCs w:val="22"/>
        </w:rPr>
        <w:t xml:space="preserve"> </w:t>
      </w:r>
      <w:r w:rsidR="00653F59" w:rsidRPr="00157A43">
        <w:rPr>
          <w:rFonts w:eastAsia="Arial Unicode MS"/>
          <w:sz w:val="22"/>
          <w:szCs w:val="22"/>
        </w:rPr>
        <w:t>d</w:t>
      </w:r>
      <w:r w:rsidR="00470F06" w:rsidRPr="00157A43">
        <w:rPr>
          <w:rFonts w:eastAsia="Arial Unicode MS"/>
          <w:sz w:val="22"/>
          <w:szCs w:val="22"/>
        </w:rPr>
        <w:t xml:space="preserve">es effectifs employés pour </w:t>
      </w:r>
      <w:r w:rsidR="00653F59" w:rsidRPr="00157A43">
        <w:rPr>
          <w:rFonts w:eastAsia="Arial Unicode MS"/>
          <w:sz w:val="22"/>
          <w:szCs w:val="22"/>
        </w:rPr>
        <w:t>les deux tiers des chefs d’entreprises</w:t>
      </w:r>
      <w:r w:rsidR="00470F06" w:rsidRPr="00157A43">
        <w:rPr>
          <w:rFonts w:eastAsia="Arial Unicode MS"/>
          <w:sz w:val="22"/>
          <w:szCs w:val="22"/>
        </w:rPr>
        <w:t>.</w:t>
      </w:r>
      <w:r w:rsidR="00653F59" w:rsidRPr="002E1737">
        <w:rPr>
          <w:rFonts w:eastAsia="Arial Unicode MS"/>
          <w:sz w:val="22"/>
          <w:szCs w:val="22"/>
        </w:rPr>
        <w:t xml:space="preserve"> </w:t>
      </w:r>
    </w:p>
    <w:p w:rsidR="00D42230" w:rsidRDefault="00D42230" w:rsidP="002E1737">
      <w:pPr>
        <w:spacing w:after="120" w:line="276" w:lineRule="auto"/>
        <w:ind w:left="-426"/>
        <w:jc w:val="both"/>
        <w:rPr>
          <w:rFonts w:eastAsia="Arial Unicode MS"/>
          <w:sz w:val="22"/>
          <w:szCs w:val="22"/>
        </w:rPr>
      </w:pPr>
    </w:p>
    <w:p w:rsidR="00D42230" w:rsidRDefault="00D42230" w:rsidP="007F4BA9">
      <w:pPr>
        <w:spacing w:after="120" w:line="276" w:lineRule="auto"/>
        <w:jc w:val="both"/>
        <w:rPr>
          <w:rFonts w:eastAsia="Arial Unicode MS"/>
          <w:sz w:val="22"/>
          <w:szCs w:val="22"/>
        </w:rPr>
      </w:pPr>
    </w:p>
    <w:p w:rsidR="00D42230" w:rsidRDefault="00D42230" w:rsidP="002E1737">
      <w:pPr>
        <w:spacing w:after="120" w:line="276" w:lineRule="auto"/>
        <w:ind w:left="-426"/>
        <w:jc w:val="both"/>
        <w:rPr>
          <w:rFonts w:eastAsia="Arial Unicode MS"/>
          <w:sz w:val="22"/>
          <w:szCs w:val="22"/>
        </w:rPr>
      </w:pPr>
    </w:p>
    <w:p w:rsidR="00D42230" w:rsidRDefault="00D42230" w:rsidP="002E1737">
      <w:pPr>
        <w:spacing w:after="120" w:line="276" w:lineRule="auto"/>
        <w:ind w:left="-426"/>
        <w:jc w:val="both"/>
        <w:rPr>
          <w:rFonts w:eastAsia="Arial Unicode MS"/>
          <w:sz w:val="22"/>
          <w:szCs w:val="22"/>
        </w:rPr>
      </w:pPr>
    </w:p>
    <w:sectPr w:rsidR="00D42230" w:rsidSect="00D42230">
      <w:type w:val="continuous"/>
      <w:pgSz w:w="11906" w:h="16838"/>
      <w:pgMar w:top="1258" w:right="1417" w:bottom="1258" w:left="1417" w:header="708" w:footer="27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C74" w:rsidRDefault="00257C74">
      <w:r>
        <w:separator/>
      </w:r>
    </w:p>
  </w:endnote>
  <w:endnote w:type="continuationSeparator" w:id="0">
    <w:p w:rsidR="00257C74" w:rsidRDefault="00257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3FD" w:rsidRDefault="000E76B0">
    <w:pPr>
      <w:pStyle w:val="Pieddepage"/>
      <w:jc w:val="center"/>
    </w:pPr>
    <w:fldSimple w:instr=" PAGE   \* MERGEFORMAT ">
      <w:r w:rsidR="00257C74">
        <w:rPr>
          <w:noProof/>
        </w:rPr>
        <w:t>1</w:t>
      </w:r>
    </w:fldSimple>
    <w:r w:rsidR="00AD53FD">
      <w:t>/3</w:t>
    </w:r>
  </w:p>
  <w:p w:rsidR="00AD53FD" w:rsidRDefault="00AD53F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3FD" w:rsidRDefault="000E76B0">
    <w:pPr>
      <w:pStyle w:val="Pieddepage"/>
      <w:jc w:val="center"/>
    </w:pPr>
    <w:fldSimple w:instr=" PAGE   \* MERGEFORMAT ">
      <w:r w:rsidR="00FC2F77">
        <w:rPr>
          <w:noProof/>
        </w:rPr>
        <w:t>1</w:t>
      </w:r>
    </w:fldSimple>
  </w:p>
  <w:p w:rsidR="00AD53FD" w:rsidRDefault="00AD53F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C74" w:rsidRDefault="00257C74">
      <w:r>
        <w:separator/>
      </w:r>
    </w:p>
  </w:footnote>
  <w:footnote w:type="continuationSeparator" w:id="0">
    <w:p w:rsidR="00257C74" w:rsidRDefault="00257C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164"/>
      </v:shape>
    </w:pict>
  </w:numPicBullet>
  <w:abstractNum w:abstractNumId="0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13"/>
  </w:num>
  <w:num w:numId="6">
    <w:abstractNumId w:val="8"/>
  </w:num>
  <w:num w:numId="7">
    <w:abstractNumId w:val="4"/>
  </w:num>
  <w:num w:numId="8">
    <w:abstractNumId w:val="7"/>
  </w:num>
  <w:num w:numId="9">
    <w:abstractNumId w:val="14"/>
  </w:num>
  <w:num w:numId="10">
    <w:abstractNumId w:val="9"/>
  </w:num>
  <w:num w:numId="11">
    <w:abstractNumId w:val="3"/>
  </w:num>
  <w:num w:numId="12">
    <w:abstractNumId w:val="6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B7C79"/>
    <w:rsid w:val="00006861"/>
    <w:rsid w:val="00006DD3"/>
    <w:rsid w:val="00031605"/>
    <w:rsid w:val="00053F91"/>
    <w:rsid w:val="000554EE"/>
    <w:rsid w:val="00074098"/>
    <w:rsid w:val="00084B71"/>
    <w:rsid w:val="00086874"/>
    <w:rsid w:val="000B2A3E"/>
    <w:rsid w:val="000B5B84"/>
    <w:rsid w:val="000B6C46"/>
    <w:rsid w:val="000E1335"/>
    <w:rsid w:val="000E5893"/>
    <w:rsid w:val="000E76B0"/>
    <w:rsid w:val="000F6813"/>
    <w:rsid w:val="00100AF5"/>
    <w:rsid w:val="0010285F"/>
    <w:rsid w:val="00123B0E"/>
    <w:rsid w:val="001245E1"/>
    <w:rsid w:val="00131EDC"/>
    <w:rsid w:val="00135176"/>
    <w:rsid w:val="00137652"/>
    <w:rsid w:val="0014114C"/>
    <w:rsid w:val="00157A43"/>
    <w:rsid w:val="001724B1"/>
    <w:rsid w:val="00193033"/>
    <w:rsid w:val="001A1553"/>
    <w:rsid w:val="001A2AA6"/>
    <w:rsid w:val="001B3EBA"/>
    <w:rsid w:val="001B5764"/>
    <w:rsid w:val="001C3920"/>
    <w:rsid w:val="001D6519"/>
    <w:rsid w:val="001D69A9"/>
    <w:rsid w:val="001F2033"/>
    <w:rsid w:val="001F6BEB"/>
    <w:rsid w:val="00203FD6"/>
    <w:rsid w:val="00206659"/>
    <w:rsid w:val="00215236"/>
    <w:rsid w:val="002164FB"/>
    <w:rsid w:val="0022299E"/>
    <w:rsid w:val="00236B5B"/>
    <w:rsid w:val="00256291"/>
    <w:rsid w:val="00257C74"/>
    <w:rsid w:val="002668FE"/>
    <w:rsid w:val="00286F23"/>
    <w:rsid w:val="002A7221"/>
    <w:rsid w:val="002D3BD2"/>
    <w:rsid w:val="002E1737"/>
    <w:rsid w:val="002F5C54"/>
    <w:rsid w:val="003027A9"/>
    <w:rsid w:val="00302E80"/>
    <w:rsid w:val="00305B12"/>
    <w:rsid w:val="0030605C"/>
    <w:rsid w:val="00307146"/>
    <w:rsid w:val="003121A0"/>
    <w:rsid w:val="00313123"/>
    <w:rsid w:val="00314191"/>
    <w:rsid w:val="00351D4C"/>
    <w:rsid w:val="00365978"/>
    <w:rsid w:val="0039671A"/>
    <w:rsid w:val="003A2CE4"/>
    <w:rsid w:val="003B5F82"/>
    <w:rsid w:val="003B7C9A"/>
    <w:rsid w:val="003D0B92"/>
    <w:rsid w:val="003D68CD"/>
    <w:rsid w:val="003E208A"/>
    <w:rsid w:val="003F28EA"/>
    <w:rsid w:val="004249F6"/>
    <w:rsid w:val="00434088"/>
    <w:rsid w:val="00435B96"/>
    <w:rsid w:val="00436AE5"/>
    <w:rsid w:val="00446DB7"/>
    <w:rsid w:val="00456E49"/>
    <w:rsid w:val="00470F06"/>
    <w:rsid w:val="00480B1C"/>
    <w:rsid w:val="00484898"/>
    <w:rsid w:val="00484E8D"/>
    <w:rsid w:val="004915DF"/>
    <w:rsid w:val="00491F4E"/>
    <w:rsid w:val="004A2AD5"/>
    <w:rsid w:val="004B411A"/>
    <w:rsid w:val="004C7838"/>
    <w:rsid w:val="004D4CBB"/>
    <w:rsid w:val="004F3556"/>
    <w:rsid w:val="00502528"/>
    <w:rsid w:val="00513024"/>
    <w:rsid w:val="00530796"/>
    <w:rsid w:val="005337B6"/>
    <w:rsid w:val="00537897"/>
    <w:rsid w:val="00541C46"/>
    <w:rsid w:val="00577644"/>
    <w:rsid w:val="00583A84"/>
    <w:rsid w:val="005850FD"/>
    <w:rsid w:val="0059090F"/>
    <w:rsid w:val="00594250"/>
    <w:rsid w:val="00594D60"/>
    <w:rsid w:val="00596EA4"/>
    <w:rsid w:val="005B48EA"/>
    <w:rsid w:val="005C3B99"/>
    <w:rsid w:val="005D0DC1"/>
    <w:rsid w:val="00600F6D"/>
    <w:rsid w:val="00602C7C"/>
    <w:rsid w:val="006056E5"/>
    <w:rsid w:val="00612B0E"/>
    <w:rsid w:val="00630E13"/>
    <w:rsid w:val="006420C4"/>
    <w:rsid w:val="006451A0"/>
    <w:rsid w:val="00653F59"/>
    <w:rsid w:val="00667ECC"/>
    <w:rsid w:val="006707C0"/>
    <w:rsid w:val="00676B69"/>
    <w:rsid w:val="00684DA3"/>
    <w:rsid w:val="00695538"/>
    <w:rsid w:val="00695704"/>
    <w:rsid w:val="006D08D3"/>
    <w:rsid w:val="006E5679"/>
    <w:rsid w:val="006F499A"/>
    <w:rsid w:val="00704699"/>
    <w:rsid w:val="00720AA5"/>
    <w:rsid w:val="00722358"/>
    <w:rsid w:val="007320F2"/>
    <w:rsid w:val="00733C13"/>
    <w:rsid w:val="00737135"/>
    <w:rsid w:val="0075402B"/>
    <w:rsid w:val="0076370A"/>
    <w:rsid w:val="00790B01"/>
    <w:rsid w:val="007C305A"/>
    <w:rsid w:val="007D09FF"/>
    <w:rsid w:val="007D2263"/>
    <w:rsid w:val="007D442B"/>
    <w:rsid w:val="007E1420"/>
    <w:rsid w:val="007E71EE"/>
    <w:rsid w:val="007F4784"/>
    <w:rsid w:val="007F4BA9"/>
    <w:rsid w:val="00801153"/>
    <w:rsid w:val="00804FEE"/>
    <w:rsid w:val="00845DD1"/>
    <w:rsid w:val="008516D2"/>
    <w:rsid w:val="0086177A"/>
    <w:rsid w:val="00866410"/>
    <w:rsid w:val="008758DE"/>
    <w:rsid w:val="00893F31"/>
    <w:rsid w:val="00894A15"/>
    <w:rsid w:val="008B0453"/>
    <w:rsid w:val="008B7C79"/>
    <w:rsid w:val="008C6873"/>
    <w:rsid w:val="008D767F"/>
    <w:rsid w:val="008F3532"/>
    <w:rsid w:val="009031FE"/>
    <w:rsid w:val="00906EB8"/>
    <w:rsid w:val="009102EE"/>
    <w:rsid w:val="0092724E"/>
    <w:rsid w:val="00931126"/>
    <w:rsid w:val="0095483F"/>
    <w:rsid w:val="009801E4"/>
    <w:rsid w:val="00982ADB"/>
    <w:rsid w:val="00983318"/>
    <w:rsid w:val="00986F74"/>
    <w:rsid w:val="009929AA"/>
    <w:rsid w:val="009A3DCF"/>
    <w:rsid w:val="009A3EBE"/>
    <w:rsid w:val="009A431C"/>
    <w:rsid w:val="009B2B2B"/>
    <w:rsid w:val="009C52D4"/>
    <w:rsid w:val="009D02F2"/>
    <w:rsid w:val="009D5321"/>
    <w:rsid w:val="009D7D48"/>
    <w:rsid w:val="009E4E74"/>
    <w:rsid w:val="00A01DE9"/>
    <w:rsid w:val="00A03537"/>
    <w:rsid w:val="00A12866"/>
    <w:rsid w:val="00A13AFA"/>
    <w:rsid w:val="00A1430C"/>
    <w:rsid w:val="00A16299"/>
    <w:rsid w:val="00A354B7"/>
    <w:rsid w:val="00A36B5E"/>
    <w:rsid w:val="00A529E0"/>
    <w:rsid w:val="00A7081D"/>
    <w:rsid w:val="00A7438D"/>
    <w:rsid w:val="00A834E9"/>
    <w:rsid w:val="00A85D85"/>
    <w:rsid w:val="00AB24B6"/>
    <w:rsid w:val="00AB5150"/>
    <w:rsid w:val="00AC3EF4"/>
    <w:rsid w:val="00AD53FD"/>
    <w:rsid w:val="00AE4467"/>
    <w:rsid w:val="00B065DA"/>
    <w:rsid w:val="00B10250"/>
    <w:rsid w:val="00B43C5F"/>
    <w:rsid w:val="00B55AAA"/>
    <w:rsid w:val="00B607B2"/>
    <w:rsid w:val="00B63D70"/>
    <w:rsid w:val="00B70238"/>
    <w:rsid w:val="00B7412A"/>
    <w:rsid w:val="00B77653"/>
    <w:rsid w:val="00B81D2D"/>
    <w:rsid w:val="00BB2982"/>
    <w:rsid w:val="00BC2E39"/>
    <w:rsid w:val="00C14DCE"/>
    <w:rsid w:val="00C26145"/>
    <w:rsid w:val="00C466D1"/>
    <w:rsid w:val="00C67995"/>
    <w:rsid w:val="00C827BD"/>
    <w:rsid w:val="00CA2006"/>
    <w:rsid w:val="00CA2232"/>
    <w:rsid w:val="00CB19A6"/>
    <w:rsid w:val="00CB3A44"/>
    <w:rsid w:val="00CD6E99"/>
    <w:rsid w:val="00CE3972"/>
    <w:rsid w:val="00CF3217"/>
    <w:rsid w:val="00CF5EA6"/>
    <w:rsid w:val="00CF6F9D"/>
    <w:rsid w:val="00D00354"/>
    <w:rsid w:val="00D135EC"/>
    <w:rsid w:val="00D30B74"/>
    <w:rsid w:val="00D3407E"/>
    <w:rsid w:val="00D34498"/>
    <w:rsid w:val="00D42230"/>
    <w:rsid w:val="00D4334A"/>
    <w:rsid w:val="00D54458"/>
    <w:rsid w:val="00D626C6"/>
    <w:rsid w:val="00D676A7"/>
    <w:rsid w:val="00D75067"/>
    <w:rsid w:val="00D80FF6"/>
    <w:rsid w:val="00DA3F98"/>
    <w:rsid w:val="00DB2CCF"/>
    <w:rsid w:val="00DB4906"/>
    <w:rsid w:val="00DC0356"/>
    <w:rsid w:val="00DD1D7B"/>
    <w:rsid w:val="00DE26C3"/>
    <w:rsid w:val="00E052C6"/>
    <w:rsid w:val="00E3569D"/>
    <w:rsid w:val="00E50B24"/>
    <w:rsid w:val="00E57CE0"/>
    <w:rsid w:val="00E62E93"/>
    <w:rsid w:val="00E663F9"/>
    <w:rsid w:val="00E6770C"/>
    <w:rsid w:val="00E9575F"/>
    <w:rsid w:val="00EA36AD"/>
    <w:rsid w:val="00EB537F"/>
    <w:rsid w:val="00EB5AC5"/>
    <w:rsid w:val="00EC1447"/>
    <w:rsid w:val="00ED1662"/>
    <w:rsid w:val="00EF0241"/>
    <w:rsid w:val="00EF16E4"/>
    <w:rsid w:val="00F31D0B"/>
    <w:rsid w:val="00F37DE1"/>
    <w:rsid w:val="00F4704E"/>
    <w:rsid w:val="00F511E9"/>
    <w:rsid w:val="00F62091"/>
    <w:rsid w:val="00F75DAA"/>
    <w:rsid w:val="00FC1BEE"/>
    <w:rsid w:val="00FC20C3"/>
    <w:rsid w:val="00FC2F77"/>
    <w:rsid w:val="00FC38F3"/>
    <w:rsid w:val="00FC5115"/>
    <w:rsid w:val="00FC6CB3"/>
    <w:rsid w:val="00FD0726"/>
    <w:rsid w:val="00FD079F"/>
    <w:rsid w:val="00FD2048"/>
    <w:rsid w:val="00FE18C9"/>
    <w:rsid w:val="00FF24EF"/>
    <w:rsid w:val="00FF3112"/>
    <w:rsid w:val="00FF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enu v:ext="edit" fillcolor="none [1305]"/>
    </o:shapedefaults>
    <o:shapelayout v:ext="edit">
      <o:idmap v:ext="edit" data="1"/>
      <o:rules v:ext="edit">
        <o:r id="V:Rule2" type="connector" idref="#_x0000_s13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basedOn w:val="Policepardfaut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basedOn w:val="Policepardfaut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basedOn w:val="Policepardfaut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basedOn w:val="Policepardfaut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basedOn w:val="Policepardfaut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basedOn w:val="Policepardfaut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basedOn w:val="Policepardfaut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basedOn w:val="Policepardfaut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basedOn w:val="Policepardfaut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basedOn w:val="Policepardfaut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basedOn w:val="Policepardfaut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basedOn w:val="Policepardfaut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basedOn w:val="Policepardfaut"/>
    <w:rsid w:val="008B7C79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image" Target="media/image3.png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oulkhir.DS\Desktop\Industrie\3&#232;me%20T%202015\Tabulation\Graphiques_industri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oulkhir.DS\Desktop\Industrie\3&#232;me%20T%202015\Tabulation\Graphiques_industri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oulkhir.DS\Desktop\Industrie\3&#232;me%20T%202015\Tabulation\Graphiques_industri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oulkhir.DS\Desktop\Industrie\3&#232;me%20T%202015\Tabulation\Graphiques_industrie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selhamoumi\Desktop\construction\3tr2015%20construction\RESULTATS\Tableaux%20construction%20pour%20inac%203tr%20le%2018.9.201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oulkhir.DS\Desktop\ilham\Copy%20of%20Conjoncture%203&#232;me%20trimestre%2015-Industrie-Tableaux-18.9.2015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jrahali\AppData\Local\Microsoft\Windows\Temporary%20Internet%20Files\Content.IE5\6MNMSD2C\graphiques%203tr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800">
                <a:latin typeface="+mn-lt"/>
              </a:defRPr>
            </a:pPr>
            <a:r>
              <a:rPr lang="fr-FR" sz="800" b="1" i="0" u="none" strike="noStrike" baseline="0">
                <a:latin typeface="+mn-lt"/>
                <a:cs typeface="Tunga" pitchFamily="34" charset="0"/>
              </a:rPr>
              <a:t>Opinion des entreprises dans l'industrie manufacturière, proportion en % </a:t>
            </a:r>
            <a:endParaRPr lang="fr-FR" sz="800" b="1">
              <a:latin typeface="+mn-lt"/>
              <a:cs typeface="Tunga" pitchFamily="34" charset="0"/>
            </a:endParaRPr>
          </a:p>
        </c:rich>
      </c:tx>
      <c:layout>
        <c:manualLayout>
          <c:xMode val="edge"/>
          <c:yMode val="edge"/>
          <c:x val="0.11033662626528851"/>
          <c:y val="4.2203985932004813E-2"/>
        </c:manualLayout>
      </c:layout>
    </c:title>
    <c:plotArea>
      <c:layout>
        <c:manualLayout>
          <c:layoutTarget val="inner"/>
          <c:xMode val="edge"/>
          <c:yMode val="edge"/>
          <c:x val="9.2988407699037615E-2"/>
          <c:y val="0.20607648002333151"/>
          <c:w val="0.65372134733159082"/>
          <c:h val="0.70954073597943124"/>
        </c:manualLayout>
      </c:layout>
      <c:barChart>
        <c:barDir val="col"/>
        <c:grouping val="clustered"/>
        <c:ser>
          <c:idx val="0"/>
          <c:order val="0"/>
          <c:tx>
            <c:strRef>
              <c:f>'[Tableaux 3T2015 version provisoire.xlsx]Graphiques'!$B$10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'[Tableaux 3T2015 version provisoire.xlsx]Graphiques'!$A$11:$A$14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provisoire.xlsx]Graphiques'!$B$11:$B$14</c:f>
              <c:numCache>
                <c:formatCode>General</c:formatCode>
                <c:ptCount val="4"/>
                <c:pt idx="0">
                  <c:v>34.590000000000003</c:v>
                </c:pt>
                <c:pt idx="1">
                  <c:v>34.220000000000013</c:v>
                </c:pt>
                <c:pt idx="2">
                  <c:v>12.11</c:v>
                </c:pt>
                <c:pt idx="3" formatCode="0">
                  <c:v>34.220000000000013</c:v>
                </c:pt>
              </c:numCache>
            </c:numRef>
          </c:val>
        </c:ser>
        <c:ser>
          <c:idx val="1"/>
          <c:order val="1"/>
          <c:tx>
            <c:strRef>
              <c:f>'[Tableaux 3T2015 version provisoire.xlsx]Graphiques'!$C$10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'[Tableaux 3T2015 version provisoire.xlsx]Graphiques'!$A$11:$A$14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provisoire.xlsx]Graphiques'!$C$11:$C$14</c:f>
              <c:numCache>
                <c:formatCode>General</c:formatCode>
                <c:ptCount val="4"/>
                <c:pt idx="0">
                  <c:v>44.28</c:v>
                </c:pt>
                <c:pt idx="1">
                  <c:v>33.660000000000011</c:v>
                </c:pt>
                <c:pt idx="2">
                  <c:v>64.42</c:v>
                </c:pt>
                <c:pt idx="3" formatCode="0">
                  <c:v>33.660000000000011</c:v>
                </c:pt>
              </c:numCache>
            </c:numRef>
          </c:val>
        </c:ser>
        <c:ser>
          <c:idx val="2"/>
          <c:order val="2"/>
          <c:tx>
            <c:strRef>
              <c:f>'[Tableaux 3T2015 version provisoire.xlsx]Graphiques'!$D$10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'[Tableaux 3T2015 version provisoire.xlsx]Graphiques'!$A$11:$A$14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provisoire.xlsx]Graphiques'!$D$11:$D$14</c:f>
              <c:numCache>
                <c:formatCode>General</c:formatCode>
                <c:ptCount val="4"/>
                <c:pt idx="0">
                  <c:v>21.130000000000031</c:v>
                </c:pt>
                <c:pt idx="1">
                  <c:v>32.120000000000012</c:v>
                </c:pt>
                <c:pt idx="2">
                  <c:v>23.47</c:v>
                </c:pt>
                <c:pt idx="3" formatCode="0">
                  <c:v>32.120000000000012</c:v>
                </c:pt>
              </c:numCache>
            </c:numRef>
          </c:val>
        </c:ser>
        <c:ser>
          <c:idx val="3"/>
          <c:order val="3"/>
          <c:tx>
            <c:strRef>
              <c:f>'[Tableaux 3T2015 version provisoire.xlsx]Graphiques'!$E$10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'[Tableaux 3T2015 version provisoire.xlsx]Graphiques'!$A$11:$A$14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provisoire.xlsx]Graphiques'!$E$11:$E$14</c:f>
              <c:numCache>
                <c:formatCode>General</c:formatCode>
                <c:ptCount val="4"/>
                <c:pt idx="0">
                  <c:v>13.450000000000006</c:v>
                </c:pt>
                <c:pt idx="1">
                  <c:v>2.09</c:v>
                </c:pt>
                <c:pt idx="2">
                  <c:v>-11.360000000000024</c:v>
                </c:pt>
                <c:pt idx="3" formatCode="0">
                  <c:v>2.09</c:v>
                </c:pt>
              </c:numCache>
            </c:numRef>
          </c:val>
        </c:ser>
        <c:ser>
          <c:idx val="4"/>
          <c:order val="4"/>
          <c:cat>
            <c:strRef>
              <c:f>'[Tableaux 3T2015 version provisoire.xlsx]Graphiques'!$A$11:$A$14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provisoire.xlsx]Graphiques'!$M$1</c:f>
              <c:numCache>
                <c:formatCode>General</c:formatCode>
                <c:ptCount val="1"/>
              </c:numCache>
            </c:numRef>
          </c:val>
        </c:ser>
        <c:axId val="99787136"/>
        <c:axId val="99788672"/>
      </c:barChart>
      <c:catAx>
        <c:axId val="99787136"/>
        <c:scaling>
          <c:orientation val="minMax"/>
        </c:scaling>
        <c:axPos val="b"/>
        <c:majorGridlines/>
        <c:majorTickMark val="none"/>
        <c:tickLblPos val="low"/>
        <c:txPr>
          <a:bodyPr/>
          <a:lstStyle/>
          <a:p>
            <a:pPr>
              <a:defRPr sz="700" b="1"/>
            </a:pPr>
            <a:endParaRPr lang="fr-FR"/>
          </a:p>
        </c:txPr>
        <c:crossAx val="99788672"/>
        <c:crosses val="autoZero"/>
        <c:auto val="1"/>
        <c:lblAlgn val="ctr"/>
        <c:lblOffset val="100"/>
      </c:catAx>
      <c:valAx>
        <c:axId val="99788672"/>
        <c:scaling>
          <c:orientation val="minMax"/>
          <c:max val="70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99787136"/>
        <c:crosses val="autoZero"/>
        <c:crossBetween val="between"/>
      </c:valAx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76707557287175665"/>
          <c:y val="0.46435683230100444"/>
          <c:w val="0.16940583688506924"/>
          <c:h val="0.25029386664090303"/>
        </c:manualLayout>
      </c:layout>
      <c:txPr>
        <a:bodyPr/>
        <a:lstStyle/>
        <a:p>
          <a:pPr>
            <a:defRPr sz="7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800" b="1">
                <a:latin typeface="+mn-lt"/>
              </a:defRPr>
            </a:pPr>
            <a:r>
              <a:rPr lang="fr-FR" sz="800" b="1" i="0" u="none" strike="noStrike" baseline="0">
                <a:latin typeface="+mn-lt"/>
                <a:cs typeface="Tunga" pitchFamily="34" charset="0"/>
              </a:rPr>
              <a:t>Opinion des entreprises dans l'industrie extractive, proportion en % </a:t>
            </a:r>
            <a:endParaRPr lang="fr-FR" sz="800" b="1">
              <a:latin typeface="+mn-lt"/>
              <a:cs typeface="Tunga" pitchFamily="34" charset="0"/>
            </a:endParaRPr>
          </a:p>
        </c:rich>
      </c:tx>
      <c:layout>
        <c:manualLayout>
          <c:xMode val="edge"/>
          <c:yMode val="edge"/>
          <c:x val="0.11773493909591576"/>
          <c:y val="0.11009174311926606"/>
        </c:manualLayout>
      </c:layout>
    </c:title>
    <c:plotArea>
      <c:layout>
        <c:manualLayout>
          <c:layoutTarget val="inner"/>
          <c:xMode val="edge"/>
          <c:yMode val="edge"/>
          <c:x val="0.17432620726031328"/>
          <c:y val="0.2350265938601144"/>
          <c:w val="0.65372134733159126"/>
          <c:h val="0.55023725059715045"/>
        </c:manualLayout>
      </c:layout>
      <c:barChart>
        <c:barDir val="col"/>
        <c:grouping val="clustered"/>
        <c:ser>
          <c:idx val="0"/>
          <c:order val="0"/>
          <c:tx>
            <c:strRef>
              <c:f>'[Tableaux 3T2015 version provisoire.xlsx]Graphiques'!$B$1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'[Tableaux 3T2015 version provisoire.xlsx]Graphiques'!$A$2:$A$5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provisoire.xlsx]Graphiques'!$B$2:$B$5</c:f>
              <c:numCache>
                <c:formatCode>General</c:formatCode>
                <c:ptCount val="4"/>
                <c:pt idx="0">
                  <c:v>7.21</c:v>
                </c:pt>
                <c:pt idx="1">
                  <c:v>7.21</c:v>
                </c:pt>
                <c:pt idx="2">
                  <c:v>0</c:v>
                </c:pt>
                <c:pt idx="3" formatCode="0">
                  <c:v>7.21</c:v>
                </c:pt>
              </c:numCache>
            </c:numRef>
          </c:val>
        </c:ser>
        <c:ser>
          <c:idx val="1"/>
          <c:order val="1"/>
          <c:tx>
            <c:strRef>
              <c:f>'[Tableaux 3T2015 version provisoire.xlsx]Graphiques'!$C$1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'[Tableaux 3T2015 version provisoire.xlsx]Graphiques'!$A$2:$A$5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provisoire.xlsx]Graphiques'!$C$2:$C$5</c:f>
              <c:numCache>
                <c:formatCode>General</c:formatCode>
                <c:ptCount val="4"/>
                <c:pt idx="0">
                  <c:v>1.2</c:v>
                </c:pt>
                <c:pt idx="1">
                  <c:v>90.89</c:v>
                </c:pt>
                <c:pt idx="2">
                  <c:v>90.89</c:v>
                </c:pt>
                <c:pt idx="3" formatCode="0">
                  <c:v>90.89</c:v>
                </c:pt>
              </c:numCache>
            </c:numRef>
          </c:val>
        </c:ser>
        <c:ser>
          <c:idx val="2"/>
          <c:order val="2"/>
          <c:tx>
            <c:strRef>
              <c:f>'[Tableaux 3T2015 version provisoire.xlsx]Graphiques'!$D$1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'[Tableaux 3T2015 version provisoire.xlsx]Graphiques'!$A$2:$A$5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provisoire.xlsx]Graphiques'!$D$2:$D$5</c:f>
              <c:numCache>
                <c:formatCode>General</c:formatCode>
                <c:ptCount val="4"/>
                <c:pt idx="0">
                  <c:v>91.59</c:v>
                </c:pt>
                <c:pt idx="1">
                  <c:v>1.9000000000000001</c:v>
                </c:pt>
                <c:pt idx="2">
                  <c:v>9.11</c:v>
                </c:pt>
                <c:pt idx="3" formatCode="0">
                  <c:v>1.9000000000000001</c:v>
                </c:pt>
              </c:numCache>
            </c:numRef>
          </c:val>
        </c:ser>
        <c:ser>
          <c:idx val="3"/>
          <c:order val="3"/>
          <c:tx>
            <c:strRef>
              <c:f>'[Tableaux 3T2015 version provisoire.xlsx]Graphiques'!$E$1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'[Tableaux 3T2015 version provisoire.xlsx]Graphiques'!$A$2:$A$5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provisoire.xlsx]Graphiques'!$E$2:$E$5</c:f>
              <c:numCache>
                <c:formatCode>General</c:formatCode>
                <c:ptCount val="4"/>
                <c:pt idx="0">
                  <c:v>-84.38</c:v>
                </c:pt>
                <c:pt idx="1">
                  <c:v>5.31</c:v>
                </c:pt>
                <c:pt idx="2">
                  <c:v>-9.11</c:v>
                </c:pt>
                <c:pt idx="3" formatCode="0">
                  <c:v>5.31</c:v>
                </c:pt>
              </c:numCache>
            </c:numRef>
          </c:val>
        </c:ser>
        <c:axId val="99844480"/>
        <c:axId val="99846016"/>
      </c:barChart>
      <c:catAx>
        <c:axId val="99844480"/>
        <c:scaling>
          <c:orientation val="minMax"/>
        </c:scaling>
        <c:axPos val="b"/>
        <c:majorGridlines/>
        <c:majorTickMark val="none"/>
        <c:tickLblPos val="low"/>
        <c:txPr>
          <a:bodyPr/>
          <a:lstStyle/>
          <a:p>
            <a:pPr>
              <a:defRPr sz="700" b="1"/>
            </a:pPr>
            <a:endParaRPr lang="fr-FR"/>
          </a:p>
        </c:txPr>
        <c:crossAx val="99846016"/>
        <c:crosses val="autoZero"/>
        <c:auto val="1"/>
        <c:lblAlgn val="ctr"/>
        <c:lblOffset val="100"/>
      </c:catAx>
      <c:valAx>
        <c:axId val="99846016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99844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355504165514115"/>
          <c:y val="0.38446240034012796"/>
          <c:w val="0.17137576304664517"/>
          <c:h val="0.2389217300932557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 anchor="t" anchorCtr="0"/>
          <a:lstStyle/>
          <a:p>
            <a:pPr>
              <a:defRPr sz="800">
                <a:latin typeface="+mn-lt"/>
              </a:defRPr>
            </a:pPr>
            <a:r>
              <a:rPr lang="fr-FR" sz="800" b="1" i="0" u="none" strike="noStrike" baseline="0">
                <a:latin typeface="+mn-lt"/>
                <a:cs typeface="Tunga" pitchFamily="34" charset="0"/>
              </a:rPr>
              <a:t>Opinion des entreprises dans l'industrie énergétique, proportion en % </a:t>
            </a:r>
            <a:endParaRPr lang="fr-FR" sz="800" b="1">
              <a:latin typeface="+mn-lt"/>
              <a:cs typeface="Tunga" pitchFamily="34" charset="0"/>
            </a:endParaRPr>
          </a:p>
        </c:rich>
      </c:tx>
      <c:layout>
        <c:manualLayout>
          <c:xMode val="edge"/>
          <c:yMode val="edge"/>
          <c:x val="0.10548933524127753"/>
          <c:y val="5.5249022967483546E-2"/>
        </c:manualLayout>
      </c:layout>
    </c:title>
    <c:plotArea>
      <c:layout>
        <c:manualLayout>
          <c:layoutTarget val="inner"/>
          <c:xMode val="edge"/>
          <c:yMode val="edge"/>
          <c:x val="9.2988407699037615E-2"/>
          <c:y val="0.21830153442358166"/>
          <c:w val="0.65372134733159126"/>
          <c:h val="0.49342591344786296"/>
        </c:manualLayout>
      </c:layout>
      <c:barChart>
        <c:barDir val="col"/>
        <c:grouping val="clustered"/>
        <c:ser>
          <c:idx val="0"/>
          <c:order val="0"/>
          <c:tx>
            <c:strRef>
              <c:f>'[Tableaux 3T2015 version provisoire.xlsx]Graphiques'!$B$19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'[Tableaux 3T2015 version provisoire.xlsx]Graphiques'!$A$20:$A$23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provisoire.xlsx]Graphiques'!$B$20:$B$23</c:f>
              <c:numCache>
                <c:formatCode>General</c:formatCode>
                <c:ptCount val="4"/>
                <c:pt idx="0">
                  <c:v>95.89</c:v>
                </c:pt>
                <c:pt idx="1">
                  <c:v>98.78</c:v>
                </c:pt>
                <c:pt idx="2">
                  <c:v>0</c:v>
                </c:pt>
                <c:pt idx="3" formatCode="0">
                  <c:v>98.78</c:v>
                </c:pt>
              </c:numCache>
            </c:numRef>
          </c:val>
        </c:ser>
        <c:ser>
          <c:idx val="1"/>
          <c:order val="1"/>
          <c:tx>
            <c:strRef>
              <c:f>'[Tableaux 3T2015 version provisoire.xlsx]Graphiques'!$C$19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'[Tableaux 3T2015 version provisoire.xlsx]Graphiques'!$A$20:$A$23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provisoire.xlsx]Graphiques'!$C$20:$C$23</c:f>
              <c:numCache>
                <c:formatCode>General</c:formatCode>
                <c:ptCount val="4"/>
                <c:pt idx="0">
                  <c:v>1.22</c:v>
                </c:pt>
                <c:pt idx="1">
                  <c:v>1.22</c:v>
                </c:pt>
                <c:pt idx="2">
                  <c:v>14.239999999999998</c:v>
                </c:pt>
                <c:pt idx="3" formatCode="0">
                  <c:v>1.22</c:v>
                </c:pt>
              </c:numCache>
            </c:numRef>
          </c:val>
        </c:ser>
        <c:ser>
          <c:idx val="2"/>
          <c:order val="2"/>
          <c:tx>
            <c:strRef>
              <c:f>'[Tableaux 3T2015 version provisoire.xlsx]Graphiques'!$D$19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'[Tableaux 3T2015 version provisoire.xlsx]Graphiques'!$A$20:$A$23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provisoire.xlsx]Graphiques'!$D$20:$D$23</c:f>
              <c:numCache>
                <c:formatCode>General</c:formatCode>
                <c:ptCount val="4"/>
                <c:pt idx="0">
                  <c:v>2.8899999999999997</c:v>
                </c:pt>
                <c:pt idx="1">
                  <c:v>0</c:v>
                </c:pt>
                <c:pt idx="2">
                  <c:v>85.76</c:v>
                </c:pt>
                <c:pt idx="3" formatCode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'[Tableaux 3T2015 version provisoire.xlsx]Graphiques'!$E$19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'[Tableaux 3T2015 version provisoire.xlsx]Graphiques'!$A$20:$A$23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provisoire.xlsx]Graphiques'!$E$20:$E$23</c:f>
              <c:numCache>
                <c:formatCode>General</c:formatCode>
                <c:ptCount val="4"/>
                <c:pt idx="0">
                  <c:v>93.01</c:v>
                </c:pt>
                <c:pt idx="1">
                  <c:v>98.78</c:v>
                </c:pt>
                <c:pt idx="2">
                  <c:v>-85.76</c:v>
                </c:pt>
                <c:pt idx="3" formatCode="0">
                  <c:v>98.78</c:v>
                </c:pt>
              </c:numCache>
            </c:numRef>
          </c:val>
        </c:ser>
        <c:axId val="99872768"/>
        <c:axId val="99874304"/>
      </c:barChart>
      <c:catAx>
        <c:axId val="99872768"/>
        <c:scaling>
          <c:orientation val="minMax"/>
        </c:scaling>
        <c:axPos val="b"/>
        <c:majorGridlines/>
        <c:majorTickMark val="none"/>
        <c:tickLblPos val="low"/>
        <c:txPr>
          <a:bodyPr/>
          <a:lstStyle/>
          <a:p>
            <a:pPr>
              <a:defRPr sz="700" b="1"/>
            </a:pPr>
            <a:endParaRPr lang="fr-FR"/>
          </a:p>
        </c:txPr>
        <c:crossAx val="99874304"/>
        <c:crosses val="autoZero"/>
        <c:auto val="1"/>
        <c:lblAlgn val="ctr"/>
        <c:lblOffset val="100"/>
      </c:catAx>
      <c:valAx>
        <c:axId val="99874304"/>
        <c:scaling>
          <c:orientation val="minMax"/>
          <c:max val="110"/>
          <c:min val="-100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99872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188624257362694"/>
          <c:y val="0.42038088759687697"/>
          <c:w val="0.16529739206005584"/>
          <c:h val="0.21645093874268229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800">
                <a:latin typeface="+mn-lt"/>
              </a:defRPr>
            </a:pPr>
            <a:r>
              <a:rPr lang="fr-FR" sz="800" b="1" i="0" u="none" strike="noStrike" baseline="0">
                <a:latin typeface="+mn-lt"/>
                <a:cs typeface="Tunga" pitchFamily="34" charset="0"/>
              </a:rPr>
              <a:t>Opinion des entreprises dans l'industrie environnementale, proportion en %</a:t>
            </a:r>
            <a:endParaRPr lang="fr-FR" sz="800" b="1">
              <a:latin typeface="+mn-lt"/>
              <a:cs typeface="Tunga" pitchFamily="34" charset="0"/>
            </a:endParaRPr>
          </a:p>
        </c:rich>
      </c:tx>
      <c:layout>
        <c:manualLayout>
          <c:xMode val="edge"/>
          <c:yMode val="edge"/>
          <c:x val="0.12652945725534309"/>
          <c:y val="3.2988744505096411E-3"/>
        </c:manualLayout>
      </c:layout>
    </c:title>
    <c:plotArea>
      <c:layout>
        <c:manualLayout>
          <c:layoutTarget val="inner"/>
          <c:xMode val="edge"/>
          <c:yMode val="edge"/>
          <c:x val="9.2988463651345901E-2"/>
          <c:y val="0.19701028935800199"/>
          <c:w val="0.69093059879142948"/>
          <c:h val="0.61138109270083574"/>
        </c:manualLayout>
      </c:layout>
      <c:barChart>
        <c:barDir val="col"/>
        <c:grouping val="clustered"/>
        <c:ser>
          <c:idx val="0"/>
          <c:order val="0"/>
          <c:tx>
            <c:strRef>
              <c:f>'[Tableaux 3T2015 version provisoire.xlsx]Graphiques'!$B$26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'[Tableaux 3T2015 version provisoire.xlsx]Graphiques'!$A$27:$A$30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provisoire.xlsx]Graphiques'!$B$27:$B$30</c:f>
              <c:numCache>
                <c:formatCode>General</c:formatCode>
                <c:ptCount val="4"/>
                <c:pt idx="0">
                  <c:v>90.58</c:v>
                </c:pt>
                <c:pt idx="1">
                  <c:v>87.55</c:v>
                </c:pt>
                <c:pt idx="2">
                  <c:v>3.03</c:v>
                </c:pt>
                <c:pt idx="3" formatCode="0">
                  <c:v>87.55</c:v>
                </c:pt>
              </c:numCache>
            </c:numRef>
          </c:val>
        </c:ser>
        <c:ser>
          <c:idx val="1"/>
          <c:order val="1"/>
          <c:tx>
            <c:strRef>
              <c:f>'[Tableaux 3T2015 version provisoire.xlsx]Graphiques'!$C$26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'[Tableaux 3T2015 version provisoire.xlsx]Graphiques'!$A$27:$A$30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provisoire.xlsx]Graphiques'!$C$27:$C$30</c:f>
              <c:numCache>
                <c:formatCode>General</c:formatCode>
                <c:ptCount val="4"/>
                <c:pt idx="0">
                  <c:v>9.31</c:v>
                </c:pt>
                <c:pt idx="1">
                  <c:v>12.34</c:v>
                </c:pt>
                <c:pt idx="2">
                  <c:v>96.97</c:v>
                </c:pt>
                <c:pt idx="3" formatCode="0">
                  <c:v>12.34</c:v>
                </c:pt>
              </c:numCache>
            </c:numRef>
          </c:val>
        </c:ser>
        <c:ser>
          <c:idx val="2"/>
          <c:order val="2"/>
          <c:tx>
            <c:strRef>
              <c:f>'[Tableaux 3T2015 version provisoire.xlsx]Graphiques'!$D$26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'[Tableaux 3T2015 version provisoire.xlsx]Graphiques'!$A$27:$A$30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provisoire.xlsx]Graphiques'!$D$27:$D$30</c:f>
              <c:numCache>
                <c:formatCode>General</c:formatCode>
                <c:ptCount val="4"/>
                <c:pt idx="0">
                  <c:v>0.11</c:v>
                </c:pt>
                <c:pt idx="1">
                  <c:v>0.11</c:v>
                </c:pt>
                <c:pt idx="2">
                  <c:v>0</c:v>
                </c:pt>
                <c:pt idx="3" formatCode="0">
                  <c:v>0.11</c:v>
                </c:pt>
              </c:numCache>
            </c:numRef>
          </c:val>
        </c:ser>
        <c:ser>
          <c:idx val="3"/>
          <c:order val="3"/>
          <c:tx>
            <c:strRef>
              <c:f>'[Tableaux 3T2015 version provisoire.xlsx]Graphiques'!$E$26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'[Tableaux 3T2015 version provisoire.xlsx]Graphiques'!$A$27:$A$30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'[Tableaux 3T2015 version provisoire.xlsx]Graphiques'!$E$27:$E$30</c:f>
              <c:numCache>
                <c:formatCode>General</c:formatCode>
                <c:ptCount val="4"/>
                <c:pt idx="0">
                  <c:v>90.48</c:v>
                </c:pt>
                <c:pt idx="1">
                  <c:v>87.45</c:v>
                </c:pt>
                <c:pt idx="2">
                  <c:v>3.03</c:v>
                </c:pt>
                <c:pt idx="3" formatCode="0">
                  <c:v>87.45</c:v>
                </c:pt>
              </c:numCache>
            </c:numRef>
          </c:val>
        </c:ser>
        <c:axId val="99929472"/>
        <c:axId val="99939456"/>
      </c:barChart>
      <c:catAx>
        <c:axId val="99929472"/>
        <c:scaling>
          <c:orientation val="minMax"/>
        </c:scaling>
        <c:axPos val="b"/>
        <c:majorGridlines/>
        <c:majorTickMark val="none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99939456"/>
        <c:crosses val="autoZero"/>
        <c:auto val="1"/>
        <c:lblAlgn val="ctr"/>
        <c:lblOffset val="100"/>
      </c:catAx>
      <c:valAx>
        <c:axId val="99939456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99929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519465299395764"/>
          <c:y val="0.42599664190104447"/>
          <c:w val="0.17078666910822193"/>
          <c:h val="0.24640371527080548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9.5451262612917753E-2"/>
          <c:y val="0.18159990399030243"/>
          <c:w val="0.74523835832296437"/>
          <c:h val="0.5888453241290047"/>
        </c:manualLayout>
      </c:layout>
      <c:barChart>
        <c:barDir val="col"/>
        <c:grouping val="clustered"/>
        <c:ser>
          <c:idx val="0"/>
          <c:order val="0"/>
          <c:tx>
            <c:strRef>
              <c:f>'Tableau 12 Ens'!$B$55</c:f>
              <c:strCache>
                <c:ptCount val="1"/>
                <c:pt idx="0">
                  <c:v>Hausse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>
              <a:bevelT prst="angle"/>
            </a:sp3d>
          </c:spPr>
          <c:cat>
            <c:strRef>
              <c:f>'Tableau 12 Ens'!$A$56:$A$59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'Tableau 12 Ens'!$B$56:$B$59</c:f>
              <c:numCache>
                <c:formatCode>0</c:formatCode>
                <c:ptCount val="4"/>
                <c:pt idx="0">
                  <c:v>34.876377174040755</c:v>
                </c:pt>
                <c:pt idx="1">
                  <c:v>27.589825000000001</c:v>
                </c:pt>
                <c:pt idx="2">
                  <c:v>55.080903000000006</c:v>
                </c:pt>
                <c:pt idx="3">
                  <c:v>20.246733999999766</c:v>
                </c:pt>
              </c:numCache>
            </c:numRef>
          </c:val>
        </c:ser>
        <c:ser>
          <c:idx val="1"/>
          <c:order val="1"/>
          <c:tx>
            <c:strRef>
              <c:f>'Tableau 12 Ens'!$C$55</c:f>
              <c:strCache>
                <c:ptCount val="1"/>
                <c:pt idx="0">
                  <c:v>Stabilité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'Tableau 12 Ens'!$A$56:$A$59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'Tableau 12 Ens'!$C$56:$C$59</c:f>
              <c:numCache>
                <c:formatCode>0</c:formatCode>
                <c:ptCount val="4"/>
                <c:pt idx="0">
                  <c:v>40.595176885800662</c:v>
                </c:pt>
                <c:pt idx="1">
                  <c:v>58.858364999999999</c:v>
                </c:pt>
                <c:pt idx="2">
                  <c:v>30.513294999999999</c:v>
                </c:pt>
                <c:pt idx="3">
                  <c:v>35.850561999999996</c:v>
                </c:pt>
              </c:numCache>
            </c:numRef>
          </c:val>
        </c:ser>
        <c:ser>
          <c:idx val="2"/>
          <c:order val="2"/>
          <c:tx>
            <c:strRef>
              <c:f>'Tableau 12 Ens'!$D$55</c:f>
              <c:strCache>
                <c:ptCount val="1"/>
                <c:pt idx="0">
                  <c:v>Baisse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'Tableau 12 Ens'!$A$56:$A$59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'Tableau 12 Ens'!$D$56:$D$59</c:f>
              <c:numCache>
                <c:formatCode>0</c:formatCode>
                <c:ptCount val="4"/>
                <c:pt idx="0">
                  <c:v>24.528443519131923</c:v>
                </c:pt>
                <c:pt idx="1">
                  <c:v>13.551809</c:v>
                </c:pt>
                <c:pt idx="2">
                  <c:v>14.405799000000076</c:v>
                </c:pt>
                <c:pt idx="3">
                  <c:v>43.902701</c:v>
                </c:pt>
              </c:numCache>
            </c:numRef>
          </c:val>
        </c:ser>
        <c:ser>
          <c:idx val="3"/>
          <c:order val="3"/>
          <c:tx>
            <c:strRef>
              <c:f>'Tableau 12 Ens'!$E$55</c:f>
              <c:strCache>
                <c:ptCount val="1"/>
                <c:pt idx="0">
                  <c:v>Solde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'Tableau 12 Ens'!$A$56:$A$59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'Tableau 12 Ens'!$E$56:$E$59</c:f>
              <c:numCache>
                <c:formatCode>0</c:formatCode>
                <c:ptCount val="4"/>
                <c:pt idx="0">
                  <c:v>10.347933295953085</c:v>
                </c:pt>
                <c:pt idx="1">
                  <c:v>14.038016000000001</c:v>
                </c:pt>
                <c:pt idx="2">
                  <c:v>40.675103000000163</c:v>
                </c:pt>
                <c:pt idx="3">
                  <c:v>-23.655967000000135</c:v>
                </c:pt>
              </c:numCache>
            </c:numRef>
          </c:val>
        </c:ser>
        <c:axId val="101166080"/>
        <c:axId val="101188352"/>
      </c:barChart>
      <c:catAx>
        <c:axId val="101166080"/>
        <c:scaling>
          <c:orientation val="minMax"/>
        </c:scaling>
        <c:axPos val="b"/>
        <c:majorGridlines/>
        <c:tickLblPos val="low"/>
        <c:txPr>
          <a:bodyPr/>
          <a:lstStyle/>
          <a:p>
            <a:pPr>
              <a:defRPr sz="700" b="1" i="0" kern="100" baseline="0"/>
            </a:pPr>
            <a:endParaRPr lang="fr-FR"/>
          </a:p>
        </c:txPr>
        <c:crossAx val="101188352"/>
        <c:crosses val="autoZero"/>
        <c:auto val="1"/>
        <c:lblAlgn val="ctr"/>
        <c:lblOffset val="100"/>
        <c:tickLblSkip val="1"/>
      </c:catAx>
      <c:valAx>
        <c:axId val="101188352"/>
        <c:scaling>
          <c:orientation val="minMax"/>
        </c:scaling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1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101166080"/>
        <c:crosses val="autoZero"/>
        <c:crossBetween val="between"/>
        <c:majorUnit val="20"/>
      </c:valAx>
      <c:spPr>
        <a:noFill/>
        <a:ln w="3175">
          <a:noFill/>
        </a:ln>
      </c:spPr>
    </c:plotArea>
    <c:legend>
      <c:legendPos val="r"/>
      <c:layout>
        <c:manualLayout>
          <c:xMode val="edge"/>
          <c:yMode val="edge"/>
          <c:x val="0.83158545314873555"/>
          <c:y val="0.35626338012096331"/>
          <c:w val="0.16613933020422494"/>
          <c:h val="0.28267123131347732"/>
        </c:manualLayout>
      </c:layout>
      <c:txPr>
        <a:bodyPr/>
        <a:lstStyle/>
        <a:p>
          <a:pPr>
            <a:defRPr sz="700" b="1" i="0" baseline="0"/>
          </a:pPr>
          <a:endParaRPr lang="fr-FR"/>
        </a:p>
      </c:txPr>
    </c:legend>
    <c:plotVisOnly val="1"/>
  </c:chart>
  <c:spPr>
    <a:ln>
      <a:noFill/>
    </a:ln>
  </c:sp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entreprises industrielles sur la production </a:t>
            </a:r>
          </a:p>
          <a:p>
            <a:pPr>
              <a:defRPr/>
            </a:pPr>
            <a:r>
              <a:rPr lang="fr-FR"/>
              <a:t>(proportion en %) </a:t>
            </a:r>
          </a:p>
        </c:rich>
      </c:tx>
      <c:layout>
        <c:manualLayout>
          <c:xMode val="edge"/>
          <c:yMode val="edge"/>
          <c:x val="0.17511530718854321"/>
          <c:y val="2.8177860746130146E-2"/>
        </c:manualLayout>
      </c:layout>
    </c:title>
    <c:plotArea>
      <c:layout>
        <c:manualLayout>
          <c:layoutTarget val="inner"/>
          <c:xMode val="edge"/>
          <c:yMode val="edge"/>
          <c:x val="9.5885895841967245E-2"/>
          <c:y val="0.21215435782014341"/>
          <c:w val="0.75521315098770547"/>
          <c:h val="0.55441899549789997"/>
        </c:manualLayout>
      </c:layout>
      <c:barChart>
        <c:barDir val="col"/>
        <c:grouping val="clustered"/>
        <c:ser>
          <c:idx val="0"/>
          <c:order val="0"/>
          <c:tx>
            <c:strRef>
              <c:f>Graphiques!$B$42:$B$44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Graphiques!$A$45:$A$48</c:f>
              <c:strCache>
                <c:ptCount val="4"/>
                <c:pt idx="0">
                  <c:v>Industrie extractive</c:v>
                </c:pt>
                <c:pt idx="1">
                  <c:v>Industrie manufacturière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Graphiques!$B$45:$B$48</c:f>
              <c:numCache>
                <c:formatCode>General</c:formatCode>
                <c:ptCount val="4"/>
                <c:pt idx="0">
                  <c:v>96.9</c:v>
                </c:pt>
                <c:pt idx="1">
                  <c:v>47.24</c:v>
                </c:pt>
                <c:pt idx="2">
                  <c:v>95.89</c:v>
                </c:pt>
                <c:pt idx="3">
                  <c:v>12.34</c:v>
                </c:pt>
              </c:numCache>
            </c:numRef>
          </c:val>
        </c:ser>
        <c:ser>
          <c:idx val="1"/>
          <c:order val="1"/>
          <c:tx>
            <c:strRef>
              <c:f>Graphiques!$C$42:$C$44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Graphiques!$A$45:$A$48</c:f>
              <c:strCache>
                <c:ptCount val="4"/>
                <c:pt idx="0">
                  <c:v>Industrie extractive</c:v>
                </c:pt>
                <c:pt idx="1">
                  <c:v>Industrie manufacturière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Graphiques!$C$45:$C$48</c:f>
              <c:numCache>
                <c:formatCode>General</c:formatCode>
                <c:ptCount val="4"/>
                <c:pt idx="0">
                  <c:v>1.2</c:v>
                </c:pt>
                <c:pt idx="1">
                  <c:v>32.18</c:v>
                </c:pt>
                <c:pt idx="2">
                  <c:v>1.22</c:v>
                </c:pt>
                <c:pt idx="3">
                  <c:v>87.66</c:v>
                </c:pt>
              </c:numCache>
            </c:numRef>
          </c:val>
        </c:ser>
        <c:ser>
          <c:idx val="2"/>
          <c:order val="2"/>
          <c:tx>
            <c:strRef>
              <c:f>Graphiques!$D$42:$D$44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Graphiques!$A$45:$A$48</c:f>
              <c:strCache>
                <c:ptCount val="4"/>
                <c:pt idx="0">
                  <c:v>Industrie extractive</c:v>
                </c:pt>
                <c:pt idx="1">
                  <c:v>Industrie manufacturière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Graphiques!$D$45:$D$48</c:f>
              <c:numCache>
                <c:formatCode>General</c:formatCode>
                <c:ptCount val="4"/>
                <c:pt idx="0">
                  <c:v>1.9000000000000001</c:v>
                </c:pt>
                <c:pt idx="1">
                  <c:v>20.58</c:v>
                </c:pt>
                <c:pt idx="2">
                  <c:v>2.8899999999999997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Graphiques!$E$42:$E$44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Graphiques!$A$45:$A$48</c:f>
              <c:strCache>
                <c:ptCount val="4"/>
                <c:pt idx="0">
                  <c:v>Industrie extractive</c:v>
                </c:pt>
                <c:pt idx="1">
                  <c:v>Industrie manufacturière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Graphiques!$E$45:$E$48</c:f>
              <c:numCache>
                <c:formatCode>General</c:formatCode>
                <c:ptCount val="4"/>
                <c:pt idx="0">
                  <c:v>95</c:v>
                </c:pt>
                <c:pt idx="1">
                  <c:v>26.650000000000031</c:v>
                </c:pt>
                <c:pt idx="2">
                  <c:v>93.01</c:v>
                </c:pt>
                <c:pt idx="3">
                  <c:v>12.34</c:v>
                </c:pt>
              </c:numCache>
            </c:numRef>
          </c:val>
        </c:ser>
        <c:axId val="101226752"/>
        <c:axId val="101236736"/>
      </c:barChart>
      <c:catAx>
        <c:axId val="101226752"/>
        <c:scaling>
          <c:orientation val="minMax"/>
        </c:scaling>
        <c:axPos val="b"/>
        <c:majorGridlines/>
        <c:majorTickMark val="none"/>
        <c:tickLblPos val="low"/>
        <c:txPr>
          <a:bodyPr rot="5400000" vert="horz"/>
          <a:lstStyle/>
          <a:p>
            <a:pPr>
              <a:defRPr sz="700"/>
            </a:pPr>
            <a:endParaRPr lang="fr-FR"/>
          </a:p>
        </c:txPr>
        <c:crossAx val="101236736"/>
        <c:crosses val="autoZero"/>
        <c:auto val="1"/>
        <c:lblAlgn val="ctr"/>
        <c:lblOffset val="100"/>
      </c:catAx>
      <c:valAx>
        <c:axId val="1012367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1226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523010121476152"/>
          <c:y val="0.3729455456536323"/>
          <c:w val="0.13247238163026281"/>
          <c:h val="0.35761589153873752"/>
        </c:manualLayout>
      </c:layout>
    </c:legend>
    <c:plotVisOnly val="1"/>
  </c:chart>
  <c:spPr>
    <a:ln>
      <a:noFill/>
    </a:ln>
  </c:spPr>
  <c:txPr>
    <a:bodyPr/>
    <a:lstStyle/>
    <a:p>
      <a:pPr>
        <a:defRPr sz="800"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8.0488407699037617E-2"/>
          <c:y val="0.24121536891222045"/>
          <c:w val="0.73244444444444801"/>
          <c:h val="0.70227549088009833"/>
        </c:manualLayout>
      </c:layout>
      <c:barChart>
        <c:barDir val="col"/>
        <c:grouping val="clustered"/>
        <c:ser>
          <c:idx val="0"/>
          <c:order val="0"/>
          <c:tx>
            <c:strRef>
              <c:f>Feuil1!$B$33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Feuil1!$A$34:$A$37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Feuil1!$B$34:$B$37</c:f>
              <c:numCache>
                <c:formatCode>0</c:formatCode>
                <c:ptCount val="4"/>
                <c:pt idx="0">
                  <c:v>23.332603646695752</c:v>
                </c:pt>
                <c:pt idx="1">
                  <c:v>15.917016</c:v>
                </c:pt>
                <c:pt idx="2">
                  <c:v>41.726624000000001</c:v>
                </c:pt>
                <c:pt idx="3">
                  <c:v>10.657817</c:v>
                </c:pt>
              </c:numCache>
            </c:numRef>
          </c:val>
        </c:ser>
        <c:ser>
          <c:idx val="1"/>
          <c:order val="1"/>
          <c:tx>
            <c:strRef>
              <c:f>Feuil1!$C$33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Feuil1!$A$34:$A$37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Feuil1!$C$34:$C$37</c:f>
              <c:numCache>
                <c:formatCode>0</c:formatCode>
                <c:ptCount val="4"/>
                <c:pt idx="0">
                  <c:v>60.521699551940038</c:v>
                </c:pt>
                <c:pt idx="1">
                  <c:v>66.790822000000006</c:v>
                </c:pt>
                <c:pt idx="2">
                  <c:v>48.360521000000006</c:v>
                </c:pt>
                <c:pt idx="3">
                  <c:v>67.776533999999998</c:v>
                </c:pt>
              </c:numCache>
            </c:numRef>
          </c:val>
        </c:ser>
        <c:ser>
          <c:idx val="2"/>
          <c:order val="2"/>
          <c:tx>
            <c:strRef>
              <c:f>Feuil1!$D$33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Feuil1!$A$34:$A$37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Feuil1!$D$34:$D$37</c:f>
              <c:numCache>
                <c:formatCode>0</c:formatCode>
                <c:ptCount val="4"/>
                <c:pt idx="0">
                  <c:v>16.145694731895286</c:v>
                </c:pt>
                <c:pt idx="1">
                  <c:v>17.292161</c:v>
                </c:pt>
                <c:pt idx="2">
                  <c:v>9.9128520000000027</c:v>
                </c:pt>
                <c:pt idx="3">
                  <c:v>21.565646999999835</c:v>
                </c:pt>
              </c:numCache>
            </c:numRef>
          </c:val>
        </c:ser>
        <c:ser>
          <c:idx val="3"/>
          <c:order val="3"/>
          <c:tx>
            <c:strRef>
              <c:f>Feuil1!$E$33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Feuil1!$A$34:$A$37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Construction spécialisés</c:v>
                </c:pt>
              </c:strCache>
            </c:strRef>
          </c:cat>
          <c:val>
            <c:numRef>
              <c:f>Feuil1!$E$34:$E$37</c:f>
              <c:numCache>
                <c:formatCode>0</c:formatCode>
                <c:ptCount val="4"/>
                <c:pt idx="0">
                  <c:v>7.1869089148004415</c:v>
                </c:pt>
                <c:pt idx="1">
                  <c:v>-1.3751450000000001</c:v>
                </c:pt>
                <c:pt idx="2">
                  <c:v>31.813772</c:v>
                </c:pt>
                <c:pt idx="3">
                  <c:v>-10.907830000000002</c:v>
                </c:pt>
              </c:numCache>
            </c:numRef>
          </c:val>
        </c:ser>
        <c:axId val="101279616"/>
        <c:axId val="101281152"/>
      </c:barChart>
      <c:catAx>
        <c:axId val="101279616"/>
        <c:scaling>
          <c:orientation val="minMax"/>
        </c:scaling>
        <c:axPos val="b"/>
        <c:majorGridlines/>
        <c:tickLblPos val="low"/>
        <c:txPr>
          <a:bodyPr/>
          <a:lstStyle/>
          <a:p>
            <a:pPr>
              <a:defRPr sz="700" b="1"/>
            </a:pPr>
            <a:endParaRPr lang="fr-FR"/>
          </a:p>
        </c:txPr>
        <c:crossAx val="101281152"/>
        <c:crosses val="autoZero"/>
        <c:auto val="1"/>
        <c:lblAlgn val="ctr"/>
        <c:lblOffset val="100"/>
      </c:catAx>
      <c:valAx>
        <c:axId val="101281152"/>
        <c:scaling>
          <c:orientation val="minMax"/>
        </c:scaling>
        <c:axPos val="l"/>
        <c:majorGridlines/>
        <c:numFmt formatCode="0" sourceLinked="1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101279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31686423812412"/>
          <c:y val="0.44600575901605255"/>
          <c:w val="0.16226396139549931"/>
          <c:h val="0.2542356888933172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0.17083</cdr:x>
      <cdr:y>0.05208</cdr:y>
    </cdr:from>
    <cdr:to>
      <cdr:x>0.875</cdr:x>
      <cdr:y>0.14931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781050" y="142875"/>
          <a:ext cx="321945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fr-FR" sz="1100"/>
        </a:p>
      </cdr:txBody>
    </cdr:sp>
  </cdr:relSizeAnchor>
  <cdr:relSizeAnchor xmlns:cdr="http://schemas.openxmlformats.org/drawingml/2006/chartDrawing">
    <cdr:from>
      <cdr:x>0.07168</cdr:x>
      <cdr:y>0</cdr:y>
    </cdr:from>
    <cdr:to>
      <cdr:x>0.85611</cdr:x>
      <cdr:y>0.19519</cdr:y>
    </cdr:to>
    <cdr:sp macro="" textlink="">
      <cdr:nvSpPr>
        <cdr:cNvPr id="3" name="ZoneTexte 2"/>
        <cdr:cNvSpPr txBox="1"/>
      </cdr:nvSpPr>
      <cdr:spPr>
        <a:xfrm xmlns:a="http://schemas.openxmlformats.org/drawingml/2006/main">
          <a:off x="200328" y="0"/>
          <a:ext cx="2192195" cy="345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fr-FR" sz="800" b="1"/>
            <a:t>Opinion des entreprises sur l'activité de construction, proportion en 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0.03363</cdr:x>
      <cdr:y>0</cdr:y>
    </cdr:from>
    <cdr:to>
      <cdr:x>0.83081</cdr:x>
      <cdr:y>0.16591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97113" y="-3456330"/>
          <a:ext cx="2302240" cy="3591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fr-FR" sz="800" b="1"/>
            <a:t>Anticipations des entreprises sur l'activité de construction (proportion en %)</a:t>
          </a:r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AFAFE-11F4-4454-904F-332F33BE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2015-09-21T18:19:00Z</cp:lastPrinted>
  <dcterms:created xsi:type="dcterms:W3CDTF">2015-09-27T18:50:00Z</dcterms:created>
  <dcterms:modified xsi:type="dcterms:W3CDTF">2015-09-27T18:53:00Z</dcterms:modified>
</cp:coreProperties>
</file>