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5A074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A064C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F430E6" w:rsidP="00301913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Deuxième trimestre</w:t>
      </w:r>
      <w:r w:rsidR="0030191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2015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6031A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</w:t>
      </w:r>
      <w:r w:rsidR="003658EF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3658EF">
        <w:rPr>
          <w:rFonts w:ascii="Times New Roman" w:hAnsi="Times New Roman" w:cs="Times New Roman"/>
          <w:b/>
          <w:color w:val="000000" w:themeColor="text1"/>
        </w:rPr>
        <w:t>’au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deuxième trimestre de 2015,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</w:t>
      </w:r>
      <w:r w:rsidR="00A45128" w:rsidRPr="00BD71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Confiance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 des Ménages (ICM) 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continue sa tendance haussière entamée depuis le quatrième trimestre de 2014. Il </w:t>
      </w:r>
      <w:r w:rsidR="003658EF">
        <w:rPr>
          <w:rFonts w:ascii="Times New Roman" w:hAnsi="Times New Roman" w:cs="Times New Roman"/>
          <w:b/>
          <w:bCs/>
          <w:color w:val="000000" w:themeColor="text1"/>
        </w:rPr>
        <w:t xml:space="preserve">aura enregistré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une hausse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EB4313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points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F430E6">
        <w:rPr>
          <w:rFonts w:ascii="Times New Roman" w:hAnsi="Times New Roman" w:cs="Times New Roman"/>
          <w:b/>
          <w:bCs/>
          <w:color w:val="000000" w:themeColor="text1"/>
        </w:rPr>
        <w:t xml:space="preserve">premier </w:t>
      </w:r>
      <w:r w:rsidR="00F430E6" w:rsidRPr="00E56675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741BD7" w:rsidRPr="00E5667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6031AF" w:rsidRPr="00E56675">
        <w:rPr>
          <w:rFonts w:ascii="Times New Roman" w:hAnsi="Times New Roman" w:cs="Times New Roman" w:hint="cs"/>
          <w:b/>
          <w:bCs/>
          <w:color w:val="000000" w:themeColor="text1"/>
          <w:rtl/>
        </w:rPr>
        <w:t>2015</w:t>
      </w:r>
      <w:r w:rsidR="00741BD7" w:rsidRPr="00E5667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E5779" w:rsidRPr="00E56675">
        <w:rPr>
          <w:rFonts w:ascii="Times New Roman" w:hAnsi="Times New Roman" w:cs="Times New Roman"/>
          <w:b/>
          <w:color w:val="000000" w:themeColor="text1"/>
        </w:rPr>
        <w:t>et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430E6">
        <w:rPr>
          <w:rFonts w:ascii="Times New Roman" w:hAnsi="Times New Roman" w:cs="Times New Roman"/>
          <w:b/>
          <w:bCs/>
          <w:color w:val="000000" w:themeColor="text1"/>
        </w:rPr>
        <w:t>2,1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EB4313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même trimestre de l’année 2014. 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F430E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F430E6">
        <w:rPr>
          <w:rFonts w:ascii="Times New Roman" w:hAnsi="Times New Roman" w:cs="Times New Roman"/>
          <w:color w:val="000000" w:themeColor="text1"/>
        </w:rPr>
        <w:t>deuxième 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301913">
        <w:rPr>
          <w:rFonts w:ascii="Times New Roman" w:hAnsi="Times New Roman" w:cs="Times New Roman"/>
          <w:color w:val="000000" w:themeColor="text1"/>
        </w:rPr>
        <w:t>5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F430E6">
        <w:rPr>
          <w:rFonts w:ascii="Times New Roman" w:hAnsi="Times New Roman" w:cs="Times New Roman"/>
          <w:color w:val="000000" w:themeColor="text1"/>
        </w:rPr>
        <w:t>6</w:t>
      </w:r>
      <w:r w:rsidR="00301913">
        <w:rPr>
          <w:rFonts w:ascii="Times New Roman" w:hAnsi="Times New Roman" w:cs="Times New Roman"/>
          <w:color w:val="000000" w:themeColor="text1"/>
        </w:rPr>
        <w:t>,</w:t>
      </w:r>
      <w:r w:rsidR="00F430E6">
        <w:rPr>
          <w:rFonts w:ascii="Times New Roman" w:hAnsi="Times New Roman" w:cs="Times New Roman"/>
          <w:color w:val="000000" w:themeColor="text1"/>
        </w:rPr>
        <w:t>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F430E6">
        <w:rPr>
          <w:rFonts w:ascii="Times New Roman" w:hAnsi="Times New Roman" w:cs="Times New Roman"/>
          <w:color w:val="000000" w:themeColor="text1"/>
        </w:rPr>
        <w:t>3</w:t>
      </w:r>
      <w:r w:rsidR="00301913">
        <w:rPr>
          <w:rFonts w:ascii="Times New Roman" w:hAnsi="Times New Roman" w:cs="Times New Roman"/>
          <w:color w:val="000000" w:themeColor="text1"/>
        </w:rPr>
        <w:t>,</w:t>
      </w:r>
      <w:r w:rsidR="00F430E6">
        <w:rPr>
          <w:rFonts w:ascii="Times New Roman" w:hAnsi="Times New Roman" w:cs="Times New Roman"/>
          <w:color w:val="000000" w:themeColor="text1"/>
        </w:rPr>
        <w:t>7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color w:val="000000" w:themeColor="text1"/>
        </w:rPr>
        <w:t>7</w:t>
      </w:r>
      <w:r w:rsidR="000F2B60">
        <w:rPr>
          <w:rFonts w:ascii="Times New Roman" w:hAnsi="Times New Roman" w:cs="Times New Roman"/>
          <w:color w:val="000000" w:themeColor="text1"/>
        </w:rPr>
        <w:t>4</w:t>
      </w:r>
      <w:r w:rsidR="004F4A05">
        <w:rPr>
          <w:rFonts w:ascii="Times New Roman" w:hAnsi="Times New Roman" w:cs="Times New Roman"/>
          <w:color w:val="000000" w:themeColor="text1"/>
        </w:rPr>
        <w:t>,</w:t>
      </w:r>
      <w:r w:rsidR="00F430E6">
        <w:rPr>
          <w:rFonts w:ascii="Times New Roman" w:hAnsi="Times New Roman" w:cs="Times New Roman"/>
          <w:color w:val="000000" w:themeColor="text1"/>
        </w:rPr>
        <w:t>0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8E7C4D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8E7C4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19850" cy="3019425"/>
            <wp:effectExtent l="19050" t="0" r="1905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636540" w:rsidRPr="003A3FCF" w:rsidRDefault="00636540" w:rsidP="00636540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2C03" w:rsidRPr="00EF2C03" w:rsidRDefault="00600D95" w:rsidP="000A5F4A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EF2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Niveau de vie : </w:t>
      </w:r>
      <w:r w:rsidR="00126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 ressenti en </w:t>
      </w:r>
      <w:r w:rsidR="00133687" w:rsidRPr="00EF2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amélioration </w:t>
      </w:r>
    </w:p>
    <w:p w:rsidR="00111470" w:rsidRPr="00EF2C03" w:rsidRDefault="002C2BED" w:rsidP="00EF2C03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EF2C03">
        <w:rPr>
          <w:rFonts w:ascii="Times New Roman" w:hAnsi="Times New Roman" w:cs="Times New Roman"/>
          <w:color w:val="000000" w:themeColor="text1"/>
        </w:rPr>
        <w:t xml:space="preserve">Au deuxième trimestre de 2015, </w:t>
      </w:r>
      <w:r w:rsidR="00BA05AF" w:rsidRPr="00EF2C03">
        <w:rPr>
          <w:rFonts w:ascii="Times New Roman" w:hAnsi="Times New Roman" w:cs="Times New Roman"/>
          <w:color w:val="000000" w:themeColor="text1"/>
        </w:rPr>
        <w:t xml:space="preserve">l’opinion des ménages sur l’évolution passée du niveau de vie s'est améliorée et a atteint son plus haut niveau depuis près de </w:t>
      </w:r>
      <w:r w:rsidR="00111470" w:rsidRPr="00EF2C03">
        <w:rPr>
          <w:rFonts w:ascii="Times New Roman" w:hAnsi="Times New Roman" w:cs="Times New Roman"/>
          <w:color w:val="000000" w:themeColor="text1"/>
        </w:rPr>
        <w:t>sept</w:t>
      </w:r>
      <w:r w:rsidR="00BA05AF" w:rsidRPr="00EF2C03">
        <w:rPr>
          <w:rFonts w:ascii="Times New Roman" w:hAnsi="Times New Roman" w:cs="Times New Roman"/>
          <w:color w:val="000000" w:themeColor="text1"/>
        </w:rPr>
        <w:t xml:space="preserve"> ans. Le solde qui la synthétise gagne 1</w:t>
      </w:r>
      <w:r w:rsidR="00111470" w:rsidRPr="00EF2C03">
        <w:rPr>
          <w:rFonts w:ascii="Times New Roman" w:hAnsi="Times New Roman" w:cs="Times New Roman"/>
          <w:color w:val="000000" w:themeColor="text1"/>
        </w:rPr>
        <w:t>,3</w:t>
      </w:r>
      <w:r w:rsidR="00BA05AF" w:rsidRPr="00EF2C03">
        <w:rPr>
          <w:rFonts w:ascii="Times New Roman" w:hAnsi="Times New Roman" w:cs="Times New Roman"/>
          <w:color w:val="000000" w:themeColor="text1"/>
        </w:rPr>
        <w:t xml:space="preserve"> point</w:t>
      </w:r>
      <w:r w:rsidR="007A0E66" w:rsidRPr="00EF2C03">
        <w:rPr>
          <w:rFonts w:ascii="Times New Roman" w:hAnsi="Times New Roman" w:cs="Times New Roman"/>
          <w:color w:val="000000" w:themeColor="text1"/>
        </w:rPr>
        <w:t xml:space="preserve"> par rapport au trimestre précédent et </w:t>
      </w:r>
      <w:r w:rsidR="00D11897" w:rsidRPr="00EF2C03">
        <w:rPr>
          <w:rFonts w:ascii="Times New Roman" w:hAnsi="Times New Roman" w:cs="Times New Roman"/>
          <w:color w:val="000000" w:themeColor="text1"/>
        </w:rPr>
        <w:t>4,9</w:t>
      </w:r>
      <w:r w:rsidR="00111470" w:rsidRPr="00EF2C03">
        <w:rPr>
          <w:rFonts w:ascii="Times New Roman" w:hAnsi="Times New Roman" w:cs="Times New Roman"/>
          <w:color w:val="000000" w:themeColor="text1"/>
        </w:rPr>
        <w:t xml:space="preserve"> points par rapport au même trimestre de l’année précédente.</w:t>
      </w:r>
    </w:p>
    <w:p w:rsidR="00111470" w:rsidRDefault="001E78BD" w:rsidP="009D6BE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L</w:t>
      </w:r>
      <w:r w:rsidR="00111470">
        <w:rPr>
          <w:rFonts w:ascii="Times New Roman" w:hAnsi="Times New Roman" w:cs="Times New Roman"/>
          <w:color w:val="000000" w:themeColor="text1"/>
        </w:rPr>
        <w:t xml:space="preserve">es perceptions par les ménages de l’évolution future </w:t>
      </w:r>
      <w:r w:rsidR="00111470" w:rsidRPr="00C706A5">
        <w:rPr>
          <w:rFonts w:ascii="Times New Roman" w:hAnsi="Times New Roman" w:cs="Times New Roman"/>
          <w:color w:val="000000" w:themeColor="text1"/>
        </w:rPr>
        <w:t>d</w:t>
      </w:r>
      <w:r w:rsidR="00265566">
        <w:rPr>
          <w:rFonts w:ascii="Times New Roman" w:hAnsi="Times New Roman" w:cs="Times New Roman"/>
          <w:color w:val="000000" w:themeColor="text1"/>
        </w:rPr>
        <w:t>u</w:t>
      </w:r>
      <w:r w:rsidR="00111470" w:rsidRPr="00C706A5">
        <w:rPr>
          <w:rFonts w:ascii="Times New Roman" w:hAnsi="Times New Roman" w:cs="Times New Roman"/>
          <w:color w:val="000000" w:themeColor="text1"/>
        </w:rPr>
        <w:t xml:space="preserve"> niveau de vie</w:t>
      </w:r>
      <w:r w:rsidR="00111470">
        <w:rPr>
          <w:rFonts w:ascii="Times New Roman" w:hAnsi="Times New Roman" w:cs="Times New Roman"/>
          <w:color w:val="000000" w:themeColor="text1"/>
        </w:rPr>
        <w:t xml:space="preserve"> ont connu </w:t>
      </w:r>
      <w:r w:rsidR="00126B26">
        <w:rPr>
          <w:rFonts w:ascii="Times New Roman" w:hAnsi="Times New Roman" w:cs="Times New Roman"/>
          <w:color w:val="000000" w:themeColor="text1"/>
        </w:rPr>
        <w:t xml:space="preserve">la même tendance, enregistrant </w:t>
      </w:r>
      <w:r w:rsidR="00111470">
        <w:rPr>
          <w:rFonts w:ascii="Times New Roman" w:hAnsi="Times New Roman" w:cs="Times New Roman"/>
          <w:color w:val="000000" w:themeColor="text1"/>
        </w:rPr>
        <w:t>une amélioration de 1,</w:t>
      </w:r>
      <w:r w:rsidR="009D6BE7">
        <w:rPr>
          <w:rFonts w:ascii="Times New Roman" w:hAnsi="Times New Roman" w:cs="Times New Roman"/>
          <w:color w:val="000000" w:themeColor="text1"/>
        </w:rPr>
        <w:t>5</w:t>
      </w:r>
      <w:r w:rsidR="00111470">
        <w:rPr>
          <w:rFonts w:ascii="Times New Roman" w:hAnsi="Times New Roman" w:cs="Times New Roman"/>
          <w:color w:val="000000" w:themeColor="text1"/>
        </w:rPr>
        <w:t xml:space="preserve"> point par rapport au trimestre précédent et de 5,8 points par rapport au même trimestre de l’année précédente.</w:t>
      </w:r>
    </w:p>
    <w:p w:rsidR="0092695A" w:rsidRDefault="0092695A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</w:p>
    <w:p w:rsidR="00B06E0C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  <w:r w:rsidRPr="00B06E0C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429375" cy="2752725"/>
            <wp:effectExtent l="19050" t="0" r="9525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0C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</w:p>
    <w:p w:rsidR="00B06E0C" w:rsidRPr="00C706A5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2C5954" w:rsidRPr="00C706A5" w:rsidRDefault="002C5954" w:rsidP="0092082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2C03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FC7C7F" w:rsidRPr="00EF2C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A5F4A">
        <w:rPr>
          <w:rFonts w:ascii="Times New Roman" w:hAnsi="Times New Roman" w:cs="Times New Roman"/>
          <w:b/>
          <w:bCs/>
          <w:color w:val="000000" w:themeColor="text1"/>
        </w:rPr>
        <w:t>Evolution du c</w:t>
      </w:r>
      <w:r w:rsidR="003B7237" w:rsidRPr="00EF2C03">
        <w:rPr>
          <w:rFonts w:ascii="Times New Roman" w:hAnsi="Times New Roman" w:cs="Times New Roman"/>
          <w:b/>
          <w:bCs/>
          <w:color w:val="000000" w:themeColor="text1"/>
        </w:rPr>
        <w:t xml:space="preserve">hômage : </w:t>
      </w:r>
      <w:r w:rsidR="00920825">
        <w:rPr>
          <w:rFonts w:ascii="Times New Roman" w:hAnsi="Times New Roman" w:cs="Times New Roman"/>
          <w:b/>
          <w:bCs/>
          <w:color w:val="000000" w:themeColor="text1"/>
        </w:rPr>
        <w:t xml:space="preserve">un pessimisme persistant </w:t>
      </w:r>
      <w:r w:rsidR="003E657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D8421B" w:rsidRPr="00B117F6" w:rsidRDefault="00C553B5" w:rsidP="006B14F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F430E6">
        <w:rPr>
          <w:rFonts w:ascii="Times New Roman" w:hAnsi="Times New Roman" w:cs="Times New Roman"/>
          <w:color w:val="000000" w:themeColor="text1"/>
        </w:rPr>
        <w:t>deuxième 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E163A1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3172A">
        <w:rPr>
          <w:rFonts w:ascii="Times New Roman" w:hAnsi="Times New Roman" w:cs="Times New Roman"/>
          <w:color w:val="000000" w:themeColor="text1"/>
        </w:rPr>
        <w:t>74,9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A3172A">
        <w:rPr>
          <w:rFonts w:ascii="Times New Roman" w:hAnsi="Times New Roman" w:cs="Times New Roman"/>
          <w:color w:val="000000" w:themeColor="text1"/>
        </w:rPr>
        <w:t>s’attendent à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une hausse du nombre de chômeurs pour les 12 mois à venir contre </w:t>
      </w:r>
      <w:r w:rsidR="00A3172A">
        <w:rPr>
          <w:rFonts w:ascii="Times New Roman" w:hAnsi="Times New Roman" w:cs="Times New Roman"/>
          <w:color w:val="000000" w:themeColor="text1"/>
        </w:rPr>
        <w:t>7,8</w:t>
      </w:r>
      <w:r w:rsidR="00A3172A" w:rsidRPr="00C706A5">
        <w:rPr>
          <w:rFonts w:ascii="Times New Roman" w:hAnsi="Times New Roman" w:cs="Times New Roman"/>
          <w:color w:val="000000" w:themeColor="text1"/>
        </w:rPr>
        <w:t>%</w:t>
      </w:r>
      <w:r w:rsidR="00A3172A">
        <w:rPr>
          <w:rFonts w:ascii="Times New Roman" w:hAnsi="Times New Roman" w:cs="Times New Roman"/>
          <w:color w:val="000000" w:themeColor="text1"/>
        </w:rPr>
        <w:t xml:space="preserve"> qui pensent le contraire. 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3172A">
        <w:rPr>
          <w:rFonts w:ascii="Times New Roman" w:hAnsi="Times New Roman" w:cs="Times New Roman"/>
          <w:color w:val="000000" w:themeColor="text1"/>
        </w:rPr>
        <w:t>Avec un niveau négatif de -67,1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A3172A">
        <w:rPr>
          <w:rFonts w:ascii="Times New Roman" w:hAnsi="Times New Roman" w:cs="Times New Roman"/>
          <w:color w:val="000000" w:themeColor="text1"/>
        </w:rPr>
        <w:t>, l</w:t>
      </w:r>
      <w:r w:rsidR="00A3172A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A3172A">
        <w:rPr>
          <w:rFonts w:ascii="Times New Roman" w:hAnsi="Times New Roman" w:cs="Times New Roman"/>
          <w:color w:val="000000" w:themeColor="text1"/>
        </w:rPr>
        <w:t xml:space="preserve"> </w:t>
      </w:r>
      <w:r w:rsidR="00D8421B" w:rsidRPr="00B117F6">
        <w:rPr>
          <w:rFonts w:ascii="Times New Roman" w:hAnsi="Times New Roman" w:cs="Times New Roman"/>
          <w:color w:val="000000" w:themeColor="text1"/>
        </w:rPr>
        <w:t xml:space="preserve">recule de </w:t>
      </w:r>
      <w:r w:rsidR="007B4F7A">
        <w:rPr>
          <w:rFonts w:ascii="Times New Roman" w:hAnsi="Times New Roman" w:cs="Times New Roman"/>
          <w:color w:val="000000" w:themeColor="text1"/>
        </w:rPr>
        <w:t>1</w:t>
      </w:r>
      <w:r w:rsidR="00BB0D2B">
        <w:rPr>
          <w:rFonts w:ascii="Times New Roman" w:hAnsi="Times New Roman" w:cs="Times New Roman"/>
          <w:color w:val="000000" w:themeColor="text1"/>
        </w:rPr>
        <w:t>,</w:t>
      </w:r>
      <w:r w:rsidR="007B4F7A">
        <w:rPr>
          <w:rFonts w:ascii="Times New Roman" w:hAnsi="Times New Roman" w:cs="Times New Roman"/>
          <w:color w:val="000000" w:themeColor="text1"/>
        </w:rPr>
        <w:t>9</w:t>
      </w:r>
      <w:r w:rsidR="00BB0D2B">
        <w:rPr>
          <w:rFonts w:ascii="Times New Roman" w:hAnsi="Times New Roman" w:cs="Times New Roman"/>
          <w:color w:val="000000" w:themeColor="text1"/>
        </w:rPr>
        <w:t xml:space="preserve"> point </w:t>
      </w:r>
      <w:r w:rsidR="000C39F9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BB0D2B">
        <w:rPr>
          <w:rFonts w:ascii="Times New Roman" w:hAnsi="Times New Roman" w:cs="Times New Roman"/>
          <w:color w:val="000000" w:themeColor="text1"/>
        </w:rPr>
        <w:t xml:space="preserve">et de </w:t>
      </w:r>
      <w:r w:rsidR="007B4F7A">
        <w:rPr>
          <w:rFonts w:ascii="Times New Roman" w:hAnsi="Times New Roman" w:cs="Times New Roman"/>
          <w:color w:val="000000" w:themeColor="text1"/>
        </w:rPr>
        <w:t>0</w:t>
      </w:r>
      <w:r w:rsidR="00BB0D2B">
        <w:rPr>
          <w:rFonts w:ascii="Times New Roman" w:hAnsi="Times New Roman" w:cs="Times New Roman"/>
          <w:color w:val="000000" w:themeColor="text1"/>
        </w:rPr>
        <w:t>,</w:t>
      </w:r>
      <w:r w:rsidR="007B4F7A">
        <w:rPr>
          <w:rFonts w:ascii="Times New Roman" w:hAnsi="Times New Roman" w:cs="Times New Roman"/>
          <w:color w:val="000000" w:themeColor="text1"/>
        </w:rPr>
        <w:t>6</w:t>
      </w:r>
      <w:r w:rsidR="00BB0D2B">
        <w:rPr>
          <w:rFonts w:ascii="Times New Roman" w:hAnsi="Times New Roman" w:cs="Times New Roman"/>
          <w:color w:val="000000" w:themeColor="text1"/>
        </w:rPr>
        <w:t xml:space="preserve"> point par rapport </w:t>
      </w:r>
      <w:r w:rsidR="000C39F9">
        <w:rPr>
          <w:rFonts w:ascii="Times New Roman" w:hAnsi="Times New Roman" w:cs="Times New Roman"/>
          <w:color w:val="000000" w:themeColor="text1"/>
        </w:rPr>
        <w:t>au même trimestre de l’année précédente</w:t>
      </w:r>
      <w:r w:rsidR="00BB0D2B">
        <w:rPr>
          <w:rFonts w:ascii="Times New Roman" w:hAnsi="Times New Roman" w:cs="Times New Roman"/>
          <w:color w:val="000000" w:themeColor="text1"/>
        </w:rPr>
        <w:t>.</w:t>
      </w:r>
      <w:r w:rsidR="00D8421B" w:rsidRPr="00B117F6">
        <w:rPr>
          <w:rFonts w:ascii="Times New Roman" w:hAnsi="Times New Roman" w:cs="Times New Roman"/>
          <w:color w:val="000000" w:themeColor="text1"/>
        </w:rPr>
        <w:t xml:space="preserve"> </w:t>
      </w:r>
    </w:p>
    <w:p w:rsidR="00D04DAB" w:rsidRDefault="00D04DAB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04DA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67475" cy="2838450"/>
            <wp:effectExtent l="19050" t="0" r="9525" b="0"/>
            <wp:docPr id="9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4DAB" w:rsidRDefault="00D04DAB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04DAB" w:rsidRDefault="00D04DAB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F2C03" w:rsidRDefault="00EF2C03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33531" w:rsidRPr="00EF2C03" w:rsidRDefault="003849A2" w:rsidP="00091D64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20825">
        <w:rPr>
          <w:rFonts w:asciiTheme="majorBidi" w:hAnsiTheme="majorBidi" w:cstheme="majorBidi"/>
          <w:b/>
          <w:bCs/>
          <w:color w:val="000000"/>
          <w:sz w:val="24"/>
          <w:szCs w:val="24"/>
        </w:rPr>
        <w:t>R</w:t>
      </w:r>
      <w:r w:rsidR="00965AF2">
        <w:rPr>
          <w:rFonts w:asciiTheme="majorBidi" w:hAnsiTheme="majorBidi" w:cstheme="majorBidi"/>
          <w:b/>
          <w:bCs/>
          <w:color w:val="000000"/>
          <w:sz w:val="24"/>
          <w:szCs w:val="24"/>
        </w:rPr>
        <w:t>éserv</w:t>
      </w:r>
      <w:r w:rsidR="00091D6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es </w:t>
      </w:r>
      <w:r w:rsidR="00126B26">
        <w:rPr>
          <w:rFonts w:asciiTheme="majorBidi" w:hAnsiTheme="majorBidi" w:cstheme="majorBidi"/>
          <w:b/>
          <w:bCs/>
          <w:color w:val="000000"/>
          <w:sz w:val="24"/>
          <w:szCs w:val="24"/>
        </w:rPr>
        <w:t>sur l’opportunité d</w:t>
      </w:r>
      <w:r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</w:t>
      </w:r>
      <w:r w:rsidR="00600D95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achat d</w:t>
      </w:r>
      <w:r w:rsidR="00C42BDE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es </w:t>
      </w:r>
      <w:r w:rsidR="002A18ED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biens durables  </w:t>
      </w:r>
    </w:p>
    <w:p w:rsidR="00FD2441" w:rsidRDefault="002226A1" w:rsidP="006B14F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5</w:t>
      </w:r>
      <w:r w:rsidR="00633F5E">
        <w:rPr>
          <w:rFonts w:ascii="Times New Roman" w:hAnsi="Times New Roman" w:cs="Times New Roman"/>
          <w:color w:val="000000" w:themeColor="text1"/>
        </w:rPr>
        <w:t>6</w:t>
      </w:r>
      <w:r w:rsidR="00DE552A">
        <w:rPr>
          <w:rFonts w:ascii="Times New Roman" w:hAnsi="Times New Roman" w:cs="Times New Roman"/>
          <w:color w:val="000000" w:themeColor="text1"/>
        </w:rPr>
        <w:t>,</w:t>
      </w:r>
      <w:r w:rsidR="00633F5E">
        <w:rPr>
          <w:rFonts w:ascii="Times New Roman" w:hAnsi="Times New Roman" w:cs="Times New Roman"/>
          <w:color w:val="000000" w:themeColor="text1"/>
        </w:rPr>
        <w:t>2</w:t>
      </w:r>
      <w:r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F430E6">
        <w:rPr>
          <w:rFonts w:ascii="Times New Roman" w:hAnsi="Times New Roman" w:cs="Times New Roman"/>
          <w:color w:val="000000" w:themeColor="text1"/>
        </w:rPr>
        <w:t>deuxième trimestre</w:t>
      </w:r>
      <w:r w:rsidR="00A161A9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552A">
        <w:rPr>
          <w:rFonts w:ascii="Times New Roman" w:hAnsi="Times New Roman" w:cs="Times New Roman"/>
          <w:color w:val="000000" w:themeColor="text1"/>
        </w:rPr>
        <w:t>5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E552A">
        <w:rPr>
          <w:rFonts w:ascii="Times New Roman" w:hAnsi="Times New Roman" w:cs="Times New Roman"/>
          <w:color w:val="000000" w:themeColor="text1"/>
        </w:rPr>
        <w:t>2</w:t>
      </w:r>
      <w:r w:rsidR="00633F5E">
        <w:rPr>
          <w:rFonts w:ascii="Times New Roman" w:hAnsi="Times New Roman" w:cs="Times New Roman"/>
          <w:color w:val="000000" w:themeColor="text1"/>
        </w:rPr>
        <w:t>0</w:t>
      </w:r>
      <w:r w:rsidR="00DE552A">
        <w:rPr>
          <w:rFonts w:ascii="Times New Roman" w:hAnsi="Times New Roman" w:cs="Times New Roman"/>
          <w:color w:val="000000" w:themeColor="text1"/>
        </w:rPr>
        <w:t>,</w:t>
      </w:r>
      <w:r w:rsidR="006B14FF">
        <w:rPr>
          <w:rFonts w:ascii="Times New Roman" w:hAnsi="Times New Roman" w:cs="Times New Roman"/>
          <w:color w:val="000000" w:themeColor="text1"/>
        </w:rPr>
        <w:t>2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BC6D48">
        <w:rPr>
          <w:rFonts w:ascii="Times New Roman" w:hAnsi="Times New Roman" w:cs="Times New Roman"/>
          <w:color w:val="000000" w:themeColor="text1"/>
        </w:rPr>
        <w:t xml:space="preserve">. </w:t>
      </w:r>
      <w:r w:rsidR="00E442A1">
        <w:rPr>
          <w:rFonts w:ascii="Times New Roman" w:hAnsi="Times New Roman" w:cs="Times New Roman"/>
          <w:color w:val="000000" w:themeColor="text1"/>
        </w:rPr>
        <w:t>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E442A1">
        <w:rPr>
          <w:rFonts w:ascii="Times New Roman" w:hAnsi="Times New Roman" w:cs="Times New Roman"/>
          <w:color w:val="000000" w:themeColor="text1"/>
        </w:rPr>
        <w:t>s’établit à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-</w:t>
      </w:r>
      <w:r w:rsidR="002A7E1E">
        <w:rPr>
          <w:rFonts w:ascii="Times New Roman" w:hAnsi="Times New Roman" w:cs="Times New Roman"/>
          <w:color w:val="000000" w:themeColor="text1"/>
        </w:rPr>
        <w:t>3</w:t>
      </w:r>
      <w:r w:rsidR="00633F5E">
        <w:rPr>
          <w:rFonts w:ascii="Times New Roman" w:hAnsi="Times New Roman" w:cs="Times New Roman"/>
          <w:color w:val="000000" w:themeColor="text1"/>
        </w:rPr>
        <w:t>6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135D83">
        <w:rPr>
          <w:rFonts w:ascii="Times New Roman" w:hAnsi="Times New Roman" w:cs="Times New Roman"/>
          <w:color w:val="000000" w:themeColor="text1"/>
        </w:rPr>
        <w:t>en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>amélioration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2A7E1E">
        <w:rPr>
          <w:rFonts w:ascii="Times New Roman" w:hAnsi="Times New Roman" w:cs="Times New Roman"/>
          <w:color w:val="000000" w:themeColor="text1"/>
        </w:rPr>
        <w:t>d</w:t>
      </w:r>
      <w:r w:rsidR="009D6BE7">
        <w:rPr>
          <w:rFonts w:ascii="Times New Roman" w:hAnsi="Times New Roman" w:cs="Times New Roman"/>
          <w:color w:val="000000" w:themeColor="text1"/>
        </w:rPr>
        <w:t>’un</w:t>
      </w:r>
      <w:r w:rsidR="002A7E1E">
        <w:rPr>
          <w:rFonts w:ascii="Times New Roman" w:hAnsi="Times New Roman" w:cs="Times New Roman"/>
          <w:color w:val="000000" w:themeColor="text1"/>
        </w:rPr>
        <w:t xml:space="preserve"> </w:t>
      </w:r>
      <w:r w:rsidR="002A7E1E" w:rsidRPr="00C706A5">
        <w:rPr>
          <w:rFonts w:ascii="Times New Roman" w:hAnsi="Times New Roman" w:cs="Times New Roman"/>
          <w:color w:val="000000" w:themeColor="text1"/>
        </w:rPr>
        <w:t>point</w:t>
      </w:r>
      <w:r w:rsidR="002A7E1E">
        <w:rPr>
          <w:rFonts w:ascii="Times New Roman" w:hAnsi="Times New Roman" w:cs="Times New Roman"/>
          <w:color w:val="000000" w:themeColor="text1"/>
        </w:rPr>
        <w:t xml:space="preserve">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F766B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 xml:space="preserve">et en dégradation </w:t>
      </w:r>
      <w:r w:rsidR="002A7E1E">
        <w:rPr>
          <w:rFonts w:ascii="Times New Roman" w:hAnsi="Times New Roman" w:cs="Times New Roman"/>
          <w:color w:val="000000" w:themeColor="text1"/>
        </w:rPr>
        <w:t xml:space="preserve">de </w:t>
      </w:r>
      <w:r w:rsidR="00633F5E">
        <w:rPr>
          <w:rFonts w:ascii="Times New Roman" w:hAnsi="Times New Roman" w:cs="Times New Roman"/>
          <w:color w:val="000000" w:themeColor="text1"/>
        </w:rPr>
        <w:t>7</w:t>
      </w:r>
      <w:r w:rsidR="002A7E1E">
        <w:rPr>
          <w:rFonts w:ascii="Times New Roman" w:hAnsi="Times New Roman" w:cs="Times New Roman"/>
          <w:color w:val="000000" w:themeColor="text1"/>
        </w:rPr>
        <w:t>,</w:t>
      </w:r>
      <w:r w:rsidR="00633F5E">
        <w:rPr>
          <w:rFonts w:ascii="Times New Roman" w:hAnsi="Times New Roman" w:cs="Times New Roman"/>
          <w:color w:val="000000" w:themeColor="text1"/>
        </w:rPr>
        <w:t>1</w:t>
      </w:r>
      <w:r w:rsidR="002A7E1E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2A7E1E">
        <w:rPr>
          <w:rFonts w:ascii="Times New Roman" w:hAnsi="Times New Roman" w:cs="Times New Roman"/>
          <w:color w:val="000000" w:themeColor="text1"/>
        </w:rPr>
        <w:t>s</w:t>
      </w:r>
      <w:r w:rsidR="002A7E1E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>par rapport</w:t>
      </w:r>
      <w:r w:rsidR="00335081">
        <w:rPr>
          <w:rFonts w:ascii="Times New Roman" w:hAnsi="Times New Roman" w:cs="Times New Roman"/>
          <w:color w:val="000000" w:themeColor="text1"/>
        </w:rPr>
        <w:t xml:space="preserve"> a</w:t>
      </w:r>
      <w:r w:rsidR="00335081" w:rsidRPr="00C706A5">
        <w:rPr>
          <w:rFonts w:ascii="Times New Roman" w:hAnsi="Times New Roman" w:cs="Times New Roman"/>
          <w:color w:val="000000" w:themeColor="text1"/>
        </w:rPr>
        <w:t>u même trimestre de l’année précédente</w:t>
      </w:r>
      <w:r w:rsidR="002A7E1E">
        <w:rPr>
          <w:rFonts w:ascii="Times New Roman" w:hAnsi="Times New Roman" w:cs="Times New Roman"/>
          <w:color w:val="000000" w:themeColor="text1"/>
        </w:rPr>
        <w:t>.</w:t>
      </w:r>
      <w:r w:rsidR="002A18ED">
        <w:rPr>
          <w:rFonts w:ascii="Times New Roman" w:hAnsi="Times New Roman" w:cs="Times New Roman"/>
          <w:color w:val="000000" w:themeColor="text1"/>
        </w:rPr>
        <w:t xml:space="preserve"> </w:t>
      </w:r>
    </w:p>
    <w:p w:rsidR="009342AC" w:rsidRDefault="009342AC" w:rsidP="00633F5E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E657B" w:rsidRDefault="003E657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E657B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153150" cy="2609850"/>
            <wp:effectExtent l="19050" t="0" r="19050" b="0"/>
            <wp:docPr id="10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657B" w:rsidRPr="00C706A5" w:rsidRDefault="003E657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Pr="00F50CB9" w:rsidRDefault="00222682" w:rsidP="0092082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F2C03">
        <w:rPr>
          <w:rFonts w:ascii="Times New Roman" w:hAnsi="Times New Roman" w:cs="Times New Roman"/>
          <w:b/>
          <w:bCs/>
        </w:rPr>
        <w:t>•</w:t>
      </w:r>
      <w:r w:rsidR="002C1D2E" w:rsidRPr="00EF2C03">
        <w:rPr>
          <w:rFonts w:ascii="Times New Roman" w:hAnsi="Times New Roman" w:cs="Times New Roman"/>
          <w:b/>
          <w:bCs/>
        </w:rPr>
        <w:t xml:space="preserve"> </w:t>
      </w:r>
      <w:r w:rsidR="000A5F4A">
        <w:rPr>
          <w:rFonts w:ascii="Times New Roman" w:hAnsi="Times New Roman" w:cs="Times New Roman"/>
          <w:b/>
          <w:bCs/>
        </w:rPr>
        <w:t>A</w:t>
      </w:r>
      <w:r w:rsidR="00126B26">
        <w:rPr>
          <w:rFonts w:ascii="Times New Roman" w:hAnsi="Times New Roman" w:cs="Times New Roman"/>
          <w:b/>
          <w:bCs/>
        </w:rPr>
        <w:t xml:space="preserve">ttente d’une </w:t>
      </w:r>
      <w:r w:rsidR="00920825">
        <w:rPr>
          <w:rFonts w:ascii="Times New Roman" w:hAnsi="Times New Roman" w:cs="Times New Roman"/>
          <w:b/>
          <w:bCs/>
        </w:rPr>
        <w:t>amélioration des revenus</w:t>
      </w:r>
      <w:r w:rsidR="001F739C" w:rsidRPr="00EF2C03">
        <w:rPr>
          <w:rFonts w:ascii="Times New Roman" w:hAnsi="Times New Roman" w:cs="Times New Roman"/>
          <w:b/>
          <w:bCs/>
        </w:rPr>
        <w:t> </w:t>
      </w:r>
      <w:r w:rsidR="001F739C">
        <w:rPr>
          <w:rFonts w:ascii="Times New Roman" w:hAnsi="Times New Roman" w:cs="Times New Roman"/>
          <w:b/>
          <w:bCs/>
        </w:rPr>
        <w:t xml:space="preserve"> </w:t>
      </w:r>
    </w:p>
    <w:p w:rsidR="00C93EAA" w:rsidRPr="002A18ED" w:rsidRDefault="00CB3616" w:rsidP="00965AF2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Au deuxième trimestre de 2015, </w:t>
      </w:r>
      <w:r w:rsidR="00D93D3C">
        <w:rPr>
          <w:rFonts w:ascii="Times New Roman" w:hAnsi="Times New Roman" w:cs="Simplified Arabic"/>
          <w:lang w:bidi="ar-MA"/>
        </w:rPr>
        <w:t>5</w:t>
      </w:r>
      <w:r w:rsidR="00887488">
        <w:rPr>
          <w:rFonts w:ascii="Times New Roman" w:hAnsi="Times New Roman" w:cs="Simplified Arabic"/>
          <w:lang w:bidi="ar-MA"/>
        </w:rPr>
        <w:t>7,</w:t>
      </w:r>
      <w:r w:rsidR="009D6BE7">
        <w:rPr>
          <w:rFonts w:ascii="Times New Roman" w:hAnsi="Times New Roman" w:cs="Simplified Arabic"/>
          <w:lang w:bidi="ar-MA"/>
        </w:rPr>
        <w:t>8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</w:t>
      </w:r>
      <w:r w:rsidR="00EA2018">
        <w:rPr>
          <w:rFonts w:ascii="Times New Roman" w:hAnsi="Times New Roman" w:cs="Times New Roman"/>
          <w:color w:val="000000" w:themeColor="text1"/>
        </w:rPr>
        <w:t>3</w:t>
      </w:r>
      <w:r w:rsidR="00887488">
        <w:rPr>
          <w:rFonts w:ascii="Times New Roman" w:hAnsi="Times New Roman" w:cs="Times New Roman"/>
          <w:color w:val="000000" w:themeColor="text1"/>
        </w:rPr>
        <w:t>5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887488">
        <w:rPr>
          <w:rFonts w:ascii="Times New Roman" w:hAnsi="Times New Roman" w:cs="Times New Roman"/>
          <w:color w:val="000000" w:themeColor="text1"/>
        </w:rPr>
        <w:t>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8D7E8B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>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 épargne</w:t>
      </w:r>
      <w:r w:rsidR="008941B1">
        <w:rPr>
          <w:rFonts w:ascii="Times New Roman" w:hAnsi="Times New Roman" w:cs="Times New Roman"/>
          <w:color w:val="000000" w:themeColor="text1"/>
        </w:rPr>
        <w:t xml:space="preserve"> et </w:t>
      </w:r>
      <w:r w:rsidR="00887488">
        <w:rPr>
          <w:rFonts w:ascii="Times New Roman" w:hAnsi="Times New Roman" w:cs="Times New Roman"/>
          <w:color w:val="000000" w:themeColor="text1"/>
        </w:rPr>
        <w:t>7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9D6BE7">
        <w:rPr>
          <w:rFonts w:ascii="Times New Roman" w:hAnsi="Times New Roman" w:cs="Times New Roman"/>
          <w:color w:val="000000" w:themeColor="text1"/>
        </w:rPr>
        <w:t>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9D6BE7">
        <w:rPr>
          <w:rFonts w:ascii="Times New Roman" w:hAnsi="Times New Roman" w:cs="Times New Roman"/>
          <w:color w:val="000000" w:themeColor="text1"/>
        </w:rPr>
        <w:t>28</w:t>
      </w:r>
      <w:r w:rsidR="00887488">
        <w:rPr>
          <w:rFonts w:ascii="Times New Roman" w:hAnsi="Times New Roman" w:cs="Times New Roman"/>
          <w:color w:val="000000" w:themeColor="text1"/>
        </w:rPr>
        <w:t>,</w:t>
      </w:r>
      <w:r w:rsidR="009D6BE7">
        <w:rPr>
          <w:rFonts w:ascii="Times New Roman" w:hAnsi="Times New Roman" w:cs="Times New Roman"/>
          <w:color w:val="000000" w:themeColor="text1"/>
        </w:rPr>
        <w:t>0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887488">
        <w:rPr>
          <w:rFonts w:ascii="Times New Roman" w:hAnsi="Times New Roman" w:cs="Times New Roman"/>
          <w:color w:val="000000" w:themeColor="text1"/>
        </w:rPr>
        <w:t>amélioration</w:t>
      </w:r>
      <w:r w:rsidR="003E3A1D">
        <w:rPr>
          <w:rFonts w:ascii="Times New Roman" w:hAnsi="Times New Roman" w:cs="Times New Roman"/>
          <w:color w:val="000000" w:themeColor="text1"/>
        </w:rPr>
        <w:t xml:space="preserve">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887488">
        <w:rPr>
          <w:rFonts w:ascii="Times New Roman" w:hAnsi="Times New Roman" w:cs="Times New Roman"/>
          <w:color w:val="000000" w:themeColor="text1"/>
        </w:rPr>
        <w:t>+4</w:t>
      </w:r>
      <w:r w:rsidR="00D93D3C">
        <w:rPr>
          <w:rFonts w:ascii="Times New Roman" w:hAnsi="Times New Roman" w:cs="Times New Roman"/>
          <w:color w:val="000000" w:themeColor="text1"/>
        </w:rPr>
        <w:t>,</w:t>
      </w:r>
      <w:r w:rsidR="009D6BE7">
        <w:rPr>
          <w:rFonts w:ascii="Times New Roman" w:hAnsi="Times New Roman" w:cs="Times New Roman"/>
          <w:color w:val="000000" w:themeColor="text1"/>
        </w:rPr>
        <w:t>4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87488">
        <w:rPr>
          <w:rFonts w:ascii="Times New Roman" w:hAnsi="Times New Roman" w:cs="Times New Roman"/>
          <w:color w:val="000000" w:themeColor="text1"/>
        </w:rPr>
        <w:t>s</w:t>
      </w:r>
      <w:r w:rsidR="002C211A" w:rsidRPr="00C706A5">
        <w:rPr>
          <w:rFonts w:ascii="Times New Roman" w:hAnsi="Times New Roman" w:cs="Times New Roman"/>
          <w:color w:val="000000" w:themeColor="text1"/>
        </w:rPr>
        <w:t>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4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887488">
        <w:rPr>
          <w:rFonts w:ascii="Times New Roman" w:hAnsi="Times New Roman" w:cs="Times New Roman"/>
          <w:color w:val="000000" w:themeColor="text1"/>
        </w:rPr>
        <w:t>+</w:t>
      </w:r>
      <w:r w:rsidR="00D93D3C">
        <w:rPr>
          <w:rFonts w:ascii="Times New Roman" w:hAnsi="Times New Roman" w:cs="Times New Roman"/>
          <w:color w:val="000000" w:themeColor="text1"/>
        </w:rPr>
        <w:t>1,</w:t>
      </w:r>
      <w:r w:rsidR="00207730">
        <w:rPr>
          <w:rFonts w:ascii="Times New Roman" w:hAnsi="Times New Roman" w:cs="Times New Roman" w:hint="cs"/>
          <w:color w:val="000000" w:themeColor="text1"/>
          <w:rtl/>
        </w:rPr>
        <w:t>7</w:t>
      </w:r>
      <w:r w:rsidR="008B1424">
        <w:rPr>
          <w:rFonts w:ascii="Times New Roman" w:hAnsi="Times New Roman" w:cs="Times New Roman"/>
          <w:color w:val="000000" w:themeColor="text1"/>
        </w:rPr>
        <w:t xml:space="preserve">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481C22" w:rsidP="00F82FA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Les perceptions des ménages sur </w:t>
      </w:r>
      <w:r w:rsidR="00DF369E">
        <w:rPr>
          <w:rFonts w:ascii="Times New Roman" w:hAnsi="Times New Roman" w:cs="Times New Roman"/>
          <w:color w:val="000000"/>
        </w:rPr>
        <w:t>l’évolution</w:t>
      </w:r>
      <w:r w:rsidR="00E45773">
        <w:rPr>
          <w:rFonts w:ascii="Times New Roman" w:hAnsi="Times New Roman" w:cs="Times New Roman"/>
          <w:color w:val="000000"/>
        </w:rPr>
        <w:t xml:space="preserve"> passée de l</w:t>
      </w:r>
      <w:r w:rsidR="00E45773"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 xml:space="preserve"> ont connu une </w:t>
      </w:r>
      <w:r w:rsidR="00D93D3C">
        <w:rPr>
          <w:rFonts w:ascii="Times New Roman" w:hAnsi="Times New Roman" w:cs="Times New Roman"/>
          <w:color w:val="000000"/>
        </w:rPr>
        <w:t>a</w:t>
      </w:r>
      <w:r w:rsidR="00D93D3C" w:rsidRPr="00481C22">
        <w:rPr>
          <w:rFonts w:ascii="Times New Roman" w:hAnsi="Times New Roman" w:cs="Times New Roman"/>
          <w:color w:val="000000"/>
        </w:rPr>
        <w:t>mélio</w:t>
      </w:r>
      <w:r w:rsidRPr="00481C22">
        <w:rPr>
          <w:rFonts w:ascii="Times New Roman" w:hAnsi="Times New Roman" w:cs="Times New Roman"/>
          <w:color w:val="000000"/>
        </w:rPr>
        <w:t>ration</w:t>
      </w:r>
      <w:r w:rsidR="00D93D3C">
        <w:rPr>
          <w:rFonts w:ascii="Times New Roman" w:hAnsi="Times New Roman" w:cs="Times New Roman"/>
          <w:color w:val="000000"/>
        </w:rPr>
        <w:t xml:space="preserve"> </w:t>
      </w:r>
      <w:r w:rsidR="00100026">
        <w:rPr>
          <w:rFonts w:ascii="Times New Roman" w:hAnsi="Times New Roman" w:cs="Times New Roman"/>
          <w:color w:val="000000"/>
        </w:rPr>
        <w:t xml:space="preserve">de </w:t>
      </w:r>
      <w:r w:rsidR="009342AC">
        <w:rPr>
          <w:rFonts w:ascii="Times New Roman" w:hAnsi="Times New Roman" w:cs="Times New Roman"/>
          <w:color w:val="000000"/>
        </w:rPr>
        <w:t>6</w:t>
      </w:r>
      <w:r w:rsidR="00100026">
        <w:rPr>
          <w:rFonts w:ascii="Times New Roman" w:hAnsi="Times New Roman" w:cs="Times New Roman"/>
          <w:color w:val="000000"/>
        </w:rPr>
        <w:t>,</w:t>
      </w:r>
      <w:r w:rsidR="009342AC">
        <w:rPr>
          <w:rFonts w:ascii="Times New Roman" w:hAnsi="Times New Roman" w:cs="Times New Roman"/>
          <w:color w:val="000000"/>
        </w:rPr>
        <w:t>8</w:t>
      </w:r>
      <w:r w:rsidR="00100026">
        <w:rPr>
          <w:rFonts w:ascii="Times New Roman" w:hAnsi="Times New Roman" w:cs="Times New Roman"/>
          <w:color w:val="000000"/>
        </w:rPr>
        <w:t xml:space="preserve"> points </w:t>
      </w:r>
      <w:r w:rsidR="00C35F99">
        <w:rPr>
          <w:rFonts w:ascii="Times New Roman" w:hAnsi="Times New Roman" w:cs="Times New Roman"/>
          <w:color w:val="000000"/>
        </w:rPr>
        <w:t xml:space="preserve">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 w:rsidR="008D7E8B">
        <w:rPr>
          <w:rFonts w:ascii="Times New Roman" w:hAnsi="Times New Roman" w:cs="Times New Roman"/>
          <w:color w:val="000000"/>
        </w:rPr>
        <w:t>et</w:t>
      </w:r>
      <w:r w:rsidR="00100026">
        <w:rPr>
          <w:rFonts w:ascii="Times New Roman" w:hAnsi="Times New Roman" w:cs="Times New Roman"/>
          <w:color w:val="000000"/>
        </w:rPr>
        <w:t xml:space="preserve"> de </w:t>
      </w:r>
      <w:r w:rsidR="009342AC">
        <w:rPr>
          <w:rFonts w:ascii="Times New Roman" w:hAnsi="Times New Roman" w:cs="Times New Roman"/>
          <w:color w:val="000000"/>
        </w:rPr>
        <w:t>3</w:t>
      </w:r>
      <w:r w:rsidR="00100026">
        <w:rPr>
          <w:rFonts w:ascii="Times New Roman" w:hAnsi="Times New Roman" w:cs="Times New Roman"/>
          <w:color w:val="000000"/>
        </w:rPr>
        <w:t>,</w:t>
      </w:r>
      <w:r w:rsidR="009342AC">
        <w:rPr>
          <w:rFonts w:ascii="Times New Roman" w:hAnsi="Times New Roman" w:cs="Times New Roman"/>
          <w:color w:val="000000"/>
        </w:rPr>
        <w:t>1</w:t>
      </w:r>
      <w:r w:rsidR="00100026">
        <w:rPr>
          <w:rFonts w:ascii="Times New Roman" w:hAnsi="Times New Roman" w:cs="Times New Roman"/>
          <w:color w:val="000000"/>
        </w:rPr>
        <w:t xml:space="preserve"> points </w:t>
      </w:r>
      <w:r w:rsidR="00023DE5" w:rsidRPr="00B10F10">
        <w:rPr>
          <w:rFonts w:ascii="Times New Roman" w:hAnsi="Times New Roman" w:cs="Times New Roman"/>
          <w:color w:val="000000"/>
        </w:rPr>
        <w:t xml:space="preserve">par rapport </w:t>
      </w:r>
      <w:r w:rsidR="00F82FA0">
        <w:rPr>
          <w:rFonts w:ascii="Times New Roman" w:hAnsi="Times New Roman" w:cs="Times New Roman"/>
          <w:color w:val="000000"/>
        </w:rPr>
        <w:t>au même trimestre de l’année 2014.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F369E" w:rsidRDefault="00F76B9D" w:rsidP="00506E8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 même, les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opinions des ménages sur </w:t>
      </w:r>
      <w:r w:rsidR="00763B79">
        <w:rPr>
          <w:rFonts w:ascii="Times New Roman" w:hAnsi="Times New Roman" w:cs="Times New Roman"/>
          <w:color w:val="000000"/>
        </w:rPr>
        <w:t>l’</w:t>
      </w:r>
      <w:r w:rsidR="00DF369E">
        <w:rPr>
          <w:rFonts w:ascii="Times New Roman" w:hAnsi="Times New Roman" w:cs="Times New Roman"/>
          <w:color w:val="000000"/>
        </w:rPr>
        <w:t>évolution future de l</w:t>
      </w:r>
      <w:r w:rsidR="00DF369E"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039D9">
        <w:rPr>
          <w:rFonts w:ascii="Times New Roman" w:hAnsi="Times New Roman" w:cs="Times New Roman"/>
          <w:color w:val="000000"/>
        </w:rPr>
        <w:t xml:space="preserve">ont connu la même tendance avec une </w:t>
      </w:r>
      <w:r w:rsidR="00DF369E">
        <w:rPr>
          <w:rFonts w:ascii="Times New Roman" w:hAnsi="Times New Roman" w:cs="Times New Roman"/>
          <w:color w:val="000000"/>
        </w:rPr>
        <w:t xml:space="preserve"> amélior</w:t>
      </w:r>
      <w:r w:rsidR="00D039D9">
        <w:rPr>
          <w:rFonts w:ascii="Times New Roman" w:hAnsi="Times New Roman" w:cs="Times New Roman"/>
          <w:color w:val="000000"/>
        </w:rPr>
        <w:t>ation</w:t>
      </w:r>
      <w:r w:rsidR="00DF369E">
        <w:rPr>
          <w:rFonts w:ascii="Times New Roman" w:hAnsi="Times New Roman" w:cs="Times New Roman"/>
          <w:color w:val="000000"/>
        </w:rPr>
        <w:t xml:space="preserve"> de </w:t>
      </w:r>
      <w:r w:rsidR="00506E8E">
        <w:rPr>
          <w:rFonts w:ascii="Times New Roman" w:hAnsi="Times New Roman" w:cs="Times New Roman"/>
          <w:color w:val="000000"/>
        </w:rPr>
        <w:t>4</w:t>
      </w:r>
      <w:r w:rsidR="00F82FA0">
        <w:rPr>
          <w:rFonts w:ascii="Times New Roman" w:hAnsi="Times New Roman" w:cs="Times New Roman"/>
          <w:color w:val="000000"/>
        </w:rPr>
        <w:t>,</w:t>
      </w:r>
      <w:r w:rsidR="00506E8E">
        <w:rPr>
          <w:rFonts w:ascii="Times New Roman" w:hAnsi="Times New Roman" w:cs="Times New Roman"/>
          <w:color w:val="000000"/>
        </w:rPr>
        <w:t>1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DF369E">
        <w:rPr>
          <w:rFonts w:ascii="Times New Roman" w:hAnsi="Times New Roman" w:cs="Times New Roman"/>
          <w:color w:val="000000"/>
        </w:rPr>
        <w:t>points par rapport au trimestre précédent et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DF369E">
        <w:rPr>
          <w:rFonts w:ascii="Times New Roman" w:hAnsi="Times New Roman" w:cs="Times New Roman"/>
          <w:color w:val="000000"/>
        </w:rPr>
        <w:t xml:space="preserve">de </w:t>
      </w:r>
      <w:r w:rsidR="00506E8E">
        <w:rPr>
          <w:rFonts w:ascii="Times New Roman" w:hAnsi="Times New Roman" w:cs="Times New Roman"/>
          <w:color w:val="000000"/>
        </w:rPr>
        <w:t>6</w:t>
      </w:r>
      <w:r w:rsidR="00DF369E">
        <w:rPr>
          <w:rFonts w:ascii="Times New Roman" w:hAnsi="Times New Roman" w:cs="Times New Roman"/>
          <w:color w:val="000000"/>
        </w:rPr>
        <w:t>,</w:t>
      </w:r>
      <w:r w:rsidR="00506E8E">
        <w:rPr>
          <w:rFonts w:ascii="Times New Roman" w:hAnsi="Times New Roman" w:cs="Times New Roman"/>
          <w:color w:val="000000"/>
        </w:rPr>
        <w:t>9</w:t>
      </w:r>
      <w:r w:rsidR="00DF369E">
        <w:rPr>
          <w:rFonts w:ascii="Times New Roman" w:hAnsi="Times New Roman" w:cs="Times New Roman"/>
          <w:color w:val="000000"/>
        </w:rPr>
        <w:t xml:space="preserve"> point</w:t>
      </w:r>
      <w:r w:rsidR="00420913">
        <w:rPr>
          <w:rFonts w:ascii="Times New Roman" w:hAnsi="Times New Roman" w:cs="Times New Roman"/>
          <w:color w:val="000000"/>
        </w:rPr>
        <w:t>s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F369E" w:rsidRPr="00B10F10">
        <w:rPr>
          <w:rFonts w:ascii="Times New Roman" w:hAnsi="Times New Roman" w:cs="Times New Roman"/>
          <w:color w:val="000000"/>
        </w:rPr>
        <w:t>par rapport</w:t>
      </w:r>
      <w:r w:rsidR="00F82FA0" w:rsidRPr="00F82FA0">
        <w:rPr>
          <w:rFonts w:ascii="Times New Roman" w:hAnsi="Times New Roman" w:cs="Times New Roman"/>
          <w:color w:val="000000"/>
        </w:rPr>
        <w:t xml:space="preserve"> </w:t>
      </w:r>
      <w:r w:rsidR="00F82FA0" w:rsidRPr="00B10F10">
        <w:rPr>
          <w:rFonts w:ascii="Times New Roman" w:hAnsi="Times New Roman" w:cs="Times New Roman"/>
          <w:color w:val="000000"/>
        </w:rPr>
        <w:t xml:space="preserve">à un </w:t>
      </w:r>
      <w:r w:rsidR="00F82FA0">
        <w:rPr>
          <w:rFonts w:ascii="Times New Roman" w:hAnsi="Times New Roman" w:cs="Times New Roman"/>
          <w:color w:val="000000"/>
        </w:rPr>
        <w:t xml:space="preserve">an </w:t>
      </w:r>
      <w:r w:rsidR="00F82FA0" w:rsidRPr="00B10F10">
        <w:rPr>
          <w:rFonts w:ascii="Times New Roman" w:hAnsi="Times New Roman" w:cs="Times New Roman"/>
          <w:color w:val="000000"/>
        </w:rPr>
        <w:t>auparavant</w:t>
      </w:r>
      <w:r w:rsidR="00F82FA0">
        <w:rPr>
          <w:rFonts w:ascii="Times New Roman" w:hAnsi="Times New Roman" w:cs="Times New Roman"/>
          <w:color w:val="000000"/>
        </w:rPr>
        <w:t>.</w:t>
      </w: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5471C" w:rsidRPr="0045471C" w:rsidRDefault="0045471C" w:rsidP="0045471C">
      <w:pPr>
        <w:widowControl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45471C" w:rsidRPr="0045471C" w:rsidRDefault="0045471C" w:rsidP="004547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FF0000"/>
        </w:rPr>
      </w:pP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AF6349" w:rsidP="00F656E6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56E6" w:rsidRDefault="00F656E6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151DD"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w:drawing>
          <wp:inline distT="0" distB="0" distL="0" distR="0">
            <wp:extent cx="6391275" cy="3886200"/>
            <wp:effectExtent l="19050" t="0" r="9525" b="0"/>
            <wp:docPr id="11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1DD" w:rsidRPr="00C706A5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0E21A1" w:rsidRPr="003A3FCF" w:rsidRDefault="000E21A1" w:rsidP="00D75C4F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l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 ménages </w:t>
      </w:r>
    </w:p>
    <w:p w:rsidR="00A52030" w:rsidRPr="00C706A5" w:rsidRDefault="00A52030" w:rsidP="00E531E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En plus des sept indicateurs composant l’ICM, l’enquête fournit des données trimestrielles sur l</w:t>
      </w:r>
      <w:r w:rsidR="00E531E7">
        <w:rPr>
          <w:rFonts w:ascii="Times New Roman" w:hAnsi="Times New Roman" w:cs="Times New Roman"/>
          <w:color w:val="000000" w:themeColor="text1"/>
        </w:rPr>
        <w:t>a</w:t>
      </w:r>
      <w:r w:rsidRPr="00C706A5">
        <w:rPr>
          <w:rFonts w:ascii="Times New Roman" w:hAnsi="Times New Roman" w:cs="Times New Roman"/>
          <w:color w:val="000000" w:themeColor="text1"/>
        </w:rPr>
        <w:t xml:space="preserve"> perception des ménages relatives à d’autres aspects de leurs conditions de vie. Il s’agit en particulier de la capacité d’épargne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FE0E0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9112C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FE0E04">
        <w:rPr>
          <w:rFonts w:ascii="Times New Roman" w:hAnsi="Times New Roman" w:cs="Times New Roman"/>
          <w:b/>
          <w:bCs/>
          <w:color w:val="000000" w:themeColor="text1"/>
        </w:rPr>
        <w:t>Ménages moins pessimistes quant à leur c</w:t>
      </w:r>
      <w:r w:rsidR="00FE0E04" w:rsidRPr="00C706A5">
        <w:rPr>
          <w:rFonts w:ascii="Times New Roman" w:hAnsi="Times New Roman" w:cs="Times New Roman"/>
          <w:b/>
          <w:bCs/>
          <w:color w:val="000000" w:themeColor="text1"/>
        </w:rPr>
        <w:t>apacité</w:t>
      </w:r>
      <w:r w:rsidR="00FE0E04">
        <w:rPr>
          <w:rFonts w:ascii="Times New Roman" w:hAnsi="Times New Roman" w:cs="Times New Roman"/>
          <w:b/>
          <w:bCs/>
          <w:color w:val="000000" w:themeColor="text1"/>
        </w:rPr>
        <w:t xml:space="preserve"> future d’épargner </w:t>
      </w:r>
    </w:p>
    <w:p w:rsidR="00F66680" w:rsidRPr="00C706A5" w:rsidRDefault="000B09BA" w:rsidP="00126B26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F430E6">
        <w:rPr>
          <w:rFonts w:ascii="Times New Roman" w:hAnsi="Times New Roman" w:cs="Times New Roman"/>
          <w:color w:val="000000" w:themeColor="text1"/>
        </w:rPr>
        <w:t>deuxième trimestre</w:t>
      </w:r>
      <w:r w:rsidR="00F406E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741C47" w:rsidRPr="00A938F3">
        <w:rPr>
          <w:rFonts w:ascii="Times New Roman" w:hAnsi="Times New Roman" w:cs="Times New Roman" w:hint="cs"/>
          <w:color w:val="000000" w:themeColor="text1"/>
          <w:rtl/>
        </w:rPr>
        <w:t>83</w:t>
      </w:r>
      <w:r w:rsidR="00741C47" w:rsidRPr="00A938F3">
        <w:rPr>
          <w:rFonts w:ascii="Times New Roman" w:hAnsi="Times New Roman" w:cs="Times New Roman"/>
          <w:color w:val="000000" w:themeColor="text1"/>
        </w:rPr>
        <w:t>,7%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469DA">
        <w:rPr>
          <w:rFonts w:ascii="Times New Roman" w:hAnsi="Times New Roman" w:cs="Times New Roman"/>
          <w:color w:val="000000" w:themeColor="text1"/>
        </w:rPr>
        <w:t>estiment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741C47" w:rsidRPr="00A938F3">
        <w:rPr>
          <w:rFonts w:ascii="Times New Roman" w:hAnsi="Times New Roman" w:cs="Times New Roman"/>
          <w:color w:val="000000" w:themeColor="text1"/>
        </w:rPr>
        <w:t>16,3</w:t>
      </w:r>
      <w:r w:rsidR="007F3847" w:rsidRPr="00A938F3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</w:t>
      </w:r>
      <w:r w:rsidR="00675156">
        <w:rPr>
          <w:rFonts w:ascii="Times New Roman" w:hAnsi="Times New Roman" w:cs="Times New Roman"/>
          <w:color w:val="000000" w:themeColor="text1"/>
        </w:rPr>
        <w:t>affirment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le contraire</w:t>
      </w:r>
      <w:r w:rsidR="00507FF6">
        <w:rPr>
          <w:rFonts w:ascii="Times New Roman" w:hAnsi="Times New Roman" w:cs="Times New Roman"/>
          <w:color w:val="000000" w:themeColor="text1"/>
        </w:rPr>
        <w:t xml:space="preserve">. </w:t>
      </w:r>
      <w:r w:rsidR="00126B26">
        <w:rPr>
          <w:rFonts w:ascii="Times New Roman" w:hAnsi="Times New Roman" w:cs="Times New Roman"/>
          <w:color w:val="000000" w:themeColor="text1"/>
        </w:rPr>
        <w:t>L</w:t>
      </w:r>
      <w:r w:rsidR="00F66680" w:rsidRPr="00F66680">
        <w:rPr>
          <w:rFonts w:ascii="Times New Roman" w:hAnsi="Times New Roman" w:cs="Times New Roman"/>
          <w:color w:val="000000" w:themeColor="text1"/>
        </w:rPr>
        <w:t>’opinion des ménages sur leur capacité d’épargne s’améliore aussi bien par rapport au trimestre précédent qu’au même trimestre de l’année précédente: le solde correspondant gagne 2,4 points et 2,</w:t>
      </w:r>
      <w:r w:rsidR="00957FC4">
        <w:rPr>
          <w:rFonts w:ascii="Times New Roman" w:hAnsi="Times New Roman" w:cs="Times New Roman" w:hint="cs"/>
          <w:color w:val="000000" w:themeColor="text1"/>
          <w:rtl/>
        </w:rPr>
        <w:t>8</w:t>
      </w:r>
      <w:r w:rsidR="00F66680" w:rsidRPr="00F66680">
        <w:rPr>
          <w:rFonts w:ascii="Times New Roman" w:hAnsi="Times New Roman" w:cs="Times New Roman"/>
          <w:color w:val="000000" w:themeColor="text1"/>
        </w:rPr>
        <w:t xml:space="preserve"> points</w:t>
      </w:r>
      <w:r w:rsidR="00F66680">
        <w:rPr>
          <w:rFonts w:ascii="Verdana" w:hAnsi="Verdana"/>
          <w:color w:val="000000"/>
          <w:sz w:val="18"/>
          <w:szCs w:val="18"/>
        </w:rPr>
        <w:t xml:space="preserve"> </w:t>
      </w:r>
      <w:r w:rsidR="00F66680" w:rsidRPr="00F66680">
        <w:rPr>
          <w:rFonts w:ascii="Times New Roman" w:hAnsi="Times New Roman" w:cs="Times New Roman"/>
          <w:color w:val="000000" w:themeColor="text1"/>
        </w:rPr>
        <w:t>durant ces deux périodes respectives.</w:t>
      </w:r>
    </w:p>
    <w:p w:rsidR="00FE0E04" w:rsidRPr="00C706A5" w:rsidRDefault="00FE0E04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126B26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5532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26B26">
        <w:rPr>
          <w:rFonts w:ascii="Times New Roman" w:hAnsi="Times New Roman" w:cs="Times New Roman"/>
          <w:b/>
          <w:bCs/>
          <w:color w:val="000000" w:themeColor="text1"/>
        </w:rPr>
        <w:t>Perspectives d’évolution</w:t>
      </w:r>
      <w:r w:rsidR="00C10BA4">
        <w:rPr>
          <w:rFonts w:ascii="Times New Roman" w:hAnsi="Times New Roman" w:cs="Times New Roman"/>
          <w:b/>
          <w:bCs/>
          <w:color w:val="000000" w:themeColor="text1"/>
        </w:rPr>
        <w:t xml:space="preserve"> des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prix des produits alimentaires</w:t>
      </w:r>
      <w:r w:rsidR="00EF2C03">
        <w:rPr>
          <w:rFonts w:ascii="Times New Roman" w:hAnsi="Times New Roman" w:cs="Times New Roman"/>
          <w:b/>
          <w:bCs/>
          <w:color w:val="000000" w:themeColor="text1"/>
        </w:rPr>
        <w:t xml:space="preserve"> : </w:t>
      </w:r>
      <w:r w:rsidR="00126B26">
        <w:rPr>
          <w:rFonts w:ascii="Times New Roman" w:hAnsi="Times New Roman" w:cs="Times New Roman"/>
          <w:b/>
          <w:bCs/>
          <w:color w:val="000000" w:themeColor="text1"/>
        </w:rPr>
        <w:t>attente d’une hausse moins prononcée</w:t>
      </w:r>
    </w:p>
    <w:p w:rsidR="00A644C5" w:rsidRDefault="00985AB3" w:rsidP="00506E8E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F430E6">
        <w:rPr>
          <w:rFonts w:ascii="Times New Roman" w:hAnsi="Times New Roman" w:cs="Times New Roman"/>
          <w:color w:val="000000" w:themeColor="text1"/>
        </w:rPr>
        <w:t>deuxième trimestre</w:t>
      </w:r>
      <w:r w:rsidR="006E004B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23661B">
        <w:rPr>
          <w:rFonts w:ascii="Times New Roman" w:hAnsi="Times New Roman" w:cs="Times New Roman"/>
          <w:color w:val="000000" w:themeColor="text1"/>
        </w:rPr>
        <w:t>6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23661B">
        <w:rPr>
          <w:rFonts w:ascii="Times New Roman" w:hAnsi="Times New Roman" w:cs="Times New Roman"/>
          <w:color w:val="000000" w:themeColor="text1"/>
        </w:rPr>
        <w:t>1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656E6">
        <w:rPr>
          <w:rFonts w:ascii="Times New Roman" w:hAnsi="Times New Roman" w:cs="Times New Roman"/>
          <w:color w:val="000000" w:themeColor="text1"/>
        </w:rPr>
        <w:t>estiment</w:t>
      </w:r>
      <w:r w:rsidR="00F656E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009EE">
        <w:rPr>
          <w:rFonts w:ascii="Times New Roman" w:hAnsi="Times New Roman" w:cs="Times New Roman"/>
          <w:color w:val="000000" w:themeColor="text1"/>
        </w:rPr>
        <w:t>durant les 12 derniers mois</w:t>
      </w:r>
      <w:r w:rsidR="00D77F27">
        <w:rPr>
          <w:rFonts w:ascii="Times New Roman" w:hAnsi="Times New Roman" w:cs="Times New Roman"/>
          <w:color w:val="000000" w:themeColor="text1"/>
        </w:rPr>
        <w:t>, 1</w:t>
      </w:r>
      <w:r w:rsidR="0023661B">
        <w:rPr>
          <w:rFonts w:ascii="Times New Roman" w:hAnsi="Times New Roman" w:cs="Times New Roman"/>
          <w:color w:val="000000" w:themeColor="text1"/>
        </w:rPr>
        <w:t>3</w:t>
      </w:r>
      <w:r w:rsidR="00D77F27">
        <w:rPr>
          <w:rFonts w:ascii="Times New Roman" w:hAnsi="Times New Roman" w:cs="Times New Roman"/>
          <w:color w:val="000000" w:themeColor="text1"/>
        </w:rPr>
        <w:t>,</w:t>
      </w:r>
      <w:r w:rsidR="0023661B">
        <w:rPr>
          <w:rFonts w:ascii="Times New Roman" w:hAnsi="Times New Roman" w:cs="Times New Roman"/>
          <w:color w:val="000000" w:themeColor="text1"/>
        </w:rPr>
        <w:t>1</w:t>
      </w:r>
      <w:r w:rsidR="00D77F27">
        <w:rPr>
          <w:rFonts w:ascii="Times New Roman" w:hAnsi="Times New Roman" w:cs="Times New Roman"/>
          <w:color w:val="000000" w:themeColor="text1"/>
        </w:rPr>
        <w:t xml:space="preserve"> % </w:t>
      </w:r>
      <w:r w:rsidR="00F656E6">
        <w:rPr>
          <w:rFonts w:ascii="Times New Roman" w:hAnsi="Times New Roman" w:cs="Times New Roman"/>
          <w:color w:val="000000" w:themeColor="text1"/>
        </w:rPr>
        <w:t xml:space="preserve">jugent </w:t>
      </w:r>
      <w:r w:rsidR="00D77F27">
        <w:rPr>
          <w:rFonts w:ascii="Times New Roman" w:hAnsi="Times New Roman" w:cs="Times New Roman"/>
          <w:color w:val="000000" w:themeColor="text1"/>
        </w:rPr>
        <w:t>qu’ils ont stagné et 0,</w:t>
      </w:r>
      <w:r w:rsidR="0023661B">
        <w:rPr>
          <w:rFonts w:ascii="Times New Roman" w:hAnsi="Times New Roman" w:cs="Times New Roman"/>
          <w:color w:val="000000" w:themeColor="text1"/>
        </w:rPr>
        <w:t xml:space="preserve">8 </w:t>
      </w:r>
      <w:r w:rsidR="00173781">
        <w:rPr>
          <w:rFonts w:ascii="Times New Roman" w:hAnsi="Times New Roman" w:cs="Times New Roman"/>
          <w:color w:val="000000" w:themeColor="text1"/>
        </w:rPr>
        <w:t xml:space="preserve">% </w:t>
      </w:r>
      <w:r w:rsidR="0064773C">
        <w:rPr>
          <w:rFonts w:ascii="Times New Roman" w:hAnsi="Times New Roman" w:cs="Times New Roman"/>
          <w:color w:val="000000" w:themeColor="text1"/>
        </w:rPr>
        <w:t xml:space="preserve">croient </w:t>
      </w:r>
      <w:r w:rsidR="00D77F27">
        <w:rPr>
          <w:rFonts w:ascii="Times New Roman" w:hAnsi="Times New Roman" w:cs="Times New Roman"/>
          <w:color w:val="000000" w:themeColor="text1"/>
        </w:rPr>
        <w:t>qu’ils ont baissé. Avec un niveau de -8</w:t>
      </w:r>
      <w:r w:rsidR="0065045C">
        <w:rPr>
          <w:rFonts w:ascii="Times New Roman" w:hAnsi="Times New Roman" w:cs="Times New Roman"/>
          <w:color w:val="000000" w:themeColor="text1"/>
        </w:rPr>
        <w:t>5</w:t>
      </w:r>
      <w:r w:rsidR="00D77F27">
        <w:rPr>
          <w:rFonts w:ascii="Times New Roman" w:hAnsi="Times New Roman" w:cs="Times New Roman"/>
          <w:color w:val="000000" w:themeColor="text1"/>
        </w:rPr>
        <w:t>,</w:t>
      </w:r>
      <w:r w:rsidR="0065045C">
        <w:rPr>
          <w:rFonts w:ascii="Times New Roman" w:hAnsi="Times New Roman" w:cs="Times New Roman"/>
          <w:color w:val="000000" w:themeColor="text1"/>
        </w:rPr>
        <w:t>3</w:t>
      </w:r>
      <w:r w:rsidR="00D77F27">
        <w:rPr>
          <w:rFonts w:ascii="Times New Roman" w:hAnsi="Times New Roman" w:cs="Times New Roman"/>
          <w:color w:val="000000" w:themeColor="text1"/>
        </w:rPr>
        <w:t xml:space="preserve"> points, l</w:t>
      </w:r>
      <w:r w:rsidR="006B2086">
        <w:rPr>
          <w:rFonts w:ascii="Times New Roman" w:hAnsi="Times New Roman" w:cs="Times New Roman"/>
          <w:color w:val="000000" w:themeColor="text1"/>
        </w:rPr>
        <w:t>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 xml:space="preserve">s’est </w:t>
      </w:r>
      <w:r w:rsidR="0065045C">
        <w:rPr>
          <w:rFonts w:ascii="Times New Roman" w:hAnsi="Times New Roman" w:cs="Times New Roman"/>
          <w:color w:val="000000" w:themeColor="text1"/>
        </w:rPr>
        <w:t xml:space="preserve">amélioré </w:t>
      </w:r>
      <w:r w:rsidR="0075581F">
        <w:rPr>
          <w:rFonts w:ascii="Times New Roman" w:hAnsi="Times New Roman" w:cs="Times New Roman"/>
          <w:color w:val="000000" w:themeColor="text1"/>
        </w:rPr>
        <w:t xml:space="preserve">de </w:t>
      </w:r>
      <w:r w:rsidR="0065045C">
        <w:rPr>
          <w:rFonts w:ascii="Times New Roman" w:hAnsi="Times New Roman" w:cs="Times New Roman"/>
          <w:color w:val="000000" w:themeColor="text1"/>
        </w:rPr>
        <w:t>1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65045C">
        <w:rPr>
          <w:rFonts w:ascii="Times New Roman" w:hAnsi="Times New Roman" w:cs="Times New Roman"/>
          <w:color w:val="000000" w:themeColor="text1"/>
        </w:rPr>
        <w:t>9</w:t>
      </w:r>
      <w:r w:rsidR="0075581F">
        <w:rPr>
          <w:rFonts w:ascii="Times New Roman" w:hAnsi="Times New Roman" w:cs="Times New Roman"/>
          <w:color w:val="000000" w:themeColor="text1"/>
        </w:rPr>
        <w:t xml:space="preserve"> point</w:t>
      </w:r>
      <w:r w:rsidR="00107E17">
        <w:rPr>
          <w:rFonts w:ascii="Times New Roman" w:hAnsi="Times New Roman" w:cs="Times New Roman"/>
          <w:color w:val="000000" w:themeColor="text1"/>
        </w:rPr>
        <w:t xml:space="preserve">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6F2FA8">
        <w:rPr>
          <w:rFonts w:ascii="Times New Roman" w:hAnsi="Times New Roman" w:cs="Times New Roman"/>
          <w:color w:val="000000" w:themeColor="text1"/>
        </w:rPr>
        <w:t xml:space="preserve">s’est </w:t>
      </w:r>
      <w:r w:rsidR="0065045C">
        <w:rPr>
          <w:rFonts w:ascii="Times New Roman" w:hAnsi="Times New Roman" w:cs="Times New Roman"/>
          <w:color w:val="000000" w:themeColor="text1"/>
        </w:rPr>
        <w:t xml:space="preserve">détérioré </w:t>
      </w:r>
      <w:r w:rsidR="006F2FA8">
        <w:rPr>
          <w:rFonts w:ascii="Times New Roman" w:hAnsi="Times New Roman" w:cs="Times New Roman"/>
          <w:color w:val="000000" w:themeColor="text1"/>
        </w:rPr>
        <w:t xml:space="preserve">de </w:t>
      </w:r>
      <w:r w:rsidR="0065045C">
        <w:rPr>
          <w:rFonts w:ascii="Times New Roman" w:hAnsi="Times New Roman" w:cs="Times New Roman"/>
          <w:color w:val="000000" w:themeColor="text1"/>
        </w:rPr>
        <w:t>1</w:t>
      </w:r>
      <w:r w:rsidR="00107E17">
        <w:rPr>
          <w:rFonts w:ascii="Times New Roman" w:hAnsi="Times New Roman" w:cs="Times New Roman"/>
          <w:color w:val="000000" w:themeColor="text1"/>
        </w:rPr>
        <w:t>,2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4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844D2C" w:rsidRDefault="00844D2C" w:rsidP="00506E8E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C5D13" w:rsidRPr="00C706A5" w:rsidRDefault="006B2086" w:rsidP="00DB0E7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S’agissant des</w:t>
      </w:r>
      <w:r w:rsidR="00700954"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>
        <w:rPr>
          <w:rFonts w:ascii="Times New Roman" w:hAnsi="Times New Roman" w:cs="Times New Roman"/>
          <w:color w:val="000000" w:themeColor="text1"/>
        </w:rPr>
        <w:t>7</w:t>
      </w:r>
      <w:r w:rsidR="00995616">
        <w:rPr>
          <w:rFonts w:ascii="Times New Roman" w:hAnsi="Times New Roman" w:cs="Times New Roman"/>
          <w:color w:val="000000" w:themeColor="text1"/>
        </w:rPr>
        <w:t>7</w:t>
      </w:r>
      <w:r w:rsidR="002A7E5D">
        <w:rPr>
          <w:rFonts w:ascii="Times New Roman" w:hAnsi="Times New Roman" w:cs="Times New Roman"/>
          <w:color w:val="000000" w:themeColor="text1"/>
        </w:rPr>
        <w:t>%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7E5D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C706A5">
        <w:rPr>
          <w:rFonts w:ascii="Times New Roman" w:hAnsi="Times New Roman" w:cs="Times New Roman"/>
          <w:color w:val="000000" w:themeColor="text1"/>
        </w:rPr>
        <w:t>pensent qu</w:t>
      </w:r>
      <w:r w:rsidR="00B42576">
        <w:rPr>
          <w:rFonts w:ascii="Times New Roman" w:hAnsi="Times New Roman" w:cs="Times New Roman"/>
          <w:color w:val="000000" w:themeColor="text1"/>
        </w:rPr>
        <w:t xml:space="preserve">’ils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995616">
        <w:rPr>
          <w:rFonts w:ascii="Times New Roman" w:hAnsi="Times New Roman" w:cs="Times New Roman"/>
          <w:color w:val="000000" w:themeColor="text1"/>
        </w:rPr>
        <w:t>21,6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8D3987">
        <w:rPr>
          <w:rFonts w:ascii="Times New Roman" w:hAnsi="Times New Roman" w:cs="Times New Roman"/>
          <w:color w:val="000000" w:themeColor="text1"/>
        </w:rPr>
        <w:t xml:space="preserve">qui prévoient leur stagnation et </w:t>
      </w:r>
      <w:r w:rsidR="00565E32">
        <w:rPr>
          <w:rFonts w:ascii="Times New Roman" w:hAnsi="Times New Roman" w:cs="Times New Roman"/>
          <w:color w:val="000000" w:themeColor="text1"/>
        </w:rPr>
        <w:t>1</w:t>
      </w:r>
      <w:r w:rsidR="008D3987">
        <w:rPr>
          <w:rFonts w:ascii="Times New Roman" w:hAnsi="Times New Roman" w:cs="Times New Roman"/>
          <w:color w:val="000000" w:themeColor="text1"/>
        </w:rPr>
        <w:t>,</w:t>
      </w:r>
      <w:r w:rsidR="00995616">
        <w:rPr>
          <w:rFonts w:ascii="Times New Roman" w:hAnsi="Times New Roman" w:cs="Times New Roman"/>
          <w:color w:val="000000" w:themeColor="text1"/>
        </w:rPr>
        <w:t>4</w:t>
      </w:r>
      <w:r w:rsidR="008D3987">
        <w:rPr>
          <w:rFonts w:ascii="Times New Roman" w:hAnsi="Times New Roman" w:cs="Times New Roman"/>
          <w:color w:val="000000" w:themeColor="text1"/>
        </w:rPr>
        <w:t xml:space="preserve">% </w:t>
      </w:r>
      <w:r w:rsidR="00B42576">
        <w:rPr>
          <w:rFonts w:ascii="Times New Roman" w:hAnsi="Times New Roman" w:cs="Times New Roman"/>
          <w:color w:val="000000" w:themeColor="text1"/>
        </w:rPr>
        <w:t>leur b</w:t>
      </w:r>
      <w:r w:rsidR="008D3987">
        <w:rPr>
          <w:rFonts w:ascii="Times New Roman" w:hAnsi="Times New Roman" w:cs="Times New Roman"/>
          <w:color w:val="000000" w:themeColor="text1"/>
        </w:rPr>
        <w:t xml:space="preserve">aisse. </w:t>
      </w:r>
      <w:r w:rsidR="00511BC9">
        <w:rPr>
          <w:rFonts w:ascii="Times New Roman" w:hAnsi="Times New Roman" w:cs="Times New Roman"/>
          <w:color w:val="000000" w:themeColor="text1"/>
        </w:rPr>
        <w:t>Avec -7</w:t>
      </w:r>
      <w:r w:rsidR="00995616">
        <w:rPr>
          <w:rFonts w:ascii="Times New Roman" w:hAnsi="Times New Roman" w:cs="Times New Roman"/>
          <w:color w:val="000000" w:themeColor="text1"/>
        </w:rPr>
        <w:t>5</w:t>
      </w:r>
      <w:r w:rsidR="00511BC9">
        <w:rPr>
          <w:rFonts w:ascii="Times New Roman" w:hAnsi="Times New Roman" w:cs="Times New Roman"/>
          <w:color w:val="000000" w:themeColor="text1"/>
        </w:rPr>
        <w:t>,</w:t>
      </w:r>
      <w:r w:rsidR="00995616">
        <w:rPr>
          <w:rFonts w:ascii="Times New Roman" w:hAnsi="Times New Roman" w:cs="Times New Roman"/>
          <w:color w:val="000000" w:themeColor="text1"/>
        </w:rPr>
        <w:t>6</w:t>
      </w:r>
      <w:r w:rsidR="00511BC9">
        <w:rPr>
          <w:rFonts w:ascii="Times New Roman" w:hAnsi="Times New Roman" w:cs="Times New Roman"/>
          <w:color w:val="000000" w:themeColor="text1"/>
        </w:rPr>
        <w:t xml:space="preserve"> points, l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>de</w:t>
      </w:r>
      <w:r w:rsidR="00511BC9">
        <w:rPr>
          <w:rFonts w:ascii="Times New Roman" w:hAnsi="Times New Roman" w:cs="Times New Roman"/>
          <w:color w:val="000000" w:themeColor="text1"/>
        </w:rPr>
        <w:t xml:space="preserve">s </w:t>
      </w:r>
      <w:r w:rsidR="002A1C56" w:rsidRPr="00C706A5">
        <w:rPr>
          <w:rFonts w:ascii="Times New Roman" w:hAnsi="Times New Roman" w:cs="Times New Roman"/>
          <w:color w:val="000000" w:themeColor="text1"/>
        </w:rPr>
        <w:t>prix</w:t>
      </w:r>
      <w:r w:rsidR="008D3987">
        <w:rPr>
          <w:rFonts w:ascii="Times New Roman" w:hAnsi="Times New Roman" w:cs="Times New Roman"/>
          <w:color w:val="000000" w:themeColor="text1"/>
        </w:rPr>
        <w:t xml:space="preserve"> </w:t>
      </w:r>
      <w:r w:rsidR="00D04545">
        <w:rPr>
          <w:rFonts w:ascii="Times New Roman" w:hAnsi="Times New Roman" w:cs="Times New Roman"/>
          <w:color w:val="000000" w:themeColor="text1"/>
        </w:rPr>
        <w:t xml:space="preserve">gagne 1,6 point </w:t>
      </w:r>
      <w:r w:rsidR="00C95A6B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D04545">
        <w:rPr>
          <w:rFonts w:ascii="Times New Roman" w:hAnsi="Times New Roman" w:cs="Times New Roman"/>
          <w:color w:val="000000" w:themeColor="text1"/>
        </w:rPr>
        <w:t xml:space="preserve">et 2,4 points par rapport </w:t>
      </w:r>
      <w:r w:rsidR="00C95A6B">
        <w:rPr>
          <w:rFonts w:ascii="Times New Roman" w:hAnsi="Times New Roman" w:cs="Times New Roman"/>
          <w:color w:val="000000" w:themeColor="text1"/>
        </w:rPr>
        <w:t xml:space="preserve">au même trimestre de l’année </w:t>
      </w:r>
      <w:r w:rsidR="00387270">
        <w:rPr>
          <w:rFonts w:ascii="Times New Roman" w:hAnsi="Times New Roman" w:cs="Times New Roman"/>
          <w:color w:val="000000" w:themeColor="text1"/>
        </w:rPr>
        <w:t>passée</w:t>
      </w:r>
      <w:r w:rsidR="00D04545">
        <w:rPr>
          <w:rFonts w:ascii="Times New Roman" w:hAnsi="Times New Roman" w:cs="Times New Roman"/>
          <w:color w:val="000000" w:themeColor="text1"/>
        </w:rPr>
        <w:t>.</w:t>
      </w:r>
      <w:r w:rsidR="00995616">
        <w:rPr>
          <w:rFonts w:ascii="Times New Roman" w:hAnsi="Times New Roman" w:cs="Times New Roman"/>
          <w:color w:val="000000" w:themeColor="text1"/>
        </w:rPr>
        <w:t xml:space="preserve">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6013E0" w:rsidRDefault="0069760B" w:rsidP="00DB0E7C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57ECB">
        <w:rPr>
          <w:rFonts w:ascii="Times New Roman" w:hAnsi="Times New Roman" w:cs="Times New Roman"/>
          <w:color w:val="000000" w:themeColor="text1"/>
        </w:rPr>
        <w:t xml:space="preserve">   </w:t>
      </w:r>
    </w:p>
    <w:p w:rsidR="00440D16" w:rsidRDefault="00440D16" w:rsidP="0069760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013E0" w:rsidRDefault="00440D16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40D1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77000" cy="3409950"/>
            <wp:effectExtent l="19050" t="0" r="19050" b="0"/>
            <wp:docPr id="12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1290" w:rsidRDefault="003A1290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4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ACC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5315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57"/>
        <w:gridCol w:w="531"/>
        <w:gridCol w:w="426"/>
        <w:gridCol w:w="426"/>
        <w:gridCol w:w="426"/>
        <w:gridCol w:w="426"/>
        <w:gridCol w:w="423"/>
        <w:gridCol w:w="426"/>
        <w:gridCol w:w="423"/>
        <w:gridCol w:w="426"/>
        <w:gridCol w:w="426"/>
        <w:gridCol w:w="426"/>
        <w:gridCol w:w="423"/>
        <w:gridCol w:w="426"/>
        <w:gridCol w:w="426"/>
        <w:gridCol w:w="410"/>
        <w:gridCol w:w="413"/>
        <w:gridCol w:w="400"/>
        <w:gridCol w:w="400"/>
        <w:gridCol w:w="400"/>
        <w:gridCol w:w="413"/>
        <w:gridCol w:w="400"/>
        <w:gridCol w:w="400"/>
        <w:gridCol w:w="400"/>
        <w:gridCol w:w="413"/>
        <w:gridCol w:w="400"/>
        <w:gridCol w:w="400"/>
        <w:gridCol w:w="400"/>
        <w:gridCol w:w="413"/>
        <w:gridCol w:w="472"/>
        <w:gridCol w:w="466"/>
      </w:tblGrid>
      <w:tr w:rsidR="007C34A5" w:rsidRPr="0069760B" w:rsidTr="002A0DFB">
        <w:trPr>
          <w:trHeight w:val="525"/>
          <w:jc w:val="center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A5" w:rsidRPr="0069760B" w:rsidRDefault="007C34A5" w:rsidP="00B16E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Indicateur</w:t>
            </w:r>
          </w:p>
        </w:tc>
        <w:tc>
          <w:tcPr>
            <w:tcW w:w="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A5" w:rsidRPr="0069760B" w:rsidRDefault="007C34A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4A5" w:rsidRDefault="007C34A5" w:rsidP="006976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7C34A5" w:rsidRPr="0069760B" w:rsidRDefault="007C34A5" w:rsidP="006976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</w:tr>
      <w:tr w:rsidR="002A0DFB" w:rsidRPr="0069760B" w:rsidTr="002A0DFB">
        <w:trPr>
          <w:trHeight w:val="525"/>
          <w:jc w:val="center"/>
        </w:trPr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890C24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890C24" w:rsidRDefault="002A4737" w:rsidP="009465B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T1/15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890C24" w:rsidRDefault="002A4737" w:rsidP="005D3E5E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T</w:t>
            </w:r>
            <w:r w:rsidR="005D3E5E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2</w:t>
            </w:r>
            <w:r w:rsidRPr="00890C24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/15</w:t>
            </w:r>
          </w:p>
        </w:tc>
      </w:tr>
      <w:tr w:rsidR="002A0DFB" w:rsidRPr="0069760B" w:rsidTr="002A0DFB">
        <w:trPr>
          <w:trHeight w:val="525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Indice de Confiance des Ménages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9760B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5D3E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5D3E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2A0DFB" w:rsidRPr="0069760B" w:rsidTr="002A0DFB">
        <w:trPr>
          <w:trHeight w:val="593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nombre de chômeurs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-59,1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-59,2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  <w:r w:rsidR="004A2333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-44,1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-48,6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-66,5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-65,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</w:tr>
      <w:tr w:rsidR="002A0DFB" w:rsidRPr="0069760B" w:rsidTr="002A0DFB">
        <w:trPr>
          <w:trHeight w:val="601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du niveau de vie en général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-36,7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-20,2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-23,1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-19,9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-18,1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-17,7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-17,4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-14,1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-1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8</w:t>
            </w:r>
          </w:p>
        </w:tc>
      </w:tr>
      <w:tr w:rsidR="002A0DFB" w:rsidRPr="0069760B" w:rsidTr="002A0DFB">
        <w:trPr>
          <w:trHeight w:val="580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niveau de vie en général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14,4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13,1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4A2333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-13,1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-12,7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-8,8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7,3</w:t>
            </w:r>
          </w:p>
        </w:tc>
      </w:tr>
      <w:tr w:rsidR="002A0DFB" w:rsidRPr="0069760B" w:rsidTr="002A0DFB">
        <w:trPr>
          <w:trHeight w:val="541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Opportunité d'achat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-41,8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-43,4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-42,6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-44,3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-38,5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-32,5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-28,9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-38,1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-3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-3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="008F1A4F"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8F1A4F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2A0DFB" w:rsidRPr="0069760B" w:rsidTr="002A0DFB">
        <w:trPr>
          <w:trHeight w:val="653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Situation financière actuelle des ménages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-32,9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-24,3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-29,7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-32,4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28</w:t>
            </w: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2A0DFB" w:rsidRPr="0069760B" w:rsidTr="002A0DFB">
        <w:trPr>
          <w:trHeight w:val="744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 de la situation financière des ménages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-18,4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-8,3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-12,8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-8,9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-14,1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-15,7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-19,6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-23,8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-23,3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-25 ,8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-27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-2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0.2</w:t>
            </w:r>
          </w:p>
        </w:tc>
      </w:tr>
      <w:tr w:rsidR="002A0DFB" w:rsidRPr="0069760B" w:rsidTr="002A0DFB">
        <w:trPr>
          <w:trHeight w:val="746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23,9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16,6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26,8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7,8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10,2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15,1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7,7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10,6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0,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5D3E5E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4,2</w:t>
            </w:r>
          </w:p>
        </w:tc>
      </w:tr>
      <w:tr w:rsidR="005D3E5E" w:rsidRPr="0069760B" w:rsidTr="005D3E5E">
        <w:trPr>
          <w:trHeight w:val="425"/>
          <w:jc w:val="center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5E" w:rsidRDefault="005D3E5E" w:rsidP="005D3E5E">
            <w:pPr>
              <w:widowControl/>
              <w:autoSpaceDE/>
              <w:autoSpaceDN/>
              <w:adjustRightInd/>
              <w:spacing w:line="276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5D3E5E" w:rsidRPr="0069760B" w:rsidRDefault="005D3E5E" w:rsidP="005D3E5E">
            <w:pPr>
              <w:widowControl/>
              <w:autoSpaceDE/>
              <w:autoSpaceDN/>
              <w:adjustRightInd/>
              <w:spacing w:line="276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617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</w:tr>
      <w:tr w:rsidR="002A0DFB" w:rsidRPr="0069760B" w:rsidTr="002A0DFB">
        <w:trPr>
          <w:trHeight w:val="334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-74,1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-78,9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-49,7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-50,9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-47,9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-62,2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-72,6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-71,5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-78,0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-77,2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-7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5.6</w:t>
            </w:r>
          </w:p>
        </w:tc>
      </w:tr>
      <w:tr w:rsidR="002A0DFB" w:rsidRPr="0069760B" w:rsidTr="002A0DFB">
        <w:trPr>
          <w:trHeight w:val="708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-93,6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-95,9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-96,2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  <w:r w:rsidR="00B4597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-85,7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-83,3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-79,5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-95,5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-92,5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-84,1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-84,5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-87,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-8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</w:tr>
      <w:tr w:rsidR="002A0DFB" w:rsidRPr="0069760B" w:rsidTr="002A0DFB">
        <w:trPr>
          <w:trHeight w:val="317"/>
          <w:jc w:val="center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37" w:rsidRPr="0069760B" w:rsidRDefault="002A4737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-60,7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-63,3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-62,5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-63,5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-70,3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-70,2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-71,1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9465B6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-69,8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7" w:rsidRPr="0069760B" w:rsidRDefault="002A4737" w:rsidP="003C20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</w:t>
            </w:r>
            <w:r w:rsidR="005D3E5E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3C205E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</w:tr>
    </w:tbl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5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AA0" w:rsidRDefault="00CB6AA0" w:rsidP="00460705">
      <w:r>
        <w:separator/>
      </w:r>
    </w:p>
  </w:endnote>
  <w:endnote w:type="continuationSeparator" w:id="1">
    <w:p w:rsidR="00CB6AA0" w:rsidRDefault="00CB6AA0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9A7F14" w:rsidRDefault="00806401">
        <w:pPr>
          <w:pStyle w:val="Pieddepage"/>
          <w:jc w:val="center"/>
        </w:pPr>
        <w:fldSimple w:instr=" PAGE   \* MERGEFORMAT ">
          <w:r w:rsidR="0016005A">
            <w:rPr>
              <w:noProof/>
            </w:rPr>
            <w:t>2</w:t>
          </w:r>
        </w:fldSimple>
      </w:p>
    </w:sdtContent>
  </w:sdt>
  <w:p w:rsidR="00BA05AF" w:rsidRDefault="00BA05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AA0" w:rsidRDefault="00CB6AA0" w:rsidP="00460705">
      <w:r>
        <w:separator/>
      </w:r>
    </w:p>
  </w:footnote>
  <w:footnote w:type="continuationSeparator" w:id="1">
    <w:p w:rsidR="00CB6AA0" w:rsidRDefault="00CB6AA0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51DD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6F7C"/>
    <w:rsid w:val="0003703D"/>
    <w:rsid w:val="000370B6"/>
    <w:rsid w:val="0004211E"/>
    <w:rsid w:val="00043430"/>
    <w:rsid w:val="0004437F"/>
    <w:rsid w:val="000451AC"/>
    <w:rsid w:val="00046C56"/>
    <w:rsid w:val="00046EB3"/>
    <w:rsid w:val="00047B2B"/>
    <w:rsid w:val="00051534"/>
    <w:rsid w:val="000518A6"/>
    <w:rsid w:val="00051B80"/>
    <w:rsid w:val="00052C8E"/>
    <w:rsid w:val="00055B18"/>
    <w:rsid w:val="0005628D"/>
    <w:rsid w:val="000569E9"/>
    <w:rsid w:val="00056F4A"/>
    <w:rsid w:val="00057262"/>
    <w:rsid w:val="00057BC7"/>
    <w:rsid w:val="00057E1A"/>
    <w:rsid w:val="00061CA4"/>
    <w:rsid w:val="00062779"/>
    <w:rsid w:val="00064021"/>
    <w:rsid w:val="000646B0"/>
    <w:rsid w:val="00066E22"/>
    <w:rsid w:val="00067347"/>
    <w:rsid w:val="00067D35"/>
    <w:rsid w:val="000706EE"/>
    <w:rsid w:val="000712A9"/>
    <w:rsid w:val="000720FD"/>
    <w:rsid w:val="00072708"/>
    <w:rsid w:val="00072CF2"/>
    <w:rsid w:val="00072F7C"/>
    <w:rsid w:val="00073079"/>
    <w:rsid w:val="000749D1"/>
    <w:rsid w:val="000779C2"/>
    <w:rsid w:val="00077CAA"/>
    <w:rsid w:val="0008224D"/>
    <w:rsid w:val="00082D2E"/>
    <w:rsid w:val="000836A6"/>
    <w:rsid w:val="0008574A"/>
    <w:rsid w:val="000877E9"/>
    <w:rsid w:val="00087DA2"/>
    <w:rsid w:val="00090FCF"/>
    <w:rsid w:val="00090FEC"/>
    <w:rsid w:val="00091D64"/>
    <w:rsid w:val="00091FB9"/>
    <w:rsid w:val="00093D84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40C3"/>
    <w:rsid w:val="000A5F4A"/>
    <w:rsid w:val="000A62F9"/>
    <w:rsid w:val="000B0844"/>
    <w:rsid w:val="000B09BA"/>
    <w:rsid w:val="000B1487"/>
    <w:rsid w:val="000B16D1"/>
    <w:rsid w:val="000B552C"/>
    <w:rsid w:val="000C0C01"/>
    <w:rsid w:val="000C39F9"/>
    <w:rsid w:val="000C439F"/>
    <w:rsid w:val="000C4C0E"/>
    <w:rsid w:val="000C56EA"/>
    <w:rsid w:val="000C7F17"/>
    <w:rsid w:val="000D1CF5"/>
    <w:rsid w:val="000D24FA"/>
    <w:rsid w:val="000D2586"/>
    <w:rsid w:val="000D2E52"/>
    <w:rsid w:val="000D341B"/>
    <w:rsid w:val="000D367A"/>
    <w:rsid w:val="000D4077"/>
    <w:rsid w:val="000D5638"/>
    <w:rsid w:val="000D5AB2"/>
    <w:rsid w:val="000D5B0A"/>
    <w:rsid w:val="000E10E0"/>
    <w:rsid w:val="000E17D9"/>
    <w:rsid w:val="000E20BC"/>
    <w:rsid w:val="000E21A1"/>
    <w:rsid w:val="000E4DC7"/>
    <w:rsid w:val="000F0919"/>
    <w:rsid w:val="000F0DB1"/>
    <w:rsid w:val="000F184A"/>
    <w:rsid w:val="000F2945"/>
    <w:rsid w:val="000F2B60"/>
    <w:rsid w:val="000F6CE8"/>
    <w:rsid w:val="000F70E8"/>
    <w:rsid w:val="000F74C5"/>
    <w:rsid w:val="000F7A57"/>
    <w:rsid w:val="000F7C4F"/>
    <w:rsid w:val="00100026"/>
    <w:rsid w:val="00101249"/>
    <w:rsid w:val="00102B5C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07E17"/>
    <w:rsid w:val="00107F1E"/>
    <w:rsid w:val="001103D0"/>
    <w:rsid w:val="00110B90"/>
    <w:rsid w:val="00111470"/>
    <w:rsid w:val="001116C8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D67"/>
    <w:rsid w:val="00131E2D"/>
    <w:rsid w:val="00133286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733D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CA9"/>
    <w:rsid w:val="0016005A"/>
    <w:rsid w:val="00162062"/>
    <w:rsid w:val="001638CE"/>
    <w:rsid w:val="001648E6"/>
    <w:rsid w:val="0016596E"/>
    <w:rsid w:val="001672BD"/>
    <w:rsid w:val="00173781"/>
    <w:rsid w:val="00174542"/>
    <w:rsid w:val="00174553"/>
    <w:rsid w:val="001757C5"/>
    <w:rsid w:val="001760CB"/>
    <w:rsid w:val="00181B72"/>
    <w:rsid w:val="00182E1E"/>
    <w:rsid w:val="00184023"/>
    <w:rsid w:val="00184250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0AB6"/>
    <w:rsid w:val="001B1130"/>
    <w:rsid w:val="001B1C9F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8DC"/>
    <w:rsid w:val="001D2D35"/>
    <w:rsid w:val="001D709D"/>
    <w:rsid w:val="001E0D0B"/>
    <w:rsid w:val="001E1901"/>
    <w:rsid w:val="001E36D5"/>
    <w:rsid w:val="001E42CC"/>
    <w:rsid w:val="001E4F55"/>
    <w:rsid w:val="001E6198"/>
    <w:rsid w:val="001E78BD"/>
    <w:rsid w:val="001F062E"/>
    <w:rsid w:val="001F14B0"/>
    <w:rsid w:val="001F20AF"/>
    <w:rsid w:val="001F321B"/>
    <w:rsid w:val="001F3646"/>
    <w:rsid w:val="001F4A3E"/>
    <w:rsid w:val="001F4FE4"/>
    <w:rsid w:val="001F59E2"/>
    <w:rsid w:val="001F5D34"/>
    <w:rsid w:val="001F626D"/>
    <w:rsid w:val="001F6A9C"/>
    <w:rsid w:val="001F739C"/>
    <w:rsid w:val="001F7711"/>
    <w:rsid w:val="002021DE"/>
    <w:rsid w:val="002041E9"/>
    <w:rsid w:val="00206A7F"/>
    <w:rsid w:val="0020711A"/>
    <w:rsid w:val="00207730"/>
    <w:rsid w:val="0021180E"/>
    <w:rsid w:val="0021213E"/>
    <w:rsid w:val="00212E56"/>
    <w:rsid w:val="00213786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61B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1ABE"/>
    <w:rsid w:val="0025259C"/>
    <w:rsid w:val="00253166"/>
    <w:rsid w:val="002534E9"/>
    <w:rsid w:val="00254D8A"/>
    <w:rsid w:val="00256FBC"/>
    <w:rsid w:val="00257385"/>
    <w:rsid w:val="00260173"/>
    <w:rsid w:val="00260D98"/>
    <w:rsid w:val="00262237"/>
    <w:rsid w:val="0026337D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21C5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96E08"/>
    <w:rsid w:val="002A0DFB"/>
    <w:rsid w:val="002A18ED"/>
    <w:rsid w:val="002A1C56"/>
    <w:rsid w:val="002A1D28"/>
    <w:rsid w:val="002A1FD6"/>
    <w:rsid w:val="002A29D2"/>
    <w:rsid w:val="002A2E36"/>
    <w:rsid w:val="002A321D"/>
    <w:rsid w:val="002A4737"/>
    <w:rsid w:val="002A53E5"/>
    <w:rsid w:val="002A7486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C03DA"/>
    <w:rsid w:val="002C0743"/>
    <w:rsid w:val="002C0BC4"/>
    <w:rsid w:val="002C0E6A"/>
    <w:rsid w:val="002C10D7"/>
    <w:rsid w:val="002C18A0"/>
    <w:rsid w:val="002C1D2E"/>
    <w:rsid w:val="002C211A"/>
    <w:rsid w:val="002C26D4"/>
    <w:rsid w:val="002C2BED"/>
    <w:rsid w:val="002C3101"/>
    <w:rsid w:val="002C366D"/>
    <w:rsid w:val="002C5954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E3AEC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379"/>
    <w:rsid w:val="0032457C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42196"/>
    <w:rsid w:val="00344737"/>
    <w:rsid w:val="00346706"/>
    <w:rsid w:val="003514ED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24EE"/>
    <w:rsid w:val="00373C93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1350"/>
    <w:rsid w:val="00393479"/>
    <w:rsid w:val="003937BF"/>
    <w:rsid w:val="003960C1"/>
    <w:rsid w:val="003A1290"/>
    <w:rsid w:val="003A18CF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B7237"/>
    <w:rsid w:val="003C0E95"/>
    <w:rsid w:val="003C1028"/>
    <w:rsid w:val="003C205E"/>
    <w:rsid w:val="003C2208"/>
    <w:rsid w:val="003C2924"/>
    <w:rsid w:val="003C3114"/>
    <w:rsid w:val="003C4254"/>
    <w:rsid w:val="003C79A0"/>
    <w:rsid w:val="003D554F"/>
    <w:rsid w:val="003D5D63"/>
    <w:rsid w:val="003D6DF2"/>
    <w:rsid w:val="003D76D8"/>
    <w:rsid w:val="003E04DE"/>
    <w:rsid w:val="003E1044"/>
    <w:rsid w:val="003E22C4"/>
    <w:rsid w:val="003E3A1D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400110"/>
    <w:rsid w:val="00400526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3F4D"/>
    <w:rsid w:val="0041457A"/>
    <w:rsid w:val="004158F0"/>
    <w:rsid w:val="00416870"/>
    <w:rsid w:val="0042017B"/>
    <w:rsid w:val="00420913"/>
    <w:rsid w:val="00420B43"/>
    <w:rsid w:val="00420D3C"/>
    <w:rsid w:val="004211F6"/>
    <w:rsid w:val="00421A81"/>
    <w:rsid w:val="00422883"/>
    <w:rsid w:val="00422ACC"/>
    <w:rsid w:val="00424E25"/>
    <w:rsid w:val="0042529A"/>
    <w:rsid w:val="00426845"/>
    <w:rsid w:val="00427219"/>
    <w:rsid w:val="004274C1"/>
    <w:rsid w:val="00430234"/>
    <w:rsid w:val="00431767"/>
    <w:rsid w:val="00431E4B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4052"/>
    <w:rsid w:val="00465799"/>
    <w:rsid w:val="0046586B"/>
    <w:rsid w:val="004660F5"/>
    <w:rsid w:val="0046675F"/>
    <w:rsid w:val="004674F7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97D4F"/>
    <w:rsid w:val="004A2333"/>
    <w:rsid w:val="004A33E9"/>
    <w:rsid w:val="004A3EA6"/>
    <w:rsid w:val="004A3ECA"/>
    <w:rsid w:val="004A4BF6"/>
    <w:rsid w:val="004A590B"/>
    <w:rsid w:val="004A69AD"/>
    <w:rsid w:val="004B04C6"/>
    <w:rsid w:val="004B35F7"/>
    <w:rsid w:val="004B4273"/>
    <w:rsid w:val="004B4E32"/>
    <w:rsid w:val="004B5383"/>
    <w:rsid w:val="004B64B5"/>
    <w:rsid w:val="004B7076"/>
    <w:rsid w:val="004C26D2"/>
    <w:rsid w:val="004C612A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0C6B"/>
    <w:rsid w:val="004E0D06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CAB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3B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46FE"/>
    <w:rsid w:val="0054064D"/>
    <w:rsid w:val="0054089B"/>
    <w:rsid w:val="00540AC5"/>
    <w:rsid w:val="005426C2"/>
    <w:rsid w:val="00545A36"/>
    <w:rsid w:val="005465E0"/>
    <w:rsid w:val="005467EB"/>
    <w:rsid w:val="00546AA5"/>
    <w:rsid w:val="00547601"/>
    <w:rsid w:val="0055015D"/>
    <w:rsid w:val="0055058D"/>
    <w:rsid w:val="00550895"/>
    <w:rsid w:val="00551FFF"/>
    <w:rsid w:val="00553EB0"/>
    <w:rsid w:val="0055426F"/>
    <w:rsid w:val="00557809"/>
    <w:rsid w:val="00557C85"/>
    <w:rsid w:val="00560C19"/>
    <w:rsid w:val="00561B7D"/>
    <w:rsid w:val="00562D36"/>
    <w:rsid w:val="00562E23"/>
    <w:rsid w:val="00563170"/>
    <w:rsid w:val="00565E32"/>
    <w:rsid w:val="005665B1"/>
    <w:rsid w:val="0056722B"/>
    <w:rsid w:val="00567CDC"/>
    <w:rsid w:val="00570BDD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2246"/>
    <w:rsid w:val="0058309C"/>
    <w:rsid w:val="00584093"/>
    <w:rsid w:val="0058425B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97CC7"/>
    <w:rsid w:val="005A0745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110"/>
    <w:rsid w:val="005C1739"/>
    <w:rsid w:val="005C331A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D69"/>
    <w:rsid w:val="005D7E3C"/>
    <w:rsid w:val="005E180C"/>
    <w:rsid w:val="005E1D4B"/>
    <w:rsid w:val="005E2815"/>
    <w:rsid w:val="005E2EB3"/>
    <w:rsid w:val="005E3E9B"/>
    <w:rsid w:val="005E5415"/>
    <w:rsid w:val="005E5D06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7796"/>
    <w:rsid w:val="006078F5"/>
    <w:rsid w:val="00613A81"/>
    <w:rsid w:val="00615041"/>
    <w:rsid w:val="006170EF"/>
    <w:rsid w:val="00617A67"/>
    <w:rsid w:val="00617BEB"/>
    <w:rsid w:val="00621856"/>
    <w:rsid w:val="00622CF0"/>
    <w:rsid w:val="00623440"/>
    <w:rsid w:val="00624CE0"/>
    <w:rsid w:val="00625499"/>
    <w:rsid w:val="00626C37"/>
    <w:rsid w:val="00627948"/>
    <w:rsid w:val="0063078B"/>
    <w:rsid w:val="006318E1"/>
    <w:rsid w:val="006332C7"/>
    <w:rsid w:val="00633518"/>
    <w:rsid w:val="00633DBA"/>
    <w:rsid w:val="00633F5E"/>
    <w:rsid w:val="00634247"/>
    <w:rsid w:val="00634856"/>
    <w:rsid w:val="00634C05"/>
    <w:rsid w:val="00636540"/>
    <w:rsid w:val="00637056"/>
    <w:rsid w:val="0064120B"/>
    <w:rsid w:val="00641433"/>
    <w:rsid w:val="00641937"/>
    <w:rsid w:val="00642021"/>
    <w:rsid w:val="0064218D"/>
    <w:rsid w:val="0064322F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300A"/>
    <w:rsid w:val="006550AF"/>
    <w:rsid w:val="006551E0"/>
    <w:rsid w:val="006559CC"/>
    <w:rsid w:val="00655B47"/>
    <w:rsid w:val="00655B8C"/>
    <w:rsid w:val="006575AC"/>
    <w:rsid w:val="00657DDA"/>
    <w:rsid w:val="0066027B"/>
    <w:rsid w:val="00660A7D"/>
    <w:rsid w:val="0066108F"/>
    <w:rsid w:val="0066175C"/>
    <w:rsid w:val="00661A4E"/>
    <w:rsid w:val="006620AD"/>
    <w:rsid w:val="00663397"/>
    <w:rsid w:val="00663FAD"/>
    <w:rsid w:val="00665ECF"/>
    <w:rsid w:val="0066619E"/>
    <w:rsid w:val="00667089"/>
    <w:rsid w:val="00671777"/>
    <w:rsid w:val="00671ECF"/>
    <w:rsid w:val="00672A2B"/>
    <w:rsid w:val="00672FEF"/>
    <w:rsid w:val="00675156"/>
    <w:rsid w:val="0068033A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757"/>
    <w:rsid w:val="006A0913"/>
    <w:rsid w:val="006A1512"/>
    <w:rsid w:val="006A230B"/>
    <w:rsid w:val="006A552D"/>
    <w:rsid w:val="006A5708"/>
    <w:rsid w:val="006A5A1C"/>
    <w:rsid w:val="006A7BD0"/>
    <w:rsid w:val="006B11E8"/>
    <w:rsid w:val="006B12D2"/>
    <w:rsid w:val="006B14FF"/>
    <w:rsid w:val="006B2086"/>
    <w:rsid w:val="006B3C2A"/>
    <w:rsid w:val="006B695F"/>
    <w:rsid w:val="006B6E07"/>
    <w:rsid w:val="006B7ED4"/>
    <w:rsid w:val="006C0202"/>
    <w:rsid w:val="006C0438"/>
    <w:rsid w:val="006C0465"/>
    <w:rsid w:val="006C0877"/>
    <w:rsid w:val="006C09E5"/>
    <w:rsid w:val="006C1139"/>
    <w:rsid w:val="006C15C1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0E54"/>
    <w:rsid w:val="006D3119"/>
    <w:rsid w:val="006D5C60"/>
    <w:rsid w:val="006D68DC"/>
    <w:rsid w:val="006D7C72"/>
    <w:rsid w:val="006E004B"/>
    <w:rsid w:val="006E15E3"/>
    <w:rsid w:val="006E2BE2"/>
    <w:rsid w:val="006E2F48"/>
    <w:rsid w:val="006E3028"/>
    <w:rsid w:val="006E51CE"/>
    <w:rsid w:val="006E54CD"/>
    <w:rsid w:val="006E743A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5DF7"/>
    <w:rsid w:val="00716AC6"/>
    <w:rsid w:val="00717305"/>
    <w:rsid w:val="00717A01"/>
    <w:rsid w:val="00720767"/>
    <w:rsid w:val="00722189"/>
    <w:rsid w:val="00723882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699A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26D5"/>
    <w:rsid w:val="007937C5"/>
    <w:rsid w:val="007A00D5"/>
    <w:rsid w:val="007A02DF"/>
    <w:rsid w:val="007A0429"/>
    <w:rsid w:val="007A0E66"/>
    <w:rsid w:val="007A106F"/>
    <w:rsid w:val="007A2498"/>
    <w:rsid w:val="007A3C20"/>
    <w:rsid w:val="007A4238"/>
    <w:rsid w:val="007A430C"/>
    <w:rsid w:val="007A7334"/>
    <w:rsid w:val="007B2E46"/>
    <w:rsid w:val="007B348B"/>
    <w:rsid w:val="007B4778"/>
    <w:rsid w:val="007B4F7A"/>
    <w:rsid w:val="007B6A7F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1E2"/>
    <w:rsid w:val="007D4ED5"/>
    <w:rsid w:val="007D6641"/>
    <w:rsid w:val="007D7349"/>
    <w:rsid w:val="007D76C4"/>
    <w:rsid w:val="007D7FDE"/>
    <w:rsid w:val="007E05B5"/>
    <w:rsid w:val="007E06E3"/>
    <w:rsid w:val="007E0752"/>
    <w:rsid w:val="007E0D7B"/>
    <w:rsid w:val="007E656C"/>
    <w:rsid w:val="007E6919"/>
    <w:rsid w:val="007E79BB"/>
    <w:rsid w:val="007F09E0"/>
    <w:rsid w:val="007F2CA7"/>
    <w:rsid w:val="007F2FA3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3DE5"/>
    <w:rsid w:val="00823EFA"/>
    <w:rsid w:val="008246A6"/>
    <w:rsid w:val="00825C9C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3079"/>
    <w:rsid w:val="00853CBC"/>
    <w:rsid w:val="00855149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EE4"/>
    <w:rsid w:val="008931AC"/>
    <w:rsid w:val="00893809"/>
    <w:rsid w:val="008941B1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B79DF"/>
    <w:rsid w:val="008C02D0"/>
    <w:rsid w:val="008C0A72"/>
    <w:rsid w:val="008C154C"/>
    <w:rsid w:val="008C1716"/>
    <w:rsid w:val="008C2130"/>
    <w:rsid w:val="008C2EDB"/>
    <w:rsid w:val="008C3CBE"/>
    <w:rsid w:val="008C7124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5686"/>
    <w:rsid w:val="00916F2D"/>
    <w:rsid w:val="00917757"/>
    <w:rsid w:val="00920825"/>
    <w:rsid w:val="009208FB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342AC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486F"/>
    <w:rsid w:val="00965AF2"/>
    <w:rsid w:val="00966D00"/>
    <w:rsid w:val="009716F2"/>
    <w:rsid w:val="00975C25"/>
    <w:rsid w:val="009766A1"/>
    <w:rsid w:val="00976C98"/>
    <w:rsid w:val="00981872"/>
    <w:rsid w:val="00983D5F"/>
    <w:rsid w:val="00985AB3"/>
    <w:rsid w:val="00985DD2"/>
    <w:rsid w:val="0098660E"/>
    <w:rsid w:val="009874E6"/>
    <w:rsid w:val="00987987"/>
    <w:rsid w:val="00991EC1"/>
    <w:rsid w:val="009921AC"/>
    <w:rsid w:val="00995616"/>
    <w:rsid w:val="00996593"/>
    <w:rsid w:val="009969D7"/>
    <w:rsid w:val="009974CC"/>
    <w:rsid w:val="00997739"/>
    <w:rsid w:val="009978D4"/>
    <w:rsid w:val="00997EF3"/>
    <w:rsid w:val="00997F9E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7820"/>
    <w:rsid w:val="009A7F14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1083"/>
    <w:rsid w:val="009E2A58"/>
    <w:rsid w:val="009E3156"/>
    <w:rsid w:val="009E52D7"/>
    <w:rsid w:val="009E682C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7F7"/>
    <w:rsid w:val="00A13982"/>
    <w:rsid w:val="00A13B42"/>
    <w:rsid w:val="00A147DB"/>
    <w:rsid w:val="00A14DE7"/>
    <w:rsid w:val="00A15A25"/>
    <w:rsid w:val="00A15B7C"/>
    <w:rsid w:val="00A161A9"/>
    <w:rsid w:val="00A16D17"/>
    <w:rsid w:val="00A16EFD"/>
    <w:rsid w:val="00A20BC5"/>
    <w:rsid w:val="00A21054"/>
    <w:rsid w:val="00A21497"/>
    <w:rsid w:val="00A22750"/>
    <w:rsid w:val="00A231DE"/>
    <w:rsid w:val="00A24DA0"/>
    <w:rsid w:val="00A26209"/>
    <w:rsid w:val="00A271B5"/>
    <w:rsid w:val="00A276D8"/>
    <w:rsid w:val="00A27CEB"/>
    <w:rsid w:val="00A3041C"/>
    <w:rsid w:val="00A3172A"/>
    <w:rsid w:val="00A34F03"/>
    <w:rsid w:val="00A374B1"/>
    <w:rsid w:val="00A400D9"/>
    <w:rsid w:val="00A413F7"/>
    <w:rsid w:val="00A41973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5B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0F20"/>
    <w:rsid w:val="00A91DBE"/>
    <w:rsid w:val="00A938F3"/>
    <w:rsid w:val="00A948E9"/>
    <w:rsid w:val="00A950DB"/>
    <w:rsid w:val="00A95D14"/>
    <w:rsid w:val="00A95F76"/>
    <w:rsid w:val="00A978EA"/>
    <w:rsid w:val="00A97CE2"/>
    <w:rsid w:val="00AA2C91"/>
    <w:rsid w:val="00AA3F50"/>
    <w:rsid w:val="00AA42D6"/>
    <w:rsid w:val="00AA42EB"/>
    <w:rsid w:val="00AA4B9B"/>
    <w:rsid w:val="00AA7979"/>
    <w:rsid w:val="00AB33B7"/>
    <w:rsid w:val="00AB3C59"/>
    <w:rsid w:val="00AB4418"/>
    <w:rsid w:val="00AB4E95"/>
    <w:rsid w:val="00AB5E04"/>
    <w:rsid w:val="00AB717C"/>
    <w:rsid w:val="00AB72BA"/>
    <w:rsid w:val="00AB7AC9"/>
    <w:rsid w:val="00AC0073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2ABD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4433"/>
    <w:rsid w:val="00B16CE4"/>
    <w:rsid w:val="00B16D1D"/>
    <w:rsid w:val="00B16E69"/>
    <w:rsid w:val="00B20494"/>
    <w:rsid w:val="00B226CD"/>
    <w:rsid w:val="00B2336A"/>
    <w:rsid w:val="00B234AD"/>
    <w:rsid w:val="00B3257C"/>
    <w:rsid w:val="00B33398"/>
    <w:rsid w:val="00B36132"/>
    <w:rsid w:val="00B3617A"/>
    <w:rsid w:val="00B36214"/>
    <w:rsid w:val="00B36E89"/>
    <w:rsid w:val="00B42576"/>
    <w:rsid w:val="00B446BF"/>
    <w:rsid w:val="00B44ADE"/>
    <w:rsid w:val="00B453A5"/>
    <w:rsid w:val="00B4597A"/>
    <w:rsid w:val="00B45A8F"/>
    <w:rsid w:val="00B50EDD"/>
    <w:rsid w:val="00B531DA"/>
    <w:rsid w:val="00B55B9F"/>
    <w:rsid w:val="00B570D1"/>
    <w:rsid w:val="00B57ECB"/>
    <w:rsid w:val="00B600A7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A77"/>
    <w:rsid w:val="00B70FEA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AC9"/>
    <w:rsid w:val="00B87C77"/>
    <w:rsid w:val="00B94BD5"/>
    <w:rsid w:val="00BA05AF"/>
    <w:rsid w:val="00BA05CB"/>
    <w:rsid w:val="00BA1CE0"/>
    <w:rsid w:val="00BA20BF"/>
    <w:rsid w:val="00BA3DCF"/>
    <w:rsid w:val="00BA72B1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269D"/>
    <w:rsid w:val="00BE26EE"/>
    <w:rsid w:val="00BE2C7E"/>
    <w:rsid w:val="00BE3EBD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2C8B"/>
    <w:rsid w:val="00BF332E"/>
    <w:rsid w:val="00BF3780"/>
    <w:rsid w:val="00BF3E41"/>
    <w:rsid w:val="00BF54EF"/>
    <w:rsid w:val="00BF7AFA"/>
    <w:rsid w:val="00C00EC9"/>
    <w:rsid w:val="00C013B4"/>
    <w:rsid w:val="00C016BD"/>
    <w:rsid w:val="00C02059"/>
    <w:rsid w:val="00C0250F"/>
    <w:rsid w:val="00C02639"/>
    <w:rsid w:val="00C02A7D"/>
    <w:rsid w:val="00C046B1"/>
    <w:rsid w:val="00C049EB"/>
    <w:rsid w:val="00C0692C"/>
    <w:rsid w:val="00C070B3"/>
    <w:rsid w:val="00C077F1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4351"/>
    <w:rsid w:val="00C268CF"/>
    <w:rsid w:val="00C26D09"/>
    <w:rsid w:val="00C2764E"/>
    <w:rsid w:val="00C305AE"/>
    <w:rsid w:val="00C307A8"/>
    <w:rsid w:val="00C30E83"/>
    <w:rsid w:val="00C334F9"/>
    <w:rsid w:val="00C3468B"/>
    <w:rsid w:val="00C359BC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929"/>
    <w:rsid w:val="00C67698"/>
    <w:rsid w:val="00C701B3"/>
    <w:rsid w:val="00C706A5"/>
    <w:rsid w:val="00C71138"/>
    <w:rsid w:val="00C72080"/>
    <w:rsid w:val="00C72318"/>
    <w:rsid w:val="00C73AF1"/>
    <w:rsid w:val="00C73C35"/>
    <w:rsid w:val="00C744C3"/>
    <w:rsid w:val="00C76249"/>
    <w:rsid w:val="00C77FF2"/>
    <w:rsid w:val="00C80E65"/>
    <w:rsid w:val="00C814E3"/>
    <w:rsid w:val="00C823BD"/>
    <w:rsid w:val="00C82FA2"/>
    <w:rsid w:val="00C85227"/>
    <w:rsid w:val="00C85F79"/>
    <w:rsid w:val="00C87EFC"/>
    <w:rsid w:val="00C91677"/>
    <w:rsid w:val="00C929CE"/>
    <w:rsid w:val="00C93EAA"/>
    <w:rsid w:val="00C93FD8"/>
    <w:rsid w:val="00C94A80"/>
    <w:rsid w:val="00C94E38"/>
    <w:rsid w:val="00C94F63"/>
    <w:rsid w:val="00C95A6B"/>
    <w:rsid w:val="00C968CC"/>
    <w:rsid w:val="00C976F1"/>
    <w:rsid w:val="00C97B9F"/>
    <w:rsid w:val="00CA482A"/>
    <w:rsid w:val="00CA49CC"/>
    <w:rsid w:val="00CA5870"/>
    <w:rsid w:val="00CA6364"/>
    <w:rsid w:val="00CA6F5A"/>
    <w:rsid w:val="00CA6F70"/>
    <w:rsid w:val="00CA71DA"/>
    <w:rsid w:val="00CA7EF6"/>
    <w:rsid w:val="00CB00C5"/>
    <w:rsid w:val="00CB09C6"/>
    <w:rsid w:val="00CB1696"/>
    <w:rsid w:val="00CB2C1A"/>
    <w:rsid w:val="00CB3616"/>
    <w:rsid w:val="00CB3CA9"/>
    <w:rsid w:val="00CB45B8"/>
    <w:rsid w:val="00CB592A"/>
    <w:rsid w:val="00CB6356"/>
    <w:rsid w:val="00CB6AA0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3A9A"/>
    <w:rsid w:val="00CD4181"/>
    <w:rsid w:val="00CD7B38"/>
    <w:rsid w:val="00CE0A3F"/>
    <w:rsid w:val="00CE24DD"/>
    <w:rsid w:val="00CE27F5"/>
    <w:rsid w:val="00CE4D13"/>
    <w:rsid w:val="00CE5396"/>
    <w:rsid w:val="00CE555C"/>
    <w:rsid w:val="00CE7872"/>
    <w:rsid w:val="00CF0163"/>
    <w:rsid w:val="00CF09A5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8F5"/>
    <w:rsid w:val="00D139C9"/>
    <w:rsid w:val="00D13B8F"/>
    <w:rsid w:val="00D13E89"/>
    <w:rsid w:val="00D16D05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1F51"/>
    <w:rsid w:val="00D454E7"/>
    <w:rsid w:val="00D46097"/>
    <w:rsid w:val="00D46521"/>
    <w:rsid w:val="00D53275"/>
    <w:rsid w:val="00D54358"/>
    <w:rsid w:val="00D553C6"/>
    <w:rsid w:val="00D5577E"/>
    <w:rsid w:val="00D5614A"/>
    <w:rsid w:val="00D563AD"/>
    <w:rsid w:val="00D5679E"/>
    <w:rsid w:val="00D567AA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33D"/>
    <w:rsid w:val="00D724DC"/>
    <w:rsid w:val="00D741FC"/>
    <w:rsid w:val="00D7524D"/>
    <w:rsid w:val="00D75C4F"/>
    <w:rsid w:val="00D76CA5"/>
    <w:rsid w:val="00D76ED3"/>
    <w:rsid w:val="00D77DC1"/>
    <w:rsid w:val="00D77E85"/>
    <w:rsid w:val="00D77F27"/>
    <w:rsid w:val="00D80A2B"/>
    <w:rsid w:val="00D80D6A"/>
    <w:rsid w:val="00D84084"/>
    <w:rsid w:val="00D8421B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452B"/>
    <w:rsid w:val="00D94ADC"/>
    <w:rsid w:val="00D96AB7"/>
    <w:rsid w:val="00D977C8"/>
    <w:rsid w:val="00DA244B"/>
    <w:rsid w:val="00DA3198"/>
    <w:rsid w:val="00DA3867"/>
    <w:rsid w:val="00DA3E9A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4FBE"/>
    <w:rsid w:val="00DC5A31"/>
    <w:rsid w:val="00DC676B"/>
    <w:rsid w:val="00DD2648"/>
    <w:rsid w:val="00DD79E3"/>
    <w:rsid w:val="00DE048F"/>
    <w:rsid w:val="00DE215D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369E"/>
    <w:rsid w:val="00E0008D"/>
    <w:rsid w:val="00E009EE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42F5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43BB"/>
    <w:rsid w:val="00E55C95"/>
    <w:rsid w:val="00E55FB3"/>
    <w:rsid w:val="00E56009"/>
    <w:rsid w:val="00E56675"/>
    <w:rsid w:val="00E57400"/>
    <w:rsid w:val="00E60F25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6E14"/>
    <w:rsid w:val="00E9702D"/>
    <w:rsid w:val="00E974FA"/>
    <w:rsid w:val="00E97A41"/>
    <w:rsid w:val="00EA1EEC"/>
    <w:rsid w:val="00EA2018"/>
    <w:rsid w:val="00EA205A"/>
    <w:rsid w:val="00EA3C3C"/>
    <w:rsid w:val="00EA4C22"/>
    <w:rsid w:val="00EA5580"/>
    <w:rsid w:val="00EA57D0"/>
    <w:rsid w:val="00EB078A"/>
    <w:rsid w:val="00EB0D9D"/>
    <w:rsid w:val="00EB1F10"/>
    <w:rsid w:val="00EB284E"/>
    <w:rsid w:val="00EB2FF9"/>
    <w:rsid w:val="00EB35F3"/>
    <w:rsid w:val="00EB41C4"/>
    <w:rsid w:val="00EB4313"/>
    <w:rsid w:val="00EB5E7C"/>
    <w:rsid w:val="00EB61C0"/>
    <w:rsid w:val="00EB676E"/>
    <w:rsid w:val="00EB68B6"/>
    <w:rsid w:val="00EB6BE8"/>
    <w:rsid w:val="00EB6C77"/>
    <w:rsid w:val="00EC04CA"/>
    <w:rsid w:val="00EC1D43"/>
    <w:rsid w:val="00EC42FA"/>
    <w:rsid w:val="00EC5534"/>
    <w:rsid w:val="00EC578A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BDC"/>
    <w:rsid w:val="00F17B9D"/>
    <w:rsid w:val="00F20644"/>
    <w:rsid w:val="00F20E5B"/>
    <w:rsid w:val="00F21FD0"/>
    <w:rsid w:val="00F23039"/>
    <w:rsid w:val="00F24882"/>
    <w:rsid w:val="00F24E95"/>
    <w:rsid w:val="00F27A8A"/>
    <w:rsid w:val="00F35575"/>
    <w:rsid w:val="00F3570E"/>
    <w:rsid w:val="00F35DBC"/>
    <w:rsid w:val="00F3620D"/>
    <w:rsid w:val="00F37379"/>
    <w:rsid w:val="00F37422"/>
    <w:rsid w:val="00F406EF"/>
    <w:rsid w:val="00F409B1"/>
    <w:rsid w:val="00F40FCE"/>
    <w:rsid w:val="00F40FEE"/>
    <w:rsid w:val="00F430E6"/>
    <w:rsid w:val="00F44BD0"/>
    <w:rsid w:val="00F44CD1"/>
    <w:rsid w:val="00F4574D"/>
    <w:rsid w:val="00F469DA"/>
    <w:rsid w:val="00F50003"/>
    <w:rsid w:val="00F50CB9"/>
    <w:rsid w:val="00F52F0C"/>
    <w:rsid w:val="00F53CD4"/>
    <w:rsid w:val="00F5423D"/>
    <w:rsid w:val="00F6021D"/>
    <w:rsid w:val="00F60885"/>
    <w:rsid w:val="00F60DDE"/>
    <w:rsid w:val="00F61D79"/>
    <w:rsid w:val="00F625E1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E5"/>
    <w:rsid w:val="00F71ED3"/>
    <w:rsid w:val="00F727CB"/>
    <w:rsid w:val="00F733C9"/>
    <w:rsid w:val="00F752D4"/>
    <w:rsid w:val="00F766B2"/>
    <w:rsid w:val="00F76B9D"/>
    <w:rsid w:val="00F80F35"/>
    <w:rsid w:val="00F81337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2E0"/>
    <w:rsid w:val="00FA1489"/>
    <w:rsid w:val="00FA174F"/>
    <w:rsid w:val="00FA2D27"/>
    <w:rsid w:val="00FA2E00"/>
    <w:rsid w:val="00FA3097"/>
    <w:rsid w:val="00FA33E5"/>
    <w:rsid w:val="00FA37C6"/>
    <w:rsid w:val="00FA5F0F"/>
    <w:rsid w:val="00FB444E"/>
    <w:rsid w:val="00FB45CC"/>
    <w:rsid w:val="00FB52FD"/>
    <w:rsid w:val="00FB5856"/>
    <w:rsid w:val="00FB6069"/>
    <w:rsid w:val="00FB60D3"/>
    <w:rsid w:val="00FB6CFF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AB"/>
    <w:rsid w:val="00FE0E04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  <w:rsid w:val="00FF53E4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Evolution de l'Indice de Confiance des Ménages</a:t>
            </a:r>
            <a:endParaRPr lang="fr-FR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fr'!$A$119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5"/>
              <c:showVal val="1"/>
            </c:dLbl>
            <c:dLbl>
              <c:idx val="28"/>
              <c:layout>
                <c:manualLayout>
                  <c:x val="-9.8911968348171266E-3"/>
                  <c:y val="8.4121976866457279E-3"/>
                </c:manualLayout>
              </c:layout>
              <c:showVal val="1"/>
            </c:dLbl>
            <c:dLbl>
              <c:idx val="29"/>
              <c:showVal val="1"/>
            </c:dLbl>
            <c:delete val="1"/>
          </c:dLbls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fr'!$B$119:$AE$119</c:f>
              <c:numCache>
                <c:formatCode>#,##0.0</c:formatCode>
                <c:ptCount val="30"/>
                <c:pt idx="0">
                  <c:v>85.866502294191648</c:v>
                </c:pt>
                <c:pt idx="1">
                  <c:v>77.678707955852474</c:v>
                </c:pt>
                <c:pt idx="2">
                  <c:v>75.55248063575597</c:v>
                </c:pt>
                <c:pt idx="3">
                  <c:v>80.136884034904114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80.136086093618815</c:v>
                </c:pt>
                <c:pt idx="9">
                  <c:v>78.833388330573484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78.406406130604239</c:v>
                </c:pt>
                <c:pt idx="13">
                  <c:v>85.789532632532229</c:v>
                </c:pt>
                <c:pt idx="14">
                  <c:v>86.506225251482533</c:v>
                </c:pt>
                <c:pt idx="15">
                  <c:v>84.47721469487783</c:v>
                </c:pt>
                <c:pt idx="16">
                  <c:v>82.880478542820782</c:v>
                </c:pt>
                <c:pt idx="17">
                  <c:v>80.673652783725359</c:v>
                </c:pt>
                <c:pt idx="18">
                  <c:v>77.553867036568803</c:v>
                </c:pt>
                <c:pt idx="19">
                  <c:v>78.403353681350168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74.014553099962058</c:v>
                </c:pt>
                <c:pt idx="26">
                  <c:v>73.148145370690258</c:v>
                </c:pt>
                <c:pt idx="27">
                  <c:v>71.583460003653371</c:v>
                </c:pt>
                <c:pt idx="28">
                  <c:v>73.659282965035374</c:v>
                </c:pt>
                <c:pt idx="29">
                  <c:v>76.139385287093688</c:v>
                </c:pt>
              </c:numCache>
            </c:numRef>
          </c:val>
        </c:ser>
        <c:axId val="111382528"/>
        <c:axId val="111384064"/>
      </c:barChart>
      <c:catAx>
        <c:axId val="11138252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111384064"/>
        <c:crosses val="autoZero"/>
        <c:auto val="1"/>
        <c:lblAlgn val="ctr"/>
        <c:lblOffset val="100"/>
      </c:catAx>
      <c:valAx>
        <c:axId val="111384064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1113825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 sz="1400" b="1" i="0" baseline="0"/>
              <a:t>Perception de l'évolution passée et future du niveau de vie</a:t>
            </a:r>
          </a:p>
          <a:p>
            <a:pPr algn="ctr">
              <a:defRPr/>
            </a:pPr>
            <a:r>
              <a:rPr lang="fr-FR" sz="1400" b="1" i="0" baseline="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fr'!$A$112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fr'!$B$112:$AE$112</c:f>
              <c:numCache>
                <c:formatCode>#,##0.0</c:formatCode>
                <c:ptCount val="3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-31.141291421499833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-25.723634629572913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-37.23676034498358</c:v>
                </c:pt>
                <c:pt idx="12">
                  <c:v>-26.050959167650209</c:v>
                </c:pt>
                <c:pt idx="13">
                  <c:v>-16.961438303130777</c:v>
                </c:pt>
                <c:pt idx="14">
                  <c:v>-13.439142519852059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-28.088708351168577</c:v>
                </c:pt>
                <c:pt idx="20">
                  <c:v>-29.212341127418195</c:v>
                </c:pt>
                <c:pt idx="21">
                  <c:v>-23.102864483982131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-17.387590506775545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</c:numCache>
            </c:numRef>
          </c:val>
        </c:ser>
        <c:ser>
          <c:idx val="1"/>
          <c:order val="1"/>
          <c:tx>
            <c:strRef>
              <c:f>'graphe fr'!$A$113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fr'!$B$113:$AE$113</c:f>
              <c:numCache>
                <c:formatCode>#,##0.0</c:formatCode>
                <c:ptCount val="3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8.433430275111356E-2</c:v>
                </c:pt>
                <c:pt idx="7">
                  <c:v>2.1853913991610052</c:v>
                </c:pt>
                <c:pt idx="8">
                  <c:v>0.39154986438085987</c:v>
                </c:pt>
                <c:pt idx="9">
                  <c:v>2.7314646872285109</c:v>
                </c:pt>
                <c:pt idx="10">
                  <c:v>0.1941832579995505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18.132139936578717</c:v>
                </c:pt>
                <c:pt idx="14">
                  <c:v>11.870106120928337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-11.389732068783678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-7.2727206831162015</c:v>
                </c:pt>
              </c:numCache>
            </c:numRef>
          </c:val>
        </c:ser>
        <c:marker val="1"/>
        <c:axId val="129582976"/>
        <c:axId val="129584512"/>
      </c:lineChart>
      <c:catAx>
        <c:axId val="12958297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9584512"/>
        <c:crosses val="autoZero"/>
        <c:auto val="1"/>
        <c:lblAlgn val="ctr"/>
        <c:lblOffset val="100"/>
      </c:catAx>
      <c:valAx>
        <c:axId val="12958451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95829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400" b="1" i="0" baseline="0"/>
              <a:t>Perceptions par les ménages de l'évolution future </a:t>
            </a:r>
            <a:endParaRPr lang="fr-FR" sz="1400"/>
          </a:p>
          <a:p>
            <a:pPr>
              <a:defRPr/>
            </a:pPr>
            <a:r>
              <a:rPr lang="en-US" sz="1400" b="1" i="0" baseline="0"/>
              <a:t>du chômage </a:t>
            </a:r>
            <a:r>
              <a:rPr lang="fr-FR" sz="1400" b="1" i="0" baseline="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fr'!$A$111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fr'!$B$111:$AE$111</c:f>
              <c:numCache>
                <c:formatCode>#,##0.0</c:formatCode>
                <c:ptCount val="30"/>
                <c:pt idx="0">
                  <c:v>-52.095692279179424</c:v>
                </c:pt>
                <c:pt idx="1">
                  <c:v>-56.601297669292876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-57.930600458568307</c:v>
                </c:pt>
                <c:pt idx="7">
                  <c:v>-57.517749523976327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-52.335316844022621</c:v>
                </c:pt>
                <c:pt idx="12">
                  <c:v>-52.408437207990296</c:v>
                </c:pt>
                <c:pt idx="13">
                  <c:v>-45.98227848623327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-66.49396988110972</c:v>
                </c:pt>
                <c:pt idx="26">
                  <c:v>-68.825577821249368</c:v>
                </c:pt>
                <c:pt idx="27">
                  <c:v>-68.019160185663324</c:v>
                </c:pt>
                <c:pt idx="28">
                  <c:v>-65.155740215393095</c:v>
                </c:pt>
                <c:pt idx="29">
                  <c:v>-67.056481822588822</c:v>
                </c:pt>
              </c:numCache>
            </c:numRef>
          </c:val>
        </c:ser>
        <c:marker val="1"/>
        <c:axId val="129604224"/>
        <c:axId val="129610112"/>
      </c:lineChart>
      <c:catAx>
        <c:axId val="12960422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9610112"/>
        <c:crosses val="autoZero"/>
        <c:auto val="1"/>
        <c:lblAlgn val="ctr"/>
        <c:lblOffset val="100"/>
      </c:catAx>
      <c:valAx>
        <c:axId val="12961011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960422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(soldes d'opinions)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fr'!$A$114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fr'!$B$114:$AE$114</c:f>
              <c:numCache>
                <c:formatCode>#,##0.0</c:formatCode>
                <c:ptCount val="30"/>
                <c:pt idx="0">
                  <c:v>-30.018449770831676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-41.7653505090341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-39.860076277616429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-37.388587169100269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-28.348240299081606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</c:numCache>
            </c:numRef>
          </c:val>
        </c:ser>
        <c:marker val="1"/>
        <c:axId val="129617280"/>
        <c:axId val="129627264"/>
      </c:lineChart>
      <c:catAx>
        <c:axId val="12961728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9627264"/>
        <c:crosses val="autoZero"/>
        <c:auto val="1"/>
        <c:lblAlgn val="ctr"/>
        <c:lblOffset val="100"/>
      </c:catAx>
      <c:valAx>
        <c:axId val="129627264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96172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fr'!$A$115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fr'!$B$115:$AE$115</c:f>
              <c:numCache>
                <c:formatCode>#,##0.0</c:formatCode>
                <c:ptCount val="3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-28.06262489249622</c:v>
                </c:pt>
                <c:pt idx="12">
                  <c:v>-30.645498931903649</c:v>
                </c:pt>
                <c:pt idx="13">
                  <c:v>-27.092549889444179</c:v>
                </c:pt>
                <c:pt idx="14">
                  <c:v>-24.28899054728441</c:v>
                </c:pt>
                <c:pt idx="15">
                  <c:v>-25.669712181349645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-30.846093343724117</c:v>
                </c:pt>
                <c:pt idx="19">
                  <c:v>-29.426966691861189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-29.484131282651116</c:v>
                </c:pt>
                <c:pt idx="23">
                  <c:v>-29.485585569479856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-30.637429411694143</c:v>
                </c:pt>
                <c:pt idx="28">
                  <c:v>-32.404955656558201</c:v>
                </c:pt>
                <c:pt idx="29">
                  <c:v>-27.9</c:v>
                </c:pt>
              </c:numCache>
            </c:numRef>
          </c:val>
        </c:ser>
        <c:ser>
          <c:idx val="1"/>
          <c:order val="1"/>
          <c:tx>
            <c:strRef>
              <c:f>'graphe fr'!$A$116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none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fr'!$B$116:$AE$116</c:f>
              <c:numCache>
                <c:formatCode>#,##0.0</c:formatCode>
                <c:ptCount val="30"/>
                <c:pt idx="0">
                  <c:v>-11.760493904860514</c:v>
                </c:pt>
                <c:pt idx="1">
                  <c:v>-11.37643954097425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-18.438210074457267</c:v>
                </c:pt>
                <c:pt idx="5">
                  <c:v>-13.353492384896811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-9.8004349690184593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-21.8919655790686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-26.965288381475663</c:v>
                </c:pt>
                <c:pt idx="29">
                  <c:v>-20.216971341645095</c:v>
                </c:pt>
              </c:numCache>
            </c:numRef>
          </c:val>
        </c:ser>
        <c:ser>
          <c:idx val="2"/>
          <c:order val="2"/>
          <c:tx>
            <c:strRef>
              <c:f>'graphe fr'!$A$117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fr'!$B$117:$AE$117</c:f>
              <c:numCache>
                <c:formatCode>#,##0.0</c:formatCode>
                <c:ptCount val="3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26.70594184910308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17.532817766676601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11.776375704730432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7.6658451594012726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-1.7003971659207255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-3.913903848287168</c:v>
                </c:pt>
                <c:pt idx="28">
                  <c:v>8.9330913123193523E-2</c:v>
                </c:pt>
                <c:pt idx="29">
                  <c:v>4.1756310519058966</c:v>
                </c:pt>
              </c:numCache>
            </c:numRef>
          </c:val>
        </c:ser>
        <c:marker val="1"/>
        <c:axId val="128797312"/>
        <c:axId val="128811392"/>
      </c:lineChart>
      <c:catAx>
        <c:axId val="1287973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8811392"/>
        <c:crosses val="autoZero"/>
        <c:auto val="1"/>
        <c:lblAlgn val="ctr"/>
        <c:lblOffset val="100"/>
      </c:catAx>
      <c:valAx>
        <c:axId val="12881139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8797312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600" b="1" i="0" baseline="0"/>
              <a:t>Perception des évolutions passée et future des prix des produits alimentaires (soldes d'opinions)</a:t>
            </a:r>
            <a:endParaRPr lang="fr-FR" sz="1600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fr'!$A$121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fr'!$B$121:$AE$121</c:f>
              <c:numCache>
                <c:formatCode>#,##0.0</c:formatCode>
                <c:ptCount val="30"/>
                <c:pt idx="0">
                  <c:v>-74.061389031284818</c:v>
                </c:pt>
                <c:pt idx="1">
                  <c:v>-77.716574651610699</c:v>
                </c:pt>
                <c:pt idx="2">
                  <c:v>-78.940542419693813</c:v>
                </c:pt>
                <c:pt idx="3">
                  <c:v>-49.653420650313237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-47.871947864454384</c:v>
                </c:pt>
                <c:pt idx="8">
                  <c:v>-46.515022811526009</c:v>
                </c:pt>
                <c:pt idx="9">
                  <c:v>-56.832932011428063</c:v>
                </c:pt>
                <c:pt idx="10">
                  <c:v>-62.176731306137086</c:v>
                </c:pt>
                <c:pt idx="11">
                  <c:v>-70.131788082403588</c:v>
                </c:pt>
                <c:pt idx="12">
                  <c:v>-73.412747182583288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-72.965887012434223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-73.578371466433154</c:v>
                </c:pt>
                <c:pt idx="19">
                  <c:v>-70.049698245525676</c:v>
                </c:pt>
                <c:pt idx="20">
                  <c:v>-76.096296687301091</c:v>
                </c:pt>
                <c:pt idx="21">
                  <c:v>-73.375476646911039</c:v>
                </c:pt>
                <c:pt idx="22">
                  <c:v>-76.007455926126042</c:v>
                </c:pt>
                <c:pt idx="23">
                  <c:v>-76.048555842624026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-76.898841721729298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</c:numCache>
            </c:numRef>
          </c:val>
        </c:ser>
        <c:ser>
          <c:idx val="1"/>
          <c:order val="1"/>
          <c:tx>
            <c:strRef>
              <c:f>'graphe fr'!$A$122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fr'!$B$122:$AE$122</c:f>
              <c:numCache>
                <c:formatCode>#,##0.0</c:formatCode>
                <c:ptCount val="30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-90.967802162493172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-89.924388392525387</c:v>
                </c:pt>
                <c:pt idx="15">
                  <c:v>-92.495216554148143</c:v>
                </c:pt>
                <c:pt idx="16">
                  <c:v>-91.625316584481055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-91.630328830979096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-84.135715875788506</c:v>
                </c:pt>
                <c:pt idx="26">
                  <c:v>-81.763249669624159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</c:numCache>
            </c:numRef>
          </c:val>
        </c:ser>
        <c:marker val="1"/>
        <c:axId val="65012096"/>
        <c:axId val="65013632"/>
      </c:lineChart>
      <c:catAx>
        <c:axId val="650120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65013632"/>
        <c:crosses val="autoZero"/>
        <c:auto val="1"/>
        <c:lblAlgn val="ctr"/>
        <c:lblOffset val="100"/>
      </c:catAx>
      <c:valAx>
        <c:axId val="650136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fr-FR"/>
          </a:p>
        </c:txPr>
        <c:crossAx val="650120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0E56-3636-4BA4-9F9E-3B2B6729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 </cp:lastModifiedBy>
  <cp:revision>2</cp:revision>
  <cp:lastPrinted>2015-08-05T10:28:00Z</cp:lastPrinted>
  <dcterms:created xsi:type="dcterms:W3CDTF">2015-08-10T13:21:00Z</dcterms:created>
  <dcterms:modified xsi:type="dcterms:W3CDTF">2015-08-10T13:21:00Z</dcterms:modified>
</cp:coreProperties>
</file>