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  <w:rtl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9B7BDC" w:rsidRPr="00AA1B50" w:rsidRDefault="00D75679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  <w:t xml:space="preserve">      </w:t>
      </w:r>
      <w:r w:rsidR="0035750D" w:rsidRPr="00AA1B50"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6F19CD" w:rsidRDefault="006F19CD" w:rsidP="006F19C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</w:pPr>
    </w:p>
    <w:p w:rsidR="00522D60" w:rsidRPr="00AA1B50" w:rsidRDefault="009655EF" w:rsidP="00522D60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</w:rPr>
        <w:t xml:space="preserve">     </w:t>
      </w: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8000"/>
          <w:sz w:val="22"/>
          <w:szCs w:val="22"/>
          <w:rtl/>
        </w:rPr>
      </w:pPr>
    </w:p>
    <w:p w:rsidR="00F043B0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</w:pPr>
      <w:r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 xml:space="preserve">NOTE D’INFORMATION DU HAUT COMMISSARIAT AU PLAN </w:t>
      </w:r>
    </w:p>
    <w:p w:rsidR="009B7BDC" w:rsidRPr="00AA1B50" w:rsidRDefault="009B7BDC" w:rsidP="0051135E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</w:pPr>
      <w:r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 xml:space="preserve">AU SUJET DE LA SITUATION DU MARCHE DU TRAVAIL </w:t>
      </w:r>
      <w:r w:rsidR="00621920"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 xml:space="preserve">AU </w:t>
      </w:r>
      <w:r w:rsidR="0051135E"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>DEUXIEME</w:t>
      </w:r>
      <w:r w:rsidR="00621920"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 xml:space="preserve"> TRIMESTRE DE L’ANNEE </w:t>
      </w:r>
      <w:r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>201</w:t>
      </w:r>
      <w:r w:rsidR="00621920" w:rsidRPr="00AA1B50">
        <w:rPr>
          <w:rFonts w:asciiTheme="majorBidi" w:hAnsiTheme="majorBidi" w:cstheme="majorBidi"/>
          <w:b/>
          <w:bCs/>
          <w:noProof w:val="0"/>
          <w:color w:val="D99594"/>
          <w:sz w:val="30"/>
          <w:szCs w:val="30"/>
        </w:rPr>
        <w:t>5</w:t>
      </w:r>
    </w:p>
    <w:p w:rsidR="009B7BDC" w:rsidRPr="00AA1B50" w:rsidRDefault="009B7BDC" w:rsidP="009B7BD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noProof w:val="0"/>
          <w:color w:val="0000FF"/>
          <w:sz w:val="26"/>
          <w:szCs w:val="26"/>
        </w:rPr>
      </w:pPr>
    </w:p>
    <w:p w:rsidR="00B53541" w:rsidRDefault="00B53541" w:rsidP="00B53541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noProof w:val="0"/>
          <w:color w:val="0000FF"/>
          <w:sz w:val="26"/>
          <w:szCs w:val="26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Theme="majorBidi" w:hAnsiTheme="majorBidi" w:cstheme="majorBidi"/>
          <w:b/>
          <w:bCs/>
          <w:noProof w:val="0"/>
          <w:color w:val="B33B69"/>
          <w:sz w:val="28"/>
          <w:szCs w:val="28"/>
        </w:rPr>
      </w:pPr>
      <w:r w:rsidRPr="00AA1B50">
        <w:rPr>
          <w:rFonts w:asciiTheme="majorBidi" w:hAnsiTheme="majorBidi" w:cstheme="majorBidi"/>
          <w:b/>
          <w:bCs/>
          <w:noProof w:val="0"/>
          <w:color w:val="B33B69"/>
          <w:sz w:val="28"/>
          <w:szCs w:val="28"/>
        </w:rPr>
        <w:t>Principaux indicateurs</w:t>
      </w:r>
    </w:p>
    <w:p w:rsidR="00642C11" w:rsidRPr="00194A61" w:rsidRDefault="00642C11" w:rsidP="006F19CD">
      <w:pPr>
        <w:autoSpaceDE w:val="0"/>
        <w:autoSpaceDN w:val="0"/>
        <w:bidi w:val="0"/>
        <w:adjustRightInd w:val="0"/>
        <w:spacing w:after="60"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Entre le</w:t>
      </w:r>
      <w:r w:rsidR="00D2779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  <w:r w:rsidR="00AC2ED6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deuxième </w:t>
      </w:r>
      <w:r w:rsidR="00D2779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trimestre de </w:t>
      </w:r>
      <w:r w:rsidR="008639C7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l’année </w:t>
      </w:r>
      <w:r w:rsidR="00D2779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2014 et celui de 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201</w:t>
      </w:r>
      <w:r w:rsidR="00D2779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5</w:t>
      </w:r>
      <w:r w:rsidR="00B53541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, l’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économie marocaine </w:t>
      </w:r>
      <w:r w:rsidR="000535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a créé </w:t>
      </w:r>
      <w:r w:rsidR="00AC2ED6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38</w:t>
      </w:r>
      <w:r w:rsidR="00D2154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.000 </w:t>
      </w:r>
      <w:r w:rsidR="009F58FE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postes d’</w:t>
      </w:r>
      <w:r w:rsidR="006A272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emploi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, résultat d’une création de </w:t>
      </w:r>
      <w:r w:rsidR="00AC2ED6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72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.000 </w:t>
      </w:r>
      <w:r w:rsidR="002F73C3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postes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en milieu urbain et </w:t>
      </w:r>
      <w:r w:rsidR="009D2A50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d’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une perte de </w:t>
      </w:r>
      <w:r w:rsidR="00AC2ED6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34</w:t>
      </w: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.000 en milieu rural.</w:t>
      </w:r>
    </w:p>
    <w:p w:rsidR="00303C6A" w:rsidRPr="00194A61" w:rsidRDefault="008D2845" w:rsidP="006F19CD">
      <w:pPr>
        <w:autoSpaceDE w:val="0"/>
        <w:autoSpaceDN w:val="0"/>
        <w:bidi w:val="0"/>
        <w:adjustRightInd w:val="0"/>
        <w:spacing w:before="240" w:after="60"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Dans ce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contexte, les "services</w:t>
      </w:r>
      <w:r w:rsidR="005A17D4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"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ont bénéficié de 66.000 emplois, </w:t>
      </w:r>
      <w:r w:rsidR="002E0D1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l’"industrie y compris l'artisanat"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</w:t>
      </w:r>
      <w:r w:rsidR="004F31C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4</w:t>
      </w:r>
      <w:r w:rsidR="00FA11B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.000</w:t>
      </w:r>
      <w:r w:rsidR="00583F4A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,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le</w:t>
      </w:r>
      <w:r w:rsidR="005A17D4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s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 BTP</w:t>
      </w:r>
      <w:r w:rsidR="00FA11B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</w:t>
      </w:r>
      <w:r w:rsidR="004F31C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6</w:t>
      </w:r>
      <w:r w:rsidR="002E0D12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.000</w:t>
      </w:r>
      <w:r w:rsidR="00583F4A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contre une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perte de 58.000</w:t>
      </w:r>
      <w:r w:rsidR="00583F4A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dans </w:t>
      </w:r>
      <w:r w:rsidR="003515FD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le secteur de l’"agriculture, forêt et pêche"</w:t>
      </w:r>
      <w:r w:rsidR="00D2154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. </w:t>
      </w:r>
    </w:p>
    <w:p w:rsidR="00CE46EC" w:rsidRPr="00194A61" w:rsidRDefault="00CE46EC" w:rsidP="006F19CD">
      <w:pPr>
        <w:autoSpaceDE w:val="0"/>
        <w:autoSpaceDN w:val="0"/>
        <w:bidi w:val="0"/>
        <w:adjustRightInd w:val="0"/>
        <w:spacing w:before="240" w:after="60"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Avec une baisse de 73.000 personnes, 54.000 en milieu urbain et 19.000 en milieu rural, le volume global du chômage a atteint 1.041.000 personnes au niveau national</w:t>
      </w:r>
      <w:r w:rsidR="000E1C15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</w:p>
    <w:p w:rsidR="00CE46EC" w:rsidRPr="00194A61" w:rsidRDefault="00CE46EC" w:rsidP="006F19CD">
      <w:pPr>
        <w:pStyle w:val="Sansinterligne"/>
        <w:bidi w:val="0"/>
        <w:spacing w:before="240"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Le taux de chômage est ainsi passé, de 9,3% à 8,7% au niveau national, de 14,2% à 13,4% en milieu urbain et de 3,6% à 3,3% en milieu rural</w:t>
      </w:r>
      <w:r w:rsidR="000E1C15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.</w:t>
      </w:r>
    </w:p>
    <w:p w:rsidR="009B7BDC" w:rsidRPr="00194A61" w:rsidRDefault="00C56D59" w:rsidP="006F19CD">
      <w:pPr>
        <w:autoSpaceDE w:val="0"/>
        <w:autoSpaceDN w:val="0"/>
        <w:bidi w:val="0"/>
        <w:adjustRightInd w:val="0"/>
        <w:spacing w:before="240" w:after="60"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L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e taux de sous-emploi, </w:t>
      </w:r>
      <w:r w:rsidR="006C68BB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quant à lui</w:t>
      </w:r>
      <w:r w:rsidR="004D4F7E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, </w:t>
      </w:r>
      <w:r w:rsidR="005C6E59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s’est accru </w:t>
      </w:r>
      <w:r w:rsidR="006C68BB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de 0,4 </w:t>
      </w:r>
      <w:r w:rsidR="002A7861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point, passant de 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10</w:t>
      </w:r>
      <w:r w:rsidR="002A7861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,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4</w:t>
      </w:r>
      <w:r w:rsidR="002A7861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% 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à 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10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,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8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% au niveau national</w:t>
      </w:r>
      <w:r w:rsidR="001B6226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. Il est passé </w:t>
      </w:r>
      <w:r w:rsidR="00F75AF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de </w:t>
      </w:r>
      <w:r w:rsidR="006C68BB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9</w:t>
      </w:r>
      <w:r w:rsidR="00346C90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,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2</w:t>
      </w:r>
      <w:r w:rsidR="00F75AF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% à 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9,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7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% en milieu urbain et </w:t>
      </w:r>
      <w:r w:rsidR="00F75AF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de 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11</w:t>
      </w:r>
      <w:r w:rsidR="00346C90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,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7</w:t>
      </w:r>
      <w:r w:rsidR="00F75AF5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% à 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1</w:t>
      </w:r>
      <w:r w:rsidR="00CC2B98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2</w:t>
      </w:r>
      <w:r w:rsidR="009B7BDC" w:rsidRPr="00194A61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% en milieu rural.</w:t>
      </w:r>
    </w:p>
    <w:p w:rsidR="00EC47FF" w:rsidRDefault="00793DB9" w:rsidP="00BB1096">
      <w:pPr>
        <w:bidi w:val="0"/>
        <w:spacing w:line="440" w:lineRule="exact"/>
        <w:rPr>
          <w:rFonts w:asciiTheme="majorBidi" w:hAnsiTheme="majorBidi" w:cstheme="majorBidi"/>
          <w:b/>
          <w:bCs/>
          <w:noProof w:val="0"/>
          <w:color w:val="B33B69"/>
          <w:sz w:val="32"/>
          <w:szCs w:val="32"/>
        </w:rPr>
      </w:pPr>
      <w:r w:rsidRPr="00AA1B50">
        <w:rPr>
          <w:rFonts w:asciiTheme="majorBidi" w:hAnsiTheme="majorBidi" w:cstheme="majorBidi"/>
          <w:b/>
          <w:bCs/>
          <w:noProof w:val="0"/>
          <w:color w:val="B33B69"/>
          <w:sz w:val="32"/>
          <w:szCs w:val="32"/>
        </w:rPr>
        <w:br w:type="page"/>
      </w:r>
      <w:r w:rsidR="009B7BDC" w:rsidRPr="00AA1B50">
        <w:rPr>
          <w:rFonts w:asciiTheme="majorBidi" w:hAnsiTheme="majorBidi" w:cstheme="majorBidi"/>
          <w:b/>
          <w:bCs/>
          <w:noProof w:val="0"/>
          <w:color w:val="B33B69"/>
          <w:sz w:val="32"/>
          <w:szCs w:val="32"/>
        </w:rPr>
        <w:lastRenderedPageBreak/>
        <w:t>Situation et évolution du marché du travail</w:t>
      </w:r>
      <w:r w:rsidR="00EC47FF" w:rsidRPr="00AA1B50">
        <w:rPr>
          <w:rFonts w:asciiTheme="majorBidi" w:hAnsiTheme="majorBidi" w:cstheme="majorBidi"/>
          <w:b/>
          <w:bCs/>
          <w:noProof w:val="0"/>
          <w:color w:val="B33B69"/>
          <w:sz w:val="32"/>
          <w:szCs w:val="32"/>
        </w:rPr>
        <w:t xml:space="preserve"> entre le deuxième trimestre de 2014 et celui de 2015</w:t>
      </w:r>
    </w:p>
    <w:p w:rsidR="00BB1096" w:rsidRPr="00AA1B50" w:rsidRDefault="00BB1096" w:rsidP="00BB1096">
      <w:pPr>
        <w:bidi w:val="0"/>
        <w:rPr>
          <w:rFonts w:asciiTheme="majorBidi" w:hAnsiTheme="majorBidi" w:cstheme="majorBidi"/>
          <w:b/>
          <w:bCs/>
          <w:noProof w:val="0"/>
          <w:color w:val="B33B69"/>
          <w:sz w:val="32"/>
          <w:szCs w:val="32"/>
        </w:rPr>
      </w:pPr>
    </w:p>
    <w:p w:rsidR="0087218B" w:rsidRPr="00AA1B50" w:rsidRDefault="0087218B" w:rsidP="00BB1096">
      <w:pPr>
        <w:bidi w:val="0"/>
        <w:spacing w:line="220" w:lineRule="exact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Légère baisse des taux d’activité et d’emploi</w:t>
      </w:r>
    </w:p>
    <w:p w:rsidR="0087218B" w:rsidRPr="00AA1B50" w:rsidRDefault="0087218B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24"/>
          <w:szCs w:val="24"/>
        </w:rPr>
      </w:pPr>
    </w:p>
    <w:p w:rsidR="009B7BDC" w:rsidRPr="00AA1B50" w:rsidRDefault="001D6147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Avec 11.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464B5F" w:rsidRPr="00AA1B50">
        <w:rPr>
          <w:rFonts w:asciiTheme="majorBidi" w:hAnsiTheme="majorBidi" w:cstheme="majorBidi"/>
          <w:noProof w:val="0"/>
          <w:sz w:val="26"/>
          <w:szCs w:val="26"/>
        </w:rPr>
        <w:t>70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personnes, 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a population active âgée de 15 ans et plus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5C1E3E" w:rsidRPr="00AA1B50">
        <w:rPr>
          <w:rFonts w:asciiTheme="majorBidi" w:hAnsiTheme="majorBidi" w:cstheme="majorBidi"/>
          <w:noProof w:val="0"/>
          <w:sz w:val="26"/>
          <w:szCs w:val="26"/>
        </w:rPr>
        <w:t>a baissé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, entre le</w:t>
      </w:r>
      <w:r w:rsidR="006E461B" w:rsidRPr="00AA1B50">
        <w:rPr>
          <w:rFonts w:asciiTheme="majorBidi" w:hAnsiTheme="majorBidi" w:cstheme="majorBidi"/>
          <w:noProof w:val="0"/>
          <w:sz w:val="26"/>
          <w:szCs w:val="26"/>
        </w:rPr>
        <w:t>s</w:t>
      </w:r>
      <w:r w:rsidR="00464B5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deuxièmes</w:t>
      </w:r>
      <w:r w:rsidR="00464B5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trimestre</w:t>
      </w:r>
      <w:r w:rsidR="006E461B" w:rsidRPr="00AA1B50">
        <w:rPr>
          <w:rFonts w:asciiTheme="majorBidi" w:hAnsiTheme="majorBidi" w:cstheme="majorBidi"/>
          <w:noProof w:val="0"/>
          <w:sz w:val="26"/>
          <w:szCs w:val="26"/>
        </w:rPr>
        <w:t>s</w:t>
      </w:r>
      <w:r w:rsidR="00464B5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de 2014 et 2015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</w:t>
      </w:r>
      <w:r w:rsidR="004E6FB0" w:rsidRPr="00AA1B50">
        <w:rPr>
          <w:rFonts w:asciiTheme="majorBidi" w:hAnsiTheme="majorBidi" w:cstheme="majorBidi"/>
          <w:noProof w:val="0"/>
          <w:sz w:val="26"/>
          <w:szCs w:val="26"/>
        </w:rPr>
        <w:t>0,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% au niveau national (</w:t>
      </w:r>
      <w:r w:rsidR="009D2A50" w:rsidRPr="00AA1B50">
        <w:rPr>
          <w:rFonts w:asciiTheme="majorBidi" w:hAnsiTheme="majorBidi" w:cstheme="majorBidi"/>
          <w:noProof w:val="0"/>
          <w:sz w:val="26"/>
          <w:szCs w:val="26"/>
        </w:rPr>
        <w:t>-0,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D2A50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en milieu rural et 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+</w:t>
      </w:r>
      <w:r w:rsidR="00464B5F" w:rsidRPr="00AA1B50">
        <w:rPr>
          <w:rFonts w:asciiTheme="majorBidi" w:hAnsiTheme="majorBidi" w:cstheme="majorBidi"/>
          <w:noProof w:val="0"/>
          <w:sz w:val="26"/>
          <w:szCs w:val="26"/>
        </w:rPr>
        <w:t>0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% en milieu u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rbain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)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 </w:t>
      </w:r>
      <w:r w:rsidR="00D41611" w:rsidRPr="00AA1B50">
        <w:rPr>
          <w:rFonts w:asciiTheme="majorBidi" w:hAnsiTheme="majorBidi" w:cstheme="majorBidi"/>
          <w:noProof w:val="0"/>
          <w:sz w:val="26"/>
          <w:szCs w:val="26"/>
        </w:rPr>
        <w:t>La population en âge d’activité</w:t>
      </w:r>
      <w:r w:rsidR="009D2A50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D41611" w:rsidRPr="00AA1B50">
        <w:rPr>
          <w:rFonts w:asciiTheme="majorBidi" w:hAnsiTheme="majorBidi" w:cstheme="majorBidi"/>
          <w:noProof w:val="0"/>
          <w:sz w:val="26"/>
          <w:szCs w:val="26"/>
        </w:rPr>
        <w:t>s’est accrue</w:t>
      </w:r>
      <w:r w:rsidR="009D2A50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quant à elle, </w:t>
      </w:r>
      <w:r w:rsidR="00D41611" w:rsidRPr="00AA1B50">
        <w:rPr>
          <w:rFonts w:asciiTheme="majorBidi" w:hAnsiTheme="majorBidi" w:cstheme="majorBidi"/>
          <w:noProof w:val="0"/>
          <w:sz w:val="26"/>
          <w:szCs w:val="26"/>
        </w:rPr>
        <w:t xml:space="preserve"> de 1,5%. </w:t>
      </w:r>
      <w:r w:rsidR="00DB580E" w:rsidRPr="00AA1B50">
        <w:rPr>
          <w:rFonts w:asciiTheme="majorBidi" w:hAnsiTheme="majorBidi" w:cstheme="majorBidi"/>
          <w:noProof w:val="0"/>
          <w:sz w:val="26"/>
          <w:szCs w:val="26"/>
        </w:rPr>
        <w:t>Ainsi, l</w:t>
      </w:r>
      <w:r w:rsidR="00D41611" w:rsidRPr="00AA1B50">
        <w:rPr>
          <w:rFonts w:asciiTheme="majorBidi" w:hAnsiTheme="majorBidi" w:cstheme="majorBidi"/>
          <w:noProof w:val="0"/>
          <w:sz w:val="26"/>
          <w:szCs w:val="26"/>
        </w:rPr>
        <w:t>e taux d’activité</w:t>
      </w:r>
      <w:r w:rsidR="00E375D2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est passé</w:t>
      </w:r>
      <w:r w:rsidR="00014CF6" w:rsidRPr="00AA1B50">
        <w:rPr>
          <w:rFonts w:asciiTheme="majorBidi" w:hAnsiTheme="majorBidi" w:cstheme="majorBidi"/>
          <w:noProof w:val="0"/>
          <w:sz w:val="26"/>
          <w:szCs w:val="26"/>
        </w:rPr>
        <w:t>, entre les deux périodes,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de 4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à 4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>, enregistrant une diminution de 0,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B33A95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12"/>
          <w:szCs w:val="12"/>
        </w:rPr>
      </w:pPr>
    </w:p>
    <w:p w:rsidR="00E032BB" w:rsidRPr="00AA1B50" w:rsidRDefault="009D2A50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En matière d’emploi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125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d’emploi rémunérés ont été créés au cours de la période,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65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en milieu urbain et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60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>.000 en milieu rural. L’emploi non rémunéré, composé d</w:t>
      </w:r>
      <w:r w:rsidR="005A2F48" w:rsidRPr="00AA1B50">
        <w:rPr>
          <w:rFonts w:asciiTheme="majorBidi" w:hAnsiTheme="majorBidi" w:cstheme="majorBidi"/>
          <w:noProof w:val="0"/>
          <w:sz w:val="26"/>
          <w:szCs w:val="26"/>
        </w:rPr>
        <w:t>’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>e</w:t>
      </w:r>
      <w:r w:rsidR="005A2F48" w:rsidRPr="00AA1B50">
        <w:rPr>
          <w:rFonts w:asciiTheme="majorBidi" w:hAnsiTheme="majorBidi" w:cstheme="majorBidi"/>
          <w:noProof w:val="0"/>
          <w:sz w:val="26"/>
          <w:szCs w:val="26"/>
        </w:rPr>
        <w:t>nviron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 98% d’aides familiales, a </w:t>
      </w:r>
      <w:r w:rsidR="005F14B1" w:rsidRPr="00AA1B50">
        <w:rPr>
          <w:rFonts w:asciiTheme="majorBidi" w:hAnsiTheme="majorBidi" w:cstheme="majorBidi"/>
          <w:noProof w:val="0"/>
          <w:sz w:val="26"/>
          <w:szCs w:val="26"/>
        </w:rPr>
        <w:t xml:space="preserve">en revanche 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enregistré une baisse de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87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postes, 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résult</w:t>
      </w:r>
      <w:r w:rsidR="00F26A8C" w:rsidRPr="00AA1B50">
        <w:rPr>
          <w:rFonts w:asciiTheme="majorBidi" w:hAnsiTheme="majorBidi" w:cstheme="majorBidi"/>
          <w:noProof w:val="0"/>
          <w:sz w:val="26"/>
          <w:szCs w:val="26"/>
        </w:rPr>
        <w:t>a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 xml:space="preserve">t d’une </w:t>
      </w:r>
      <w:r w:rsidR="00F26A8C" w:rsidRPr="00AA1B50">
        <w:rPr>
          <w:rFonts w:asciiTheme="majorBidi" w:hAnsiTheme="majorBidi" w:cstheme="majorBidi"/>
          <w:noProof w:val="0"/>
          <w:sz w:val="26"/>
          <w:szCs w:val="26"/>
        </w:rPr>
        <w:t>perte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de 94.000 en zones rurales et </w:t>
      </w:r>
      <w:r w:rsidR="00F26A8C" w:rsidRPr="00AA1B50">
        <w:rPr>
          <w:rFonts w:asciiTheme="majorBidi" w:hAnsiTheme="majorBidi" w:cstheme="majorBidi"/>
          <w:noProof w:val="0"/>
          <w:sz w:val="26"/>
          <w:szCs w:val="26"/>
        </w:rPr>
        <w:t>d’</w:t>
      </w:r>
      <w:r w:rsidR="001573CC" w:rsidRPr="00AA1B50">
        <w:rPr>
          <w:rFonts w:asciiTheme="majorBidi" w:hAnsiTheme="majorBidi" w:cstheme="majorBidi"/>
          <w:noProof w:val="0"/>
          <w:sz w:val="26"/>
          <w:szCs w:val="26"/>
        </w:rPr>
        <w:t>une création de 7</w:t>
      </w:r>
      <w:r w:rsidR="00E032BB" w:rsidRPr="00AA1B50">
        <w:rPr>
          <w:rFonts w:asciiTheme="majorBidi" w:hAnsiTheme="majorBidi" w:cstheme="majorBidi"/>
          <w:noProof w:val="0"/>
          <w:sz w:val="26"/>
          <w:szCs w:val="26"/>
        </w:rPr>
        <w:t>.000 en zones urbaines</w:t>
      </w:r>
      <w:r w:rsidR="00E032BB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. </w:t>
      </w:r>
    </w:p>
    <w:p w:rsidR="009B7BDC" w:rsidRPr="00AA1B50" w:rsidRDefault="009B7BDC" w:rsidP="00E032BB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</w:p>
    <w:p w:rsidR="009B7BDC" w:rsidRPr="00AA1B50" w:rsidRDefault="009B7BDC" w:rsidP="00C25F2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Figure 1 : Créations nettes d’emploi entre les </w:t>
      </w:r>
      <w:r w:rsidR="00C25F28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deuxièmes </w:t>
      </w:r>
      <w:r w:rsidR="005A2F48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trimestres de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201</w:t>
      </w:r>
      <w:r w:rsidR="005A2F48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4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 et 201</w:t>
      </w:r>
      <w:r w:rsidR="005A2F48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5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 </w:t>
      </w:r>
    </w:p>
    <w:p w:rsidR="00AA1B50" w:rsidRDefault="009B7BDC" w:rsidP="009B7BD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selon le milieu de résidence</w:t>
      </w:r>
      <w:r w:rsid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.</w:t>
      </w:r>
    </w:p>
    <w:p w:rsidR="00422303" w:rsidRPr="00AA1B50" w:rsidRDefault="00422303" w:rsidP="009B7BD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 w:val="0"/>
          <w:sz w:val="8"/>
          <w:szCs w:val="8"/>
          <w:highlight w:val="yellow"/>
        </w:rPr>
      </w:pPr>
    </w:p>
    <w:p w:rsidR="009B7BDC" w:rsidRPr="00AA1B50" w:rsidRDefault="00C25F28" w:rsidP="003C3F1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  <w:noProof w:val="0"/>
          <w:sz w:val="24"/>
          <w:szCs w:val="24"/>
          <w:highlight w:val="yellow"/>
        </w:rPr>
      </w:pPr>
      <w:r w:rsidRPr="00AA1B50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622290" cy="2293620"/>
            <wp:effectExtent l="19050" t="0" r="16510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5F28" w:rsidRPr="00AA1B50" w:rsidRDefault="00C25F28" w:rsidP="00C25F28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</w:rPr>
      </w:pPr>
    </w:p>
    <w:p w:rsidR="00F741F5" w:rsidRPr="00AA1B50" w:rsidRDefault="00F741F5" w:rsidP="00F741F5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</w:rPr>
      </w:pPr>
    </w:p>
    <w:p w:rsidR="00E0457E" w:rsidRPr="00AA1B50" w:rsidRDefault="00871AAB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Au total, avec la création de 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72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emplois en milieu urbain et la perte de 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34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en milieu rural, 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’économie marocaine a </w:t>
      </w:r>
      <w:r w:rsidR="006C142E" w:rsidRPr="00AA1B50">
        <w:rPr>
          <w:rFonts w:asciiTheme="majorBidi" w:hAnsiTheme="majorBidi" w:cstheme="majorBidi"/>
          <w:noProof w:val="0"/>
          <w:sz w:val="26"/>
          <w:szCs w:val="26"/>
        </w:rPr>
        <w:t xml:space="preserve">créé 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38</w:t>
      </w:r>
      <w:r w:rsidR="006C142E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nets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d’emploi. </w:t>
      </w:r>
      <w:r w:rsidR="00ED2D75" w:rsidRPr="00AA1B50">
        <w:rPr>
          <w:rFonts w:asciiTheme="majorBidi" w:hAnsiTheme="majorBidi" w:cstheme="majorBidi"/>
          <w:noProof w:val="0"/>
          <w:sz w:val="26"/>
          <w:szCs w:val="26"/>
        </w:rPr>
        <w:t>Le volume global de l’emploi est ainsi passé, entre les deux périodes, de 10.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891</w:t>
      </w:r>
      <w:r w:rsidR="00ED2D75" w:rsidRPr="00AA1B50">
        <w:rPr>
          <w:rFonts w:asciiTheme="majorBidi" w:hAnsiTheme="majorBidi" w:cstheme="majorBidi"/>
          <w:noProof w:val="0"/>
          <w:sz w:val="26"/>
          <w:szCs w:val="26"/>
        </w:rPr>
        <w:t>.000 à 10.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929</w:t>
      </w:r>
      <w:r w:rsidR="00ED2D75" w:rsidRPr="00AA1B50">
        <w:rPr>
          <w:rFonts w:asciiTheme="majorBidi" w:hAnsiTheme="majorBidi" w:cstheme="majorBidi"/>
          <w:noProof w:val="0"/>
          <w:sz w:val="26"/>
          <w:szCs w:val="26"/>
        </w:rPr>
        <w:t>.000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personnes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 </w:t>
      </w:r>
      <w:r w:rsidR="000D2029" w:rsidRPr="00AA1B50">
        <w:rPr>
          <w:rFonts w:asciiTheme="majorBidi" w:hAnsiTheme="majorBidi" w:cstheme="majorBidi"/>
          <w:noProof w:val="0"/>
          <w:sz w:val="26"/>
          <w:szCs w:val="26"/>
        </w:rPr>
        <w:t>Le taux d’emploi, quant à lui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0D2029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a reculé de 0,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 au niveau national, passant de 4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BD7FC2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à 4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C8588B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de 0,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 </w:t>
      </w:r>
      <w:r w:rsidR="0027596D" w:rsidRPr="00AA1B50">
        <w:rPr>
          <w:rFonts w:asciiTheme="majorBidi" w:hAnsiTheme="majorBidi" w:cstheme="majorBidi"/>
          <w:noProof w:val="0"/>
          <w:sz w:val="26"/>
          <w:szCs w:val="26"/>
        </w:rPr>
        <w:t>en milieu urbain et de 0,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27596D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 en milieu rural, passant respectivement 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de 36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,8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% à 3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7596D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% et de 5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% à 5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D1748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E0457E" w:rsidRPr="00AA1B50">
        <w:rPr>
          <w:rFonts w:asciiTheme="majorBidi" w:hAnsiTheme="majorBidi" w:cstheme="majorBidi"/>
          <w:noProof w:val="0"/>
          <w:sz w:val="26"/>
          <w:szCs w:val="26"/>
        </w:rPr>
        <w:t>%.</w:t>
      </w:r>
      <w:r w:rsidR="00ED2D75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</w:p>
    <w:p w:rsidR="009B7BDC" w:rsidRPr="00AA1B50" w:rsidRDefault="00A65CE8" w:rsidP="00BB1096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A l’exception du secteur de</w:t>
      </w:r>
      <w:r w:rsidR="00C87F1F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  <w:r w:rsidR="00C87F1F" w:rsidRPr="00AA1B50">
        <w:rPr>
          <w:rFonts w:asciiTheme="majorBidi" w:hAnsiTheme="majorBidi" w:cstheme="majorBidi"/>
          <w:b/>
          <w:bCs/>
          <w:noProof w:val="0"/>
          <w:color w:val="0070C0"/>
          <w:sz w:val="26"/>
          <w:szCs w:val="26"/>
        </w:rPr>
        <w:t>l’"agriculture, forêt et pêche" qui a perdu des emplois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, tous les autres </w:t>
      </w:r>
      <w:r w:rsidR="004726D3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secteur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s</w:t>
      </w:r>
      <w:r w:rsidR="004726D3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ont </w:t>
      </w:r>
      <w:r w:rsidR="00694793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vu leur volume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d’emploi</w:t>
      </w:r>
      <w:r w:rsidR="00694793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augmenter</w:t>
      </w:r>
      <w:r w:rsidR="009B7BDC"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 </w:t>
      </w:r>
    </w:p>
    <w:p w:rsidR="00EF7D4A" w:rsidRPr="00AA1B50" w:rsidRDefault="00EF7D4A" w:rsidP="00EF7D4A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12"/>
          <w:szCs w:val="12"/>
        </w:rPr>
      </w:pPr>
    </w:p>
    <w:p w:rsidR="009B7BDC" w:rsidRPr="00AA1B50" w:rsidRDefault="009B7BDC" w:rsidP="009B7BDC">
      <w:pPr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noProof w:val="0"/>
          <w:sz w:val="12"/>
          <w:szCs w:val="12"/>
        </w:rPr>
      </w:pPr>
    </w:p>
    <w:p w:rsidR="00C87F1F" w:rsidRPr="00AA1B50" w:rsidRDefault="00C87F1F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Le secteur des "services" a créé </w:t>
      </w:r>
      <w:r w:rsidR="00246186" w:rsidRPr="00AA1B50">
        <w:rPr>
          <w:rFonts w:asciiTheme="majorBidi" w:hAnsiTheme="majorBidi" w:cstheme="majorBidi"/>
          <w:noProof w:val="0"/>
          <w:sz w:val="26"/>
          <w:szCs w:val="26"/>
        </w:rPr>
        <w:t>66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postes d’emploi (+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% du volume d’emploi du secteur)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 xml:space="preserve">dont environ </w:t>
      </w:r>
      <w:r w:rsidR="002E5467" w:rsidRPr="00AA1B50">
        <w:rPr>
          <w:rFonts w:asciiTheme="majorBidi" w:hAnsiTheme="majorBidi" w:cstheme="majorBidi"/>
          <w:noProof w:val="0"/>
          <w:sz w:val="26"/>
          <w:szCs w:val="26"/>
        </w:rPr>
        <w:t xml:space="preserve">31.000 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par la branche du "</w:t>
      </w:r>
      <w:r w:rsidR="00145336" w:rsidRPr="00AA1B50">
        <w:rPr>
          <w:rFonts w:asciiTheme="majorBidi" w:hAnsiTheme="majorBidi" w:cstheme="majorBidi"/>
          <w:noProof w:val="0"/>
          <w:sz w:val="26"/>
          <w:szCs w:val="26"/>
        </w:rPr>
        <w:t>Commerce de détail hors magasin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 xml:space="preserve">",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contre une création </w:t>
      </w:r>
      <w:r w:rsidRPr="00AA1B50">
        <w:rPr>
          <w:rFonts w:asciiTheme="majorBidi" w:hAnsiTheme="majorBidi" w:cstheme="majorBidi"/>
          <w:color w:val="000000"/>
          <w:sz w:val="26"/>
          <w:szCs w:val="26"/>
        </w:rPr>
        <w:t xml:space="preserve">annuelle moyenne de </w:t>
      </w:r>
      <w:r w:rsidR="00F72275" w:rsidRPr="00AA1B50">
        <w:rPr>
          <w:rFonts w:asciiTheme="majorBidi" w:hAnsiTheme="majorBidi" w:cstheme="majorBidi"/>
          <w:color w:val="000000"/>
          <w:sz w:val="26"/>
          <w:szCs w:val="26"/>
        </w:rPr>
        <w:t>52</w:t>
      </w:r>
      <w:r w:rsidRPr="00AA1B50">
        <w:rPr>
          <w:rFonts w:asciiTheme="majorBidi" w:hAnsiTheme="majorBidi" w:cstheme="majorBidi"/>
          <w:color w:val="000000"/>
          <w:sz w:val="26"/>
          <w:szCs w:val="26"/>
        </w:rPr>
        <w:t>.000 au cours des trois dernières années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12"/>
          <w:szCs w:val="12"/>
        </w:rPr>
      </w:pPr>
    </w:p>
    <w:p w:rsidR="006C359E" w:rsidRPr="00AA1B50" w:rsidRDefault="00BF7C03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25593" w:rsidRPr="00AA1B50">
        <w:rPr>
          <w:rFonts w:asciiTheme="majorBidi" w:hAnsiTheme="majorBidi" w:cstheme="majorBidi"/>
          <w:noProof w:val="0"/>
          <w:sz w:val="26"/>
          <w:szCs w:val="26"/>
        </w:rPr>
        <w:t>e secteur de l</w:t>
      </w:r>
      <w:r w:rsidR="00C21D61" w:rsidRPr="00AA1B50">
        <w:rPr>
          <w:rFonts w:asciiTheme="majorBidi" w:hAnsiTheme="majorBidi" w:cstheme="majorBidi"/>
          <w:noProof w:val="0"/>
          <w:sz w:val="26"/>
          <w:szCs w:val="26"/>
        </w:rPr>
        <w:t xml:space="preserve">’"industrie" </w:t>
      </w:r>
      <w:r w:rsidR="00DE5373" w:rsidRPr="00AA1B50">
        <w:rPr>
          <w:rFonts w:asciiTheme="majorBidi" w:hAnsiTheme="majorBidi" w:cstheme="majorBidi"/>
          <w:noProof w:val="0"/>
          <w:sz w:val="26"/>
          <w:szCs w:val="26"/>
        </w:rPr>
        <w:t xml:space="preserve">qui comprend aussi l’artisanat </w:t>
      </w:r>
      <w:r w:rsidR="006C359E" w:rsidRPr="00AA1B50">
        <w:rPr>
          <w:rFonts w:asciiTheme="majorBidi" w:hAnsiTheme="majorBidi" w:cstheme="majorBidi"/>
          <w:noProof w:val="0"/>
          <w:sz w:val="26"/>
          <w:szCs w:val="26"/>
        </w:rPr>
        <w:t xml:space="preserve">a </w:t>
      </w:r>
      <w:r w:rsidR="00280596" w:rsidRPr="00AA1B50">
        <w:rPr>
          <w:rFonts w:asciiTheme="majorBidi" w:hAnsiTheme="majorBidi" w:cstheme="majorBidi"/>
          <w:noProof w:val="0"/>
          <w:sz w:val="26"/>
          <w:szCs w:val="26"/>
        </w:rPr>
        <w:t xml:space="preserve">connu la création de 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4F31C5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6C359E" w:rsidRPr="00AA1B50">
        <w:rPr>
          <w:rFonts w:asciiTheme="majorBidi" w:hAnsiTheme="majorBidi" w:cstheme="majorBidi"/>
          <w:noProof w:val="0"/>
          <w:sz w:val="26"/>
          <w:szCs w:val="26"/>
        </w:rPr>
        <w:t>.000 postes</w:t>
      </w:r>
      <w:r w:rsidR="00925593" w:rsidRPr="00AA1B50">
        <w:rPr>
          <w:rFonts w:asciiTheme="majorBidi" w:hAnsiTheme="majorBidi" w:cstheme="majorBidi"/>
          <w:noProof w:val="0"/>
          <w:sz w:val="26"/>
          <w:szCs w:val="26"/>
        </w:rPr>
        <w:t xml:space="preserve"> (+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925593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F72275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25593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%), dont environ </w:t>
      </w:r>
      <w:r w:rsidR="00EB5BAA" w:rsidRPr="00AA1B50">
        <w:rPr>
          <w:rFonts w:asciiTheme="majorBidi" w:hAnsiTheme="majorBidi" w:cstheme="majorBidi"/>
          <w:noProof w:val="0"/>
          <w:sz w:val="26"/>
          <w:szCs w:val="26"/>
        </w:rPr>
        <w:t>12</w:t>
      </w:r>
      <w:r w:rsidR="00925593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</w:t>
      </w:r>
      <w:r w:rsidR="00EB5BAA" w:rsidRPr="00AA1B50">
        <w:rPr>
          <w:rFonts w:asciiTheme="majorBidi" w:hAnsiTheme="majorBidi" w:cstheme="majorBidi"/>
          <w:noProof w:val="0"/>
          <w:sz w:val="26"/>
          <w:szCs w:val="26"/>
        </w:rPr>
        <w:t xml:space="preserve">en milieu rural, </w:t>
      </w:r>
      <w:r w:rsidR="006C359E" w:rsidRPr="00AA1B50">
        <w:rPr>
          <w:rFonts w:asciiTheme="majorBidi" w:hAnsiTheme="majorBidi" w:cstheme="majorBidi"/>
          <w:noProof w:val="0"/>
          <w:sz w:val="26"/>
          <w:szCs w:val="26"/>
        </w:rPr>
        <w:t xml:space="preserve">contre une </w:t>
      </w:r>
      <w:r w:rsidR="00DA4D15" w:rsidRPr="00AA1B50">
        <w:rPr>
          <w:rFonts w:asciiTheme="majorBidi" w:hAnsiTheme="majorBidi" w:cstheme="majorBidi"/>
          <w:noProof w:val="0"/>
          <w:sz w:val="26"/>
          <w:szCs w:val="26"/>
        </w:rPr>
        <w:t>perte</w:t>
      </w:r>
      <w:r w:rsidR="006C359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6C359E" w:rsidRPr="00AA1B50">
        <w:rPr>
          <w:rFonts w:asciiTheme="majorBidi" w:hAnsiTheme="majorBidi" w:cstheme="majorBidi"/>
          <w:color w:val="000000"/>
          <w:sz w:val="26"/>
          <w:szCs w:val="26"/>
        </w:rPr>
        <w:t xml:space="preserve">annuelle moyenne de </w:t>
      </w:r>
      <w:r w:rsidR="00DA4D15" w:rsidRPr="00AA1B50">
        <w:rPr>
          <w:rFonts w:asciiTheme="majorBidi" w:hAnsiTheme="majorBidi" w:cstheme="majorBidi"/>
          <w:color w:val="000000"/>
          <w:sz w:val="26"/>
          <w:szCs w:val="26"/>
        </w:rPr>
        <w:t>4</w:t>
      </w:r>
      <w:r w:rsidR="006C359E" w:rsidRPr="00AA1B50">
        <w:rPr>
          <w:rFonts w:asciiTheme="majorBidi" w:hAnsiTheme="majorBidi" w:cstheme="majorBidi"/>
          <w:color w:val="000000"/>
          <w:sz w:val="26"/>
          <w:szCs w:val="26"/>
        </w:rPr>
        <w:t>.000 emplois au cours des trois dernières années</w:t>
      </w:r>
      <w:r w:rsidR="006C359E" w:rsidRPr="00AA1B50">
        <w:rPr>
          <w:rFonts w:asciiTheme="majorBidi" w:hAnsiTheme="majorBidi" w:cstheme="majorBidi"/>
          <w:noProof w:val="0"/>
          <w:sz w:val="26"/>
          <w:szCs w:val="26"/>
        </w:rPr>
        <w:t xml:space="preserve">. </w:t>
      </w:r>
    </w:p>
    <w:p w:rsidR="00FF36C0" w:rsidRPr="00AA1B50" w:rsidRDefault="00FF36C0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12"/>
          <w:szCs w:val="12"/>
        </w:rPr>
      </w:pPr>
    </w:p>
    <w:p w:rsidR="00D5303B" w:rsidRPr="00AA1B50" w:rsidRDefault="00F72275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Le secteur 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des BTP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a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créé 1</w:t>
      </w:r>
      <w:r w:rsidR="004F31C5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emplois (+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%)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, dont 1</w:t>
      </w:r>
      <w:r w:rsidR="004F31C5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.000 en milieu rural,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 xml:space="preserve">contre une création </w:t>
      </w:r>
      <w:r w:rsidR="00D5303B" w:rsidRPr="00AA1B50">
        <w:rPr>
          <w:rFonts w:asciiTheme="majorBidi" w:hAnsiTheme="majorBidi" w:cstheme="majorBidi"/>
          <w:color w:val="000000"/>
          <w:sz w:val="26"/>
          <w:szCs w:val="26"/>
        </w:rPr>
        <w:t>annuelle moyenne de 3.000 au cours des trois dernières années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noProof w:val="0"/>
          <w:sz w:val="12"/>
          <w:szCs w:val="12"/>
        </w:rPr>
      </w:pPr>
    </w:p>
    <w:p w:rsidR="002B629F" w:rsidRPr="00AA1B50" w:rsidRDefault="00444B04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2B629F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secteur 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l’"agriculture, forêt et pêche" </w:t>
      </w:r>
      <w:r w:rsidR="00DB6160" w:rsidRPr="00AA1B50">
        <w:rPr>
          <w:rFonts w:asciiTheme="majorBidi" w:hAnsiTheme="majorBidi" w:cstheme="majorBidi"/>
          <w:noProof w:val="0"/>
          <w:sz w:val="26"/>
          <w:szCs w:val="26"/>
        </w:rPr>
        <w:t>a</w:t>
      </w:r>
      <w:r w:rsidR="00B4492B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DB6160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BE5A69" w:rsidRPr="00AA1B50">
        <w:rPr>
          <w:rFonts w:asciiTheme="majorBidi" w:hAnsiTheme="majorBidi" w:cstheme="majorBidi"/>
          <w:noProof w:val="0"/>
          <w:sz w:val="26"/>
          <w:szCs w:val="26"/>
        </w:rPr>
        <w:t>au contraire</w:t>
      </w:r>
      <w:r w:rsidR="00B4492B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BE5A69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DB6160" w:rsidRPr="00AA1B50">
        <w:rPr>
          <w:rFonts w:asciiTheme="majorBidi" w:hAnsiTheme="majorBidi" w:cstheme="majorBidi"/>
          <w:noProof w:val="0"/>
          <w:sz w:val="26"/>
          <w:szCs w:val="26"/>
        </w:rPr>
        <w:t xml:space="preserve">connu une </w:t>
      </w:r>
      <w:r w:rsidR="00D5303B" w:rsidRPr="00AA1B50">
        <w:rPr>
          <w:rFonts w:asciiTheme="majorBidi" w:hAnsiTheme="majorBidi" w:cstheme="majorBidi"/>
          <w:noProof w:val="0"/>
          <w:sz w:val="26"/>
          <w:szCs w:val="26"/>
        </w:rPr>
        <w:t>perte de 58.000 postes d’emploi, après une perte de 6.000 emplois en 2014 et une création de 137.000 postes en 2013</w:t>
      </w:r>
      <w:r w:rsidR="002B629F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</w:p>
    <w:p w:rsidR="0072069C" w:rsidRPr="00AA1B50" w:rsidRDefault="0072069C" w:rsidP="0072069C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12"/>
          <w:szCs w:val="12"/>
        </w:rPr>
      </w:pPr>
    </w:p>
    <w:p w:rsidR="00CA34D5" w:rsidRPr="00AA1B50" w:rsidRDefault="00CA34D5" w:rsidP="00CA34D5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b/>
          <w:bCs/>
          <w:noProof w:val="0"/>
          <w:sz w:val="8"/>
          <w:szCs w:val="8"/>
        </w:rPr>
      </w:pPr>
    </w:p>
    <w:p w:rsidR="00732456" w:rsidRPr="00AA1B50" w:rsidRDefault="009B7BDC" w:rsidP="007D603B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Figure 2. Créations nettes d’emploi </w:t>
      </w:r>
      <w:r w:rsidR="002E5467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entre les deuxièmes</w:t>
      </w:r>
      <w:r w:rsidR="002E5467" w:rsidRPr="00AA1B50">
        <w:rPr>
          <w:rFonts w:asciiTheme="majorBidi" w:hAnsiTheme="majorBidi" w:cstheme="majorBidi"/>
          <w:b/>
          <w:bCs/>
          <w:noProof w:val="0"/>
          <w:sz w:val="24"/>
          <w:szCs w:val="24"/>
        </w:rPr>
        <w:t xml:space="preserve"> </w:t>
      </w:r>
      <w:r w:rsidR="002E5467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trimestres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par secteur d’activité économique et milieu de résidence</w:t>
      </w:r>
    </w:p>
    <w:p w:rsidR="009B7BDC" w:rsidRPr="00AA1B50" w:rsidRDefault="009B7BDC" w:rsidP="00732456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sz w:val="8"/>
          <w:szCs w:val="8"/>
        </w:rPr>
      </w:pPr>
    </w:p>
    <w:p w:rsidR="009B7BDC" w:rsidRPr="00AA1B50" w:rsidRDefault="004F31C5" w:rsidP="007D603B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</w:rPr>
      </w:pPr>
      <w:r w:rsidRPr="00AA1B50">
        <w:rPr>
          <w:rFonts w:asciiTheme="majorBidi" w:hAnsiTheme="majorBidi" w:cstheme="majorBidi"/>
        </w:rPr>
        <w:drawing>
          <wp:inline distT="0" distB="0" distL="0" distR="0">
            <wp:extent cx="5972810" cy="2339340"/>
            <wp:effectExtent l="19050" t="0" r="27940" b="3810"/>
            <wp:docPr id="1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41F5" w:rsidRPr="00AA1B50" w:rsidRDefault="00F741F5" w:rsidP="00F741F5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6"/>
          <w:szCs w:val="6"/>
        </w:rPr>
      </w:pPr>
    </w:p>
    <w:p w:rsidR="00F741F5" w:rsidRPr="00AA1B50" w:rsidRDefault="00F741F5" w:rsidP="00F741F5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6"/>
          <w:szCs w:val="6"/>
        </w:rPr>
      </w:pPr>
    </w:p>
    <w:p w:rsidR="00F741F5" w:rsidRPr="00AA1B50" w:rsidRDefault="00F741F5" w:rsidP="00F741F5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6"/>
          <w:szCs w:val="6"/>
        </w:rPr>
      </w:pPr>
    </w:p>
    <w:p w:rsidR="00F741F5" w:rsidRPr="00AA1B50" w:rsidRDefault="00F741F5" w:rsidP="00F741F5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6"/>
          <w:szCs w:val="6"/>
        </w:rPr>
      </w:pP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Par milieu de résidence, l’évolution de l’emploi selon les secteurs d’activité économique se présente comme suit : </w:t>
      </w: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b/>
          <w:bCs/>
          <w:noProof w:val="0"/>
          <w:sz w:val="26"/>
          <w:szCs w:val="26"/>
        </w:rPr>
        <w:t>En milieu urbain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, tous les secteurs </w:t>
      </w:r>
      <w:r w:rsidR="0080168E" w:rsidRPr="00AA1B50">
        <w:rPr>
          <w:rFonts w:asciiTheme="majorBidi" w:hAnsiTheme="majorBidi" w:cstheme="majorBidi"/>
          <w:noProof w:val="0"/>
          <w:sz w:val="26"/>
          <w:szCs w:val="26"/>
        </w:rPr>
        <w:t xml:space="preserve">d’activité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ont 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>connu des créations d’emploi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:</w:t>
      </w:r>
    </w:p>
    <w:p w:rsidR="009B7BDC" w:rsidRPr="00AA1B50" w:rsidRDefault="0001088A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65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dans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les "services"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(+</w:t>
      </w:r>
      <w:r w:rsidR="00777E3D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du volume d’emploi du secteur); </w:t>
      </w:r>
      <w:r w:rsidR="0001609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</w:p>
    <w:p w:rsidR="009B7BDC" w:rsidRPr="00AA1B50" w:rsidRDefault="0001088A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dans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l’"agriculture, forêt et pêche"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(+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%);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 </w:t>
      </w:r>
    </w:p>
    <w:p w:rsidR="008B2D86" w:rsidRPr="00AA1B50" w:rsidRDefault="0001088A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dans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l’"industrie y compris l'artisanat"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(+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0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>%) ;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 </w:t>
      </w:r>
    </w:p>
    <w:p w:rsidR="008B2D86" w:rsidRPr="00AA1B50" w:rsidRDefault="0001088A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dans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les BTP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(+</w:t>
      </w:r>
      <w:r w:rsidR="002447AE" w:rsidRPr="00AA1B50">
        <w:rPr>
          <w:rFonts w:asciiTheme="majorBidi" w:hAnsiTheme="majorBidi" w:cstheme="majorBidi"/>
          <w:noProof w:val="0"/>
          <w:sz w:val="26"/>
          <w:szCs w:val="26"/>
        </w:rPr>
        <w:t>0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8B2D86" w:rsidRPr="00AA1B50">
        <w:rPr>
          <w:rFonts w:asciiTheme="majorBidi" w:hAnsiTheme="majorBidi" w:cstheme="majorBidi"/>
          <w:noProof w:val="0"/>
          <w:sz w:val="26"/>
          <w:szCs w:val="26"/>
        </w:rPr>
        <w:t>%)</w:t>
      </w:r>
      <w:r w:rsidR="002447AE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 </w:t>
      </w:r>
    </w:p>
    <w:p w:rsidR="00B54E55" w:rsidRPr="00AA1B50" w:rsidRDefault="00B54E55" w:rsidP="00B54E55">
      <w:pPr>
        <w:autoSpaceDE w:val="0"/>
        <w:autoSpaceDN w:val="0"/>
        <w:bidi w:val="0"/>
        <w:adjustRightInd w:val="0"/>
        <w:spacing w:line="276" w:lineRule="auto"/>
        <w:rPr>
          <w:rFonts w:asciiTheme="majorBidi" w:hAnsiTheme="majorBidi" w:cstheme="majorBidi"/>
          <w:noProof w:val="0"/>
          <w:sz w:val="12"/>
          <w:szCs w:val="12"/>
        </w:rPr>
      </w:pPr>
    </w:p>
    <w:p w:rsidR="009B7BDC" w:rsidRPr="00AA1B50" w:rsidRDefault="009B7BDC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b/>
          <w:bCs/>
          <w:noProof w:val="0"/>
          <w:sz w:val="26"/>
          <w:szCs w:val="26"/>
        </w:rPr>
        <w:t xml:space="preserve">En milieu rural, 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 xml:space="preserve">à l’exception du 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secteur de l’"agriculture, forêt et pêche" qui a 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perdu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61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d’emploi, </w:t>
      </w:r>
      <w:r w:rsidR="00D16A36" w:rsidRPr="00AA1B50">
        <w:rPr>
          <w:rFonts w:asciiTheme="majorBidi" w:hAnsiTheme="majorBidi" w:cstheme="majorBidi"/>
          <w:noProof w:val="0"/>
          <w:sz w:val="26"/>
          <w:szCs w:val="26"/>
        </w:rPr>
        <w:t>correspond</w:t>
      </w:r>
      <w:r w:rsidR="00DC4FEE" w:rsidRPr="00AA1B50">
        <w:rPr>
          <w:rFonts w:asciiTheme="majorBidi" w:hAnsiTheme="majorBidi" w:cstheme="majorBidi"/>
          <w:noProof w:val="0"/>
          <w:sz w:val="26"/>
          <w:szCs w:val="26"/>
        </w:rPr>
        <w:t>ant</w:t>
      </w:r>
      <w:r w:rsidR="00D16A3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>à un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e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 xml:space="preserve">baisse 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>% du volume de l’emploi du secteur, tous les autres secteurs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ont vu leur volume d’emploi </w:t>
      </w:r>
      <w:r w:rsidR="002B716F" w:rsidRPr="00AA1B50">
        <w:rPr>
          <w:rFonts w:asciiTheme="majorBidi" w:hAnsiTheme="majorBidi" w:cstheme="majorBidi"/>
          <w:noProof w:val="0"/>
          <w:sz w:val="26"/>
          <w:szCs w:val="26"/>
        </w:rPr>
        <w:t>augmenter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:</w:t>
      </w:r>
    </w:p>
    <w:p w:rsidR="00090934" w:rsidRPr="00AA1B50" w:rsidRDefault="002B716F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4F31C5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postes dans le secteur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 de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l’"industrie y compris l'artisanat"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>(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+6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090934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du volume de l’emploi du secteur); </w:t>
      </w:r>
    </w:p>
    <w:p w:rsidR="002B716F" w:rsidRPr="00AA1B50" w:rsidRDefault="002B716F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4F31C5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dans le secteur des BTP (+3,6%);</w:t>
      </w:r>
    </w:p>
    <w:p w:rsidR="003C2899" w:rsidRPr="00AA1B50" w:rsidRDefault="002B716F" w:rsidP="00110B6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dans celui de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des "services"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 xml:space="preserve"> (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+0,1</w:t>
      </w:r>
      <w:r w:rsidR="003C2899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%). </w:t>
      </w:r>
    </w:p>
    <w:p w:rsidR="00370F71" w:rsidRPr="00AA1B50" w:rsidRDefault="00370F71" w:rsidP="00C21E24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</w:p>
    <w:p w:rsidR="007F7C47" w:rsidRDefault="009B7BDC" w:rsidP="00110B63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Situation, évolution et principales caractéristiques du chômage</w:t>
      </w:r>
    </w:p>
    <w:p w:rsidR="009B7BDC" w:rsidRPr="00AA1B50" w:rsidRDefault="009B7BDC" w:rsidP="007F7C47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14"/>
          <w:szCs w:val="14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 xml:space="preserve"> </w:t>
      </w:r>
    </w:p>
    <w:p w:rsidR="00AA1B50" w:rsidRDefault="003D37FE" w:rsidP="006257C2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Avec une baisse de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73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>personnes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54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en milieu urbain et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19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en milieu rural, </w:t>
      </w:r>
      <w:r w:rsidR="00F317A4"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a population active en chômage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est passée, entre le </w:t>
      </w:r>
      <w:r w:rsidR="004542B8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deuxième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trimestre de l’année 2014 et celui de 2015, de 1.1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14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.000 à 1.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041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chômeurs, enregistrant une baisse de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F317A4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9B7BDC" w:rsidRPr="00AA1B50">
        <w:rPr>
          <w:rFonts w:asciiTheme="majorBidi" w:hAnsiTheme="majorBidi" w:cstheme="majorBidi"/>
          <w:noProof w:val="0"/>
          <w:color w:val="0000FF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au niveau national. </w:t>
      </w:r>
      <w:r w:rsidR="007277B9"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taux de chômage est </w:t>
      </w:r>
      <w:r w:rsidR="007277B9" w:rsidRPr="00AA1B50">
        <w:rPr>
          <w:rFonts w:asciiTheme="majorBidi" w:hAnsiTheme="majorBidi" w:cstheme="majorBidi"/>
          <w:noProof w:val="0"/>
          <w:sz w:val="26"/>
          <w:szCs w:val="26"/>
        </w:rPr>
        <w:t xml:space="preserve">ainsi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passé</w:t>
      </w:r>
      <w:r w:rsidR="007277B9" w:rsidRPr="00AA1B50">
        <w:rPr>
          <w:rFonts w:asciiTheme="majorBidi" w:hAnsiTheme="majorBidi" w:cstheme="majorBidi"/>
          <w:noProof w:val="0"/>
          <w:sz w:val="26"/>
          <w:szCs w:val="26"/>
        </w:rPr>
        <w:t>, entre les deux périodes,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de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à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7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7277B9" w:rsidRPr="00AA1B50">
        <w:rPr>
          <w:rFonts w:asciiTheme="majorBidi" w:hAnsiTheme="majorBidi" w:cstheme="majorBidi"/>
          <w:noProof w:val="0"/>
          <w:sz w:val="26"/>
          <w:szCs w:val="26"/>
        </w:rPr>
        <w:t xml:space="preserve"> au niveau national,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de 1</w:t>
      </w:r>
      <w:r w:rsidR="00FD363F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F317A4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à 1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en milieu urbain et de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à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en milieu  rural.</w:t>
      </w:r>
    </w:p>
    <w:p w:rsidR="00110B63" w:rsidRDefault="00110B63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</w:p>
    <w:p w:rsidR="009B7BDC" w:rsidRDefault="009B7BDC" w:rsidP="006257C2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Les </w:t>
      </w:r>
      <w:r w:rsidR="00A97464" w:rsidRPr="00AA1B50">
        <w:rPr>
          <w:rFonts w:asciiTheme="majorBidi" w:hAnsiTheme="majorBidi" w:cstheme="majorBidi"/>
          <w:noProof w:val="0"/>
          <w:sz w:val="26"/>
          <w:szCs w:val="26"/>
        </w:rPr>
        <w:t>baisses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les plus importantes du taux de chômage ont été relevées</w:t>
      </w:r>
      <w:r w:rsidR="00A97464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parmi les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jeunes</w:t>
      </w:r>
      <w:r w:rsidR="00305CA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âgés de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25</w:t>
      </w:r>
      <w:r w:rsidR="00305CA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à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34</w:t>
      </w:r>
      <w:r w:rsidR="00305CA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ans (-1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,5</w:t>
      </w:r>
      <w:r w:rsidR="00305CA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point)</w:t>
      </w:r>
      <w:r w:rsidR="007456F0" w:rsidRPr="00AA1B50">
        <w:rPr>
          <w:rFonts w:asciiTheme="majorBidi" w:hAnsiTheme="majorBidi" w:cstheme="majorBidi"/>
          <w:noProof w:val="0"/>
          <w:sz w:val="26"/>
          <w:szCs w:val="26"/>
        </w:rPr>
        <w:t xml:space="preserve"> et </w:t>
      </w:r>
      <w:r w:rsidR="00305CAE" w:rsidRPr="00AA1B50">
        <w:rPr>
          <w:rFonts w:asciiTheme="majorBidi" w:hAnsiTheme="majorBidi" w:cstheme="majorBidi"/>
          <w:noProof w:val="0"/>
          <w:sz w:val="26"/>
          <w:szCs w:val="26"/>
        </w:rPr>
        <w:t xml:space="preserve">les </w:t>
      </w:r>
      <w:r w:rsidR="00A97464" w:rsidRPr="00AA1B50">
        <w:rPr>
          <w:rFonts w:asciiTheme="majorBidi" w:hAnsiTheme="majorBidi" w:cstheme="majorBidi"/>
          <w:noProof w:val="0"/>
          <w:sz w:val="26"/>
          <w:szCs w:val="26"/>
        </w:rPr>
        <w:t xml:space="preserve">personnes ayant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 xml:space="preserve">un </w:t>
      </w:r>
      <w:r w:rsidR="00A97464" w:rsidRPr="00AA1B50">
        <w:rPr>
          <w:rFonts w:asciiTheme="majorBidi" w:hAnsiTheme="majorBidi" w:cstheme="majorBidi"/>
          <w:noProof w:val="0"/>
          <w:sz w:val="26"/>
          <w:szCs w:val="26"/>
        </w:rPr>
        <w:t>diplôme</w:t>
      </w:r>
      <w:r w:rsidR="007456F0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C052CA" w:rsidRPr="00AA1B50">
        <w:rPr>
          <w:rFonts w:asciiTheme="majorBidi" w:hAnsiTheme="majorBidi" w:cstheme="majorBidi"/>
          <w:noProof w:val="0"/>
          <w:sz w:val="26"/>
          <w:szCs w:val="26"/>
        </w:rPr>
        <w:t>(</w:t>
      </w:r>
      <w:r w:rsidR="00A97464" w:rsidRPr="00AA1B50">
        <w:rPr>
          <w:rFonts w:asciiTheme="majorBidi" w:hAnsiTheme="majorBidi" w:cstheme="majorBidi"/>
          <w:noProof w:val="0"/>
          <w:sz w:val="26"/>
          <w:szCs w:val="26"/>
        </w:rPr>
        <w:t>-0</w:t>
      </w:r>
      <w:r w:rsidR="00C052CA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C052CA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point).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 Le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taux de chômage des jeunes âgés de 15 à 24 ans a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>, t</w:t>
      </w:r>
      <w:r w:rsidR="006257C2" w:rsidRPr="00AA1B50">
        <w:rPr>
          <w:rFonts w:asciiTheme="majorBidi" w:hAnsiTheme="majorBidi" w:cstheme="majorBidi"/>
          <w:noProof w:val="0"/>
          <w:sz w:val="26"/>
          <w:szCs w:val="26"/>
        </w:rPr>
        <w:t>outefois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enregistré une hausse de 1,3</w:t>
      </w:r>
      <w:r w:rsidR="00000B9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au niveau national, 2,2</w:t>
      </w:r>
      <w:r w:rsidR="00DF02A3">
        <w:rPr>
          <w:rFonts w:asciiTheme="majorBidi" w:hAnsiTheme="majorBidi" w:cstheme="majorBidi"/>
          <w:noProof w:val="0"/>
          <w:sz w:val="26"/>
          <w:szCs w:val="26"/>
        </w:rPr>
        <w:t xml:space="preserve"> points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en milieu urbain et 0,2</w:t>
      </w:r>
      <w:r w:rsidR="00000B9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point </w:t>
      </w:r>
      <w:r w:rsidR="008454FF" w:rsidRPr="00AA1B50">
        <w:rPr>
          <w:rFonts w:asciiTheme="majorBidi" w:hAnsiTheme="majorBidi" w:cstheme="majorBidi"/>
          <w:noProof w:val="0"/>
          <w:sz w:val="26"/>
          <w:szCs w:val="26"/>
        </w:rPr>
        <w:t>en milieu rural.</w:t>
      </w:r>
    </w:p>
    <w:p w:rsidR="00AA1B50" w:rsidRDefault="00AA1B50" w:rsidP="00FF7825">
      <w:pPr>
        <w:autoSpaceDE w:val="0"/>
        <w:autoSpaceDN w:val="0"/>
        <w:bidi w:val="0"/>
        <w:adjustRightInd w:val="0"/>
        <w:spacing w:after="12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</w:p>
    <w:p w:rsidR="00BE3938" w:rsidRPr="00AA1B50" w:rsidRDefault="00BE3938" w:rsidP="00AA1B50">
      <w:pPr>
        <w:autoSpaceDE w:val="0"/>
        <w:autoSpaceDN w:val="0"/>
        <w:bidi w:val="0"/>
        <w:adjustRightInd w:val="0"/>
        <w:spacing w:after="12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Figure 3 : Evolution du taux de chômage </w:t>
      </w:r>
      <w:r w:rsidR="001D7675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au</w:t>
      </w:r>
      <w:r w:rsidR="00FF7825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x</w:t>
      </w:r>
      <w:r w:rsidR="001D7675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 </w:t>
      </w:r>
      <w:r w:rsidR="00FF7825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deuxièmes trimestres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par milieu de résidence (en%)</w:t>
      </w:r>
    </w:p>
    <w:p w:rsidR="009B7BDC" w:rsidRPr="00AA1B50" w:rsidRDefault="00AE0737" w:rsidP="005B7D3B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noProof w:val="0"/>
          <w:sz w:val="24"/>
          <w:szCs w:val="24"/>
        </w:rPr>
      </w:pPr>
      <w:r w:rsidRPr="00AA1B50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716066" cy="2238451"/>
            <wp:effectExtent l="19050" t="0" r="17984" b="9449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0969" w:rsidRPr="00AA1B50" w:rsidRDefault="00080969" w:rsidP="00080969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noProof w:val="0"/>
          <w:sz w:val="8"/>
          <w:szCs w:val="8"/>
        </w:rPr>
      </w:pPr>
    </w:p>
    <w:p w:rsidR="00BE3938" w:rsidRPr="00AA1B50" w:rsidRDefault="00BE3938" w:rsidP="00BE3938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noProof w:val="0"/>
          <w:sz w:val="8"/>
          <w:szCs w:val="8"/>
        </w:rPr>
      </w:pPr>
    </w:p>
    <w:p w:rsidR="00AA1B50" w:rsidRDefault="00AA1B50" w:rsidP="00F73B6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6"/>
          <w:szCs w:val="26"/>
        </w:rPr>
      </w:pPr>
    </w:p>
    <w:p w:rsidR="00742E0E" w:rsidRDefault="00742E0E">
      <w:pPr>
        <w:bidi w:val="0"/>
        <w:rPr>
          <w:rFonts w:asciiTheme="majorBidi" w:hAnsiTheme="majorBidi" w:cstheme="majorBidi"/>
          <w:noProof w:val="0"/>
          <w:sz w:val="26"/>
          <w:szCs w:val="26"/>
        </w:rPr>
      </w:pPr>
      <w:r>
        <w:rPr>
          <w:rFonts w:asciiTheme="majorBidi" w:hAnsiTheme="majorBidi" w:cstheme="majorBidi"/>
          <w:noProof w:val="0"/>
          <w:sz w:val="26"/>
          <w:szCs w:val="26"/>
        </w:rPr>
        <w:br w:type="page"/>
      </w:r>
    </w:p>
    <w:p w:rsidR="006158A0" w:rsidRPr="00AA1B50" w:rsidRDefault="000D3D51" w:rsidP="00D76F88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chômage demeure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en particulier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élevé parmi les diplômés et les jeunes âgés de 15 à 24 ans</w:t>
      </w:r>
      <w:r w:rsidR="00D76F88">
        <w:rPr>
          <w:rFonts w:asciiTheme="majorBidi" w:hAnsiTheme="majorBidi" w:cstheme="majorBidi"/>
          <w:noProof w:val="0"/>
          <w:sz w:val="26"/>
          <w:szCs w:val="26"/>
        </w:rPr>
        <w:t>. C</w:t>
      </w:r>
      <w:r w:rsidR="00ED4A11" w:rsidRPr="00AA1B50">
        <w:rPr>
          <w:rFonts w:asciiTheme="majorBidi" w:hAnsiTheme="majorBidi" w:cstheme="majorBidi"/>
          <w:noProof w:val="0"/>
          <w:sz w:val="26"/>
          <w:szCs w:val="26"/>
        </w:rPr>
        <w:t>’est ainsi qu</w:t>
      </w:r>
      <w:r w:rsidR="00F73B69" w:rsidRPr="00AA1B50">
        <w:rPr>
          <w:rFonts w:asciiTheme="majorBidi" w:hAnsiTheme="majorBidi" w:cstheme="majorBidi"/>
          <w:noProof w:val="0"/>
          <w:sz w:val="26"/>
          <w:szCs w:val="26"/>
        </w:rPr>
        <w:t>’au deuxième trimestre 2015</w:t>
      </w:r>
      <w:r w:rsidR="00D76F88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7424CD"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taux de chômage </w:t>
      </w:r>
      <w:r w:rsidR="00F73B69" w:rsidRPr="00AA1B50">
        <w:rPr>
          <w:rFonts w:asciiTheme="majorBidi" w:hAnsiTheme="majorBidi" w:cstheme="majorBidi"/>
          <w:noProof w:val="0"/>
          <w:sz w:val="26"/>
          <w:szCs w:val="26"/>
        </w:rPr>
        <w:t xml:space="preserve">était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</w:t>
      </w:r>
      <w:r w:rsidR="00F73B69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F73B69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587F1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parmi les personnes sans diplôme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587F1E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</w:t>
      </w:r>
      <w:r w:rsidR="00F73B69" w:rsidRPr="00AA1B50">
        <w:rPr>
          <w:rFonts w:asciiTheme="majorBidi" w:hAnsiTheme="majorBidi" w:cstheme="majorBidi"/>
          <w:sz w:val="26"/>
          <w:szCs w:val="26"/>
        </w:rPr>
        <w:t>13,8</w:t>
      </w:r>
      <w:r w:rsidR="00587F1E" w:rsidRPr="00AA1B50">
        <w:rPr>
          <w:rFonts w:asciiTheme="majorBidi" w:hAnsiTheme="majorBidi" w:cstheme="majorBidi"/>
          <w:sz w:val="26"/>
          <w:szCs w:val="26"/>
        </w:rPr>
        <w:t xml:space="preserve">% parmi </w:t>
      </w:r>
      <w:r w:rsidR="00205B08" w:rsidRPr="00AA1B50">
        <w:rPr>
          <w:rFonts w:asciiTheme="majorBidi" w:hAnsiTheme="majorBidi" w:cstheme="majorBidi"/>
          <w:sz w:val="26"/>
          <w:szCs w:val="26"/>
        </w:rPr>
        <w:t xml:space="preserve">ceux ayant un </w:t>
      </w:r>
      <w:r w:rsidR="00587F1E" w:rsidRPr="00AA1B50">
        <w:rPr>
          <w:rFonts w:asciiTheme="majorBidi" w:hAnsiTheme="majorBidi" w:cstheme="majorBidi"/>
          <w:sz w:val="26"/>
          <w:szCs w:val="26"/>
        </w:rPr>
        <w:t>diplôm</w:t>
      </w:r>
      <w:r w:rsidR="00205B08" w:rsidRPr="00AA1B50">
        <w:rPr>
          <w:rFonts w:asciiTheme="majorBidi" w:hAnsiTheme="majorBidi" w:cstheme="majorBidi"/>
          <w:sz w:val="26"/>
          <w:szCs w:val="26"/>
        </w:rPr>
        <w:t xml:space="preserve">e </w:t>
      </w:r>
      <w:r w:rsidR="009B7BDC" w:rsidRPr="00AA1B50">
        <w:rPr>
          <w:rFonts w:asciiTheme="majorBidi" w:hAnsiTheme="majorBidi" w:cstheme="majorBidi"/>
          <w:sz w:val="26"/>
          <w:szCs w:val="26"/>
        </w:rPr>
        <w:t>de niveau moyen</w:t>
      </w:r>
      <w:r w:rsidR="00892C5F" w:rsidRPr="00AA1B50">
        <w:rPr>
          <w:rStyle w:val="Appelnotedebasdep"/>
          <w:rFonts w:asciiTheme="majorBidi" w:hAnsiTheme="majorBidi" w:cstheme="majorBidi"/>
          <w:b/>
          <w:bCs/>
          <w:sz w:val="26"/>
          <w:szCs w:val="26"/>
        </w:rPr>
        <w:footnoteReference w:id="1"/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 </w:t>
      </w:r>
      <w:r w:rsidR="005A57E6" w:rsidRPr="00AA1B50">
        <w:rPr>
          <w:rFonts w:asciiTheme="majorBidi" w:hAnsiTheme="majorBidi" w:cstheme="majorBidi"/>
          <w:sz w:val="26"/>
          <w:szCs w:val="26"/>
        </w:rPr>
        <w:t xml:space="preserve">au niveau desquels il </w:t>
      </w:r>
      <w:r w:rsidR="006257C2">
        <w:rPr>
          <w:rFonts w:asciiTheme="majorBidi" w:hAnsiTheme="majorBidi" w:cstheme="majorBidi"/>
          <w:sz w:val="26"/>
          <w:szCs w:val="26"/>
        </w:rPr>
        <w:t xml:space="preserve">a </w:t>
      </w:r>
      <w:r w:rsidR="00FD25BA" w:rsidRPr="00AA1B50">
        <w:rPr>
          <w:rFonts w:asciiTheme="majorBidi" w:hAnsiTheme="majorBidi" w:cstheme="majorBidi"/>
          <w:sz w:val="26"/>
          <w:szCs w:val="26"/>
        </w:rPr>
        <w:t>e</w:t>
      </w:r>
      <w:r w:rsidR="005A57E6" w:rsidRPr="00AA1B50">
        <w:rPr>
          <w:rFonts w:asciiTheme="majorBidi" w:hAnsiTheme="majorBidi" w:cstheme="majorBidi"/>
          <w:sz w:val="26"/>
          <w:szCs w:val="26"/>
        </w:rPr>
        <w:t>nre</w:t>
      </w:r>
      <w:r w:rsidR="00FD25BA" w:rsidRPr="00AA1B50">
        <w:rPr>
          <w:rFonts w:asciiTheme="majorBidi" w:hAnsiTheme="majorBidi" w:cstheme="majorBidi"/>
          <w:sz w:val="26"/>
          <w:szCs w:val="26"/>
        </w:rPr>
        <w:t>gistr</w:t>
      </w:r>
      <w:r w:rsidR="006257C2">
        <w:rPr>
          <w:rFonts w:asciiTheme="majorBidi" w:hAnsiTheme="majorBidi" w:cstheme="majorBidi"/>
          <w:sz w:val="26"/>
          <w:szCs w:val="26"/>
        </w:rPr>
        <w:t>é</w:t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 </w:t>
      </w:r>
      <w:r w:rsidR="00F73B69" w:rsidRPr="00AA1B50">
        <w:rPr>
          <w:rFonts w:asciiTheme="majorBidi" w:hAnsiTheme="majorBidi" w:cstheme="majorBidi"/>
          <w:sz w:val="26"/>
          <w:szCs w:val="26"/>
        </w:rPr>
        <w:t>19</w:t>
      </w:r>
      <w:r w:rsidR="00FD25BA" w:rsidRPr="00AA1B50">
        <w:rPr>
          <w:rFonts w:asciiTheme="majorBidi" w:hAnsiTheme="majorBidi" w:cstheme="majorBidi"/>
          <w:sz w:val="26"/>
          <w:szCs w:val="26"/>
        </w:rPr>
        <w:t>,</w:t>
      </w:r>
      <w:r w:rsidR="00F73B69" w:rsidRPr="00AA1B50">
        <w:rPr>
          <w:rFonts w:asciiTheme="majorBidi" w:hAnsiTheme="majorBidi" w:cstheme="majorBidi"/>
          <w:sz w:val="26"/>
          <w:szCs w:val="26"/>
        </w:rPr>
        <w:t>2</w:t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% </w:t>
      </w:r>
      <w:r w:rsidR="00205B08" w:rsidRPr="00AA1B50">
        <w:rPr>
          <w:rFonts w:asciiTheme="majorBidi" w:hAnsiTheme="majorBidi" w:cstheme="majorBidi"/>
          <w:sz w:val="26"/>
          <w:szCs w:val="26"/>
        </w:rPr>
        <w:t xml:space="preserve">parmi les </w:t>
      </w:r>
      <w:r w:rsidR="002D2075" w:rsidRPr="00AA1B50">
        <w:rPr>
          <w:rFonts w:asciiTheme="majorBidi" w:hAnsiTheme="majorBidi" w:cstheme="majorBidi"/>
          <w:sz w:val="26"/>
          <w:szCs w:val="26"/>
        </w:rPr>
        <w:t xml:space="preserve">actifs ayant un certificat </w:t>
      </w:r>
      <w:r w:rsidR="009B7BDC" w:rsidRPr="00AA1B50">
        <w:rPr>
          <w:rFonts w:asciiTheme="majorBidi" w:hAnsiTheme="majorBidi" w:cstheme="majorBidi"/>
          <w:sz w:val="26"/>
          <w:szCs w:val="26"/>
        </w:rPr>
        <w:t xml:space="preserve">de </w:t>
      </w:r>
      <w:r w:rsidR="00F73B69" w:rsidRPr="00AA1B50">
        <w:rPr>
          <w:rFonts w:asciiTheme="majorBidi" w:hAnsiTheme="majorBidi" w:cstheme="majorBidi"/>
          <w:sz w:val="26"/>
          <w:szCs w:val="26"/>
        </w:rPr>
        <w:t>qualification</w:t>
      </w:r>
      <w:r w:rsidR="009B7BDC" w:rsidRPr="00AA1B50">
        <w:rPr>
          <w:rFonts w:asciiTheme="majorBidi" w:hAnsiTheme="majorBidi" w:cstheme="majorBidi"/>
          <w:sz w:val="26"/>
          <w:szCs w:val="26"/>
        </w:rPr>
        <w:t xml:space="preserve"> professionnelle</w:t>
      </w:r>
      <w:r w:rsidR="001714EC" w:rsidRPr="00AA1B50">
        <w:rPr>
          <w:rFonts w:asciiTheme="majorBidi" w:hAnsiTheme="majorBidi" w:cstheme="majorBidi"/>
          <w:sz w:val="26"/>
          <w:szCs w:val="26"/>
        </w:rPr>
        <w:t>,</w:t>
      </w:r>
      <w:r w:rsidR="00205B08" w:rsidRPr="00AA1B50">
        <w:rPr>
          <w:rFonts w:asciiTheme="majorBidi" w:hAnsiTheme="majorBidi" w:cstheme="majorBidi"/>
          <w:sz w:val="26"/>
          <w:szCs w:val="26"/>
        </w:rPr>
        <w:t xml:space="preserve"> et </w:t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de </w:t>
      </w:r>
      <w:r w:rsidR="00F73B69" w:rsidRPr="00AA1B50">
        <w:rPr>
          <w:rFonts w:asciiTheme="majorBidi" w:hAnsiTheme="majorBidi" w:cstheme="majorBidi"/>
          <w:sz w:val="26"/>
          <w:szCs w:val="26"/>
        </w:rPr>
        <w:t>20</w:t>
      </w:r>
      <w:r w:rsidR="00614BAE" w:rsidRPr="00AA1B50">
        <w:rPr>
          <w:rFonts w:asciiTheme="majorBidi" w:hAnsiTheme="majorBidi" w:cstheme="majorBidi"/>
          <w:sz w:val="26"/>
          <w:szCs w:val="26"/>
        </w:rPr>
        <w:t>,</w:t>
      </w:r>
      <w:r w:rsidR="00F73B69" w:rsidRPr="00AA1B50">
        <w:rPr>
          <w:rFonts w:asciiTheme="majorBidi" w:hAnsiTheme="majorBidi" w:cstheme="majorBidi"/>
          <w:sz w:val="26"/>
          <w:szCs w:val="26"/>
        </w:rPr>
        <w:t>8</w:t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% parmi les detenteurs d’un diplôme </w:t>
      </w:r>
      <w:r w:rsidR="009B7BDC" w:rsidRPr="00AA1B50">
        <w:rPr>
          <w:rFonts w:asciiTheme="majorBidi" w:hAnsiTheme="majorBidi" w:cstheme="majorBidi"/>
          <w:sz w:val="26"/>
          <w:szCs w:val="26"/>
        </w:rPr>
        <w:t>de niveau supérieur</w:t>
      </w:r>
      <w:r w:rsidR="00892C5F" w:rsidRPr="00AA1B50">
        <w:rPr>
          <w:rStyle w:val="Appelnotedebasdep"/>
          <w:rFonts w:asciiTheme="majorBidi" w:hAnsiTheme="majorBidi" w:cstheme="majorBidi"/>
          <w:b/>
          <w:bCs/>
          <w:sz w:val="26"/>
          <w:szCs w:val="26"/>
        </w:rPr>
        <w:footnoteReference w:id="2"/>
      </w:r>
      <w:r w:rsidR="009B7BDC" w:rsidRPr="00AA1B50">
        <w:rPr>
          <w:rFonts w:asciiTheme="majorBidi" w:hAnsiTheme="majorBidi" w:cstheme="majorBidi"/>
          <w:sz w:val="26"/>
          <w:szCs w:val="26"/>
        </w:rPr>
        <w:t xml:space="preserve"> avec</w:t>
      </w:r>
      <w:r w:rsidR="00FD25BA" w:rsidRPr="00AA1B50">
        <w:rPr>
          <w:rFonts w:asciiTheme="majorBidi" w:hAnsiTheme="majorBidi" w:cstheme="majorBidi"/>
          <w:sz w:val="26"/>
          <w:szCs w:val="26"/>
        </w:rPr>
        <w:t xml:space="preserve"> en particulier un taux de </w:t>
      </w:r>
      <w:r w:rsidR="00205B08" w:rsidRPr="00AA1B50">
        <w:rPr>
          <w:rFonts w:asciiTheme="majorBidi" w:hAnsiTheme="majorBidi" w:cstheme="majorBidi"/>
          <w:sz w:val="26"/>
          <w:szCs w:val="26"/>
        </w:rPr>
        <w:t>2</w:t>
      </w:r>
      <w:r w:rsidR="00F73B69" w:rsidRPr="00AA1B50">
        <w:rPr>
          <w:rFonts w:asciiTheme="majorBidi" w:hAnsiTheme="majorBidi" w:cstheme="majorBidi"/>
          <w:sz w:val="26"/>
          <w:szCs w:val="26"/>
        </w:rPr>
        <w:t>3</w:t>
      </w:r>
      <w:r w:rsidR="00AD7EB5">
        <w:rPr>
          <w:rFonts w:asciiTheme="majorBidi" w:hAnsiTheme="majorBidi" w:cstheme="majorBidi"/>
          <w:sz w:val="26"/>
          <w:szCs w:val="26"/>
        </w:rPr>
        <w:t>,3</w:t>
      </w:r>
      <w:r w:rsidR="00205B08" w:rsidRPr="00AA1B50">
        <w:rPr>
          <w:rFonts w:asciiTheme="majorBidi" w:hAnsiTheme="majorBidi" w:cstheme="majorBidi"/>
          <w:sz w:val="26"/>
          <w:szCs w:val="26"/>
        </w:rPr>
        <w:t>% pour les lauréats d</w:t>
      </w:r>
      <w:r w:rsidR="005A57E6" w:rsidRPr="00AA1B50">
        <w:rPr>
          <w:rFonts w:asciiTheme="majorBidi" w:hAnsiTheme="majorBidi" w:cstheme="majorBidi"/>
          <w:sz w:val="26"/>
          <w:szCs w:val="26"/>
        </w:rPr>
        <w:t>es</w:t>
      </w:r>
      <w:r w:rsidR="00205B08" w:rsidRPr="00AA1B50">
        <w:rPr>
          <w:rFonts w:asciiTheme="majorBidi" w:hAnsiTheme="majorBidi" w:cstheme="majorBidi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sz w:val="26"/>
          <w:szCs w:val="26"/>
        </w:rPr>
        <w:t>facult</w:t>
      </w:r>
      <w:r w:rsidR="00205B08" w:rsidRPr="00AA1B50">
        <w:rPr>
          <w:rFonts w:asciiTheme="majorBidi" w:hAnsiTheme="majorBidi" w:cstheme="majorBidi"/>
          <w:sz w:val="26"/>
          <w:szCs w:val="26"/>
        </w:rPr>
        <w:t>é</w:t>
      </w:r>
      <w:r w:rsidR="005A57E6" w:rsidRPr="00AA1B50">
        <w:rPr>
          <w:rFonts w:asciiTheme="majorBidi" w:hAnsiTheme="majorBidi" w:cstheme="majorBidi"/>
          <w:sz w:val="26"/>
          <w:szCs w:val="26"/>
        </w:rPr>
        <w:t>s</w:t>
      </w:r>
      <w:r w:rsidR="009B7BDC" w:rsidRPr="00AA1B50">
        <w:rPr>
          <w:rFonts w:asciiTheme="majorBidi" w:hAnsiTheme="majorBidi" w:cstheme="majorBidi"/>
          <w:sz w:val="26"/>
          <w:szCs w:val="26"/>
        </w:rPr>
        <w:t>.</w:t>
      </w:r>
      <w:r w:rsidR="00742E0E">
        <w:rPr>
          <w:rFonts w:asciiTheme="majorBidi" w:hAnsiTheme="majorBidi" w:cstheme="majorBidi"/>
          <w:sz w:val="26"/>
          <w:szCs w:val="26"/>
        </w:rPr>
        <w:t xml:space="preserve"> </w:t>
      </w:r>
      <w:r w:rsidR="007424CD" w:rsidRPr="00AA1B50">
        <w:rPr>
          <w:rFonts w:asciiTheme="majorBidi" w:hAnsiTheme="majorBidi" w:cstheme="majorBidi"/>
          <w:noProof w:val="0"/>
          <w:sz w:val="26"/>
          <w:szCs w:val="26"/>
        </w:rPr>
        <w:t>I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 xml:space="preserve">l </w:t>
      </w:r>
      <w:r w:rsidR="00F73B69" w:rsidRPr="00AA1B50">
        <w:rPr>
          <w:rFonts w:asciiTheme="majorBidi" w:hAnsiTheme="majorBidi" w:cstheme="majorBidi"/>
          <w:noProof w:val="0"/>
          <w:sz w:val="26"/>
          <w:szCs w:val="26"/>
        </w:rPr>
        <w:t xml:space="preserve">était 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</w:t>
      </w:r>
      <w:r w:rsidR="007D5A6D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0</w:t>
      </w:r>
      <w:r w:rsidR="007D5A6D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7D5A6D" w:rsidRPr="00AA1B50">
        <w:rPr>
          <w:rFonts w:asciiTheme="majorBidi" w:hAnsiTheme="majorBidi" w:cstheme="majorBidi"/>
          <w:noProof w:val="0"/>
          <w:sz w:val="26"/>
          <w:szCs w:val="26"/>
        </w:rPr>
        <w:t>% parmi les jeunes âgés de 15 à 24 et de 3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7D5A6D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7D5A6D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parmi les citadins d’entre eux, contre 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9B572A" w:rsidRPr="00AA1B50">
        <w:rPr>
          <w:rFonts w:asciiTheme="majorBidi" w:hAnsiTheme="majorBidi" w:cstheme="majorBidi"/>
          <w:noProof w:val="0"/>
          <w:sz w:val="26"/>
          <w:szCs w:val="26"/>
        </w:rPr>
        <w:t>7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>% pour l</w:t>
      </w:r>
      <w:r w:rsidR="001C477B" w:rsidRPr="00AA1B50">
        <w:rPr>
          <w:rFonts w:asciiTheme="majorBidi" w:hAnsiTheme="majorBidi" w:cstheme="majorBidi"/>
          <w:noProof w:val="0"/>
          <w:sz w:val="26"/>
          <w:szCs w:val="26"/>
        </w:rPr>
        <w:t>’ensemble d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>es personnes âgé</w:t>
      </w:r>
      <w:r w:rsidR="0075120C" w:rsidRPr="00AA1B50">
        <w:rPr>
          <w:rFonts w:asciiTheme="majorBidi" w:hAnsiTheme="majorBidi" w:cstheme="majorBidi"/>
          <w:noProof w:val="0"/>
          <w:sz w:val="26"/>
          <w:szCs w:val="26"/>
        </w:rPr>
        <w:t>e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 xml:space="preserve">s </w:t>
      </w:r>
      <w:r w:rsidR="00ED4A11" w:rsidRPr="00AA1B50">
        <w:rPr>
          <w:rFonts w:asciiTheme="majorBidi" w:hAnsiTheme="majorBidi" w:cstheme="majorBidi"/>
          <w:noProof w:val="0"/>
          <w:sz w:val="26"/>
          <w:szCs w:val="26"/>
        </w:rPr>
        <w:t>de 15 ans et plus</w:t>
      </w:r>
      <w:r w:rsidR="006158A0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</w:p>
    <w:p w:rsidR="00E4634C" w:rsidRPr="00AA1B50" w:rsidRDefault="009B7BDC" w:rsidP="00F741F5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8"/>
          <w:szCs w:val="8"/>
        </w:rPr>
      </w:pPr>
      <w:r w:rsidRPr="00AA1B50">
        <w:rPr>
          <w:rFonts w:asciiTheme="majorBidi" w:hAnsiTheme="majorBidi" w:cstheme="majorBidi"/>
          <w:noProof w:val="0"/>
          <w:sz w:val="24"/>
          <w:szCs w:val="24"/>
        </w:rPr>
        <w:t xml:space="preserve"> </w:t>
      </w:r>
    </w:p>
    <w:p w:rsidR="009B7BDC" w:rsidRPr="00AA1B50" w:rsidRDefault="009B7BDC" w:rsidP="009B7BDC">
      <w:pPr>
        <w:autoSpaceDE w:val="0"/>
        <w:autoSpaceDN w:val="0"/>
        <w:bidi w:val="0"/>
        <w:adjustRightInd w:val="0"/>
        <w:ind w:left="360"/>
        <w:jc w:val="center"/>
        <w:rPr>
          <w:rFonts w:asciiTheme="majorBidi" w:hAnsiTheme="majorBidi" w:cstheme="majorBidi"/>
          <w:b/>
          <w:bCs/>
          <w:noProof w:val="0"/>
          <w:sz w:val="8"/>
          <w:szCs w:val="8"/>
        </w:rPr>
      </w:pPr>
    </w:p>
    <w:p w:rsidR="009B7BDC" w:rsidRPr="00AA1B50" w:rsidRDefault="009B7BDC" w:rsidP="001030F7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Figure 4 : Taux de chômage </w:t>
      </w:r>
      <w:r w:rsidR="00BC2577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aux deuxièmes trimestres</w:t>
      </w:r>
      <w:r w:rsidR="0086423E">
        <w:rPr>
          <w:rFonts w:asciiTheme="majorBidi" w:hAnsiTheme="majorBidi" w:cstheme="majorBidi" w:hint="cs"/>
          <w:b/>
          <w:bCs/>
          <w:noProof w:val="0"/>
          <w:color w:val="0070C0"/>
          <w:sz w:val="22"/>
          <w:szCs w:val="22"/>
          <w:rtl/>
        </w:rPr>
        <w:t xml:space="preserve"> </w:t>
      </w:r>
      <w:r w:rsidR="0086423E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de 2014 et de 2015</w:t>
      </w:r>
      <w:r w:rsidR="00BC2577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selon le diplôme (en %).</w:t>
      </w:r>
    </w:p>
    <w:p w:rsidR="006F3794" w:rsidRPr="00AA1B50" w:rsidRDefault="009B121C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A1B50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6287135" cy="1996440"/>
            <wp:effectExtent l="19050" t="0" r="18415" b="381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168E" w:rsidRPr="00AA1B50" w:rsidRDefault="0080168E" w:rsidP="005642FA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noProof w:val="0"/>
          <w:sz w:val="12"/>
          <w:szCs w:val="12"/>
        </w:rPr>
      </w:pPr>
    </w:p>
    <w:p w:rsidR="009B7BDC" w:rsidRPr="00AA1B50" w:rsidRDefault="00B40C98" w:rsidP="00955F0F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Par ailleurs</w:t>
      </w:r>
      <w:r w:rsidR="00D529CA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="003A243F" w:rsidRPr="00AA1B50">
        <w:rPr>
          <w:rFonts w:asciiTheme="majorBidi" w:hAnsiTheme="majorBidi" w:cstheme="majorBidi"/>
          <w:noProof w:val="0"/>
          <w:sz w:val="26"/>
          <w:szCs w:val="26"/>
        </w:rPr>
        <w:t xml:space="preserve">le profil des chômeurs au deuxième trimestre 2015 </w:t>
      </w:r>
      <w:r w:rsidR="00955F0F">
        <w:rPr>
          <w:rFonts w:asciiTheme="majorBidi" w:hAnsiTheme="majorBidi" w:cstheme="majorBidi"/>
          <w:noProof w:val="0"/>
          <w:sz w:val="26"/>
          <w:szCs w:val="26"/>
        </w:rPr>
        <w:t xml:space="preserve">se présente </w:t>
      </w:r>
      <w:r w:rsidR="003A243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comme suit</w:t>
      </w:r>
      <w:r w:rsidR="00955F0F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: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</w:p>
    <w:p w:rsidR="009B7BDC" w:rsidRPr="00AA1B50" w:rsidRDefault="00005BDF" w:rsidP="00110B63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plus</w:t>
      </w:r>
      <w:r w:rsidR="008C428E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de huit sur dix (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82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sont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citadins ;</w:t>
      </w:r>
    </w:p>
    <w:p w:rsidR="009B7BDC" w:rsidRPr="00AA1B50" w:rsidRDefault="00F23529" w:rsidP="00110B63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près des deux tiers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(6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sont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âgés de 15 à 29 ans ;</w:t>
      </w:r>
    </w:p>
    <w:p w:rsidR="009B7BDC" w:rsidRPr="00AA1B50" w:rsidRDefault="00B43912" w:rsidP="00110B63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plus 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trois sur dix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(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30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sont </w:t>
      </w:r>
      <w:r w:rsidR="00182B14" w:rsidRPr="00AA1B50">
        <w:rPr>
          <w:rFonts w:asciiTheme="majorBidi" w:hAnsiTheme="majorBidi" w:cstheme="majorBidi"/>
          <w:noProof w:val="0"/>
          <w:sz w:val="26"/>
          <w:szCs w:val="26"/>
        </w:rPr>
        <w:t>dét</w:t>
      </w:r>
      <w:r w:rsidR="00D529CA" w:rsidRPr="00AA1B50">
        <w:rPr>
          <w:rFonts w:asciiTheme="majorBidi" w:hAnsiTheme="majorBidi" w:cstheme="majorBidi"/>
          <w:noProof w:val="0"/>
          <w:sz w:val="26"/>
          <w:szCs w:val="26"/>
        </w:rPr>
        <w:t>enteurs d’</w:t>
      </w:r>
      <w:r w:rsidR="00182B14" w:rsidRPr="00AA1B50">
        <w:rPr>
          <w:rFonts w:asciiTheme="majorBidi" w:hAnsiTheme="majorBidi" w:cstheme="majorBidi"/>
          <w:noProof w:val="0"/>
          <w:sz w:val="26"/>
          <w:szCs w:val="26"/>
        </w:rPr>
        <w:t xml:space="preserve">un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diplôm</w:t>
      </w:r>
      <w:r w:rsidR="00182B14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 niveau supérieur ; </w:t>
      </w:r>
    </w:p>
    <w:p w:rsidR="009B7BDC" w:rsidRPr="00AA1B50" w:rsidRDefault="00005BDF" w:rsidP="00110B63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plus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de la moitié (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52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907C86">
        <w:rPr>
          <w:rFonts w:asciiTheme="majorBidi" w:hAnsiTheme="majorBidi" w:cstheme="majorBidi"/>
          <w:noProof w:val="0"/>
          <w:sz w:val="26"/>
          <w:szCs w:val="26"/>
        </w:rPr>
        <w:t xml:space="preserve">sont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primo-demandeurs d’emploi ; </w:t>
      </w:r>
    </w:p>
    <w:p w:rsidR="009B7BDC" w:rsidRPr="00AA1B50" w:rsidRDefault="00CE731B" w:rsidP="00110B63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plus 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des deux tiers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(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7</w:t>
      </w:r>
      <w:r w:rsidR="00B43912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005BDF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sont </w:t>
      </w:r>
      <w:r w:rsidR="00D529CA" w:rsidRPr="00AA1B50">
        <w:rPr>
          <w:rFonts w:asciiTheme="majorBidi" w:hAnsiTheme="majorBidi" w:cstheme="majorBidi"/>
          <w:noProof w:val="0"/>
          <w:sz w:val="26"/>
          <w:szCs w:val="26"/>
        </w:rPr>
        <w:t xml:space="preserve">en chômage </w:t>
      </w:r>
      <w:r w:rsidR="00D43119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depuis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une année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ou plus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 ;</w:t>
      </w:r>
    </w:p>
    <w:p w:rsidR="009B7BDC" w:rsidRPr="00AA1B50" w:rsidRDefault="009B7BDC" w:rsidP="006257C2">
      <w:pPr>
        <w:numPr>
          <w:ilvl w:val="0"/>
          <w:numId w:val="8"/>
        </w:num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près d</w:t>
      </w:r>
      <w:r w:rsidR="007D5E7D" w:rsidRPr="00AA1B50">
        <w:rPr>
          <w:rFonts w:asciiTheme="majorBidi" w:hAnsiTheme="majorBidi" w:cstheme="majorBidi"/>
          <w:noProof w:val="0"/>
          <w:sz w:val="26"/>
          <w:szCs w:val="26"/>
        </w:rPr>
        <w:t xml:space="preserve">u quart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(2</w:t>
      </w:r>
      <w:r w:rsidR="00266954" w:rsidRPr="00AA1B50">
        <w:rPr>
          <w:rFonts w:asciiTheme="majorBidi" w:hAnsiTheme="majorBidi" w:cstheme="majorBidi"/>
          <w:noProof w:val="0"/>
          <w:sz w:val="26"/>
          <w:szCs w:val="26"/>
        </w:rPr>
        <w:t>3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0816F5" w:rsidRPr="00AA1B50">
        <w:rPr>
          <w:rFonts w:asciiTheme="majorBidi" w:hAnsiTheme="majorBidi" w:cstheme="majorBidi"/>
          <w:noProof w:val="0"/>
          <w:sz w:val="26"/>
          <w:szCs w:val="26"/>
        </w:rPr>
        <w:t>6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%)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>sont en chômage</w:t>
      </w:r>
      <w:r w:rsidR="00D529CA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suite </w:t>
      </w:r>
      <w:r w:rsidR="00D43119" w:rsidRPr="00AA1B50">
        <w:rPr>
          <w:rFonts w:asciiTheme="majorBidi" w:hAnsiTheme="majorBidi" w:cstheme="majorBidi"/>
          <w:noProof w:val="0"/>
          <w:sz w:val="26"/>
          <w:szCs w:val="26"/>
        </w:rPr>
        <w:t xml:space="preserve">à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u</w:t>
      </w:r>
      <w:r w:rsidR="00D43119" w:rsidRPr="00AA1B50">
        <w:rPr>
          <w:rFonts w:asciiTheme="majorBidi" w:hAnsiTheme="majorBidi" w:cstheme="majorBidi"/>
          <w:noProof w:val="0"/>
          <w:sz w:val="26"/>
          <w:szCs w:val="26"/>
        </w:rPr>
        <w:t>n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licenciement ou à </w:t>
      </w:r>
      <w:r w:rsidR="004C23E4" w:rsidRPr="00AA1B50">
        <w:rPr>
          <w:rFonts w:asciiTheme="majorBidi" w:hAnsiTheme="majorBidi" w:cstheme="majorBidi"/>
          <w:noProof w:val="0"/>
          <w:sz w:val="26"/>
          <w:szCs w:val="26"/>
        </w:rPr>
        <w:t xml:space="preserve">un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arrêt de l’activité de l’établissement employeur. </w:t>
      </w:r>
    </w:p>
    <w:p w:rsidR="00667A70" w:rsidRPr="00AA1B50" w:rsidRDefault="00667A70" w:rsidP="00110B63">
      <w:pPr>
        <w:bidi w:val="0"/>
        <w:spacing w:line="312" w:lineRule="auto"/>
        <w:rPr>
          <w:rFonts w:asciiTheme="majorBidi" w:hAnsiTheme="majorBidi" w:cstheme="majorBidi"/>
          <w:b/>
          <w:bCs/>
          <w:noProof w:val="0"/>
          <w:color w:val="0070C0"/>
          <w:sz w:val="12"/>
          <w:szCs w:val="12"/>
        </w:rPr>
      </w:pPr>
    </w:p>
    <w:p w:rsidR="00370F71" w:rsidRPr="00AA1B50" w:rsidRDefault="00907C86" w:rsidP="00907C86">
      <w:pPr>
        <w:bidi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>
        <w:rPr>
          <w:rFonts w:asciiTheme="majorBidi" w:hAnsiTheme="majorBidi" w:cstheme="majorBidi"/>
          <w:noProof w:val="0"/>
          <w:sz w:val="26"/>
          <w:szCs w:val="26"/>
        </w:rPr>
        <w:t xml:space="preserve">D’un autre côté, il convient, cependant,  de  </w:t>
      </w:r>
      <w:r w:rsidR="003072C7" w:rsidRPr="00AA1B50">
        <w:rPr>
          <w:rFonts w:asciiTheme="majorBidi" w:hAnsiTheme="majorBidi" w:cstheme="majorBidi"/>
          <w:noProof w:val="0"/>
          <w:sz w:val="26"/>
          <w:szCs w:val="26"/>
        </w:rPr>
        <w:t xml:space="preserve">noter que la population active en chômage intègre également les personnes découragées par la recherche active d’emploi. </w:t>
      </w:r>
      <w:r w:rsidR="006D0CFB" w:rsidRPr="00AA1B50">
        <w:rPr>
          <w:rFonts w:asciiTheme="majorBidi" w:hAnsiTheme="majorBidi" w:cstheme="majorBidi"/>
          <w:noProof w:val="0"/>
          <w:sz w:val="26"/>
          <w:szCs w:val="26"/>
        </w:rPr>
        <w:t xml:space="preserve">Au </w:t>
      </w:r>
      <w:r w:rsidR="006E3206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deuxième </w:t>
      </w:r>
      <w:r w:rsidR="006D0CFB" w:rsidRPr="00AA1B50">
        <w:rPr>
          <w:rFonts w:asciiTheme="majorBidi" w:hAnsiTheme="majorBidi" w:cstheme="majorBidi"/>
          <w:noProof w:val="0"/>
          <w:sz w:val="26"/>
          <w:szCs w:val="26"/>
        </w:rPr>
        <w:t>trimestre 2015, l</w:t>
      </w:r>
      <w:r w:rsidR="003072C7" w:rsidRPr="00AA1B50">
        <w:rPr>
          <w:rFonts w:asciiTheme="majorBidi" w:hAnsiTheme="majorBidi" w:cstheme="majorBidi"/>
          <w:noProof w:val="0"/>
          <w:sz w:val="26"/>
          <w:szCs w:val="26"/>
        </w:rPr>
        <w:t xml:space="preserve">eur </w:t>
      </w:r>
      <w:r w:rsidR="00EA607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effectif </w:t>
      </w:r>
      <w:r w:rsidR="003072C7" w:rsidRPr="00AA1B50">
        <w:rPr>
          <w:rFonts w:asciiTheme="majorBidi" w:hAnsiTheme="majorBidi" w:cstheme="majorBidi"/>
          <w:noProof w:val="0"/>
          <w:sz w:val="26"/>
          <w:szCs w:val="26"/>
        </w:rPr>
        <w:t xml:space="preserve">a atteint </w:t>
      </w:r>
      <w:r w:rsidR="0089312E" w:rsidRPr="00AA1B50">
        <w:rPr>
          <w:rFonts w:asciiTheme="majorBidi" w:hAnsiTheme="majorBidi" w:cstheme="majorBidi"/>
          <w:noProof w:val="0"/>
          <w:sz w:val="26"/>
          <w:szCs w:val="26"/>
        </w:rPr>
        <w:t>52</w:t>
      </w:r>
      <w:r w:rsidR="003072C7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personnes, </w:t>
      </w:r>
      <w:r w:rsidR="008F7814" w:rsidRPr="00AA1B50">
        <w:rPr>
          <w:rFonts w:asciiTheme="majorBidi" w:hAnsiTheme="majorBidi" w:cstheme="majorBidi"/>
          <w:noProof w:val="0"/>
          <w:sz w:val="26"/>
          <w:szCs w:val="26"/>
        </w:rPr>
        <w:t xml:space="preserve">ce qui </w:t>
      </w:r>
      <w:r w:rsidR="00E254B2" w:rsidRPr="00AA1B50">
        <w:rPr>
          <w:rFonts w:asciiTheme="majorBidi" w:hAnsiTheme="majorBidi" w:cstheme="majorBidi"/>
          <w:noProof w:val="0"/>
          <w:sz w:val="26"/>
          <w:szCs w:val="26"/>
        </w:rPr>
        <w:t xml:space="preserve">correspond à </w:t>
      </w:r>
      <w:r w:rsidR="003F4A7E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72517B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54F54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E254B2" w:rsidRPr="00AA1B50">
        <w:rPr>
          <w:rFonts w:asciiTheme="majorBidi" w:hAnsiTheme="majorBidi" w:cstheme="majorBidi"/>
          <w:noProof w:val="0"/>
          <w:sz w:val="26"/>
          <w:szCs w:val="26"/>
        </w:rPr>
        <w:t>% du volume global du chômage</w:t>
      </w:r>
      <w:r w:rsidR="00F90451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A52744" w:rsidRPr="00AA1B50">
        <w:rPr>
          <w:rFonts w:asciiTheme="majorBidi" w:hAnsiTheme="majorBidi" w:cstheme="majorBidi"/>
          <w:noProof w:val="0"/>
          <w:sz w:val="26"/>
          <w:szCs w:val="26"/>
        </w:rPr>
        <w:t xml:space="preserve"> contre </w:t>
      </w:r>
      <w:r w:rsidR="00844394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72517B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844394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A52744" w:rsidRPr="00AA1B50">
        <w:rPr>
          <w:rFonts w:asciiTheme="majorBidi" w:hAnsiTheme="majorBidi" w:cstheme="majorBidi"/>
          <w:noProof w:val="0"/>
          <w:sz w:val="26"/>
          <w:szCs w:val="26"/>
        </w:rPr>
        <w:t>% une année auparavant.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3072C7" w:rsidRPr="00AA1B50">
        <w:rPr>
          <w:rFonts w:asciiTheme="majorBidi" w:hAnsiTheme="majorBidi" w:cstheme="majorBidi"/>
          <w:noProof w:val="0"/>
          <w:sz w:val="26"/>
          <w:szCs w:val="26"/>
        </w:rPr>
        <w:t xml:space="preserve">Ils sont 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 xml:space="preserve">à </w:t>
      </w:r>
      <w:r w:rsidR="00254F54" w:rsidRPr="00AA1B50">
        <w:rPr>
          <w:rFonts w:asciiTheme="majorBidi" w:hAnsiTheme="majorBidi" w:cstheme="majorBidi"/>
          <w:noProof w:val="0"/>
          <w:sz w:val="26"/>
          <w:szCs w:val="26"/>
        </w:rPr>
        <w:t>93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254F54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</w:t>
      </w:r>
      <w:r w:rsidR="00BF425F" w:rsidRPr="00AA1B50">
        <w:rPr>
          <w:rFonts w:asciiTheme="majorBidi" w:hAnsiTheme="majorBidi" w:cstheme="majorBidi"/>
          <w:noProof w:val="0"/>
          <w:sz w:val="26"/>
          <w:szCs w:val="26"/>
        </w:rPr>
        <w:t>citadins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 xml:space="preserve"> et à </w:t>
      </w:r>
      <w:r w:rsidR="00987527" w:rsidRPr="00AA1B50">
        <w:rPr>
          <w:rFonts w:asciiTheme="majorBidi" w:hAnsiTheme="majorBidi" w:cstheme="majorBidi"/>
          <w:noProof w:val="0"/>
          <w:sz w:val="26"/>
          <w:szCs w:val="26"/>
        </w:rPr>
        <w:t>60,</w:t>
      </w:r>
      <w:r w:rsidR="00254F54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>% masculin</w:t>
      </w:r>
      <w:r w:rsidR="00BF425F" w:rsidRPr="00AA1B50">
        <w:rPr>
          <w:rFonts w:asciiTheme="majorBidi" w:hAnsiTheme="majorBidi" w:cstheme="majorBidi"/>
          <w:noProof w:val="0"/>
          <w:sz w:val="26"/>
          <w:szCs w:val="26"/>
        </w:rPr>
        <w:t>s</w:t>
      </w:r>
      <w:r w:rsidR="002D1103" w:rsidRPr="00AA1B50">
        <w:rPr>
          <w:rFonts w:asciiTheme="majorBidi" w:hAnsiTheme="majorBidi" w:cstheme="majorBidi"/>
          <w:noProof w:val="0"/>
          <w:sz w:val="26"/>
          <w:szCs w:val="26"/>
        </w:rPr>
        <w:t>.</w:t>
      </w:r>
      <w:r w:rsidR="00987527" w:rsidRPr="00AA1B50">
        <w:rPr>
          <w:rFonts w:asciiTheme="majorBidi" w:hAnsiTheme="majorBidi" w:cstheme="majorBidi"/>
          <w:noProof w:val="0"/>
          <w:sz w:val="26"/>
          <w:szCs w:val="26"/>
        </w:rPr>
        <w:t xml:space="preserve">  </w:t>
      </w:r>
    </w:p>
    <w:p w:rsidR="009B7BDC" w:rsidRPr="00AA1B50" w:rsidRDefault="009B7BDC" w:rsidP="00742E0E">
      <w:pPr>
        <w:bidi w:val="0"/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8"/>
          <w:szCs w:val="28"/>
        </w:rPr>
        <w:t>Situation et évolution du sous emploi</w:t>
      </w:r>
    </w:p>
    <w:p w:rsidR="0038586F" w:rsidRPr="00AA1B50" w:rsidRDefault="0038586F" w:rsidP="0038586F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noProof w:val="0"/>
          <w:color w:val="0000FF"/>
          <w:sz w:val="12"/>
          <w:szCs w:val="12"/>
        </w:rPr>
      </w:pPr>
    </w:p>
    <w:p w:rsidR="009B7BDC" w:rsidRPr="00AA1B50" w:rsidRDefault="00105F5B" w:rsidP="00110B63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volume des actifs occupés en situation de sous emploi a augmenté, entre les deux périodes, de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1.137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.000 à 1.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182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personnes (de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507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à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539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personnes dans les villes et de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630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.000 à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643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.000 dans les campagnes)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. L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e taux de sous emploi est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ainsi 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passé de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10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4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à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10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8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57295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au niveau national,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 de </w:t>
      </w:r>
      <w:r w:rsidR="005922C0" w:rsidRPr="00AA1B50">
        <w:rPr>
          <w:rFonts w:asciiTheme="majorBidi" w:hAnsiTheme="majorBidi" w:cstheme="majorBidi"/>
          <w:noProof w:val="0"/>
          <w:sz w:val="26"/>
          <w:szCs w:val="26"/>
        </w:rPr>
        <w:t>9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à 9,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7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dans les villes et de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11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7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 xml:space="preserve">% à </w:t>
      </w:r>
      <w:r w:rsidR="00BC2577" w:rsidRPr="00AA1B50">
        <w:rPr>
          <w:rFonts w:asciiTheme="majorBidi" w:hAnsiTheme="majorBidi" w:cstheme="majorBidi"/>
          <w:noProof w:val="0"/>
          <w:sz w:val="26"/>
          <w:szCs w:val="26"/>
        </w:rPr>
        <w:t>12</w:t>
      </w:r>
      <w:r w:rsidR="009B7BDC" w:rsidRPr="00AA1B50">
        <w:rPr>
          <w:rFonts w:asciiTheme="majorBidi" w:hAnsiTheme="majorBidi" w:cstheme="majorBidi"/>
          <w:noProof w:val="0"/>
          <w:sz w:val="26"/>
          <w:szCs w:val="26"/>
        </w:rPr>
        <w:t>% dans les campagnes.</w:t>
      </w:r>
    </w:p>
    <w:p w:rsidR="004F377E" w:rsidRPr="00AA1B50" w:rsidRDefault="004F377E" w:rsidP="00E02692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sz w:val="12"/>
          <w:szCs w:val="12"/>
        </w:rPr>
      </w:pPr>
    </w:p>
    <w:p w:rsidR="00AA1B50" w:rsidRDefault="00AA1B50" w:rsidP="00BC2577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70C0"/>
        </w:rPr>
      </w:pPr>
    </w:p>
    <w:p w:rsidR="009B7BDC" w:rsidRPr="00AA1B50" w:rsidRDefault="009B7BDC" w:rsidP="003C3F1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  <w:b/>
          <w:bCs/>
          <w:noProof w:val="0"/>
          <w:color w:val="0070C0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</w:rPr>
        <w:t xml:space="preserve">Figure 5 : Evolution du taux de sous-emploi </w:t>
      </w:r>
      <w:r w:rsidR="00BC2577" w:rsidRPr="00AA1B50">
        <w:rPr>
          <w:rFonts w:asciiTheme="majorBidi" w:hAnsiTheme="majorBidi" w:cstheme="majorBidi"/>
          <w:b/>
          <w:bCs/>
          <w:noProof w:val="0"/>
          <w:color w:val="0070C0"/>
        </w:rPr>
        <w:t xml:space="preserve">aux deuxièmes trimestres </w:t>
      </w:r>
      <w:r w:rsidR="00992840" w:rsidRPr="00AA1B50">
        <w:rPr>
          <w:rFonts w:asciiTheme="majorBidi" w:hAnsiTheme="majorBidi" w:cstheme="majorBidi"/>
          <w:b/>
          <w:bCs/>
          <w:noProof w:val="0"/>
          <w:color w:val="0070C0"/>
        </w:rPr>
        <w:t xml:space="preserve">par milieu de résidence </w:t>
      </w:r>
      <w:r w:rsidRPr="00AA1B50">
        <w:rPr>
          <w:rFonts w:asciiTheme="majorBidi" w:hAnsiTheme="majorBidi" w:cstheme="majorBidi"/>
          <w:b/>
          <w:bCs/>
          <w:noProof w:val="0"/>
          <w:color w:val="0070C0"/>
        </w:rPr>
        <w:t xml:space="preserve">(en %). </w:t>
      </w:r>
    </w:p>
    <w:p w:rsidR="009B7BDC" w:rsidRPr="00AA1B50" w:rsidRDefault="009B7BDC" w:rsidP="003C3F1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</w:p>
    <w:p w:rsidR="009B7BDC" w:rsidRPr="00AA1B50" w:rsidRDefault="007365B5" w:rsidP="003C3F12">
      <w:pPr>
        <w:spacing w:line="264" w:lineRule="auto"/>
        <w:jc w:val="center"/>
      </w:pPr>
      <w:r w:rsidRPr="00AA1B50">
        <w:drawing>
          <wp:inline distT="0" distB="0" distL="0" distR="0">
            <wp:extent cx="4792345" cy="1943100"/>
            <wp:effectExtent l="19050" t="0" r="27305" b="0"/>
            <wp:docPr id="12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7BDC" w:rsidRPr="00AA1B50" w:rsidRDefault="009B7BDC" w:rsidP="003C3F1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</w:p>
    <w:p w:rsidR="009B7BDC" w:rsidRPr="00AA1B50" w:rsidRDefault="009B7BDC" w:rsidP="006257C2">
      <w:pPr>
        <w:autoSpaceDE w:val="0"/>
        <w:autoSpaceDN w:val="0"/>
        <w:bidi w:val="0"/>
        <w:adjustRightInd w:val="0"/>
        <w:spacing w:line="312" w:lineRule="auto"/>
        <w:jc w:val="both"/>
        <w:rPr>
          <w:rFonts w:asciiTheme="majorBidi" w:hAnsiTheme="majorBidi" w:cstheme="majorBidi"/>
          <w:noProof w:val="0"/>
          <w:sz w:val="26"/>
          <w:szCs w:val="26"/>
        </w:rPr>
      </w:pPr>
      <w:r w:rsidRPr="00AA1B50">
        <w:rPr>
          <w:rFonts w:asciiTheme="majorBidi" w:hAnsiTheme="majorBidi" w:cstheme="majorBidi"/>
          <w:noProof w:val="0"/>
          <w:sz w:val="26"/>
          <w:szCs w:val="26"/>
        </w:rPr>
        <w:t>Selon le secteur d’activité économique, les personnes exerçant dans les BTP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 xml:space="preserve">avec 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 xml:space="preserve">un taux de sous-emploi de 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673939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604E42" w:rsidRPr="00AA1B50">
        <w:rPr>
          <w:rFonts w:asciiTheme="majorBidi" w:hAnsiTheme="majorBidi" w:cstheme="majorBidi"/>
          <w:noProof w:val="0"/>
          <w:sz w:val="26"/>
          <w:szCs w:val="26"/>
        </w:rPr>
        <w:t>,</w:t>
      </w:r>
      <w:r w:rsidR="00673939" w:rsidRPr="00AA1B50">
        <w:rPr>
          <w:rFonts w:asciiTheme="majorBidi" w:hAnsiTheme="majorBidi" w:cstheme="majorBidi"/>
          <w:noProof w:val="0"/>
          <w:sz w:val="26"/>
          <w:szCs w:val="26"/>
        </w:rPr>
        <w:t>5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>%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 xml:space="preserve"> au niveau national</w:t>
      </w:r>
      <w:r w:rsidR="001B2C86" w:rsidRPr="00AA1B50">
        <w:rPr>
          <w:rFonts w:asciiTheme="majorBidi" w:hAnsiTheme="majorBidi" w:cstheme="majorBidi"/>
          <w:noProof w:val="0"/>
          <w:sz w:val="26"/>
          <w:szCs w:val="26"/>
        </w:rPr>
        <w:t xml:space="preserve">,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sont les plus touchées par 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>c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e </w:t>
      </w:r>
      <w:r w:rsidR="00872CCC" w:rsidRPr="00AA1B50">
        <w:rPr>
          <w:rFonts w:asciiTheme="majorBidi" w:hAnsiTheme="majorBidi" w:cstheme="majorBidi"/>
          <w:noProof w:val="0"/>
          <w:sz w:val="26"/>
          <w:szCs w:val="26"/>
        </w:rPr>
        <w:t>phénomène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> ;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 xml:space="preserve">un constat relevé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aussi bien en milieu urbain qu’en milieu rural</w:t>
      </w:r>
      <w:r w:rsidR="00CF0D64" w:rsidRPr="00AA1B50">
        <w:rPr>
          <w:rFonts w:asciiTheme="majorBidi" w:hAnsiTheme="majorBidi" w:cstheme="majorBidi"/>
          <w:noProof w:val="0"/>
          <w:sz w:val="26"/>
          <w:szCs w:val="26"/>
        </w:rPr>
        <w:t xml:space="preserve">. 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>L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e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>s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 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 xml:space="preserve">personnes exerçant dans le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secteur de l’"agriculture, forêt et pêche"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 xml:space="preserve"> vien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 xml:space="preserve">nent </w:t>
      </w:r>
      <w:r w:rsidR="006257C2">
        <w:rPr>
          <w:rFonts w:asciiTheme="majorBidi" w:hAnsiTheme="majorBidi" w:cstheme="majorBidi"/>
          <w:noProof w:val="0"/>
          <w:sz w:val="26"/>
          <w:szCs w:val="26"/>
        </w:rPr>
        <w:t xml:space="preserve">au 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 xml:space="preserve">deuxième </w:t>
      </w:r>
      <w:r w:rsidR="004215CF" w:rsidRPr="00AA1B50">
        <w:rPr>
          <w:rFonts w:asciiTheme="majorBidi" w:hAnsiTheme="majorBidi" w:cstheme="majorBidi"/>
          <w:noProof w:val="0"/>
          <w:sz w:val="26"/>
          <w:szCs w:val="26"/>
        </w:rPr>
        <w:t xml:space="preserve">rang </w:t>
      </w:r>
      <w:r w:rsidR="004A59B6" w:rsidRPr="00AA1B50">
        <w:rPr>
          <w:rFonts w:asciiTheme="majorBidi" w:hAnsiTheme="majorBidi" w:cstheme="majorBidi"/>
          <w:noProof w:val="0"/>
          <w:sz w:val="26"/>
          <w:szCs w:val="26"/>
        </w:rPr>
        <w:t xml:space="preserve">avec 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>1</w:t>
      </w:r>
      <w:r w:rsidR="00673939" w:rsidRPr="00AA1B50">
        <w:rPr>
          <w:rFonts w:asciiTheme="majorBidi" w:hAnsiTheme="majorBidi" w:cstheme="majorBidi"/>
          <w:noProof w:val="0"/>
          <w:sz w:val="26"/>
          <w:szCs w:val="26"/>
        </w:rPr>
        <w:t>1,3</w:t>
      </w:r>
      <w:r w:rsidRPr="00AA1B50">
        <w:rPr>
          <w:rFonts w:asciiTheme="majorBidi" w:hAnsiTheme="majorBidi" w:cstheme="majorBidi"/>
          <w:noProof w:val="0"/>
          <w:sz w:val="26"/>
          <w:szCs w:val="26"/>
        </w:rPr>
        <w:t xml:space="preserve">%.   </w:t>
      </w:r>
    </w:p>
    <w:p w:rsidR="009B7BDC" w:rsidRPr="00AA1B50" w:rsidRDefault="009B7BDC" w:rsidP="009B7BD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sz w:val="12"/>
          <w:szCs w:val="12"/>
        </w:rPr>
      </w:pPr>
    </w:p>
    <w:p w:rsidR="00D76F88" w:rsidRDefault="00D76F88" w:rsidP="00AA1B50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</w:p>
    <w:p w:rsidR="009B7BDC" w:rsidRPr="00AA1B50" w:rsidRDefault="009B7BDC" w:rsidP="00D76F88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</w:pP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Figure 6 : Evolution du taux de sous-emploi </w:t>
      </w:r>
      <w:r w:rsidR="00BC2577"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 xml:space="preserve">aux deuxièmes trimestres </w:t>
      </w:r>
      <w:r w:rsidRPr="00AA1B50">
        <w:rPr>
          <w:rFonts w:asciiTheme="majorBidi" w:hAnsiTheme="majorBidi" w:cstheme="majorBidi"/>
          <w:b/>
          <w:bCs/>
          <w:noProof w:val="0"/>
          <w:color w:val="0070C0"/>
          <w:sz w:val="22"/>
          <w:szCs w:val="22"/>
        </w:rPr>
        <w:t>par secteur d’activité économique (en%)</w:t>
      </w:r>
    </w:p>
    <w:p w:rsidR="009B7BDC" w:rsidRPr="00AA1B50" w:rsidRDefault="00BC2577" w:rsidP="009B7BDC">
      <w:pPr>
        <w:jc w:val="center"/>
        <w:rPr>
          <w:rFonts w:asciiTheme="majorBidi" w:hAnsiTheme="majorBidi" w:cstheme="majorBidi"/>
          <w:b/>
          <w:bCs/>
          <w:color w:val="0070C0"/>
          <w:sz w:val="26"/>
          <w:szCs w:val="26"/>
        </w:rPr>
      </w:pPr>
      <w:r w:rsidRPr="00AA1B50">
        <w:rPr>
          <w:rFonts w:asciiTheme="majorBidi" w:hAnsiTheme="majorBidi" w:cstheme="majorBidi"/>
          <w:b/>
          <w:bCs/>
          <w:color w:val="0070C0"/>
          <w:sz w:val="26"/>
          <w:szCs w:val="26"/>
          <w:rtl/>
        </w:rPr>
        <w:drawing>
          <wp:inline distT="0" distB="0" distL="0" distR="0">
            <wp:extent cx="5035753" cy="2106777"/>
            <wp:effectExtent l="19050" t="0" r="12497" b="7773"/>
            <wp:docPr id="14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1B50" w:rsidRDefault="00AA1B50">
      <w:pPr>
        <w:bidi w:val="0"/>
        <w:rPr>
          <w:rFonts w:asciiTheme="majorBidi" w:hAnsiTheme="majorBidi" w:cstheme="majorBidi"/>
          <w:b/>
          <w:bCs/>
          <w:color w:val="0070C0"/>
          <w:kern w:val="32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br w:type="page"/>
      </w:r>
    </w:p>
    <w:p w:rsidR="009B7BDC" w:rsidRPr="00AA1B50" w:rsidRDefault="001848AB" w:rsidP="00793DB9">
      <w:pPr>
        <w:pStyle w:val="Titre1"/>
        <w:spacing w:after="0"/>
        <w:jc w:val="center"/>
        <w:rPr>
          <w:rFonts w:asciiTheme="majorBidi" w:hAnsiTheme="majorBidi" w:cstheme="majorBidi"/>
        </w:rPr>
      </w:pPr>
      <w:r w:rsidRPr="00AA1B50">
        <w:rPr>
          <w:rFonts w:asciiTheme="majorBidi" w:hAnsiTheme="majorBidi" w:cstheme="majorBidi"/>
          <w:color w:val="0070C0"/>
          <w:sz w:val="24"/>
          <w:szCs w:val="24"/>
        </w:rPr>
        <w:t>I</w:t>
      </w:r>
      <w:r w:rsidR="009B7BDC" w:rsidRPr="00AA1B50">
        <w:rPr>
          <w:rFonts w:asciiTheme="majorBidi" w:hAnsiTheme="majorBidi" w:cstheme="majorBidi"/>
          <w:color w:val="0070C0"/>
          <w:sz w:val="24"/>
          <w:szCs w:val="24"/>
        </w:rPr>
        <w:t xml:space="preserve">ndicateurs </w:t>
      </w:r>
      <w:r w:rsidR="001228F8" w:rsidRPr="00AA1B50">
        <w:rPr>
          <w:rFonts w:asciiTheme="majorBidi" w:hAnsiTheme="majorBidi" w:cstheme="majorBidi"/>
          <w:color w:val="0070C0"/>
          <w:sz w:val="24"/>
          <w:szCs w:val="24"/>
        </w:rPr>
        <w:t>trimestriels</w:t>
      </w:r>
      <w:r w:rsidR="006F2D9D" w:rsidRPr="00AA1B50"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  <w:r w:rsidR="009B7BDC" w:rsidRPr="00AA1B50">
        <w:rPr>
          <w:rFonts w:asciiTheme="majorBidi" w:hAnsiTheme="majorBidi" w:cstheme="majorBidi"/>
          <w:color w:val="0070C0"/>
          <w:sz w:val="24"/>
          <w:szCs w:val="24"/>
        </w:rPr>
        <w:t xml:space="preserve">d'activité, d’emploi et de chômage par milieu de résidence </w:t>
      </w:r>
      <w:r w:rsidR="009B7BDC" w:rsidRPr="00AA1B50">
        <w:rPr>
          <w:rFonts w:asciiTheme="majorBidi" w:hAnsiTheme="majorBidi" w:cstheme="majorBidi"/>
          <w:color w:val="0070C0"/>
          <w:sz w:val="24"/>
          <w:szCs w:val="24"/>
          <w:vertAlign w:val="superscript"/>
        </w:rPr>
        <w:t>(</w:t>
      </w:r>
      <w:r w:rsidR="00793DB9" w:rsidRPr="00AA1B50">
        <w:rPr>
          <w:rFonts w:asciiTheme="majorBidi" w:hAnsiTheme="majorBidi" w:cstheme="majorBidi"/>
          <w:color w:val="0070C0"/>
          <w:sz w:val="24"/>
          <w:szCs w:val="24"/>
          <w:vertAlign w:val="superscript"/>
        </w:rPr>
        <w:t>*</w:t>
      </w:r>
      <w:r w:rsidR="009B7BDC" w:rsidRPr="00AA1B50">
        <w:rPr>
          <w:rFonts w:asciiTheme="majorBidi" w:hAnsiTheme="majorBidi" w:cstheme="majorBidi"/>
          <w:color w:val="0070C0"/>
          <w:sz w:val="24"/>
          <w:szCs w:val="24"/>
          <w:vertAlign w:val="superscript"/>
        </w:rPr>
        <w:t>)</w:t>
      </w:r>
    </w:p>
    <w:p w:rsidR="009B7BDC" w:rsidRPr="00AA1B50" w:rsidRDefault="009B7BDC" w:rsidP="00335237">
      <w:pPr>
        <w:pStyle w:val="Corpsdetexte2"/>
        <w:jc w:val="both"/>
        <w:rPr>
          <w:rFonts w:asciiTheme="majorBidi" w:hAnsiTheme="majorBidi" w:cstheme="majorBidi"/>
          <w:sz w:val="20"/>
        </w:rPr>
      </w:pPr>
      <w:r w:rsidRPr="00AA1B5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</w:t>
      </w:r>
      <w:r w:rsidRPr="00AA1B50">
        <w:rPr>
          <w:rFonts w:asciiTheme="majorBidi" w:hAnsiTheme="majorBidi" w:cstheme="majorBidi"/>
          <w:sz w:val="20"/>
        </w:rPr>
        <w:t>(</w:t>
      </w:r>
      <w:r w:rsidR="00F71AEA" w:rsidRPr="00AA1B50">
        <w:rPr>
          <w:rFonts w:asciiTheme="majorBidi" w:hAnsiTheme="majorBidi" w:cstheme="majorBidi"/>
          <w:sz w:val="20"/>
        </w:rPr>
        <w:t>Effectifs en milliers, t</w:t>
      </w:r>
      <w:r w:rsidRPr="00AA1B50">
        <w:rPr>
          <w:rFonts w:asciiTheme="majorBidi" w:hAnsiTheme="majorBidi" w:cstheme="majorBidi"/>
          <w:sz w:val="20"/>
        </w:rPr>
        <w:t xml:space="preserve">aux </w:t>
      </w:r>
      <w:r w:rsidR="006F2D9D" w:rsidRPr="00AA1B50">
        <w:rPr>
          <w:rFonts w:asciiTheme="majorBidi" w:hAnsiTheme="majorBidi" w:cstheme="majorBidi"/>
          <w:sz w:val="20"/>
        </w:rPr>
        <w:t xml:space="preserve">et structures </w:t>
      </w:r>
      <w:r w:rsidRPr="00AA1B50">
        <w:rPr>
          <w:rFonts w:asciiTheme="majorBidi" w:hAnsiTheme="majorBidi" w:cstheme="majorBidi"/>
          <w:sz w:val="20"/>
        </w:rPr>
        <w:t xml:space="preserve">en %) </w:t>
      </w:r>
    </w:p>
    <w:tbl>
      <w:tblPr>
        <w:tblW w:w="104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3"/>
        <w:gridCol w:w="832"/>
        <w:gridCol w:w="933"/>
        <w:gridCol w:w="1102"/>
        <w:gridCol w:w="1102"/>
        <w:gridCol w:w="1100"/>
        <w:gridCol w:w="1101"/>
      </w:tblGrid>
      <w:tr w:rsidR="00AC2ED6" w:rsidRPr="00AA1B50" w:rsidTr="00335237">
        <w:trPr>
          <w:trHeight w:val="283"/>
          <w:jc w:val="center"/>
        </w:trPr>
        <w:tc>
          <w:tcPr>
            <w:tcW w:w="4263" w:type="dxa"/>
            <w:vMerge w:val="restart"/>
            <w:vAlign w:val="center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867" w:type="dxa"/>
            <w:gridSpan w:val="3"/>
          </w:tcPr>
          <w:p w:rsidR="00AC2ED6" w:rsidRPr="00AA1B50" w:rsidRDefault="00AC2ED6" w:rsidP="002F3E28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2</w:t>
            </w:r>
            <w:r w:rsidRPr="00AA1B5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trimestre 2014</w:t>
            </w:r>
          </w:p>
        </w:tc>
        <w:tc>
          <w:tcPr>
            <w:tcW w:w="3303" w:type="dxa"/>
            <w:gridSpan w:val="3"/>
          </w:tcPr>
          <w:p w:rsidR="00AC2ED6" w:rsidRPr="00AA1B50" w:rsidRDefault="00AC2ED6" w:rsidP="002F3E28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  <w:t>2</w:t>
            </w:r>
            <w:r w:rsidRPr="00AA1B5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trimestre 2015</w:t>
            </w:r>
          </w:p>
        </w:tc>
      </w:tr>
      <w:tr w:rsidR="00AC2ED6" w:rsidRPr="00AA1B50" w:rsidTr="00335237">
        <w:trPr>
          <w:trHeight w:val="231"/>
          <w:jc w:val="center"/>
        </w:trPr>
        <w:tc>
          <w:tcPr>
            <w:tcW w:w="4263" w:type="dxa"/>
            <w:vMerge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</w:p>
        </w:tc>
        <w:tc>
          <w:tcPr>
            <w:tcW w:w="832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3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01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  <w:t>National</w:t>
            </w:r>
          </w:p>
        </w:tc>
        <w:tc>
          <w:tcPr>
            <w:tcW w:w="1102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00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01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center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National</w:t>
            </w:r>
          </w:p>
        </w:tc>
      </w:tr>
      <w:tr w:rsidR="00AC2ED6" w:rsidRPr="00AA1B50" w:rsidTr="00335237">
        <w:trPr>
          <w:trHeight w:val="167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  <w:r w:rsidRPr="00AA1B50">
              <w:rPr>
                <w:rFonts w:asciiTheme="majorBidi" w:hAnsiTheme="majorBidi" w:cstheme="majorBidi"/>
                <w:b/>
                <w:i/>
                <w:spacing w:val="-2"/>
                <w:sz w:val="22"/>
                <w:szCs w:val="22"/>
              </w:rPr>
              <w:t xml:space="preserve"> Activité et emploi ( 15 ans et plus )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  <w:vAlign w:val="bottom"/>
          </w:tcPr>
          <w:p w:rsidR="00AC2ED6" w:rsidRPr="00AA1B50" w:rsidRDefault="00AC2E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vAlign w:val="bottom"/>
          </w:tcPr>
          <w:p w:rsidR="00AC2ED6" w:rsidRPr="00AA1B50" w:rsidRDefault="00AC2E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1" w:type="dxa"/>
            <w:vAlign w:val="bottom"/>
          </w:tcPr>
          <w:p w:rsidR="00AC2ED6" w:rsidRPr="00AA1B50" w:rsidRDefault="00AC2E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- Population active (en milliers)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6407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5598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12005</w:t>
            </w:r>
          </w:p>
        </w:tc>
        <w:tc>
          <w:tcPr>
            <w:tcW w:w="1102" w:type="dxa"/>
            <w:vAlign w:val="bottom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6425</w:t>
            </w:r>
          </w:p>
        </w:tc>
        <w:tc>
          <w:tcPr>
            <w:tcW w:w="1100" w:type="dxa"/>
            <w:vAlign w:val="bottom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5545</w:t>
            </w:r>
          </w:p>
        </w:tc>
        <w:tc>
          <w:tcPr>
            <w:tcW w:w="1101" w:type="dxa"/>
            <w:vAlign w:val="bottom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11970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- Taux de féminisation de la population active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21,5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34,8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27,7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21,3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33,9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27,1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- Taux d'activité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42,9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58,2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48,9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42,2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57,2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48,0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. Selon le sexe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69,6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78,1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72,9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68,6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78,1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72,3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17,9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39,3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26,3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17,4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37,6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25,2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. Selon l’âge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15 - 24 ans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23,0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43,0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32,1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22,0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40,2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30,2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25 - 34 ans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59,8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66,5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62,5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58,0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66,4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61,3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35 - 44 ans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56,3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70,6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61,4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55,8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60,4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45 ans et plus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37,1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59,6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45,2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37,2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59,6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45,1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37,7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60,8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49,4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36,9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60,1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48,6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Ayant un diplôme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47,7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49,8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48,2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46,9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48,1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47,2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i/>
                <w:spacing w:val="-2"/>
                <w:sz w:val="22"/>
                <w:szCs w:val="22"/>
              </w:rPr>
              <w:t xml:space="preserve">- </w:t>
            </w: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Population active occupée (en milliers)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5495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5396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10891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5567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5362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10929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- Taux d’emploi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36,8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56,1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44,4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36,6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55,3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43,9</w:t>
            </w:r>
          </w:p>
        </w:tc>
      </w:tr>
      <w:tr w:rsidR="00AC2ED6" w:rsidRPr="00AA1B50" w:rsidTr="00335237">
        <w:trPr>
          <w:trHeight w:val="576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- Part de l’emploi  rémunéré dans                  l’emploi total. Dont :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95,9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58,0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77,1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96,8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59,5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78,5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- Salariés   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69,4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42,2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59,3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43,3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59,4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- Auto-employés    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30,6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57,8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40,7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31,1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56,7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40,6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- Population active occupée sous employée (en milliers)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630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1137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539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643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1182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Taux de sous emploi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9,2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11,7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10,4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9,7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12,0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10,8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i/>
                <w:spacing w:val="-2"/>
                <w:sz w:val="22"/>
                <w:szCs w:val="22"/>
              </w:rPr>
              <w:t xml:space="preserve">  Chômage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63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- Population active en chômage (en milliers)   </w:t>
            </w:r>
          </w:p>
        </w:tc>
        <w:tc>
          <w:tcPr>
            <w:tcW w:w="832" w:type="dxa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933" w:type="dxa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1101" w:type="dxa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1114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858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183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1041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- Taux de féminisation de la population </w:t>
            </w:r>
          </w:p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active en chômage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29,7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13,9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26,9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30,8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15,0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28,1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- Taux de chômage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14,2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3,6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9,3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13,4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3,3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8,7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. Selon le sexe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12,8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11,7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4,2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8,6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19,6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9,0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19,3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1,5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9,0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. Selon l'âge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15-24 ans 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36,4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8,3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19,2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38,6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8,5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20,5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25-34 ans 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20,2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13,4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18,5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3,4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11,9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35-44 ans 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8,2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1,7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5,6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7,3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5,1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45 ans et plus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3,8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3,9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0,8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2,4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BC2577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bookmarkStart w:id="0" w:name="_Hlk425548014"/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7,7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4,1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6,6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3,6</w:t>
            </w:r>
          </w:p>
        </w:tc>
      </w:tr>
      <w:tr w:rsidR="00AC2ED6" w:rsidRPr="00AA1B50" w:rsidTr="00335237">
        <w:trPr>
          <w:trHeight w:val="279"/>
          <w:jc w:val="center"/>
        </w:trPr>
        <w:tc>
          <w:tcPr>
            <w:tcW w:w="4263" w:type="dxa"/>
          </w:tcPr>
          <w:p w:rsidR="00AC2ED6" w:rsidRPr="00AA1B50" w:rsidRDefault="00AC2ED6" w:rsidP="00AA1B50">
            <w:pPr>
              <w:tabs>
                <w:tab w:val="left" w:pos="-720"/>
              </w:tabs>
              <w:suppressAutoHyphens/>
              <w:jc w:val="right"/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     Ayant un diplôme</w:t>
            </w:r>
            <w:r w:rsidR="00AA1B50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 xml:space="preserve"> </w:t>
            </w:r>
            <w:r w:rsidR="00AA1B50" w:rsidRPr="00AA1B50">
              <w:rPr>
                <w:rFonts w:asciiTheme="majorBidi" w:hAnsiTheme="majorBidi" w:cstheme="majorBidi"/>
                <w:bCs/>
                <w:spacing w:val="-2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832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19,0</w:t>
            </w:r>
          </w:p>
        </w:tc>
        <w:tc>
          <w:tcPr>
            <w:tcW w:w="933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9,9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BC25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</w:rPr>
              <w:t>16,9</w:t>
            </w:r>
          </w:p>
        </w:tc>
        <w:tc>
          <w:tcPr>
            <w:tcW w:w="1102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18,1</w:t>
            </w:r>
          </w:p>
        </w:tc>
        <w:tc>
          <w:tcPr>
            <w:tcW w:w="1100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8,9</w:t>
            </w:r>
          </w:p>
        </w:tc>
        <w:tc>
          <w:tcPr>
            <w:tcW w:w="1101" w:type="dxa"/>
            <w:vAlign w:val="center"/>
          </w:tcPr>
          <w:p w:rsidR="00AC2ED6" w:rsidRPr="00AA1B50" w:rsidRDefault="00AC2ED6" w:rsidP="00AC2E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A1B50">
              <w:rPr>
                <w:rFonts w:asciiTheme="majorBidi" w:hAnsiTheme="majorBidi" w:cstheme="majorBidi"/>
                <w:sz w:val="22"/>
                <w:szCs w:val="22"/>
                <w:rtl/>
              </w:rPr>
              <w:t>16,0</w:t>
            </w:r>
          </w:p>
        </w:tc>
      </w:tr>
    </w:tbl>
    <w:bookmarkEnd w:id="0"/>
    <w:p w:rsidR="009B7BDC" w:rsidRPr="00AA1B50" w:rsidRDefault="009B7BDC" w:rsidP="00AA1B50">
      <w:pPr>
        <w:tabs>
          <w:tab w:val="left" w:pos="-720"/>
        </w:tabs>
        <w:suppressAutoHyphens/>
        <w:jc w:val="right"/>
        <w:rPr>
          <w:rFonts w:asciiTheme="majorBidi" w:hAnsiTheme="majorBidi" w:cstheme="majorBidi"/>
        </w:rPr>
      </w:pPr>
      <w:r w:rsidRPr="00AA1B50">
        <w:rPr>
          <w:rFonts w:asciiTheme="majorBidi" w:hAnsiTheme="majorBidi" w:cstheme="majorBidi"/>
          <w:b/>
          <w:spacing w:val="-2"/>
          <w:sz w:val="16"/>
          <w:szCs w:val="16"/>
          <w:u w:val="single"/>
        </w:rPr>
        <w:t>Source</w:t>
      </w:r>
      <w:r w:rsidRPr="00AA1B50">
        <w:rPr>
          <w:rFonts w:asciiTheme="majorBidi" w:hAnsiTheme="majorBidi" w:cstheme="majorBidi"/>
          <w:b/>
          <w:spacing w:val="-2"/>
          <w:sz w:val="16"/>
          <w:szCs w:val="16"/>
        </w:rPr>
        <w:t xml:space="preserve"> :</w:t>
      </w:r>
      <w:r w:rsidRPr="00AA1B50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r w:rsidRPr="00AA1B50">
        <w:rPr>
          <w:rFonts w:asciiTheme="majorBidi" w:hAnsiTheme="majorBidi" w:cstheme="majorBidi"/>
          <w:b/>
          <w:spacing w:val="-2"/>
          <w:sz w:val="16"/>
          <w:szCs w:val="16"/>
        </w:rPr>
        <w:t>Enquête nationale sur l'emploi, Haut Commissariat au Plan</w:t>
      </w:r>
      <w:r w:rsidRPr="00AA1B50">
        <w:rPr>
          <w:rFonts w:asciiTheme="majorBidi" w:hAnsiTheme="majorBidi" w:cstheme="majorBidi"/>
          <w:spacing w:val="-2"/>
          <w:sz w:val="16"/>
          <w:szCs w:val="16"/>
        </w:rPr>
        <w:t xml:space="preserve">  (</w:t>
      </w:r>
      <w:r w:rsidRPr="00AA1B50">
        <w:rPr>
          <w:rFonts w:asciiTheme="majorBidi" w:hAnsiTheme="majorBidi" w:cstheme="majorBidi"/>
          <w:b/>
          <w:spacing w:val="-2"/>
          <w:sz w:val="16"/>
          <w:szCs w:val="16"/>
        </w:rPr>
        <w:t xml:space="preserve">Direction de la Statistique). </w:t>
      </w:r>
      <w:r w:rsidRPr="00AA1B50">
        <w:rPr>
          <w:rFonts w:asciiTheme="majorBidi" w:hAnsiTheme="majorBidi" w:cstheme="majorBidi"/>
          <w:b/>
          <w:sz w:val="16"/>
          <w:szCs w:val="16"/>
        </w:rPr>
        <w:t>(</w:t>
      </w:r>
      <w:r w:rsidR="00793DB9" w:rsidRPr="00AA1B50">
        <w:rPr>
          <w:rFonts w:asciiTheme="majorBidi" w:hAnsiTheme="majorBidi" w:cstheme="majorBidi"/>
          <w:b/>
          <w:sz w:val="16"/>
          <w:szCs w:val="16"/>
        </w:rPr>
        <w:t>*</w:t>
      </w:r>
      <w:r w:rsidRPr="00AA1B50">
        <w:rPr>
          <w:rFonts w:asciiTheme="majorBidi" w:hAnsiTheme="majorBidi" w:cstheme="majorBidi"/>
          <w:b/>
          <w:sz w:val="16"/>
          <w:szCs w:val="16"/>
        </w:rPr>
        <w:t xml:space="preserve">) Pour les définitions des concepts et indicateurs utilisés, se référer au glossaire disponible sur le site web du HCP : </w:t>
      </w:r>
      <w:hyperlink r:id="rId14" w:history="1">
        <w:r w:rsidRPr="00AA1B50">
          <w:rPr>
            <w:rStyle w:val="Lienhypertexte"/>
            <w:rFonts w:asciiTheme="majorBidi" w:hAnsiTheme="majorBidi" w:cstheme="majorBidi"/>
            <w:b/>
            <w:sz w:val="16"/>
            <w:szCs w:val="16"/>
          </w:rPr>
          <w:t>http://www.hcp.ma</w:t>
        </w:r>
      </w:hyperlink>
      <w:r w:rsidR="00AA1B50">
        <w:rPr>
          <w:rFonts w:asciiTheme="majorBidi" w:hAnsiTheme="majorBidi" w:cstheme="majorBidi"/>
        </w:rPr>
        <w:t xml:space="preserve">. </w:t>
      </w:r>
      <w:r w:rsidR="00AA1B50" w:rsidRPr="00AA1B50">
        <w:rPr>
          <w:rStyle w:val="Appelnotedebasdep"/>
          <w:b/>
          <w:bCs/>
        </w:rPr>
        <w:t>(**)</w:t>
      </w:r>
      <w:r w:rsidR="00AA1B50" w:rsidRPr="00AA1B50">
        <w:rPr>
          <w:b/>
          <w:bCs/>
        </w:rPr>
        <w:t xml:space="preserve"> </w:t>
      </w:r>
      <w:r w:rsidR="00AA1B50" w:rsidRPr="00AA1B50">
        <w:rPr>
          <w:rFonts w:ascii="Book Antiqua" w:hAnsi="Book Antiqua"/>
          <w:b/>
          <w:bCs/>
          <w:sz w:val="16"/>
          <w:szCs w:val="16"/>
        </w:rPr>
        <w:t>Il s’agit de tous les diplômes, aussi bien de l’enseignement général que de la formation professionnelle</w:t>
      </w:r>
      <w:r w:rsidR="00AA1B50">
        <w:rPr>
          <w:rFonts w:ascii="Book Antiqua" w:hAnsi="Book Antiqua"/>
          <w:b/>
          <w:bCs/>
          <w:sz w:val="16"/>
          <w:szCs w:val="16"/>
        </w:rPr>
        <w:t>.</w:t>
      </w:r>
    </w:p>
    <w:sectPr w:rsidR="009B7BDC" w:rsidRPr="00AA1B50" w:rsidSect="00F741F5">
      <w:footerReference w:type="even" r:id="rId15"/>
      <w:footerReference w:type="default" r:id="rId16"/>
      <w:pgSz w:w="12240" w:h="15840" w:code="1"/>
      <w:pgMar w:top="1134" w:right="1247" w:bottom="1134" w:left="124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C5" w:rsidRDefault="00F85EC5" w:rsidP="009B7BDC">
      <w:r>
        <w:separator/>
      </w:r>
    </w:p>
  </w:endnote>
  <w:endnote w:type="continuationSeparator" w:id="0">
    <w:p w:rsidR="00F85EC5" w:rsidRDefault="00F85EC5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91B" w:rsidRDefault="003F7466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CA391B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CA391B" w:rsidRDefault="00CA391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660313"/>
      <w:docPartObj>
        <w:docPartGallery w:val="Page Numbers (Bottom of Page)"/>
        <w:docPartUnique/>
      </w:docPartObj>
    </w:sdtPr>
    <w:sdtContent>
      <w:p w:rsidR="001030F7" w:rsidRDefault="003F7466">
        <w:pPr>
          <w:pStyle w:val="Pieddepage"/>
          <w:jc w:val="center"/>
        </w:pPr>
        <w:fldSimple w:instr=" PAGE   \* MERGEFORMAT ">
          <w:r w:rsidR="00F85EC5">
            <w:rPr>
              <w:rtl/>
            </w:rPr>
            <w:t>1</w:t>
          </w:r>
        </w:fldSimple>
      </w:p>
    </w:sdtContent>
  </w:sdt>
  <w:p w:rsidR="00CA391B" w:rsidRDefault="00CA39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C5" w:rsidRDefault="00F85EC5" w:rsidP="009B7BDC">
      <w:r>
        <w:separator/>
      </w:r>
    </w:p>
  </w:footnote>
  <w:footnote w:type="continuationSeparator" w:id="0">
    <w:p w:rsidR="00F85EC5" w:rsidRDefault="00F85EC5" w:rsidP="009B7BDC">
      <w:r>
        <w:continuationSeparator/>
      </w:r>
    </w:p>
  </w:footnote>
  <w:footnote w:id="1">
    <w:p w:rsidR="00CA391B" w:rsidRPr="00AA1B50" w:rsidRDefault="00CA391B" w:rsidP="00892C5F">
      <w:pPr>
        <w:pStyle w:val="Notedebasdepage"/>
        <w:rPr>
          <w:rFonts w:ascii="Book Antiqua" w:hAnsi="Book Antiqua"/>
          <w:spacing w:val="-2"/>
          <w:sz w:val="16"/>
          <w:szCs w:val="16"/>
          <w:lang w:eastAsia="en-US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sz w:val="16"/>
          <w:szCs w:val="16"/>
        </w:rPr>
        <w:t xml:space="preserve"> </w:t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 xml:space="preserve">iveau moyen regroupent les certificats de l'enseignement primaire, ceux du secondaire collégial et les  </w:t>
      </w:r>
    </w:p>
    <w:p w:rsidR="00CA391B" w:rsidRPr="00AA1B50" w:rsidRDefault="00CA391B" w:rsidP="00892C5F">
      <w:pPr>
        <w:pStyle w:val="Notedebasdepage"/>
        <w:rPr>
          <w:sz w:val="16"/>
          <w:szCs w:val="16"/>
        </w:rPr>
      </w:pP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diplômes de qualification ou de spécialisation professionnelle.</w:t>
      </w:r>
    </w:p>
  </w:footnote>
  <w:footnote w:id="2">
    <w:p w:rsidR="00CA391B" w:rsidRPr="00AA1B50" w:rsidRDefault="00CA391B">
      <w:pPr>
        <w:pStyle w:val="Notedebasdepage"/>
        <w:rPr>
          <w:sz w:val="16"/>
          <w:szCs w:val="16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sz w:val="16"/>
          <w:szCs w:val="16"/>
        </w:rPr>
        <w:t xml:space="preserve"> </w:t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iveau</w:t>
      </w:r>
      <w:r w:rsidRPr="00AA1B50">
        <w:rPr>
          <w:rFonts w:ascii="Book Antiqua" w:hAnsi="Book Antiqua"/>
          <w:sz w:val="16"/>
          <w:szCs w:val="16"/>
        </w:rPr>
        <w:t xml:space="preserve"> supérieur 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regroupent les b</w:t>
      </w:r>
      <w:r w:rsidRPr="00AA1B50">
        <w:rPr>
          <w:rFonts w:ascii="Book Antiqua" w:hAnsi="Book Antiqua"/>
          <w:sz w:val="16"/>
          <w:szCs w:val="16"/>
        </w:rPr>
        <w:t>accalauréats, les diplômes de techniciens ou de techniciens   spécialisés et les diplômes d'enseignement supérieur (facultés, grandes écoles et instituts).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ADE0E93"/>
    <w:multiLevelType w:val="hybridMultilevel"/>
    <w:tmpl w:val="8528A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9"/>
  </w:num>
  <w:num w:numId="11">
    <w:abstractNumId w:val="14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  <w:num w:numId="16">
    <w:abstractNumId w:val="8"/>
  </w:num>
  <w:num w:numId="17">
    <w:abstractNumId w:val="11"/>
  </w:num>
  <w:num w:numId="18">
    <w:abstractNumId w:val="15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B7BDC"/>
    <w:rsid w:val="00000B96"/>
    <w:rsid w:val="000015A4"/>
    <w:rsid w:val="000029B4"/>
    <w:rsid w:val="00005BDF"/>
    <w:rsid w:val="00007A4E"/>
    <w:rsid w:val="0001088A"/>
    <w:rsid w:val="00012209"/>
    <w:rsid w:val="00014CF6"/>
    <w:rsid w:val="0001609E"/>
    <w:rsid w:val="000176B6"/>
    <w:rsid w:val="00023B22"/>
    <w:rsid w:val="0002457C"/>
    <w:rsid w:val="00025176"/>
    <w:rsid w:val="00027624"/>
    <w:rsid w:val="00031FF6"/>
    <w:rsid w:val="0003474C"/>
    <w:rsid w:val="00036E11"/>
    <w:rsid w:val="00045ADB"/>
    <w:rsid w:val="00047EAC"/>
    <w:rsid w:val="00052B08"/>
    <w:rsid w:val="00053261"/>
    <w:rsid w:val="000535DC"/>
    <w:rsid w:val="0005471B"/>
    <w:rsid w:val="0005611A"/>
    <w:rsid w:val="000715D1"/>
    <w:rsid w:val="00071E0C"/>
    <w:rsid w:val="000777BE"/>
    <w:rsid w:val="00080969"/>
    <w:rsid w:val="000816F5"/>
    <w:rsid w:val="000900D2"/>
    <w:rsid w:val="00090934"/>
    <w:rsid w:val="000956C2"/>
    <w:rsid w:val="000A0D52"/>
    <w:rsid w:val="000B0043"/>
    <w:rsid w:val="000B4017"/>
    <w:rsid w:val="000B6FCD"/>
    <w:rsid w:val="000C2E8B"/>
    <w:rsid w:val="000C6A60"/>
    <w:rsid w:val="000D1994"/>
    <w:rsid w:val="000D2029"/>
    <w:rsid w:val="000D32D4"/>
    <w:rsid w:val="000D3D51"/>
    <w:rsid w:val="000E1C15"/>
    <w:rsid w:val="000F276F"/>
    <w:rsid w:val="000F5277"/>
    <w:rsid w:val="00100B48"/>
    <w:rsid w:val="001030F7"/>
    <w:rsid w:val="00105F5B"/>
    <w:rsid w:val="001079B3"/>
    <w:rsid w:val="00110B63"/>
    <w:rsid w:val="001228F8"/>
    <w:rsid w:val="00125739"/>
    <w:rsid w:val="001445C3"/>
    <w:rsid w:val="001445F1"/>
    <w:rsid w:val="00145336"/>
    <w:rsid w:val="001473F7"/>
    <w:rsid w:val="00150CAC"/>
    <w:rsid w:val="00151855"/>
    <w:rsid w:val="00155BE8"/>
    <w:rsid w:val="0015736E"/>
    <w:rsid w:val="001573CC"/>
    <w:rsid w:val="00164573"/>
    <w:rsid w:val="00164CC3"/>
    <w:rsid w:val="00166584"/>
    <w:rsid w:val="00167E79"/>
    <w:rsid w:val="001702E4"/>
    <w:rsid w:val="001714EC"/>
    <w:rsid w:val="001775DE"/>
    <w:rsid w:val="001800F6"/>
    <w:rsid w:val="00182B14"/>
    <w:rsid w:val="001848AB"/>
    <w:rsid w:val="00191D38"/>
    <w:rsid w:val="00193E74"/>
    <w:rsid w:val="00194A61"/>
    <w:rsid w:val="0019622A"/>
    <w:rsid w:val="00197961"/>
    <w:rsid w:val="00197FBA"/>
    <w:rsid w:val="001A5213"/>
    <w:rsid w:val="001A5788"/>
    <w:rsid w:val="001A57B8"/>
    <w:rsid w:val="001B2C86"/>
    <w:rsid w:val="001B6226"/>
    <w:rsid w:val="001C3191"/>
    <w:rsid w:val="001C369C"/>
    <w:rsid w:val="001C477B"/>
    <w:rsid w:val="001C4C3E"/>
    <w:rsid w:val="001D6147"/>
    <w:rsid w:val="001D6F08"/>
    <w:rsid w:val="001D719B"/>
    <w:rsid w:val="001D7675"/>
    <w:rsid w:val="001E08FE"/>
    <w:rsid w:val="001E3468"/>
    <w:rsid w:val="001E5A43"/>
    <w:rsid w:val="001F137F"/>
    <w:rsid w:val="00200DD0"/>
    <w:rsid w:val="00201055"/>
    <w:rsid w:val="00203B9A"/>
    <w:rsid w:val="00204CC1"/>
    <w:rsid w:val="00205B08"/>
    <w:rsid w:val="00207BA8"/>
    <w:rsid w:val="00216395"/>
    <w:rsid w:val="00220CAF"/>
    <w:rsid w:val="002211D0"/>
    <w:rsid w:val="002229ED"/>
    <w:rsid w:val="00225716"/>
    <w:rsid w:val="002335AD"/>
    <w:rsid w:val="00234931"/>
    <w:rsid w:val="00244452"/>
    <w:rsid w:val="00244488"/>
    <w:rsid w:val="002447AE"/>
    <w:rsid w:val="00246186"/>
    <w:rsid w:val="0024749E"/>
    <w:rsid w:val="00253C9D"/>
    <w:rsid w:val="00254F54"/>
    <w:rsid w:val="00254FDE"/>
    <w:rsid w:val="002550EB"/>
    <w:rsid w:val="00256058"/>
    <w:rsid w:val="00264153"/>
    <w:rsid w:val="002642AB"/>
    <w:rsid w:val="00266954"/>
    <w:rsid w:val="00267DE0"/>
    <w:rsid w:val="00273D96"/>
    <w:rsid w:val="0027596D"/>
    <w:rsid w:val="00275B00"/>
    <w:rsid w:val="00275F0E"/>
    <w:rsid w:val="00280596"/>
    <w:rsid w:val="00291E1C"/>
    <w:rsid w:val="00293100"/>
    <w:rsid w:val="0029702A"/>
    <w:rsid w:val="00297F0C"/>
    <w:rsid w:val="002A3437"/>
    <w:rsid w:val="002A3476"/>
    <w:rsid w:val="002A705A"/>
    <w:rsid w:val="002A7861"/>
    <w:rsid w:val="002B45BF"/>
    <w:rsid w:val="002B629F"/>
    <w:rsid w:val="002B716F"/>
    <w:rsid w:val="002B7327"/>
    <w:rsid w:val="002C0306"/>
    <w:rsid w:val="002C407B"/>
    <w:rsid w:val="002C66B3"/>
    <w:rsid w:val="002D1103"/>
    <w:rsid w:val="002D1748"/>
    <w:rsid w:val="002D2075"/>
    <w:rsid w:val="002D48F8"/>
    <w:rsid w:val="002E0D12"/>
    <w:rsid w:val="002E3D9E"/>
    <w:rsid w:val="002E3ED0"/>
    <w:rsid w:val="002E48A8"/>
    <w:rsid w:val="002E5467"/>
    <w:rsid w:val="002E5722"/>
    <w:rsid w:val="002F3E28"/>
    <w:rsid w:val="002F73C3"/>
    <w:rsid w:val="003035A3"/>
    <w:rsid w:val="00303C6A"/>
    <w:rsid w:val="00303D9A"/>
    <w:rsid w:val="003046FF"/>
    <w:rsid w:val="00305CAE"/>
    <w:rsid w:val="00307038"/>
    <w:rsid w:val="00307067"/>
    <w:rsid w:val="003072C7"/>
    <w:rsid w:val="00311051"/>
    <w:rsid w:val="00311472"/>
    <w:rsid w:val="00311A35"/>
    <w:rsid w:val="0031382D"/>
    <w:rsid w:val="00313CE5"/>
    <w:rsid w:val="003243C6"/>
    <w:rsid w:val="00327BD8"/>
    <w:rsid w:val="00335237"/>
    <w:rsid w:val="00336C75"/>
    <w:rsid w:val="00337705"/>
    <w:rsid w:val="003406FA"/>
    <w:rsid w:val="003445F5"/>
    <w:rsid w:val="00346C90"/>
    <w:rsid w:val="003515FD"/>
    <w:rsid w:val="00351749"/>
    <w:rsid w:val="0035285B"/>
    <w:rsid w:val="00354F8F"/>
    <w:rsid w:val="0035578A"/>
    <w:rsid w:val="00356EFC"/>
    <w:rsid w:val="0035742B"/>
    <w:rsid w:val="0035750D"/>
    <w:rsid w:val="00361E6C"/>
    <w:rsid w:val="00370F71"/>
    <w:rsid w:val="00377111"/>
    <w:rsid w:val="00381B61"/>
    <w:rsid w:val="0038352E"/>
    <w:rsid w:val="0038586F"/>
    <w:rsid w:val="00387079"/>
    <w:rsid w:val="00392DE5"/>
    <w:rsid w:val="003945EC"/>
    <w:rsid w:val="003A243F"/>
    <w:rsid w:val="003A41F5"/>
    <w:rsid w:val="003B2C21"/>
    <w:rsid w:val="003B35FC"/>
    <w:rsid w:val="003B400A"/>
    <w:rsid w:val="003B532C"/>
    <w:rsid w:val="003C240C"/>
    <w:rsid w:val="003C2899"/>
    <w:rsid w:val="003C3F12"/>
    <w:rsid w:val="003C7757"/>
    <w:rsid w:val="003D37FE"/>
    <w:rsid w:val="003E021C"/>
    <w:rsid w:val="003E4EB0"/>
    <w:rsid w:val="003E663D"/>
    <w:rsid w:val="003F4A7E"/>
    <w:rsid w:val="003F7466"/>
    <w:rsid w:val="00411874"/>
    <w:rsid w:val="004146F6"/>
    <w:rsid w:val="00414AD2"/>
    <w:rsid w:val="004215CF"/>
    <w:rsid w:val="00422303"/>
    <w:rsid w:val="00422EF1"/>
    <w:rsid w:val="004262C7"/>
    <w:rsid w:val="00427B3F"/>
    <w:rsid w:val="00431406"/>
    <w:rsid w:val="00432DAC"/>
    <w:rsid w:val="004339EB"/>
    <w:rsid w:val="00436F02"/>
    <w:rsid w:val="00444B04"/>
    <w:rsid w:val="0044517B"/>
    <w:rsid w:val="0044729D"/>
    <w:rsid w:val="004542B8"/>
    <w:rsid w:val="00463923"/>
    <w:rsid w:val="00464B5F"/>
    <w:rsid w:val="00465BE5"/>
    <w:rsid w:val="004726D3"/>
    <w:rsid w:val="00474154"/>
    <w:rsid w:val="00474B68"/>
    <w:rsid w:val="004775BA"/>
    <w:rsid w:val="004818D7"/>
    <w:rsid w:val="004818EB"/>
    <w:rsid w:val="00482CD8"/>
    <w:rsid w:val="004834B6"/>
    <w:rsid w:val="00492B99"/>
    <w:rsid w:val="004949BA"/>
    <w:rsid w:val="004A3499"/>
    <w:rsid w:val="004A3846"/>
    <w:rsid w:val="004A59B6"/>
    <w:rsid w:val="004A6B2B"/>
    <w:rsid w:val="004C23E4"/>
    <w:rsid w:val="004D4F7E"/>
    <w:rsid w:val="004E330E"/>
    <w:rsid w:val="004E591D"/>
    <w:rsid w:val="004E6FB0"/>
    <w:rsid w:val="004F31C5"/>
    <w:rsid w:val="004F377E"/>
    <w:rsid w:val="004F7EDC"/>
    <w:rsid w:val="00502EB0"/>
    <w:rsid w:val="005049E1"/>
    <w:rsid w:val="00507CA9"/>
    <w:rsid w:val="005102A1"/>
    <w:rsid w:val="0051135E"/>
    <w:rsid w:val="00511B30"/>
    <w:rsid w:val="005146C1"/>
    <w:rsid w:val="00515B78"/>
    <w:rsid w:val="00516A0D"/>
    <w:rsid w:val="00522D60"/>
    <w:rsid w:val="00530415"/>
    <w:rsid w:val="00533D58"/>
    <w:rsid w:val="005342C2"/>
    <w:rsid w:val="0053479D"/>
    <w:rsid w:val="00535072"/>
    <w:rsid w:val="005363B1"/>
    <w:rsid w:val="00545CD8"/>
    <w:rsid w:val="00556660"/>
    <w:rsid w:val="005575CD"/>
    <w:rsid w:val="00557E1D"/>
    <w:rsid w:val="00560D4E"/>
    <w:rsid w:val="00561433"/>
    <w:rsid w:val="00562298"/>
    <w:rsid w:val="005642FA"/>
    <w:rsid w:val="0057235B"/>
    <w:rsid w:val="00572956"/>
    <w:rsid w:val="00583F4A"/>
    <w:rsid w:val="00587F1E"/>
    <w:rsid w:val="00592218"/>
    <w:rsid w:val="005922C0"/>
    <w:rsid w:val="005970B1"/>
    <w:rsid w:val="0059727A"/>
    <w:rsid w:val="00597A38"/>
    <w:rsid w:val="005A17D4"/>
    <w:rsid w:val="005A2F48"/>
    <w:rsid w:val="005A57E6"/>
    <w:rsid w:val="005B0B6F"/>
    <w:rsid w:val="005B2835"/>
    <w:rsid w:val="005B2838"/>
    <w:rsid w:val="005B7D3B"/>
    <w:rsid w:val="005C1E3E"/>
    <w:rsid w:val="005C4A2E"/>
    <w:rsid w:val="005C6E59"/>
    <w:rsid w:val="005D23A6"/>
    <w:rsid w:val="005D2D4F"/>
    <w:rsid w:val="005D3D7A"/>
    <w:rsid w:val="005D6096"/>
    <w:rsid w:val="005E24F2"/>
    <w:rsid w:val="005E69FF"/>
    <w:rsid w:val="005F14B1"/>
    <w:rsid w:val="005F70F7"/>
    <w:rsid w:val="005F745D"/>
    <w:rsid w:val="006001CC"/>
    <w:rsid w:val="006022C1"/>
    <w:rsid w:val="006028B8"/>
    <w:rsid w:val="00604E42"/>
    <w:rsid w:val="00605F77"/>
    <w:rsid w:val="00607EFC"/>
    <w:rsid w:val="00614BAE"/>
    <w:rsid w:val="006158A0"/>
    <w:rsid w:val="0062075F"/>
    <w:rsid w:val="006214A1"/>
    <w:rsid w:val="00621920"/>
    <w:rsid w:val="0062483C"/>
    <w:rsid w:val="006257C2"/>
    <w:rsid w:val="00633255"/>
    <w:rsid w:val="00634C97"/>
    <w:rsid w:val="006369B4"/>
    <w:rsid w:val="00636A68"/>
    <w:rsid w:val="0064010A"/>
    <w:rsid w:val="00642C11"/>
    <w:rsid w:val="00646F82"/>
    <w:rsid w:val="0065328B"/>
    <w:rsid w:val="00654EF2"/>
    <w:rsid w:val="006575BD"/>
    <w:rsid w:val="00657783"/>
    <w:rsid w:val="0066326E"/>
    <w:rsid w:val="006634E5"/>
    <w:rsid w:val="00665ACB"/>
    <w:rsid w:val="00667A70"/>
    <w:rsid w:val="00672098"/>
    <w:rsid w:val="00672B4E"/>
    <w:rsid w:val="00673939"/>
    <w:rsid w:val="0067620B"/>
    <w:rsid w:val="00677991"/>
    <w:rsid w:val="00677A1B"/>
    <w:rsid w:val="00680368"/>
    <w:rsid w:val="0068144B"/>
    <w:rsid w:val="00681EB8"/>
    <w:rsid w:val="00685BA7"/>
    <w:rsid w:val="00694793"/>
    <w:rsid w:val="00694C10"/>
    <w:rsid w:val="006963F3"/>
    <w:rsid w:val="00697943"/>
    <w:rsid w:val="006A0743"/>
    <w:rsid w:val="006A2722"/>
    <w:rsid w:val="006A4DCA"/>
    <w:rsid w:val="006B076E"/>
    <w:rsid w:val="006B2DCD"/>
    <w:rsid w:val="006C142E"/>
    <w:rsid w:val="006C359E"/>
    <w:rsid w:val="006C41C1"/>
    <w:rsid w:val="006C68BB"/>
    <w:rsid w:val="006C70C1"/>
    <w:rsid w:val="006D0CFB"/>
    <w:rsid w:val="006D3CA9"/>
    <w:rsid w:val="006D689B"/>
    <w:rsid w:val="006E1D3F"/>
    <w:rsid w:val="006E2B43"/>
    <w:rsid w:val="006E2D69"/>
    <w:rsid w:val="006E3206"/>
    <w:rsid w:val="006E461B"/>
    <w:rsid w:val="006F19CD"/>
    <w:rsid w:val="006F2D9D"/>
    <w:rsid w:val="006F3794"/>
    <w:rsid w:val="006F49F8"/>
    <w:rsid w:val="00705B2E"/>
    <w:rsid w:val="0070675F"/>
    <w:rsid w:val="00706D1C"/>
    <w:rsid w:val="00713ABE"/>
    <w:rsid w:val="00716BE5"/>
    <w:rsid w:val="0072069C"/>
    <w:rsid w:val="0072517B"/>
    <w:rsid w:val="007277B9"/>
    <w:rsid w:val="00730B4C"/>
    <w:rsid w:val="00732456"/>
    <w:rsid w:val="007365B5"/>
    <w:rsid w:val="00740F5B"/>
    <w:rsid w:val="00742277"/>
    <w:rsid w:val="007424CD"/>
    <w:rsid w:val="00742E0E"/>
    <w:rsid w:val="00743217"/>
    <w:rsid w:val="007447FF"/>
    <w:rsid w:val="007456F0"/>
    <w:rsid w:val="0074595C"/>
    <w:rsid w:val="00746423"/>
    <w:rsid w:val="0075120C"/>
    <w:rsid w:val="00751B43"/>
    <w:rsid w:val="00752217"/>
    <w:rsid w:val="00756703"/>
    <w:rsid w:val="00761A79"/>
    <w:rsid w:val="00764681"/>
    <w:rsid w:val="00775D0D"/>
    <w:rsid w:val="00777E3D"/>
    <w:rsid w:val="00777FAD"/>
    <w:rsid w:val="0078131E"/>
    <w:rsid w:val="00782432"/>
    <w:rsid w:val="0078271A"/>
    <w:rsid w:val="00783D65"/>
    <w:rsid w:val="007857AC"/>
    <w:rsid w:val="00791326"/>
    <w:rsid w:val="00791E7E"/>
    <w:rsid w:val="007936D6"/>
    <w:rsid w:val="00793DB9"/>
    <w:rsid w:val="007B126F"/>
    <w:rsid w:val="007B3A82"/>
    <w:rsid w:val="007B5C17"/>
    <w:rsid w:val="007C0369"/>
    <w:rsid w:val="007C30FE"/>
    <w:rsid w:val="007D3CDD"/>
    <w:rsid w:val="007D5A6D"/>
    <w:rsid w:val="007D5E7D"/>
    <w:rsid w:val="007D603B"/>
    <w:rsid w:val="007D687C"/>
    <w:rsid w:val="007E1DE7"/>
    <w:rsid w:val="007F16AC"/>
    <w:rsid w:val="007F2254"/>
    <w:rsid w:val="007F7C47"/>
    <w:rsid w:val="0080168E"/>
    <w:rsid w:val="0080418B"/>
    <w:rsid w:val="00805FAC"/>
    <w:rsid w:val="0080608B"/>
    <w:rsid w:val="00806D62"/>
    <w:rsid w:val="00816005"/>
    <w:rsid w:val="008214B6"/>
    <w:rsid w:val="0082621B"/>
    <w:rsid w:val="0082726C"/>
    <w:rsid w:val="00834DCB"/>
    <w:rsid w:val="00835CB2"/>
    <w:rsid w:val="00840CB8"/>
    <w:rsid w:val="00841ED2"/>
    <w:rsid w:val="0084252C"/>
    <w:rsid w:val="0084327E"/>
    <w:rsid w:val="00844394"/>
    <w:rsid w:val="008454FF"/>
    <w:rsid w:val="00847328"/>
    <w:rsid w:val="00852DEE"/>
    <w:rsid w:val="00855EAB"/>
    <w:rsid w:val="00863346"/>
    <w:rsid w:val="008639C7"/>
    <w:rsid w:val="0086423E"/>
    <w:rsid w:val="00864B00"/>
    <w:rsid w:val="00865125"/>
    <w:rsid w:val="00866FDE"/>
    <w:rsid w:val="00871AAB"/>
    <w:rsid w:val="0087218B"/>
    <w:rsid w:val="00872CCC"/>
    <w:rsid w:val="00873FB9"/>
    <w:rsid w:val="0087452E"/>
    <w:rsid w:val="00880A54"/>
    <w:rsid w:val="00881688"/>
    <w:rsid w:val="00883636"/>
    <w:rsid w:val="00886D96"/>
    <w:rsid w:val="00892C5F"/>
    <w:rsid w:val="0089312E"/>
    <w:rsid w:val="00893381"/>
    <w:rsid w:val="008964E5"/>
    <w:rsid w:val="008A0539"/>
    <w:rsid w:val="008A4829"/>
    <w:rsid w:val="008A5D0E"/>
    <w:rsid w:val="008B0CB8"/>
    <w:rsid w:val="008B2A79"/>
    <w:rsid w:val="008B2D86"/>
    <w:rsid w:val="008B5448"/>
    <w:rsid w:val="008B7DD6"/>
    <w:rsid w:val="008C0C61"/>
    <w:rsid w:val="008C2987"/>
    <w:rsid w:val="008C428E"/>
    <w:rsid w:val="008C44D7"/>
    <w:rsid w:val="008D2488"/>
    <w:rsid w:val="008D2845"/>
    <w:rsid w:val="008D32FF"/>
    <w:rsid w:val="008D455D"/>
    <w:rsid w:val="008D6077"/>
    <w:rsid w:val="008D6162"/>
    <w:rsid w:val="008D7EAE"/>
    <w:rsid w:val="008E1CEA"/>
    <w:rsid w:val="008E4005"/>
    <w:rsid w:val="008F3EBA"/>
    <w:rsid w:val="008F428D"/>
    <w:rsid w:val="008F7814"/>
    <w:rsid w:val="00900F36"/>
    <w:rsid w:val="00902541"/>
    <w:rsid w:val="00902A5B"/>
    <w:rsid w:val="00907C86"/>
    <w:rsid w:val="009132CA"/>
    <w:rsid w:val="00915E14"/>
    <w:rsid w:val="00923A85"/>
    <w:rsid w:val="00925593"/>
    <w:rsid w:val="00927937"/>
    <w:rsid w:val="00931762"/>
    <w:rsid w:val="00934160"/>
    <w:rsid w:val="00935004"/>
    <w:rsid w:val="0094405F"/>
    <w:rsid w:val="0094638B"/>
    <w:rsid w:val="00947677"/>
    <w:rsid w:val="00952068"/>
    <w:rsid w:val="009539AD"/>
    <w:rsid w:val="00955F0F"/>
    <w:rsid w:val="00956A1E"/>
    <w:rsid w:val="009571E7"/>
    <w:rsid w:val="00960C43"/>
    <w:rsid w:val="009655EF"/>
    <w:rsid w:val="00965C94"/>
    <w:rsid w:val="0096715A"/>
    <w:rsid w:val="009731AB"/>
    <w:rsid w:val="009756C2"/>
    <w:rsid w:val="00976A52"/>
    <w:rsid w:val="00981804"/>
    <w:rsid w:val="009826B2"/>
    <w:rsid w:val="00987527"/>
    <w:rsid w:val="009903BA"/>
    <w:rsid w:val="00992840"/>
    <w:rsid w:val="00992B57"/>
    <w:rsid w:val="00993485"/>
    <w:rsid w:val="009A1CD6"/>
    <w:rsid w:val="009A22DD"/>
    <w:rsid w:val="009A6740"/>
    <w:rsid w:val="009B121C"/>
    <w:rsid w:val="009B1B4B"/>
    <w:rsid w:val="009B1D56"/>
    <w:rsid w:val="009B26C4"/>
    <w:rsid w:val="009B30F8"/>
    <w:rsid w:val="009B572A"/>
    <w:rsid w:val="009B7B08"/>
    <w:rsid w:val="009B7BDC"/>
    <w:rsid w:val="009C0B6B"/>
    <w:rsid w:val="009C3B34"/>
    <w:rsid w:val="009C3EFD"/>
    <w:rsid w:val="009C4E5B"/>
    <w:rsid w:val="009C4F70"/>
    <w:rsid w:val="009C673F"/>
    <w:rsid w:val="009D0019"/>
    <w:rsid w:val="009D2A50"/>
    <w:rsid w:val="009D336C"/>
    <w:rsid w:val="009E0235"/>
    <w:rsid w:val="009E7C97"/>
    <w:rsid w:val="009E7DDA"/>
    <w:rsid w:val="009F2CF0"/>
    <w:rsid w:val="009F58FE"/>
    <w:rsid w:val="009F5BFE"/>
    <w:rsid w:val="00A0226B"/>
    <w:rsid w:val="00A02809"/>
    <w:rsid w:val="00A0638C"/>
    <w:rsid w:val="00A06968"/>
    <w:rsid w:val="00A12D94"/>
    <w:rsid w:val="00A31234"/>
    <w:rsid w:val="00A36CDC"/>
    <w:rsid w:val="00A45DD7"/>
    <w:rsid w:val="00A50E6D"/>
    <w:rsid w:val="00A52744"/>
    <w:rsid w:val="00A54037"/>
    <w:rsid w:val="00A5619F"/>
    <w:rsid w:val="00A57935"/>
    <w:rsid w:val="00A57BAB"/>
    <w:rsid w:val="00A6451A"/>
    <w:rsid w:val="00A6474A"/>
    <w:rsid w:val="00A65CE8"/>
    <w:rsid w:val="00A72BAA"/>
    <w:rsid w:val="00A801A1"/>
    <w:rsid w:val="00A835C5"/>
    <w:rsid w:val="00A879D1"/>
    <w:rsid w:val="00A937D3"/>
    <w:rsid w:val="00A94292"/>
    <w:rsid w:val="00A94D0A"/>
    <w:rsid w:val="00A97464"/>
    <w:rsid w:val="00AA1B50"/>
    <w:rsid w:val="00AA3D2D"/>
    <w:rsid w:val="00AA4A20"/>
    <w:rsid w:val="00AA512A"/>
    <w:rsid w:val="00AA6516"/>
    <w:rsid w:val="00AA70BD"/>
    <w:rsid w:val="00AB0075"/>
    <w:rsid w:val="00AB33E6"/>
    <w:rsid w:val="00AC0F7F"/>
    <w:rsid w:val="00AC2ED6"/>
    <w:rsid w:val="00AC46A7"/>
    <w:rsid w:val="00AD08C6"/>
    <w:rsid w:val="00AD2408"/>
    <w:rsid w:val="00AD364F"/>
    <w:rsid w:val="00AD37BE"/>
    <w:rsid w:val="00AD7EB5"/>
    <w:rsid w:val="00AE04B1"/>
    <w:rsid w:val="00AE0737"/>
    <w:rsid w:val="00AE077C"/>
    <w:rsid w:val="00AF3DB7"/>
    <w:rsid w:val="00AF43AB"/>
    <w:rsid w:val="00B013CE"/>
    <w:rsid w:val="00B014CA"/>
    <w:rsid w:val="00B039B7"/>
    <w:rsid w:val="00B0628E"/>
    <w:rsid w:val="00B20553"/>
    <w:rsid w:val="00B2064A"/>
    <w:rsid w:val="00B22D2B"/>
    <w:rsid w:val="00B22FD1"/>
    <w:rsid w:val="00B2439C"/>
    <w:rsid w:val="00B2485D"/>
    <w:rsid w:val="00B26924"/>
    <w:rsid w:val="00B27800"/>
    <w:rsid w:val="00B32C82"/>
    <w:rsid w:val="00B33A95"/>
    <w:rsid w:val="00B40C98"/>
    <w:rsid w:val="00B43912"/>
    <w:rsid w:val="00B4492B"/>
    <w:rsid w:val="00B46596"/>
    <w:rsid w:val="00B53541"/>
    <w:rsid w:val="00B54326"/>
    <w:rsid w:val="00B54E55"/>
    <w:rsid w:val="00B62799"/>
    <w:rsid w:val="00B6404D"/>
    <w:rsid w:val="00B66237"/>
    <w:rsid w:val="00B674A3"/>
    <w:rsid w:val="00B678F1"/>
    <w:rsid w:val="00B707A9"/>
    <w:rsid w:val="00B73CFD"/>
    <w:rsid w:val="00B74D22"/>
    <w:rsid w:val="00B7581A"/>
    <w:rsid w:val="00B764BF"/>
    <w:rsid w:val="00B83965"/>
    <w:rsid w:val="00B85DA1"/>
    <w:rsid w:val="00B87D64"/>
    <w:rsid w:val="00B93465"/>
    <w:rsid w:val="00BA20F0"/>
    <w:rsid w:val="00BA4E21"/>
    <w:rsid w:val="00BA5365"/>
    <w:rsid w:val="00BA59DF"/>
    <w:rsid w:val="00BA6BC7"/>
    <w:rsid w:val="00BB1096"/>
    <w:rsid w:val="00BC0EBE"/>
    <w:rsid w:val="00BC2577"/>
    <w:rsid w:val="00BC6AD1"/>
    <w:rsid w:val="00BC7ECE"/>
    <w:rsid w:val="00BD33A3"/>
    <w:rsid w:val="00BD668F"/>
    <w:rsid w:val="00BD7FC2"/>
    <w:rsid w:val="00BE272A"/>
    <w:rsid w:val="00BE3244"/>
    <w:rsid w:val="00BE3938"/>
    <w:rsid w:val="00BE5A69"/>
    <w:rsid w:val="00BE750E"/>
    <w:rsid w:val="00BF425F"/>
    <w:rsid w:val="00BF4FB3"/>
    <w:rsid w:val="00BF7C03"/>
    <w:rsid w:val="00BF7DB6"/>
    <w:rsid w:val="00C01D64"/>
    <w:rsid w:val="00C036B7"/>
    <w:rsid w:val="00C04EB8"/>
    <w:rsid w:val="00C052CA"/>
    <w:rsid w:val="00C13E1A"/>
    <w:rsid w:val="00C15FCB"/>
    <w:rsid w:val="00C21D61"/>
    <w:rsid w:val="00C21E24"/>
    <w:rsid w:val="00C25F28"/>
    <w:rsid w:val="00C26C95"/>
    <w:rsid w:val="00C30D44"/>
    <w:rsid w:val="00C32F4C"/>
    <w:rsid w:val="00C32FD0"/>
    <w:rsid w:val="00C340BE"/>
    <w:rsid w:val="00C348E2"/>
    <w:rsid w:val="00C412DC"/>
    <w:rsid w:val="00C4131A"/>
    <w:rsid w:val="00C468BB"/>
    <w:rsid w:val="00C52E95"/>
    <w:rsid w:val="00C534A2"/>
    <w:rsid w:val="00C56D59"/>
    <w:rsid w:val="00C575B2"/>
    <w:rsid w:val="00C61883"/>
    <w:rsid w:val="00C63ABB"/>
    <w:rsid w:val="00C64164"/>
    <w:rsid w:val="00C6785E"/>
    <w:rsid w:val="00C72658"/>
    <w:rsid w:val="00C770A9"/>
    <w:rsid w:val="00C84B12"/>
    <w:rsid w:val="00C8588B"/>
    <w:rsid w:val="00C85D09"/>
    <w:rsid w:val="00C8768E"/>
    <w:rsid w:val="00C87A96"/>
    <w:rsid w:val="00C87F1F"/>
    <w:rsid w:val="00CA34D5"/>
    <w:rsid w:val="00CA391B"/>
    <w:rsid w:val="00CA7799"/>
    <w:rsid w:val="00CA7892"/>
    <w:rsid w:val="00CA7ADD"/>
    <w:rsid w:val="00CB16CC"/>
    <w:rsid w:val="00CB42CC"/>
    <w:rsid w:val="00CB6850"/>
    <w:rsid w:val="00CC1C2A"/>
    <w:rsid w:val="00CC2B98"/>
    <w:rsid w:val="00CC2F7C"/>
    <w:rsid w:val="00CD593F"/>
    <w:rsid w:val="00CE004D"/>
    <w:rsid w:val="00CE0586"/>
    <w:rsid w:val="00CE16AF"/>
    <w:rsid w:val="00CE46EC"/>
    <w:rsid w:val="00CE731B"/>
    <w:rsid w:val="00CF0D64"/>
    <w:rsid w:val="00CF16AB"/>
    <w:rsid w:val="00CF1F9D"/>
    <w:rsid w:val="00CF20CE"/>
    <w:rsid w:val="00CF4720"/>
    <w:rsid w:val="00D06F37"/>
    <w:rsid w:val="00D10D3C"/>
    <w:rsid w:val="00D1318D"/>
    <w:rsid w:val="00D15AB8"/>
    <w:rsid w:val="00D15E0E"/>
    <w:rsid w:val="00D1642D"/>
    <w:rsid w:val="00D16A36"/>
    <w:rsid w:val="00D17103"/>
    <w:rsid w:val="00D21548"/>
    <w:rsid w:val="00D22582"/>
    <w:rsid w:val="00D22A43"/>
    <w:rsid w:val="00D27792"/>
    <w:rsid w:val="00D34004"/>
    <w:rsid w:val="00D3452B"/>
    <w:rsid w:val="00D41611"/>
    <w:rsid w:val="00D41F27"/>
    <w:rsid w:val="00D42D51"/>
    <w:rsid w:val="00D43119"/>
    <w:rsid w:val="00D44710"/>
    <w:rsid w:val="00D4715F"/>
    <w:rsid w:val="00D52766"/>
    <w:rsid w:val="00D529CA"/>
    <w:rsid w:val="00D5303B"/>
    <w:rsid w:val="00D61357"/>
    <w:rsid w:val="00D6390E"/>
    <w:rsid w:val="00D7002C"/>
    <w:rsid w:val="00D702F1"/>
    <w:rsid w:val="00D73EC3"/>
    <w:rsid w:val="00D75679"/>
    <w:rsid w:val="00D758AC"/>
    <w:rsid w:val="00D75E66"/>
    <w:rsid w:val="00D76F88"/>
    <w:rsid w:val="00D850B6"/>
    <w:rsid w:val="00D86869"/>
    <w:rsid w:val="00D87F73"/>
    <w:rsid w:val="00D934F7"/>
    <w:rsid w:val="00D95E34"/>
    <w:rsid w:val="00D960B5"/>
    <w:rsid w:val="00DA0CE0"/>
    <w:rsid w:val="00DA0EEF"/>
    <w:rsid w:val="00DA4D15"/>
    <w:rsid w:val="00DB2E54"/>
    <w:rsid w:val="00DB412F"/>
    <w:rsid w:val="00DB4F6D"/>
    <w:rsid w:val="00DB5026"/>
    <w:rsid w:val="00DB580E"/>
    <w:rsid w:val="00DB6160"/>
    <w:rsid w:val="00DB6B54"/>
    <w:rsid w:val="00DC4FEE"/>
    <w:rsid w:val="00DC5686"/>
    <w:rsid w:val="00DC6A04"/>
    <w:rsid w:val="00DD32F8"/>
    <w:rsid w:val="00DD6D17"/>
    <w:rsid w:val="00DE0504"/>
    <w:rsid w:val="00DE4026"/>
    <w:rsid w:val="00DE5373"/>
    <w:rsid w:val="00DE6548"/>
    <w:rsid w:val="00DE673C"/>
    <w:rsid w:val="00DF00DB"/>
    <w:rsid w:val="00DF02A3"/>
    <w:rsid w:val="00DF44AC"/>
    <w:rsid w:val="00DF780D"/>
    <w:rsid w:val="00E0149E"/>
    <w:rsid w:val="00E02692"/>
    <w:rsid w:val="00E03282"/>
    <w:rsid w:val="00E032BB"/>
    <w:rsid w:val="00E0457E"/>
    <w:rsid w:val="00E04A33"/>
    <w:rsid w:val="00E13734"/>
    <w:rsid w:val="00E1470F"/>
    <w:rsid w:val="00E15220"/>
    <w:rsid w:val="00E15EA0"/>
    <w:rsid w:val="00E207B2"/>
    <w:rsid w:val="00E238BE"/>
    <w:rsid w:val="00E23CAE"/>
    <w:rsid w:val="00E24B56"/>
    <w:rsid w:val="00E254B2"/>
    <w:rsid w:val="00E300F9"/>
    <w:rsid w:val="00E36DB9"/>
    <w:rsid w:val="00E37522"/>
    <w:rsid w:val="00E375D2"/>
    <w:rsid w:val="00E4634C"/>
    <w:rsid w:val="00E5283D"/>
    <w:rsid w:val="00E53E1F"/>
    <w:rsid w:val="00E601FA"/>
    <w:rsid w:val="00E60266"/>
    <w:rsid w:val="00E61463"/>
    <w:rsid w:val="00E6458E"/>
    <w:rsid w:val="00E66730"/>
    <w:rsid w:val="00E71773"/>
    <w:rsid w:val="00E8038E"/>
    <w:rsid w:val="00E928B7"/>
    <w:rsid w:val="00E93822"/>
    <w:rsid w:val="00E93A26"/>
    <w:rsid w:val="00EA0115"/>
    <w:rsid w:val="00EA124A"/>
    <w:rsid w:val="00EA1C1B"/>
    <w:rsid w:val="00EA273C"/>
    <w:rsid w:val="00EA2B47"/>
    <w:rsid w:val="00EA607C"/>
    <w:rsid w:val="00EA65BF"/>
    <w:rsid w:val="00EB48C5"/>
    <w:rsid w:val="00EB5B54"/>
    <w:rsid w:val="00EB5BAA"/>
    <w:rsid w:val="00EC47FF"/>
    <w:rsid w:val="00EC49A3"/>
    <w:rsid w:val="00ED00A2"/>
    <w:rsid w:val="00ED2D75"/>
    <w:rsid w:val="00ED4A11"/>
    <w:rsid w:val="00ED5807"/>
    <w:rsid w:val="00ED6F17"/>
    <w:rsid w:val="00ED7017"/>
    <w:rsid w:val="00ED7C0C"/>
    <w:rsid w:val="00EE0858"/>
    <w:rsid w:val="00EF4231"/>
    <w:rsid w:val="00EF6481"/>
    <w:rsid w:val="00EF76C7"/>
    <w:rsid w:val="00EF7D4A"/>
    <w:rsid w:val="00F043B0"/>
    <w:rsid w:val="00F07620"/>
    <w:rsid w:val="00F15554"/>
    <w:rsid w:val="00F158A0"/>
    <w:rsid w:val="00F22776"/>
    <w:rsid w:val="00F23529"/>
    <w:rsid w:val="00F244D7"/>
    <w:rsid w:val="00F26674"/>
    <w:rsid w:val="00F26A8C"/>
    <w:rsid w:val="00F27146"/>
    <w:rsid w:val="00F3162B"/>
    <w:rsid w:val="00F317A4"/>
    <w:rsid w:val="00F36F1A"/>
    <w:rsid w:val="00F37EA1"/>
    <w:rsid w:val="00F40070"/>
    <w:rsid w:val="00F41952"/>
    <w:rsid w:val="00F436C6"/>
    <w:rsid w:val="00F55849"/>
    <w:rsid w:val="00F62BFE"/>
    <w:rsid w:val="00F64AA8"/>
    <w:rsid w:val="00F70F9A"/>
    <w:rsid w:val="00F7158B"/>
    <w:rsid w:val="00F71AEA"/>
    <w:rsid w:val="00F72275"/>
    <w:rsid w:val="00F73B69"/>
    <w:rsid w:val="00F741F5"/>
    <w:rsid w:val="00F75AF5"/>
    <w:rsid w:val="00F773D6"/>
    <w:rsid w:val="00F80228"/>
    <w:rsid w:val="00F80CEA"/>
    <w:rsid w:val="00F83AF7"/>
    <w:rsid w:val="00F83E7F"/>
    <w:rsid w:val="00F85EC5"/>
    <w:rsid w:val="00F860E1"/>
    <w:rsid w:val="00F90451"/>
    <w:rsid w:val="00F90B74"/>
    <w:rsid w:val="00F9300D"/>
    <w:rsid w:val="00FA0856"/>
    <w:rsid w:val="00FA11BD"/>
    <w:rsid w:val="00FA4487"/>
    <w:rsid w:val="00FA52A7"/>
    <w:rsid w:val="00FA663C"/>
    <w:rsid w:val="00FB00DD"/>
    <w:rsid w:val="00FB048E"/>
    <w:rsid w:val="00FB140D"/>
    <w:rsid w:val="00FD25BA"/>
    <w:rsid w:val="00FD363F"/>
    <w:rsid w:val="00FE30FC"/>
    <w:rsid w:val="00FF1960"/>
    <w:rsid w:val="00FF36C0"/>
    <w:rsid w:val="00FF415A"/>
    <w:rsid w:val="00F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  <w:style w:type="character" w:customStyle="1" w:styleId="apple-converted-space">
    <w:name w:val="apple-converted-space"/>
    <w:basedOn w:val="Policepardfaut"/>
    <w:rsid w:val="00336C75"/>
  </w:style>
  <w:style w:type="paragraph" w:styleId="NormalWeb">
    <w:name w:val="Normal (Web)"/>
    <w:basedOn w:val="Normal"/>
    <w:uiPriority w:val="99"/>
    <w:semiHidden/>
    <w:unhideWhenUsed/>
    <w:rsid w:val="00336C75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Sansinterligne">
    <w:name w:val="No Spacing"/>
    <w:uiPriority w:val="1"/>
    <w:qFormat/>
    <w:rsid w:val="002229ED"/>
    <w:pPr>
      <w:bidi/>
    </w:pPr>
    <w:rPr>
      <w:rFonts w:ascii="Times New Roman" w:eastAsia="Times New Roman" w:hAnsi="Times New Roman" w:cs="Traditional Arabic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%20-%20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%20-%20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2%202015\Fichiers%20relatifs%20au%20deuxi&#233;me%20trimestre%202015\Grafiques%20des%20notes%20emploi%20__jamal%20-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65000</c:v>
                </c:pt>
                <c:pt idx="1">
                  <c:v>60000</c:v>
                </c:pt>
                <c:pt idx="2">
                  <c:v>125000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0</c:formatCode>
                <c:ptCount val="3"/>
                <c:pt idx="0">
                  <c:v>7000</c:v>
                </c:pt>
                <c:pt idx="1">
                  <c:v>-94000</c:v>
                </c:pt>
                <c:pt idx="2">
                  <c:v>-87000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72000</c:v>
                </c:pt>
                <c:pt idx="1">
                  <c:v>-34000</c:v>
                </c:pt>
                <c:pt idx="2">
                  <c:v>38000</c:v>
                </c:pt>
              </c:numCache>
            </c:numRef>
          </c:val>
        </c:ser>
        <c:gapWidth val="190"/>
        <c:overlap val="-10"/>
        <c:axId val="98131968"/>
        <c:axId val="98133504"/>
      </c:barChart>
      <c:catAx>
        <c:axId val="98131968"/>
        <c:scaling>
          <c:orientation val="minMax"/>
        </c:scaling>
        <c:axPos val="b"/>
        <c:tickLblPos val="low"/>
        <c:crossAx val="98133504"/>
        <c:crosses val="autoZero"/>
        <c:auto val="1"/>
        <c:lblAlgn val="ctr"/>
        <c:lblOffset val="100"/>
      </c:catAx>
      <c:valAx>
        <c:axId val="98133504"/>
        <c:scaling>
          <c:orientation val="minMax"/>
        </c:scaling>
        <c:delete val="1"/>
        <c:axPos val="l"/>
        <c:numFmt formatCode="General" sourceLinked="1"/>
        <c:tickLblPos val="none"/>
        <c:crossAx val="98131968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32"/>
          <c:h val="0.62701443569554494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Emploi__secteur!$I$3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Emploi__secteur!$J$3:$M$3</c:f>
              <c:numCache>
                <c:formatCode>General</c:formatCode>
                <c:ptCount val="4"/>
                <c:pt idx="0">
                  <c:v>3000</c:v>
                </c:pt>
                <c:pt idx="1">
                  <c:v>2000</c:v>
                </c:pt>
                <c:pt idx="2">
                  <c:v>2000</c:v>
                </c:pt>
                <c:pt idx="3">
                  <c:v>65000</c:v>
                </c:pt>
              </c:numCache>
            </c:numRef>
          </c:val>
        </c:ser>
        <c:ser>
          <c:idx val="1"/>
          <c:order val="1"/>
          <c:tx>
            <c:strRef>
              <c:f>Emploi__secteur!$I$4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Emploi__secteur!$J$4:$M$4</c:f>
              <c:numCache>
                <c:formatCode>General</c:formatCode>
                <c:ptCount val="4"/>
                <c:pt idx="0">
                  <c:v>-61000</c:v>
                </c:pt>
                <c:pt idx="1">
                  <c:v>12000</c:v>
                </c:pt>
                <c:pt idx="2">
                  <c:v>14000</c:v>
                </c:pt>
                <c:pt idx="3">
                  <c:v>1000</c:v>
                </c:pt>
              </c:numCache>
            </c:numRef>
          </c:val>
        </c:ser>
        <c:ser>
          <c:idx val="2"/>
          <c:order val="2"/>
          <c:tx>
            <c:strRef>
              <c:f>Emploi__secteur!$I$5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Emploi__secteur!$J$5:$M$5</c:f>
              <c:numCache>
                <c:formatCode>General</c:formatCode>
                <c:ptCount val="4"/>
                <c:pt idx="0">
                  <c:v>-58000</c:v>
                </c:pt>
                <c:pt idx="1">
                  <c:v>14000</c:v>
                </c:pt>
                <c:pt idx="2">
                  <c:v>16000</c:v>
                </c:pt>
                <c:pt idx="3">
                  <c:v>66000</c:v>
                </c:pt>
              </c:numCache>
            </c:numRef>
          </c:val>
        </c:ser>
        <c:gapWidth val="70"/>
        <c:overlap val="-10"/>
        <c:axId val="99651584"/>
        <c:axId val="99653120"/>
      </c:barChart>
      <c:catAx>
        <c:axId val="99651584"/>
        <c:scaling>
          <c:orientation val="minMax"/>
        </c:scaling>
        <c:axPos val="b"/>
        <c:tickLblPos val="low"/>
        <c:crossAx val="99653120"/>
        <c:crosses val="autoZero"/>
        <c:auto val="1"/>
        <c:lblAlgn val="ctr"/>
        <c:lblOffset val="100"/>
      </c:catAx>
      <c:valAx>
        <c:axId val="99653120"/>
        <c:scaling>
          <c:orientation val="minMax"/>
        </c:scaling>
        <c:delete val="1"/>
        <c:axPos val="l"/>
        <c:numFmt formatCode="General" sourceLinked="1"/>
        <c:tickLblPos val="none"/>
        <c:crossAx val="9965158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T_chômage!$B$3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3.6111111111111212E-2"/>
                  <c:y val="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2.7777777777778363E-2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8.3333333333333367E-3"/>
                  <c:y val="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388888888888907E-2"/>
                  <c:y val="3.7037037037037056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T_chômage!$C$3:$G$3</c:f>
              <c:numCache>
                <c:formatCode>0.0</c:formatCode>
                <c:ptCount val="5"/>
                <c:pt idx="0">
                  <c:v>13.5</c:v>
                </c:pt>
                <c:pt idx="1">
                  <c:v>12.3</c:v>
                </c:pt>
                <c:pt idx="2">
                  <c:v>13.8</c:v>
                </c:pt>
                <c:pt idx="3">
                  <c:v>14.2</c:v>
                </c:pt>
                <c:pt idx="4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T_chômage!$B$4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8.3333333333333367E-3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1.1111111111111125E-2"/>
                  <c:y val="3.2407407407407857E-2"/>
                </c:manualLayout>
              </c:layout>
              <c:showVal val="1"/>
            </c:dLbl>
            <c:dLbl>
              <c:idx val="3"/>
              <c:layout>
                <c:manualLayout>
                  <c:x val="-2.7777777777778447E-3"/>
                  <c:y val="4.1666666666666761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T_chômage!$C$4:$G$4</c:f>
              <c:numCache>
                <c:formatCode>0.0</c:formatCode>
                <c:ptCount val="5"/>
                <c:pt idx="0">
                  <c:v>3.6</c:v>
                </c:pt>
                <c:pt idx="1">
                  <c:v>3.5</c:v>
                </c:pt>
                <c:pt idx="2">
                  <c:v>3.2</c:v>
                </c:pt>
                <c:pt idx="3">
                  <c:v>3.6</c:v>
                </c:pt>
                <c:pt idx="4">
                  <c:v>3.3</c:v>
                </c:pt>
              </c:numCache>
            </c:numRef>
          </c:val>
        </c:ser>
        <c:ser>
          <c:idx val="2"/>
          <c:order val="2"/>
          <c:tx>
            <c:strRef>
              <c:f>T_chômage!$B$5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1.1111111111111125E-2"/>
                  <c:y val="6.0185185185185085E-2"/>
                </c:manualLayout>
              </c:layout>
              <c:showVal val="1"/>
            </c:dLbl>
            <c:dLbl>
              <c:idx val="1"/>
              <c:layout>
                <c:manualLayout>
                  <c:x val="-5.5555555555555558E-3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8.3333333333333367E-3"/>
                  <c:y val="4.1666666666666713E-2"/>
                </c:manualLayout>
              </c:layout>
              <c:showVal val="1"/>
            </c:dLbl>
            <c:dLbl>
              <c:idx val="3"/>
              <c:layout>
                <c:manualLayout>
                  <c:x val="-1.388888888888907E-2"/>
                  <c:y val="4.1666666666666664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T_chômage!$C$5:$G$5</c:f>
              <c:numCache>
                <c:formatCode>0.0</c:formatCode>
                <c:ptCount val="5"/>
                <c:pt idx="0">
                  <c:v>8.8000000000000007</c:v>
                </c:pt>
                <c:pt idx="1">
                  <c:v>8.1</c:v>
                </c:pt>
                <c:pt idx="2">
                  <c:v>8.8000000000000007</c:v>
                </c:pt>
                <c:pt idx="3">
                  <c:v>9.3000000000000007</c:v>
                </c:pt>
                <c:pt idx="4">
                  <c:v>8.7000000000000011</c:v>
                </c:pt>
              </c:numCache>
            </c:numRef>
          </c:val>
        </c:ser>
        <c:marker val="1"/>
        <c:axId val="99671424"/>
        <c:axId val="99705984"/>
      </c:lineChart>
      <c:catAx>
        <c:axId val="99671424"/>
        <c:scaling>
          <c:orientation val="minMax"/>
        </c:scaling>
        <c:axPos val="b"/>
        <c:numFmt formatCode="General" sourceLinked="1"/>
        <c:tickLblPos val="nextTo"/>
        <c:crossAx val="99705984"/>
        <c:crosses val="autoZero"/>
        <c:auto val="1"/>
        <c:lblAlgn val="ctr"/>
        <c:lblOffset val="100"/>
      </c:catAx>
      <c:valAx>
        <c:axId val="99705984"/>
        <c:scaling>
          <c:orientation val="minMax"/>
        </c:scaling>
        <c:delete val="1"/>
        <c:axPos val="l"/>
        <c:numFmt formatCode="0.0" sourceLinked="1"/>
        <c:tickLblPos val="none"/>
        <c:crossAx val="9967142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47337871435440038"/>
          <c:y val="4.3835608873155622E-2"/>
          <c:w val="0.48893683885085654"/>
          <c:h val="0.7903628458656401"/>
        </c:manualLayout>
      </c:layout>
      <c:bar3DChart>
        <c:barDir val="bar"/>
        <c:grouping val="clustered"/>
        <c:ser>
          <c:idx val="0"/>
          <c:order val="0"/>
          <c:tx>
            <c:strRef>
              <c:f>T_chômage__dip!$C$1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dLbl>
              <c:idx val="1"/>
              <c:layout>
                <c:manualLayout>
                  <c:x val="-4.0403063506617024E-3"/>
                  <c:y val="1.0250416877190298E-2"/>
                </c:manualLayout>
              </c:layout>
              <c:showVal val="1"/>
            </c:dLbl>
            <c:dLbl>
              <c:idx val="4"/>
              <c:layout>
                <c:manualLayout>
                  <c:x val="-1.2120919051985063E-2"/>
                  <c:y val="2.0500833754380637E-2"/>
                </c:manualLayout>
              </c:layout>
              <c:showVal val="1"/>
            </c:dLbl>
            <c:dLbl>
              <c:idx val="6"/>
              <c:layout>
                <c:manualLayout>
                  <c:x val="-4.0403063506617024E-3"/>
                  <c:y val="-1.025041687719029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T_chômage__dip!$C$2:$C$10</c:f>
              <c:numCache>
                <c:formatCode>#,##0.0</c:formatCode>
                <c:ptCount val="9"/>
                <c:pt idx="0">
                  <c:v>14.6</c:v>
                </c:pt>
                <c:pt idx="1">
                  <c:v>22.4</c:v>
                </c:pt>
                <c:pt idx="2">
                  <c:v>22.5</c:v>
                </c:pt>
                <c:pt idx="3">
                  <c:v>8.5</c:v>
                </c:pt>
                <c:pt idx="4">
                  <c:v>20.100000000000001</c:v>
                </c:pt>
                <c:pt idx="5">
                  <c:v>20.861313484422507</c:v>
                </c:pt>
                <c:pt idx="6">
                  <c:v>18.399999999999999</c:v>
                </c:pt>
                <c:pt idx="7">
                  <c:v>4.0999999999999996</c:v>
                </c:pt>
                <c:pt idx="8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T_chômage__dip!$D$1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dLbl>
              <c:idx val="0"/>
              <c:layout>
                <c:manualLayout>
                  <c:x val="0"/>
                  <c:y val="-4.3835608873155629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3150682661946684E-2"/>
                </c:manualLayout>
              </c:layout>
              <c:showVal val="1"/>
            </c:dLbl>
            <c:dLbl>
              <c:idx val="3"/>
              <c:layout>
                <c:manualLayout>
                  <c:x val="-3.6322358356387545E-3"/>
                  <c:y val="-1.3150682661946684E-2"/>
                </c:manualLayout>
              </c:layout>
              <c:showVal val="1"/>
            </c:dLbl>
            <c:dLbl>
              <c:idx val="4"/>
              <c:layout>
                <c:manualLayout>
                  <c:x val="-4.0403063506617024E-3"/>
                  <c:y val="-4.6980534630645855E-17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0250416877190298E-2"/>
                </c:manualLayout>
              </c:layout>
              <c:showVal val="1"/>
            </c:dLbl>
            <c:dLbl>
              <c:idx val="6"/>
              <c:layout>
                <c:manualLayout>
                  <c:x val="-2.0201531753308451E-3"/>
                  <c:y val="-1.5375625315785624E-2"/>
                </c:manualLayout>
              </c:layout>
              <c:showVal val="1"/>
            </c:dLbl>
            <c:dLbl>
              <c:idx val="7"/>
              <c:layout>
                <c:manualLayout>
                  <c:x val="-1.8161179178193929E-3"/>
                  <c:y val="-1.7534243549262255E-2"/>
                </c:manualLayout>
              </c:layout>
              <c:showVal val="1"/>
            </c:dLbl>
            <c:dLbl>
              <c:idx val="8"/>
              <c:layout>
                <c:manualLayout>
                  <c:x val="-1.8161179178193929E-3"/>
                  <c:y val="-1.3150682661946684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T_chômage__dip!$D$2:$D$10</c:f>
              <c:numCache>
                <c:formatCode>#,##0.0</c:formatCode>
                <c:ptCount val="9"/>
                <c:pt idx="0">
                  <c:v>12.889227636622596</c:v>
                </c:pt>
                <c:pt idx="1">
                  <c:v>23</c:v>
                </c:pt>
                <c:pt idx="2">
                  <c:v>23.3</c:v>
                </c:pt>
                <c:pt idx="3">
                  <c:v>9.3558291317025741</c:v>
                </c:pt>
                <c:pt idx="4">
                  <c:v>20.639654067369161</c:v>
                </c:pt>
                <c:pt idx="5">
                  <c:v>19.163165281608741</c:v>
                </c:pt>
                <c:pt idx="6">
                  <c:v>15.187487761895435</c:v>
                </c:pt>
                <c:pt idx="7">
                  <c:v>3.6244556473116551</c:v>
                </c:pt>
                <c:pt idx="8">
                  <c:v>8.6951429197053809</c:v>
                </c:pt>
              </c:numCache>
            </c:numRef>
          </c:val>
        </c:ser>
        <c:dLbls>
          <c:showVal val="1"/>
        </c:dLbls>
        <c:gapWidth val="75"/>
        <c:shape val="box"/>
        <c:axId val="99731712"/>
        <c:axId val="106496000"/>
        <c:axId val="0"/>
      </c:bar3DChart>
      <c:catAx>
        <c:axId val="9973171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6496000"/>
        <c:crosses val="autoZero"/>
        <c:auto val="1"/>
        <c:lblAlgn val="ctr"/>
        <c:lblOffset val="100"/>
      </c:catAx>
      <c:valAx>
        <c:axId val="106496000"/>
        <c:scaling>
          <c:orientation val="minMax"/>
        </c:scaling>
        <c:delete val="1"/>
        <c:axPos val="b"/>
        <c:numFmt formatCode="#,##0.0" sourceLinked="1"/>
        <c:majorTickMark val="none"/>
        <c:tickLblPos val="none"/>
        <c:crossAx val="99731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446753534313806"/>
          <c:y val="0.8880371985207115"/>
          <c:w val="0.34318584836571198"/>
          <c:h val="8.1211550847717459E-2"/>
        </c:manualLayout>
      </c:layout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3.7037037037037056E-2"/>
          <c:w val="0.9388888888888941"/>
          <c:h val="0.60063610562003733"/>
        </c:manualLayout>
      </c:layout>
      <c:lineChart>
        <c:grouping val="standard"/>
        <c:ser>
          <c:idx val="0"/>
          <c:order val="0"/>
          <c:tx>
            <c:strRef>
              <c:f>T_sous_emploi_milieu!$B$3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6.481481481481578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4.1666302128900552E-2"/>
                </c:manualLayout>
              </c:layout>
              <c:showVal val="1"/>
            </c:dLbl>
            <c:dLbl>
              <c:idx val="2"/>
              <c:layout>
                <c:manualLayout>
                  <c:x val="-2.2222222222222251E-2"/>
                  <c:y val="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3.0555555555555582E-2"/>
                  <c:y val="6.944444444444450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2.7777777777778335E-2"/>
                </c:manualLayout>
              </c:layout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T_sous_emploi_milieu!$C$3:$G$3</c:f>
              <c:numCache>
                <c:formatCode>#,##0.0</c:formatCode>
                <c:ptCount val="5"/>
                <c:pt idx="0">
                  <c:v>9.7000000000000011</c:v>
                </c:pt>
                <c:pt idx="1">
                  <c:v>8.8000000000000007</c:v>
                </c:pt>
                <c:pt idx="2">
                  <c:v>7.9</c:v>
                </c:pt>
                <c:pt idx="3">
                  <c:v>9.2000000000000011</c:v>
                </c:pt>
                <c:pt idx="4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T_sous_emploi_milieu!$B$4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-5.0925925925925923E-2"/>
                </c:manualLayout>
              </c:layout>
              <c:showVal val="1"/>
            </c:dLbl>
            <c:dLbl>
              <c:idx val="1"/>
              <c:layout>
                <c:manualLayout>
                  <c:x val="-5.2979005296231903E-3"/>
                  <c:y val="-1.1347132459008483E-2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6666666666666701E-2"/>
                  <c:y val="-4.1666666666666664E-2"/>
                </c:manualLayout>
              </c:layout>
              <c:showVal val="1"/>
            </c:dLbl>
            <c:dLbl>
              <c:idx val="4"/>
              <c:layout>
                <c:manualLayout>
                  <c:x val="-8.3333333333333367E-3"/>
                  <c:y val="-2.7777777777778335E-2"/>
                </c:manualLayout>
              </c:layout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T_sous_emploi_milieu!$C$4:$G$4</c:f>
              <c:numCache>
                <c:formatCode>#,##0.0</c:formatCode>
                <c:ptCount val="5"/>
                <c:pt idx="0">
                  <c:v>11.7</c:v>
                </c:pt>
                <c:pt idx="1">
                  <c:v>10.4</c:v>
                </c:pt>
                <c:pt idx="2">
                  <c:v>9.9</c:v>
                </c:pt>
                <c:pt idx="3">
                  <c:v>11.7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T_sous_emploi_milieu!$B$5</c:f>
              <c:strCache>
                <c:ptCount val="1"/>
                <c:pt idx="0">
                  <c:v>National</c:v>
                </c:pt>
              </c:strCache>
            </c:strRef>
          </c:tx>
          <c:dLbls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T_sous_emploi_milieu!$C$5:$G$5</c:f>
              <c:numCache>
                <c:formatCode>#,##0.0</c:formatCode>
                <c:ptCount val="5"/>
                <c:pt idx="0">
                  <c:v>10.7</c:v>
                </c:pt>
                <c:pt idx="1">
                  <c:v>9.6</c:v>
                </c:pt>
                <c:pt idx="2">
                  <c:v>8.9</c:v>
                </c:pt>
                <c:pt idx="3">
                  <c:v>10.4</c:v>
                </c:pt>
                <c:pt idx="4">
                  <c:v>10.8</c:v>
                </c:pt>
              </c:numCache>
            </c:numRef>
          </c:val>
        </c:ser>
        <c:marker val="1"/>
        <c:axId val="106530688"/>
        <c:axId val="106532224"/>
      </c:lineChart>
      <c:catAx>
        <c:axId val="106530688"/>
        <c:scaling>
          <c:orientation val="minMax"/>
        </c:scaling>
        <c:axPos val="b"/>
        <c:numFmt formatCode="General" sourceLinked="1"/>
        <c:tickLblPos val="nextTo"/>
        <c:crossAx val="106532224"/>
        <c:crosses val="autoZero"/>
        <c:auto val="1"/>
        <c:lblAlgn val="ctr"/>
        <c:lblOffset val="100"/>
      </c:catAx>
      <c:valAx>
        <c:axId val="106532224"/>
        <c:scaling>
          <c:orientation val="minMax"/>
          <c:min val="4"/>
        </c:scaling>
        <c:delete val="1"/>
        <c:axPos val="l"/>
        <c:numFmt formatCode="#,##0.0" sourceLinked="1"/>
        <c:tickLblPos val="none"/>
        <c:crossAx val="10653068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lnSpc>
          <a:spcPct val="110000"/>
        </a:lnSpc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1.3801939015998244E-2"/>
          <c:y val="8.3236994219653568E-2"/>
          <c:w val="0.9421052511614697"/>
          <c:h val="0.68490209822038162"/>
        </c:manualLayout>
      </c:layout>
      <c:lineChart>
        <c:grouping val="standard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0"/>
              <c:layout>
                <c:manualLayout>
                  <c:x val="-7.2507566668899622E-3"/>
                  <c:y val="-1.84971098265896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1.8497109826589645E-2"/>
                </c:manualLayout>
              </c:layout>
              <c:showVal val="1"/>
            </c:dLbl>
            <c:dLbl>
              <c:idx val="2"/>
              <c:layout>
                <c:manualLayout>
                  <c:x val="-1.5789476955962903E-2"/>
                  <c:y val="-3.6994219653179609E-2"/>
                </c:manualLayout>
              </c:layout>
              <c:showVal val="1"/>
            </c:dLbl>
            <c:dLbl>
              <c:idx val="3"/>
              <c:layout>
                <c:manualLayout>
                  <c:x val="-1.8421056448623421E-2"/>
                  <c:y val="-3.6994219653179582E-2"/>
                </c:manualLayout>
              </c:layout>
              <c:showVal val="1"/>
            </c:dLbl>
            <c:dLbl>
              <c:idx val="4"/>
              <c:layout>
                <c:manualLayout>
                  <c:x val="-2.6315794926604751E-2"/>
                  <c:y val="-3.6994219653179582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11.1</c:v>
                </c:pt>
                <c:pt idx="1">
                  <c:v>10.1</c:v>
                </c:pt>
                <c:pt idx="2">
                  <c:v>9.2000000000000011</c:v>
                </c:pt>
                <c:pt idx="3">
                  <c:v>11.1</c:v>
                </c:pt>
                <c:pt idx="4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722E-2"/>
                  <c:y val="3.6994219653179609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6994219653179609E-2"/>
                </c:manualLayout>
              </c:layout>
              <c:showVal val="1"/>
            </c:dLbl>
            <c:dLbl>
              <c:idx val="2"/>
              <c:layout>
                <c:manualLayout>
                  <c:x val="-7.8947384779814497E-3"/>
                  <c:y val="3.236994219653179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77456647398844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6.8</c:v>
                </c:pt>
                <c:pt idx="1">
                  <c:v>5.4</c:v>
                </c:pt>
                <c:pt idx="2">
                  <c:v>5.4</c:v>
                </c:pt>
                <c:pt idx="3">
                  <c:v>6.9</c:v>
                </c:pt>
                <c:pt idx="4">
                  <c:v>8.7000000000000011</c:v>
                </c:pt>
              </c:numCache>
            </c:numRef>
          </c:val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1E-2"/>
                  <c:y val="3.6994219653179609E-2"/>
                </c:manualLayout>
              </c:layout>
              <c:showVal val="1"/>
            </c:dLbl>
            <c:dLbl>
              <c:idx val="1"/>
              <c:layout>
                <c:manualLayout>
                  <c:x val="-1.3157897463302421E-2"/>
                  <c:y val="3.6994219653179609E-2"/>
                </c:manualLayout>
              </c:layout>
              <c:showVal val="1"/>
            </c:dLbl>
            <c:dLbl>
              <c:idx val="2"/>
              <c:layout>
                <c:manualLayout>
                  <c:x val="-2.6315869603610212E-3"/>
                  <c:y val="5.0867052023121924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121387283236993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17.100000000000001</c:v>
                </c:pt>
                <c:pt idx="1">
                  <c:v>15.5</c:v>
                </c:pt>
                <c:pt idx="2">
                  <c:v>16</c:v>
                </c:pt>
                <c:pt idx="3">
                  <c:v>15.3</c:v>
                </c:pt>
                <c:pt idx="4">
                  <c:v>15.5</c:v>
                </c:pt>
              </c:numCache>
            </c:numRef>
          </c:val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0"/>
              <c:layout>
                <c:manualLayout>
                  <c:x val="-7.2507566668899622E-3"/>
                  <c:y val="1.8497109826589551E-2"/>
                </c:manualLayout>
              </c:layout>
              <c:showVal val="1"/>
            </c:dLbl>
            <c:dLbl>
              <c:idx val="1"/>
              <c:layout>
                <c:manualLayout>
                  <c:x val="-7.2507566668899622E-3"/>
                  <c:y val="2.312138728323699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3872832369942306E-2"/>
                </c:manualLayout>
              </c:layout>
              <c:showVal val="1"/>
            </c:dLbl>
            <c:dLbl>
              <c:idx val="3"/>
              <c:layout>
                <c:manualLayout>
                  <c:x val="2.4169188889633206E-3"/>
                  <c:y val="2.3121387283236993E-2"/>
                </c:manualLayout>
              </c:layout>
              <c:showVal val="1"/>
            </c:dLbl>
            <c:dLbl>
              <c:idx val="4"/>
              <c:layout>
                <c:manualLayout>
                  <c:x val="-1.3157897463302421E-2"/>
                  <c:y val="-1.3872832369942287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10.1</c:v>
                </c:pt>
                <c:pt idx="1">
                  <c:v>8.8000000000000007</c:v>
                </c:pt>
                <c:pt idx="2">
                  <c:v>7.9</c:v>
                </c:pt>
                <c:pt idx="3">
                  <c:v>9.5</c:v>
                </c:pt>
                <c:pt idx="4">
                  <c:v>9.7000000000000011</c:v>
                </c:pt>
              </c:numCache>
            </c:numRef>
          </c:val>
        </c:ser>
        <c:marker val="1"/>
        <c:axId val="106580608"/>
        <c:axId val="106611072"/>
      </c:lineChart>
      <c:catAx>
        <c:axId val="106580608"/>
        <c:scaling>
          <c:orientation val="minMax"/>
        </c:scaling>
        <c:axPos val="b"/>
        <c:numFmt formatCode="General" sourceLinked="1"/>
        <c:tickLblPos val="nextTo"/>
        <c:crossAx val="106611072"/>
        <c:crosses val="autoZero"/>
        <c:auto val="1"/>
        <c:lblAlgn val="ctr"/>
        <c:lblOffset val="100"/>
      </c:catAx>
      <c:valAx>
        <c:axId val="106611072"/>
        <c:scaling>
          <c:orientation val="minMax"/>
        </c:scaling>
        <c:delete val="1"/>
        <c:axPos val="l"/>
        <c:numFmt formatCode="#,##0.0" sourceLinked="1"/>
        <c:tickLblPos val="none"/>
        <c:crossAx val="10658060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321E-A0DD-4417-978B-C50AC1A9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1656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2015-08-04T13:15:00Z</cp:lastPrinted>
  <dcterms:created xsi:type="dcterms:W3CDTF">2015-08-04T21:07:00Z</dcterms:created>
  <dcterms:modified xsi:type="dcterms:W3CDTF">2015-08-04T21:07:00Z</dcterms:modified>
</cp:coreProperties>
</file>