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9C9" w:rsidRDefault="00DD69C9" w:rsidP="00D72ED3">
      <w:pPr>
        <w:bidi/>
        <w:jc w:val="center"/>
        <w:rPr>
          <w:b/>
          <w:bCs/>
          <w:color w:val="0070C0"/>
          <w:sz w:val="30"/>
          <w:szCs w:val="30"/>
        </w:rPr>
      </w:pPr>
    </w:p>
    <w:p w:rsidR="00D20CF5" w:rsidRDefault="00D20CF5" w:rsidP="00D20CF5">
      <w:pPr>
        <w:bidi/>
        <w:jc w:val="center"/>
        <w:rPr>
          <w:b/>
          <w:bCs/>
          <w:color w:val="0070C0"/>
          <w:sz w:val="30"/>
          <w:szCs w:val="30"/>
        </w:rPr>
      </w:pPr>
    </w:p>
    <w:p w:rsidR="00D20CF5" w:rsidRDefault="00D20CF5" w:rsidP="00D20CF5">
      <w:pPr>
        <w:bidi/>
        <w:jc w:val="center"/>
        <w:rPr>
          <w:b/>
          <w:bCs/>
          <w:color w:val="0070C0"/>
          <w:sz w:val="30"/>
          <w:szCs w:val="30"/>
        </w:rPr>
      </w:pPr>
    </w:p>
    <w:p w:rsidR="00D20CF5" w:rsidRDefault="00D20CF5" w:rsidP="00D20CF5">
      <w:pPr>
        <w:bidi/>
        <w:jc w:val="center"/>
        <w:rPr>
          <w:b/>
          <w:bCs/>
          <w:color w:val="0070C0"/>
          <w:sz w:val="30"/>
          <w:szCs w:val="30"/>
        </w:rPr>
      </w:pPr>
    </w:p>
    <w:p w:rsidR="00D20CF5" w:rsidRDefault="00D20CF5" w:rsidP="00D20CF5">
      <w:pPr>
        <w:bidi/>
        <w:jc w:val="center"/>
        <w:rPr>
          <w:b/>
          <w:bCs/>
          <w:color w:val="0070C0"/>
          <w:sz w:val="30"/>
          <w:szCs w:val="30"/>
        </w:rPr>
      </w:pPr>
    </w:p>
    <w:p w:rsidR="00D20CF5" w:rsidRDefault="00D20CF5" w:rsidP="00D20CF5">
      <w:pPr>
        <w:bidi/>
        <w:jc w:val="center"/>
        <w:rPr>
          <w:b/>
          <w:bCs/>
          <w:color w:val="0070C0"/>
          <w:sz w:val="30"/>
          <w:szCs w:val="30"/>
        </w:rPr>
      </w:pPr>
    </w:p>
    <w:p w:rsidR="00D20CF5" w:rsidRDefault="00D20CF5" w:rsidP="00D20CF5">
      <w:pPr>
        <w:bidi/>
        <w:jc w:val="center"/>
        <w:rPr>
          <w:b/>
          <w:bCs/>
          <w:color w:val="0070C0"/>
          <w:sz w:val="30"/>
          <w:szCs w:val="30"/>
        </w:rPr>
      </w:pPr>
    </w:p>
    <w:p w:rsidR="00ED5B66" w:rsidRDefault="00FA57D9" w:rsidP="00ED5B66">
      <w:pPr>
        <w:bidi/>
        <w:jc w:val="center"/>
        <w:rPr>
          <w:b/>
          <w:bCs/>
          <w:color w:val="0070C0"/>
          <w:sz w:val="30"/>
          <w:szCs w:val="30"/>
        </w:rPr>
      </w:pPr>
      <w:r>
        <w:rPr>
          <w:b/>
          <w:bCs/>
          <w:color w:val="0070C0"/>
          <w:sz w:val="30"/>
          <w:szCs w:val="30"/>
        </w:rPr>
        <w:t xml:space="preserve">  </w:t>
      </w:r>
      <w:r w:rsidR="006D755E">
        <w:rPr>
          <w:b/>
          <w:bCs/>
          <w:color w:val="0070C0"/>
          <w:sz w:val="30"/>
          <w:szCs w:val="30"/>
        </w:rPr>
        <w:t xml:space="preserve">        </w:t>
      </w:r>
      <w:r>
        <w:rPr>
          <w:b/>
          <w:bCs/>
          <w:color w:val="0070C0"/>
          <w:sz w:val="30"/>
          <w:szCs w:val="30"/>
        </w:rPr>
        <w:t xml:space="preserve">    </w:t>
      </w:r>
    </w:p>
    <w:p w:rsidR="00E0599F" w:rsidRDefault="00E0599F" w:rsidP="00E0599F">
      <w:pPr>
        <w:bidi/>
        <w:jc w:val="center"/>
        <w:rPr>
          <w:b/>
          <w:bCs/>
          <w:color w:val="0070C0"/>
          <w:sz w:val="30"/>
          <w:szCs w:val="30"/>
          <w:rtl/>
        </w:rPr>
      </w:pPr>
    </w:p>
    <w:p w:rsidR="00ED5B66" w:rsidRPr="00456E3B" w:rsidRDefault="00ED5B66" w:rsidP="00ED5B66">
      <w:pPr>
        <w:autoSpaceDE w:val="0"/>
        <w:autoSpaceDN w:val="0"/>
        <w:bidi/>
        <w:adjustRightInd w:val="0"/>
        <w:jc w:val="center"/>
        <w:rPr>
          <w:b/>
          <w:bCs/>
          <w:color w:val="D99594"/>
          <w:sz w:val="40"/>
          <w:szCs w:val="40"/>
          <w:rtl/>
        </w:rPr>
      </w:pPr>
      <w:r w:rsidRPr="00456E3B">
        <w:rPr>
          <w:b/>
          <w:bCs/>
          <w:color w:val="D99594"/>
          <w:sz w:val="40"/>
          <w:szCs w:val="40"/>
          <w:rtl/>
        </w:rPr>
        <w:t>مذكرة</w:t>
      </w:r>
      <w:r w:rsidRPr="00456E3B">
        <w:rPr>
          <w:b/>
          <w:bCs/>
          <w:color w:val="D99594"/>
          <w:sz w:val="40"/>
          <w:szCs w:val="40"/>
        </w:rPr>
        <w:t xml:space="preserve"> </w:t>
      </w:r>
      <w:r w:rsidRPr="00456E3B">
        <w:rPr>
          <w:b/>
          <w:bCs/>
          <w:color w:val="D99594"/>
          <w:sz w:val="40"/>
          <w:szCs w:val="40"/>
          <w:rtl/>
        </w:rPr>
        <w:t>إخبارية للمندوبية السامية للتخطيط حول</w:t>
      </w:r>
    </w:p>
    <w:p w:rsidR="00ED5B66" w:rsidRPr="00456E3B" w:rsidRDefault="00ED5B66" w:rsidP="00ED5B66">
      <w:pPr>
        <w:autoSpaceDE w:val="0"/>
        <w:autoSpaceDN w:val="0"/>
        <w:bidi/>
        <w:adjustRightInd w:val="0"/>
        <w:jc w:val="center"/>
        <w:rPr>
          <w:b/>
          <w:bCs/>
          <w:color w:val="D99594"/>
          <w:sz w:val="40"/>
          <w:szCs w:val="40"/>
          <w:rtl/>
        </w:rPr>
      </w:pPr>
      <w:r w:rsidRPr="00456E3B">
        <w:rPr>
          <w:b/>
          <w:bCs/>
          <w:color w:val="D99594"/>
          <w:sz w:val="40"/>
          <w:szCs w:val="40"/>
          <w:rtl/>
        </w:rPr>
        <w:t>وضعية سوق الشغل خلال</w:t>
      </w:r>
      <w:r w:rsidRPr="00456E3B">
        <w:rPr>
          <w:b/>
          <w:bCs/>
          <w:color w:val="D99594"/>
          <w:sz w:val="40"/>
          <w:szCs w:val="40"/>
        </w:rPr>
        <w:t xml:space="preserve"> </w:t>
      </w:r>
      <w:r w:rsidRPr="00456E3B">
        <w:rPr>
          <w:rFonts w:hint="cs"/>
          <w:b/>
          <w:bCs/>
          <w:color w:val="D99594"/>
          <w:sz w:val="40"/>
          <w:szCs w:val="40"/>
          <w:rtl/>
          <w:lang w:val="en-US" w:bidi="ar-MA"/>
        </w:rPr>
        <w:t>الفصل الثاني من</w:t>
      </w:r>
      <w:r w:rsidRPr="00456E3B">
        <w:rPr>
          <w:b/>
          <w:bCs/>
          <w:color w:val="D99594"/>
          <w:sz w:val="40"/>
          <w:szCs w:val="40"/>
          <w:rtl/>
        </w:rPr>
        <w:t xml:space="preserve"> سنة </w:t>
      </w:r>
      <w:r w:rsidRPr="00456E3B">
        <w:rPr>
          <w:b/>
          <w:bCs/>
          <w:color w:val="D99594"/>
          <w:sz w:val="40"/>
          <w:szCs w:val="40"/>
        </w:rPr>
        <w:t>2015</w:t>
      </w:r>
    </w:p>
    <w:p w:rsidR="00F24AE1" w:rsidRDefault="00F24AE1" w:rsidP="00ED5B66">
      <w:pPr>
        <w:autoSpaceDE w:val="0"/>
        <w:autoSpaceDN w:val="0"/>
        <w:bidi/>
        <w:adjustRightInd w:val="0"/>
        <w:spacing w:before="120" w:line="360" w:lineRule="auto"/>
        <w:jc w:val="both"/>
        <w:rPr>
          <w:sz w:val="28"/>
          <w:szCs w:val="28"/>
        </w:rPr>
      </w:pPr>
    </w:p>
    <w:p w:rsidR="00ED5B66" w:rsidRDefault="00ED5B66" w:rsidP="00F24AE1">
      <w:pPr>
        <w:autoSpaceDE w:val="0"/>
        <w:autoSpaceDN w:val="0"/>
        <w:bidi/>
        <w:adjustRightInd w:val="0"/>
        <w:spacing w:before="120" w:line="360" w:lineRule="auto"/>
        <w:jc w:val="both"/>
        <w:rPr>
          <w:b/>
          <w:bCs/>
          <w:color w:val="B33B69"/>
          <w:sz w:val="36"/>
          <w:szCs w:val="36"/>
          <w:lang w:bidi="ar-AE"/>
        </w:rPr>
      </w:pPr>
      <w:r w:rsidRPr="00F260AF">
        <w:rPr>
          <w:rFonts w:hint="cs"/>
          <w:b/>
          <w:bCs/>
          <w:color w:val="B33B69"/>
          <w:sz w:val="36"/>
          <w:szCs w:val="36"/>
          <w:rtl/>
          <w:lang w:bidi="ar-AE"/>
        </w:rPr>
        <w:t>أهم المؤشرات</w:t>
      </w:r>
    </w:p>
    <w:p w:rsidR="00ED5B66" w:rsidRPr="00F24AE1" w:rsidRDefault="00ED5B66" w:rsidP="00E0599F">
      <w:pPr>
        <w:autoSpaceDE w:val="0"/>
        <w:autoSpaceDN w:val="0"/>
        <w:bidi/>
        <w:adjustRightInd w:val="0"/>
        <w:spacing w:before="120" w:line="312" w:lineRule="auto"/>
        <w:jc w:val="both"/>
        <w:rPr>
          <w:b/>
          <w:bCs/>
          <w:color w:val="0000FF"/>
          <w:sz w:val="30"/>
          <w:szCs w:val="30"/>
          <w:rtl/>
        </w:rPr>
      </w:pPr>
      <w:r w:rsidRPr="00F24AE1">
        <w:rPr>
          <w:rFonts w:hint="cs"/>
          <w:b/>
          <w:bCs/>
          <w:color w:val="0000FF"/>
          <w:sz w:val="30"/>
          <w:szCs w:val="30"/>
          <w:rtl/>
        </w:rPr>
        <w:t xml:space="preserve">مابين الفصل الثاني من سنة </w:t>
      </w:r>
      <w:r w:rsidRPr="00F24AE1">
        <w:rPr>
          <w:b/>
          <w:bCs/>
          <w:color w:val="0000FF"/>
          <w:sz w:val="30"/>
          <w:szCs w:val="30"/>
        </w:rPr>
        <w:t>2014</w:t>
      </w:r>
      <w:r w:rsidRPr="00F24AE1">
        <w:rPr>
          <w:rFonts w:hint="cs"/>
          <w:b/>
          <w:bCs/>
          <w:color w:val="0000FF"/>
          <w:sz w:val="30"/>
          <w:szCs w:val="30"/>
          <w:rtl/>
        </w:rPr>
        <w:t xml:space="preserve"> ونفس الفترة من سنة </w:t>
      </w:r>
      <w:r w:rsidRPr="00F24AE1">
        <w:rPr>
          <w:b/>
          <w:bCs/>
          <w:color w:val="0000FF"/>
          <w:sz w:val="30"/>
          <w:szCs w:val="30"/>
        </w:rPr>
        <w:t>2015</w:t>
      </w:r>
      <w:r w:rsidR="00F24AE1" w:rsidRPr="00F24AE1">
        <w:rPr>
          <w:rFonts w:hint="cs"/>
          <w:b/>
          <w:bCs/>
          <w:color w:val="0000FF"/>
          <w:sz w:val="30"/>
          <w:szCs w:val="30"/>
          <w:rtl/>
        </w:rPr>
        <w:t xml:space="preserve">، </w:t>
      </w:r>
      <w:r w:rsidRPr="00F24AE1">
        <w:rPr>
          <w:rFonts w:hint="cs"/>
          <w:b/>
          <w:bCs/>
          <w:color w:val="0000FF"/>
          <w:sz w:val="30"/>
          <w:szCs w:val="30"/>
          <w:rtl/>
        </w:rPr>
        <w:t xml:space="preserve">أحدث الاقتصاد المغربي 38.000 منصب شغل، وذلك نتيجة إحداث 72.000 بالوسط الحضري وفقدان 34.000 بالوسط القروي. </w:t>
      </w:r>
    </w:p>
    <w:p w:rsidR="00F24AE1" w:rsidRPr="00F24AE1" w:rsidRDefault="00ED5B66" w:rsidP="00E0599F">
      <w:pPr>
        <w:autoSpaceDE w:val="0"/>
        <w:autoSpaceDN w:val="0"/>
        <w:bidi/>
        <w:adjustRightInd w:val="0"/>
        <w:spacing w:before="240" w:after="120" w:line="312" w:lineRule="auto"/>
        <w:jc w:val="both"/>
        <w:rPr>
          <w:b/>
          <w:bCs/>
          <w:color w:val="0000FF"/>
          <w:sz w:val="30"/>
          <w:szCs w:val="30"/>
          <w:rtl/>
        </w:rPr>
      </w:pPr>
      <w:r w:rsidRPr="00F24AE1">
        <w:rPr>
          <w:rFonts w:hint="cs"/>
          <w:b/>
          <w:bCs/>
          <w:color w:val="0000FF"/>
          <w:sz w:val="30"/>
          <w:szCs w:val="30"/>
          <w:rtl/>
        </w:rPr>
        <w:t xml:space="preserve">في هذا الإطار استفاد قطاع "الخدمات" من 66.000 منصب و"الصناعة بما فيها الصناعة التقليدية" من </w:t>
      </w:r>
      <w:r w:rsidR="0040609F" w:rsidRPr="00F24AE1">
        <w:rPr>
          <w:rFonts w:hint="cs"/>
          <w:b/>
          <w:bCs/>
          <w:color w:val="0000FF"/>
          <w:sz w:val="30"/>
          <w:szCs w:val="30"/>
          <w:rtl/>
        </w:rPr>
        <w:t>14.000</w:t>
      </w:r>
      <w:r w:rsidRPr="00F24AE1">
        <w:rPr>
          <w:rFonts w:hint="cs"/>
          <w:b/>
          <w:bCs/>
          <w:color w:val="0000FF"/>
          <w:sz w:val="30"/>
          <w:szCs w:val="30"/>
          <w:rtl/>
        </w:rPr>
        <w:t xml:space="preserve"> و"البناء</w:t>
      </w:r>
      <w:r w:rsidRPr="00F24AE1">
        <w:rPr>
          <w:b/>
          <w:bCs/>
          <w:color w:val="0000FF"/>
          <w:sz w:val="30"/>
          <w:szCs w:val="30"/>
        </w:rPr>
        <w:t xml:space="preserve"> </w:t>
      </w:r>
      <w:r w:rsidRPr="00F24AE1">
        <w:rPr>
          <w:rFonts w:hint="cs"/>
          <w:b/>
          <w:bCs/>
          <w:color w:val="0000FF"/>
          <w:sz w:val="30"/>
          <w:szCs w:val="30"/>
          <w:rtl/>
        </w:rPr>
        <w:t xml:space="preserve">والأشغال العمومية" من </w:t>
      </w:r>
      <w:r w:rsidR="0040609F" w:rsidRPr="00F24AE1">
        <w:rPr>
          <w:rFonts w:hint="cs"/>
          <w:b/>
          <w:bCs/>
          <w:color w:val="0000FF"/>
          <w:sz w:val="30"/>
          <w:szCs w:val="30"/>
          <w:rtl/>
        </w:rPr>
        <w:t>16.000</w:t>
      </w:r>
      <w:r w:rsidRPr="00F24AE1">
        <w:rPr>
          <w:rFonts w:hint="cs"/>
          <w:b/>
          <w:bCs/>
          <w:color w:val="0000FF"/>
          <w:sz w:val="30"/>
          <w:szCs w:val="30"/>
          <w:rtl/>
        </w:rPr>
        <w:t xml:space="preserve"> منصب مقابل فقدان 58.000 منصب بقطاع " الفلاحة، الغابة والصيد". </w:t>
      </w:r>
    </w:p>
    <w:p w:rsidR="005A4D06" w:rsidRPr="00D5538D" w:rsidRDefault="00226A13" w:rsidP="00E0599F">
      <w:pPr>
        <w:autoSpaceDE w:val="0"/>
        <w:autoSpaceDN w:val="0"/>
        <w:bidi/>
        <w:adjustRightInd w:val="0"/>
        <w:spacing w:after="120" w:line="312" w:lineRule="auto"/>
        <w:jc w:val="both"/>
        <w:rPr>
          <w:b/>
          <w:bCs/>
          <w:color w:val="0000FF"/>
          <w:sz w:val="30"/>
          <w:szCs w:val="30"/>
          <w:rtl/>
          <w:lang w:val="en-US" w:bidi="ar-MA"/>
        </w:rPr>
      </w:pPr>
      <w:r>
        <w:rPr>
          <w:rFonts w:hint="cs"/>
          <w:b/>
          <w:bCs/>
          <w:color w:val="0000FF"/>
          <w:sz w:val="30"/>
          <w:szCs w:val="30"/>
          <w:rtl/>
          <w:lang w:val="en-US" w:bidi="ar-MA"/>
        </w:rPr>
        <w:t>وب</w:t>
      </w:r>
      <w:r w:rsidRPr="00F24AE1">
        <w:rPr>
          <w:rFonts w:hint="cs"/>
          <w:b/>
          <w:bCs/>
          <w:color w:val="0000FF"/>
          <w:sz w:val="30"/>
          <w:szCs w:val="30"/>
          <w:rtl/>
          <w:lang w:val="en-US" w:bidi="ar-MA"/>
        </w:rPr>
        <w:t xml:space="preserve">لغ العدد الإجمالي للعاطلين 1.041.000 شخص على الصعيد الوطني </w:t>
      </w:r>
      <w:r>
        <w:rPr>
          <w:rFonts w:hint="cs"/>
          <w:b/>
          <w:bCs/>
          <w:color w:val="0000FF"/>
          <w:sz w:val="30"/>
          <w:szCs w:val="30"/>
          <w:rtl/>
          <w:lang w:val="en-US" w:bidi="ar-MA"/>
        </w:rPr>
        <w:t>م</w:t>
      </w:r>
      <w:r w:rsidR="005A4D06" w:rsidRPr="00F24AE1">
        <w:rPr>
          <w:rFonts w:hint="cs"/>
          <w:b/>
          <w:bCs/>
          <w:color w:val="0000FF"/>
          <w:sz w:val="30"/>
          <w:szCs w:val="30"/>
          <w:rtl/>
          <w:lang w:val="en-US" w:bidi="ar-MA"/>
        </w:rPr>
        <w:t>نخفض</w:t>
      </w:r>
      <w:r>
        <w:rPr>
          <w:rFonts w:hint="cs"/>
          <w:b/>
          <w:bCs/>
          <w:color w:val="0000FF"/>
          <w:sz w:val="30"/>
          <w:szCs w:val="30"/>
          <w:rtl/>
          <w:lang w:val="en-US" w:bidi="ar-MA"/>
        </w:rPr>
        <w:t>ا</w:t>
      </w:r>
      <w:r w:rsidR="005A4D06" w:rsidRPr="00F24AE1">
        <w:rPr>
          <w:rFonts w:hint="cs"/>
          <w:b/>
          <w:bCs/>
          <w:color w:val="0000FF"/>
          <w:sz w:val="30"/>
          <w:szCs w:val="30"/>
          <w:rtl/>
          <w:lang w:val="en-US" w:bidi="ar-MA"/>
        </w:rPr>
        <w:t xml:space="preserve"> ب 73.000 شخص، 54.000 بالوس</w:t>
      </w:r>
      <w:r>
        <w:rPr>
          <w:rFonts w:hint="cs"/>
          <w:b/>
          <w:bCs/>
          <w:color w:val="0000FF"/>
          <w:sz w:val="30"/>
          <w:szCs w:val="30"/>
          <w:rtl/>
          <w:lang w:val="en-US" w:bidi="ar-MA"/>
        </w:rPr>
        <w:t>ط الحضري و19.000 بالوسط القروي.</w:t>
      </w:r>
    </w:p>
    <w:p w:rsidR="00F726F7" w:rsidRPr="00F726F7" w:rsidRDefault="005A4D06" w:rsidP="00E0599F">
      <w:pPr>
        <w:autoSpaceDE w:val="0"/>
        <w:autoSpaceDN w:val="0"/>
        <w:bidi/>
        <w:adjustRightInd w:val="0"/>
        <w:spacing w:before="240" w:after="120" w:line="312" w:lineRule="auto"/>
        <w:jc w:val="both"/>
        <w:rPr>
          <w:b/>
          <w:bCs/>
          <w:color w:val="0000FF"/>
          <w:sz w:val="30"/>
          <w:szCs w:val="30"/>
          <w:rtl/>
          <w:lang w:bidi="ar-MA"/>
        </w:rPr>
      </w:pPr>
      <w:r w:rsidRPr="00F24AE1">
        <w:rPr>
          <w:rFonts w:hint="cs"/>
          <w:b/>
          <w:bCs/>
          <w:color w:val="0000FF"/>
          <w:sz w:val="30"/>
          <w:szCs w:val="30"/>
          <w:rtl/>
          <w:lang w:bidi="ar-MA"/>
        </w:rPr>
        <w:t xml:space="preserve">وهكذا، </w:t>
      </w:r>
      <w:r w:rsidRPr="00F24AE1">
        <w:rPr>
          <w:rFonts w:hint="cs"/>
          <w:b/>
          <w:bCs/>
          <w:color w:val="0000FF"/>
          <w:sz w:val="30"/>
          <w:szCs w:val="30"/>
          <w:rtl/>
        </w:rPr>
        <w:t xml:space="preserve">انخفض </w:t>
      </w:r>
      <w:r w:rsidRPr="00F24AE1">
        <w:rPr>
          <w:rFonts w:hint="cs"/>
          <w:b/>
          <w:bCs/>
          <w:color w:val="0000FF"/>
          <w:sz w:val="30"/>
          <w:szCs w:val="30"/>
          <w:rtl/>
          <w:lang w:val="en-US" w:bidi="ar-MA"/>
        </w:rPr>
        <w:t xml:space="preserve">معدل البطالة </w:t>
      </w:r>
      <w:r w:rsidRPr="00F24AE1">
        <w:rPr>
          <w:rFonts w:hint="cs"/>
          <w:b/>
          <w:bCs/>
          <w:color w:val="0000FF"/>
          <w:sz w:val="30"/>
          <w:szCs w:val="30"/>
          <w:rtl/>
        </w:rPr>
        <w:t>من</w:t>
      </w:r>
      <w:r w:rsidRPr="00F24AE1">
        <w:rPr>
          <w:b/>
          <w:bCs/>
          <w:color w:val="0000FF"/>
          <w:sz w:val="30"/>
          <w:szCs w:val="30"/>
          <w:lang w:val="en-US" w:bidi="ar-MA"/>
        </w:rPr>
        <w:t xml:space="preserve">9,3% </w:t>
      </w:r>
      <w:r w:rsidRPr="00F24AE1">
        <w:rPr>
          <w:rFonts w:hint="cs"/>
          <w:b/>
          <w:bCs/>
          <w:color w:val="0000FF"/>
          <w:sz w:val="30"/>
          <w:szCs w:val="30"/>
          <w:rtl/>
        </w:rPr>
        <w:t xml:space="preserve"> إلى </w:t>
      </w:r>
      <w:r w:rsidRPr="00F24AE1">
        <w:rPr>
          <w:b/>
          <w:bCs/>
          <w:color w:val="0000FF"/>
          <w:sz w:val="30"/>
          <w:szCs w:val="30"/>
          <w:lang w:val="en-US" w:bidi="ar-MA"/>
        </w:rPr>
        <w:t xml:space="preserve">8,7% </w:t>
      </w:r>
      <w:r w:rsidRPr="00F24AE1">
        <w:rPr>
          <w:rFonts w:hint="cs"/>
          <w:b/>
          <w:bCs/>
          <w:color w:val="0000FF"/>
          <w:sz w:val="30"/>
          <w:szCs w:val="30"/>
          <w:rtl/>
          <w:lang w:val="en-US" w:bidi="ar-MA"/>
        </w:rPr>
        <w:t xml:space="preserve"> على المستوى الوطني، </w:t>
      </w:r>
      <w:r w:rsidRPr="00F24AE1">
        <w:rPr>
          <w:rFonts w:hint="cs"/>
          <w:b/>
          <w:bCs/>
          <w:color w:val="0000FF"/>
          <w:sz w:val="30"/>
          <w:szCs w:val="30"/>
          <w:rtl/>
        </w:rPr>
        <w:t xml:space="preserve">من </w:t>
      </w:r>
      <w:r w:rsidRPr="00F24AE1">
        <w:rPr>
          <w:b/>
          <w:bCs/>
          <w:color w:val="0000FF"/>
          <w:sz w:val="30"/>
          <w:szCs w:val="30"/>
          <w:rtl/>
          <w:lang w:val="en-US" w:bidi="ar-MA"/>
        </w:rPr>
        <w:t>%</w:t>
      </w:r>
      <w:r>
        <w:rPr>
          <w:b/>
          <w:bCs/>
          <w:color w:val="0000FF"/>
          <w:sz w:val="30"/>
          <w:szCs w:val="30"/>
          <w:lang w:val="en-US" w:bidi="ar-MA"/>
        </w:rPr>
        <w:t xml:space="preserve"> </w:t>
      </w:r>
      <w:r w:rsidRPr="00F24AE1">
        <w:rPr>
          <w:b/>
          <w:bCs/>
          <w:color w:val="0000FF"/>
          <w:sz w:val="30"/>
          <w:szCs w:val="30"/>
          <w:lang w:val="en-US" w:bidi="ar-MA"/>
        </w:rPr>
        <w:t>14,2</w:t>
      </w:r>
      <w:r>
        <w:rPr>
          <w:b/>
          <w:bCs/>
          <w:color w:val="0000FF"/>
          <w:sz w:val="30"/>
          <w:szCs w:val="30"/>
          <w:lang w:val="en-US" w:bidi="ar-MA"/>
        </w:rPr>
        <w:t xml:space="preserve"> </w:t>
      </w:r>
      <w:r w:rsidRPr="00F24AE1">
        <w:rPr>
          <w:rFonts w:hint="cs"/>
          <w:b/>
          <w:bCs/>
          <w:color w:val="0000FF"/>
          <w:sz w:val="30"/>
          <w:szCs w:val="30"/>
          <w:rtl/>
          <w:lang w:val="en-US" w:bidi="ar-MA"/>
        </w:rPr>
        <w:t xml:space="preserve">إلى </w:t>
      </w:r>
      <w:r w:rsidRPr="00F24AE1">
        <w:rPr>
          <w:b/>
          <w:bCs/>
          <w:color w:val="0000FF"/>
          <w:sz w:val="30"/>
          <w:szCs w:val="30"/>
          <w:lang w:val="en-US" w:bidi="ar-MA"/>
        </w:rPr>
        <w:t>13,4%</w:t>
      </w:r>
      <w:r w:rsidRPr="00F24AE1">
        <w:rPr>
          <w:rFonts w:hint="cs"/>
          <w:b/>
          <w:bCs/>
          <w:color w:val="0000FF"/>
          <w:sz w:val="30"/>
          <w:szCs w:val="30"/>
          <w:rtl/>
          <w:lang w:val="en-US" w:bidi="ar-MA"/>
        </w:rPr>
        <w:t xml:space="preserve"> بالوسط الحضري ومن</w:t>
      </w:r>
      <w:r w:rsidRPr="00F24AE1">
        <w:rPr>
          <w:b/>
          <w:bCs/>
          <w:color w:val="0000FF"/>
          <w:sz w:val="30"/>
          <w:szCs w:val="30"/>
          <w:lang w:val="en-US" w:bidi="ar-MA"/>
        </w:rPr>
        <w:t>3,</w:t>
      </w:r>
      <w:r w:rsidRPr="00F24AE1">
        <w:rPr>
          <w:b/>
          <w:bCs/>
          <w:color w:val="0000FF"/>
          <w:sz w:val="30"/>
          <w:szCs w:val="30"/>
          <w:lang w:bidi="ar-MA"/>
        </w:rPr>
        <w:t>6</w:t>
      </w:r>
      <w:r w:rsidRPr="00F24AE1">
        <w:rPr>
          <w:b/>
          <w:bCs/>
          <w:color w:val="0000FF"/>
          <w:sz w:val="30"/>
          <w:szCs w:val="30"/>
          <w:lang w:val="en-US" w:bidi="ar-MA"/>
        </w:rPr>
        <w:t>%</w:t>
      </w:r>
      <w:r w:rsidRPr="00F24AE1">
        <w:rPr>
          <w:rFonts w:ascii="Book Antiqua" w:hAnsi="Book Antiqua"/>
          <w:b/>
          <w:bCs/>
          <w:color w:val="0070C0"/>
          <w:sz w:val="30"/>
          <w:szCs w:val="30"/>
        </w:rPr>
        <w:t xml:space="preserve"> </w:t>
      </w:r>
      <w:r w:rsidRPr="00F24AE1">
        <w:rPr>
          <w:rFonts w:hint="cs"/>
          <w:b/>
          <w:bCs/>
          <w:color w:val="0000FF"/>
          <w:sz w:val="30"/>
          <w:szCs w:val="30"/>
          <w:rtl/>
          <w:lang w:val="en-US" w:bidi="ar-MA"/>
        </w:rPr>
        <w:t xml:space="preserve"> إلى</w:t>
      </w:r>
      <w:r w:rsidRPr="00F24AE1">
        <w:rPr>
          <w:b/>
          <w:bCs/>
          <w:color w:val="0000FF"/>
          <w:sz w:val="30"/>
          <w:szCs w:val="30"/>
          <w:lang w:val="en-US" w:bidi="ar-MA"/>
        </w:rPr>
        <w:t xml:space="preserve">3,3% </w:t>
      </w:r>
      <w:r w:rsidRPr="00F24AE1">
        <w:rPr>
          <w:rFonts w:hint="cs"/>
          <w:b/>
          <w:bCs/>
          <w:color w:val="0000FF"/>
          <w:sz w:val="30"/>
          <w:szCs w:val="30"/>
          <w:rtl/>
          <w:lang w:val="en-US" w:bidi="ar-MA"/>
        </w:rPr>
        <w:t xml:space="preserve"> بالوسط</w:t>
      </w:r>
      <w:r w:rsidR="00226A13">
        <w:rPr>
          <w:rFonts w:hint="cs"/>
          <w:b/>
          <w:bCs/>
          <w:color w:val="0000FF"/>
          <w:sz w:val="30"/>
          <w:szCs w:val="30"/>
          <w:rtl/>
        </w:rPr>
        <w:t xml:space="preserve"> القروي.</w:t>
      </w:r>
    </w:p>
    <w:p w:rsidR="00ED5B66" w:rsidRPr="00F24AE1" w:rsidRDefault="00F726F7" w:rsidP="00E0599F">
      <w:pPr>
        <w:autoSpaceDE w:val="0"/>
        <w:autoSpaceDN w:val="0"/>
        <w:bidi/>
        <w:adjustRightInd w:val="0"/>
        <w:spacing w:before="240" w:after="120" w:line="312" w:lineRule="auto"/>
        <w:jc w:val="both"/>
        <w:rPr>
          <w:b/>
          <w:bCs/>
          <w:color w:val="0000FF"/>
          <w:sz w:val="30"/>
          <w:szCs w:val="30"/>
          <w:rtl/>
          <w:lang w:val="en-US" w:bidi="ar-MA"/>
        </w:rPr>
      </w:pPr>
      <w:r>
        <w:rPr>
          <w:b/>
          <w:bCs/>
          <w:color w:val="0000FF"/>
          <w:sz w:val="30"/>
          <w:szCs w:val="30"/>
        </w:rPr>
        <w:t> </w:t>
      </w:r>
      <w:r w:rsidR="004457F8" w:rsidRPr="00F24AE1">
        <w:rPr>
          <w:rFonts w:hint="cs"/>
          <w:b/>
          <w:bCs/>
          <w:color w:val="0000FF"/>
          <w:sz w:val="30"/>
          <w:szCs w:val="30"/>
          <w:rtl/>
          <w:lang w:val="en-US" w:bidi="ar-MA"/>
        </w:rPr>
        <w:t>و</w:t>
      </w:r>
      <w:r w:rsidR="00ED5B66" w:rsidRPr="00F24AE1">
        <w:rPr>
          <w:rFonts w:hint="cs"/>
          <w:b/>
          <w:bCs/>
          <w:color w:val="0000FF"/>
          <w:sz w:val="30"/>
          <w:szCs w:val="30"/>
          <w:rtl/>
          <w:lang w:val="en-US" w:bidi="ar-MA"/>
        </w:rPr>
        <w:t xml:space="preserve">ارتفع معدل الشغل الناقص، من جهته، ب </w:t>
      </w:r>
      <w:r w:rsidR="00ED5B66" w:rsidRPr="00F24AE1">
        <w:rPr>
          <w:b/>
          <w:bCs/>
          <w:color w:val="0000FF"/>
          <w:sz w:val="30"/>
          <w:szCs w:val="30"/>
          <w:lang w:val="en-US" w:bidi="ar-MA"/>
        </w:rPr>
        <w:t xml:space="preserve">  0,4</w:t>
      </w:r>
      <w:r w:rsidR="00ED5B66" w:rsidRPr="00F24AE1">
        <w:rPr>
          <w:rFonts w:hint="cs"/>
          <w:b/>
          <w:bCs/>
          <w:color w:val="0000FF"/>
          <w:sz w:val="30"/>
          <w:szCs w:val="30"/>
          <w:rtl/>
          <w:lang w:val="en-US" w:bidi="ar-MA"/>
        </w:rPr>
        <w:t xml:space="preserve">نقطة، منتقلا من </w:t>
      </w:r>
      <w:r w:rsidR="00ED5B66" w:rsidRPr="00F24AE1">
        <w:rPr>
          <w:b/>
          <w:bCs/>
          <w:color w:val="0000FF"/>
          <w:sz w:val="30"/>
          <w:szCs w:val="30"/>
          <w:lang w:val="en-US" w:bidi="ar-MA"/>
        </w:rPr>
        <w:t>10,4%</w:t>
      </w:r>
      <w:r w:rsidR="00ED5B66" w:rsidRPr="00F24AE1">
        <w:rPr>
          <w:rFonts w:hint="cs"/>
          <w:b/>
          <w:bCs/>
          <w:color w:val="0000FF"/>
          <w:sz w:val="30"/>
          <w:szCs w:val="30"/>
          <w:rtl/>
        </w:rPr>
        <w:t> </w:t>
      </w:r>
      <w:r w:rsidR="00ED5B66" w:rsidRPr="00F24AE1">
        <w:rPr>
          <w:rFonts w:hint="cs"/>
          <w:b/>
          <w:bCs/>
          <w:color w:val="0000FF"/>
          <w:sz w:val="30"/>
          <w:szCs w:val="30"/>
          <w:rtl/>
          <w:lang w:val="en-US" w:bidi="ar-MA"/>
        </w:rPr>
        <w:t>إلى</w:t>
      </w:r>
      <w:r w:rsidR="00ED5B66" w:rsidRPr="00F24AE1">
        <w:rPr>
          <w:b/>
          <w:bCs/>
          <w:color w:val="0000FF"/>
          <w:sz w:val="30"/>
          <w:szCs w:val="30"/>
          <w:lang w:val="en-US" w:bidi="ar-MA"/>
        </w:rPr>
        <w:t xml:space="preserve">10,8% </w:t>
      </w:r>
      <w:r w:rsidR="00ED5B66" w:rsidRPr="00F24AE1">
        <w:rPr>
          <w:rFonts w:ascii="Book Antiqua" w:hAnsi="Book Antiqua" w:hint="cs"/>
          <w:b/>
          <w:bCs/>
          <w:color w:val="0070C0"/>
          <w:sz w:val="30"/>
          <w:szCs w:val="30"/>
          <w:rtl/>
        </w:rPr>
        <w:t xml:space="preserve"> </w:t>
      </w:r>
      <w:r w:rsidR="00ED5B66" w:rsidRPr="00F24AE1">
        <w:rPr>
          <w:rFonts w:hint="cs"/>
          <w:b/>
          <w:bCs/>
          <w:color w:val="0000FF"/>
          <w:sz w:val="30"/>
          <w:szCs w:val="30"/>
          <w:rtl/>
          <w:lang w:val="en-US" w:bidi="ar-MA"/>
        </w:rPr>
        <w:t>على المستوى</w:t>
      </w:r>
      <w:r w:rsidR="00ED5B66" w:rsidRPr="00F24AE1">
        <w:rPr>
          <w:rFonts w:ascii="Book Antiqua" w:hAnsi="Book Antiqua" w:hint="cs"/>
          <w:b/>
          <w:bCs/>
          <w:color w:val="0070C0"/>
          <w:sz w:val="30"/>
          <w:szCs w:val="30"/>
          <w:rtl/>
        </w:rPr>
        <w:t xml:space="preserve"> </w:t>
      </w:r>
      <w:r w:rsidR="00ED5B66" w:rsidRPr="00F24AE1">
        <w:rPr>
          <w:rFonts w:hint="cs"/>
          <w:b/>
          <w:bCs/>
          <w:color w:val="0000FF"/>
          <w:sz w:val="30"/>
          <w:szCs w:val="30"/>
          <w:rtl/>
          <w:lang w:val="en-US" w:bidi="ar-MA"/>
        </w:rPr>
        <w:t xml:space="preserve">الوطني. كما انتقل من </w:t>
      </w:r>
      <w:r w:rsidR="00ED5B66" w:rsidRPr="00F24AE1">
        <w:rPr>
          <w:b/>
          <w:bCs/>
          <w:color w:val="0000FF"/>
          <w:sz w:val="30"/>
          <w:szCs w:val="30"/>
          <w:lang w:val="en-US" w:bidi="ar-MA"/>
        </w:rPr>
        <w:t>9,2%</w:t>
      </w:r>
      <w:r w:rsidR="00ED5B66" w:rsidRPr="00F24AE1">
        <w:rPr>
          <w:rFonts w:hint="cs"/>
          <w:b/>
          <w:bCs/>
          <w:color w:val="0000FF"/>
          <w:sz w:val="30"/>
          <w:szCs w:val="30"/>
          <w:rtl/>
          <w:lang w:val="en-US" w:bidi="ar-MA"/>
        </w:rPr>
        <w:t xml:space="preserve"> إلى </w:t>
      </w:r>
      <w:r w:rsidR="00ED5B66" w:rsidRPr="00F24AE1">
        <w:rPr>
          <w:b/>
          <w:bCs/>
          <w:color w:val="0000FF"/>
          <w:sz w:val="30"/>
          <w:szCs w:val="30"/>
          <w:lang w:val="en-US" w:bidi="ar-MA"/>
        </w:rPr>
        <w:t xml:space="preserve"> 9,7%</w:t>
      </w:r>
      <w:r w:rsidR="00ED5B66" w:rsidRPr="00F24AE1">
        <w:rPr>
          <w:rFonts w:hint="cs"/>
          <w:b/>
          <w:bCs/>
          <w:color w:val="0000FF"/>
          <w:sz w:val="30"/>
          <w:szCs w:val="30"/>
          <w:rtl/>
          <w:lang w:val="en-US" w:bidi="ar-MA"/>
        </w:rPr>
        <w:t> </w:t>
      </w:r>
      <w:r w:rsidR="00ED5B66" w:rsidRPr="00F24AE1">
        <w:rPr>
          <w:rFonts w:hint="cs"/>
          <w:b/>
          <w:bCs/>
          <w:color w:val="0000FF"/>
          <w:sz w:val="30"/>
          <w:szCs w:val="30"/>
          <w:rtl/>
        </w:rPr>
        <w:t xml:space="preserve">بالوسط الحضري ومن </w:t>
      </w:r>
      <w:r w:rsidR="00ED5B66" w:rsidRPr="00F24AE1">
        <w:rPr>
          <w:b/>
          <w:bCs/>
          <w:color w:val="0000FF"/>
          <w:sz w:val="30"/>
          <w:szCs w:val="30"/>
          <w:lang w:val="en-US" w:bidi="ar-MA"/>
        </w:rPr>
        <w:t>11,7%</w:t>
      </w:r>
      <w:r w:rsidR="00ED5B66" w:rsidRPr="00F24AE1">
        <w:rPr>
          <w:rFonts w:ascii="Book Antiqua" w:hAnsi="Book Antiqua"/>
          <w:b/>
          <w:bCs/>
          <w:color w:val="0070C0"/>
          <w:sz w:val="30"/>
          <w:szCs w:val="30"/>
        </w:rPr>
        <w:t xml:space="preserve"> </w:t>
      </w:r>
      <w:r w:rsidR="00ED5B66" w:rsidRPr="00F24AE1">
        <w:rPr>
          <w:rFonts w:hint="cs"/>
          <w:sz w:val="30"/>
          <w:szCs w:val="30"/>
          <w:rtl/>
        </w:rPr>
        <w:t xml:space="preserve"> </w:t>
      </w:r>
      <w:r w:rsidR="00ED5B66" w:rsidRPr="00F24AE1">
        <w:rPr>
          <w:rFonts w:hint="cs"/>
          <w:b/>
          <w:bCs/>
          <w:color w:val="0000FF"/>
          <w:sz w:val="30"/>
          <w:szCs w:val="30"/>
          <w:rtl/>
          <w:lang w:val="en-US" w:bidi="ar-MA"/>
        </w:rPr>
        <w:t xml:space="preserve">إلى </w:t>
      </w:r>
      <w:r w:rsidR="00ED5B66" w:rsidRPr="00F24AE1">
        <w:rPr>
          <w:b/>
          <w:bCs/>
          <w:color w:val="0000FF"/>
          <w:sz w:val="30"/>
          <w:szCs w:val="30"/>
          <w:lang w:val="en-US" w:bidi="ar-MA"/>
        </w:rPr>
        <w:t>12%</w:t>
      </w:r>
      <w:r w:rsidR="00ED5B66" w:rsidRPr="00F24AE1">
        <w:rPr>
          <w:rFonts w:hint="cs"/>
          <w:b/>
          <w:bCs/>
          <w:color w:val="0000FF"/>
          <w:sz w:val="30"/>
          <w:szCs w:val="30"/>
          <w:rtl/>
        </w:rPr>
        <w:t> </w:t>
      </w:r>
      <w:r w:rsidR="00ED5B66" w:rsidRPr="00F24AE1">
        <w:rPr>
          <w:rFonts w:hint="cs"/>
          <w:b/>
          <w:bCs/>
          <w:color w:val="0000FF"/>
          <w:sz w:val="30"/>
          <w:szCs w:val="30"/>
          <w:rtl/>
          <w:lang w:val="en-US" w:bidi="ar-MA"/>
        </w:rPr>
        <w:t>بالوسط القروي.</w:t>
      </w:r>
    </w:p>
    <w:p w:rsidR="00C37277" w:rsidRDefault="00ED5B66" w:rsidP="00ED5B66">
      <w:pPr>
        <w:jc w:val="right"/>
        <w:rPr>
          <w:b/>
          <w:bCs/>
          <w:color w:val="0000FF"/>
          <w:sz w:val="28"/>
          <w:szCs w:val="28"/>
          <w:rtl/>
          <w:lang w:bidi="ar-MA"/>
        </w:rPr>
      </w:pPr>
      <w:r>
        <w:rPr>
          <w:b/>
          <w:bCs/>
          <w:color w:val="0000FF"/>
          <w:sz w:val="28"/>
          <w:szCs w:val="28"/>
          <w:rtl/>
          <w:lang w:bidi="ar-MA"/>
        </w:rPr>
        <w:br w:type="page"/>
      </w:r>
    </w:p>
    <w:p w:rsidR="00ED5B66" w:rsidRPr="00ED3F4E" w:rsidRDefault="00ED5B66" w:rsidP="00ED5B66">
      <w:pPr>
        <w:jc w:val="right"/>
        <w:rPr>
          <w:b/>
          <w:bCs/>
          <w:color w:val="B33B69"/>
          <w:sz w:val="36"/>
          <w:szCs w:val="36"/>
          <w:rtl/>
          <w:lang w:bidi="ar-AE"/>
        </w:rPr>
      </w:pPr>
      <w:r w:rsidRPr="00ED3F4E">
        <w:rPr>
          <w:b/>
          <w:bCs/>
          <w:color w:val="B33B69"/>
          <w:sz w:val="36"/>
          <w:szCs w:val="36"/>
          <w:rtl/>
          <w:lang w:bidi="ar-AE"/>
        </w:rPr>
        <w:lastRenderedPageBreak/>
        <w:t>وضعية وتطور سوق الشغل مابين الفصل الثاني من سنة 2014 ونفس الفصل من سنة 2015</w:t>
      </w:r>
    </w:p>
    <w:p w:rsidR="00ED5B66" w:rsidRPr="00456E3B" w:rsidRDefault="00ED5B66" w:rsidP="00ED5B66">
      <w:pPr>
        <w:jc w:val="right"/>
        <w:rPr>
          <w:sz w:val="32"/>
          <w:szCs w:val="32"/>
          <w:rtl/>
        </w:rPr>
      </w:pPr>
      <w:r w:rsidRPr="00ED3F4E">
        <w:rPr>
          <w:rFonts w:hint="cs"/>
          <w:sz w:val="36"/>
          <w:szCs w:val="36"/>
          <w:rtl/>
        </w:rPr>
        <w:t xml:space="preserve"> </w:t>
      </w:r>
    </w:p>
    <w:p w:rsidR="00ED5B66" w:rsidRPr="00456E3B" w:rsidRDefault="00ED5B66" w:rsidP="00ED5B66">
      <w:pPr>
        <w:jc w:val="right"/>
        <w:rPr>
          <w:b/>
          <w:bCs/>
          <w:color w:val="0000FF"/>
          <w:sz w:val="32"/>
          <w:szCs w:val="32"/>
          <w:rtl/>
        </w:rPr>
      </w:pPr>
      <w:r w:rsidRPr="00456E3B">
        <w:rPr>
          <w:rFonts w:hint="cs"/>
          <w:b/>
          <w:bCs/>
          <w:color w:val="0000FF"/>
          <w:sz w:val="32"/>
          <w:szCs w:val="32"/>
          <w:rtl/>
        </w:rPr>
        <w:t>تراجع طفيف لمعدلات النشاط والتشغيل</w:t>
      </w:r>
    </w:p>
    <w:p w:rsidR="00ED5B66" w:rsidRPr="00D404EB" w:rsidRDefault="00ED5B66" w:rsidP="00ED5B66">
      <w:pPr>
        <w:jc w:val="right"/>
        <w:rPr>
          <w:b/>
          <w:bCs/>
          <w:color w:val="B33B69"/>
          <w:sz w:val="28"/>
          <w:szCs w:val="28"/>
          <w:rtl/>
          <w:lang w:bidi="ar-AE"/>
        </w:rPr>
      </w:pPr>
    </w:p>
    <w:p w:rsidR="00ED5B66" w:rsidRPr="00456E3B" w:rsidRDefault="00ED5B66" w:rsidP="00396636">
      <w:pPr>
        <w:bidi/>
        <w:spacing w:line="360" w:lineRule="auto"/>
        <w:jc w:val="both"/>
        <w:rPr>
          <w:sz w:val="28"/>
          <w:szCs w:val="28"/>
          <w:rtl/>
        </w:rPr>
      </w:pPr>
      <w:r w:rsidRPr="00456E3B">
        <w:rPr>
          <w:rFonts w:hint="cs"/>
          <w:sz w:val="28"/>
          <w:szCs w:val="28"/>
          <w:rtl/>
        </w:rPr>
        <w:t>بلغ حجم السكان النشيطين البالغين من العمر</w:t>
      </w:r>
      <w:r w:rsidRPr="00456E3B">
        <w:rPr>
          <w:sz w:val="28"/>
          <w:szCs w:val="28"/>
          <w:rtl/>
        </w:rPr>
        <w:t>15</w:t>
      </w:r>
      <w:r w:rsidRPr="00456E3B">
        <w:rPr>
          <w:rFonts w:hint="cs"/>
          <w:sz w:val="28"/>
          <w:szCs w:val="28"/>
          <w:rtl/>
        </w:rPr>
        <w:t xml:space="preserve"> </w:t>
      </w:r>
      <w:r w:rsidRPr="00456E3B">
        <w:rPr>
          <w:sz w:val="28"/>
          <w:szCs w:val="28"/>
          <w:rtl/>
        </w:rPr>
        <w:t>سنة فما فوق</w:t>
      </w:r>
      <w:r w:rsidRPr="00456E3B">
        <w:rPr>
          <w:rFonts w:hint="cs"/>
          <w:sz w:val="28"/>
          <w:szCs w:val="28"/>
          <w:rtl/>
        </w:rPr>
        <w:t>، خلال الفصل الث</w:t>
      </w:r>
      <w:r w:rsidR="00FE2B25">
        <w:rPr>
          <w:rFonts w:hint="cs"/>
          <w:sz w:val="28"/>
          <w:szCs w:val="28"/>
          <w:rtl/>
        </w:rPr>
        <w:t>اني من سنة 2015، 11.970.000 شخص</w:t>
      </w:r>
      <w:r w:rsidR="00FE2B25">
        <w:rPr>
          <w:rFonts w:hint="cs"/>
          <w:sz w:val="28"/>
          <w:szCs w:val="28"/>
          <w:rtl/>
          <w:lang w:bidi="ar-MA"/>
        </w:rPr>
        <w:t xml:space="preserve">، </w:t>
      </w:r>
      <w:r w:rsidR="008F4A62">
        <w:rPr>
          <w:rFonts w:hint="cs"/>
          <w:sz w:val="28"/>
          <w:szCs w:val="28"/>
          <w:rtl/>
        </w:rPr>
        <w:t>منخفض</w:t>
      </w:r>
      <w:r w:rsidR="008F4A62" w:rsidRPr="00456E3B">
        <w:rPr>
          <w:rFonts w:hint="cs"/>
          <w:sz w:val="28"/>
          <w:szCs w:val="28"/>
          <w:rtl/>
        </w:rPr>
        <w:t>ا</w:t>
      </w:r>
      <w:r w:rsidR="008F4A62">
        <w:rPr>
          <w:rFonts w:hint="cs"/>
          <w:sz w:val="28"/>
          <w:szCs w:val="28"/>
          <w:rtl/>
        </w:rPr>
        <w:t xml:space="preserve"> بذلك</w:t>
      </w:r>
      <w:r w:rsidRPr="00456E3B">
        <w:rPr>
          <w:rFonts w:hint="cs"/>
          <w:sz w:val="28"/>
          <w:szCs w:val="28"/>
          <w:rtl/>
        </w:rPr>
        <w:t xml:space="preserve"> </w:t>
      </w:r>
      <w:proofErr w:type="spellStart"/>
      <w:r w:rsidRPr="00456E3B">
        <w:rPr>
          <w:rFonts w:hint="cs"/>
          <w:sz w:val="28"/>
          <w:szCs w:val="28"/>
          <w:rtl/>
        </w:rPr>
        <w:t>بـ</w:t>
      </w:r>
      <w:proofErr w:type="spellEnd"/>
      <w:r w:rsidRPr="00456E3B">
        <w:rPr>
          <w:sz w:val="28"/>
          <w:szCs w:val="28"/>
        </w:rPr>
        <w:t xml:space="preserve">0,3% </w:t>
      </w:r>
      <w:r w:rsidRPr="00456E3B">
        <w:rPr>
          <w:rFonts w:hint="cs"/>
          <w:sz w:val="28"/>
          <w:szCs w:val="28"/>
          <w:rtl/>
        </w:rPr>
        <w:t xml:space="preserve"> مقارنة مع نفس الفصل من سنة </w:t>
      </w:r>
      <w:r w:rsidRPr="00456E3B">
        <w:rPr>
          <w:sz w:val="28"/>
          <w:szCs w:val="28"/>
        </w:rPr>
        <w:t>2014</w:t>
      </w:r>
      <w:r w:rsidRPr="00456E3B">
        <w:rPr>
          <w:rFonts w:hint="cs"/>
          <w:sz w:val="28"/>
          <w:szCs w:val="28"/>
          <w:rtl/>
        </w:rPr>
        <w:t xml:space="preserve"> </w:t>
      </w:r>
      <w:proofErr w:type="spellStart"/>
      <w:r w:rsidRPr="00456E3B">
        <w:rPr>
          <w:rFonts w:hint="cs"/>
          <w:sz w:val="28"/>
          <w:szCs w:val="28"/>
          <w:rtl/>
        </w:rPr>
        <w:t>(</w:t>
      </w:r>
      <w:proofErr w:type="spellEnd"/>
      <w:r w:rsidRPr="00456E3B">
        <w:rPr>
          <w:sz w:val="28"/>
          <w:szCs w:val="28"/>
        </w:rPr>
        <w:t>-0,9%</w:t>
      </w:r>
      <w:r w:rsidRPr="00456E3B">
        <w:rPr>
          <w:rFonts w:hint="cs"/>
          <w:sz w:val="28"/>
          <w:szCs w:val="28"/>
          <w:rtl/>
        </w:rPr>
        <w:t xml:space="preserve"> بالوسط القروي و</w:t>
      </w:r>
      <w:r w:rsidRPr="00456E3B">
        <w:rPr>
          <w:sz w:val="28"/>
          <w:szCs w:val="28"/>
        </w:rPr>
        <w:t>+0,3%</w:t>
      </w:r>
      <w:r w:rsidRPr="00456E3B">
        <w:rPr>
          <w:rFonts w:hint="cs"/>
          <w:sz w:val="28"/>
          <w:szCs w:val="28"/>
          <w:rtl/>
        </w:rPr>
        <w:t xml:space="preserve"> بالوسط الحضري</w:t>
      </w:r>
      <w:proofErr w:type="spellStart"/>
      <w:r w:rsidRPr="00456E3B">
        <w:rPr>
          <w:rFonts w:hint="cs"/>
          <w:sz w:val="28"/>
          <w:szCs w:val="28"/>
          <w:rtl/>
        </w:rPr>
        <w:t>).</w:t>
      </w:r>
      <w:proofErr w:type="spellEnd"/>
      <w:r w:rsidRPr="00456E3B">
        <w:rPr>
          <w:rFonts w:hint="cs"/>
          <w:sz w:val="28"/>
          <w:szCs w:val="28"/>
          <w:rtl/>
        </w:rPr>
        <w:t xml:space="preserve"> في حين ارتفع عدد السكان في سن النشاط ب </w:t>
      </w:r>
      <w:r w:rsidRPr="00456E3B">
        <w:rPr>
          <w:sz w:val="28"/>
          <w:szCs w:val="28"/>
        </w:rPr>
        <w:t>1,5%</w:t>
      </w:r>
      <w:r w:rsidRPr="00456E3B">
        <w:rPr>
          <w:rFonts w:hint="cs"/>
          <w:sz w:val="28"/>
          <w:szCs w:val="28"/>
          <w:rtl/>
        </w:rPr>
        <w:t xml:space="preserve">. وهكذا، انتقل معدل النشاط على المستوى الوطني من </w:t>
      </w:r>
      <w:r w:rsidRPr="00456E3B">
        <w:rPr>
          <w:sz w:val="28"/>
          <w:szCs w:val="28"/>
        </w:rPr>
        <w:t xml:space="preserve">48,9% </w:t>
      </w:r>
      <w:r w:rsidRPr="00456E3B">
        <w:rPr>
          <w:rFonts w:hint="cs"/>
          <w:sz w:val="28"/>
          <w:szCs w:val="28"/>
          <w:rtl/>
        </w:rPr>
        <w:t xml:space="preserve"> إلى </w:t>
      </w:r>
      <w:r w:rsidRPr="00456E3B">
        <w:rPr>
          <w:sz w:val="28"/>
          <w:szCs w:val="28"/>
        </w:rPr>
        <w:t>48%</w:t>
      </w:r>
      <w:r w:rsidRPr="00456E3B">
        <w:rPr>
          <w:rFonts w:hint="cs"/>
          <w:sz w:val="28"/>
          <w:szCs w:val="28"/>
          <w:rtl/>
        </w:rPr>
        <w:t xml:space="preserve">، مسجلا بذالك </w:t>
      </w:r>
      <w:r w:rsidR="004457F8">
        <w:rPr>
          <w:rFonts w:hint="cs"/>
          <w:sz w:val="28"/>
          <w:szCs w:val="28"/>
          <w:rtl/>
        </w:rPr>
        <w:t>تراجعا</w:t>
      </w:r>
      <w:r w:rsidRPr="00456E3B">
        <w:rPr>
          <w:rFonts w:hint="cs"/>
          <w:sz w:val="28"/>
          <w:szCs w:val="28"/>
          <w:rtl/>
        </w:rPr>
        <w:t xml:space="preserve"> ب</w:t>
      </w:r>
      <w:r w:rsidRPr="00456E3B">
        <w:rPr>
          <w:sz w:val="28"/>
          <w:szCs w:val="28"/>
        </w:rPr>
        <w:t xml:space="preserve"> 0,9 </w:t>
      </w:r>
      <w:r w:rsidRPr="00456E3B">
        <w:rPr>
          <w:rFonts w:hint="cs"/>
          <w:sz w:val="28"/>
          <w:szCs w:val="28"/>
          <w:rtl/>
        </w:rPr>
        <w:t>نقطة.</w:t>
      </w:r>
    </w:p>
    <w:p w:rsidR="00ED5B66" w:rsidRPr="00456E3B" w:rsidRDefault="00ED5B66" w:rsidP="00312C25">
      <w:pPr>
        <w:bidi/>
        <w:spacing w:line="360" w:lineRule="auto"/>
        <w:jc w:val="both"/>
        <w:rPr>
          <w:sz w:val="28"/>
          <w:szCs w:val="28"/>
          <w:rtl/>
        </w:rPr>
      </w:pPr>
      <w:r w:rsidRPr="00456E3B">
        <w:rPr>
          <w:rFonts w:hint="cs"/>
          <w:sz w:val="28"/>
          <w:szCs w:val="28"/>
          <w:rtl/>
        </w:rPr>
        <w:t xml:space="preserve">وفي ما يتعلق بالتشغيل، تم إحداث 125.000 منصب شغل مؤدى عنه خلال هذه الفترة، وذلك نتيجة إحداث 65.000 منصب بالوسط الحضري و 60.000 منصب بالوسط القروي. كما سجل الشغل غير المؤدى عنه، والذي يشكل فيه المساعدون العائليون قرابة </w:t>
      </w:r>
      <w:r w:rsidRPr="00456E3B">
        <w:rPr>
          <w:sz w:val="28"/>
          <w:szCs w:val="28"/>
        </w:rPr>
        <w:t xml:space="preserve">98% </w:t>
      </w:r>
      <w:proofErr w:type="spellStart"/>
      <w:r w:rsidRPr="00456E3B">
        <w:rPr>
          <w:rFonts w:hint="cs"/>
          <w:sz w:val="28"/>
          <w:szCs w:val="28"/>
          <w:rtl/>
        </w:rPr>
        <w:t>،</w:t>
      </w:r>
      <w:proofErr w:type="spellEnd"/>
      <w:r w:rsidRPr="00456E3B">
        <w:rPr>
          <w:rFonts w:hint="cs"/>
          <w:sz w:val="28"/>
          <w:szCs w:val="28"/>
          <w:rtl/>
        </w:rPr>
        <w:t xml:space="preserve"> انخفاضا </w:t>
      </w:r>
      <w:proofErr w:type="spellStart"/>
      <w:r w:rsidRPr="00456E3B">
        <w:rPr>
          <w:rFonts w:hint="cs"/>
          <w:sz w:val="28"/>
          <w:szCs w:val="28"/>
          <w:rtl/>
        </w:rPr>
        <w:t>بـ</w:t>
      </w:r>
      <w:proofErr w:type="spellEnd"/>
      <w:r w:rsidRPr="00456E3B">
        <w:rPr>
          <w:rFonts w:hint="cs"/>
          <w:sz w:val="28"/>
          <w:szCs w:val="28"/>
          <w:rtl/>
        </w:rPr>
        <w:t xml:space="preserve"> 94.000 منصب بالمناطق القروية وارتفاعا ب 7.000 منصب بالمناطق الحضرية، </w:t>
      </w:r>
      <w:r w:rsidR="004457F8">
        <w:rPr>
          <w:rFonts w:hint="cs"/>
          <w:sz w:val="28"/>
          <w:szCs w:val="28"/>
          <w:rtl/>
        </w:rPr>
        <w:t>أي</w:t>
      </w:r>
      <w:r w:rsidRPr="00456E3B">
        <w:rPr>
          <w:rFonts w:hint="cs"/>
          <w:sz w:val="28"/>
          <w:szCs w:val="28"/>
          <w:rtl/>
        </w:rPr>
        <w:t xml:space="preserve"> ما يمثل 87.000 منصب</w:t>
      </w:r>
      <w:r w:rsidR="004457F8">
        <w:rPr>
          <w:rFonts w:hint="cs"/>
          <w:sz w:val="28"/>
          <w:szCs w:val="28"/>
          <w:rtl/>
        </w:rPr>
        <w:t xml:space="preserve"> مفقود</w:t>
      </w:r>
      <w:r w:rsidRPr="00456E3B">
        <w:rPr>
          <w:rFonts w:hint="cs"/>
          <w:sz w:val="28"/>
          <w:szCs w:val="28"/>
          <w:rtl/>
        </w:rPr>
        <w:t>.</w:t>
      </w:r>
    </w:p>
    <w:p w:rsidR="00ED5B66" w:rsidRDefault="00ED5B66" w:rsidP="00312C25">
      <w:pPr>
        <w:bidi/>
        <w:spacing w:line="360" w:lineRule="auto"/>
        <w:ind w:left="-2"/>
        <w:jc w:val="both"/>
        <w:rPr>
          <w:sz w:val="26"/>
          <w:szCs w:val="26"/>
          <w:rtl/>
          <w:lang w:bidi="ar-MA"/>
        </w:rPr>
      </w:pPr>
    </w:p>
    <w:p w:rsidR="00ED5B66" w:rsidRPr="00456E3B" w:rsidRDefault="00ED5B66" w:rsidP="00ED5B66">
      <w:pPr>
        <w:bidi/>
        <w:spacing w:line="276" w:lineRule="auto"/>
        <w:ind w:left="-2"/>
        <w:jc w:val="center"/>
        <w:rPr>
          <w:b/>
          <w:bCs/>
          <w:color w:val="0070C0"/>
          <w:sz w:val="26"/>
          <w:szCs w:val="26"/>
          <w:rtl/>
          <w:lang w:bidi="ar-MA"/>
        </w:rPr>
      </w:pPr>
      <w:proofErr w:type="spellStart"/>
      <w:r w:rsidRPr="00456E3B">
        <w:rPr>
          <w:b/>
          <w:bCs/>
          <w:color w:val="0070C0"/>
          <w:sz w:val="26"/>
          <w:szCs w:val="26"/>
          <w:rtl/>
          <w:lang w:val="en-US" w:bidi="ar-MA"/>
        </w:rPr>
        <w:t>مبيان</w:t>
      </w:r>
      <w:proofErr w:type="spellEnd"/>
      <w:r w:rsidRPr="00456E3B">
        <w:rPr>
          <w:b/>
          <w:bCs/>
          <w:color w:val="0070C0"/>
          <w:sz w:val="26"/>
          <w:szCs w:val="26"/>
          <w:rtl/>
          <w:lang w:val="en-US" w:bidi="ar-MA"/>
        </w:rPr>
        <w:t xml:space="preserve"> </w:t>
      </w:r>
      <w:proofErr w:type="spellStart"/>
      <w:r w:rsidRPr="00456E3B">
        <w:rPr>
          <w:b/>
          <w:bCs/>
          <w:color w:val="0070C0"/>
          <w:sz w:val="26"/>
          <w:szCs w:val="26"/>
          <w:rtl/>
          <w:lang w:val="en-US" w:bidi="ar-MA"/>
        </w:rPr>
        <w:t>1</w:t>
      </w:r>
      <w:r w:rsidRPr="00456E3B">
        <w:rPr>
          <w:rFonts w:hint="cs"/>
          <w:b/>
          <w:bCs/>
          <w:color w:val="0070C0"/>
          <w:sz w:val="26"/>
          <w:szCs w:val="26"/>
          <w:rtl/>
          <w:lang w:val="en-US" w:bidi="ar-MA"/>
        </w:rPr>
        <w:t>:</w:t>
      </w:r>
      <w:proofErr w:type="spellEnd"/>
      <w:r w:rsidRPr="00456E3B">
        <w:rPr>
          <w:b/>
          <w:bCs/>
          <w:color w:val="0070C0"/>
          <w:sz w:val="26"/>
          <w:szCs w:val="26"/>
          <w:rtl/>
          <w:lang w:val="en-US" w:bidi="ar-MA"/>
        </w:rPr>
        <w:t xml:space="preserve"> </w:t>
      </w:r>
      <w:r w:rsidRPr="00456E3B">
        <w:rPr>
          <w:b/>
          <w:bCs/>
          <w:color w:val="0070C0"/>
          <w:sz w:val="26"/>
          <w:szCs w:val="26"/>
          <w:rtl/>
          <w:lang w:bidi="ar-MA"/>
        </w:rPr>
        <w:t>الإحداث الصافي لمناصب الشغل</w:t>
      </w:r>
      <w:r w:rsidRPr="00456E3B">
        <w:rPr>
          <w:rFonts w:hint="cs"/>
          <w:b/>
          <w:bCs/>
          <w:color w:val="0070C0"/>
          <w:sz w:val="26"/>
          <w:szCs w:val="26"/>
          <w:rtl/>
          <w:lang w:bidi="ar-MA"/>
        </w:rPr>
        <w:t xml:space="preserve"> </w:t>
      </w:r>
      <w:r w:rsidRPr="00456E3B">
        <w:rPr>
          <w:rFonts w:hint="cs"/>
          <w:b/>
          <w:bCs/>
          <w:color w:val="0070C0"/>
          <w:sz w:val="26"/>
          <w:szCs w:val="26"/>
          <w:rtl/>
          <w:lang w:val="en-US" w:bidi="ar-MA"/>
        </w:rPr>
        <w:t>مابين</w:t>
      </w:r>
      <w:r w:rsidRPr="00456E3B">
        <w:rPr>
          <w:b/>
          <w:bCs/>
          <w:color w:val="0070C0"/>
          <w:sz w:val="26"/>
          <w:szCs w:val="26"/>
          <w:rtl/>
          <w:lang w:val="en-US" w:bidi="ar-MA"/>
        </w:rPr>
        <w:t xml:space="preserve"> </w:t>
      </w:r>
      <w:r w:rsidRPr="00456E3B">
        <w:rPr>
          <w:rFonts w:hint="cs"/>
          <w:b/>
          <w:bCs/>
          <w:color w:val="0070C0"/>
          <w:sz w:val="26"/>
          <w:szCs w:val="26"/>
          <w:rtl/>
          <w:lang w:val="en-US" w:bidi="ar-MA"/>
        </w:rPr>
        <w:t xml:space="preserve">الفصل الثاني من </w:t>
      </w:r>
      <w:r w:rsidRPr="00456E3B">
        <w:rPr>
          <w:b/>
          <w:bCs/>
          <w:color w:val="0070C0"/>
          <w:sz w:val="26"/>
          <w:szCs w:val="26"/>
          <w:rtl/>
          <w:lang w:val="en-US" w:bidi="ar-MA"/>
        </w:rPr>
        <w:t>سنة 201</w:t>
      </w:r>
      <w:r w:rsidRPr="00456E3B">
        <w:rPr>
          <w:rFonts w:hint="cs"/>
          <w:b/>
          <w:bCs/>
          <w:color w:val="0070C0"/>
          <w:sz w:val="26"/>
          <w:szCs w:val="26"/>
          <w:rtl/>
          <w:lang w:val="en-US" w:bidi="ar-MA"/>
        </w:rPr>
        <w:t>4</w:t>
      </w:r>
      <w:r w:rsidRPr="00456E3B">
        <w:rPr>
          <w:b/>
          <w:bCs/>
          <w:color w:val="0070C0"/>
          <w:sz w:val="26"/>
          <w:szCs w:val="26"/>
          <w:lang w:bidi="ar-MA"/>
        </w:rPr>
        <w:t xml:space="preserve"> </w:t>
      </w:r>
      <w:r w:rsidRPr="00456E3B">
        <w:rPr>
          <w:rFonts w:hint="cs"/>
          <w:b/>
          <w:bCs/>
          <w:color w:val="0070C0"/>
          <w:sz w:val="26"/>
          <w:szCs w:val="26"/>
          <w:rtl/>
          <w:lang w:bidi="ar-MA"/>
        </w:rPr>
        <w:t xml:space="preserve">و نفس الفترة من سنة 2015 </w:t>
      </w:r>
    </w:p>
    <w:p w:rsidR="00ED5B66" w:rsidRDefault="00ED5B66" w:rsidP="00ED5B66">
      <w:pPr>
        <w:bidi/>
        <w:spacing w:line="276" w:lineRule="auto"/>
        <w:ind w:left="-2"/>
        <w:jc w:val="center"/>
        <w:rPr>
          <w:b/>
          <w:bCs/>
          <w:sz w:val="26"/>
          <w:szCs w:val="26"/>
          <w:lang w:bidi="ar-MA"/>
        </w:rPr>
      </w:pPr>
      <w:r w:rsidRPr="00456E3B">
        <w:rPr>
          <w:rFonts w:hint="cs"/>
          <w:b/>
          <w:bCs/>
          <w:color w:val="0070C0"/>
          <w:sz w:val="26"/>
          <w:szCs w:val="26"/>
          <w:rtl/>
          <w:lang w:bidi="ar-MA"/>
        </w:rPr>
        <w:t>حسب وسط الإقامة</w:t>
      </w:r>
    </w:p>
    <w:p w:rsidR="00ED5B66" w:rsidRDefault="00ED5B66" w:rsidP="00ED5B66">
      <w:pPr>
        <w:bidi/>
        <w:spacing w:line="276" w:lineRule="auto"/>
        <w:ind w:left="-2"/>
        <w:jc w:val="center"/>
        <w:rPr>
          <w:b/>
          <w:bCs/>
          <w:sz w:val="26"/>
          <w:szCs w:val="26"/>
          <w:rtl/>
          <w:lang w:bidi="ar-MA"/>
        </w:rPr>
      </w:pPr>
    </w:p>
    <w:p w:rsidR="00ED5B66" w:rsidRDefault="00ED5B66" w:rsidP="00ED5B66">
      <w:pPr>
        <w:bidi/>
        <w:spacing w:line="276" w:lineRule="auto"/>
        <w:ind w:left="-2"/>
        <w:jc w:val="center"/>
        <w:rPr>
          <w:b/>
          <w:bCs/>
          <w:sz w:val="26"/>
          <w:szCs w:val="26"/>
          <w:rtl/>
          <w:lang w:bidi="ar-MA"/>
        </w:rPr>
      </w:pPr>
      <w:r w:rsidRPr="006673B4">
        <w:rPr>
          <w:b/>
          <w:bCs/>
          <w:noProof/>
          <w:sz w:val="26"/>
          <w:szCs w:val="26"/>
          <w:rtl/>
        </w:rPr>
        <w:drawing>
          <wp:inline distT="0" distB="0" distL="0" distR="0">
            <wp:extent cx="5421630" cy="3057525"/>
            <wp:effectExtent l="19050" t="0" r="26670" b="0"/>
            <wp:docPr id="5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D5B66" w:rsidRDefault="00ED5B66" w:rsidP="00ED5B66">
      <w:pPr>
        <w:bidi/>
        <w:spacing w:line="276" w:lineRule="auto"/>
        <w:ind w:left="-2"/>
        <w:jc w:val="center"/>
        <w:rPr>
          <w:b/>
          <w:bCs/>
          <w:sz w:val="26"/>
          <w:szCs w:val="26"/>
          <w:rtl/>
          <w:lang w:bidi="ar-MA"/>
        </w:rPr>
      </w:pPr>
    </w:p>
    <w:p w:rsidR="00ED5B66" w:rsidRDefault="00ED5B66" w:rsidP="00D77C03">
      <w:pPr>
        <w:bidi/>
        <w:spacing w:line="360" w:lineRule="auto"/>
        <w:jc w:val="both"/>
        <w:rPr>
          <w:sz w:val="26"/>
          <w:szCs w:val="26"/>
          <w:lang w:bidi="ar-MA"/>
        </w:rPr>
      </w:pPr>
      <w:r w:rsidRPr="00456E3B">
        <w:rPr>
          <w:rFonts w:hint="cs"/>
          <w:sz w:val="28"/>
          <w:szCs w:val="28"/>
          <w:rtl/>
        </w:rPr>
        <w:t xml:space="preserve"> وهكذا، وبخلق 72.000 بالوسط الحضري وفقدان 34.000  بالوسط القروي، عرف الاقتصاد المغربي إحداثا صافيا لـ 38.000 منصب شغل. وانتقل الحجم الإجمالي للتشغيل، ما بين الفترتين، من 10.891.000</w:t>
      </w:r>
      <w:r w:rsidRPr="00456E3B">
        <w:rPr>
          <w:sz w:val="28"/>
          <w:szCs w:val="28"/>
        </w:rPr>
        <w:t xml:space="preserve"> </w:t>
      </w:r>
      <w:r w:rsidRPr="00456E3B">
        <w:rPr>
          <w:rFonts w:hint="cs"/>
          <w:sz w:val="28"/>
          <w:szCs w:val="28"/>
          <w:rtl/>
        </w:rPr>
        <w:t xml:space="preserve"> إلى 10.929.000. وعرف معدل الشغل، من </w:t>
      </w:r>
      <w:proofErr w:type="spellStart"/>
      <w:r w:rsidRPr="00456E3B">
        <w:rPr>
          <w:rFonts w:hint="cs"/>
          <w:sz w:val="28"/>
          <w:szCs w:val="28"/>
          <w:rtl/>
        </w:rPr>
        <w:t>جهته،</w:t>
      </w:r>
      <w:proofErr w:type="spellEnd"/>
      <w:r w:rsidRPr="00456E3B">
        <w:rPr>
          <w:rFonts w:hint="cs"/>
          <w:sz w:val="28"/>
          <w:szCs w:val="28"/>
          <w:rtl/>
        </w:rPr>
        <w:t xml:space="preserve"> تراجعا </w:t>
      </w:r>
      <w:proofErr w:type="spellStart"/>
      <w:r w:rsidRPr="00456E3B">
        <w:rPr>
          <w:rFonts w:hint="cs"/>
          <w:sz w:val="28"/>
          <w:szCs w:val="28"/>
          <w:rtl/>
        </w:rPr>
        <w:t>بـ</w:t>
      </w:r>
      <w:proofErr w:type="spellEnd"/>
      <w:r w:rsidRPr="00456E3B">
        <w:rPr>
          <w:rFonts w:hint="cs"/>
          <w:sz w:val="28"/>
          <w:szCs w:val="28"/>
          <w:rtl/>
        </w:rPr>
        <w:t xml:space="preserve"> 0,5 نقطة على المستوى الوطني، منتقلا بذلك من </w:t>
      </w:r>
      <w:r w:rsidRPr="00456E3B">
        <w:rPr>
          <w:sz w:val="28"/>
          <w:szCs w:val="28"/>
        </w:rPr>
        <w:t>44,4%</w:t>
      </w:r>
      <w:r w:rsidRPr="00456E3B">
        <w:rPr>
          <w:rFonts w:hint="cs"/>
          <w:sz w:val="28"/>
          <w:szCs w:val="28"/>
          <w:rtl/>
        </w:rPr>
        <w:t xml:space="preserve"> إلى </w:t>
      </w:r>
      <w:r w:rsidRPr="00456E3B">
        <w:rPr>
          <w:sz w:val="28"/>
          <w:szCs w:val="28"/>
        </w:rPr>
        <w:t>43,9%</w:t>
      </w:r>
      <w:r w:rsidRPr="00456E3B">
        <w:rPr>
          <w:rFonts w:hint="cs"/>
          <w:sz w:val="28"/>
          <w:szCs w:val="28"/>
          <w:rtl/>
        </w:rPr>
        <w:t>. وتراجع ب</w:t>
      </w:r>
      <w:r w:rsidRPr="00456E3B">
        <w:rPr>
          <w:sz w:val="28"/>
          <w:szCs w:val="28"/>
        </w:rPr>
        <w:t xml:space="preserve">0,2 </w:t>
      </w:r>
      <w:r w:rsidRPr="00456E3B">
        <w:rPr>
          <w:rFonts w:hint="cs"/>
          <w:sz w:val="28"/>
          <w:szCs w:val="28"/>
          <w:rtl/>
        </w:rPr>
        <w:t xml:space="preserve"> نقطة بالوسط الحضري</w:t>
      </w:r>
      <w:r w:rsidRPr="00456E3B">
        <w:rPr>
          <w:sz w:val="28"/>
          <w:szCs w:val="28"/>
        </w:rPr>
        <w:t xml:space="preserve"> </w:t>
      </w:r>
      <w:proofErr w:type="spellStart"/>
      <w:r w:rsidRPr="00456E3B">
        <w:rPr>
          <w:rFonts w:hint="cs"/>
          <w:sz w:val="28"/>
          <w:szCs w:val="28"/>
          <w:rtl/>
        </w:rPr>
        <w:t>و</w:t>
      </w:r>
      <w:r w:rsidR="008F4A62">
        <w:rPr>
          <w:rFonts w:hint="cs"/>
          <w:sz w:val="28"/>
          <w:szCs w:val="28"/>
          <w:rtl/>
        </w:rPr>
        <w:t>ب</w:t>
      </w:r>
      <w:proofErr w:type="spellEnd"/>
      <w:r w:rsidR="00D77C03">
        <w:rPr>
          <w:sz w:val="28"/>
          <w:szCs w:val="28"/>
        </w:rPr>
        <w:t xml:space="preserve"> </w:t>
      </w:r>
      <w:r w:rsidRPr="00456E3B">
        <w:rPr>
          <w:sz w:val="28"/>
          <w:szCs w:val="28"/>
        </w:rPr>
        <w:t xml:space="preserve">0,8 </w:t>
      </w:r>
      <w:r w:rsidRPr="00456E3B">
        <w:rPr>
          <w:rFonts w:hint="cs"/>
          <w:sz w:val="28"/>
          <w:szCs w:val="28"/>
          <w:rtl/>
        </w:rPr>
        <w:t xml:space="preserve"> </w:t>
      </w:r>
      <w:r w:rsidR="00D77C03">
        <w:rPr>
          <w:rFonts w:hint="cs"/>
          <w:sz w:val="28"/>
          <w:szCs w:val="28"/>
          <w:rtl/>
        </w:rPr>
        <w:t xml:space="preserve">نقطة </w:t>
      </w:r>
      <w:r w:rsidRPr="00456E3B">
        <w:rPr>
          <w:rFonts w:hint="cs"/>
          <w:sz w:val="28"/>
          <w:szCs w:val="28"/>
          <w:rtl/>
        </w:rPr>
        <w:t>بالوسط القروي</w:t>
      </w:r>
      <w:r w:rsidR="00D77C03" w:rsidRPr="00456E3B">
        <w:rPr>
          <w:rFonts w:hint="cs"/>
          <w:sz w:val="28"/>
          <w:szCs w:val="28"/>
          <w:rtl/>
        </w:rPr>
        <w:t>،</w:t>
      </w:r>
      <w:r w:rsidRPr="00456E3B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MA"/>
        </w:rPr>
        <w:t xml:space="preserve">منتقلا </w:t>
      </w:r>
      <w:r w:rsidRPr="00456E3B">
        <w:rPr>
          <w:rFonts w:hint="cs"/>
          <w:sz w:val="28"/>
          <w:szCs w:val="28"/>
          <w:rtl/>
        </w:rPr>
        <w:t>على التوالي من</w:t>
      </w:r>
      <w:r>
        <w:rPr>
          <w:rFonts w:hint="cs"/>
          <w:sz w:val="28"/>
          <w:szCs w:val="28"/>
          <w:rtl/>
        </w:rPr>
        <w:t xml:space="preserve"> </w:t>
      </w:r>
      <w:r w:rsidRPr="00456E3B">
        <w:rPr>
          <w:sz w:val="28"/>
          <w:szCs w:val="28"/>
        </w:rPr>
        <w:t>36,</w:t>
      </w:r>
      <w:r w:rsidR="002B094B">
        <w:rPr>
          <w:sz w:val="28"/>
          <w:szCs w:val="28"/>
        </w:rPr>
        <w:t>8</w:t>
      </w:r>
      <w:r w:rsidRPr="00456E3B">
        <w:rPr>
          <w:sz w:val="28"/>
          <w:szCs w:val="28"/>
        </w:rPr>
        <w:t>%</w:t>
      </w:r>
      <w:r w:rsidRPr="00456E3B">
        <w:rPr>
          <w:rFonts w:hint="cs"/>
          <w:sz w:val="28"/>
          <w:szCs w:val="28"/>
          <w:rtl/>
        </w:rPr>
        <w:t xml:space="preserve"> إلى </w:t>
      </w:r>
      <w:r w:rsidRPr="00456E3B">
        <w:rPr>
          <w:sz w:val="28"/>
          <w:szCs w:val="28"/>
        </w:rPr>
        <w:t>36,</w:t>
      </w:r>
      <w:r w:rsidR="002B094B">
        <w:rPr>
          <w:sz w:val="28"/>
          <w:szCs w:val="28"/>
        </w:rPr>
        <w:t>6</w:t>
      </w:r>
      <w:r w:rsidRPr="00456E3B">
        <w:rPr>
          <w:sz w:val="28"/>
          <w:szCs w:val="28"/>
        </w:rPr>
        <w:t>%</w:t>
      </w:r>
      <w:r w:rsidRPr="00456E3B">
        <w:rPr>
          <w:rFonts w:hint="cs"/>
          <w:sz w:val="28"/>
          <w:szCs w:val="28"/>
          <w:rtl/>
        </w:rPr>
        <w:t xml:space="preserve"> ومن </w:t>
      </w:r>
      <w:r w:rsidRPr="00456E3B">
        <w:rPr>
          <w:sz w:val="28"/>
          <w:szCs w:val="28"/>
        </w:rPr>
        <w:t>56,1%</w:t>
      </w:r>
      <w:r w:rsidRPr="00456E3B">
        <w:rPr>
          <w:rFonts w:hint="cs"/>
          <w:sz w:val="28"/>
          <w:szCs w:val="28"/>
          <w:rtl/>
        </w:rPr>
        <w:t xml:space="preserve"> إلى </w:t>
      </w:r>
      <w:r w:rsidRPr="00456E3B">
        <w:rPr>
          <w:sz w:val="28"/>
          <w:szCs w:val="28"/>
        </w:rPr>
        <w:t>55,3%</w:t>
      </w:r>
      <w:proofErr w:type="spellStart"/>
      <w:r>
        <w:rPr>
          <w:rFonts w:hint="cs"/>
          <w:sz w:val="26"/>
          <w:szCs w:val="26"/>
          <w:rtl/>
          <w:lang w:bidi="ar-MA"/>
        </w:rPr>
        <w:t>.</w:t>
      </w:r>
      <w:proofErr w:type="spellEnd"/>
    </w:p>
    <w:p w:rsidR="00ED5B66" w:rsidRDefault="00ED5B66" w:rsidP="00312C25">
      <w:pPr>
        <w:bidi/>
        <w:spacing w:line="360" w:lineRule="auto"/>
        <w:jc w:val="both"/>
        <w:rPr>
          <w:sz w:val="26"/>
          <w:szCs w:val="26"/>
          <w:lang w:bidi="ar-MA"/>
        </w:rPr>
      </w:pPr>
    </w:p>
    <w:p w:rsidR="00ED5B66" w:rsidRPr="00456E3B" w:rsidRDefault="00D77C03" w:rsidP="009D257B">
      <w:pPr>
        <w:jc w:val="right"/>
        <w:rPr>
          <w:b/>
          <w:bCs/>
          <w:color w:val="0000FF"/>
          <w:sz w:val="32"/>
          <w:szCs w:val="32"/>
          <w:rtl/>
        </w:rPr>
      </w:pPr>
      <w:r w:rsidRPr="00456E3B">
        <w:rPr>
          <w:rFonts w:hint="cs"/>
          <w:b/>
          <w:bCs/>
          <w:color w:val="0000FF"/>
          <w:sz w:val="32"/>
          <w:szCs w:val="32"/>
          <w:rtl/>
        </w:rPr>
        <w:t>ارت</w:t>
      </w:r>
      <w:r>
        <w:rPr>
          <w:rFonts w:hint="cs"/>
          <w:b/>
          <w:bCs/>
          <w:color w:val="0000FF"/>
          <w:sz w:val="32"/>
          <w:szCs w:val="32"/>
          <w:rtl/>
        </w:rPr>
        <w:t>ف</w:t>
      </w:r>
      <w:r w:rsidRPr="00456E3B">
        <w:rPr>
          <w:rFonts w:hint="cs"/>
          <w:b/>
          <w:bCs/>
          <w:color w:val="0000FF"/>
          <w:sz w:val="32"/>
          <w:szCs w:val="32"/>
          <w:rtl/>
        </w:rPr>
        <w:t>ا</w:t>
      </w:r>
      <w:r w:rsidRPr="00456E3B">
        <w:rPr>
          <w:rFonts w:hint="eastAsia"/>
          <w:b/>
          <w:bCs/>
          <w:color w:val="0000FF"/>
          <w:sz w:val="32"/>
          <w:szCs w:val="32"/>
          <w:rtl/>
        </w:rPr>
        <w:t>ع</w:t>
      </w:r>
      <w:r w:rsidR="00B72BBA" w:rsidRPr="00456E3B">
        <w:rPr>
          <w:rFonts w:hint="cs"/>
          <w:b/>
          <w:bCs/>
          <w:color w:val="0000FF"/>
          <w:sz w:val="32"/>
          <w:szCs w:val="32"/>
          <w:rtl/>
        </w:rPr>
        <w:t xml:space="preserve"> حجم التشغي</w:t>
      </w:r>
      <w:r w:rsidR="00B72BBA">
        <w:rPr>
          <w:rFonts w:hint="cs"/>
          <w:b/>
          <w:bCs/>
          <w:color w:val="0000FF"/>
          <w:sz w:val="32"/>
          <w:szCs w:val="32"/>
          <w:rtl/>
        </w:rPr>
        <w:t>ل</w:t>
      </w:r>
      <w:r w:rsidR="00ED5B66" w:rsidRPr="00456E3B">
        <w:rPr>
          <w:rFonts w:hint="cs"/>
          <w:b/>
          <w:bCs/>
          <w:color w:val="0000FF"/>
          <w:sz w:val="32"/>
          <w:szCs w:val="32"/>
          <w:rtl/>
        </w:rPr>
        <w:t xml:space="preserve"> </w:t>
      </w:r>
      <w:r w:rsidR="009D257B">
        <w:rPr>
          <w:rFonts w:hint="cs"/>
          <w:b/>
          <w:bCs/>
          <w:color w:val="0000FF"/>
          <w:sz w:val="32"/>
          <w:szCs w:val="32"/>
          <w:rtl/>
        </w:rPr>
        <w:t>بكل</w:t>
      </w:r>
      <w:r w:rsidR="00ED5B66" w:rsidRPr="00456E3B">
        <w:rPr>
          <w:rFonts w:hint="cs"/>
          <w:b/>
          <w:bCs/>
          <w:color w:val="0000FF"/>
          <w:sz w:val="32"/>
          <w:szCs w:val="32"/>
          <w:rtl/>
        </w:rPr>
        <w:t xml:space="preserve"> </w:t>
      </w:r>
      <w:r w:rsidR="009D257B" w:rsidRPr="00456E3B">
        <w:rPr>
          <w:rFonts w:hint="cs"/>
          <w:b/>
          <w:bCs/>
          <w:color w:val="0000FF"/>
          <w:sz w:val="32"/>
          <w:szCs w:val="32"/>
          <w:rtl/>
        </w:rPr>
        <w:t>القطاعات</w:t>
      </w:r>
      <w:r w:rsidR="009D257B">
        <w:rPr>
          <w:rFonts w:hint="cs"/>
          <w:b/>
          <w:bCs/>
          <w:color w:val="0000FF"/>
          <w:sz w:val="32"/>
          <w:szCs w:val="32"/>
          <w:rtl/>
        </w:rPr>
        <w:t xml:space="preserve"> الاقتصادية باستثناء</w:t>
      </w:r>
      <w:r w:rsidR="009D257B" w:rsidRPr="00456E3B">
        <w:rPr>
          <w:rFonts w:hint="cs"/>
          <w:b/>
          <w:bCs/>
          <w:color w:val="0000FF"/>
          <w:sz w:val="32"/>
          <w:szCs w:val="32"/>
          <w:rtl/>
        </w:rPr>
        <w:t xml:space="preserve"> قطاع "الفلاحة، الغابة والصيد"</w:t>
      </w:r>
    </w:p>
    <w:p w:rsidR="00ED5B66" w:rsidRDefault="00ED5B66" w:rsidP="00ED5B66">
      <w:pPr>
        <w:bidi/>
        <w:rPr>
          <w:rtl/>
        </w:rPr>
      </w:pPr>
    </w:p>
    <w:p w:rsidR="00ED5B66" w:rsidRDefault="00ED5B66" w:rsidP="00312C25">
      <w:pPr>
        <w:bidi/>
        <w:spacing w:line="360" w:lineRule="auto"/>
        <w:jc w:val="both"/>
        <w:rPr>
          <w:sz w:val="28"/>
          <w:szCs w:val="28"/>
        </w:rPr>
      </w:pPr>
      <w:r w:rsidRPr="00456E3B">
        <w:rPr>
          <w:rFonts w:hint="cs"/>
          <w:sz w:val="28"/>
          <w:szCs w:val="28"/>
          <w:rtl/>
        </w:rPr>
        <w:t>و هكذا</w:t>
      </w:r>
      <w:r w:rsidR="00D77C03" w:rsidRPr="00456E3B">
        <w:rPr>
          <w:rFonts w:hint="cs"/>
          <w:sz w:val="28"/>
          <w:szCs w:val="28"/>
          <w:rtl/>
        </w:rPr>
        <w:t>،</w:t>
      </w:r>
      <w:r w:rsidRPr="00456E3B">
        <w:rPr>
          <w:rFonts w:hint="cs"/>
          <w:sz w:val="28"/>
          <w:szCs w:val="28"/>
          <w:rtl/>
        </w:rPr>
        <w:t xml:space="preserve"> عرف قطاع "الخدمات" إحداث 66.000 منصب شغل (</w:t>
      </w:r>
      <w:r w:rsidRPr="00456E3B">
        <w:rPr>
          <w:sz w:val="28"/>
          <w:szCs w:val="28"/>
        </w:rPr>
        <w:t xml:space="preserve">+1,6% </w:t>
      </w:r>
      <w:r w:rsidRPr="00456E3B">
        <w:rPr>
          <w:rFonts w:hint="cs"/>
          <w:sz w:val="28"/>
          <w:szCs w:val="28"/>
          <w:rtl/>
        </w:rPr>
        <w:t xml:space="preserve"> من حجم التشغيل بهذا القطاع</w:t>
      </w:r>
      <w:r w:rsidRPr="00456E3B">
        <w:rPr>
          <w:sz w:val="28"/>
          <w:szCs w:val="28"/>
        </w:rPr>
        <w:t>(</w:t>
      </w:r>
      <w:r w:rsidRPr="00456E3B">
        <w:rPr>
          <w:rFonts w:hint="cs"/>
          <w:sz w:val="28"/>
          <w:szCs w:val="28"/>
          <w:rtl/>
        </w:rPr>
        <w:t xml:space="preserve">، </w:t>
      </w:r>
      <w:r w:rsidR="008F4A62">
        <w:rPr>
          <w:rFonts w:hint="cs"/>
          <w:sz w:val="28"/>
          <w:szCs w:val="28"/>
          <w:rtl/>
        </w:rPr>
        <w:t>حيث</w:t>
      </w:r>
      <w:r w:rsidRPr="00456E3B">
        <w:rPr>
          <w:rFonts w:hint="cs"/>
          <w:sz w:val="28"/>
          <w:szCs w:val="28"/>
        </w:rPr>
        <w:t xml:space="preserve"> </w:t>
      </w:r>
      <w:r w:rsidRPr="00456E3B">
        <w:rPr>
          <w:rFonts w:hint="cs"/>
          <w:sz w:val="28"/>
          <w:szCs w:val="28"/>
          <w:rtl/>
        </w:rPr>
        <w:t>سجل قرابة 31.00</w:t>
      </w:r>
      <w:r>
        <w:rPr>
          <w:rFonts w:hint="cs"/>
          <w:sz w:val="28"/>
          <w:szCs w:val="28"/>
          <w:rtl/>
        </w:rPr>
        <w:t>0</w:t>
      </w:r>
      <w:r w:rsidRPr="00456E3B">
        <w:rPr>
          <w:rFonts w:hint="cs"/>
          <w:sz w:val="28"/>
          <w:szCs w:val="28"/>
          <w:rtl/>
        </w:rPr>
        <w:t xml:space="preserve"> منها في فروع "التجارة بالتقسيط خارج المحل''، مقابل إحداث سنوي متوسط يقدر ب 52.000 منصب خلال الثلاث سنوات الأخيرة ؛</w:t>
      </w:r>
      <w:r w:rsidR="00312C25">
        <w:rPr>
          <w:sz w:val="28"/>
          <w:szCs w:val="28"/>
        </w:rPr>
        <w:t xml:space="preserve"> </w:t>
      </w:r>
      <w:r w:rsidR="008F4A62">
        <w:rPr>
          <w:rFonts w:hint="cs"/>
          <w:sz w:val="28"/>
          <w:szCs w:val="28"/>
          <w:rtl/>
        </w:rPr>
        <w:t>و</w:t>
      </w:r>
      <w:r w:rsidRPr="00456E3B">
        <w:rPr>
          <w:rFonts w:hint="cs"/>
          <w:sz w:val="28"/>
          <w:szCs w:val="28"/>
          <w:rtl/>
        </w:rPr>
        <w:t xml:space="preserve">عرف حجم التشغيل بقطاع "الصناعة بما فيها الصناعة </w:t>
      </w:r>
      <w:proofErr w:type="spellStart"/>
      <w:r w:rsidRPr="00456E3B">
        <w:rPr>
          <w:rFonts w:hint="cs"/>
          <w:sz w:val="28"/>
          <w:szCs w:val="28"/>
          <w:rtl/>
        </w:rPr>
        <w:t>التقليدية"</w:t>
      </w:r>
      <w:proofErr w:type="spellEnd"/>
      <w:r w:rsidRPr="00456E3B">
        <w:rPr>
          <w:rFonts w:hint="cs"/>
          <w:sz w:val="28"/>
          <w:szCs w:val="28"/>
          <w:rtl/>
        </w:rPr>
        <w:t xml:space="preserve"> ارتفاعا </w:t>
      </w:r>
      <w:proofErr w:type="spellStart"/>
      <w:r w:rsidRPr="00456E3B">
        <w:rPr>
          <w:rFonts w:hint="cs"/>
          <w:sz w:val="28"/>
          <w:szCs w:val="28"/>
          <w:rtl/>
        </w:rPr>
        <w:t>بـ</w:t>
      </w:r>
      <w:proofErr w:type="spellEnd"/>
      <w:r w:rsidRPr="00456E3B">
        <w:rPr>
          <w:rFonts w:hint="cs"/>
          <w:sz w:val="28"/>
          <w:szCs w:val="28"/>
          <w:rtl/>
        </w:rPr>
        <w:t xml:space="preserve"> 14.000 منصب </w:t>
      </w:r>
      <w:r w:rsidRPr="00456E3B">
        <w:rPr>
          <w:sz w:val="28"/>
          <w:szCs w:val="28"/>
        </w:rPr>
        <w:t>(+1,2%)</w:t>
      </w:r>
      <w:r w:rsidRPr="00456E3B">
        <w:rPr>
          <w:rFonts w:hint="cs"/>
          <w:sz w:val="28"/>
          <w:szCs w:val="28"/>
          <w:rtl/>
        </w:rPr>
        <w:t>، منها  12.000 بالوسط القروي، مقابل تراجع سنوي متوسط يقدر ب 4.000 منصب خلال الثلاث سنوات الأخيرة.</w:t>
      </w:r>
    </w:p>
    <w:p w:rsidR="00ED5B66" w:rsidRPr="00456E3B" w:rsidRDefault="008F4A62" w:rsidP="00312C25">
      <w:pPr>
        <w:pStyle w:val="Paragraphedeliste"/>
        <w:bidi/>
        <w:spacing w:line="360" w:lineRule="auto"/>
        <w:ind w:left="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6C2494">
        <w:rPr>
          <w:rFonts w:hint="cs"/>
          <w:sz w:val="28"/>
          <w:szCs w:val="28"/>
          <w:rtl/>
        </w:rPr>
        <w:t xml:space="preserve">كما </w:t>
      </w:r>
      <w:r w:rsidR="00ED5B66" w:rsidRPr="00456E3B">
        <w:rPr>
          <w:rFonts w:hint="cs"/>
          <w:sz w:val="28"/>
          <w:szCs w:val="28"/>
          <w:rtl/>
        </w:rPr>
        <w:t xml:space="preserve">أحدث قطاع "البناء والأشغال العمومية" 16.000 منصب جديد </w:t>
      </w:r>
      <w:r w:rsidR="00ED5B66" w:rsidRPr="00456E3B">
        <w:rPr>
          <w:sz w:val="28"/>
          <w:szCs w:val="28"/>
        </w:rPr>
        <w:t>(+1,5%)</w:t>
      </w:r>
      <w:r w:rsidR="00ED5B66" w:rsidRPr="00456E3B">
        <w:rPr>
          <w:rFonts w:hint="cs"/>
          <w:sz w:val="28"/>
          <w:szCs w:val="28"/>
          <w:rtl/>
        </w:rPr>
        <w:t>،</w:t>
      </w:r>
      <w:r w:rsidR="00ED5B66" w:rsidRPr="00456E3B">
        <w:rPr>
          <w:sz w:val="28"/>
          <w:szCs w:val="28"/>
        </w:rPr>
        <w:t xml:space="preserve"> </w:t>
      </w:r>
      <w:r w:rsidR="00ED5B66" w:rsidRPr="00456E3B">
        <w:rPr>
          <w:rFonts w:hint="cs"/>
          <w:sz w:val="28"/>
          <w:szCs w:val="28"/>
          <w:rtl/>
        </w:rPr>
        <w:t>منها</w:t>
      </w:r>
      <w:r w:rsidR="00ED5B66" w:rsidRPr="00456E3B">
        <w:rPr>
          <w:sz w:val="28"/>
          <w:szCs w:val="28"/>
        </w:rPr>
        <w:t xml:space="preserve"> </w:t>
      </w:r>
      <w:r w:rsidR="00ED5B66" w:rsidRPr="00456E3B">
        <w:rPr>
          <w:rFonts w:hint="cs"/>
          <w:sz w:val="28"/>
          <w:szCs w:val="28"/>
          <w:rtl/>
        </w:rPr>
        <w:t xml:space="preserve">14.000 بالوسط القروي، مقابل </w:t>
      </w:r>
      <w:r w:rsidR="004457F8">
        <w:rPr>
          <w:rFonts w:hint="cs"/>
          <w:sz w:val="28"/>
          <w:szCs w:val="28"/>
          <w:rtl/>
        </w:rPr>
        <w:t>ارتفاع</w:t>
      </w:r>
      <w:r w:rsidR="00ED5B66" w:rsidRPr="00456E3B">
        <w:rPr>
          <w:rFonts w:hint="cs"/>
          <w:sz w:val="28"/>
          <w:szCs w:val="28"/>
          <w:rtl/>
        </w:rPr>
        <w:t xml:space="preserve"> سنوي متوسط يقدر ب 3.000 منصب خلال الثلاث سنوات الأخيرة.</w:t>
      </w:r>
    </w:p>
    <w:p w:rsidR="00ED5B66" w:rsidRPr="00456E3B" w:rsidRDefault="00ED5B66" w:rsidP="00312C25">
      <w:pPr>
        <w:pStyle w:val="Paragraphedeliste"/>
        <w:bidi/>
        <w:spacing w:line="360" w:lineRule="auto"/>
        <w:ind w:left="0"/>
        <w:jc w:val="both"/>
        <w:rPr>
          <w:sz w:val="28"/>
          <w:szCs w:val="28"/>
        </w:rPr>
      </w:pPr>
      <w:r w:rsidRPr="00456E3B">
        <w:rPr>
          <w:rFonts w:hint="cs"/>
          <w:sz w:val="28"/>
          <w:szCs w:val="28"/>
          <w:rtl/>
        </w:rPr>
        <w:t xml:space="preserve"> </w:t>
      </w:r>
      <w:r w:rsidR="006C2494">
        <w:rPr>
          <w:rFonts w:hint="cs"/>
          <w:sz w:val="28"/>
          <w:szCs w:val="28"/>
          <w:rtl/>
        </w:rPr>
        <w:t>ب</w:t>
      </w:r>
      <w:r w:rsidRPr="00456E3B">
        <w:rPr>
          <w:rFonts w:hint="cs"/>
          <w:sz w:val="28"/>
          <w:szCs w:val="28"/>
          <w:rtl/>
        </w:rPr>
        <w:t>المقابل، عرف قطاع "الفلاحة، الغابة والصيد"، فقدان 58.000 منصب شغل، وذلك بعد فقدان 6.000 منصب سنة 2014 وإحداث 137.000 منصب خلال سنة 2013.</w:t>
      </w:r>
    </w:p>
    <w:p w:rsidR="00ED5B66" w:rsidRPr="00B54CCB" w:rsidRDefault="00ED5B66" w:rsidP="00ED5B66">
      <w:pPr>
        <w:pStyle w:val="Paragraphedeliste"/>
        <w:bidi/>
        <w:ind w:left="1353"/>
        <w:jc w:val="both"/>
        <w:rPr>
          <w:color w:val="FF0000"/>
          <w:sz w:val="26"/>
          <w:szCs w:val="26"/>
          <w:rtl/>
          <w:lang w:bidi="ar-MA"/>
        </w:rPr>
      </w:pPr>
    </w:p>
    <w:p w:rsidR="00ED5B66" w:rsidRPr="00922E28" w:rsidRDefault="00ED5B66" w:rsidP="002B094B">
      <w:pPr>
        <w:pStyle w:val="Paragraphedeliste"/>
        <w:bidi/>
        <w:ind w:left="708"/>
        <w:jc w:val="center"/>
        <w:rPr>
          <w:b/>
          <w:bCs/>
          <w:color w:val="0070C0"/>
          <w:sz w:val="26"/>
          <w:szCs w:val="26"/>
          <w:rtl/>
          <w:lang w:bidi="ar-MA"/>
        </w:rPr>
      </w:pPr>
      <w:proofErr w:type="spellStart"/>
      <w:r w:rsidRPr="00922E28">
        <w:rPr>
          <w:b/>
          <w:bCs/>
          <w:color w:val="0070C0"/>
          <w:sz w:val="26"/>
          <w:szCs w:val="26"/>
          <w:rtl/>
          <w:lang w:bidi="ar-MA"/>
        </w:rPr>
        <w:t>مبيان</w:t>
      </w:r>
      <w:proofErr w:type="spellEnd"/>
      <w:r w:rsidRPr="00922E28">
        <w:rPr>
          <w:b/>
          <w:bCs/>
          <w:color w:val="0070C0"/>
          <w:sz w:val="26"/>
          <w:szCs w:val="26"/>
          <w:rtl/>
          <w:lang w:bidi="ar-MA"/>
        </w:rPr>
        <w:t xml:space="preserve"> </w:t>
      </w:r>
      <w:r w:rsidRPr="00922E28">
        <w:rPr>
          <w:b/>
          <w:bCs/>
          <w:color w:val="0070C0"/>
          <w:sz w:val="26"/>
          <w:szCs w:val="26"/>
          <w:lang w:bidi="ar-MA"/>
        </w:rPr>
        <w:t>2</w:t>
      </w:r>
      <w:proofErr w:type="spellStart"/>
      <w:r w:rsidRPr="00922E28">
        <w:rPr>
          <w:rFonts w:hint="cs"/>
          <w:b/>
          <w:bCs/>
          <w:color w:val="0070C0"/>
          <w:sz w:val="26"/>
          <w:szCs w:val="26"/>
          <w:rtl/>
          <w:lang w:bidi="ar-MA"/>
        </w:rPr>
        <w:t>:</w:t>
      </w:r>
      <w:proofErr w:type="spellEnd"/>
      <w:r w:rsidRPr="00922E28">
        <w:rPr>
          <w:b/>
          <w:bCs/>
          <w:color w:val="0070C0"/>
          <w:sz w:val="26"/>
          <w:szCs w:val="26"/>
          <w:rtl/>
          <w:lang w:bidi="ar-MA"/>
        </w:rPr>
        <w:t xml:space="preserve"> الإحداث الصافي لمناصب الشغل</w:t>
      </w:r>
      <w:r w:rsidRPr="00922E28">
        <w:rPr>
          <w:rFonts w:hint="cs"/>
          <w:b/>
          <w:bCs/>
          <w:color w:val="0070C0"/>
          <w:sz w:val="26"/>
          <w:szCs w:val="26"/>
          <w:rtl/>
          <w:lang w:bidi="ar-MA"/>
        </w:rPr>
        <w:t xml:space="preserve"> ما بين الفصل الثاني من سنة </w:t>
      </w:r>
      <w:r w:rsidR="002B094B">
        <w:rPr>
          <w:rFonts w:hint="cs"/>
          <w:b/>
          <w:bCs/>
          <w:color w:val="0070C0"/>
          <w:sz w:val="26"/>
          <w:szCs w:val="26"/>
          <w:rtl/>
          <w:lang w:bidi="ar-MA"/>
        </w:rPr>
        <w:t>2014</w:t>
      </w:r>
      <w:r w:rsidRPr="00922E28">
        <w:rPr>
          <w:rFonts w:hint="cs"/>
          <w:b/>
          <w:bCs/>
          <w:color w:val="0070C0"/>
          <w:sz w:val="26"/>
          <w:szCs w:val="26"/>
          <w:rtl/>
          <w:lang w:bidi="ar-MA"/>
        </w:rPr>
        <w:t xml:space="preserve"> </w:t>
      </w:r>
    </w:p>
    <w:p w:rsidR="00ED5B66" w:rsidRPr="00922E28" w:rsidRDefault="00ED5B66" w:rsidP="002B094B">
      <w:pPr>
        <w:pStyle w:val="Paragraphedeliste"/>
        <w:bidi/>
        <w:ind w:left="708"/>
        <w:jc w:val="center"/>
        <w:rPr>
          <w:b/>
          <w:bCs/>
          <w:color w:val="0070C0"/>
          <w:sz w:val="26"/>
          <w:szCs w:val="26"/>
          <w:lang w:bidi="ar-MA"/>
        </w:rPr>
      </w:pPr>
      <w:r w:rsidRPr="00922E28">
        <w:rPr>
          <w:rFonts w:hint="cs"/>
          <w:b/>
          <w:bCs/>
          <w:color w:val="0070C0"/>
          <w:sz w:val="26"/>
          <w:szCs w:val="26"/>
          <w:rtl/>
          <w:lang w:bidi="ar-MA"/>
        </w:rPr>
        <w:t>ونفس الفترة من سنة 201</w:t>
      </w:r>
      <w:r w:rsidR="002B094B">
        <w:rPr>
          <w:rFonts w:hint="cs"/>
          <w:b/>
          <w:bCs/>
          <w:color w:val="0070C0"/>
          <w:sz w:val="26"/>
          <w:szCs w:val="26"/>
          <w:rtl/>
          <w:lang w:bidi="ar-MA"/>
        </w:rPr>
        <w:t>5</w:t>
      </w:r>
      <w:r w:rsidRPr="00922E28">
        <w:rPr>
          <w:b/>
          <w:bCs/>
          <w:color w:val="0070C0"/>
          <w:sz w:val="26"/>
          <w:szCs w:val="26"/>
          <w:rtl/>
          <w:lang w:bidi="ar-MA"/>
        </w:rPr>
        <w:t xml:space="preserve"> حسب قطاع النشاط </w:t>
      </w:r>
      <w:r w:rsidRPr="00922E28">
        <w:rPr>
          <w:rFonts w:hint="cs"/>
          <w:b/>
          <w:bCs/>
          <w:color w:val="0070C0"/>
          <w:sz w:val="26"/>
          <w:szCs w:val="26"/>
          <w:rtl/>
          <w:lang w:bidi="ar-MA"/>
        </w:rPr>
        <w:t>الاقتصادي ووسط الإقامة</w:t>
      </w:r>
    </w:p>
    <w:p w:rsidR="00ED5B66" w:rsidRDefault="00ED5B66" w:rsidP="00C063B7">
      <w:pPr>
        <w:pStyle w:val="Paragraphedeliste"/>
      </w:pPr>
    </w:p>
    <w:p w:rsidR="00ED5B66" w:rsidRDefault="00ED5B66" w:rsidP="00C063B7">
      <w:pPr>
        <w:pStyle w:val="Sansinterligne"/>
        <w:jc w:val="center"/>
        <w:rPr>
          <w:rStyle w:val="Emphaseple"/>
        </w:rPr>
      </w:pPr>
      <w:r w:rsidRPr="00CD3167">
        <w:rPr>
          <w:noProof/>
        </w:rPr>
        <w:drawing>
          <wp:inline distT="0" distB="0" distL="0" distR="0">
            <wp:extent cx="5406390" cy="2628900"/>
            <wp:effectExtent l="19050" t="0" r="22860" b="0"/>
            <wp:docPr id="6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D5B66" w:rsidRDefault="00ED5B66" w:rsidP="00C063B7">
      <w:pPr>
        <w:pStyle w:val="Sous-titre"/>
        <w:rPr>
          <w:rtl/>
        </w:rPr>
      </w:pPr>
    </w:p>
    <w:p w:rsidR="00ED5B66" w:rsidRPr="00456E3B" w:rsidRDefault="00ED5B66" w:rsidP="00312C25">
      <w:pPr>
        <w:pStyle w:val="Corpsdetexte"/>
        <w:spacing w:line="360" w:lineRule="auto"/>
      </w:pPr>
      <w:r w:rsidRPr="00456E3B">
        <w:rPr>
          <w:rFonts w:hint="cs"/>
          <w:rtl/>
        </w:rPr>
        <w:t>وحسب وسط الإقامة، تطور التشغيل حسب قطاعات النشاط الاقتصادي على الشكل التالي</w:t>
      </w:r>
      <w:r w:rsidR="006C2494">
        <w:rPr>
          <w:rFonts w:hint="cs"/>
          <w:rtl/>
        </w:rPr>
        <w:t xml:space="preserve"> </w:t>
      </w:r>
      <w:r w:rsidRPr="00456E3B">
        <w:rPr>
          <w:rFonts w:hint="cs"/>
          <w:rtl/>
        </w:rPr>
        <w:t xml:space="preserve">: </w:t>
      </w:r>
    </w:p>
    <w:p w:rsidR="00ED5B66" w:rsidRPr="00456E3B" w:rsidRDefault="00ED5B66" w:rsidP="00312C25">
      <w:pPr>
        <w:pStyle w:val="Corpsdetexte"/>
        <w:spacing w:line="360" w:lineRule="auto"/>
        <w:rPr>
          <w:rtl/>
        </w:rPr>
      </w:pPr>
      <w:r w:rsidRPr="00D77C03">
        <w:rPr>
          <w:rFonts w:hint="cs"/>
          <w:b/>
          <w:bCs/>
          <w:rtl/>
        </w:rPr>
        <w:t>بالوسط الحضري</w:t>
      </w:r>
      <w:r w:rsidRPr="00456E3B">
        <w:rPr>
          <w:rFonts w:hint="cs"/>
          <w:rtl/>
        </w:rPr>
        <w:t>، عرفت كل القطاعات إحداث مناصب شغل</w:t>
      </w:r>
      <w:r w:rsidR="004457F8">
        <w:rPr>
          <w:rFonts w:hint="cs"/>
          <w:rtl/>
        </w:rPr>
        <w:t xml:space="preserve"> جديدة</w:t>
      </w:r>
      <w:r w:rsidR="006C2494">
        <w:rPr>
          <w:rFonts w:hint="cs"/>
          <w:rtl/>
        </w:rPr>
        <w:t xml:space="preserve"> </w:t>
      </w:r>
      <w:r w:rsidRPr="00456E3B">
        <w:rPr>
          <w:rFonts w:hint="cs"/>
          <w:rtl/>
        </w:rPr>
        <w:t>:</w:t>
      </w:r>
    </w:p>
    <w:p w:rsidR="00ED5B66" w:rsidRPr="00456E3B" w:rsidRDefault="00ED5B66" w:rsidP="00312C25">
      <w:pPr>
        <w:pStyle w:val="Corpsdetexte"/>
        <w:numPr>
          <w:ilvl w:val="0"/>
          <w:numId w:val="17"/>
        </w:numPr>
        <w:spacing w:line="360" w:lineRule="auto"/>
      </w:pPr>
      <w:r w:rsidRPr="00456E3B">
        <w:t>65.000</w:t>
      </w:r>
      <w:r w:rsidRPr="00456E3B">
        <w:rPr>
          <w:rFonts w:hint="cs"/>
          <w:rtl/>
        </w:rPr>
        <w:t xml:space="preserve"> منصب شغل بقطاع "الخدمات" (</w:t>
      </w:r>
      <w:r w:rsidRPr="00456E3B">
        <w:t>+1,9%</w:t>
      </w:r>
      <w:r w:rsidRPr="00456E3B">
        <w:rPr>
          <w:rFonts w:hint="cs"/>
          <w:rtl/>
        </w:rPr>
        <w:t xml:space="preserve"> من حجم التشغيل بهذا القطاع)؛</w:t>
      </w:r>
    </w:p>
    <w:p w:rsidR="00ED5B66" w:rsidRPr="00456E3B" w:rsidRDefault="00ED5B66" w:rsidP="00312C25">
      <w:pPr>
        <w:pStyle w:val="Corpsdetexte"/>
        <w:numPr>
          <w:ilvl w:val="0"/>
          <w:numId w:val="17"/>
        </w:numPr>
        <w:spacing w:line="360" w:lineRule="auto"/>
      </w:pPr>
      <w:r w:rsidRPr="00456E3B">
        <w:t>3.000</w:t>
      </w:r>
      <w:r w:rsidRPr="00456E3B">
        <w:rPr>
          <w:rFonts w:hint="cs"/>
          <w:rtl/>
        </w:rPr>
        <w:t xml:space="preserve"> بقطاع "الفلاحة، الغابة والصيد"  (</w:t>
      </w:r>
      <w:r w:rsidRPr="00456E3B">
        <w:t>+1,2%</w:t>
      </w:r>
      <w:r w:rsidRPr="00456E3B">
        <w:rPr>
          <w:rFonts w:hint="cs"/>
          <w:rtl/>
        </w:rPr>
        <w:t>)؛ </w:t>
      </w:r>
    </w:p>
    <w:p w:rsidR="00ED5B66" w:rsidRPr="00456E3B" w:rsidRDefault="00ED5B66" w:rsidP="00312C25">
      <w:pPr>
        <w:pStyle w:val="Corpsdetexte"/>
        <w:numPr>
          <w:ilvl w:val="0"/>
          <w:numId w:val="17"/>
        </w:numPr>
        <w:spacing w:line="360" w:lineRule="auto"/>
      </w:pPr>
      <w:r w:rsidRPr="00456E3B">
        <w:t>2.000</w:t>
      </w:r>
      <w:r w:rsidRPr="00456E3B">
        <w:rPr>
          <w:rFonts w:hint="cs"/>
          <w:rtl/>
        </w:rPr>
        <w:t xml:space="preserve"> منصب بقطاع "الصناعة بما فيها الصناعة التقليدية"</w:t>
      </w:r>
      <w:r w:rsidRPr="00456E3B">
        <w:t>(+0,2%)</w:t>
      </w:r>
      <w:r w:rsidRPr="00456E3B">
        <w:rPr>
          <w:rFonts w:hint="cs"/>
          <w:rtl/>
        </w:rPr>
        <w:t>؛</w:t>
      </w:r>
    </w:p>
    <w:p w:rsidR="00ED5B66" w:rsidRPr="00456E3B" w:rsidRDefault="00ED5B66" w:rsidP="00312C25">
      <w:pPr>
        <w:pStyle w:val="Corpsdetexte"/>
        <w:numPr>
          <w:ilvl w:val="0"/>
          <w:numId w:val="17"/>
        </w:numPr>
        <w:spacing w:line="360" w:lineRule="auto"/>
      </w:pPr>
      <w:r w:rsidRPr="00456E3B">
        <w:rPr>
          <w:rFonts w:hint="cs"/>
          <w:rtl/>
        </w:rPr>
        <w:t>000</w:t>
      </w:r>
      <w:r w:rsidRPr="00456E3B">
        <w:t>2.</w:t>
      </w:r>
      <w:r w:rsidRPr="00456E3B">
        <w:rPr>
          <w:rFonts w:hint="cs"/>
          <w:rtl/>
        </w:rPr>
        <w:t xml:space="preserve"> منصب بقطاع "البناء والأشغال العمومية" (</w:t>
      </w:r>
      <w:r w:rsidRPr="00456E3B">
        <w:t>0,3%</w:t>
      </w:r>
      <w:r w:rsidRPr="00456E3B">
        <w:rPr>
          <w:rFonts w:hint="cs"/>
          <w:rtl/>
        </w:rPr>
        <w:t>+)</w:t>
      </w:r>
      <w:r w:rsidRPr="00456E3B">
        <w:t>.</w:t>
      </w:r>
    </w:p>
    <w:p w:rsidR="00ED5B66" w:rsidRPr="00456E3B" w:rsidRDefault="00ED5B66" w:rsidP="00396636">
      <w:pPr>
        <w:bidi/>
        <w:spacing w:line="360" w:lineRule="auto"/>
        <w:ind w:left="-2"/>
        <w:jc w:val="both"/>
        <w:rPr>
          <w:sz w:val="28"/>
          <w:szCs w:val="28"/>
          <w:rtl/>
        </w:rPr>
      </w:pPr>
      <w:r w:rsidRPr="00D77C03">
        <w:rPr>
          <w:rFonts w:hint="cs"/>
          <w:b/>
          <w:bCs/>
          <w:sz w:val="28"/>
          <w:szCs w:val="28"/>
          <w:rtl/>
        </w:rPr>
        <w:t>بالوسط القروي</w:t>
      </w:r>
      <w:r w:rsidRPr="00456E3B">
        <w:rPr>
          <w:rFonts w:hint="cs"/>
          <w:sz w:val="28"/>
          <w:szCs w:val="28"/>
          <w:rtl/>
        </w:rPr>
        <w:t xml:space="preserve">، </w:t>
      </w:r>
      <w:r>
        <w:rPr>
          <w:rFonts w:hint="cs"/>
          <w:sz w:val="28"/>
          <w:szCs w:val="28"/>
          <w:rtl/>
        </w:rPr>
        <w:t>وب</w:t>
      </w:r>
      <w:r w:rsidRPr="00456E3B">
        <w:rPr>
          <w:rFonts w:hint="cs"/>
          <w:sz w:val="28"/>
          <w:szCs w:val="28"/>
          <w:rtl/>
        </w:rPr>
        <w:t xml:space="preserve">استثناء قطاع " الفلاحة، الغابة والصيد" الذي عرف فقدان 61.000 منصب شغل، وهو ما يمثل تراجعا ب </w:t>
      </w:r>
      <w:r w:rsidRPr="00456E3B">
        <w:rPr>
          <w:sz w:val="28"/>
          <w:szCs w:val="28"/>
        </w:rPr>
        <w:t>1,5%</w:t>
      </w:r>
      <w:r w:rsidRPr="00456E3B">
        <w:rPr>
          <w:rFonts w:hint="cs"/>
          <w:sz w:val="28"/>
          <w:szCs w:val="28"/>
          <w:rtl/>
        </w:rPr>
        <w:t xml:space="preserve"> من</w:t>
      </w:r>
      <w:r w:rsidRPr="00456E3B">
        <w:rPr>
          <w:sz w:val="28"/>
          <w:szCs w:val="28"/>
        </w:rPr>
        <w:t xml:space="preserve"> </w:t>
      </w:r>
      <w:r w:rsidRPr="00456E3B">
        <w:rPr>
          <w:rFonts w:hint="cs"/>
          <w:sz w:val="28"/>
          <w:szCs w:val="28"/>
          <w:rtl/>
        </w:rPr>
        <w:t>حجم التشغيل بهذا القطاع، عرفت باقي القطاعات الأخرى إحداث</w:t>
      </w:r>
      <w:r w:rsidR="006C2494">
        <w:rPr>
          <w:rFonts w:hint="cs"/>
          <w:sz w:val="28"/>
          <w:szCs w:val="28"/>
          <w:rtl/>
        </w:rPr>
        <w:t xml:space="preserve"> مناصب </w:t>
      </w:r>
      <w:r w:rsidRPr="00456E3B">
        <w:rPr>
          <w:rFonts w:hint="cs"/>
          <w:sz w:val="28"/>
          <w:szCs w:val="28"/>
          <w:rtl/>
        </w:rPr>
        <w:t>شغل قدر ب</w:t>
      </w:r>
      <w:r w:rsidR="006C2494">
        <w:rPr>
          <w:rFonts w:hint="cs"/>
          <w:sz w:val="28"/>
          <w:szCs w:val="28"/>
          <w:rtl/>
        </w:rPr>
        <w:t xml:space="preserve"> </w:t>
      </w:r>
      <w:r w:rsidRPr="00456E3B">
        <w:rPr>
          <w:rFonts w:hint="cs"/>
          <w:sz w:val="28"/>
          <w:szCs w:val="28"/>
          <w:rtl/>
        </w:rPr>
        <w:t>:</w:t>
      </w:r>
    </w:p>
    <w:p w:rsidR="00ED5B66" w:rsidRPr="00456E3B" w:rsidRDefault="00ED5B66" w:rsidP="00312C25">
      <w:pPr>
        <w:pStyle w:val="Paragraphedeliste"/>
        <w:numPr>
          <w:ilvl w:val="0"/>
          <w:numId w:val="2"/>
        </w:numPr>
        <w:bidi/>
        <w:spacing w:line="360" w:lineRule="auto"/>
        <w:ind w:left="849"/>
        <w:jc w:val="both"/>
        <w:rPr>
          <w:sz w:val="28"/>
          <w:szCs w:val="28"/>
        </w:rPr>
      </w:pPr>
      <w:r w:rsidRPr="00456E3B">
        <w:rPr>
          <w:sz w:val="28"/>
          <w:szCs w:val="28"/>
        </w:rPr>
        <w:t>12.000</w:t>
      </w:r>
      <w:r w:rsidRPr="00456E3B">
        <w:rPr>
          <w:rFonts w:hint="cs"/>
          <w:sz w:val="28"/>
          <w:szCs w:val="28"/>
          <w:rtl/>
        </w:rPr>
        <w:t xml:space="preserve"> منصب شغل بقطاع "الصناعة بما فيها الصناعة التقليدية" (</w:t>
      </w:r>
      <w:r w:rsidRPr="00456E3B">
        <w:rPr>
          <w:sz w:val="28"/>
          <w:szCs w:val="28"/>
        </w:rPr>
        <w:t>+6,6%</w:t>
      </w:r>
      <w:r w:rsidRPr="00456E3B">
        <w:rPr>
          <w:rFonts w:hint="cs"/>
          <w:sz w:val="28"/>
          <w:szCs w:val="28"/>
          <w:rtl/>
        </w:rPr>
        <w:t xml:space="preserve"> من حجم التشغيل بهذا القطاع)؛</w:t>
      </w:r>
    </w:p>
    <w:p w:rsidR="00ED5B66" w:rsidRPr="00456E3B" w:rsidRDefault="00ED5B66" w:rsidP="00312C25">
      <w:pPr>
        <w:pStyle w:val="Paragraphedeliste"/>
        <w:numPr>
          <w:ilvl w:val="0"/>
          <w:numId w:val="2"/>
        </w:numPr>
        <w:bidi/>
        <w:spacing w:line="360" w:lineRule="auto"/>
        <w:ind w:left="849"/>
        <w:jc w:val="both"/>
        <w:rPr>
          <w:sz w:val="28"/>
          <w:szCs w:val="28"/>
        </w:rPr>
      </w:pPr>
      <w:r w:rsidRPr="00456E3B">
        <w:rPr>
          <w:sz w:val="28"/>
          <w:szCs w:val="28"/>
        </w:rPr>
        <w:t>14.000</w:t>
      </w:r>
      <w:r w:rsidRPr="00456E3B">
        <w:rPr>
          <w:rFonts w:hint="cs"/>
          <w:sz w:val="28"/>
          <w:szCs w:val="28"/>
          <w:rtl/>
        </w:rPr>
        <w:t xml:space="preserve"> منصب بقطاع" البناء والأشغال العمومية" </w:t>
      </w:r>
      <w:r w:rsidRPr="00456E3B">
        <w:rPr>
          <w:sz w:val="28"/>
          <w:szCs w:val="28"/>
        </w:rPr>
        <w:t>(+3,6%)</w:t>
      </w:r>
      <w:r w:rsidRPr="00456E3B">
        <w:rPr>
          <w:rFonts w:hint="cs"/>
          <w:sz w:val="28"/>
          <w:szCs w:val="28"/>
          <w:rtl/>
        </w:rPr>
        <w:t>؛</w:t>
      </w:r>
    </w:p>
    <w:p w:rsidR="00ED5B66" w:rsidRDefault="00ED5B66" w:rsidP="00312C25">
      <w:pPr>
        <w:pStyle w:val="Paragraphedeliste"/>
        <w:numPr>
          <w:ilvl w:val="0"/>
          <w:numId w:val="2"/>
        </w:numPr>
        <w:bidi/>
        <w:spacing w:line="360" w:lineRule="auto"/>
        <w:ind w:left="849"/>
        <w:jc w:val="both"/>
        <w:rPr>
          <w:sz w:val="28"/>
          <w:szCs w:val="28"/>
        </w:rPr>
      </w:pPr>
      <w:r w:rsidRPr="00456E3B">
        <w:rPr>
          <w:rFonts w:hint="cs"/>
          <w:sz w:val="28"/>
          <w:szCs w:val="28"/>
          <w:rtl/>
        </w:rPr>
        <w:t>1.000 منصب بقطاع الخدمات  (</w:t>
      </w:r>
      <w:r w:rsidRPr="00456E3B">
        <w:rPr>
          <w:sz w:val="28"/>
          <w:szCs w:val="28"/>
        </w:rPr>
        <w:t>(+0,1%</w:t>
      </w:r>
      <w:r w:rsidRPr="00456E3B">
        <w:rPr>
          <w:rFonts w:hint="cs"/>
          <w:sz w:val="28"/>
          <w:szCs w:val="28"/>
          <w:rtl/>
        </w:rPr>
        <w:t>.</w:t>
      </w:r>
    </w:p>
    <w:p w:rsidR="00ED5B66" w:rsidRPr="00307C76" w:rsidRDefault="00ED5B66" w:rsidP="000A35B7">
      <w:pPr>
        <w:autoSpaceDE w:val="0"/>
        <w:autoSpaceDN w:val="0"/>
        <w:bidi/>
        <w:adjustRightInd w:val="0"/>
        <w:spacing w:line="360" w:lineRule="auto"/>
        <w:jc w:val="both"/>
        <w:rPr>
          <w:b/>
          <w:bCs/>
          <w:color w:val="548DD4"/>
          <w:sz w:val="36"/>
          <w:szCs w:val="36"/>
          <w:rtl/>
        </w:rPr>
      </w:pPr>
      <w:r w:rsidRPr="00307C76">
        <w:rPr>
          <w:rFonts w:hint="cs"/>
          <w:b/>
          <w:bCs/>
          <w:color w:val="548DD4"/>
          <w:sz w:val="36"/>
          <w:szCs w:val="36"/>
          <w:rtl/>
        </w:rPr>
        <w:t>وضعية البطالة، تطورها وأهم خصائصها</w:t>
      </w:r>
    </w:p>
    <w:p w:rsidR="00ED5B66" w:rsidRDefault="00ED5B66" w:rsidP="00312C25">
      <w:pPr>
        <w:bidi/>
        <w:spacing w:before="240"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بتراجع </w:t>
      </w:r>
      <w:r w:rsidRPr="00973F0E">
        <w:rPr>
          <w:rFonts w:hint="cs"/>
          <w:sz w:val="28"/>
          <w:szCs w:val="28"/>
          <w:rtl/>
        </w:rPr>
        <w:t>عدد العاطلين</w:t>
      </w:r>
      <w:r>
        <w:rPr>
          <w:rFonts w:hint="cs"/>
          <w:sz w:val="28"/>
          <w:szCs w:val="28"/>
          <w:rtl/>
        </w:rPr>
        <w:t xml:space="preserve"> </w:t>
      </w:r>
      <w:r w:rsidRPr="00973F0E">
        <w:rPr>
          <w:rFonts w:hint="cs"/>
          <w:sz w:val="28"/>
          <w:szCs w:val="28"/>
          <w:rtl/>
        </w:rPr>
        <w:t>على المستوى الوطني</w:t>
      </w:r>
      <w:r>
        <w:rPr>
          <w:rFonts w:hint="cs"/>
          <w:sz w:val="28"/>
          <w:szCs w:val="28"/>
          <w:rtl/>
        </w:rPr>
        <w:t xml:space="preserve"> </w:t>
      </w:r>
      <w:proofErr w:type="spellStart"/>
      <w:r w:rsidRPr="00973F0E">
        <w:rPr>
          <w:rFonts w:hint="cs"/>
          <w:sz w:val="28"/>
          <w:szCs w:val="28"/>
          <w:rtl/>
        </w:rPr>
        <w:t>بـ</w:t>
      </w:r>
      <w:proofErr w:type="spellEnd"/>
      <w:r>
        <w:rPr>
          <w:rFonts w:hint="cs"/>
          <w:sz w:val="28"/>
          <w:szCs w:val="28"/>
          <w:rtl/>
        </w:rPr>
        <w:t xml:space="preserve"> 73.000 </w:t>
      </w:r>
      <w:proofErr w:type="spellStart"/>
      <w:r>
        <w:rPr>
          <w:rFonts w:hint="cs"/>
          <w:sz w:val="28"/>
          <w:szCs w:val="28"/>
          <w:rtl/>
        </w:rPr>
        <w:t>عاطل،</w:t>
      </w:r>
      <w:proofErr w:type="spellEnd"/>
      <w:r>
        <w:rPr>
          <w:rFonts w:hint="cs"/>
          <w:sz w:val="28"/>
          <w:szCs w:val="28"/>
          <w:rtl/>
        </w:rPr>
        <w:t xml:space="preserve"> 54.000 </w:t>
      </w:r>
      <w:r w:rsidRPr="00973F0E">
        <w:rPr>
          <w:rFonts w:hint="cs"/>
          <w:sz w:val="28"/>
          <w:szCs w:val="28"/>
          <w:rtl/>
        </w:rPr>
        <w:t>بالوسط الحضري و</w:t>
      </w:r>
      <w:r>
        <w:rPr>
          <w:rFonts w:hint="cs"/>
          <w:sz w:val="28"/>
          <w:szCs w:val="28"/>
          <w:rtl/>
        </w:rPr>
        <w:t xml:space="preserve">19.000 </w:t>
      </w:r>
      <w:r w:rsidRPr="00973F0E">
        <w:rPr>
          <w:rFonts w:hint="cs"/>
          <w:sz w:val="28"/>
          <w:szCs w:val="28"/>
          <w:rtl/>
        </w:rPr>
        <w:t>بالوسط القروي</w:t>
      </w:r>
      <w:r>
        <w:rPr>
          <w:rFonts w:hint="cs"/>
          <w:sz w:val="28"/>
          <w:szCs w:val="28"/>
          <w:rtl/>
        </w:rPr>
        <w:t xml:space="preserve">، انخفض حجم السكان العاطلين، ما بين الفصل الثاني من سنة 2014 ونفس الفترة </w:t>
      </w:r>
      <w:r w:rsidR="003241ED">
        <w:rPr>
          <w:rFonts w:hint="cs"/>
          <w:sz w:val="28"/>
          <w:szCs w:val="28"/>
          <w:rtl/>
        </w:rPr>
        <w:t xml:space="preserve">من </w:t>
      </w:r>
      <w:r>
        <w:rPr>
          <w:rFonts w:hint="cs"/>
          <w:sz w:val="28"/>
          <w:szCs w:val="28"/>
          <w:rtl/>
        </w:rPr>
        <w:t>سنة 2015</w:t>
      </w:r>
      <w:r w:rsidRPr="00973F0E">
        <w:rPr>
          <w:rFonts w:hint="cs"/>
          <w:sz w:val="28"/>
          <w:szCs w:val="28"/>
          <w:rtl/>
        </w:rPr>
        <w:t>،</w:t>
      </w:r>
      <w:r>
        <w:rPr>
          <w:rFonts w:hint="cs"/>
          <w:sz w:val="28"/>
          <w:szCs w:val="28"/>
          <w:rtl/>
        </w:rPr>
        <w:t xml:space="preserve"> </w:t>
      </w:r>
      <w:r w:rsidRPr="00973F0E">
        <w:rPr>
          <w:sz w:val="28"/>
          <w:szCs w:val="28"/>
          <w:rtl/>
        </w:rPr>
        <w:t>من</w:t>
      </w:r>
      <w:r>
        <w:rPr>
          <w:rFonts w:hint="cs"/>
          <w:sz w:val="28"/>
          <w:szCs w:val="28"/>
          <w:rtl/>
        </w:rPr>
        <w:t xml:space="preserve"> 1.114.000 </w:t>
      </w:r>
      <w:r w:rsidRPr="00973F0E">
        <w:rPr>
          <w:sz w:val="28"/>
          <w:szCs w:val="28"/>
          <w:rtl/>
        </w:rPr>
        <w:t>إلى</w:t>
      </w:r>
      <w:r>
        <w:rPr>
          <w:rFonts w:hint="cs"/>
          <w:sz w:val="28"/>
          <w:szCs w:val="28"/>
          <w:rtl/>
        </w:rPr>
        <w:t xml:space="preserve"> 1.041.000</w:t>
      </w:r>
      <w:r w:rsidRPr="00973F0E">
        <w:rPr>
          <w:rFonts w:hint="cs"/>
          <w:sz w:val="28"/>
          <w:szCs w:val="28"/>
          <w:rtl/>
        </w:rPr>
        <w:t>عاطل</w:t>
      </w:r>
      <w:r w:rsidRPr="00973F0E">
        <w:rPr>
          <w:sz w:val="28"/>
          <w:szCs w:val="28"/>
          <w:rtl/>
        </w:rPr>
        <w:t>،</w:t>
      </w:r>
      <w:r>
        <w:rPr>
          <w:rFonts w:hint="cs"/>
          <w:sz w:val="28"/>
          <w:szCs w:val="28"/>
          <w:rtl/>
        </w:rPr>
        <w:t xml:space="preserve"> مسجلا بذلك تراجعا </w:t>
      </w:r>
      <w:proofErr w:type="spellStart"/>
      <w:r w:rsidRPr="00973F0E">
        <w:rPr>
          <w:rFonts w:hint="cs"/>
          <w:sz w:val="28"/>
          <w:szCs w:val="28"/>
          <w:rtl/>
        </w:rPr>
        <w:t>بـ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Pr="00973F0E">
        <w:rPr>
          <w:sz w:val="28"/>
          <w:szCs w:val="28"/>
        </w:rPr>
        <w:t>%</w:t>
      </w:r>
      <w:r>
        <w:rPr>
          <w:rFonts w:hint="cs"/>
          <w:sz w:val="28"/>
          <w:szCs w:val="28"/>
          <w:rtl/>
        </w:rPr>
        <w:t xml:space="preserve">6,6 </w:t>
      </w:r>
      <w:r w:rsidRPr="00973F0E">
        <w:rPr>
          <w:rFonts w:hint="cs"/>
          <w:sz w:val="28"/>
          <w:szCs w:val="28"/>
          <w:rtl/>
        </w:rPr>
        <w:t xml:space="preserve">على المستوى </w:t>
      </w:r>
      <w:proofErr w:type="spellStart"/>
      <w:r w:rsidRPr="00973F0E">
        <w:rPr>
          <w:rFonts w:hint="cs"/>
          <w:sz w:val="28"/>
          <w:szCs w:val="28"/>
          <w:rtl/>
        </w:rPr>
        <w:t>الوطني</w:t>
      </w:r>
      <w:bookmarkStart w:id="0" w:name="_GoBack"/>
      <w:bookmarkEnd w:id="0"/>
      <w:r w:rsidRPr="00973F0E"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 w:rsidRPr="00973F0E">
        <w:rPr>
          <w:rFonts w:hint="cs"/>
          <w:sz w:val="28"/>
          <w:szCs w:val="28"/>
          <w:rtl/>
        </w:rPr>
        <w:t>وهكذا،</w:t>
      </w:r>
      <w:proofErr w:type="spellEnd"/>
      <w:r w:rsidRPr="00973F0E">
        <w:rPr>
          <w:rFonts w:hint="cs"/>
          <w:sz w:val="28"/>
          <w:szCs w:val="28"/>
          <w:rtl/>
        </w:rPr>
        <w:t xml:space="preserve"> انتقل معدل </w:t>
      </w:r>
      <w:proofErr w:type="spellStart"/>
      <w:r w:rsidRPr="00973F0E">
        <w:rPr>
          <w:rFonts w:hint="cs"/>
          <w:sz w:val="28"/>
          <w:szCs w:val="28"/>
          <w:rtl/>
        </w:rPr>
        <w:t>البطالة</w:t>
      </w:r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خلال هذه </w:t>
      </w:r>
      <w:proofErr w:type="spellStart"/>
      <w:r>
        <w:rPr>
          <w:rFonts w:hint="cs"/>
          <w:sz w:val="28"/>
          <w:szCs w:val="28"/>
          <w:rtl/>
        </w:rPr>
        <w:t>الفترة،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Pr="00973F0E">
        <w:rPr>
          <w:rFonts w:hint="cs"/>
          <w:sz w:val="28"/>
          <w:szCs w:val="28"/>
          <w:rtl/>
        </w:rPr>
        <w:t>من</w:t>
      </w:r>
      <w:r>
        <w:rPr>
          <w:rFonts w:hint="cs"/>
          <w:sz w:val="28"/>
          <w:szCs w:val="28"/>
          <w:rtl/>
        </w:rPr>
        <w:t xml:space="preserve"> </w:t>
      </w:r>
      <w:r w:rsidRPr="00973F0E">
        <w:rPr>
          <w:sz w:val="28"/>
          <w:szCs w:val="28"/>
        </w:rPr>
        <w:t>%</w:t>
      </w:r>
      <w:r>
        <w:rPr>
          <w:rFonts w:hint="cs"/>
          <w:sz w:val="28"/>
          <w:szCs w:val="28"/>
          <w:rtl/>
        </w:rPr>
        <w:t>9,3</w:t>
      </w:r>
      <w:r w:rsidRPr="00973F0E">
        <w:rPr>
          <w:rFonts w:hint="cs"/>
          <w:sz w:val="28"/>
          <w:szCs w:val="28"/>
          <w:rtl/>
        </w:rPr>
        <w:t xml:space="preserve"> إلى </w:t>
      </w:r>
      <w:r w:rsidRPr="00973F0E">
        <w:rPr>
          <w:sz w:val="28"/>
          <w:szCs w:val="28"/>
          <w:rtl/>
        </w:rPr>
        <w:t>%</w:t>
      </w:r>
      <w:r>
        <w:rPr>
          <w:rFonts w:hint="cs"/>
          <w:sz w:val="28"/>
          <w:szCs w:val="28"/>
          <w:rtl/>
        </w:rPr>
        <w:t>8,7</w:t>
      </w:r>
      <w:r w:rsidRPr="00973F0E">
        <w:rPr>
          <w:rFonts w:hint="cs"/>
          <w:sz w:val="28"/>
          <w:szCs w:val="28"/>
          <w:rtl/>
        </w:rPr>
        <w:t xml:space="preserve"> على المستوى </w:t>
      </w:r>
      <w:proofErr w:type="spellStart"/>
      <w:r w:rsidRPr="00973F0E">
        <w:rPr>
          <w:rFonts w:hint="cs"/>
          <w:sz w:val="28"/>
          <w:szCs w:val="28"/>
          <w:rtl/>
        </w:rPr>
        <w:t>الوطني،</w:t>
      </w:r>
      <w:proofErr w:type="spellEnd"/>
      <w:r>
        <w:rPr>
          <w:rFonts w:hint="cs"/>
          <w:sz w:val="28"/>
          <w:szCs w:val="28"/>
          <w:rtl/>
        </w:rPr>
        <w:t xml:space="preserve">  </w:t>
      </w:r>
      <w:r w:rsidRPr="00973F0E">
        <w:rPr>
          <w:rFonts w:hint="cs"/>
          <w:sz w:val="28"/>
          <w:szCs w:val="28"/>
          <w:rtl/>
        </w:rPr>
        <w:t>من</w:t>
      </w:r>
      <w:r>
        <w:rPr>
          <w:rFonts w:hint="cs"/>
          <w:sz w:val="28"/>
          <w:szCs w:val="28"/>
          <w:rtl/>
        </w:rPr>
        <w:t xml:space="preserve"> </w:t>
      </w:r>
      <w:r w:rsidRPr="00973F0E">
        <w:rPr>
          <w:sz w:val="28"/>
          <w:szCs w:val="28"/>
          <w:rtl/>
        </w:rPr>
        <w:t>%</w:t>
      </w:r>
      <w:r>
        <w:rPr>
          <w:rFonts w:hint="cs"/>
          <w:sz w:val="28"/>
          <w:szCs w:val="28"/>
          <w:rtl/>
        </w:rPr>
        <w:t xml:space="preserve">14,2 </w:t>
      </w:r>
      <w:r w:rsidRPr="00973F0E">
        <w:rPr>
          <w:rFonts w:hint="cs"/>
          <w:sz w:val="28"/>
          <w:szCs w:val="28"/>
          <w:rtl/>
        </w:rPr>
        <w:t>إلى</w:t>
      </w:r>
      <w:r>
        <w:rPr>
          <w:rFonts w:hint="cs"/>
          <w:sz w:val="28"/>
          <w:szCs w:val="28"/>
          <w:rtl/>
        </w:rPr>
        <w:t xml:space="preserve"> </w:t>
      </w:r>
      <w:r w:rsidRPr="00973F0E">
        <w:rPr>
          <w:sz w:val="28"/>
          <w:szCs w:val="28"/>
        </w:rPr>
        <w:t>%</w:t>
      </w:r>
      <w:r>
        <w:rPr>
          <w:rFonts w:hint="cs"/>
          <w:sz w:val="28"/>
          <w:szCs w:val="28"/>
          <w:rtl/>
        </w:rPr>
        <w:t xml:space="preserve">13,4 </w:t>
      </w:r>
      <w:r w:rsidRPr="00973F0E">
        <w:rPr>
          <w:rFonts w:hint="cs"/>
          <w:sz w:val="28"/>
          <w:szCs w:val="28"/>
          <w:rtl/>
        </w:rPr>
        <w:t>بالوسط الحضري ومن</w:t>
      </w:r>
      <w:r w:rsidRPr="00973F0E">
        <w:rPr>
          <w:sz w:val="28"/>
          <w:szCs w:val="28"/>
        </w:rPr>
        <w:t>%</w:t>
      </w:r>
      <w:r>
        <w:rPr>
          <w:rFonts w:hint="cs"/>
          <w:sz w:val="28"/>
          <w:szCs w:val="28"/>
          <w:rtl/>
        </w:rPr>
        <w:t>3,6</w:t>
      </w:r>
      <w:r w:rsidRPr="00973F0E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 w:rsidRPr="00973F0E">
        <w:rPr>
          <w:rFonts w:hint="cs"/>
          <w:sz w:val="28"/>
          <w:szCs w:val="28"/>
          <w:rtl/>
        </w:rPr>
        <w:t>إلى</w:t>
      </w:r>
      <w:r>
        <w:rPr>
          <w:rFonts w:hint="cs"/>
          <w:sz w:val="28"/>
          <w:szCs w:val="28"/>
          <w:rtl/>
        </w:rPr>
        <w:t xml:space="preserve"> </w:t>
      </w:r>
      <w:r w:rsidRPr="00973F0E">
        <w:rPr>
          <w:sz w:val="28"/>
          <w:szCs w:val="28"/>
          <w:rtl/>
        </w:rPr>
        <w:t>%</w:t>
      </w:r>
      <w:r>
        <w:rPr>
          <w:rFonts w:hint="cs"/>
          <w:sz w:val="28"/>
          <w:szCs w:val="28"/>
          <w:rtl/>
        </w:rPr>
        <w:t>3,3</w:t>
      </w:r>
      <w:r w:rsidRPr="00973F0E">
        <w:rPr>
          <w:rFonts w:hint="cs"/>
          <w:sz w:val="28"/>
          <w:szCs w:val="28"/>
          <w:rtl/>
        </w:rPr>
        <w:t xml:space="preserve"> بالوسط القروي.</w:t>
      </w:r>
    </w:p>
    <w:p w:rsidR="003D569D" w:rsidRPr="00973F0E" w:rsidRDefault="003D569D" w:rsidP="00312C25">
      <w:pPr>
        <w:bidi/>
        <w:spacing w:line="360" w:lineRule="auto"/>
        <w:jc w:val="both"/>
        <w:rPr>
          <w:sz w:val="28"/>
          <w:szCs w:val="28"/>
          <w:rtl/>
        </w:rPr>
      </w:pPr>
    </w:p>
    <w:p w:rsidR="00312C25" w:rsidRDefault="00ED5B66" w:rsidP="00312C25">
      <w:pPr>
        <w:bidi/>
        <w:spacing w:line="360" w:lineRule="auto"/>
        <w:jc w:val="both"/>
        <w:rPr>
          <w:sz w:val="28"/>
          <w:szCs w:val="28"/>
          <w:lang w:bidi="ar-MA"/>
        </w:rPr>
      </w:pPr>
      <w:r w:rsidRPr="00973F0E">
        <w:rPr>
          <w:rFonts w:hint="cs"/>
          <w:sz w:val="28"/>
          <w:szCs w:val="28"/>
          <w:rtl/>
        </w:rPr>
        <w:t xml:space="preserve">وقد سجلت أهم </w:t>
      </w:r>
      <w:r>
        <w:rPr>
          <w:rFonts w:hint="cs"/>
          <w:sz w:val="28"/>
          <w:szCs w:val="28"/>
          <w:rtl/>
        </w:rPr>
        <w:t>الانخفاضات</w:t>
      </w:r>
      <w:r w:rsidRPr="00973F0E">
        <w:rPr>
          <w:rFonts w:hint="cs"/>
          <w:sz w:val="28"/>
          <w:szCs w:val="28"/>
          <w:rtl/>
        </w:rPr>
        <w:t xml:space="preserve">، لدى البالغين من العمر ما بين </w:t>
      </w:r>
      <w:r>
        <w:rPr>
          <w:rFonts w:hint="cs"/>
          <w:sz w:val="28"/>
          <w:szCs w:val="28"/>
          <w:rtl/>
        </w:rPr>
        <w:t>25</w:t>
      </w:r>
      <w:r w:rsidRPr="00973F0E">
        <w:rPr>
          <w:rFonts w:hint="cs"/>
          <w:sz w:val="28"/>
          <w:szCs w:val="28"/>
          <w:rtl/>
        </w:rPr>
        <w:t xml:space="preserve"> و</w:t>
      </w:r>
      <w:r>
        <w:rPr>
          <w:rFonts w:hint="cs"/>
          <w:sz w:val="28"/>
          <w:szCs w:val="28"/>
          <w:rtl/>
        </w:rPr>
        <w:t>34</w:t>
      </w:r>
      <w:r w:rsidRPr="00973F0E">
        <w:rPr>
          <w:rFonts w:hint="cs"/>
          <w:sz w:val="28"/>
          <w:szCs w:val="28"/>
          <w:rtl/>
        </w:rPr>
        <w:t xml:space="preserve"> سنة (</w:t>
      </w:r>
      <w:r>
        <w:rPr>
          <w:rFonts w:hint="cs"/>
          <w:sz w:val="28"/>
          <w:szCs w:val="28"/>
          <w:rtl/>
        </w:rPr>
        <w:t>1,5</w:t>
      </w:r>
      <w:r>
        <w:rPr>
          <w:sz w:val="28"/>
          <w:szCs w:val="28"/>
        </w:rPr>
        <w:t>-</w:t>
      </w:r>
      <w:r w:rsidRPr="00973F0E">
        <w:rPr>
          <w:rFonts w:hint="cs"/>
          <w:sz w:val="28"/>
          <w:szCs w:val="28"/>
          <w:rtl/>
        </w:rPr>
        <w:t xml:space="preserve"> نقطة) و</w:t>
      </w:r>
      <w:r>
        <w:rPr>
          <w:rFonts w:hint="cs"/>
          <w:sz w:val="28"/>
          <w:szCs w:val="28"/>
          <w:rtl/>
        </w:rPr>
        <w:t>الأشخاص الحاصلين على شهادة</w:t>
      </w:r>
      <w:r w:rsidRPr="00973F0E">
        <w:rPr>
          <w:rFonts w:hint="cs"/>
          <w:sz w:val="28"/>
          <w:szCs w:val="28"/>
          <w:rtl/>
        </w:rPr>
        <w:t xml:space="preserve"> (</w:t>
      </w:r>
      <w:r>
        <w:rPr>
          <w:rFonts w:hint="cs"/>
          <w:sz w:val="28"/>
          <w:szCs w:val="28"/>
          <w:rtl/>
        </w:rPr>
        <w:t>0,9-</w:t>
      </w:r>
      <w:r w:rsidRPr="00973F0E">
        <w:rPr>
          <w:rFonts w:hint="cs"/>
          <w:sz w:val="28"/>
          <w:szCs w:val="28"/>
          <w:rtl/>
        </w:rPr>
        <w:t xml:space="preserve"> نقطة).</w:t>
      </w:r>
      <w:r w:rsidR="00E82601">
        <w:rPr>
          <w:rFonts w:hint="cs"/>
          <w:sz w:val="28"/>
          <w:szCs w:val="28"/>
          <w:rtl/>
        </w:rPr>
        <w:t xml:space="preserve"> </w:t>
      </w:r>
      <w:proofErr w:type="spellStart"/>
      <w:r w:rsidR="00E82601">
        <w:rPr>
          <w:rFonts w:hint="cs"/>
          <w:sz w:val="28"/>
          <w:szCs w:val="28"/>
          <w:rtl/>
        </w:rPr>
        <w:t>بالمقابل،</w:t>
      </w:r>
      <w:proofErr w:type="spellEnd"/>
      <w:r w:rsidR="00E82601">
        <w:rPr>
          <w:rFonts w:hint="cs"/>
          <w:sz w:val="28"/>
          <w:szCs w:val="28"/>
          <w:rtl/>
        </w:rPr>
        <w:t xml:space="preserve"> ارتفع معدل البطالة لدى </w:t>
      </w:r>
      <w:r w:rsidR="00E82601" w:rsidRPr="00307C76">
        <w:rPr>
          <w:rFonts w:hint="cs"/>
          <w:sz w:val="28"/>
          <w:szCs w:val="28"/>
          <w:rtl/>
        </w:rPr>
        <w:t xml:space="preserve">الشباب المتراوحة أعمارهم ما بين 15 </w:t>
      </w:r>
      <w:proofErr w:type="spellStart"/>
      <w:r w:rsidR="00E82601" w:rsidRPr="00307C76">
        <w:rPr>
          <w:rFonts w:hint="cs"/>
          <w:sz w:val="28"/>
          <w:szCs w:val="28"/>
          <w:rtl/>
        </w:rPr>
        <w:t>و24</w:t>
      </w:r>
      <w:proofErr w:type="spellEnd"/>
      <w:r w:rsidR="00E82601" w:rsidRPr="00307C76">
        <w:rPr>
          <w:rFonts w:hint="cs"/>
          <w:sz w:val="28"/>
          <w:szCs w:val="28"/>
          <w:rtl/>
        </w:rPr>
        <w:t xml:space="preserve"> سنة</w:t>
      </w:r>
      <w:r w:rsidR="00E82601">
        <w:rPr>
          <w:rFonts w:hint="cs"/>
          <w:sz w:val="28"/>
          <w:szCs w:val="28"/>
          <w:rtl/>
        </w:rPr>
        <w:t xml:space="preserve"> ب </w:t>
      </w:r>
      <w:r w:rsidR="00E82601">
        <w:rPr>
          <w:sz w:val="28"/>
          <w:szCs w:val="28"/>
        </w:rPr>
        <w:t>1,3</w:t>
      </w:r>
      <w:r w:rsidR="00E82601">
        <w:rPr>
          <w:rFonts w:hint="cs"/>
          <w:sz w:val="28"/>
          <w:szCs w:val="28"/>
          <w:rtl/>
          <w:lang w:bidi="ar-MA"/>
        </w:rPr>
        <w:t xml:space="preserve"> نقطة على المستوى </w:t>
      </w:r>
      <w:proofErr w:type="spellStart"/>
      <w:r w:rsidR="00E82601">
        <w:rPr>
          <w:rFonts w:hint="cs"/>
          <w:sz w:val="28"/>
          <w:szCs w:val="28"/>
          <w:rtl/>
          <w:lang w:bidi="ar-MA"/>
        </w:rPr>
        <w:t>الوطني،</w:t>
      </w:r>
      <w:proofErr w:type="spellEnd"/>
      <w:r w:rsidR="00E82601">
        <w:rPr>
          <w:rFonts w:hint="cs"/>
          <w:sz w:val="28"/>
          <w:szCs w:val="28"/>
          <w:rtl/>
          <w:lang w:bidi="ar-MA"/>
        </w:rPr>
        <w:t xml:space="preserve"> 2</w:t>
      </w:r>
      <w:r w:rsidR="00E82601">
        <w:rPr>
          <w:sz w:val="28"/>
          <w:szCs w:val="28"/>
          <w:lang w:bidi="ar-MA"/>
        </w:rPr>
        <w:t xml:space="preserve"> </w:t>
      </w:r>
      <w:proofErr w:type="spellStart"/>
      <w:r w:rsidR="00E82601">
        <w:rPr>
          <w:sz w:val="28"/>
          <w:szCs w:val="28"/>
          <w:lang w:bidi="ar-MA"/>
        </w:rPr>
        <w:t>2</w:t>
      </w:r>
      <w:proofErr w:type="spellEnd"/>
      <w:r w:rsidR="00E82601">
        <w:rPr>
          <w:sz w:val="28"/>
          <w:szCs w:val="28"/>
          <w:lang w:bidi="ar-MA"/>
        </w:rPr>
        <w:t>,</w:t>
      </w:r>
      <w:r w:rsidR="00E82601">
        <w:rPr>
          <w:rFonts w:hint="cs"/>
          <w:sz w:val="28"/>
          <w:szCs w:val="28"/>
          <w:rtl/>
          <w:lang w:bidi="ar-MA"/>
        </w:rPr>
        <w:t>نقطة بالوسط الحضري و</w:t>
      </w:r>
      <w:r w:rsidR="00E82601">
        <w:rPr>
          <w:sz w:val="28"/>
          <w:szCs w:val="28"/>
          <w:lang w:bidi="ar-MA"/>
        </w:rPr>
        <w:t xml:space="preserve">0,2 </w:t>
      </w:r>
      <w:r w:rsidR="00E82601">
        <w:rPr>
          <w:rFonts w:hint="cs"/>
          <w:sz w:val="28"/>
          <w:szCs w:val="28"/>
          <w:rtl/>
          <w:lang w:bidi="ar-MA"/>
        </w:rPr>
        <w:t xml:space="preserve"> نقطة بالوسط القروي.</w:t>
      </w:r>
    </w:p>
    <w:p w:rsidR="00ED5B66" w:rsidRDefault="00ED5B66" w:rsidP="00312C25">
      <w:pPr>
        <w:bidi/>
        <w:spacing w:line="360" w:lineRule="auto"/>
        <w:jc w:val="both"/>
        <w:rPr>
          <w:b/>
          <w:bCs/>
          <w:color w:val="0070C0"/>
          <w:sz w:val="26"/>
          <w:szCs w:val="26"/>
          <w:rtl/>
          <w:lang w:bidi="ar-MA"/>
        </w:rPr>
      </w:pPr>
    </w:p>
    <w:p w:rsidR="00ED5B66" w:rsidRPr="00EE7D6E" w:rsidRDefault="00ED5B66" w:rsidP="00ED5B66">
      <w:pPr>
        <w:jc w:val="center"/>
        <w:rPr>
          <w:b/>
          <w:bCs/>
          <w:color w:val="0070C0"/>
          <w:sz w:val="26"/>
          <w:szCs w:val="26"/>
          <w:rtl/>
          <w:lang w:bidi="ar-MA"/>
        </w:rPr>
      </w:pPr>
      <w:proofErr w:type="spellStart"/>
      <w:r w:rsidRPr="00EE7D6E">
        <w:rPr>
          <w:b/>
          <w:bCs/>
          <w:color w:val="0070C0"/>
          <w:sz w:val="26"/>
          <w:szCs w:val="26"/>
          <w:rtl/>
          <w:lang w:bidi="ar-MA"/>
        </w:rPr>
        <w:t>مبيان</w:t>
      </w:r>
      <w:proofErr w:type="spellEnd"/>
      <w:r w:rsidRPr="00EE7D6E">
        <w:rPr>
          <w:b/>
          <w:bCs/>
          <w:color w:val="0070C0"/>
          <w:sz w:val="26"/>
          <w:szCs w:val="26"/>
          <w:rtl/>
          <w:lang w:bidi="ar-MA"/>
        </w:rPr>
        <w:t xml:space="preserve"> </w:t>
      </w:r>
      <w:proofErr w:type="spellStart"/>
      <w:r w:rsidRPr="00EE7D6E">
        <w:rPr>
          <w:b/>
          <w:bCs/>
          <w:color w:val="0070C0"/>
          <w:sz w:val="26"/>
          <w:szCs w:val="26"/>
          <w:rtl/>
          <w:lang w:bidi="ar-MA"/>
        </w:rPr>
        <w:t>3</w:t>
      </w:r>
      <w:r w:rsidRPr="00EE7D6E">
        <w:rPr>
          <w:rFonts w:hint="cs"/>
          <w:b/>
          <w:bCs/>
          <w:color w:val="0070C0"/>
          <w:sz w:val="26"/>
          <w:szCs w:val="26"/>
          <w:rtl/>
          <w:lang w:bidi="ar-MA"/>
        </w:rPr>
        <w:t>:</w:t>
      </w:r>
      <w:proofErr w:type="spellEnd"/>
      <w:r w:rsidRPr="00EE7D6E">
        <w:rPr>
          <w:b/>
          <w:bCs/>
          <w:color w:val="0070C0"/>
          <w:sz w:val="26"/>
          <w:szCs w:val="26"/>
          <w:rtl/>
          <w:lang w:bidi="ar-MA"/>
        </w:rPr>
        <w:t xml:space="preserve"> تطور معدل البطالة</w:t>
      </w:r>
      <w:r w:rsidRPr="00EE7D6E">
        <w:rPr>
          <w:rFonts w:hint="cs"/>
          <w:b/>
          <w:bCs/>
          <w:color w:val="0070C0"/>
          <w:sz w:val="26"/>
          <w:szCs w:val="26"/>
          <w:rtl/>
          <w:lang w:bidi="ar-MA"/>
        </w:rPr>
        <w:t xml:space="preserve"> خلال الفصل الثاني </w:t>
      </w:r>
      <w:r w:rsidRPr="00EE7D6E">
        <w:rPr>
          <w:b/>
          <w:bCs/>
          <w:color w:val="0070C0"/>
          <w:sz w:val="26"/>
          <w:szCs w:val="26"/>
          <w:rtl/>
          <w:lang w:bidi="ar-MA"/>
        </w:rPr>
        <w:t>حسب وسط الإقامة ( ب% )</w:t>
      </w:r>
    </w:p>
    <w:p w:rsidR="00ED5B66" w:rsidRDefault="00ED5B66" w:rsidP="00ED5B66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  <w:r w:rsidRPr="00A64DA1">
        <w:rPr>
          <w:b/>
          <w:bCs/>
          <w:noProof/>
          <w:sz w:val="26"/>
          <w:szCs w:val="26"/>
          <w:rtl/>
        </w:rPr>
        <w:drawing>
          <wp:inline distT="0" distB="0" distL="0" distR="0">
            <wp:extent cx="4676775" cy="2266950"/>
            <wp:effectExtent l="19050" t="0" r="9525" b="0"/>
            <wp:docPr id="2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D5B66" w:rsidRDefault="00ED5B66" w:rsidP="00ED5B66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</w:p>
    <w:p w:rsidR="00ED5B66" w:rsidRPr="00307C76" w:rsidRDefault="004457F8" w:rsidP="000A35B7">
      <w:pPr>
        <w:bidi/>
        <w:spacing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وتبقى </w:t>
      </w:r>
      <w:r w:rsidR="00ED5B66" w:rsidRPr="00307C76">
        <w:rPr>
          <w:rFonts w:hint="cs"/>
          <w:sz w:val="28"/>
          <w:szCs w:val="28"/>
          <w:rtl/>
        </w:rPr>
        <w:t xml:space="preserve">ظاهرة البطالة </w:t>
      </w:r>
      <w:r w:rsidR="00ED5B66">
        <w:rPr>
          <w:rFonts w:hint="cs"/>
          <w:sz w:val="28"/>
          <w:szCs w:val="28"/>
          <w:rtl/>
        </w:rPr>
        <w:t xml:space="preserve">أكثر </w:t>
      </w:r>
      <w:r w:rsidR="00ED5B66" w:rsidRPr="00307C76">
        <w:rPr>
          <w:rFonts w:hint="cs"/>
          <w:sz w:val="28"/>
          <w:szCs w:val="28"/>
          <w:rtl/>
        </w:rPr>
        <w:t>تفشي</w:t>
      </w:r>
      <w:r w:rsidR="00ED5B66">
        <w:rPr>
          <w:rFonts w:hint="cs"/>
          <w:sz w:val="28"/>
          <w:szCs w:val="28"/>
          <w:rtl/>
        </w:rPr>
        <w:t xml:space="preserve">ا </w:t>
      </w:r>
      <w:r w:rsidR="00ED5B66" w:rsidRPr="00307C76">
        <w:rPr>
          <w:rFonts w:hint="cs"/>
          <w:sz w:val="28"/>
          <w:szCs w:val="28"/>
          <w:rtl/>
        </w:rPr>
        <w:t>في صفوف</w:t>
      </w:r>
      <w:r w:rsidR="00ED5B66">
        <w:rPr>
          <w:rFonts w:hint="cs"/>
          <w:sz w:val="28"/>
          <w:szCs w:val="28"/>
          <w:rtl/>
        </w:rPr>
        <w:t xml:space="preserve"> حاملي الشهادات و</w:t>
      </w:r>
      <w:r w:rsidR="00ED5B66" w:rsidRPr="00307C76">
        <w:rPr>
          <w:rFonts w:hint="cs"/>
          <w:sz w:val="28"/>
          <w:szCs w:val="28"/>
          <w:rtl/>
        </w:rPr>
        <w:t>الشباب المتراوحة أعمارهم ما بين 15 و24 سنة، وهكذا</w:t>
      </w:r>
      <w:r w:rsidR="00ED5B66">
        <w:rPr>
          <w:sz w:val="28"/>
          <w:szCs w:val="28"/>
        </w:rPr>
        <w:t xml:space="preserve"> </w:t>
      </w:r>
      <w:r w:rsidR="00ED5B66">
        <w:rPr>
          <w:rFonts w:hint="cs"/>
          <w:sz w:val="28"/>
          <w:szCs w:val="28"/>
          <w:rtl/>
          <w:lang w:bidi="ar-MA"/>
        </w:rPr>
        <w:t xml:space="preserve">فخلال الفصل الثاني من </w:t>
      </w:r>
      <w:r w:rsidR="003D569D">
        <w:rPr>
          <w:rFonts w:hint="cs"/>
          <w:sz w:val="28"/>
          <w:szCs w:val="28"/>
          <w:rtl/>
          <w:lang w:bidi="ar-MA"/>
        </w:rPr>
        <w:t xml:space="preserve">سنة </w:t>
      </w:r>
      <w:r w:rsidR="000A35B7">
        <w:rPr>
          <w:sz w:val="28"/>
          <w:szCs w:val="28"/>
          <w:lang w:bidi="ar-MA"/>
        </w:rPr>
        <w:t>2015</w:t>
      </w:r>
      <w:r w:rsidR="000A35B7" w:rsidRPr="00307C76">
        <w:rPr>
          <w:rFonts w:hint="cs"/>
          <w:sz w:val="28"/>
          <w:szCs w:val="28"/>
          <w:rtl/>
        </w:rPr>
        <w:t>،</w:t>
      </w:r>
      <w:r w:rsidR="000A35B7">
        <w:rPr>
          <w:rFonts w:hint="cs"/>
          <w:sz w:val="28"/>
          <w:szCs w:val="28"/>
          <w:rtl/>
        </w:rPr>
        <w:t xml:space="preserve"> </w:t>
      </w:r>
      <w:r w:rsidR="00ED5B66">
        <w:rPr>
          <w:rFonts w:hint="cs"/>
          <w:sz w:val="28"/>
          <w:szCs w:val="28"/>
          <w:rtl/>
        </w:rPr>
        <w:t>بلغ</w:t>
      </w:r>
      <w:r w:rsidR="00ED5B66" w:rsidRPr="00307C76">
        <w:rPr>
          <w:rFonts w:hint="cs"/>
          <w:sz w:val="28"/>
          <w:szCs w:val="28"/>
          <w:rtl/>
        </w:rPr>
        <w:t xml:space="preserve"> معدل البطالة </w:t>
      </w:r>
      <w:r w:rsidR="00383878">
        <w:rPr>
          <w:sz w:val="28"/>
          <w:szCs w:val="28"/>
        </w:rPr>
        <w:t xml:space="preserve"> 3,6%</w:t>
      </w:r>
      <w:r w:rsidR="00ED5B66" w:rsidRPr="00307C76">
        <w:rPr>
          <w:rFonts w:hint="cs"/>
          <w:sz w:val="28"/>
          <w:szCs w:val="28"/>
          <w:rtl/>
        </w:rPr>
        <w:t>لدى</w:t>
      </w:r>
      <w:r w:rsidR="00ED5B66">
        <w:rPr>
          <w:rFonts w:hint="cs"/>
          <w:sz w:val="28"/>
          <w:szCs w:val="28"/>
          <w:rtl/>
        </w:rPr>
        <w:t xml:space="preserve"> </w:t>
      </w:r>
      <w:r w:rsidR="00ED5B66" w:rsidRPr="00307C76">
        <w:rPr>
          <w:rFonts w:hint="cs"/>
          <w:sz w:val="28"/>
          <w:szCs w:val="28"/>
          <w:rtl/>
        </w:rPr>
        <w:t xml:space="preserve">الأشخاص غير الحاصلين على شهادة، </w:t>
      </w:r>
      <w:r w:rsidR="00ED5B66" w:rsidRPr="00307C76">
        <w:rPr>
          <w:sz w:val="28"/>
          <w:szCs w:val="28"/>
          <w:rtl/>
        </w:rPr>
        <w:t>%</w:t>
      </w:r>
      <w:r w:rsidR="00ED5B66">
        <w:rPr>
          <w:sz w:val="28"/>
          <w:szCs w:val="28"/>
        </w:rPr>
        <w:t>13,8</w:t>
      </w:r>
      <w:r w:rsidR="00ED5B66">
        <w:rPr>
          <w:rFonts w:hint="cs"/>
          <w:sz w:val="28"/>
          <w:szCs w:val="28"/>
          <w:rtl/>
        </w:rPr>
        <w:t xml:space="preserve"> </w:t>
      </w:r>
      <w:r w:rsidR="00ED5B66" w:rsidRPr="00307C76">
        <w:rPr>
          <w:rFonts w:hint="cs"/>
          <w:sz w:val="28"/>
          <w:szCs w:val="28"/>
          <w:rtl/>
        </w:rPr>
        <w:t xml:space="preserve">لدى حاملي </w:t>
      </w:r>
      <w:r w:rsidR="00ED5B66">
        <w:rPr>
          <w:rFonts w:hint="cs"/>
          <w:sz w:val="28"/>
          <w:szCs w:val="28"/>
          <w:rtl/>
        </w:rPr>
        <w:t>ال</w:t>
      </w:r>
      <w:r w:rsidR="00ED5B66" w:rsidRPr="00307C76">
        <w:rPr>
          <w:rFonts w:hint="cs"/>
          <w:sz w:val="28"/>
          <w:szCs w:val="28"/>
          <w:rtl/>
        </w:rPr>
        <w:t xml:space="preserve">شهادات </w:t>
      </w:r>
      <w:r w:rsidR="00ED5B66">
        <w:rPr>
          <w:rFonts w:hint="cs"/>
          <w:sz w:val="28"/>
          <w:szCs w:val="28"/>
          <w:rtl/>
        </w:rPr>
        <w:t xml:space="preserve">ذات </w:t>
      </w:r>
      <w:r w:rsidR="00ED5B66" w:rsidRPr="00307C76">
        <w:rPr>
          <w:rFonts w:hint="cs"/>
          <w:sz w:val="28"/>
          <w:szCs w:val="28"/>
          <w:rtl/>
        </w:rPr>
        <w:t xml:space="preserve">المستوى </w:t>
      </w:r>
      <w:r w:rsidR="00ED5B66" w:rsidRPr="00ED3F4E">
        <w:rPr>
          <w:rFonts w:hint="cs"/>
          <w:sz w:val="28"/>
          <w:szCs w:val="28"/>
          <w:rtl/>
        </w:rPr>
        <w:t>المتوسط</w:t>
      </w:r>
      <w:r w:rsidR="00ED5B66" w:rsidRPr="00ED3F4E">
        <w:rPr>
          <w:vertAlign w:val="superscript"/>
          <w:rtl/>
        </w:rPr>
        <w:footnoteReference w:id="1"/>
      </w:r>
      <w:r w:rsidR="00ED5B66" w:rsidRPr="00ED3F4E">
        <w:rPr>
          <w:rFonts w:hint="cs"/>
          <w:sz w:val="28"/>
          <w:szCs w:val="28"/>
          <w:rtl/>
        </w:rPr>
        <w:t xml:space="preserve"> </w:t>
      </w:r>
      <w:r w:rsidR="00ED5B66" w:rsidRPr="00307C76">
        <w:rPr>
          <w:rFonts w:hint="cs"/>
          <w:sz w:val="28"/>
          <w:szCs w:val="28"/>
          <w:rtl/>
        </w:rPr>
        <w:t xml:space="preserve"> حيث بلغ</w:t>
      </w:r>
      <w:r w:rsidR="00ED5B66">
        <w:rPr>
          <w:rFonts w:hint="cs"/>
          <w:sz w:val="28"/>
          <w:szCs w:val="28"/>
          <w:rtl/>
        </w:rPr>
        <w:t xml:space="preserve"> </w:t>
      </w:r>
      <w:r w:rsidR="00ED5B66" w:rsidRPr="00307C76">
        <w:rPr>
          <w:sz w:val="28"/>
          <w:szCs w:val="28"/>
          <w:rtl/>
        </w:rPr>
        <w:t>%</w:t>
      </w:r>
      <w:r w:rsidR="00ED5B66">
        <w:rPr>
          <w:sz w:val="28"/>
          <w:szCs w:val="28"/>
        </w:rPr>
        <w:t>19,2</w:t>
      </w:r>
      <w:r w:rsidR="00ED5B66">
        <w:rPr>
          <w:rFonts w:hint="cs"/>
          <w:sz w:val="28"/>
          <w:szCs w:val="28"/>
          <w:rtl/>
        </w:rPr>
        <w:t xml:space="preserve"> </w:t>
      </w:r>
      <w:r w:rsidR="00ED5B66" w:rsidRPr="00307C76">
        <w:rPr>
          <w:rFonts w:hint="cs"/>
          <w:sz w:val="28"/>
          <w:szCs w:val="28"/>
          <w:rtl/>
        </w:rPr>
        <w:t>في صفوف حاملي شهادات الت</w:t>
      </w:r>
      <w:r w:rsidR="00383878">
        <w:rPr>
          <w:rFonts w:hint="cs"/>
          <w:sz w:val="28"/>
          <w:szCs w:val="28"/>
          <w:rtl/>
          <w:lang w:bidi="ar-MA"/>
        </w:rPr>
        <w:t xml:space="preserve">أهيل </w:t>
      </w:r>
      <w:proofErr w:type="spellStart"/>
      <w:r w:rsidR="00ED5B66" w:rsidRPr="00307C76">
        <w:rPr>
          <w:rFonts w:hint="cs"/>
          <w:sz w:val="28"/>
          <w:szCs w:val="28"/>
          <w:rtl/>
        </w:rPr>
        <w:t>المهني،</w:t>
      </w:r>
      <w:proofErr w:type="spellEnd"/>
      <w:r w:rsidR="00ED5B66" w:rsidRPr="00307C76">
        <w:rPr>
          <w:rFonts w:hint="cs"/>
          <w:sz w:val="28"/>
          <w:szCs w:val="28"/>
          <w:rtl/>
        </w:rPr>
        <w:t xml:space="preserve"> و</w:t>
      </w:r>
      <w:r w:rsidR="00ED5B66" w:rsidRPr="00307C76">
        <w:rPr>
          <w:sz w:val="28"/>
          <w:szCs w:val="28"/>
          <w:rtl/>
        </w:rPr>
        <w:t>%</w:t>
      </w:r>
      <w:r w:rsidR="00ED5B66">
        <w:rPr>
          <w:sz w:val="28"/>
          <w:szCs w:val="28"/>
        </w:rPr>
        <w:t>20,8</w:t>
      </w:r>
      <w:r w:rsidR="00ED5B66">
        <w:rPr>
          <w:rFonts w:hint="cs"/>
          <w:sz w:val="28"/>
          <w:szCs w:val="28"/>
          <w:rtl/>
        </w:rPr>
        <w:t xml:space="preserve"> </w:t>
      </w:r>
      <w:r w:rsidR="00ED5B66" w:rsidRPr="00307C76">
        <w:rPr>
          <w:rFonts w:hint="cs"/>
          <w:sz w:val="28"/>
          <w:szCs w:val="28"/>
          <w:rtl/>
        </w:rPr>
        <w:t xml:space="preserve">لدى حاملي </w:t>
      </w:r>
      <w:r w:rsidR="00ED5B66">
        <w:rPr>
          <w:rFonts w:hint="cs"/>
          <w:sz w:val="28"/>
          <w:szCs w:val="28"/>
          <w:rtl/>
        </w:rPr>
        <w:t>ال</w:t>
      </w:r>
      <w:r w:rsidR="00ED5B66" w:rsidRPr="00307C76">
        <w:rPr>
          <w:rFonts w:hint="cs"/>
          <w:sz w:val="28"/>
          <w:szCs w:val="28"/>
          <w:rtl/>
        </w:rPr>
        <w:t xml:space="preserve">شهادات </w:t>
      </w:r>
      <w:r w:rsidR="00ED5B66">
        <w:rPr>
          <w:rFonts w:hint="cs"/>
          <w:sz w:val="28"/>
          <w:szCs w:val="28"/>
          <w:rtl/>
        </w:rPr>
        <w:t xml:space="preserve">ذات </w:t>
      </w:r>
      <w:r w:rsidR="00ED5B66" w:rsidRPr="00307C76">
        <w:rPr>
          <w:rFonts w:hint="cs"/>
          <w:sz w:val="28"/>
          <w:szCs w:val="28"/>
          <w:rtl/>
        </w:rPr>
        <w:t xml:space="preserve">المستوى </w:t>
      </w:r>
      <w:r w:rsidR="00ED5B66" w:rsidRPr="00ED3F4E">
        <w:rPr>
          <w:rFonts w:hint="cs"/>
          <w:sz w:val="28"/>
          <w:szCs w:val="28"/>
          <w:rtl/>
        </w:rPr>
        <w:t>العالي</w:t>
      </w:r>
      <w:r w:rsidR="00ED5B66" w:rsidRPr="00ED3F4E">
        <w:rPr>
          <w:vertAlign w:val="superscript"/>
          <w:rtl/>
        </w:rPr>
        <w:footnoteReference w:id="2"/>
      </w:r>
      <w:r w:rsidR="00ED5B66" w:rsidRPr="00ED3F4E">
        <w:rPr>
          <w:rFonts w:hint="cs"/>
          <w:sz w:val="28"/>
          <w:szCs w:val="28"/>
          <w:rtl/>
        </w:rPr>
        <w:t xml:space="preserve"> </w:t>
      </w:r>
      <w:r w:rsidR="00ED5B66" w:rsidRPr="00307C76">
        <w:rPr>
          <w:rFonts w:hint="cs"/>
          <w:sz w:val="28"/>
          <w:szCs w:val="28"/>
          <w:rtl/>
        </w:rPr>
        <w:t xml:space="preserve"> و</w:t>
      </w:r>
      <w:r w:rsidR="00ED5B66">
        <w:rPr>
          <w:rFonts w:hint="cs"/>
          <w:sz w:val="28"/>
          <w:szCs w:val="28"/>
          <w:rtl/>
        </w:rPr>
        <w:t xml:space="preserve">الذي </w:t>
      </w:r>
      <w:r w:rsidR="00ED5B66" w:rsidRPr="00307C76">
        <w:rPr>
          <w:rFonts w:hint="cs"/>
          <w:sz w:val="28"/>
          <w:szCs w:val="28"/>
          <w:rtl/>
        </w:rPr>
        <w:t>بلغ</w:t>
      </w:r>
      <w:r w:rsidR="00ED5B66">
        <w:rPr>
          <w:rFonts w:hint="cs"/>
          <w:sz w:val="28"/>
          <w:szCs w:val="28"/>
          <w:rtl/>
        </w:rPr>
        <w:t xml:space="preserve"> ضمن </w:t>
      </w:r>
      <w:r w:rsidR="00ED5B66" w:rsidRPr="00307C76">
        <w:rPr>
          <w:rFonts w:hint="cs"/>
          <w:sz w:val="28"/>
          <w:szCs w:val="28"/>
          <w:rtl/>
        </w:rPr>
        <w:t>خريجي الكليات</w:t>
      </w:r>
      <w:r w:rsidR="00ED5B66">
        <w:rPr>
          <w:rFonts w:hint="cs"/>
          <w:sz w:val="28"/>
          <w:szCs w:val="28"/>
          <w:rtl/>
        </w:rPr>
        <w:t xml:space="preserve"> منهم </w:t>
      </w:r>
      <w:proofErr w:type="spellStart"/>
      <w:r w:rsidR="00ED5B66" w:rsidRPr="00307C76">
        <w:rPr>
          <w:sz w:val="28"/>
          <w:szCs w:val="28"/>
          <w:rtl/>
        </w:rPr>
        <w:t>%</w:t>
      </w:r>
      <w:proofErr w:type="spellEnd"/>
      <w:r w:rsidR="00ED5B66">
        <w:rPr>
          <w:sz w:val="28"/>
          <w:szCs w:val="28"/>
        </w:rPr>
        <w:t>23</w:t>
      </w:r>
      <w:r w:rsidR="00383878">
        <w:rPr>
          <w:sz w:val="28"/>
          <w:szCs w:val="28"/>
        </w:rPr>
        <w:t>,3</w:t>
      </w:r>
      <w:proofErr w:type="spellStart"/>
      <w:r w:rsidR="00ED5B66" w:rsidRPr="00307C76">
        <w:rPr>
          <w:rFonts w:hint="cs"/>
          <w:sz w:val="28"/>
          <w:szCs w:val="28"/>
          <w:rtl/>
        </w:rPr>
        <w:t>.</w:t>
      </w:r>
      <w:proofErr w:type="spellEnd"/>
    </w:p>
    <w:p w:rsidR="00ED5B66" w:rsidRDefault="00ED5B66" w:rsidP="00312C25">
      <w:pPr>
        <w:bidi/>
        <w:spacing w:line="360" w:lineRule="auto"/>
        <w:jc w:val="both"/>
        <w:rPr>
          <w:sz w:val="28"/>
          <w:szCs w:val="28"/>
        </w:rPr>
      </w:pPr>
      <w:r w:rsidRPr="00307C76">
        <w:rPr>
          <w:rFonts w:hint="cs"/>
          <w:sz w:val="28"/>
          <w:szCs w:val="28"/>
          <w:rtl/>
        </w:rPr>
        <w:t xml:space="preserve">كما </w:t>
      </w:r>
      <w:r>
        <w:rPr>
          <w:rFonts w:hint="cs"/>
          <w:sz w:val="28"/>
          <w:szCs w:val="28"/>
          <w:rtl/>
        </w:rPr>
        <w:t xml:space="preserve">سجل </w:t>
      </w:r>
      <w:r w:rsidRPr="00307C76">
        <w:rPr>
          <w:rFonts w:hint="cs"/>
          <w:sz w:val="28"/>
          <w:szCs w:val="28"/>
          <w:rtl/>
        </w:rPr>
        <w:t xml:space="preserve">هذا المعدل </w:t>
      </w:r>
      <w:r w:rsidRPr="00307C76">
        <w:rPr>
          <w:sz w:val="28"/>
          <w:szCs w:val="28"/>
          <w:rtl/>
        </w:rPr>
        <w:t>%</w:t>
      </w:r>
      <w:r>
        <w:rPr>
          <w:sz w:val="28"/>
          <w:szCs w:val="28"/>
        </w:rPr>
        <w:t>20,5</w:t>
      </w:r>
      <w:r w:rsidRPr="00307C76">
        <w:rPr>
          <w:rFonts w:hint="cs"/>
          <w:sz w:val="28"/>
          <w:szCs w:val="28"/>
          <w:rtl/>
        </w:rPr>
        <w:t xml:space="preserve"> لدى الشباب البالغين من العمر ما بين 15 و24 سنة و</w:t>
      </w:r>
      <w:r w:rsidRPr="00307C76">
        <w:rPr>
          <w:sz w:val="28"/>
          <w:szCs w:val="28"/>
          <w:rtl/>
        </w:rPr>
        <w:t>%</w:t>
      </w:r>
      <w:r>
        <w:rPr>
          <w:sz w:val="28"/>
          <w:szCs w:val="28"/>
        </w:rPr>
        <w:t>38,6</w:t>
      </w:r>
      <w:r>
        <w:rPr>
          <w:rFonts w:hint="cs"/>
          <w:sz w:val="28"/>
          <w:szCs w:val="28"/>
          <w:rtl/>
        </w:rPr>
        <w:t xml:space="preserve"> </w:t>
      </w:r>
      <w:r w:rsidRPr="00307C76">
        <w:rPr>
          <w:rFonts w:hint="cs"/>
          <w:sz w:val="28"/>
          <w:szCs w:val="28"/>
          <w:rtl/>
        </w:rPr>
        <w:t xml:space="preserve">في صفوف الحضريين منهم، مقابل </w:t>
      </w:r>
      <w:r w:rsidRPr="00307C76">
        <w:rPr>
          <w:sz w:val="28"/>
          <w:szCs w:val="28"/>
          <w:rtl/>
        </w:rPr>
        <w:t>%</w:t>
      </w:r>
      <w:r>
        <w:rPr>
          <w:sz w:val="28"/>
          <w:szCs w:val="28"/>
        </w:rPr>
        <w:t>8,7</w:t>
      </w:r>
      <w:r>
        <w:rPr>
          <w:rFonts w:hint="cs"/>
          <w:sz w:val="28"/>
          <w:szCs w:val="28"/>
          <w:rtl/>
        </w:rPr>
        <w:t xml:space="preserve"> </w:t>
      </w:r>
      <w:r w:rsidRPr="00307C76">
        <w:rPr>
          <w:rFonts w:hint="cs"/>
          <w:sz w:val="28"/>
          <w:szCs w:val="28"/>
          <w:rtl/>
        </w:rPr>
        <w:t>بالنسبة لمجموع الأشخاص البالغين من العمر 15 سنة فما فوق.</w:t>
      </w:r>
    </w:p>
    <w:p w:rsidR="00ED5B66" w:rsidRPr="00C660F6" w:rsidRDefault="00ED5B66" w:rsidP="00C660F6">
      <w:pPr>
        <w:bidi/>
        <w:spacing w:line="276" w:lineRule="auto"/>
        <w:ind w:left="-2"/>
        <w:jc w:val="center"/>
        <w:rPr>
          <w:b/>
          <w:bCs/>
          <w:color w:val="0070C0"/>
          <w:sz w:val="26"/>
          <w:szCs w:val="26"/>
          <w:lang w:bidi="ar-MA"/>
        </w:rPr>
      </w:pPr>
    </w:p>
    <w:p w:rsidR="00ED5B66" w:rsidRPr="00C660F6" w:rsidRDefault="00ED5B66" w:rsidP="00C660F6">
      <w:pPr>
        <w:pStyle w:val="Sansinterligne"/>
        <w:jc w:val="center"/>
        <w:rPr>
          <w:b/>
          <w:bCs/>
          <w:color w:val="0070C0"/>
          <w:sz w:val="26"/>
          <w:szCs w:val="26"/>
          <w:rtl/>
          <w:lang w:bidi="ar-MA"/>
        </w:rPr>
      </w:pPr>
      <w:proofErr w:type="spellStart"/>
      <w:r w:rsidRPr="00C660F6">
        <w:rPr>
          <w:b/>
          <w:bCs/>
          <w:color w:val="0070C0"/>
          <w:sz w:val="26"/>
          <w:szCs w:val="26"/>
          <w:rtl/>
          <w:lang w:bidi="ar-MA"/>
        </w:rPr>
        <w:t>مبيان</w:t>
      </w:r>
      <w:proofErr w:type="spellEnd"/>
      <w:r w:rsidRPr="00C660F6">
        <w:rPr>
          <w:b/>
          <w:bCs/>
          <w:color w:val="0070C0"/>
          <w:sz w:val="26"/>
          <w:szCs w:val="26"/>
          <w:rtl/>
          <w:lang w:bidi="ar-MA"/>
        </w:rPr>
        <w:t xml:space="preserve"> </w:t>
      </w:r>
      <w:proofErr w:type="spellStart"/>
      <w:r w:rsidRPr="00C660F6">
        <w:rPr>
          <w:rFonts w:hint="cs"/>
          <w:b/>
          <w:bCs/>
          <w:color w:val="0070C0"/>
          <w:sz w:val="26"/>
          <w:szCs w:val="26"/>
          <w:rtl/>
          <w:lang w:bidi="ar-MA"/>
        </w:rPr>
        <w:t>4:</w:t>
      </w:r>
      <w:proofErr w:type="spellEnd"/>
      <w:r w:rsidRPr="00C660F6">
        <w:rPr>
          <w:b/>
          <w:bCs/>
          <w:color w:val="0070C0"/>
          <w:sz w:val="26"/>
          <w:szCs w:val="26"/>
          <w:rtl/>
          <w:lang w:bidi="ar-MA"/>
        </w:rPr>
        <w:t xml:space="preserve"> معدل البطالة</w:t>
      </w:r>
      <w:r w:rsidRPr="00C660F6">
        <w:rPr>
          <w:rFonts w:hint="cs"/>
          <w:b/>
          <w:bCs/>
          <w:color w:val="0070C0"/>
          <w:sz w:val="26"/>
          <w:szCs w:val="26"/>
          <w:rtl/>
          <w:lang w:bidi="ar-MA"/>
        </w:rPr>
        <w:t xml:space="preserve"> </w:t>
      </w:r>
      <w:r w:rsidRPr="00C660F6">
        <w:rPr>
          <w:b/>
          <w:bCs/>
          <w:color w:val="0070C0"/>
          <w:sz w:val="26"/>
          <w:szCs w:val="26"/>
          <w:rtl/>
          <w:lang w:bidi="ar-MA"/>
        </w:rPr>
        <w:t xml:space="preserve">حسب </w:t>
      </w:r>
      <w:r w:rsidRPr="00C660F6">
        <w:rPr>
          <w:rFonts w:hint="cs"/>
          <w:b/>
          <w:bCs/>
          <w:color w:val="0070C0"/>
          <w:sz w:val="26"/>
          <w:szCs w:val="26"/>
          <w:rtl/>
          <w:lang w:bidi="ar-MA"/>
        </w:rPr>
        <w:t xml:space="preserve">الشهادات خلال الفصل الثاني من سنة 2015 و2014 </w:t>
      </w:r>
      <w:r w:rsidRPr="00C660F6">
        <w:rPr>
          <w:b/>
          <w:bCs/>
          <w:color w:val="0070C0"/>
          <w:sz w:val="26"/>
          <w:szCs w:val="26"/>
          <w:rtl/>
          <w:lang w:bidi="ar-MA"/>
        </w:rPr>
        <w:t>( ب%)</w:t>
      </w:r>
    </w:p>
    <w:p w:rsidR="00ED5B66" w:rsidRPr="00E40448" w:rsidRDefault="00ED5B66" w:rsidP="00C660F6">
      <w:pPr>
        <w:pStyle w:val="Sansinterligne"/>
        <w:rPr>
          <w:lang w:bidi="ar-MA"/>
        </w:rPr>
      </w:pPr>
    </w:p>
    <w:p w:rsidR="00ED5B66" w:rsidRDefault="00ED5B66" w:rsidP="00C660F6">
      <w:pPr>
        <w:spacing w:line="264" w:lineRule="auto"/>
        <w:rPr>
          <w:rStyle w:val="Rfrenceple"/>
        </w:rPr>
      </w:pPr>
      <w:r w:rsidRPr="00E40448">
        <w:rPr>
          <w:noProof/>
        </w:rPr>
        <w:drawing>
          <wp:inline distT="0" distB="0" distL="0" distR="0">
            <wp:extent cx="5542280" cy="1805940"/>
            <wp:effectExtent l="19050" t="0" r="20320" b="3810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660F6" w:rsidRDefault="00C660F6" w:rsidP="00C660F6">
      <w:pPr>
        <w:rPr>
          <w:rStyle w:val="Rfrenceple"/>
        </w:rPr>
      </w:pPr>
    </w:p>
    <w:p w:rsidR="00ED5B66" w:rsidRPr="00E57C1D" w:rsidRDefault="00ED5B66" w:rsidP="00312C25">
      <w:pPr>
        <w:spacing w:line="360" w:lineRule="auto"/>
        <w:jc w:val="right"/>
        <w:rPr>
          <w:sz w:val="28"/>
          <w:szCs w:val="28"/>
          <w:rtl/>
        </w:rPr>
      </w:pPr>
      <w:r w:rsidRPr="00E57C1D">
        <w:rPr>
          <w:rFonts w:hint="cs"/>
          <w:sz w:val="28"/>
          <w:szCs w:val="28"/>
          <w:rtl/>
        </w:rPr>
        <w:t xml:space="preserve">كما يتبين من خلال تحليل المميزات الأساسية للسكان النشيطين العاطلين، خلال الفصل الثاني من سنة 2015، </w:t>
      </w:r>
      <w:r w:rsidR="00C37277" w:rsidRPr="00E57C1D">
        <w:rPr>
          <w:rFonts w:hint="cs"/>
          <w:sz w:val="28"/>
          <w:szCs w:val="28"/>
          <w:rtl/>
        </w:rPr>
        <w:t>أن</w:t>
      </w:r>
      <w:r w:rsidR="00D77C03">
        <w:rPr>
          <w:rFonts w:hint="cs"/>
          <w:sz w:val="28"/>
          <w:szCs w:val="28"/>
          <w:rtl/>
        </w:rPr>
        <w:t xml:space="preserve"> </w:t>
      </w:r>
      <w:r w:rsidR="00C37277">
        <w:rPr>
          <w:rFonts w:hint="cs"/>
          <w:sz w:val="28"/>
          <w:szCs w:val="28"/>
          <w:rtl/>
          <w:lang w:bidi="ar-MA"/>
        </w:rPr>
        <w:t>:</w:t>
      </w:r>
      <w:r w:rsidR="00C372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ED5B66" w:rsidRPr="00E57C1D" w:rsidRDefault="00ED5B66" w:rsidP="00312C25">
      <w:pPr>
        <w:pStyle w:val="Paragraphedeliste"/>
        <w:numPr>
          <w:ilvl w:val="0"/>
          <w:numId w:val="2"/>
        </w:numPr>
        <w:bidi/>
        <w:spacing w:line="360" w:lineRule="auto"/>
        <w:ind w:left="849"/>
        <w:jc w:val="both"/>
        <w:rPr>
          <w:sz w:val="28"/>
          <w:szCs w:val="28"/>
        </w:rPr>
      </w:pPr>
      <w:r w:rsidRPr="00E57C1D">
        <w:rPr>
          <w:rFonts w:hint="cs"/>
          <w:sz w:val="28"/>
          <w:szCs w:val="28"/>
          <w:rtl/>
        </w:rPr>
        <w:t>أكثر من ثمانية من بين عشرة (</w:t>
      </w:r>
      <w:r w:rsidRPr="00E57C1D">
        <w:rPr>
          <w:sz w:val="28"/>
          <w:szCs w:val="28"/>
          <w:rtl/>
        </w:rPr>
        <w:t>%</w:t>
      </w:r>
      <w:r w:rsidRPr="00E57C1D">
        <w:rPr>
          <w:sz w:val="28"/>
          <w:szCs w:val="28"/>
        </w:rPr>
        <w:t>82,5</w:t>
      </w:r>
      <w:r w:rsidRPr="00E57C1D">
        <w:rPr>
          <w:rFonts w:hint="cs"/>
          <w:sz w:val="28"/>
          <w:szCs w:val="28"/>
          <w:rtl/>
        </w:rPr>
        <w:t>)</w:t>
      </w:r>
      <w:r w:rsidRPr="00E57C1D">
        <w:rPr>
          <w:sz w:val="28"/>
          <w:szCs w:val="28"/>
        </w:rPr>
        <w:t xml:space="preserve"> </w:t>
      </w:r>
      <w:r w:rsidRPr="00E57C1D">
        <w:rPr>
          <w:rFonts w:hint="cs"/>
          <w:sz w:val="28"/>
          <w:szCs w:val="28"/>
          <w:rtl/>
        </w:rPr>
        <w:t>هم حضريون؛</w:t>
      </w:r>
    </w:p>
    <w:p w:rsidR="00ED5B66" w:rsidRPr="00E57C1D" w:rsidRDefault="00ED5B66" w:rsidP="00312C25">
      <w:pPr>
        <w:pStyle w:val="Paragraphedeliste"/>
        <w:numPr>
          <w:ilvl w:val="0"/>
          <w:numId w:val="2"/>
        </w:numPr>
        <w:bidi/>
        <w:spacing w:line="360" w:lineRule="auto"/>
        <w:ind w:left="849"/>
        <w:jc w:val="both"/>
        <w:rPr>
          <w:sz w:val="28"/>
          <w:szCs w:val="28"/>
        </w:rPr>
      </w:pPr>
      <w:r w:rsidRPr="00E57C1D">
        <w:rPr>
          <w:rFonts w:hint="cs"/>
          <w:sz w:val="28"/>
          <w:szCs w:val="28"/>
          <w:rtl/>
        </w:rPr>
        <w:t xml:space="preserve">ما يقارب الثلثين ( </w:t>
      </w:r>
      <w:r w:rsidRPr="00E57C1D">
        <w:rPr>
          <w:sz w:val="28"/>
          <w:szCs w:val="28"/>
          <w:rtl/>
        </w:rPr>
        <w:t>%</w:t>
      </w:r>
      <w:r w:rsidRPr="00E57C1D">
        <w:rPr>
          <w:sz w:val="28"/>
          <w:szCs w:val="28"/>
        </w:rPr>
        <w:t>63,2</w:t>
      </w:r>
      <w:r w:rsidRPr="00E57C1D">
        <w:rPr>
          <w:rFonts w:hint="cs"/>
          <w:sz w:val="28"/>
          <w:szCs w:val="28"/>
          <w:rtl/>
        </w:rPr>
        <w:t>) تتراوح أعمارهم ما بين 15 و29 سنة؛</w:t>
      </w:r>
    </w:p>
    <w:p w:rsidR="00ED5B66" w:rsidRPr="00E57C1D" w:rsidRDefault="00ED5B66" w:rsidP="00312C25">
      <w:pPr>
        <w:pStyle w:val="Paragraphedeliste"/>
        <w:numPr>
          <w:ilvl w:val="0"/>
          <w:numId w:val="2"/>
        </w:numPr>
        <w:bidi/>
        <w:spacing w:line="360" w:lineRule="auto"/>
        <w:ind w:left="849"/>
        <w:jc w:val="both"/>
        <w:rPr>
          <w:sz w:val="28"/>
          <w:szCs w:val="28"/>
        </w:rPr>
      </w:pPr>
      <w:r w:rsidRPr="00E57C1D">
        <w:rPr>
          <w:rFonts w:hint="cs"/>
          <w:sz w:val="28"/>
          <w:szCs w:val="28"/>
          <w:rtl/>
        </w:rPr>
        <w:t>أكثر من ثلاثة من بين عشرة (</w:t>
      </w:r>
      <w:r w:rsidRPr="00E57C1D">
        <w:rPr>
          <w:sz w:val="28"/>
          <w:szCs w:val="28"/>
          <w:rtl/>
        </w:rPr>
        <w:t>%</w:t>
      </w:r>
      <w:r w:rsidRPr="00E57C1D">
        <w:rPr>
          <w:sz w:val="28"/>
          <w:szCs w:val="28"/>
        </w:rPr>
        <w:t>30,9</w:t>
      </w:r>
      <w:r w:rsidRPr="00E57C1D">
        <w:rPr>
          <w:rFonts w:hint="cs"/>
          <w:sz w:val="28"/>
          <w:szCs w:val="28"/>
          <w:rtl/>
        </w:rPr>
        <w:t>)</w:t>
      </w:r>
      <w:r w:rsidRPr="00E57C1D">
        <w:rPr>
          <w:sz w:val="28"/>
          <w:szCs w:val="28"/>
        </w:rPr>
        <w:t xml:space="preserve"> </w:t>
      </w:r>
      <w:r w:rsidRPr="00E57C1D">
        <w:rPr>
          <w:rFonts w:hint="cs"/>
          <w:sz w:val="28"/>
          <w:szCs w:val="28"/>
          <w:rtl/>
        </w:rPr>
        <w:t>حاصل على شهادة ذات مستوى عالي؛</w:t>
      </w:r>
    </w:p>
    <w:p w:rsidR="00ED5B66" w:rsidRPr="00E57C1D" w:rsidRDefault="00ED5B66" w:rsidP="00312C25">
      <w:pPr>
        <w:pStyle w:val="Paragraphedeliste"/>
        <w:numPr>
          <w:ilvl w:val="0"/>
          <w:numId w:val="2"/>
        </w:numPr>
        <w:bidi/>
        <w:spacing w:line="360" w:lineRule="auto"/>
        <w:ind w:left="849"/>
        <w:jc w:val="both"/>
        <w:rPr>
          <w:sz w:val="28"/>
          <w:szCs w:val="28"/>
        </w:rPr>
      </w:pPr>
      <w:r w:rsidRPr="00E57C1D">
        <w:rPr>
          <w:rFonts w:hint="cs"/>
          <w:sz w:val="28"/>
          <w:szCs w:val="28"/>
          <w:rtl/>
        </w:rPr>
        <w:t xml:space="preserve">أكثر من نصف العاطلين لم يسبق لهم أن اشتغلوا </w:t>
      </w:r>
      <w:r w:rsidRPr="00E57C1D">
        <w:rPr>
          <w:sz w:val="28"/>
          <w:szCs w:val="28"/>
        </w:rPr>
        <w:t>(52%)</w:t>
      </w:r>
      <w:r w:rsidRPr="00E57C1D">
        <w:rPr>
          <w:rFonts w:hint="cs"/>
          <w:sz w:val="28"/>
          <w:szCs w:val="28"/>
          <w:rtl/>
        </w:rPr>
        <w:t>؛</w:t>
      </w:r>
    </w:p>
    <w:p w:rsidR="00ED5B66" w:rsidRPr="00E57C1D" w:rsidRDefault="00ED5B66" w:rsidP="00312C25">
      <w:pPr>
        <w:pStyle w:val="Paragraphedeliste"/>
        <w:numPr>
          <w:ilvl w:val="0"/>
          <w:numId w:val="18"/>
        </w:numPr>
        <w:autoSpaceDE w:val="0"/>
        <w:autoSpaceDN w:val="0"/>
        <w:bidi/>
        <w:adjustRightInd w:val="0"/>
        <w:spacing w:before="240" w:after="240" w:line="360" w:lineRule="auto"/>
        <w:jc w:val="both"/>
        <w:rPr>
          <w:sz w:val="28"/>
          <w:szCs w:val="28"/>
        </w:rPr>
      </w:pPr>
      <w:r w:rsidRPr="00E57C1D">
        <w:rPr>
          <w:rFonts w:hint="cs"/>
          <w:sz w:val="28"/>
          <w:szCs w:val="28"/>
          <w:rtl/>
        </w:rPr>
        <w:t>أكثر من الثلثين من العاطلين (</w:t>
      </w:r>
      <w:r w:rsidRPr="00E57C1D">
        <w:rPr>
          <w:sz w:val="28"/>
          <w:szCs w:val="28"/>
          <w:rtl/>
        </w:rPr>
        <w:t>%</w:t>
      </w:r>
      <w:r w:rsidRPr="00E57C1D">
        <w:rPr>
          <w:sz w:val="28"/>
          <w:szCs w:val="28"/>
        </w:rPr>
        <w:t>67,5</w:t>
      </w:r>
      <w:r w:rsidRPr="00E57C1D">
        <w:rPr>
          <w:rFonts w:hint="cs"/>
          <w:sz w:val="28"/>
          <w:szCs w:val="28"/>
          <w:rtl/>
        </w:rPr>
        <w:t>) تفوق مدة بطالتهم السنة؛</w:t>
      </w:r>
    </w:p>
    <w:p w:rsidR="00ED5B66" w:rsidRDefault="00ED5B66" w:rsidP="00312C25">
      <w:pPr>
        <w:pStyle w:val="Paragraphedeliste"/>
        <w:numPr>
          <w:ilvl w:val="0"/>
          <w:numId w:val="18"/>
        </w:numPr>
        <w:autoSpaceDE w:val="0"/>
        <w:autoSpaceDN w:val="0"/>
        <w:bidi/>
        <w:adjustRightInd w:val="0"/>
        <w:spacing w:before="240" w:after="240" w:line="360" w:lineRule="auto"/>
        <w:jc w:val="both"/>
        <w:rPr>
          <w:sz w:val="28"/>
          <w:szCs w:val="28"/>
        </w:rPr>
      </w:pPr>
      <w:r w:rsidRPr="00E57C1D">
        <w:rPr>
          <w:rFonts w:hint="cs"/>
          <w:sz w:val="28"/>
          <w:szCs w:val="28"/>
          <w:rtl/>
        </w:rPr>
        <w:t>وما يقارب الربع (</w:t>
      </w:r>
      <w:r w:rsidRPr="00E57C1D">
        <w:rPr>
          <w:sz w:val="28"/>
          <w:szCs w:val="28"/>
          <w:rtl/>
        </w:rPr>
        <w:t>%</w:t>
      </w:r>
      <w:r w:rsidRPr="00E57C1D">
        <w:rPr>
          <w:sz w:val="28"/>
          <w:szCs w:val="28"/>
        </w:rPr>
        <w:t>23,6</w:t>
      </w:r>
      <w:r w:rsidRPr="00E57C1D">
        <w:rPr>
          <w:rFonts w:hint="cs"/>
          <w:sz w:val="28"/>
          <w:szCs w:val="28"/>
          <w:rtl/>
        </w:rPr>
        <w:t xml:space="preserve">) هم في هذه الوضعية نتيجة الطرد أو توقف نشاط المؤسسات المشغلة. </w:t>
      </w:r>
    </w:p>
    <w:p w:rsidR="00ED5B66" w:rsidRPr="00E57C1D" w:rsidRDefault="00ED5B66" w:rsidP="00312C25">
      <w:pPr>
        <w:bidi/>
        <w:spacing w:line="360" w:lineRule="auto"/>
        <w:jc w:val="both"/>
        <w:rPr>
          <w:sz w:val="28"/>
          <w:szCs w:val="28"/>
          <w:rtl/>
        </w:rPr>
      </w:pPr>
      <w:r w:rsidRPr="00E57C1D">
        <w:rPr>
          <w:rFonts w:hint="cs"/>
          <w:sz w:val="28"/>
          <w:szCs w:val="28"/>
          <w:rtl/>
          <w:lang w:bidi="ar-MA"/>
        </w:rPr>
        <w:t>وللإشارة</w:t>
      </w:r>
      <w:r w:rsidR="00D77C03" w:rsidRPr="00E57C1D">
        <w:rPr>
          <w:rFonts w:hint="cs"/>
          <w:sz w:val="28"/>
          <w:szCs w:val="28"/>
          <w:rtl/>
        </w:rPr>
        <w:t>،</w:t>
      </w:r>
      <w:r w:rsidRPr="00E57C1D">
        <w:rPr>
          <w:rFonts w:hint="cs"/>
          <w:sz w:val="28"/>
          <w:szCs w:val="28"/>
          <w:rtl/>
          <w:lang w:bidi="ar-MA"/>
        </w:rPr>
        <w:t xml:space="preserve"> فإنه يدخل كذلك ضمن العاطلين الأشخاص المحبطين الذين يئسوا من البحث عن شغل. وقد بلغ عددهم، خلال الفصل </w:t>
      </w:r>
      <w:r>
        <w:rPr>
          <w:rFonts w:hint="cs"/>
          <w:sz w:val="28"/>
          <w:szCs w:val="28"/>
          <w:rtl/>
          <w:lang w:bidi="ar-MA"/>
        </w:rPr>
        <w:t>الثاني</w:t>
      </w:r>
      <w:r w:rsidRPr="00E57C1D">
        <w:rPr>
          <w:rFonts w:hint="cs"/>
          <w:sz w:val="28"/>
          <w:szCs w:val="28"/>
          <w:rtl/>
          <w:lang w:bidi="ar-MA"/>
        </w:rPr>
        <w:t xml:space="preserve"> من سنة 2015، </w:t>
      </w:r>
      <w:r>
        <w:rPr>
          <w:rFonts w:hint="cs"/>
          <w:sz w:val="28"/>
          <w:szCs w:val="28"/>
          <w:rtl/>
          <w:lang w:bidi="ar-MA"/>
        </w:rPr>
        <w:t>52</w:t>
      </w:r>
      <w:r w:rsidRPr="00E57C1D">
        <w:rPr>
          <w:rFonts w:hint="cs"/>
          <w:sz w:val="28"/>
          <w:szCs w:val="28"/>
          <w:rtl/>
          <w:lang w:bidi="ar-MA"/>
        </w:rPr>
        <w:t xml:space="preserve">.000 شخص وهو ما يمثل </w:t>
      </w:r>
      <w:r>
        <w:rPr>
          <w:sz w:val="28"/>
          <w:szCs w:val="28"/>
          <w:lang w:bidi="ar-MA"/>
        </w:rPr>
        <w:t>4,9%</w:t>
      </w:r>
      <w:r w:rsidRPr="00E57C1D">
        <w:rPr>
          <w:rFonts w:hint="cs"/>
          <w:sz w:val="28"/>
          <w:szCs w:val="28"/>
          <w:rtl/>
          <w:lang w:bidi="ar-MA"/>
        </w:rPr>
        <w:t xml:space="preserve"> من الحجم الإجمالي للعاطلين مقابل </w:t>
      </w:r>
      <w:r>
        <w:rPr>
          <w:sz w:val="28"/>
          <w:szCs w:val="28"/>
          <w:lang w:bidi="ar-MA"/>
        </w:rPr>
        <w:t>4,2%</w:t>
      </w:r>
      <w:r w:rsidRPr="00E57C1D">
        <w:rPr>
          <w:rFonts w:hint="cs"/>
          <w:sz w:val="28"/>
          <w:szCs w:val="28"/>
          <w:rtl/>
          <w:lang w:bidi="ar-MA"/>
        </w:rPr>
        <w:t xml:space="preserve"> سنة من قبل. ويشكل الحضريون منهم </w:t>
      </w:r>
      <w:r w:rsidRPr="00E57C1D">
        <w:rPr>
          <w:sz w:val="28"/>
          <w:szCs w:val="28"/>
          <w:rtl/>
          <w:lang w:bidi="ar-MA"/>
        </w:rPr>
        <w:t>%</w:t>
      </w:r>
      <w:r>
        <w:rPr>
          <w:sz w:val="28"/>
          <w:szCs w:val="28"/>
          <w:lang w:bidi="ar-MA"/>
        </w:rPr>
        <w:t>93</w:t>
      </w:r>
      <w:r w:rsidRPr="00E57C1D">
        <w:rPr>
          <w:sz w:val="28"/>
          <w:szCs w:val="28"/>
          <w:lang w:bidi="ar-MA"/>
        </w:rPr>
        <w:t>,</w:t>
      </w:r>
      <w:r>
        <w:rPr>
          <w:sz w:val="28"/>
          <w:szCs w:val="28"/>
          <w:lang w:bidi="ar-MA"/>
        </w:rPr>
        <w:t xml:space="preserve">8 </w:t>
      </w:r>
      <w:r w:rsidRPr="00E57C1D">
        <w:rPr>
          <w:rFonts w:hint="cs"/>
          <w:sz w:val="28"/>
          <w:szCs w:val="28"/>
          <w:rtl/>
          <w:lang w:bidi="ar-MA"/>
        </w:rPr>
        <w:t xml:space="preserve"> و الذكور </w:t>
      </w:r>
      <w:r w:rsidRPr="00E57C1D">
        <w:rPr>
          <w:sz w:val="28"/>
          <w:szCs w:val="28"/>
          <w:rtl/>
          <w:lang w:bidi="ar-MA"/>
        </w:rPr>
        <w:t>%</w:t>
      </w:r>
      <w:r w:rsidRPr="00E57C1D">
        <w:rPr>
          <w:sz w:val="28"/>
          <w:szCs w:val="28"/>
          <w:lang w:bidi="ar-MA"/>
        </w:rPr>
        <w:t>.60,</w:t>
      </w:r>
      <w:r>
        <w:rPr>
          <w:sz w:val="28"/>
          <w:szCs w:val="28"/>
          <w:lang w:bidi="ar-MA"/>
        </w:rPr>
        <w:t>4</w:t>
      </w:r>
    </w:p>
    <w:p w:rsidR="00312C25" w:rsidRDefault="00312C25" w:rsidP="00ED5B66">
      <w:pPr>
        <w:bidi/>
        <w:rPr>
          <w:b/>
          <w:bCs/>
          <w:color w:val="0000FF"/>
          <w:sz w:val="30"/>
          <w:szCs w:val="30"/>
        </w:rPr>
      </w:pPr>
    </w:p>
    <w:p w:rsidR="00ED5B66" w:rsidRDefault="00396636" w:rsidP="000A35B7">
      <w:pPr>
        <w:jc w:val="right"/>
        <w:rPr>
          <w:b/>
          <w:bCs/>
          <w:color w:val="0000FF"/>
          <w:sz w:val="30"/>
          <w:szCs w:val="30"/>
          <w:rtl/>
        </w:rPr>
      </w:pPr>
      <w:r>
        <w:rPr>
          <w:b/>
          <w:bCs/>
          <w:color w:val="0000FF"/>
          <w:sz w:val="30"/>
          <w:szCs w:val="30"/>
          <w:rtl/>
        </w:rPr>
        <w:br w:type="page"/>
      </w:r>
      <w:r w:rsidR="00ED5B66">
        <w:rPr>
          <w:rFonts w:hint="cs"/>
          <w:b/>
          <w:bCs/>
          <w:color w:val="0000FF"/>
          <w:sz w:val="30"/>
          <w:szCs w:val="30"/>
          <w:rtl/>
        </w:rPr>
        <w:t>وضعية</w:t>
      </w:r>
      <w:r w:rsidR="00ED5B66" w:rsidRPr="001A5CD6">
        <w:rPr>
          <w:rFonts w:hint="cs"/>
          <w:b/>
          <w:bCs/>
          <w:color w:val="0000FF"/>
          <w:sz w:val="30"/>
          <w:szCs w:val="30"/>
          <w:rtl/>
        </w:rPr>
        <w:t xml:space="preserve"> الشغل الناقص </w:t>
      </w:r>
      <w:r w:rsidR="00ED5B66">
        <w:rPr>
          <w:rFonts w:hint="cs"/>
          <w:b/>
          <w:bCs/>
          <w:color w:val="0000FF"/>
          <w:sz w:val="30"/>
          <w:szCs w:val="30"/>
          <w:rtl/>
        </w:rPr>
        <w:t>وتطوره</w:t>
      </w:r>
    </w:p>
    <w:p w:rsidR="00ED5B66" w:rsidRPr="008308B9" w:rsidRDefault="00ED5B66" w:rsidP="00ED5B66">
      <w:pPr>
        <w:bidi/>
        <w:rPr>
          <w:b/>
          <w:bCs/>
          <w:color w:val="0000FF"/>
          <w:sz w:val="18"/>
          <w:szCs w:val="18"/>
          <w:rtl/>
        </w:rPr>
      </w:pPr>
    </w:p>
    <w:p w:rsidR="00ED5B66" w:rsidRDefault="00ED5B66" w:rsidP="00312C25">
      <w:pPr>
        <w:bidi/>
        <w:spacing w:line="360" w:lineRule="auto"/>
        <w:jc w:val="both"/>
        <w:rPr>
          <w:sz w:val="28"/>
          <w:szCs w:val="28"/>
          <w:rtl/>
        </w:rPr>
      </w:pPr>
      <w:r w:rsidRPr="00307C76">
        <w:rPr>
          <w:rFonts w:hint="cs"/>
          <w:sz w:val="28"/>
          <w:szCs w:val="28"/>
          <w:rtl/>
        </w:rPr>
        <w:t>ارتفع</w:t>
      </w:r>
      <w:r>
        <w:rPr>
          <w:rFonts w:hint="cs"/>
          <w:sz w:val="28"/>
          <w:szCs w:val="28"/>
          <w:rtl/>
        </w:rPr>
        <w:t xml:space="preserve"> </w:t>
      </w:r>
      <w:r w:rsidRPr="00307C76">
        <w:rPr>
          <w:rFonts w:hint="cs"/>
          <w:sz w:val="28"/>
          <w:szCs w:val="28"/>
          <w:rtl/>
        </w:rPr>
        <w:t>حجم النشيطين المشتغلين في حالة شغل ناقص، ما بين الفترتين،</w:t>
      </w:r>
      <w:r>
        <w:rPr>
          <w:rFonts w:hint="cs"/>
          <w:sz w:val="28"/>
          <w:szCs w:val="28"/>
          <w:rtl/>
        </w:rPr>
        <w:t xml:space="preserve"> </w:t>
      </w:r>
      <w:r w:rsidRPr="00307C76">
        <w:rPr>
          <w:rFonts w:hint="cs"/>
          <w:sz w:val="28"/>
          <w:szCs w:val="28"/>
          <w:rtl/>
        </w:rPr>
        <w:t xml:space="preserve">من </w:t>
      </w:r>
      <w:r>
        <w:rPr>
          <w:sz w:val="28"/>
          <w:szCs w:val="28"/>
        </w:rPr>
        <w:t>1.137</w:t>
      </w:r>
      <w:r w:rsidRPr="00307C76">
        <w:rPr>
          <w:sz w:val="28"/>
          <w:szCs w:val="28"/>
        </w:rPr>
        <w:t>.000</w:t>
      </w:r>
      <w:r>
        <w:rPr>
          <w:rFonts w:hint="cs"/>
          <w:sz w:val="28"/>
          <w:szCs w:val="28"/>
          <w:rtl/>
        </w:rPr>
        <w:t xml:space="preserve"> </w:t>
      </w:r>
      <w:r w:rsidRPr="00307C76">
        <w:rPr>
          <w:rFonts w:hint="cs"/>
          <w:sz w:val="28"/>
          <w:szCs w:val="28"/>
          <w:rtl/>
        </w:rPr>
        <w:t>إلى</w:t>
      </w:r>
      <w:r w:rsidRPr="00307C76">
        <w:rPr>
          <w:sz w:val="28"/>
          <w:szCs w:val="28"/>
        </w:rPr>
        <w:t xml:space="preserve"> 1.</w:t>
      </w:r>
      <w:r>
        <w:rPr>
          <w:sz w:val="28"/>
          <w:szCs w:val="28"/>
        </w:rPr>
        <w:t>182</w:t>
      </w:r>
      <w:r w:rsidRPr="00307C76">
        <w:rPr>
          <w:sz w:val="28"/>
          <w:szCs w:val="28"/>
        </w:rPr>
        <w:t xml:space="preserve">.000 </w:t>
      </w:r>
      <w:r>
        <w:rPr>
          <w:rFonts w:hint="cs"/>
          <w:sz w:val="28"/>
          <w:szCs w:val="28"/>
          <w:rtl/>
        </w:rPr>
        <w:t xml:space="preserve"> </w:t>
      </w:r>
      <w:r w:rsidRPr="00307C76">
        <w:rPr>
          <w:rFonts w:hint="cs"/>
          <w:sz w:val="28"/>
          <w:szCs w:val="28"/>
          <w:rtl/>
        </w:rPr>
        <w:t>شخص على المستوى الوطني،</w:t>
      </w:r>
      <w:r>
        <w:rPr>
          <w:rFonts w:hint="cs"/>
          <w:sz w:val="28"/>
          <w:szCs w:val="28"/>
          <w:rtl/>
        </w:rPr>
        <w:t xml:space="preserve"> </w:t>
      </w:r>
      <w:r w:rsidRPr="00307C76">
        <w:rPr>
          <w:rFonts w:hint="cs"/>
          <w:sz w:val="28"/>
          <w:szCs w:val="28"/>
          <w:rtl/>
        </w:rPr>
        <w:t>من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>507</w:t>
      </w:r>
      <w:r w:rsidRPr="00307C76">
        <w:rPr>
          <w:sz w:val="28"/>
          <w:szCs w:val="28"/>
        </w:rPr>
        <w:t>.000</w:t>
      </w:r>
      <w:r>
        <w:rPr>
          <w:rFonts w:hint="cs"/>
          <w:sz w:val="28"/>
          <w:szCs w:val="28"/>
          <w:rtl/>
        </w:rPr>
        <w:t xml:space="preserve"> </w:t>
      </w:r>
      <w:r w:rsidRPr="00307C76">
        <w:rPr>
          <w:rFonts w:hint="cs"/>
          <w:sz w:val="28"/>
          <w:szCs w:val="28"/>
          <w:rtl/>
        </w:rPr>
        <w:t xml:space="preserve">إلى </w:t>
      </w:r>
      <w:r>
        <w:rPr>
          <w:sz w:val="28"/>
          <w:szCs w:val="28"/>
        </w:rPr>
        <w:t>539</w:t>
      </w:r>
      <w:r w:rsidRPr="00307C76">
        <w:rPr>
          <w:sz w:val="28"/>
          <w:szCs w:val="28"/>
        </w:rPr>
        <w:t>.000</w:t>
      </w:r>
      <w:r w:rsidRPr="00307C76">
        <w:rPr>
          <w:rFonts w:hint="cs"/>
          <w:sz w:val="28"/>
          <w:szCs w:val="28"/>
          <w:rtl/>
        </w:rPr>
        <w:t xml:space="preserve"> شخص بالوسط الحضري ومن </w:t>
      </w:r>
      <w:r>
        <w:rPr>
          <w:sz w:val="28"/>
          <w:szCs w:val="28"/>
        </w:rPr>
        <w:t>630</w:t>
      </w:r>
      <w:r w:rsidRPr="00307C76">
        <w:rPr>
          <w:sz w:val="28"/>
          <w:szCs w:val="28"/>
        </w:rPr>
        <w:t>.000</w:t>
      </w:r>
      <w:r w:rsidRPr="00307C76">
        <w:rPr>
          <w:rFonts w:hint="cs"/>
          <w:sz w:val="28"/>
          <w:szCs w:val="28"/>
          <w:rtl/>
        </w:rPr>
        <w:t xml:space="preserve"> إلى </w:t>
      </w:r>
      <w:r>
        <w:rPr>
          <w:sz w:val="28"/>
          <w:szCs w:val="28"/>
        </w:rPr>
        <w:t>643</w:t>
      </w:r>
      <w:r w:rsidRPr="00307C76">
        <w:rPr>
          <w:sz w:val="28"/>
          <w:szCs w:val="28"/>
        </w:rPr>
        <w:t>.000</w:t>
      </w:r>
      <w:r w:rsidRPr="00307C76">
        <w:rPr>
          <w:rFonts w:hint="cs"/>
          <w:sz w:val="28"/>
          <w:szCs w:val="28"/>
          <w:rtl/>
        </w:rPr>
        <w:t xml:space="preserve"> بالوسط القروي. </w:t>
      </w:r>
      <w:r w:rsidR="00D77C03" w:rsidRPr="00307C76">
        <w:rPr>
          <w:rFonts w:hint="cs"/>
          <w:sz w:val="28"/>
          <w:szCs w:val="28"/>
          <w:rtl/>
        </w:rPr>
        <w:t>وهكذا</w:t>
      </w:r>
      <w:r w:rsidR="00D77C03" w:rsidRPr="00E57C1D">
        <w:rPr>
          <w:rFonts w:hint="cs"/>
          <w:sz w:val="28"/>
          <w:szCs w:val="28"/>
          <w:rtl/>
        </w:rPr>
        <w:t>،</w:t>
      </w:r>
      <w:r w:rsidRPr="00307C76">
        <w:rPr>
          <w:rFonts w:hint="cs"/>
          <w:sz w:val="28"/>
          <w:szCs w:val="28"/>
          <w:rtl/>
        </w:rPr>
        <w:t xml:space="preserve"> انتقل معدل الشغل الناقص من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>10,4%</w:t>
      </w:r>
      <w:r w:rsidRPr="00307C76">
        <w:rPr>
          <w:rFonts w:hint="cs"/>
          <w:sz w:val="28"/>
          <w:szCs w:val="28"/>
          <w:rtl/>
        </w:rPr>
        <w:t xml:space="preserve"> إلى</w:t>
      </w:r>
      <w:r>
        <w:rPr>
          <w:sz w:val="28"/>
          <w:szCs w:val="28"/>
        </w:rPr>
        <w:t>10,8%</w:t>
      </w:r>
      <w:r w:rsidR="003D569D">
        <w:rPr>
          <w:sz w:val="28"/>
          <w:szCs w:val="28"/>
        </w:rPr>
        <w:t xml:space="preserve">  </w:t>
      </w:r>
      <w:r>
        <w:rPr>
          <w:rFonts w:hint="cs"/>
          <w:sz w:val="28"/>
          <w:szCs w:val="28"/>
          <w:rtl/>
        </w:rPr>
        <w:t xml:space="preserve"> </w:t>
      </w:r>
      <w:r w:rsidRPr="00307C76">
        <w:rPr>
          <w:rFonts w:hint="cs"/>
          <w:sz w:val="28"/>
          <w:szCs w:val="28"/>
          <w:rtl/>
        </w:rPr>
        <w:t>على</w:t>
      </w:r>
      <w:r>
        <w:rPr>
          <w:rFonts w:hint="cs"/>
          <w:sz w:val="28"/>
          <w:szCs w:val="28"/>
          <w:rtl/>
        </w:rPr>
        <w:t xml:space="preserve"> </w:t>
      </w:r>
      <w:r w:rsidRPr="00307C76">
        <w:rPr>
          <w:rFonts w:hint="cs"/>
          <w:sz w:val="28"/>
          <w:szCs w:val="28"/>
          <w:rtl/>
        </w:rPr>
        <w:t>المستوى الوطني، من</w:t>
      </w:r>
      <w:r>
        <w:rPr>
          <w:sz w:val="28"/>
          <w:szCs w:val="28"/>
        </w:rPr>
        <w:t>9,2</w:t>
      </w:r>
      <w:r w:rsidRPr="00307C76">
        <w:rPr>
          <w:sz w:val="28"/>
          <w:szCs w:val="28"/>
        </w:rPr>
        <w:t xml:space="preserve">% </w:t>
      </w:r>
      <w:r w:rsidRPr="00307C76">
        <w:rPr>
          <w:rFonts w:hint="cs"/>
          <w:sz w:val="28"/>
          <w:szCs w:val="28"/>
          <w:rtl/>
        </w:rPr>
        <w:t xml:space="preserve"> إلى </w:t>
      </w:r>
      <w:r w:rsidRPr="00307C76">
        <w:rPr>
          <w:sz w:val="28"/>
          <w:szCs w:val="28"/>
          <w:rtl/>
        </w:rPr>
        <w:t>%</w:t>
      </w:r>
      <w:r w:rsidRPr="00307C76">
        <w:rPr>
          <w:sz w:val="28"/>
          <w:szCs w:val="28"/>
        </w:rPr>
        <w:t>9,</w:t>
      </w:r>
      <w:r>
        <w:rPr>
          <w:sz w:val="28"/>
          <w:szCs w:val="28"/>
        </w:rPr>
        <w:t>7</w:t>
      </w:r>
      <w:r>
        <w:rPr>
          <w:rFonts w:hint="cs"/>
          <w:sz w:val="28"/>
          <w:szCs w:val="28"/>
          <w:rtl/>
        </w:rPr>
        <w:t xml:space="preserve"> </w:t>
      </w:r>
      <w:r w:rsidRPr="00307C76">
        <w:rPr>
          <w:rFonts w:hint="cs"/>
          <w:sz w:val="28"/>
          <w:szCs w:val="28"/>
          <w:rtl/>
        </w:rPr>
        <w:t>بالوسط</w:t>
      </w:r>
      <w:r>
        <w:rPr>
          <w:rFonts w:hint="cs"/>
          <w:sz w:val="28"/>
          <w:szCs w:val="28"/>
          <w:rtl/>
        </w:rPr>
        <w:t xml:space="preserve"> </w:t>
      </w:r>
      <w:r w:rsidRPr="00307C76">
        <w:rPr>
          <w:rFonts w:hint="cs"/>
          <w:sz w:val="28"/>
          <w:szCs w:val="28"/>
          <w:rtl/>
        </w:rPr>
        <w:t xml:space="preserve">الحضري ومن </w:t>
      </w:r>
      <w:r w:rsidRPr="00307C76">
        <w:rPr>
          <w:sz w:val="28"/>
          <w:szCs w:val="28"/>
          <w:rtl/>
        </w:rPr>
        <w:t>%</w:t>
      </w:r>
      <w:r>
        <w:rPr>
          <w:sz w:val="28"/>
          <w:szCs w:val="28"/>
        </w:rPr>
        <w:t>11,7</w:t>
      </w:r>
      <w:r>
        <w:rPr>
          <w:rFonts w:hint="cs"/>
          <w:sz w:val="28"/>
          <w:szCs w:val="28"/>
          <w:rtl/>
        </w:rPr>
        <w:t xml:space="preserve"> </w:t>
      </w:r>
      <w:r w:rsidRPr="00307C76">
        <w:rPr>
          <w:rFonts w:hint="cs"/>
          <w:sz w:val="28"/>
          <w:szCs w:val="28"/>
          <w:rtl/>
        </w:rPr>
        <w:t>إلى</w:t>
      </w:r>
      <w:r>
        <w:rPr>
          <w:rFonts w:hint="cs"/>
          <w:sz w:val="28"/>
          <w:szCs w:val="28"/>
          <w:rtl/>
        </w:rPr>
        <w:t xml:space="preserve"> </w:t>
      </w:r>
      <w:r w:rsidRPr="00307C76">
        <w:rPr>
          <w:sz w:val="28"/>
          <w:szCs w:val="28"/>
          <w:rtl/>
        </w:rPr>
        <w:t>%</w:t>
      </w:r>
      <w:r>
        <w:rPr>
          <w:sz w:val="28"/>
          <w:szCs w:val="28"/>
        </w:rPr>
        <w:t>12</w:t>
      </w:r>
      <w:r>
        <w:rPr>
          <w:rFonts w:hint="cs"/>
          <w:sz w:val="28"/>
          <w:szCs w:val="28"/>
          <w:rtl/>
        </w:rPr>
        <w:t xml:space="preserve"> </w:t>
      </w:r>
      <w:r w:rsidRPr="00307C76">
        <w:rPr>
          <w:rFonts w:hint="cs"/>
          <w:sz w:val="28"/>
          <w:szCs w:val="28"/>
          <w:rtl/>
        </w:rPr>
        <w:t>بالوسط القروي.</w:t>
      </w:r>
    </w:p>
    <w:p w:rsidR="00ED5B66" w:rsidRDefault="00ED5B66" w:rsidP="00ED5B66">
      <w:pPr>
        <w:bidi/>
        <w:ind w:left="-427" w:right="-425"/>
        <w:jc w:val="both"/>
        <w:rPr>
          <w:b/>
          <w:bCs/>
          <w:color w:val="FF0000"/>
          <w:sz w:val="26"/>
          <w:szCs w:val="26"/>
          <w:rtl/>
          <w:lang w:val="en-US" w:bidi="ar-MA"/>
        </w:rPr>
      </w:pPr>
      <w:r w:rsidRPr="00CB16C5">
        <w:rPr>
          <w:rFonts w:hint="cs"/>
          <w:color w:val="FF0000"/>
          <w:sz w:val="26"/>
          <w:szCs w:val="26"/>
          <w:rtl/>
          <w:lang w:bidi="ar-MA"/>
        </w:rPr>
        <w:t xml:space="preserve">         </w:t>
      </w:r>
    </w:p>
    <w:p w:rsidR="00ED5B66" w:rsidRDefault="00ED5B66" w:rsidP="00ED5B66">
      <w:pPr>
        <w:jc w:val="center"/>
        <w:rPr>
          <w:b/>
          <w:bCs/>
          <w:color w:val="0070C0"/>
          <w:sz w:val="26"/>
          <w:szCs w:val="26"/>
          <w:rtl/>
          <w:lang w:bidi="ar-MA"/>
        </w:rPr>
      </w:pPr>
      <w:proofErr w:type="spellStart"/>
      <w:r w:rsidRPr="00CE73E9">
        <w:rPr>
          <w:b/>
          <w:bCs/>
          <w:color w:val="0070C0"/>
          <w:sz w:val="26"/>
          <w:szCs w:val="26"/>
          <w:rtl/>
          <w:lang w:bidi="ar-MA"/>
        </w:rPr>
        <w:t>مبيان</w:t>
      </w:r>
      <w:proofErr w:type="spellEnd"/>
      <w:r w:rsidRPr="00CE73E9">
        <w:rPr>
          <w:b/>
          <w:bCs/>
          <w:color w:val="0070C0"/>
          <w:sz w:val="26"/>
          <w:szCs w:val="26"/>
          <w:rtl/>
          <w:lang w:bidi="ar-MA"/>
        </w:rPr>
        <w:t xml:space="preserve"> </w:t>
      </w:r>
      <w:proofErr w:type="spellStart"/>
      <w:r w:rsidRPr="00CE73E9">
        <w:rPr>
          <w:rFonts w:hint="cs"/>
          <w:b/>
          <w:bCs/>
          <w:color w:val="0070C0"/>
          <w:sz w:val="26"/>
          <w:szCs w:val="26"/>
          <w:rtl/>
          <w:lang w:bidi="ar-MA"/>
        </w:rPr>
        <w:t>5:</w:t>
      </w:r>
      <w:proofErr w:type="spellEnd"/>
      <w:r w:rsidRPr="00CE73E9">
        <w:rPr>
          <w:b/>
          <w:bCs/>
          <w:color w:val="0070C0"/>
          <w:sz w:val="26"/>
          <w:szCs w:val="26"/>
          <w:rtl/>
          <w:lang w:bidi="ar-MA"/>
        </w:rPr>
        <w:t xml:space="preserve"> تطور معدل</w:t>
      </w:r>
      <w:r w:rsidRPr="00CE73E9">
        <w:rPr>
          <w:rFonts w:hint="cs"/>
          <w:b/>
          <w:bCs/>
          <w:color w:val="0070C0"/>
          <w:sz w:val="26"/>
          <w:szCs w:val="26"/>
          <w:rtl/>
          <w:lang w:bidi="ar-MA"/>
        </w:rPr>
        <w:t xml:space="preserve"> الشغل الناقص خلال الفصل الثاني</w:t>
      </w:r>
      <w:r w:rsidRPr="00CE73E9">
        <w:rPr>
          <w:b/>
          <w:bCs/>
          <w:color w:val="0070C0"/>
          <w:sz w:val="26"/>
          <w:szCs w:val="26"/>
          <w:rtl/>
          <w:lang w:bidi="ar-MA"/>
        </w:rPr>
        <w:t xml:space="preserve"> حسب وسط الإقامة ( ب%)</w:t>
      </w:r>
    </w:p>
    <w:p w:rsidR="00ED5B66" w:rsidRPr="00CE73E9" w:rsidRDefault="00ED5B66" w:rsidP="00ED5B66">
      <w:pPr>
        <w:jc w:val="center"/>
        <w:rPr>
          <w:b/>
          <w:bCs/>
          <w:color w:val="0070C0"/>
          <w:sz w:val="26"/>
          <w:szCs w:val="26"/>
          <w:rtl/>
          <w:lang w:bidi="ar-MA"/>
        </w:rPr>
      </w:pPr>
    </w:p>
    <w:p w:rsidR="00ED5B66" w:rsidRDefault="00ED5B66" w:rsidP="00ED5B66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  <w:r w:rsidRPr="00865E2E">
        <w:rPr>
          <w:b/>
          <w:bCs/>
          <w:noProof/>
          <w:sz w:val="26"/>
          <w:szCs w:val="26"/>
          <w:rtl/>
        </w:rPr>
        <w:drawing>
          <wp:inline distT="0" distB="0" distL="0" distR="0">
            <wp:extent cx="4655820" cy="2141220"/>
            <wp:effectExtent l="19050" t="0" r="11430" b="0"/>
            <wp:docPr id="4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D5B66" w:rsidRPr="00A84892" w:rsidRDefault="00ED5B66" w:rsidP="00ED5B66">
      <w:pPr>
        <w:bidi/>
        <w:spacing w:line="276" w:lineRule="auto"/>
        <w:jc w:val="center"/>
        <w:rPr>
          <w:b/>
          <w:bCs/>
          <w:sz w:val="8"/>
          <w:szCs w:val="8"/>
          <w:rtl/>
          <w:lang w:val="en-US" w:bidi="ar-MA"/>
        </w:rPr>
      </w:pPr>
    </w:p>
    <w:p w:rsidR="00ED5B66" w:rsidRDefault="00ED5B66" w:rsidP="00ED5B66">
      <w:pPr>
        <w:bidi/>
        <w:ind w:left="-285"/>
        <w:jc w:val="both"/>
        <w:rPr>
          <w:sz w:val="26"/>
          <w:szCs w:val="26"/>
          <w:rtl/>
        </w:rPr>
      </w:pPr>
    </w:p>
    <w:p w:rsidR="00ED5B66" w:rsidRDefault="00ED5B66" w:rsidP="00312C25">
      <w:pPr>
        <w:bidi/>
        <w:spacing w:line="360" w:lineRule="auto"/>
        <w:jc w:val="both"/>
        <w:rPr>
          <w:sz w:val="28"/>
          <w:szCs w:val="28"/>
        </w:rPr>
      </w:pPr>
      <w:r w:rsidRPr="00C674FF">
        <w:rPr>
          <w:rFonts w:hint="cs"/>
          <w:sz w:val="28"/>
          <w:szCs w:val="28"/>
          <w:rtl/>
        </w:rPr>
        <w:t>حسب قطاع النشاط الاقتصادي، يعتبر الأشخاص الذين يمارسون نشاطهم بقطاع "البناء والأشغال العمومية"، الفئة الأكثر عرضة لهذه الظاهرة</w:t>
      </w:r>
      <w:r>
        <w:rPr>
          <w:rFonts w:hint="cs"/>
          <w:sz w:val="28"/>
          <w:szCs w:val="28"/>
          <w:rtl/>
        </w:rPr>
        <w:t xml:space="preserve"> </w:t>
      </w:r>
      <w:r w:rsidRPr="00C674FF">
        <w:rPr>
          <w:rFonts w:hint="cs"/>
          <w:sz w:val="28"/>
          <w:szCs w:val="28"/>
          <w:rtl/>
        </w:rPr>
        <w:t>وذلك على مستوى كلا الوسطين</w:t>
      </w:r>
      <w:r>
        <w:rPr>
          <w:rFonts w:hint="cs"/>
          <w:sz w:val="28"/>
          <w:szCs w:val="28"/>
          <w:rtl/>
        </w:rPr>
        <w:t xml:space="preserve">، حيث بلغ </w:t>
      </w:r>
      <w:r w:rsidRPr="00C674FF">
        <w:rPr>
          <w:rFonts w:hint="cs"/>
          <w:sz w:val="28"/>
          <w:szCs w:val="28"/>
          <w:rtl/>
        </w:rPr>
        <w:t xml:space="preserve">معدل </w:t>
      </w:r>
      <w:r>
        <w:rPr>
          <w:rFonts w:hint="cs"/>
          <w:sz w:val="28"/>
          <w:szCs w:val="28"/>
          <w:rtl/>
        </w:rPr>
        <w:t>ا</w:t>
      </w:r>
      <w:r w:rsidRPr="00C674FF">
        <w:rPr>
          <w:rFonts w:hint="cs"/>
          <w:sz w:val="28"/>
          <w:szCs w:val="28"/>
          <w:rtl/>
        </w:rPr>
        <w:t xml:space="preserve">لشغل الناقص </w:t>
      </w:r>
      <w:r w:rsidRPr="00C674FF">
        <w:rPr>
          <w:sz w:val="28"/>
          <w:szCs w:val="28"/>
          <w:rtl/>
        </w:rPr>
        <w:t>%</w:t>
      </w:r>
      <w:r>
        <w:rPr>
          <w:sz w:val="28"/>
          <w:szCs w:val="28"/>
        </w:rPr>
        <w:t>15,5</w:t>
      </w:r>
      <w:r>
        <w:rPr>
          <w:rFonts w:hint="cs"/>
          <w:sz w:val="28"/>
          <w:szCs w:val="28"/>
          <w:rtl/>
        </w:rPr>
        <w:t>على المستوى الوطني</w:t>
      </w:r>
      <w:r w:rsidRPr="00C674FF">
        <w:rPr>
          <w:rFonts w:hint="cs"/>
          <w:sz w:val="28"/>
          <w:szCs w:val="28"/>
          <w:rtl/>
        </w:rPr>
        <w:t xml:space="preserve">، ويأتي الأشخاص الذين يمارسون نشاطهم بقطاع "الفلاحة، الغابة والصيد" في المرتبة الثانية بمعدل للشغل الناقص </w:t>
      </w:r>
      <w:r>
        <w:rPr>
          <w:rFonts w:hint="cs"/>
          <w:sz w:val="28"/>
          <w:szCs w:val="28"/>
          <w:rtl/>
        </w:rPr>
        <w:t>يقدر ب</w:t>
      </w:r>
      <w:r w:rsidRPr="00C674FF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>11,3%</w:t>
      </w:r>
      <w:r w:rsidRPr="00C674FF">
        <w:rPr>
          <w:rFonts w:hint="cs"/>
          <w:sz w:val="28"/>
          <w:szCs w:val="28"/>
          <w:rtl/>
        </w:rPr>
        <w:t xml:space="preserve">.  </w:t>
      </w:r>
    </w:p>
    <w:p w:rsidR="00396636" w:rsidRPr="00C674FF" w:rsidRDefault="00396636" w:rsidP="00396636">
      <w:pPr>
        <w:bidi/>
        <w:spacing w:line="360" w:lineRule="auto"/>
        <w:jc w:val="both"/>
        <w:rPr>
          <w:sz w:val="28"/>
          <w:szCs w:val="28"/>
          <w:rtl/>
        </w:rPr>
      </w:pPr>
    </w:p>
    <w:p w:rsidR="00ED5B66" w:rsidRPr="000D63F2" w:rsidRDefault="00ED5B66" w:rsidP="00396636">
      <w:pPr>
        <w:jc w:val="center"/>
        <w:rPr>
          <w:b/>
          <w:bCs/>
          <w:color w:val="0070C0"/>
          <w:sz w:val="26"/>
          <w:szCs w:val="26"/>
          <w:rtl/>
          <w:lang w:bidi="ar-MA"/>
        </w:rPr>
      </w:pPr>
      <w:proofErr w:type="spellStart"/>
      <w:r w:rsidRPr="000D63F2">
        <w:rPr>
          <w:b/>
          <w:bCs/>
          <w:color w:val="0070C0"/>
          <w:sz w:val="26"/>
          <w:szCs w:val="26"/>
          <w:rtl/>
          <w:lang w:bidi="ar-MA"/>
        </w:rPr>
        <w:t>مبيان</w:t>
      </w:r>
      <w:proofErr w:type="spellEnd"/>
      <w:r w:rsidRPr="000D63F2">
        <w:rPr>
          <w:b/>
          <w:bCs/>
          <w:color w:val="0070C0"/>
          <w:sz w:val="26"/>
          <w:szCs w:val="26"/>
          <w:rtl/>
          <w:lang w:bidi="ar-MA"/>
        </w:rPr>
        <w:t xml:space="preserve"> </w:t>
      </w:r>
      <w:proofErr w:type="spellStart"/>
      <w:r w:rsidRPr="000D63F2">
        <w:rPr>
          <w:rFonts w:hint="cs"/>
          <w:b/>
          <w:bCs/>
          <w:color w:val="0070C0"/>
          <w:sz w:val="26"/>
          <w:szCs w:val="26"/>
          <w:rtl/>
          <w:lang w:bidi="ar-MA"/>
        </w:rPr>
        <w:t>6:</w:t>
      </w:r>
      <w:proofErr w:type="spellEnd"/>
      <w:r w:rsidRPr="000D63F2">
        <w:rPr>
          <w:b/>
          <w:bCs/>
          <w:color w:val="0070C0"/>
          <w:sz w:val="26"/>
          <w:szCs w:val="26"/>
          <w:rtl/>
          <w:lang w:bidi="ar-MA"/>
        </w:rPr>
        <w:t xml:space="preserve"> تطور معدل</w:t>
      </w:r>
      <w:r w:rsidRPr="000D63F2">
        <w:rPr>
          <w:rFonts w:hint="cs"/>
          <w:b/>
          <w:bCs/>
          <w:color w:val="0070C0"/>
          <w:sz w:val="26"/>
          <w:szCs w:val="26"/>
          <w:rtl/>
          <w:lang w:bidi="ar-MA"/>
        </w:rPr>
        <w:t xml:space="preserve"> الشغل الناقص</w:t>
      </w:r>
      <w:r w:rsidRPr="000D63F2">
        <w:rPr>
          <w:b/>
          <w:bCs/>
          <w:color w:val="0070C0"/>
          <w:sz w:val="26"/>
          <w:szCs w:val="26"/>
          <w:rtl/>
          <w:lang w:bidi="ar-MA"/>
        </w:rPr>
        <w:t xml:space="preserve"> </w:t>
      </w:r>
      <w:r w:rsidRPr="000D63F2">
        <w:rPr>
          <w:rFonts w:hint="cs"/>
          <w:b/>
          <w:bCs/>
          <w:color w:val="0070C0"/>
          <w:sz w:val="26"/>
          <w:szCs w:val="26"/>
          <w:rtl/>
          <w:lang w:bidi="ar-MA"/>
        </w:rPr>
        <w:t xml:space="preserve">خلال الفصل الثاني </w:t>
      </w:r>
      <w:r w:rsidRPr="000D63F2">
        <w:rPr>
          <w:b/>
          <w:bCs/>
          <w:color w:val="0070C0"/>
          <w:sz w:val="26"/>
          <w:szCs w:val="26"/>
          <w:rtl/>
          <w:lang w:bidi="ar-MA"/>
        </w:rPr>
        <w:t xml:space="preserve">حسب </w:t>
      </w:r>
      <w:r w:rsidRPr="000D63F2">
        <w:rPr>
          <w:rFonts w:hint="cs"/>
          <w:b/>
          <w:bCs/>
          <w:color w:val="0070C0"/>
          <w:sz w:val="26"/>
          <w:szCs w:val="26"/>
          <w:rtl/>
          <w:lang w:bidi="ar-MA"/>
        </w:rPr>
        <w:t>قطاع النشاط</w:t>
      </w:r>
      <w:r w:rsidRPr="000D63F2">
        <w:rPr>
          <w:b/>
          <w:bCs/>
          <w:color w:val="0070C0"/>
          <w:sz w:val="26"/>
          <w:szCs w:val="26"/>
          <w:rtl/>
          <w:lang w:bidi="ar-MA"/>
        </w:rPr>
        <w:t xml:space="preserve"> (ب%)</w:t>
      </w:r>
    </w:p>
    <w:p w:rsidR="00ED5B66" w:rsidRPr="00AB4986" w:rsidRDefault="00ED5B66" w:rsidP="00ED5B66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  <w:r w:rsidRPr="00E40448">
        <w:rPr>
          <w:b/>
          <w:bCs/>
          <w:noProof/>
          <w:sz w:val="26"/>
          <w:szCs w:val="26"/>
          <w:rtl/>
        </w:rPr>
        <w:drawing>
          <wp:inline distT="0" distB="0" distL="0" distR="0">
            <wp:extent cx="4754880" cy="2362200"/>
            <wp:effectExtent l="19050" t="0" r="26670" b="0"/>
            <wp:docPr id="9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D5B66" w:rsidRDefault="00ED5B66" w:rsidP="00ED5B66">
      <w:pPr>
        <w:bidi/>
        <w:jc w:val="center"/>
        <w:rPr>
          <w:rFonts w:cs="Simplified Arabic"/>
          <w:b/>
          <w:bCs/>
          <w:color w:val="0070C0"/>
          <w:lang w:val="en-US" w:eastAsia="en-US"/>
        </w:rPr>
      </w:pPr>
    </w:p>
    <w:p w:rsidR="00ED5B66" w:rsidRDefault="00ED5B66" w:rsidP="00ED5B66">
      <w:pPr>
        <w:rPr>
          <w:rFonts w:cs="Simplified Arabic"/>
          <w:b/>
          <w:bCs/>
          <w:color w:val="0070C0"/>
          <w:lang w:val="en-US" w:eastAsia="en-US"/>
        </w:rPr>
      </w:pPr>
      <w:r>
        <w:rPr>
          <w:rFonts w:cs="Simplified Arabic"/>
          <w:b/>
          <w:bCs/>
          <w:color w:val="0070C0"/>
          <w:lang w:val="en-US" w:eastAsia="en-US"/>
        </w:rPr>
        <w:br w:type="page"/>
      </w:r>
    </w:p>
    <w:p w:rsidR="00ED5B66" w:rsidRDefault="00ED5B66" w:rsidP="00ED5B66">
      <w:pPr>
        <w:bidi/>
        <w:jc w:val="center"/>
        <w:rPr>
          <w:b/>
          <w:bCs/>
          <w:color w:val="0070C0"/>
          <w:vertAlign w:val="superscript"/>
          <w:rtl/>
          <w:lang w:bidi="ar-MA"/>
        </w:rPr>
      </w:pPr>
      <w:r>
        <w:rPr>
          <w:rFonts w:cs="Simplified Arabic" w:hint="cs"/>
          <w:b/>
          <w:bCs/>
          <w:color w:val="0070C0"/>
          <w:rtl/>
          <w:lang w:val="en-US" w:eastAsia="en-US"/>
        </w:rPr>
        <w:t>ا</w:t>
      </w:r>
      <w:r>
        <w:rPr>
          <w:rFonts w:cs="Simplified Arabic"/>
          <w:b/>
          <w:bCs/>
          <w:color w:val="0070C0"/>
          <w:rtl/>
          <w:lang w:val="en-US" w:eastAsia="en-US"/>
        </w:rPr>
        <w:t>لمؤشـرات الفصلية للنشـاط</w:t>
      </w:r>
      <w:r>
        <w:rPr>
          <w:rFonts w:cs="Simplified Arabic" w:hint="cs"/>
          <w:b/>
          <w:bCs/>
          <w:color w:val="0070C0"/>
          <w:rtl/>
          <w:lang w:val="en-US" w:eastAsia="en-US"/>
        </w:rPr>
        <w:t xml:space="preserve"> والشغل</w:t>
      </w:r>
      <w:r>
        <w:rPr>
          <w:rFonts w:cs="Simplified Arabic"/>
          <w:b/>
          <w:bCs/>
          <w:color w:val="0070C0"/>
          <w:rtl/>
          <w:lang w:val="en-US" w:eastAsia="en-US"/>
        </w:rPr>
        <w:t xml:space="preserve"> والبطالـة حسـب وسـط الإقامـة</w:t>
      </w:r>
      <w:r>
        <w:rPr>
          <w:b/>
          <w:bCs/>
          <w:color w:val="0070C0"/>
          <w:vertAlign w:val="superscript"/>
          <w:lang w:bidi="ar-MA"/>
        </w:rPr>
        <w:t>(*)</w:t>
      </w:r>
    </w:p>
    <w:p w:rsidR="00ED5B66" w:rsidRDefault="00ED5B66" w:rsidP="00E15E0F">
      <w:pPr>
        <w:tabs>
          <w:tab w:val="left" w:pos="-720"/>
          <w:tab w:val="left" w:pos="1080"/>
        </w:tabs>
        <w:ind w:left="6372"/>
        <w:jc w:val="center"/>
        <w:rPr>
          <w:rFonts w:cs="Simplified Arabic"/>
          <w:b/>
          <w:bCs/>
          <w:sz w:val="16"/>
          <w:szCs w:val="16"/>
          <w:lang w:val="en-US" w:eastAsia="en-US"/>
        </w:rPr>
      </w:pPr>
      <w:r>
        <w:rPr>
          <w:rFonts w:cs="Simplified Arabic"/>
          <w:b/>
          <w:bCs/>
          <w:sz w:val="16"/>
          <w:szCs w:val="16"/>
          <w:rtl/>
          <w:lang w:val="en-US" w:eastAsia="en-US"/>
        </w:rPr>
        <w:t>(الأرقام بالآلاف والمعدلات ب %)</w:t>
      </w:r>
    </w:p>
    <w:tbl>
      <w:tblPr>
        <w:tblW w:w="94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3"/>
        <w:gridCol w:w="916"/>
        <w:gridCol w:w="917"/>
        <w:gridCol w:w="916"/>
        <w:gridCol w:w="910"/>
        <w:gridCol w:w="924"/>
        <w:gridCol w:w="4011"/>
      </w:tblGrid>
      <w:tr w:rsidR="00ED5B66" w:rsidRPr="00C532F9" w:rsidTr="00ED5B66">
        <w:trPr>
          <w:trHeight w:val="333"/>
          <w:jc w:val="center"/>
        </w:trPr>
        <w:tc>
          <w:tcPr>
            <w:tcW w:w="2686" w:type="dxa"/>
            <w:gridSpan w:val="3"/>
            <w:tcBorders>
              <w:top w:val="single" w:sz="12" w:space="0" w:color="auto"/>
            </w:tcBorders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r w:rsidRPr="00C532F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الفصل الثاني 2015</w:t>
            </w:r>
          </w:p>
        </w:tc>
        <w:tc>
          <w:tcPr>
            <w:tcW w:w="2750" w:type="dxa"/>
            <w:gridSpan w:val="3"/>
            <w:tcBorders>
              <w:top w:val="single" w:sz="12" w:space="0" w:color="auto"/>
            </w:tcBorders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r w:rsidRPr="00C532F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الفصل الثاني 2014</w:t>
            </w:r>
          </w:p>
        </w:tc>
        <w:tc>
          <w:tcPr>
            <w:tcW w:w="4011" w:type="dxa"/>
            <w:tcBorders>
              <w:top w:val="single" w:sz="12" w:space="0" w:color="auto"/>
            </w:tcBorders>
            <w:vAlign w:val="center"/>
          </w:tcPr>
          <w:p w:rsidR="00ED5B66" w:rsidRPr="00C532F9" w:rsidRDefault="00ED5B66" w:rsidP="00525B90">
            <w:pPr>
              <w:pStyle w:val="Titre1"/>
              <w:bidi/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C532F9">
              <w:rPr>
                <w:rFonts w:asciiTheme="majorBidi" w:hAnsiTheme="majorBidi" w:cstheme="majorBidi"/>
                <w:sz w:val="18"/>
                <w:szCs w:val="18"/>
                <w:rtl/>
              </w:rPr>
              <w:t>المـؤشـــــرات</w:t>
            </w:r>
          </w:p>
        </w:tc>
      </w:tr>
      <w:tr w:rsidR="00ED5B66" w:rsidRPr="00C532F9" w:rsidTr="00ED5B66">
        <w:trPr>
          <w:trHeight w:val="333"/>
          <w:jc w:val="center"/>
        </w:trPr>
        <w:tc>
          <w:tcPr>
            <w:tcW w:w="853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r w:rsidRPr="00C532F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916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532F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917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532F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916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532F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910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532F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924" w:type="dxa"/>
            <w:vAlign w:val="center"/>
          </w:tcPr>
          <w:p w:rsidR="00ED5B66" w:rsidRPr="00C532F9" w:rsidRDefault="00ED5B66" w:rsidP="00525B90">
            <w:pPr>
              <w:pStyle w:val="Titre3"/>
              <w:rPr>
                <w:rFonts w:asciiTheme="majorBidi" w:hAnsiTheme="majorBidi" w:cstheme="majorBidi"/>
                <w:sz w:val="18"/>
                <w:szCs w:val="18"/>
              </w:rPr>
            </w:pPr>
            <w:r w:rsidRPr="00C532F9">
              <w:rPr>
                <w:rFonts w:asciiTheme="majorBidi" w:hAnsiTheme="majorBidi" w:cstheme="majorBidi"/>
                <w:sz w:val="18"/>
                <w:szCs w:val="18"/>
                <w:rtl/>
              </w:rPr>
              <w:t>حضري</w:t>
            </w:r>
          </w:p>
        </w:tc>
        <w:tc>
          <w:tcPr>
            <w:tcW w:w="4011" w:type="dxa"/>
            <w:vAlign w:val="center"/>
          </w:tcPr>
          <w:p w:rsidR="00ED5B66" w:rsidRPr="00C532F9" w:rsidRDefault="00ED5B66" w:rsidP="00525B90">
            <w:pPr>
              <w:tabs>
                <w:tab w:val="left" w:pos="-720"/>
              </w:tabs>
              <w:suppressAutoHyphens/>
              <w:bidi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 w:eastAsia="en-US"/>
              </w:rPr>
            </w:pPr>
          </w:p>
        </w:tc>
      </w:tr>
      <w:tr w:rsidR="00ED5B66" w:rsidRPr="00C532F9" w:rsidTr="00ED5B66">
        <w:trPr>
          <w:trHeight w:val="333"/>
          <w:jc w:val="center"/>
        </w:trPr>
        <w:tc>
          <w:tcPr>
            <w:tcW w:w="853" w:type="dxa"/>
            <w:tcBorders>
              <w:right w:val="nil"/>
            </w:tcBorders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917" w:type="dxa"/>
            <w:tcBorders>
              <w:left w:val="nil"/>
              <w:right w:val="nil"/>
            </w:tcBorders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910" w:type="dxa"/>
            <w:tcBorders>
              <w:left w:val="nil"/>
              <w:right w:val="nil"/>
            </w:tcBorders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nil"/>
              <w:right w:val="nil"/>
            </w:tcBorders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11" w:type="dxa"/>
            <w:tcBorders>
              <w:left w:val="nil"/>
            </w:tcBorders>
            <w:vAlign w:val="center"/>
          </w:tcPr>
          <w:p w:rsidR="00ED5B66" w:rsidRPr="00C532F9" w:rsidRDefault="00ED5B66" w:rsidP="00525B90">
            <w:pPr>
              <w:tabs>
                <w:tab w:val="left" w:pos="-720"/>
              </w:tabs>
              <w:suppressAutoHyphens/>
              <w:bidi/>
              <w:ind w:left="41"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eastAsia="en-US"/>
              </w:rPr>
            </w:pPr>
            <w:r w:rsidRPr="00C532F9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النشـاط والتشغيل (</w:t>
            </w:r>
            <w:r w:rsidRPr="00C532F9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 w:eastAsia="en-US"/>
              </w:rPr>
              <w:t xml:space="preserve"> 15</w:t>
            </w:r>
            <w:r w:rsidRPr="00C532F9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سنـة فأكثـر)</w:t>
            </w:r>
          </w:p>
        </w:tc>
      </w:tr>
      <w:tr w:rsidR="00ED5B66" w:rsidRPr="00C532F9" w:rsidTr="00C532F9">
        <w:trPr>
          <w:trHeight w:val="333"/>
          <w:jc w:val="center"/>
        </w:trPr>
        <w:tc>
          <w:tcPr>
            <w:tcW w:w="853" w:type="dxa"/>
            <w:vAlign w:val="bottom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11970</w:t>
            </w:r>
          </w:p>
        </w:tc>
        <w:tc>
          <w:tcPr>
            <w:tcW w:w="916" w:type="dxa"/>
            <w:vAlign w:val="bottom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5545</w:t>
            </w:r>
          </w:p>
        </w:tc>
        <w:tc>
          <w:tcPr>
            <w:tcW w:w="917" w:type="dxa"/>
            <w:vAlign w:val="bottom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6425</w:t>
            </w:r>
          </w:p>
        </w:tc>
        <w:tc>
          <w:tcPr>
            <w:tcW w:w="916" w:type="dxa"/>
            <w:vAlign w:val="center"/>
          </w:tcPr>
          <w:p w:rsidR="00ED5B66" w:rsidRPr="00C532F9" w:rsidRDefault="00ED5B66" w:rsidP="00C532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12005</w:t>
            </w:r>
          </w:p>
        </w:tc>
        <w:tc>
          <w:tcPr>
            <w:tcW w:w="910" w:type="dxa"/>
            <w:vAlign w:val="center"/>
          </w:tcPr>
          <w:p w:rsidR="00ED5B66" w:rsidRPr="00C532F9" w:rsidRDefault="00ED5B66" w:rsidP="00C532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5598</w:t>
            </w:r>
          </w:p>
        </w:tc>
        <w:tc>
          <w:tcPr>
            <w:tcW w:w="924" w:type="dxa"/>
            <w:vAlign w:val="center"/>
          </w:tcPr>
          <w:p w:rsidR="00ED5B66" w:rsidRPr="00C532F9" w:rsidRDefault="00ED5B66" w:rsidP="00C532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6407</w:t>
            </w:r>
          </w:p>
        </w:tc>
        <w:tc>
          <w:tcPr>
            <w:tcW w:w="4011" w:type="dxa"/>
            <w:vAlign w:val="center"/>
          </w:tcPr>
          <w:p w:rsidR="00ED5B66" w:rsidRPr="00C532F9" w:rsidRDefault="00ED5B66" w:rsidP="00525B90">
            <w:pPr>
              <w:tabs>
                <w:tab w:val="left" w:pos="-720"/>
              </w:tabs>
              <w:suppressAutoHyphens/>
              <w:bidi/>
              <w:ind w:left="41"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C532F9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السكـان النشيطـون (بالآلاف)</w:t>
            </w:r>
          </w:p>
        </w:tc>
      </w:tr>
      <w:tr w:rsidR="00ED5B66" w:rsidRPr="00C532F9" w:rsidTr="00ED5B66">
        <w:trPr>
          <w:trHeight w:val="333"/>
          <w:jc w:val="center"/>
        </w:trPr>
        <w:tc>
          <w:tcPr>
            <w:tcW w:w="853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27,1</w:t>
            </w:r>
          </w:p>
        </w:tc>
        <w:tc>
          <w:tcPr>
            <w:tcW w:w="916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33,9</w:t>
            </w:r>
          </w:p>
        </w:tc>
        <w:tc>
          <w:tcPr>
            <w:tcW w:w="917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21,3</w:t>
            </w:r>
          </w:p>
        </w:tc>
        <w:tc>
          <w:tcPr>
            <w:tcW w:w="916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27,7</w:t>
            </w:r>
          </w:p>
        </w:tc>
        <w:tc>
          <w:tcPr>
            <w:tcW w:w="910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34,8</w:t>
            </w:r>
          </w:p>
        </w:tc>
        <w:tc>
          <w:tcPr>
            <w:tcW w:w="924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21,5</w:t>
            </w:r>
          </w:p>
        </w:tc>
        <w:tc>
          <w:tcPr>
            <w:tcW w:w="4011" w:type="dxa"/>
            <w:vAlign w:val="center"/>
          </w:tcPr>
          <w:p w:rsidR="00ED5B66" w:rsidRPr="00C532F9" w:rsidRDefault="00ED5B66" w:rsidP="00525B90">
            <w:pPr>
              <w:tabs>
                <w:tab w:val="left" w:pos="-720"/>
              </w:tabs>
              <w:suppressAutoHyphens/>
              <w:bidi/>
              <w:ind w:left="41"/>
              <w:rPr>
                <w:rFonts w:asciiTheme="majorBidi" w:hAnsiTheme="majorBidi" w:cstheme="majorBidi"/>
                <w:spacing w:val="-2"/>
                <w:sz w:val="18"/>
                <w:szCs w:val="18"/>
                <w:lang w:eastAsia="en-US"/>
              </w:rPr>
            </w:pPr>
            <w:r w:rsidRPr="00C532F9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eastAsia="en-US"/>
              </w:rPr>
              <w:t>نسبـة الإنـاث ضمـن السكـان النشيطيـن</w:t>
            </w:r>
            <w:r w:rsidRPr="00C532F9">
              <w:rPr>
                <w:rFonts w:asciiTheme="majorBidi" w:hAnsiTheme="majorBidi" w:cstheme="majorBidi"/>
                <w:spacing w:val="-2"/>
                <w:sz w:val="18"/>
                <w:szCs w:val="18"/>
                <w:lang w:eastAsia="en-US"/>
              </w:rPr>
              <w:t xml:space="preserve">  (%)</w:t>
            </w:r>
          </w:p>
        </w:tc>
      </w:tr>
      <w:tr w:rsidR="00ED5B66" w:rsidRPr="00C532F9" w:rsidTr="00ED5B66">
        <w:trPr>
          <w:trHeight w:val="333"/>
          <w:jc w:val="center"/>
        </w:trPr>
        <w:tc>
          <w:tcPr>
            <w:tcW w:w="853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48,0</w:t>
            </w:r>
          </w:p>
        </w:tc>
        <w:tc>
          <w:tcPr>
            <w:tcW w:w="916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57,2</w:t>
            </w:r>
          </w:p>
        </w:tc>
        <w:tc>
          <w:tcPr>
            <w:tcW w:w="917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42,2</w:t>
            </w:r>
          </w:p>
        </w:tc>
        <w:tc>
          <w:tcPr>
            <w:tcW w:w="916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48,9</w:t>
            </w:r>
          </w:p>
        </w:tc>
        <w:tc>
          <w:tcPr>
            <w:tcW w:w="910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58,2</w:t>
            </w:r>
          </w:p>
        </w:tc>
        <w:tc>
          <w:tcPr>
            <w:tcW w:w="924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42,9</w:t>
            </w:r>
          </w:p>
        </w:tc>
        <w:tc>
          <w:tcPr>
            <w:tcW w:w="4011" w:type="dxa"/>
            <w:vAlign w:val="center"/>
          </w:tcPr>
          <w:p w:rsidR="00ED5B66" w:rsidRPr="00C532F9" w:rsidRDefault="00ED5B66" w:rsidP="00525B90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bidi/>
              <w:ind w:left="41"/>
              <w:rPr>
                <w:rFonts w:asciiTheme="majorBidi" w:hAnsiTheme="majorBidi" w:cstheme="majorBidi"/>
                <w:spacing w:val="-2"/>
                <w:sz w:val="18"/>
                <w:szCs w:val="18"/>
                <w:lang w:val="en-US" w:eastAsia="en-US"/>
              </w:rPr>
            </w:pPr>
            <w:r w:rsidRPr="00C532F9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eastAsia="en-US"/>
              </w:rPr>
              <w:t xml:space="preserve">معـدل النشـاط </w:t>
            </w:r>
            <w:r w:rsidRPr="00C532F9">
              <w:rPr>
                <w:rFonts w:asciiTheme="majorBidi" w:hAnsiTheme="majorBidi" w:cstheme="majorBidi"/>
                <w:spacing w:val="-2"/>
                <w:sz w:val="18"/>
                <w:szCs w:val="18"/>
                <w:lang w:val="en-US" w:eastAsia="en-US"/>
              </w:rPr>
              <w:t xml:space="preserve"> (%)</w:t>
            </w:r>
          </w:p>
        </w:tc>
      </w:tr>
      <w:tr w:rsidR="00ED5B66" w:rsidRPr="00C532F9" w:rsidTr="00ED5B66">
        <w:trPr>
          <w:trHeight w:val="333"/>
          <w:jc w:val="center"/>
        </w:trPr>
        <w:tc>
          <w:tcPr>
            <w:tcW w:w="853" w:type="dxa"/>
            <w:tcBorders>
              <w:right w:val="nil"/>
            </w:tcBorders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17" w:type="dxa"/>
            <w:tcBorders>
              <w:left w:val="nil"/>
              <w:right w:val="nil"/>
            </w:tcBorders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10" w:type="dxa"/>
            <w:tcBorders>
              <w:left w:val="nil"/>
              <w:right w:val="nil"/>
            </w:tcBorders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nil"/>
              <w:right w:val="nil"/>
            </w:tcBorders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011" w:type="dxa"/>
            <w:tcBorders>
              <w:left w:val="nil"/>
            </w:tcBorders>
            <w:vAlign w:val="center"/>
          </w:tcPr>
          <w:p w:rsidR="00ED5B66" w:rsidRPr="00C532F9" w:rsidRDefault="00ED5B66" w:rsidP="00525B90">
            <w:pPr>
              <w:tabs>
                <w:tab w:val="left" w:pos="-720"/>
              </w:tabs>
              <w:suppressAutoHyphens/>
              <w:bidi/>
              <w:ind w:left="41"/>
              <w:rPr>
                <w:rFonts w:asciiTheme="majorBidi" w:hAnsiTheme="majorBidi" w:cstheme="majorBidi"/>
                <w:spacing w:val="-2"/>
                <w:sz w:val="18"/>
                <w:szCs w:val="18"/>
                <w:lang w:val="en-US" w:eastAsia="en-US"/>
              </w:rPr>
            </w:pPr>
            <w:r w:rsidRPr="00C532F9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eastAsia="en-US"/>
              </w:rPr>
              <w:t>. حسب الجنس</w:t>
            </w:r>
          </w:p>
        </w:tc>
      </w:tr>
      <w:tr w:rsidR="00ED5B66" w:rsidRPr="00C532F9" w:rsidTr="00ED5B66">
        <w:trPr>
          <w:trHeight w:val="333"/>
          <w:jc w:val="center"/>
        </w:trPr>
        <w:tc>
          <w:tcPr>
            <w:tcW w:w="853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72,3</w:t>
            </w:r>
          </w:p>
        </w:tc>
        <w:tc>
          <w:tcPr>
            <w:tcW w:w="916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78,1</w:t>
            </w:r>
          </w:p>
        </w:tc>
        <w:tc>
          <w:tcPr>
            <w:tcW w:w="917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68,6</w:t>
            </w:r>
          </w:p>
        </w:tc>
        <w:tc>
          <w:tcPr>
            <w:tcW w:w="916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72,9</w:t>
            </w:r>
          </w:p>
        </w:tc>
        <w:tc>
          <w:tcPr>
            <w:tcW w:w="910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78,1</w:t>
            </w:r>
          </w:p>
        </w:tc>
        <w:tc>
          <w:tcPr>
            <w:tcW w:w="924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69,6</w:t>
            </w:r>
          </w:p>
        </w:tc>
        <w:tc>
          <w:tcPr>
            <w:tcW w:w="4011" w:type="dxa"/>
            <w:vAlign w:val="center"/>
          </w:tcPr>
          <w:p w:rsidR="00ED5B66" w:rsidRPr="00C532F9" w:rsidRDefault="00ED5B66" w:rsidP="00525B90">
            <w:pPr>
              <w:tabs>
                <w:tab w:val="left" w:pos="-720"/>
              </w:tabs>
              <w:suppressAutoHyphens/>
              <w:bidi/>
              <w:ind w:left="41"/>
              <w:rPr>
                <w:rFonts w:asciiTheme="majorBidi" w:hAnsiTheme="majorBidi" w:cstheme="majorBidi"/>
                <w:spacing w:val="-2"/>
                <w:sz w:val="18"/>
                <w:szCs w:val="18"/>
                <w:lang w:val="en-US" w:eastAsia="en-US"/>
              </w:rPr>
            </w:pPr>
            <w:r w:rsidRPr="00C532F9">
              <w:rPr>
                <w:rFonts w:asciiTheme="majorBidi" w:hAnsiTheme="majorBidi" w:cstheme="majorBidi"/>
                <w:spacing w:val="-2"/>
                <w:sz w:val="18"/>
                <w:szCs w:val="18"/>
                <w:lang w:val="en-US" w:eastAsia="en-US"/>
              </w:rPr>
              <w:t xml:space="preserve">       </w:t>
            </w:r>
            <w:r w:rsidRPr="00C532F9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eastAsia="en-US"/>
              </w:rPr>
              <w:t>ذكـور</w:t>
            </w:r>
          </w:p>
        </w:tc>
      </w:tr>
      <w:tr w:rsidR="00ED5B66" w:rsidRPr="00C532F9" w:rsidTr="00ED5B66">
        <w:trPr>
          <w:trHeight w:val="333"/>
          <w:jc w:val="center"/>
        </w:trPr>
        <w:tc>
          <w:tcPr>
            <w:tcW w:w="853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25,2</w:t>
            </w:r>
          </w:p>
        </w:tc>
        <w:tc>
          <w:tcPr>
            <w:tcW w:w="916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37,6</w:t>
            </w:r>
          </w:p>
        </w:tc>
        <w:tc>
          <w:tcPr>
            <w:tcW w:w="917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17,4</w:t>
            </w:r>
          </w:p>
        </w:tc>
        <w:tc>
          <w:tcPr>
            <w:tcW w:w="916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26,3</w:t>
            </w:r>
          </w:p>
        </w:tc>
        <w:tc>
          <w:tcPr>
            <w:tcW w:w="910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39,3</w:t>
            </w:r>
          </w:p>
        </w:tc>
        <w:tc>
          <w:tcPr>
            <w:tcW w:w="924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17,9</w:t>
            </w:r>
          </w:p>
        </w:tc>
        <w:tc>
          <w:tcPr>
            <w:tcW w:w="4011" w:type="dxa"/>
            <w:vAlign w:val="center"/>
          </w:tcPr>
          <w:p w:rsidR="00ED5B66" w:rsidRPr="00C532F9" w:rsidRDefault="00ED5B66" w:rsidP="00525B90">
            <w:pPr>
              <w:tabs>
                <w:tab w:val="left" w:pos="-720"/>
              </w:tabs>
              <w:suppressAutoHyphens/>
              <w:bidi/>
              <w:ind w:left="41"/>
              <w:rPr>
                <w:rFonts w:asciiTheme="majorBidi" w:hAnsiTheme="majorBidi" w:cstheme="majorBidi"/>
                <w:spacing w:val="-2"/>
                <w:sz w:val="18"/>
                <w:szCs w:val="18"/>
                <w:lang w:val="en-US" w:eastAsia="en-US"/>
              </w:rPr>
            </w:pPr>
            <w:r w:rsidRPr="00C532F9">
              <w:rPr>
                <w:rFonts w:asciiTheme="majorBidi" w:hAnsiTheme="majorBidi" w:cstheme="majorBidi"/>
                <w:spacing w:val="-2"/>
                <w:sz w:val="18"/>
                <w:szCs w:val="18"/>
                <w:lang w:val="en-US" w:eastAsia="en-US"/>
              </w:rPr>
              <w:t xml:space="preserve">       </w:t>
            </w:r>
            <w:r w:rsidRPr="00C532F9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eastAsia="en-US"/>
              </w:rPr>
              <w:t>إنـاث</w:t>
            </w:r>
          </w:p>
        </w:tc>
      </w:tr>
      <w:tr w:rsidR="00ED5B66" w:rsidRPr="00C532F9" w:rsidTr="00ED5B66">
        <w:trPr>
          <w:trHeight w:val="333"/>
          <w:jc w:val="center"/>
        </w:trPr>
        <w:tc>
          <w:tcPr>
            <w:tcW w:w="853" w:type="dxa"/>
            <w:tcBorders>
              <w:right w:val="nil"/>
            </w:tcBorders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17" w:type="dxa"/>
            <w:tcBorders>
              <w:left w:val="nil"/>
              <w:right w:val="nil"/>
            </w:tcBorders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10" w:type="dxa"/>
            <w:tcBorders>
              <w:left w:val="nil"/>
              <w:right w:val="nil"/>
            </w:tcBorders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nil"/>
              <w:right w:val="nil"/>
            </w:tcBorders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011" w:type="dxa"/>
            <w:tcBorders>
              <w:left w:val="nil"/>
            </w:tcBorders>
            <w:vAlign w:val="center"/>
          </w:tcPr>
          <w:p w:rsidR="00ED5B66" w:rsidRPr="00C532F9" w:rsidRDefault="00ED5B66" w:rsidP="00525B90">
            <w:pPr>
              <w:tabs>
                <w:tab w:val="left" w:pos="-720"/>
              </w:tabs>
              <w:suppressAutoHyphens/>
              <w:bidi/>
              <w:ind w:left="41"/>
              <w:rPr>
                <w:rFonts w:asciiTheme="majorBidi" w:hAnsiTheme="majorBidi" w:cstheme="majorBidi"/>
                <w:spacing w:val="-2"/>
                <w:sz w:val="18"/>
                <w:szCs w:val="18"/>
                <w:lang w:val="en-US" w:eastAsia="en-US"/>
              </w:rPr>
            </w:pPr>
            <w:r w:rsidRPr="00C532F9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eastAsia="en-US"/>
              </w:rPr>
              <w:t>. حسب السن</w:t>
            </w:r>
          </w:p>
        </w:tc>
      </w:tr>
      <w:tr w:rsidR="00ED5B66" w:rsidRPr="00C532F9" w:rsidTr="00ED5B66">
        <w:trPr>
          <w:trHeight w:val="333"/>
          <w:jc w:val="center"/>
        </w:trPr>
        <w:tc>
          <w:tcPr>
            <w:tcW w:w="853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30,2</w:t>
            </w:r>
          </w:p>
        </w:tc>
        <w:tc>
          <w:tcPr>
            <w:tcW w:w="916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40,2</w:t>
            </w:r>
          </w:p>
        </w:tc>
        <w:tc>
          <w:tcPr>
            <w:tcW w:w="917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22,0</w:t>
            </w:r>
          </w:p>
        </w:tc>
        <w:tc>
          <w:tcPr>
            <w:tcW w:w="916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32,1</w:t>
            </w:r>
          </w:p>
        </w:tc>
        <w:tc>
          <w:tcPr>
            <w:tcW w:w="910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43,0</w:t>
            </w:r>
          </w:p>
        </w:tc>
        <w:tc>
          <w:tcPr>
            <w:tcW w:w="924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23,0</w:t>
            </w:r>
          </w:p>
        </w:tc>
        <w:tc>
          <w:tcPr>
            <w:tcW w:w="4011" w:type="dxa"/>
            <w:vAlign w:val="center"/>
          </w:tcPr>
          <w:p w:rsidR="00ED5B66" w:rsidRPr="00C532F9" w:rsidRDefault="00ED5B66" w:rsidP="00525B90">
            <w:pPr>
              <w:tabs>
                <w:tab w:val="left" w:pos="-720"/>
              </w:tabs>
              <w:suppressAutoHyphens/>
              <w:bidi/>
              <w:ind w:left="41"/>
              <w:rPr>
                <w:rFonts w:asciiTheme="majorBidi" w:hAnsiTheme="majorBidi" w:cstheme="majorBidi"/>
                <w:spacing w:val="-2"/>
                <w:sz w:val="18"/>
                <w:szCs w:val="18"/>
                <w:lang w:val="en-US" w:eastAsia="en-US"/>
              </w:rPr>
            </w:pPr>
            <w:r w:rsidRPr="00C532F9">
              <w:rPr>
                <w:rFonts w:asciiTheme="majorBidi" w:hAnsiTheme="majorBidi" w:cstheme="majorBidi"/>
                <w:spacing w:val="-2"/>
                <w:sz w:val="18"/>
                <w:szCs w:val="18"/>
                <w:lang w:val="en-US" w:eastAsia="en-US"/>
              </w:rPr>
              <w:t xml:space="preserve">   24 – 15</w:t>
            </w:r>
            <w:r w:rsidRPr="00C532F9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ED5B66" w:rsidRPr="00C532F9" w:rsidTr="00ED5B66">
        <w:trPr>
          <w:trHeight w:val="333"/>
          <w:jc w:val="center"/>
        </w:trPr>
        <w:tc>
          <w:tcPr>
            <w:tcW w:w="853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61,3</w:t>
            </w:r>
          </w:p>
        </w:tc>
        <w:tc>
          <w:tcPr>
            <w:tcW w:w="916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66,4</w:t>
            </w:r>
          </w:p>
        </w:tc>
        <w:tc>
          <w:tcPr>
            <w:tcW w:w="917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58,0</w:t>
            </w:r>
          </w:p>
        </w:tc>
        <w:tc>
          <w:tcPr>
            <w:tcW w:w="916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62,5</w:t>
            </w:r>
          </w:p>
        </w:tc>
        <w:tc>
          <w:tcPr>
            <w:tcW w:w="910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66,5</w:t>
            </w:r>
          </w:p>
        </w:tc>
        <w:tc>
          <w:tcPr>
            <w:tcW w:w="924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59,8</w:t>
            </w:r>
          </w:p>
        </w:tc>
        <w:tc>
          <w:tcPr>
            <w:tcW w:w="4011" w:type="dxa"/>
            <w:vAlign w:val="center"/>
          </w:tcPr>
          <w:p w:rsidR="00ED5B66" w:rsidRPr="00C532F9" w:rsidRDefault="00ED5B66" w:rsidP="00525B90">
            <w:pPr>
              <w:tabs>
                <w:tab w:val="left" w:pos="-720"/>
              </w:tabs>
              <w:suppressAutoHyphens/>
              <w:bidi/>
              <w:ind w:left="41"/>
              <w:rPr>
                <w:rFonts w:asciiTheme="majorBidi" w:hAnsiTheme="majorBidi" w:cstheme="majorBidi"/>
                <w:spacing w:val="-2"/>
                <w:sz w:val="18"/>
                <w:szCs w:val="18"/>
                <w:lang w:val="en-US" w:eastAsia="en-US"/>
              </w:rPr>
            </w:pPr>
            <w:r w:rsidRPr="00C532F9">
              <w:rPr>
                <w:rFonts w:asciiTheme="majorBidi" w:hAnsiTheme="majorBidi" w:cstheme="majorBidi"/>
                <w:spacing w:val="-2"/>
                <w:sz w:val="18"/>
                <w:szCs w:val="18"/>
                <w:lang w:val="en-US" w:eastAsia="en-US"/>
              </w:rPr>
              <w:t xml:space="preserve">   34 – 25</w:t>
            </w:r>
            <w:r w:rsidRPr="00C532F9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ED5B66" w:rsidRPr="00C532F9" w:rsidTr="00ED5B66">
        <w:trPr>
          <w:trHeight w:val="333"/>
          <w:jc w:val="center"/>
        </w:trPr>
        <w:tc>
          <w:tcPr>
            <w:tcW w:w="853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60,4</w:t>
            </w:r>
          </w:p>
        </w:tc>
        <w:tc>
          <w:tcPr>
            <w:tcW w:w="916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68,9</w:t>
            </w:r>
          </w:p>
        </w:tc>
        <w:tc>
          <w:tcPr>
            <w:tcW w:w="917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55,8</w:t>
            </w:r>
          </w:p>
        </w:tc>
        <w:tc>
          <w:tcPr>
            <w:tcW w:w="916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61,4</w:t>
            </w:r>
          </w:p>
        </w:tc>
        <w:tc>
          <w:tcPr>
            <w:tcW w:w="910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70,6</w:t>
            </w:r>
          </w:p>
        </w:tc>
        <w:tc>
          <w:tcPr>
            <w:tcW w:w="924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56,3</w:t>
            </w:r>
          </w:p>
        </w:tc>
        <w:tc>
          <w:tcPr>
            <w:tcW w:w="4011" w:type="dxa"/>
            <w:vAlign w:val="center"/>
          </w:tcPr>
          <w:p w:rsidR="00ED5B66" w:rsidRPr="00C532F9" w:rsidRDefault="00ED5B66" w:rsidP="00525B90">
            <w:pPr>
              <w:tabs>
                <w:tab w:val="left" w:pos="-720"/>
              </w:tabs>
              <w:suppressAutoHyphens/>
              <w:bidi/>
              <w:ind w:left="41"/>
              <w:rPr>
                <w:rFonts w:asciiTheme="majorBidi" w:hAnsiTheme="majorBidi" w:cstheme="majorBidi"/>
                <w:spacing w:val="-2"/>
                <w:sz w:val="18"/>
                <w:szCs w:val="18"/>
                <w:lang w:val="en-US" w:eastAsia="en-US"/>
              </w:rPr>
            </w:pPr>
            <w:r w:rsidRPr="00C532F9">
              <w:rPr>
                <w:rFonts w:asciiTheme="majorBidi" w:hAnsiTheme="majorBidi" w:cstheme="majorBidi"/>
                <w:spacing w:val="-2"/>
                <w:sz w:val="18"/>
                <w:szCs w:val="18"/>
                <w:lang w:val="en-US" w:eastAsia="en-US"/>
              </w:rPr>
              <w:t xml:space="preserve">   44 – 35</w:t>
            </w:r>
            <w:r w:rsidRPr="00C532F9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ED5B66" w:rsidRPr="00C532F9" w:rsidTr="00ED5B66">
        <w:trPr>
          <w:trHeight w:val="333"/>
          <w:jc w:val="center"/>
        </w:trPr>
        <w:tc>
          <w:tcPr>
            <w:tcW w:w="853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45,1</w:t>
            </w:r>
          </w:p>
        </w:tc>
        <w:tc>
          <w:tcPr>
            <w:tcW w:w="916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59,6</w:t>
            </w:r>
          </w:p>
        </w:tc>
        <w:tc>
          <w:tcPr>
            <w:tcW w:w="917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37,2</w:t>
            </w:r>
          </w:p>
        </w:tc>
        <w:tc>
          <w:tcPr>
            <w:tcW w:w="916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45,2</w:t>
            </w:r>
          </w:p>
        </w:tc>
        <w:tc>
          <w:tcPr>
            <w:tcW w:w="910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59,6</w:t>
            </w:r>
          </w:p>
        </w:tc>
        <w:tc>
          <w:tcPr>
            <w:tcW w:w="924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37,1</w:t>
            </w:r>
          </w:p>
        </w:tc>
        <w:tc>
          <w:tcPr>
            <w:tcW w:w="4011" w:type="dxa"/>
            <w:vAlign w:val="center"/>
          </w:tcPr>
          <w:p w:rsidR="00ED5B66" w:rsidRPr="00C532F9" w:rsidRDefault="00ED5B66" w:rsidP="00525B90">
            <w:pPr>
              <w:tabs>
                <w:tab w:val="left" w:pos="-720"/>
              </w:tabs>
              <w:suppressAutoHyphens/>
              <w:bidi/>
              <w:ind w:left="41"/>
              <w:rPr>
                <w:rFonts w:asciiTheme="majorBidi" w:hAnsiTheme="majorBidi" w:cstheme="majorBidi"/>
                <w:spacing w:val="-2"/>
                <w:sz w:val="18"/>
                <w:szCs w:val="18"/>
                <w:lang w:val="en-US" w:eastAsia="en-US"/>
              </w:rPr>
            </w:pPr>
            <w:r w:rsidRPr="00C532F9">
              <w:rPr>
                <w:rFonts w:asciiTheme="majorBidi" w:hAnsiTheme="majorBidi" w:cstheme="majorBidi"/>
                <w:spacing w:val="-2"/>
                <w:sz w:val="18"/>
                <w:szCs w:val="18"/>
                <w:lang w:val="en-US" w:eastAsia="en-US"/>
              </w:rPr>
              <w:t xml:space="preserve">   45</w:t>
            </w:r>
            <w:r w:rsidRPr="00C532F9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  <w:r w:rsidRPr="00C532F9">
              <w:rPr>
                <w:rFonts w:asciiTheme="majorBidi" w:hAnsiTheme="majorBidi" w:cstheme="majorBidi"/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C532F9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eastAsia="en-US"/>
              </w:rPr>
              <w:t>فأكثـر</w:t>
            </w:r>
          </w:p>
        </w:tc>
      </w:tr>
      <w:tr w:rsidR="00ED5B66" w:rsidRPr="00C532F9" w:rsidTr="00ED5B66">
        <w:trPr>
          <w:trHeight w:val="333"/>
          <w:jc w:val="center"/>
        </w:trPr>
        <w:tc>
          <w:tcPr>
            <w:tcW w:w="853" w:type="dxa"/>
            <w:tcBorders>
              <w:right w:val="nil"/>
            </w:tcBorders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17" w:type="dxa"/>
            <w:tcBorders>
              <w:left w:val="nil"/>
              <w:right w:val="nil"/>
            </w:tcBorders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10" w:type="dxa"/>
            <w:tcBorders>
              <w:left w:val="nil"/>
              <w:right w:val="nil"/>
            </w:tcBorders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nil"/>
              <w:right w:val="nil"/>
            </w:tcBorders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011" w:type="dxa"/>
            <w:tcBorders>
              <w:left w:val="nil"/>
            </w:tcBorders>
            <w:vAlign w:val="center"/>
          </w:tcPr>
          <w:p w:rsidR="00ED5B66" w:rsidRPr="00C532F9" w:rsidRDefault="00ED5B66" w:rsidP="00525B90">
            <w:pPr>
              <w:tabs>
                <w:tab w:val="left" w:pos="-720"/>
              </w:tabs>
              <w:suppressAutoHyphens/>
              <w:bidi/>
              <w:ind w:left="41"/>
              <w:rPr>
                <w:rFonts w:asciiTheme="majorBidi" w:hAnsiTheme="majorBidi" w:cstheme="majorBidi"/>
                <w:spacing w:val="-2"/>
                <w:sz w:val="18"/>
                <w:szCs w:val="18"/>
                <w:lang w:val="en-US" w:eastAsia="en-US"/>
              </w:rPr>
            </w:pPr>
            <w:r w:rsidRPr="00C532F9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eastAsia="en-US"/>
              </w:rPr>
              <w:t>. حسب الشهادة</w:t>
            </w:r>
          </w:p>
        </w:tc>
      </w:tr>
      <w:tr w:rsidR="00ED5B66" w:rsidRPr="00C532F9" w:rsidTr="00ED5B66">
        <w:trPr>
          <w:trHeight w:val="333"/>
          <w:jc w:val="center"/>
        </w:trPr>
        <w:tc>
          <w:tcPr>
            <w:tcW w:w="853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48,6</w:t>
            </w:r>
          </w:p>
        </w:tc>
        <w:tc>
          <w:tcPr>
            <w:tcW w:w="916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60,1</w:t>
            </w:r>
          </w:p>
        </w:tc>
        <w:tc>
          <w:tcPr>
            <w:tcW w:w="917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36,9</w:t>
            </w:r>
          </w:p>
        </w:tc>
        <w:tc>
          <w:tcPr>
            <w:tcW w:w="916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49,4</w:t>
            </w:r>
          </w:p>
        </w:tc>
        <w:tc>
          <w:tcPr>
            <w:tcW w:w="910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60,8</w:t>
            </w:r>
          </w:p>
        </w:tc>
        <w:tc>
          <w:tcPr>
            <w:tcW w:w="924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37,7</w:t>
            </w:r>
          </w:p>
        </w:tc>
        <w:tc>
          <w:tcPr>
            <w:tcW w:w="4011" w:type="dxa"/>
            <w:vAlign w:val="center"/>
          </w:tcPr>
          <w:p w:rsidR="00ED5B66" w:rsidRPr="00C532F9" w:rsidRDefault="00ED5B66" w:rsidP="00525B90">
            <w:pPr>
              <w:tabs>
                <w:tab w:val="left" w:pos="-720"/>
              </w:tabs>
              <w:suppressAutoHyphens/>
              <w:bidi/>
              <w:ind w:left="41"/>
              <w:rPr>
                <w:rFonts w:asciiTheme="majorBidi" w:hAnsiTheme="majorBidi" w:cstheme="majorBidi"/>
                <w:spacing w:val="-2"/>
                <w:sz w:val="18"/>
                <w:szCs w:val="18"/>
                <w:lang w:val="en-US" w:eastAsia="en-US"/>
              </w:rPr>
            </w:pPr>
            <w:r w:rsidRPr="00C532F9">
              <w:rPr>
                <w:rFonts w:asciiTheme="majorBidi" w:hAnsiTheme="majorBidi" w:cstheme="majorBidi"/>
                <w:spacing w:val="-2"/>
                <w:sz w:val="18"/>
                <w:szCs w:val="18"/>
                <w:lang w:val="en-US" w:eastAsia="en-US"/>
              </w:rPr>
              <w:t xml:space="preserve">      </w:t>
            </w:r>
            <w:r w:rsidRPr="00C532F9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eastAsia="en-US"/>
              </w:rPr>
              <w:t>بـدون شهـادة</w:t>
            </w:r>
          </w:p>
        </w:tc>
      </w:tr>
      <w:tr w:rsidR="00ED5B66" w:rsidRPr="00C532F9" w:rsidTr="00ED5B66">
        <w:trPr>
          <w:trHeight w:val="333"/>
          <w:jc w:val="center"/>
        </w:trPr>
        <w:tc>
          <w:tcPr>
            <w:tcW w:w="853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47,2</w:t>
            </w:r>
          </w:p>
        </w:tc>
        <w:tc>
          <w:tcPr>
            <w:tcW w:w="916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48,1</w:t>
            </w:r>
          </w:p>
        </w:tc>
        <w:tc>
          <w:tcPr>
            <w:tcW w:w="917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46,9</w:t>
            </w:r>
          </w:p>
        </w:tc>
        <w:tc>
          <w:tcPr>
            <w:tcW w:w="916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48,2</w:t>
            </w:r>
          </w:p>
        </w:tc>
        <w:tc>
          <w:tcPr>
            <w:tcW w:w="910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49,8</w:t>
            </w:r>
          </w:p>
        </w:tc>
        <w:tc>
          <w:tcPr>
            <w:tcW w:w="924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47,7</w:t>
            </w:r>
          </w:p>
        </w:tc>
        <w:tc>
          <w:tcPr>
            <w:tcW w:w="4011" w:type="dxa"/>
            <w:vAlign w:val="center"/>
          </w:tcPr>
          <w:p w:rsidR="00ED5B66" w:rsidRPr="00C532F9" w:rsidRDefault="00ED5B66" w:rsidP="00525B90">
            <w:pPr>
              <w:tabs>
                <w:tab w:val="left" w:pos="-720"/>
              </w:tabs>
              <w:suppressAutoHyphens/>
              <w:bidi/>
              <w:ind w:left="41"/>
              <w:rPr>
                <w:rFonts w:asciiTheme="majorBidi" w:hAnsiTheme="majorBidi" w:cstheme="majorBidi"/>
                <w:spacing w:val="-2"/>
                <w:sz w:val="18"/>
                <w:szCs w:val="18"/>
                <w:lang w:val="en-US" w:eastAsia="en-US"/>
              </w:rPr>
            </w:pPr>
            <w:r w:rsidRPr="00C532F9">
              <w:rPr>
                <w:rFonts w:asciiTheme="majorBidi" w:hAnsiTheme="majorBidi" w:cstheme="majorBidi"/>
                <w:spacing w:val="-2"/>
                <w:sz w:val="18"/>
                <w:szCs w:val="18"/>
                <w:lang w:val="en-US" w:eastAsia="en-US"/>
              </w:rPr>
              <w:t xml:space="preserve">     </w:t>
            </w:r>
            <w:r w:rsidRPr="00C532F9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eastAsia="en-US"/>
              </w:rPr>
              <w:t>حاصـل علـى شهـادة</w:t>
            </w:r>
          </w:p>
        </w:tc>
      </w:tr>
      <w:tr w:rsidR="00ED5B66" w:rsidRPr="00C532F9" w:rsidTr="00ED5B66">
        <w:trPr>
          <w:trHeight w:val="333"/>
          <w:jc w:val="center"/>
        </w:trPr>
        <w:tc>
          <w:tcPr>
            <w:tcW w:w="853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10929</w:t>
            </w:r>
          </w:p>
        </w:tc>
        <w:tc>
          <w:tcPr>
            <w:tcW w:w="916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5362</w:t>
            </w:r>
          </w:p>
        </w:tc>
        <w:tc>
          <w:tcPr>
            <w:tcW w:w="917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5567</w:t>
            </w:r>
          </w:p>
        </w:tc>
        <w:tc>
          <w:tcPr>
            <w:tcW w:w="916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10891</w:t>
            </w:r>
          </w:p>
        </w:tc>
        <w:tc>
          <w:tcPr>
            <w:tcW w:w="910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5396</w:t>
            </w:r>
          </w:p>
        </w:tc>
        <w:tc>
          <w:tcPr>
            <w:tcW w:w="924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5495</w:t>
            </w:r>
          </w:p>
        </w:tc>
        <w:tc>
          <w:tcPr>
            <w:tcW w:w="4011" w:type="dxa"/>
            <w:vAlign w:val="center"/>
          </w:tcPr>
          <w:p w:rsidR="00ED5B66" w:rsidRPr="00C532F9" w:rsidRDefault="00ED5B66" w:rsidP="00525B90">
            <w:pPr>
              <w:tabs>
                <w:tab w:val="left" w:pos="-720"/>
              </w:tabs>
              <w:suppressAutoHyphens/>
              <w:bidi/>
              <w:ind w:left="41"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C532F9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السكـان النشيطـون المشتغلـون (بالآلاف)</w:t>
            </w:r>
          </w:p>
        </w:tc>
      </w:tr>
      <w:tr w:rsidR="00ED5B66" w:rsidRPr="00C532F9" w:rsidTr="00ED5B66">
        <w:trPr>
          <w:trHeight w:val="333"/>
          <w:jc w:val="center"/>
        </w:trPr>
        <w:tc>
          <w:tcPr>
            <w:tcW w:w="853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43,9</w:t>
            </w:r>
          </w:p>
        </w:tc>
        <w:tc>
          <w:tcPr>
            <w:tcW w:w="916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55,3</w:t>
            </w:r>
          </w:p>
        </w:tc>
        <w:tc>
          <w:tcPr>
            <w:tcW w:w="917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36,6</w:t>
            </w:r>
          </w:p>
        </w:tc>
        <w:tc>
          <w:tcPr>
            <w:tcW w:w="916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44,4</w:t>
            </w:r>
          </w:p>
        </w:tc>
        <w:tc>
          <w:tcPr>
            <w:tcW w:w="910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56,1</w:t>
            </w:r>
          </w:p>
        </w:tc>
        <w:tc>
          <w:tcPr>
            <w:tcW w:w="924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36,8</w:t>
            </w:r>
          </w:p>
        </w:tc>
        <w:tc>
          <w:tcPr>
            <w:tcW w:w="4011" w:type="dxa"/>
            <w:vAlign w:val="center"/>
          </w:tcPr>
          <w:p w:rsidR="00ED5B66" w:rsidRPr="00C532F9" w:rsidRDefault="00ED5B66" w:rsidP="00525B90">
            <w:pPr>
              <w:tabs>
                <w:tab w:val="left" w:pos="-720"/>
              </w:tabs>
              <w:suppressAutoHyphens/>
              <w:bidi/>
              <w:ind w:left="41"/>
              <w:rPr>
                <w:rFonts w:asciiTheme="majorBidi" w:hAnsiTheme="majorBidi" w:cstheme="majorBidi"/>
                <w:spacing w:val="-2"/>
                <w:sz w:val="18"/>
                <w:szCs w:val="18"/>
                <w:lang w:eastAsia="en-US"/>
              </w:rPr>
            </w:pPr>
            <w:r w:rsidRPr="00C532F9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eastAsia="en-US"/>
              </w:rPr>
              <w:t>معدل الشغل (%)</w:t>
            </w:r>
          </w:p>
        </w:tc>
      </w:tr>
      <w:tr w:rsidR="00ED5B66" w:rsidRPr="00C532F9" w:rsidTr="00ED5B66">
        <w:trPr>
          <w:trHeight w:val="333"/>
          <w:jc w:val="center"/>
        </w:trPr>
        <w:tc>
          <w:tcPr>
            <w:tcW w:w="853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78,5</w:t>
            </w:r>
          </w:p>
        </w:tc>
        <w:tc>
          <w:tcPr>
            <w:tcW w:w="916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59,5</w:t>
            </w:r>
          </w:p>
        </w:tc>
        <w:tc>
          <w:tcPr>
            <w:tcW w:w="917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96,8</w:t>
            </w:r>
          </w:p>
        </w:tc>
        <w:tc>
          <w:tcPr>
            <w:tcW w:w="916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77,1</w:t>
            </w:r>
          </w:p>
        </w:tc>
        <w:tc>
          <w:tcPr>
            <w:tcW w:w="910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58,0</w:t>
            </w:r>
          </w:p>
        </w:tc>
        <w:tc>
          <w:tcPr>
            <w:tcW w:w="924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95,9</w:t>
            </w:r>
          </w:p>
        </w:tc>
        <w:tc>
          <w:tcPr>
            <w:tcW w:w="4011" w:type="dxa"/>
            <w:vAlign w:val="center"/>
          </w:tcPr>
          <w:p w:rsidR="00ED5B66" w:rsidRPr="00C532F9" w:rsidRDefault="00ED5B66" w:rsidP="00525B90">
            <w:pPr>
              <w:tabs>
                <w:tab w:val="left" w:pos="-720"/>
              </w:tabs>
              <w:suppressAutoHyphens/>
              <w:bidi/>
              <w:ind w:left="41"/>
              <w:rPr>
                <w:rFonts w:asciiTheme="majorBidi" w:hAnsiTheme="majorBidi" w:cstheme="majorBidi"/>
                <w:spacing w:val="-2"/>
                <w:sz w:val="18"/>
                <w:szCs w:val="18"/>
                <w:lang w:eastAsia="en-US"/>
              </w:rPr>
            </w:pPr>
            <w:r w:rsidRPr="00C532F9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eastAsia="en-US"/>
              </w:rPr>
              <w:t>نسبة الشغل المؤدى عنه ضمـن الشغـل الكلي، منها</w:t>
            </w:r>
            <w:r w:rsidRPr="00C532F9">
              <w:rPr>
                <w:rFonts w:asciiTheme="majorBidi" w:hAnsiTheme="majorBidi" w:cstheme="majorBidi"/>
                <w:spacing w:val="-2"/>
                <w:sz w:val="18"/>
                <w:szCs w:val="18"/>
                <w:lang w:eastAsia="en-US"/>
              </w:rPr>
              <w:t xml:space="preserve"> :</w:t>
            </w:r>
          </w:p>
        </w:tc>
      </w:tr>
      <w:tr w:rsidR="00ED5B66" w:rsidRPr="00C532F9" w:rsidTr="00ED5B66">
        <w:trPr>
          <w:trHeight w:val="333"/>
          <w:jc w:val="center"/>
        </w:trPr>
        <w:tc>
          <w:tcPr>
            <w:tcW w:w="853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59,4</w:t>
            </w:r>
          </w:p>
        </w:tc>
        <w:tc>
          <w:tcPr>
            <w:tcW w:w="916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43,3</w:t>
            </w:r>
          </w:p>
        </w:tc>
        <w:tc>
          <w:tcPr>
            <w:tcW w:w="917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68,9</w:t>
            </w:r>
          </w:p>
        </w:tc>
        <w:tc>
          <w:tcPr>
            <w:tcW w:w="916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59,3</w:t>
            </w:r>
          </w:p>
        </w:tc>
        <w:tc>
          <w:tcPr>
            <w:tcW w:w="910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42,2</w:t>
            </w:r>
          </w:p>
        </w:tc>
        <w:tc>
          <w:tcPr>
            <w:tcW w:w="924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69,4</w:t>
            </w:r>
          </w:p>
        </w:tc>
        <w:tc>
          <w:tcPr>
            <w:tcW w:w="4011" w:type="dxa"/>
            <w:vAlign w:val="center"/>
          </w:tcPr>
          <w:p w:rsidR="00ED5B66" w:rsidRPr="00C532F9" w:rsidRDefault="00ED5B66" w:rsidP="00525B90">
            <w:pPr>
              <w:tabs>
                <w:tab w:val="left" w:pos="-720"/>
              </w:tabs>
              <w:suppressAutoHyphens/>
              <w:bidi/>
              <w:ind w:left="41"/>
              <w:rPr>
                <w:rFonts w:asciiTheme="majorBidi" w:hAnsiTheme="majorBidi" w:cstheme="majorBidi"/>
                <w:spacing w:val="-2"/>
                <w:sz w:val="18"/>
                <w:szCs w:val="18"/>
                <w:lang w:val="en-US" w:eastAsia="en-US"/>
              </w:rPr>
            </w:pPr>
            <w:r w:rsidRPr="00C532F9">
              <w:rPr>
                <w:rFonts w:asciiTheme="majorBidi" w:hAnsiTheme="majorBidi" w:cstheme="majorBidi"/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C532F9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 w:eastAsia="en-US"/>
              </w:rPr>
              <w:t>.</w:t>
            </w:r>
            <w:r w:rsidRPr="00C532F9">
              <w:rPr>
                <w:rFonts w:asciiTheme="majorBidi" w:hAnsiTheme="majorBidi" w:cstheme="majorBidi"/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C532F9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eastAsia="en-US"/>
              </w:rPr>
              <w:t>العمل المستأجر</w:t>
            </w:r>
            <w:r w:rsidRPr="00C532F9">
              <w:rPr>
                <w:rFonts w:asciiTheme="majorBidi" w:hAnsiTheme="majorBidi" w:cstheme="majorBidi"/>
                <w:spacing w:val="-2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ED5B66" w:rsidRPr="00C532F9" w:rsidTr="00ED5B66">
        <w:trPr>
          <w:trHeight w:val="333"/>
          <w:jc w:val="center"/>
        </w:trPr>
        <w:tc>
          <w:tcPr>
            <w:tcW w:w="853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40,6</w:t>
            </w:r>
          </w:p>
        </w:tc>
        <w:tc>
          <w:tcPr>
            <w:tcW w:w="916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56,7</w:t>
            </w:r>
          </w:p>
        </w:tc>
        <w:tc>
          <w:tcPr>
            <w:tcW w:w="917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31,1</w:t>
            </w:r>
          </w:p>
        </w:tc>
        <w:tc>
          <w:tcPr>
            <w:tcW w:w="916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40,7</w:t>
            </w:r>
          </w:p>
        </w:tc>
        <w:tc>
          <w:tcPr>
            <w:tcW w:w="910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57,8</w:t>
            </w:r>
          </w:p>
        </w:tc>
        <w:tc>
          <w:tcPr>
            <w:tcW w:w="924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30,6</w:t>
            </w:r>
          </w:p>
        </w:tc>
        <w:tc>
          <w:tcPr>
            <w:tcW w:w="4011" w:type="dxa"/>
            <w:vAlign w:val="center"/>
          </w:tcPr>
          <w:p w:rsidR="00ED5B66" w:rsidRPr="00C532F9" w:rsidRDefault="00ED5B66" w:rsidP="00525B90">
            <w:pPr>
              <w:tabs>
                <w:tab w:val="left" w:pos="-720"/>
              </w:tabs>
              <w:suppressAutoHyphens/>
              <w:bidi/>
              <w:ind w:left="41"/>
              <w:rPr>
                <w:rFonts w:asciiTheme="majorBidi" w:hAnsiTheme="majorBidi" w:cstheme="majorBidi"/>
                <w:spacing w:val="-2"/>
                <w:sz w:val="18"/>
                <w:szCs w:val="18"/>
                <w:lang w:val="en-US" w:eastAsia="en-US"/>
              </w:rPr>
            </w:pPr>
            <w:r w:rsidRPr="00C532F9">
              <w:rPr>
                <w:rFonts w:asciiTheme="majorBidi" w:hAnsiTheme="majorBidi" w:cstheme="majorBidi"/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C532F9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 w:eastAsia="en-US"/>
              </w:rPr>
              <w:t>.</w:t>
            </w:r>
            <w:r w:rsidRPr="00C532F9">
              <w:rPr>
                <w:rFonts w:asciiTheme="majorBidi" w:hAnsiTheme="majorBidi" w:cstheme="majorBidi"/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C532F9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eastAsia="en-US"/>
              </w:rPr>
              <w:t>الشغل الذاتي</w:t>
            </w:r>
            <w:r w:rsidRPr="00C532F9">
              <w:rPr>
                <w:rFonts w:asciiTheme="majorBidi" w:hAnsiTheme="majorBidi" w:cstheme="majorBidi"/>
                <w:spacing w:val="-2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ED5B66" w:rsidRPr="00C532F9" w:rsidTr="00ED5B66">
        <w:trPr>
          <w:trHeight w:val="333"/>
          <w:jc w:val="center"/>
        </w:trPr>
        <w:tc>
          <w:tcPr>
            <w:tcW w:w="853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1182</w:t>
            </w:r>
          </w:p>
        </w:tc>
        <w:tc>
          <w:tcPr>
            <w:tcW w:w="916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643</w:t>
            </w:r>
          </w:p>
        </w:tc>
        <w:tc>
          <w:tcPr>
            <w:tcW w:w="917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539</w:t>
            </w:r>
          </w:p>
        </w:tc>
        <w:tc>
          <w:tcPr>
            <w:tcW w:w="916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1137</w:t>
            </w:r>
          </w:p>
        </w:tc>
        <w:tc>
          <w:tcPr>
            <w:tcW w:w="910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630</w:t>
            </w:r>
          </w:p>
        </w:tc>
        <w:tc>
          <w:tcPr>
            <w:tcW w:w="924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507</w:t>
            </w:r>
          </w:p>
        </w:tc>
        <w:tc>
          <w:tcPr>
            <w:tcW w:w="4011" w:type="dxa"/>
            <w:vAlign w:val="center"/>
          </w:tcPr>
          <w:p w:rsidR="00ED5B66" w:rsidRPr="00C532F9" w:rsidRDefault="00ED5B66" w:rsidP="00525B90">
            <w:pPr>
              <w:pStyle w:val="Paragraphedeliste"/>
              <w:numPr>
                <w:ilvl w:val="0"/>
                <w:numId w:val="1"/>
              </w:numPr>
              <w:tabs>
                <w:tab w:val="left" w:pos="-720"/>
                <w:tab w:val="num" w:pos="201"/>
              </w:tabs>
              <w:suppressAutoHyphens/>
              <w:bidi/>
              <w:ind w:left="41"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</w:rPr>
            </w:pPr>
            <w:r w:rsidRPr="00C532F9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السكان النشيطون المشتغلون في حالة شغل ناقص (بالآلاف)</w:t>
            </w:r>
          </w:p>
        </w:tc>
      </w:tr>
      <w:tr w:rsidR="00ED5B66" w:rsidRPr="00C532F9" w:rsidTr="00ED5B66">
        <w:trPr>
          <w:trHeight w:val="333"/>
          <w:jc w:val="center"/>
        </w:trPr>
        <w:tc>
          <w:tcPr>
            <w:tcW w:w="853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10,8</w:t>
            </w:r>
          </w:p>
        </w:tc>
        <w:tc>
          <w:tcPr>
            <w:tcW w:w="916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12,0</w:t>
            </w:r>
          </w:p>
        </w:tc>
        <w:tc>
          <w:tcPr>
            <w:tcW w:w="917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9,7</w:t>
            </w:r>
          </w:p>
        </w:tc>
        <w:tc>
          <w:tcPr>
            <w:tcW w:w="916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10,4</w:t>
            </w:r>
          </w:p>
        </w:tc>
        <w:tc>
          <w:tcPr>
            <w:tcW w:w="910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11,7</w:t>
            </w:r>
          </w:p>
        </w:tc>
        <w:tc>
          <w:tcPr>
            <w:tcW w:w="924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9,2</w:t>
            </w:r>
          </w:p>
        </w:tc>
        <w:tc>
          <w:tcPr>
            <w:tcW w:w="4011" w:type="dxa"/>
            <w:vAlign w:val="center"/>
          </w:tcPr>
          <w:p w:rsidR="00ED5B66" w:rsidRPr="00C532F9" w:rsidRDefault="00ED5B66" w:rsidP="00525B90">
            <w:pPr>
              <w:pStyle w:val="Paragraphedeliste"/>
              <w:numPr>
                <w:ilvl w:val="0"/>
                <w:numId w:val="1"/>
              </w:numPr>
              <w:tabs>
                <w:tab w:val="left" w:pos="-720"/>
                <w:tab w:val="num" w:pos="201"/>
              </w:tabs>
              <w:suppressAutoHyphens/>
              <w:bidi/>
              <w:ind w:left="41" w:hanging="141"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C532F9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 xml:space="preserve">معدل الشغل الناقص (%) </w:t>
            </w:r>
          </w:p>
        </w:tc>
      </w:tr>
      <w:tr w:rsidR="00ED5B66" w:rsidRPr="00C532F9" w:rsidTr="00ED5B66">
        <w:trPr>
          <w:trHeight w:val="333"/>
          <w:jc w:val="center"/>
        </w:trPr>
        <w:tc>
          <w:tcPr>
            <w:tcW w:w="853" w:type="dxa"/>
            <w:tcBorders>
              <w:right w:val="nil"/>
            </w:tcBorders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17" w:type="dxa"/>
            <w:tcBorders>
              <w:left w:val="nil"/>
              <w:right w:val="nil"/>
            </w:tcBorders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10" w:type="dxa"/>
            <w:tcBorders>
              <w:left w:val="nil"/>
              <w:right w:val="nil"/>
            </w:tcBorders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nil"/>
              <w:right w:val="nil"/>
            </w:tcBorders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011" w:type="dxa"/>
            <w:tcBorders>
              <w:left w:val="nil"/>
            </w:tcBorders>
            <w:vAlign w:val="center"/>
          </w:tcPr>
          <w:p w:rsidR="00ED5B66" w:rsidRPr="00C532F9" w:rsidRDefault="00ED5B66" w:rsidP="00525B90">
            <w:pPr>
              <w:tabs>
                <w:tab w:val="left" w:pos="-720"/>
              </w:tabs>
              <w:suppressAutoHyphens/>
              <w:bidi/>
              <w:ind w:left="41"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</w:pPr>
            <w:r w:rsidRPr="00C532F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البطالـة</w:t>
            </w:r>
          </w:p>
        </w:tc>
      </w:tr>
      <w:tr w:rsidR="00ED5B66" w:rsidRPr="00C532F9" w:rsidTr="00ED5B66">
        <w:trPr>
          <w:trHeight w:val="333"/>
          <w:jc w:val="center"/>
        </w:trPr>
        <w:tc>
          <w:tcPr>
            <w:tcW w:w="853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1041</w:t>
            </w:r>
          </w:p>
        </w:tc>
        <w:tc>
          <w:tcPr>
            <w:tcW w:w="916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183</w:t>
            </w:r>
          </w:p>
        </w:tc>
        <w:tc>
          <w:tcPr>
            <w:tcW w:w="917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858</w:t>
            </w:r>
          </w:p>
        </w:tc>
        <w:tc>
          <w:tcPr>
            <w:tcW w:w="916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1114</w:t>
            </w:r>
          </w:p>
        </w:tc>
        <w:tc>
          <w:tcPr>
            <w:tcW w:w="910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202</w:t>
            </w:r>
          </w:p>
        </w:tc>
        <w:tc>
          <w:tcPr>
            <w:tcW w:w="924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912</w:t>
            </w:r>
          </w:p>
        </w:tc>
        <w:tc>
          <w:tcPr>
            <w:tcW w:w="4011" w:type="dxa"/>
            <w:vAlign w:val="center"/>
          </w:tcPr>
          <w:p w:rsidR="00ED5B66" w:rsidRPr="00C532F9" w:rsidRDefault="00ED5B66" w:rsidP="00525B90">
            <w:pPr>
              <w:tabs>
                <w:tab w:val="left" w:pos="-720"/>
              </w:tabs>
              <w:suppressAutoHyphens/>
              <w:bidi/>
              <w:ind w:left="41"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C532F9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السكـان النشيطـون العاطلـون (بالآلاف)</w:t>
            </w:r>
          </w:p>
        </w:tc>
      </w:tr>
      <w:tr w:rsidR="00ED5B66" w:rsidRPr="00C532F9" w:rsidTr="00ED5B66">
        <w:trPr>
          <w:trHeight w:val="333"/>
          <w:jc w:val="center"/>
        </w:trPr>
        <w:tc>
          <w:tcPr>
            <w:tcW w:w="853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28,1</w:t>
            </w:r>
          </w:p>
        </w:tc>
        <w:tc>
          <w:tcPr>
            <w:tcW w:w="916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15,0</w:t>
            </w:r>
          </w:p>
        </w:tc>
        <w:tc>
          <w:tcPr>
            <w:tcW w:w="917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30,8</w:t>
            </w:r>
          </w:p>
        </w:tc>
        <w:tc>
          <w:tcPr>
            <w:tcW w:w="916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26,9</w:t>
            </w:r>
          </w:p>
        </w:tc>
        <w:tc>
          <w:tcPr>
            <w:tcW w:w="910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13,9</w:t>
            </w:r>
          </w:p>
        </w:tc>
        <w:tc>
          <w:tcPr>
            <w:tcW w:w="924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29,7</w:t>
            </w:r>
          </w:p>
        </w:tc>
        <w:tc>
          <w:tcPr>
            <w:tcW w:w="4011" w:type="dxa"/>
            <w:vAlign w:val="center"/>
          </w:tcPr>
          <w:p w:rsidR="00ED5B66" w:rsidRPr="00C532F9" w:rsidRDefault="00ED5B66" w:rsidP="00525B90">
            <w:pPr>
              <w:tabs>
                <w:tab w:val="left" w:pos="-720"/>
              </w:tabs>
              <w:suppressAutoHyphens/>
              <w:bidi/>
              <w:ind w:left="41"/>
              <w:rPr>
                <w:rFonts w:asciiTheme="majorBidi" w:hAnsiTheme="majorBidi" w:cstheme="majorBidi"/>
                <w:spacing w:val="-2"/>
                <w:sz w:val="18"/>
                <w:szCs w:val="18"/>
                <w:lang w:eastAsia="en-US"/>
              </w:rPr>
            </w:pPr>
            <w:r w:rsidRPr="00C532F9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eastAsia="en-US"/>
              </w:rPr>
              <w:t>نسبة الإنـاث ضمـن السكان النشيطين العاطلين (%)</w:t>
            </w:r>
          </w:p>
        </w:tc>
      </w:tr>
      <w:tr w:rsidR="00ED5B66" w:rsidRPr="00C532F9" w:rsidTr="00ED5B66">
        <w:trPr>
          <w:trHeight w:val="333"/>
          <w:jc w:val="center"/>
        </w:trPr>
        <w:tc>
          <w:tcPr>
            <w:tcW w:w="853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8,7</w:t>
            </w:r>
          </w:p>
        </w:tc>
        <w:tc>
          <w:tcPr>
            <w:tcW w:w="916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3,3</w:t>
            </w:r>
          </w:p>
        </w:tc>
        <w:tc>
          <w:tcPr>
            <w:tcW w:w="917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13,4</w:t>
            </w:r>
          </w:p>
        </w:tc>
        <w:tc>
          <w:tcPr>
            <w:tcW w:w="916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9,3</w:t>
            </w:r>
          </w:p>
        </w:tc>
        <w:tc>
          <w:tcPr>
            <w:tcW w:w="910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3,6</w:t>
            </w:r>
          </w:p>
        </w:tc>
        <w:tc>
          <w:tcPr>
            <w:tcW w:w="924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14,2</w:t>
            </w:r>
          </w:p>
        </w:tc>
        <w:tc>
          <w:tcPr>
            <w:tcW w:w="4011" w:type="dxa"/>
            <w:vAlign w:val="center"/>
          </w:tcPr>
          <w:p w:rsidR="00ED5B66" w:rsidRPr="00C532F9" w:rsidRDefault="00ED5B66" w:rsidP="00525B90">
            <w:pPr>
              <w:tabs>
                <w:tab w:val="left" w:pos="-720"/>
              </w:tabs>
              <w:suppressAutoHyphens/>
              <w:bidi/>
              <w:ind w:left="41"/>
              <w:rPr>
                <w:rFonts w:asciiTheme="majorBidi" w:hAnsiTheme="majorBidi" w:cstheme="majorBidi"/>
                <w:spacing w:val="-2"/>
                <w:sz w:val="18"/>
                <w:szCs w:val="18"/>
                <w:lang w:val="en-US" w:eastAsia="en-US"/>
              </w:rPr>
            </w:pPr>
            <w:r w:rsidRPr="00C532F9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eastAsia="en-US"/>
              </w:rPr>
              <w:t>معـدل البطالـة</w:t>
            </w:r>
            <w:r w:rsidRPr="00C532F9">
              <w:rPr>
                <w:rFonts w:asciiTheme="majorBidi" w:hAnsiTheme="majorBidi" w:cstheme="majorBidi"/>
                <w:spacing w:val="-2"/>
                <w:sz w:val="18"/>
                <w:szCs w:val="18"/>
                <w:lang w:val="en-US" w:eastAsia="en-US"/>
              </w:rPr>
              <w:t xml:space="preserve"> (%) </w:t>
            </w:r>
          </w:p>
        </w:tc>
      </w:tr>
      <w:tr w:rsidR="00ED5B66" w:rsidRPr="00C532F9" w:rsidTr="00ED5B66">
        <w:trPr>
          <w:trHeight w:val="333"/>
          <w:jc w:val="center"/>
        </w:trPr>
        <w:tc>
          <w:tcPr>
            <w:tcW w:w="853" w:type="dxa"/>
            <w:tcBorders>
              <w:right w:val="nil"/>
            </w:tcBorders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17" w:type="dxa"/>
            <w:tcBorders>
              <w:left w:val="nil"/>
              <w:right w:val="nil"/>
            </w:tcBorders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10" w:type="dxa"/>
            <w:tcBorders>
              <w:left w:val="nil"/>
              <w:right w:val="nil"/>
            </w:tcBorders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nil"/>
              <w:right w:val="nil"/>
            </w:tcBorders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011" w:type="dxa"/>
            <w:tcBorders>
              <w:left w:val="nil"/>
            </w:tcBorders>
            <w:vAlign w:val="center"/>
          </w:tcPr>
          <w:p w:rsidR="00ED5B66" w:rsidRPr="00C532F9" w:rsidRDefault="00ED5B66" w:rsidP="00525B90">
            <w:pPr>
              <w:tabs>
                <w:tab w:val="left" w:pos="-720"/>
              </w:tabs>
              <w:suppressAutoHyphens/>
              <w:bidi/>
              <w:ind w:left="41"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eastAsia="en-US"/>
              </w:rPr>
            </w:pPr>
            <w:r w:rsidRPr="00C532F9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.</w:t>
            </w:r>
            <w:r w:rsidRPr="00C532F9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eastAsia="en-US"/>
              </w:rPr>
              <w:t xml:space="preserve"> حسب الجنس</w:t>
            </w:r>
          </w:p>
        </w:tc>
      </w:tr>
      <w:tr w:rsidR="00ED5B66" w:rsidRPr="00C532F9" w:rsidTr="00ED5B66">
        <w:trPr>
          <w:trHeight w:val="333"/>
          <w:jc w:val="center"/>
        </w:trPr>
        <w:tc>
          <w:tcPr>
            <w:tcW w:w="853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8,6</w:t>
            </w:r>
          </w:p>
        </w:tc>
        <w:tc>
          <w:tcPr>
            <w:tcW w:w="916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4,2</w:t>
            </w:r>
          </w:p>
        </w:tc>
        <w:tc>
          <w:tcPr>
            <w:tcW w:w="917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11,7</w:t>
            </w:r>
          </w:p>
        </w:tc>
        <w:tc>
          <w:tcPr>
            <w:tcW w:w="916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9,4</w:t>
            </w:r>
          </w:p>
        </w:tc>
        <w:tc>
          <w:tcPr>
            <w:tcW w:w="910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4,8</w:t>
            </w:r>
          </w:p>
        </w:tc>
        <w:tc>
          <w:tcPr>
            <w:tcW w:w="924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12,8</w:t>
            </w:r>
          </w:p>
        </w:tc>
        <w:tc>
          <w:tcPr>
            <w:tcW w:w="4011" w:type="dxa"/>
            <w:vAlign w:val="center"/>
          </w:tcPr>
          <w:p w:rsidR="00ED5B66" w:rsidRPr="00C532F9" w:rsidRDefault="00ED5B66" w:rsidP="00525B90">
            <w:pPr>
              <w:tabs>
                <w:tab w:val="left" w:pos="-720"/>
              </w:tabs>
              <w:suppressAutoHyphens/>
              <w:bidi/>
              <w:ind w:left="41"/>
              <w:rPr>
                <w:rFonts w:asciiTheme="majorBidi" w:hAnsiTheme="majorBidi" w:cstheme="majorBidi"/>
                <w:spacing w:val="-2"/>
                <w:sz w:val="18"/>
                <w:szCs w:val="18"/>
                <w:lang w:val="en-US" w:eastAsia="en-US"/>
              </w:rPr>
            </w:pPr>
            <w:r w:rsidRPr="00C532F9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eastAsia="en-US"/>
              </w:rPr>
              <w:t>ذكـور</w:t>
            </w:r>
          </w:p>
        </w:tc>
      </w:tr>
      <w:tr w:rsidR="00ED5B66" w:rsidRPr="00C532F9" w:rsidTr="00ED5B66">
        <w:trPr>
          <w:trHeight w:val="333"/>
          <w:jc w:val="center"/>
        </w:trPr>
        <w:tc>
          <w:tcPr>
            <w:tcW w:w="853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9,0</w:t>
            </w:r>
          </w:p>
        </w:tc>
        <w:tc>
          <w:tcPr>
            <w:tcW w:w="916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1,5</w:t>
            </w:r>
          </w:p>
        </w:tc>
        <w:tc>
          <w:tcPr>
            <w:tcW w:w="917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19,3</w:t>
            </w:r>
          </w:p>
        </w:tc>
        <w:tc>
          <w:tcPr>
            <w:tcW w:w="916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9,0</w:t>
            </w:r>
          </w:p>
        </w:tc>
        <w:tc>
          <w:tcPr>
            <w:tcW w:w="910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1,4</w:t>
            </w:r>
          </w:p>
        </w:tc>
        <w:tc>
          <w:tcPr>
            <w:tcW w:w="924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19,6</w:t>
            </w:r>
          </w:p>
        </w:tc>
        <w:tc>
          <w:tcPr>
            <w:tcW w:w="4011" w:type="dxa"/>
            <w:vAlign w:val="center"/>
          </w:tcPr>
          <w:p w:rsidR="00ED5B66" w:rsidRPr="00C532F9" w:rsidRDefault="00ED5B66" w:rsidP="00525B90">
            <w:pPr>
              <w:tabs>
                <w:tab w:val="left" w:pos="-720"/>
              </w:tabs>
              <w:suppressAutoHyphens/>
              <w:bidi/>
              <w:ind w:left="41"/>
              <w:rPr>
                <w:rFonts w:asciiTheme="majorBidi" w:hAnsiTheme="majorBidi" w:cstheme="majorBidi"/>
                <w:spacing w:val="-2"/>
                <w:sz w:val="18"/>
                <w:szCs w:val="18"/>
                <w:lang w:val="en-US" w:eastAsia="en-US"/>
              </w:rPr>
            </w:pPr>
            <w:r w:rsidRPr="00C532F9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eastAsia="en-US"/>
              </w:rPr>
              <w:t>إنـاث</w:t>
            </w:r>
          </w:p>
        </w:tc>
      </w:tr>
      <w:tr w:rsidR="00ED5B66" w:rsidRPr="00C532F9" w:rsidTr="00ED5B66">
        <w:trPr>
          <w:trHeight w:val="333"/>
          <w:jc w:val="center"/>
        </w:trPr>
        <w:tc>
          <w:tcPr>
            <w:tcW w:w="853" w:type="dxa"/>
            <w:tcBorders>
              <w:right w:val="nil"/>
            </w:tcBorders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17" w:type="dxa"/>
            <w:tcBorders>
              <w:left w:val="nil"/>
              <w:right w:val="nil"/>
            </w:tcBorders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10" w:type="dxa"/>
            <w:tcBorders>
              <w:left w:val="nil"/>
              <w:right w:val="nil"/>
            </w:tcBorders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nil"/>
              <w:right w:val="nil"/>
            </w:tcBorders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011" w:type="dxa"/>
            <w:tcBorders>
              <w:left w:val="nil"/>
            </w:tcBorders>
            <w:vAlign w:val="center"/>
          </w:tcPr>
          <w:p w:rsidR="00ED5B66" w:rsidRPr="00C532F9" w:rsidRDefault="00ED5B66" w:rsidP="00525B90">
            <w:pPr>
              <w:tabs>
                <w:tab w:val="left" w:pos="-720"/>
              </w:tabs>
              <w:suppressAutoHyphens/>
              <w:bidi/>
              <w:ind w:left="41"/>
              <w:rPr>
                <w:rFonts w:asciiTheme="majorBidi" w:hAnsiTheme="majorBidi" w:cstheme="majorBidi"/>
                <w:spacing w:val="-2"/>
                <w:sz w:val="18"/>
                <w:szCs w:val="18"/>
                <w:lang w:val="en-US" w:eastAsia="en-US"/>
              </w:rPr>
            </w:pPr>
            <w:r w:rsidRPr="00C532F9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.</w:t>
            </w:r>
            <w:r w:rsidRPr="00C532F9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eastAsia="en-US"/>
              </w:rPr>
              <w:t xml:space="preserve"> حسب السن</w:t>
            </w:r>
          </w:p>
        </w:tc>
      </w:tr>
      <w:tr w:rsidR="00ED5B66" w:rsidRPr="00C532F9" w:rsidTr="00ED5B66">
        <w:trPr>
          <w:trHeight w:val="333"/>
          <w:jc w:val="center"/>
        </w:trPr>
        <w:tc>
          <w:tcPr>
            <w:tcW w:w="853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20,5</w:t>
            </w:r>
          </w:p>
        </w:tc>
        <w:tc>
          <w:tcPr>
            <w:tcW w:w="916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8,5</w:t>
            </w:r>
          </w:p>
        </w:tc>
        <w:tc>
          <w:tcPr>
            <w:tcW w:w="917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38,6</w:t>
            </w:r>
          </w:p>
        </w:tc>
        <w:tc>
          <w:tcPr>
            <w:tcW w:w="916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19,2</w:t>
            </w:r>
          </w:p>
        </w:tc>
        <w:tc>
          <w:tcPr>
            <w:tcW w:w="910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8,3</w:t>
            </w:r>
          </w:p>
        </w:tc>
        <w:tc>
          <w:tcPr>
            <w:tcW w:w="924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36,4</w:t>
            </w:r>
          </w:p>
        </w:tc>
        <w:tc>
          <w:tcPr>
            <w:tcW w:w="4011" w:type="dxa"/>
            <w:vAlign w:val="center"/>
          </w:tcPr>
          <w:p w:rsidR="00ED5B66" w:rsidRPr="00C532F9" w:rsidRDefault="00ED5B66" w:rsidP="00525B90">
            <w:pPr>
              <w:tabs>
                <w:tab w:val="left" w:pos="-720"/>
              </w:tabs>
              <w:suppressAutoHyphens/>
              <w:bidi/>
              <w:ind w:left="41"/>
              <w:rPr>
                <w:rFonts w:asciiTheme="majorBidi" w:hAnsiTheme="majorBidi" w:cstheme="majorBidi"/>
                <w:spacing w:val="-2"/>
                <w:sz w:val="18"/>
                <w:szCs w:val="18"/>
                <w:lang w:val="en-US" w:eastAsia="en-US"/>
              </w:rPr>
            </w:pPr>
            <w:r w:rsidRPr="00C532F9">
              <w:rPr>
                <w:rFonts w:asciiTheme="majorBidi" w:hAnsiTheme="majorBidi" w:cstheme="majorBidi"/>
                <w:spacing w:val="-2"/>
                <w:sz w:val="18"/>
                <w:szCs w:val="18"/>
                <w:lang w:val="en-US" w:eastAsia="en-US"/>
              </w:rPr>
              <w:t xml:space="preserve">   24 – 15  </w:t>
            </w:r>
            <w:r w:rsidRPr="00C532F9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ED5B66" w:rsidRPr="00C532F9" w:rsidTr="00ED5B66">
        <w:trPr>
          <w:trHeight w:val="333"/>
          <w:jc w:val="center"/>
        </w:trPr>
        <w:tc>
          <w:tcPr>
            <w:tcW w:w="853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11,9</w:t>
            </w:r>
          </w:p>
        </w:tc>
        <w:tc>
          <w:tcPr>
            <w:tcW w:w="916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3,4</w:t>
            </w:r>
          </w:p>
        </w:tc>
        <w:tc>
          <w:tcPr>
            <w:tcW w:w="917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18,5</w:t>
            </w:r>
          </w:p>
        </w:tc>
        <w:tc>
          <w:tcPr>
            <w:tcW w:w="916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13,4</w:t>
            </w:r>
          </w:p>
        </w:tc>
        <w:tc>
          <w:tcPr>
            <w:tcW w:w="910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4,0</w:t>
            </w:r>
          </w:p>
        </w:tc>
        <w:tc>
          <w:tcPr>
            <w:tcW w:w="924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20,2</w:t>
            </w:r>
          </w:p>
        </w:tc>
        <w:tc>
          <w:tcPr>
            <w:tcW w:w="4011" w:type="dxa"/>
            <w:vAlign w:val="center"/>
          </w:tcPr>
          <w:p w:rsidR="00ED5B66" w:rsidRPr="00C532F9" w:rsidRDefault="00ED5B66" w:rsidP="00525B90">
            <w:pPr>
              <w:tabs>
                <w:tab w:val="left" w:pos="-720"/>
              </w:tabs>
              <w:suppressAutoHyphens/>
              <w:bidi/>
              <w:ind w:left="41"/>
              <w:rPr>
                <w:rFonts w:asciiTheme="majorBidi" w:hAnsiTheme="majorBidi" w:cstheme="majorBidi"/>
                <w:spacing w:val="-2"/>
                <w:sz w:val="18"/>
                <w:szCs w:val="18"/>
                <w:lang w:val="en-US" w:eastAsia="en-US"/>
              </w:rPr>
            </w:pPr>
            <w:r w:rsidRPr="00C532F9">
              <w:rPr>
                <w:rFonts w:asciiTheme="majorBidi" w:hAnsiTheme="majorBidi" w:cstheme="majorBidi"/>
                <w:spacing w:val="-2"/>
                <w:sz w:val="18"/>
                <w:szCs w:val="18"/>
                <w:lang w:val="en-US" w:eastAsia="en-US"/>
              </w:rPr>
              <w:t xml:space="preserve">   34 – 25  </w:t>
            </w:r>
            <w:r w:rsidRPr="00C532F9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ED5B66" w:rsidRPr="00C532F9" w:rsidTr="00ED5B66">
        <w:trPr>
          <w:trHeight w:val="333"/>
          <w:jc w:val="center"/>
        </w:trPr>
        <w:tc>
          <w:tcPr>
            <w:tcW w:w="853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5,1</w:t>
            </w:r>
          </w:p>
        </w:tc>
        <w:tc>
          <w:tcPr>
            <w:tcW w:w="916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1,8</w:t>
            </w:r>
          </w:p>
        </w:tc>
        <w:tc>
          <w:tcPr>
            <w:tcW w:w="917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7,3</w:t>
            </w:r>
          </w:p>
        </w:tc>
        <w:tc>
          <w:tcPr>
            <w:tcW w:w="916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5,6</w:t>
            </w:r>
          </w:p>
        </w:tc>
        <w:tc>
          <w:tcPr>
            <w:tcW w:w="910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1,7</w:t>
            </w:r>
          </w:p>
        </w:tc>
        <w:tc>
          <w:tcPr>
            <w:tcW w:w="924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8,2</w:t>
            </w:r>
          </w:p>
        </w:tc>
        <w:tc>
          <w:tcPr>
            <w:tcW w:w="4011" w:type="dxa"/>
            <w:vAlign w:val="center"/>
          </w:tcPr>
          <w:p w:rsidR="00ED5B66" w:rsidRPr="00C532F9" w:rsidRDefault="00ED5B66" w:rsidP="00525B90">
            <w:pPr>
              <w:tabs>
                <w:tab w:val="left" w:pos="-720"/>
              </w:tabs>
              <w:suppressAutoHyphens/>
              <w:bidi/>
              <w:ind w:left="41"/>
              <w:rPr>
                <w:rFonts w:asciiTheme="majorBidi" w:hAnsiTheme="majorBidi" w:cstheme="majorBidi"/>
                <w:spacing w:val="-2"/>
                <w:sz w:val="18"/>
                <w:szCs w:val="18"/>
                <w:lang w:val="en-US" w:eastAsia="en-US"/>
              </w:rPr>
            </w:pPr>
            <w:r w:rsidRPr="00C532F9">
              <w:rPr>
                <w:rFonts w:asciiTheme="majorBidi" w:hAnsiTheme="majorBidi" w:cstheme="majorBidi"/>
                <w:spacing w:val="-2"/>
                <w:sz w:val="18"/>
                <w:szCs w:val="18"/>
                <w:lang w:val="en-US" w:eastAsia="en-US"/>
              </w:rPr>
              <w:t xml:space="preserve">   44 – 35  </w:t>
            </w:r>
            <w:r w:rsidRPr="00C532F9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ED5B66" w:rsidRPr="00C532F9" w:rsidTr="00ED5B66">
        <w:trPr>
          <w:trHeight w:val="333"/>
          <w:jc w:val="center"/>
        </w:trPr>
        <w:tc>
          <w:tcPr>
            <w:tcW w:w="853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2,4</w:t>
            </w:r>
          </w:p>
        </w:tc>
        <w:tc>
          <w:tcPr>
            <w:tcW w:w="916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0,8</w:t>
            </w:r>
          </w:p>
        </w:tc>
        <w:tc>
          <w:tcPr>
            <w:tcW w:w="917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3,9</w:t>
            </w:r>
          </w:p>
        </w:tc>
        <w:tc>
          <w:tcPr>
            <w:tcW w:w="916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2,6</w:t>
            </w:r>
          </w:p>
        </w:tc>
        <w:tc>
          <w:tcPr>
            <w:tcW w:w="910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1,1</w:t>
            </w:r>
          </w:p>
        </w:tc>
        <w:tc>
          <w:tcPr>
            <w:tcW w:w="924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3,8</w:t>
            </w:r>
          </w:p>
        </w:tc>
        <w:tc>
          <w:tcPr>
            <w:tcW w:w="4011" w:type="dxa"/>
            <w:vAlign w:val="center"/>
          </w:tcPr>
          <w:p w:rsidR="00ED5B66" w:rsidRPr="00C532F9" w:rsidRDefault="00ED5B66" w:rsidP="00525B90">
            <w:pPr>
              <w:tabs>
                <w:tab w:val="left" w:pos="-720"/>
              </w:tabs>
              <w:suppressAutoHyphens/>
              <w:bidi/>
              <w:ind w:left="41"/>
              <w:rPr>
                <w:rFonts w:asciiTheme="majorBidi" w:hAnsiTheme="majorBidi" w:cstheme="majorBidi"/>
                <w:spacing w:val="-2"/>
                <w:sz w:val="18"/>
                <w:szCs w:val="18"/>
                <w:lang w:val="en-US" w:eastAsia="en-US"/>
              </w:rPr>
            </w:pPr>
            <w:r w:rsidRPr="00C532F9">
              <w:rPr>
                <w:rFonts w:asciiTheme="majorBidi" w:hAnsiTheme="majorBidi" w:cstheme="majorBidi"/>
                <w:spacing w:val="-2"/>
                <w:sz w:val="18"/>
                <w:szCs w:val="18"/>
                <w:lang w:val="en-US" w:eastAsia="en-US"/>
              </w:rPr>
              <w:t xml:space="preserve">   45  </w:t>
            </w:r>
            <w:r w:rsidRPr="00C532F9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eastAsia="en-US"/>
              </w:rPr>
              <w:t>سنـة فأكثـر</w:t>
            </w:r>
          </w:p>
        </w:tc>
      </w:tr>
      <w:tr w:rsidR="00ED5B66" w:rsidRPr="00C532F9" w:rsidTr="00ED5B66">
        <w:trPr>
          <w:trHeight w:val="333"/>
          <w:jc w:val="center"/>
        </w:trPr>
        <w:tc>
          <w:tcPr>
            <w:tcW w:w="853" w:type="dxa"/>
            <w:tcBorders>
              <w:right w:val="nil"/>
            </w:tcBorders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17" w:type="dxa"/>
            <w:tcBorders>
              <w:left w:val="nil"/>
              <w:right w:val="nil"/>
            </w:tcBorders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10" w:type="dxa"/>
            <w:tcBorders>
              <w:left w:val="nil"/>
              <w:right w:val="nil"/>
            </w:tcBorders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nil"/>
              <w:right w:val="nil"/>
            </w:tcBorders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011" w:type="dxa"/>
            <w:tcBorders>
              <w:left w:val="nil"/>
            </w:tcBorders>
            <w:vAlign w:val="center"/>
          </w:tcPr>
          <w:p w:rsidR="00ED5B66" w:rsidRPr="00C532F9" w:rsidRDefault="00ED5B66" w:rsidP="00525B90">
            <w:pPr>
              <w:tabs>
                <w:tab w:val="left" w:pos="-720"/>
              </w:tabs>
              <w:suppressAutoHyphens/>
              <w:bidi/>
              <w:rPr>
                <w:rFonts w:asciiTheme="majorBidi" w:hAnsiTheme="majorBidi" w:cstheme="majorBidi"/>
                <w:spacing w:val="-2"/>
                <w:sz w:val="18"/>
                <w:szCs w:val="18"/>
                <w:lang w:val="en-US" w:eastAsia="en-US"/>
              </w:rPr>
            </w:pPr>
            <w:r w:rsidRPr="00C532F9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eastAsia="en-US"/>
              </w:rPr>
              <w:t xml:space="preserve"> . حسـب الشهـادة</w:t>
            </w:r>
            <w:r w:rsidRPr="00C532F9">
              <w:rPr>
                <w:rFonts w:asciiTheme="majorBidi" w:hAnsiTheme="majorBidi" w:cstheme="majorBidi"/>
                <w:spacing w:val="-2"/>
                <w:sz w:val="18"/>
                <w:szCs w:val="18"/>
                <w:lang w:val="en-US" w:eastAsia="en-US"/>
              </w:rPr>
              <w:t xml:space="preserve"> :</w:t>
            </w:r>
          </w:p>
        </w:tc>
      </w:tr>
      <w:tr w:rsidR="00ED5B66" w:rsidRPr="00C532F9" w:rsidTr="00ED5B66">
        <w:trPr>
          <w:trHeight w:val="333"/>
          <w:jc w:val="center"/>
        </w:trPr>
        <w:tc>
          <w:tcPr>
            <w:tcW w:w="853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3,6</w:t>
            </w:r>
          </w:p>
        </w:tc>
        <w:tc>
          <w:tcPr>
            <w:tcW w:w="916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1,9</w:t>
            </w:r>
          </w:p>
        </w:tc>
        <w:tc>
          <w:tcPr>
            <w:tcW w:w="917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6,6</w:t>
            </w:r>
          </w:p>
        </w:tc>
        <w:tc>
          <w:tcPr>
            <w:tcW w:w="916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4,1</w:t>
            </w:r>
          </w:p>
        </w:tc>
        <w:tc>
          <w:tcPr>
            <w:tcW w:w="910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2,0</w:t>
            </w:r>
          </w:p>
        </w:tc>
        <w:tc>
          <w:tcPr>
            <w:tcW w:w="924" w:type="dxa"/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7,7</w:t>
            </w:r>
          </w:p>
        </w:tc>
        <w:tc>
          <w:tcPr>
            <w:tcW w:w="4011" w:type="dxa"/>
            <w:vAlign w:val="center"/>
          </w:tcPr>
          <w:p w:rsidR="00ED5B66" w:rsidRPr="00C532F9" w:rsidRDefault="00ED5B66" w:rsidP="00525B90">
            <w:pPr>
              <w:tabs>
                <w:tab w:val="left" w:pos="-720"/>
              </w:tabs>
              <w:suppressAutoHyphens/>
              <w:bidi/>
              <w:ind w:left="41"/>
              <w:rPr>
                <w:rFonts w:asciiTheme="majorBidi" w:hAnsiTheme="majorBidi" w:cstheme="majorBidi"/>
                <w:spacing w:val="-2"/>
                <w:sz w:val="18"/>
                <w:szCs w:val="18"/>
                <w:lang w:val="en-US" w:eastAsia="en-US"/>
              </w:rPr>
            </w:pPr>
            <w:r w:rsidRPr="00C532F9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eastAsia="en-US"/>
              </w:rPr>
              <w:t>بـدون شهـادة</w:t>
            </w:r>
          </w:p>
        </w:tc>
      </w:tr>
      <w:tr w:rsidR="00ED5B66" w:rsidRPr="00C532F9" w:rsidTr="00ED5B66">
        <w:trPr>
          <w:trHeight w:val="333"/>
          <w:jc w:val="center"/>
        </w:trPr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16,0</w:t>
            </w:r>
          </w:p>
        </w:tc>
        <w:tc>
          <w:tcPr>
            <w:tcW w:w="916" w:type="dxa"/>
            <w:tcBorders>
              <w:bottom w:val="single" w:sz="12" w:space="0" w:color="auto"/>
            </w:tcBorders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8,9</w:t>
            </w:r>
          </w:p>
        </w:tc>
        <w:tc>
          <w:tcPr>
            <w:tcW w:w="917" w:type="dxa"/>
            <w:tcBorders>
              <w:bottom w:val="single" w:sz="12" w:space="0" w:color="auto"/>
            </w:tcBorders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  <w:rtl/>
              </w:rPr>
              <w:t>18,1</w:t>
            </w:r>
          </w:p>
        </w:tc>
        <w:tc>
          <w:tcPr>
            <w:tcW w:w="916" w:type="dxa"/>
            <w:tcBorders>
              <w:bottom w:val="single" w:sz="12" w:space="0" w:color="auto"/>
            </w:tcBorders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16,9</w:t>
            </w:r>
          </w:p>
        </w:tc>
        <w:tc>
          <w:tcPr>
            <w:tcW w:w="910" w:type="dxa"/>
            <w:tcBorders>
              <w:bottom w:val="single" w:sz="12" w:space="0" w:color="auto"/>
            </w:tcBorders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9,9</w:t>
            </w:r>
          </w:p>
        </w:tc>
        <w:tc>
          <w:tcPr>
            <w:tcW w:w="924" w:type="dxa"/>
            <w:tcBorders>
              <w:bottom w:val="single" w:sz="12" w:space="0" w:color="auto"/>
            </w:tcBorders>
            <w:vAlign w:val="center"/>
          </w:tcPr>
          <w:p w:rsidR="00ED5B66" w:rsidRPr="00C532F9" w:rsidRDefault="00ED5B66" w:rsidP="00525B9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32F9">
              <w:rPr>
                <w:rFonts w:asciiTheme="majorBidi" w:hAnsiTheme="majorBidi" w:cstheme="majorBidi"/>
                <w:sz w:val="22"/>
                <w:szCs w:val="22"/>
              </w:rPr>
              <w:t>19,0</w:t>
            </w:r>
          </w:p>
        </w:tc>
        <w:tc>
          <w:tcPr>
            <w:tcW w:w="4011" w:type="dxa"/>
            <w:tcBorders>
              <w:bottom w:val="single" w:sz="12" w:space="0" w:color="auto"/>
            </w:tcBorders>
            <w:vAlign w:val="center"/>
          </w:tcPr>
          <w:p w:rsidR="00ED5B66" w:rsidRPr="00C532F9" w:rsidRDefault="00ED5B66" w:rsidP="00525B90">
            <w:pPr>
              <w:tabs>
                <w:tab w:val="left" w:pos="-720"/>
              </w:tabs>
              <w:suppressAutoHyphens/>
              <w:bidi/>
              <w:ind w:left="41"/>
              <w:rPr>
                <w:rFonts w:asciiTheme="majorBidi" w:hAnsiTheme="majorBidi" w:cstheme="majorBidi"/>
                <w:spacing w:val="-2"/>
                <w:sz w:val="18"/>
                <w:szCs w:val="18"/>
                <w:lang w:val="en-US" w:eastAsia="en-US"/>
              </w:rPr>
            </w:pPr>
            <w:r w:rsidRPr="00C532F9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eastAsia="en-US"/>
              </w:rPr>
              <w:t>حاصـل علـى شهـادة</w:t>
            </w:r>
            <w:r w:rsidRPr="00C532F9">
              <w:rPr>
                <w:rFonts w:asciiTheme="majorBidi" w:hAnsiTheme="majorBidi" w:cstheme="majorBidi"/>
                <w:spacing w:val="-2"/>
                <w:sz w:val="18"/>
                <w:szCs w:val="18"/>
                <w:lang w:val="en-US" w:eastAsia="en-US"/>
              </w:rPr>
              <w:t>**</w:t>
            </w:r>
          </w:p>
        </w:tc>
      </w:tr>
    </w:tbl>
    <w:p w:rsidR="00ED5B66" w:rsidRDefault="00ED5B66" w:rsidP="00ED5B66">
      <w:pPr>
        <w:bidi/>
        <w:spacing w:line="240" w:lineRule="exact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  <w:rtl/>
        </w:rPr>
        <w:t>المصـدر: البحث الوطني حول التشغيل، المندوبية السامية للتخطيط (مديرية الإحصاء).</w:t>
      </w:r>
    </w:p>
    <w:p w:rsidR="00ED5B66" w:rsidRDefault="00ED5B66" w:rsidP="00ED5B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4"/>
        </w:tabs>
        <w:bidi/>
        <w:spacing w:line="240" w:lineRule="exact"/>
        <w:ind w:left="-393"/>
        <w:rPr>
          <w:b/>
          <w:bCs/>
          <w:sz w:val="14"/>
          <w:szCs w:val="14"/>
          <w:rtl/>
          <w:lang w:bidi="ar-MA"/>
        </w:rPr>
      </w:pPr>
      <w:r w:rsidRPr="000D63F2">
        <w:rPr>
          <w:sz w:val="18"/>
          <w:szCs w:val="18"/>
          <w:vertAlign w:val="superscript"/>
        </w:rPr>
        <w:t xml:space="preserve">            </w:t>
      </w:r>
      <w:proofErr w:type="spellStart"/>
      <w:r w:rsidRPr="000D63F2">
        <w:rPr>
          <w:sz w:val="18"/>
          <w:szCs w:val="18"/>
          <w:vertAlign w:val="superscript"/>
          <w:rtl/>
        </w:rPr>
        <w:t>(</w:t>
      </w:r>
      <w:proofErr w:type="spellEnd"/>
      <w:r w:rsidRPr="000D63F2">
        <w:rPr>
          <w:sz w:val="18"/>
          <w:szCs w:val="18"/>
          <w:vertAlign w:val="superscript"/>
        </w:rPr>
        <w:t>(*</w:t>
      </w:r>
      <w:r>
        <w:rPr>
          <w:rFonts w:hint="cs"/>
          <w:b/>
          <w:bCs/>
          <w:sz w:val="14"/>
          <w:szCs w:val="14"/>
          <w:vertAlign w:val="superscript"/>
          <w:rtl/>
        </w:rPr>
        <w:t xml:space="preserve"> </w:t>
      </w:r>
      <w:r>
        <w:rPr>
          <w:b/>
          <w:bCs/>
          <w:sz w:val="14"/>
          <w:szCs w:val="14"/>
          <w:rtl/>
        </w:rPr>
        <w:t xml:space="preserve"> </w:t>
      </w:r>
      <w:proofErr w:type="spellStart"/>
      <w:r>
        <w:rPr>
          <w:b/>
          <w:bCs/>
          <w:sz w:val="14"/>
          <w:szCs w:val="14"/>
          <w:rtl/>
        </w:rPr>
        <w:t>بالن</w:t>
      </w:r>
      <w:proofErr w:type="spellEnd"/>
      <w:r>
        <w:rPr>
          <w:b/>
          <w:bCs/>
          <w:sz w:val="14"/>
          <w:szCs w:val="14"/>
          <w:rtl/>
          <w:lang w:bidi="ar-MA"/>
        </w:rPr>
        <w:t>سب</w:t>
      </w:r>
      <w:r>
        <w:rPr>
          <w:b/>
          <w:bCs/>
          <w:sz w:val="14"/>
          <w:szCs w:val="14"/>
          <w:rtl/>
        </w:rPr>
        <w:t xml:space="preserve">ة </w:t>
      </w:r>
      <w:proofErr w:type="spellStart"/>
      <w:r>
        <w:rPr>
          <w:b/>
          <w:bCs/>
          <w:sz w:val="14"/>
          <w:szCs w:val="14"/>
          <w:rtl/>
        </w:rPr>
        <w:t>لتعاريف</w:t>
      </w:r>
      <w:proofErr w:type="spellEnd"/>
      <w:r>
        <w:rPr>
          <w:b/>
          <w:bCs/>
          <w:sz w:val="14"/>
          <w:szCs w:val="14"/>
          <w:rtl/>
        </w:rPr>
        <w:t xml:space="preserve"> المصطلحات والمؤشرات المستعملة، انظر المعجم على الموقع الإلكتروني للمندوبية السامية للتخطيط: </w:t>
      </w:r>
      <w:hyperlink r:id="rId14" w:history="1">
        <w:r w:rsidRPr="004A6F79">
          <w:rPr>
            <w:rStyle w:val="Lienhypertexte"/>
            <w:b/>
            <w:bCs/>
            <w:sz w:val="14"/>
            <w:szCs w:val="14"/>
          </w:rPr>
          <w:t>http://www.hcp.ma</w:t>
        </w:r>
      </w:hyperlink>
      <w:r>
        <w:rPr>
          <w:b/>
          <w:bCs/>
          <w:sz w:val="14"/>
          <w:szCs w:val="14"/>
        </w:rPr>
        <w:t xml:space="preserve"> </w:t>
      </w:r>
      <w:r>
        <w:rPr>
          <w:rFonts w:hint="cs"/>
          <w:b/>
          <w:bCs/>
          <w:sz w:val="14"/>
          <w:szCs w:val="14"/>
          <w:rtl/>
          <w:lang w:bidi="ar-MA"/>
        </w:rPr>
        <w:t xml:space="preserve"> </w:t>
      </w:r>
    </w:p>
    <w:p w:rsidR="00195D95" w:rsidRDefault="00ED5B66" w:rsidP="00ED5B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4"/>
        </w:tabs>
        <w:bidi/>
        <w:spacing w:line="240" w:lineRule="exact"/>
        <w:ind w:left="-393"/>
        <w:rPr>
          <w:rFonts w:cs="Simplified Arabic"/>
          <w:b/>
          <w:bCs/>
          <w:color w:val="0070C0"/>
          <w:rtl/>
          <w:lang w:val="en-US" w:eastAsia="en-US" w:bidi="ar-MA"/>
        </w:rPr>
      </w:pPr>
      <w:r>
        <w:rPr>
          <w:rFonts w:hint="cs"/>
          <w:b/>
          <w:bCs/>
          <w:sz w:val="14"/>
          <w:szCs w:val="14"/>
          <w:vertAlign w:val="superscript"/>
          <w:rtl/>
          <w:lang w:bidi="ar-MA"/>
        </w:rPr>
        <w:t xml:space="preserve">            </w:t>
      </w:r>
      <w:r>
        <w:rPr>
          <w:rFonts w:hint="cs"/>
          <w:b/>
          <w:bCs/>
          <w:sz w:val="14"/>
          <w:szCs w:val="14"/>
          <w:rtl/>
          <w:lang w:bidi="ar-MA"/>
        </w:rPr>
        <w:t>(**)  يتعلق الأمر بكل الشهادات، سواء كان محصل عليها من طرف مؤسسات التعليم العام أو مؤسسا</w:t>
      </w:r>
      <w:r>
        <w:rPr>
          <w:rFonts w:hint="eastAsia"/>
          <w:b/>
          <w:bCs/>
          <w:sz w:val="14"/>
          <w:szCs w:val="14"/>
          <w:rtl/>
          <w:lang w:bidi="ar-MA"/>
        </w:rPr>
        <w:t>ت</w:t>
      </w:r>
      <w:r>
        <w:rPr>
          <w:rFonts w:hint="cs"/>
          <w:b/>
          <w:bCs/>
          <w:sz w:val="14"/>
          <w:szCs w:val="14"/>
          <w:rtl/>
          <w:lang w:bidi="ar-MA"/>
        </w:rPr>
        <w:t xml:space="preserve"> التكوين المهني.</w:t>
      </w:r>
    </w:p>
    <w:sectPr w:rsidR="00195D95" w:rsidSect="00D20CF5">
      <w:footerReference w:type="default" r:id="rId15"/>
      <w:headerReference w:type="first" r:id="rId16"/>
      <w:pgSz w:w="11906" w:h="16838" w:code="9"/>
      <w:pgMar w:top="709" w:right="1701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4DD" w:rsidRDefault="00AE54DD" w:rsidP="00F231BB">
      <w:r>
        <w:separator/>
      </w:r>
    </w:p>
  </w:endnote>
  <w:endnote w:type="continuationSeparator" w:id="0">
    <w:p w:rsidR="00AE54DD" w:rsidRDefault="00AE54DD" w:rsidP="00F2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C9C" w:rsidRDefault="00211C9C">
    <w:pPr>
      <w:pStyle w:val="Pieddepage"/>
      <w:jc w:val="center"/>
    </w:pPr>
    <w:r>
      <w:t>[</w:t>
    </w:r>
    <w:r w:rsidR="000B0100">
      <w:fldChar w:fldCharType="begin"/>
    </w:r>
    <w:r w:rsidR="0036210D">
      <w:instrText xml:space="preserve"> PAGE   \* MERGEFORMAT </w:instrText>
    </w:r>
    <w:r w:rsidR="000B0100">
      <w:fldChar w:fldCharType="separate"/>
    </w:r>
    <w:r w:rsidR="006D755E">
      <w:rPr>
        <w:noProof/>
      </w:rPr>
      <w:t>7</w:t>
    </w:r>
    <w:r w:rsidR="000B0100">
      <w:rPr>
        <w:noProof/>
      </w:rPr>
      <w:fldChar w:fldCharType="end"/>
    </w:r>
    <w:r>
      <w:t>]</w:t>
    </w:r>
  </w:p>
  <w:p w:rsidR="00211C9C" w:rsidRDefault="00211C9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4DD" w:rsidRDefault="00AE54DD" w:rsidP="00F231BB">
      <w:r>
        <w:separator/>
      </w:r>
    </w:p>
  </w:footnote>
  <w:footnote w:type="continuationSeparator" w:id="0">
    <w:p w:rsidR="00AE54DD" w:rsidRDefault="00AE54DD" w:rsidP="00F231BB">
      <w:r>
        <w:continuationSeparator/>
      </w:r>
    </w:p>
  </w:footnote>
  <w:footnote w:id="1">
    <w:p w:rsidR="00ED5B66" w:rsidRPr="007C29AB" w:rsidRDefault="00ED5B66" w:rsidP="00ED5B66">
      <w:pPr>
        <w:pStyle w:val="Notedebasdepage"/>
        <w:bidi/>
        <w:rPr>
          <w:sz w:val="18"/>
          <w:szCs w:val="18"/>
          <w:rtl/>
          <w:lang w:bidi="ar-MA"/>
        </w:rPr>
      </w:pPr>
      <w:r w:rsidRPr="007C29AB">
        <w:rPr>
          <w:rStyle w:val="Appelnotedebasdep"/>
          <w:sz w:val="18"/>
          <w:szCs w:val="18"/>
        </w:rPr>
        <w:footnoteRef/>
      </w:r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تتضمن شهادات ال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مستوى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ال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متوسط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،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شهادات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التعليم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الابتدائي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،</w:t>
      </w:r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الثانوي الإعدادي،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و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شهادات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التأهيل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أو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التخصص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المهني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.</w:t>
      </w:r>
    </w:p>
  </w:footnote>
  <w:footnote w:id="2">
    <w:p w:rsidR="00ED5B66" w:rsidRDefault="00ED5B66" w:rsidP="00ED5B66">
      <w:pPr>
        <w:pStyle w:val="Notedebasdepage"/>
        <w:bidi/>
        <w:rPr>
          <w:rtl/>
          <w:lang w:bidi="ar-MA"/>
        </w:rPr>
      </w:pPr>
      <w:r w:rsidRPr="007C29AB">
        <w:rPr>
          <w:rStyle w:val="Appelnotedebasdep"/>
          <w:sz w:val="18"/>
          <w:szCs w:val="18"/>
        </w:rPr>
        <w:footnoteRef/>
      </w:r>
      <w:r w:rsidRPr="007C29AB">
        <w:rPr>
          <w:sz w:val="18"/>
          <w:szCs w:val="18"/>
        </w:rPr>
        <w:t xml:space="preserve"> </w:t>
      </w:r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تتضمن شهادات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ال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مستوى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 xml:space="preserve"> </w:t>
      </w:r>
      <w:proofErr w:type="spellStart"/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ال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عالي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،</w:t>
      </w:r>
      <w:proofErr w:type="spellEnd"/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شهادات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الثانوي </w:t>
      </w:r>
      <w:proofErr w:type="spellStart"/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التأهيلي،</w:t>
      </w:r>
      <w:proofErr w:type="spellEnd"/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التقنيين أو التقنيين الممتازين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،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وشهادات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التعليم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العالي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 xml:space="preserve"> (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الجامعات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والمدارس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والمعاهد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العليا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>)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C9C" w:rsidRDefault="00211C9C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9586595"/>
          <wp:effectExtent l="19050" t="0" r="0" b="0"/>
          <wp:wrapNone/>
          <wp:docPr id="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 b="487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9586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C3"/>
      </v:shape>
    </w:pict>
  </w:numPicBullet>
  <w:abstractNum w:abstractNumId="0">
    <w:nsid w:val="11D263C4"/>
    <w:multiLevelType w:val="hybridMultilevel"/>
    <w:tmpl w:val="B956A996"/>
    <w:lvl w:ilvl="0" w:tplc="1DD285C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17386906"/>
    <w:multiLevelType w:val="hybridMultilevel"/>
    <w:tmpl w:val="9642C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A1E75"/>
    <w:multiLevelType w:val="hybridMultilevel"/>
    <w:tmpl w:val="4498CF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526CE"/>
    <w:multiLevelType w:val="hybridMultilevel"/>
    <w:tmpl w:val="E53CF244"/>
    <w:lvl w:ilvl="0" w:tplc="C4B61584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1E6A0AEC"/>
    <w:multiLevelType w:val="hybridMultilevel"/>
    <w:tmpl w:val="71E8394E"/>
    <w:lvl w:ilvl="0" w:tplc="04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>
    <w:nsid w:val="1EE57490"/>
    <w:multiLevelType w:val="hybridMultilevel"/>
    <w:tmpl w:val="16948278"/>
    <w:lvl w:ilvl="0" w:tplc="69F42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094D2B"/>
    <w:multiLevelType w:val="hybridMultilevel"/>
    <w:tmpl w:val="00DC44B2"/>
    <w:lvl w:ilvl="0" w:tplc="EDB8471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D0D0D"/>
      </w:rPr>
    </w:lvl>
    <w:lvl w:ilvl="1" w:tplc="040C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>
    <w:nsid w:val="226C4B4B"/>
    <w:multiLevelType w:val="hybridMultilevel"/>
    <w:tmpl w:val="B6AC89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3455BF"/>
    <w:multiLevelType w:val="hybridMultilevel"/>
    <w:tmpl w:val="8A8CADA2"/>
    <w:lvl w:ilvl="0" w:tplc="0B5051A8">
      <w:start w:val="1"/>
      <w:numFmt w:val="bullet"/>
      <w:lvlText w:val="−"/>
      <w:lvlJc w:val="left"/>
      <w:pPr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87D95"/>
    <w:multiLevelType w:val="hybridMultilevel"/>
    <w:tmpl w:val="1EF01F6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2F645B1F"/>
    <w:multiLevelType w:val="hybridMultilevel"/>
    <w:tmpl w:val="6A6C423E"/>
    <w:lvl w:ilvl="0" w:tplc="04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>
    <w:nsid w:val="31E56C6B"/>
    <w:multiLevelType w:val="hybridMultilevel"/>
    <w:tmpl w:val="1ED2CE74"/>
    <w:lvl w:ilvl="0" w:tplc="C4B615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4E90ED6"/>
    <w:multiLevelType w:val="hybridMultilevel"/>
    <w:tmpl w:val="A5FEAA16"/>
    <w:lvl w:ilvl="0" w:tplc="57E8DE7A">
      <w:numFmt w:val="bullet"/>
      <w:lvlText w:val=""/>
      <w:lvlJc w:val="left"/>
      <w:pPr>
        <w:ind w:left="78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391516A5"/>
    <w:multiLevelType w:val="hybridMultilevel"/>
    <w:tmpl w:val="DB90CB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0F142A"/>
    <w:multiLevelType w:val="hybridMultilevel"/>
    <w:tmpl w:val="543E1EE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AAB03F9"/>
    <w:multiLevelType w:val="hybridMultilevel"/>
    <w:tmpl w:val="7930A54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6CA471A">
      <w:numFmt w:val="bullet"/>
      <w:lvlText w:val="·"/>
      <w:lvlJc w:val="left"/>
      <w:pPr>
        <w:ind w:left="1920" w:hanging="480"/>
      </w:pPr>
      <w:rPr>
        <w:rFonts w:ascii="Calibri" w:eastAsia="Calibri" w:hAnsi="Calibri" w:cs="Arabic Transparent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2143EE1"/>
    <w:multiLevelType w:val="hybridMultilevel"/>
    <w:tmpl w:val="DB585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103D5D"/>
    <w:multiLevelType w:val="hybridMultilevel"/>
    <w:tmpl w:val="CAF23BB6"/>
    <w:lvl w:ilvl="0" w:tplc="C4B6158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47DC1372"/>
    <w:multiLevelType w:val="hybridMultilevel"/>
    <w:tmpl w:val="80C0A65C"/>
    <w:lvl w:ilvl="0" w:tplc="EC507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412F1E"/>
    <w:multiLevelType w:val="hybridMultilevel"/>
    <w:tmpl w:val="634E1B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571CF7"/>
    <w:multiLevelType w:val="hybridMultilevel"/>
    <w:tmpl w:val="D52C73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66317F"/>
    <w:multiLevelType w:val="hybridMultilevel"/>
    <w:tmpl w:val="2E68998E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>
    <w:nsid w:val="71E940B9"/>
    <w:multiLevelType w:val="hybridMultilevel"/>
    <w:tmpl w:val="70200ED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9435893"/>
    <w:multiLevelType w:val="hybridMultilevel"/>
    <w:tmpl w:val="7F22D70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15"/>
  </w:num>
  <w:num w:numId="5">
    <w:abstractNumId w:val="23"/>
  </w:num>
  <w:num w:numId="6">
    <w:abstractNumId w:val="4"/>
  </w:num>
  <w:num w:numId="7">
    <w:abstractNumId w:val="10"/>
  </w:num>
  <w:num w:numId="8">
    <w:abstractNumId w:val="20"/>
  </w:num>
  <w:num w:numId="9">
    <w:abstractNumId w:val="11"/>
  </w:num>
  <w:num w:numId="10">
    <w:abstractNumId w:val="13"/>
  </w:num>
  <w:num w:numId="11">
    <w:abstractNumId w:val="14"/>
  </w:num>
  <w:num w:numId="12">
    <w:abstractNumId w:val="17"/>
  </w:num>
  <w:num w:numId="13">
    <w:abstractNumId w:val="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21"/>
  </w:num>
  <w:num w:numId="19">
    <w:abstractNumId w:val="7"/>
  </w:num>
  <w:num w:numId="20">
    <w:abstractNumId w:val="5"/>
  </w:num>
  <w:num w:numId="21">
    <w:abstractNumId w:val="22"/>
  </w:num>
  <w:num w:numId="22">
    <w:abstractNumId w:val="16"/>
  </w:num>
  <w:num w:numId="23">
    <w:abstractNumId w:val="8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72ED3"/>
    <w:rsid w:val="000001EB"/>
    <w:rsid w:val="0000419A"/>
    <w:rsid w:val="0000429C"/>
    <w:rsid w:val="00004ED6"/>
    <w:rsid w:val="00006708"/>
    <w:rsid w:val="00007691"/>
    <w:rsid w:val="00010DC0"/>
    <w:rsid w:val="00011F9A"/>
    <w:rsid w:val="0001489D"/>
    <w:rsid w:val="0001575F"/>
    <w:rsid w:val="000157E4"/>
    <w:rsid w:val="00015A40"/>
    <w:rsid w:val="000162B5"/>
    <w:rsid w:val="00016540"/>
    <w:rsid w:val="0001791D"/>
    <w:rsid w:val="000208A4"/>
    <w:rsid w:val="00022B3F"/>
    <w:rsid w:val="000230F5"/>
    <w:rsid w:val="00024F9F"/>
    <w:rsid w:val="00026779"/>
    <w:rsid w:val="00031057"/>
    <w:rsid w:val="00031137"/>
    <w:rsid w:val="00032D8B"/>
    <w:rsid w:val="00034819"/>
    <w:rsid w:val="00037EC5"/>
    <w:rsid w:val="000407B5"/>
    <w:rsid w:val="000408FB"/>
    <w:rsid w:val="00040DF8"/>
    <w:rsid w:val="0004406D"/>
    <w:rsid w:val="000443A1"/>
    <w:rsid w:val="00047724"/>
    <w:rsid w:val="00047A35"/>
    <w:rsid w:val="000500B8"/>
    <w:rsid w:val="00051F0C"/>
    <w:rsid w:val="0005302D"/>
    <w:rsid w:val="00053407"/>
    <w:rsid w:val="00053C64"/>
    <w:rsid w:val="00053E4B"/>
    <w:rsid w:val="00054917"/>
    <w:rsid w:val="00060F75"/>
    <w:rsid w:val="00062EE4"/>
    <w:rsid w:val="00064608"/>
    <w:rsid w:val="00064C92"/>
    <w:rsid w:val="00065616"/>
    <w:rsid w:val="00066499"/>
    <w:rsid w:val="00066A7F"/>
    <w:rsid w:val="000710E8"/>
    <w:rsid w:val="00071131"/>
    <w:rsid w:val="00074130"/>
    <w:rsid w:val="00074362"/>
    <w:rsid w:val="0008360A"/>
    <w:rsid w:val="00083AB0"/>
    <w:rsid w:val="000840B3"/>
    <w:rsid w:val="0008579F"/>
    <w:rsid w:val="0008797E"/>
    <w:rsid w:val="00095500"/>
    <w:rsid w:val="00095A54"/>
    <w:rsid w:val="00096DC4"/>
    <w:rsid w:val="000A062C"/>
    <w:rsid w:val="000A15B0"/>
    <w:rsid w:val="000A1B23"/>
    <w:rsid w:val="000A35B7"/>
    <w:rsid w:val="000A7D14"/>
    <w:rsid w:val="000B0100"/>
    <w:rsid w:val="000B2239"/>
    <w:rsid w:val="000B2980"/>
    <w:rsid w:val="000B76AE"/>
    <w:rsid w:val="000C29ED"/>
    <w:rsid w:val="000C3625"/>
    <w:rsid w:val="000C3D16"/>
    <w:rsid w:val="000D14BA"/>
    <w:rsid w:val="000D3737"/>
    <w:rsid w:val="000D74C6"/>
    <w:rsid w:val="000D7754"/>
    <w:rsid w:val="000E04E6"/>
    <w:rsid w:val="000E06E4"/>
    <w:rsid w:val="000E1735"/>
    <w:rsid w:val="000E206E"/>
    <w:rsid w:val="000E378E"/>
    <w:rsid w:val="000E3D76"/>
    <w:rsid w:val="000E3DA3"/>
    <w:rsid w:val="000E402E"/>
    <w:rsid w:val="000E4352"/>
    <w:rsid w:val="000E5A01"/>
    <w:rsid w:val="000E6ED8"/>
    <w:rsid w:val="000E7279"/>
    <w:rsid w:val="000E7B19"/>
    <w:rsid w:val="000F3B50"/>
    <w:rsid w:val="000F58D7"/>
    <w:rsid w:val="000F7D50"/>
    <w:rsid w:val="001011CB"/>
    <w:rsid w:val="00101E72"/>
    <w:rsid w:val="00104405"/>
    <w:rsid w:val="001059B0"/>
    <w:rsid w:val="00107886"/>
    <w:rsid w:val="001109A9"/>
    <w:rsid w:val="001115DD"/>
    <w:rsid w:val="00111ABE"/>
    <w:rsid w:val="001121BE"/>
    <w:rsid w:val="00114DAD"/>
    <w:rsid w:val="00117287"/>
    <w:rsid w:val="001222FD"/>
    <w:rsid w:val="001232DF"/>
    <w:rsid w:val="001245BD"/>
    <w:rsid w:val="0012504B"/>
    <w:rsid w:val="00125D30"/>
    <w:rsid w:val="001264A6"/>
    <w:rsid w:val="0012713E"/>
    <w:rsid w:val="0012763F"/>
    <w:rsid w:val="0013209F"/>
    <w:rsid w:val="001351A7"/>
    <w:rsid w:val="001354A9"/>
    <w:rsid w:val="00136E06"/>
    <w:rsid w:val="00141611"/>
    <w:rsid w:val="00142218"/>
    <w:rsid w:val="00144102"/>
    <w:rsid w:val="00144B51"/>
    <w:rsid w:val="00150F5A"/>
    <w:rsid w:val="00151D01"/>
    <w:rsid w:val="00152D3E"/>
    <w:rsid w:val="00155C5E"/>
    <w:rsid w:val="0015715F"/>
    <w:rsid w:val="00160B5E"/>
    <w:rsid w:val="00161553"/>
    <w:rsid w:val="00163DD4"/>
    <w:rsid w:val="00165CAD"/>
    <w:rsid w:val="00166CE0"/>
    <w:rsid w:val="001707C7"/>
    <w:rsid w:val="00171001"/>
    <w:rsid w:val="00171DE5"/>
    <w:rsid w:val="001738D1"/>
    <w:rsid w:val="001753CF"/>
    <w:rsid w:val="00177EAB"/>
    <w:rsid w:val="001800DB"/>
    <w:rsid w:val="00180221"/>
    <w:rsid w:val="00181851"/>
    <w:rsid w:val="00182C3E"/>
    <w:rsid w:val="00183B74"/>
    <w:rsid w:val="00184BD5"/>
    <w:rsid w:val="00184EEB"/>
    <w:rsid w:val="00184FD0"/>
    <w:rsid w:val="00192418"/>
    <w:rsid w:val="0019386F"/>
    <w:rsid w:val="00195D95"/>
    <w:rsid w:val="00196957"/>
    <w:rsid w:val="001975AC"/>
    <w:rsid w:val="001A0B91"/>
    <w:rsid w:val="001A111A"/>
    <w:rsid w:val="001A18CF"/>
    <w:rsid w:val="001A1916"/>
    <w:rsid w:val="001A24AF"/>
    <w:rsid w:val="001A28EC"/>
    <w:rsid w:val="001A3D78"/>
    <w:rsid w:val="001A49A4"/>
    <w:rsid w:val="001A56E7"/>
    <w:rsid w:val="001A5CD6"/>
    <w:rsid w:val="001A5E75"/>
    <w:rsid w:val="001B1ECE"/>
    <w:rsid w:val="001B269B"/>
    <w:rsid w:val="001B3531"/>
    <w:rsid w:val="001B3FB3"/>
    <w:rsid w:val="001B6667"/>
    <w:rsid w:val="001B6C5C"/>
    <w:rsid w:val="001B6ED9"/>
    <w:rsid w:val="001B7169"/>
    <w:rsid w:val="001C27CC"/>
    <w:rsid w:val="001C3646"/>
    <w:rsid w:val="001C387F"/>
    <w:rsid w:val="001D03B2"/>
    <w:rsid w:val="001D0C1E"/>
    <w:rsid w:val="001D218C"/>
    <w:rsid w:val="001D4AD5"/>
    <w:rsid w:val="001D6516"/>
    <w:rsid w:val="001E0074"/>
    <w:rsid w:val="001E25D9"/>
    <w:rsid w:val="001E27F3"/>
    <w:rsid w:val="001E5582"/>
    <w:rsid w:val="001E5726"/>
    <w:rsid w:val="001E7B4C"/>
    <w:rsid w:val="001F09B5"/>
    <w:rsid w:val="001F104D"/>
    <w:rsid w:val="001F44D5"/>
    <w:rsid w:val="001F493C"/>
    <w:rsid w:val="001F4D6F"/>
    <w:rsid w:val="001F4EAC"/>
    <w:rsid w:val="001F5A37"/>
    <w:rsid w:val="001F5B03"/>
    <w:rsid w:val="001F5EA4"/>
    <w:rsid w:val="001F6B65"/>
    <w:rsid w:val="00200B80"/>
    <w:rsid w:val="00200F16"/>
    <w:rsid w:val="00206F86"/>
    <w:rsid w:val="00210E1F"/>
    <w:rsid w:val="00211C9C"/>
    <w:rsid w:val="00213838"/>
    <w:rsid w:val="00213A28"/>
    <w:rsid w:val="00214666"/>
    <w:rsid w:val="00214C2B"/>
    <w:rsid w:val="00214F19"/>
    <w:rsid w:val="00217A4F"/>
    <w:rsid w:val="00217B13"/>
    <w:rsid w:val="00217D26"/>
    <w:rsid w:val="00217FF6"/>
    <w:rsid w:val="0022009F"/>
    <w:rsid w:val="002215D4"/>
    <w:rsid w:val="002265B1"/>
    <w:rsid w:val="00226A13"/>
    <w:rsid w:val="0022716C"/>
    <w:rsid w:val="00227A8B"/>
    <w:rsid w:val="00227C85"/>
    <w:rsid w:val="00232AA3"/>
    <w:rsid w:val="00232C92"/>
    <w:rsid w:val="002343AF"/>
    <w:rsid w:val="00234813"/>
    <w:rsid w:val="00234A23"/>
    <w:rsid w:val="0024051F"/>
    <w:rsid w:val="00240A3E"/>
    <w:rsid w:val="00241D91"/>
    <w:rsid w:val="002421CE"/>
    <w:rsid w:val="00243155"/>
    <w:rsid w:val="00247108"/>
    <w:rsid w:val="00247F95"/>
    <w:rsid w:val="00250449"/>
    <w:rsid w:val="002515C0"/>
    <w:rsid w:val="00251F94"/>
    <w:rsid w:val="0025264C"/>
    <w:rsid w:val="00252C02"/>
    <w:rsid w:val="00254071"/>
    <w:rsid w:val="0025418E"/>
    <w:rsid w:val="002606DE"/>
    <w:rsid w:val="00260C26"/>
    <w:rsid w:val="0026194F"/>
    <w:rsid w:val="0026235B"/>
    <w:rsid w:val="00264B7E"/>
    <w:rsid w:val="002671BB"/>
    <w:rsid w:val="002733B7"/>
    <w:rsid w:val="00273482"/>
    <w:rsid w:val="00273D5C"/>
    <w:rsid w:val="00275B92"/>
    <w:rsid w:val="002802C7"/>
    <w:rsid w:val="0028050F"/>
    <w:rsid w:val="00281671"/>
    <w:rsid w:val="002828A8"/>
    <w:rsid w:val="002832DF"/>
    <w:rsid w:val="002833A6"/>
    <w:rsid w:val="00284BA9"/>
    <w:rsid w:val="00284F04"/>
    <w:rsid w:val="00290182"/>
    <w:rsid w:val="00291F84"/>
    <w:rsid w:val="00293251"/>
    <w:rsid w:val="002936AD"/>
    <w:rsid w:val="002964C3"/>
    <w:rsid w:val="002A0203"/>
    <w:rsid w:val="002A4723"/>
    <w:rsid w:val="002A4B00"/>
    <w:rsid w:val="002A7D64"/>
    <w:rsid w:val="002B089D"/>
    <w:rsid w:val="002B094B"/>
    <w:rsid w:val="002B0A83"/>
    <w:rsid w:val="002B0CE5"/>
    <w:rsid w:val="002B18E0"/>
    <w:rsid w:val="002B1C46"/>
    <w:rsid w:val="002B2161"/>
    <w:rsid w:val="002B40A3"/>
    <w:rsid w:val="002B50C7"/>
    <w:rsid w:val="002B5D19"/>
    <w:rsid w:val="002B62AA"/>
    <w:rsid w:val="002B642F"/>
    <w:rsid w:val="002B705D"/>
    <w:rsid w:val="002C0A3D"/>
    <w:rsid w:val="002C1EF3"/>
    <w:rsid w:val="002C5377"/>
    <w:rsid w:val="002C60B3"/>
    <w:rsid w:val="002D0AE0"/>
    <w:rsid w:val="002D5B26"/>
    <w:rsid w:val="002D7AF8"/>
    <w:rsid w:val="002D7E1A"/>
    <w:rsid w:val="002E081B"/>
    <w:rsid w:val="002E2E97"/>
    <w:rsid w:val="002E3237"/>
    <w:rsid w:val="002E6674"/>
    <w:rsid w:val="002E7C6A"/>
    <w:rsid w:val="002F0F8D"/>
    <w:rsid w:val="002F103C"/>
    <w:rsid w:val="002F10FE"/>
    <w:rsid w:val="002F2C7A"/>
    <w:rsid w:val="002F52CA"/>
    <w:rsid w:val="002F579A"/>
    <w:rsid w:val="002F6D1F"/>
    <w:rsid w:val="002F7E09"/>
    <w:rsid w:val="00301B5E"/>
    <w:rsid w:val="003020F0"/>
    <w:rsid w:val="00303E72"/>
    <w:rsid w:val="00304A0A"/>
    <w:rsid w:val="00306579"/>
    <w:rsid w:val="0030724E"/>
    <w:rsid w:val="00307300"/>
    <w:rsid w:val="00307806"/>
    <w:rsid w:val="00307C76"/>
    <w:rsid w:val="0031047A"/>
    <w:rsid w:val="0031052A"/>
    <w:rsid w:val="003111E4"/>
    <w:rsid w:val="00312C25"/>
    <w:rsid w:val="00313CD7"/>
    <w:rsid w:val="003161B6"/>
    <w:rsid w:val="00316F11"/>
    <w:rsid w:val="00317BBC"/>
    <w:rsid w:val="003208B7"/>
    <w:rsid w:val="003241ED"/>
    <w:rsid w:val="003259D2"/>
    <w:rsid w:val="00326E03"/>
    <w:rsid w:val="00327D58"/>
    <w:rsid w:val="00333182"/>
    <w:rsid w:val="00334175"/>
    <w:rsid w:val="00334667"/>
    <w:rsid w:val="00334866"/>
    <w:rsid w:val="003366C9"/>
    <w:rsid w:val="0033717A"/>
    <w:rsid w:val="003407E4"/>
    <w:rsid w:val="003437B0"/>
    <w:rsid w:val="00345870"/>
    <w:rsid w:val="00346839"/>
    <w:rsid w:val="003471BC"/>
    <w:rsid w:val="00347D96"/>
    <w:rsid w:val="00350783"/>
    <w:rsid w:val="00351A8C"/>
    <w:rsid w:val="00352EEA"/>
    <w:rsid w:val="003603B2"/>
    <w:rsid w:val="00360832"/>
    <w:rsid w:val="0036210D"/>
    <w:rsid w:val="003629B1"/>
    <w:rsid w:val="00366E77"/>
    <w:rsid w:val="003743F1"/>
    <w:rsid w:val="00375B8A"/>
    <w:rsid w:val="003811E5"/>
    <w:rsid w:val="00383878"/>
    <w:rsid w:val="00383C30"/>
    <w:rsid w:val="00384E07"/>
    <w:rsid w:val="00386C23"/>
    <w:rsid w:val="00387454"/>
    <w:rsid w:val="00387A21"/>
    <w:rsid w:val="003929E4"/>
    <w:rsid w:val="00394C6C"/>
    <w:rsid w:val="00395E6A"/>
    <w:rsid w:val="00396636"/>
    <w:rsid w:val="003A0356"/>
    <w:rsid w:val="003A28B3"/>
    <w:rsid w:val="003A78B8"/>
    <w:rsid w:val="003B02B5"/>
    <w:rsid w:val="003B0F77"/>
    <w:rsid w:val="003B2A36"/>
    <w:rsid w:val="003B2E2E"/>
    <w:rsid w:val="003B4798"/>
    <w:rsid w:val="003B4A60"/>
    <w:rsid w:val="003B65EE"/>
    <w:rsid w:val="003C04B5"/>
    <w:rsid w:val="003C0902"/>
    <w:rsid w:val="003C0BD0"/>
    <w:rsid w:val="003C143D"/>
    <w:rsid w:val="003C31B3"/>
    <w:rsid w:val="003C5F31"/>
    <w:rsid w:val="003C6010"/>
    <w:rsid w:val="003C7A24"/>
    <w:rsid w:val="003D0E13"/>
    <w:rsid w:val="003D0E14"/>
    <w:rsid w:val="003D1F6B"/>
    <w:rsid w:val="003D214D"/>
    <w:rsid w:val="003D2388"/>
    <w:rsid w:val="003D23C7"/>
    <w:rsid w:val="003D31DE"/>
    <w:rsid w:val="003D411A"/>
    <w:rsid w:val="003D4896"/>
    <w:rsid w:val="003D569D"/>
    <w:rsid w:val="003D5EE5"/>
    <w:rsid w:val="003D6B91"/>
    <w:rsid w:val="003E0913"/>
    <w:rsid w:val="003E1D2E"/>
    <w:rsid w:val="003E3735"/>
    <w:rsid w:val="003E45D3"/>
    <w:rsid w:val="003E4A17"/>
    <w:rsid w:val="003E5E2A"/>
    <w:rsid w:val="003F130D"/>
    <w:rsid w:val="003F21EF"/>
    <w:rsid w:val="003F2384"/>
    <w:rsid w:val="003F5574"/>
    <w:rsid w:val="003F7DA0"/>
    <w:rsid w:val="003F7ECD"/>
    <w:rsid w:val="00403BFF"/>
    <w:rsid w:val="00404BA7"/>
    <w:rsid w:val="0040609F"/>
    <w:rsid w:val="00406A0C"/>
    <w:rsid w:val="00406E02"/>
    <w:rsid w:val="00407B2F"/>
    <w:rsid w:val="004100F6"/>
    <w:rsid w:val="0041095B"/>
    <w:rsid w:val="00410DE1"/>
    <w:rsid w:val="004139AB"/>
    <w:rsid w:val="004173AA"/>
    <w:rsid w:val="004177C1"/>
    <w:rsid w:val="00420092"/>
    <w:rsid w:val="004200C2"/>
    <w:rsid w:val="0042028E"/>
    <w:rsid w:val="004218A7"/>
    <w:rsid w:val="00422A1F"/>
    <w:rsid w:val="00423F10"/>
    <w:rsid w:val="00424E1C"/>
    <w:rsid w:val="00426CEC"/>
    <w:rsid w:val="004272B0"/>
    <w:rsid w:val="00427CA1"/>
    <w:rsid w:val="00427F00"/>
    <w:rsid w:val="004317AB"/>
    <w:rsid w:val="0043272C"/>
    <w:rsid w:val="004352C9"/>
    <w:rsid w:val="0043541E"/>
    <w:rsid w:val="0043621F"/>
    <w:rsid w:val="00436BA9"/>
    <w:rsid w:val="00436E7A"/>
    <w:rsid w:val="0043703B"/>
    <w:rsid w:val="00440EB7"/>
    <w:rsid w:val="004416AF"/>
    <w:rsid w:val="0044176E"/>
    <w:rsid w:val="00444C25"/>
    <w:rsid w:val="004457F8"/>
    <w:rsid w:val="00445E0A"/>
    <w:rsid w:val="00450E49"/>
    <w:rsid w:val="00451034"/>
    <w:rsid w:val="0045152C"/>
    <w:rsid w:val="00457CAA"/>
    <w:rsid w:val="004607DC"/>
    <w:rsid w:val="0046228C"/>
    <w:rsid w:val="004622E6"/>
    <w:rsid w:val="00464B79"/>
    <w:rsid w:val="004656FC"/>
    <w:rsid w:val="00466508"/>
    <w:rsid w:val="0046654B"/>
    <w:rsid w:val="0046755D"/>
    <w:rsid w:val="00472DC7"/>
    <w:rsid w:val="00473C6B"/>
    <w:rsid w:val="00477463"/>
    <w:rsid w:val="0047770F"/>
    <w:rsid w:val="00477BD2"/>
    <w:rsid w:val="00481B65"/>
    <w:rsid w:val="00482DB3"/>
    <w:rsid w:val="004856CF"/>
    <w:rsid w:val="00487266"/>
    <w:rsid w:val="00487BBF"/>
    <w:rsid w:val="00492DA8"/>
    <w:rsid w:val="00494538"/>
    <w:rsid w:val="004A2D64"/>
    <w:rsid w:val="004A303D"/>
    <w:rsid w:val="004A7602"/>
    <w:rsid w:val="004A7BD1"/>
    <w:rsid w:val="004B3E3C"/>
    <w:rsid w:val="004C03A4"/>
    <w:rsid w:val="004C18C3"/>
    <w:rsid w:val="004C26AF"/>
    <w:rsid w:val="004C36FE"/>
    <w:rsid w:val="004C4AFA"/>
    <w:rsid w:val="004C526C"/>
    <w:rsid w:val="004C629A"/>
    <w:rsid w:val="004C6F81"/>
    <w:rsid w:val="004C72D2"/>
    <w:rsid w:val="004C7FB2"/>
    <w:rsid w:val="004D057C"/>
    <w:rsid w:val="004D4357"/>
    <w:rsid w:val="004D79B1"/>
    <w:rsid w:val="004D7BDE"/>
    <w:rsid w:val="004E1DD8"/>
    <w:rsid w:val="004E323E"/>
    <w:rsid w:val="004E448E"/>
    <w:rsid w:val="004E456E"/>
    <w:rsid w:val="004E5DF2"/>
    <w:rsid w:val="004E6B85"/>
    <w:rsid w:val="004F1014"/>
    <w:rsid w:val="004F18CA"/>
    <w:rsid w:val="004F6304"/>
    <w:rsid w:val="004F6864"/>
    <w:rsid w:val="005022C2"/>
    <w:rsid w:val="0050252E"/>
    <w:rsid w:val="0050455B"/>
    <w:rsid w:val="00504771"/>
    <w:rsid w:val="00504ED0"/>
    <w:rsid w:val="00506AA8"/>
    <w:rsid w:val="00506AFC"/>
    <w:rsid w:val="00507D6D"/>
    <w:rsid w:val="00510A3A"/>
    <w:rsid w:val="00512DD3"/>
    <w:rsid w:val="0051304A"/>
    <w:rsid w:val="00516133"/>
    <w:rsid w:val="00516A00"/>
    <w:rsid w:val="005218E2"/>
    <w:rsid w:val="00522FA6"/>
    <w:rsid w:val="00526973"/>
    <w:rsid w:val="00527FED"/>
    <w:rsid w:val="00532071"/>
    <w:rsid w:val="005353C6"/>
    <w:rsid w:val="0054111E"/>
    <w:rsid w:val="005414AF"/>
    <w:rsid w:val="00542F0F"/>
    <w:rsid w:val="00543DAD"/>
    <w:rsid w:val="005446F5"/>
    <w:rsid w:val="00544BF0"/>
    <w:rsid w:val="005461FB"/>
    <w:rsid w:val="0054656A"/>
    <w:rsid w:val="0054688B"/>
    <w:rsid w:val="00546EE2"/>
    <w:rsid w:val="00547D1B"/>
    <w:rsid w:val="00552A5E"/>
    <w:rsid w:val="00552D4D"/>
    <w:rsid w:val="00555639"/>
    <w:rsid w:val="005558C4"/>
    <w:rsid w:val="00556216"/>
    <w:rsid w:val="005572FD"/>
    <w:rsid w:val="005575E3"/>
    <w:rsid w:val="00557977"/>
    <w:rsid w:val="00557A30"/>
    <w:rsid w:val="00561C1A"/>
    <w:rsid w:val="005626B1"/>
    <w:rsid w:val="00565C8A"/>
    <w:rsid w:val="0056645F"/>
    <w:rsid w:val="00570A6A"/>
    <w:rsid w:val="00570F21"/>
    <w:rsid w:val="005718C6"/>
    <w:rsid w:val="005721EE"/>
    <w:rsid w:val="005727D9"/>
    <w:rsid w:val="00572D5F"/>
    <w:rsid w:val="005746FA"/>
    <w:rsid w:val="00574DAD"/>
    <w:rsid w:val="005752D3"/>
    <w:rsid w:val="00575A8B"/>
    <w:rsid w:val="00582EA8"/>
    <w:rsid w:val="00586E9E"/>
    <w:rsid w:val="0059012C"/>
    <w:rsid w:val="00592ABC"/>
    <w:rsid w:val="00596B4F"/>
    <w:rsid w:val="00596B94"/>
    <w:rsid w:val="00596FCA"/>
    <w:rsid w:val="00597166"/>
    <w:rsid w:val="00597421"/>
    <w:rsid w:val="005A0462"/>
    <w:rsid w:val="005A0D1E"/>
    <w:rsid w:val="005A3FB8"/>
    <w:rsid w:val="005A4D06"/>
    <w:rsid w:val="005A4F36"/>
    <w:rsid w:val="005A53EC"/>
    <w:rsid w:val="005A6529"/>
    <w:rsid w:val="005B109E"/>
    <w:rsid w:val="005B15AC"/>
    <w:rsid w:val="005B1C04"/>
    <w:rsid w:val="005B3212"/>
    <w:rsid w:val="005B545E"/>
    <w:rsid w:val="005B548E"/>
    <w:rsid w:val="005B611F"/>
    <w:rsid w:val="005B63E6"/>
    <w:rsid w:val="005B786D"/>
    <w:rsid w:val="005C1BD7"/>
    <w:rsid w:val="005C29E2"/>
    <w:rsid w:val="005C388C"/>
    <w:rsid w:val="005C3A00"/>
    <w:rsid w:val="005C3C15"/>
    <w:rsid w:val="005C5B66"/>
    <w:rsid w:val="005C63F2"/>
    <w:rsid w:val="005D03EE"/>
    <w:rsid w:val="005D08F3"/>
    <w:rsid w:val="005D5F5A"/>
    <w:rsid w:val="005D7A23"/>
    <w:rsid w:val="005E17D5"/>
    <w:rsid w:val="005E2A51"/>
    <w:rsid w:val="005E3E22"/>
    <w:rsid w:val="005E4BFE"/>
    <w:rsid w:val="005E50A0"/>
    <w:rsid w:val="005F1887"/>
    <w:rsid w:val="005F210D"/>
    <w:rsid w:val="005F64FE"/>
    <w:rsid w:val="005F7418"/>
    <w:rsid w:val="0060007B"/>
    <w:rsid w:val="00600EA8"/>
    <w:rsid w:val="00601F9A"/>
    <w:rsid w:val="00603A1C"/>
    <w:rsid w:val="00603FB6"/>
    <w:rsid w:val="006069AD"/>
    <w:rsid w:val="00610C0A"/>
    <w:rsid w:val="006116F3"/>
    <w:rsid w:val="00612584"/>
    <w:rsid w:val="006127B9"/>
    <w:rsid w:val="00612938"/>
    <w:rsid w:val="00612FFD"/>
    <w:rsid w:val="00613D60"/>
    <w:rsid w:val="00615460"/>
    <w:rsid w:val="0061595D"/>
    <w:rsid w:val="00623E21"/>
    <w:rsid w:val="006253AF"/>
    <w:rsid w:val="00626F3C"/>
    <w:rsid w:val="006300FB"/>
    <w:rsid w:val="00630B8A"/>
    <w:rsid w:val="00631040"/>
    <w:rsid w:val="00631EC3"/>
    <w:rsid w:val="0063395C"/>
    <w:rsid w:val="0063468A"/>
    <w:rsid w:val="0063502F"/>
    <w:rsid w:val="00635FAA"/>
    <w:rsid w:val="00637148"/>
    <w:rsid w:val="00637C2C"/>
    <w:rsid w:val="00637FA7"/>
    <w:rsid w:val="006405F9"/>
    <w:rsid w:val="00640974"/>
    <w:rsid w:val="00642BC2"/>
    <w:rsid w:val="00643CAF"/>
    <w:rsid w:val="006454A5"/>
    <w:rsid w:val="006476CD"/>
    <w:rsid w:val="00651D69"/>
    <w:rsid w:val="00652E76"/>
    <w:rsid w:val="0065365F"/>
    <w:rsid w:val="00655FF0"/>
    <w:rsid w:val="006561D6"/>
    <w:rsid w:val="0065660A"/>
    <w:rsid w:val="006566CD"/>
    <w:rsid w:val="0065732C"/>
    <w:rsid w:val="006578F1"/>
    <w:rsid w:val="00660633"/>
    <w:rsid w:val="00660AE0"/>
    <w:rsid w:val="00663FD0"/>
    <w:rsid w:val="00664358"/>
    <w:rsid w:val="00665DC6"/>
    <w:rsid w:val="00666D16"/>
    <w:rsid w:val="0066755E"/>
    <w:rsid w:val="00670EC5"/>
    <w:rsid w:val="00671201"/>
    <w:rsid w:val="00672448"/>
    <w:rsid w:val="00672548"/>
    <w:rsid w:val="00674720"/>
    <w:rsid w:val="00676408"/>
    <w:rsid w:val="00676660"/>
    <w:rsid w:val="0067718E"/>
    <w:rsid w:val="00680725"/>
    <w:rsid w:val="006839FB"/>
    <w:rsid w:val="006849E0"/>
    <w:rsid w:val="0068626F"/>
    <w:rsid w:val="006875F1"/>
    <w:rsid w:val="00690800"/>
    <w:rsid w:val="00690F4A"/>
    <w:rsid w:val="00691D37"/>
    <w:rsid w:val="00691EF4"/>
    <w:rsid w:val="00696AE1"/>
    <w:rsid w:val="006A0689"/>
    <w:rsid w:val="006A0F6F"/>
    <w:rsid w:val="006A4A14"/>
    <w:rsid w:val="006A5A8B"/>
    <w:rsid w:val="006A6584"/>
    <w:rsid w:val="006B0724"/>
    <w:rsid w:val="006B1C58"/>
    <w:rsid w:val="006B2FBC"/>
    <w:rsid w:val="006B3627"/>
    <w:rsid w:val="006B391C"/>
    <w:rsid w:val="006B56E1"/>
    <w:rsid w:val="006B6874"/>
    <w:rsid w:val="006B6954"/>
    <w:rsid w:val="006B7B8A"/>
    <w:rsid w:val="006C0AC7"/>
    <w:rsid w:val="006C2494"/>
    <w:rsid w:val="006C24EF"/>
    <w:rsid w:val="006C2924"/>
    <w:rsid w:val="006C32B6"/>
    <w:rsid w:val="006C3B7A"/>
    <w:rsid w:val="006C4558"/>
    <w:rsid w:val="006C4D67"/>
    <w:rsid w:val="006D231A"/>
    <w:rsid w:val="006D461D"/>
    <w:rsid w:val="006D5247"/>
    <w:rsid w:val="006D6BE3"/>
    <w:rsid w:val="006D755E"/>
    <w:rsid w:val="006E02D7"/>
    <w:rsid w:val="006E2825"/>
    <w:rsid w:val="006E2C6E"/>
    <w:rsid w:val="006E2E91"/>
    <w:rsid w:val="006E4E81"/>
    <w:rsid w:val="006E5053"/>
    <w:rsid w:val="006E5613"/>
    <w:rsid w:val="006E6DC7"/>
    <w:rsid w:val="006E71B6"/>
    <w:rsid w:val="006E790A"/>
    <w:rsid w:val="006F292B"/>
    <w:rsid w:val="006F43C8"/>
    <w:rsid w:val="006F6675"/>
    <w:rsid w:val="006F6F4E"/>
    <w:rsid w:val="006F7323"/>
    <w:rsid w:val="00700B32"/>
    <w:rsid w:val="00702CD8"/>
    <w:rsid w:val="00703B96"/>
    <w:rsid w:val="00704C62"/>
    <w:rsid w:val="00704FCF"/>
    <w:rsid w:val="007061FF"/>
    <w:rsid w:val="007065C2"/>
    <w:rsid w:val="007075A6"/>
    <w:rsid w:val="00707E05"/>
    <w:rsid w:val="00713FB2"/>
    <w:rsid w:val="00716EF3"/>
    <w:rsid w:val="0072064F"/>
    <w:rsid w:val="00722B96"/>
    <w:rsid w:val="0072364E"/>
    <w:rsid w:val="00723876"/>
    <w:rsid w:val="00725ED6"/>
    <w:rsid w:val="007274E5"/>
    <w:rsid w:val="00730323"/>
    <w:rsid w:val="00734785"/>
    <w:rsid w:val="0073494B"/>
    <w:rsid w:val="00735E5A"/>
    <w:rsid w:val="007415E3"/>
    <w:rsid w:val="00742CA4"/>
    <w:rsid w:val="00744ECA"/>
    <w:rsid w:val="00744F4A"/>
    <w:rsid w:val="00751951"/>
    <w:rsid w:val="00752A1E"/>
    <w:rsid w:val="00754B86"/>
    <w:rsid w:val="0075516B"/>
    <w:rsid w:val="00756043"/>
    <w:rsid w:val="00756C16"/>
    <w:rsid w:val="0075768B"/>
    <w:rsid w:val="00762289"/>
    <w:rsid w:val="00762347"/>
    <w:rsid w:val="00762EB6"/>
    <w:rsid w:val="007660D8"/>
    <w:rsid w:val="007665B9"/>
    <w:rsid w:val="0076728F"/>
    <w:rsid w:val="00767696"/>
    <w:rsid w:val="00771F49"/>
    <w:rsid w:val="0077250E"/>
    <w:rsid w:val="00775020"/>
    <w:rsid w:val="00777417"/>
    <w:rsid w:val="00780A74"/>
    <w:rsid w:val="00780B6C"/>
    <w:rsid w:val="00781B33"/>
    <w:rsid w:val="0078734B"/>
    <w:rsid w:val="00791D9E"/>
    <w:rsid w:val="00793166"/>
    <w:rsid w:val="007931B3"/>
    <w:rsid w:val="00794188"/>
    <w:rsid w:val="00794503"/>
    <w:rsid w:val="00796457"/>
    <w:rsid w:val="00796668"/>
    <w:rsid w:val="00797DEA"/>
    <w:rsid w:val="007A156E"/>
    <w:rsid w:val="007A238D"/>
    <w:rsid w:val="007A2675"/>
    <w:rsid w:val="007A4D75"/>
    <w:rsid w:val="007A5146"/>
    <w:rsid w:val="007A551A"/>
    <w:rsid w:val="007A6010"/>
    <w:rsid w:val="007A630A"/>
    <w:rsid w:val="007A6819"/>
    <w:rsid w:val="007A7072"/>
    <w:rsid w:val="007B26B8"/>
    <w:rsid w:val="007B2EB8"/>
    <w:rsid w:val="007B56F6"/>
    <w:rsid w:val="007B5816"/>
    <w:rsid w:val="007B746D"/>
    <w:rsid w:val="007C04A3"/>
    <w:rsid w:val="007C0541"/>
    <w:rsid w:val="007C0AB1"/>
    <w:rsid w:val="007C29AB"/>
    <w:rsid w:val="007C2B8A"/>
    <w:rsid w:val="007C4A3F"/>
    <w:rsid w:val="007C5183"/>
    <w:rsid w:val="007C715E"/>
    <w:rsid w:val="007D0FEA"/>
    <w:rsid w:val="007D1A5E"/>
    <w:rsid w:val="007D2734"/>
    <w:rsid w:val="007D2CB9"/>
    <w:rsid w:val="007D422C"/>
    <w:rsid w:val="007D5F4D"/>
    <w:rsid w:val="007D68FB"/>
    <w:rsid w:val="007E019C"/>
    <w:rsid w:val="007E0840"/>
    <w:rsid w:val="007E1E26"/>
    <w:rsid w:val="007E2A12"/>
    <w:rsid w:val="007E5090"/>
    <w:rsid w:val="007E5231"/>
    <w:rsid w:val="007E6461"/>
    <w:rsid w:val="007E7081"/>
    <w:rsid w:val="007F054E"/>
    <w:rsid w:val="007F1B73"/>
    <w:rsid w:val="007F7848"/>
    <w:rsid w:val="008075C3"/>
    <w:rsid w:val="00807FD7"/>
    <w:rsid w:val="00810D14"/>
    <w:rsid w:val="0081565A"/>
    <w:rsid w:val="008162A3"/>
    <w:rsid w:val="00816DF9"/>
    <w:rsid w:val="008176FC"/>
    <w:rsid w:val="008216B2"/>
    <w:rsid w:val="00821793"/>
    <w:rsid w:val="0082183A"/>
    <w:rsid w:val="00822465"/>
    <w:rsid w:val="008267B1"/>
    <w:rsid w:val="008308B9"/>
    <w:rsid w:val="0083171C"/>
    <w:rsid w:val="0083236E"/>
    <w:rsid w:val="008334E2"/>
    <w:rsid w:val="0083353D"/>
    <w:rsid w:val="0083517C"/>
    <w:rsid w:val="008378AD"/>
    <w:rsid w:val="0084183C"/>
    <w:rsid w:val="00846B33"/>
    <w:rsid w:val="00847574"/>
    <w:rsid w:val="00847FFC"/>
    <w:rsid w:val="00850F70"/>
    <w:rsid w:val="00851282"/>
    <w:rsid w:val="008522B7"/>
    <w:rsid w:val="0085283C"/>
    <w:rsid w:val="00860736"/>
    <w:rsid w:val="00863DDC"/>
    <w:rsid w:val="008641C9"/>
    <w:rsid w:val="00865C57"/>
    <w:rsid w:val="008672DC"/>
    <w:rsid w:val="00867E5C"/>
    <w:rsid w:val="008708B8"/>
    <w:rsid w:val="00872725"/>
    <w:rsid w:val="008754E1"/>
    <w:rsid w:val="00876AB8"/>
    <w:rsid w:val="00880527"/>
    <w:rsid w:val="00881938"/>
    <w:rsid w:val="00881EBC"/>
    <w:rsid w:val="0088479F"/>
    <w:rsid w:val="00885496"/>
    <w:rsid w:val="00885F1A"/>
    <w:rsid w:val="0089016F"/>
    <w:rsid w:val="008907BD"/>
    <w:rsid w:val="008908E2"/>
    <w:rsid w:val="00891141"/>
    <w:rsid w:val="0089187B"/>
    <w:rsid w:val="00892C89"/>
    <w:rsid w:val="00893CDA"/>
    <w:rsid w:val="00894F7E"/>
    <w:rsid w:val="0089596F"/>
    <w:rsid w:val="00896814"/>
    <w:rsid w:val="00897FE0"/>
    <w:rsid w:val="008A0FA5"/>
    <w:rsid w:val="008A23FF"/>
    <w:rsid w:val="008A4425"/>
    <w:rsid w:val="008A77A0"/>
    <w:rsid w:val="008A786E"/>
    <w:rsid w:val="008B1847"/>
    <w:rsid w:val="008B2A2D"/>
    <w:rsid w:val="008B3E99"/>
    <w:rsid w:val="008B43E0"/>
    <w:rsid w:val="008B5CFC"/>
    <w:rsid w:val="008B5F77"/>
    <w:rsid w:val="008C022D"/>
    <w:rsid w:val="008C068B"/>
    <w:rsid w:val="008C0748"/>
    <w:rsid w:val="008C11BD"/>
    <w:rsid w:val="008C28E7"/>
    <w:rsid w:val="008C3B51"/>
    <w:rsid w:val="008C4DC5"/>
    <w:rsid w:val="008C50D3"/>
    <w:rsid w:val="008C5C73"/>
    <w:rsid w:val="008C5D23"/>
    <w:rsid w:val="008C60ED"/>
    <w:rsid w:val="008D022B"/>
    <w:rsid w:val="008D0B70"/>
    <w:rsid w:val="008D1016"/>
    <w:rsid w:val="008D5C5E"/>
    <w:rsid w:val="008D7685"/>
    <w:rsid w:val="008D7995"/>
    <w:rsid w:val="008E0F15"/>
    <w:rsid w:val="008E1BCD"/>
    <w:rsid w:val="008E2A6B"/>
    <w:rsid w:val="008E32D7"/>
    <w:rsid w:val="008E46BC"/>
    <w:rsid w:val="008E747F"/>
    <w:rsid w:val="008E7A9A"/>
    <w:rsid w:val="008E7B20"/>
    <w:rsid w:val="008E7D59"/>
    <w:rsid w:val="008F053A"/>
    <w:rsid w:val="008F0C3A"/>
    <w:rsid w:val="008F1422"/>
    <w:rsid w:val="008F1CCD"/>
    <w:rsid w:val="008F450C"/>
    <w:rsid w:val="008F469F"/>
    <w:rsid w:val="008F4A62"/>
    <w:rsid w:val="008F7D77"/>
    <w:rsid w:val="009021EE"/>
    <w:rsid w:val="00902285"/>
    <w:rsid w:val="00903D3F"/>
    <w:rsid w:val="0090477D"/>
    <w:rsid w:val="00911D62"/>
    <w:rsid w:val="00912462"/>
    <w:rsid w:val="009135D7"/>
    <w:rsid w:val="00914CBB"/>
    <w:rsid w:val="00915EB3"/>
    <w:rsid w:val="00916F90"/>
    <w:rsid w:val="0092264F"/>
    <w:rsid w:val="00922F1F"/>
    <w:rsid w:val="00925343"/>
    <w:rsid w:val="00925A73"/>
    <w:rsid w:val="00927E62"/>
    <w:rsid w:val="00934B6F"/>
    <w:rsid w:val="00934EB2"/>
    <w:rsid w:val="009372F8"/>
    <w:rsid w:val="009377EC"/>
    <w:rsid w:val="009378D2"/>
    <w:rsid w:val="00940CF1"/>
    <w:rsid w:val="00941542"/>
    <w:rsid w:val="00943213"/>
    <w:rsid w:val="00944DBE"/>
    <w:rsid w:val="00946721"/>
    <w:rsid w:val="00947CAF"/>
    <w:rsid w:val="00951BBB"/>
    <w:rsid w:val="0095212E"/>
    <w:rsid w:val="0095286F"/>
    <w:rsid w:val="00953F90"/>
    <w:rsid w:val="00954274"/>
    <w:rsid w:val="009547D7"/>
    <w:rsid w:val="00954E31"/>
    <w:rsid w:val="00956027"/>
    <w:rsid w:val="00956945"/>
    <w:rsid w:val="00957C11"/>
    <w:rsid w:val="00960AC4"/>
    <w:rsid w:val="00961535"/>
    <w:rsid w:val="00964C67"/>
    <w:rsid w:val="009661C9"/>
    <w:rsid w:val="00966A8A"/>
    <w:rsid w:val="00967571"/>
    <w:rsid w:val="00973F0E"/>
    <w:rsid w:val="009755F6"/>
    <w:rsid w:val="009758EA"/>
    <w:rsid w:val="00975C7C"/>
    <w:rsid w:val="00976F06"/>
    <w:rsid w:val="00980B3D"/>
    <w:rsid w:val="00980E43"/>
    <w:rsid w:val="0098153F"/>
    <w:rsid w:val="00982B98"/>
    <w:rsid w:val="00982D3E"/>
    <w:rsid w:val="00983ACB"/>
    <w:rsid w:val="00984C65"/>
    <w:rsid w:val="009859B5"/>
    <w:rsid w:val="00987F13"/>
    <w:rsid w:val="00990163"/>
    <w:rsid w:val="00992C9F"/>
    <w:rsid w:val="00994A70"/>
    <w:rsid w:val="009956A0"/>
    <w:rsid w:val="00996EC3"/>
    <w:rsid w:val="009A0ED1"/>
    <w:rsid w:val="009A5805"/>
    <w:rsid w:val="009B2725"/>
    <w:rsid w:val="009B3881"/>
    <w:rsid w:val="009B48C6"/>
    <w:rsid w:val="009B5CB3"/>
    <w:rsid w:val="009B64E1"/>
    <w:rsid w:val="009C0B5A"/>
    <w:rsid w:val="009C1BFA"/>
    <w:rsid w:val="009C2D92"/>
    <w:rsid w:val="009C66A3"/>
    <w:rsid w:val="009C7699"/>
    <w:rsid w:val="009C780C"/>
    <w:rsid w:val="009D257B"/>
    <w:rsid w:val="009D2E7C"/>
    <w:rsid w:val="009D2FD2"/>
    <w:rsid w:val="009D3C5E"/>
    <w:rsid w:val="009D488D"/>
    <w:rsid w:val="009D60D4"/>
    <w:rsid w:val="009E0BA2"/>
    <w:rsid w:val="009E10B9"/>
    <w:rsid w:val="009E2ECC"/>
    <w:rsid w:val="009E3B1D"/>
    <w:rsid w:val="009F00F9"/>
    <w:rsid w:val="009F051D"/>
    <w:rsid w:val="009F1090"/>
    <w:rsid w:val="009F3648"/>
    <w:rsid w:val="009F5986"/>
    <w:rsid w:val="009F793C"/>
    <w:rsid w:val="00A01C2E"/>
    <w:rsid w:val="00A024A0"/>
    <w:rsid w:val="00A049CB"/>
    <w:rsid w:val="00A07A03"/>
    <w:rsid w:val="00A11EE4"/>
    <w:rsid w:val="00A141EF"/>
    <w:rsid w:val="00A14F58"/>
    <w:rsid w:val="00A16358"/>
    <w:rsid w:val="00A21325"/>
    <w:rsid w:val="00A2472A"/>
    <w:rsid w:val="00A2688F"/>
    <w:rsid w:val="00A27904"/>
    <w:rsid w:val="00A279AA"/>
    <w:rsid w:val="00A3477B"/>
    <w:rsid w:val="00A35DA0"/>
    <w:rsid w:val="00A35E18"/>
    <w:rsid w:val="00A360B0"/>
    <w:rsid w:val="00A36A6A"/>
    <w:rsid w:val="00A40038"/>
    <w:rsid w:val="00A40FC8"/>
    <w:rsid w:val="00A425DC"/>
    <w:rsid w:val="00A42858"/>
    <w:rsid w:val="00A434A0"/>
    <w:rsid w:val="00A43B18"/>
    <w:rsid w:val="00A43B28"/>
    <w:rsid w:val="00A44233"/>
    <w:rsid w:val="00A46B3E"/>
    <w:rsid w:val="00A4717D"/>
    <w:rsid w:val="00A4796D"/>
    <w:rsid w:val="00A47E94"/>
    <w:rsid w:val="00A50BB3"/>
    <w:rsid w:val="00A51868"/>
    <w:rsid w:val="00A51C5A"/>
    <w:rsid w:val="00A57BC2"/>
    <w:rsid w:val="00A60076"/>
    <w:rsid w:val="00A60B0D"/>
    <w:rsid w:val="00A6230F"/>
    <w:rsid w:val="00A63D1E"/>
    <w:rsid w:val="00A6655B"/>
    <w:rsid w:val="00A67802"/>
    <w:rsid w:val="00A7166B"/>
    <w:rsid w:val="00A73369"/>
    <w:rsid w:val="00A76172"/>
    <w:rsid w:val="00A77644"/>
    <w:rsid w:val="00A8094B"/>
    <w:rsid w:val="00A8338E"/>
    <w:rsid w:val="00A84892"/>
    <w:rsid w:val="00A85910"/>
    <w:rsid w:val="00A87467"/>
    <w:rsid w:val="00A90150"/>
    <w:rsid w:val="00A9674A"/>
    <w:rsid w:val="00A97E52"/>
    <w:rsid w:val="00AA055F"/>
    <w:rsid w:val="00AA1125"/>
    <w:rsid w:val="00AA250F"/>
    <w:rsid w:val="00AB17D1"/>
    <w:rsid w:val="00AB1978"/>
    <w:rsid w:val="00AB24F6"/>
    <w:rsid w:val="00AB47B2"/>
    <w:rsid w:val="00AB4986"/>
    <w:rsid w:val="00AB4D93"/>
    <w:rsid w:val="00AB67D6"/>
    <w:rsid w:val="00AB699B"/>
    <w:rsid w:val="00AB6D0C"/>
    <w:rsid w:val="00AB7F48"/>
    <w:rsid w:val="00AC01C2"/>
    <w:rsid w:val="00AC3646"/>
    <w:rsid w:val="00AC44E6"/>
    <w:rsid w:val="00AC6151"/>
    <w:rsid w:val="00AC6E2C"/>
    <w:rsid w:val="00AD02DB"/>
    <w:rsid w:val="00AD12D9"/>
    <w:rsid w:val="00AD1DBA"/>
    <w:rsid w:val="00AD391F"/>
    <w:rsid w:val="00AD4BDD"/>
    <w:rsid w:val="00AD6C6B"/>
    <w:rsid w:val="00AE3405"/>
    <w:rsid w:val="00AE54DD"/>
    <w:rsid w:val="00AE67E0"/>
    <w:rsid w:val="00AE6E77"/>
    <w:rsid w:val="00AF15E1"/>
    <w:rsid w:val="00AF22DA"/>
    <w:rsid w:val="00AF2A45"/>
    <w:rsid w:val="00AF3889"/>
    <w:rsid w:val="00AF689D"/>
    <w:rsid w:val="00AF6A09"/>
    <w:rsid w:val="00AF6F05"/>
    <w:rsid w:val="00B00285"/>
    <w:rsid w:val="00B02F22"/>
    <w:rsid w:val="00B03760"/>
    <w:rsid w:val="00B0538B"/>
    <w:rsid w:val="00B05617"/>
    <w:rsid w:val="00B06A73"/>
    <w:rsid w:val="00B10322"/>
    <w:rsid w:val="00B10ACE"/>
    <w:rsid w:val="00B110CC"/>
    <w:rsid w:val="00B11EFA"/>
    <w:rsid w:val="00B13364"/>
    <w:rsid w:val="00B136B8"/>
    <w:rsid w:val="00B14A9F"/>
    <w:rsid w:val="00B17BDE"/>
    <w:rsid w:val="00B20C8D"/>
    <w:rsid w:val="00B20F98"/>
    <w:rsid w:val="00B22224"/>
    <w:rsid w:val="00B22F44"/>
    <w:rsid w:val="00B234F5"/>
    <w:rsid w:val="00B26717"/>
    <w:rsid w:val="00B303AD"/>
    <w:rsid w:val="00B30813"/>
    <w:rsid w:val="00B30D40"/>
    <w:rsid w:val="00B32942"/>
    <w:rsid w:val="00B32BA9"/>
    <w:rsid w:val="00B33F4D"/>
    <w:rsid w:val="00B345F7"/>
    <w:rsid w:val="00B3523F"/>
    <w:rsid w:val="00B35977"/>
    <w:rsid w:val="00B41050"/>
    <w:rsid w:val="00B41B95"/>
    <w:rsid w:val="00B44977"/>
    <w:rsid w:val="00B45518"/>
    <w:rsid w:val="00B45836"/>
    <w:rsid w:val="00B500E5"/>
    <w:rsid w:val="00B52D16"/>
    <w:rsid w:val="00B54CCB"/>
    <w:rsid w:val="00B556F0"/>
    <w:rsid w:val="00B55BE5"/>
    <w:rsid w:val="00B56D5C"/>
    <w:rsid w:val="00B608F1"/>
    <w:rsid w:val="00B61FCF"/>
    <w:rsid w:val="00B640C1"/>
    <w:rsid w:val="00B660A4"/>
    <w:rsid w:val="00B66305"/>
    <w:rsid w:val="00B678ED"/>
    <w:rsid w:val="00B67A1D"/>
    <w:rsid w:val="00B7035E"/>
    <w:rsid w:val="00B71D6F"/>
    <w:rsid w:val="00B71F3E"/>
    <w:rsid w:val="00B72BBA"/>
    <w:rsid w:val="00B7348A"/>
    <w:rsid w:val="00B75530"/>
    <w:rsid w:val="00B75D22"/>
    <w:rsid w:val="00B814A1"/>
    <w:rsid w:val="00B81E90"/>
    <w:rsid w:val="00B84248"/>
    <w:rsid w:val="00B84F6C"/>
    <w:rsid w:val="00B86AE1"/>
    <w:rsid w:val="00B900F3"/>
    <w:rsid w:val="00B9170A"/>
    <w:rsid w:val="00B9170E"/>
    <w:rsid w:val="00B93A9E"/>
    <w:rsid w:val="00B95F26"/>
    <w:rsid w:val="00B96988"/>
    <w:rsid w:val="00B978E1"/>
    <w:rsid w:val="00BA0766"/>
    <w:rsid w:val="00BA0C1D"/>
    <w:rsid w:val="00BA2430"/>
    <w:rsid w:val="00BA61A9"/>
    <w:rsid w:val="00BA7C0E"/>
    <w:rsid w:val="00BB06B5"/>
    <w:rsid w:val="00BB25CA"/>
    <w:rsid w:val="00BB4F18"/>
    <w:rsid w:val="00BB5F37"/>
    <w:rsid w:val="00BB6A53"/>
    <w:rsid w:val="00BB743C"/>
    <w:rsid w:val="00BB76B3"/>
    <w:rsid w:val="00BC0F41"/>
    <w:rsid w:val="00BC2239"/>
    <w:rsid w:val="00BC249B"/>
    <w:rsid w:val="00BC33A5"/>
    <w:rsid w:val="00BC3695"/>
    <w:rsid w:val="00BC4712"/>
    <w:rsid w:val="00BC4928"/>
    <w:rsid w:val="00BC4A21"/>
    <w:rsid w:val="00BC4E45"/>
    <w:rsid w:val="00BD0E60"/>
    <w:rsid w:val="00BD31D0"/>
    <w:rsid w:val="00BD4104"/>
    <w:rsid w:val="00BD5442"/>
    <w:rsid w:val="00BD6E3C"/>
    <w:rsid w:val="00BD6E9D"/>
    <w:rsid w:val="00BE4133"/>
    <w:rsid w:val="00BE47F2"/>
    <w:rsid w:val="00BE6809"/>
    <w:rsid w:val="00BE6CA8"/>
    <w:rsid w:val="00BE72BD"/>
    <w:rsid w:val="00BF2B85"/>
    <w:rsid w:val="00BF5348"/>
    <w:rsid w:val="00BF5CCB"/>
    <w:rsid w:val="00C006C0"/>
    <w:rsid w:val="00C009A2"/>
    <w:rsid w:val="00C0101C"/>
    <w:rsid w:val="00C01B6D"/>
    <w:rsid w:val="00C02264"/>
    <w:rsid w:val="00C04C42"/>
    <w:rsid w:val="00C05CB4"/>
    <w:rsid w:val="00C063A4"/>
    <w:rsid w:val="00C063B7"/>
    <w:rsid w:val="00C06ADC"/>
    <w:rsid w:val="00C07066"/>
    <w:rsid w:val="00C12352"/>
    <w:rsid w:val="00C12E15"/>
    <w:rsid w:val="00C13955"/>
    <w:rsid w:val="00C13FC6"/>
    <w:rsid w:val="00C154D7"/>
    <w:rsid w:val="00C20A67"/>
    <w:rsid w:val="00C20D6A"/>
    <w:rsid w:val="00C21020"/>
    <w:rsid w:val="00C220AD"/>
    <w:rsid w:val="00C224BD"/>
    <w:rsid w:val="00C23328"/>
    <w:rsid w:val="00C235D2"/>
    <w:rsid w:val="00C250A9"/>
    <w:rsid w:val="00C264D0"/>
    <w:rsid w:val="00C30A83"/>
    <w:rsid w:val="00C3106F"/>
    <w:rsid w:val="00C31F84"/>
    <w:rsid w:val="00C32C73"/>
    <w:rsid w:val="00C34D88"/>
    <w:rsid w:val="00C3596D"/>
    <w:rsid w:val="00C37277"/>
    <w:rsid w:val="00C37F15"/>
    <w:rsid w:val="00C4155C"/>
    <w:rsid w:val="00C4156C"/>
    <w:rsid w:val="00C42ECC"/>
    <w:rsid w:val="00C44CF0"/>
    <w:rsid w:val="00C45FEF"/>
    <w:rsid w:val="00C532F9"/>
    <w:rsid w:val="00C54A6E"/>
    <w:rsid w:val="00C57037"/>
    <w:rsid w:val="00C57306"/>
    <w:rsid w:val="00C574D4"/>
    <w:rsid w:val="00C57626"/>
    <w:rsid w:val="00C57D58"/>
    <w:rsid w:val="00C60389"/>
    <w:rsid w:val="00C607E7"/>
    <w:rsid w:val="00C6090C"/>
    <w:rsid w:val="00C625B9"/>
    <w:rsid w:val="00C63B3C"/>
    <w:rsid w:val="00C660F6"/>
    <w:rsid w:val="00C66847"/>
    <w:rsid w:val="00C674FF"/>
    <w:rsid w:val="00C700BE"/>
    <w:rsid w:val="00C72874"/>
    <w:rsid w:val="00C72892"/>
    <w:rsid w:val="00C777C9"/>
    <w:rsid w:val="00C80AF8"/>
    <w:rsid w:val="00C81DAE"/>
    <w:rsid w:val="00C82260"/>
    <w:rsid w:val="00C82547"/>
    <w:rsid w:val="00C83F2C"/>
    <w:rsid w:val="00C8517D"/>
    <w:rsid w:val="00C854C3"/>
    <w:rsid w:val="00C878CC"/>
    <w:rsid w:val="00C87CB5"/>
    <w:rsid w:val="00C9198E"/>
    <w:rsid w:val="00C9250F"/>
    <w:rsid w:val="00C948FA"/>
    <w:rsid w:val="00C94B0D"/>
    <w:rsid w:val="00C95C9E"/>
    <w:rsid w:val="00CA05E9"/>
    <w:rsid w:val="00CA21EC"/>
    <w:rsid w:val="00CA3493"/>
    <w:rsid w:val="00CA3A3C"/>
    <w:rsid w:val="00CA7A73"/>
    <w:rsid w:val="00CB0029"/>
    <w:rsid w:val="00CB1801"/>
    <w:rsid w:val="00CB21E0"/>
    <w:rsid w:val="00CB3C76"/>
    <w:rsid w:val="00CB5282"/>
    <w:rsid w:val="00CB74D7"/>
    <w:rsid w:val="00CC332B"/>
    <w:rsid w:val="00CC51A1"/>
    <w:rsid w:val="00CC59F0"/>
    <w:rsid w:val="00CC7DCD"/>
    <w:rsid w:val="00CD0B24"/>
    <w:rsid w:val="00CD128F"/>
    <w:rsid w:val="00CD2322"/>
    <w:rsid w:val="00CD2779"/>
    <w:rsid w:val="00CD282F"/>
    <w:rsid w:val="00CD3272"/>
    <w:rsid w:val="00CD53D4"/>
    <w:rsid w:val="00CD631F"/>
    <w:rsid w:val="00CD6375"/>
    <w:rsid w:val="00CD6762"/>
    <w:rsid w:val="00CD68A8"/>
    <w:rsid w:val="00CD7DE8"/>
    <w:rsid w:val="00CE0246"/>
    <w:rsid w:val="00CE2062"/>
    <w:rsid w:val="00CE4850"/>
    <w:rsid w:val="00CE4B85"/>
    <w:rsid w:val="00CE53C4"/>
    <w:rsid w:val="00CE5828"/>
    <w:rsid w:val="00CF357C"/>
    <w:rsid w:val="00CF4F40"/>
    <w:rsid w:val="00CF6689"/>
    <w:rsid w:val="00CF66AD"/>
    <w:rsid w:val="00D013CB"/>
    <w:rsid w:val="00D0232D"/>
    <w:rsid w:val="00D073A3"/>
    <w:rsid w:val="00D11773"/>
    <w:rsid w:val="00D11E35"/>
    <w:rsid w:val="00D12362"/>
    <w:rsid w:val="00D13974"/>
    <w:rsid w:val="00D149CE"/>
    <w:rsid w:val="00D1762C"/>
    <w:rsid w:val="00D17843"/>
    <w:rsid w:val="00D17AF4"/>
    <w:rsid w:val="00D20CF5"/>
    <w:rsid w:val="00D243C8"/>
    <w:rsid w:val="00D2505A"/>
    <w:rsid w:val="00D25C93"/>
    <w:rsid w:val="00D25D9C"/>
    <w:rsid w:val="00D30762"/>
    <w:rsid w:val="00D31E99"/>
    <w:rsid w:val="00D335D3"/>
    <w:rsid w:val="00D3436C"/>
    <w:rsid w:val="00D34EC4"/>
    <w:rsid w:val="00D36051"/>
    <w:rsid w:val="00D36331"/>
    <w:rsid w:val="00D40161"/>
    <w:rsid w:val="00D40692"/>
    <w:rsid w:val="00D43094"/>
    <w:rsid w:val="00D436B0"/>
    <w:rsid w:val="00D43D71"/>
    <w:rsid w:val="00D45389"/>
    <w:rsid w:val="00D46CB8"/>
    <w:rsid w:val="00D5122B"/>
    <w:rsid w:val="00D53BD8"/>
    <w:rsid w:val="00D55009"/>
    <w:rsid w:val="00D577F9"/>
    <w:rsid w:val="00D612F8"/>
    <w:rsid w:val="00D6686F"/>
    <w:rsid w:val="00D668A0"/>
    <w:rsid w:val="00D704F9"/>
    <w:rsid w:val="00D72DD3"/>
    <w:rsid w:val="00D72ED3"/>
    <w:rsid w:val="00D73363"/>
    <w:rsid w:val="00D74E4B"/>
    <w:rsid w:val="00D77C03"/>
    <w:rsid w:val="00D81384"/>
    <w:rsid w:val="00D814A0"/>
    <w:rsid w:val="00D819DD"/>
    <w:rsid w:val="00D825C5"/>
    <w:rsid w:val="00D828D4"/>
    <w:rsid w:val="00D8290B"/>
    <w:rsid w:val="00D85927"/>
    <w:rsid w:val="00D90C85"/>
    <w:rsid w:val="00D9179F"/>
    <w:rsid w:val="00D9320C"/>
    <w:rsid w:val="00D936C1"/>
    <w:rsid w:val="00D949DA"/>
    <w:rsid w:val="00D95C0B"/>
    <w:rsid w:val="00D95C7B"/>
    <w:rsid w:val="00D968B0"/>
    <w:rsid w:val="00D96BAA"/>
    <w:rsid w:val="00DA0484"/>
    <w:rsid w:val="00DA2F55"/>
    <w:rsid w:val="00DA56AE"/>
    <w:rsid w:val="00DB58CC"/>
    <w:rsid w:val="00DB5D94"/>
    <w:rsid w:val="00DB70CB"/>
    <w:rsid w:val="00DC1820"/>
    <w:rsid w:val="00DC1CE0"/>
    <w:rsid w:val="00DC2D4F"/>
    <w:rsid w:val="00DC3B5B"/>
    <w:rsid w:val="00DC4A45"/>
    <w:rsid w:val="00DC5384"/>
    <w:rsid w:val="00DC60D0"/>
    <w:rsid w:val="00DC629D"/>
    <w:rsid w:val="00DC6E63"/>
    <w:rsid w:val="00DD283C"/>
    <w:rsid w:val="00DD4CEC"/>
    <w:rsid w:val="00DD5657"/>
    <w:rsid w:val="00DD6080"/>
    <w:rsid w:val="00DD69C9"/>
    <w:rsid w:val="00DD7655"/>
    <w:rsid w:val="00DE0441"/>
    <w:rsid w:val="00DE143F"/>
    <w:rsid w:val="00DE368E"/>
    <w:rsid w:val="00DE3A5C"/>
    <w:rsid w:val="00DE406F"/>
    <w:rsid w:val="00DE432F"/>
    <w:rsid w:val="00DE5489"/>
    <w:rsid w:val="00DE6F78"/>
    <w:rsid w:val="00DF3949"/>
    <w:rsid w:val="00DF41AB"/>
    <w:rsid w:val="00DF69E6"/>
    <w:rsid w:val="00E00B34"/>
    <w:rsid w:val="00E00FD6"/>
    <w:rsid w:val="00E0212B"/>
    <w:rsid w:val="00E0382C"/>
    <w:rsid w:val="00E05246"/>
    <w:rsid w:val="00E0599F"/>
    <w:rsid w:val="00E11C7C"/>
    <w:rsid w:val="00E12ADD"/>
    <w:rsid w:val="00E12D63"/>
    <w:rsid w:val="00E131B1"/>
    <w:rsid w:val="00E1480F"/>
    <w:rsid w:val="00E15C39"/>
    <w:rsid w:val="00E15E0F"/>
    <w:rsid w:val="00E168F0"/>
    <w:rsid w:val="00E170B5"/>
    <w:rsid w:val="00E17262"/>
    <w:rsid w:val="00E20268"/>
    <w:rsid w:val="00E20BA2"/>
    <w:rsid w:val="00E21C00"/>
    <w:rsid w:val="00E222F6"/>
    <w:rsid w:val="00E223ED"/>
    <w:rsid w:val="00E2316F"/>
    <w:rsid w:val="00E23580"/>
    <w:rsid w:val="00E244DF"/>
    <w:rsid w:val="00E26912"/>
    <w:rsid w:val="00E26992"/>
    <w:rsid w:val="00E26E58"/>
    <w:rsid w:val="00E2713D"/>
    <w:rsid w:val="00E272A3"/>
    <w:rsid w:val="00E30D7F"/>
    <w:rsid w:val="00E323E9"/>
    <w:rsid w:val="00E327FC"/>
    <w:rsid w:val="00E33EB2"/>
    <w:rsid w:val="00E3474D"/>
    <w:rsid w:val="00E3547E"/>
    <w:rsid w:val="00E357E3"/>
    <w:rsid w:val="00E3710A"/>
    <w:rsid w:val="00E4192D"/>
    <w:rsid w:val="00E4398B"/>
    <w:rsid w:val="00E44BBC"/>
    <w:rsid w:val="00E45D60"/>
    <w:rsid w:val="00E46867"/>
    <w:rsid w:val="00E46C4F"/>
    <w:rsid w:val="00E47FD2"/>
    <w:rsid w:val="00E51B06"/>
    <w:rsid w:val="00E51BC2"/>
    <w:rsid w:val="00E52563"/>
    <w:rsid w:val="00E52B69"/>
    <w:rsid w:val="00E536F3"/>
    <w:rsid w:val="00E548CA"/>
    <w:rsid w:val="00E55351"/>
    <w:rsid w:val="00E57AD9"/>
    <w:rsid w:val="00E60146"/>
    <w:rsid w:val="00E60AE5"/>
    <w:rsid w:val="00E613AD"/>
    <w:rsid w:val="00E65892"/>
    <w:rsid w:val="00E668ED"/>
    <w:rsid w:val="00E7080B"/>
    <w:rsid w:val="00E7137C"/>
    <w:rsid w:val="00E71CA0"/>
    <w:rsid w:val="00E72018"/>
    <w:rsid w:val="00E73831"/>
    <w:rsid w:val="00E75287"/>
    <w:rsid w:val="00E763E3"/>
    <w:rsid w:val="00E77864"/>
    <w:rsid w:val="00E77E66"/>
    <w:rsid w:val="00E82198"/>
    <w:rsid w:val="00E82601"/>
    <w:rsid w:val="00E85A94"/>
    <w:rsid w:val="00E934C1"/>
    <w:rsid w:val="00E93F08"/>
    <w:rsid w:val="00E940DE"/>
    <w:rsid w:val="00E94A60"/>
    <w:rsid w:val="00E94FD4"/>
    <w:rsid w:val="00EA06BC"/>
    <w:rsid w:val="00EA2D77"/>
    <w:rsid w:val="00EA36CC"/>
    <w:rsid w:val="00EA5153"/>
    <w:rsid w:val="00EB0C1D"/>
    <w:rsid w:val="00EB1454"/>
    <w:rsid w:val="00EB21CC"/>
    <w:rsid w:val="00EB3165"/>
    <w:rsid w:val="00EB6E96"/>
    <w:rsid w:val="00EC0ACC"/>
    <w:rsid w:val="00EC131E"/>
    <w:rsid w:val="00EC4832"/>
    <w:rsid w:val="00EC4CE3"/>
    <w:rsid w:val="00EC52D4"/>
    <w:rsid w:val="00EC5615"/>
    <w:rsid w:val="00EC5671"/>
    <w:rsid w:val="00EC595C"/>
    <w:rsid w:val="00EC5BF8"/>
    <w:rsid w:val="00EC6B0E"/>
    <w:rsid w:val="00ED0745"/>
    <w:rsid w:val="00ED5B66"/>
    <w:rsid w:val="00ED5FFB"/>
    <w:rsid w:val="00ED62D6"/>
    <w:rsid w:val="00ED6F64"/>
    <w:rsid w:val="00EE014C"/>
    <w:rsid w:val="00EE03D1"/>
    <w:rsid w:val="00EE0FA5"/>
    <w:rsid w:val="00EE1C62"/>
    <w:rsid w:val="00EE3A2D"/>
    <w:rsid w:val="00EE3C05"/>
    <w:rsid w:val="00EE4435"/>
    <w:rsid w:val="00EE4FC4"/>
    <w:rsid w:val="00EE5AF3"/>
    <w:rsid w:val="00EE6AE2"/>
    <w:rsid w:val="00EF7856"/>
    <w:rsid w:val="00EF79E2"/>
    <w:rsid w:val="00EF7F99"/>
    <w:rsid w:val="00F00778"/>
    <w:rsid w:val="00F018E3"/>
    <w:rsid w:val="00F02C4F"/>
    <w:rsid w:val="00F05EA8"/>
    <w:rsid w:val="00F07EEF"/>
    <w:rsid w:val="00F15248"/>
    <w:rsid w:val="00F17A78"/>
    <w:rsid w:val="00F17C66"/>
    <w:rsid w:val="00F20BF3"/>
    <w:rsid w:val="00F21363"/>
    <w:rsid w:val="00F21842"/>
    <w:rsid w:val="00F231BB"/>
    <w:rsid w:val="00F2478F"/>
    <w:rsid w:val="00F24AE1"/>
    <w:rsid w:val="00F260AF"/>
    <w:rsid w:val="00F26D1F"/>
    <w:rsid w:val="00F278CB"/>
    <w:rsid w:val="00F322CA"/>
    <w:rsid w:val="00F335E9"/>
    <w:rsid w:val="00F33707"/>
    <w:rsid w:val="00F34CE6"/>
    <w:rsid w:val="00F3593C"/>
    <w:rsid w:val="00F364E8"/>
    <w:rsid w:val="00F410C5"/>
    <w:rsid w:val="00F41986"/>
    <w:rsid w:val="00F42879"/>
    <w:rsid w:val="00F436A0"/>
    <w:rsid w:val="00F44093"/>
    <w:rsid w:val="00F46336"/>
    <w:rsid w:val="00F471A5"/>
    <w:rsid w:val="00F47AF8"/>
    <w:rsid w:val="00F50BA3"/>
    <w:rsid w:val="00F50EEB"/>
    <w:rsid w:val="00F53969"/>
    <w:rsid w:val="00F53D90"/>
    <w:rsid w:val="00F616B0"/>
    <w:rsid w:val="00F623A2"/>
    <w:rsid w:val="00F626FD"/>
    <w:rsid w:val="00F65820"/>
    <w:rsid w:val="00F700AA"/>
    <w:rsid w:val="00F700DC"/>
    <w:rsid w:val="00F705C3"/>
    <w:rsid w:val="00F726F7"/>
    <w:rsid w:val="00F72A81"/>
    <w:rsid w:val="00F747C3"/>
    <w:rsid w:val="00F7585B"/>
    <w:rsid w:val="00F766C1"/>
    <w:rsid w:val="00F85F8F"/>
    <w:rsid w:val="00F8631B"/>
    <w:rsid w:val="00F868A2"/>
    <w:rsid w:val="00F87AE4"/>
    <w:rsid w:val="00F90E7F"/>
    <w:rsid w:val="00F927E0"/>
    <w:rsid w:val="00F93B90"/>
    <w:rsid w:val="00F95E0E"/>
    <w:rsid w:val="00F962B5"/>
    <w:rsid w:val="00F964B8"/>
    <w:rsid w:val="00F969F7"/>
    <w:rsid w:val="00FA0E89"/>
    <w:rsid w:val="00FA1254"/>
    <w:rsid w:val="00FA283B"/>
    <w:rsid w:val="00FA3B4A"/>
    <w:rsid w:val="00FA3C05"/>
    <w:rsid w:val="00FA5237"/>
    <w:rsid w:val="00FA57D9"/>
    <w:rsid w:val="00FA6803"/>
    <w:rsid w:val="00FA71BA"/>
    <w:rsid w:val="00FA78FA"/>
    <w:rsid w:val="00FA7C1F"/>
    <w:rsid w:val="00FB037C"/>
    <w:rsid w:val="00FB04AF"/>
    <w:rsid w:val="00FB1B0C"/>
    <w:rsid w:val="00FB4C7F"/>
    <w:rsid w:val="00FB5D83"/>
    <w:rsid w:val="00FB6789"/>
    <w:rsid w:val="00FB688C"/>
    <w:rsid w:val="00FB6D04"/>
    <w:rsid w:val="00FB700D"/>
    <w:rsid w:val="00FC3CEF"/>
    <w:rsid w:val="00FC6807"/>
    <w:rsid w:val="00FC6F27"/>
    <w:rsid w:val="00FC73F4"/>
    <w:rsid w:val="00FC7DFD"/>
    <w:rsid w:val="00FD1A3D"/>
    <w:rsid w:val="00FD5BAF"/>
    <w:rsid w:val="00FD75EA"/>
    <w:rsid w:val="00FE0150"/>
    <w:rsid w:val="00FE2B25"/>
    <w:rsid w:val="00FE2B2E"/>
    <w:rsid w:val="00FE3404"/>
    <w:rsid w:val="00FE38F5"/>
    <w:rsid w:val="00FE4649"/>
    <w:rsid w:val="00FE4FED"/>
    <w:rsid w:val="00FF1CCA"/>
    <w:rsid w:val="00FF2816"/>
    <w:rsid w:val="00FF3F29"/>
    <w:rsid w:val="00FF5647"/>
    <w:rsid w:val="00FF620E"/>
    <w:rsid w:val="00FF7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ED3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D72ED3"/>
    <w:pPr>
      <w:keepNext/>
      <w:tabs>
        <w:tab w:val="left" w:pos="-720"/>
      </w:tabs>
      <w:suppressAutoHyphens/>
      <w:spacing w:line="340" w:lineRule="exact"/>
      <w:jc w:val="right"/>
      <w:outlineLvl w:val="0"/>
    </w:pPr>
    <w:rPr>
      <w:b/>
      <w:bCs/>
      <w:spacing w:val="-2"/>
      <w:szCs w:val="20"/>
      <w:lang w:val="en-US"/>
    </w:rPr>
  </w:style>
  <w:style w:type="paragraph" w:styleId="Titre2">
    <w:name w:val="heading 2"/>
    <w:basedOn w:val="Normal"/>
    <w:next w:val="Normal"/>
    <w:link w:val="Titre2Car"/>
    <w:qFormat/>
    <w:rsid w:val="00D72ED3"/>
    <w:pPr>
      <w:keepNext/>
      <w:bidi/>
      <w:outlineLvl w:val="1"/>
    </w:pPr>
    <w:rPr>
      <w:b/>
      <w:bCs/>
      <w:spacing w:val="-2"/>
      <w:sz w:val="20"/>
      <w:szCs w:val="20"/>
      <w:lang w:val="en-US"/>
    </w:rPr>
  </w:style>
  <w:style w:type="paragraph" w:styleId="Titre3">
    <w:name w:val="heading 3"/>
    <w:basedOn w:val="Normal"/>
    <w:next w:val="Normal"/>
    <w:link w:val="Titre3Car"/>
    <w:qFormat/>
    <w:rsid w:val="00D72ED3"/>
    <w:pPr>
      <w:keepNext/>
      <w:jc w:val="center"/>
      <w:outlineLvl w:val="2"/>
    </w:pPr>
    <w:rPr>
      <w:b/>
      <w:bCs/>
      <w:spacing w:val="-2"/>
      <w:sz w:val="20"/>
      <w:szCs w:val="20"/>
      <w:lang w:val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063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D72ED3"/>
    <w:rPr>
      <w:rFonts w:ascii="Times New Roman" w:eastAsia="Times New Roman" w:hAnsi="Times New Roman" w:cs="Simplified Arabic"/>
      <w:b/>
      <w:bCs/>
      <w:spacing w:val="-2"/>
      <w:sz w:val="24"/>
      <w:lang w:val="en-US"/>
    </w:rPr>
  </w:style>
  <w:style w:type="character" w:customStyle="1" w:styleId="Titre2Car">
    <w:name w:val="Titre 2 Car"/>
    <w:link w:val="Titre2"/>
    <w:rsid w:val="00D72ED3"/>
    <w:rPr>
      <w:rFonts w:ascii="Times New Roman" w:eastAsia="Times New Roman" w:hAnsi="Times New Roman" w:cs="Simplified Arabic"/>
      <w:b/>
      <w:bCs/>
      <w:spacing w:val="-2"/>
      <w:lang w:val="en-US"/>
    </w:rPr>
  </w:style>
  <w:style w:type="character" w:customStyle="1" w:styleId="Titre3Car">
    <w:name w:val="Titre 3 Car"/>
    <w:link w:val="Titre3"/>
    <w:rsid w:val="00D72ED3"/>
    <w:rPr>
      <w:rFonts w:ascii="Times New Roman" w:eastAsia="Times New Roman" w:hAnsi="Times New Roman" w:cs="Simplified Arabic"/>
      <w:b/>
      <w:bCs/>
      <w:spacing w:val="-2"/>
      <w:lang w:val="en-US"/>
    </w:rPr>
  </w:style>
  <w:style w:type="paragraph" w:styleId="Corpsdetexte">
    <w:name w:val="Body Text"/>
    <w:basedOn w:val="Normal"/>
    <w:link w:val="CorpsdetexteCar"/>
    <w:rsid w:val="00D72ED3"/>
    <w:pPr>
      <w:bidi/>
      <w:jc w:val="both"/>
    </w:pPr>
    <w:rPr>
      <w:sz w:val="28"/>
      <w:szCs w:val="28"/>
    </w:rPr>
  </w:style>
  <w:style w:type="character" w:customStyle="1" w:styleId="CorpsdetexteCar">
    <w:name w:val="Corps de texte Car"/>
    <w:link w:val="Corpsdetexte"/>
    <w:rsid w:val="00D72ED3"/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rsid w:val="00D72E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72ED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72ED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E7B20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E7B20"/>
    <w:rPr>
      <w:rFonts w:ascii="Tahoma" w:eastAsia="Times New Roman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F79E2"/>
    <w:pPr>
      <w:spacing w:before="100" w:beforeAutospacing="1" w:after="100" w:afterAutospacing="1"/>
    </w:pPr>
  </w:style>
  <w:style w:type="character" w:styleId="Lienhypertexte">
    <w:name w:val="Hyperlink"/>
    <w:uiPriority w:val="99"/>
    <w:unhideWhenUsed/>
    <w:rsid w:val="002832DF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832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5A3FB8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D3C5E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9D3C5E"/>
    <w:rPr>
      <w:rFonts w:ascii="Times New Roman" w:eastAsia="Times New Roman" w:hAnsi="Times New Roman" w:cs="Times New Roman"/>
    </w:rPr>
  </w:style>
  <w:style w:type="character" w:styleId="Appelnotedebasdep">
    <w:name w:val="footnote reference"/>
    <w:uiPriority w:val="99"/>
    <w:semiHidden/>
    <w:unhideWhenUsed/>
    <w:rsid w:val="009D3C5E"/>
    <w:rPr>
      <w:vertAlign w:val="superscript"/>
    </w:rPr>
  </w:style>
  <w:style w:type="paragraph" w:styleId="Sansinterligne">
    <w:name w:val="No Spacing"/>
    <w:uiPriority w:val="1"/>
    <w:qFormat/>
    <w:rsid w:val="00C063B7"/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C063B7"/>
    <w:rPr>
      <w:i/>
      <w:iCs/>
    </w:rPr>
  </w:style>
  <w:style w:type="character" w:styleId="Emphaseple">
    <w:name w:val="Subtle Emphasis"/>
    <w:basedOn w:val="Policepardfaut"/>
    <w:uiPriority w:val="19"/>
    <w:qFormat/>
    <w:rsid w:val="00C063B7"/>
    <w:rPr>
      <w:i/>
      <w:iCs/>
      <w:color w:val="808080" w:themeColor="text1" w:themeTint="7F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63B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063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C063B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063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4Car">
    <w:name w:val="Titre 4 Car"/>
    <w:basedOn w:val="Policepardfaut"/>
    <w:link w:val="Titre4"/>
    <w:uiPriority w:val="9"/>
    <w:rsid w:val="00C063B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Titredulivre">
    <w:name w:val="Book Title"/>
    <w:basedOn w:val="Policepardfaut"/>
    <w:uiPriority w:val="33"/>
    <w:qFormat/>
    <w:rsid w:val="00C660F6"/>
    <w:rPr>
      <w:b/>
      <w:bCs/>
      <w:smallCaps/>
      <w:spacing w:val="5"/>
    </w:rPr>
  </w:style>
  <w:style w:type="character" w:styleId="Rfrenceintense">
    <w:name w:val="Intense Reference"/>
    <w:basedOn w:val="Policepardfaut"/>
    <w:uiPriority w:val="32"/>
    <w:qFormat/>
    <w:rsid w:val="00C660F6"/>
    <w:rPr>
      <w:b/>
      <w:bCs/>
      <w:smallCaps/>
      <w:color w:val="C0504D" w:themeColor="accent2"/>
      <w:spacing w:val="5"/>
      <w:u w:val="single"/>
    </w:rPr>
  </w:style>
  <w:style w:type="character" w:styleId="Rfrenceple">
    <w:name w:val="Subtle Reference"/>
    <w:basedOn w:val="Policepardfaut"/>
    <w:uiPriority w:val="31"/>
    <w:qFormat/>
    <w:rsid w:val="00C660F6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ED3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D72ED3"/>
    <w:pPr>
      <w:keepNext/>
      <w:tabs>
        <w:tab w:val="left" w:pos="-720"/>
      </w:tabs>
      <w:suppressAutoHyphens/>
      <w:spacing w:line="340" w:lineRule="exact"/>
      <w:jc w:val="right"/>
      <w:outlineLvl w:val="0"/>
    </w:pPr>
    <w:rPr>
      <w:b/>
      <w:bCs/>
      <w:spacing w:val="-2"/>
      <w:szCs w:val="20"/>
      <w:lang w:val="en-US"/>
    </w:rPr>
  </w:style>
  <w:style w:type="paragraph" w:styleId="Titre2">
    <w:name w:val="heading 2"/>
    <w:basedOn w:val="Normal"/>
    <w:next w:val="Normal"/>
    <w:link w:val="Titre2Car"/>
    <w:qFormat/>
    <w:rsid w:val="00D72ED3"/>
    <w:pPr>
      <w:keepNext/>
      <w:bidi/>
      <w:outlineLvl w:val="1"/>
    </w:pPr>
    <w:rPr>
      <w:b/>
      <w:bCs/>
      <w:spacing w:val="-2"/>
      <w:sz w:val="20"/>
      <w:szCs w:val="20"/>
      <w:lang w:val="en-US"/>
    </w:rPr>
  </w:style>
  <w:style w:type="paragraph" w:styleId="Titre3">
    <w:name w:val="heading 3"/>
    <w:basedOn w:val="Normal"/>
    <w:next w:val="Normal"/>
    <w:link w:val="Titre3Car"/>
    <w:qFormat/>
    <w:rsid w:val="00D72ED3"/>
    <w:pPr>
      <w:keepNext/>
      <w:jc w:val="center"/>
      <w:outlineLvl w:val="2"/>
    </w:pPr>
    <w:rPr>
      <w:b/>
      <w:bCs/>
      <w:spacing w:val="-2"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D72ED3"/>
    <w:rPr>
      <w:rFonts w:ascii="Times New Roman" w:eastAsia="Times New Roman" w:hAnsi="Times New Roman" w:cs="Simplified Arabic"/>
      <w:b/>
      <w:bCs/>
      <w:spacing w:val="-2"/>
      <w:sz w:val="24"/>
      <w:lang w:val="en-US"/>
    </w:rPr>
  </w:style>
  <w:style w:type="character" w:customStyle="1" w:styleId="Titre2Car">
    <w:name w:val="Titre 2 Car"/>
    <w:link w:val="Titre2"/>
    <w:rsid w:val="00D72ED3"/>
    <w:rPr>
      <w:rFonts w:ascii="Times New Roman" w:eastAsia="Times New Roman" w:hAnsi="Times New Roman" w:cs="Simplified Arabic"/>
      <w:b/>
      <w:bCs/>
      <w:spacing w:val="-2"/>
      <w:lang w:val="en-US"/>
    </w:rPr>
  </w:style>
  <w:style w:type="character" w:customStyle="1" w:styleId="Titre3Car">
    <w:name w:val="Titre 3 Car"/>
    <w:link w:val="Titre3"/>
    <w:rsid w:val="00D72ED3"/>
    <w:rPr>
      <w:rFonts w:ascii="Times New Roman" w:eastAsia="Times New Roman" w:hAnsi="Times New Roman" w:cs="Simplified Arabic"/>
      <w:b/>
      <w:bCs/>
      <w:spacing w:val="-2"/>
      <w:lang w:val="en-US"/>
    </w:rPr>
  </w:style>
  <w:style w:type="paragraph" w:styleId="Corpsdetexte">
    <w:name w:val="Body Text"/>
    <w:basedOn w:val="Normal"/>
    <w:link w:val="CorpsdetexteCar"/>
    <w:rsid w:val="00D72ED3"/>
    <w:pPr>
      <w:bidi/>
      <w:jc w:val="both"/>
    </w:pPr>
    <w:rPr>
      <w:sz w:val="28"/>
      <w:szCs w:val="28"/>
    </w:rPr>
  </w:style>
  <w:style w:type="character" w:customStyle="1" w:styleId="CorpsdetexteCar">
    <w:name w:val="Corps de texte Car"/>
    <w:link w:val="Corpsdetexte"/>
    <w:rsid w:val="00D72ED3"/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rsid w:val="00D72E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72ED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72ED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E7B20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E7B20"/>
    <w:rPr>
      <w:rFonts w:ascii="Tahoma" w:eastAsia="Times New Roman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F79E2"/>
    <w:pPr>
      <w:spacing w:before="100" w:beforeAutospacing="1" w:after="100" w:afterAutospacing="1"/>
    </w:pPr>
  </w:style>
  <w:style w:type="character" w:styleId="Lienhypertexte">
    <w:name w:val="Hyperlink"/>
    <w:uiPriority w:val="99"/>
    <w:unhideWhenUsed/>
    <w:rsid w:val="002832DF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832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rsid w:val="005A3FB8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D3C5E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9D3C5E"/>
    <w:rPr>
      <w:rFonts w:ascii="Times New Roman" w:eastAsia="Times New Roman" w:hAnsi="Times New Roman" w:cs="Times New Roman"/>
    </w:rPr>
  </w:style>
  <w:style w:type="character" w:styleId="Appelnotedebasdep">
    <w:name w:val="footnote reference"/>
    <w:uiPriority w:val="99"/>
    <w:semiHidden/>
    <w:unhideWhenUsed/>
    <w:rsid w:val="009D3C5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Classeur2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Classeur2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Classeur2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ownloads\graphe%20T2%202015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2trim2015\graphe%20T2%202015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ownloads\graphe%20T2%20201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autoTitleDeleted val="1"/>
    <c:plotArea>
      <c:layout>
        <c:manualLayout>
          <c:layoutTarget val="inner"/>
          <c:xMode val="edge"/>
          <c:yMode val="edge"/>
          <c:x val="2.5769116829465515E-2"/>
          <c:y val="4.7288349937851526E-2"/>
          <c:w val="0.94846176634106949"/>
          <c:h val="0.63751296452256656"/>
        </c:manualLayout>
      </c:layout>
      <c:barChart>
        <c:barDir val="col"/>
        <c:grouping val="clustered"/>
        <c:ser>
          <c:idx val="0"/>
          <c:order val="0"/>
          <c:tx>
            <c:strRef>
              <c:f>Feuil1!$C$7</c:f>
              <c:strCache>
                <c:ptCount val="1"/>
                <c:pt idx="0">
                  <c:v>الشغل المؤدى عنه</c:v>
                </c:pt>
              </c:strCache>
            </c:strRef>
          </c:tx>
          <c:dLbls>
            <c:showVal val="1"/>
          </c:dLbls>
          <c:cat>
            <c:strRef>
              <c:f>Feuil1!$D$6:$F$6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Feuil1!$D$7:$F$7</c:f>
              <c:numCache>
                <c:formatCode>General</c:formatCode>
                <c:ptCount val="3"/>
                <c:pt idx="0">
                  <c:v>65000</c:v>
                </c:pt>
                <c:pt idx="1">
                  <c:v>60000</c:v>
                </c:pt>
                <c:pt idx="2">
                  <c:v>125000</c:v>
                </c:pt>
              </c:numCache>
            </c:numRef>
          </c:val>
        </c:ser>
        <c:ser>
          <c:idx val="1"/>
          <c:order val="1"/>
          <c:tx>
            <c:strRef>
              <c:f>Feuil1!$C$8</c:f>
              <c:strCache>
                <c:ptCount val="1"/>
                <c:pt idx="0">
                  <c:v>الشغل غير المؤدى عنه</c:v>
                </c:pt>
              </c:strCache>
            </c:strRef>
          </c:tx>
          <c:dLbls>
            <c:showVal val="1"/>
          </c:dLbls>
          <c:cat>
            <c:strRef>
              <c:f>Feuil1!$D$6:$F$6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Feuil1!$D$8:$F$8</c:f>
              <c:numCache>
                <c:formatCode>General</c:formatCode>
                <c:ptCount val="3"/>
                <c:pt idx="0">
                  <c:v>7000</c:v>
                </c:pt>
                <c:pt idx="1">
                  <c:v>-94000</c:v>
                </c:pt>
                <c:pt idx="2">
                  <c:v>-87000</c:v>
                </c:pt>
              </c:numCache>
            </c:numRef>
          </c:val>
        </c:ser>
        <c:ser>
          <c:idx val="2"/>
          <c:order val="2"/>
          <c:tx>
            <c:strRef>
              <c:f>Feuil1!$C$9</c:f>
              <c:strCache>
                <c:ptCount val="1"/>
                <c:pt idx="0">
                  <c:v>الشغل الاجمالي</c:v>
                </c:pt>
              </c:strCache>
            </c:strRef>
          </c:tx>
          <c:dLbls>
            <c:showVal val="1"/>
          </c:dLbls>
          <c:cat>
            <c:strRef>
              <c:f>Feuil1!$D$6:$F$6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Feuil1!$D$9:$F$9</c:f>
              <c:numCache>
                <c:formatCode>General</c:formatCode>
                <c:ptCount val="3"/>
                <c:pt idx="0">
                  <c:v>72000</c:v>
                </c:pt>
                <c:pt idx="1">
                  <c:v>-34000</c:v>
                </c:pt>
                <c:pt idx="2">
                  <c:v>38000</c:v>
                </c:pt>
              </c:numCache>
            </c:numRef>
          </c:val>
        </c:ser>
        <c:gapWidth val="75"/>
        <c:overlap val="-25"/>
        <c:axId val="66804736"/>
        <c:axId val="66810624"/>
      </c:barChart>
      <c:catAx>
        <c:axId val="66804736"/>
        <c:scaling>
          <c:orientation val="minMax"/>
        </c:scaling>
        <c:axPos val="b"/>
        <c:majorTickMark val="none"/>
        <c:tickLblPos val="low"/>
        <c:crossAx val="66810624"/>
        <c:crosses val="autoZero"/>
        <c:auto val="1"/>
        <c:lblAlgn val="ctr"/>
        <c:lblOffset val="1000"/>
      </c:catAx>
      <c:valAx>
        <c:axId val="66810624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66804736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Feuil1!$C$18</c:f>
              <c:strCache>
                <c:ptCount val="1"/>
                <c:pt idx="0">
                  <c:v>حضري</c:v>
                </c:pt>
              </c:strCache>
            </c:strRef>
          </c:tx>
          <c:dLbls>
            <c:txPr>
              <a:bodyPr/>
              <a:lstStyle/>
              <a:p>
                <a:pPr>
                  <a:defRPr sz="900" baseline="0"/>
                </a:pPr>
                <a:endParaRPr lang="fr-FR"/>
              </a:p>
            </c:txPr>
            <c:showVal val="1"/>
          </c:dLbls>
          <c:cat>
            <c:strRef>
              <c:f>Feuil1!$D$17:$G$17</c:f>
              <c:strCache>
                <c:ptCount val="4"/>
                <c:pt idx="0">
                  <c:v>الفلاحة، الغابة والصيد 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Feuil1!$D$18:$G$18</c:f>
              <c:numCache>
                <c:formatCode>General</c:formatCode>
                <c:ptCount val="4"/>
                <c:pt idx="0">
                  <c:v>3000</c:v>
                </c:pt>
                <c:pt idx="1">
                  <c:v>2000</c:v>
                </c:pt>
                <c:pt idx="2">
                  <c:v>2000</c:v>
                </c:pt>
                <c:pt idx="3">
                  <c:v>65000</c:v>
                </c:pt>
              </c:numCache>
            </c:numRef>
          </c:val>
        </c:ser>
        <c:ser>
          <c:idx val="1"/>
          <c:order val="1"/>
          <c:tx>
            <c:strRef>
              <c:f>Feuil1!$C$19</c:f>
              <c:strCache>
                <c:ptCount val="1"/>
                <c:pt idx="0">
                  <c:v>قروي</c:v>
                </c:pt>
              </c:strCache>
            </c:strRef>
          </c:tx>
          <c:dLbls>
            <c:txPr>
              <a:bodyPr/>
              <a:lstStyle/>
              <a:p>
                <a:pPr>
                  <a:defRPr sz="900" baseline="0"/>
                </a:pPr>
                <a:endParaRPr lang="fr-FR"/>
              </a:p>
            </c:txPr>
            <c:showVal val="1"/>
          </c:dLbls>
          <c:cat>
            <c:strRef>
              <c:f>Feuil1!$D$17:$G$17</c:f>
              <c:strCache>
                <c:ptCount val="4"/>
                <c:pt idx="0">
                  <c:v>الفلاحة، الغابة والصيد 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Feuil1!$D$19:$G$19</c:f>
              <c:numCache>
                <c:formatCode>General</c:formatCode>
                <c:ptCount val="4"/>
                <c:pt idx="0">
                  <c:v>-61000</c:v>
                </c:pt>
                <c:pt idx="1">
                  <c:v>12000</c:v>
                </c:pt>
                <c:pt idx="2">
                  <c:v>14000</c:v>
                </c:pt>
                <c:pt idx="3">
                  <c:v>1000</c:v>
                </c:pt>
              </c:numCache>
            </c:numRef>
          </c:val>
        </c:ser>
        <c:ser>
          <c:idx val="2"/>
          <c:order val="2"/>
          <c:tx>
            <c:strRef>
              <c:f>Feuil1!$C$20</c:f>
              <c:strCache>
                <c:ptCount val="1"/>
                <c:pt idx="0">
                  <c:v>وطني</c:v>
                </c:pt>
              </c:strCache>
            </c:strRef>
          </c:tx>
          <c:dLbls>
            <c:txPr>
              <a:bodyPr/>
              <a:lstStyle/>
              <a:p>
                <a:pPr>
                  <a:defRPr sz="900" baseline="0"/>
                </a:pPr>
                <a:endParaRPr lang="fr-FR"/>
              </a:p>
            </c:txPr>
            <c:showVal val="1"/>
          </c:dLbls>
          <c:cat>
            <c:strRef>
              <c:f>Feuil1!$D$17:$G$17</c:f>
              <c:strCache>
                <c:ptCount val="4"/>
                <c:pt idx="0">
                  <c:v>الفلاحة، الغابة والصيد 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Feuil1!$D$20:$G$20</c:f>
              <c:numCache>
                <c:formatCode>General</c:formatCode>
                <c:ptCount val="4"/>
                <c:pt idx="0">
                  <c:v>-58000</c:v>
                </c:pt>
                <c:pt idx="1">
                  <c:v>14000</c:v>
                </c:pt>
                <c:pt idx="2">
                  <c:v>16000</c:v>
                </c:pt>
                <c:pt idx="3">
                  <c:v>66000</c:v>
                </c:pt>
              </c:numCache>
            </c:numRef>
          </c:val>
        </c:ser>
        <c:gapWidth val="75"/>
        <c:overlap val="-25"/>
        <c:axId val="101318656"/>
        <c:axId val="101320192"/>
      </c:barChart>
      <c:catAx>
        <c:axId val="101318656"/>
        <c:scaling>
          <c:orientation val="minMax"/>
        </c:scaling>
        <c:axPos val="b"/>
        <c:majorTickMark val="none"/>
        <c:tickLblPos val="low"/>
        <c:crossAx val="101320192"/>
        <c:crosses val="autoZero"/>
        <c:auto val="1"/>
        <c:lblAlgn val="ctr"/>
        <c:lblOffset val="100"/>
      </c:catAx>
      <c:valAx>
        <c:axId val="101320192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01318656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>
        <c:manualLayout>
          <c:layoutTarget val="inner"/>
          <c:xMode val="edge"/>
          <c:yMode val="edge"/>
          <c:x val="3.0555555555555582E-2"/>
          <c:y val="5.0925925925925923E-2"/>
          <c:w val="0.93888888888889299"/>
          <c:h val="0.63460848643920464"/>
        </c:manualLayout>
      </c:layout>
      <c:lineChart>
        <c:grouping val="standard"/>
        <c:ser>
          <c:idx val="0"/>
          <c:order val="0"/>
          <c:tx>
            <c:strRef>
              <c:f>Feuil1!$C$36</c:f>
              <c:strCache>
                <c:ptCount val="1"/>
                <c:pt idx="0">
                  <c:v>حضري</c:v>
                </c:pt>
              </c:strCache>
            </c:strRef>
          </c:tx>
          <c:marker>
            <c:symbol val="diamond"/>
            <c:size val="5"/>
          </c:marker>
          <c:dLbls>
            <c:dLbl>
              <c:idx val="0"/>
              <c:layout>
                <c:manualLayout>
                  <c:x val="-3.3333333333333354E-2"/>
                  <c:y val="6.0185185185185147E-2"/>
                </c:manualLayout>
              </c:layout>
              <c:showVal val="1"/>
            </c:dLbl>
            <c:dLbl>
              <c:idx val="1"/>
              <c:layout>
                <c:manualLayout>
                  <c:x val="-4.4444444444444502E-2"/>
                  <c:y val="3.2407407407407808E-2"/>
                </c:manualLayout>
              </c:layout>
              <c:showVal val="1"/>
            </c:dLbl>
            <c:dLbl>
              <c:idx val="2"/>
              <c:layout>
                <c:manualLayout>
                  <c:x val="-3.333333333333334E-2"/>
                  <c:y val="6.0185185185185147E-2"/>
                </c:manualLayout>
              </c:layout>
              <c:showVal val="1"/>
            </c:dLbl>
            <c:dLbl>
              <c:idx val="3"/>
              <c:layout>
                <c:manualLayout>
                  <c:x val="-2.7777777777778269E-2"/>
                  <c:y val="6.0185185185185147E-2"/>
                </c:manualLayout>
              </c:layout>
              <c:showVal val="1"/>
            </c:dLbl>
            <c:dLbl>
              <c:idx val="4"/>
              <c:layout>
                <c:manualLayout>
                  <c:x val="-4.4444444444444502E-2"/>
                  <c:y val="6.0185185185185147E-2"/>
                </c:manualLayout>
              </c:layout>
              <c:showVal val="1"/>
            </c:dLbl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</c:dLbls>
          <c:cat>
            <c:numRef>
              <c:f>Feuil1!$D$35:$H$35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Feuil1!$D$36:$H$36</c:f>
              <c:numCache>
                <c:formatCode>General</c:formatCode>
                <c:ptCount val="5"/>
                <c:pt idx="0">
                  <c:v>13.5</c:v>
                </c:pt>
                <c:pt idx="1">
                  <c:v>12.3</c:v>
                </c:pt>
                <c:pt idx="2">
                  <c:v>13.8</c:v>
                </c:pt>
                <c:pt idx="3">
                  <c:v>14.2</c:v>
                </c:pt>
                <c:pt idx="4">
                  <c:v>13.4</c:v>
                </c:pt>
              </c:numCache>
            </c:numRef>
          </c:val>
        </c:ser>
        <c:ser>
          <c:idx val="1"/>
          <c:order val="1"/>
          <c:tx>
            <c:strRef>
              <c:f>Feuil1!$C$37</c:f>
              <c:strCache>
                <c:ptCount val="1"/>
                <c:pt idx="0">
                  <c:v>قروي</c:v>
                </c:pt>
              </c:strCache>
            </c:strRef>
          </c:tx>
          <c:marker>
            <c:symbol val="square"/>
            <c:size val="5"/>
          </c:marker>
          <c:dLbls>
            <c:dLbl>
              <c:idx val="0"/>
              <c:layout>
                <c:manualLayout>
                  <c:x val="-2.5000000000000001E-2"/>
                  <c:y val="6.0185185185185147E-2"/>
                </c:manualLayout>
              </c:layout>
              <c:showVal val="1"/>
            </c:dLbl>
            <c:dLbl>
              <c:idx val="1"/>
              <c:layout>
                <c:manualLayout>
                  <c:x val="-3.6111111111111212E-2"/>
                  <c:y val="5.0925925925925902E-2"/>
                </c:manualLayout>
              </c:layout>
              <c:showVal val="1"/>
            </c:dLbl>
            <c:dLbl>
              <c:idx val="2"/>
              <c:layout>
                <c:manualLayout>
                  <c:x val="-2.7777777777778269E-2"/>
                  <c:y val="4.6296296296296523E-2"/>
                </c:manualLayout>
              </c:layout>
              <c:showVal val="1"/>
            </c:dLbl>
            <c:dLbl>
              <c:idx val="3"/>
              <c:layout>
                <c:manualLayout>
                  <c:x val="-2.7777777777778269E-2"/>
                  <c:y val="4.6296296296296523E-2"/>
                </c:manualLayout>
              </c:layout>
              <c:showVal val="1"/>
            </c:dLbl>
            <c:dLbl>
              <c:idx val="4"/>
              <c:layout>
                <c:manualLayout>
                  <c:x val="-2.7777777777778269E-2"/>
                  <c:y val="6.0185185185185147E-2"/>
                </c:manualLayout>
              </c:layout>
              <c:showVal val="1"/>
            </c:dLbl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</c:dLbls>
          <c:cat>
            <c:numRef>
              <c:f>Feuil1!$D$35:$H$35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Feuil1!$D$37:$H$37</c:f>
              <c:numCache>
                <c:formatCode>General</c:formatCode>
                <c:ptCount val="5"/>
                <c:pt idx="0">
                  <c:v>3.6</c:v>
                </c:pt>
                <c:pt idx="1">
                  <c:v>3.5</c:v>
                </c:pt>
                <c:pt idx="2">
                  <c:v>3.2</c:v>
                </c:pt>
                <c:pt idx="3">
                  <c:v>3.6</c:v>
                </c:pt>
                <c:pt idx="4">
                  <c:v>3.3</c:v>
                </c:pt>
              </c:numCache>
            </c:numRef>
          </c:val>
        </c:ser>
        <c:ser>
          <c:idx val="2"/>
          <c:order val="2"/>
          <c:tx>
            <c:strRef>
              <c:f>Feuil1!$C$38</c:f>
              <c:strCache>
                <c:ptCount val="1"/>
                <c:pt idx="0">
                  <c:v>وطني</c:v>
                </c:pt>
              </c:strCache>
            </c:strRef>
          </c:tx>
          <c:marker>
            <c:symbol val="triangle"/>
            <c:size val="5"/>
          </c:marker>
          <c:dLbls>
            <c:dLbl>
              <c:idx val="0"/>
              <c:layout>
                <c:manualLayout>
                  <c:x val="-2.7777777777778283E-2"/>
                  <c:y val="6.0185185185185147E-2"/>
                </c:manualLayout>
              </c:layout>
              <c:showVal val="1"/>
            </c:dLbl>
            <c:dLbl>
              <c:idx val="1"/>
              <c:layout>
                <c:manualLayout>
                  <c:x val="-2.7777777777778269E-2"/>
                  <c:y val="6.0185185185185147E-2"/>
                </c:manualLayout>
              </c:layout>
              <c:showVal val="1"/>
            </c:dLbl>
            <c:dLbl>
              <c:idx val="2"/>
              <c:layout>
                <c:manualLayout>
                  <c:x val="-1.6666666666666701E-2"/>
                  <c:y val="6.4814814814815658E-2"/>
                </c:manualLayout>
              </c:layout>
              <c:showVal val="1"/>
            </c:dLbl>
            <c:dLbl>
              <c:idx val="3"/>
              <c:layout>
                <c:manualLayout>
                  <c:x val="-3.0555555555555582E-2"/>
                  <c:y val="6.4814814814815658E-2"/>
                </c:manualLayout>
              </c:layout>
              <c:showVal val="1"/>
            </c:dLbl>
            <c:dLbl>
              <c:idx val="4"/>
              <c:layout>
                <c:manualLayout>
                  <c:x val="-2.7777777777778269E-2"/>
                  <c:y val="4.6296296296296523E-2"/>
                </c:manualLayout>
              </c:layout>
              <c:showVal val="1"/>
            </c:dLbl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</c:dLbls>
          <c:cat>
            <c:numRef>
              <c:f>Feuil1!$D$35:$H$35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Feuil1!$D$38:$H$38</c:f>
              <c:numCache>
                <c:formatCode>General</c:formatCode>
                <c:ptCount val="5"/>
                <c:pt idx="0">
                  <c:v>8.8000000000000007</c:v>
                </c:pt>
                <c:pt idx="1">
                  <c:v>8.1</c:v>
                </c:pt>
                <c:pt idx="2">
                  <c:v>8.8000000000000007</c:v>
                </c:pt>
                <c:pt idx="3">
                  <c:v>9.3000000000000007</c:v>
                </c:pt>
                <c:pt idx="4">
                  <c:v>8.7000000000000011</c:v>
                </c:pt>
              </c:numCache>
            </c:numRef>
          </c:val>
        </c:ser>
        <c:marker val="1"/>
        <c:axId val="101395840"/>
        <c:axId val="100209792"/>
      </c:lineChart>
      <c:catAx>
        <c:axId val="10139584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00209792"/>
        <c:crosses val="autoZero"/>
        <c:auto val="1"/>
        <c:lblAlgn val="ctr"/>
        <c:lblOffset val="100"/>
      </c:catAx>
      <c:valAx>
        <c:axId val="100209792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01395840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>
        <c:manualLayout>
          <c:layoutTarget val="inner"/>
          <c:xMode val="edge"/>
          <c:yMode val="edge"/>
          <c:x val="0.43182174103237436"/>
          <c:y val="3.1604744421610438E-2"/>
          <c:w val="0.53762270341207363"/>
          <c:h val="0.81981265538288661"/>
        </c:manualLayout>
      </c:layout>
      <c:barChart>
        <c:barDir val="bar"/>
        <c:grouping val="clustered"/>
        <c:ser>
          <c:idx val="1"/>
          <c:order val="0"/>
          <c:tx>
            <c:strRef>
              <c:f>Feuil1!$J$16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</c:spPr>
          <c:dLbls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</c:dLbls>
          <c:cat>
            <c:strRef>
              <c:f>Feuil1!$H$17:$H$25</c:f>
              <c:strCache>
                <c:ptCount val="9"/>
                <c:pt idx="0">
                  <c:v>شهادات التعليم الابتدائي و الثانوي الإعدادي </c:v>
                </c:pt>
                <c:pt idx="1">
                  <c:v>شهادات الثانوي التأهيلي</c:v>
                </c:pt>
                <c:pt idx="2">
                  <c:v>شهادات جامعية</c:v>
                </c:pt>
                <c:pt idx="3">
                  <c:v>شهادات المدارس و المعاهد العليا </c:v>
                </c:pt>
                <c:pt idx="4">
                  <c:v>شهادات التقنيين والأطر المتوسطة</c:v>
                </c:pt>
                <c:pt idx="5">
                  <c:v>شهادات التأهيل المهني</c:v>
                </c:pt>
                <c:pt idx="6">
                  <c:v>شهادات التخصص المهني</c:v>
                </c:pt>
                <c:pt idx="7">
                  <c:v>بدون شهادة</c:v>
                </c:pt>
                <c:pt idx="8">
                  <c:v>المجموع </c:v>
                </c:pt>
              </c:strCache>
            </c:strRef>
          </c:cat>
          <c:val>
            <c:numRef>
              <c:f>Feuil1!$J$17:$J$25</c:f>
              <c:numCache>
                <c:formatCode>0.0</c:formatCode>
                <c:ptCount val="9"/>
                <c:pt idx="0">
                  <c:v>14.6</c:v>
                </c:pt>
                <c:pt idx="1">
                  <c:v>22.4</c:v>
                </c:pt>
                <c:pt idx="2">
                  <c:v>22.5</c:v>
                </c:pt>
                <c:pt idx="3">
                  <c:v>8.5</c:v>
                </c:pt>
                <c:pt idx="4">
                  <c:v>20.100000000000001</c:v>
                </c:pt>
                <c:pt idx="5">
                  <c:v>20.9</c:v>
                </c:pt>
                <c:pt idx="6">
                  <c:v>18.399999999999999</c:v>
                </c:pt>
                <c:pt idx="7">
                  <c:v>4.0999999999999996</c:v>
                </c:pt>
                <c:pt idx="8">
                  <c:v>9.3000000000000007</c:v>
                </c:pt>
              </c:numCache>
            </c:numRef>
          </c:val>
        </c:ser>
        <c:ser>
          <c:idx val="0"/>
          <c:order val="1"/>
          <c:tx>
            <c:strRef>
              <c:f>Feuil1!$I$16</c:f>
              <c:strCache>
                <c:ptCount val="1"/>
                <c:pt idx="0">
                  <c:v>2015</c:v>
                </c:pt>
              </c:strCache>
            </c:strRef>
          </c:tx>
          <c:dLbls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</c:dLbls>
          <c:cat>
            <c:strRef>
              <c:f>Feuil1!$H$17:$H$25</c:f>
              <c:strCache>
                <c:ptCount val="9"/>
                <c:pt idx="0">
                  <c:v>شهادات التعليم الابتدائي و الثانوي الإعدادي </c:v>
                </c:pt>
                <c:pt idx="1">
                  <c:v>شهادات الثانوي التأهيلي</c:v>
                </c:pt>
                <c:pt idx="2">
                  <c:v>شهادات جامعية</c:v>
                </c:pt>
                <c:pt idx="3">
                  <c:v>شهادات المدارس و المعاهد العليا </c:v>
                </c:pt>
                <c:pt idx="4">
                  <c:v>شهادات التقنيين والأطر المتوسطة</c:v>
                </c:pt>
                <c:pt idx="5">
                  <c:v>شهادات التأهيل المهني</c:v>
                </c:pt>
                <c:pt idx="6">
                  <c:v>شهادات التخصص المهني</c:v>
                </c:pt>
                <c:pt idx="7">
                  <c:v>بدون شهادة</c:v>
                </c:pt>
                <c:pt idx="8">
                  <c:v>المجموع </c:v>
                </c:pt>
              </c:strCache>
            </c:strRef>
          </c:cat>
          <c:val>
            <c:numRef>
              <c:f>Feuil1!$I$17:$I$25</c:f>
              <c:numCache>
                <c:formatCode>0.0</c:formatCode>
                <c:ptCount val="9"/>
                <c:pt idx="0">
                  <c:v>12.9</c:v>
                </c:pt>
                <c:pt idx="1">
                  <c:v>23</c:v>
                </c:pt>
                <c:pt idx="2">
                  <c:v>23.3</c:v>
                </c:pt>
                <c:pt idx="3">
                  <c:v>9.4</c:v>
                </c:pt>
                <c:pt idx="4">
                  <c:v>20.6</c:v>
                </c:pt>
                <c:pt idx="5">
                  <c:v>19.2</c:v>
                </c:pt>
                <c:pt idx="6">
                  <c:v>15.2</c:v>
                </c:pt>
                <c:pt idx="7">
                  <c:v>3.6</c:v>
                </c:pt>
                <c:pt idx="8">
                  <c:v>8.7000000000000011</c:v>
                </c:pt>
              </c:numCache>
            </c:numRef>
          </c:val>
        </c:ser>
        <c:dLbls>
          <c:showVal val="1"/>
        </c:dLbls>
        <c:overlap val="-25"/>
        <c:axId val="100242944"/>
        <c:axId val="100244480"/>
      </c:barChart>
      <c:catAx>
        <c:axId val="100242944"/>
        <c:scaling>
          <c:orientation val="minMax"/>
        </c:scaling>
        <c:axPos val="l"/>
        <c:majorTickMark val="none"/>
        <c:tickLblPos val="nextTo"/>
        <c:crossAx val="100244480"/>
        <c:crosses val="autoZero"/>
        <c:auto val="1"/>
        <c:lblAlgn val="ctr"/>
        <c:lblOffset val="100"/>
      </c:catAx>
      <c:valAx>
        <c:axId val="100244480"/>
        <c:scaling>
          <c:orientation val="minMax"/>
        </c:scaling>
        <c:delete val="1"/>
        <c:axPos val="b"/>
        <c:numFmt formatCode="0.0" sourceLinked="1"/>
        <c:majorTickMark val="none"/>
        <c:tickLblPos val="none"/>
        <c:crossAx val="100242944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33427709036370656"/>
          <c:y val="0.89149560117302062"/>
          <c:w val="0.38462035995500887"/>
          <c:h val="7.0705428683584634E-2"/>
        </c:manualLayout>
      </c:layout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>
        <c:manualLayout>
          <c:layoutTarget val="inner"/>
          <c:xMode val="edge"/>
          <c:yMode val="edge"/>
          <c:x val="3.0555555555555582E-2"/>
          <c:y val="5.0925925925925923E-2"/>
          <c:w val="0.93888888888889288"/>
          <c:h val="0.46807404888342447"/>
        </c:manualLayout>
      </c:layout>
      <c:lineChart>
        <c:grouping val="standard"/>
        <c:ser>
          <c:idx val="0"/>
          <c:order val="0"/>
          <c:tx>
            <c:strRef>
              <c:f>Feuil2!$D$4</c:f>
              <c:strCache>
                <c:ptCount val="1"/>
                <c:pt idx="0">
                  <c:v>حضري</c:v>
                </c:pt>
              </c:strCache>
            </c:strRef>
          </c:tx>
          <c:marker>
            <c:symbol val="diamond"/>
            <c:size val="5"/>
          </c:marker>
          <c:dLbls>
            <c:dLbl>
              <c:idx val="3"/>
              <c:layout>
                <c:manualLayout>
                  <c:x val="-2.7777777777778273E-3"/>
                  <c:y val="4.1666666666666664E-2"/>
                </c:manualLayout>
              </c:layout>
              <c:showVal val="1"/>
            </c:dLbl>
            <c:showVal val="1"/>
          </c:dLbls>
          <c:cat>
            <c:numRef>
              <c:f>Feuil2!$C$5:$C$9</c:f>
              <c:numCache>
                <c:formatCode>0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Feuil2!$D$5:$D$9</c:f>
              <c:numCache>
                <c:formatCode>0.0</c:formatCode>
                <c:ptCount val="5"/>
                <c:pt idx="0">
                  <c:v>9.7000000000000011</c:v>
                </c:pt>
                <c:pt idx="1">
                  <c:v>8.8000000000000007</c:v>
                </c:pt>
                <c:pt idx="2">
                  <c:v>7.9</c:v>
                </c:pt>
                <c:pt idx="3">
                  <c:v>9.2000000000000011</c:v>
                </c:pt>
                <c:pt idx="4">
                  <c:v>9.7000000000000011</c:v>
                </c:pt>
              </c:numCache>
            </c:numRef>
          </c:val>
        </c:ser>
        <c:ser>
          <c:idx val="1"/>
          <c:order val="1"/>
          <c:tx>
            <c:strRef>
              <c:f>Feuil2!$E$4</c:f>
              <c:strCache>
                <c:ptCount val="1"/>
                <c:pt idx="0">
                  <c:v>قروي </c:v>
                </c:pt>
              </c:strCache>
            </c:strRef>
          </c:tx>
          <c:marker>
            <c:symbol val="square"/>
            <c:size val="5"/>
          </c:marker>
          <c:dLbls>
            <c:dLbl>
              <c:idx val="3"/>
              <c:layout>
                <c:manualLayout>
                  <c:x val="-2.7777777777778273E-3"/>
                  <c:y val="3.7037037037037056E-2"/>
                </c:manualLayout>
              </c:layout>
              <c:showVal val="1"/>
            </c:dLbl>
            <c:showVal val="1"/>
          </c:dLbls>
          <c:cat>
            <c:numRef>
              <c:f>Feuil2!$C$5:$C$9</c:f>
              <c:numCache>
                <c:formatCode>0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Feuil2!$E$5:$E$9</c:f>
              <c:numCache>
                <c:formatCode>0.0</c:formatCode>
                <c:ptCount val="5"/>
                <c:pt idx="0">
                  <c:v>11.7</c:v>
                </c:pt>
                <c:pt idx="1">
                  <c:v>10.4</c:v>
                </c:pt>
                <c:pt idx="2">
                  <c:v>9.9</c:v>
                </c:pt>
                <c:pt idx="3">
                  <c:v>11.7</c:v>
                </c:pt>
                <c:pt idx="4">
                  <c:v>12</c:v>
                </c:pt>
              </c:numCache>
            </c:numRef>
          </c:val>
        </c:ser>
        <c:ser>
          <c:idx val="2"/>
          <c:order val="2"/>
          <c:tx>
            <c:strRef>
              <c:f>Feuil2!$F$4</c:f>
              <c:strCache>
                <c:ptCount val="1"/>
                <c:pt idx="0">
                  <c:v>وطني</c:v>
                </c:pt>
              </c:strCache>
            </c:strRef>
          </c:tx>
          <c:marker>
            <c:symbol val="triangle"/>
            <c:size val="5"/>
          </c:marker>
          <c:dLbls>
            <c:dLbl>
              <c:idx val="3"/>
              <c:layout>
                <c:manualLayout>
                  <c:x val="0"/>
                  <c:y val="1.8518518518518583E-2"/>
                </c:manualLayout>
              </c:layout>
              <c:showVal val="1"/>
            </c:dLbl>
            <c:showVal val="1"/>
          </c:dLbls>
          <c:cat>
            <c:numRef>
              <c:f>Feuil2!$C$5:$C$9</c:f>
              <c:numCache>
                <c:formatCode>0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Feuil2!$F$5:$F$9</c:f>
              <c:numCache>
                <c:formatCode>0.0</c:formatCode>
                <c:ptCount val="5"/>
                <c:pt idx="0">
                  <c:v>10.7</c:v>
                </c:pt>
                <c:pt idx="1">
                  <c:v>9.6</c:v>
                </c:pt>
                <c:pt idx="2">
                  <c:v>8.9</c:v>
                </c:pt>
                <c:pt idx="3">
                  <c:v>10.4</c:v>
                </c:pt>
                <c:pt idx="4">
                  <c:v>10.8</c:v>
                </c:pt>
              </c:numCache>
            </c:numRef>
          </c:val>
        </c:ser>
        <c:marker val="1"/>
        <c:axId val="102449152"/>
        <c:axId val="102450688"/>
      </c:lineChart>
      <c:catAx>
        <c:axId val="102449152"/>
        <c:scaling>
          <c:orientation val="minMax"/>
        </c:scaling>
        <c:axPos val="b"/>
        <c:numFmt formatCode="0" sourceLinked="1"/>
        <c:majorTickMark val="none"/>
        <c:tickLblPos val="nextTo"/>
        <c:crossAx val="102450688"/>
        <c:crosses val="autoZero"/>
        <c:auto val="1"/>
        <c:lblAlgn val="ctr"/>
        <c:lblOffset val="100"/>
      </c:catAx>
      <c:valAx>
        <c:axId val="102450688"/>
        <c:scaling>
          <c:orientation val="minMax"/>
          <c:min val="4"/>
        </c:scaling>
        <c:delete val="1"/>
        <c:axPos val="l"/>
        <c:numFmt formatCode="0.0" sourceLinked="1"/>
        <c:majorTickMark val="none"/>
        <c:tickLblPos val="none"/>
        <c:crossAx val="10244915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1133070866141734"/>
          <c:y val="0.7055039631673945"/>
          <c:w val="0.61067191601050996"/>
          <c:h val="8.3717191601050026E-2"/>
        </c:manualLayout>
      </c:layout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>
        <c:manualLayout>
          <c:layoutTarget val="inner"/>
          <c:xMode val="edge"/>
          <c:yMode val="edge"/>
          <c:x val="3.0555555555555582E-2"/>
          <c:y val="2.8161636045494307E-2"/>
          <c:w val="0.93888888888889344"/>
          <c:h val="0.72159922717993585"/>
        </c:manualLayout>
      </c:layout>
      <c:lineChart>
        <c:grouping val="standard"/>
        <c:ser>
          <c:idx val="0"/>
          <c:order val="0"/>
          <c:tx>
            <c:strRef>
              <c:f>Feuil3!$E$7</c:f>
              <c:strCache>
                <c:ptCount val="1"/>
                <c:pt idx="0">
                  <c:v>الفلاحة، الغابة والصيد</c:v>
                </c:pt>
              </c:strCache>
            </c:strRef>
          </c:tx>
          <c:dLbls>
            <c:dLbl>
              <c:idx val="2"/>
              <c:layout>
                <c:manualLayout>
                  <c:x val="0"/>
                  <c:y val="-4.1666666666666713E-2"/>
                </c:manualLayout>
              </c:layout>
              <c:showVal val="1"/>
            </c:dLbl>
            <c:dLbl>
              <c:idx val="3"/>
              <c:layout>
                <c:manualLayout>
                  <c:x val="0"/>
                  <c:y val="-4.1666666666666664E-2"/>
                </c:manualLayout>
              </c:layout>
              <c:showVal val="1"/>
            </c:dLbl>
            <c:showVal val="1"/>
          </c:dLbls>
          <c:cat>
            <c:numRef>
              <c:f>Feuil3!$D$8:$D$12</c:f>
              <c:numCache>
                <c:formatCode>0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Feuil3!$E$8:$E$12</c:f>
              <c:numCache>
                <c:formatCode>0.0</c:formatCode>
                <c:ptCount val="5"/>
                <c:pt idx="0">
                  <c:v>11.1</c:v>
                </c:pt>
                <c:pt idx="1">
                  <c:v>10.1</c:v>
                </c:pt>
                <c:pt idx="2">
                  <c:v>9.2000000000000011</c:v>
                </c:pt>
                <c:pt idx="3">
                  <c:v>11.1</c:v>
                </c:pt>
                <c:pt idx="4">
                  <c:v>11.3</c:v>
                </c:pt>
              </c:numCache>
            </c:numRef>
          </c:val>
        </c:ser>
        <c:ser>
          <c:idx val="1"/>
          <c:order val="1"/>
          <c:tx>
            <c:strRef>
              <c:f>Feuil3!$F$7</c:f>
              <c:strCache>
                <c:ptCount val="1"/>
                <c:pt idx="0">
                  <c:v>الصناعة </c:v>
                </c:pt>
              </c:strCache>
            </c:strRef>
          </c:tx>
          <c:cat>
            <c:numRef>
              <c:f>Feuil3!$D$8:$D$12</c:f>
              <c:numCache>
                <c:formatCode>0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Feuil3!$F$8:$F$12</c:f>
              <c:numCache>
                <c:formatCode>0.0</c:formatCode>
                <c:ptCount val="5"/>
                <c:pt idx="0">
                  <c:v>6.8</c:v>
                </c:pt>
                <c:pt idx="1">
                  <c:v>5.4</c:v>
                </c:pt>
                <c:pt idx="2">
                  <c:v>5.4</c:v>
                </c:pt>
                <c:pt idx="3">
                  <c:v>6.9</c:v>
                </c:pt>
                <c:pt idx="4">
                  <c:v>8.7000000000000011</c:v>
                </c:pt>
              </c:numCache>
            </c:numRef>
          </c:val>
        </c:ser>
        <c:ser>
          <c:idx val="2"/>
          <c:order val="2"/>
          <c:tx>
            <c:strRef>
              <c:f>Feuil3!$G$7</c:f>
              <c:strCache>
                <c:ptCount val="1"/>
                <c:pt idx="0">
                  <c:v>البناء والأشغال العمومية </c:v>
                </c:pt>
              </c:strCache>
            </c:strRef>
          </c:tx>
          <c:cat>
            <c:numRef>
              <c:f>Feuil3!$D$8:$D$12</c:f>
              <c:numCache>
                <c:formatCode>0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Feuil3!$G$8:$G$12</c:f>
              <c:numCache>
                <c:formatCode>0.0</c:formatCode>
                <c:ptCount val="5"/>
                <c:pt idx="0">
                  <c:v>17.100000000000001</c:v>
                </c:pt>
                <c:pt idx="1">
                  <c:v>15.5</c:v>
                </c:pt>
                <c:pt idx="2">
                  <c:v>16</c:v>
                </c:pt>
                <c:pt idx="3">
                  <c:v>15.3</c:v>
                </c:pt>
                <c:pt idx="4">
                  <c:v>15.5</c:v>
                </c:pt>
              </c:numCache>
            </c:numRef>
          </c:val>
        </c:ser>
        <c:ser>
          <c:idx val="3"/>
          <c:order val="3"/>
          <c:tx>
            <c:strRef>
              <c:f>Feuil3!$H$7</c:f>
              <c:strCache>
                <c:ptCount val="1"/>
                <c:pt idx="0">
                  <c:v>الخدمات</c:v>
                </c:pt>
              </c:strCache>
            </c:strRef>
          </c:tx>
          <c:cat>
            <c:numRef>
              <c:f>Feuil3!$D$8:$D$12</c:f>
              <c:numCache>
                <c:formatCode>0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Feuil3!$H$8:$H$12</c:f>
              <c:numCache>
                <c:formatCode>0.0</c:formatCode>
                <c:ptCount val="5"/>
                <c:pt idx="0">
                  <c:v>10.1</c:v>
                </c:pt>
                <c:pt idx="1">
                  <c:v>8.8000000000000007</c:v>
                </c:pt>
                <c:pt idx="2">
                  <c:v>7.9</c:v>
                </c:pt>
                <c:pt idx="3">
                  <c:v>9.5</c:v>
                </c:pt>
                <c:pt idx="4">
                  <c:v>9.7000000000000011</c:v>
                </c:pt>
              </c:numCache>
            </c:numRef>
          </c:val>
        </c:ser>
        <c:dLbls>
          <c:showVal val="1"/>
        </c:dLbls>
        <c:marker val="1"/>
        <c:axId val="102490880"/>
        <c:axId val="102492416"/>
      </c:lineChart>
      <c:catAx>
        <c:axId val="102490880"/>
        <c:scaling>
          <c:orientation val="minMax"/>
        </c:scaling>
        <c:axPos val="b"/>
        <c:numFmt formatCode="0" sourceLinked="1"/>
        <c:majorTickMark val="none"/>
        <c:tickLblPos val="nextTo"/>
        <c:crossAx val="102492416"/>
        <c:crosses val="autoZero"/>
        <c:auto val="1"/>
        <c:lblAlgn val="ctr"/>
        <c:lblOffset val="100"/>
      </c:catAx>
      <c:valAx>
        <c:axId val="102492416"/>
        <c:scaling>
          <c:orientation val="minMax"/>
        </c:scaling>
        <c:delete val="1"/>
        <c:axPos val="l"/>
        <c:numFmt formatCode="0.0" sourceLinked="1"/>
        <c:majorTickMark val="none"/>
        <c:tickLblPos val="none"/>
        <c:crossAx val="102490880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4.7222222222222332E-2"/>
          <c:y val="0.8842592592592593"/>
          <c:w val="0.9"/>
          <c:h val="8.3717191601050026E-2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BA1FBEB4-4854-48FA-BC47-C3DC22CF3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1409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9146</CharactersWithSpaces>
  <SharedDoc>false</SharedDoc>
  <HLinks>
    <vt:vector size="6" baseType="variant"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Aicha</dc:creator>
  <cp:lastModifiedBy>user</cp:lastModifiedBy>
  <cp:revision>2</cp:revision>
  <cp:lastPrinted>2015-07-29T15:37:00Z</cp:lastPrinted>
  <dcterms:created xsi:type="dcterms:W3CDTF">2015-08-04T21:03:00Z</dcterms:created>
  <dcterms:modified xsi:type="dcterms:W3CDTF">2015-08-04T21:03:00Z</dcterms:modified>
</cp:coreProperties>
</file>