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8075F6" w:rsidRDefault="009C42C4" w:rsidP="00E55C4F">
      <w:pPr>
        <w:rPr>
          <w:lang w:bidi="ar-MA"/>
        </w:rPr>
      </w:pPr>
      <w:r>
        <w:rPr>
          <w:lang w:bidi="ar-MA"/>
        </w:rPr>
        <w:t xml:space="preserve">     </w:t>
      </w: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61F3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1F3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MAI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61F38" w:rsidP="00C12D2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</w:t>
      </w:r>
      <w:r w:rsidR="00AA04F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avec une double hausse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AA04F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0,3% de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C12D2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AA04F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2A2A39">
        <w:rPr>
          <w:rFonts w:ascii="Arial" w:hAnsi="Arial" w:cs="Arial"/>
          <w:sz w:val="24"/>
          <w:szCs w:val="24"/>
        </w:rPr>
        <w:t>e mai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3755CC">
        <w:rPr>
          <w:rFonts w:ascii="Arial" w:hAnsi="Arial" w:cs="Arial"/>
          <w:sz w:val="24"/>
          <w:szCs w:val="24"/>
        </w:rPr>
        <w:t>hausse de 0,</w:t>
      </w:r>
      <w:r w:rsidR="002A2A39">
        <w:rPr>
          <w:rFonts w:ascii="Arial" w:hAnsi="Arial" w:cs="Arial"/>
          <w:sz w:val="24"/>
          <w:szCs w:val="24"/>
        </w:rPr>
        <w:t>2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</w:t>
      </w:r>
      <w:r w:rsidR="00AA04F0">
        <w:rPr>
          <w:rFonts w:ascii="Arial" w:hAnsi="Arial" w:cs="Arial"/>
          <w:sz w:val="24"/>
          <w:szCs w:val="24"/>
        </w:rPr>
        <w:t>s hausses d</w:t>
      </w:r>
      <w:r w:rsidR="009063FE">
        <w:rPr>
          <w:rFonts w:ascii="Arial" w:hAnsi="Arial" w:cs="Arial"/>
          <w:sz w:val="24"/>
          <w:szCs w:val="24"/>
        </w:rPr>
        <w:t xml:space="preserve">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="00AA04F0">
        <w:rPr>
          <w:rFonts w:ascii="Arial" w:hAnsi="Arial" w:cs="Arial"/>
          <w:sz w:val="24"/>
          <w:szCs w:val="24"/>
        </w:rPr>
        <w:t xml:space="preserve">de 0,2%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AA04F0">
        <w:rPr>
          <w:rFonts w:ascii="Arial" w:hAnsi="Arial" w:cs="Arial"/>
          <w:sz w:val="24"/>
          <w:szCs w:val="24"/>
        </w:rPr>
        <w:t xml:space="preserve"> de 0,3%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CE5B2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2A2A39">
        <w:rPr>
          <w:rFonts w:ascii="Arial" w:hAnsi="Arial" w:cs="Arial"/>
          <w:sz w:val="24"/>
          <w:szCs w:val="24"/>
        </w:rPr>
        <w:t>avril et mai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EA3B2B">
        <w:rPr>
          <w:rFonts w:ascii="Arial" w:hAnsi="Arial" w:cs="Arial"/>
          <w:sz w:val="24"/>
          <w:szCs w:val="24"/>
        </w:rPr>
        <w:t>fruits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2A2A39">
        <w:rPr>
          <w:rFonts w:ascii="Arial" w:hAnsi="Arial" w:cs="Arial"/>
          <w:sz w:val="24"/>
          <w:szCs w:val="24"/>
        </w:rPr>
        <w:t>4</w:t>
      </w:r>
      <w:r w:rsidR="00EA3B2B">
        <w:rPr>
          <w:rFonts w:ascii="Arial" w:hAnsi="Arial" w:cs="Arial"/>
          <w:sz w:val="24"/>
          <w:szCs w:val="24"/>
        </w:rPr>
        <w:t>,</w:t>
      </w:r>
      <w:r w:rsidR="00A07753">
        <w:rPr>
          <w:rFonts w:ascii="Arial" w:hAnsi="Arial" w:cs="Arial"/>
          <w:sz w:val="24"/>
          <w:szCs w:val="24"/>
        </w:rPr>
        <w:t>2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2A2A39">
        <w:rPr>
          <w:rFonts w:ascii="Arial" w:hAnsi="Arial" w:cs="Arial"/>
          <w:sz w:val="24"/>
          <w:szCs w:val="24"/>
        </w:rPr>
        <w:t xml:space="preserve"> et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EA3B2B">
        <w:rPr>
          <w:rFonts w:ascii="Arial" w:hAnsi="Arial" w:cs="Arial"/>
          <w:sz w:val="24"/>
          <w:szCs w:val="24"/>
        </w:rPr>
        <w:t>poissons et fruits de mer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2A2A39">
        <w:rPr>
          <w:rFonts w:ascii="Arial" w:hAnsi="Arial" w:cs="Arial"/>
          <w:sz w:val="24"/>
          <w:szCs w:val="24"/>
        </w:rPr>
        <w:t>3,</w:t>
      </w:r>
      <w:r w:rsidR="00A07753">
        <w:rPr>
          <w:rFonts w:ascii="Arial" w:hAnsi="Arial" w:cs="Arial"/>
          <w:sz w:val="24"/>
          <w:szCs w:val="24"/>
        </w:rPr>
        <w:t>4</w:t>
      </w:r>
      <w:r w:rsidR="00996924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A07753">
        <w:rPr>
          <w:rFonts w:ascii="Arial" w:hAnsi="Arial" w:cs="Arial"/>
          <w:sz w:val="24"/>
          <w:szCs w:val="24"/>
        </w:rPr>
        <w:t xml:space="preserve">des produits alimentaires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EA3B2B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2A2A39">
        <w:rPr>
          <w:rFonts w:ascii="Arial" w:hAnsi="Arial" w:cs="Arial"/>
          <w:sz w:val="24"/>
          <w:szCs w:val="24"/>
        </w:rPr>
        <w:t>2,2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EA3B2B">
        <w:rPr>
          <w:rFonts w:ascii="Arial" w:hAnsi="Arial" w:cs="Arial"/>
          <w:sz w:val="24"/>
          <w:szCs w:val="24"/>
        </w:rPr>
        <w:t>légumes</w:t>
      </w:r>
      <w:r w:rsidR="00C636B0">
        <w:rPr>
          <w:rFonts w:ascii="Arial" w:hAnsi="Arial" w:cs="Arial"/>
          <w:sz w:val="24"/>
          <w:szCs w:val="24"/>
        </w:rPr>
        <w:t>»</w:t>
      </w:r>
      <w:r w:rsidR="00FF1D4F">
        <w:rPr>
          <w:rFonts w:ascii="Arial" w:hAnsi="Arial" w:cs="Arial"/>
          <w:sz w:val="24"/>
          <w:szCs w:val="24"/>
        </w:rPr>
        <w:t xml:space="preserve"> et  </w:t>
      </w:r>
      <w:r w:rsidR="00A07753">
        <w:rPr>
          <w:rFonts w:ascii="Arial" w:hAnsi="Arial" w:cs="Arial"/>
          <w:sz w:val="24"/>
          <w:szCs w:val="24"/>
        </w:rPr>
        <w:t xml:space="preserve">ceux des « viandes » </w:t>
      </w:r>
      <w:r w:rsidR="00234F5B">
        <w:rPr>
          <w:rFonts w:ascii="Arial" w:hAnsi="Arial" w:cs="Arial"/>
          <w:sz w:val="24"/>
          <w:szCs w:val="24"/>
        </w:rPr>
        <w:t xml:space="preserve">et </w:t>
      </w:r>
      <w:r w:rsidR="002A2A39">
        <w:rPr>
          <w:rFonts w:ascii="Arial" w:hAnsi="Arial" w:cs="Arial"/>
          <w:sz w:val="24"/>
          <w:szCs w:val="24"/>
        </w:rPr>
        <w:t>d</w:t>
      </w:r>
      <w:r w:rsidR="00A07753">
        <w:rPr>
          <w:rFonts w:ascii="Arial" w:hAnsi="Arial" w:cs="Arial"/>
          <w:sz w:val="24"/>
          <w:szCs w:val="24"/>
        </w:rPr>
        <w:t>u</w:t>
      </w:r>
      <w:r w:rsidR="002A2A39">
        <w:rPr>
          <w:rFonts w:ascii="Arial" w:hAnsi="Arial" w:cs="Arial"/>
          <w:sz w:val="24"/>
          <w:szCs w:val="24"/>
        </w:rPr>
        <w:t xml:space="preserve"> « café, thé et cacao »</w:t>
      </w:r>
      <w:r w:rsidR="00E31DEC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de 0,</w:t>
      </w:r>
      <w:r w:rsidR="00A07753">
        <w:rPr>
          <w:rFonts w:ascii="Arial" w:hAnsi="Arial" w:cs="Arial"/>
          <w:sz w:val="24"/>
          <w:szCs w:val="24"/>
        </w:rPr>
        <w:t>3</w:t>
      </w:r>
      <w:r w:rsidR="00EA3B2B">
        <w:rPr>
          <w:rFonts w:ascii="Arial" w:hAnsi="Arial" w:cs="Arial"/>
          <w:sz w:val="24"/>
          <w:szCs w:val="24"/>
        </w:rPr>
        <w:t>%</w:t>
      </w:r>
      <w:r w:rsidR="00C636B0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F35913">
        <w:rPr>
          <w:rFonts w:ascii="Arial" w:hAnsi="Arial" w:cs="Arial"/>
          <w:sz w:val="24"/>
          <w:szCs w:val="24"/>
          <w:lang w:bidi="ar-MA"/>
        </w:rPr>
        <w:t xml:space="preserve">Pour les produits non alimentaires, la hausse a concerné principalement les </w:t>
      </w:r>
      <w:r w:rsidR="00BD6F93">
        <w:rPr>
          <w:rFonts w:ascii="Arial" w:hAnsi="Arial" w:cs="Arial"/>
          <w:sz w:val="24"/>
          <w:szCs w:val="24"/>
          <w:lang w:bidi="ar-MA"/>
        </w:rPr>
        <w:t xml:space="preserve">prix des </w:t>
      </w:r>
      <w:r w:rsidR="00F35913">
        <w:rPr>
          <w:rFonts w:ascii="Arial" w:hAnsi="Arial" w:cs="Arial"/>
          <w:sz w:val="24"/>
          <w:szCs w:val="24"/>
          <w:lang w:bidi="ar-MA"/>
        </w:rPr>
        <w:t>carburants avec 5,1%.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C12E6F" w:rsidRDefault="009E579A" w:rsidP="006B788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EA3B2B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2A2A39">
        <w:rPr>
          <w:rFonts w:ascii="Arial" w:hAnsi="Arial" w:cs="Arial"/>
          <w:sz w:val="24"/>
          <w:szCs w:val="24"/>
        </w:rPr>
        <w:t>Meknès et Tanger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2A2A39">
        <w:rPr>
          <w:rFonts w:ascii="Arial" w:hAnsi="Arial" w:cs="Arial"/>
          <w:sz w:val="24"/>
          <w:szCs w:val="24"/>
        </w:rPr>
        <w:t>0,6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2A2A39">
        <w:rPr>
          <w:rFonts w:ascii="Arial" w:hAnsi="Arial" w:cs="Arial"/>
          <w:sz w:val="24"/>
          <w:szCs w:val="24"/>
        </w:rPr>
        <w:t>Agadir</w:t>
      </w:r>
      <w:r w:rsidR="000B446D">
        <w:rPr>
          <w:rFonts w:ascii="Arial" w:hAnsi="Arial" w:cs="Arial"/>
          <w:sz w:val="24"/>
          <w:szCs w:val="24"/>
        </w:rPr>
        <w:t xml:space="preserve"> </w:t>
      </w:r>
      <w:r w:rsidR="0023516E">
        <w:rPr>
          <w:rFonts w:ascii="Arial" w:hAnsi="Arial" w:cs="Arial"/>
          <w:sz w:val="24"/>
          <w:szCs w:val="24"/>
        </w:rPr>
        <w:t xml:space="preserve">et Rabat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2A2A39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2A2A39">
        <w:rPr>
          <w:rFonts w:ascii="Arial" w:hAnsi="Arial" w:cs="Arial"/>
          <w:sz w:val="24"/>
          <w:szCs w:val="24"/>
        </w:rPr>
        <w:t>Kénitra</w:t>
      </w:r>
      <w:proofErr w:type="spellEnd"/>
      <w:r w:rsidR="002A2A39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avec 0,</w:t>
      </w:r>
      <w:r w:rsidR="002A2A39">
        <w:rPr>
          <w:rFonts w:ascii="Arial" w:hAnsi="Arial" w:cs="Arial"/>
          <w:sz w:val="24"/>
          <w:szCs w:val="24"/>
        </w:rPr>
        <w:t>4</w:t>
      </w:r>
      <w:r w:rsidR="00EA3B2B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2A2A39">
        <w:rPr>
          <w:rFonts w:ascii="Arial" w:hAnsi="Arial" w:cs="Arial"/>
          <w:sz w:val="24"/>
          <w:szCs w:val="24"/>
        </w:rPr>
        <w:t>à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23516E">
        <w:rPr>
          <w:rFonts w:ascii="Arial" w:hAnsi="Arial" w:cs="Arial"/>
          <w:sz w:val="24"/>
          <w:szCs w:val="24"/>
        </w:rPr>
        <w:t xml:space="preserve">Casablanca et </w:t>
      </w:r>
      <w:r w:rsidR="00EA3B2B">
        <w:rPr>
          <w:rFonts w:ascii="Arial" w:hAnsi="Arial" w:cs="Arial"/>
          <w:sz w:val="24"/>
          <w:szCs w:val="24"/>
        </w:rPr>
        <w:t>Settat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2A2A39">
        <w:rPr>
          <w:rFonts w:ascii="Arial" w:hAnsi="Arial" w:cs="Arial"/>
          <w:sz w:val="24"/>
          <w:szCs w:val="24"/>
        </w:rPr>
        <w:t>3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EA3B2B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2E07F6">
        <w:rPr>
          <w:rFonts w:ascii="Arial" w:hAnsi="Arial" w:cs="Arial"/>
          <w:sz w:val="24"/>
          <w:szCs w:val="24"/>
        </w:rPr>
        <w:t>Béni-Mellal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2E07F6">
        <w:rPr>
          <w:rFonts w:ascii="Arial" w:hAnsi="Arial" w:cs="Arial"/>
          <w:sz w:val="24"/>
          <w:szCs w:val="24"/>
        </w:rPr>
        <w:t>1,0</w:t>
      </w:r>
      <w:r w:rsidR="003E42D0">
        <w:rPr>
          <w:rFonts w:ascii="Arial" w:hAnsi="Arial" w:cs="Arial"/>
          <w:sz w:val="24"/>
          <w:szCs w:val="24"/>
        </w:rPr>
        <w:t>%</w:t>
      </w:r>
      <w:r w:rsidR="006B7884">
        <w:rPr>
          <w:rFonts w:ascii="Arial" w:hAnsi="Arial" w:cs="Arial"/>
          <w:sz w:val="24"/>
          <w:szCs w:val="24"/>
        </w:rPr>
        <w:t>,</w:t>
      </w:r>
      <w:r w:rsidR="002E07F6">
        <w:rPr>
          <w:rFonts w:ascii="Arial" w:hAnsi="Arial" w:cs="Arial"/>
          <w:sz w:val="24"/>
          <w:szCs w:val="24"/>
        </w:rPr>
        <w:t xml:space="preserve"> </w:t>
      </w:r>
      <w:r w:rsidR="0051271E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2E07F6">
        <w:rPr>
          <w:rFonts w:ascii="Arial" w:hAnsi="Arial" w:cs="Arial"/>
          <w:sz w:val="24"/>
          <w:szCs w:val="24"/>
        </w:rPr>
        <w:t>Guelmim</w:t>
      </w:r>
      <w:proofErr w:type="spellEnd"/>
      <w:r w:rsidR="00F96D77">
        <w:rPr>
          <w:rFonts w:ascii="Arial" w:hAnsi="Arial" w:cs="Arial"/>
          <w:sz w:val="24"/>
          <w:szCs w:val="24"/>
        </w:rPr>
        <w:t xml:space="preserve"> avec 0,</w:t>
      </w:r>
      <w:r w:rsidR="002E07F6">
        <w:rPr>
          <w:rFonts w:ascii="Arial" w:hAnsi="Arial" w:cs="Arial"/>
          <w:sz w:val="24"/>
          <w:szCs w:val="24"/>
        </w:rPr>
        <w:t>7</w:t>
      </w:r>
      <w:r w:rsidR="00F96D77">
        <w:rPr>
          <w:rFonts w:ascii="Arial" w:hAnsi="Arial" w:cs="Arial"/>
          <w:sz w:val="24"/>
          <w:szCs w:val="24"/>
        </w:rPr>
        <w:t>%</w:t>
      </w:r>
      <w:r w:rsidR="006B7884">
        <w:rPr>
          <w:rFonts w:ascii="Arial" w:hAnsi="Arial" w:cs="Arial"/>
          <w:sz w:val="24"/>
          <w:szCs w:val="24"/>
        </w:rPr>
        <w:t xml:space="preserve"> et </w:t>
      </w:r>
      <w:r w:rsidR="00F96D77">
        <w:rPr>
          <w:rFonts w:ascii="Arial" w:hAnsi="Arial" w:cs="Arial"/>
          <w:sz w:val="24"/>
          <w:szCs w:val="24"/>
        </w:rPr>
        <w:t xml:space="preserve"> </w:t>
      </w:r>
      <w:r w:rsidR="006B7884">
        <w:rPr>
          <w:rFonts w:ascii="Arial" w:hAnsi="Arial" w:cs="Arial"/>
          <w:sz w:val="24"/>
          <w:szCs w:val="24"/>
        </w:rPr>
        <w:t>à Dakhla avec 0,6%</w:t>
      </w:r>
      <w:r w:rsidR="002E07F6">
        <w:rPr>
          <w:rFonts w:ascii="Arial" w:hAnsi="Arial" w:cs="Arial"/>
          <w:sz w:val="24"/>
          <w:szCs w:val="24"/>
        </w:rPr>
        <w:t>.</w:t>
      </w:r>
      <w:r w:rsidR="006D0C4D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AA04F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2E07F6">
        <w:rPr>
          <w:rFonts w:ascii="Arial" w:hAnsi="Arial" w:cs="Arial"/>
          <w:sz w:val="24"/>
          <w:szCs w:val="24"/>
        </w:rPr>
        <w:t>2,0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2E07F6">
        <w:rPr>
          <w:rFonts w:ascii="Arial" w:hAnsi="Arial" w:cs="Arial"/>
          <w:sz w:val="24"/>
          <w:szCs w:val="24"/>
        </w:rPr>
        <w:t xml:space="preserve">de mai </w:t>
      </w:r>
      <w:r w:rsidR="007F0F2B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2E07F6">
        <w:rPr>
          <w:rFonts w:ascii="Arial" w:hAnsi="Arial" w:cs="Arial"/>
          <w:sz w:val="24"/>
          <w:szCs w:val="24"/>
        </w:rPr>
        <w:t>3,0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6D0C4D">
        <w:rPr>
          <w:rFonts w:ascii="Arial" w:hAnsi="Arial" w:cs="Arial"/>
          <w:sz w:val="24"/>
          <w:szCs w:val="24"/>
        </w:rPr>
        <w:t>1,</w:t>
      </w:r>
      <w:r w:rsidR="00AA04F0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2E07F6">
        <w:rPr>
          <w:rFonts w:ascii="Arial" w:hAnsi="Arial" w:cs="Arial"/>
          <w:spacing w:val="-2"/>
          <w:sz w:val="24"/>
          <w:szCs w:val="24"/>
        </w:rPr>
        <w:t>1,9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2E07F6">
        <w:rPr>
          <w:rFonts w:ascii="Arial" w:hAnsi="Arial" w:cs="Arial"/>
          <w:spacing w:val="-2"/>
          <w:sz w:val="24"/>
          <w:szCs w:val="24"/>
        </w:rPr>
        <w:t>4,8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C12D2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</w:rPr>
        <w:t>de mai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>hausse de 0,1%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 xml:space="preserve">’avril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C12D2A">
        <w:rPr>
          <w:rFonts w:ascii="Arial" w:hAnsi="Arial" w:cs="Arial"/>
          <w:sz w:val="24"/>
          <w:szCs w:val="24"/>
        </w:rPr>
        <w:t>3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>e mai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2E07F6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674A3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9658B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9658B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2F7B0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F7B0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674A3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658BD">
              <w:rPr>
                <w:rFonts w:cs="Times New Roman"/>
                <w:b/>
                <w:bCs/>
              </w:rPr>
              <w:t xml:space="preserve">cinq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674A3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9658BD" w:rsidP="009658B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9658BD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</w:p>
          <w:p w:rsidR="00703CB8" w:rsidRPr="00324B4E" w:rsidRDefault="00703CB8" w:rsidP="009658BD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74A3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2F7B0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F7B05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F7B05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F7B05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9658BD">
              <w:rPr>
                <w:rFonts w:cs="Times New Roman"/>
                <w:b/>
                <w:bCs/>
                <w:sz w:val="24"/>
                <w:szCs w:val="24"/>
              </w:rPr>
              <w:t>cinq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674A3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9658BD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9658BD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74A3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74A3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74A3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74A3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F7B0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F7B0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F7B0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F7B05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Pr="00402008" w:rsidRDefault="002F7B05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F7B05" w:rsidRDefault="002F7B0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674A34">
        <w:rPr>
          <w:rFonts w:ascii="Arial" w:hAnsi="Arial" w:cs="Arial"/>
          <w:color w:val="3366FF"/>
          <w:spacing w:val="-2"/>
          <w:sz w:val="18"/>
        </w:rPr>
        <w:t xml:space="preserve">    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674A34">
      <w:pgSz w:w="11906" w:h="16838"/>
      <w:pgMar w:top="72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2A" w:rsidRDefault="00FC072A">
      <w:pPr>
        <w:jc w:val="right"/>
      </w:pPr>
      <w:r>
        <w:separator/>
      </w:r>
    </w:p>
  </w:endnote>
  <w:endnote w:type="continuationSeparator" w:id="0">
    <w:p w:rsidR="00FC072A" w:rsidRDefault="00FC072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2A" w:rsidRDefault="00FC072A">
      <w:pPr>
        <w:jc w:val="right"/>
      </w:pPr>
      <w:r>
        <w:separator/>
      </w:r>
    </w:p>
  </w:footnote>
  <w:footnote w:type="continuationSeparator" w:id="0">
    <w:p w:rsidR="00FC072A" w:rsidRDefault="00FC072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260D2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4F5B"/>
    <w:rsid w:val="0023516E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D7DA5"/>
    <w:rsid w:val="002E07F6"/>
    <w:rsid w:val="002E162B"/>
    <w:rsid w:val="002E7663"/>
    <w:rsid w:val="002F5B85"/>
    <w:rsid w:val="002F7AB3"/>
    <w:rsid w:val="002F7B05"/>
    <w:rsid w:val="00303A54"/>
    <w:rsid w:val="0030441E"/>
    <w:rsid w:val="003051E9"/>
    <w:rsid w:val="003077B8"/>
    <w:rsid w:val="0031040D"/>
    <w:rsid w:val="00311559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3770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2DB5"/>
    <w:rsid w:val="004E30AD"/>
    <w:rsid w:val="004E51A0"/>
    <w:rsid w:val="004E5526"/>
    <w:rsid w:val="004E6BE0"/>
    <w:rsid w:val="004E744B"/>
    <w:rsid w:val="004F0676"/>
    <w:rsid w:val="004F1957"/>
    <w:rsid w:val="004F1EE3"/>
    <w:rsid w:val="004F5008"/>
    <w:rsid w:val="004F7186"/>
    <w:rsid w:val="00500CB2"/>
    <w:rsid w:val="005046D7"/>
    <w:rsid w:val="00506CE4"/>
    <w:rsid w:val="00507FAF"/>
    <w:rsid w:val="005102F3"/>
    <w:rsid w:val="00510635"/>
    <w:rsid w:val="0051173A"/>
    <w:rsid w:val="00511AA6"/>
    <w:rsid w:val="0051271E"/>
    <w:rsid w:val="005134F4"/>
    <w:rsid w:val="00514BD2"/>
    <w:rsid w:val="0052180B"/>
    <w:rsid w:val="00524EC5"/>
    <w:rsid w:val="005251E3"/>
    <w:rsid w:val="00526621"/>
    <w:rsid w:val="0053017C"/>
    <w:rsid w:val="00530F25"/>
    <w:rsid w:val="00531568"/>
    <w:rsid w:val="00531D7B"/>
    <w:rsid w:val="00532936"/>
    <w:rsid w:val="00533060"/>
    <w:rsid w:val="00533784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36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CEC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4A34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884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5E3F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6F81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2C4"/>
    <w:rsid w:val="009C4BD9"/>
    <w:rsid w:val="009D0381"/>
    <w:rsid w:val="009D4403"/>
    <w:rsid w:val="009D64A4"/>
    <w:rsid w:val="009D6980"/>
    <w:rsid w:val="009D6DE3"/>
    <w:rsid w:val="009E04ED"/>
    <w:rsid w:val="009E4869"/>
    <w:rsid w:val="009E4B7A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5757"/>
    <w:rsid w:val="009F6B50"/>
    <w:rsid w:val="009F7433"/>
    <w:rsid w:val="00A01A3E"/>
    <w:rsid w:val="00A026CD"/>
    <w:rsid w:val="00A05256"/>
    <w:rsid w:val="00A05B8A"/>
    <w:rsid w:val="00A07753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2A82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4F0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3BBD"/>
    <w:rsid w:val="00B342DB"/>
    <w:rsid w:val="00B34AF5"/>
    <w:rsid w:val="00B35819"/>
    <w:rsid w:val="00B35862"/>
    <w:rsid w:val="00B43EC3"/>
    <w:rsid w:val="00B513F0"/>
    <w:rsid w:val="00B52843"/>
    <w:rsid w:val="00B54F88"/>
    <w:rsid w:val="00B56702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6F93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D2A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5B22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60F4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4016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4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77EA0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72A"/>
    <w:rsid w:val="00FC09C2"/>
    <w:rsid w:val="00FC0C26"/>
    <w:rsid w:val="00FC2DE0"/>
    <w:rsid w:val="00FC5D61"/>
    <w:rsid w:val="00FD0442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1D4F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DEDC-2F7B-4976-AB20-493DFE4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2015-05-13T14:54:00Z</cp:lastPrinted>
  <dcterms:created xsi:type="dcterms:W3CDTF">2015-06-22T02:50:00Z</dcterms:created>
  <dcterms:modified xsi:type="dcterms:W3CDTF">2015-06-22T02:58:00Z</dcterms:modified>
</cp:coreProperties>
</file>