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DF" w:rsidRDefault="00EC6C0A" w:rsidP="001B4BEC">
      <w:pPr>
        <w:bidi/>
        <w:spacing w:after="0" w:line="240" w:lineRule="auto"/>
        <w:rPr>
          <w:sz w:val="36"/>
          <w:szCs w:val="36"/>
          <w:rtl/>
          <w:lang w:bidi="ar-MA"/>
        </w:rPr>
      </w:pPr>
      <w:r w:rsidRPr="00EC6C0A">
        <w:rPr>
          <w:noProof/>
          <w:rtl/>
          <w:lang w:eastAsia="fr-FR"/>
        </w:rPr>
        <w:pict>
          <v:rect id="_x0000_s1026" style="position:absolute;left:0;text-align:left;margin-left:-175.65pt;margin-top:-10.3pt;width:898.5pt;height:577.55pt;z-index:-251658752" o:preferrelative="t" filled="f" stroked="f" insetpen="t" o:cliptowrap="t">
            <v:imagedata r:id="rId6" o:title=""/>
            <v:path o:extrusionok="f"/>
            <o:lock v:ext="edit" aspectratio="t"/>
            <w10:wrap anchorx="page"/>
          </v:rect>
          <o:OLEObject Type="Embed" ProgID="PBrush" ShapeID="_x0000_s1026" DrawAspect="Content" ObjectID="_1494876059" r:id="rId7"/>
        </w:pict>
      </w:r>
      <w:r w:rsidR="00695E68" w:rsidRPr="00AF01BC">
        <w:rPr>
          <w:sz w:val="36"/>
          <w:szCs w:val="36"/>
          <w:lang w:bidi="ar-MA"/>
        </w:rPr>
        <w:t xml:space="preserve">   </w:t>
      </w:r>
    </w:p>
    <w:p w:rsidR="009B4BDF" w:rsidRDefault="009B4BDF" w:rsidP="009B4BDF">
      <w:pPr>
        <w:bidi/>
        <w:spacing w:after="0" w:line="240" w:lineRule="auto"/>
        <w:rPr>
          <w:sz w:val="36"/>
          <w:szCs w:val="36"/>
          <w:rtl/>
          <w:lang w:bidi="ar-MA"/>
        </w:rPr>
      </w:pPr>
    </w:p>
    <w:p w:rsidR="009B4BDF" w:rsidRDefault="009B4BDF" w:rsidP="009B4BDF">
      <w:pPr>
        <w:bidi/>
        <w:spacing w:after="0" w:line="240" w:lineRule="auto"/>
        <w:rPr>
          <w:sz w:val="36"/>
          <w:szCs w:val="36"/>
          <w:lang w:bidi="ar-MA"/>
        </w:rPr>
      </w:pPr>
    </w:p>
    <w:p w:rsidR="009B4BDF" w:rsidRDefault="009B4BDF" w:rsidP="009B4BDF">
      <w:pPr>
        <w:bidi/>
        <w:spacing w:after="0" w:line="240" w:lineRule="auto"/>
        <w:rPr>
          <w:sz w:val="36"/>
          <w:szCs w:val="36"/>
          <w:lang w:bidi="ar-MA"/>
        </w:rPr>
      </w:pPr>
    </w:p>
    <w:p w:rsidR="009B4BDF" w:rsidRDefault="009B4BDF" w:rsidP="009B4BDF">
      <w:pPr>
        <w:bidi/>
        <w:spacing w:after="0" w:line="240" w:lineRule="auto"/>
        <w:rPr>
          <w:sz w:val="36"/>
          <w:szCs w:val="36"/>
          <w:lang w:bidi="ar-MA"/>
        </w:rPr>
      </w:pPr>
    </w:p>
    <w:p w:rsidR="009B4BDF" w:rsidRDefault="009B4BDF" w:rsidP="009B4BDF">
      <w:pPr>
        <w:bidi/>
        <w:spacing w:after="0" w:line="240" w:lineRule="exact"/>
        <w:rPr>
          <w:rFonts w:cs="Simplified Arabic"/>
          <w:sz w:val="36"/>
          <w:szCs w:val="36"/>
          <w:rtl/>
          <w:lang w:bidi="ar-MA"/>
        </w:rPr>
      </w:pPr>
    </w:p>
    <w:p w:rsidR="009B4BDF" w:rsidRPr="003C7276" w:rsidRDefault="009B4BDF" w:rsidP="009B4BDF">
      <w:pPr>
        <w:bidi/>
        <w:spacing w:after="0" w:line="240" w:lineRule="exact"/>
        <w:rPr>
          <w:rFonts w:cs="Simplified Arabic"/>
          <w:sz w:val="36"/>
          <w:szCs w:val="36"/>
          <w:lang w:bidi="ar-MA"/>
        </w:rPr>
      </w:pPr>
    </w:p>
    <w:p w:rsidR="005C01C9" w:rsidRDefault="005C01C9" w:rsidP="00D9311A">
      <w:pPr>
        <w:ind w:firstLine="709"/>
        <w:jc w:val="center"/>
        <w:rPr>
          <w:rFonts w:cs="Simplified Arabic"/>
          <w:b/>
          <w:bCs/>
          <w:sz w:val="32"/>
          <w:szCs w:val="32"/>
          <w:lang w:bidi="ar-MA"/>
        </w:rPr>
      </w:pPr>
    </w:p>
    <w:p w:rsidR="00655B3D" w:rsidRDefault="00655B3D" w:rsidP="00E17B11">
      <w:pPr>
        <w:spacing w:after="0" w:line="240" w:lineRule="auto"/>
        <w:ind w:firstLine="709"/>
        <w:jc w:val="center"/>
        <w:rPr>
          <w:rFonts w:ascii="Book Antiqua" w:eastAsia="Times New Roman" w:hAnsi="Book Antiqua" w:cs="Times New Roman"/>
          <w:b/>
          <w:sz w:val="28"/>
          <w:szCs w:val="28"/>
          <w:lang w:eastAsia="fr-FR"/>
        </w:rPr>
      </w:pPr>
    </w:p>
    <w:p w:rsidR="00E17B11" w:rsidRPr="00146EE9" w:rsidRDefault="00E17B11" w:rsidP="00E17B11">
      <w:pPr>
        <w:spacing w:after="0" w:line="240" w:lineRule="auto"/>
        <w:ind w:firstLine="709"/>
        <w:jc w:val="center"/>
        <w:rPr>
          <w:rFonts w:ascii="Book Antiqua" w:eastAsia="Times New Roman" w:hAnsi="Book Antiqua" w:cs="Times New Roman"/>
          <w:b/>
          <w:shadow/>
          <w:sz w:val="28"/>
          <w:szCs w:val="28"/>
          <w:lang w:eastAsia="fr-FR"/>
        </w:rPr>
      </w:pPr>
      <w:r w:rsidRPr="00146EE9">
        <w:rPr>
          <w:rFonts w:ascii="Book Antiqua" w:eastAsia="Times New Roman" w:hAnsi="Book Antiqua" w:cs="Times New Roman"/>
          <w:b/>
          <w:shadow/>
          <w:sz w:val="28"/>
          <w:szCs w:val="28"/>
          <w:lang w:eastAsia="fr-FR"/>
        </w:rPr>
        <w:t>Note d’information relative aux comptes</w:t>
      </w:r>
    </w:p>
    <w:p w:rsidR="00F84D2F" w:rsidRDefault="00E17B11" w:rsidP="007D5FAC">
      <w:pPr>
        <w:spacing w:before="60" w:after="0" w:line="240" w:lineRule="auto"/>
        <w:ind w:firstLine="709"/>
        <w:jc w:val="center"/>
        <w:rPr>
          <w:rFonts w:ascii="Book Antiqua" w:eastAsia="Times New Roman" w:hAnsi="Book Antiqua" w:cs="Times New Roman"/>
          <w:b/>
          <w:shadow/>
          <w:sz w:val="28"/>
          <w:szCs w:val="28"/>
          <w:lang w:eastAsia="fr-FR"/>
        </w:rPr>
      </w:pPr>
      <w:r w:rsidRPr="00146EE9">
        <w:rPr>
          <w:rFonts w:ascii="Book Antiqua" w:eastAsia="Times New Roman" w:hAnsi="Book Antiqua" w:cs="Times New Roman"/>
          <w:b/>
          <w:shadow/>
          <w:sz w:val="28"/>
          <w:szCs w:val="28"/>
          <w:lang w:eastAsia="fr-FR"/>
        </w:rPr>
        <w:t xml:space="preserve"> </w:t>
      </w:r>
      <w:proofErr w:type="gramStart"/>
      <w:r w:rsidRPr="00146EE9">
        <w:rPr>
          <w:rFonts w:ascii="Book Antiqua" w:eastAsia="Times New Roman" w:hAnsi="Book Antiqua" w:cs="Times New Roman"/>
          <w:b/>
          <w:shadow/>
          <w:sz w:val="28"/>
          <w:szCs w:val="28"/>
          <w:lang w:eastAsia="fr-FR"/>
        </w:rPr>
        <w:t>nationaux</w:t>
      </w:r>
      <w:proofErr w:type="gramEnd"/>
      <w:r w:rsidRPr="00146EE9">
        <w:rPr>
          <w:rFonts w:ascii="Book Antiqua" w:eastAsia="Times New Roman" w:hAnsi="Book Antiqua" w:cs="Times New Roman"/>
          <w:b/>
          <w:shadow/>
          <w:sz w:val="28"/>
          <w:szCs w:val="28"/>
          <w:lang w:eastAsia="fr-FR"/>
        </w:rPr>
        <w:t xml:space="preserve"> provisoires de 201</w:t>
      </w:r>
      <w:r w:rsidR="007D5FAC" w:rsidRPr="00146EE9">
        <w:rPr>
          <w:rFonts w:ascii="Book Antiqua" w:eastAsia="Times New Roman" w:hAnsi="Book Antiqua" w:cs="Times New Roman"/>
          <w:b/>
          <w:shadow/>
          <w:sz w:val="28"/>
          <w:szCs w:val="28"/>
          <w:lang w:eastAsia="fr-FR"/>
        </w:rPr>
        <w:t>4</w:t>
      </w:r>
    </w:p>
    <w:p w:rsidR="001B39E7" w:rsidRPr="00A74EFF" w:rsidRDefault="001B39E7" w:rsidP="007D5FAC">
      <w:pPr>
        <w:spacing w:before="60" w:after="0" w:line="240" w:lineRule="auto"/>
        <w:ind w:firstLine="709"/>
        <w:jc w:val="center"/>
        <w:rPr>
          <w:rFonts w:ascii="Book Antiqua" w:eastAsia="Times New Roman" w:hAnsi="Book Antiqua" w:cs="Times New Roman"/>
          <w:bCs/>
          <w:shadow/>
          <w:sz w:val="20"/>
          <w:szCs w:val="20"/>
          <w:lang w:eastAsia="fr-FR"/>
        </w:rPr>
      </w:pPr>
    </w:p>
    <w:p w:rsidR="00E17B11" w:rsidRPr="00146EE9" w:rsidRDefault="00F84D2F" w:rsidP="00F84D2F">
      <w:pPr>
        <w:spacing w:before="60" w:after="0" w:line="240" w:lineRule="auto"/>
        <w:ind w:firstLine="709"/>
        <w:jc w:val="center"/>
        <w:rPr>
          <w:rFonts w:ascii="Book Antiqua" w:eastAsia="Times New Roman" w:hAnsi="Book Antiqua" w:cs="Times New Roman"/>
          <w:b/>
          <w:shadow/>
          <w:sz w:val="28"/>
          <w:szCs w:val="28"/>
          <w:lang w:eastAsia="fr-FR"/>
        </w:rPr>
      </w:pPr>
      <w:r w:rsidRPr="00146EE9">
        <w:rPr>
          <w:rFonts w:ascii="Book Antiqua" w:eastAsia="Times New Roman" w:hAnsi="Book Antiqua" w:cs="Times New Roman"/>
          <w:b/>
          <w:shadow/>
          <w:sz w:val="28"/>
          <w:szCs w:val="28"/>
          <w:lang w:eastAsia="fr-FR"/>
        </w:rPr>
        <w:t>B</w:t>
      </w:r>
      <w:r w:rsidR="002D765F" w:rsidRPr="00146EE9">
        <w:rPr>
          <w:rFonts w:ascii="Book Antiqua" w:eastAsia="Times New Roman" w:hAnsi="Book Antiqua" w:cs="Times New Roman"/>
          <w:b/>
          <w:shadow/>
          <w:sz w:val="28"/>
          <w:szCs w:val="28"/>
          <w:lang w:eastAsia="fr-FR"/>
        </w:rPr>
        <w:t>ase 2007</w:t>
      </w:r>
      <w:r w:rsidR="007D5FAC" w:rsidRPr="00146EE9">
        <w:rPr>
          <w:rFonts w:ascii="Book Antiqua" w:eastAsia="Times New Roman" w:hAnsi="Book Antiqua" w:cs="Times New Roman"/>
          <w:b/>
          <w:shadow/>
          <w:sz w:val="28"/>
          <w:szCs w:val="28"/>
          <w:lang w:eastAsia="fr-FR"/>
        </w:rPr>
        <w:t xml:space="preserve"> </w:t>
      </w:r>
    </w:p>
    <w:p w:rsidR="00E17B11" w:rsidRPr="00E17B11" w:rsidRDefault="008A6F94" w:rsidP="00E17B11">
      <w:pPr>
        <w:spacing w:before="60" w:after="0" w:line="240" w:lineRule="auto"/>
        <w:ind w:firstLine="709"/>
        <w:jc w:val="center"/>
        <w:rPr>
          <w:rFonts w:ascii="Book Antiqua" w:eastAsia="Times New Roman" w:hAnsi="Book Antiqua" w:cs="Times New Roman"/>
          <w:b/>
          <w:sz w:val="28"/>
          <w:szCs w:val="28"/>
          <w:lang w:eastAsia="fr-FR"/>
        </w:rPr>
      </w:pPr>
      <w:r>
        <w:rPr>
          <w:rFonts w:ascii="Book Antiqua" w:eastAsia="Times New Roman" w:hAnsi="Book Antiqua" w:cs="Times New Roman"/>
          <w:b/>
          <w:sz w:val="28"/>
          <w:szCs w:val="28"/>
          <w:lang w:eastAsia="fr-FR"/>
        </w:rPr>
        <w:t xml:space="preserve">  </w:t>
      </w:r>
      <w:r w:rsidR="00146EE9">
        <w:rPr>
          <w:rFonts w:ascii="Book Antiqua" w:eastAsia="Times New Roman" w:hAnsi="Book Antiqua" w:cs="Times New Roman"/>
          <w:b/>
          <w:sz w:val="28"/>
          <w:szCs w:val="28"/>
          <w:lang w:eastAsia="fr-FR"/>
        </w:rPr>
        <w:t xml:space="preserve">    </w:t>
      </w:r>
    </w:p>
    <w:p w:rsidR="002D765F" w:rsidRDefault="00EA5756" w:rsidP="002D765F">
      <w:pPr>
        <w:pStyle w:val="Corpsdetexte2"/>
        <w:spacing w:before="120" w:after="0" w:line="340" w:lineRule="exact"/>
        <w:jc w:val="both"/>
        <w:rPr>
          <w:rFonts w:ascii="Book Antiqua" w:hAnsi="Book Antiqua"/>
          <w:i/>
          <w:iCs/>
          <w:sz w:val="24"/>
          <w:szCs w:val="24"/>
        </w:rPr>
      </w:pPr>
      <w:r w:rsidRPr="006B799F">
        <w:rPr>
          <w:rFonts w:ascii="Book Antiqua" w:hAnsi="Book Antiqua"/>
          <w:i/>
          <w:iCs/>
          <w:sz w:val="24"/>
          <w:szCs w:val="24"/>
        </w:rPr>
        <w:t xml:space="preserve">L’arrêté de comptes </w:t>
      </w:r>
      <w:r w:rsidR="002D765F">
        <w:rPr>
          <w:rFonts w:ascii="Book Antiqua" w:hAnsi="Book Antiqua"/>
          <w:i/>
          <w:iCs/>
          <w:sz w:val="24"/>
          <w:szCs w:val="24"/>
        </w:rPr>
        <w:t xml:space="preserve">nationaux de 2014 </w:t>
      </w:r>
      <w:r w:rsidRPr="006B799F">
        <w:rPr>
          <w:rFonts w:ascii="Book Antiqua" w:hAnsi="Book Antiqua"/>
          <w:i/>
          <w:iCs/>
          <w:sz w:val="24"/>
          <w:szCs w:val="24"/>
        </w:rPr>
        <w:t xml:space="preserve">fait ressortir une croissance de l’économie nationale de 2,4 % au lieu de 4,7% en 2013. </w:t>
      </w:r>
      <w:r w:rsidR="00450C70" w:rsidRPr="006B799F">
        <w:rPr>
          <w:rFonts w:ascii="Book Antiqua" w:hAnsi="Book Antiqua"/>
          <w:i/>
          <w:iCs/>
          <w:sz w:val="24"/>
          <w:szCs w:val="24"/>
        </w:rPr>
        <w:t>Cette évolution est le résultat d’une baisse de l’activité agricole et d</w:t>
      </w:r>
      <w:r w:rsidR="002D765F">
        <w:rPr>
          <w:rFonts w:ascii="Book Antiqua" w:hAnsi="Book Antiqua"/>
          <w:i/>
          <w:iCs/>
          <w:sz w:val="24"/>
          <w:szCs w:val="24"/>
        </w:rPr>
        <w:t>’un</w:t>
      </w:r>
      <w:r w:rsidR="00450C70" w:rsidRPr="006B799F">
        <w:rPr>
          <w:rFonts w:ascii="Book Antiqua" w:hAnsi="Book Antiqua"/>
          <w:i/>
          <w:iCs/>
          <w:sz w:val="24"/>
          <w:szCs w:val="24"/>
        </w:rPr>
        <w:t xml:space="preserve"> rythme d’accroissement modéré des activités non agricoles. La croissance économique </w:t>
      </w:r>
      <w:r w:rsidR="002D765F">
        <w:rPr>
          <w:rFonts w:ascii="Book Antiqua" w:hAnsi="Book Antiqua"/>
          <w:i/>
          <w:iCs/>
          <w:sz w:val="24"/>
          <w:szCs w:val="24"/>
        </w:rPr>
        <w:t>continu</w:t>
      </w:r>
      <w:r w:rsidR="00F84D2F">
        <w:rPr>
          <w:rFonts w:ascii="Book Antiqua" w:hAnsi="Book Antiqua"/>
          <w:i/>
          <w:iCs/>
          <w:sz w:val="24"/>
          <w:szCs w:val="24"/>
        </w:rPr>
        <w:t>e</w:t>
      </w:r>
      <w:r w:rsidR="002D765F">
        <w:rPr>
          <w:rFonts w:ascii="Book Antiqua" w:hAnsi="Book Antiqua"/>
          <w:i/>
          <w:iCs/>
          <w:sz w:val="24"/>
          <w:szCs w:val="24"/>
        </w:rPr>
        <w:t xml:space="preserve"> d’être </w:t>
      </w:r>
      <w:r w:rsidR="00195C9D" w:rsidRPr="006B799F">
        <w:rPr>
          <w:rFonts w:ascii="Book Antiqua" w:hAnsi="Book Antiqua"/>
          <w:i/>
          <w:iCs/>
          <w:sz w:val="24"/>
          <w:szCs w:val="24"/>
        </w:rPr>
        <w:t>tirée par la demande</w:t>
      </w:r>
      <w:r w:rsidR="002D765F">
        <w:rPr>
          <w:rFonts w:ascii="Book Antiqua" w:hAnsi="Book Antiqua"/>
          <w:i/>
          <w:iCs/>
          <w:sz w:val="24"/>
          <w:szCs w:val="24"/>
        </w:rPr>
        <w:t xml:space="preserve"> </w:t>
      </w:r>
      <w:r w:rsidR="00A96215" w:rsidRPr="006B799F">
        <w:rPr>
          <w:rFonts w:ascii="Book Antiqua" w:hAnsi="Book Antiqua"/>
          <w:i/>
          <w:iCs/>
          <w:sz w:val="24"/>
          <w:szCs w:val="24"/>
        </w:rPr>
        <w:t>intérieure</w:t>
      </w:r>
      <w:r w:rsidR="002D765F">
        <w:rPr>
          <w:rFonts w:ascii="Book Antiqua" w:hAnsi="Book Antiqua"/>
          <w:i/>
          <w:iCs/>
          <w:sz w:val="24"/>
          <w:szCs w:val="24"/>
        </w:rPr>
        <w:t xml:space="preserve"> et significativement par la demande extérieure cette année. La demande intérieure a marqué, cependant, </w:t>
      </w:r>
      <w:r w:rsidR="00195C9D" w:rsidRPr="006B799F">
        <w:rPr>
          <w:rFonts w:ascii="Book Antiqua" w:hAnsi="Book Antiqua"/>
          <w:i/>
          <w:iCs/>
          <w:sz w:val="24"/>
          <w:szCs w:val="24"/>
        </w:rPr>
        <w:t xml:space="preserve">un </w:t>
      </w:r>
      <w:r w:rsidR="002D765F">
        <w:rPr>
          <w:rFonts w:ascii="Book Antiqua" w:hAnsi="Book Antiqua"/>
          <w:i/>
          <w:iCs/>
          <w:sz w:val="24"/>
          <w:szCs w:val="24"/>
        </w:rPr>
        <w:t xml:space="preserve">net </w:t>
      </w:r>
      <w:r w:rsidR="00195C9D" w:rsidRPr="006B799F">
        <w:rPr>
          <w:rFonts w:ascii="Book Antiqua" w:hAnsi="Book Antiqua"/>
          <w:i/>
          <w:iCs/>
          <w:sz w:val="24"/>
          <w:szCs w:val="24"/>
        </w:rPr>
        <w:t xml:space="preserve">ralentissement de son rythme </w:t>
      </w:r>
      <w:r w:rsidR="00450C70" w:rsidRPr="006B799F">
        <w:rPr>
          <w:rFonts w:ascii="Book Antiqua" w:hAnsi="Book Antiqua"/>
          <w:i/>
          <w:iCs/>
          <w:sz w:val="24"/>
          <w:szCs w:val="24"/>
        </w:rPr>
        <w:t>d’augmentation</w:t>
      </w:r>
      <w:r w:rsidR="00195C9D" w:rsidRPr="006B799F">
        <w:rPr>
          <w:rFonts w:ascii="Book Antiqua" w:hAnsi="Book Antiqua"/>
          <w:i/>
          <w:iCs/>
          <w:sz w:val="24"/>
          <w:szCs w:val="24"/>
        </w:rPr>
        <w:t>.</w:t>
      </w:r>
      <w:r w:rsidR="00450C70" w:rsidRPr="006B799F">
        <w:rPr>
          <w:rFonts w:ascii="Book Antiqua" w:hAnsi="Book Antiqua"/>
          <w:i/>
          <w:iCs/>
          <w:sz w:val="24"/>
          <w:szCs w:val="24"/>
        </w:rPr>
        <w:t xml:space="preserve"> Le besoin de financement de l’économie, de son côté, </w:t>
      </w:r>
      <w:r w:rsidR="002D765F">
        <w:rPr>
          <w:rFonts w:ascii="Book Antiqua" w:hAnsi="Book Antiqua"/>
          <w:i/>
          <w:iCs/>
          <w:sz w:val="24"/>
          <w:szCs w:val="24"/>
        </w:rPr>
        <w:t>s’est allégé</w:t>
      </w:r>
      <w:r w:rsidR="00450C70" w:rsidRPr="006B799F">
        <w:rPr>
          <w:rFonts w:ascii="Book Antiqua" w:hAnsi="Book Antiqua"/>
          <w:i/>
          <w:iCs/>
          <w:sz w:val="24"/>
          <w:szCs w:val="24"/>
        </w:rPr>
        <w:t xml:space="preserve"> et le</w:t>
      </w:r>
      <w:r w:rsidR="002D765F">
        <w:rPr>
          <w:rFonts w:ascii="Book Antiqua" w:hAnsi="Book Antiqua"/>
          <w:i/>
          <w:iCs/>
          <w:sz w:val="24"/>
          <w:szCs w:val="24"/>
        </w:rPr>
        <w:t xml:space="preserve"> rythme du </w:t>
      </w:r>
      <w:r w:rsidR="00450C70" w:rsidRPr="006B799F">
        <w:rPr>
          <w:rFonts w:ascii="Book Antiqua" w:hAnsi="Book Antiqua"/>
          <w:i/>
          <w:iCs/>
          <w:sz w:val="24"/>
          <w:szCs w:val="24"/>
        </w:rPr>
        <w:t xml:space="preserve"> niveau général des prix </w:t>
      </w:r>
      <w:r w:rsidR="002D765F">
        <w:rPr>
          <w:rFonts w:ascii="Book Antiqua" w:hAnsi="Book Antiqua"/>
          <w:i/>
          <w:iCs/>
          <w:sz w:val="24"/>
          <w:szCs w:val="24"/>
        </w:rPr>
        <w:t>s’est ralenti</w:t>
      </w:r>
      <w:r w:rsidR="00450C70" w:rsidRPr="006B799F">
        <w:rPr>
          <w:rFonts w:ascii="Book Antiqua" w:hAnsi="Book Antiqua"/>
          <w:i/>
          <w:iCs/>
          <w:sz w:val="24"/>
          <w:szCs w:val="24"/>
        </w:rPr>
        <w:t>.</w:t>
      </w:r>
    </w:p>
    <w:p w:rsidR="002D765F" w:rsidRDefault="000B5CCD" w:rsidP="000B5CCD">
      <w:pPr>
        <w:pStyle w:val="Corpsdetexte2"/>
        <w:spacing w:before="120" w:after="0" w:line="340" w:lineRule="exact"/>
        <w:jc w:val="both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 xml:space="preserve">Il convient de rappeler, </w:t>
      </w:r>
      <w:r w:rsidR="002D765F">
        <w:rPr>
          <w:rFonts w:ascii="Book Antiqua" w:hAnsi="Book Antiqua"/>
          <w:i/>
          <w:iCs/>
          <w:sz w:val="24"/>
          <w:szCs w:val="24"/>
        </w:rPr>
        <w:t xml:space="preserve">à cet égard, que les comptes de l’année 2014 se référent à l’année de base 2007 </w:t>
      </w:r>
      <w:r>
        <w:rPr>
          <w:rFonts w:ascii="Book Antiqua" w:hAnsi="Book Antiqua"/>
          <w:i/>
          <w:iCs/>
          <w:sz w:val="24"/>
          <w:szCs w:val="24"/>
        </w:rPr>
        <w:t xml:space="preserve">suite au </w:t>
      </w:r>
      <w:r w:rsidR="002D765F">
        <w:rPr>
          <w:rFonts w:ascii="Book Antiqua" w:hAnsi="Book Antiqua"/>
          <w:i/>
          <w:iCs/>
          <w:sz w:val="24"/>
          <w:szCs w:val="24"/>
        </w:rPr>
        <w:t xml:space="preserve"> passage de la comptabilité nationale de la base 1998  à celle </w:t>
      </w:r>
      <w:r>
        <w:rPr>
          <w:rFonts w:ascii="Book Antiqua" w:hAnsi="Book Antiqua"/>
          <w:i/>
          <w:iCs/>
          <w:sz w:val="24"/>
          <w:szCs w:val="24"/>
        </w:rPr>
        <w:t xml:space="preserve">de </w:t>
      </w:r>
      <w:r w:rsidR="002D765F">
        <w:rPr>
          <w:rFonts w:ascii="Book Antiqua" w:hAnsi="Book Antiqua"/>
          <w:i/>
          <w:iCs/>
          <w:sz w:val="24"/>
          <w:szCs w:val="24"/>
        </w:rPr>
        <w:t>2007.</w:t>
      </w:r>
    </w:p>
    <w:p w:rsidR="000B5CCD" w:rsidRDefault="000B5CCD" w:rsidP="00195C9D">
      <w:pPr>
        <w:pStyle w:val="Corpsdetexte2"/>
        <w:spacing w:after="0" w:line="240" w:lineRule="auto"/>
        <w:jc w:val="both"/>
        <w:rPr>
          <w:rFonts w:ascii="Book Antiqua" w:eastAsia="Calibri" w:hAnsi="Book Antiqua" w:cs="Calibri"/>
          <w:b w:val="0"/>
          <w:bCs w:val="0"/>
          <w:sz w:val="24"/>
          <w:szCs w:val="24"/>
        </w:rPr>
      </w:pPr>
    </w:p>
    <w:p w:rsidR="007D5FAC" w:rsidRPr="006B799F" w:rsidRDefault="007D5FAC" w:rsidP="00195C9D">
      <w:pPr>
        <w:pStyle w:val="Corpsdetexte2"/>
        <w:spacing w:after="0" w:line="240" w:lineRule="auto"/>
        <w:jc w:val="both"/>
        <w:rPr>
          <w:rFonts w:ascii="Book Antiqua" w:eastAsia="Calibri" w:hAnsi="Book Antiqua" w:cs="Calibri"/>
          <w:b w:val="0"/>
          <w:bCs w:val="0"/>
          <w:sz w:val="24"/>
          <w:szCs w:val="24"/>
        </w:rPr>
      </w:pPr>
      <w:r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Il ressort  de ces comptes </w:t>
      </w:r>
      <w:r w:rsidR="00195C9D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 </w:t>
      </w:r>
      <w:r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>les principaux résultats suivants :</w:t>
      </w:r>
    </w:p>
    <w:p w:rsidR="00A96215" w:rsidRPr="006B799F" w:rsidRDefault="00A96215" w:rsidP="00195C9D">
      <w:pPr>
        <w:pStyle w:val="Corpsdetexte2"/>
        <w:spacing w:after="0" w:line="240" w:lineRule="auto"/>
        <w:jc w:val="both"/>
        <w:rPr>
          <w:rFonts w:ascii="Book Antiqua" w:eastAsia="Calibri" w:hAnsi="Book Antiqua" w:cs="Calibri"/>
          <w:b w:val="0"/>
          <w:bCs w:val="0"/>
          <w:sz w:val="24"/>
          <w:szCs w:val="24"/>
        </w:rPr>
      </w:pPr>
    </w:p>
    <w:p w:rsidR="00A96215" w:rsidRPr="00485B2B" w:rsidRDefault="00F35D83" w:rsidP="00F35D83">
      <w:pPr>
        <w:pStyle w:val="Corpsdetexte2"/>
        <w:spacing w:after="0" w:line="240" w:lineRule="auto"/>
        <w:jc w:val="both"/>
        <w:rPr>
          <w:rFonts w:ascii="Book Antiqua" w:eastAsia="Calibri" w:hAnsi="Book Antiqua" w:cs="Calibri"/>
          <w:sz w:val="28"/>
          <w:szCs w:val="28"/>
          <w:rtl/>
        </w:rPr>
      </w:pPr>
      <w:r>
        <w:rPr>
          <w:rFonts w:ascii="Book Antiqua" w:eastAsia="Calibri" w:hAnsi="Book Antiqua" w:cs="Calibri"/>
          <w:sz w:val="28"/>
          <w:szCs w:val="28"/>
        </w:rPr>
        <w:t xml:space="preserve">Un rythme de </w:t>
      </w:r>
      <w:r w:rsidR="00A96215" w:rsidRPr="00485B2B">
        <w:rPr>
          <w:rFonts w:ascii="Book Antiqua" w:eastAsia="Calibri" w:hAnsi="Book Antiqua" w:cs="Calibri"/>
          <w:sz w:val="28"/>
          <w:szCs w:val="28"/>
        </w:rPr>
        <w:t>croissance économique en ralentissement</w:t>
      </w:r>
    </w:p>
    <w:p w:rsidR="007D5FAC" w:rsidRPr="006B799F" w:rsidRDefault="007D5FAC" w:rsidP="00195C9D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fr-FR"/>
        </w:rPr>
      </w:pPr>
    </w:p>
    <w:p w:rsidR="007D5FAC" w:rsidRPr="006B799F" w:rsidRDefault="00A96215" w:rsidP="000B5CCD">
      <w:pPr>
        <w:pStyle w:val="Corpsdetexte2"/>
        <w:spacing w:after="0" w:line="240" w:lineRule="auto"/>
        <w:jc w:val="both"/>
        <w:rPr>
          <w:rFonts w:ascii="Book Antiqua" w:eastAsia="Calibri" w:hAnsi="Book Antiqua" w:cs="Calibri"/>
          <w:b w:val="0"/>
          <w:bCs w:val="0"/>
          <w:sz w:val="24"/>
          <w:szCs w:val="24"/>
        </w:rPr>
      </w:pPr>
      <w:r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>Le</w:t>
      </w:r>
      <w:r w:rsidR="007D5FAC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 taux de</w:t>
      </w:r>
      <w:r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 la</w:t>
      </w:r>
      <w:r w:rsidR="007D5FAC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 croissance de </w:t>
      </w:r>
      <w:r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l’économie nationale s’est établi à </w:t>
      </w:r>
      <w:r w:rsidR="007D5FAC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2,4% </w:t>
      </w:r>
      <w:r w:rsid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en 2014 </w:t>
      </w:r>
      <w:r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au lieu de </w:t>
      </w:r>
      <w:r w:rsidR="000B5CCD">
        <w:rPr>
          <w:rFonts w:ascii="Book Antiqua" w:eastAsia="Calibri" w:hAnsi="Book Antiqua" w:cs="Calibri"/>
          <w:b w:val="0"/>
          <w:bCs w:val="0"/>
          <w:sz w:val="24"/>
          <w:szCs w:val="24"/>
        </w:rPr>
        <w:t>4,7% en 2013, sous les effets conjugués :</w:t>
      </w:r>
    </w:p>
    <w:p w:rsidR="007D5FAC" w:rsidRPr="006B799F" w:rsidRDefault="000B5CCD" w:rsidP="00A96215">
      <w:pPr>
        <w:pStyle w:val="Corpsdetexte2"/>
        <w:numPr>
          <w:ilvl w:val="0"/>
          <w:numId w:val="3"/>
        </w:numPr>
        <w:spacing w:before="60" w:after="0" w:line="340" w:lineRule="exact"/>
        <w:ind w:left="1066" w:hanging="357"/>
        <w:jc w:val="both"/>
        <w:rPr>
          <w:rFonts w:ascii="Book Antiqua" w:eastAsia="Calibri" w:hAnsi="Book Antiqua" w:cs="Calibri"/>
          <w:b w:val="0"/>
          <w:bCs w:val="0"/>
          <w:sz w:val="24"/>
          <w:szCs w:val="24"/>
        </w:rPr>
      </w:pPr>
      <w:r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de </w:t>
      </w:r>
      <w:r w:rsidR="007D5FAC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>la baisse de 2,5% en volume de la valeur ajoutée du secteur agricole (non compris la pêche)</w:t>
      </w:r>
      <w:r w:rsidR="00A96215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 contre </w:t>
      </w:r>
      <w:r w:rsidR="007D5FAC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>une hausse de 17,9% en 2013 ;</w:t>
      </w:r>
    </w:p>
    <w:p w:rsidR="000B5CCD" w:rsidRDefault="000B5CCD" w:rsidP="000B5CCD">
      <w:pPr>
        <w:pStyle w:val="Corpsdetexte2"/>
        <w:numPr>
          <w:ilvl w:val="0"/>
          <w:numId w:val="3"/>
        </w:numPr>
        <w:spacing w:before="60" w:after="0" w:line="340" w:lineRule="exact"/>
        <w:ind w:left="1066" w:hanging="357"/>
        <w:jc w:val="both"/>
        <w:rPr>
          <w:rFonts w:ascii="Book Antiqua" w:eastAsia="Calibri" w:hAnsi="Book Antiqua" w:cs="Calibri"/>
          <w:b w:val="0"/>
          <w:bCs w:val="0"/>
          <w:sz w:val="24"/>
          <w:szCs w:val="24"/>
        </w:rPr>
      </w:pPr>
      <w:r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de </w:t>
      </w:r>
      <w:r w:rsidR="007D5FAC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>l’augmentation de 2% de la valeur ajoutée des autres secteurs d’activité</w:t>
      </w:r>
      <w:r w:rsidR="00A96215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>s</w:t>
      </w:r>
      <w:r w:rsidR="007D5FAC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 </w:t>
      </w:r>
      <w:r w:rsidR="00A96215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>non agricole</w:t>
      </w:r>
      <w:r w:rsidR="0093735E">
        <w:rPr>
          <w:rFonts w:ascii="Book Antiqua" w:eastAsia="Calibri" w:hAnsi="Book Antiqua" w:cs="Calibri"/>
          <w:b w:val="0"/>
          <w:bCs w:val="0"/>
          <w:sz w:val="24"/>
          <w:szCs w:val="24"/>
        </w:rPr>
        <w:t>s</w:t>
      </w:r>
      <w:r w:rsidR="007D5FAC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 </w:t>
      </w:r>
      <w:r w:rsidR="00A96215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>au lieu</w:t>
      </w:r>
      <w:r w:rsidR="007D5FAC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 </w:t>
      </w:r>
      <w:r w:rsidR="00A96215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de </w:t>
      </w:r>
      <w:r w:rsidR="007D5FAC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1,9% une </w:t>
      </w:r>
      <w:r>
        <w:rPr>
          <w:rFonts w:ascii="Book Antiqua" w:eastAsia="Calibri" w:hAnsi="Book Antiqua" w:cs="Calibri"/>
          <w:b w:val="0"/>
          <w:bCs w:val="0"/>
          <w:sz w:val="24"/>
          <w:szCs w:val="24"/>
        </w:rPr>
        <w:t>année plus tôt.</w:t>
      </w:r>
    </w:p>
    <w:p w:rsidR="007D5FAC" w:rsidRPr="006B799F" w:rsidRDefault="000B5CCD" w:rsidP="000B5CCD">
      <w:pPr>
        <w:pStyle w:val="Corpsdetexte2"/>
        <w:spacing w:before="60" w:after="0" w:line="340" w:lineRule="exact"/>
        <w:jc w:val="both"/>
        <w:rPr>
          <w:rFonts w:ascii="Book Antiqua" w:eastAsia="Calibri" w:hAnsi="Book Antiqua" w:cs="Calibri"/>
          <w:b w:val="0"/>
          <w:bCs w:val="0"/>
          <w:sz w:val="24"/>
          <w:szCs w:val="24"/>
        </w:rPr>
      </w:pPr>
      <w:r>
        <w:rPr>
          <w:rFonts w:ascii="Book Antiqua" w:eastAsia="Calibri" w:hAnsi="Book Antiqua" w:cs="Calibri"/>
          <w:b w:val="0"/>
          <w:bCs w:val="0"/>
          <w:sz w:val="24"/>
          <w:szCs w:val="24"/>
        </w:rPr>
        <w:t>Et ce dans un contexte d’</w:t>
      </w:r>
      <w:r w:rsidR="007D5FAC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accroissement de 13,4% en volume des impôts nets des subventions affectant les produits </w:t>
      </w:r>
      <w:r w:rsidR="00A96215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contre </w:t>
      </w:r>
      <w:r w:rsidR="007D5FAC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>14,7% l’année précédente.</w:t>
      </w:r>
    </w:p>
    <w:p w:rsidR="000B5CCD" w:rsidRDefault="000B5CCD" w:rsidP="000B5CCD">
      <w:pPr>
        <w:pStyle w:val="Corpsdetexte2"/>
        <w:spacing w:after="0" w:line="340" w:lineRule="exact"/>
        <w:jc w:val="both"/>
        <w:rPr>
          <w:rFonts w:ascii="Book Antiqua" w:eastAsia="Calibri" w:hAnsi="Book Antiqua" w:cs="Calibri"/>
          <w:b w:val="0"/>
          <w:bCs w:val="0"/>
          <w:sz w:val="24"/>
          <w:szCs w:val="24"/>
        </w:rPr>
      </w:pPr>
    </w:p>
    <w:p w:rsidR="00655B3D" w:rsidRPr="006B799F" w:rsidRDefault="000B5CCD" w:rsidP="00290B05">
      <w:pPr>
        <w:pStyle w:val="Corpsdetexte2"/>
        <w:spacing w:after="0" w:line="340" w:lineRule="exact"/>
        <w:jc w:val="both"/>
        <w:rPr>
          <w:rFonts w:ascii="Book Antiqua" w:eastAsia="Calibri" w:hAnsi="Book Antiqua" w:cs="Calibri"/>
          <w:b w:val="0"/>
          <w:bCs w:val="0"/>
          <w:sz w:val="24"/>
          <w:szCs w:val="24"/>
        </w:rPr>
      </w:pPr>
      <w:r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Dans ce cadre, </w:t>
      </w:r>
      <w:r w:rsidR="00810D6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le taux de croissance du produit intérieur brut (PIB) </w:t>
      </w:r>
      <w:r w:rsidR="007D5FAC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hors agriculture </w:t>
      </w:r>
      <w:r>
        <w:rPr>
          <w:rFonts w:ascii="Book Antiqua" w:eastAsia="Calibri" w:hAnsi="Book Antiqua" w:cs="Calibri"/>
          <w:b w:val="0"/>
          <w:bCs w:val="0"/>
          <w:sz w:val="24"/>
          <w:szCs w:val="24"/>
        </w:rPr>
        <w:t>en volume est passé de 3% en 2013</w:t>
      </w:r>
      <w:r w:rsid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 </w:t>
      </w:r>
      <w:r w:rsidR="007D5FAC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>à 3,1% en 2014.</w:t>
      </w:r>
      <w:r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 Le </w:t>
      </w:r>
      <w:r w:rsid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PIB </w:t>
      </w:r>
      <w:r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en valeur </w:t>
      </w:r>
      <w:r w:rsidR="00E93638">
        <w:rPr>
          <w:rFonts w:ascii="Book Antiqua" w:eastAsia="Calibri" w:hAnsi="Book Antiqua" w:cs="Calibri"/>
          <w:b w:val="0"/>
          <w:bCs w:val="0"/>
          <w:sz w:val="24"/>
          <w:szCs w:val="24"/>
        </w:rPr>
        <w:t>s’est</w:t>
      </w:r>
      <w:r w:rsidR="006B799F" w:rsidRPr="006B799F">
        <w:rPr>
          <w:rFonts w:ascii="Book Antiqua" w:hAnsi="Book Antiqua" w:cs="Calibri"/>
          <w:b w:val="0"/>
          <w:bCs w:val="0"/>
          <w:sz w:val="24"/>
          <w:szCs w:val="24"/>
        </w:rPr>
        <w:t xml:space="preserve"> </w:t>
      </w:r>
      <w:r w:rsidR="004F2242">
        <w:rPr>
          <w:rFonts w:ascii="Book Antiqua" w:hAnsi="Book Antiqua" w:cs="Calibri"/>
          <w:b w:val="0"/>
          <w:bCs w:val="0"/>
          <w:sz w:val="24"/>
          <w:szCs w:val="24"/>
        </w:rPr>
        <w:t>accru</w:t>
      </w:r>
      <w:r w:rsidR="006B799F" w:rsidRPr="006B799F">
        <w:rPr>
          <w:rFonts w:ascii="Book Antiqua" w:hAnsi="Book Antiqua" w:cs="Calibri"/>
          <w:b w:val="0"/>
          <w:bCs w:val="0"/>
          <w:sz w:val="24"/>
          <w:szCs w:val="24"/>
        </w:rPr>
        <w:t xml:space="preserve"> de 2,6% en 2014 contre 6,3% une année plus tôt, soit une augmentat</w:t>
      </w:r>
      <w:r w:rsidR="004F2242">
        <w:rPr>
          <w:rFonts w:ascii="Book Antiqua" w:hAnsi="Book Antiqua" w:cs="Calibri"/>
          <w:b w:val="0"/>
          <w:bCs w:val="0"/>
          <w:sz w:val="24"/>
          <w:szCs w:val="24"/>
        </w:rPr>
        <w:t xml:space="preserve">ion du niveau général des prix </w:t>
      </w:r>
      <w:r w:rsidR="006B799F" w:rsidRPr="006B799F">
        <w:rPr>
          <w:rFonts w:ascii="Book Antiqua" w:hAnsi="Book Antiqua" w:cs="Calibri"/>
          <w:b w:val="0"/>
          <w:bCs w:val="0"/>
          <w:sz w:val="24"/>
          <w:szCs w:val="24"/>
        </w:rPr>
        <w:t xml:space="preserve"> de 0,2% </w:t>
      </w:r>
      <w:r w:rsidR="004F2242">
        <w:rPr>
          <w:rFonts w:ascii="Book Antiqua" w:hAnsi="Book Antiqua" w:cs="Calibri"/>
          <w:b w:val="0"/>
          <w:bCs w:val="0"/>
          <w:sz w:val="24"/>
          <w:szCs w:val="24"/>
        </w:rPr>
        <w:t>au lieu</w:t>
      </w:r>
      <w:r w:rsidR="006B799F" w:rsidRPr="006B799F">
        <w:rPr>
          <w:rFonts w:ascii="Book Antiqua" w:hAnsi="Book Antiqua" w:cs="Calibri"/>
          <w:b w:val="0"/>
          <w:bCs w:val="0"/>
          <w:sz w:val="24"/>
          <w:szCs w:val="24"/>
        </w:rPr>
        <w:t xml:space="preserve"> de 1,6%.</w:t>
      </w:r>
    </w:p>
    <w:p w:rsidR="007D5FAC" w:rsidRPr="006B799F" w:rsidRDefault="007D5FAC" w:rsidP="007D5FAC">
      <w:pPr>
        <w:spacing w:before="60"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fr-FR"/>
        </w:rPr>
      </w:pPr>
    </w:p>
    <w:p w:rsidR="001B4BEC" w:rsidRDefault="001B4BEC" w:rsidP="008972BE">
      <w:pPr>
        <w:spacing w:before="120" w:line="340" w:lineRule="exact"/>
        <w:jc w:val="both"/>
        <w:rPr>
          <w:rFonts w:ascii="Book Antiqua" w:hAnsi="Book Antiqua" w:cs="Calibri"/>
          <w:sz w:val="24"/>
          <w:szCs w:val="24"/>
        </w:rPr>
      </w:pPr>
    </w:p>
    <w:p w:rsidR="00976114" w:rsidRPr="006B799F" w:rsidRDefault="00976114" w:rsidP="008972BE">
      <w:pPr>
        <w:spacing w:before="120" w:line="340" w:lineRule="exact"/>
        <w:jc w:val="both"/>
        <w:rPr>
          <w:rFonts w:ascii="Book Antiqua" w:hAnsi="Book Antiqua" w:cs="Calibri"/>
          <w:sz w:val="24"/>
          <w:szCs w:val="24"/>
        </w:rPr>
      </w:pPr>
    </w:p>
    <w:p w:rsidR="0043116E" w:rsidRPr="00485B2B" w:rsidRDefault="00976114" w:rsidP="008972BE">
      <w:pPr>
        <w:spacing w:before="120" w:line="340" w:lineRule="exact"/>
        <w:jc w:val="both"/>
        <w:rPr>
          <w:rFonts w:ascii="Book Antiqua" w:hAnsi="Book Antiqua" w:cs="Calibri"/>
          <w:b/>
          <w:bCs/>
          <w:sz w:val="28"/>
          <w:szCs w:val="28"/>
        </w:rPr>
      </w:pPr>
      <w:r>
        <w:rPr>
          <w:rFonts w:ascii="Book Antiqua" w:hAnsi="Book Antiqua" w:cs="Calibri"/>
          <w:b/>
          <w:bCs/>
          <w:sz w:val="28"/>
          <w:szCs w:val="28"/>
        </w:rPr>
        <w:t>Une</w:t>
      </w:r>
      <w:r w:rsidR="0043116E" w:rsidRPr="00485B2B">
        <w:rPr>
          <w:rFonts w:ascii="Book Antiqua" w:hAnsi="Book Antiqua" w:cs="Calibri"/>
          <w:b/>
          <w:bCs/>
          <w:sz w:val="28"/>
          <w:szCs w:val="28"/>
        </w:rPr>
        <w:t xml:space="preserve"> contribution </w:t>
      </w:r>
      <w:r>
        <w:rPr>
          <w:rFonts w:ascii="Book Antiqua" w:hAnsi="Book Antiqua" w:cs="Calibri"/>
          <w:b/>
          <w:bCs/>
          <w:sz w:val="28"/>
          <w:szCs w:val="28"/>
        </w:rPr>
        <w:t xml:space="preserve">plus faible </w:t>
      </w:r>
      <w:r w:rsidR="0043116E" w:rsidRPr="00485B2B">
        <w:rPr>
          <w:rFonts w:ascii="Book Antiqua" w:hAnsi="Book Antiqua" w:cs="Calibri"/>
          <w:b/>
          <w:bCs/>
          <w:sz w:val="28"/>
          <w:szCs w:val="28"/>
        </w:rPr>
        <w:t>de la demande intérieure</w:t>
      </w:r>
      <w:r>
        <w:rPr>
          <w:rFonts w:ascii="Book Antiqua" w:hAnsi="Book Antiqua" w:cs="Calibri"/>
          <w:b/>
          <w:bCs/>
          <w:sz w:val="28"/>
          <w:szCs w:val="28"/>
        </w:rPr>
        <w:t xml:space="preserve"> à la croissance</w:t>
      </w:r>
    </w:p>
    <w:p w:rsidR="007D5FAC" w:rsidRPr="006B799F" w:rsidRDefault="007D5FAC" w:rsidP="00236B2D">
      <w:pPr>
        <w:spacing w:before="120" w:line="340" w:lineRule="exact"/>
        <w:jc w:val="both"/>
        <w:rPr>
          <w:rFonts w:ascii="Book Antiqua" w:hAnsi="Book Antiqua" w:cs="Calibri"/>
          <w:sz w:val="24"/>
          <w:szCs w:val="24"/>
        </w:rPr>
      </w:pPr>
      <w:r w:rsidRPr="006B799F">
        <w:rPr>
          <w:rFonts w:ascii="Book Antiqua" w:hAnsi="Book Antiqua" w:cs="Calibri"/>
          <w:sz w:val="24"/>
          <w:szCs w:val="24"/>
        </w:rPr>
        <w:t xml:space="preserve">La demande </w:t>
      </w:r>
      <w:r w:rsidR="0093735E" w:rsidRPr="006B799F">
        <w:rPr>
          <w:rFonts w:ascii="Book Antiqua" w:hAnsi="Book Antiqua" w:cs="Calibri"/>
          <w:sz w:val="24"/>
          <w:szCs w:val="24"/>
        </w:rPr>
        <w:t>intér</w:t>
      </w:r>
      <w:r w:rsidR="00964C6B">
        <w:rPr>
          <w:rFonts w:ascii="Book Antiqua" w:hAnsi="Book Antiqua" w:cs="Calibri"/>
          <w:sz w:val="24"/>
          <w:szCs w:val="24"/>
        </w:rPr>
        <w:t xml:space="preserve">ieure a </w:t>
      </w:r>
      <w:r w:rsidR="00003381">
        <w:rPr>
          <w:rFonts w:ascii="Book Antiqua" w:hAnsi="Book Antiqua" w:cs="Calibri"/>
          <w:sz w:val="24"/>
          <w:szCs w:val="24"/>
        </w:rPr>
        <w:t xml:space="preserve">marqué </w:t>
      </w:r>
      <w:r w:rsidR="00F35D83">
        <w:rPr>
          <w:rFonts w:ascii="Book Antiqua" w:hAnsi="Book Antiqua" w:cs="Calibri"/>
          <w:sz w:val="24"/>
          <w:szCs w:val="24"/>
        </w:rPr>
        <w:t>une</w:t>
      </w:r>
      <w:r w:rsidR="00003381">
        <w:rPr>
          <w:rFonts w:ascii="Book Antiqua" w:hAnsi="Book Antiqua" w:cs="Calibri"/>
          <w:sz w:val="24"/>
          <w:szCs w:val="24"/>
        </w:rPr>
        <w:t xml:space="preserve"> </w:t>
      </w:r>
      <w:r w:rsidR="00E7412C">
        <w:rPr>
          <w:rFonts w:ascii="Book Antiqua" w:hAnsi="Book Antiqua" w:cs="Calibri"/>
          <w:sz w:val="24"/>
          <w:szCs w:val="24"/>
        </w:rPr>
        <w:t xml:space="preserve">croissance </w:t>
      </w:r>
      <w:r w:rsidR="00236B2D">
        <w:rPr>
          <w:rFonts w:ascii="Book Antiqua" w:hAnsi="Book Antiqua" w:cs="Calibri"/>
          <w:sz w:val="24"/>
          <w:szCs w:val="24"/>
        </w:rPr>
        <w:t>faible</w:t>
      </w:r>
      <w:r w:rsidR="00F35D83">
        <w:rPr>
          <w:rFonts w:ascii="Book Antiqua" w:hAnsi="Book Antiqua" w:cs="Calibri"/>
          <w:sz w:val="24"/>
          <w:szCs w:val="24"/>
        </w:rPr>
        <w:t xml:space="preserve"> </w:t>
      </w:r>
      <w:r w:rsidR="00976114">
        <w:rPr>
          <w:rFonts w:ascii="Book Antiqua" w:hAnsi="Book Antiqua" w:cs="Calibri"/>
          <w:sz w:val="24"/>
          <w:szCs w:val="24"/>
        </w:rPr>
        <w:t>de</w:t>
      </w:r>
      <w:r w:rsidR="00003381" w:rsidRPr="00F32B18">
        <w:rPr>
          <w:rFonts w:ascii="Book Antiqua" w:hAnsi="Book Antiqua" w:cs="Calibri"/>
          <w:sz w:val="24"/>
          <w:szCs w:val="24"/>
        </w:rPr>
        <w:t xml:space="preserve"> </w:t>
      </w:r>
      <w:r w:rsidR="00E7412C" w:rsidRPr="00F32B18">
        <w:rPr>
          <w:rFonts w:ascii="Book Antiqua" w:hAnsi="Book Antiqua" w:cs="Calibri"/>
          <w:sz w:val="24"/>
          <w:szCs w:val="24"/>
        </w:rPr>
        <w:t>1</w:t>
      </w:r>
      <w:r w:rsidR="00964C6B">
        <w:rPr>
          <w:rFonts w:ascii="Book Antiqua" w:hAnsi="Book Antiqua" w:cs="Calibri"/>
          <w:sz w:val="24"/>
          <w:szCs w:val="24"/>
        </w:rPr>
        <w:t xml:space="preserve">% </w:t>
      </w:r>
      <w:r w:rsidR="00003381">
        <w:rPr>
          <w:rFonts w:ascii="Book Antiqua" w:hAnsi="Book Antiqua" w:cs="Calibri"/>
          <w:sz w:val="24"/>
          <w:szCs w:val="24"/>
        </w:rPr>
        <w:t xml:space="preserve">en 2014 </w:t>
      </w:r>
      <w:r w:rsidR="00964C6B" w:rsidRPr="00F32B18">
        <w:rPr>
          <w:rFonts w:ascii="Book Antiqua" w:hAnsi="Book Antiqua" w:cs="Calibri"/>
          <w:sz w:val="24"/>
          <w:szCs w:val="24"/>
        </w:rPr>
        <w:t xml:space="preserve">contre </w:t>
      </w:r>
      <w:r w:rsidR="00E7412C" w:rsidRPr="00F32B18">
        <w:rPr>
          <w:rFonts w:ascii="Book Antiqua" w:hAnsi="Book Antiqua" w:cs="Calibri"/>
          <w:sz w:val="24"/>
          <w:szCs w:val="24"/>
        </w:rPr>
        <w:t>4,2</w:t>
      </w:r>
      <w:r w:rsidR="00964C6B" w:rsidRPr="00F32B18">
        <w:rPr>
          <w:rFonts w:ascii="Book Antiqua" w:hAnsi="Book Antiqua" w:cs="Calibri"/>
          <w:sz w:val="24"/>
          <w:szCs w:val="24"/>
        </w:rPr>
        <w:t>%</w:t>
      </w:r>
      <w:r w:rsidR="00964C6B">
        <w:rPr>
          <w:rFonts w:ascii="Book Antiqua" w:hAnsi="Book Antiqua" w:cs="Calibri"/>
          <w:sz w:val="24"/>
          <w:szCs w:val="24"/>
        </w:rPr>
        <w:t xml:space="preserve"> en 2013. </w:t>
      </w:r>
      <w:r w:rsidR="00976114">
        <w:rPr>
          <w:rFonts w:ascii="Book Antiqua" w:hAnsi="Book Antiqua" w:cs="Calibri"/>
          <w:sz w:val="24"/>
          <w:szCs w:val="24"/>
        </w:rPr>
        <w:t>Sa</w:t>
      </w:r>
      <w:r w:rsidRPr="006B799F">
        <w:rPr>
          <w:rFonts w:ascii="Book Antiqua" w:hAnsi="Book Antiqua" w:cs="Calibri"/>
          <w:sz w:val="24"/>
          <w:szCs w:val="24"/>
        </w:rPr>
        <w:t xml:space="preserve"> contribut</w:t>
      </w:r>
      <w:r w:rsidRPr="006B799F">
        <w:rPr>
          <w:rFonts w:ascii="Book Antiqua" w:hAnsi="Book Antiqua" w:cs="Calibri"/>
          <w:b/>
          <w:bCs/>
          <w:sz w:val="24"/>
          <w:szCs w:val="24"/>
        </w:rPr>
        <w:t>i</w:t>
      </w:r>
      <w:r w:rsidRPr="006B799F">
        <w:rPr>
          <w:rFonts w:ascii="Book Antiqua" w:hAnsi="Book Antiqua" w:cs="Calibri"/>
          <w:sz w:val="24"/>
          <w:szCs w:val="24"/>
        </w:rPr>
        <w:t>on à la croissance</w:t>
      </w:r>
      <w:r w:rsidR="008972BE" w:rsidRPr="006B799F">
        <w:rPr>
          <w:rFonts w:ascii="Book Antiqua" w:hAnsi="Book Antiqua" w:cs="Calibri"/>
          <w:sz w:val="24"/>
          <w:szCs w:val="24"/>
        </w:rPr>
        <w:t xml:space="preserve"> </w:t>
      </w:r>
      <w:r w:rsidR="00E7412C">
        <w:rPr>
          <w:rFonts w:ascii="Book Antiqua" w:hAnsi="Book Antiqua" w:cs="Calibri"/>
          <w:sz w:val="24"/>
          <w:szCs w:val="24"/>
        </w:rPr>
        <w:t xml:space="preserve">du PIB a </w:t>
      </w:r>
      <w:r w:rsidR="00976114">
        <w:rPr>
          <w:rFonts w:ascii="Book Antiqua" w:hAnsi="Book Antiqua" w:cs="Calibri"/>
          <w:sz w:val="24"/>
          <w:szCs w:val="24"/>
        </w:rPr>
        <w:t>baissé de 4,8</w:t>
      </w:r>
      <w:r w:rsidR="00F84D2F">
        <w:rPr>
          <w:rFonts w:ascii="Book Antiqua" w:hAnsi="Book Antiqua" w:cs="Calibri"/>
          <w:sz w:val="24"/>
          <w:szCs w:val="24"/>
        </w:rPr>
        <w:t xml:space="preserve"> points </w:t>
      </w:r>
      <w:r w:rsidR="00976114">
        <w:rPr>
          <w:rFonts w:ascii="Book Antiqua" w:hAnsi="Book Antiqua" w:cs="Calibri"/>
          <w:sz w:val="24"/>
          <w:szCs w:val="24"/>
        </w:rPr>
        <w:t xml:space="preserve">en 2013 à </w:t>
      </w:r>
      <w:r w:rsidRPr="006B799F">
        <w:rPr>
          <w:rFonts w:ascii="Book Antiqua" w:hAnsi="Book Antiqua" w:cs="Calibri"/>
          <w:sz w:val="24"/>
          <w:szCs w:val="24"/>
        </w:rPr>
        <w:t>1,2 point en 2014.</w:t>
      </w:r>
    </w:p>
    <w:p w:rsidR="007D5FAC" w:rsidRPr="006B799F" w:rsidRDefault="00976114" w:rsidP="00F84D2F">
      <w:pPr>
        <w:spacing w:line="340" w:lineRule="exact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>En volume, l</w:t>
      </w:r>
      <w:r w:rsidR="007D5FAC" w:rsidRPr="006B799F">
        <w:rPr>
          <w:rFonts w:ascii="Book Antiqua" w:hAnsi="Book Antiqua" w:cs="Calibri"/>
          <w:sz w:val="24"/>
          <w:szCs w:val="24"/>
        </w:rPr>
        <w:t xml:space="preserve">es dépenses de consommation finale des ménages ont augmenté de 3,2% après 3,7% en 2013, </w:t>
      </w:r>
      <w:r>
        <w:rPr>
          <w:rFonts w:ascii="Book Antiqua" w:hAnsi="Book Antiqua" w:cs="Calibri"/>
          <w:sz w:val="24"/>
          <w:szCs w:val="24"/>
        </w:rPr>
        <w:t xml:space="preserve">avec une </w:t>
      </w:r>
      <w:r w:rsidR="007D5FAC" w:rsidRPr="006B799F">
        <w:rPr>
          <w:rFonts w:ascii="Book Antiqua" w:hAnsi="Book Antiqua" w:cs="Calibri"/>
          <w:sz w:val="24"/>
          <w:szCs w:val="24"/>
        </w:rPr>
        <w:t>contribu</w:t>
      </w:r>
      <w:r>
        <w:rPr>
          <w:rFonts w:ascii="Book Antiqua" w:hAnsi="Book Antiqua" w:cs="Calibri"/>
          <w:sz w:val="24"/>
          <w:szCs w:val="24"/>
        </w:rPr>
        <w:t>tion de</w:t>
      </w:r>
      <w:r w:rsidR="007D5FAC" w:rsidRPr="006B799F">
        <w:rPr>
          <w:rFonts w:ascii="Book Antiqua" w:hAnsi="Book Antiqua" w:cs="Calibri"/>
          <w:sz w:val="24"/>
          <w:szCs w:val="24"/>
        </w:rPr>
        <w:t xml:space="preserve"> 1,9 point à la croissance du PIB</w:t>
      </w:r>
      <w:r w:rsidR="008972BE" w:rsidRPr="006B799F">
        <w:rPr>
          <w:rFonts w:ascii="Book Antiqua" w:hAnsi="Book Antiqua" w:cs="Calibri"/>
          <w:sz w:val="24"/>
          <w:szCs w:val="24"/>
        </w:rPr>
        <w:t xml:space="preserve"> au lieu de 2,8 points en 2013</w:t>
      </w:r>
      <w:r w:rsidR="007D5FAC" w:rsidRPr="006B799F">
        <w:rPr>
          <w:rFonts w:ascii="Book Antiqua" w:hAnsi="Book Antiqua" w:cs="Calibri"/>
          <w:sz w:val="24"/>
          <w:szCs w:val="24"/>
        </w:rPr>
        <w:t xml:space="preserve">. </w:t>
      </w:r>
      <w:r>
        <w:rPr>
          <w:rFonts w:ascii="Book Antiqua" w:hAnsi="Book Antiqua" w:cs="Calibri"/>
          <w:sz w:val="24"/>
          <w:szCs w:val="24"/>
        </w:rPr>
        <w:t xml:space="preserve">De son côté, </w:t>
      </w:r>
      <w:r w:rsidR="007D5FAC" w:rsidRPr="006B799F">
        <w:rPr>
          <w:rFonts w:ascii="Book Antiqua" w:hAnsi="Book Antiqua" w:cs="Calibri"/>
          <w:sz w:val="24"/>
          <w:szCs w:val="24"/>
        </w:rPr>
        <w:t>la consommation finale publique</w:t>
      </w:r>
      <w:r>
        <w:rPr>
          <w:rFonts w:ascii="Book Antiqua" w:hAnsi="Book Antiqua" w:cs="Calibri"/>
          <w:sz w:val="24"/>
          <w:szCs w:val="24"/>
        </w:rPr>
        <w:t xml:space="preserve"> a connu un rythme de croissan</w:t>
      </w:r>
      <w:r w:rsidR="006B2D74">
        <w:rPr>
          <w:rFonts w:ascii="Book Antiqua" w:hAnsi="Book Antiqua" w:cs="Calibri"/>
          <w:sz w:val="24"/>
          <w:szCs w:val="24"/>
        </w:rPr>
        <w:t>ce en ralentissement</w:t>
      </w:r>
      <w:r w:rsidR="00F84D2F">
        <w:rPr>
          <w:rFonts w:ascii="Book Antiqua" w:hAnsi="Book Antiqua" w:cs="Calibri"/>
          <w:sz w:val="24"/>
          <w:szCs w:val="24"/>
        </w:rPr>
        <w:t>,</w:t>
      </w:r>
      <w:r w:rsidR="006B2D74">
        <w:rPr>
          <w:rFonts w:ascii="Book Antiqua" w:hAnsi="Book Antiqua" w:cs="Calibri"/>
          <w:sz w:val="24"/>
          <w:szCs w:val="24"/>
        </w:rPr>
        <w:t xml:space="preserve"> passant de</w:t>
      </w:r>
      <w:r w:rsidR="00F721E7">
        <w:rPr>
          <w:rFonts w:ascii="Book Antiqua" w:hAnsi="Book Antiqua" w:cs="Calibri"/>
          <w:sz w:val="24"/>
          <w:szCs w:val="24"/>
        </w:rPr>
        <w:t xml:space="preserve"> </w:t>
      </w:r>
      <w:r w:rsidR="008972BE" w:rsidRPr="006B799F">
        <w:rPr>
          <w:rFonts w:ascii="Book Antiqua" w:hAnsi="Book Antiqua" w:cs="Calibri"/>
          <w:sz w:val="24"/>
          <w:szCs w:val="24"/>
        </w:rPr>
        <w:t>4,2% en 2013 à 1,8%</w:t>
      </w:r>
      <w:r w:rsidR="007D5FAC" w:rsidRPr="006B799F">
        <w:rPr>
          <w:rFonts w:ascii="Book Antiqua" w:hAnsi="Book Antiqua" w:cs="Calibri"/>
          <w:sz w:val="24"/>
          <w:szCs w:val="24"/>
        </w:rPr>
        <w:t xml:space="preserve"> e</w:t>
      </w:r>
      <w:r w:rsidR="008972BE" w:rsidRPr="006B799F">
        <w:rPr>
          <w:rFonts w:ascii="Book Antiqua" w:hAnsi="Book Antiqua" w:cs="Calibri"/>
          <w:sz w:val="24"/>
          <w:szCs w:val="24"/>
        </w:rPr>
        <w:t>n</w:t>
      </w:r>
      <w:r w:rsidR="007D5FAC" w:rsidRPr="006B799F">
        <w:rPr>
          <w:rFonts w:ascii="Book Antiqua" w:hAnsi="Book Antiqua" w:cs="Calibri"/>
          <w:sz w:val="24"/>
          <w:szCs w:val="24"/>
        </w:rPr>
        <w:t xml:space="preserve"> 20</w:t>
      </w:r>
      <w:r w:rsidR="008972BE" w:rsidRPr="006B799F">
        <w:rPr>
          <w:rFonts w:ascii="Book Antiqua" w:hAnsi="Book Antiqua" w:cs="Calibri"/>
          <w:sz w:val="24"/>
          <w:szCs w:val="24"/>
        </w:rPr>
        <w:t>14</w:t>
      </w:r>
      <w:r w:rsidR="006B2D74">
        <w:rPr>
          <w:rFonts w:ascii="Book Antiqua" w:hAnsi="Book Antiqua" w:cs="Calibri"/>
          <w:sz w:val="24"/>
          <w:szCs w:val="24"/>
        </w:rPr>
        <w:t>, avec une</w:t>
      </w:r>
      <w:r w:rsidR="007D5FAC" w:rsidRPr="006B799F">
        <w:rPr>
          <w:rFonts w:ascii="Book Antiqua" w:hAnsi="Book Antiqua" w:cs="Calibri"/>
          <w:sz w:val="24"/>
          <w:szCs w:val="24"/>
        </w:rPr>
        <w:t xml:space="preserve"> contribution à la croissance  de 0,3 point</w:t>
      </w:r>
      <w:r w:rsidR="008972BE" w:rsidRPr="006B799F">
        <w:rPr>
          <w:rFonts w:ascii="Book Antiqua" w:hAnsi="Book Antiqua" w:cs="Calibri"/>
          <w:sz w:val="24"/>
          <w:szCs w:val="24"/>
        </w:rPr>
        <w:t xml:space="preserve"> contre 0,8 point en 2013</w:t>
      </w:r>
      <w:r w:rsidR="007D5FAC" w:rsidRPr="006B799F">
        <w:rPr>
          <w:rFonts w:ascii="Book Antiqua" w:hAnsi="Book Antiqua" w:cs="Calibri"/>
          <w:sz w:val="24"/>
          <w:szCs w:val="24"/>
        </w:rPr>
        <w:t>.</w:t>
      </w:r>
    </w:p>
    <w:p w:rsidR="00E7412C" w:rsidRDefault="008E12C7" w:rsidP="008E12C7">
      <w:pPr>
        <w:spacing w:line="340" w:lineRule="exact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>La formation brute du capital fixe, deuxième composante de la demande intérieure, a connu une</w:t>
      </w:r>
      <w:r w:rsidR="007D5FAC" w:rsidRPr="006B799F">
        <w:rPr>
          <w:rFonts w:ascii="Book Antiqua" w:hAnsi="Book Antiqua" w:cs="Calibri"/>
          <w:sz w:val="24"/>
          <w:szCs w:val="24"/>
        </w:rPr>
        <w:t xml:space="preserve"> baisse </w:t>
      </w:r>
      <w:r>
        <w:rPr>
          <w:rFonts w:ascii="Book Antiqua" w:hAnsi="Book Antiqua" w:cs="Calibri"/>
          <w:sz w:val="24"/>
          <w:szCs w:val="24"/>
        </w:rPr>
        <w:t xml:space="preserve">de </w:t>
      </w:r>
      <w:r w:rsidR="007D5FAC" w:rsidRPr="006B799F">
        <w:rPr>
          <w:rFonts w:ascii="Book Antiqua" w:hAnsi="Book Antiqua" w:cs="Calibri"/>
          <w:sz w:val="24"/>
          <w:szCs w:val="24"/>
        </w:rPr>
        <w:t xml:space="preserve">0,4% au lieu </w:t>
      </w:r>
      <w:r>
        <w:rPr>
          <w:rFonts w:ascii="Book Antiqua" w:hAnsi="Book Antiqua" w:cs="Calibri"/>
          <w:sz w:val="24"/>
          <w:szCs w:val="24"/>
        </w:rPr>
        <w:t xml:space="preserve">d’une baisse de 1,5% en 2013, et sa </w:t>
      </w:r>
      <w:r w:rsidR="007D5FAC" w:rsidRPr="006B799F">
        <w:rPr>
          <w:rFonts w:ascii="Book Antiqua" w:hAnsi="Book Antiqua" w:cs="Calibri"/>
          <w:sz w:val="24"/>
          <w:szCs w:val="24"/>
        </w:rPr>
        <w:t xml:space="preserve">contribution à la croissance </w:t>
      </w:r>
      <w:r>
        <w:rPr>
          <w:rFonts w:ascii="Book Antiqua" w:hAnsi="Book Antiqua" w:cs="Calibri"/>
          <w:sz w:val="24"/>
          <w:szCs w:val="24"/>
        </w:rPr>
        <w:t xml:space="preserve">est passée de </w:t>
      </w:r>
      <w:r w:rsidRPr="006B799F">
        <w:rPr>
          <w:rFonts w:ascii="Book Antiqua" w:hAnsi="Book Antiqua" w:cs="Calibri"/>
          <w:sz w:val="24"/>
          <w:szCs w:val="24"/>
        </w:rPr>
        <w:t>– 0,5 points en 2013</w:t>
      </w:r>
      <w:r>
        <w:rPr>
          <w:rFonts w:ascii="Book Antiqua" w:hAnsi="Book Antiqua" w:cs="Calibri"/>
          <w:sz w:val="24"/>
          <w:szCs w:val="24"/>
        </w:rPr>
        <w:t xml:space="preserve"> à </w:t>
      </w:r>
      <w:r w:rsidR="007D5FAC" w:rsidRPr="006B799F">
        <w:rPr>
          <w:rFonts w:ascii="Book Antiqua" w:hAnsi="Book Antiqua" w:cs="Calibri"/>
          <w:sz w:val="24"/>
          <w:szCs w:val="24"/>
        </w:rPr>
        <w:t xml:space="preserve">- 0,1 point </w:t>
      </w:r>
      <w:r w:rsidR="00320988">
        <w:rPr>
          <w:rFonts w:ascii="Book Antiqua" w:hAnsi="Book Antiqua" w:cs="Calibri"/>
          <w:sz w:val="24"/>
          <w:szCs w:val="24"/>
        </w:rPr>
        <w:t>en 2014</w:t>
      </w:r>
      <w:r w:rsidR="007D5FAC" w:rsidRPr="006B799F">
        <w:rPr>
          <w:rFonts w:ascii="Book Antiqua" w:hAnsi="Book Antiqua" w:cs="Calibri"/>
          <w:sz w:val="24"/>
          <w:szCs w:val="24"/>
        </w:rPr>
        <w:t xml:space="preserve">. </w:t>
      </w:r>
    </w:p>
    <w:p w:rsidR="001B39E7" w:rsidRDefault="001B39E7" w:rsidP="00E3449D">
      <w:pPr>
        <w:spacing w:line="340" w:lineRule="exact"/>
        <w:jc w:val="both"/>
        <w:rPr>
          <w:rFonts w:ascii="Book Antiqua" w:hAnsi="Book Antiqua" w:cs="Calibri"/>
          <w:b/>
          <w:bCs/>
          <w:sz w:val="28"/>
          <w:szCs w:val="28"/>
        </w:rPr>
      </w:pPr>
    </w:p>
    <w:p w:rsidR="00485B2B" w:rsidRPr="00485B2B" w:rsidRDefault="00485B2B" w:rsidP="00E3449D">
      <w:pPr>
        <w:spacing w:line="340" w:lineRule="exact"/>
        <w:jc w:val="both"/>
        <w:rPr>
          <w:rFonts w:ascii="Book Antiqua" w:hAnsi="Book Antiqua" w:cs="Calibri"/>
          <w:b/>
          <w:bCs/>
          <w:sz w:val="28"/>
          <w:szCs w:val="28"/>
        </w:rPr>
      </w:pPr>
      <w:r w:rsidRPr="00485B2B">
        <w:rPr>
          <w:rFonts w:ascii="Book Antiqua" w:hAnsi="Book Antiqua" w:cs="Calibri"/>
          <w:b/>
          <w:bCs/>
          <w:sz w:val="28"/>
          <w:szCs w:val="28"/>
        </w:rPr>
        <w:t>Contribution de la demande extérieure</w:t>
      </w:r>
      <w:r w:rsidR="00E3449D">
        <w:rPr>
          <w:rFonts w:ascii="Book Antiqua" w:hAnsi="Book Antiqua" w:cs="Calibri"/>
          <w:b/>
          <w:bCs/>
          <w:sz w:val="28"/>
          <w:szCs w:val="28"/>
        </w:rPr>
        <w:t xml:space="preserve"> pour la première fois positive depuis 2010</w:t>
      </w:r>
    </w:p>
    <w:p w:rsidR="005527B3" w:rsidRPr="00862703" w:rsidRDefault="005527B3" w:rsidP="00E3449D">
      <w:pPr>
        <w:pStyle w:val="Default"/>
        <w:spacing w:line="380" w:lineRule="exact"/>
        <w:jc w:val="both"/>
        <w:rPr>
          <w:rFonts w:cs="Calibri"/>
          <w:color w:val="auto"/>
        </w:rPr>
      </w:pPr>
      <w:r w:rsidRPr="00862703">
        <w:rPr>
          <w:rFonts w:cs="Calibri"/>
          <w:color w:val="auto"/>
        </w:rPr>
        <w:t>Les exportations de biens et services ont enregistré une augmentation de</w:t>
      </w:r>
      <w:r w:rsidR="00E1362A" w:rsidRPr="00862703">
        <w:rPr>
          <w:rFonts w:cs="Calibri"/>
          <w:color w:val="auto"/>
        </w:rPr>
        <w:t xml:space="preserve"> </w:t>
      </w:r>
      <w:r w:rsidRPr="00862703">
        <w:rPr>
          <w:rFonts w:cs="Calibri"/>
          <w:color w:val="auto"/>
        </w:rPr>
        <w:t>6,3% en volume en 2014 au lieu de 0,9% en 201</w:t>
      </w:r>
      <w:r w:rsidR="00E1362A" w:rsidRPr="00862703">
        <w:rPr>
          <w:rFonts w:cs="Calibri"/>
          <w:color w:val="auto"/>
        </w:rPr>
        <w:t>3. L</w:t>
      </w:r>
      <w:r w:rsidRPr="00862703">
        <w:rPr>
          <w:rFonts w:cs="Calibri"/>
          <w:color w:val="auto"/>
        </w:rPr>
        <w:t>es importations</w:t>
      </w:r>
      <w:r w:rsidR="00E1362A" w:rsidRPr="00862703">
        <w:rPr>
          <w:rFonts w:cs="Calibri"/>
          <w:color w:val="auto"/>
        </w:rPr>
        <w:t xml:space="preserve">, de leur </w:t>
      </w:r>
      <w:r w:rsidR="00E3449D">
        <w:rPr>
          <w:rFonts w:cs="Calibri"/>
          <w:color w:val="auto"/>
        </w:rPr>
        <w:t>côté</w:t>
      </w:r>
      <w:r w:rsidR="00E1362A" w:rsidRPr="00862703">
        <w:rPr>
          <w:rFonts w:cs="Calibri"/>
          <w:color w:val="auto"/>
        </w:rPr>
        <w:t xml:space="preserve">, ont </w:t>
      </w:r>
      <w:r w:rsidR="00AC43D6">
        <w:rPr>
          <w:rFonts w:cs="Calibri"/>
          <w:color w:val="auto"/>
        </w:rPr>
        <w:t xml:space="preserve">affiché une </w:t>
      </w:r>
      <w:r w:rsidR="00E1362A" w:rsidRPr="00862703">
        <w:rPr>
          <w:rFonts w:cs="Calibri"/>
          <w:color w:val="auto"/>
        </w:rPr>
        <w:t xml:space="preserve">hausse de </w:t>
      </w:r>
      <w:r w:rsidRPr="00862703">
        <w:rPr>
          <w:rFonts w:cs="Calibri"/>
          <w:color w:val="auto"/>
        </w:rPr>
        <w:t>1,</w:t>
      </w:r>
      <w:r w:rsidR="00E1362A" w:rsidRPr="00862703">
        <w:rPr>
          <w:rFonts w:cs="Calibri"/>
          <w:color w:val="auto"/>
        </w:rPr>
        <w:t>8</w:t>
      </w:r>
      <w:r w:rsidRPr="00862703">
        <w:rPr>
          <w:rFonts w:cs="Calibri"/>
          <w:color w:val="auto"/>
        </w:rPr>
        <w:t xml:space="preserve">% au lieu </w:t>
      </w:r>
      <w:r w:rsidR="00E1362A" w:rsidRPr="00862703">
        <w:rPr>
          <w:rFonts w:cs="Calibri"/>
          <w:color w:val="auto"/>
        </w:rPr>
        <w:t>0</w:t>
      </w:r>
      <w:r w:rsidR="00E3449D">
        <w:rPr>
          <w:rFonts w:cs="Calibri"/>
          <w:color w:val="auto"/>
        </w:rPr>
        <w:t>,</w:t>
      </w:r>
      <w:r w:rsidR="00E1362A" w:rsidRPr="00862703">
        <w:rPr>
          <w:rFonts w:cs="Calibri"/>
          <w:color w:val="auto"/>
        </w:rPr>
        <w:t>9</w:t>
      </w:r>
      <w:r w:rsidRPr="00862703">
        <w:rPr>
          <w:rFonts w:cs="Calibri"/>
          <w:color w:val="auto"/>
        </w:rPr>
        <w:t xml:space="preserve">%. </w:t>
      </w:r>
      <w:r w:rsidR="00E3449D">
        <w:rPr>
          <w:rFonts w:cs="Calibri"/>
          <w:color w:val="auto"/>
        </w:rPr>
        <w:t>La contribution d</w:t>
      </w:r>
      <w:r w:rsidRPr="00862703">
        <w:rPr>
          <w:rFonts w:cs="Calibri"/>
          <w:color w:val="auto"/>
        </w:rPr>
        <w:t xml:space="preserve">es échanges extérieurs nets </w:t>
      </w:r>
      <w:r w:rsidR="00E3449D">
        <w:rPr>
          <w:rFonts w:cs="Calibri"/>
          <w:color w:val="auto"/>
        </w:rPr>
        <w:t xml:space="preserve">est ainsi passée de </w:t>
      </w:r>
      <w:r w:rsidR="00E1362A" w:rsidRPr="00862703">
        <w:rPr>
          <w:rFonts w:cs="Calibri"/>
          <w:color w:val="auto"/>
        </w:rPr>
        <w:t>-0,1 point en 2013</w:t>
      </w:r>
      <w:r w:rsidR="00E3449D">
        <w:rPr>
          <w:rFonts w:cs="Calibri"/>
          <w:color w:val="auto"/>
        </w:rPr>
        <w:t xml:space="preserve"> à </w:t>
      </w:r>
      <w:r w:rsidR="00E3449D" w:rsidRPr="00862703">
        <w:rPr>
          <w:rFonts w:cs="Calibri"/>
          <w:color w:val="auto"/>
        </w:rPr>
        <w:t xml:space="preserve">1,2 point </w:t>
      </w:r>
      <w:r w:rsidR="00E3449D">
        <w:rPr>
          <w:rFonts w:cs="Calibri"/>
          <w:color w:val="auto"/>
        </w:rPr>
        <w:t>en 2014</w:t>
      </w:r>
      <w:r w:rsidR="00E1362A" w:rsidRPr="00862703">
        <w:rPr>
          <w:rFonts w:cs="Calibri"/>
          <w:color w:val="auto"/>
        </w:rPr>
        <w:t>.</w:t>
      </w:r>
      <w:r w:rsidRPr="00862703">
        <w:rPr>
          <w:rFonts w:cs="Calibri"/>
          <w:color w:val="auto"/>
        </w:rPr>
        <w:t xml:space="preserve"> </w:t>
      </w:r>
    </w:p>
    <w:p w:rsidR="005527B3" w:rsidRPr="006B799F" w:rsidRDefault="005527B3" w:rsidP="00F721E7">
      <w:pPr>
        <w:spacing w:line="340" w:lineRule="exact"/>
        <w:jc w:val="both"/>
        <w:rPr>
          <w:rFonts w:ascii="Book Antiqua" w:hAnsi="Book Antiqua" w:cs="Calibri"/>
          <w:sz w:val="24"/>
          <w:szCs w:val="24"/>
        </w:rPr>
      </w:pPr>
    </w:p>
    <w:p w:rsidR="00485B2B" w:rsidRDefault="00485B2B" w:rsidP="00655B3D">
      <w:pPr>
        <w:spacing w:before="120" w:line="340" w:lineRule="exact"/>
        <w:jc w:val="both"/>
        <w:rPr>
          <w:rFonts w:ascii="Book Antiqua" w:hAnsi="Book Antiqua" w:cs="Calibri"/>
          <w:b/>
          <w:bCs/>
          <w:sz w:val="28"/>
          <w:szCs w:val="28"/>
        </w:rPr>
      </w:pPr>
      <w:r w:rsidRPr="00485B2B">
        <w:rPr>
          <w:rFonts w:ascii="Book Antiqua" w:hAnsi="Book Antiqua" w:cs="Calibri"/>
          <w:b/>
          <w:bCs/>
          <w:sz w:val="28"/>
          <w:szCs w:val="28"/>
        </w:rPr>
        <w:t>Poursuite de l’allégement du besoin de financement</w:t>
      </w:r>
    </w:p>
    <w:p w:rsidR="00F35D83" w:rsidRDefault="00810D6F" w:rsidP="00902F79">
      <w:pPr>
        <w:spacing w:before="120" w:line="340" w:lineRule="exact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 xml:space="preserve">Avec une augmentation du </w:t>
      </w:r>
      <w:r w:rsidR="00F35D83" w:rsidRPr="006B799F">
        <w:rPr>
          <w:rFonts w:ascii="Book Antiqua" w:hAnsi="Book Antiqua" w:cs="Calibri"/>
          <w:sz w:val="24"/>
          <w:szCs w:val="24"/>
        </w:rPr>
        <w:t>PIB</w:t>
      </w:r>
      <w:r w:rsidR="002F1F87">
        <w:rPr>
          <w:rFonts w:ascii="Book Antiqua" w:hAnsi="Book Antiqua" w:cs="Calibri"/>
          <w:sz w:val="24"/>
          <w:szCs w:val="24"/>
        </w:rPr>
        <w:t xml:space="preserve"> en valeur</w:t>
      </w:r>
      <w:r w:rsidR="00F35D83" w:rsidRPr="006B799F">
        <w:rPr>
          <w:rFonts w:ascii="Book Antiqua" w:hAnsi="Book Antiqua" w:cs="Calibri"/>
          <w:sz w:val="24"/>
          <w:szCs w:val="24"/>
        </w:rPr>
        <w:t xml:space="preserve"> </w:t>
      </w:r>
      <w:r w:rsidR="00F35D83">
        <w:rPr>
          <w:rFonts w:ascii="Book Antiqua" w:hAnsi="Book Antiqua" w:cs="Calibri"/>
          <w:sz w:val="24"/>
          <w:szCs w:val="24"/>
        </w:rPr>
        <w:t xml:space="preserve"> de 2,6% en 2014 </w:t>
      </w:r>
      <w:r w:rsidR="00F35D83" w:rsidRPr="006B799F">
        <w:rPr>
          <w:rFonts w:ascii="Book Antiqua" w:hAnsi="Book Antiqua" w:cs="Calibri"/>
          <w:sz w:val="24"/>
          <w:szCs w:val="24"/>
        </w:rPr>
        <w:t xml:space="preserve">et </w:t>
      </w:r>
      <w:r w:rsidR="00902F79">
        <w:rPr>
          <w:rFonts w:ascii="Book Antiqua" w:hAnsi="Book Antiqua" w:cs="Calibri"/>
          <w:sz w:val="24"/>
          <w:szCs w:val="24"/>
        </w:rPr>
        <w:t>une</w:t>
      </w:r>
      <w:r w:rsidR="00F35D83">
        <w:rPr>
          <w:rFonts w:ascii="Book Antiqua" w:hAnsi="Book Antiqua" w:cs="Calibri"/>
          <w:sz w:val="24"/>
          <w:szCs w:val="24"/>
        </w:rPr>
        <w:t xml:space="preserve"> diminution des revenus </w:t>
      </w:r>
      <w:r w:rsidR="00F35D83" w:rsidRPr="006B799F">
        <w:rPr>
          <w:rFonts w:ascii="Book Antiqua" w:hAnsi="Book Antiqua" w:cs="Calibri"/>
          <w:sz w:val="24"/>
          <w:szCs w:val="24"/>
        </w:rPr>
        <w:t>extérieurs nets de 0,5%</w:t>
      </w:r>
      <w:r w:rsidR="00902F79">
        <w:rPr>
          <w:rFonts w:ascii="Book Antiqua" w:hAnsi="Book Antiqua" w:cs="Calibri"/>
          <w:sz w:val="24"/>
          <w:szCs w:val="24"/>
        </w:rPr>
        <w:t>,</w:t>
      </w:r>
      <w:r w:rsidR="00F35D83" w:rsidRPr="006B799F">
        <w:rPr>
          <w:rFonts w:ascii="Book Antiqua" w:hAnsi="Book Antiqua" w:cs="Calibri"/>
          <w:sz w:val="24"/>
          <w:szCs w:val="24"/>
        </w:rPr>
        <w:t xml:space="preserve"> le revenu national brut disponible </w:t>
      </w:r>
      <w:r w:rsidR="00902F79">
        <w:rPr>
          <w:rFonts w:ascii="Book Antiqua" w:hAnsi="Book Antiqua" w:cs="Calibri"/>
          <w:sz w:val="24"/>
          <w:szCs w:val="24"/>
        </w:rPr>
        <w:t xml:space="preserve"> a connu une </w:t>
      </w:r>
      <w:r w:rsidR="00902F79" w:rsidRPr="006B799F">
        <w:rPr>
          <w:rFonts w:ascii="Book Antiqua" w:hAnsi="Book Antiqua" w:cs="Calibri"/>
          <w:sz w:val="24"/>
          <w:szCs w:val="24"/>
        </w:rPr>
        <w:t>augmentation de 2,4% contre 7,3% en 2013</w:t>
      </w:r>
      <w:r w:rsidR="00902F79">
        <w:rPr>
          <w:rFonts w:ascii="Book Antiqua" w:hAnsi="Book Antiqua" w:cs="Calibri"/>
          <w:sz w:val="24"/>
          <w:szCs w:val="24"/>
        </w:rPr>
        <w:t xml:space="preserve"> pour se situer à </w:t>
      </w:r>
      <w:r w:rsidR="00F35D83" w:rsidRPr="006B799F">
        <w:rPr>
          <w:rFonts w:ascii="Book Antiqua" w:hAnsi="Book Antiqua" w:cs="Calibri"/>
          <w:sz w:val="24"/>
          <w:szCs w:val="24"/>
        </w:rPr>
        <w:t xml:space="preserve"> 985 milliards de DH en 2014. </w:t>
      </w:r>
    </w:p>
    <w:p w:rsidR="00862703" w:rsidRDefault="00CD2189" w:rsidP="00A85679">
      <w:pPr>
        <w:spacing w:before="120" w:line="340" w:lineRule="exact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 xml:space="preserve">Sous l’effet de </w:t>
      </w:r>
      <w:r w:rsidR="007D5FAC" w:rsidRPr="006B799F">
        <w:rPr>
          <w:rFonts w:ascii="Book Antiqua" w:hAnsi="Book Antiqua" w:cs="Calibri"/>
          <w:sz w:val="24"/>
          <w:szCs w:val="24"/>
        </w:rPr>
        <w:t>l’amélioration de la consommation finale nationale de 3,</w:t>
      </w:r>
      <w:r w:rsidR="00BE56C5">
        <w:rPr>
          <w:rFonts w:ascii="Book Antiqua" w:hAnsi="Book Antiqua" w:cs="Calibri"/>
          <w:sz w:val="24"/>
          <w:szCs w:val="24"/>
        </w:rPr>
        <w:t>2</w:t>
      </w:r>
      <w:r w:rsidR="007D5FAC" w:rsidRPr="006B799F">
        <w:rPr>
          <w:rFonts w:ascii="Book Antiqua" w:hAnsi="Book Antiqua" w:cs="Calibri"/>
          <w:sz w:val="24"/>
          <w:szCs w:val="24"/>
        </w:rPr>
        <w:t xml:space="preserve">%, </w:t>
      </w:r>
      <w:r w:rsidR="00A85679">
        <w:rPr>
          <w:rFonts w:ascii="Book Antiqua" w:hAnsi="Book Antiqua" w:cs="Calibri"/>
          <w:sz w:val="24"/>
          <w:szCs w:val="24"/>
        </w:rPr>
        <w:t>l</w:t>
      </w:r>
      <w:r w:rsidR="007D5FAC" w:rsidRPr="006B799F">
        <w:rPr>
          <w:rFonts w:ascii="Book Antiqua" w:hAnsi="Book Antiqua" w:cs="Calibri"/>
          <w:sz w:val="24"/>
          <w:szCs w:val="24"/>
        </w:rPr>
        <w:t>’épargne nationale</w:t>
      </w:r>
      <w:r w:rsidR="002F1F87">
        <w:rPr>
          <w:rFonts w:ascii="Book Antiqua" w:hAnsi="Book Antiqua" w:cs="Calibri"/>
          <w:sz w:val="24"/>
          <w:szCs w:val="24"/>
        </w:rPr>
        <w:t xml:space="preserve"> </w:t>
      </w:r>
      <w:r w:rsidR="007D5FAC" w:rsidRPr="006B799F">
        <w:rPr>
          <w:rFonts w:ascii="Book Antiqua" w:hAnsi="Book Antiqua" w:cs="Calibri"/>
          <w:sz w:val="24"/>
          <w:szCs w:val="24"/>
        </w:rPr>
        <w:t xml:space="preserve"> brute </w:t>
      </w:r>
      <w:r>
        <w:rPr>
          <w:rFonts w:ascii="Book Antiqua" w:hAnsi="Book Antiqua" w:cs="Calibri"/>
          <w:sz w:val="24"/>
          <w:szCs w:val="24"/>
        </w:rPr>
        <w:t xml:space="preserve">s’est </w:t>
      </w:r>
      <w:r w:rsidR="00A85679">
        <w:rPr>
          <w:rFonts w:ascii="Book Antiqua" w:hAnsi="Book Antiqua" w:cs="Calibri"/>
          <w:sz w:val="24"/>
          <w:szCs w:val="24"/>
        </w:rPr>
        <w:t>établie</w:t>
      </w:r>
      <w:r>
        <w:rPr>
          <w:rFonts w:ascii="Book Antiqua" w:hAnsi="Book Antiqua" w:cs="Calibri"/>
          <w:sz w:val="24"/>
          <w:szCs w:val="24"/>
        </w:rPr>
        <w:t xml:space="preserve"> à</w:t>
      </w:r>
      <w:r w:rsidR="00EB63E8">
        <w:rPr>
          <w:rFonts w:ascii="Book Antiqua" w:hAnsi="Book Antiqua" w:cs="Calibri"/>
          <w:sz w:val="24"/>
          <w:szCs w:val="24"/>
        </w:rPr>
        <w:t xml:space="preserve"> </w:t>
      </w:r>
      <w:r w:rsidR="00A85679">
        <w:rPr>
          <w:rFonts w:ascii="Book Antiqua" w:hAnsi="Book Antiqua" w:cs="Calibri"/>
          <w:sz w:val="24"/>
          <w:szCs w:val="24"/>
        </w:rPr>
        <w:t>26,4</w:t>
      </w:r>
      <w:r w:rsidR="00EB63E8">
        <w:rPr>
          <w:rFonts w:ascii="Book Antiqua" w:hAnsi="Book Antiqua" w:cs="Calibri"/>
          <w:sz w:val="24"/>
          <w:szCs w:val="24"/>
        </w:rPr>
        <w:t xml:space="preserve">% </w:t>
      </w:r>
      <w:r w:rsidR="00A85679">
        <w:rPr>
          <w:rFonts w:ascii="Book Antiqua" w:hAnsi="Book Antiqua" w:cs="Calibri"/>
          <w:sz w:val="24"/>
          <w:szCs w:val="24"/>
        </w:rPr>
        <w:t xml:space="preserve">du PIB, </w:t>
      </w:r>
      <w:r>
        <w:rPr>
          <w:rFonts w:ascii="Book Antiqua" w:hAnsi="Book Antiqua" w:cs="Calibri"/>
          <w:sz w:val="24"/>
          <w:szCs w:val="24"/>
        </w:rPr>
        <w:t xml:space="preserve">après avoir été </w:t>
      </w:r>
      <w:r w:rsidR="00EB63E8">
        <w:rPr>
          <w:rFonts w:ascii="Book Antiqua" w:hAnsi="Book Antiqua" w:cs="Calibri"/>
          <w:sz w:val="24"/>
          <w:szCs w:val="24"/>
        </w:rPr>
        <w:t xml:space="preserve">de </w:t>
      </w:r>
      <w:r w:rsidR="00A85679">
        <w:rPr>
          <w:rFonts w:ascii="Book Antiqua" w:hAnsi="Book Antiqua" w:cs="Calibri"/>
          <w:sz w:val="24"/>
          <w:szCs w:val="24"/>
        </w:rPr>
        <w:t>27</w:t>
      </w:r>
      <w:r w:rsidR="00EB63E8">
        <w:rPr>
          <w:rFonts w:ascii="Book Antiqua" w:hAnsi="Book Antiqua" w:cs="Calibri"/>
          <w:sz w:val="24"/>
          <w:szCs w:val="24"/>
        </w:rPr>
        <w:t>% une année auparavant</w:t>
      </w:r>
      <w:r w:rsidR="007D5FAC" w:rsidRPr="006B799F">
        <w:rPr>
          <w:rFonts w:ascii="Book Antiqua" w:hAnsi="Book Antiqua" w:cs="Calibri"/>
          <w:sz w:val="24"/>
          <w:szCs w:val="24"/>
        </w:rPr>
        <w:t>.</w:t>
      </w:r>
      <w:r w:rsidR="001B4BEC" w:rsidRPr="006B799F">
        <w:rPr>
          <w:rFonts w:ascii="Book Antiqua" w:hAnsi="Book Antiqua" w:cs="Calibri"/>
          <w:sz w:val="24"/>
          <w:szCs w:val="24"/>
        </w:rPr>
        <w:t xml:space="preserve"> </w:t>
      </w:r>
    </w:p>
    <w:p w:rsidR="00450C70" w:rsidRDefault="00450C70" w:rsidP="00CD2189">
      <w:pPr>
        <w:spacing w:before="120" w:line="340" w:lineRule="exact"/>
        <w:jc w:val="both"/>
        <w:rPr>
          <w:rFonts w:ascii="Book Antiqua" w:hAnsi="Book Antiqua" w:cs="Calibri"/>
          <w:sz w:val="24"/>
          <w:szCs w:val="24"/>
        </w:rPr>
      </w:pPr>
      <w:r w:rsidRPr="006B799F">
        <w:rPr>
          <w:rFonts w:ascii="Book Antiqua" w:hAnsi="Book Antiqua" w:cs="Calibri"/>
          <w:sz w:val="24"/>
          <w:szCs w:val="24"/>
        </w:rPr>
        <w:t xml:space="preserve">L’investissement brut (FBCF et variation de stocks) </w:t>
      </w:r>
      <w:r w:rsidR="00CD2189">
        <w:rPr>
          <w:rFonts w:ascii="Book Antiqua" w:hAnsi="Book Antiqua" w:cs="Calibri"/>
          <w:sz w:val="24"/>
          <w:szCs w:val="24"/>
        </w:rPr>
        <w:t xml:space="preserve">a constitué </w:t>
      </w:r>
      <w:r w:rsidR="00BE56C5">
        <w:rPr>
          <w:rFonts w:ascii="Book Antiqua" w:hAnsi="Book Antiqua" w:cs="Calibri"/>
          <w:sz w:val="24"/>
          <w:szCs w:val="24"/>
        </w:rPr>
        <w:t>32</w:t>
      </w:r>
      <w:r w:rsidRPr="006B799F">
        <w:rPr>
          <w:rFonts w:ascii="Book Antiqua" w:hAnsi="Book Antiqua" w:cs="Calibri"/>
          <w:sz w:val="24"/>
          <w:szCs w:val="24"/>
        </w:rPr>
        <w:t>,</w:t>
      </w:r>
      <w:r w:rsidR="00BE56C5">
        <w:rPr>
          <w:rFonts w:ascii="Book Antiqua" w:hAnsi="Book Antiqua" w:cs="Calibri"/>
          <w:sz w:val="24"/>
          <w:szCs w:val="24"/>
        </w:rPr>
        <w:t>2</w:t>
      </w:r>
      <w:r w:rsidRPr="006B799F">
        <w:rPr>
          <w:rFonts w:ascii="Book Antiqua" w:hAnsi="Book Antiqua" w:cs="Calibri"/>
          <w:sz w:val="24"/>
          <w:szCs w:val="24"/>
        </w:rPr>
        <w:t xml:space="preserve">% </w:t>
      </w:r>
      <w:r w:rsidR="002F1F87">
        <w:rPr>
          <w:rFonts w:ascii="Book Antiqua" w:hAnsi="Book Antiqua" w:cs="Calibri"/>
          <w:sz w:val="24"/>
          <w:szCs w:val="24"/>
        </w:rPr>
        <w:t xml:space="preserve">du PIB </w:t>
      </w:r>
      <w:r w:rsidRPr="006B799F">
        <w:rPr>
          <w:rFonts w:ascii="Book Antiqua" w:hAnsi="Book Antiqua" w:cs="Calibri"/>
          <w:sz w:val="24"/>
          <w:szCs w:val="24"/>
        </w:rPr>
        <w:t>en 2014 au lieu de 3</w:t>
      </w:r>
      <w:r w:rsidR="00BE56C5">
        <w:rPr>
          <w:rFonts w:ascii="Book Antiqua" w:hAnsi="Book Antiqua" w:cs="Calibri"/>
          <w:sz w:val="24"/>
          <w:szCs w:val="24"/>
        </w:rPr>
        <w:t>4</w:t>
      </w:r>
      <w:r w:rsidRPr="006B799F">
        <w:rPr>
          <w:rFonts w:ascii="Book Antiqua" w:hAnsi="Book Antiqua" w:cs="Calibri"/>
          <w:sz w:val="24"/>
          <w:szCs w:val="24"/>
        </w:rPr>
        <w:t>,</w:t>
      </w:r>
      <w:r w:rsidR="00BE56C5">
        <w:rPr>
          <w:rFonts w:ascii="Book Antiqua" w:hAnsi="Book Antiqua" w:cs="Calibri"/>
          <w:sz w:val="24"/>
          <w:szCs w:val="24"/>
        </w:rPr>
        <w:t>7</w:t>
      </w:r>
      <w:r w:rsidRPr="006B799F">
        <w:rPr>
          <w:rFonts w:ascii="Book Antiqua" w:hAnsi="Book Antiqua" w:cs="Calibri"/>
          <w:sz w:val="24"/>
          <w:szCs w:val="24"/>
        </w:rPr>
        <w:t>% en 2013</w:t>
      </w:r>
      <w:r w:rsidR="00655B3D" w:rsidRPr="006B799F">
        <w:rPr>
          <w:rFonts w:ascii="Book Antiqua" w:hAnsi="Book Antiqua" w:cs="Calibri"/>
          <w:sz w:val="24"/>
          <w:szCs w:val="24"/>
        </w:rPr>
        <w:t>, financé à hauteur de 82% par l’épargne nationale brute contre 78% en 2013</w:t>
      </w:r>
      <w:r w:rsidR="00CD2189">
        <w:rPr>
          <w:rFonts w:ascii="Book Antiqua" w:hAnsi="Book Antiqua" w:cs="Calibri"/>
          <w:sz w:val="24"/>
          <w:szCs w:val="24"/>
        </w:rPr>
        <w:t>. L</w:t>
      </w:r>
      <w:r w:rsidRPr="006B799F">
        <w:rPr>
          <w:rFonts w:ascii="Book Antiqua" w:hAnsi="Book Antiqua" w:cs="Calibri"/>
          <w:sz w:val="24"/>
          <w:szCs w:val="24"/>
        </w:rPr>
        <w:t xml:space="preserve">e besoin de financement de l’économie nationale s’est </w:t>
      </w:r>
      <w:r w:rsidR="00CD2189">
        <w:rPr>
          <w:rFonts w:ascii="Book Antiqua" w:hAnsi="Book Antiqua" w:cs="Calibri"/>
          <w:sz w:val="24"/>
          <w:szCs w:val="24"/>
        </w:rPr>
        <w:t>ainsi</w:t>
      </w:r>
      <w:r w:rsidRPr="006B799F">
        <w:rPr>
          <w:rFonts w:ascii="Book Antiqua" w:hAnsi="Book Antiqua" w:cs="Calibri"/>
          <w:sz w:val="24"/>
          <w:szCs w:val="24"/>
        </w:rPr>
        <w:t xml:space="preserve"> allégé</w:t>
      </w:r>
      <w:r w:rsidR="00CD2189">
        <w:rPr>
          <w:rFonts w:ascii="Book Antiqua" w:hAnsi="Book Antiqua" w:cs="Calibri"/>
          <w:sz w:val="24"/>
          <w:szCs w:val="24"/>
        </w:rPr>
        <w:t>,</w:t>
      </w:r>
      <w:r w:rsidR="002F1F87">
        <w:rPr>
          <w:rFonts w:ascii="Book Antiqua" w:hAnsi="Book Antiqua" w:cs="Calibri"/>
          <w:sz w:val="24"/>
          <w:szCs w:val="24"/>
        </w:rPr>
        <w:t xml:space="preserve"> </w:t>
      </w:r>
      <w:r w:rsidRPr="006B799F">
        <w:rPr>
          <w:rFonts w:ascii="Book Antiqua" w:hAnsi="Book Antiqua" w:cs="Calibri"/>
          <w:sz w:val="24"/>
          <w:szCs w:val="24"/>
        </w:rPr>
        <w:t xml:space="preserve">passant de </w:t>
      </w:r>
      <w:r w:rsidR="00655B3D" w:rsidRPr="006B799F">
        <w:rPr>
          <w:rFonts w:ascii="Book Antiqua" w:hAnsi="Book Antiqua" w:cs="Calibri"/>
          <w:sz w:val="24"/>
          <w:szCs w:val="24"/>
        </w:rPr>
        <w:t>7</w:t>
      </w:r>
      <w:r w:rsidRPr="006B799F">
        <w:rPr>
          <w:rFonts w:ascii="Book Antiqua" w:hAnsi="Book Antiqua" w:cs="Calibri"/>
          <w:sz w:val="24"/>
          <w:szCs w:val="24"/>
        </w:rPr>
        <w:t>,7% du PIB en 201</w:t>
      </w:r>
      <w:r w:rsidR="00655B3D" w:rsidRPr="006B799F">
        <w:rPr>
          <w:rFonts w:ascii="Book Antiqua" w:hAnsi="Book Antiqua" w:cs="Calibri"/>
          <w:sz w:val="24"/>
          <w:szCs w:val="24"/>
        </w:rPr>
        <w:t>3</w:t>
      </w:r>
      <w:r w:rsidRPr="006B799F">
        <w:rPr>
          <w:rFonts w:ascii="Book Antiqua" w:hAnsi="Book Antiqua" w:cs="Calibri"/>
          <w:sz w:val="24"/>
          <w:szCs w:val="24"/>
        </w:rPr>
        <w:t xml:space="preserve"> à </w:t>
      </w:r>
      <w:r w:rsidR="00655B3D" w:rsidRPr="006B799F">
        <w:rPr>
          <w:rFonts w:ascii="Book Antiqua" w:hAnsi="Book Antiqua" w:cs="Calibri"/>
          <w:sz w:val="24"/>
          <w:szCs w:val="24"/>
        </w:rPr>
        <w:t>5</w:t>
      </w:r>
      <w:r w:rsidRPr="006B799F">
        <w:rPr>
          <w:rFonts w:ascii="Book Antiqua" w:hAnsi="Book Antiqua" w:cs="Calibri"/>
          <w:sz w:val="24"/>
          <w:szCs w:val="24"/>
        </w:rPr>
        <w:t>,</w:t>
      </w:r>
      <w:r w:rsidR="00655B3D" w:rsidRPr="006B799F">
        <w:rPr>
          <w:rFonts w:ascii="Book Antiqua" w:hAnsi="Book Antiqua" w:cs="Calibri"/>
          <w:sz w:val="24"/>
          <w:szCs w:val="24"/>
        </w:rPr>
        <w:t>8</w:t>
      </w:r>
      <w:r w:rsidRPr="006B799F">
        <w:rPr>
          <w:rFonts w:ascii="Book Antiqua" w:hAnsi="Book Antiqua" w:cs="Calibri"/>
          <w:sz w:val="24"/>
          <w:szCs w:val="24"/>
        </w:rPr>
        <w:t>% en 201</w:t>
      </w:r>
      <w:r w:rsidR="00862703">
        <w:rPr>
          <w:rFonts w:ascii="Book Antiqua" w:hAnsi="Book Antiqua" w:cs="Calibri"/>
          <w:sz w:val="24"/>
          <w:szCs w:val="24"/>
        </w:rPr>
        <w:t>4</w:t>
      </w:r>
      <w:r w:rsidRPr="006B799F">
        <w:rPr>
          <w:rFonts w:ascii="Book Antiqua" w:hAnsi="Book Antiqua" w:cs="Calibri"/>
          <w:sz w:val="24"/>
          <w:szCs w:val="24"/>
        </w:rPr>
        <w:t>.</w:t>
      </w:r>
    </w:p>
    <w:p w:rsidR="00E7412C" w:rsidRPr="006B799F" w:rsidRDefault="00E7412C" w:rsidP="001B4BEC">
      <w:pPr>
        <w:spacing w:before="120" w:line="340" w:lineRule="exact"/>
        <w:jc w:val="both"/>
        <w:rPr>
          <w:rFonts w:ascii="Book Antiqua" w:hAnsi="Book Antiqua" w:cs="Calibri"/>
          <w:sz w:val="24"/>
          <w:szCs w:val="24"/>
        </w:rPr>
      </w:pPr>
    </w:p>
    <w:p w:rsidR="007D5FAC" w:rsidRPr="006B799F" w:rsidRDefault="007D5FAC" w:rsidP="008972BE">
      <w:pPr>
        <w:spacing w:line="340" w:lineRule="exact"/>
        <w:jc w:val="both"/>
        <w:rPr>
          <w:rFonts w:ascii="Book Antiqua" w:hAnsi="Book Antiqua" w:cs="Calibri"/>
          <w:sz w:val="24"/>
          <w:szCs w:val="24"/>
        </w:rPr>
      </w:pPr>
    </w:p>
    <w:p w:rsidR="007D5FAC" w:rsidRDefault="007D5FAC" w:rsidP="007D5FAC">
      <w:pPr>
        <w:spacing w:before="60"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fr-FR"/>
        </w:rPr>
      </w:pPr>
    </w:p>
    <w:p w:rsidR="00620682" w:rsidRDefault="00620682" w:rsidP="007D5FAC">
      <w:pPr>
        <w:spacing w:before="60"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fr-FR"/>
        </w:rPr>
      </w:pPr>
    </w:p>
    <w:p w:rsidR="00620682" w:rsidRPr="006B799F" w:rsidRDefault="00620682" w:rsidP="007D5FAC">
      <w:pPr>
        <w:spacing w:before="60"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fr-FR"/>
        </w:rPr>
      </w:pPr>
    </w:p>
    <w:p w:rsidR="007D5FAC" w:rsidRPr="006B799F" w:rsidRDefault="007D5FAC" w:rsidP="00E17B11">
      <w:pPr>
        <w:spacing w:before="60" w:after="0" w:line="240" w:lineRule="auto"/>
        <w:ind w:firstLine="709"/>
        <w:jc w:val="center"/>
        <w:rPr>
          <w:rFonts w:ascii="Book Antiqua" w:eastAsia="Times New Roman" w:hAnsi="Book Antiqua" w:cs="Times New Roman"/>
          <w:b/>
          <w:sz w:val="24"/>
          <w:szCs w:val="24"/>
          <w:lang w:eastAsia="fr-FR"/>
        </w:rPr>
      </w:pPr>
    </w:p>
    <w:p w:rsidR="00620682" w:rsidRDefault="00620682" w:rsidP="00450C70">
      <w:pPr>
        <w:shd w:val="clear" w:color="auto" w:fill="FFFFFF"/>
        <w:jc w:val="center"/>
        <w:rPr>
          <w:b/>
          <w:color w:val="002060"/>
          <w:sz w:val="28"/>
          <w:szCs w:val="28"/>
        </w:rPr>
      </w:pPr>
    </w:p>
    <w:p w:rsidR="0041329B" w:rsidRDefault="0041329B" w:rsidP="00450C70">
      <w:pPr>
        <w:shd w:val="clear" w:color="auto" w:fill="FFFFFF"/>
        <w:jc w:val="center"/>
        <w:rPr>
          <w:b/>
          <w:color w:val="002060"/>
          <w:sz w:val="28"/>
          <w:szCs w:val="28"/>
        </w:rPr>
      </w:pPr>
    </w:p>
    <w:p w:rsidR="00450C70" w:rsidRPr="00242A4A" w:rsidRDefault="00450C70" w:rsidP="00450C70">
      <w:pPr>
        <w:shd w:val="clear" w:color="auto" w:fill="FFFFFF"/>
        <w:jc w:val="center"/>
        <w:rPr>
          <w:b/>
          <w:color w:val="002060"/>
          <w:sz w:val="28"/>
          <w:szCs w:val="28"/>
        </w:rPr>
      </w:pPr>
      <w:r w:rsidRPr="00242A4A">
        <w:rPr>
          <w:b/>
          <w:color w:val="002060"/>
          <w:sz w:val="28"/>
          <w:szCs w:val="28"/>
        </w:rPr>
        <w:t>Evolution des principaux agrégats</w:t>
      </w:r>
    </w:p>
    <w:p w:rsidR="00450C70" w:rsidRPr="00605FEB" w:rsidRDefault="00450C70" w:rsidP="00450C70">
      <w:pPr>
        <w:spacing w:line="180" w:lineRule="exact"/>
        <w:jc w:val="both"/>
        <w:rPr>
          <w:rFonts w:cs="Calibri"/>
          <w:sz w:val="26"/>
          <w:szCs w:val="26"/>
        </w:rPr>
      </w:pP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6407"/>
        <w:gridCol w:w="340"/>
        <w:gridCol w:w="907"/>
        <w:gridCol w:w="340"/>
        <w:gridCol w:w="907"/>
        <w:gridCol w:w="340"/>
        <w:gridCol w:w="907"/>
      </w:tblGrid>
      <w:tr w:rsidR="00450C70" w:rsidRPr="00605FEB" w:rsidTr="001B4BEC">
        <w:trPr>
          <w:trHeight w:hRule="exact" w:val="454"/>
          <w:jc w:val="center"/>
        </w:trPr>
        <w:tc>
          <w:tcPr>
            <w:tcW w:w="640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jc w:val="center"/>
              <w:rPr>
                <w:rFonts w:ascii="Arial" w:hAnsi="Arial"/>
                <w:b/>
                <w:bCs/>
                <w:color w:val="800080"/>
              </w:rPr>
            </w:pPr>
            <w:bookmarkStart w:id="0" w:name="OLE_LINK1"/>
            <w:r w:rsidRPr="00605FEB">
              <w:rPr>
                <w:rFonts w:ascii="Arial" w:hAnsi="Arial"/>
                <w:b/>
                <w:bCs/>
                <w:color w:val="800080"/>
              </w:rPr>
              <w:t>Opérations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jc w:val="right"/>
              <w:rPr>
                <w:rFonts w:ascii="Arial" w:hAnsi="Arial"/>
                <w:b/>
                <w:bCs/>
                <w:color w:val="800080"/>
              </w:rPr>
            </w:pPr>
          </w:p>
        </w:tc>
        <w:tc>
          <w:tcPr>
            <w:tcW w:w="90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jc w:val="right"/>
              <w:rPr>
                <w:rFonts w:ascii="Arial" w:hAnsi="Arial"/>
                <w:b/>
                <w:bCs/>
                <w:color w:val="800080"/>
              </w:rPr>
            </w:pPr>
            <w:r w:rsidRPr="00605FEB">
              <w:rPr>
                <w:rFonts w:ascii="Arial" w:hAnsi="Arial"/>
                <w:b/>
                <w:bCs/>
                <w:color w:val="800080"/>
              </w:rPr>
              <w:t>201</w:t>
            </w:r>
            <w:r>
              <w:rPr>
                <w:rFonts w:ascii="Arial" w:hAnsi="Arial"/>
                <w:b/>
                <w:bCs/>
                <w:color w:val="80008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jc w:val="right"/>
              <w:rPr>
                <w:rFonts w:ascii="Arial" w:hAnsi="Arial"/>
                <w:b/>
                <w:bCs/>
                <w:color w:val="800080"/>
              </w:rPr>
            </w:pPr>
          </w:p>
        </w:tc>
        <w:tc>
          <w:tcPr>
            <w:tcW w:w="90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jc w:val="center"/>
              <w:rPr>
                <w:rFonts w:ascii="Arial" w:hAnsi="Arial"/>
                <w:b/>
                <w:bCs/>
                <w:color w:val="800080"/>
              </w:rPr>
            </w:pPr>
            <w:r w:rsidRPr="00605FEB">
              <w:rPr>
                <w:rFonts w:ascii="Arial" w:hAnsi="Arial"/>
                <w:b/>
                <w:bCs/>
                <w:color w:val="800080"/>
              </w:rPr>
              <w:t>201</w:t>
            </w:r>
            <w:r>
              <w:rPr>
                <w:rFonts w:ascii="Arial" w:hAnsi="Arial"/>
                <w:b/>
                <w:bCs/>
                <w:color w:val="80008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jc w:val="center"/>
              <w:rPr>
                <w:rFonts w:ascii="Arial" w:hAnsi="Arial"/>
                <w:b/>
                <w:bCs/>
                <w:color w:val="800080"/>
              </w:rPr>
            </w:pPr>
          </w:p>
        </w:tc>
        <w:tc>
          <w:tcPr>
            <w:tcW w:w="90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jc w:val="center"/>
              <w:rPr>
                <w:rFonts w:ascii="Arial" w:hAnsi="Arial"/>
                <w:b/>
                <w:bCs/>
                <w:color w:val="800080"/>
              </w:rPr>
            </w:pPr>
            <w:r w:rsidRPr="00605FEB">
              <w:rPr>
                <w:rFonts w:ascii="Arial" w:hAnsi="Arial"/>
                <w:b/>
                <w:bCs/>
                <w:color w:val="800080"/>
              </w:rPr>
              <w:t>201</w:t>
            </w:r>
            <w:r>
              <w:rPr>
                <w:rFonts w:ascii="Arial" w:hAnsi="Arial"/>
                <w:b/>
                <w:bCs/>
                <w:color w:val="800080"/>
              </w:rPr>
              <w:t>4</w:t>
            </w:r>
          </w:p>
        </w:tc>
      </w:tr>
      <w:tr w:rsidR="00450C70" w:rsidRPr="00605FEB" w:rsidTr="001B4BEC">
        <w:trPr>
          <w:trHeight w:hRule="exact" w:val="680"/>
          <w:jc w:val="center"/>
        </w:trPr>
        <w:tc>
          <w:tcPr>
            <w:tcW w:w="6407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spacing w:line="240" w:lineRule="exact"/>
              <w:rPr>
                <w:b/>
                <w:color w:val="993300"/>
                <w:sz w:val="28"/>
                <w:szCs w:val="28"/>
              </w:rPr>
            </w:pPr>
            <w:r w:rsidRPr="00605FEB">
              <w:rPr>
                <w:b/>
                <w:color w:val="993300"/>
                <w:sz w:val="28"/>
                <w:szCs w:val="28"/>
              </w:rPr>
              <w:t>Décomposition du PIB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rFonts w:ascii="Arial" w:hAnsi="Arial"/>
                <w:b/>
                <w:bCs/>
                <w:sz w:val="15"/>
                <w:szCs w:val="15"/>
              </w:rPr>
            </w:pPr>
          </w:p>
        </w:tc>
        <w:tc>
          <w:tcPr>
            <w:tcW w:w="34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Default="00450C70" w:rsidP="001B4BEC">
            <w:pPr>
              <w:spacing w:line="240" w:lineRule="exact"/>
              <w:jc w:val="center"/>
              <w:rPr>
                <w:b/>
                <w:color w:val="993300"/>
              </w:rPr>
            </w:pPr>
            <w:r w:rsidRPr="00605FEB">
              <w:rPr>
                <w:b/>
                <w:color w:val="993300"/>
              </w:rPr>
              <w:t>Croissance annuelle en</w:t>
            </w:r>
            <w:r w:rsidRPr="00605FEB">
              <w:rPr>
                <w:b/>
                <w:color w:val="993300"/>
                <w:sz w:val="28"/>
                <w:szCs w:val="28"/>
              </w:rPr>
              <w:t xml:space="preserve"> %</w:t>
            </w:r>
            <w:r w:rsidR="001B4BEC">
              <w:rPr>
                <w:b/>
                <w:color w:val="993300"/>
                <w:sz w:val="28"/>
                <w:szCs w:val="28"/>
              </w:rPr>
              <w:t xml:space="preserve"> </w:t>
            </w:r>
            <w:r w:rsidRPr="00605FEB">
              <w:rPr>
                <w:b/>
                <w:color w:val="993300"/>
              </w:rPr>
              <w:t>(aux prix de l’année précédente)</w:t>
            </w:r>
          </w:p>
          <w:p w:rsidR="001B4BEC" w:rsidRDefault="001B4BEC" w:rsidP="009A7AB1">
            <w:pPr>
              <w:spacing w:line="240" w:lineRule="exact"/>
              <w:jc w:val="center"/>
              <w:rPr>
                <w:b/>
                <w:color w:val="993300"/>
              </w:rPr>
            </w:pPr>
          </w:p>
          <w:p w:rsidR="001B4BEC" w:rsidRDefault="001B4BEC" w:rsidP="009A7AB1">
            <w:pPr>
              <w:spacing w:line="240" w:lineRule="exact"/>
              <w:jc w:val="center"/>
              <w:rPr>
                <w:b/>
                <w:color w:val="993300"/>
              </w:rPr>
            </w:pPr>
          </w:p>
          <w:p w:rsidR="001B4BEC" w:rsidRPr="00605FEB" w:rsidRDefault="001B4BEC" w:rsidP="009A7AB1">
            <w:pPr>
              <w:spacing w:line="240" w:lineRule="exact"/>
              <w:jc w:val="center"/>
            </w:pPr>
          </w:p>
        </w:tc>
      </w:tr>
      <w:tr w:rsidR="00450C70" w:rsidRPr="00605FEB" w:rsidTr="001B4BEC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i/>
                <w:iCs/>
                <w:color w:val="660066"/>
                <w:sz w:val="26"/>
                <w:szCs w:val="26"/>
              </w:rPr>
            </w:pPr>
            <w:r w:rsidRPr="00605FEB">
              <w:rPr>
                <w:color w:val="800080"/>
                <w:sz w:val="26"/>
                <w:szCs w:val="26"/>
              </w:rPr>
              <w:t xml:space="preserve">       </w:t>
            </w:r>
            <w:r w:rsidRPr="00605FEB">
              <w:rPr>
                <w:b/>
                <w:bCs/>
                <w:color w:val="800080"/>
              </w:rPr>
              <w:t>Produit intérieur brut (PIB)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3,0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4,7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2,4</w:t>
            </w:r>
          </w:p>
        </w:tc>
      </w:tr>
      <w:tr w:rsidR="00450C70" w:rsidRPr="00605FEB" w:rsidTr="001B4BEC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Valeur ajoutée totale aux prix de base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rFonts w:ascii="Arial" w:hAnsi="Arial"/>
                <w:b/>
                <w:bCs/>
                <w:sz w:val="15"/>
                <w:szCs w:val="15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2,7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3,9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1,4</w:t>
            </w:r>
          </w:p>
        </w:tc>
      </w:tr>
      <w:tr w:rsidR="00450C70" w:rsidRPr="00605FEB" w:rsidTr="001B4BEC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        Agriculture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rFonts w:ascii="Arial" w:hAnsi="Arial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-9,1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17,9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-2,5</w:t>
            </w:r>
          </w:p>
        </w:tc>
      </w:tr>
      <w:tr w:rsidR="00450C70" w:rsidRPr="00605FEB" w:rsidTr="001B4BEC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        Hors agriculture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rFonts w:ascii="Arial" w:hAnsi="Arial"/>
                <w:b/>
                <w:bCs/>
                <w:sz w:val="15"/>
                <w:szCs w:val="15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4,5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1,9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2,0</w:t>
            </w:r>
          </w:p>
        </w:tc>
      </w:tr>
      <w:tr w:rsidR="00450C70" w:rsidRPr="00605FEB" w:rsidTr="001B4BEC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 Impôts sur les produits nets des subventions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6,8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14,7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13,4</w:t>
            </w:r>
          </w:p>
        </w:tc>
      </w:tr>
      <w:tr w:rsidR="00450C70" w:rsidRPr="00605FEB" w:rsidTr="001B4BEC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i/>
                <w:iCs/>
                <w:color w:val="660066"/>
                <w:sz w:val="26"/>
                <w:szCs w:val="26"/>
              </w:rPr>
            </w:pPr>
            <w:r w:rsidRPr="00605FEB">
              <w:rPr>
                <w:color w:val="800080"/>
                <w:sz w:val="26"/>
                <w:szCs w:val="26"/>
              </w:rPr>
              <w:t xml:space="preserve">       </w:t>
            </w:r>
            <w:r w:rsidRPr="00605FEB">
              <w:rPr>
                <w:b/>
                <w:bCs/>
                <w:color w:val="800080"/>
              </w:rPr>
              <w:t>Produit intérieur brut non agricole (*)</w:t>
            </w:r>
            <w:r w:rsidRPr="00605FEB">
              <w:rPr>
                <w:color w:val="800080"/>
                <w:sz w:val="26"/>
                <w:szCs w:val="26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/>
                <w:bCs/>
                <w:color w:val="800080"/>
              </w:rPr>
            </w:pPr>
            <w:r w:rsidRPr="003C770D">
              <w:rPr>
                <w:b/>
                <w:bCs/>
                <w:color w:val="800080"/>
              </w:rPr>
              <w:t>4,7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/>
                <w:bCs/>
                <w:color w:val="800080"/>
              </w:rPr>
            </w:pPr>
            <w:r w:rsidRPr="003C770D">
              <w:rPr>
                <w:b/>
                <w:bCs/>
                <w:color w:val="800080"/>
              </w:rPr>
              <w:t>3,0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/>
                <w:bCs/>
                <w:color w:val="800080"/>
              </w:rPr>
            </w:pPr>
            <w:r w:rsidRPr="003C770D">
              <w:rPr>
                <w:b/>
                <w:bCs/>
                <w:color w:val="800080"/>
              </w:rPr>
              <w:t>3,1</w:t>
            </w:r>
          </w:p>
        </w:tc>
      </w:tr>
      <w:tr w:rsidR="00450C70" w:rsidRPr="00605FEB" w:rsidTr="001B4BEC">
        <w:trPr>
          <w:trHeight w:hRule="exact" w:val="398"/>
          <w:jc w:val="center"/>
        </w:trPr>
        <w:tc>
          <w:tcPr>
            <w:tcW w:w="6407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color w:val="800080"/>
                <w:sz w:val="26"/>
                <w:szCs w:val="26"/>
              </w:rPr>
            </w:pPr>
            <w:r w:rsidRPr="00605FEB">
              <w:rPr>
                <w:b/>
                <w:color w:val="993300"/>
                <w:sz w:val="28"/>
                <w:szCs w:val="28"/>
              </w:rPr>
              <w:t>Demande</w:t>
            </w:r>
            <w:r w:rsidRPr="00605FEB">
              <w:rPr>
                <w:color w:val="800080"/>
                <w:sz w:val="26"/>
                <w:szCs w:val="26"/>
              </w:rPr>
              <w:t> 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jc w:val="right"/>
              <w:rPr>
                <w:bCs/>
              </w:rPr>
            </w:pPr>
          </w:p>
        </w:tc>
      </w:tr>
      <w:tr w:rsidR="00450C70" w:rsidRPr="00605FEB" w:rsidTr="001B4BEC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Dépenses de consommation finale des ménages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4,1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3,7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3,2</w:t>
            </w:r>
          </w:p>
        </w:tc>
      </w:tr>
      <w:tr w:rsidR="00450C70" w:rsidRPr="00605FEB" w:rsidTr="001B4BEC">
        <w:trPr>
          <w:trHeight w:hRule="exact" w:val="278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1B4BEC">
            <w:pPr>
              <w:spacing w:line="200" w:lineRule="exact"/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Dépenses de consommation finale des Administrations</w:t>
            </w:r>
            <w:r w:rsidR="001B4BEC">
              <w:rPr>
                <w:color w:val="000000"/>
              </w:rPr>
              <w:t xml:space="preserve"> publiques</w:t>
            </w:r>
            <w:r w:rsidRPr="00605FEB">
              <w:rPr>
                <w:color w:val="000000"/>
              </w:rPr>
              <w:t xml:space="preserve">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8,5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4,2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1,8</w:t>
            </w:r>
          </w:p>
        </w:tc>
      </w:tr>
      <w:tr w:rsidR="00450C70" w:rsidRPr="00605FEB" w:rsidTr="001B4BEC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Dépenses de consommation finale des </w:t>
            </w:r>
            <w:r>
              <w:rPr>
                <w:color w:val="000000"/>
              </w:rPr>
              <w:t>ISBL</w:t>
            </w:r>
            <w:r w:rsidRPr="00605FEB">
              <w:rPr>
                <w:color w:val="000000"/>
              </w:rPr>
              <w:t xml:space="preserve">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6,9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1,9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14,0</w:t>
            </w:r>
          </w:p>
        </w:tc>
      </w:tr>
      <w:tr w:rsidR="00450C70" w:rsidRPr="00605FEB" w:rsidTr="001B4BEC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Formation brute de capital fixe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3,6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-1,5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-0,4</w:t>
            </w:r>
          </w:p>
        </w:tc>
      </w:tr>
      <w:tr w:rsidR="00450C70" w:rsidRPr="00605FEB" w:rsidTr="001B4BEC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Importations de biens et services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3,3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0,9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1,8</w:t>
            </w:r>
          </w:p>
        </w:tc>
      </w:tr>
      <w:tr w:rsidR="00450C70" w:rsidRPr="00605FEB" w:rsidTr="001B4BEC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Exportations de biens et services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/>
                <w:bCs/>
                <w:color w:val="800080"/>
              </w:rPr>
            </w:pPr>
            <w:r w:rsidRPr="003C770D">
              <w:rPr>
                <w:b/>
                <w:bCs/>
                <w:color w:val="800080"/>
              </w:rPr>
              <w:t>2,7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/>
                <w:bCs/>
                <w:color w:val="800080"/>
              </w:rPr>
            </w:pPr>
            <w:r w:rsidRPr="003C770D">
              <w:rPr>
                <w:b/>
                <w:bCs/>
                <w:color w:val="800080"/>
              </w:rPr>
              <w:t>0,9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/>
                <w:bCs/>
                <w:color w:val="800080"/>
              </w:rPr>
            </w:pPr>
            <w:r w:rsidRPr="003C770D">
              <w:rPr>
                <w:b/>
                <w:bCs/>
                <w:color w:val="800080"/>
              </w:rPr>
              <w:t>6,3</w:t>
            </w:r>
          </w:p>
        </w:tc>
      </w:tr>
      <w:tr w:rsidR="00450C70" w:rsidRPr="00605FEB" w:rsidTr="001B4BEC">
        <w:trPr>
          <w:trHeight w:hRule="exact" w:val="867"/>
          <w:jc w:val="center"/>
        </w:trPr>
        <w:tc>
          <w:tcPr>
            <w:tcW w:w="6407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spacing w:line="240" w:lineRule="exact"/>
              <w:rPr>
                <w:b/>
                <w:color w:val="993300"/>
                <w:sz w:val="28"/>
                <w:szCs w:val="28"/>
              </w:rPr>
            </w:pPr>
            <w:r w:rsidRPr="00605FEB">
              <w:rPr>
                <w:b/>
                <w:color w:val="993300"/>
                <w:sz w:val="28"/>
                <w:szCs w:val="28"/>
              </w:rPr>
              <w:t>Décomposition du PIB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spacing w:line="260" w:lineRule="exact"/>
              <w:jc w:val="center"/>
              <w:rPr>
                <w:b/>
                <w:color w:val="993300"/>
              </w:rPr>
            </w:pPr>
            <w:r w:rsidRPr="00605FEB">
              <w:rPr>
                <w:b/>
                <w:color w:val="993300"/>
              </w:rPr>
              <w:t>Aux prix courants</w:t>
            </w:r>
          </w:p>
          <w:p w:rsidR="00450C70" w:rsidRDefault="00450C70" w:rsidP="009A7AB1">
            <w:pPr>
              <w:spacing w:line="260" w:lineRule="exact"/>
              <w:jc w:val="center"/>
              <w:rPr>
                <w:b/>
                <w:color w:val="993300"/>
              </w:rPr>
            </w:pPr>
            <w:r w:rsidRPr="00605FEB">
              <w:rPr>
                <w:b/>
                <w:color w:val="993300"/>
              </w:rPr>
              <w:t>(en</w:t>
            </w:r>
            <w:r w:rsidRPr="00605FEB">
              <w:rPr>
                <w:b/>
                <w:color w:val="993300"/>
                <w:sz w:val="28"/>
                <w:szCs w:val="28"/>
              </w:rPr>
              <w:t xml:space="preserve"> </w:t>
            </w:r>
            <w:r w:rsidRPr="00605FEB">
              <w:rPr>
                <w:b/>
                <w:color w:val="993300"/>
              </w:rPr>
              <w:t>millions de DH)</w:t>
            </w:r>
          </w:p>
          <w:p w:rsidR="001B4BEC" w:rsidRDefault="001B4BEC" w:rsidP="009A7AB1">
            <w:pPr>
              <w:spacing w:line="260" w:lineRule="exact"/>
              <w:jc w:val="center"/>
              <w:rPr>
                <w:b/>
                <w:color w:val="993300"/>
              </w:rPr>
            </w:pPr>
          </w:p>
          <w:p w:rsidR="001B4BEC" w:rsidRPr="00605FEB" w:rsidRDefault="001B4BEC" w:rsidP="009A7AB1">
            <w:pPr>
              <w:spacing w:line="260" w:lineRule="exact"/>
              <w:jc w:val="center"/>
            </w:pPr>
          </w:p>
        </w:tc>
      </w:tr>
      <w:tr w:rsidR="00450C70" w:rsidRPr="00605FEB" w:rsidTr="001B4BEC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rFonts w:ascii="Arial" w:hAnsi="Arial"/>
                <w:i/>
                <w:iCs/>
                <w:color w:val="660066"/>
                <w:sz w:val="20"/>
                <w:szCs w:val="20"/>
              </w:rPr>
            </w:pPr>
            <w:r w:rsidRPr="00605FEB">
              <w:rPr>
                <w:color w:val="800080"/>
                <w:sz w:val="26"/>
                <w:szCs w:val="26"/>
              </w:rPr>
              <w:t xml:space="preserve">       </w:t>
            </w:r>
            <w:r w:rsidRPr="00605FEB">
              <w:rPr>
                <w:b/>
                <w:bCs/>
                <w:color w:val="800080"/>
              </w:rPr>
              <w:t>Produit intérieur brut</w:t>
            </w:r>
            <w:r w:rsidRPr="00605FEB">
              <w:rPr>
                <w:rFonts w:ascii="Arial" w:hAnsi="Arial"/>
                <w:i/>
                <w:iCs/>
                <w:color w:val="660066"/>
                <w:sz w:val="20"/>
                <w:szCs w:val="20"/>
              </w:rPr>
              <w:t xml:space="preserve">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/>
                <w:bCs/>
                <w:color w:val="800080"/>
              </w:rPr>
            </w:pPr>
            <w:r w:rsidRPr="003C770D">
              <w:rPr>
                <w:b/>
                <w:bCs/>
                <w:color w:val="800080"/>
              </w:rPr>
              <w:t>847 881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/>
                <w:bCs/>
                <w:color w:val="800080"/>
              </w:rPr>
            </w:pPr>
            <w:r w:rsidRPr="003C770D">
              <w:rPr>
                <w:b/>
                <w:bCs/>
                <w:color w:val="800080"/>
              </w:rPr>
              <w:t>901 366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/>
                <w:bCs/>
                <w:color w:val="800080"/>
              </w:rPr>
            </w:pPr>
            <w:r w:rsidRPr="003C770D">
              <w:rPr>
                <w:b/>
                <w:bCs/>
                <w:color w:val="800080"/>
              </w:rPr>
              <w:t>924 769</w:t>
            </w:r>
          </w:p>
        </w:tc>
      </w:tr>
      <w:tr w:rsidR="00450C70" w:rsidRPr="00605FEB" w:rsidTr="001B4BEC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Valeur ajoutée totale aux prix de base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781 813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821 856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830 734</w:t>
            </w:r>
          </w:p>
        </w:tc>
      </w:tr>
      <w:tr w:rsidR="00450C70" w:rsidRPr="00605FEB" w:rsidTr="001B4BEC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        Agriculture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97 582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113 128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99 121</w:t>
            </w:r>
          </w:p>
        </w:tc>
      </w:tr>
      <w:tr w:rsidR="00450C70" w:rsidRPr="00605FEB" w:rsidTr="001B4BEC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        Hors agriculture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684 231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708728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731 613</w:t>
            </w:r>
          </w:p>
        </w:tc>
      </w:tr>
      <w:tr w:rsidR="00450C70" w:rsidRPr="00605FEB" w:rsidTr="001B4BEC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 Impôts sur les produits nets des subventions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66 068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79510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94 035</w:t>
            </w:r>
          </w:p>
        </w:tc>
      </w:tr>
      <w:tr w:rsidR="00450C70" w:rsidRPr="00605FEB" w:rsidTr="001B4BEC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rFonts w:ascii="Arial" w:hAnsi="Arial"/>
                <w:i/>
                <w:iCs/>
                <w:color w:val="660066"/>
                <w:sz w:val="20"/>
                <w:szCs w:val="20"/>
              </w:rPr>
            </w:pPr>
            <w:r w:rsidRPr="00605FEB">
              <w:rPr>
                <w:color w:val="800080"/>
                <w:sz w:val="26"/>
                <w:szCs w:val="26"/>
              </w:rPr>
              <w:t xml:space="preserve">       </w:t>
            </w:r>
            <w:r w:rsidRPr="00605FEB">
              <w:rPr>
                <w:b/>
                <w:bCs/>
                <w:color w:val="800080"/>
              </w:rPr>
              <w:t>Produit intérieur brut non agricole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/>
                <w:bCs/>
                <w:color w:val="800080"/>
              </w:rPr>
            </w:pPr>
            <w:r w:rsidRPr="003C770D">
              <w:rPr>
                <w:b/>
                <w:bCs/>
                <w:color w:val="800080"/>
              </w:rPr>
              <w:t>750 299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rPr>
                <w:b/>
                <w:bCs/>
                <w:color w:val="80008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/>
                <w:bCs/>
                <w:color w:val="800080"/>
              </w:rPr>
            </w:pPr>
            <w:r w:rsidRPr="003C770D">
              <w:rPr>
                <w:b/>
                <w:bCs/>
                <w:color w:val="800080"/>
              </w:rPr>
              <w:t>788 238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/>
                <w:bCs/>
                <w:color w:val="800080"/>
              </w:rPr>
            </w:pPr>
            <w:r w:rsidRPr="003C770D">
              <w:rPr>
                <w:b/>
                <w:bCs/>
                <w:color w:val="800080"/>
              </w:rPr>
              <w:t>825 648</w:t>
            </w:r>
          </w:p>
        </w:tc>
      </w:tr>
      <w:tr w:rsidR="00450C70" w:rsidRPr="00605FEB" w:rsidTr="001B4BEC">
        <w:trPr>
          <w:trHeight w:hRule="exact" w:val="417"/>
          <w:jc w:val="center"/>
        </w:trPr>
        <w:tc>
          <w:tcPr>
            <w:tcW w:w="6407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rFonts w:ascii="Arial" w:hAnsi="Arial"/>
                <w:i/>
                <w:iCs/>
                <w:color w:val="660066"/>
                <w:sz w:val="20"/>
                <w:szCs w:val="20"/>
              </w:rPr>
            </w:pPr>
            <w:r w:rsidRPr="00605FEB">
              <w:rPr>
                <w:color w:val="800080"/>
                <w:sz w:val="26"/>
                <w:szCs w:val="26"/>
              </w:rPr>
              <w:t xml:space="preserve">  </w:t>
            </w:r>
            <w:r w:rsidRPr="00605FEB">
              <w:rPr>
                <w:b/>
                <w:color w:val="993300"/>
                <w:sz w:val="28"/>
                <w:szCs w:val="28"/>
              </w:rPr>
              <w:t>Demande 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bCs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bCs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jc w:val="right"/>
              <w:rPr>
                <w:bCs/>
              </w:rPr>
            </w:pPr>
          </w:p>
        </w:tc>
      </w:tr>
      <w:tr w:rsidR="00450C70" w:rsidRPr="00605FEB" w:rsidTr="001B4BEC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Dépenses de consommation finale des ménages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508 124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535 861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552 595</w:t>
            </w:r>
          </w:p>
        </w:tc>
      </w:tr>
      <w:tr w:rsidR="00450C70" w:rsidRPr="00605FEB" w:rsidTr="001B4BEC">
        <w:trPr>
          <w:trHeight w:hRule="exact" w:val="244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1B4BEC">
            <w:pPr>
              <w:spacing w:line="200" w:lineRule="exact"/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Dépenses de consommation finale des Administrations</w:t>
            </w:r>
            <w:r w:rsidR="001B4BEC">
              <w:rPr>
                <w:color w:val="000000"/>
              </w:rPr>
              <w:t xml:space="preserve"> </w:t>
            </w:r>
            <w:r w:rsidRPr="00605FEB">
              <w:rPr>
                <w:color w:val="000000"/>
              </w:rPr>
              <w:t>publiques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168 190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178 309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183 853</w:t>
            </w:r>
          </w:p>
        </w:tc>
      </w:tr>
      <w:tr w:rsidR="00450C70" w:rsidRPr="00605FEB" w:rsidTr="001B4BEC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</w:t>
            </w:r>
            <w:r w:rsidR="001B4BEC">
              <w:rPr>
                <w:color w:val="000000"/>
              </w:rPr>
              <w:t xml:space="preserve"> </w:t>
            </w:r>
            <w:r w:rsidRPr="00605FEB">
              <w:rPr>
                <w:color w:val="000000"/>
              </w:rPr>
              <w:t xml:space="preserve"> Dépenses de consommation finale des </w:t>
            </w:r>
            <w:r>
              <w:rPr>
                <w:color w:val="000000"/>
              </w:rPr>
              <w:t>ISBL</w:t>
            </w:r>
            <w:r w:rsidRPr="00605FEB">
              <w:rPr>
                <w:color w:val="000000"/>
              </w:rPr>
              <w:t xml:space="preserve">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4 083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4 242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4 923</w:t>
            </w:r>
          </w:p>
        </w:tc>
      </w:tr>
      <w:tr w:rsidR="00450C70" w:rsidRPr="00605FEB" w:rsidTr="001B4BEC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Formation brute de capital fixe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276 390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273 392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272 094</w:t>
            </w:r>
          </w:p>
        </w:tc>
      </w:tr>
      <w:tr w:rsidR="00450C70" w:rsidRPr="00605FEB" w:rsidTr="001B4BEC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Importations de biens et services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425 597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424 205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431 136</w:t>
            </w:r>
          </w:p>
        </w:tc>
      </w:tr>
      <w:tr w:rsidR="00450C70" w:rsidRPr="00605FEB" w:rsidTr="001B4BEC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Exportations de biens et services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296 161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294 318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316 855</w:t>
            </w:r>
          </w:p>
        </w:tc>
      </w:tr>
      <w:tr w:rsidR="00450C70" w:rsidRPr="00605FEB" w:rsidTr="001B4BEC">
        <w:trPr>
          <w:trHeight w:hRule="exact" w:val="266"/>
          <w:jc w:val="center"/>
        </w:trPr>
        <w:tc>
          <w:tcPr>
            <w:tcW w:w="6407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b/>
                <w:bCs/>
                <w:color w:val="800080"/>
              </w:rPr>
            </w:pPr>
            <w:r w:rsidRPr="00605FEB">
              <w:rPr>
                <w:b/>
                <w:bCs/>
                <w:color w:val="800080"/>
              </w:rPr>
              <w:t xml:space="preserve">       Revenu national brut disponible (RNBD)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Default="00450C70" w:rsidP="009A7AB1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896 669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Default="00450C70" w:rsidP="009A7AB1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50C70" w:rsidRDefault="00450C70" w:rsidP="009A7AB1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962 071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Default="00450C70" w:rsidP="009A7AB1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Default="00450C70" w:rsidP="009A7AB1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985 174</w:t>
            </w:r>
          </w:p>
        </w:tc>
      </w:tr>
      <w:tr w:rsidR="00450C70" w:rsidRPr="00605FEB" w:rsidTr="001B4BEC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b/>
                <w:bCs/>
                <w:color w:val="800080"/>
              </w:rPr>
            </w:pPr>
            <w:r w:rsidRPr="00605FEB">
              <w:rPr>
                <w:b/>
                <w:bCs/>
                <w:color w:val="800080"/>
              </w:rPr>
              <w:t xml:space="preserve">       Epargne nationale brute (ENB)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Default="00450C70" w:rsidP="009A7AB1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216 272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Default="00450C70" w:rsidP="009A7AB1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50C70" w:rsidRDefault="00450C70" w:rsidP="009A7AB1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243 659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Default="00450C70" w:rsidP="009A7AB1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Default="00450C70" w:rsidP="009A7AB1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243 803</w:t>
            </w:r>
          </w:p>
        </w:tc>
      </w:tr>
      <w:tr w:rsidR="00450C70" w:rsidRPr="00605FEB" w:rsidTr="001B4BEC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b/>
                <w:bCs/>
                <w:color w:val="800080"/>
              </w:rPr>
            </w:pPr>
            <w:r w:rsidRPr="00605FEB">
              <w:rPr>
                <w:b/>
                <w:bCs/>
                <w:color w:val="800080"/>
              </w:rPr>
              <w:t xml:space="preserve">       Besoin de financement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Default="00450C70" w:rsidP="009A7AB1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80 647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Default="00450C70" w:rsidP="009A7AB1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50C70" w:rsidRDefault="00450C70" w:rsidP="009A7AB1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69 183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Default="00450C70" w:rsidP="009A7AB1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Default="00450C70" w:rsidP="009A7AB1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53 857</w:t>
            </w:r>
          </w:p>
        </w:tc>
      </w:tr>
      <w:tr w:rsidR="00450C70" w:rsidRPr="00605FEB" w:rsidTr="001B4BEC">
        <w:trPr>
          <w:trHeight w:hRule="exact" w:val="397"/>
          <w:jc w:val="center"/>
        </w:trPr>
        <w:tc>
          <w:tcPr>
            <w:tcW w:w="6407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b/>
                <w:color w:val="993300"/>
                <w:sz w:val="28"/>
                <w:szCs w:val="28"/>
              </w:rPr>
            </w:pPr>
            <w:r w:rsidRPr="00605FEB">
              <w:rPr>
                <w:b/>
                <w:color w:val="993300"/>
                <w:sz w:val="28"/>
                <w:szCs w:val="28"/>
              </w:rPr>
              <w:t xml:space="preserve">Quelques ratios économiques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jc w:val="center"/>
              <w:rPr>
                <w:b/>
                <w:color w:val="993300"/>
              </w:rPr>
            </w:pPr>
            <w:r w:rsidRPr="00605FEB">
              <w:rPr>
                <w:b/>
                <w:color w:val="993300"/>
              </w:rPr>
              <w:t>En %</w:t>
            </w:r>
          </w:p>
        </w:tc>
      </w:tr>
      <w:tr w:rsidR="00450C70" w:rsidRPr="00605FEB" w:rsidTr="001B4BEC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PIB par habitant (en dirham)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26 011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27 356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27 768</w:t>
            </w:r>
          </w:p>
        </w:tc>
      </w:tr>
      <w:tr w:rsidR="00450C70" w:rsidRPr="00605FEB" w:rsidTr="001B4BEC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RNBD par habitant (en dirham)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27 508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29 198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29 581</w:t>
            </w:r>
          </w:p>
        </w:tc>
      </w:tr>
      <w:tr w:rsidR="00450C70" w:rsidRPr="00605FEB" w:rsidTr="001B4BEC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Dépenses de consommation finale des ménages/PIB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59,9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59,4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59,8</w:t>
            </w:r>
          </w:p>
        </w:tc>
      </w:tr>
      <w:tr w:rsidR="00450C70" w:rsidRPr="00605FEB" w:rsidTr="001B4BEC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Dépenses de consommation finale des APU/PIB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19,8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19,8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19,9</w:t>
            </w:r>
          </w:p>
        </w:tc>
      </w:tr>
      <w:tr w:rsidR="00450C70" w:rsidRPr="00605FEB" w:rsidTr="001B4BEC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605FEB">
              <w:rPr>
                <w:color w:val="000000"/>
              </w:rPr>
              <w:t xml:space="preserve">Dépenses de consommation finale des </w:t>
            </w:r>
            <w:r>
              <w:rPr>
                <w:color w:val="000000"/>
              </w:rPr>
              <w:t>ISBL/PIB</w:t>
            </w:r>
            <w:r w:rsidRPr="00605FEB">
              <w:rPr>
                <w:color w:val="000000"/>
              </w:rPr>
              <w:t xml:space="preserve">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0,5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0,5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0,5</w:t>
            </w:r>
          </w:p>
        </w:tc>
      </w:tr>
      <w:tr w:rsidR="00450C70" w:rsidRPr="00605FEB" w:rsidTr="001B4BEC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Exportations de biens et services/PIB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34,9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32,7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34,3</w:t>
            </w:r>
          </w:p>
        </w:tc>
      </w:tr>
      <w:tr w:rsidR="00450C70" w:rsidRPr="00605FEB" w:rsidTr="001B4BEC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Importations de biens et services/PIB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50,2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47,1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  <w:r w:rsidRPr="003C770D">
              <w:rPr>
                <w:bCs/>
              </w:rPr>
              <w:t>46,6</w:t>
            </w:r>
          </w:p>
        </w:tc>
      </w:tr>
      <w:tr w:rsidR="00450C70" w:rsidRPr="00605FEB" w:rsidTr="001B4BEC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Taux d'investissement (FBC/PIB)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EB63E8">
            <w:pPr>
              <w:jc w:val="right"/>
              <w:rPr>
                <w:bCs/>
              </w:rPr>
            </w:pPr>
            <w:r w:rsidRPr="003C770D">
              <w:rPr>
                <w:bCs/>
              </w:rPr>
              <w:t>3</w:t>
            </w:r>
            <w:r w:rsidR="00EB63E8">
              <w:rPr>
                <w:bCs/>
              </w:rPr>
              <w:t>5,0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EB63E8">
            <w:pPr>
              <w:jc w:val="right"/>
              <w:rPr>
                <w:bCs/>
              </w:rPr>
            </w:pPr>
            <w:r w:rsidRPr="003C770D">
              <w:rPr>
                <w:bCs/>
              </w:rPr>
              <w:t>3</w:t>
            </w:r>
            <w:r w:rsidR="00EB63E8">
              <w:rPr>
                <w:bCs/>
              </w:rPr>
              <w:t>4,7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3C770D" w:rsidRDefault="00EB63E8" w:rsidP="00EB63E8">
            <w:pPr>
              <w:jc w:val="right"/>
              <w:rPr>
                <w:bCs/>
              </w:rPr>
            </w:pPr>
            <w:r>
              <w:rPr>
                <w:bCs/>
              </w:rPr>
              <w:t>32,2</w:t>
            </w:r>
          </w:p>
        </w:tc>
      </w:tr>
      <w:tr w:rsidR="00450C70" w:rsidRPr="00605FEB" w:rsidTr="001B4BEC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A85679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Taux d'épargne nationale (ENB/</w:t>
            </w:r>
            <w:r w:rsidR="00A85679">
              <w:rPr>
                <w:color w:val="000000"/>
              </w:rPr>
              <w:t>PIB</w:t>
            </w:r>
            <w:r w:rsidRPr="00605FEB">
              <w:rPr>
                <w:color w:val="000000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605FEB" w:rsidRDefault="00450C70" w:rsidP="009A7AB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A85679" w:rsidP="009A7AB1">
            <w:pPr>
              <w:jc w:val="right"/>
              <w:rPr>
                <w:bCs/>
              </w:rPr>
            </w:pPr>
            <w:r>
              <w:rPr>
                <w:bCs/>
              </w:rPr>
              <w:t>25,5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50C70" w:rsidRPr="003C770D" w:rsidRDefault="00A85679" w:rsidP="009A7AB1">
            <w:pPr>
              <w:jc w:val="right"/>
              <w:rPr>
                <w:bCs/>
              </w:rPr>
            </w:pPr>
            <w:r>
              <w:rPr>
                <w:bCs/>
              </w:rPr>
              <w:t>27,0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0C70" w:rsidRPr="003C770D" w:rsidRDefault="00450C70" w:rsidP="009A7AB1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0C70" w:rsidRPr="003C770D" w:rsidRDefault="00A85679" w:rsidP="009A7AB1">
            <w:pPr>
              <w:jc w:val="right"/>
              <w:rPr>
                <w:bCs/>
              </w:rPr>
            </w:pPr>
            <w:r>
              <w:rPr>
                <w:bCs/>
              </w:rPr>
              <w:t>26,4</w:t>
            </w:r>
          </w:p>
        </w:tc>
      </w:tr>
      <w:tr w:rsidR="007F79E2" w:rsidRPr="00605FEB" w:rsidTr="001B4BEC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F79E2" w:rsidRPr="00605FEB" w:rsidRDefault="007F79E2" w:rsidP="009A7AB1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Besoin de financement/PIB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F79E2" w:rsidRPr="00605FEB" w:rsidRDefault="007F79E2" w:rsidP="009A7AB1">
            <w:pPr>
              <w:rPr>
                <w:rFonts w:ascii="Arial" w:hAnsi="Arial"/>
                <w:b/>
                <w:bCs/>
                <w:color w:val="800080"/>
                <w:sz w:val="15"/>
                <w:szCs w:val="15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F79E2" w:rsidRDefault="007F79E2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-9,5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F79E2" w:rsidRDefault="007F79E2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F79E2" w:rsidRDefault="007F79E2" w:rsidP="007F79E2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-7,7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F79E2" w:rsidRDefault="007F79E2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F79E2" w:rsidRDefault="007F79E2" w:rsidP="007F79E2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-5,5</w:t>
            </w:r>
          </w:p>
        </w:tc>
      </w:tr>
    </w:tbl>
    <w:bookmarkEnd w:id="0"/>
    <w:p w:rsidR="007D5FAC" w:rsidRPr="00E17B11" w:rsidRDefault="00450C70" w:rsidP="00E17B11">
      <w:pPr>
        <w:spacing w:before="60" w:after="0" w:line="240" w:lineRule="auto"/>
        <w:ind w:firstLine="709"/>
        <w:jc w:val="center"/>
        <w:rPr>
          <w:rFonts w:ascii="Book Antiqua" w:eastAsia="Times New Roman" w:hAnsi="Book Antiqua" w:cs="Times New Roman"/>
          <w:b/>
          <w:sz w:val="28"/>
          <w:szCs w:val="28"/>
          <w:lang w:eastAsia="fr-FR"/>
        </w:rPr>
      </w:pPr>
      <w:r w:rsidRPr="00605FEB">
        <w:rPr>
          <w:color w:val="000000"/>
        </w:rPr>
        <w:t>(*) Valeur ajoutée hors agriculture augmentée des impôts sur les produits nets des subventions</w:t>
      </w:r>
    </w:p>
    <w:sectPr w:rsidR="007D5FAC" w:rsidRPr="00E17B11" w:rsidSect="0009564F">
      <w:pgSz w:w="11906" w:h="16838"/>
      <w:pgMar w:top="567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0119"/>
    <w:multiLevelType w:val="hybridMultilevel"/>
    <w:tmpl w:val="909C2206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199545C"/>
    <w:multiLevelType w:val="hybridMultilevel"/>
    <w:tmpl w:val="27D0AD7A"/>
    <w:lvl w:ilvl="0" w:tplc="A988777C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  <w:color w:val="FFC000"/>
        <w:sz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66337FE2"/>
    <w:multiLevelType w:val="hybridMultilevel"/>
    <w:tmpl w:val="BD285ACC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9B4BDF"/>
    <w:rsid w:val="00000FE4"/>
    <w:rsid w:val="00003245"/>
    <w:rsid w:val="00003381"/>
    <w:rsid w:val="00006ECA"/>
    <w:rsid w:val="00006ED1"/>
    <w:rsid w:val="00007B9A"/>
    <w:rsid w:val="00007D44"/>
    <w:rsid w:val="00013D16"/>
    <w:rsid w:val="00014F3A"/>
    <w:rsid w:val="000156D0"/>
    <w:rsid w:val="0001602E"/>
    <w:rsid w:val="00016208"/>
    <w:rsid w:val="00020784"/>
    <w:rsid w:val="000210AF"/>
    <w:rsid w:val="0002681C"/>
    <w:rsid w:val="000300A1"/>
    <w:rsid w:val="000521F5"/>
    <w:rsid w:val="000562D2"/>
    <w:rsid w:val="00056C78"/>
    <w:rsid w:val="000715B3"/>
    <w:rsid w:val="00071D45"/>
    <w:rsid w:val="000720A3"/>
    <w:rsid w:val="000756E7"/>
    <w:rsid w:val="00080039"/>
    <w:rsid w:val="00083662"/>
    <w:rsid w:val="00083BA3"/>
    <w:rsid w:val="00086172"/>
    <w:rsid w:val="0009217D"/>
    <w:rsid w:val="0009278D"/>
    <w:rsid w:val="00092C80"/>
    <w:rsid w:val="0009564F"/>
    <w:rsid w:val="000A1308"/>
    <w:rsid w:val="000A4696"/>
    <w:rsid w:val="000A5CB4"/>
    <w:rsid w:val="000A6A7F"/>
    <w:rsid w:val="000B0650"/>
    <w:rsid w:val="000B21E2"/>
    <w:rsid w:val="000B2341"/>
    <w:rsid w:val="000B2E7D"/>
    <w:rsid w:val="000B5CCD"/>
    <w:rsid w:val="000B75CA"/>
    <w:rsid w:val="000C0412"/>
    <w:rsid w:val="000C12D8"/>
    <w:rsid w:val="000C3896"/>
    <w:rsid w:val="000C3E67"/>
    <w:rsid w:val="000C40D2"/>
    <w:rsid w:val="000C5DDE"/>
    <w:rsid w:val="000D4269"/>
    <w:rsid w:val="000D48B1"/>
    <w:rsid w:val="000E0FDD"/>
    <w:rsid w:val="000E2C4A"/>
    <w:rsid w:val="000E2DF1"/>
    <w:rsid w:val="000E78AD"/>
    <w:rsid w:val="000F5F31"/>
    <w:rsid w:val="001020CF"/>
    <w:rsid w:val="00105ACC"/>
    <w:rsid w:val="00105DED"/>
    <w:rsid w:val="00112A59"/>
    <w:rsid w:val="0011562F"/>
    <w:rsid w:val="0011686D"/>
    <w:rsid w:val="00120826"/>
    <w:rsid w:val="00121025"/>
    <w:rsid w:val="00123E8A"/>
    <w:rsid w:val="00131926"/>
    <w:rsid w:val="00133029"/>
    <w:rsid w:val="00135562"/>
    <w:rsid w:val="00136DA2"/>
    <w:rsid w:val="00136DAC"/>
    <w:rsid w:val="00146EE9"/>
    <w:rsid w:val="001535E3"/>
    <w:rsid w:val="00153808"/>
    <w:rsid w:val="0015444A"/>
    <w:rsid w:val="00157026"/>
    <w:rsid w:val="001633D6"/>
    <w:rsid w:val="00165099"/>
    <w:rsid w:val="00170A89"/>
    <w:rsid w:val="00173A45"/>
    <w:rsid w:val="00174245"/>
    <w:rsid w:val="001747BF"/>
    <w:rsid w:val="00174954"/>
    <w:rsid w:val="00175F8C"/>
    <w:rsid w:val="00195C9D"/>
    <w:rsid w:val="00196DD3"/>
    <w:rsid w:val="001A7951"/>
    <w:rsid w:val="001A7E45"/>
    <w:rsid w:val="001B39E7"/>
    <w:rsid w:val="001B4BEC"/>
    <w:rsid w:val="001B5FB9"/>
    <w:rsid w:val="001C4A56"/>
    <w:rsid w:val="001C588F"/>
    <w:rsid w:val="001C743F"/>
    <w:rsid w:val="001C75E8"/>
    <w:rsid w:val="001C7608"/>
    <w:rsid w:val="001E035F"/>
    <w:rsid w:val="001E4B42"/>
    <w:rsid w:val="001F4B82"/>
    <w:rsid w:val="001F5CED"/>
    <w:rsid w:val="001F6DC2"/>
    <w:rsid w:val="00201934"/>
    <w:rsid w:val="002023D3"/>
    <w:rsid w:val="00204623"/>
    <w:rsid w:val="00204D7C"/>
    <w:rsid w:val="00207B4F"/>
    <w:rsid w:val="00221C96"/>
    <w:rsid w:val="00222AE6"/>
    <w:rsid w:val="00227176"/>
    <w:rsid w:val="0023056E"/>
    <w:rsid w:val="002329A4"/>
    <w:rsid w:val="00234FF0"/>
    <w:rsid w:val="00235069"/>
    <w:rsid w:val="00236B2D"/>
    <w:rsid w:val="00243076"/>
    <w:rsid w:val="00244C85"/>
    <w:rsid w:val="002450D5"/>
    <w:rsid w:val="0024515C"/>
    <w:rsid w:val="00246125"/>
    <w:rsid w:val="00246572"/>
    <w:rsid w:val="00247F7D"/>
    <w:rsid w:val="002527D2"/>
    <w:rsid w:val="002630F0"/>
    <w:rsid w:val="00266C01"/>
    <w:rsid w:val="00271088"/>
    <w:rsid w:val="002714D1"/>
    <w:rsid w:val="00271A3C"/>
    <w:rsid w:val="00274C8C"/>
    <w:rsid w:val="00275B1E"/>
    <w:rsid w:val="00276A6F"/>
    <w:rsid w:val="002857DC"/>
    <w:rsid w:val="00285AD6"/>
    <w:rsid w:val="002862AF"/>
    <w:rsid w:val="00290048"/>
    <w:rsid w:val="002907AB"/>
    <w:rsid w:val="00290B05"/>
    <w:rsid w:val="00293CCF"/>
    <w:rsid w:val="00295A7C"/>
    <w:rsid w:val="002B0CE7"/>
    <w:rsid w:val="002B1182"/>
    <w:rsid w:val="002B3AB3"/>
    <w:rsid w:val="002B4770"/>
    <w:rsid w:val="002B6617"/>
    <w:rsid w:val="002B6732"/>
    <w:rsid w:val="002B71CB"/>
    <w:rsid w:val="002B7C67"/>
    <w:rsid w:val="002C147B"/>
    <w:rsid w:val="002C2E42"/>
    <w:rsid w:val="002C53CB"/>
    <w:rsid w:val="002C663B"/>
    <w:rsid w:val="002D765F"/>
    <w:rsid w:val="002E042B"/>
    <w:rsid w:val="002E2A14"/>
    <w:rsid w:val="002E6AF1"/>
    <w:rsid w:val="002E7090"/>
    <w:rsid w:val="002F1F87"/>
    <w:rsid w:val="002F327A"/>
    <w:rsid w:val="002F377B"/>
    <w:rsid w:val="002F57FC"/>
    <w:rsid w:val="00314B1A"/>
    <w:rsid w:val="00315753"/>
    <w:rsid w:val="00317AFD"/>
    <w:rsid w:val="00317CC1"/>
    <w:rsid w:val="00317FB5"/>
    <w:rsid w:val="00320988"/>
    <w:rsid w:val="00321EA3"/>
    <w:rsid w:val="003257F1"/>
    <w:rsid w:val="00327E5C"/>
    <w:rsid w:val="00333868"/>
    <w:rsid w:val="00333BD7"/>
    <w:rsid w:val="00337002"/>
    <w:rsid w:val="0034298A"/>
    <w:rsid w:val="00342C1A"/>
    <w:rsid w:val="003441E8"/>
    <w:rsid w:val="003503A5"/>
    <w:rsid w:val="003504A0"/>
    <w:rsid w:val="00350C69"/>
    <w:rsid w:val="003533B9"/>
    <w:rsid w:val="00353664"/>
    <w:rsid w:val="00361A30"/>
    <w:rsid w:val="0036541F"/>
    <w:rsid w:val="003706FB"/>
    <w:rsid w:val="003770AC"/>
    <w:rsid w:val="00382CDA"/>
    <w:rsid w:val="0038677F"/>
    <w:rsid w:val="00386AAA"/>
    <w:rsid w:val="0038790A"/>
    <w:rsid w:val="00390E22"/>
    <w:rsid w:val="00392DD3"/>
    <w:rsid w:val="003937FD"/>
    <w:rsid w:val="00393E1C"/>
    <w:rsid w:val="00396539"/>
    <w:rsid w:val="003965E3"/>
    <w:rsid w:val="003A1AAA"/>
    <w:rsid w:val="003A1AF0"/>
    <w:rsid w:val="003A1D84"/>
    <w:rsid w:val="003A3A23"/>
    <w:rsid w:val="003A4223"/>
    <w:rsid w:val="003A55BD"/>
    <w:rsid w:val="003A5C4F"/>
    <w:rsid w:val="003B372D"/>
    <w:rsid w:val="003B5074"/>
    <w:rsid w:val="003B5B64"/>
    <w:rsid w:val="003B5E87"/>
    <w:rsid w:val="003B6A48"/>
    <w:rsid w:val="003C32C8"/>
    <w:rsid w:val="003C3626"/>
    <w:rsid w:val="003C43D7"/>
    <w:rsid w:val="003C546B"/>
    <w:rsid w:val="003C5B41"/>
    <w:rsid w:val="003C5DB5"/>
    <w:rsid w:val="003D17D7"/>
    <w:rsid w:val="003D5383"/>
    <w:rsid w:val="003D5F38"/>
    <w:rsid w:val="003D65DC"/>
    <w:rsid w:val="003D72BC"/>
    <w:rsid w:val="003E1688"/>
    <w:rsid w:val="003E1706"/>
    <w:rsid w:val="003E3E6A"/>
    <w:rsid w:val="003E6943"/>
    <w:rsid w:val="003F0796"/>
    <w:rsid w:val="003F1E8E"/>
    <w:rsid w:val="003F35D9"/>
    <w:rsid w:val="003F3AEC"/>
    <w:rsid w:val="003F7984"/>
    <w:rsid w:val="003F7FFA"/>
    <w:rsid w:val="004011A7"/>
    <w:rsid w:val="0040531B"/>
    <w:rsid w:val="00406304"/>
    <w:rsid w:val="00411F2E"/>
    <w:rsid w:val="00411FC3"/>
    <w:rsid w:val="0041329B"/>
    <w:rsid w:val="00416199"/>
    <w:rsid w:val="00423563"/>
    <w:rsid w:val="00424F24"/>
    <w:rsid w:val="0043116E"/>
    <w:rsid w:val="00431500"/>
    <w:rsid w:val="00432DBC"/>
    <w:rsid w:val="00433E0C"/>
    <w:rsid w:val="00434513"/>
    <w:rsid w:val="00436955"/>
    <w:rsid w:val="00444CB3"/>
    <w:rsid w:val="00450C70"/>
    <w:rsid w:val="004514FB"/>
    <w:rsid w:val="00451DBD"/>
    <w:rsid w:val="0045348D"/>
    <w:rsid w:val="0045360F"/>
    <w:rsid w:val="0045446D"/>
    <w:rsid w:val="00457C95"/>
    <w:rsid w:val="00463D09"/>
    <w:rsid w:val="00465CB3"/>
    <w:rsid w:val="00465DDC"/>
    <w:rsid w:val="00465E4F"/>
    <w:rsid w:val="00471DFC"/>
    <w:rsid w:val="00476694"/>
    <w:rsid w:val="0047726C"/>
    <w:rsid w:val="0048296E"/>
    <w:rsid w:val="00482F02"/>
    <w:rsid w:val="00485B2B"/>
    <w:rsid w:val="00486AFD"/>
    <w:rsid w:val="00487E6E"/>
    <w:rsid w:val="00487FCA"/>
    <w:rsid w:val="004951FA"/>
    <w:rsid w:val="004973DC"/>
    <w:rsid w:val="00497F5A"/>
    <w:rsid w:val="004A1731"/>
    <w:rsid w:val="004A2294"/>
    <w:rsid w:val="004A3051"/>
    <w:rsid w:val="004A30EF"/>
    <w:rsid w:val="004A3426"/>
    <w:rsid w:val="004A7092"/>
    <w:rsid w:val="004A7B48"/>
    <w:rsid w:val="004B0762"/>
    <w:rsid w:val="004B2645"/>
    <w:rsid w:val="004C30F9"/>
    <w:rsid w:val="004C443A"/>
    <w:rsid w:val="004C5CE4"/>
    <w:rsid w:val="004D02FB"/>
    <w:rsid w:val="004D3726"/>
    <w:rsid w:val="004D53E4"/>
    <w:rsid w:val="004D5778"/>
    <w:rsid w:val="004E3B33"/>
    <w:rsid w:val="004E3E91"/>
    <w:rsid w:val="004E4ED2"/>
    <w:rsid w:val="004E5167"/>
    <w:rsid w:val="004E61E8"/>
    <w:rsid w:val="004F1388"/>
    <w:rsid w:val="004F2242"/>
    <w:rsid w:val="004F4C3B"/>
    <w:rsid w:val="004F7216"/>
    <w:rsid w:val="004F7B80"/>
    <w:rsid w:val="004F7BC7"/>
    <w:rsid w:val="00503BCB"/>
    <w:rsid w:val="0050636C"/>
    <w:rsid w:val="00506552"/>
    <w:rsid w:val="005169D5"/>
    <w:rsid w:val="005174E0"/>
    <w:rsid w:val="00521995"/>
    <w:rsid w:val="005229F1"/>
    <w:rsid w:val="00526526"/>
    <w:rsid w:val="00530730"/>
    <w:rsid w:val="00530CBC"/>
    <w:rsid w:val="00534193"/>
    <w:rsid w:val="005371D4"/>
    <w:rsid w:val="00537EE6"/>
    <w:rsid w:val="005434A0"/>
    <w:rsid w:val="00545A4D"/>
    <w:rsid w:val="00545BD7"/>
    <w:rsid w:val="005464EF"/>
    <w:rsid w:val="005471BB"/>
    <w:rsid w:val="005527B3"/>
    <w:rsid w:val="00553A36"/>
    <w:rsid w:val="005600C5"/>
    <w:rsid w:val="00560FE0"/>
    <w:rsid w:val="00561AE0"/>
    <w:rsid w:val="00581B20"/>
    <w:rsid w:val="005841D2"/>
    <w:rsid w:val="00585606"/>
    <w:rsid w:val="00590326"/>
    <w:rsid w:val="00590B5C"/>
    <w:rsid w:val="00591AAE"/>
    <w:rsid w:val="00597AD0"/>
    <w:rsid w:val="00597DFF"/>
    <w:rsid w:val="005A0BD9"/>
    <w:rsid w:val="005A2AEF"/>
    <w:rsid w:val="005A2D1F"/>
    <w:rsid w:val="005A3CF3"/>
    <w:rsid w:val="005A3F6A"/>
    <w:rsid w:val="005B3AD6"/>
    <w:rsid w:val="005B5152"/>
    <w:rsid w:val="005B7670"/>
    <w:rsid w:val="005C01C9"/>
    <w:rsid w:val="005C024E"/>
    <w:rsid w:val="005C29EC"/>
    <w:rsid w:val="005D3CFE"/>
    <w:rsid w:val="005D540C"/>
    <w:rsid w:val="005D7582"/>
    <w:rsid w:val="005E19AA"/>
    <w:rsid w:val="005E452F"/>
    <w:rsid w:val="005E4F96"/>
    <w:rsid w:val="005F0A76"/>
    <w:rsid w:val="005F3EA9"/>
    <w:rsid w:val="005F6EBB"/>
    <w:rsid w:val="005F7AEF"/>
    <w:rsid w:val="00603668"/>
    <w:rsid w:val="00606B55"/>
    <w:rsid w:val="00611D67"/>
    <w:rsid w:val="00614ABB"/>
    <w:rsid w:val="00620682"/>
    <w:rsid w:val="00625415"/>
    <w:rsid w:val="00630177"/>
    <w:rsid w:val="0063038D"/>
    <w:rsid w:val="006324B3"/>
    <w:rsid w:val="00636C2F"/>
    <w:rsid w:val="00640690"/>
    <w:rsid w:val="0064202B"/>
    <w:rsid w:val="00646A9E"/>
    <w:rsid w:val="00646B9B"/>
    <w:rsid w:val="00654E12"/>
    <w:rsid w:val="00655443"/>
    <w:rsid w:val="00655B3D"/>
    <w:rsid w:val="006576E0"/>
    <w:rsid w:val="00664D29"/>
    <w:rsid w:val="00665DEF"/>
    <w:rsid w:val="00667438"/>
    <w:rsid w:val="00674D0D"/>
    <w:rsid w:val="00675C60"/>
    <w:rsid w:val="00675CE4"/>
    <w:rsid w:val="00681DD8"/>
    <w:rsid w:val="00683D0C"/>
    <w:rsid w:val="00687BBB"/>
    <w:rsid w:val="00687C36"/>
    <w:rsid w:val="00692B41"/>
    <w:rsid w:val="00695E68"/>
    <w:rsid w:val="00696D8D"/>
    <w:rsid w:val="00697022"/>
    <w:rsid w:val="006A2D9B"/>
    <w:rsid w:val="006A2E2A"/>
    <w:rsid w:val="006B2D74"/>
    <w:rsid w:val="006B4E3E"/>
    <w:rsid w:val="006B4FCF"/>
    <w:rsid w:val="006B6F1D"/>
    <w:rsid w:val="006B799F"/>
    <w:rsid w:val="006C17FC"/>
    <w:rsid w:val="006C21A0"/>
    <w:rsid w:val="006C4354"/>
    <w:rsid w:val="006C6866"/>
    <w:rsid w:val="006D0203"/>
    <w:rsid w:val="006D174D"/>
    <w:rsid w:val="006E014E"/>
    <w:rsid w:val="006E4115"/>
    <w:rsid w:val="006F0F12"/>
    <w:rsid w:val="006F15EB"/>
    <w:rsid w:val="006F26FE"/>
    <w:rsid w:val="006F4897"/>
    <w:rsid w:val="00706C5A"/>
    <w:rsid w:val="00707B54"/>
    <w:rsid w:val="00710DC2"/>
    <w:rsid w:val="007133DA"/>
    <w:rsid w:val="007142E8"/>
    <w:rsid w:val="00720B07"/>
    <w:rsid w:val="00721063"/>
    <w:rsid w:val="00721455"/>
    <w:rsid w:val="00722123"/>
    <w:rsid w:val="007274FE"/>
    <w:rsid w:val="0074109A"/>
    <w:rsid w:val="007416A3"/>
    <w:rsid w:val="00741D3C"/>
    <w:rsid w:val="007466E0"/>
    <w:rsid w:val="007543E8"/>
    <w:rsid w:val="00755999"/>
    <w:rsid w:val="00755B11"/>
    <w:rsid w:val="007616CB"/>
    <w:rsid w:val="00766F6F"/>
    <w:rsid w:val="00767607"/>
    <w:rsid w:val="0077316E"/>
    <w:rsid w:val="00776A00"/>
    <w:rsid w:val="0079113E"/>
    <w:rsid w:val="0079154D"/>
    <w:rsid w:val="007921F7"/>
    <w:rsid w:val="007936D1"/>
    <w:rsid w:val="0079390C"/>
    <w:rsid w:val="007A22A8"/>
    <w:rsid w:val="007A3BF5"/>
    <w:rsid w:val="007B3424"/>
    <w:rsid w:val="007C08BD"/>
    <w:rsid w:val="007C6337"/>
    <w:rsid w:val="007D5609"/>
    <w:rsid w:val="007D5FAC"/>
    <w:rsid w:val="007E08E0"/>
    <w:rsid w:val="007E2BAE"/>
    <w:rsid w:val="007F3339"/>
    <w:rsid w:val="007F4397"/>
    <w:rsid w:val="007F79E2"/>
    <w:rsid w:val="008052A6"/>
    <w:rsid w:val="00807D89"/>
    <w:rsid w:val="00810D6F"/>
    <w:rsid w:val="00811F92"/>
    <w:rsid w:val="00816177"/>
    <w:rsid w:val="008166E0"/>
    <w:rsid w:val="00816F7A"/>
    <w:rsid w:val="0082205F"/>
    <w:rsid w:val="00822C45"/>
    <w:rsid w:val="00833AF6"/>
    <w:rsid w:val="00835AA5"/>
    <w:rsid w:val="0083614B"/>
    <w:rsid w:val="00837AD3"/>
    <w:rsid w:val="00840264"/>
    <w:rsid w:val="0084171E"/>
    <w:rsid w:val="00841C0F"/>
    <w:rsid w:val="00847D53"/>
    <w:rsid w:val="00851C28"/>
    <w:rsid w:val="00856C4A"/>
    <w:rsid w:val="00862523"/>
    <w:rsid w:val="00862703"/>
    <w:rsid w:val="00865C76"/>
    <w:rsid w:val="008725F6"/>
    <w:rsid w:val="0087290E"/>
    <w:rsid w:val="00875D5D"/>
    <w:rsid w:val="00876433"/>
    <w:rsid w:val="00880DAB"/>
    <w:rsid w:val="00882F7E"/>
    <w:rsid w:val="0089154E"/>
    <w:rsid w:val="00893B0B"/>
    <w:rsid w:val="008957DC"/>
    <w:rsid w:val="008957F3"/>
    <w:rsid w:val="008972BE"/>
    <w:rsid w:val="0089734D"/>
    <w:rsid w:val="008A6B08"/>
    <w:rsid w:val="008A6F94"/>
    <w:rsid w:val="008B3A02"/>
    <w:rsid w:val="008B5EBC"/>
    <w:rsid w:val="008C013A"/>
    <w:rsid w:val="008C28CF"/>
    <w:rsid w:val="008D45DA"/>
    <w:rsid w:val="008D6B6D"/>
    <w:rsid w:val="008E12C7"/>
    <w:rsid w:val="008E23EF"/>
    <w:rsid w:val="008E3A9A"/>
    <w:rsid w:val="008E48E6"/>
    <w:rsid w:val="008E4913"/>
    <w:rsid w:val="008E4BC5"/>
    <w:rsid w:val="008E57D2"/>
    <w:rsid w:val="008F3827"/>
    <w:rsid w:val="008F458C"/>
    <w:rsid w:val="008F47BA"/>
    <w:rsid w:val="008F712A"/>
    <w:rsid w:val="008F7444"/>
    <w:rsid w:val="0090118B"/>
    <w:rsid w:val="009012D4"/>
    <w:rsid w:val="00901BE1"/>
    <w:rsid w:val="00902F79"/>
    <w:rsid w:val="00906011"/>
    <w:rsid w:val="00915A0E"/>
    <w:rsid w:val="00917C47"/>
    <w:rsid w:val="0092153F"/>
    <w:rsid w:val="00922DB8"/>
    <w:rsid w:val="009242E6"/>
    <w:rsid w:val="00924854"/>
    <w:rsid w:val="00924B89"/>
    <w:rsid w:val="00931995"/>
    <w:rsid w:val="00935F92"/>
    <w:rsid w:val="0093735E"/>
    <w:rsid w:val="00940861"/>
    <w:rsid w:val="0094129C"/>
    <w:rsid w:val="00944A3E"/>
    <w:rsid w:val="009453B1"/>
    <w:rsid w:val="00952221"/>
    <w:rsid w:val="00953E52"/>
    <w:rsid w:val="00954B41"/>
    <w:rsid w:val="00960459"/>
    <w:rsid w:val="00964C6B"/>
    <w:rsid w:val="00966391"/>
    <w:rsid w:val="00970B7A"/>
    <w:rsid w:val="00971C7C"/>
    <w:rsid w:val="00972161"/>
    <w:rsid w:val="00976114"/>
    <w:rsid w:val="009824C8"/>
    <w:rsid w:val="00983226"/>
    <w:rsid w:val="00983E31"/>
    <w:rsid w:val="00987F2E"/>
    <w:rsid w:val="0099111C"/>
    <w:rsid w:val="009913D7"/>
    <w:rsid w:val="0099387D"/>
    <w:rsid w:val="009A3720"/>
    <w:rsid w:val="009A40DB"/>
    <w:rsid w:val="009A5757"/>
    <w:rsid w:val="009A7213"/>
    <w:rsid w:val="009A7AB1"/>
    <w:rsid w:val="009A7DC2"/>
    <w:rsid w:val="009B0996"/>
    <w:rsid w:val="009B0F99"/>
    <w:rsid w:val="009B26E3"/>
    <w:rsid w:val="009B2A2D"/>
    <w:rsid w:val="009B3976"/>
    <w:rsid w:val="009B3B79"/>
    <w:rsid w:val="009B4BDF"/>
    <w:rsid w:val="009B6756"/>
    <w:rsid w:val="009C1660"/>
    <w:rsid w:val="009C1863"/>
    <w:rsid w:val="009C1871"/>
    <w:rsid w:val="009C22DC"/>
    <w:rsid w:val="009C6BCE"/>
    <w:rsid w:val="009C6C69"/>
    <w:rsid w:val="009C7D4D"/>
    <w:rsid w:val="009D02A3"/>
    <w:rsid w:val="009E1582"/>
    <w:rsid w:val="009E46BC"/>
    <w:rsid w:val="009E4B2B"/>
    <w:rsid w:val="009F109B"/>
    <w:rsid w:val="009F25D5"/>
    <w:rsid w:val="00A00863"/>
    <w:rsid w:val="00A00ED1"/>
    <w:rsid w:val="00A028AE"/>
    <w:rsid w:val="00A0401F"/>
    <w:rsid w:val="00A11577"/>
    <w:rsid w:val="00A1388D"/>
    <w:rsid w:val="00A1396A"/>
    <w:rsid w:val="00A17210"/>
    <w:rsid w:val="00A22A52"/>
    <w:rsid w:val="00A24437"/>
    <w:rsid w:val="00A32B53"/>
    <w:rsid w:val="00A33FAF"/>
    <w:rsid w:val="00A36F31"/>
    <w:rsid w:val="00A3757B"/>
    <w:rsid w:val="00A40C43"/>
    <w:rsid w:val="00A41EC5"/>
    <w:rsid w:val="00A509DB"/>
    <w:rsid w:val="00A54905"/>
    <w:rsid w:val="00A56BD5"/>
    <w:rsid w:val="00A63355"/>
    <w:rsid w:val="00A64AC8"/>
    <w:rsid w:val="00A725FF"/>
    <w:rsid w:val="00A7367F"/>
    <w:rsid w:val="00A74EFF"/>
    <w:rsid w:val="00A85679"/>
    <w:rsid w:val="00A87930"/>
    <w:rsid w:val="00A90F92"/>
    <w:rsid w:val="00A93600"/>
    <w:rsid w:val="00A9548C"/>
    <w:rsid w:val="00A954CE"/>
    <w:rsid w:val="00A96215"/>
    <w:rsid w:val="00AA1247"/>
    <w:rsid w:val="00AA399A"/>
    <w:rsid w:val="00AB7930"/>
    <w:rsid w:val="00AB7A95"/>
    <w:rsid w:val="00AC106C"/>
    <w:rsid w:val="00AC1463"/>
    <w:rsid w:val="00AC1F79"/>
    <w:rsid w:val="00AC43D6"/>
    <w:rsid w:val="00AC5294"/>
    <w:rsid w:val="00AC62D4"/>
    <w:rsid w:val="00AD03D3"/>
    <w:rsid w:val="00AD2199"/>
    <w:rsid w:val="00AD21A8"/>
    <w:rsid w:val="00AD46FD"/>
    <w:rsid w:val="00AD5517"/>
    <w:rsid w:val="00AD6643"/>
    <w:rsid w:val="00AD6A6D"/>
    <w:rsid w:val="00AD6AF2"/>
    <w:rsid w:val="00AD789E"/>
    <w:rsid w:val="00AE0F46"/>
    <w:rsid w:val="00AE0F92"/>
    <w:rsid w:val="00AE235A"/>
    <w:rsid w:val="00AF0106"/>
    <w:rsid w:val="00AF01BC"/>
    <w:rsid w:val="00AF28EA"/>
    <w:rsid w:val="00AF4FC2"/>
    <w:rsid w:val="00B01046"/>
    <w:rsid w:val="00B02339"/>
    <w:rsid w:val="00B02624"/>
    <w:rsid w:val="00B026D1"/>
    <w:rsid w:val="00B02A6D"/>
    <w:rsid w:val="00B03074"/>
    <w:rsid w:val="00B07924"/>
    <w:rsid w:val="00B114B4"/>
    <w:rsid w:val="00B12AF8"/>
    <w:rsid w:val="00B12D5F"/>
    <w:rsid w:val="00B22997"/>
    <w:rsid w:val="00B23F1D"/>
    <w:rsid w:val="00B2596F"/>
    <w:rsid w:val="00B3234F"/>
    <w:rsid w:val="00B356CC"/>
    <w:rsid w:val="00B3579C"/>
    <w:rsid w:val="00B4373E"/>
    <w:rsid w:val="00B44A67"/>
    <w:rsid w:val="00B50820"/>
    <w:rsid w:val="00B52446"/>
    <w:rsid w:val="00B54E44"/>
    <w:rsid w:val="00B608C0"/>
    <w:rsid w:val="00B61D21"/>
    <w:rsid w:val="00B705EC"/>
    <w:rsid w:val="00B70CF8"/>
    <w:rsid w:val="00B714C3"/>
    <w:rsid w:val="00B73DFA"/>
    <w:rsid w:val="00B763A7"/>
    <w:rsid w:val="00B835A8"/>
    <w:rsid w:val="00B83FD8"/>
    <w:rsid w:val="00B84849"/>
    <w:rsid w:val="00B8654F"/>
    <w:rsid w:val="00B86DE8"/>
    <w:rsid w:val="00BA0D86"/>
    <w:rsid w:val="00BA68FD"/>
    <w:rsid w:val="00BA7470"/>
    <w:rsid w:val="00BB1039"/>
    <w:rsid w:val="00BB2304"/>
    <w:rsid w:val="00BB3421"/>
    <w:rsid w:val="00BB64E6"/>
    <w:rsid w:val="00BC1C31"/>
    <w:rsid w:val="00BC29EF"/>
    <w:rsid w:val="00BC5768"/>
    <w:rsid w:val="00BC6620"/>
    <w:rsid w:val="00BC6B2D"/>
    <w:rsid w:val="00BD2BB9"/>
    <w:rsid w:val="00BD5BCE"/>
    <w:rsid w:val="00BE2713"/>
    <w:rsid w:val="00BE4F03"/>
    <w:rsid w:val="00BE56C5"/>
    <w:rsid w:val="00BE5F29"/>
    <w:rsid w:val="00BF4B6F"/>
    <w:rsid w:val="00BF7529"/>
    <w:rsid w:val="00C01F04"/>
    <w:rsid w:val="00C025D1"/>
    <w:rsid w:val="00C04A1B"/>
    <w:rsid w:val="00C1211F"/>
    <w:rsid w:val="00C12235"/>
    <w:rsid w:val="00C1265B"/>
    <w:rsid w:val="00C14FF0"/>
    <w:rsid w:val="00C163C4"/>
    <w:rsid w:val="00C17FAC"/>
    <w:rsid w:val="00C21AEB"/>
    <w:rsid w:val="00C23184"/>
    <w:rsid w:val="00C25204"/>
    <w:rsid w:val="00C256D0"/>
    <w:rsid w:val="00C25CFB"/>
    <w:rsid w:val="00C25ED6"/>
    <w:rsid w:val="00C353F8"/>
    <w:rsid w:val="00C35EAA"/>
    <w:rsid w:val="00C438EA"/>
    <w:rsid w:val="00C4516E"/>
    <w:rsid w:val="00C45252"/>
    <w:rsid w:val="00C503E3"/>
    <w:rsid w:val="00C5083A"/>
    <w:rsid w:val="00C50F66"/>
    <w:rsid w:val="00C52923"/>
    <w:rsid w:val="00C53ADC"/>
    <w:rsid w:val="00C5565B"/>
    <w:rsid w:val="00C56075"/>
    <w:rsid w:val="00C60146"/>
    <w:rsid w:val="00C61E10"/>
    <w:rsid w:val="00C62389"/>
    <w:rsid w:val="00C65656"/>
    <w:rsid w:val="00C66129"/>
    <w:rsid w:val="00C6782D"/>
    <w:rsid w:val="00C67851"/>
    <w:rsid w:val="00C70C06"/>
    <w:rsid w:val="00C70C0E"/>
    <w:rsid w:val="00C84023"/>
    <w:rsid w:val="00C85221"/>
    <w:rsid w:val="00C861AB"/>
    <w:rsid w:val="00C865CA"/>
    <w:rsid w:val="00C86D07"/>
    <w:rsid w:val="00C8729D"/>
    <w:rsid w:val="00C90D87"/>
    <w:rsid w:val="00C91327"/>
    <w:rsid w:val="00C92B40"/>
    <w:rsid w:val="00C953C6"/>
    <w:rsid w:val="00C95E12"/>
    <w:rsid w:val="00CB0EE7"/>
    <w:rsid w:val="00CB450D"/>
    <w:rsid w:val="00CC1496"/>
    <w:rsid w:val="00CC22B1"/>
    <w:rsid w:val="00CC3974"/>
    <w:rsid w:val="00CC605D"/>
    <w:rsid w:val="00CD081F"/>
    <w:rsid w:val="00CD2189"/>
    <w:rsid w:val="00CD7720"/>
    <w:rsid w:val="00CE46BE"/>
    <w:rsid w:val="00CF12AF"/>
    <w:rsid w:val="00CF311C"/>
    <w:rsid w:val="00CF4EAD"/>
    <w:rsid w:val="00CF7FBA"/>
    <w:rsid w:val="00D04E6F"/>
    <w:rsid w:val="00D10063"/>
    <w:rsid w:val="00D11A76"/>
    <w:rsid w:val="00D12479"/>
    <w:rsid w:val="00D1531F"/>
    <w:rsid w:val="00D309C6"/>
    <w:rsid w:val="00D31529"/>
    <w:rsid w:val="00D339B6"/>
    <w:rsid w:val="00D352F7"/>
    <w:rsid w:val="00D35D0D"/>
    <w:rsid w:val="00D3747F"/>
    <w:rsid w:val="00D4350E"/>
    <w:rsid w:val="00D52B13"/>
    <w:rsid w:val="00D55969"/>
    <w:rsid w:val="00D56CB5"/>
    <w:rsid w:val="00D5700D"/>
    <w:rsid w:val="00D57926"/>
    <w:rsid w:val="00D617E9"/>
    <w:rsid w:val="00D633C3"/>
    <w:rsid w:val="00D714F2"/>
    <w:rsid w:val="00D74124"/>
    <w:rsid w:val="00D81EC3"/>
    <w:rsid w:val="00D857A8"/>
    <w:rsid w:val="00D86338"/>
    <w:rsid w:val="00D87562"/>
    <w:rsid w:val="00D90194"/>
    <w:rsid w:val="00D91F0F"/>
    <w:rsid w:val="00D9311A"/>
    <w:rsid w:val="00D94BF3"/>
    <w:rsid w:val="00D9746D"/>
    <w:rsid w:val="00DA499E"/>
    <w:rsid w:val="00DA5575"/>
    <w:rsid w:val="00DB1629"/>
    <w:rsid w:val="00DB17B3"/>
    <w:rsid w:val="00DB2A43"/>
    <w:rsid w:val="00DB3C7E"/>
    <w:rsid w:val="00DB42EA"/>
    <w:rsid w:val="00DB6B17"/>
    <w:rsid w:val="00DB6F8C"/>
    <w:rsid w:val="00DB72DA"/>
    <w:rsid w:val="00DB7F7A"/>
    <w:rsid w:val="00DC2C53"/>
    <w:rsid w:val="00DC3391"/>
    <w:rsid w:val="00DC51F2"/>
    <w:rsid w:val="00DC6983"/>
    <w:rsid w:val="00DC7EC8"/>
    <w:rsid w:val="00DD001E"/>
    <w:rsid w:val="00DD0F46"/>
    <w:rsid w:val="00DD4FBC"/>
    <w:rsid w:val="00DD7201"/>
    <w:rsid w:val="00DE08DF"/>
    <w:rsid w:val="00DE4BC2"/>
    <w:rsid w:val="00DE56D9"/>
    <w:rsid w:val="00DF08DA"/>
    <w:rsid w:val="00DF1CE0"/>
    <w:rsid w:val="00DF2732"/>
    <w:rsid w:val="00DF2B4E"/>
    <w:rsid w:val="00E00B74"/>
    <w:rsid w:val="00E03EFE"/>
    <w:rsid w:val="00E12F1E"/>
    <w:rsid w:val="00E1362A"/>
    <w:rsid w:val="00E154D8"/>
    <w:rsid w:val="00E15910"/>
    <w:rsid w:val="00E15AEB"/>
    <w:rsid w:val="00E17B11"/>
    <w:rsid w:val="00E2243B"/>
    <w:rsid w:val="00E2714A"/>
    <w:rsid w:val="00E27D40"/>
    <w:rsid w:val="00E31349"/>
    <w:rsid w:val="00E3449D"/>
    <w:rsid w:val="00E358AD"/>
    <w:rsid w:val="00E35972"/>
    <w:rsid w:val="00E43F72"/>
    <w:rsid w:val="00E45807"/>
    <w:rsid w:val="00E467DB"/>
    <w:rsid w:val="00E549E2"/>
    <w:rsid w:val="00E55E41"/>
    <w:rsid w:val="00E70941"/>
    <w:rsid w:val="00E73032"/>
    <w:rsid w:val="00E7412C"/>
    <w:rsid w:val="00E74F98"/>
    <w:rsid w:val="00E75955"/>
    <w:rsid w:val="00E75A93"/>
    <w:rsid w:val="00E768CB"/>
    <w:rsid w:val="00E8265E"/>
    <w:rsid w:val="00E837B1"/>
    <w:rsid w:val="00E83DA7"/>
    <w:rsid w:val="00E83FB6"/>
    <w:rsid w:val="00E84B28"/>
    <w:rsid w:val="00E87911"/>
    <w:rsid w:val="00E91702"/>
    <w:rsid w:val="00E93466"/>
    <w:rsid w:val="00E93638"/>
    <w:rsid w:val="00E939CA"/>
    <w:rsid w:val="00E95308"/>
    <w:rsid w:val="00E96A25"/>
    <w:rsid w:val="00EA1F26"/>
    <w:rsid w:val="00EA5756"/>
    <w:rsid w:val="00EB0634"/>
    <w:rsid w:val="00EB1EA6"/>
    <w:rsid w:val="00EB2842"/>
    <w:rsid w:val="00EB2F9D"/>
    <w:rsid w:val="00EB53F6"/>
    <w:rsid w:val="00EB63E8"/>
    <w:rsid w:val="00EB772D"/>
    <w:rsid w:val="00EC16AF"/>
    <w:rsid w:val="00EC69F5"/>
    <w:rsid w:val="00EC6C0A"/>
    <w:rsid w:val="00ED117F"/>
    <w:rsid w:val="00ED15B7"/>
    <w:rsid w:val="00ED164D"/>
    <w:rsid w:val="00EE2F98"/>
    <w:rsid w:val="00EE4B65"/>
    <w:rsid w:val="00EF0334"/>
    <w:rsid w:val="00EF13A2"/>
    <w:rsid w:val="00EF1C23"/>
    <w:rsid w:val="00EF263E"/>
    <w:rsid w:val="00EF6BD8"/>
    <w:rsid w:val="00F07A4C"/>
    <w:rsid w:val="00F10396"/>
    <w:rsid w:val="00F10A8F"/>
    <w:rsid w:val="00F120C4"/>
    <w:rsid w:val="00F136B4"/>
    <w:rsid w:val="00F16524"/>
    <w:rsid w:val="00F2403B"/>
    <w:rsid w:val="00F27067"/>
    <w:rsid w:val="00F27103"/>
    <w:rsid w:val="00F3283A"/>
    <w:rsid w:val="00F32B18"/>
    <w:rsid w:val="00F34EAE"/>
    <w:rsid w:val="00F35D83"/>
    <w:rsid w:val="00F47E28"/>
    <w:rsid w:val="00F51E1C"/>
    <w:rsid w:val="00F55FF3"/>
    <w:rsid w:val="00F62283"/>
    <w:rsid w:val="00F63C88"/>
    <w:rsid w:val="00F63ED2"/>
    <w:rsid w:val="00F66872"/>
    <w:rsid w:val="00F721E7"/>
    <w:rsid w:val="00F7648D"/>
    <w:rsid w:val="00F77F18"/>
    <w:rsid w:val="00F82B5A"/>
    <w:rsid w:val="00F84D2F"/>
    <w:rsid w:val="00F90ED0"/>
    <w:rsid w:val="00F916C5"/>
    <w:rsid w:val="00F921F1"/>
    <w:rsid w:val="00F9321A"/>
    <w:rsid w:val="00F93246"/>
    <w:rsid w:val="00F940DE"/>
    <w:rsid w:val="00F94608"/>
    <w:rsid w:val="00F96635"/>
    <w:rsid w:val="00F9766C"/>
    <w:rsid w:val="00FA0C9E"/>
    <w:rsid w:val="00FA120E"/>
    <w:rsid w:val="00FA1C17"/>
    <w:rsid w:val="00FA42CF"/>
    <w:rsid w:val="00FB187C"/>
    <w:rsid w:val="00FB3524"/>
    <w:rsid w:val="00FB5C58"/>
    <w:rsid w:val="00FC3537"/>
    <w:rsid w:val="00FC3768"/>
    <w:rsid w:val="00FC4408"/>
    <w:rsid w:val="00FC754F"/>
    <w:rsid w:val="00FC780B"/>
    <w:rsid w:val="00FD223D"/>
    <w:rsid w:val="00FD3F84"/>
    <w:rsid w:val="00FD6984"/>
    <w:rsid w:val="00FD7ABE"/>
    <w:rsid w:val="00FE15E8"/>
    <w:rsid w:val="00FF05C2"/>
    <w:rsid w:val="00FF0C63"/>
    <w:rsid w:val="00FF37B6"/>
    <w:rsid w:val="00FF5D63"/>
    <w:rsid w:val="00FF6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BDF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link w:val="Titre3Car"/>
    <w:uiPriority w:val="9"/>
    <w:qFormat/>
    <w:rsid w:val="00EA57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9B4BDF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4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4913"/>
    <w:rPr>
      <w:rFonts w:ascii="Tahoma" w:eastAsia="Calibri" w:hAnsi="Tahoma" w:cs="Tahoma"/>
      <w:sz w:val="16"/>
      <w:szCs w:val="16"/>
    </w:rPr>
  </w:style>
  <w:style w:type="paragraph" w:styleId="Corpsdetexte2">
    <w:name w:val="Body Text 2"/>
    <w:basedOn w:val="Normal"/>
    <w:link w:val="Corpsdetexte2Car"/>
    <w:rsid w:val="00D9311A"/>
    <w:pPr>
      <w:spacing w:after="120" w:line="480" w:lineRule="auto"/>
    </w:pPr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D9311A"/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paragraph" w:customStyle="1" w:styleId="Default">
    <w:name w:val="Default"/>
    <w:rsid w:val="00D9311A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EA575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5FD3C-4D3A-4480-A476-4D4C6485D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1035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2015-06-03T09:04:00Z</cp:lastPrinted>
  <dcterms:created xsi:type="dcterms:W3CDTF">2015-06-03T21:35:00Z</dcterms:created>
  <dcterms:modified xsi:type="dcterms:W3CDTF">2015-06-03T21:35:00Z</dcterms:modified>
</cp:coreProperties>
</file>