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BDF" w:rsidRDefault="00202450" w:rsidP="00A640C3">
      <w:pPr>
        <w:bidi/>
        <w:spacing w:after="0" w:line="240" w:lineRule="auto"/>
        <w:ind w:left="-568"/>
        <w:rPr>
          <w:sz w:val="36"/>
          <w:szCs w:val="36"/>
          <w:rtl/>
          <w:lang w:bidi="ar-MA"/>
        </w:rPr>
      </w:pPr>
      <w:r w:rsidRPr="00202450">
        <w:rPr>
          <w:noProof/>
          <w:rtl/>
          <w:lang w:eastAsia="fr-FR"/>
        </w:rPr>
        <w:pict>
          <v:rect id="_x0000_s1026" style="position:absolute;left:0;text-align:left;margin-left:-175.65pt;margin-top:-15.5pt;width:898.5pt;height:582.75pt;z-index:-251658752" o:preferrelative="t" filled="f" stroked="f" insetpen="t" o:cliptowrap="t">
            <v:imagedata r:id="rId8" o:title=""/>
            <v:path o:extrusionok="f"/>
            <o:lock v:ext="edit" aspectratio="t"/>
            <w10:wrap anchorx="page"/>
          </v:rect>
          <o:OLEObject Type="Embed" ProgID="PBrush" ShapeID="_x0000_s1026" DrawAspect="Content" ObjectID="_1494830804" r:id="rId9"/>
        </w:pict>
      </w:r>
      <w:r w:rsidR="00695E68" w:rsidRPr="00AF01BC">
        <w:rPr>
          <w:sz w:val="36"/>
          <w:szCs w:val="36"/>
          <w:lang w:bidi="ar-MA"/>
        </w:rPr>
        <w:t xml:space="preserve">   </w:t>
      </w:r>
    </w:p>
    <w:p w:rsidR="009B4BDF" w:rsidRDefault="009B4BDF" w:rsidP="009B4BDF">
      <w:pPr>
        <w:bidi/>
        <w:spacing w:after="0" w:line="240" w:lineRule="auto"/>
        <w:rPr>
          <w:sz w:val="36"/>
          <w:szCs w:val="36"/>
          <w:rtl/>
          <w:lang w:bidi="ar-MA"/>
        </w:rPr>
      </w:pPr>
    </w:p>
    <w:p w:rsidR="009B4BDF" w:rsidRDefault="009B4BDF" w:rsidP="009B4BDF">
      <w:pPr>
        <w:bidi/>
        <w:spacing w:after="0" w:line="240" w:lineRule="auto"/>
        <w:rPr>
          <w:sz w:val="36"/>
          <w:szCs w:val="36"/>
          <w:lang w:bidi="ar-MA"/>
        </w:rPr>
      </w:pPr>
    </w:p>
    <w:p w:rsidR="009B4BDF" w:rsidRDefault="009B4BDF" w:rsidP="009B4BDF">
      <w:pPr>
        <w:bidi/>
        <w:spacing w:after="0" w:line="240" w:lineRule="auto"/>
        <w:rPr>
          <w:sz w:val="36"/>
          <w:szCs w:val="36"/>
          <w:lang w:bidi="ar-MA"/>
        </w:rPr>
      </w:pPr>
    </w:p>
    <w:p w:rsidR="009B4BDF" w:rsidRDefault="009B4BDF" w:rsidP="009B4BDF">
      <w:pPr>
        <w:bidi/>
        <w:spacing w:after="0" w:line="240" w:lineRule="auto"/>
        <w:rPr>
          <w:sz w:val="36"/>
          <w:szCs w:val="36"/>
          <w:lang w:bidi="ar-MA"/>
        </w:rPr>
      </w:pPr>
    </w:p>
    <w:p w:rsidR="009B4BDF" w:rsidRDefault="009B4BDF" w:rsidP="009B4BDF">
      <w:pPr>
        <w:bidi/>
        <w:spacing w:after="0" w:line="240" w:lineRule="exact"/>
        <w:rPr>
          <w:rFonts w:cs="Simplified Arabic"/>
          <w:sz w:val="36"/>
          <w:szCs w:val="36"/>
          <w:rtl/>
          <w:lang w:bidi="ar-MA"/>
        </w:rPr>
      </w:pPr>
    </w:p>
    <w:p w:rsidR="009B4BDF" w:rsidRPr="003C7276" w:rsidRDefault="009B4BDF" w:rsidP="009B4BDF">
      <w:pPr>
        <w:bidi/>
        <w:spacing w:after="0" w:line="240" w:lineRule="exact"/>
        <w:rPr>
          <w:rFonts w:cs="Simplified Arabic"/>
          <w:sz w:val="36"/>
          <w:szCs w:val="36"/>
          <w:lang w:bidi="ar-MA"/>
        </w:rPr>
      </w:pPr>
    </w:p>
    <w:p w:rsidR="005C01C9" w:rsidRDefault="005C01C9" w:rsidP="00D9311A">
      <w:pPr>
        <w:ind w:firstLine="709"/>
        <w:jc w:val="center"/>
        <w:rPr>
          <w:rFonts w:cs="Simplified Arabic"/>
          <w:b/>
          <w:bCs/>
          <w:sz w:val="32"/>
          <w:szCs w:val="32"/>
          <w:lang w:bidi="ar-MA"/>
        </w:rPr>
      </w:pPr>
    </w:p>
    <w:p w:rsidR="005C405A" w:rsidRPr="00993B57" w:rsidRDefault="005C405A" w:rsidP="005C405A">
      <w:pPr>
        <w:spacing w:after="120" w:line="360" w:lineRule="exact"/>
        <w:jc w:val="center"/>
        <w:rPr>
          <w:rFonts w:ascii="Book Antiqua" w:eastAsiaTheme="minorHAnsi" w:hAnsi="Book Antiqua" w:cstheme="majorBidi"/>
          <w:b/>
          <w:bCs/>
          <w:color w:val="984806" w:themeColor="accent6" w:themeShade="80"/>
          <w:sz w:val="36"/>
          <w:szCs w:val="36"/>
        </w:rPr>
      </w:pPr>
      <w:r w:rsidRPr="00993B57">
        <w:rPr>
          <w:rFonts w:ascii="Book Antiqua" w:eastAsiaTheme="minorHAnsi" w:hAnsi="Book Antiqua" w:cstheme="majorBidi"/>
          <w:b/>
          <w:bCs/>
          <w:color w:val="984806" w:themeColor="accent6" w:themeShade="80"/>
          <w:sz w:val="36"/>
          <w:szCs w:val="36"/>
        </w:rPr>
        <w:t>Changement de la base des comptes nationaux</w:t>
      </w:r>
    </w:p>
    <w:p w:rsidR="005C405A" w:rsidRPr="00993B57" w:rsidRDefault="005C405A" w:rsidP="005C405A">
      <w:pPr>
        <w:spacing w:after="120" w:line="360" w:lineRule="exact"/>
        <w:jc w:val="center"/>
        <w:rPr>
          <w:rFonts w:ascii="Book Antiqua" w:eastAsiaTheme="minorHAnsi" w:hAnsi="Book Antiqua" w:cstheme="majorBidi"/>
          <w:b/>
          <w:bCs/>
          <w:color w:val="984806" w:themeColor="accent6" w:themeShade="80"/>
          <w:sz w:val="36"/>
          <w:szCs w:val="36"/>
        </w:rPr>
      </w:pPr>
      <w:r w:rsidRPr="00993B57">
        <w:rPr>
          <w:rFonts w:ascii="Book Antiqua" w:eastAsiaTheme="minorHAnsi" w:hAnsi="Book Antiqua" w:cstheme="majorBidi"/>
          <w:b/>
          <w:bCs/>
          <w:color w:val="984806" w:themeColor="accent6" w:themeShade="80"/>
          <w:sz w:val="36"/>
          <w:szCs w:val="36"/>
        </w:rPr>
        <w:t>2007 au lieu de</w:t>
      </w:r>
      <w:r>
        <w:rPr>
          <w:rFonts w:ascii="Book Antiqua" w:eastAsiaTheme="minorHAnsi" w:hAnsi="Book Antiqua" w:cstheme="majorBidi"/>
          <w:b/>
          <w:bCs/>
          <w:color w:val="984806" w:themeColor="accent6" w:themeShade="80"/>
          <w:sz w:val="36"/>
          <w:szCs w:val="36"/>
        </w:rPr>
        <w:t xml:space="preserve"> </w:t>
      </w:r>
      <w:r w:rsidRPr="00993B57">
        <w:rPr>
          <w:rFonts w:ascii="Book Antiqua" w:eastAsiaTheme="minorHAnsi" w:hAnsi="Book Antiqua" w:cstheme="majorBidi"/>
          <w:b/>
          <w:bCs/>
          <w:color w:val="984806" w:themeColor="accent6" w:themeShade="80"/>
          <w:sz w:val="36"/>
          <w:szCs w:val="36"/>
        </w:rPr>
        <w:t>1998</w:t>
      </w:r>
    </w:p>
    <w:p w:rsidR="005C405A" w:rsidRPr="00993B57" w:rsidRDefault="005C405A" w:rsidP="005C405A">
      <w:pPr>
        <w:spacing w:after="120" w:line="360" w:lineRule="exact"/>
        <w:jc w:val="center"/>
        <w:rPr>
          <w:rFonts w:ascii="Book Antiqua" w:hAnsi="Book Antiqua" w:cs="Calibri"/>
          <w:sz w:val="36"/>
          <w:szCs w:val="36"/>
        </w:rPr>
      </w:pPr>
      <w:r w:rsidRPr="00993B57">
        <w:rPr>
          <w:rFonts w:ascii="Book Antiqua" w:eastAsiaTheme="minorHAnsi" w:hAnsi="Book Antiqua" w:cstheme="majorBidi"/>
          <w:b/>
          <w:bCs/>
          <w:color w:val="984806" w:themeColor="accent6" w:themeShade="80"/>
          <w:sz w:val="36"/>
          <w:szCs w:val="36"/>
        </w:rPr>
        <w:t>Synthèse</w:t>
      </w:r>
    </w:p>
    <w:p w:rsidR="005C405A" w:rsidRPr="00993B57" w:rsidRDefault="005C405A" w:rsidP="005C405A">
      <w:pPr>
        <w:spacing w:line="360" w:lineRule="exact"/>
        <w:jc w:val="both"/>
        <w:rPr>
          <w:rFonts w:ascii="Book Antiqua" w:hAnsi="Book Antiqua" w:cs="Calibri"/>
          <w:sz w:val="26"/>
          <w:szCs w:val="26"/>
        </w:rPr>
      </w:pPr>
    </w:p>
    <w:p w:rsidR="005C405A" w:rsidRPr="00993B57" w:rsidRDefault="005C405A" w:rsidP="005C405A">
      <w:pPr>
        <w:spacing w:line="360" w:lineRule="exact"/>
        <w:jc w:val="both"/>
        <w:rPr>
          <w:rFonts w:ascii="Book Antiqua" w:hAnsi="Book Antiqua" w:cs="Calibri"/>
          <w:sz w:val="26"/>
          <w:szCs w:val="26"/>
        </w:rPr>
      </w:pPr>
    </w:p>
    <w:p w:rsidR="005C405A" w:rsidRPr="00993B57" w:rsidRDefault="005C405A" w:rsidP="005C405A">
      <w:pPr>
        <w:spacing w:line="360" w:lineRule="exact"/>
        <w:jc w:val="both"/>
        <w:rPr>
          <w:rFonts w:ascii="Book Antiqua" w:hAnsi="Book Antiqua" w:cs="Calibri"/>
          <w:sz w:val="26"/>
          <w:szCs w:val="26"/>
        </w:rPr>
      </w:pPr>
      <w:r w:rsidRPr="00993B57">
        <w:rPr>
          <w:rFonts w:ascii="Book Antiqua" w:hAnsi="Book Antiqua" w:cs="Calibri"/>
          <w:sz w:val="26"/>
          <w:szCs w:val="26"/>
        </w:rPr>
        <w:t>Le</w:t>
      </w:r>
      <w:r>
        <w:rPr>
          <w:rFonts w:ascii="Book Antiqua" w:hAnsi="Book Antiqua" w:cs="Calibri"/>
          <w:sz w:val="26"/>
          <w:szCs w:val="26"/>
        </w:rPr>
        <w:t>s</w:t>
      </w:r>
      <w:r w:rsidRPr="00993B57">
        <w:rPr>
          <w:rFonts w:ascii="Book Antiqua" w:hAnsi="Book Antiqua" w:cs="Calibri"/>
          <w:sz w:val="26"/>
          <w:szCs w:val="26"/>
        </w:rPr>
        <w:t xml:space="preserve"> comptes nationaux constituent une des composantes </w:t>
      </w:r>
      <w:r>
        <w:rPr>
          <w:rFonts w:ascii="Book Antiqua" w:hAnsi="Book Antiqua" w:cs="Calibri"/>
          <w:sz w:val="26"/>
          <w:szCs w:val="26"/>
        </w:rPr>
        <w:t>centrales</w:t>
      </w:r>
      <w:r w:rsidRPr="00993B57">
        <w:rPr>
          <w:rFonts w:ascii="Book Antiqua" w:hAnsi="Book Antiqua" w:cs="Calibri"/>
          <w:sz w:val="26"/>
          <w:szCs w:val="26"/>
        </w:rPr>
        <w:t xml:space="preserve"> du système national d’information statistique. Leur élaboration se fait </w:t>
      </w:r>
      <w:r>
        <w:rPr>
          <w:rFonts w:ascii="Book Antiqua" w:hAnsi="Book Antiqua" w:cs="Calibri"/>
          <w:sz w:val="26"/>
          <w:szCs w:val="26"/>
        </w:rPr>
        <w:t>par</w:t>
      </w:r>
      <w:r w:rsidRPr="00993B57">
        <w:rPr>
          <w:rFonts w:ascii="Book Antiqua" w:hAnsi="Book Antiqua" w:cs="Calibri"/>
          <w:sz w:val="26"/>
          <w:szCs w:val="26"/>
        </w:rPr>
        <w:t xml:space="preserve"> référ</w:t>
      </w:r>
      <w:r>
        <w:rPr>
          <w:rFonts w:ascii="Book Antiqua" w:hAnsi="Book Antiqua" w:cs="Calibri"/>
          <w:sz w:val="26"/>
          <w:szCs w:val="26"/>
        </w:rPr>
        <w:t xml:space="preserve">ence à une norme internationale </w:t>
      </w:r>
      <w:r w:rsidRPr="00993B57">
        <w:rPr>
          <w:rFonts w:ascii="Book Antiqua" w:hAnsi="Book Antiqua" w:cs="Calibri"/>
          <w:sz w:val="26"/>
          <w:szCs w:val="26"/>
        </w:rPr>
        <w:t>établi</w:t>
      </w:r>
      <w:r>
        <w:rPr>
          <w:rFonts w:ascii="Book Antiqua" w:hAnsi="Book Antiqua" w:cs="Calibri"/>
          <w:sz w:val="26"/>
          <w:szCs w:val="26"/>
        </w:rPr>
        <w:t>e</w:t>
      </w:r>
      <w:r w:rsidRPr="00993B57">
        <w:rPr>
          <w:rFonts w:ascii="Book Antiqua" w:hAnsi="Book Antiqua" w:cs="Calibri"/>
          <w:sz w:val="26"/>
          <w:szCs w:val="26"/>
        </w:rPr>
        <w:t xml:space="preserve"> par la Division Statistique des  Nations Unies, </w:t>
      </w:r>
      <w:r>
        <w:rPr>
          <w:rFonts w:ascii="Book Antiqua" w:hAnsi="Book Antiqua" w:cs="Calibri"/>
          <w:sz w:val="26"/>
          <w:szCs w:val="26"/>
        </w:rPr>
        <w:t>connue par le sigle SCN (</w:t>
      </w:r>
      <w:r w:rsidRPr="00993B57">
        <w:rPr>
          <w:rFonts w:ascii="Book Antiqua" w:hAnsi="Book Antiqua" w:cs="Calibri"/>
          <w:sz w:val="26"/>
          <w:szCs w:val="26"/>
        </w:rPr>
        <w:t>Système de Comptabilité Nationale</w:t>
      </w:r>
      <w:r>
        <w:rPr>
          <w:rFonts w:ascii="Book Antiqua" w:hAnsi="Book Antiqua" w:cs="Calibri"/>
          <w:sz w:val="26"/>
          <w:szCs w:val="26"/>
        </w:rPr>
        <w:t>)</w:t>
      </w:r>
      <w:r w:rsidRPr="00993B57">
        <w:rPr>
          <w:rFonts w:ascii="Book Antiqua" w:hAnsi="Book Antiqua" w:cs="Calibri"/>
          <w:sz w:val="26"/>
          <w:szCs w:val="26"/>
        </w:rPr>
        <w:t xml:space="preserve">. </w:t>
      </w:r>
    </w:p>
    <w:p w:rsidR="005C405A" w:rsidRPr="00993B57" w:rsidRDefault="005C405A" w:rsidP="005C405A">
      <w:pPr>
        <w:spacing w:line="360" w:lineRule="exact"/>
        <w:jc w:val="both"/>
        <w:rPr>
          <w:rFonts w:ascii="Book Antiqua" w:hAnsi="Book Antiqua" w:cs="Calibri"/>
          <w:sz w:val="26"/>
          <w:szCs w:val="26"/>
        </w:rPr>
      </w:pPr>
      <w:r w:rsidRPr="00993B57">
        <w:rPr>
          <w:rFonts w:ascii="Book Antiqua" w:hAnsi="Book Antiqua" w:cs="Calibri"/>
          <w:sz w:val="26"/>
          <w:szCs w:val="26"/>
        </w:rPr>
        <w:t xml:space="preserve">Les comptes nationaux sont </w:t>
      </w:r>
      <w:r>
        <w:rPr>
          <w:rFonts w:ascii="Book Antiqua" w:hAnsi="Book Antiqua" w:cs="Calibri"/>
          <w:sz w:val="26"/>
          <w:szCs w:val="26"/>
        </w:rPr>
        <w:t xml:space="preserve">compilés selon </w:t>
      </w:r>
      <w:r w:rsidRPr="00993B57">
        <w:rPr>
          <w:rFonts w:ascii="Book Antiqua" w:hAnsi="Book Antiqua" w:cs="Calibri"/>
          <w:sz w:val="26"/>
          <w:szCs w:val="26"/>
        </w:rPr>
        <w:t>une année de base, qui constitue l'année de référence des agrégats macroéconomiques.</w:t>
      </w:r>
    </w:p>
    <w:p w:rsidR="005C405A" w:rsidRPr="00993B57" w:rsidRDefault="005C405A" w:rsidP="00DA479A">
      <w:pPr>
        <w:spacing w:line="360" w:lineRule="exact"/>
        <w:jc w:val="both"/>
        <w:rPr>
          <w:rFonts w:ascii="Book Antiqua" w:hAnsi="Book Antiqua"/>
          <w:sz w:val="26"/>
          <w:szCs w:val="26"/>
        </w:rPr>
      </w:pPr>
      <w:r w:rsidRPr="00993B57">
        <w:rPr>
          <w:rFonts w:ascii="Book Antiqua" w:hAnsi="Book Antiqua" w:cs="Calibri"/>
          <w:sz w:val="26"/>
          <w:szCs w:val="26"/>
        </w:rPr>
        <w:t>Dans ce contexte et en application des recommandations du SCN, le Maroc</w:t>
      </w:r>
      <w:r>
        <w:rPr>
          <w:rFonts w:ascii="Book Antiqua" w:hAnsi="Book Antiqua" w:cs="Calibri"/>
          <w:sz w:val="26"/>
          <w:szCs w:val="26"/>
        </w:rPr>
        <w:t>,</w:t>
      </w:r>
      <w:r w:rsidRPr="00511924">
        <w:rPr>
          <w:rFonts w:ascii="Book Antiqua" w:hAnsi="Book Antiqua" w:cs="Calibri"/>
          <w:sz w:val="26"/>
          <w:szCs w:val="26"/>
        </w:rPr>
        <w:t xml:space="preserve"> </w:t>
      </w:r>
      <w:r w:rsidRPr="00993B57">
        <w:rPr>
          <w:rFonts w:ascii="Book Antiqua" w:hAnsi="Book Antiqua" w:cs="Calibri"/>
          <w:sz w:val="26"/>
          <w:szCs w:val="26"/>
        </w:rPr>
        <w:t>à l’instar des autres pays</w:t>
      </w:r>
      <w:r w:rsidR="00DA479A">
        <w:rPr>
          <w:rFonts w:ascii="Book Antiqua" w:hAnsi="Book Antiqua" w:cs="Calibri"/>
          <w:sz w:val="26"/>
          <w:szCs w:val="26"/>
        </w:rPr>
        <w:t>,</w:t>
      </w:r>
      <w:r w:rsidRPr="00993B57">
        <w:rPr>
          <w:rFonts w:ascii="Book Antiqua" w:hAnsi="Book Antiqua" w:cs="Calibri"/>
          <w:sz w:val="26"/>
          <w:szCs w:val="26"/>
        </w:rPr>
        <w:t xml:space="preserve"> procède régulièrement</w:t>
      </w:r>
      <w:r>
        <w:rPr>
          <w:rFonts w:ascii="Book Antiqua" w:hAnsi="Book Antiqua" w:cs="Calibri"/>
          <w:sz w:val="26"/>
          <w:szCs w:val="26"/>
        </w:rPr>
        <w:t xml:space="preserve"> au</w:t>
      </w:r>
      <w:r w:rsidRPr="00993B57">
        <w:rPr>
          <w:rFonts w:ascii="Book Antiqua" w:hAnsi="Book Antiqua" w:cs="Calibri"/>
          <w:sz w:val="26"/>
          <w:szCs w:val="26"/>
        </w:rPr>
        <w:t xml:space="preserve"> changement de l’année de base de ses comptes nationaux.</w:t>
      </w:r>
    </w:p>
    <w:p w:rsidR="005C405A" w:rsidRPr="00993B57" w:rsidRDefault="005C405A" w:rsidP="005C405A">
      <w:pPr>
        <w:spacing w:line="360" w:lineRule="exact"/>
        <w:rPr>
          <w:rFonts w:ascii="Book Antiqua" w:hAnsi="Book Antiqua"/>
          <w:sz w:val="26"/>
          <w:szCs w:val="26"/>
        </w:rPr>
      </w:pPr>
      <w:r>
        <w:rPr>
          <w:rFonts w:ascii="Book Antiqua" w:hAnsi="Book Antiqua"/>
          <w:sz w:val="26"/>
          <w:szCs w:val="26"/>
        </w:rPr>
        <w:t>Ce</w:t>
      </w:r>
      <w:r w:rsidRPr="00993B57">
        <w:rPr>
          <w:rFonts w:ascii="Book Antiqua" w:hAnsi="Book Antiqua"/>
          <w:sz w:val="26"/>
          <w:szCs w:val="26"/>
        </w:rPr>
        <w:t xml:space="preserve"> changement d’année de base obéi</w:t>
      </w:r>
      <w:r>
        <w:rPr>
          <w:rFonts w:ascii="Book Antiqua" w:hAnsi="Book Antiqua"/>
          <w:sz w:val="26"/>
          <w:szCs w:val="26"/>
        </w:rPr>
        <w:t>t</w:t>
      </w:r>
      <w:r w:rsidRPr="00993B57">
        <w:rPr>
          <w:rFonts w:ascii="Book Antiqua" w:hAnsi="Book Antiqua"/>
          <w:sz w:val="26"/>
          <w:szCs w:val="26"/>
        </w:rPr>
        <w:t xml:space="preserve"> au double objectif</w:t>
      </w:r>
      <w:r>
        <w:rPr>
          <w:rFonts w:ascii="Book Antiqua" w:hAnsi="Book Antiqua"/>
          <w:sz w:val="26"/>
          <w:szCs w:val="26"/>
        </w:rPr>
        <w:t xml:space="preserve"> </w:t>
      </w:r>
      <w:r w:rsidRPr="00993B57">
        <w:rPr>
          <w:rFonts w:ascii="Book Antiqua" w:hAnsi="Book Antiqua"/>
          <w:sz w:val="26"/>
          <w:szCs w:val="26"/>
        </w:rPr>
        <w:t xml:space="preserve">: </w:t>
      </w:r>
    </w:p>
    <w:p w:rsidR="005C405A" w:rsidRPr="00993B57" w:rsidRDefault="005C405A" w:rsidP="005C405A">
      <w:pPr>
        <w:pStyle w:val="Paragraphedeliste"/>
        <w:numPr>
          <w:ilvl w:val="0"/>
          <w:numId w:val="4"/>
        </w:numPr>
        <w:spacing w:line="360" w:lineRule="exact"/>
        <w:ind w:left="284" w:hanging="218"/>
        <w:contextualSpacing/>
        <w:jc w:val="both"/>
        <w:rPr>
          <w:rFonts w:ascii="Book Antiqua" w:hAnsi="Book Antiqua"/>
          <w:sz w:val="26"/>
          <w:szCs w:val="26"/>
        </w:rPr>
      </w:pPr>
      <w:r w:rsidRPr="00993B57">
        <w:rPr>
          <w:rFonts w:ascii="Book Antiqua" w:hAnsi="Book Antiqua"/>
          <w:sz w:val="26"/>
          <w:szCs w:val="26"/>
        </w:rPr>
        <w:t>mettre, régulièrement, la comptabilité nationale en conformité avec l’évolution des standards internationaux ;</w:t>
      </w:r>
    </w:p>
    <w:p w:rsidR="005C405A" w:rsidRPr="00511924" w:rsidRDefault="005C405A" w:rsidP="005C405A">
      <w:pPr>
        <w:pStyle w:val="Paragraphedeliste"/>
        <w:numPr>
          <w:ilvl w:val="0"/>
          <w:numId w:val="4"/>
        </w:numPr>
        <w:spacing w:line="360" w:lineRule="exact"/>
        <w:ind w:left="284" w:hanging="218"/>
        <w:contextualSpacing/>
        <w:jc w:val="both"/>
        <w:rPr>
          <w:rFonts w:ascii="Book Antiqua" w:hAnsi="Book Antiqua" w:cs="Calibri"/>
          <w:sz w:val="26"/>
          <w:szCs w:val="26"/>
        </w:rPr>
      </w:pPr>
      <w:r w:rsidRPr="00511924">
        <w:rPr>
          <w:rFonts w:ascii="Book Antiqua" w:hAnsi="Book Antiqua"/>
          <w:sz w:val="26"/>
          <w:szCs w:val="26"/>
        </w:rPr>
        <w:t>appréhender l’évolution que connaissent les structures de la production nationale et la contribution des secteurs d’activités et institutionnels à la création de la valeur ajoutée</w:t>
      </w:r>
      <w:r>
        <w:rPr>
          <w:rFonts w:ascii="Book Antiqua" w:hAnsi="Book Antiqua"/>
          <w:sz w:val="26"/>
          <w:szCs w:val="26"/>
        </w:rPr>
        <w:t>.</w:t>
      </w:r>
    </w:p>
    <w:p w:rsidR="005C405A" w:rsidRPr="00511924" w:rsidRDefault="005C405A" w:rsidP="005C405A">
      <w:pPr>
        <w:spacing w:line="360" w:lineRule="exact"/>
        <w:ind w:left="66"/>
        <w:jc w:val="both"/>
        <w:rPr>
          <w:rFonts w:ascii="Book Antiqua" w:hAnsi="Book Antiqua" w:cs="Calibri"/>
          <w:sz w:val="26"/>
          <w:szCs w:val="26"/>
        </w:rPr>
      </w:pPr>
      <w:r w:rsidRPr="00511924">
        <w:rPr>
          <w:rFonts w:ascii="Book Antiqua" w:hAnsi="Book Antiqua" w:cs="Calibri"/>
          <w:sz w:val="26"/>
          <w:szCs w:val="26"/>
        </w:rPr>
        <w:t>C’est</w:t>
      </w:r>
      <w:r>
        <w:rPr>
          <w:rFonts w:ascii="Book Antiqua" w:hAnsi="Book Antiqua" w:cs="Calibri"/>
          <w:sz w:val="26"/>
          <w:szCs w:val="26"/>
        </w:rPr>
        <w:t xml:space="preserve"> dans ce cadre,</w:t>
      </w:r>
      <w:r w:rsidRPr="00511924">
        <w:rPr>
          <w:rFonts w:ascii="Book Antiqua" w:hAnsi="Book Antiqua" w:cs="Calibri"/>
          <w:sz w:val="26"/>
          <w:szCs w:val="26"/>
        </w:rPr>
        <w:t xml:space="preserve"> qu’après avoir élaboré les comptes de la base 1998 selon les recommandations du SCN 1993, le Maroc a procédé à l’établissement d’une nouvelle année de base de ses comptes nationaux, en l’occurrence 2007, en se référant au SCN 2008. </w:t>
      </w:r>
    </w:p>
    <w:p w:rsidR="005C405A" w:rsidRPr="00993B57" w:rsidRDefault="005C405A" w:rsidP="00DA479A">
      <w:pPr>
        <w:spacing w:line="360" w:lineRule="exact"/>
        <w:jc w:val="both"/>
        <w:rPr>
          <w:rFonts w:ascii="Book Antiqua" w:hAnsi="Book Antiqua" w:cs="Calibri"/>
          <w:sz w:val="26"/>
          <w:szCs w:val="26"/>
        </w:rPr>
      </w:pPr>
      <w:r w:rsidRPr="00993B57">
        <w:rPr>
          <w:rFonts w:ascii="Book Antiqua" w:hAnsi="Book Antiqua" w:cs="Calibri"/>
          <w:sz w:val="26"/>
          <w:szCs w:val="26"/>
        </w:rPr>
        <w:lastRenderedPageBreak/>
        <w:t>Les modifications introduites dans l’ancienne base 1998</w:t>
      </w:r>
      <w:r>
        <w:rPr>
          <w:rFonts w:ascii="Book Antiqua" w:hAnsi="Book Antiqua" w:cs="Calibri"/>
          <w:sz w:val="26"/>
          <w:szCs w:val="26"/>
        </w:rPr>
        <w:t xml:space="preserve"> ont </w:t>
      </w:r>
      <w:r>
        <w:rPr>
          <w:rFonts w:ascii="Book Antiqua" w:hAnsi="Book Antiqua"/>
          <w:sz w:val="26"/>
          <w:szCs w:val="26"/>
        </w:rPr>
        <w:t xml:space="preserve">présenté </w:t>
      </w:r>
      <w:r w:rsidRPr="00993B57">
        <w:rPr>
          <w:rFonts w:ascii="Book Antiqua" w:hAnsi="Book Antiqua"/>
          <w:sz w:val="26"/>
          <w:szCs w:val="26"/>
        </w:rPr>
        <w:t xml:space="preserve">des différences importantes par rapport aux anciens comptes établis dans la base 1980. </w:t>
      </w:r>
      <w:r w:rsidR="00DA479A">
        <w:rPr>
          <w:rFonts w:ascii="Book Antiqua" w:hAnsi="Book Antiqua"/>
          <w:sz w:val="26"/>
          <w:szCs w:val="26"/>
        </w:rPr>
        <w:t>Elles</w:t>
      </w:r>
      <w:r>
        <w:rPr>
          <w:rFonts w:ascii="Book Antiqua" w:hAnsi="Book Antiqua"/>
          <w:sz w:val="26"/>
          <w:szCs w:val="26"/>
        </w:rPr>
        <w:t xml:space="preserve"> ont concerné </w:t>
      </w:r>
      <w:r w:rsidRPr="00993B57">
        <w:rPr>
          <w:rFonts w:ascii="Book Antiqua" w:hAnsi="Book Antiqua" w:cs="Calibri"/>
          <w:sz w:val="26"/>
          <w:szCs w:val="26"/>
        </w:rPr>
        <w:t xml:space="preserve">principalement les concepts, les nomenclatures, le mode de valorisation des productions et des valeurs ajoutées et la mesure des variations annuelles en volume. Elles se sont traduites par une structure de comptes nationaux plus développée qui </w:t>
      </w:r>
      <w:r>
        <w:rPr>
          <w:rFonts w:ascii="Book Antiqua" w:hAnsi="Book Antiqua" w:cs="Calibri"/>
          <w:sz w:val="26"/>
          <w:szCs w:val="26"/>
        </w:rPr>
        <w:t xml:space="preserve">a </w:t>
      </w:r>
      <w:r w:rsidRPr="00993B57">
        <w:rPr>
          <w:rFonts w:ascii="Book Antiqua" w:hAnsi="Book Antiqua" w:cs="Calibri"/>
          <w:sz w:val="26"/>
          <w:szCs w:val="26"/>
        </w:rPr>
        <w:t>per</w:t>
      </w:r>
      <w:r>
        <w:rPr>
          <w:rFonts w:ascii="Book Antiqua" w:hAnsi="Book Antiqua" w:cs="Calibri"/>
          <w:sz w:val="26"/>
          <w:szCs w:val="26"/>
        </w:rPr>
        <w:t xml:space="preserve">mis </w:t>
      </w:r>
      <w:r w:rsidRPr="00993B57">
        <w:rPr>
          <w:rFonts w:ascii="Book Antiqua" w:hAnsi="Book Antiqua" w:cs="Calibri"/>
          <w:sz w:val="26"/>
          <w:szCs w:val="26"/>
        </w:rPr>
        <w:t xml:space="preserve">en particulier, </w:t>
      </w:r>
      <w:r>
        <w:rPr>
          <w:rFonts w:ascii="Book Antiqua" w:hAnsi="Book Antiqua" w:cs="Calibri"/>
          <w:sz w:val="26"/>
          <w:szCs w:val="26"/>
        </w:rPr>
        <w:t xml:space="preserve">une </w:t>
      </w:r>
      <w:r w:rsidRPr="00993B57">
        <w:rPr>
          <w:rFonts w:ascii="Book Antiqua" w:hAnsi="Book Antiqua" w:cs="Calibri"/>
          <w:sz w:val="26"/>
          <w:szCs w:val="26"/>
        </w:rPr>
        <w:t xml:space="preserve">analyse </w:t>
      </w:r>
      <w:r>
        <w:rPr>
          <w:rFonts w:ascii="Book Antiqua" w:hAnsi="Book Antiqua" w:cs="Calibri"/>
          <w:sz w:val="26"/>
          <w:szCs w:val="26"/>
        </w:rPr>
        <w:t xml:space="preserve">plus fine </w:t>
      </w:r>
      <w:r w:rsidRPr="00993B57">
        <w:rPr>
          <w:rFonts w:ascii="Book Antiqua" w:hAnsi="Book Antiqua" w:cs="Calibri"/>
          <w:sz w:val="26"/>
          <w:szCs w:val="26"/>
        </w:rPr>
        <w:t xml:space="preserve">des revenus et leur répartition entre secteurs et sous secteurs institutionnels. </w:t>
      </w:r>
    </w:p>
    <w:p w:rsidR="005C405A" w:rsidRPr="00993B57" w:rsidRDefault="005C405A" w:rsidP="005C405A">
      <w:pPr>
        <w:spacing w:line="360" w:lineRule="exact"/>
        <w:jc w:val="both"/>
        <w:rPr>
          <w:rFonts w:ascii="Book Antiqua" w:hAnsi="Book Antiqua" w:cs="Calibri"/>
          <w:sz w:val="26"/>
          <w:szCs w:val="26"/>
        </w:rPr>
      </w:pPr>
      <w:r>
        <w:rPr>
          <w:rFonts w:ascii="Book Antiqua" w:hAnsi="Book Antiqua" w:cs="Calibri"/>
          <w:sz w:val="26"/>
          <w:szCs w:val="26"/>
        </w:rPr>
        <w:t xml:space="preserve">S’agissant des </w:t>
      </w:r>
      <w:r w:rsidRPr="00993B57">
        <w:rPr>
          <w:rFonts w:ascii="Book Antiqua" w:hAnsi="Book Antiqua" w:cs="Calibri"/>
          <w:sz w:val="26"/>
          <w:szCs w:val="26"/>
        </w:rPr>
        <w:t>modifications introduites dans la nouvelle base 2007</w:t>
      </w:r>
      <w:r>
        <w:rPr>
          <w:rFonts w:ascii="Book Antiqua" w:hAnsi="Book Antiqua" w:cs="Calibri"/>
          <w:sz w:val="26"/>
          <w:szCs w:val="26"/>
        </w:rPr>
        <w:t>,</w:t>
      </w:r>
      <w:r w:rsidRPr="00993B57">
        <w:rPr>
          <w:rFonts w:ascii="Book Antiqua" w:hAnsi="Book Antiqua" w:cs="Calibri"/>
          <w:sz w:val="26"/>
          <w:szCs w:val="26"/>
        </w:rPr>
        <w:t xml:space="preserve"> </w:t>
      </w:r>
      <w:r>
        <w:rPr>
          <w:rFonts w:ascii="Book Antiqua" w:hAnsi="Book Antiqua" w:cs="Calibri"/>
          <w:sz w:val="26"/>
          <w:szCs w:val="26"/>
        </w:rPr>
        <w:t xml:space="preserve">celles-ci </w:t>
      </w:r>
      <w:r w:rsidRPr="00993B57">
        <w:rPr>
          <w:rFonts w:ascii="Book Antiqua" w:hAnsi="Book Antiqua" w:cs="Calibri"/>
          <w:sz w:val="26"/>
          <w:szCs w:val="26"/>
        </w:rPr>
        <w:t xml:space="preserve">n’affectent pas, profondément, le cadre central des comptes nationaux en base 1998. Elles </w:t>
      </w:r>
      <w:r>
        <w:rPr>
          <w:rFonts w:ascii="Book Antiqua" w:hAnsi="Book Antiqua" w:cs="Calibri"/>
          <w:sz w:val="26"/>
          <w:szCs w:val="26"/>
        </w:rPr>
        <w:t xml:space="preserve">concernent les </w:t>
      </w:r>
      <w:r w:rsidRPr="00993B57">
        <w:rPr>
          <w:rFonts w:ascii="Book Antiqua" w:hAnsi="Book Antiqua" w:cs="Calibri"/>
          <w:sz w:val="26"/>
          <w:szCs w:val="26"/>
        </w:rPr>
        <w:t xml:space="preserve">méthodes de comptabilisation édictées par le SCN2008, </w:t>
      </w:r>
      <w:r>
        <w:rPr>
          <w:rFonts w:ascii="Book Antiqua" w:hAnsi="Book Antiqua" w:cs="Calibri"/>
          <w:sz w:val="26"/>
          <w:szCs w:val="26"/>
        </w:rPr>
        <w:t>en particulier, celles relatives à</w:t>
      </w:r>
      <w:r w:rsidRPr="00993B57">
        <w:rPr>
          <w:rFonts w:ascii="Book Antiqua" w:hAnsi="Book Antiqua" w:cs="Calibri"/>
          <w:sz w:val="26"/>
          <w:szCs w:val="26"/>
        </w:rPr>
        <w:t xml:space="preserve"> : </w:t>
      </w:r>
    </w:p>
    <w:p w:rsidR="005C405A" w:rsidRPr="00993B57" w:rsidRDefault="005C405A" w:rsidP="00B06B8D">
      <w:pPr>
        <w:pStyle w:val="Paragraphedeliste"/>
        <w:numPr>
          <w:ilvl w:val="0"/>
          <w:numId w:val="4"/>
        </w:numPr>
        <w:spacing w:line="360" w:lineRule="exact"/>
        <w:ind w:left="284" w:hanging="218"/>
        <w:contextualSpacing/>
        <w:jc w:val="both"/>
        <w:rPr>
          <w:rFonts w:ascii="Book Antiqua" w:hAnsi="Book Antiqua"/>
          <w:sz w:val="26"/>
          <w:szCs w:val="26"/>
        </w:rPr>
      </w:pPr>
      <w:r>
        <w:rPr>
          <w:rFonts w:ascii="Book Antiqua" w:hAnsi="Book Antiqua"/>
          <w:sz w:val="26"/>
          <w:szCs w:val="26"/>
        </w:rPr>
        <w:t xml:space="preserve">la capitalisation </w:t>
      </w:r>
      <w:r w:rsidRPr="00993B57">
        <w:rPr>
          <w:rFonts w:ascii="Book Antiqua" w:hAnsi="Book Antiqua"/>
          <w:sz w:val="26"/>
          <w:szCs w:val="26"/>
        </w:rPr>
        <w:t>des dépenses de Recherche et Développement (R&amp;D)</w:t>
      </w:r>
      <w:r w:rsidR="00B06B8D">
        <w:rPr>
          <w:rFonts w:ascii="Book Antiqua" w:hAnsi="Book Antiqua"/>
          <w:sz w:val="26"/>
          <w:szCs w:val="26"/>
        </w:rPr>
        <w:t>,</w:t>
      </w:r>
      <w:r w:rsidRPr="00993B57">
        <w:rPr>
          <w:rFonts w:ascii="Book Antiqua" w:hAnsi="Book Antiqua"/>
          <w:sz w:val="26"/>
          <w:szCs w:val="26"/>
        </w:rPr>
        <w:t xml:space="preserve"> des bases de données et des dépenses engagées pour acquérir  des équipements à usage exclusivement militaire.</w:t>
      </w:r>
    </w:p>
    <w:p w:rsidR="005C405A" w:rsidRPr="00A77DF9" w:rsidRDefault="005C405A" w:rsidP="00B06B8D">
      <w:pPr>
        <w:pStyle w:val="Paragraphedeliste"/>
        <w:numPr>
          <w:ilvl w:val="0"/>
          <w:numId w:val="4"/>
        </w:numPr>
        <w:spacing w:line="360" w:lineRule="exact"/>
        <w:ind w:left="284" w:hanging="218"/>
        <w:contextualSpacing/>
        <w:jc w:val="both"/>
        <w:rPr>
          <w:rFonts w:ascii="Book Antiqua" w:hAnsi="Book Antiqua"/>
          <w:sz w:val="26"/>
          <w:szCs w:val="26"/>
        </w:rPr>
      </w:pPr>
      <w:r>
        <w:rPr>
          <w:rFonts w:ascii="Book Antiqua" w:hAnsi="Book Antiqua" w:cs="Calibri"/>
          <w:sz w:val="26"/>
          <w:szCs w:val="26"/>
        </w:rPr>
        <w:t xml:space="preserve">La ventilation </w:t>
      </w:r>
      <w:r w:rsidRPr="00A77DF9">
        <w:rPr>
          <w:rFonts w:ascii="Book Antiqua" w:hAnsi="Book Antiqua" w:cstheme="minorHAnsi"/>
          <w:sz w:val="26"/>
          <w:szCs w:val="26"/>
        </w:rPr>
        <w:t xml:space="preserve">du </w:t>
      </w:r>
      <w:r w:rsidRPr="00A77DF9">
        <w:rPr>
          <w:rFonts w:ascii="Book Antiqua" w:hAnsi="Book Antiqua"/>
          <w:color w:val="000000"/>
          <w:sz w:val="26"/>
          <w:szCs w:val="26"/>
        </w:rPr>
        <w:t>service d’intermédiation financière indirectement mesuré (</w:t>
      </w:r>
      <w:r w:rsidRPr="00A77DF9">
        <w:rPr>
          <w:rFonts w:ascii="Book Antiqua" w:hAnsi="Book Antiqua" w:cstheme="minorHAnsi"/>
          <w:sz w:val="26"/>
          <w:szCs w:val="26"/>
        </w:rPr>
        <w:t xml:space="preserve">SIFIM) entre les différents </w:t>
      </w:r>
      <w:r>
        <w:rPr>
          <w:rFonts w:ascii="Book Antiqua" w:hAnsi="Book Antiqua" w:cstheme="minorHAnsi"/>
          <w:sz w:val="26"/>
          <w:szCs w:val="26"/>
        </w:rPr>
        <w:t>emplois (</w:t>
      </w:r>
      <w:r w:rsidR="00B06B8D">
        <w:rPr>
          <w:rFonts w:ascii="Book Antiqua" w:hAnsi="Book Antiqua" w:cstheme="minorHAnsi"/>
          <w:sz w:val="26"/>
          <w:szCs w:val="26"/>
        </w:rPr>
        <w:t>C</w:t>
      </w:r>
      <w:r>
        <w:rPr>
          <w:rFonts w:ascii="Book Antiqua" w:hAnsi="Book Antiqua" w:cstheme="minorHAnsi"/>
          <w:sz w:val="26"/>
          <w:szCs w:val="26"/>
        </w:rPr>
        <w:t>onsommation</w:t>
      </w:r>
      <w:r w:rsidRPr="00A77DF9">
        <w:rPr>
          <w:rFonts w:ascii="Book Antiqua" w:hAnsi="Book Antiqua" w:cstheme="minorHAnsi"/>
          <w:sz w:val="26"/>
          <w:szCs w:val="26"/>
        </w:rPr>
        <w:t xml:space="preserve"> intermédiaire et </w:t>
      </w:r>
      <w:r w:rsidR="00B06B8D">
        <w:rPr>
          <w:rFonts w:ascii="Book Antiqua" w:hAnsi="Book Antiqua" w:cstheme="minorHAnsi"/>
          <w:sz w:val="26"/>
          <w:szCs w:val="26"/>
        </w:rPr>
        <w:t>D</w:t>
      </w:r>
      <w:r w:rsidRPr="00A77DF9">
        <w:rPr>
          <w:rFonts w:ascii="Book Antiqua" w:hAnsi="Book Antiqua" w:cstheme="minorHAnsi"/>
          <w:sz w:val="26"/>
          <w:szCs w:val="26"/>
        </w:rPr>
        <w:t>emande finale</w:t>
      </w:r>
      <w:r>
        <w:rPr>
          <w:rFonts w:ascii="Book Antiqua" w:hAnsi="Book Antiqua" w:cstheme="minorHAnsi"/>
          <w:sz w:val="26"/>
          <w:szCs w:val="26"/>
        </w:rPr>
        <w:t>).</w:t>
      </w:r>
      <w:r w:rsidRPr="00A77DF9">
        <w:rPr>
          <w:rFonts w:ascii="Book Antiqua" w:hAnsi="Book Antiqua" w:cstheme="minorHAnsi"/>
          <w:sz w:val="26"/>
          <w:szCs w:val="26"/>
        </w:rPr>
        <w:t xml:space="preserve"> </w:t>
      </w:r>
    </w:p>
    <w:p w:rsidR="005C405A" w:rsidRPr="00993B57" w:rsidRDefault="005C405A" w:rsidP="00B06B8D">
      <w:pPr>
        <w:spacing w:line="360" w:lineRule="exact"/>
        <w:jc w:val="both"/>
        <w:rPr>
          <w:rFonts w:ascii="Book Antiqua" w:hAnsi="Book Antiqua" w:cs="Calibri"/>
          <w:sz w:val="26"/>
          <w:szCs w:val="26"/>
        </w:rPr>
      </w:pPr>
      <w:r>
        <w:rPr>
          <w:rFonts w:ascii="Book Antiqua" w:hAnsi="Book Antiqua" w:cs="Calibri"/>
          <w:sz w:val="26"/>
          <w:szCs w:val="26"/>
        </w:rPr>
        <w:t xml:space="preserve">Outre le </w:t>
      </w:r>
      <w:r w:rsidRPr="00993B57">
        <w:rPr>
          <w:rFonts w:ascii="Book Antiqua" w:hAnsi="Book Antiqua" w:cs="Calibri"/>
          <w:sz w:val="26"/>
          <w:szCs w:val="26"/>
        </w:rPr>
        <w:t>dispositif d’enquêtes annuelles</w:t>
      </w:r>
      <w:r>
        <w:rPr>
          <w:rFonts w:ascii="Book Antiqua" w:hAnsi="Book Antiqua" w:cs="Calibri"/>
          <w:sz w:val="26"/>
          <w:szCs w:val="26"/>
        </w:rPr>
        <w:t>, les données fournies par des nouvelles sources statistiques ont été utilisées pour l’élaboration de la série des comptes nationaux de 2007</w:t>
      </w:r>
      <w:r w:rsidR="00B06B8D">
        <w:rPr>
          <w:rFonts w:ascii="Book Antiqua" w:hAnsi="Book Antiqua" w:cs="Calibri"/>
          <w:sz w:val="26"/>
          <w:szCs w:val="26"/>
        </w:rPr>
        <w:t>. I</w:t>
      </w:r>
      <w:r>
        <w:rPr>
          <w:rFonts w:ascii="Book Antiqua" w:hAnsi="Book Antiqua" w:cs="Calibri"/>
          <w:sz w:val="26"/>
          <w:szCs w:val="26"/>
        </w:rPr>
        <w:t>l s’agit</w:t>
      </w:r>
      <w:r w:rsidR="00B06B8D">
        <w:rPr>
          <w:rFonts w:ascii="Book Antiqua" w:hAnsi="Book Antiqua" w:cs="Calibri"/>
          <w:sz w:val="26"/>
          <w:szCs w:val="26"/>
        </w:rPr>
        <w:t>,</w:t>
      </w:r>
      <w:r>
        <w:rPr>
          <w:rFonts w:ascii="Book Antiqua" w:hAnsi="Book Antiqua" w:cs="Calibri"/>
          <w:sz w:val="26"/>
          <w:szCs w:val="26"/>
        </w:rPr>
        <w:t xml:space="preserve"> en particulier</w:t>
      </w:r>
      <w:r w:rsidR="00B06B8D">
        <w:rPr>
          <w:rFonts w:ascii="Book Antiqua" w:hAnsi="Book Antiqua" w:cs="Calibri"/>
          <w:sz w:val="26"/>
          <w:szCs w:val="26"/>
        </w:rPr>
        <w:t>,</w:t>
      </w:r>
      <w:r>
        <w:rPr>
          <w:rFonts w:ascii="Book Antiqua" w:hAnsi="Book Antiqua" w:cs="Calibri"/>
          <w:sz w:val="26"/>
          <w:szCs w:val="26"/>
        </w:rPr>
        <w:t xml:space="preserve"> des </w:t>
      </w:r>
      <w:r w:rsidRPr="00993B57">
        <w:rPr>
          <w:rFonts w:ascii="Book Antiqua" w:hAnsi="Book Antiqua" w:cs="Calibri"/>
          <w:sz w:val="26"/>
          <w:szCs w:val="26"/>
        </w:rPr>
        <w:t xml:space="preserve"> enquêtes structurelles réalisées par le HCP auprès des entreprises, des ménages, du secteur informel et des institutions privées sans but lucratif </w:t>
      </w:r>
      <w:r>
        <w:rPr>
          <w:rFonts w:ascii="Book Antiqua" w:hAnsi="Book Antiqua" w:cs="Calibri"/>
          <w:sz w:val="26"/>
          <w:szCs w:val="26"/>
        </w:rPr>
        <w:t>ou encore</w:t>
      </w:r>
      <w:r w:rsidRPr="00993B57">
        <w:rPr>
          <w:rFonts w:ascii="Book Antiqua" w:hAnsi="Book Antiqua" w:cs="Calibri"/>
          <w:sz w:val="26"/>
          <w:szCs w:val="26"/>
        </w:rPr>
        <w:t xml:space="preserve"> </w:t>
      </w:r>
      <w:r w:rsidR="00B06B8D">
        <w:rPr>
          <w:rFonts w:ascii="Book Antiqua" w:hAnsi="Book Antiqua" w:cs="Calibri"/>
          <w:sz w:val="26"/>
          <w:szCs w:val="26"/>
        </w:rPr>
        <w:t>l’enquête</w:t>
      </w:r>
      <w:r w:rsidRPr="00993B57">
        <w:rPr>
          <w:rFonts w:ascii="Book Antiqua" w:hAnsi="Book Antiqua" w:cs="Calibri"/>
          <w:sz w:val="26"/>
          <w:szCs w:val="26"/>
        </w:rPr>
        <w:t xml:space="preserve"> portant sur l’investissement du secteur des administrations publiques. </w:t>
      </w:r>
    </w:p>
    <w:p w:rsidR="005C405A" w:rsidRPr="00993B57" w:rsidRDefault="00B06B8D" w:rsidP="00B06B8D">
      <w:pPr>
        <w:spacing w:line="360" w:lineRule="exact"/>
        <w:jc w:val="both"/>
        <w:rPr>
          <w:rFonts w:ascii="Book Antiqua" w:hAnsi="Book Antiqua" w:cs="Calibri"/>
          <w:sz w:val="26"/>
          <w:szCs w:val="26"/>
        </w:rPr>
      </w:pPr>
      <w:r>
        <w:rPr>
          <w:rFonts w:ascii="Book Antiqua" w:hAnsi="Book Antiqua" w:cs="Calibri"/>
          <w:sz w:val="26"/>
          <w:szCs w:val="26"/>
        </w:rPr>
        <w:t>U</w:t>
      </w:r>
      <w:r w:rsidR="005C405A">
        <w:rPr>
          <w:rFonts w:ascii="Book Antiqua" w:hAnsi="Book Antiqua" w:cs="Calibri"/>
          <w:sz w:val="26"/>
          <w:szCs w:val="26"/>
        </w:rPr>
        <w:t>ne</w:t>
      </w:r>
      <w:r w:rsidR="005C405A" w:rsidRPr="00993B57">
        <w:rPr>
          <w:rFonts w:ascii="Book Antiqua" w:hAnsi="Book Antiqua" w:cs="Calibri"/>
          <w:sz w:val="26"/>
          <w:szCs w:val="26"/>
        </w:rPr>
        <w:t xml:space="preserve"> série </w:t>
      </w:r>
      <w:r w:rsidRPr="00993B57">
        <w:rPr>
          <w:rFonts w:ascii="Book Antiqua" w:hAnsi="Book Antiqua" w:cs="Calibri"/>
          <w:sz w:val="26"/>
          <w:szCs w:val="26"/>
        </w:rPr>
        <w:t>de comptes et tableaux</w:t>
      </w:r>
      <w:r>
        <w:rPr>
          <w:rFonts w:ascii="Book Antiqua" w:hAnsi="Book Antiqua" w:cs="Calibri"/>
          <w:sz w:val="26"/>
          <w:szCs w:val="26"/>
        </w:rPr>
        <w:t>,</w:t>
      </w:r>
      <w:r w:rsidRPr="00993B57">
        <w:rPr>
          <w:rFonts w:ascii="Book Antiqua" w:hAnsi="Book Antiqua" w:cs="Calibri"/>
          <w:sz w:val="26"/>
          <w:szCs w:val="26"/>
        </w:rPr>
        <w:t xml:space="preserve"> </w:t>
      </w:r>
      <w:r w:rsidR="005C405A" w:rsidRPr="00993B57">
        <w:rPr>
          <w:rFonts w:ascii="Book Antiqua" w:hAnsi="Book Antiqua" w:cs="Calibri"/>
          <w:sz w:val="26"/>
          <w:szCs w:val="26"/>
        </w:rPr>
        <w:t>allant de 2007 à 2012</w:t>
      </w:r>
      <w:r>
        <w:rPr>
          <w:rFonts w:ascii="Book Antiqua" w:hAnsi="Book Antiqua" w:cs="Calibri"/>
          <w:sz w:val="26"/>
          <w:szCs w:val="26"/>
        </w:rPr>
        <w:t>,</w:t>
      </w:r>
      <w:r w:rsidR="005C405A">
        <w:rPr>
          <w:rFonts w:ascii="Book Antiqua" w:hAnsi="Book Antiqua" w:cs="Calibri"/>
          <w:sz w:val="26"/>
          <w:szCs w:val="26"/>
        </w:rPr>
        <w:t xml:space="preserve"> est aujourd’hui disponible</w:t>
      </w:r>
      <w:r w:rsidRPr="00B06B8D">
        <w:rPr>
          <w:rFonts w:ascii="Book Antiqua" w:hAnsi="Book Antiqua" w:cs="Calibri"/>
          <w:sz w:val="26"/>
          <w:szCs w:val="26"/>
        </w:rPr>
        <w:t xml:space="preserve"> </w:t>
      </w:r>
      <w:r>
        <w:rPr>
          <w:rFonts w:ascii="Book Antiqua" w:hAnsi="Book Antiqua" w:cs="Calibri"/>
          <w:sz w:val="26"/>
          <w:szCs w:val="26"/>
        </w:rPr>
        <w:t>en base 2007</w:t>
      </w:r>
      <w:r w:rsidR="005C405A">
        <w:rPr>
          <w:rFonts w:ascii="Book Antiqua" w:hAnsi="Book Antiqua" w:cs="Calibri"/>
          <w:sz w:val="26"/>
          <w:szCs w:val="26"/>
        </w:rPr>
        <w:t xml:space="preserve">. Ces derniers portent sur </w:t>
      </w:r>
      <w:r w:rsidR="005C405A" w:rsidRPr="00993B57">
        <w:rPr>
          <w:rFonts w:ascii="Book Antiqua" w:hAnsi="Book Antiqua" w:cs="Calibri"/>
          <w:sz w:val="26"/>
          <w:szCs w:val="26"/>
        </w:rPr>
        <w:t>:</w:t>
      </w:r>
    </w:p>
    <w:p w:rsidR="005C405A" w:rsidRPr="00993B57" w:rsidRDefault="005C405A" w:rsidP="00DA479A">
      <w:pPr>
        <w:pStyle w:val="Paragraphedeliste"/>
        <w:numPr>
          <w:ilvl w:val="0"/>
          <w:numId w:val="4"/>
        </w:numPr>
        <w:spacing w:line="360" w:lineRule="exact"/>
        <w:ind w:left="284" w:hanging="218"/>
        <w:contextualSpacing/>
        <w:jc w:val="both"/>
        <w:rPr>
          <w:rFonts w:ascii="Book Antiqua" w:hAnsi="Book Antiqua"/>
          <w:sz w:val="26"/>
          <w:szCs w:val="26"/>
        </w:rPr>
      </w:pPr>
      <w:r>
        <w:rPr>
          <w:rFonts w:ascii="Book Antiqua" w:hAnsi="Book Antiqua"/>
          <w:sz w:val="26"/>
          <w:szCs w:val="26"/>
        </w:rPr>
        <w:t xml:space="preserve">Les </w:t>
      </w:r>
      <w:r w:rsidRPr="00993B57">
        <w:rPr>
          <w:rFonts w:ascii="Book Antiqua" w:hAnsi="Book Antiqua"/>
          <w:sz w:val="26"/>
          <w:szCs w:val="26"/>
        </w:rPr>
        <w:t>équilibres ressources emplois par produit (postes de la nomenclature des produits) en valeur et en volume ;</w:t>
      </w:r>
    </w:p>
    <w:p w:rsidR="005C405A" w:rsidRPr="00993B57" w:rsidRDefault="005C405A" w:rsidP="00DA479A">
      <w:pPr>
        <w:pStyle w:val="Paragraphedeliste"/>
        <w:numPr>
          <w:ilvl w:val="0"/>
          <w:numId w:val="4"/>
        </w:numPr>
        <w:spacing w:line="360" w:lineRule="exact"/>
        <w:ind w:left="284" w:hanging="218"/>
        <w:contextualSpacing/>
        <w:jc w:val="both"/>
        <w:rPr>
          <w:rFonts w:ascii="Book Antiqua" w:hAnsi="Book Antiqua"/>
          <w:sz w:val="26"/>
          <w:szCs w:val="26"/>
        </w:rPr>
      </w:pPr>
      <w:r>
        <w:rPr>
          <w:rFonts w:ascii="Book Antiqua" w:hAnsi="Book Antiqua"/>
          <w:sz w:val="26"/>
          <w:szCs w:val="26"/>
        </w:rPr>
        <w:t xml:space="preserve">Les </w:t>
      </w:r>
      <w:r w:rsidRPr="00993B57">
        <w:rPr>
          <w:rFonts w:ascii="Book Antiqua" w:hAnsi="Book Antiqua"/>
          <w:sz w:val="26"/>
          <w:szCs w:val="26"/>
        </w:rPr>
        <w:t>comptes de branches en valeur et en volume (comptes de production et d’exploitation par branches </w:t>
      </w:r>
      <w:r w:rsidR="00DA479A">
        <w:rPr>
          <w:rFonts w:ascii="Book Antiqua" w:hAnsi="Book Antiqua"/>
          <w:sz w:val="26"/>
          <w:szCs w:val="26"/>
        </w:rPr>
        <w:t>(</w:t>
      </w:r>
      <w:r w:rsidRPr="00993B57">
        <w:rPr>
          <w:rFonts w:ascii="Book Antiqua" w:hAnsi="Book Antiqua"/>
          <w:sz w:val="26"/>
          <w:szCs w:val="26"/>
        </w:rPr>
        <w:t>postes de la nomenclature d’activités) ;</w:t>
      </w:r>
    </w:p>
    <w:p w:rsidR="005C405A" w:rsidRPr="00993B57" w:rsidRDefault="005C405A" w:rsidP="005C405A">
      <w:pPr>
        <w:pStyle w:val="Paragraphedeliste"/>
        <w:numPr>
          <w:ilvl w:val="0"/>
          <w:numId w:val="4"/>
        </w:numPr>
        <w:spacing w:line="360" w:lineRule="exact"/>
        <w:ind w:left="284" w:hanging="218"/>
        <w:contextualSpacing/>
        <w:jc w:val="both"/>
        <w:rPr>
          <w:rFonts w:ascii="Book Antiqua" w:hAnsi="Book Antiqua"/>
          <w:sz w:val="26"/>
          <w:szCs w:val="26"/>
        </w:rPr>
      </w:pPr>
      <w:r>
        <w:rPr>
          <w:rFonts w:ascii="Book Antiqua" w:hAnsi="Book Antiqua"/>
          <w:sz w:val="26"/>
          <w:szCs w:val="26"/>
        </w:rPr>
        <w:t xml:space="preserve">La </w:t>
      </w:r>
      <w:r w:rsidRPr="00993B57">
        <w:rPr>
          <w:rFonts w:ascii="Book Antiqua" w:hAnsi="Book Antiqua"/>
          <w:sz w:val="26"/>
          <w:szCs w:val="26"/>
        </w:rPr>
        <w:t>séquence des comptes des secteurs institutionnels ;</w:t>
      </w:r>
    </w:p>
    <w:p w:rsidR="005C405A" w:rsidRPr="00993B57" w:rsidRDefault="005C405A" w:rsidP="005C405A">
      <w:pPr>
        <w:pStyle w:val="Paragraphedeliste"/>
        <w:numPr>
          <w:ilvl w:val="0"/>
          <w:numId w:val="4"/>
        </w:numPr>
        <w:spacing w:line="360" w:lineRule="exact"/>
        <w:ind w:left="284" w:hanging="218"/>
        <w:contextualSpacing/>
        <w:jc w:val="both"/>
        <w:rPr>
          <w:rFonts w:ascii="Book Antiqua" w:hAnsi="Book Antiqua"/>
          <w:sz w:val="26"/>
          <w:szCs w:val="26"/>
        </w:rPr>
      </w:pPr>
      <w:r>
        <w:rPr>
          <w:rFonts w:ascii="Book Antiqua" w:hAnsi="Book Antiqua"/>
          <w:sz w:val="26"/>
          <w:szCs w:val="26"/>
        </w:rPr>
        <w:t xml:space="preserve">Les </w:t>
      </w:r>
      <w:r w:rsidRPr="00993B57">
        <w:rPr>
          <w:rFonts w:ascii="Book Antiqua" w:hAnsi="Book Antiqua"/>
          <w:sz w:val="26"/>
          <w:szCs w:val="26"/>
        </w:rPr>
        <w:t>tableau</w:t>
      </w:r>
      <w:r>
        <w:rPr>
          <w:rFonts w:ascii="Book Antiqua" w:hAnsi="Book Antiqua"/>
          <w:sz w:val="26"/>
          <w:szCs w:val="26"/>
        </w:rPr>
        <w:t>x</w:t>
      </w:r>
      <w:r w:rsidRPr="00993B57">
        <w:rPr>
          <w:rFonts w:ascii="Book Antiqua" w:hAnsi="Book Antiqua"/>
          <w:sz w:val="26"/>
          <w:szCs w:val="26"/>
        </w:rPr>
        <w:t xml:space="preserve"> des ressources et emplois (TRE) en valeur et en volume ;</w:t>
      </w:r>
    </w:p>
    <w:p w:rsidR="005C405A" w:rsidRPr="00993B57" w:rsidRDefault="005C405A" w:rsidP="005C405A">
      <w:pPr>
        <w:pStyle w:val="Paragraphedeliste"/>
        <w:numPr>
          <w:ilvl w:val="0"/>
          <w:numId w:val="4"/>
        </w:numPr>
        <w:spacing w:line="360" w:lineRule="exact"/>
        <w:ind w:left="284" w:hanging="218"/>
        <w:contextualSpacing/>
        <w:jc w:val="both"/>
        <w:rPr>
          <w:rFonts w:ascii="Book Antiqua" w:hAnsi="Book Antiqua"/>
          <w:sz w:val="26"/>
          <w:szCs w:val="26"/>
        </w:rPr>
      </w:pPr>
      <w:r>
        <w:rPr>
          <w:rFonts w:ascii="Book Antiqua" w:hAnsi="Book Antiqua"/>
          <w:sz w:val="26"/>
          <w:szCs w:val="26"/>
        </w:rPr>
        <w:t xml:space="preserve">Les </w:t>
      </w:r>
      <w:r w:rsidRPr="00993B57">
        <w:rPr>
          <w:rFonts w:ascii="Book Antiqua" w:hAnsi="Book Antiqua"/>
          <w:sz w:val="26"/>
          <w:szCs w:val="26"/>
        </w:rPr>
        <w:t>tableaux des comptes économiques intégrés et des opérations financières ;</w:t>
      </w:r>
    </w:p>
    <w:p w:rsidR="005C405A" w:rsidRDefault="005C405A" w:rsidP="005C405A">
      <w:pPr>
        <w:pStyle w:val="Paragraphedeliste"/>
        <w:numPr>
          <w:ilvl w:val="0"/>
          <w:numId w:val="4"/>
        </w:numPr>
        <w:spacing w:line="360" w:lineRule="exact"/>
        <w:ind w:left="284" w:hanging="218"/>
        <w:contextualSpacing/>
        <w:jc w:val="both"/>
        <w:rPr>
          <w:rFonts w:ascii="Book Antiqua" w:hAnsi="Book Antiqua"/>
          <w:sz w:val="26"/>
          <w:szCs w:val="26"/>
        </w:rPr>
      </w:pPr>
      <w:r>
        <w:rPr>
          <w:rFonts w:ascii="Book Antiqua" w:hAnsi="Book Antiqua"/>
          <w:sz w:val="26"/>
          <w:szCs w:val="26"/>
        </w:rPr>
        <w:t xml:space="preserve">La </w:t>
      </w:r>
      <w:r w:rsidRPr="00993B57">
        <w:rPr>
          <w:rFonts w:ascii="Book Antiqua" w:hAnsi="Book Antiqua"/>
          <w:sz w:val="26"/>
          <w:szCs w:val="26"/>
        </w:rPr>
        <w:t xml:space="preserve">matrice de comptabilité sociale (MCS de l’année 2007). </w:t>
      </w:r>
    </w:p>
    <w:p w:rsidR="005C405A" w:rsidRPr="001C15FA" w:rsidRDefault="005C405A" w:rsidP="001B7B6C">
      <w:pPr>
        <w:spacing w:line="360" w:lineRule="exact"/>
        <w:jc w:val="both"/>
        <w:rPr>
          <w:rFonts w:ascii="Book Antiqua" w:hAnsi="Book Antiqua" w:cs="Calibri"/>
          <w:sz w:val="26"/>
          <w:szCs w:val="26"/>
        </w:rPr>
      </w:pPr>
      <w:r w:rsidRPr="001C15FA">
        <w:rPr>
          <w:rFonts w:ascii="Book Antiqua" w:hAnsi="Book Antiqua" w:cs="Calibri"/>
          <w:sz w:val="26"/>
          <w:szCs w:val="26"/>
        </w:rPr>
        <w:t xml:space="preserve">Une opération de </w:t>
      </w:r>
      <w:proofErr w:type="spellStart"/>
      <w:r w:rsidRPr="001C15FA">
        <w:rPr>
          <w:rFonts w:ascii="Book Antiqua" w:hAnsi="Book Antiqua" w:cs="Calibri"/>
          <w:sz w:val="26"/>
          <w:szCs w:val="26"/>
        </w:rPr>
        <w:t>rétropolation</w:t>
      </w:r>
      <w:proofErr w:type="spellEnd"/>
      <w:r w:rsidRPr="001C15FA">
        <w:rPr>
          <w:rFonts w:ascii="Book Antiqua" w:hAnsi="Book Antiqua" w:cs="Calibri"/>
          <w:sz w:val="26"/>
          <w:szCs w:val="26"/>
        </w:rPr>
        <w:t xml:space="preserve"> des comptes nationaux en base 2007 a été réalisée pour la période 1980-2012. Elle permet d’éditer des séries longues et homogènes des comptes nationaux et de répondre, ainsi, aux travaux d’analyse et modélisation économique et aux besoins de prises de décisions. </w:t>
      </w:r>
    </w:p>
    <w:p w:rsidR="005C405A" w:rsidRPr="00993B57" w:rsidRDefault="005C405A" w:rsidP="005C405A">
      <w:pPr>
        <w:spacing w:line="360" w:lineRule="exact"/>
        <w:jc w:val="both"/>
        <w:rPr>
          <w:rFonts w:ascii="Book Antiqua" w:hAnsi="Book Antiqua" w:cs="Calibri"/>
          <w:sz w:val="26"/>
          <w:szCs w:val="26"/>
        </w:rPr>
      </w:pPr>
    </w:p>
    <w:p w:rsidR="005C405A" w:rsidRPr="00993B57" w:rsidRDefault="005C405A" w:rsidP="005C405A">
      <w:pPr>
        <w:spacing w:line="360" w:lineRule="exact"/>
        <w:jc w:val="both"/>
        <w:rPr>
          <w:rFonts w:ascii="Book Antiqua" w:hAnsi="Book Antiqua" w:cs="Calibri"/>
          <w:b/>
          <w:bCs/>
          <w:sz w:val="32"/>
          <w:szCs w:val="32"/>
        </w:rPr>
      </w:pPr>
      <w:r w:rsidRPr="00993B57">
        <w:rPr>
          <w:rFonts w:ascii="Book Antiqua" w:hAnsi="Book Antiqua" w:cs="Calibri"/>
          <w:b/>
          <w:bCs/>
          <w:sz w:val="32"/>
          <w:szCs w:val="32"/>
        </w:rPr>
        <w:t>Impact du passage de la base 1998 à celle de 2007 sur les niveaux des agrégats</w:t>
      </w:r>
    </w:p>
    <w:p w:rsidR="005C405A" w:rsidRDefault="005C405A" w:rsidP="005C405A">
      <w:pPr>
        <w:spacing w:after="240" w:line="360" w:lineRule="exact"/>
        <w:jc w:val="both"/>
        <w:rPr>
          <w:rFonts w:ascii="Book Antiqua" w:hAnsi="Book Antiqua" w:cstheme="minorHAnsi"/>
          <w:sz w:val="26"/>
          <w:szCs w:val="26"/>
        </w:rPr>
      </w:pPr>
      <w:r w:rsidRPr="00993B57">
        <w:rPr>
          <w:rFonts w:ascii="Book Antiqua" w:hAnsi="Book Antiqua" w:cstheme="minorHAnsi"/>
          <w:sz w:val="26"/>
          <w:szCs w:val="26"/>
        </w:rPr>
        <w:t xml:space="preserve">Le passage des comptes nationaux marocains de la base 1998 à celle de 2007 a entrainé, globalement, une révision à la hausse des niveaux des principaux agrégats. </w:t>
      </w:r>
    </w:p>
    <w:p w:rsidR="000F2B76" w:rsidRDefault="000F2B76" w:rsidP="000F2B76">
      <w:pPr>
        <w:spacing w:after="0" w:line="240" w:lineRule="exact"/>
        <w:jc w:val="both"/>
        <w:rPr>
          <w:rFonts w:ascii="Book Antiqua" w:hAnsi="Book Antiqua" w:cstheme="minorHAnsi"/>
          <w:sz w:val="26"/>
          <w:szCs w:val="26"/>
        </w:rPr>
      </w:pPr>
    </w:p>
    <w:p w:rsidR="005C405A" w:rsidRPr="00BD43C5" w:rsidRDefault="005C405A" w:rsidP="00AF03E0">
      <w:pPr>
        <w:spacing w:after="240" w:line="360" w:lineRule="exact"/>
        <w:ind w:firstLine="708"/>
        <w:jc w:val="both"/>
        <w:rPr>
          <w:rFonts w:ascii="Book Antiqua" w:hAnsi="Book Antiqua" w:cstheme="minorHAnsi"/>
          <w:b/>
          <w:bCs/>
          <w:sz w:val="26"/>
          <w:szCs w:val="26"/>
        </w:rPr>
      </w:pPr>
      <w:r w:rsidRPr="00BD43C5">
        <w:rPr>
          <w:rFonts w:ascii="Book Antiqua" w:hAnsi="Book Antiqua" w:cstheme="minorHAnsi"/>
          <w:b/>
          <w:bCs/>
          <w:sz w:val="26"/>
          <w:szCs w:val="26"/>
        </w:rPr>
        <w:t xml:space="preserve">Au niveau global </w:t>
      </w:r>
      <w:r>
        <w:rPr>
          <w:rFonts w:ascii="Book Antiqua" w:hAnsi="Book Antiqua" w:cstheme="minorHAnsi"/>
          <w:b/>
          <w:bCs/>
          <w:sz w:val="26"/>
          <w:szCs w:val="26"/>
        </w:rPr>
        <w:t xml:space="preserve">du </w:t>
      </w:r>
      <w:r w:rsidR="00AF03E0">
        <w:rPr>
          <w:rFonts w:ascii="Book Antiqua" w:hAnsi="Book Antiqua" w:cstheme="minorHAnsi"/>
          <w:b/>
          <w:bCs/>
          <w:sz w:val="26"/>
          <w:szCs w:val="26"/>
        </w:rPr>
        <w:t>produit intérieur brut</w:t>
      </w:r>
    </w:p>
    <w:p w:rsidR="005C405A" w:rsidRPr="00993B57" w:rsidRDefault="00A511A0" w:rsidP="00A511A0">
      <w:pPr>
        <w:spacing w:after="240" w:line="360" w:lineRule="exact"/>
        <w:jc w:val="both"/>
        <w:rPr>
          <w:rFonts w:ascii="Book Antiqua" w:hAnsi="Book Antiqua" w:cstheme="minorHAnsi"/>
          <w:sz w:val="26"/>
          <w:szCs w:val="26"/>
        </w:rPr>
      </w:pPr>
      <w:r>
        <w:rPr>
          <w:rFonts w:ascii="Book Antiqua" w:hAnsi="Book Antiqua" w:cstheme="minorHAnsi"/>
          <w:sz w:val="26"/>
          <w:szCs w:val="26"/>
        </w:rPr>
        <w:t>P</w:t>
      </w:r>
      <w:r w:rsidR="005C405A">
        <w:rPr>
          <w:rFonts w:ascii="Book Antiqua" w:hAnsi="Book Antiqua" w:cstheme="minorHAnsi"/>
          <w:sz w:val="26"/>
          <w:szCs w:val="26"/>
        </w:rPr>
        <w:t xml:space="preserve">our l’année 2007, </w:t>
      </w:r>
      <w:r w:rsidR="005C405A" w:rsidRPr="00993B57">
        <w:rPr>
          <w:rFonts w:ascii="Book Antiqua" w:hAnsi="Book Antiqua" w:cstheme="minorHAnsi"/>
          <w:sz w:val="26"/>
          <w:szCs w:val="26"/>
        </w:rPr>
        <w:t xml:space="preserve">le PIB s’élève à 647,5 milliards de DH selon la base 2007 au lieu de 616,2 milliards en base 1998, </w:t>
      </w:r>
      <w:r w:rsidR="005C405A">
        <w:rPr>
          <w:rFonts w:ascii="Book Antiqua" w:hAnsi="Book Antiqua" w:cstheme="minorHAnsi"/>
          <w:sz w:val="26"/>
          <w:szCs w:val="26"/>
        </w:rPr>
        <w:t xml:space="preserve">en </w:t>
      </w:r>
      <w:r w:rsidR="005C405A" w:rsidRPr="00993B57">
        <w:rPr>
          <w:rFonts w:ascii="Book Antiqua" w:hAnsi="Book Antiqua" w:cstheme="minorHAnsi"/>
          <w:sz w:val="26"/>
          <w:szCs w:val="26"/>
        </w:rPr>
        <w:t xml:space="preserve">hausse de 31,3 milliards de DH </w:t>
      </w:r>
      <w:r w:rsidR="005C405A">
        <w:rPr>
          <w:rFonts w:ascii="Book Antiqua" w:hAnsi="Book Antiqua" w:cstheme="minorHAnsi"/>
          <w:sz w:val="26"/>
          <w:szCs w:val="26"/>
        </w:rPr>
        <w:t xml:space="preserve">ou de </w:t>
      </w:r>
      <w:r w:rsidR="005C405A" w:rsidRPr="00993B57">
        <w:rPr>
          <w:rFonts w:ascii="Book Antiqua" w:hAnsi="Book Antiqua" w:cstheme="minorHAnsi"/>
          <w:sz w:val="26"/>
          <w:szCs w:val="26"/>
        </w:rPr>
        <w:t xml:space="preserve">5,1%.  </w:t>
      </w:r>
    </w:p>
    <w:p w:rsidR="005C405A" w:rsidRPr="00993B57" w:rsidRDefault="005C405A" w:rsidP="00A511A0">
      <w:pPr>
        <w:spacing w:before="120" w:line="360" w:lineRule="exact"/>
        <w:jc w:val="both"/>
        <w:rPr>
          <w:rFonts w:ascii="Book Antiqua" w:hAnsi="Book Antiqua"/>
          <w:bCs/>
          <w:sz w:val="26"/>
          <w:szCs w:val="26"/>
        </w:rPr>
      </w:pPr>
      <w:r>
        <w:rPr>
          <w:rFonts w:ascii="Book Antiqua" w:hAnsi="Book Antiqua"/>
          <w:bCs/>
          <w:sz w:val="26"/>
          <w:szCs w:val="26"/>
        </w:rPr>
        <w:t>Dans ce cadre, les</w:t>
      </w:r>
      <w:r w:rsidRPr="00993B57">
        <w:rPr>
          <w:rFonts w:ascii="Book Antiqua" w:hAnsi="Book Antiqua"/>
          <w:bCs/>
          <w:sz w:val="26"/>
          <w:szCs w:val="26"/>
        </w:rPr>
        <w:t xml:space="preserve"> nouvelles méthodes d’estimation et l’utilisation de nouvelles sources d’information </w:t>
      </w:r>
      <w:r w:rsidR="00A511A0">
        <w:rPr>
          <w:rFonts w:ascii="Book Antiqua" w:hAnsi="Book Antiqua"/>
          <w:bCs/>
          <w:sz w:val="26"/>
          <w:szCs w:val="26"/>
        </w:rPr>
        <w:t xml:space="preserve">ont </w:t>
      </w:r>
      <w:r>
        <w:rPr>
          <w:rFonts w:ascii="Book Antiqua" w:hAnsi="Book Antiqua"/>
          <w:bCs/>
          <w:sz w:val="26"/>
          <w:szCs w:val="26"/>
        </w:rPr>
        <w:t>contribu</w:t>
      </w:r>
      <w:r w:rsidR="00A511A0">
        <w:rPr>
          <w:rFonts w:ascii="Book Antiqua" w:hAnsi="Book Antiqua"/>
          <w:bCs/>
          <w:sz w:val="26"/>
          <w:szCs w:val="26"/>
        </w:rPr>
        <w:t>é</w:t>
      </w:r>
      <w:r>
        <w:rPr>
          <w:rFonts w:ascii="Book Antiqua" w:hAnsi="Book Antiqua"/>
          <w:bCs/>
          <w:sz w:val="26"/>
          <w:szCs w:val="26"/>
        </w:rPr>
        <w:t xml:space="preserve"> par </w:t>
      </w:r>
      <w:r w:rsidRPr="00993B57">
        <w:rPr>
          <w:rFonts w:ascii="Book Antiqua" w:hAnsi="Book Antiqua"/>
          <w:bCs/>
          <w:sz w:val="26"/>
          <w:szCs w:val="26"/>
        </w:rPr>
        <w:t xml:space="preserve">une augmentation importante du PIB de 16,2 milliards de DH </w:t>
      </w:r>
      <w:r>
        <w:rPr>
          <w:rFonts w:ascii="Book Antiqua" w:hAnsi="Book Antiqua"/>
          <w:bCs/>
          <w:sz w:val="26"/>
          <w:szCs w:val="26"/>
        </w:rPr>
        <w:t>ou</w:t>
      </w:r>
      <w:r w:rsidRPr="00993B57">
        <w:rPr>
          <w:rFonts w:ascii="Book Antiqua" w:hAnsi="Book Antiqua"/>
          <w:bCs/>
          <w:sz w:val="26"/>
          <w:szCs w:val="26"/>
        </w:rPr>
        <w:t xml:space="preserve"> </w:t>
      </w:r>
      <w:r>
        <w:rPr>
          <w:rFonts w:ascii="Book Antiqua" w:hAnsi="Book Antiqua"/>
          <w:bCs/>
          <w:sz w:val="26"/>
          <w:szCs w:val="26"/>
        </w:rPr>
        <w:t xml:space="preserve">de </w:t>
      </w:r>
      <w:r w:rsidRPr="00993B57">
        <w:rPr>
          <w:rFonts w:ascii="Book Antiqua" w:hAnsi="Book Antiqua"/>
          <w:bCs/>
          <w:sz w:val="26"/>
          <w:szCs w:val="26"/>
        </w:rPr>
        <w:t>2,6 %</w:t>
      </w:r>
      <w:r w:rsidR="00A511A0">
        <w:rPr>
          <w:rFonts w:ascii="Book Antiqua" w:hAnsi="Book Antiqua"/>
          <w:bCs/>
          <w:sz w:val="26"/>
          <w:szCs w:val="26"/>
        </w:rPr>
        <w:t>, l</w:t>
      </w:r>
      <w:r w:rsidRPr="00993B57">
        <w:rPr>
          <w:rFonts w:ascii="Book Antiqua" w:hAnsi="Book Antiqua"/>
          <w:bCs/>
          <w:sz w:val="26"/>
          <w:szCs w:val="26"/>
        </w:rPr>
        <w:t xml:space="preserve">e nouveau traitement du SIFIM </w:t>
      </w:r>
      <w:r w:rsidR="00A511A0">
        <w:rPr>
          <w:rFonts w:ascii="Book Antiqua" w:hAnsi="Book Antiqua"/>
          <w:bCs/>
          <w:sz w:val="26"/>
          <w:szCs w:val="26"/>
        </w:rPr>
        <w:t>de 12,2 milliards de DH</w:t>
      </w:r>
      <w:r w:rsidRPr="00993B57">
        <w:rPr>
          <w:rFonts w:ascii="Book Antiqua" w:hAnsi="Book Antiqua"/>
          <w:bCs/>
          <w:sz w:val="26"/>
          <w:szCs w:val="26"/>
        </w:rPr>
        <w:t xml:space="preserve"> </w:t>
      </w:r>
      <w:r>
        <w:rPr>
          <w:rFonts w:ascii="Book Antiqua" w:hAnsi="Book Antiqua"/>
          <w:bCs/>
          <w:sz w:val="26"/>
          <w:szCs w:val="26"/>
        </w:rPr>
        <w:t>ou</w:t>
      </w:r>
      <w:r w:rsidRPr="00993B57">
        <w:rPr>
          <w:rFonts w:ascii="Book Antiqua" w:hAnsi="Book Antiqua"/>
          <w:bCs/>
          <w:sz w:val="26"/>
          <w:szCs w:val="26"/>
        </w:rPr>
        <w:t xml:space="preserve"> </w:t>
      </w:r>
      <w:r>
        <w:rPr>
          <w:rFonts w:ascii="Book Antiqua" w:hAnsi="Book Antiqua"/>
          <w:bCs/>
          <w:sz w:val="26"/>
          <w:szCs w:val="26"/>
        </w:rPr>
        <w:t xml:space="preserve">de </w:t>
      </w:r>
      <w:r w:rsidRPr="00993B57">
        <w:rPr>
          <w:rFonts w:ascii="Book Antiqua" w:hAnsi="Book Antiqua"/>
          <w:bCs/>
          <w:sz w:val="26"/>
          <w:szCs w:val="26"/>
        </w:rPr>
        <w:t>2 %</w:t>
      </w:r>
      <w:r w:rsidR="00A511A0">
        <w:rPr>
          <w:rFonts w:ascii="Book Antiqua" w:hAnsi="Book Antiqua"/>
          <w:bCs/>
          <w:sz w:val="26"/>
          <w:szCs w:val="26"/>
        </w:rPr>
        <w:t xml:space="preserve"> et l</w:t>
      </w:r>
      <w:r w:rsidRPr="00993B57">
        <w:rPr>
          <w:rFonts w:ascii="Book Antiqua" w:hAnsi="Book Antiqua"/>
          <w:bCs/>
          <w:sz w:val="26"/>
          <w:szCs w:val="26"/>
        </w:rPr>
        <w:t>’élargissement du périmètre des actifs produits</w:t>
      </w:r>
      <w:r w:rsidR="00A511A0">
        <w:rPr>
          <w:rFonts w:ascii="Book Antiqua" w:hAnsi="Book Antiqua"/>
          <w:bCs/>
          <w:sz w:val="26"/>
          <w:szCs w:val="26"/>
        </w:rPr>
        <w:t xml:space="preserve"> de 2,9 milliards de DH </w:t>
      </w:r>
      <w:r>
        <w:rPr>
          <w:rFonts w:ascii="Book Antiqua" w:hAnsi="Book Antiqua"/>
          <w:bCs/>
          <w:sz w:val="26"/>
          <w:szCs w:val="26"/>
        </w:rPr>
        <w:t>ou</w:t>
      </w:r>
      <w:r w:rsidRPr="00993B57">
        <w:rPr>
          <w:rFonts w:ascii="Book Antiqua" w:hAnsi="Book Antiqua"/>
          <w:bCs/>
          <w:sz w:val="26"/>
          <w:szCs w:val="26"/>
        </w:rPr>
        <w:t xml:space="preserve"> </w:t>
      </w:r>
      <w:r>
        <w:rPr>
          <w:rFonts w:ascii="Book Antiqua" w:hAnsi="Book Antiqua"/>
          <w:bCs/>
          <w:sz w:val="26"/>
          <w:szCs w:val="26"/>
        </w:rPr>
        <w:t xml:space="preserve">de </w:t>
      </w:r>
      <w:r w:rsidRPr="00993B57">
        <w:rPr>
          <w:rFonts w:ascii="Book Antiqua" w:hAnsi="Book Antiqua"/>
          <w:bCs/>
          <w:sz w:val="26"/>
          <w:szCs w:val="26"/>
        </w:rPr>
        <w:t xml:space="preserve">0,5%. </w:t>
      </w:r>
    </w:p>
    <w:p w:rsidR="000F2B76" w:rsidRDefault="000F2B76" w:rsidP="000F2B76">
      <w:pPr>
        <w:spacing w:after="0" w:line="220" w:lineRule="exact"/>
        <w:ind w:firstLine="709"/>
        <w:jc w:val="both"/>
        <w:rPr>
          <w:rFonts w:ascii="Book Antiqua" w:hAnsi="Book Antiqua"/>
          <w:b/>
          <w:bCs/>
          <w:sz w:val="26"/>
          <w:szCs w:val="26"/>
        </w:rPr>
      </w:pPr>
    </w:p>
    <w:p w:rsidR="005C405A" w:rsidRPr="00BD43C5" w:rsidRDefault="005C405A" w:rsidP="00A511A0">
      <w:pPr>
        <w:spacing w:after="240" w:line="360" w:lineRule="exact"/>
        <w:ind w:firstLine="708"/>
        <w:jc w:val="both"/>
        <w:rPr>
          <w:rFonts w:ascii="Book Antiqua" w:hAnsi="Book Antiqua" w:cstheme="minorHAnsi"/>
          <w:b/>
          <w:bCs/>
          <w:sz w:val="26"/>
          <w:szCs w:val="26"/>
        </w:rPr>
      </w:pPr>
      <w:r>
        <w:rPr>
          <w:rFonts w:ascii="Book Antiqua" w:hAnsi="Book Antiqua"/>
          <w:b/>
          <w:bCs/>
          <w:sz w:val="26"/>
          <w:szCs w:val="26"/>
        </w:rPr>
        <w:t>A</w:t>
      </w:r>
      <w:r w:rsidRPr="00BD43C5">
        <w:rPr>
          <w:rFonts w:ascii="Book Antiqua" w:hAnsi="Book Antiqua" w:cstheme="minorHAnsi"/>
          <w:b/>
          <w:bCs/>
          <w:sz w:val="26"/>
          <w:szCs w:val="26"/>
        </w:rPr>
        <w:t xml:space="preserve">u niveau </w:t>
      </w:r>
      <w:r>
        <w:rPr>
          <w:rFonts w:ascii="Book Antiqua" w:hAnsi="Book Antiqua" w:cstheme="minorHAnsi"/>
          <w:b/>
          <w:bCs/>
          <w:sz w:val="26"/>
          <w:szCs w:val="26"/>
        </w:rPr>
        <w:t>de la demande</w:t>
      </w:r>
    </w:p>
    <w:p w:rsidR="005C405A" w:rsidRDefault="005C405A" w:rsidP="00A511A0">
      <w:pPr>
        <w:spacing w:after="240" w:line="360" w:lineRule="exact"/>
        <w:jc w:val="both"/>
        <w:rPr>
          <w:rFonts w:ascii="Book Antiqua" w:hAnsi="Book Antiqua" w:cstheme="minorHAnsi"/>
          <w:sz w:val="26"/>
          <w:szCs w:val="26"/>
        </w:rPr>
      </w:pPr>
      <w:r w:rsidRPr="00F74F70">
        <w:rPr>
          <w:rFonts w:ascii="Book Antiqua" w:hAnsi="Book Antiqua"/>
          <w:sz w:val="26"/>
          <w:szCs w:val="26"/>
        </w:rPr>
        <w:t>La réévaluation du PIB  a été portée par la demande intérieure</w:t>
      </w:r>
      <w:r>
        <w:rPr>
          <w:rFonts w:ascii="Book Antiqua" w:hAnsi="Book Antiqua"/>
          <w:sz w:val="26"/>
          <w:szCs w:val="26"/>
        </w:rPr>
        <w:t xml:space="preserve">. En effet, les </w:t>
      </w:r>
      <w:r w:rsidRPr="00993B57">
        <w:rPr>
          <w:rFonts w:ascii="Book Antiqua" w:hAnsi="Book Antiqua" w:cstheme="minorHAnsi"/>
          <w:sz w:val="26"/>
          <w:szCs w:val="26"/>
        </w:rPr>
        <w:t xml:space="preserve"> dépenses de consommation finale des ménages (y compris les ISBLSM)</w:t>
      </w:r>
      <w:r>
        <w:rPr>
          <w:rFonts w:ascii="Book Antiqua" w:hAnsi="Book Antiqua" w:cstheme="minorHAnsi"/>
          <w:sz w:val="26"/>
          <w:szCs w:val="26"/>
        </w:rPr>
        <w:t xml:space="preserve"> ont été réévaluées de</w:t>
      </w:r>
      <w:r w:rsidRPr="00993B57">
        <w:rPr>
          <w:rFonts w:ascii="Book Antiqua" w:hAnsi="Book Antiqua" w:cstheme="minorHAnsi"/>
          <w:sz w:val="26"/>
          <w:szCs w:val="26"/>
        </w:rPr>
        <w:t xml:space="preserve"> 15,2 milliards de DH</w:t>
      </w:r>
      <w:r>
        <w:rPr>
          <w:rFonts w:ascii="Book Antiqua" w:hAnsi="Book Antiqua" w:cstheme="minorHAnsi"/>
          <w:sz w:val="26"/>
          <w:szCs w:val="26"/>
        </w:rPr>
        <w:t xml:space="preserve"> ou</w:t>
      </w:r>
      <w:r w:rsidRPr="00993B57">
        <w:rPr>
          <w:rFonts w:ascii="Book Antiqua" w:hAnsi="Book Antiqua" w:cstheme="minorHAnsi"/>
          <w:sz w:val="26"/>
          <w:szCs w:val="26"/>
        </w:rPr>
        <w:t xml:space="preserve"> </w:t>
      </w:r>
      <w:r>
        <w:rPr>
          <w:rFonts w:ascii="Book Antiqua" w:hAnsi="Book Antiqua" w:cstheme="minorHAnsi"/>
          <w:sz w:val="26"/>
          <w:szCs w:val="26"/>
        </w:rPr>
        <w:t xml:space="preserve">de </w:t>
      </w:r>
      <w:r w:rsidRPr="00993B57">
        <w:rPr>
          <w:rFonts w:ascii="Book Antiqua" w:hAnsi="Book Antiqua" w:cstheme="minorHAnsi"/>
          <w:sz w:val="26"/>
          <w:szCs w:val="26"/>
        </w:rPr>
        <w:t>4,2%</w:t>
      </w:r>
      <w:r>
        <w:rPr>
          <w:rFonts w:ascii="Book Antiqua" w:hAnsi="Book Antiqua" w:cstheme="minorHAnsi"/>
          <w:sz w:val="26"/>
          <w:szCs w:val="26"/>
        </w:rPr>
        <w:t xml:space="preserve">, </w:t>
      </w:r>
      <w:r w:rsidRPr="00993B57">
        <w:rPr>
          <w:rFonts w:ascii="Book Antiqua" w:hAnsi="Book Antiqua" w:cstheme="minorHAnsi"/>
          <w:sz w:val="26"/>
          <w:szCs w:val="26"/>
        </w:rPr>
        <w:t xml:space="preserve"> les dépenses de consommation finale des Administrations publiques </w:t>
      </w:r>
      <w:r>
        <w:rPr>
          <w:rFonts w:ascii="Book Antiqua" w:hAnsi="Book Antiqua" w:cstheme="minorHAnsi"/>
          <w:sz w:val="26"/>
          <w:szCs w:val="26"/>
        </w:rPr>
        <w:t>de</w:t>
      </w:r>
      <w:r w:rsidRPr="00993B57">
        <w:rPr>
          <w:rFonts w:ascii="Book Antiqua" w:hAnsi="Book Antiqua" w:cstheme="minorHAnsi"/>
          <w:sz w:val="26"/>
          <w:szCs w:val="26"/>
        </w:rPr>
        <w:t xml:space="preserve"> 1,2 milliards de DH </w:t>
      </w:r>
      <w:r>
        <w:rPr>
          <w:rFonts w:ascii="Book Antiqua" w:hAnsi="Book Antiqua" w:cstheme="minorHAnsi"/>
          <w:sz w:val="26"/>
          <w:szCs w:val="26"/>
        </w:rPr>
        <w:t xml:space="preserve">ou </w:t>
      </w:r>
      <w:r w:rsidRPr="00993B57">
        <w:rPr>
          <w:rFonts w:ascii="Book Antiqua" w:hAnsi="Book Antiqua" w:cstheme="minorHAnsi"/>
          <w:sz w:val="26"/>
          <w:szCs w:val="26"/>
        </w:rPr>
        <w:t>de 1%</w:t>
      </w:r>
      <w:r>
        <w:rPr>
          <w:rFonts w:ascii="Book Antiqua" w:hAnsi="Book Antiqua" w:cstheme="minorHAnsi"/>
          <w:sz w:val="26"/>
          <w:szCs w:val="26"/>
        </w:rPr>
        <w:t xml:space="preserve"> et </w:t>
      </w:r>
      <w:r w:rsidRPr="00993B57">
        <w:rPr>
          <w:rFonts w:ascii="Book Antiqua" w:hAnsi="Book Antiqua" w:cstheme="minorHAnsi"/>
          <w:sz w:val="26"/>
          <w:szCs w:val="26"/>
        </w:rPr>
        <w:t>la formation brute du capital fixe (FBCF)</w:t>
      </w:r>
      <w:r>
        <w:rPr>
          <w:rFonts w:ascii="Book Antiqua" w:hAnsi="Book Antiqua" w:cstheme="minorHAnsi"/>
          <w:sz w:val="26"/>
          <w:szCs w:val="26"/>
        </w:rPr>
        <w:t xml:space="preserve"> de</w:t>
      </w:r>
      <w:r w:rsidRPr="00993B57">
        <w:rPr>
          <w:rFonts w:ascii="Book Antiqua" w:hAnsi="Book Antiqua" w:cstheme="minorHAnsi"/>
          <w:sz w:val="26"/>
          <w:szCs w:val="26"/>
        </w:rPr>
        <w:t xml:space="preserve"> 15,6 milliards de DH</w:t>
      </w:r>
      <w:r>
        <w:rPr>
          <w:rFonts w:ascii="Book Antiqua" w:hAnsi="Book Antiqua" w:cstheme="minorHAnsi"/>
          <w:sz w:val="26"/>
          <w:szCs w:val="26"/>
        </w:rPr>
        <w:t xml:space="preserve"> ou </w:t>
      </w:r>
      <w:r w:rsidRPr="00993B57">
        <w:rPr>
          <w:rFonts w:ascii="Book Antiqua" w:hAnsi="Book Antiqua" w:cstheme="minorHAnsi"/>
          <w:sz w:val="26"/>
          <w:szCs w:val="26"/>
        </w:rPr>
        <w:t>de 8,1%</w:t>
      </w:r>
      <w:r>
        <w:rPr>
          <w:rFonts w:ascii="Book Antiqua" w:hAnsi="Book Antiqua" w:cstheme="minorHAnsi"/>
          <w:sz w:val="26"/>
          <w:szCs w:val="26"/>
        </w:rPr>
        <w:t>.</w:t>
      </w:r>
    </w:p>
    <w:p w:rsidR="005C405A" w:rsidRPr="00993B57" w:rsidRDefault="005C405A" w:rsidP="000F72BF">
      <w:pPr>
        <w:spacing w:after="100" w:afterAutospacing="1" w:line="360" w:lineRule="exact"/>
        <w:jc w:val="both"/>
        <w:rPr>
          <w:rFonts w:ascii="Book Antiqua" w:hAnsi="Book Antiqua" w:cstheme="minorHAnsi"/>
          <w:sz w:val="26"/>
          <w:szCs w:val="26"/>
        </w:rPr>
      </w:pPr>
      <w:r w:rsidRPr="00993B57">
        <w:rPr>
          <w:rFonts w:ascii="Book Antiqua" w:hAnsi="Book Antiqua" w:cstheme="minorHAnsi"/>
          <w:sz w:val="26"/>
          <w:szCs w:val="26"/>
        </w:rPr>
        <w:t xml:space="preserve">Dans ces conditions, et en prenant en considération une réévaluation à la hausse de 3,6 milliards de DH de la variation des stocks, </w:t>
      </w:r>
      <w:r w:rsidR="000F72BF" w:rsidRPr="00993B57">
        <w:rPr>
          <w:rFonts w:ascii="Book Antiqua" w:hAnsi="Book Antiqua" w:cstheme="minorHAnsi"/>
          <w:sz w:val="26"/>
          <w:szCs w:val="26"/>
        </w:rPr>
        <w:t xml:space="preserve">la demande intérieure </w:t>
      </w:r>
      <w:r w:rsidR="000F72BF">
        <w:rPr>
          <w:rFonts w:ascii="Book Antiqua" w:hAnsi="Book Antiqua" w:cstheme="minorHAnsi"/>
          <w:sz w:val="26"/>
          <w:szCs w:val="26"/>
        </w:rPr>
        <w:t xml:space="preserve">a été </w:t>
      </w:r>
      <w:r w:rsidRPr="00993B57">
        <w:rPr>
          <w:rFonts w:ascii="Book Antiqua" w:hAnsi="Book Antiqua" w:cstheme="minorHAnsi"/>
          <w:sz w:val="26"/>
          <w:szCs w:val="26"/>
        </w:rPr>
        <w:t>réévalu</w:t>
      </w:r>
      <w:r w:rsidR="000F72BF">
        <w:rPr>
          <w:rFonts w:ascii="Book Antiqua" w:hAnsi="Book Antiqua" w:cstheme="minorHAnsi"/>
          <w:sz w:val="26"/>
          <w:szCs w:val="26"/>
        </w:rPr>
        <w:t xml:space="preserve">ée </w:t>
      </w:r>
      <w:r>
        <w:rPr>
          <w:rFonts w:ascii="Book Antiqua" w:hAnsi="Book Antiqua" w:cstheme="minorHAnsi"/>
          <w:sz w:val="26"/>
          <w:szCs w:val="26"/>
        </w:rPr>
        <w:t xml:space="preserve">de </w:t>
      </w:r>
      <w:r w:rsidRPr="007E05E1">
        <w:rPr>
          <w:rFonts w:ascii="Book Antiqua" w:hAnsi="Book Antiqua" w:cstheme="minorHAnsi"/>
          <w:sz w:val="26"/>
          <w:szCs w:val="26"/>
        </w:rPr>
        <w:t>35,6 milliards</w:t>
      </w:r>
      <w:r w:rsidRPr="00993B57">
        <w:rPr>
          <w:rFonts w:ascii="Book Antiqua" w:hAnsi="Book Antiqua" w:cstheme="minorHAnsi"/>
          <w:sz w:val="26"/>
          <w:szCs w:val="26"/>
        </w:rPr>
        <w:t xml:space="preserve"> de DH</w:t>
      </w:r>
      <w:r>
        <w:rPr>
          <w:rFonts w:ascii="Book Antiqua" w:hAnsi="Book Antiqua" w:cstheme="minorHAnsi"/>
          <w:sz w:val="26"/>
          <w:szCs w:val="26"/>
        </w:rPr>
        <w:t xml:space="preserve"> ou de</w:t>
      </w:r>
      <w:r w:rsidRPr="00993B57">
        <w:rPr>
          <w:rFonts w:ascii="Book Antiqua" w:hAnsi="Book Antiqua" w:cstheme="minorHAnsi"/>
          <w:sz w:val="26"/>
          <w:szCs w:val="26"/>
        </w:rPr>
        <w:t xml:space="preserve"> 5,3%</w:t>
      </w:r>
      <w:r>
        <w:rPr>
          <w:rFonts w:ascii="Book Antiqua" w:hAnsi="Book Antiqua" w:cstheme="minorHAnsi"/>
          <w:sz w:val="26"/>
          <w:szCs w:val="26"/>
        </w:rPr>
        <w:t>.</w:t>
      </w:r>
    </w:p>
    <w:p w:rsidR="005C405A" w:rsidRDefault="005C405A" w:rsidP="00AF03E0">
      <w:pPr>
        <w:spacing w:after="240" w:line="360" w:lineRule="exact"/>
        <w:jc w:val="both"/>
        <w:rPr>
          <w:rFonts w:ascii="Book Antiqua" w:hAnsi="Book Antiqua" w:cstheme="minorHAnsi"/>
          <w:sz w:val="26"/>
          <w:szCs w:val="26"/>
        </w:rPr>
      </w:pPr>
      <w:r>
        <w:rPr>
          <w:rFonts w:ascii="Book Antiqua" w:hAnsi="Book Antiqua" w:cstheme="minorHAnsi"/>
          <w:sz w:val="26"/>
          <w:szCs w:val="26"/>
        </w:rPr>
        <w:t xml:space="preserve">S’agissant des échanges extérieurs, leur réévaluation s’est inscrite dans une hausse de </w:t>
      </w:r>
      <w:r w:rsidRPr="00993B57">
        <w:rPr>
          <w:rFonts w:ascii="Book Antiqua" w:hAnsi="Book Antiqua" w:cstheme="minorHAnsi"/>
          <w:sz w:val="26"/>
          <w:szCs w:val="26"/>
        </w:rPr>
        <w:t>7,9 milliards de DH</w:t>
      </w:r>
      <w:r>
        <w:rPr>
          <w:rFonts w:ascii="Book Antiqua" w:hAnsi="Book Antiqua" w:cstheme="minorHAnsi"/>
          <w:sz w:val="26"/>
          <w:szCs w:val="26"/>
        </w:rPr>
        <w:t xml:space="preserve"> ou </w:t>
      </w:r>
      <w:r w:rsidRPr="00993B57">
        <w:rPr>
          <w:rFonts w:ascii="Book Antiqua" w:hAnsi="Book Antiqua" w:cstheme="minorHAnsi"/>
          <w:sz w:val="26"/>
          <w:szCs w:val="26"/>
        </w:rPr>
        <w:t>de 2,9%</w:t>
      </w:r>
      <w:r>
        <w:rPr>
          <w:rFonts w:ascii="Book Antiqua" w:hAnsi="Book Antiqua" w:cstheme="minorHAnsi"/>
          <w:sz w:val="26"/>
          <w:szCs w:val="26"/>
        </w:rPr>
        <w:t xml:space="preserve"> </w:t>
      </w:r>
      <w:r w:rsidRPr="00993B57">
        <w:rPr>
          <w:rFonts w:ascii="Book Antiqua" w:hAnsi="Book Antiqua" w:cstheme="minorHAnsi"/>
          <w:sz w:val="26"/>
          <w:szCs w:val="26"/>
        </w:rPr>
        <w:t>pour les importations</w:t>
      </w:r>
      <w:r>
        <w:rPr>
          <w:rFonts w:ascii="Book Antiqua" w:hAnsi="Book Antiqua" w:cstheme="minorHAnsi"/>
          <w:sz w:val="26"/>
          <w:szCs w:val="26"/>
        </w:rPr>
        <w:t xml:space="preserve"> et de</w:t>
      </w:r>
      <w:r w:rsidRPr="00993B57">
        <w:rPr>
          <w:rFonts w:ascii="Book Antiqua" w:hAnsi="Book Antiqua" w:cstheme="minorHAnsi"/>
          <w:sz w:val="26"/>
          <w:szCs w:val="26"/>
        </w:rPr>
        <w:t xml:space="preserve"> 3,6 milliards de DH</w:t>
      </w:r>
      <w:r>
        <w:rPr>
          <w:rFonts w:ascii="Book Antiqua" w:hAnsi="Book Antiqua" w:cstheme="minorHAnsi"/>
          <w:sz w:val="26"/>
          <w:szCs w:val="26"/>
        </w:rPr>
        <w:t xml:space="preserve"> ou de </w:t>
      </w:r>
      <w:r w:rsidRPr="00993B57">
        <w:rPr>
          <w:rFonts w:ascii="Book Antiqua" w:hAnsi="Book Antiqua" w:cstheme="minorHAnsi"/>
          <w:sz w:val="26"/>
          <w:szCs w:val="26"/>
        </w:rPr>
        <w:t>1,6% pour les exportations</w:t>
      </w:r>
      <w:r>
        <w:rPr>
          <w:rFonts w:ascii="Book Antiqua" w:hAnsi="Book Antiqua" w:cstheme="minorHAnsi"/>
          <w:sz w:val="26"/>
          <w:szCs w:val="26"/>
        </w:rPr>
        <w:t>.</w:t>
      </w:r>
      <w:r w:rsidRPr="00993B57">
        <w:rPr>
          <w:rFonts w:ascii="Book Antiqua" w:hAnsi="Book Antiqua" w:cstheme="minorHAnsi"/>
          <w:sz w:val="26"/>
          <w:szCs w:val="26"/>
        </w:rPr>
        <w:t xml:space="preserve"> </w:t>
      </w:r>
      <w:r>
        <w:rPr>
          <w:rFonts w:ascii="Book Antiqua" w:hAnsi="Book Antiqua" w:cstheme="minorHAnsi"/>
          <w:sz w:val="26"/>
          <w:szCs w:val="26"/>
        </w:rPr>
        <w:t xml:space="preserve">Ces </w:t>
      </w:r>
      <w:r w:rsidR="001C340B">
        <w:rPr>
          <w:rFonts w:ascii="Book Antiqua" w:hAnsi="Book Antiqua" w:cstheme="minorHAnsi"/>
          <w:sz w:val="26"/>
          <w:szCs w:val="26"/>
        </w:rPr>
        <w:t>révision</w:t>
      </w:r>
      <w:r w:rsidR="006C7F20">
        <w:rPr>
          <w:rFonts w:ascii="Book Antiqua" w:hAnsi="Book Antiqua" w:cstheme="minorHAnsi"/>
          <w:sz w:val="26"/>
          <w:szCs w:val="26"/>
        </w:rPr>
        <w:t>s</w:t>
      </w:r>
      <w:r w:rsidRPr="00993B57">
        <w:rPr>
          <w:rFonts w:ascii="Book Antiqua" w:hAnsi="Book Antiqua" w:cstheme="minorHAnsi"/>
          <w:sz w:val="26"/>
          <w:szCs w:val="26"/>
        </w:rPr>
        <w:t xml:space="preserve"> différencié</w:t>
      </w:r>
      <w:r>
        <w:rPr>
          <w:rFonts w:ascii="Book Antiqua" w:hAnsi="Book Antiqua" w:cstheme="minorHAnsi"/>
          <w:sz w:val="26"/>
          <w:szCs w:val="26"/>
        </w:rPr>
        <w:t>e</w:t>
      </w:r>
      <w:r w:rsidRPr="00993B57">
        <w:rPr>
          <w:rFonts w:ascii="Book Antiqua" w:hAnsi="Book Antiqua" w:cstheme="minorHAnsi"/>
          <w:sz w:val="26"/>
          <w:szCs w:val="26"/>
        </w:rPr>
        <w:t>s se sont traduit</w:t>
      </w:r>
      <w:r>
        <w:rPr>
          <w:rFonts w:ascii="Book Antiqua" w:hAnsi="Book Antiqua" w:cstheme="minorHAnsi"/>
          <w:sz w:val="26"/>
          <w:szCs w:val="26"/>
        </w:rPr>
        <w:t>e</w:t>
      </w:r>
      <w:r w:rsidRPr="00993B57">
        <w:rPr>
          <w:rFonts w:ascii="Book Antiqua" w:hAnsi="Book Antiqua" w:cstheme="minorHAnsi"/>
          <w:sz w:val="26"/>
          <w:szCs w:val="26"/>
        </w:rPr>
        <w:t xml:space="preserve">s par une détérioration du solde extérieur </w:t>
      </w:r>
      <w:r>
        <w:rPr>
          <w:rFonts w:ascii="Book Antiqua" w:hAnsi="Book Antiqua" w:cstheme="minorHAnsi"/>
          <w:sz w:val="26"/>
          <w:szCs w:val="26"/>
        </w:rPr>
        <w:t xml:space="preserve">des échanges de biens et services </w:t>
      </w:r>
      <w:r w:rsidRPr="00993B57">
        <w:rPr>
          <w:rFonts w:ascii="Book Antiqua" w:hAnsi="Book Antiqua" w:cstheme="minorHAnsi"/>
          <w:sz w:val="26"/>
          <w:szCs w:val="26"/>
        </w:rPr>
        <w:t xml:space="preserve">de </w:t>
      </w:r>
      <w:r w:rsidRPr="007E05E1">
        <w:rPr>
          <w:rFonts w:ascii="Book Antiqua" w:hAnsi="Book Antiqua" w:cstheme="minorHAnsi"/>
          <w:sz w:val="26"/>
          <w:szCs w:val="26"/>
        </w:rPr>
        <w:t>4,3 milliards de DH</w:t>
      </w:r>
      <w:r w:rsidRPr="00993B57">
        <w:rPr>
          <w:rFonts w:ascii="Book Antiqua" w:hAnsi="Book Antiqua" w:cstheme="minorHAnsi"/>
          <w:sz w:val="26"/>
          <w:szCs w:val="26"/>
        </w:rPr>
        <w:t xml:space="preserve"> par rapport à son niveau de la base 1998. </w:t>
      </w:r>
    </w:p>
    <w:p w:rsidR="005C405A" w:rsidRDefault="005C405A" w:rsidP="007A7C88">
      <w:pPr>
        <w:spacing w:before="120" w:line="360" w:lineRule="exact"/>
        <w:jc w:val="both"/>
        <w:rPr>
          <w:rFonts w:ascii="Book Antiqua" w:hAnsi="Book Antiqua" w:cstheme="minorHAnsi"/>
          <w:b/>
          <w:bCs/>
          <w:sz w:val="26"/>
          <w:szCs w:val="26"/>
        </w:rPr>
      </w:pPr>
      <w:r w:rsidRPr="00993B57">
        <w:rPr>
          <w:rFonts w:ascii="Book Antiqua" w:hAnsi="Book Antiqua"/>
          <w:b/>
          <w:sz w:val="26"/>
          <w:szCs w:val="26"/>
        </w:rPr>
        <w:tab/>
      </w:r>
      <w:r>
        <w:rPr>
          <w:rFonts w:ascii="Book Antiqua" w:hAnsi="Book Antiqua" w:cstheme="minorHAnsi"/>
          <w:b/>
          <w:bCs/>
          <w:sz w:val="26"/>
          <w:szCs w:val="26"/>
        </w:rPr>
        <w:t>Au niveau des secteurs d’activité</w:t>
      </w:r>
    </w:p>
    <w:p w:rsidR="005C405A" w:rsidRPr="00993B57" w:rsidRDefault="005C405A" w:rsidP="007A7C88">
      <w:pPr>
        <w:spacing w:after="100" w:afterAutospacing="1" w:line="360" w:lineRule="exact"/>
        <w:jc w:val="both"/>
        <w:rPr>
          <w:rFonts w:ascii="Book Antiqua" w:hAnsi="Book Antiqua" w:cstheme="minorHAnsi"/>
          <w:sz w:val="26"/>
          <w:szCs w:val="26"/>
        </w:rPr>
      </w:pPr>
      <w:r>
        <w:rPr>
          <w:rFonts w:ascii="Book Antiqua" w:hAnsi="Book Antiqua" w:cstheme="minorHAnsi"/>
          <w:sz w:val="26"/>
          <w:szCs w:val="26"/>
        </w:rPr>
        <w:t>L</w:t>
      </w:r>
      <w:r w:rsidRPr="00993B57">
        <w:rPr>
          <w:rFonts w:ascii="Book Antiqua" w:hAnsi="Book Antiqua" w:cstheme="minorHAnsi"/>
          <w:sz w:val="26"/>
          <w:szCs w:val="26"/>
        </w:rPr>
        <w:t xml:space="preserve">a réévaluation de la valeur ajoutée </w:t>
      </w:r>
      <w:r>
        <w:rPr>
          <w:rFonts w:ascii="Book Antiqua" w:hAnsi="Book Antiqua" w:cstheme="minorHAnsi"/>
          <w:sz w:val="26"/>
          <w:szCs w:val="26"/>
        </w:rPr>
        <w:t xml:space="preserve">globale </w:t>
      </w:r>
      <w:r w:rsidRPr="00993B57">
        <w:rPr>
          <w:rFonts w:ascii="Book Antiqua" w:hAnsi="Book Antiqua" w:cstheme="minorHAnsi"/>
          <w:sz w:val="26"/>
          <w:szCs w:val="26"/>
        </w:rPr>
        <w:t>a été de 5,7%</w:t>
      </w:r>
      <w:r>
        <w:rPr>
          <w:rFonts w:ascii="Book Antiqua" w:hAnsi="Book Antiqua" w:cstheme="minorHAnsi"/>
          <w:sz w:val="26"/>
          <w:szCs w:val="26"/>
        </w:rPr>
        <w:t xml:space="preserve"> </w:t>
      </w:r>
      <w:r w:rsidRPr="00993B57">
        <w:rPr>
          <w:rFonts w:ascii="Book Antiqua" w:hAnsi="Book Antiqua" w:cstheme="minorHAnsi"/>
          <w:sz w:val="26"/>
          <w:szCs w:val="26"/>
        </w:rPr>
        <w:t>en base 2007</w:t>
      </w:r>
      <w:r>
        <w:rPr>
          <w:rFonts w:ascii="Book Antiqua" w:hAnsi="Book Antiqua" w:cstheme="minorHAnsi"/>
          <w:sz w:val="26"/>
          <w:szCs w:val="26"/>
        </w:rPr>
        <w:t xml:space="preserve">. Sa répartition par secteur d’activité </w:t>
      </w:r>
      <w:r w:rsidRPr="00993B57">
        <w:rPr>
          <w:rFonts w:ascii="Book Antiqua" w:hAnsi="Book Antiqua" w:cstheme="minorHAnsi"/>
          <w:sz w:val="26"/>
          <w:szCs w:val="26"/>
        </w:rPr>
        <w:t>fait apparaitre une réévaluation à la baisse de celle du secteur primaire  (agriculture et pêche) de 6,1%</w:t>
      </w:r>
      <w:r>
        <w:rPr>
          <w:rFonts w:ascii="Book Antiqua" w:hAnsi="Book Antiqua" w:cstheme="minorHAnsi"/>
          <w:sz w:val="26"/>
          <w:szCs w:val="26"/>
        </w:rPr>
        <w:t xml:space="preserve"> </w:t>
      </w:r>
      <w:r w:rsidRPr="00993B57">
        <w:rPr>
          <w:rFonts w:ascii="Book Antiqua" w:hAnsi="Book Antiqua" w:cstheme="minorHAnsi"/>
          <w:sz w:val="26"/>
          <w:szCs w:val="26"/>
        </w:rPr>
        <w:t xml:space="preserve"> et une réévaluation à la hausse </w:t>
      </w:r>
      <w:r>
        <w:rPr>
          <w:rFonts w:ascii="Book Antiqua" w:hAnsi="Book Antiqua" w:cstheme="minorHAnsi"/>
          <w:sz w:val="26"/>
          <w:szCs w:val="26"/>
        </w:rPr>
        <w:t xml:space="preserve">de celle </w:t>
      </w:r>
      <w:r w:rsidRPr="00993B57">
        <w:rPr>
          <w:rFonts w:ascii="Book Antiqua" w:hAnsi="Book Antiqua" w:cstheme="minorHAnsi"/>
          <w:sz w:val="26"/>
          <w:szCs w:val="26"/>
        </w:rPr>
        <w:t xml:space="preserve">du secteur </w:t>
      </w:r>
      <w:r w:rsidRPr="00993B57">
        <w:rPr>
          <w:rFonts w:ascii="Book Antiqua" w:hAnsi="Book Antiqua" w:cstheme="minorHAnsi"/>
          <w:sz w:val="26"/>
          <w:szCs w:val="26"/>
        </w:rPr>
        <w:lastRenderedPageBreak/>
        <w:t xml:space="preserve">secondaire (industries extractives et de transformation, eau et électricité et BTP) </w:t>
      </w:r>
      <w:r>
        <w:rPr>
          <w:rFonts w:ascii="Book Antiqua" w:hAnsi="Book Antiqua" w:cstheme="minorHAnsi"/>
          <w:sz w:val="26"/>
          <w:szCs w:val="26"/>
        </w:rPr>
        <w:t xml:space="preserve">de </w:t>
      </w:r>
      <w:r w:rsidRPr="00993B57">
        <w:rPr>
          <w:rFonts w:ascii="Book Antiqua" w:hAnsi="Book Antiqua" w:cstheme="minorHAnsi"/>
          <w:sz w:val="26"/>
          <w:szCs w:val="26"/>
        </w:rPr>
        <w:t xml:space="preserve">7,2% et </w:t>
      </w:r>
      <w:r>
        <w:rPr>
          <w:rFonts w:ascii="Book Antiqua" w:hAnsi="Book Antiqua" w:cstheme="minorHAnsi"/>
          <w:sz w:val="26"/>
          <w:szCs w:val="26"/>
        </w:rPr>
        <w:t xml:space="preserve">de celle </w:t>
      </w:r>
      <w:r w:rsidRPr="00993B57">
        <w:rPr>
          <w:rFonts w:ascii="Book Antiqua" w:hAnsi="Book Antiqua" w:cstheme="minorHAnsi"/>
          <w:sz w:val="26"/>
          <w:szCs w:val="26"/>
        </w:rPr>
        <w:t>du secteur tertiaire (</w:t>
      </w:r>
      <w:r>
        <w:rPr>
          <w:rFonts w:ascii="Book Antiqua" w:hAnsi="Book Antiqua" w:cstheme="minorHAnsi"/>
          <w:sz w:val="26"/>
          <w:szCs w:val="26"/>
        </w:rPr>
        <w:t xml:space="preserve">commerce et </w:t>
      </w:r>
      <w:r w:rsidRPr="00993B57">
        <w:rPr>
          <w:rFonts w:ascii="Book Antiqua" w:hAnsi="Book Antiqua" w:cstheme="minorHAnsi"/>
          <w:sz w:val="26"/>
          <w:szCs w:val="26"/>
        </w:rPr>
        <w:t xml:space="preserve">services) </w:t>
      </w:r>
      <w:r>
        <w:rPr>
          <w:rFonts w:ascii="Book Antiqua" w:hAnsi="Book Antiqua" w:cstheme="minorHAnsi"/>
          <w:sz w:val="26"/>
          <w:szCs w:val="26"/>
        </w:rPr>
        <w:t xml:space="preserve">de </w:t>
      </w:r>
      <w:r w:rsidRPr="00993B57">
        <w:rPr>
          <w:rFonts w:ascii="Book Antiqua" w:hAnsi="Book Antiqua" w:cstheme="minorHAnsi"/>
          <w:sz w:val="26"/>
          <w:szCs w:val="26"/>
        </w:rPr>
        <w:t xml:space="preserve">7,7%. </w:t>
      </w:r>
    </w:p>
    <w:p w:rsidR="005C405A" w:rsidRPr="00993B57" w:rsidRDefault="005C405A" w:rsidP="007A7C88">
      <w:pPr>
        <w:spacing w:after="100" w:afterAutospacing="1" w:line="360" w:lineRule="exact"/>
        <w:jc w:val="both"/>
        <w:rPr>
          <w:rFonts w:ascii="Book Antiqua" w:hAnsi="Book Antiqua" w:cstheme="minorHAnsi"/>
          <w:sz w:val="26"/>
          <w:szCs w:val="26"/>
        </w:rPr>
      </w:pPr>
      <w:r w:rsidRPr="00993B57">
        <w:rPr>
          <w:rFonts w:ascii="Book Antiqua" w:hAnsi="Book Antiqua" w:cstheme="minorHAnsi"/>
          <w:sz w:val="26"/>
          <w:szCs w:val="26"/>
        </w:rPr>
        <w:t>Dans ces conditions, la part du secteur primaire dans le PIB a baissé de 1,3 point de pourcentage, pour se situer à 10,9%, alors que celle du secteur non agricole est en augmentation de 1,8 point de pourcentage, se situant à 78,1% (la part du secteur tertiaire est en hausse de 1,3 point de pourcentage).</w:t>
      </w:r>
    </w:p>
    <w:p w:rsidR="005C405A" w:rsidRPr="00993B57" w:rsidRDefault="005C405A" w:rsidP="005C405A">
      <w:pPr>
        <w:spacing w:before="120" w:line="360" w:lineRule="exact"/>
        <w:jc w:val="both"/>
        <w:rPr>
          <w:rFonts w:ascii="Book Antiqua" w:hAnsi="Book Antiqua"/>
          <w:bCs/>
          <w:sz w:val="26"/>
          <w:szCs w:val="26"/>
        </w:rPr>
      </w:pPr>
      <w:r>
        <w:rPr>
          <w:rFonts w:ascii="Book Antiqua" w:hAnsi="Book Antiqua"/>
          <w:bCs/>
          <w:sz w:val="26"/>
          <w:szCs w:val="26"/>
        </w:rPr>
        <w:t>De même, le</w:t>
      </w:r>
      <w:r w:rsidRPr="00C32543">
        <w:rPr>
          <w:rFonts w:ascii="Book Antiqua" w:hAnsi="Book Antiqua"/>
          <w:bCs/>
          <w:sz w:val="26"/>
          <w:szCs w:val="26"/>
        </w:rPr>
        <w:t xml:space="preserve"> taux de valeur ajoutée du secteur primaire </w:t>
      </w:r>
      <w:r>
        <w:rPr>
          <w:rFonts w:ascii="Book Antiqua" w:hAnsi="Book Antiqua"/>
          <w:bCs/>
          <w:sz w:val="26"/>
          <w:szCs w:val="26"/>
        </w:rPr>
        <w:t>a baissé</w:t>
      </w:r>
      <w:r w:rsidRPr="00C32543">
        <w:rPr>
          <w:rFonts w:ascii="Book Antiqua" w:hAnsi="Book Antiqua"/>
          <w:bCs/>
          <w:sz w:val="26"/>
          <w:szCs w:val="26"/>
        </w:rPr>
        <w:t xml:space="preserve"> de 72% en base 1998 à 62,5% en base 2007</w:t>
      </w:r>
      <w:r>
        <w:rPr>
          <w:rFonts w:ascii="Book Antiqua" w:hAnsi="Book Antiqua"/>
          <w:bCs/>
          <w:sz w:val="26"/>
          <w:szCs w:val="26"/>
        </w:rPr>
        <w:t xml:space="preserve"> et </w:t>
      </w:r>
      <w:r w:rsidRPr="00C32543">
        <w:rPr>
          <w:rFonts w:ascii="Book Antiqua" w:hAnsi="Book Antiqua"/>
          <w:bCs/>
          <w:sz w:val="26"/>
          <w:szCs w:val="26"/>
        </w:rPr>
        <w:t>dans une moindre mesure celui du secteur secondaire  de 33,7% à 32,5%. Le secteur tertiaire, quant à lui, a enregistré une amélioration du taux de valeur ajoutée</w:t>
      </w:r>
      <w:r w:rsidR="007A7C88">
        <w:rPr>
          <w:rFonts w:ascii="Book Antiqua" w:hAnsi="Book Antiqua"/>
          <w:bCs/>
          <w:sz w:val="26"/>
          <w:szCs w:val="26"/>
        </w:rPr>
        <w:t>,</w:t>
      </w:r>
      <w:r w:rsidRPr="00C32543">
        <w:rPr>
          <w:rFonts w:ascii="Book Antiqua" w:hAnsi="Book Antiqua"/>
          <w:bCs/>
          <w:sz w:val="26"/>
          <w:szCs w:val="26"/>
        </w:rPr>
        <w:t xml:space="preserve"> passant de 69,2% à 73%.</w:t>
      </w:r>
    </w:p>
    <w:p w:rsidR="005C405A" w:rsidRPr="00993B57" w:rsidRDefault="005C405A" w:rsidP="005C405A">
      <w:pPr>
        <w:spacing w:line="360" w:lineRule="exact"/>
        <w:jc w:val="both"/>
        <w:rPr>
          <w:rFonts w:ascii="Book Antiqua" w:hAnsi="Book Antiqua" w:cstheme="minorHAnsi"/>
          <w:sz w:val="26"/>
          <w:szCs w:val="26"/>
        </w:rPr>
      </w:pPr>
      <w:r w:rsidRPr="00993B57">
        <w:rPr>
          <w:rFonts w:ascii="Book Antiqua" w:hAnsi="Book Antiqua" w:cstheme="minorHAnsi"/>
          <w:b/>
          <w:bCs/>
          <w:sz w:val="26"/>
          <w:szCs w:val="26"/>
        </w:rPr>
        <w:tab/>
      </w:r>
    </w:p>
    <w:p w:rsidR="005C405A" w:rsidRPr="00993B57" w:rsidRDefault="005C405A" w:rsidP="005C405A">
      <w:pPr>
        <w:spacing w:line="360" w:lineRule="exact"/>
        <w:jc w:val="both"/>
        <w:rPr>
          <w:rFonts w:ascii="Book Antiqua" w:hAnsi="Book Antiqua" w:cs="Calibri"/>
          <w:b/>
          <w:bCs/>
          <w:sz w:val="32"/>
          <w:szCs w:val="32"/>
        </w:rPr>
      </w:pPr>
      <w:r w:rsidRPr="00993B57">
        <w:rPr>
          <w:rFonts w:ascii="Book Antiqua" w:hAnsi="Book Antiqua" w:cs="Calibri"/>
          <w:b/>
          <w:bCs/>
          <w:sz w:val="32"/>
          <w:szCs w:val="32"/>
        </w:rPr>
        <w:t xml:space="preserve">Impact </w:t>
      </w:r>
      <w:r>
        <w:rPr>
          <w:rFonts w:ascii="Book Antiqua" w:hAnsi="Book Antiqua" w:cs="Calibri"/>
          <w:b/>
          <w:bCs/>
          <w:sz w:val="32"/>
          <w:szCs w:val="32"/>
        </w:rPr>
        <w:t>de la nouvelle base 2007 sur les principaux indicateurs de l’économie nationale</w:t>
      </w:r>
    </w:p>
    <w:p w:rsidR="005C405A" w:rsidRPr="00794054" w:rsidRDefault="005C405A" w:rsidP="005C405A">
      <w:pPr>
        <w:spacing w:after="240" w:line="360" w:lineRule="exact"/>
        <w:jc w:val="both"/>
        <w:rPr>
          <w:rFonts w:ascii="Book Antiqua" w:hAnsi="Book Antiqua" w:cstheme="minorHAnsi"/>
          <w:b/>
          <w:bCs/>
          <w:sz w:val="26"/>
          <w:szCs w:val="26"/>
        </w:rPr>
      </w:pPr>
      <w:r w:rsidRPr="00794054">
        <w:rPr>
          <w:rFonts w:ascii="Book Antiqua" w:hAnsi="Book Antiqua" w:cstheme="minorHAnsi"/>
          <w:b/>
          <w:bCs/>
          <w:sz w:val="26"/>
          <w:szCs w:val="26"/>
        </w:rPr>
        <w:t>Au niveau des indicateurs de croissance</w:t>
      </w:r>
    </w:p>
    <w:p w:rsidR="005C405A" w:rsidRPr="00993B57" w:rsidRDefault="005C405A" w:rsidP="005C405A">
      <w:pPr>
        <w:spacing w:after="240" w:line="360" w:lineRule="exact"/>
        <w:jc w:val="both"/>
        <w:rPr>
          <w:rFonts w:ascii="Book Antiqua" w:hAnsi="Book Antiqua" w:cstheme="minorHAnsi"/>
          <w:sz w:val="26"/>
          <w:szCs w:val="26"/>
        </w:rPr>
      </w:pPr>
      <w:r w:rsidRPr="00993B57">
        <w:rPr>
          <w:rFonts w:ascii="Book Antiqua" w:hAnsi="Book Antiqua" w:cstheme="minorHAnsi"/>
          <w:sz w:val="26"/>
          <w:szCs w:val="26"/>
        </w:rPr>
        <w:t>Le passage à la nouvelle base 2007 a entrainé la réévaluation à la hausse des niveaux de la croissance économique en volume sur toute la période 2008-2012, à l’exception de l’année 2009 pour laquelle le taux de croissance a été revu légèrement à la baisse.</w:t>
      </w:r>
    </w:p>
    <w:p w:rsidR="005C405A" w:rsidRPr="00993B57" w:rsidRDefault="005C405A" w:rsidP="00BF2B63">
      <w:pPr>
        <w:spacing w:after="240" w:line="360" w:lineRule="exact"/>
        <w:jc w:val="both"/>
        <w:rPr>
          <w:rFonts w:ascii="Book Antiqua" w:hAnsi="Book Antiqua" w:cstheme="minorHAnsi"/>
          <w:sz w:val="26"/>
          <w:szCs w:val="26"/>
        </w:rPr>
      </w:pPr>
      <w:r w:rsidRPr="00993B57">
        <w:rPr>
          <w:rFonts w:ascii="Book Antiqua" w:hAnsi="Book Antiqua" w:cstheme="minorHAnsi"/>
          <w:sz w:val="26"/>
          <w:szCs w:val="26"/>
        </w:rPr>
        <w:t xml:space="preserve">La croissance annuelle moyenne du PIB en volume est réévaluée de 0,2 point de pourcentage durant la période 2007-2012, passant de 4,3% en base 1998 à 4,5% en </w:t>
      </w:r>
      <w:r w:rsidR="007A7C88">
        <w:rPr>
          <w:rFonts w:ascii="Book Antiqua" w:hAnsi="Book Antiqua" w:cstheme="minorHAnsi"/>
          <w:sz w:val="26"/>
          <w:szCs w:val="26"/>
        </w:rPr>
        <w:t>b</w:t>
      </w:r>
      <w:r w:rsidRPr="00993B57">
        <w:rPr>
          <w:rFonts w:ascii="Book Antiqua" w:hAnsi="Book Antiqua" w:cstheme="minorHAnsi"/>
          <w:sz w:val="26"/>
          <w:szCs w:val="26"/>
        </w:rPr>
        <w:t xml:space="preserve">ase 2007. </w:t>
      </w:r>
    </w:p>
    <w:p w:rsidR="005C405A" w:rsidRPr="00993B57" w:rsidRDefault="005C405A" w:rsidP="00BF2B63">
      <w:pPr>
        <w:spacing w:after="240" w:line="360" w:lineRule="exact"/>
        <w:jc w:val="both"/>
        <w:rPr>
          <w:rFonts w:ascii="Book Antiqua" w:hAnsi="Book Antiqua" w:cstheme="minorHAnsi"/>
          <w:sz w:val="26"/>
          <w:szCs w:val="26"/>
        </w:rPr>
      </w:pPr>
      <w:r w:rsidRPr="00993B57">
        <w:rPr>
          <w:rFonts w:ascii="Book Antiqua" w:hAnsi="Book Antiqua" w:cstheme="minorHAnsi"/>
          <w:sz w:val="26"/>
          <w:szCs w:val="26"/>
        </w:rPr>
        <w:t xml:space="preserve">Les emplois du PIB ont enregistré pour l’ensemble des réévaluations à la hausse. La </w:t>
      </w:r>
      <w:r w:rsidR="00473FEC">
        <w:rPr>
          <w:rFonts w:ascii="Book Antiqua" w:hAnsi="Book Antiqua" w:cstheme="minorHAnsi"/>
          <w:sz w:val="26"/>
          <w:szCs w:val="26"/>
        </w:rPr>
        <w:t xml:space="preserve">croissance de la </w:t>
      </w:r>
      <w:r w:rsidRPr="00993B57">
        <w:rPr>
          <w:rFonts w:ascii="Book Antiqua" w:hAnsi="Book Antiqua" w:cstheme="minorHAnsi"/>
          <w:sz w:val="26"/>
          <w:szCs w:val="26"/>
        </w:rPr>
        <w:t>formation brute du capital fixe a été réévaluée de 1% en moyenne annuelle, les dépenses de consommation finale des ménages (non compris les ISBL</w:t>
      </w:r>
      <w:r w:rsidR="007A7C88">
        <w:rPr>
          <w:rFonts w:ascii="Book Antiqua" w:hAnsi="Book Antiqua" w:cstheme="minorHAnsi"/>
          <w:sz w:val="26"/>
          <w:szCs w:val="26"/>
        </w:rPr>
        <w:t>SM</w:t>
      </w:r>
      <w:r w:rsidRPr="00993B57">
        <w:rPr>
          <w:rFonts w:ascii="Book Antiqua" w:hAnsi="Book Antiqua" w:cstheme="minorHAnsi"/>
          <w:sz w:val="26"/>
          <w:szCs w:val="26"/>
        </w:rPr>
        <w:t>) de 0,3% et celles des administrations publiques de 0,1%.</w:t>
      </w:r>
    </w:p>
    <w:p w:rsidR="005C405A" w:rsidRPr="00993B57" w:rsidRDefault="005C405A" w:rsidP="00473FEC">
      <w:pPr>
        <w:spacing w:after="100" w:afterAutospacing="1" w:line="360" w:lineRule="exact"/>
        <w:jc w:val="both"/>
        <w:rPr>
          <w:rFonts w:ascii="Book Antiqua" w:hAnsi="Book Antiqua" w:cstheme="minorHAnsi"/>
          <w:sz w:val="26"/>
          <w:szCs w:val="26"/>
        </w:rPr>
      </w:pPr>
      <w:r w:rsidRPr="00993B57">
        <w:rPr>
          <w:rFonts w:ascii="Book Antiqua" w:hAnsi="Book Antiqua" w:cstheme="minorHAnsi"/>
          <w:sz w:val="26"/>
          <w:szCs w:val="26"/>
        </w:rPr>
        <w:t>Au niveau des échanges extérieurs, l</w:t>
      </w:r>
      <w:r w:rsidR="00473FEC">
        <w:rPr>
          <w:rFonts w:ascii="Book Antiqua" w:hAnsi="Book Antiqua" w:cstheme="minorHAnsi"/>
          <w:sz w:val="26"/>
          <w:szCs w:val="26"/>
        </w:rPr>
        <w:t xml:space="preserve">a croissance des </w:t>
      </w:r>
      <w:r w:rsidRPr="00993B57">
        <w:rPr>
          <w:rFonts w:ascii="Book Antiqua" w:hAnsi="Book Antiqua" w:cstheme="minorHAnsi"/>
          <w:sz w:val="26"/>
          <w:szCs w:val="26"/>
        </w:rPr>
        <w:t xml:space="preserve">importations </w:t>
      </w:r>
      <w:r w:rsidR="00473FEC">
        <w:rPr>
          <w:rFonts w:ascii="Book Antiqua" w:hAnsi="Book Antiqua" w:cstheme="minorHAnsi"/>
          <w:sz w:val="26"/>
          <w:szCs w:val="26"/>
        </w:rPr>
        <w:t>a</w:t>
      </w:r>
      <w:r w:rsidRPr="00993B57">
        <w:rPr>
          <w:rFonts w:ascii="Book Antiqua" w:hAnsi="Book Antiqua" w:cstheme="minorHAnsi"/>
          <w:sz w:val="26"/>
          <w:szCs w:val="26"/>
        </w:rPr>
        <w:t xml:space="preserve"> été réévaluée de 1,8% par an en moyen</w:t>
      </w:r>
      <w:r w:rsidR="007A7C88">
        <w:rPr>
          <w:rFonts w:ascii="Book Antiqua" w:hAnsi="Book Antiqua" w:cstheme="minorHAnsi"/>
          <w:sz w:val="26"/>
          <w:szCs w:val="26"/>
        </w:rPr>
        <w:t>ne</w:t>
      </w:r>
      <w:r w:rsidRPr="00993B57">
        <w:rPr>
          <w:rFonts w:ascii="Book Antiqua" w:hAnsi="Book Antiqua" w:cstheme="minorHAnsi"/>
          <w:sz w:val="26"/>
          <w:szCs w:val="26"/>
        </w:rPr>
        <w:t xml:space="preserve"> et </w:t>
      </w:r>
      <w:r w:rsidR="00473FEC">
        <w:rPr>
          <w:rFonts w:ascii="Book Antiqua" w:hAnsi="Book Antiqua" w:cstheme="minorHAnsi"/>
          <w:sz w:val="26"/>
          <w:szCs w:val="26"/>
        </w:rPr>
        <w:t xml:space="preserve">celle des </w:t>
      </w:r>
      <w:r w:rsidRPr="00993B57">
        <w:rPr>
          <w:rFonts w:ascii="Book Antiqua" w:hAnsi="Book Antiqua" w:cstheme="minorHAnsi"/>
          <w:sz w:val="26"/>
          <w:szCs w:val="26"/>
        </w:rPr>
        <w:t>exportations de 0,1%, accent</w:t>
      </w:r>
      <w:r w:rsidR="007A7C88">
        <w:rPr>
          <w:rFonts w:ascii="Book Antiqua" w:hAnsi="Book Antiqua" w:cstheme="minorHAnsi"/>
          <w:sz w:val="26"/>
          <w:szCs w:val="26"/>
        </w:rPr>
        <w:t>uant de ce fait</w:t>
      </w:r>
      <w:r w:rsidRPr="00993B57">
        <w:rPr>
          <w:rFonts w:ascii="Book Antiqua" w:hAnsi="Book Antiqua" w:cstheme="minorHAnsi"/>
          <w:sz w:val="26"/>
          <w:szCs w:val="26"/>
        </w:rPr>
        <w:t xml:space="preserve"> leur contribution négative à la croissance du PIB.</w:t>
      </w:r>
    </w:p>
    <w:p w:rsidR="005C405A" w:rsidRPr="00794054" w:rsidRDefault="005C405A" w:rsidP="00BF2B63">
      <w:pPr>
        <w:spacing w:line="360" w:lineRule="exact"/>
        <w:jc w:val="both"/>
        <w:rPr>
          <w:rFonts w:ascii="Book Antiqua" w:hAnsi="Book Antiqua" w:cs="Calibri"/>
          <w:b/>
          <w:bCs/>
          <w:sz w:val="26"/>
          <w:szCs w:val="26"/>
        </w:rPr>
      </w:pPr>
      <w:r w:rsidRPr="00794054">
        <w:rPr>
          <w:rFonts w:ascii="Book Antiqua" w:hAnsi="Book Antiqua" w:cs="Calibri"/>
          <w:b/>
          <w:bCs/>
          <w:sz w:val="26"/>
          <w:szCs w:val="26"/>
        </w:rPr>
        <w:t>Au niveau des ratios macroéconomiques</w:t>
      </w:r>
    </w:p>
    <w:p w:rsidR="005C405A" w:rsidRPr="00993B57" w:rsidRDefault="005C405A" w:rsidP="00BF2B63">
      <w:pPr>
        <w:spacing w:line="360" w:lineRule="exact"/>
        <w:jc w:val="both"/>
        <w:rPr>
          <w:rFonts w:ascii="Book Antiqua" w:hAnsi="Book Antiqua" w:cs="Calibri"/>
          <w:sz w:val="26"/>
          <w:szCs w:val="26"/>
        </w:rPr>
      </w:pPr>
      <w:r>
        <w:rPr>
          <w:rFonts w:ascii="Book Antiqua" w:hAnsi="Book Antiqua" w:cs="Calibri"/>
          <w:sz w:val="26"/>
          <w:szCs w:val="26"/>
        </w:rPr>
        <w:t>L</w:t>
      </w:r>
      <w:r w:rsidRPr="00993B57">
        <w:rPr>
          <w:rFonts w:ascii="Book Antiqua" w:hAnsi="Book Antiqua" w:cs="Calibri"/>
          <w:sz w:val="26"/>
          <w:szCs w:val="26"/>
        </w:rPr>
        <w:t xml:space="preserve">e PIB </w:t>
      </w:r>
      <w:r w:rsidR="007A7C88">
        <w:rPr>
          <w:rFonts w:ascii="Book Antiqua" w:hAnsi="Book Antiqua" w:cs="Calibri"/>
          <w:sz w:val="26"/>
          <w:szCs w:val="26"/>
        </w:rPr>
        <w:t>en valeur</w:t>
      </w:r>
      <w:r w:rsidRPr="00993B57">
        <w:rPr>
          <w:rFonts w:ascii="Book Antiqua" w:hAnsi="Book Antiqua" w:cs="Calibri"/>
          <w:sz w:val="26"/>
          <w:szCs w:val="26"/>
        </w:rPr>
        <w:t xml:space="preserve"> a été réévalué de 3,1% sur l’ensemble de la période 2007-2012. Rapporté à la population, le PIB par tête est passé de 20 996 DH en 2007 à 26071 DH en 2012. Il s’est situé à 23988 DH par an en moyen</w:t>
      </w:r>
      <w:r>
        <w:rPr>
          <w:rFonts w:ascii="Book Antiqua" w:hAnsi="Book Antiqua" w:cs="Calibri"/>
          <w:sz w:val="26"/>
          <w:szCs w:val="26"/>
        </w:rPr>
        <w:t>ne</w:t>
      </w:r>
      <w:r w:rsidRPr="00993B57">
        <w:rPr>
          <w:rFonts w:ascii="Book Antiqua" w:hAnsi="Book Antiqua" w:cs="Calibri"/>
          <w:sz w:val="26"/>
          <w:szCs w:val="26"/>
        </w:rPr>
        <w:t xml:space="preserve">, en augmentation de 704 DH par habitant par rapport à la base 1998. </w:t>
      </w:r>
    </w:p>
    <w:p w:rsidR="005C405A" w:rsidRPr="00993B57" w:rsidRDefault="005C405A" w:rsidP="00BF2B63">
      <w:pPr>
        <w:spacing w:line="360" w:lineRule="exact"/>
        <w:jc w:val="both"/>
        <w:rPr>
          <w:rFonts w:ascii="Book Antiqua" w:hAnsi="Book Antiqua" w:cs="Calibri"/>
          <w:sz w:val="26"/>
          <w:szCs w:val="26"/>
        </w:rPr>
      </w:pPr>
      <w:r w:rsidRPr="00993B57">
        <w:rPr>
          <w:rFonts w:ascii="Book Antiqua" w:hAnsi="Book Antiqua" w:cs="Calibri"/>
          <w:sz w:val="26"/>
          <w:szCs w:val="26"/>
        </w:rPr>
        <w:lastRenderedPageBreak/>
        <w:t>L’investissement brut a représent</w:t>
      </w:r>
      <w:r w:rsidR="007A7C88">
        <w:rPr>
          <w:rFonts w:ascii="Book Antiqua" w:hAnsi="Book Antiqua" w:cs="Calibri"/>
          <w:sz w:val="26"/>
          <w:szCs w:val="26"/>
        </w:rPr>
        <w:t>é</w:t>
      </w:r>
      <w:r w:rsidRPr="00993B57">
        <w:rPr>
          <w:rFonts w:ascii="Book Antiqua" w:hAnsi="Book Antiqua" w:cs="Calibri"/>
          <w:sz w:val="26"/>
          <w:szCs w:val="26"/>
        </w:rPr>
        <w:t xml:space="preserve"> 32,2% du PIB en moyenne annuelle durant cette période, soit une réévaluation à la hausse de 0,9 point de pourcentage par an. Les sociétés non financières et les administrations publiques demeurent les principaux secteurs institutionnels contributeurs à cet effort d’investissement</w:t>
      </w:r>
      <w:r w:rsidR="007A7C88">
        <w:rPr>
          <w:rFonts w:ascii="Book Antiqua" w:hAnsi="Book Antiqua" w:cs="Calibri"/>
          <w:sz w:val="26"/>
          <w:szCs w:val="26"/>
        </w:rPr>
        <w:t>,</w:t>
      </w:r>
      <w:r w:rsidRPr="00993B57">
        <w:rPr>
          <w:rFonts w:ascii="Book Antiqua" w:hAnsi="Book Antiqua" w:cs="Calibri"/>
          <w:sz w:val="26"/>
          <w:szCs w:val="26"/>
        </w:rPr>
        <w:t xml:space="preserve"> avec près de 85%. </w:t>
      </w:r>
    </w:p>
    <w:p w:rsidR="005C405A" w:rsidRPr="00993B57" w:rsidRDefault="005C405A" w:rsidP="00BF2B63">
      <w:pPr>
        <w:spacing w:line="360" w:lineRule="exact"/>
        <w:jc w:val="both"/>
        <w:rPr>
          <w:rFonts w:ascii="Book Antiqua" w:hAnsi="Book Antiqua" w:cs="Calibri"/>
          <w:sz w:val="26"/>
          <w:szCs w:val="26"/>
        </w:rPr>
      </w:pPr>
      <w:r w:rsidRPr="00993B57">
        <w:rPr>
          <w:rFonts w:ascii="Book Antiqua" w:hAnsi="Book Antiqua" w:cs="Calibri"/>
          <w:sz w:val="26"/>
          <w:szCs w:val="26"/>
        </w:rPr>
        <w:t xml:space="preserve">Le taux d’épargne nationale n’a pas connu de changement. Par conséquent, le besoin de financement de l’économie s’est accentué d’une année à l’autre, particulièrement sous l’effet de la détérioration des capacités de financement des sociétés non financières et des administrations publiques (APU). </w:t>
      </w:r>
    </w:p>
    <w:p w:rsidR="005C405A" w:rsidRPr="00993B57" w:rsidRDefault="005C405A" w:rsidP="00BF2B63">
      <w:pPr>
        <w:spacing w:line="360" w:lineRule="exact"/>
        <w:jc w:val="both"/>
        <w:rPr>
          <w:rFonts w:ascii="Book Antiqua" w:hAnsi="Book Antiqua" w:cs="Calibri"/>
          <w:sz w:val="26"/>
          <w:szCs w:val="26"/>
        </w:rPr>
      </w:pPr>
      <w:r w:rsidRPr="00993B57">
        <w:rPr>
          <w:rFonts w:ascii="Book Antiqua" w:hAnsi="Book Antiqua" w:cs="Calibri"/>
          <w:sz w:val="26"/>
          <w:szCs w:val="26"/>
        </w:rPr>
        <w:t>Les sociétés</w:t>
      </w:r>
      <w:r>
        <w:rPr>
          <w:rFonts w:ascii="Book Antiqua" w:hAnsi="Book Antiqua" w:cs="Calibri"/>
          <w:sz w:val="26"/>
          <w:szCs w:val="26"/>
        </w:rPr>
        <w:t xml:space="preserve"> non</w:t>
      </w:r>
      <w:r w:rsidRPr="00993B57">
        <w:rPr>
          <w:rFonts w:ascii="Book Antiqua" w:hAnsi="Book Antiqua" w:cs="Calibri"/>
          <w:sz w:val="26"/>
          <w:szCs w:val="26"/>
        </w:rPr>
        <w:t xml:space="preserve"> financières ont dégagé des soldes déficitaires durant toute la période 2007-2012. Leur besoin de financement, de plus de 66,1 milliards de DH en 2012, ont représenté le double de celui de 2007.</w:t>
      </w:r>
    </w:p>
    <w:p w:rsidR="005C405A" w:rsidRPr="00993B57" w:rsidRDefault="005C405A" w:rsidP="00BF2B63">
      <w:pPr>
        <w:spacing w:line="360" w:lineRule="exact"/>
        <w:jc w:val="both"/>
        <w:rPr>
          <w:rFonts w:ascii="Book Antiqua" w:hAnsi="Book Antiqua" w:cs="Calibri"/>
          <w:sz w:val="26"/>
          <w:szCs w:val="26"/>
        </w:rPr>
      </w:pPr>
      <w:r w:rsidRPr="00993B57">
        <w:rPr>
          <w:rFonts w:ascii="Book Antiqua" w:hAnsi="Book Antiqua" w:cs="Calibri"/>
          <w:sz w:val="26"/>
          <w:szCs w:val="26"/>
        </w:rPr>
        <w:t xml:space="preserve">Les APU avaient des excédents de financement entre 2007 et 2010, mais leur situation financière </w:t>
      </w:r>
      <w:r>
        <w:rPr>
          <w:rFonts w:ascii="Book Antiqua" w:hAnsi="Book Antiqua" w:cs="Calibri"/>
          <w:sz w:val="26"/>
          <w:szCs w:val="26"/>
        </w:rPr>
        <w:t xml:space="preserve">s’est détériorée </w:t>
      </w:r>
      <w:r w:rsidRPr="00993B57">
        <w:rPr>
          <w:rFonts w:ascii="Book Antiqua" w:hAnsi="Book Antiqua" w:cs="Calibri"/>
          <w:sz w:val="26"/>
          <w:szCs w:val="26"/>
        </w:rPr>
        <w:t>progressivement pour devenir déficitaire, avec un besoin de financement</w:t>
      </w:r>
      <w:r>
        <w:rPr>
          <w:rFonts w:ascii="Book Antiqua" w:hAnsi="Book Antiqua" w:cs="Calibri"/>
          <w:sz w:val="26"/>
          <w:szCs w:val="26"/>
        </w:rPr>
        <w:t>, se</w:t>
      </w:r>
      <w:r w:rsidRPr="00993B57">
        <w:rPr>
          <w:rFonts w:ascii="Book Antiqua" w:hAnsi="Book Antiqua" w:cs="Calibri"/>
          <w:sz w:val="26"/>
          <w:szCs w:val="26"/>
        </w:rPr>
        <w:t xml:space="preserve"> situ</w:t>
      </w:r>
      <w:r>
        <w:rPr>
          <w:rFonts w:ascii="Book Antiqua" w:hAnsi="Book Antiqua" w:cs="Calibri"/>
          <w:sz w:val="26"/>
          <w:szCs w:val="26"/>
        </w:rPr>
        <w:t>ant</w:t>
      </w:r>
      <w:r w:rsidRPr="00993B57">
        <w:rPr>
          <w:rFonts w:ascii="Book Antiqua" w:hAnsi="Book Antiqua" w:cs="Calibri"/>
          <w:sz w:val="26"/>
          <w:szCs w:val="26"/>
        </w:rPr>
        <w:t xml:space="preserve"> à 20,4 milliards de DH en 2011 et à 35,9 milliards de DH en 2012. </w:t>
      </w:r>
    </w:p>
    <w:p w:rsidR="005C405A" w:rsidRPr="00993B57" w:rsidRDefault="005C405A" w:rsidP="00BF2B63">
      <w:pPr>
        <w:spacing w:line="360" w:lineRule="exact"/>
        <w:jc w:val="both"/>
        <w:rPr>
          <w:rFonts w:ascii="Book Antiqua" w:hAnsi="Book Antiqua" w:cs="Calibri"/>
          <w:sz w:val="26"/>
          <w:szCs w:val="26"/>
        </w:rPr>
      </w:pPr>
      <w:r w:rsidRPr="00993B57">
        <w:rPr>
          <w:rFonts w:ascii="Book Antiqua" w:hAnsi="Book Antiqua" w:cs="Calibri"/>
          <w:sz w:val="26"/>
          <w:szCs w:val="26"/>
        </w:rPr>
        <w:t xml:space="preserve">Les secteurs des sociétés financières, des ménages et des ISBLSM ont dégagé des capacités de financement durant toute la période 2007-2012. Mais, elles n’étaient pas suffisantes pour répondre aux besoins de financement de l’économie qui se sont élevés à 80,6 milliards de DH en 2012 au lieu de 437 millions de DH en 2007 et 36 milliards de DH en 2008. Le besoin de financement a représenté, ainsi, 9,5% du PIB en 2012 au </w:t>
      </w:r>
      <w:r>
        <w:rPr>
          <w:rFonts w:ascii="Book Antiqua" w:hAnsi="Book Antiqua" w:cs="Calibri"/>
          <w:sz w:val="26"/>
          <w:szCs w:val="26"/>
        </w:rPr>
        <w:t>l</w:t>
      </w:r>
      <w:r w:rsidRPr="00993B57">
        <w:rPr>
          <w:rFonts w:ascii="Book Antiqua" w:hAnsi="Book Antiqua" w:cs="Calibri"/>
          <w:sz w:val="26"/>
          <w:szCs w:val="26"/>
        </w:rPr>
        <w:t>ieu de 0,1% en 2007.</w:t>
      </w:r>
    </w:p>
    <w:p w:rsidR="005C405A" w:rsidRPr="00993B57" w:rsidRDefault="005C405A" w:rsidP="005C405A">
      <w:pPr>
        <w:spacing w:line="360" w:lineRule="exact"/>
        <w:jc w:val="both"/>
        <w:rPr>
          <w:rFonts w:ascii="Book Antiqua" w:hAnsi="Book Antiqua" w:cs="Calibri"/>
          <w:sz w:val="26"/>
          <w:szCs w:val="26"/>
        </w:rPr>
      </w:pPr>
    </w:p>
    <w:p w:rsidR="005C405A" w:rsidRDefault="005C405A" w:rsidP="005C405A">
      <w:pPr>
        <w:spacing w:line="360" w:lineRule="exact"/>
        <w:jc w:val="both"/>
        <w:rPr>
          <w:rFonts w:ascii="Book Antiqua" w:hAnsi="Book Antiqua" w:cs="Calibri"/>
          <w:sz w:val="26"/>
          <w:szCs w:val="26"/>
        </w:rPr>
      </w:pPr>
      <w:r w:rsidRPr="007A7C88">
        <w:rPr>
          <w:rFonts w:ascii="Book Antiqua" w:hAnsi="Book Antiqua" w:cs="Calibri"/>
          <w:b/>
          <w:bCs/>
          <w:sz w:val="28"/>
          <w:szCs w:val="28"/>
        </w:rPr>
        <w:t>En guise de conclusion</w:t>
      </w:r>
      <w:r w:rsidRPr="00993B57">
        <w:rPr>
          <w:rFonts w:ascii="Book Antiqua" w:hAnsi="Book Antiqua" w:cs="Calibri"/>
          <w:sz w:val="26"/>
          <w:szCs w:val="26"/>
        </w:rPr>
        <w:t xml:space="preserve">, il convient de souligner l’importance </w:t>
      </w:r>
      <w:r>
        <w:rPr>
          <w:rFonts w:ascii="Book Antiqua" w:hAnsi="Book Antiqua" w:cs="Calibri"/>
          <w:sz w:val="26"/>
          <w:szCs w:val="26"/>
        </w:rPr>
        <w:t>des enquêtes de structures économiques (auprès des entreprises) et sociales (auprès des ménages) pour une comptabilité nationale de plus en plus informative sur les réalités économiques et sociales du pays et conforme aux normes internationales, pour une comparabilité crédible de nos performances avec celles des autres pays.</w:t>
      </w:r>
    </w:p>
    <w:p w:rsidR="005C405A" w:rsidRDefault="005C405A" w:rsidP="00D9311A">
      <w:pPr>
        <w:ind w:firstLine="709"/>
        <w:jc w:val="center"/>
        <w:rPr>
          <w:rFonts w:cs="Simplified Arabic"/>
          <w:b/>
          <w:bCs/>
          <w:sz w:val="32"/>
          <w:szCs w:val="32"/>
          <w:lang w:bidi="ar-MA"/>
        </w:rPr>
      </w:pPr>
    </w:p>
    <w:sectPr w:rsidR="005C405A" w:rsidSect="00A640C3">
      <w:footerReference w:type="default" r:id="rId10"/>
      <w:pgSz w:w="11906" w:h="16838"/>
      <w:pgMar w:top="1134" w:right="1134"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4B0" w:rsidRDefault="00F534B0" w:rsidP="006459C1">
      <w:pPr>
        <w:spacing w:after="0" w:line="240" w:lineRule="auto"/>
      </w:pPr>
      <w:r>
        <w:separator/>
      </w:r>
    </w:p>
  </w:endnote>
  <w:endnote w:type="continuationSeparator" w:id="0">
    <w:p w:rsidR="00F534B0" w:rsidRDefault="00F534B0" w:rsidP="006459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0153280"/>
      <w:docPartObj>
        <w:docPartGallery w:val="Page Numbers (Bottom of Page)"/>
        <w:docPartUnique/>
      </w:docPartObj>
    </w:sdtPr>
    <w:sdtContent>
      <w:p w:rsidR="006459C1" w:rsidRDefault="00202450">
        <w:pPr>
          <w:pStyle w:val="Pieddepage"/>
          <w:jc w:val="center"/>
        </w:pPr>
        <w:fldSimple w:instr=" PAGE   \* MERGEFORMAT ">
          <w:r w:rsidR="00473FEC">
            <w:rPr>
              <w:noProof/>
            </w:rPr>
            <w:t>4</w:t>
          </w:r>
        </w:fldSimple>
      </w:p>
    </w:sdtContent>
  </w:sdt>
  <w:p w:rsidR="006459C1" w:rsidRDefault="006459C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4B0" w:rsidRDefault="00F534B0" w:rsidP="006459C1">
      <w:pPr>
        <w:spacing w:after="0" w:line="240" w:lineRule="auto"/>
      </w:pPr>
      <w:r>
        <w:separator/>
      </w:r>
    </w:p>
  </w:footnote>
  <w:footnote w:type="continuationSeparator" w:id="0">
    <w:p w:rsidR="00F534B0" w:rsidRDefault="00F534B0" w:rsidP="006459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0119"/>
    <w:multiLevelType w:val="hybridMultilevel"/>
    <w:tmpl w:val="909C2206"/>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
    <w:nsid w:val="4199545C"/>
    <w:multiLevelType w:val="hybridMultilevel"/>
    <w:tmpl w:val="27D0AD7A"/>
    <w:lvl w:ilvl="0" w:tplc="A988777C">
      <w:start w:val="1"/>
      <w:numFmt w:val="bullet"/>
      <w:lvlText w:val=""/>
      <w:lvlJc w:val="left"/>
      <w:pPr>
        <w:tabs>
          <w:tab w:val="num" w:pos="1069"/>
        </w:tabs>
        <w:ind w:left="1069" w:hanging="360"/>
      </w:pPr>
      <w:rPr>
        <w:rFonts w:ascii="Symbol" w:hAnsi="Symbol" w:cs="Symbol" w:hint="default"/>
        <w:color w:val="FFC000"/>
        <w:sz w:val="32"/>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nsid w:val="572E538B"/>
    <w:multiLevelType w:val="hybridMultilevel"/>
    <w:tmpl w:val="9D427B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6337FE2"/>
    <w:multiLevelType w:val="hybridMultilevel"/>
    <w:tmpl w:val="BD285ACC"/>
    <w:lvl w:ilvl="0" w:tplc="040C0001">
      <w:start w:val="1"/>
      <w:numFmt w:val="bullet"/>
      <w:lvlText w:val=""/>
      <w:lvlJc w:val="left"/>
      <w:pPr>
        <w:ind w:left="1065" w:hanging="360"/>
      </w:pPr>
      <w:rPr>
        <w:rFonts w:ascii="Symbol" w:hAnsi="Symbol" w:hint="default"/>
      </w:rPr>
    </w:lvl>
    <w:lvl w:ilvl="1" w:tplc="040C0003">
      <w:start w:val="1"/>
      <w:numFmt w:val="bullet"/>
      <w:lvlText w:val="o"/>
      <w:lvlJc w:val="left"/>
      <w:pPr>
        <w:ind w:left="1785" w:hanging="360"/>
      </w:pPr>
      <w:rPr>
        <w:rFonts w:ascii="Courier New" w:hAnsi="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hint="default"/>
      </w:rPr>
    </w:lvl>
    <w:lvl w:ilvl="8" w:tplc="040C0005">
      <w:start w:val="1"/>
      <w:numFmt w:val="bullet"/>
      <w:lvlText w:val=""/>
      <w:lvlJc w:val="left"/>
      <w:pPr>
        <w:ind w:left="6825"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characterSpacingControl w:val="doNotCompress"/>
  <w:footnotePr>
    <w:footnote w:id="-1"/>
    <w:footnote w:id="0"/>
  </w:footnotePr>
  <w:endnotePr>
    <w:endnote w:id="-1"/>
    <w:endnote w:id="0"/>
  </w:endnotePr>
  <w:compat/>
  <w:rsids>
    <w:rsidRoot w:val="009B4BDF"/>
    <w:rsid w:val="00000FE4"/>
    <w:rsid w:val="00003245"/>
    <w:rsid w:val="00003381"/>
    <w:rsid w:val="00006ECA"/>
    <w:rsid w:val="00006ED1"/>
    <w:rsid w:val="00007B9A"/>
    <w:rsid w:val="00007D44"/>
    <w:rsid w:val="00013D16"/>
    <w:rsid w:val="00014F3A"/>
    <w:rsid w:val="000156D0"/>
    <w:rsid w:val="0001602E"/>
    <w:rsid w:val="00016208"/>
    <w:rsid w:val="00020784"/>
    <w:rsid w:val="000210AF"/>
    <w:rsid w:val="0002681C"/>
    <w:rsid w:val="000300A1"/>
    <w:rsid w:val="000521F5"/>
    <w:rsid w:val="000562D2"/>
    <w:rsid w:val="00056C78"/>
    <w:rsid w:val="000715B3"/>
    <w:rsid w:val="00071D45"/>
    <w:rsid w:val="000720A3"/>
    <w:rsid w:val="000756E7"/>
    <w:rsid w:val="00080039"/>
    <w:rsid w:val="00083662"/>
    <w:rsid w:val="00086172"/>
    <w:rsid w:val="0009217D"/>
    <w:rsid w:val="0009278D"/>
    <w:rsid w:val="00092C80"/>
    <w:rsid w:val="000A1308"/>
    <w:rsid w:val="000A4696"/>
    <w:rsid w:val="000A5CB4"/>
    <w:rsid w:val="000A6A7F"/>
    <w:rsid w:val="000B0650"/>
    <w:rsid w:val="000B21E2"/>
    <w:rsid w:val="000B2341"/>
    <w:rsid w:val="000B2E7D"/>
    <w:rsid w:val="000B5CCD"/>
    <w:rsid w:val="000B75CA"/>
    <w:rsid w:val="000C0412"/>
    <w:rsid w:val="000C12D8"/>
    <w:rsid w:val="000C3896"/>
    <w:rsid w:val="000C3E67"/>
    <w:rsid w:val="000C40D2"/>
    <w:rsid w:val="000C5DDE"/>
    <w:rsid w:val="000D4269"/>
    <w:rsid w:val="000D48B1"/>
    <w:rsid w:val="000E0FDD"/>
    <w:rsid w:val="000E2C4A"/>
    <w:rsid w:val="000E2DF1"/>
    <w:rsid w:val="000F2B76"/>
    <w:rsid w:val="000F5F31"/>
    <w:rsid w:val="000F72BF"/>
    <w:rsid w:val="001020CF"/>
    <w:rsid w:val="00105ACC"/>
    <w:rsid w:val="00105DED"/>
    <w:rsid w:val="00112A59"/>
    <w:rsid w:val="0011562F"/>
    <w:rsid w:val="0011686D"/>
    <w:rsid w:val="00120826"/>
    <w:rsid w:val="00121025"/>
    <w:rsid w:val="00123E8A"/>
    <w:rsid w:val="00131926"/>
    <w:rsid w:val="00133029"/>
    <w:rsid w:val="00135562"/>
    <w:rsid w:val="00136DA2"/>
    <w:rsid w:val="00136DAC"/>
    <w:rsid w:val="001535E3"/>
    <w:rsid w:val="00153808"/>
    <w:rsid w:val="0015444A"/>
    <w:rsid w:val="00157026"/>
    <w:rsid w:val="001633D6"/>
    <w:rsid w:val="00165099"/>
    <w:rsid w:val="00170A89"/>
    <w:rsid w:val="00173A45"/>
    <w:rsid w:val="00174245"/>
    <w:rsid w:val="001747BF"/>
    <w:rsid w:val="00175F8C"/>
    <w:rsid w:val="00195C9D"/>
    <w:rsid w:val="00196DD3"/>
    <w:rsid w:val="001A7951"/>
    <w:rsid w:val="001A7E45"/>
    <w:rsid w:val="001B4BEC"/>
    <w:rsid w:val="001B5FB9"/>
    <w:rsid w:val="001B7B6C"/>
    <w:rsid w:val="001C340B"/>
    <w:rsid w:val="001C4A56"/>
    <w:rsid w:val="001C588F"/>
    <w:rsid w:val="001C743F"/>
    <w:rsid w:val="001C75E8"/>
    <w:rsid w:val="001C7608"/>
    <w:rsid w:val="001E035F"/>
    <w:rsid w:val="001E4B42"/>
    <w:rsid w:val="001F4B82"/>
    <w:rsid w:val="001F5CED"/>
    <w:rsid w:val="001F6DC2"/>
    <w:rsid w:val="00201934"/>
    <w:rsid w:val="002023D3"/>
    <w:rsid w:val="00202450"/>
    <w:rsid w:val="00204623"/>
    <w:rsid w:val="00204D7C"/>
    <w:rsid w:val="00207B4F"/>
    <w:rsid w:val="00221C96"/>
    <w:rsid w:val="00222AE6"/>
    <w:rsid w:val="00227176"/>
    <w:rsid w:val="0023056E"/>
    <w:rsid w:val="002329A4"/>
    <w:rsid w:val="00234FF0"/>
    <w:rsid w:val="00235069"/>
    <w:rsid w:val="00243076"/>
    <w:rsid w:val="00244C85"/>
    <w:rsid w:val="002450D5"/>
    <w:rsid w:val="0024515C"/>
    <w:rsid w:val="00246125"/>
    <w:rsid w:val="00246572"/>
    <w:rsid w:val="00247F7D"/>
    <w:rsid w:val="002527D2"/>
    <w:rsid w:val="002630F0"/>
    <w:rsid w:val="00266C01"/>
    <w:rsid w:val="00271088"/>
    <w:rsid w:val="002714D1"/>
    <w:rsid w:val="00271A3C"/>
    <w:rsid w:val="00274C8C"/>
    <w:rsid w:val="00275B1E"/>
    <w:rsid w:val="00276A6F"/>
    <w:rsid w:val="00281772"/>
    <w:rsid w:val="00281C7F"/>
    <w:rsid w:val="002857DC"/>
    <w:rsid w:val="00285AD6"/>
    <w:rsid w:val="002862AF"/>
    <w:rsid w:val="00290048"/>
    <w:rsid w:val="002907AB"/>
    <w:rsid w:val="00293CCF"/>
    <w:rsid w:val="002B0CE7"/>
    <w:rsid w:val="002B1182"/>
    <w:rsid w:val="002B3AB3"/>
    <w:rsid w:val="002B4770"/>
    <w:rsid w:val="002B6617"/>
    <w:rsid w:val="002B6732"/>
    <w:rsid w:val="002B71CB"/>
    <w:rsid w:val="002B7C67"/>
    <w:rsid w:val="002C147B"/>
    <w:rsid w:val="002C2E42"/>
    <w:rsid w:val="002C53CB"/>
    <w:rsid w:val="002C663B"/>
    <w:rsid w:val="002D765F"/>
    <w:rsid w:val="002E042B"/>
    <w:rsid w:val="002E2A14"/>
    <w:rsid w:val="002E6AF1"/>
    <w:rsid w:val="002E7090"/>
    <w:rsid w:val="002F1F87"/>
    <w:rsid w:val="002F327A"/>
    <w:rsid w:val="002F377B"/>
    <w:rsid w:val="002F57FC"/>
    <w:rsid w:val="00314B1A"/>
    <w:rsid w:val="00315753"/>
    <w:rsid w:val="00317AFD"/>
    <w:rsid w:val="00317CC1"/>
    <w:rsid w:val="00317FB5"/>
    <w:rsid w:val="00320988"/>
    <w:rsid w:val="00321EA3"/>
    <w:rsid w:val="003257F1"/>
    <w:rsid w:val="00327E5C"/>
    <w:rsid w:val="00333868"/>
    <w:rsid w:val="00333BD7"/>
    <w:rsid w:val="00337002"/>
    <w:rsid w:val="0034298A"/>
    <w:rsid w:val="00342C1A"/>
    <w:rsid w:val="003441E8"/>
    <w:rsid w:val="00347884"/>
    <w:rsid w:val="003503A5"/>
    <w:rsid w:val="003504A0"/>
    <w:rsid w:val="00350C69"/>
    <w:rsid w:val="003533B9"/>
    <w:rsid w:val="00353664"/>
    <w:rsid w:val="00361A30"/>
    <w:rsid w:val="0036541F"/>
    <w:rsid w:val="003706FB"/>
    <w:rsid w:val="003770AC"/>
    <w:rsid w:val="00382CDA"/>
    <w:rsid w:val="0038677F"/>
    <w:rsid w:val="00386AAA"/>
    <w:rsid w:val="0038790A"/>
    <w:rsid w:val="00390E22"/>
    <w:rsid w:val="00392DD3"/>
    <w:rsid w:val="003937FD"/>
    <w:rsid w:val="00393E1C"/>
    <w:rsid w:val="00396539"/>
    <w:rsid w:val="003965E3"/>
    <w:rsid w:val="003A1AAA"/>
    <w:rsid w:val="003A1AF0"/>
    <w:rsid w:val="003A1D84"/>
    <w:rsid w:val="003A3A23"/>
    <w:rsid w:val="003A4223"/>
    <w:rsid w:val="003A55BD"/>
    <w:rsid w:val="003A5C4F"/>
    <w:rsid w:val="003B372D"/>
    <w:rsid w:val="003B5074"/>
    <w:rsid w:val="003B5B64"/>
    <w:rsid w:val="003B5E87"/>
    <w:rsid w:val="003B6A48"/>
    <w:rsid w:val="003C32C8"/>
    <w:rsid w:val="003C3626"/>
    <w:rsid w:val="003C43D7"/>
    <w:rsid w:val="003C546B"/>
    <w:rsid w:val="003C5DB5"/>
    <w:rsid w:val="003D17D7"/>
    <w:rsid w:val="003D5383"/>
    <w:rsid w:val="003D5F38"/>
    <w:rsid w:val="003D65DC"/>
    <w:rsid w:val="003D72BC"/>
    <w:rsid w:val="003E1688"/>
    <w:rsid w:val="003E1706"/>
    <w:rsid w:val="003E3E6A"/>
    <w:rsid w:val="003E6943"/>
    <w:rsid w:val="003F0796"/>
    <w:rsid w:val="003F1E8E"/>
    <w:rsid w:val="003F35D9"/>
    <w:rsid w:val="003F3AEC"/>
    <w:rsid w:val="003F7984"/>
    <w:rsid w:val="003F7FFA"/>
    <w:rsid w:val="004011A7"/>
    <w:rsid w:val="0040531B"/>
    <w:rsid w:val="00406304"/>
    <w:rsid w:val="00411F2E"/>
    <w:rsid w:val="00411FC3"/>
    <w:rsid w:val="0041329B"/>
    <w:rsid w:val="00416199"/>
    <w:rsid w:val="00422CBB"/>
    <w:rsid w:val="00423563"/>
    <w:rsid w:val="00423D88"/>
    <w:rsid w:val="00424F24"/>
    <w:rsid w:val="0043116E"/>
    <w:rsid w:val="00431500"/>
    <w:rsid w:val="00432DBC"/>
    <w:rsid w:val="00433E0C"/>
    <w:rsid w:val="00434513"/>
    <w:rsid w:val="00436955"/>
    <w:rsid w:val="00444CB3"/>
    <w:rsid w:val="00450C70"/>
    <w:rsid w:val="004514FB"/>
    <w:rsid w:val="00451DBD"/>
    <w:rsid w:val="0045348D"/>
    <w:rsid w:val="0045360F"/>
    <w:rsid w:val="0045446D"/>
    <w:rsid w:val="00457C95"/>
    <w:rsid w:val="00463D09"/>
    <w:rsid w:val="00465CB3"/>
    <w:rsid w:val="00465DDC"/>
    <w:rsid w:val="00465E4F"/>
    <w:rsid w:val="00471DFC"/>
    <w:rsid w:val="00473FEC"/>
    <w:rsid w:val="00476694"/>
    <w:rsid w:val="0047726C"/>
    <w:rsid w:val="0048296E"/>
    <w:rsid w:val="00482F02"/>
    <w:rsid w:val="00485B2B"/>
    <w:rsid w:val="00486AFD"/>
    <w:rsid w:val="00487E6E"/>
    <w:rsid w:val="00487FCA"/>
    <w:rsid w:val="004951FA"/>
    <w:rsid w:val="004973DC"/>
    <w:rsid w:val="00497F5A"/>
    <w:rsid w:val="004A1731"/>
    <w:rsid w:val="004A2294"/>
    <w:rsid w:val="004A3051"/>
    <w:rsid w:val="004A30EF"/>
    <w:rsid w:val="004A3426"/>
    <w:rsid w:val="004A7092"/>
    <w:rsid w:val="004A7B48"/>
    <w:rsid w:val="004B0762"/>
    <w:rsid w:val="004B2645"/>
    <w:rsid w:val="004C30F9"/>
    <w:rsid w:val="004C443A"/>
    <w:rsid w:val="004C5CE4"/>
    <w:rsid w:val="004D02FB"/>
    <w:rsid w:val="004D3726"/>
    <w:rsid w:val="004D53E4"/>
    <w:rsid w:val="004D5778"/>
    <w:rsid w:val="004E3B33"/>
    <w:rsid w:val="004E3E91"/>
    <w:rsid w:val="004E4ED2"/>
    <w:rsid w:val="004E5167"/>
    <w:rsid w:val="004E61E8"/>
    <w:rsid w:val="004F1388"/>
    <w:rsid w:val="004F2242"/>
    <w:rsid w:val="004F4C3B"/>
    <w:rsid w:val="004F7216"/>
    <w:rsid w:val="004F7B80"/>
    <w:rsid w:val="004F7BC7"/>
    <w:rsid w:val="00503BCB"/>
    <w:rsid w:val="0050636C"/>
    <w:rsid w:val="00506552"/>
    <w:rsid w:val="005169D5"/>
    <w:rsid w:val="005174E0"/>
    <w:rsid w:val="00521995"/>
    <w:rsid w:val="005229F1"/>
    <w:rsid w:val="00526526"/>
    <w:rsid w:val="00530730"/>
    <w:rsid w:val="00530CBC"/>
    <w:rsid w:val="00534193"/>
    <w:rsid w:val="005371D4"/>
    <w:rsid w:val="00537EE6"/>
    <w:rsid w:val="005434A0"/>
    <w:rsid w:val="00545A4D"/>
    <w:rsid w:val="00545BD7"/>
    <w:rsid w:val="005464EF"/>
    <w:rsid w:val="005471BB"/>
    <w:rsid w:val="005527B3"/>
    <w:rsid w:val="00553A36"/>
    <w:rsid w:val="005600C5"/>
    <w:rsid w:val="00560FE0"/>
    <w:rsid w:val="00561AE0"/>
    <w:rsid w:val="00572CA2"/>
    <w:rsid w:val="00581B20"/>
    <w:rsid w:val="005841D2"/>
    <w:rsid w:val="00585606"/>
    <w:rsid w:val="00590326"/>
    <w:rsid w:val="00590B5C"/>
    <w:rsid w:val="00591AAE"/>
    <w:rsid w:val="00597AD0"/>
    <w:rsid w:val="00597DFF"/>
    <w:rsid w:val="005A0BD9"/>
    <w:rsid w:val="005A2AEF"/>
    <w:rsid w:val="005A2D1F"/>
    <w:rsid w:val="005A3CF3"/>
    <w:rsid w:val="005A3F6A"/>
    <w:rsid w:val="005B3AD6"/>
    <w:rsid w:val="005B5152"/>
    <w:rsid w:val="005B7670"/>
    <w:rsid w:val="005C01C9"/>
    <w:rsid w:val="005C024E"/>
    <w:rsid w:val="005C29EC"/>
    <w:rsid w:val="005C405A"/>
    <w:rsid w:val="005D3CFE"/>
    <w:rsid w:val="005D540C"/>
    <w:rsid w:val="005D7582"/>
    <w:rsid w:val="005E19AA"/>
    <w:rsid w:val="005E452F"/>
    <w:rsid w:val="005E4F96"/>
    <w:rsid w:val="005F0A76"/>
    <w:rsid w:val="005F3EA9"/>
    <w:rsid w:val="005F6EBB"/>
    <w:rsid w:val="005F7AEF"/>
    <w:rsid w:val="00603668"/>
    <w:rsid w:val="00606B55"/>
    <w:rsid w:val="00611D67"/>
    <w:rsid w:val="00614ABB"/>
    <w:rsid w:val="00620682"/>
    <w:rsid w:val="00625415"/>
    <w:rsid w:val="00630177"/>
    <w:rsid w:val="0063038D"/>
    <w:rsid w:val="006324B3"/>
    <w:rsid w:val="00636C2F"/>
    <w:rsid w:val="00640690"/>
    <w:rsid w:val="0064202B"/>
    <w:rsid w:val="006459C1"/>
    <w:rsid w:val="00646A9E"/>
    <w:rsid w:val="00646B9B"/>
    <w:rsid w:val="00654E12"/>
    <w:rsid w:val="00655443"/>
    <w:rsid w:val="00655B3D"/>
    <w:rsid w:val="006576E0"/>
    <w:rsid w:val="00664D29"/>
    <w:rsid w:val="00665DEF"/>
    <w:rsid w:val="00667438"/>
    <w:rsid w:val="00674D0D"/>
    <w:rsid w:val="00675C60"/>
    <w:rsid w:val="00675CE4"/>
    <w:rsid w:val="00681DD8"/>
    <w:rsid w:val="00683D0C"/>
    <w:rsid w:val="00687BBB"/>
    <w:rsid w:val="00687C36"/>
    <w:rsid w:val="00692B41"/>
    <w:rsid w:val="00695E68"/>
    <w:rsid w:val="00696D8D"/>
    <w:rsid w:val="00697022"/>
    <w:rsid w:val="006A2D9B"/>
    <w:rsid w:val="006A2E2A"/>
    <w:rsid w:val="006B2D74"/>
    <w:rsid w:val="006B4E3E"/>
    <w:rsid w:val="006B4FCF"/>
    <w:rsid w:val="006B6F1D"/>
    <w:rsid w:val="006B799F"/>
    <w:rsid w:val="006C17FC"/>
    <w:rsid w:val="006C21A0"/>
    <w:rsid w:val="006C4354"/>
    <w:rsid w:val="006C6866"/>
    <w:rsid w:val="006C7F20"/>
    <w:rsid w:val="006D0203"/>
    <w:rsid w:val="006D174D"/>
    <w:rsid w:val="006E014E"/>
    <w:rsid w:val="006E4115"/>
    <w:rsid w:val="006F0F12"/>
    <w:rsid w:val="006F15EB"/>
    <w:rsid w:val="006F26FE"/>
    <w:rsid w:val="006F4897"/>
    <w:rsid w:val="00706C5A"/>
    <w:rsid w:val="00707B54"/>
    <w:rsid w:val="00710DC2"/>
    <w:rsid w:val="007133DA"/>
    <w:rsid w:val="007142E8"/>
    <w:rsid w:val="00720B07"/>
    <w:rsid w:val="00721063"/>
    <w:rsid w:val="00721455"/>
    <w:rsid w:val="00722123"/>
    <w:rsid w:val="007274FE"/>
    <w:rsid w:val="0074109A"/>
    <w:rsid w:val="007416A3"/>
    <w:rsid w:val="00741D3C"/>
    <w:rsid w:val="00744633"/>
    <w:rsid w:val="007466E0"/>
    <w:rsid w:val="007475B4"/>
    <w:rsid w:val="007543E8"/>
    <w:rsid w:val="00755999"/>
    <w:rsid w:val="00755B11"/>
    <w:rsid w:val="007616CB"/>
    <w:rsid w:val="00766F6F"/>
    <w:rsid w:val="00767607"/>
    <w:rsid w:val="00776A00"/>
    <w:rsid w:val="0079113E"/>
    <w:rsid w:val="007921F7"/>
    <w:rsid w:val="007936D1"/>
    <w:rsid w:val="0079390C"/>
    <w:rsid w:val="007A22A8"/>
    <w:rsid w:val="007A3BF5"/>
    <w:rsid w:val="007A7C88"/>
    <w:rsid w:val="007B3424"/>
    <w:rsid w:val="007C08BD"/>
    <w:rsid w:val="007C6337"/>
    <w:rsid w:val="007D5609"/>
    <w:rsid w:val="007D5FAC"/>
    <w:rsid w:val="007E08E0"/>
    <w:rsid w:val="007E2BAE"/>
    <w:rsid w:val="007F3339"/>
    <w:rsid w:val="007F4397"/>
    <w:rsid w:val="007F79E2"/>
    <w:rsid w:val="008052A6"/>
    <w:rsid w:val="00807D89"/>
    <w:rsid w:val="00810D6F"/>
    <w:rsid w:val="00811F92"/>
    <w:rsid w:val="00816177"/>
    <w:rsid w:val="008166E0"/>
    <w:rsid w:val="00816F7A"/>
    <w:rsid w:val="00821F8B"/>
    <w:rsid w:val="0082205F"/>
    <w:rsid w:val="00822C45"/>
    <w:rsid w:val="00833AF6"/>
    <w:rsid w:val="00835AA5"/>
    <w:rsid w:val="0083614B"/>
    <w:rsid w:val="00837AD3"/>
    <w:rsid w:val="00840264"/>
    <w:rsid w:val="0084171E"/>
    <w:rsid w:val="00841C0F"/>
    <w:rsid w:val="00847D53"/>
    <w:rsid w:val="00851C28"/>
    <w:rsid w:val="00856C4A"/>
    <w:rsid w:val="00862523"/>
    <w:rsid w:val="00862703"/>
    <w:rsid w:val="00865C76"/>
    <w:rsid w:val="008725F6"/>
    <w:rsid w:val="0087290E"/>
    <w:rsid w:val="00875D5D"/>
    <w:rsid w:val="00876433"/>
    <w:rsid w:val="00880DAB"/>
    <w:rsid w:val="00882F7E"/>
    <w:rsid w:val="0089154E"/>
    <w:rsid w:val="00893B0B"/>
    <w:rsid w:val="008957DC"/>
    <w:rsid w:val="008957F3"/>
    <w:rsid w:val="008972BE"/>
    <w:rsid w:val="0089734D"/>
    <w:rsid w:val="008A6B08"/>
    <w:rsid w:val="008B3A02"/>
    <w:rsid w:val="008B5EBC"/>
    <w:rsid w:val="008C013A"/>
    <w:rsid w:val="008C28CF"/>
    <w:rsid w:val="008D45DA"/>
    <w:rsid w:val="008D6B6D"/>
    <w:rsid w:val="008E12C7"/>
    <w:rsid w:val="008E23EF"/>
    <w:rsid w:val="008E3A9A"/>
    <w:rsid w:val="008E48E6"/>
    <w:rsid w:val="008E4913"/>
    <w:rsid w:val="008E4BC5"/>
    <w:rsid w:val="008E57D2"/>
    <w:rsid w:val="008F3827"/>
    <w:rsid w:val="008F458C"/>
    <w:rsid w:val="008F47BA"/>
    <w:rsid w:val="008F712A"/>
    <w:rsid w:val="008F7444"/>
    <w:rsid w:val="0090118B"/>
    <w:rsid w:val="009012D4"/>
    <w:rsid w:val="00901BE1"/>
    <w:rsid w:val="00902F79"/>
    <w:rsid w:val="00906011"/>
    <w:rsid w:val="00915A0E"/>
    <w:rsid w:val="00917C47"/>
    <w:rsid w:val="0092153F"/>
    <w:rsid w:val="00922DB8"/>
    <w:rsid w:val="009242E6"/>
    <w:rsid w:val="00924854"/>
    <w:rsid w:val="00924B89"/>
    <w:rsid w:val="00931995"/>
    <w:rsid w:val="00935F92"/>
    <w:rsid w:val="0093735E"/>
    <w:rsid w:val="00940861"/>
    <w:rsid w:val="0094129C"/>
    <w:rsid w:val="00944A3E"/>
    <w:rsid w:val="009453B1"/>
    <w:rsid w:val="00952221"/>
    <w:rsid w:val="00953E52"/>
    <w:rsid w:val="00954B41"/>
    <w:rsid w:val="00960459"/>
    <w:rsid w:val="00964C6B"/>
    <w:rsid w:val="00966391"/>
    <w:rsid w:val="00970B7A"/>
    <w:rsid w:val="00971C7C"/>
    <w:rsid w:val="00972161"/>
    <w:rsid w:val="00976114"/>
    <w:rsid w:val="009824C8"/>
    <w:rsid w:val="00983226"/>
    <w:rsid w:val="00983E31"/>
    <w:rsid w:val="00987F2E"/>
    <w:rsid w:val="0099111C"/>
    <w:rsid w:val="009913D7"/>
    <w:rsid w:val="0099387D"/>
    <w:rsid w:val="009A3720"/>
    <w:rsid w:val="009A40DB"/>
    <w:rsid w:val="009A5757"/>
    <w:rsid w:val="009A7213"/>
    <w:rsid w:val="009A7AB1"/>
    <w:rsid w:val="009A7DC2"/>
    <w:rsid w:val="009B0996"/>
    <w:rsid w:val="009B26E3"/>
    <w:rsid w:val="009B2A2D"/>
    <w:rsid w:val="009B3976"/>
    <w:rsid w:val="009B3B79"/>
    <w:rsid w:val="009B4BDF"/>
    <w:rsid w:val="009B6756"/>
    <w:rsid w:val="009C1660"/>
    <w:rsid w:val="009C1863"/>
    <w:rsid w:val="009C1871"/>
    <w:rsid w:val="009C22DC"/>
    <w:rsid w:val="009C6BCE"/>
    <w:rsid w:val="009C6C69"/>
    <w:rsid w:val="009C7D4D"/>
    <w:rsid w:val="009D02A3"/>
    <w:rsid w:val="009E1582"/>
    <w:rsid w:val="009E46BC"/>
    <w:rsid w:val="009E4B2B"/>
    <w:rsid w:val="009F109B"/>
    <w:rsid w:val="009F25D5"/>
    <w:rsid w:val="00A00863"/>
    <w:rsid w:val="00A00ED1"/>
    <w:rsid w:val="00A028AE"/>
    <w:rsid w:val="00A0401F"/>
    <w:rsid w:val="00A11577"/>
    <w:rsid w:val="00A1388D"/>
    <w:rsid w:val="00A1396A"/>
    <w:rsid w:val="00A17210"/>
    <w:rsid w:val="00A24437"/>
    <w:rsid w:val="00A32B53"/>
    <w:rsid w:val="00A33FAF"/>
    <w:rsid w:val="00A36F31"/>
    <w:rsid w:val="00A3757B"/>
    <w:rsid w:val="00A40C43"/>
    <w:rsid w:val="00A41EC5"/>
    <w:rsid w:val="00A509DB"/>
    <w:rsid w:val="00A511A0"/>
    <w:rsid w:val="00A54905"/>
    <w:rsid w:val="00A56BD5"/>
    <w:rsid w:val="00A63355"/>
    <w:rsid w:val="00A640C3"/>
    <w:rsid w:val="00A64AC8"/>
    <w:rsid w:val="00A725FF"/>
    <w:rsid w:val="00A7367F"/>
    <w:rsid w:val="00A85679"/>
    <w:rsid w:val="00A87930"/>
    <w:rsid w:val="00A90F92"/>
    <w:rsid w:val="00A93600"/>
    <w:rsid w:val="00A9548C"/>
    <w:rsid w:val="00A954CE"/>
    <w:rsid w:val="00A96215"/>
    <w:rsid w:val="00AA1247"/>
    <w:rsid w:val="00AA399A"/>
    <w:rsid w:val="00AB7930"/>
    <w:rsid w:val="00AB7A95"/>
    <w:rsid w:val="00AC106C"/>
    <w:rsid w:val="00AC1463"/>
    <w:rsid w:val="00AC43D6"/>
    <w:rsid w:val="00AC5294"/>
    <w:rsid w:val="00AC62D4"/>
    <w:rsid w:val="00AD03D3"/>
    <w:rsid w:val="00AD2199"/>
    <w:rsid w:val="00AD21A8"/>
    <w:rsid w:val="00AD46FD"/>
    <w:rsid w:val="00AD5517"/>
    <w:rsid w:val="00AD6643"/>
    <w:rsid w:val="00AD6A6D"/>
    <w:rsid w:val="00AD6AF2"/>
    <w:rsid w:val="00AD789E"/>
    <w:rsid w:val="00AE0F46"/>
    <w:rsid w:val="00AE0F92"/>
    <w:rsid w:val="00AE235A"/>
    <w:rsid w:val="00AF0106"/>
    <w:rsid w:val="00AF01BC"/>
    <w:rsid w:val="00AF03E0"/>
    <w:rsid w:val="00AF28EA"/>
    <w:rsid w:val="00AF4FC2"/>
    <w:rsid w:val="00B01046"/>
    <w:rsid w:val="00B02339"/>
    <w:rsid w:val="00B02624"/>
    <w:rsid w:val="00B026D1"/>
    <w:rsid w:val="00B02A6D"/>
    <w:rsid w:val="00B03074"/>
    <w:rsid w:val="00B06B8D"/>
    <w:rsid w:val="00B07924"/>
    <w:rsid w:val="00B114B4"/>
    <w:rsid w:val="00B12AF8"/>
    <w:rsid w:val="00B12D5F"/>
    <w:rsid w:val="00B22997"/>
    <w:rsid w:val="00B23F1D"/>
    <w:rsid w:val="00B2596F"/>
    <w:rsid w:val="00B3234F"/>
    <w:rsid w:val="00B356CC"/>
    <w:rsid w:val="00B3579C"/>
    <w:rsid w:val="00B4373E"/>
    <w:rsid w:val="00B44A67"/>
    <w:rsid w:val="00B50820"/>
    <w:rsid w:val="00B52446"/>
    <w:rsid w:val="00B54E44"/>
    <w:rsid w:val="00B608C0"/>
    <w:rsid w:val="00B61D21"/>
    <w:rsid w:val="00B705EC"/>
    <w:rsid w:val="00B70CF8"/>
    <w:rsid w:val="00B714C3"/>
    <w:rsid w:val="00B73DFA"/>
    <w:rsid w:val="00B763A7"/>
    <w:rsid w:val="00B835A8"/>
    <w:rsid w:val="00B83FD8"/>
    <w:rsid w:val="00B84849"/>
    <w:rsid w:val="00B8654F"/>
    <w:rsid w:val="00B86DE8"/>
    <w:rsid w:val="00BA0D86"/>
    <w:rsid w:val="00BA68FD"/>
    <w:rsid w:val="00BA7470"/>
    <w:rsid w:val="00BB1039"/>
    <w:rsid w:val="00BB2304"/>
    <w:rsid w:val="00BB3421"/>
    <w:rsid w:val="00BB64E6"/>
    <w:rsid w:val="00BC1C31"/>
    <w:rsid w:val="00BC29EF"/>
    <w:rsid w:val="00BC5768"/>
    <w:rsid w:val="00BC6620"/>
    <w:rsid w:val="00BC6B2D"/>
    <w:rsid w:val="00BD2BB9"/>
    <w:rsid w:val="00BD5BCE"/>
    <w:rsid w:val="00BE2713"/>
    <w:rsid w:val="00BE4F03"/>
    <w:rsid w:val="00BE56C5"/>
    <w:rsid w:val="00BE5F29"/>
    <w:rsid w:val="00BF2B63"/>
    <w:rsid w:val="00BF4B6F"/>
    <w:rsid w:val="00BF7529"/>
    <w:rsid w:val="00C01F04"/>
    <w:rsid w:val="00C025D1"/>
    <w:rsid w:val="00C04A1B"/>
    <w:rsid w:val="00C1211F"/>
    <w:rsid w:val="00C12235"/>
    <w:rsid w:val="00C1265B"/>
    <w:rsid w:val="00C14FF0"/>
    <w:rsid w:val="00C163C4"/>
    <w:rsid w:val="00C17FAC"/>
    <w:rsid w:val="00C21AEB"/>
    <w:rsid w:val="00C23184"/>
    <w:rsid w:val="00C25204"/>
    <w:rsid w:val="00C256D0"/>
    <w:rsid w:val="00C25CFB"/>
    <w:rsid w:val="00C25ED6"/>
    <w:rsid w:val="00C353F8"/>
    <w:rsid w:val="00C35EAA"/>
    <w:rsid w:val="00C438EA"/>
    <w:rsid w:val="00C4516E"/>
    <w:rsid w:val="00C45252"/>
    <w:rsid w:val="00C503E3"/>
    <w:rsid w:val="00C5083A"/>
    <w:rsid w:val="00C50F66"/>
    <w:rsid w:val="00C52923"/>
    <w:rsid w:val="00C53ADC"/>
    <w:rsid w:val="00C5565B"/>
    <w:rsid w:val="00C56075"/>
    <w:rsid w:val="00C60146"/>
    <w:rsid w:val="00C61E10"/>
    <w:rsid w:val="00C62389"/>
    <w:rsid w:val="00C65656"/>
    <w:rsid w:val="00C66129"/>
    <w:rsid w:val="00C6782D"/>
    <w:rsid w:val="00C67851"/>
    <w:rsid w:val="00C70C06"/>
    <w:rsid w:val="00C70C0E"/>
    <w:rsid w:val="00C84023"/>
    <w:rsid w:val="00C85221"/>
    <w:rsid w:val="00C861AB"/>
    <w:rsid w:val="00C865CA"/>
    <w:rsid w:val="00C86D07"/>
    <w:rsid w:val="00C8729D"/>
    <w:rsid w:val="00C90D87"/>
    <w:rsid w:val="00C91327"/>
    <w:rsid w:val="00C92B40"/>
    <w:rsid w:val="00C953C6"/>
    <w:rsid w:val="00C95E12"/>
    <w:rsid w:val="00CB0EE7"/>
    <w:rsid w:val="00CB450D"/>
    <w:rsid w:val="00CC22B1"/>
    <w:rsid w:val="00CC3974"/>
    <w:rsid w:val="00CC605D"/>
    <w:rsid w:val="00CD081F"/>
    <w:rsid w:val="00CD2189"/>
    <w:rsid w:val="00CD7720"/>
    <w:rsid w:val="00CE46BE"/>
    <w:rsid w:val="00CF12AF"/>
    <w:rsid w:val="00CF311C"/>
    <w:rsid w:val="00CF4EAD"/>
    <w:rsid w:val="00CF7FBA"/>
    <w:rsid w:val="00D04E6F"/>
    <w:rsid w:val="00D10063"/>
    <w:rsid w:val="00D11A76"/>
    <w:rsid w:val="00D12479"/>
    <w:rsid w:val="00D1531F"/>
    <w:rsid w:val="00D309C6"/>
    <w:rsid w:val="00D31529"/>
    <w:rsid w:val="00D339B6"/>
    <w:rsid w:val="00D352F7"/>
    <w:rsid w:val="00D35D0D"/>
    <w:rsid w:val="00D3747F"/>
    <w:rsid w:val="00D4350E"/>
    <w:rsid w:val="00D52B13"/>
    <w:rsid w:val="00D55969"/>
    <w:rsid w:val="00D56CB5"/>
    <w:rsid w:val="00D5700D"/>
    <w:rsid w:val="00D57926"/>
    <w:rsid w:val="00D617E9"/>
    <w:rsid w:val="00D633C3"/>
    <w:rsid w:val="00D714F2"/>
    <w:rsid w:val="00D74124"/>
    <w:rsid w:val="00D81EC3"/>
    <w:rsid w:val="00D857A8"/>
    <w:rsid w:val="00D86338"/>
    <w:rsid w:val="00D87562"/>
    <w:rsid w:val="00D90194"/>
    <w:rsid w:val="00D91F0F"/>
    <w:rsid w:val="00D9311A"/>
    <w:rsid w:val="00D94BF3"/>
    <w:rsid w:val="00D9746D"/>
    <w:rsid w:val="00DA479A"/>
    <w:rsid w:val="00DA499E"/>
    <w:rsid w:val="00DA5575"/>
    <w:rsid w:val="00DB1629"/>
    <w:rsid w:val="00DB17B3"/>
    <w:rsid w:val="00DB2A43"/>
    <w:rsid w:val="00DB3C7E"/>
    <w:rsid w:val="00DB42EA"/>
    <w:rsid w:val="00DB6B17"/>
    <w:rsid w:val="00DB6F8C"/>
    <w:rsid w:val="00DB72DA"/>
    <w:rsid w:val="00DB7F7A"/>
    <w:rsid w:val="00DC2C53"/>
    <w:rsid w:val="00DC3391"/>
    <w:rsid w:val="00DC51F2"/>
    <w:rsid w:val="00DC6983"/>
    <w:rsid w:val="00DC7EC8"/>
    <w:rsid w:val="00DD001E"/>
    <w:rsid w:val="00DD0F46"/>
    <w:rsid w:val="00DD4FBC"/>
    <w:rsid w:val="00DD7201"/>
    <w:rsid w:val="00DE08DF"/>
    <w:rsid w:val="00DE4BC2"/>
    <w:rsid w:val="00DE56D9"/>
    <w:rsid w:val="00DF08DA"/>
    <w:rsid w:val="00DF1CE0"/>
    <w:rsid w:val="00DF2732"/>
    <w:rsid w:val="00DF2B4E"/>
    <w:rsid w:val="00E00B74"/>
    <w:rsid w:val="00E03EFE"/>
    <w:rsid w:val="00E12F1E"/>
    <w:rsid w:val="00E1362A"/>
    <w:rsid w:val="00E154D8"/>
    <w:rsid w:val="00E15910"/>
    <w:rsid w:val="00E15AEB"/>
    <w:rsid w:val="00E17B11"/>
    <w:rsid w:val="00E2243B"/>
    <w:rsid w:val="00E2714A"/>
    <w:rsid w:val="00E27D40"/>
    <w:rsid w:val="00E31349"/>
    <w:rsid w:val="00E3449D"/>
    <w:rsid w:val="00E358AD"/>
    <w:rsid w:val="00E35972"/>
    <w:rsid w:val="00E43F72"/>
    <w:rsid w:val="00E45807"/>
    <w:rsid w:val="00E467DB"/>
    <w:rsid w:val="00E549E2"/>
    <w:rsid w:val="00E55E41"/>
    <w:rsid w:val="00E70941"/>
    <w:rsid w:val="00E73032"/>
    <w:rsid w:val="00E7412C"/>
    <w:rsid w:val="00E74F98"/>
    <w:rsid w:val="00E75955"/>
    <w:rsid w:val="00E75A93"/>
    <w:rsid w:val="00E768CB"/>
    <w:rsid w:val="00E8265E"/>
    <w:rsid w:val="00E837B1"/>
    <w:rsid w:val="00E83DA7"/>
    <w:rsid w:val="00E83FB6"/>
    <w:rsid w:val="00E84B28"/>
    <w:rsid w:val="00E87911"/>
    <w:rsid w:val="00E91702"/>
    <w:rsid w:val="00E93466"/>
    <w:rsid w:val="00E93638"/>
    <w:rsid w:val="00E939CA"/>
    <w:rsid w:val="00E95308"/>
    <w:rsid w:val="00E96A25"/>
    <w:rsid w:val="00EA1F26"/>
    <w:rsid w:val="00EA5756"/>
    <w:rsid w:val="00EB0634"/>
    <w:rsid w:val="00EB1EA6"/>
    <w:rsid w:val="00EB2842"/>
    <w:rsid w:val="00EB2F9D"/>
    <w:rsid w:val="00EB53F6"/>
    <w:rsid w:val="00EB63E8"/>
    <w:rsid w:val="00EB772D"/>
    <w:rsid w:val="00EC16AF"/>
    <w:rsid w:val="00EC69F5"/>
    <w:rsid w:val="00ED117F"/>
    <w:rsid w:val="00ED15B7"/>
    <w:rsid w:val="00ED164D"/>
    <w:rsid w:val="00EE2F98"/>
    <w:rsid w:val="00EE4B65"/>
    <w:rsid w:val="00EF0334"/>
    <w:rsid w:val="00EF13A2"/>
    <w:rsid w:val="00EF1C23"/>
    <w:rsid w:val="00EF263E"/>
    <w:rsid w:val="00EF6BD8"/>
    <w:rsid w:val="00F07A4C"/>
    <w:rsid w:val="00F10396"/>
    <w:rsid w:val="00F10A8F"/>
    <w:rsid w:val="00F120C4"/>
    <w:rsid w:val="00F136B4"/>
    <w:rsid w:val="00F16524"/>
    <w:rsid w:val="00F2403B"/>
    <w:rsid w:val="00F27067"/>
    <w:rsid w:val="00F27103"/>
    <w:rsid w:val="00F3283A"/>
    <w:rsid w:val="00F32B18"/>
    <w:rsid w:val="00F34EAE"/>
    <w:rsid w:val="00F35D83"/>
    <w:rsid w:val="00F47E28"/>
    <w:rsid w:val="00F51E1C"/>
    <w:rsid w:val="00F534B0"/>
    <w:rsid w:val="00F55FF3"/>
    <w:rsid w:val="00F62283"/>
    <w:rsid w:val="00F63C88"/>
    <w:rsid w:val="00F63ED2"/>
    <w:rsid w:val="00F66872"/>
    <w:rsid w:val="00F721E7"/>
    <w:rsid w:val="00F7648D"/>
    <w:rsid w:val="00F77F18"/>
    <w:rsid w:val="00F82B5A"/>
    <w:rsid w:val="00F90ED0"/>
    <w:rsid w:val="00F916C5"/>
    <w:rsid w:val="00F921F1"/>
    <w:rsid w:val="00F9321A"/>
    <w:rsid w:val="00F93246"/>
    <w:rsid w:val="00F940DE"/>
    <w:rsid w:val="00F94608"/>
    <w:rsid w:val="00F96635"/>
    <w:rsid w:val="00F9766C"/>
    <w:rsid w:val="00FA0C9E"/>
    <w:rsid w:val="00FA120E"/>
    <w:rsid w:val="00FA1C17"/>
    <w:rsid w:val="00FA42CF"/>
    <w:rsid w:val="00FB187C"/>
    <w:rsid w:val="00FB3524"/>
    <w:rsid w:val="00FB5C58"/>
    <w:rsid w:val="00FC3537"/>
    <w:rsid w:val="00FC3768"/>
    <w:rsid w:val="00FC4408"/>
    <w:rsid w:val="00FC754F"/>
    <w:rsid w:val="00FC780B"/>
    <w:rsid w:val="00FD3F84"/>
    <w:rsid w:val="00FD6984"/>
    <w:rsid w:val="00FD7ABE"/>
    <w:rsid w:val="00FE15E8"/>
    <w:rsid w:val="00FF05C2"/>
    <w:rsid w:val="00FF0C63"/>
    <w:rsid w:val="00FF37B6"/>
    <w:rsid w:val="00FF5D63"/>
    <w:rsid w:val="00FF6EC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BDF"/>
    <w:pPr>
      <w:spacing w:after="200" w:line="276" w:lineRule="auto"/>
    </w:pPr>
    <w:rPr>
      <w:sz w:val="22"/>
      <w:szCs w:val="22"/>
      <w:lang w:eastAsia="en-US"/>
    </w:rPr>
  </w:style>
  <w:style w:type="paragraph" w:styleId="Titre3">
    <w:name w:val="heading 3"/>
    <w:basedOn w:val="Normal"/>
    <w:link w:val="Titre3Car"/>
    <w:uiPriority w:val="9"/>
    <w:qFormat/>
    <w:rsid w:val="00EA575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99"/>
    <w:qFormat/>
    <w:rsid w:val="009B4BDF"/>
    <w:pPr>
      <w:ind w:left="720"/>
    </w:pPr>
  </w:style>
  <w:style w:type="paragraph" w:styleId="Textedebulles">
    <w:name w:val="Balloon Text"/>
    <w:basedOn w:val="Normal"/>
    <w:link w:val="TextedebullesCar"/>
    <w:uiPriority w:val="99"/>
    <w:semiHidden/>
    <w:unhideWhenUsed/>
    <w:rsid w:val="008E49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E4913"/>
    <w:rPr>
      <w:rFonts w:ascii="Tahoma" w:eastAsia="Calibri" w:hAnsi="Tahoma" w:cs="Tahoma"/>
      <w:sz w:val="16"/>
      <w:szCs w:val="16"/>
    </w:rPr>
  </w:style>
  <w:style w:type="paragraph" w:styleId="Corpsdetexte2">
    <w:name w:val="Body Text 2"/>
    <w:basedOn w:val="Normal"/>
    <w:link w:val="Corpsdetexte2Car"/>
    <w:rsid w:val="00D9311A"/>
    <w:pPr>
      <w:spacing w:after="120" w:line="480" w:lineRule="auto"/>
    </w:pPr>
    <w:rPr>
      <w:rFonts w:ascii="Times New Roman" w:eastAsia="Times New Roman" w:hAnsi="Times New Roman" w:cs="Times New Roman"/>
      <w:b/>
      <w:bCs/>
      <w:sz w:val="26"/>
      <w:szCs w:val="26"/>
      <w:lang w:eastAsia="fr-FR"/>
    </w:rPr>
  </w:style>
  <w:style w:type="character" w:customStyle="1" w:styleId="Corpsdetexte2Car">
    <w:name w:val="Corps de texte 2 Car"/>
    <w:basedOn w:val="Policepardfaut"/>
    <w:link w:val="Corpsdetexte2"/>
    <w:rsid w:val="00D9311A"/>
    <w:rPr>
      <w:rFonts w:ascii="Times New Roman" w:eastAsia="Times New Roman" w:hAnsi="Times New Roman" w:cs="Times New Roman"/>
      <w:b/>
      <w:bCs/>
      <w:sz w:val="26"/>
      <w:szCs w:val="26"/>
      <w:lang w:eastAsia="fr-FR"/>
    </w:rPr>
  </w:style>
  <w:style w:type="paragraph" w:customStyle="1" w:styleId="Default">
    <w:name w:val="Default"/>
    <w:rsid w:val="00D9311A"/>
    <w:pPr>
      <w:autoSpaceDE w:val="0"/>
      <w:autoSpaceDN w:val="0"/>
      <w:adjustRightInd w:val="0"/>
    </w:pPr>
    <w:rPr>
      <w:rFonts w:ascii="Book Antiqua" w:hAnsi="Book Antiqua" w:cs="Book Antiqua"/>
      <w:color w:val="000000"/>
      <w:sz w:val="24"/>
      <w:szCs w:val="24"/>
      <w:lang w:eastAsia="en-US"/>
    </w:rPr>
  </w:style>
  <w:style w:type="character" w:customStyle="1" w:styleId="Titre3Car">
    <w:name w:val="Titre 3 Car"/>
    <w:basedOn w:val="Policepardfaut"/>
    <w:link w:val="Titre3"/>
    <w:uiPriority w:val="9"/>
    <w:rsid w:val="00EA5756"/>
    <w:rPr>
      <w:rFonts w:ascii="Times New Roman" w:eastAsia="Times New Roman" w:hAnsi="Times New Roman" w:cs="Times New Roman"/>
      <w:b/>
      <w:bCs/>
      <w:sz w:val="27"/>
      <w:szCs w:val="27"/>
      <w:lang w:eastAsia="fr-FR"/>
    </w:rPr>
  </w:style>
  <w:style w:type="character" w:customStyle="1" w:styleId="ParagraphedelisteCar">
    <w:name w:val="Paragraphe de liste Car"/>
    <w:basedOn w:val="Policepardfaut"/>
    <w:link w:val="Paragraphedeliste"/>
    <w:uiPriority w:val="99"/>
    <w:rsid w:val="005C405A"/>
    <w:rPr>
      <w:sz w:val="22"/>
      <w:szCs w:val="22"/>
      <w:lang w:eastAsia="en-US"/>
    </w:rPr>
  </w:style>
  <w:style w:type="paragraph" w:styleId="En-tte">
    <w:name w:val="header"/>
    <w:basedOn w:val="Normal"/>
    <w:link w:val="En-tteCar"/>
    <w:uiPriority w:val="99"/>
    <w:semiHidden/>
    <w:unhideWhenUsed/>
    <w:rsid w:val="006459C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459C1"/>
    <w:rPr>
      <w:sz w:val="22"/>
      <w:szCs w:val="22"/>
      <w:lang w:eastAsia="en-US"/>
    </w:rPr>
  </w:style>
  <w:style w:type="paragraph" w:styleId="Pieddepage">
    <w:name w:val="footer"/>
    <w:basedOn w:val="Normal"/>
    <w:link w:val="PieddepageCar"/>
    <w:uiPriority w:val="99"/>
    <w:unhideWhenUsed/>
    <w:rsid w:val="006459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59C1"/>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78860611">
      <w:bodyDiv w:val="1"/>
      <w:marLeft w:val="0"/>
      <w:marRight w:val="0"/>
      <w:marTop w:val="0"/>
      <w:marBottom w:val="0"/>
      <w:divBdr>
        <w:top w:val="none" w:sz="0" w:space="0" w:color="auto"/>
        <w:left w:val="none" w:sz="0" w:space="0" w:color="auto"/>
        <w:bottom w:val="none" w:sz="0" w:space="0" w:color="auto"/>
        <w:right w:val="none" w:sz="0" w:space="0" w:color="auto"/>
      </w:divBdr>
    </w:div>
    <w:div w:id="1083182340">
      <w:bodyDiv w:val="1"/>
      <w:marLeft w:val="0"/>
      <w:marRight w:val="0"/>
      <w:marTop w:val="0"/>
      <w:marBottom w:val="0"/>
      <w:divBdr>
        <w:top w:val="none" w:sz="0" w:space="0" w:color="auto"/>
        <w:left w:val="none" w:sz="0" w:space="0" w:color="auto"/>
        <w:bottom w:val="none" w:sz="0" w:space="0" w:color="auto"/>
        <w:right w:val="none" w:sz="0" w:space="0" w:color="auto"/>
      </w:divBdr>
    </w:div>
    <w:div w:id="155126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5450F-86B1-4D99-86CB-98B29A2D9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1547</Words>
  <Characters>8510</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2015-06-03T08:32:00Z</cp:lastPrinted>
  <dcterms:created xsi:type="dcterms:W3CDTF">2015-06-03T09:00:00Z</dcterms:created>
  <dcterms:modified xsi:type="dcterms:W3CDTF">2015-06-03T09:00:00Z</dcterms:modified>
</cp:coreProperties>
</file>