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077" w:rsidRPr="00C706A5" w:rsidRDefault="00F37422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  <w:r w:rsidRPr="00C706A5">
        <w:rPr>
          <w:rFonts w:ascii="Book Antiqua" w:hAnsi="Book Antiqua" w:cs="Times New Roman"/>
          <w:b/>
          <w:bCs/>
          <w:color w:val="000000" w:themeColor="text1"/>
        </w:rPr>
        <w:t xml:space="preserve">          </w:t>
      </w:r>
    </w:p>
    <w:p w:rsidR="000D4077" w:rsidRPr="00C706A5" w:rsidRDefault="000D4077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</w:p>
    <w:p w:rsidR="000D4077" w:rsidRPr="00C706A5" w:rsidRDefault="000D4077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</w:p>
    <w:p w:rsidR="000D4077" w:rsidRPr="00C706A5" w:rsidRDefault="005A0745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  <w:r>
        <w:rPr>
          <w:rFonts w:ascii="Book Antiqua" w:hAnsi="Book Antiqua" w:cs="Times New Roman"/>
          <w:b/>
          <w:bCs/>
          <w:color w:val="000000" w:themeColor="text1"/>
        </w:rPr>
        <w:t xml:space="preserve">      </w:t>
      </w:r>
    </w:p>
    <w:p w:rsidR="000D4077" w:rsidRPr="00C706A5" w:rsidRDefault="00A064CC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  <w:r>
        <w:rPr>
          <w:rFonts w:ascii="Book Antiqua" w:hAnsi="Book Antiqua" w:cs="Times New Roman"/>
          <w:b/>
          <w:bCs/>
          <w:color w:val="000000" w:themeColor="text1"/>
        </w:rPr>
        <w:t xml:space="preserve"> </w:t>
      </w:r>
      <w:r w:rsidR="0021587D">
        <w:rPr>
          <w:rFonts w:ascii="Book Antiqua" w:hAnsi="Book Antiqua" w:cs="Times New Roman"/>
          <w:b/>
          <w:bCs/>
          <w:color w:val="000000" w:themeColor="text1"/>
        </w:rPr>
        <w:t xml:space="preserve">         </w:t>
      </w:r>
      <w:r>
        <w:rPr>
          <w:rFonts w:ascii="Book Antiqua" w:hAnsi="Book Antiqua" w:cs="Times New Roman"/>
          <w:b/>
          <w:bCs/>
          <w:color w:val="000000" w:themeColor="text1"/>
        </w:rPr>
        <w:t xml:space="preserve">     </w:t>
      </w:r>
    </w:p>
    <w:p w:rsidR="009E682C" w:rsidRPr="003A4987" w:rsidRDefault="009E682C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660033"/>
        </w:rPr>
      </w:pPr>
    </w:p>
    <w:p w:rsidR="00912704" w:rsidRPr="003A4987" w:rsidRDefault="00912704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660033"/>
          <w:sz w:val="26"/>
          <w:szCs w:val="26"/>
        </w:rPr>
      </w:pPr>
      <w:r w:rsidRPr="003A4987">
        <w:rPr>
          <w:rFonts w:ascii="Book Antiqua" w:hAnsi="Book Antiqua" w:cs="Times New Roman"/>
          <w:b/>
          <w:bCs/>
          <w:color w:val="660033"/>
          <w:sz w:val="26"/>
          <w:szCs w:val="26"/>
        </w:rPr>
        <w:t>Note d’information</w:t>
      </w:r>
      <w:r w:rsidR="0069792B" w:rsidRPr="003A4987">
        <w:rPr>
          <w:rFonts w:ascii="Book Antiqua" w:hAnsi="Book Antiqua" w:cs="Times New Roman"/>
          <w:b/>
          <w:bCs/>
          <w:color w:val="660033"/>
          <w:sz w:val="26"/>
          <w:szCs w:val="26"/>
        </w:rPr>
        <w:t xml:space="preserve"> du Haut-commissariat au Plan</w:t>
      </w:r>
    </w:p>
    <w:p w:rsidR="00912704" w:rsidRPr="003A4987" w:rsidRDefault="00097300" w:rsidP="00CF7444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660033"/>
          <w:sz w:val="26"/>
          <w:szCs w:val="26"/>
        </w:rPr>
      </w:pPr>
      <w:r w:rsidRPr="003A4987">
        <w:rPr>
          <w:rFonts w:ascii="Book Antiqua" w:hAnsi="Book Antiqua" w:cs="Times New Roman"/>
          <w:b/>
          <w:bCs/>
          <w:color w:val="660033"/>
          <w:sz w:val="26"/>
          <w:szCs w:val="26"/>
        </w:rPr>
        <w:t>R</w:t>
      </w:r>
      <w:r w:rsidR="00912704" w:rsidRPr="003A4987">
        <w:rPr>
          <w:rFonts w:ascii="Book Antiqua" w:hAnsi="Book Antiqua" w:cs="Times New Roman"/>
          <w:b/>
          <w:bCs/>
          <w:color w:val="660033"/>
          <w:sz w:val="26"/>
          <w:szCs w:val="26"/>
        </w:rPr>
        <w:t xml:space="preserve">ésultats de l’enquête de conjoncture auprès des ménages </w:t>
      </w:r>
    </w:p>
    <w:p w:rsidR="00912704" w:rsidRPr="003A4987" w:rsidRDefault="00301913" w:rsidP="00301913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660033"/>
          <w:sz w:val="26"/>
          <w:szCs w:val="26"/>
        </w:rPr>
      </w:pPr>
      <w:r>
        <w:rPr>
          <w:rFonts w:ascii="Book Antiqua" w:hAnsi="Book Antiqua" w:cs="Times New Roman"/>
          <w:b/>
          <w:bCs/>
          <w:color w:val="660033"/>
          <w:sz w:val="26"/>
          <w:szCs w:val="26"/>
        </w:rPr>
        <w:t>Premier Trimestre 2015</w:t>
      </w:r>
    </w:p>
    <w:p w:rsidR="004105E0" w:rsidRPr="00C706A5" w:rsidRDefault="004105E0" w:rsidP="000F7C4F">
      <w:pPr>
        <w:widowControl/>
        <w:spacing w:before="240" w:line="276" w:lineRule="auto"/>
        <w:jc w:val="both"/>
        <w:rPr>
          <w:rFonts w:ascii="Book Antiqua" w:hAnsi="Book Antiqua" w:cs="Times New Roman"/>
          <w:color w:val="000000" w:themeColor="text1"/>
          <w:sz w:val="36"/>
          <w:szCs w:val="36"/>
        </w:rPr>
      </w:pPr>
    </w:p>
    <w:p w:rsidR="00A45128" w:rsidRPr="00C706A5" w:rsidRDefault="005E2815" w:rsidP="00553EB0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C706A5">
        <w:rPr>
          <w:rFonts w:ascii="Times New Roman" w:hAnsi="Times New Roman" w:cs="Times New Roman"/>
          <w:b/>
          <w:color w:val="000000" w:themeColor="text1"/>
        </w:rPr>
        <w:t xml:space="preserve">Les </w:t>
      </w:r>
      <w:r w:rsidR="00A45128" w:rsidRPr="00C706A5">
        <w:rPr>
          <w:rFonts w:ascii="Times New Roman" w:hAnsi="Times New Roman" w:cs="Times New Roman"/>
          <w:b/>
          <w:color w:val="000000" w:themeColor="text1"/>
        </w:rPr>
        <w:t xml:space="preserve">résultats de l’enquête permanente de conjoncture auprès des ménages, menée par le HCP, </w:t>
      </w:r>
      <w:r w:rsidRPr="00C706A5">
        <w:rPr>
          <w:rFonts w:ascii="Times New Roman" w:hAnsi="Times New Roman" w:cs="Times New Roman"/>
          <w:b/>
          <w:color w:val="000000" w:themeColor="text1"/>
        </w:rPr>
        <w:t xml:space="preserve">montrent que </w:t>
      </w:r>
      <w:r w:rsidR="00A45128" w:rsidRPr="00C706A5">
        <w:rPr>
          <w:rFonts w:ascii="Times New Roman" w:hAnsi="Times New Roman" w:cs="Times New Roman"/>
          <w:b/>
          <w:color w:val="000000" w:themeColor="text1"/>
        </w:rPr>
        <w:t xml:space="preserve">l’Indice de </w:t>
      </w:r>
      <w:r w:rsidR="00A45128" w:rsidRPr="00BD713D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Confiance</w:t>
      </w:r>
      <w:r w:rsidR="00A45128" w:rsidRPr="00C706A5">
        <w:rPr>
          <w:rFonts w:ascii="Times New Roman" w:hAnsi="Times New Roman" w:cs="Times New Roman"/>
          <w:b/>
          <w:color w:val="000000" w:themeColor="text1"/>
        </w:rPr>
        <w:t xml:space="preserve"> des Ménages (ICM) </w:t>
      </w:r>
      <w:r w:rsidR="00A45128" w:rsidRPr="00C706A5">
        <w:rPr>
          <w:rFonts w:ascii="Times New Roman" w:hAnsi="Times New Roman" w:cs="Times New Roman"/>
          <w:b/>
          <w:bCs/>
          <w:color w:val="000000" w:themeColor="text1"/>
        </w:rPr>
        <w:t xml:space="preserve">aura enregistré, au cours du </w:t>
      </w:r>
      <w:r w:rsidR="00301913">
        <w:rPr>
          <w:rFonts w:ascii="Times New Roman" w:hAnsi="Times New Roman" w:cs="Times New Roman"/>
          <w:b/>
          <w:bCs/>
          <w:color w:val="000000" w:themeColor="text1"/>
        </w:rPr>
        <w:t xml:space="preserve">premier </w:t>
      </w:r>
      <w:r w:rsidR="00540AC5">
        <w:rPr>
          <w:rFonts w:ascii="Times New Roman" w:hAnsi="Times New Roman" w:cs="Times New Roman"/>
          <w:b/>
          <w:bCs/>
          <w:color w:val="000000" w:themeColor="text1"/>
        </w:rPr>
        <w:t>trimestre</w:t>
      </w:r>
      <w:r w:rsidR="00CB09C6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A45128" w:rsidRPr="00C706A5">
        <w:rPr>
          <w:rFonts w:ascii="Times New Roman" w:hAnsi="Times New Roman" w:cs="Times New Roman"/>
          <w:b/>
          <w:bCs/>
          <w:color w:val="000000" w:themeColor="text1"/>
        </w:rPr>
        <w:t xml:space="preserve">de </w:t>
      </w:r>
      <w:r w:rsidR="0004211E">
        <w:rPr>
          <w:rFonts w:ascii="Times New Roman" w:hAnsi="Times New Roman" w:cs="Times New Roman"/>
          <w:b/>
          <w:bCs/>
          <w:color w:val="000000" w:themeColor="text1"/>
        </w:rPr>
        <w:t>201</w:t>
      </w:r>
      <w:r w:rsidR="00301913">
        <w:rPr>
          <w:rFonts w:ascii="Times New Roman" w:hAnsi="Times New Roman" w:cs="Times New Roman"/>
          <w:b/>
          <w:bCs/>
          <w:color w:val="000000" w:themeColor="text1"/>
        </w:rPr>
        <w:t>5</w:t>
      </w:r>
      <w:r w:rsidR="00A45128" w:rsidRPr="00C706A5">
        <w:rPr>
          <w:rFonts w:ascii="Times New Roman" w:hAnsi="Times New Roman" w:cs="Times New Roman"/>
          <w:b/>
          <w:bCs/>
          <w:color w:val="000000" w:themeColor="text1"/>
        </w:rPr>
        <w:t xml:space="preserve">, </w:t>
      </w:r>
      <w:r w:rsidR="00825C9C">
        <w:rPr>
          <w:rFonts w:ascii="Times New Roman" w:hAnsi="Times New Roman" w:cs="Times New Roman"/>
          <w:b/>
          <w:bCs/>
          <w:color w:val="000000" w:themeColor="text1"/>
        </w:rPr>
        <w:t xml:space="preserve">une hausse </w:t>
      </w:r>
      <w:r w:rsidR="00825C9C" w:rsidRPr="008E7F17">
        <w:rPr>
          <w:rFonts w:ascii="Times New Roman" w:hAnsi="Times New Roman" w:cs="Times New Roman"/>
          <w:b/>
          <w:bCs/>
          <w:color w:val="000000" w:themeColor="text1"/>
        </w:rPr>
        <w:t xml:space="preserve">de </w:t>
      </w:r>
      <w:r w:rsidR="00825C9C">
        <w:rPr>
          <w:rFonts w:ascii="Times New Roman" w:hAnsi="Times New Roman" w:cs="Times New Roman"/>
          <w:b/>
          <w:bCs/>
          <w:color w:val="000000" w:themeColor="text1"/>
        </w:rPr>
        <w:t>2</w:t>
      </w:r>
      <w:r w:rsidR="00825C9C" w:rsidRPr="008E7F17">
        <w:rPr>
          <w:rFonts w:ascii="Times New Roman" w:hAnsi="Times New Roman" w:cs="Times New Roman"/>
          <w:b/>
          <w:bCs/>
          <w:color w:val="000000" w:themeColor="text1"/>
        </w:rPr>
        <w:t>,</w:t>
      </w:r>
      <w:r w:rsidR="00825C9C">
        <w:rPr>
          <w:rFonts w:ascii="Times New Roman" w:hAnsi="Times New Roman" w:cs="Times New Roman"/>
          <w:b/>
          <w:bCs/>
          <w:color w:val="000000" w:themeColor="text1"/>
        </w:rPr>
        <w:t>1</w:t>
      </w:r>
      <w:r w:rsidR="00825C9C" w:rsidRPr="008E7F17">
        <w:rPr>
          <w:rFonts w:ascii="Times New Roman" w:hAnsi="Times New Roman" w:cs="Times New Roman"/>
          <w:b/>
          <w:bCs/>
          <w:color w:val="000000" w:themeColor="text1"/>
        </w:rPr>
        <w:t xml:space="preserve"> points </w:t>
      </w:r>
      <w:r w:rsidR="00741BD7">
        <w:rPr>
          <w:rFonts w:ascii="Times New Roman" w:hAnsi="Times New Roman" w:cs="Times New Roman"/>
          <w:b/>
          <w:bCs/>
          <w:color w:val="000000" w:themeColor="text1"/>
        </w:rPr>
        <w:t xml:space="preserve">par rapport au quatrième trimestre de 2014 </w:t>
      </w:r>
      <w:r w:rsidR="00BE5779">
        <w:rPr>
          <w:rFonts w:ascii="Times New Roman" w:hAnsi="Times New Roman" w:cs="Times New Roman"/>
          <w:b/>
          <w:bCs/>
          <w:color w:val="000000" w:themeColor="text1"/>
        </w:rPr>
        <w:t xml:space="preserve">et </w:t>
      </w:r>
      <w:r w:rsidR="00825C9C" w:rsidRPr="00C706A5">
        <w:rPr>
          <w:rFonts w:ascii="Times New Roman" w:hAnsi="Times New Roman" w:cs="Times New Roman"/>
          <w:b/>
          <w:bCs/>
          <w:color w:val="000000" w:themeColor="text1"/>
        </w:rPr>
        <w:t>un</w:t>
      </w:r>
      <w:r w:rsidR="00825C9C">
        <w:rPr>
          <w:rFonts w:ascii="Times New Roman" w:hAnsi="Times New Roman" w:cs="Times New Roman"/>
          <w:b/>
          <w:bCs/>
          <w:color w:val="000000" w:themeColor="text1"/>
        </w:rPr>
        <w:t>e</w:t>
      </w:r>
      <w:r w:rsidR="00825C9C" w:rsidRPr="00C706A5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741BD7">
        <w:rPr>
          <w:rFonts w:ascii="Times New Roman" w:hAnsi="Times New Roman" w:cs="Times New Roman"/>
          <w:b/>
          <w:bCs/>
          <w:color w:val="000000" w:themeColor="text1"/>
        </w:rPr>
        <w:t xml:space="preserve">légère </w:t>
      </w:r>
      <w:r w:rsidR="00825C9C">
        <w:rPr>
          <w:rFonts w:ascii="Times New Roman" w:hAnsi="Times New Roman" w:cs="Times New Roman"/>
          <w:b/>
          <w:bCs/>
          <w:color w:val="000000" w:themeColor="text1"/>
        </w:rPr>
        <w:t xml:space="preserve">baisse </w:t>
      </w:r>
      <w:r w:rsidR="00553EB0">
        <w:rPr>
          <w:rFonts w:ascii="Times New Roman" w:hAnsi="Times New Roman" w:cs="Times New Roman"/>
          <w:b/>
          <w:bCs/>
          <w:color w:val="000000" w:themeColor="text1"/>
        </w:rPr>
        <w:t>de</w:t>
      </w:r>
      <w:r w:rsidR="00741BD7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825C9C">
        <w:rPr>
          <w:rFonts w:ascii="Times New Roman" w:hAnsi="Times New Roman" w:cs="Times New Roman"/>
          <w:b/>
          <w:bCs/>
          <w:color w:val="000000" w:themeColor="text1"/>
        </w:rPr>
        <w:t>0,</w:t>
      </w:r>
      <w:r w:rsidR="005E5D06">
        <w:rPr>
          <w:rFonts w:ascii="Times New Roman" w:hAnsi="Times New Roman" w:cs="Times New Roman"/>
          <w:b/>
          <w:bCs/>
          <w:color w:val="000000" w:themeColor="text1"/>
        </w:rPr>
        <w:t>4</w:t>
      </w:r>
      <w:r w:rsidR="00825C9C">
        <w:rPr>
          <w:rFonts w:ascii="Times New Roman" w:hAnsi="Times New Roman" w:cs="Times New Roman"/>
          <w:b/>
          <w:bCs/>
          <w:color w:val="000000" w:themeColor="text1"/>
        </w:rPr>
        <w:t xml:space="preserve"> point </w:t>
      </w:r>
      <w:r w:rsidR="00825C9C" w:rsidRPr="00C706A5">
        <w:rPr>
          <w:rFonts w:ascii="Times New Roman" w:hAnsi="Times New Roman" w:cs="Times New Roman"/>
          <w:b/>
          <w:bCs/>
          <w:color w:val="000000" w:themeColor="text1"/>
        </w:rPr>
        <w:t xml:space="preserve">par rapport au </w:t>
      </w:r>
      <w:r w:rsidR="00741BD7">
        <w:rPr>
          <w:rFonts w:ascii="Times New Roman" w:hAnsi="Times New Roman" w:cs="Times New Roman"/>
          <w:b/>
          <w:bCs/>
          <w:color w:val="000000" w:themeColor="text1"/>
        </w:rPr>
        <w:t xml:space="preserve">même trimestre de l’année 2014. </w:t>
      </w:r>
    </w:p>
    <w:p w:rsidR="00F80F35" w:rsidRPr="00C706A5" w:rsidRDefault="00A45128" w:rsidP="00717A01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C706A5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:rsidR="00A45128" w:rsidRPr="00C706A5" w:rsidRDefault="00CF09A5" w:rsidP="000F2B60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C706A5">
        <w:rPr>
          <w:rFonts w:ascii="Times New Roman" w:hAnsi="Times New Roman" w:cs="Times New Roman"/>
          <w:color w:val="000000" w:themeColor="text1"/>
        </w:rPr>
        <w:t>C’est ainsi qu’a</w:t>
      </w:r>
      <w:r w:rsidR="00A45128" w:rsidRPr="00C706A5">
        <w:rPr>
          <w:rFonts w:ascii="Times New Roman" w:hAnsi="Times New Roman" w:cs="Times New Roman"/>
          <w:color w:val="000000" w:themeColor="text1"/>
        </w:rPr>
        <w:t xml:space="preserve">u </w:t>
      </w:r>
      <w:r w:rsidR="00301913">
        <w:rPr>
          <w:rFonts w:ascii="Times New Roman" w:hAnsi="Times New Roman" w:cs="Times New Roman"/>
          <w:color w:val="000000" w:themeColor="text1"/>
        </w:rPr>
        <w:t>premier</w:t>
      </w:r>
      <w:r w:rsidR="00540AC5">
        <w:rPr>
          <w:rFonts w:ascii="Times New Roman" w:hAnsi="Times New Roman" w:cs="Times New Roman"/>
          <w:color w:val="000000" w:themeColor="text1"/>
        </w:rPr>
        <w:t xml:space="preserve"> trimestre</w:t>
      </w:r>
      <w:r w:rsidR="00CB09C6">
        <w:rPr>
          <w:rFonts w:ascii="Times New Roman" w:hAnsi="Times New Roman" w:cs="Times New Roman"/>
          <w:color w:val="000000" w:themeColor="text1"/>
        </w:rPr>
        <w:t xml:space="preserve"> </w:t>
      </w:r>
      <w:r w:rsidR="00A45128" w:rsidRPr="00C706A5">
        <w:rPr>
          <w:rFonts w:ascii="Times New Roman" w:hAnsi="Times New Roman" w:cs="Times New Roman"/>
          <w:color w:val="000000" w:themeColor="text1"/>
        </w:rPr>
        <w:t xml:space="preserve">de </w:t>
      </w:r>
      <w:r w:rsidR="0004211E">
        <w:rPr>
          <w:rFonts w:ascii="Times New Roman" w:hAnsi="Times New Roman" w:cs="Times New Roman"/>
          <w:color w:val="000000" w:themeColor="text1"/>
        </w:rPr>
        <w:t>201</w:t>
      </w:r>
      <w:r w:rsidR="00301913">
        <w:rPr>
          <w:rFonts w:ascii="Times New Roman" w:hAnsi="Times New Roman" w:cs="Times New Roman"/>
          <w:color w:val="000000" w:themeColor="text1"/>
        </w:rPr>
        <w:t>5</w:t>
      </w:r>
      <w:r w:rsidR="001347D2">
        <w:rPr>
          <w:rFonts w:ascii="Times New Roman" w:hAnsi="Times New Roman" w:cs="Times New Roman"/>
          <w:color w:val="000000" w:themeColor="text1"/>
        </w:rPr>
        <w:t xml:space="preserve">, l'ICM s’établit à </w:t>
      </w:r>
      <w:r w:rsidR="00301913">
        <w:rPr>
          <w:rFonts w:ascii="Times New Roman" w:hAnsi="Times New Roman" w:cs="Times New Roman"/>
          <w:color w:val="000000" w:themeColor="text1"/>
        </w:rPr>
        <w:t>73,7</w:t>
      </w:r>
      <w:r w:rsidR="009C76E3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A45128" w:rsidRPr="00C706A5">
        <w:rPr>
          <w:rFonts w:ascii="Times New Roman" w:hAnsi="Times New Roman" w:cs="Times New Roman"/>
          <w:color w:val="000000" w:themeColor="text1"/>
        </w:rPr>
        <w:t>points</w:t>
      </w:r>
      <w:r w:rsidR="007C4CD5" w:rsidRPr="00C706A5">
        <w:rPr>
          <w:rFonts w:ascii="Times New Roman" w:hAnsi="Times New Roman" w:cs="Times New Roman"/>
          <w:color w:val="000000" w:themeColor="text1"/>
        </w:rPr>
        <w:t xml:space="preserve">, </w:t>
      </w:r>
      <w:r w:rsidR="00A45128" w:rsidRPr="00C706A5">
        <w:rPr>
          <w:rFonts w:ascii="Times New Roman" w:hAnsi="Times New Roman" w:cs="Times New Roman"/>
          <w:color w:val="000000" w:themeColor="text1"/>
        </w:rPr>
        <w:t xml:space="preserve">contre </w:t>
      </w:r>
      <w:r w:rsidR="00301913">
        <w:rPr>
          <w:rFonts w:ascii="Times New Roman" w:hAnsi="Times New Roman" w:cs="Times New Roman"/>
          <w:color w:val="000000" w:themeColor="text1"/>
        </w:rPr>
        <w:t>71,6</w:t>
      </w:r>
      <w:r w:rsidR="009C76E3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A45128" w:rsidRPr="00C706A5">
        <w:rPr>
          <w:rFonts w:ascii="Times New Roman" w:hAnsi="Times New Roman" w:cs="Times New Roman"/>
          <w:color w:val="000000" w:themeColor="text1"/>
        </w:rPr>
        <w:t>points un trimestre auparavant</w:t>
      </w:r>
      <w:r w:rsidR="005A7C0B" w:rsidRPr="00C706A5">
        <w:rPr>
          <w:rFonts w:ascii="Times New Roman" w:hAnsi="Times New Roman" w:cs="Times New Roman" w:hint="cs"/>
          <w:color w:val="000000" w:themeColor="text1"/>
          <w:rtl/>
        </w:rPr>
        <w:t xml:space="preserve"> </w:t>
      </w:r>
      <w:r w:rsidR="005A7C0B" w:rsidRPr="00C706A5">
        <w:rPr>
          <w:rFonts w:ascii="Times New Roman" w:hAnsi="Times New Roman" w:cs="Times New Roman"/>
          <w:color w:val="000000" w:themeColor="text1"/>
        </w:rPr>
        <w:t xml:space="preserve"> et</w:t>
      </w:r>
      <w:r w:rsidR="00A45128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4F4A05">
        <w:rPr>
          <w:rFonts w:ascii="Times New Roman" w:hAnsi="Times New Roman" w:cs="Times New Roman"/>
          <w:color w:val="000000" w:themeColor="text1"/>
        </w:rPr>
        <w:t>7</w:t>
      </w:r>
      <w:r w:rsidR="000F2B60">
        <w:rPr>
          <w:rFonts w:ascii="Times New Roman" w:hAnsi="Times New Roman" w:cs="Times New Roman"/>
          <w:color w:val="000000" w:themeColor="text1"/>
        </w:rPr>
        <w:t>4</w:t>
      </w:r>
      <w:r w:rsidR="004F4A05">
        <w:rPr>
          <w:rFonts w:ascii="Times New Roman" w:hAnsi="Times New Roman" w:cs="Times New Roman"/>
          <w:color w:val="000000" w:themeColor="text1"/>
        </w:rPr>
        <w:t>,</w:t>
      </w:r>
      <w:r w:rsidR="00301913">
        <w:rPr>
          <w:rFonts w:ascii="Times New Roman" w:hAnsi="Times New Roman" w:cs="Times New Roman"/>
          <w:color w:val="000000" w:themeColor="text1"/>
        </w:rPr>
        <w:t>1</w:t>
      </w:r>
      <w:r w:rsidR="004F4A05">
        <w:rPr>
          <w:rFonts w:ascii="Times New Roman" w:hAnsi="Times New Roman" w:cs="Times New Roman"/>
          <w:color w:val="000000" w:themeColor="text1"/>
        </w:rPr>
        <w:t xml:space="preserve"> </w:t>
      </w:r>
      <w:r w:rsidR="00BE269D" w:rsidRPr="00C706A5">
        <w:rPr>
          <w:rFonts w:ascii="Times New Roman" w:hAnsi="Times New Roman" w:cs="Times New Roman"/>
          <w:color w:val="000000" w:themeColor="text1"/>
        </w:rPr>
        <w:t xml:space="preserve"> points le m</w:t>
      </w:r>
      <w:r w:rsidR="004834BC">
        <w:rPr>
          <w:rFonts w:ascii="Times New Roman" w:hAnsi="Times New Roman" w:cs="Times New Roman"/>
          <w:color w:val="000000" w:themeColor="text1"/>
        </w:rPr>
        <w:t xml:space="preserve">ême trimestre de l’année </w:t>
      </w:r>
      <w:r w:rsidR="004834BC" w:rsidRPr="004834BC">
        <w:rPr>
          <w:rFonts w:ascii="Times New Roman" w:hAnsi="Times New Roman" w:cs="Times New Roman"/>
          <w:color w:val="000000" w:themeColor="text1"/>
        </w:rPr>
        <w:t>passée</w:t>
      </w:r>
      <w:r w:rsidR="00CB09C6">
        <w:rPr>
          <w:rFonts w:ascii="Times New Roman" w:hAnsi="Times New Roman" w:cs="Times New Roman"/>
          <w:color w:val="000000" w:themeColor="text1"/>
        </w:rPr>
        <w:t>.</w:t>
      </w:r>
      <w:r w:rsidR="00BE269D" w:rsidRPr="00C706A5">
        <w:rPr>
          <w:rFonts w:ascii="Times New Roman" w:hAnsi="Times New Roman" w:cs="Times New Roman"/>
          <w:color w:val="000000" w:themeColor="text1"/>
        </w:rPr>
        <w:t xml:space="preserve"> </w:t>
      </w:r>
    </w:p>
    <w:p w:rsidR="00430234" w:rsidRDefault="00430234" w:rsidP="00BE269D">
      <w:pPr>
        <w:widowControl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2A18ED" w:rsidRPr="00C706A5" w:rsidRDefault="006B3C2A" w:rsidP="00BE269D">
      <w:pPr>
        <w:widowControl/>
        <w:spacing w:line="276" w:lineRule="auto"/>
        <w:jc w:val="both"/>
        <w:rPr>
          <w:rFonts w:ascii="Times New Roman" w:hAnsi="Times New Roman" w:cs="Times New Roman"/>
          <w:color w:val="000000" w:themeColor="text1"/>
          <w:rtl/>
        </w:rPr>
      </w:pPr>
      <w:r w:rsidRPr="006B3C2A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>
            <wp:extent cx="6419850" cy="2971800"/>
            <wp:effectExtent l="19050" t="0" r="19050" b="0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5224B" w:rsidRPr="00C706A5" w:rsidRDefault="00E5224B" w:rsidP="001347D2">
      <w:pPr>
        <w:widowControl/>
        <w:tabs>
          <w:tab w:val="left" w:pos="567"/>
          <w:tab w:val="left" w:pos="709"/>
        </w:tabs>
        <w:spacing w:line="276" w:lineRule="auto"/>
        <w:jc w:val="center"/>
        <w:rPr>
          <w:rFonts w:ascii="Book Antiqua" w:hAnsi="Book Antiqua" w:cs="Times New Roman"/>
          <w:color w:val="000000" w:themeColor="text1"/>
        </w:rPr>
      </w:pPr>
    </w:p>
    <w:p w:rsidR="002F5E6A" w:rsidRPr="00C706A5" w:rsidRDefault="00D26D39" w:rsidP="007137CC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C706A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13767" w:rsidRPr="00C706A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</w:p>
    <w:p w:rsidR="008D3806" w:rsidRDefault="006F1D72" w:rsidP="002A18ED">
      <w:pPr>
        <w:pStyle w:val="Paragraphedeliste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Ref379209308"/>
      <w:r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Evolution des </w:t>
      </w:r>
      <w:r w:rsidR="00860E86"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composantes de</w:t>
      </w:r>
      <w:r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l'ICM</w:t>
      </w:r>
      <w:bookmarkEnd w:id="0"/>
    </w:p>
    <w:p w:rsidR="00636540" w:rsidRPr="003A3FCF" w:rsidRDefault="00636540" w:rsidP="00636540">
      <w:pPr>
        <w:pStyle w:val="Paragraphedeliste"/>
        <w:ind w:left="28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912704" w:rsidRPr="003A3FCF" w:rsidRDefault="00600D95" w:rsidP="00C10A05">
      <w:pPr>
        <w:pStyle w:val="Paragraphedeliste"/>
        <w:numPr>
          <w:ilvl w:val="0"/>
          <w:numId w:val="8"/>
        </w:numPr>
        <w:spacing w:before="240"/>
        <w:ind w:left="142" w:hanging="14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Niveau de vie : </w:t>
      </w:r>
      <w:r w:rsidR="0057657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une double </w:t>
      </w:r>
      <w:r w:rsidR="002534E9"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amélioration </w:t>
      </w:r>
      <w:r w:rsidR="0057657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du </w:t>
      </w:r>
      <w:r w:rsidR="0057657D"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ressenti  </w:t>
      </w:r>
      <w:r w:rsidR="0057657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par rapport au passé et </w:t>
      </w:r>
      <w:r w:rsidR="00C10A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l’avenir</w:t>
      </w:r>
    </w:p>
    <w:p w:rsidR="00E96E14" w:rsidRDefault="00A95D14" w:rsidP="0045471C">
      <w:pPr>
        <w:widowControl/>
        <w:spacing w:before="240"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L</w:t>
      </w:r>
      <w:r w:rsidR="00122941" w:rsidRPr="00C706A5">
        <w:rPr>
          <w:rFonts w:ascii="Times New Roman" w:hAnsi="Times New Roman" w:cs="Times New Roman"/>
          <w:color w:val="000000" w:themeColor="text1"/>
        </w:rPr>
        <w:t xml:space="preserve">es ménages </w:t>
      </w:r>
      <w:r>
        <w:rPr>
          <w:rFonts w:ascii="Times New Roman" w:hAnsi="Times New Roman" w:cs="Times New Roman"/>
          <w:color w:val="000000" w:themeColor="text1"/>
        </w:rPr>
        <w:t xml:space="preserve">améliorent </w:t>
      </w:r>
      <w:r w:rsidRPr="00C706A5">
        <w:rPr>
          <w:rFonts w:ascii="Times New Roman" w:hAnsi="Times New Roman" w:cs="Times New Roman"/>
          <w:color w:val="000000" w:themeColor="text1"/>
        </w:rPr>
        <w:t xml:space="preserve">au </w:t>
      </w:r>
      <w:r>
        <w:rPr>
          <w:rFonts w:ascii="Times New Roman" w:hAnsi="Times New Roman" w:cs="Times New Roman"/>
          <w:color w:val="000000" w:themeColor="text1"/>
        </w:rPr>
        <w:t xml:space="preserve">premier trimestre </w:t>
      </w:r>
      <w:r w:rsidRPr="00C706A5">
        <w:rPr>
          <w:rFonts w:ascii="Times New Roman" w:hAnsi="Times New Roman" w:cs="Times New Roman"/>
          <w:color w:val="000000" w:themeColor="text1"/>
        </w:rPr>
        <w:t xml:space="preserve">de </w:t>
      </w:r>
      <w:r>
        <w:rPr>
          <w:rFonts w:ascii="Times New Roman" w:hAnsi="Times New Roman" w:cs="Times New Roman"/>
          <w:color w:val="000000" w:themeColor="text1"/>
        </w:rPr>
        <w:t>2015 leur</w:t>
      </w:r>
      <w:r w:rsidR="0045471C">
        <w:rPr>
          <w:rFonts w:ascii="Times New Roman" w:hAnsi="Times New Roman" w:cs="Times New Roman"/>
          <w:color w:val="000000" w:themeColor="text1"/>
        </w:rPr>
        <w:t xml:space="preserve"> perception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45471C">
        <w:rPr>
          <w:rFonts w:ascii="Times New Roman" w:hAnsi="Times New Roman" w:cs="Times New Roman"/>
          <w:color w:val="000000" w:themeColor="text1"/>
        </w:rPr>
        <w:t>de</w:t>
      </w:r>
      <w:r w:rsidR="00122941" w:rsidRPr="00C706A5">
        <w:rPr>
          <w:rFonts w:ascii="Times New Roman" w:hAnsi="Times New Roman" w:cs="Times New Roman"/>
          <w:color w:val="000000" w:themeColor="text1"/>
        </w:rPr>
        <w:t xml:space="preserve"> l’évolution du niveau de vie aussi bien par rapport au trimestre précédent qu’au même trimestre de l’année </w:t>
      </w:r>
      <w:r w:rsidR="005C1110">
        <w:rPr>
          <w:rFonts w:ascii="Times New Roman" w:hAnsi="Times New Roman" w:cs="Times New Roman"/>
          <w:color w:val="000000" w:themeColor="text1"/>
        </w:rPr>
        <w:t>précédente</w:t>
      </w:r>
      <w:r w:rsidR="00122941" w:rsidRPr="00C706A5">
        <w:rPr>
          <w:rFonts w:ascii="Times New Roman" w:hAnsi="Times New Roman" w:cs="Times New Roman"/>
          <w:color w:val="000000" w:themeColor="text1"/>
        </w:rPr>
        <w:t xml:space="preserve">. </w:t>
      </w:r>
    </w:p>
    <w:p w:rsidR="00122941" w:rsidRPr="00C706A5" w:rsidRDefault="00137D7D" w:rsidP="00715DF7">
      <w:pPr>
        <w:widowControl/>
        <w:spacing w:before="240" w:line="276" w:lineRule="auto"/>
        <w:jc w:val="both"/>
        <w:rPr>
          <w:rFonts w:ascii="Book Antiqua" w:hAnsi="Book Antiqua" w:cs="Times New Roman"/>
          <w:color w:val="000000" w:themeColor="text1"/>
        </w:rPr>
      </w:pPr>
      <w:r w:rsidRPr="00C706A5">
        <w:rPr>
          <w:rFonts w:ascii="Times New Roman" w:hAnsi="Times New Roman" w:cs="Times New Roman"/>
          <w:color w:val="000000" w:themeColor="text1"/>
        </w:rPr>
        <w:lastRenderedPageBreak/>
        <w:t>Le</w:t>
      </w:r>
      <w:r w:rsidR="00122941" w:rsidRPr="00C706A5">
        <w:rPr>
          <w:rFonts w:ascii="Times New Roman" w:hAnsi="Times New Roman" w:cs="Times New Roman"/>
          <w:color w:val="000000" w:themeColor="text1"/>
        </w:rPr>
        <w:t xml:space="preserve"> solde relatif à </w:t>
      </w:r>
      <w:r w:rsidR="003F3FAF">
        <w:rPr>
          <w:rFonts w:ascii="Times New Roman" w:hAnsi="Times New Roman" w:cs="Times New Roman"/>
          <w:color w:val="000000" w:themeColor="text1"/>
        </w:rPr>
        <w:t xml:space="preserve">l’évolution passée du niveau de vie </w:t>
      </w:r>
      <w:r w:rsidR="0041160A">
        <w:rPr>
          <w:rFonts w:ascii="Times New Roman" w:hAnsi="Times New Roman" w:cs="Times New Roman"/>
          <w:color w:val="000000" w:themeColor="text1"/>
        </w:rPr>
        <w:t xml:space="preserve">continue sa tendance </w:t>
      </w:r>
      <w:r w:rsidR="002E5787">
        <w:rPr>
          <w:rFonts w:ascii="Times New Roman" w:hAnsi="Times New Roman" w:cs="Times New Roman"/>
          <w:color w:val="000000" w:themeColor="text1"/>
        </w:rPr>
        <w:t>hauss</w:t>
      </w:r>
      <w:r w:rsidR="0041160A">
        <w:rPr>
          <w:rFonts w:ascii="Times New Roman" w:hAnsi="Times New Roman" w:cs="Times New Roman"/>
          <w:color w:val="000000" w:themeColor="text1"/>
        </w:rPr>
        <w:t xml:space="preserve">ière depuis </w:t>
      </w:r>
      <w:r w:rsidR="001760CB">
        <w:rPr>
          <w:rFonts w:ascii="Times New Roman" w:hAnsi="Times New Roman" w:cs="Times New Roman"/>
          <w:color w:val="000000" w:themeColor="text1"/>
        </w:rPr>
        <w:t>le premier trimestre de 2013</w:t>
      </w:r>
      <w:r w:rsidR="005C1110">
        <w:rPr>
          <w:rFonts w:ascii="Times New Roman" w:hAnsi="Times New Roman" w:cs="Times New Roman"/>
          <w:color w:val="000000" w:themeColor="text1"/>
        </w:rPr>
        <w:t xml:space="preserve"> en enregistrant un gain de</w:t>
      </w:r>
      <w:r w:rsidR="00E030B1">
        <w:rPr>
          <w:rFonts w:ascii="Times New Roman" w:hAnsi="Times New Roman" w:cs="Times New Roman"/>
          <w:color w:val="000000" w:themeColor="text1"/>
        </w:rPr>
        <w:t xml:space="preserve"> </w:t>
      </w:r>
      <w:r w:rsidR="00E163A1">
        <w:rPr>
          <w:rFonts w:ascii="Times New Roman" w:hAnsi="Times New Roman" w:cs="Times New Roman"/>
          <w:color w:val="000000" w:themeColor="text1"/>
        </w:rPr>
        <w:t>2,4</w:t>
      </w:r>
      <w:r w:rsidR="00122941" w:rsidRPr="00C706A5">
        <w:rPr>
          <w:rFonts w:ascii="Times New Roman" w:hAnsi="Times New Roman" w:cs="Times New Roman"/>
          <w:color w:val="000000" w:themeColor="text1"/>
        </w:rPr>
        <w:t xml:space="preserve"> point</w:t>
      </w:r>
      <w:r w:rsidR="00E163A1">
        <w:rPr>
          <w:rFonts w:ascii="Times New Roman" w:hAnsi="Times New Roman" w:cs="Times New Roman"/>
          <w:color w:val="000000" w:themeColor="text1"/>
        </w:rPr>
        <w:t>s</w:t>
      </w:r>
      <w:r w:rsidR="00122941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D13E89">
        <w:rPr>
          <w:rFonts w:ascii="Times New Roman" w:hAnsi="Times New Roman" w:cs="Times New Roman"/>
          <w:color w:val="000000" w:themeColor="text1"/>
        </w:rPr>
        <w:t xml:space="preserve">un trimestre auparavant </w:t>
      </w:r>
      <w:r w:rsidR="00122941" w:rsidRPr="00C706A5">
        <w:rPr>
          <w:rFonts w:ascii="Times New Roman" w:hAnsi="Times New Roman" w:cs="Times New Roman"/>
          <w:color w:val="000000" w:themeColor="text1"/>
        </w:rPr>
        <w:t xml:space="preserve">et </w:t>
      </w:r>
      <w:r w:rsidR="00D13E89">
        <w:rPr>
          <w:rFonts w:ascii="Times New Roman" w:hAnsi="Times New Roman" w:cs="Times New Roman"/>
          <w:color w:val="000000" w:themeColor="text1"/>
        </w:rPr>
        <w:t xml:space="preserve">de </w:t>
      </w:r>
      <w:r w:rsidR="00E163A1">
        <w:rPr>
          <w:rFonts w:ascii="Times New Roman" w:hAnsi="Times New Roman" w:cs="Times New Roman"/>
          <w:color w:val="000000" w:themeColor="text1"/>
        </w:rPr>
        <w:t>4</w:t>
      </w:r>
      <w:r w:rsidR="00122941" w:rsidRPr="00C706A5">
        <w:rPr>
          <w:rFonts w:ascii="Times New Roman" w:hAnsi="Times New Roman" w:cs="Times New Roman"/>
          <w:color w:val="000000" w:themeColor="text1"/>
        </w:rPr>
        <w:t xml:space="preserve"> points</w:t>
      </w:r>
      <w:r w:rsidR="00354A18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D13E89">
        <w:rPr>
          <w:rFonts w:ascii="Times New Roman" w:hAnsi="Times New Roman" w:cs="Times New Roman"/>
          <w:color w:val="000000" w:themeColor="text1"/>
        </w:rPr>
        <w:t xml:space="preserve">il y’ </w:t>
      </w:r>
      <w:r w:rsidR="00715DF7">
        <w:rPr>
          <w:rFonts w:ascii="Times New Roman" w:hAnsi="Times New Roman" w:cs="Times New Roman"/>
          <w:color w:val="000000" w:themeColor="text1"/>
        </w:rPr>
        <w:t>a</w:t>
      </w:r>
      <w:r w:rsidR="00D13E89">
        <w:rPr>
          <w:rFonts w:ascii="Times New Roman" w:hAnsi="Times New Roman" w:cs="Times New Roman"/>
          <w:color w:val="000000" w:themeColor="text1"/>
        </w:rPr>
        <w:t xml:space="preserve"> un an.</w:t>
      </w:r>
    </w:p>
    <w:p w:rsidR="00761A82" w:rsidRDefault="00502774" w:rsidP="0045471C">
      <w:pPr>
        <w:widowControl/>
        <w:spacing w:before="240"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De même, l</w:t>
      </w:r>
      <w:r w:rsidR="003F3FAF">
        <w:rPr>
          <w:rFonts w:ascii="Times New Roman" w:hAnsi="Times New Roman" w:cs="Times New Roman"/>
          <w:color w:val="000000" w:themeColor="text1"/>
        </w:rPr>
        <w:t xml:space="preserve">es </w:t>
      </w:r>
      <w:r w:rsidR="00897342">
        <w:rPr>
          <w:rFonts w:ascii="Times New Roman" w:hAnsi="Times New Roman" w:cs="Times New Roman"/>
          <w:color w:val="000000" w:themeColor="text1"/>
        </w:rPr>
        <w:t xml:space="preserve">perceptions </w:t>
      </w:r>
      <w:r w:rsidR="0045471C">
        <w:rPr>
          <w:rFonts w:ascii="Times New Roman" w:hAnsi="Times New Roman" w:cs="Times New Roman"/>
          <w:color w:val="000000" w:themeColor="text1"/>
        </w:rPr>
        <w:t>par les</w:t>
      </w:r>
      <w:r w:rsidR="00897342">
        <w:rPr>
          <w:rFonts w:ascii="Times New Roman" w:hAnsi="Times New Roman" w:cs="Times New Roman"/>
          <w:color w:val="000000" w:themeColor="text1"/>
        </w:rPr>
        <w:t xml:space="preserve"> ménages </w:t>
      </w:r>
      <w:r w:rsidR="0045471C">
        <w:rPr>
          <w:rFonts w:ascii="Times New Roman" w:hAnsi="Times New Roman" w:cs="Times New Roman"/>
          <w:color w:val="000000" w:themeColor="text1"/>
        </w:rPr>
        <w:t>de</w:t>
      </w:r>
      <w:r w:rsidR="005C1110">
        <w:rPr>
          <w:rFonts w:ascii="Times New Roman" w:hAnsi="Times New Roman" w:cs="Times New Roman"/>
          <w:color w:val="000000" w:themeColor="text1"/>
        </w:rPr>
        <w:t xml:space="preserve"> </w:t>
      </w:r>
      <w:r w:rsidR="00897342">
        <w:rPr>
          <w:rFonts w:ascii="Times New Roman" w:hAnsi="Times New Roman" w:cs="Times New Roman"/>
          <w:color w:val="000000" w:themeColor="text1"/>
        </w:rPr>
        <w:t xml:space="preserve">l’évolution future </w:t>
      </w:r>
      <w:r w:rsidR="00897342" w:rsidRPr="00C706A5">
        <w:rPr>
          <w:rFonts w:ascii="Times New Roman" w:hAnsi="Times New Roman" w:cs="Times New Roman"/>
          <w:color w:val="000000" w:themeColor="text1"/>
        </w:rPr>
        <w:t>de niveau de vie</w:t>
      </w:r>
      <w:r w:rsidR="003F3FAF">
        <w:rPr>
          <w:rFonts w:ascii="Times New Roman" w:hAnsi="Times New Roman" w:cs="Times New Roman"/>
          <w:color w:val="000000" w:themeColor="text1"/>
        </w:rPr>
        <w:t xml:space="preserve"> </w:t>
      </w:r>
      <w:r w:rsidR="00621856">
        <w:rPr>
          <w:rFonts w:ascii="Times New Roman" w:hAnsi="Times New Roman" w:cs="Times New Roman"/>
          <w:color w:val="000000" w:themeColor="text1"/>
        </w:rPr>
        <w:t xml:space="preserve">ont connu une </w:t>
      </w:r>
      <w:r w:rsidR="003B12AD">
        <w:rPr>
          <w:rFonts w:ascii="Times New Roman" w:hAnsi="Times New Roman" w:cs="Times New Roman"/>
          <w:color w:val="000000" w:themeColor="text1"/>
        </w:rPr>
        <w:t xml:space="preserve">amélioration de </w:t>
      </w:r>
      <w:r w:rsidR="00E163A1">
        <w:rPr>
          <w:rFonts w:ascii="Times New Roman" w:hAnsi="Times New Roman" w:cs="Times New Roman"/>
          <w:color w:val="000000" w:themeColor="text1"/>
        </w:rPr>
        <w:t>3,8</w:t>
      </w:r>
      <w:r w:rsidR="003B12AD">
        <w:rPr>
          <w:rFonts w:ascii="Times New Roman" w:hAnsi="Times New Roman" w:cs="Times New Roman"/>
          <w:color w:val="000000" w:themeColor="text1"/>
        </w:rPr>
        <w:t xml:space="preserve"> point</w:t>
      </w:r>
      <w:r w:rsidR="00E163A1">
        <w:rPr>
          <w:rFonts w:ascii="Times New Roman" w:hAnsi="Times New Roman" w:cs="Times New Roman"/>
          <w:color w:val="000000" w:themeColor="text1"/>
        </w:rPr>
        <w:t>s</w:t>
      </w:r>
      <w:r w:rsidR="003B12AD">
        <w:rPr>
          <w:rFonts w:ascii="Times New Roman" w:hAnsi="Times New Roman" w:cs="Times New Roman"/>
          <w:color w:val="000000" w:themeColor="text1"/>
        </w:rPr>
        <w:t xml:space="preserve"> </w:t>
      </w:r>
      <w:r w:rsidR="00621856">
        <w:rPr>
          <w:rFonts w:ascii="Times New Roman" w:hAnsi="Times New Roman" w:cs="Times New Roman"/>
          <w:color w:val="000000" w:themeColor="text1"/>
        </w:rPr>
        <w:t xml:space="preserve">par rapport au trimestre précédent et </w:t>
      </w:r>
      <w:r w:rsidR="003B12AD">
        <w:rPr>
          <w:rFonts w:ascii="Times New Roman" w:hAnsi="Times New Roman" w:cs="Times New Roman"/>
          <w:color w:val="000000" w:themeColor="text1"/>
        </w:rPr>
        <w:t xml:space="preserve">de </w:t>
      </w:r>
      <w:r w:rsidR="00E163A1">
        <w:rPr>
          <w:rFonts w:ascii="Times New Roman" w:hAnsi="Times New Roman" w:cs="Times New Roman"/>
          <w:color w:val="000000" w:themeColor="text1"/>
        </w:rPr>
        <w:t>2,5</w:t>
      </w:r>
      <w:r w:rsidR="003B12AD">
        <w:rPr>
          <w:rFonts w:ascii="Times New Roman" w:hAnsi="Times New Roman" w:cs="Times New Roman"/>
          <w:color w:val="000000" w:themeColor="text1"/>
        </w:rPr>
        <w:t xml:space="preserve"> points </w:t>
      </w:r>
      <w:r w:rsidR="00621856">
        <w:rPr>
          <w:rFonts w:ascii="Times New Roman" w:hAnsi="Times New Roman" w:cs="Times New Roman"/>
          <w:color w:val="000000" w:themeColor="text1"/>
        </w:rPr>
        <w:t>par rapport au même trimestre de l’année précédente</w:t>
      </w:r>
      <w:r w:rsidR="003B12AD">
        <w:rPr>
          <w:rFonts w:ascii="Times New Roman" w:hAnsi="Times New Roman" w:cs="Times New Roman"/>
          <w:color w:val="000000" w:themeColor="text1"/>
        </w:rPr>
        <w:t>.</w:t>
      </w:r>
    </w:p>
    <w:p w:rsidR="00DB5B40" w:rsidRPr="00C706A5" w:rsidRDefault="006B3C2A" w:rsidP="002A18ED">
      <w:pPr>
        <w:widowControl/>
        <w:spacing w:line="276" w:lineRule="auto"/>
        <w:ind w:left="-284"/>
        <w:jc w:val="both"/>
        <w:rPr>
          <w:rFonts w:ascii="Times New Roman" w:hAnsi="Times New Roman" w:cs="Times New Roman"/>
          <w:color w:val="000000" w:themeColor="text1"/>
        </w:rPr>
      </w:pPr>
      <w:r w:rsidRPr="006B3C2A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>
            <wp:extent cx="6600825" cy="3114675"/>
            <wp:effectExtent l="19050" t="0" r="9525" b="0"/>
            <wp:docPr id="2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2695A" w:rsidRPr="00C706A5" w:rsidRDefault="0092695A" w:rsidP="002A18ED">
      <w:pPr>
        <w:widowControl/>
        <w:spacing w:line="276" w:lineRule="auto"/>
        <w:ind w:left="-426"/>
        <w:jc w:val="center"/>
        <w:rPr>
          <w:rFonts w:ascii="Book Antiqua" w:hAnsi="Book Antiqua" w:cs="Times New Roman"/>
          <w:color w:val="000000" w:themeColor="text1"/>
          <w:rtl/>
        </w:rPr>
      </w:pPr>
    </w:p>
    <w:p w:rsidR="002C5954" w:rsidRPr="00C706A5" w:rsidRDefault="002C5954" w:rsidP="00553EB0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35D83">
        <w:rPr>
          <w:rFonts w:ascii="Times New Roman" w:hAnsi="Times New Roman" w:cs="Times New Roman"/>
          <w:b/>
          <w:bCs/>
          <w:color w:val="000000" w:themeColor="text1"/>
        </w:rPr>
        <w:t>•</w:t>
      </w:r>
      <w:r w:rsidR="00FC7C7F" w:rsidRPr="00135D83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3B7237">
        <w:rPr>
          <w:rFonts w:ascii="Times New Roman" w:hAnsi="Times New Roman" w:cs="Times New Roman"/>
          <w:b/>
          <w:bCs/>
          <w:color w:val="000000" w:themeColor="text1"/>
        </w:rPr>
        <w:t>C</w:t>
      </w:r>
      <w:r w:rsidR="003B7237" w:rsidRPr="00135D83">
        <w:rPr>
          <w:rFonts w:ascii="Times New Roman" w:hAnsi="Times New Roman" w:cs="Times New Roman"/>
          <w:b/>
          <w:bCs/>
          <w:color w:val="000000" w:themeColor="text1"/>
        </w:rPr>
        <w:t>hômage</w:t>
      </w:r>
      <w:r w:rsidR="003B7237">
        <w:rPr>
          <w:rFonts w:ascii="Times New Roman" w:hAnsi="Times New Roman" w:cs="Times New Roman"/>
          <w:b/>
          <w:bCs/>
          <w:color w:val="000000" w:themeColor="text1"/>
        </w:rPr>
        <w:t xml:space="preserve"> : </w:t>
      </w:r>
      <w:r w:rsidR="00553EB0">
        <w:rPr>
          <w:rFonts w:ascii="Times New Roman" w:hAnsi="Times New Roman" w:cs="Times New Roman"/>
          <w:b/>
          <w:bCs/>
          <w:color w:val="000000" w:themeColor="text1"/>
        </w:rPr>
        <w:t>des attentes</w:t>
      </w:r>
      <w:r w:rsidR="001E1901" w:rsidRPr="00135D83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3B7237">
        <w:rPr>
          <w:rFonts w:ascii="Times New Roman" w:hAnsi="Times New Roman" w:cs="Times New Roman"/>
          <w:b/>
          <w:bCs/>
          <w:color w:val="000000" w:themeColor="text1"/>
        </w:rPr>
        <w:t>plus optimistes</w:t>
      </w:r>
      <w:r w:rsidR="00FC7C7F" w:rsidRPr="00C706A5">
        <w:rPr>
          <w:rFonts w:ascii="Times New Roman" w:hAnsi="Times New Roman" w:cs="Times New Roman"/>
          <w:b/>
          <w:bCs/>
          <w:color w:val="000000" w:themeColor="text1"/>
        </w:rPr>
        <w:t> </w:t>
      </w:r>
    </w:p>
    <w:p w:rsidR="00E6458A" w:rsidRDefault="00C553B5" w:rsidP="00C968CC">
      <w:pPr>
        <w:widowControl/>
        <w:spacing w:before="24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C706A5">
        <w:rPr>
          <w:rFonts w:ascii="Times New Roman" w:hAnsi="Times New Roman" w:cs="Times New Roman"/>
          <w:color w:val="000000" w:themeColor="text1"/>
        </w:rPr>
        <w:t xml:space="preserve">Au </w:t>
      </w:r>
      <w:r w:rsidR="00E163A1">
        <w:rPr>
          <w:rFonts w:ascii="Times New Roman" w:hAnsi="Times New Roman" w:cs="Times New Roman"/>
          <w:color w:val="000000" w:themeColor="text1"/>
        </w:rPr>
        <w:t>premi</w:t>
      </w:r>
      <w:r w:rsidR="00540AC5">
        <w:rPr>
          <w:rFonts w:ascii="Times New Roman" w:hAnsi="Times New Roman" w:cs="Times New Roman"/>
          <w:color w:val="000000" w:themeColor="text1"/>
        </w:rPr>
        <w:t>e</w:t>
      </w:r>
      <w:r w:rsidR="00E163A1">
        <w:rPr>
          <w:rFonts w:ascii="Times New Roman" w:hAnsi="Times New Roman" w:cs="Times New Roman"/>
          <w:color w:val="000000" w:themeColor="text1"/>
        </w:rPr>
        <w:t>r</w:t>
      </w:r>
      <w:r w:rsidR="00540AC5">
        <w:rPr>
          <w:rFonts w:ascii="Times New Roman" w:hAnsi="Times New Roman" w:cs="Times New Roman"/>
          <w:color w:val="000000" w:themeColor="text1"/>
        </w:rPr>
        <w:t xml:space="preserve"> trimestre</w:t>
      </w:r>
      <w:r w:rsidR="0055426F">
        <w:rPr>
          <w:rFonts w:ascii="Times New Roman" w:hAnsi="Times New Roman" w:cs="Times New Roman"/>
          <w:color w:val="000000" w:themeColor="text1"/>
        </w:rPr>
        <w:t xml:space="preserve"> </w:t>
      </w:r>
      <w:r w:rsidRPr="00C706A5">
        <w:rPr>
          <w:rFonts w:ascii="Times New Roman" w:hAnsi="Times New Roman" w:cs="Times New Roman"/>
          <w:color w:val="000000" w:themeColor="text1"/>
        </w:rPr>
        <w:t xml:space="preserve">de </w:t>
      </w:r>
      <w:r w:rsidR="0004211E">
        <w:rPr>
          <w:rFonts w:ascii="Times New Roman" w:hAnsi="Times New Roman" w:cs="Times New Roman"/>
          <w:color w:val="000000" w:themeColor="text1"/>
        </w:rPr>
        <w:t>201</w:t>
      </w:r>
      <w:r w:rsidR="00E163A1">
        <w:rPr>
          <w:rFonts w:ascii="Times New Roman" w:hAnsi="Times New Roman" w:cs="Times New Roman"/>
          <w:color w:val="000000" w:themeColor="text1"/>
        </w:rPr>
        <w:t>5</w:t>
      </w:r>
      <w:r w:rsidRPr="00C706A5">
        <w:rPr>
          <w:rFonts w:ascii="Times New Roman" w:hAnsi="Times New Roman" w:cs="Times New Roman"/>
          <w:color w:val="000000" w:themeColor="text1"/>
        </w:rPr>
        <w:t xml:space="preserve">, </w:t>
      </w:r>
      <w:r w:rsidR="00BA7DFB">
        <w:rPr>
          <w:rFonts w:ascii="Times New Roman" w:hAnsi="Times New Roman" w:cs="Times New Roman"/>
          <w:color w:val="000000" w:themeColor="text1"/>
        </w:rPr>
        <w:t>7</w:t>
      </w:r>
      <w:r w:rsidR="000C39F9">
        <w:rPr>
          <w:rFonts w:ascii="Times New Roman" w:hAnsi="Times New Roman" w:cs="Times New Roman"/>
          <w:color w:val="000000" w:themeColor="text1"/>
        </w:rPr>
        <w:t>4,</w:t>
      </w:r>
      <w:r w:rsidR="00E163A1">
        <w:rPr>
          <w:rFonts w:ascii="Times New Roman" w:hAnsi="Times New Roman" w:cs="Times New Roman"/>
          <w:color w:val="000000" w:themeColor="text1"/>
        </w:rPr>
        <w:t>3</w:t>
      </w:r>
      <w:r w:rsidRPr="00C706A5">
        <w:rPr>
          <w:rFonts w:ascii="Times New Roman" w:hAnsi="Times New Roman" w:cs="Times New Roman"/>
          <w:color w:val="000000" w:themeColor="text1"/>
        </w:rPr>
        <w:t xml:space="preserve">% des ménages </w:t>
      </w:r>
      <w:r w:rsidR="00553EB0">
        <w:rPr>
          <w:rFonts w:ascii="Times New Roman" w:hAnsi="Times New Roman" w:cs="Times New Roman"/>
          <w:color w:val="000000" w:themeColor="text1"/>
        </w:rPr>
        <w:t>s’attendent à</w:t>
      </w:r>
      <w:r w:rsidRPr="00C706A5">
        <w:rPr>
          <w:rFonts w:ascii="Times New Roman" w:hAnsi="Times New Roman" w:cs="Times New Roman"/>
          <w:color w:val="000000" w:themeColor="text1"/>
        </w:rPr>
        <w:t xml:space="preserve"> une hausse du nombre de chômeurs pour les 12 mois à venir contre </w:t>
      </w:r>
      <w:r w:rsidR="00BB0D2B">
        <w:rPr>
          <w:rFonts w:ascii="Times New Roman" w:hAnsi="Times New Roman" w:cs="Times New Roman"/>
          <w:color w:val="000000" w:themeColor="text1"/>
        </w:rPr>
        <w:t>9</w:t>
      </w:r>
      <w:r w:rsidR="00E163A1">
        <w:rPr>
          <w:rFonts w:ascii="Times New Roman" w:hAnsi="Times New Roman" w:cs="Times New Roman"/>
          <w:color w:val="000000" w:themeColor="text1"/>
        </w:rPr>
        <w:t>,</w:t>
      </w:r>
      <w:r w:rsidR="00BB0D2B">
        <w:rPr>
          <w:rFonts w:ascii="Times New Roman" w:hAnsi="Times New Roman" w:cs="Times New Roman"/>
          <w:color w:val="000000" w:themeColor="text1"/>
        </w:rPr>
        <w:t>1</w:t>
      </w:r>
      <w:r w:rsidR="00842AB8" w:rsidRPr="00C706A5">
        <w:rPr>
          <w:rFonts w:ascii="Times New Roman" w:hAnsi="Times New Roman" w:cs="Times New Roman"/>
          <w:color w:val="000000" w:themeColor="text1"/>
        </w:rPr>
        <w:t>%</w:t>
      </w:r>
      <w:r w:rsidR="00BB0D2B">
        <w:rPr>
          <w:rFonts w:ascii="Times New Roman" w:hAnsi="Times New Roman" w:cs="Times New Roman"/>
          <w:color w:val="000000" w:themeColor="text1"/>
        </w:rPr>
        <w:t xml:space="preserve"> qui pensent le contraire. </w:t>
      </w:r>
      <w:r w:rsidR="00842AB8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C968CC">
        <w:rPr>
          <w:rFonts w:ascii="Times New Roman" w:hAnsi="Times New Roman" w:cs="Times New Roman"/>
          <w:color w:val="000000" w:themeColor="text1"/>
        </w:rPr>
        <w:t>Avec un niveau négatif de -65,2</w:t>
      </w:r>
      <w:r w:rsidR="00C968CC" w:rsidRPr="00C706A5">
        <w:rPr>
          <w:rFonts w:ascii="Times New Roman" w:hAnsi="Times New Roman" w:cs="Times New Roman"/>
          <w:color w:val="000000" w:themeColor="text1"/>
        </w:rPr>
        <w:t xml:space="preserve"> points</w:t>
      </w:r>
      <w:r w:rsidR="00C968CC">
        <w:rPr>
          <w:rFonts w:ascii="Times New Roman" w:hAnsi="Times New Roman" w:cs="Times New Roman"/>
          <w:color w:val="000000" w:themeColor="text1"/>
        </w:rPr>
        <w:t>, l</w:t>
      </w:r>
      <w:r w:rsidR="00003F54" w:rsidRPr="00C706A5">
        <w:rPr>
          <w:rFonts w:ascii="Times New Roman" w:hAnsi="Times New Roman" w:cs="Times New Roman"/>
          <w:color w:val="000000" w:themeColor="text1"/>
        </w:rPr>
        <w:t>e solde de cet indicateur</w:t>
      </w:r>
      <w:r w:rsidR="00C968CC">
        <w:rPr>
          <w:rFonts w:ascii="Times New Roman" w:hAnsi="Times New Roman" w:cs="Times New Roman"/>
          <w:color w:val="000000" w:themeColor="text1"/>
        </w:rPr>
        <w:t xml:space="preserve"> </w:t>
      </w:r>
      <w:r w:rsidR="00003F54" w:rsidRPr="00C706A5">
        <w:rPr>
          <w:rFonts w:ascii="Times New Roman" w:hAnsi="Times New Roman" w:cs="Times New Roman"/>
          <w:color w:val="000000" w:themeColor="text1"/>
        </w:rPr>
        <w:t>enregistr</w:t>
      </w:r>
      <w:r w:rsidR="001F5D34" w:rsidRPr="00C706A5">
        <w:rPr>
          <w:rFonts w:ascii="Times New Roman" w:hAnsi="Times New Roman" w:cs="Times New Roman"/>
          <w:color w:val="000000" w:themeColor="text1"/>
        </w:rPr>
        <w:t>e</w:t>
      </w:r>
      <w:r w:rsidR="00BB0D2B">
        <w:rPr>
          <w:rFonts w:ascii="Times New Roman" w:hAnsi="Times New Roman" w:cs="Times New Roman"/>
          <w:color w:val="000000" w:themeColor="text1"/>
        </w:rPr>
        <w:t xml:space="preserve"> </w:t>
      </w:r>
      <w:r w:rsidR="00003F54" w:rsidRPr="00C706A5">
        <w:rPr>
          <w:rFonts w:ascii="Times New Roman" w:hAnsi="Times New Roman" w:cs="Times New Roman"/>
          <w:color w:val="000000" w:themeColor="text1"/>
        </w:rPr>
        <w:t>une</w:t>
      </w:r>
      <w:r w:rsidR="00A161A9">
        <w:rPr>
          <w:rFonts w:ascii="Times New Roman" w:hAnsi="Times New Roman" w:cs="Times New Roman"/>
          <w:color w:val="000000" w:themeColor="text1"/>
        </w:rPr>
        <w:t xml:space="preserve"> </w:t>
      </w:r>
      <w:r w:rsidR="000C39F9">
        <w:rPr>
          <w:rFonts w:ascii="Times New Roman" w:hAnsi="Times New Roman" w:cs="Times New Roman"/>
          <w:color w:val="000000" w:themeColor="text1"/>
        </w:rPr>
        <w:t xml:space="preserve">amélioration </w:t>
      </w:r>
      <w:r w:rsidR="00BB0D2B">
        <w:rPr>
          <w:rFonts w:ascii="Times New Roman" w:hAnsi="Times New Roman" w:cs="Times New Roman"/>
          <w:color w:val="000000" w:themeColor="text1"/>
        </w:rPr>
        <w:t>de 2,</w:t>
      </w:r>
      <w:r w:rsidR="00715DF7">
        <w:rPr>
          <w:rFonts w:ascii="Times New Roman" w:hAnsi="Times New Roman" w:cs="Times New Roman"/>
          <w:color w:val="000000" w:themeColor="text1"/>
        </w:rPr>
        <w:t>8</w:t>
      </w:r>
      <w:r w:rsidR="00BB0D2B">
        <w:rPr>
          <w:rFonts w:ascii="Times New Roman" w:hAnsi="Times New Roman" w:cs="Times New Roman"/>
          <w:color w:val="000000" w:themeColor="text1"/>
        </w:rPr>
        <w:t xml:space="preserve"> points </w:t>
      </w:r>
      <w:r w:rsidR="000C39F9">
        <w:rPr>
          <w:rFonts w:ascii="Times New Roman" w:hAnsi="Times New Roman" w:cs="Times New Roman"/>
          <w:color w:val="000000" w:themeColor="text1"/>
        </w:rPr>
        <w:t xml:space="preserve">par rapport au trimestre précédent </w:t>
      </w:r>
      <w:r w:rsidR="00BB0D2B">
        <w:rPr>
          <w:rFonts w:ascii="Times New Roman" w:hAnsi="Times New Roman" w:cs="Times New Roman"/>
          <w:color w:val="000000" w:themeColor="text1"/>
        </w:rPr>
        <w:t xml:space="preserve">et de 3,9 points par rapport </w:t>
      </w:r>
      <w:r w:rsidR="000C39F9">
        <w:rPr>
          <w:rFonts w:ascii="Times New Roman" w:hAnsi="Times New Roman" w:cs="Times New Roman"/>
          <w:color w:val="000000" w:themeColor="text1"/>
        </w:rPr>
        <w:t>au même trimestre de l’année précédente</w:t>
      </w:r>
      <w:r w:rsidR="00BB0D2B">
        <w:rPr>
          <w:rFonts w:ascii="Times New Roman" w:hAnsi="Times New Roman" w:cs="Times New Roman"/>
          <w:color w:val="000000" w:themeColor="text1"/>
        </w:rPr>
        <w:t>.</w:t>
      </w:r>
    </w:p>
    <w:p w:rsidR="007C2DEA" w:rsidRDefault="006B3C2A" w:rsidP="006B3C2A">
      <w:pPr>
        <w:widowControl/>
        <w:spacing w:before="240" w:line="276" w:lineRule="auto"/>
        <w:jc w:val="center"/>
        <w:rPr>
          <w:rFonts w:ascii="Times New Roman" w:hAnsi="Times New Roman" w:cs="Times New Roman"/>
          <w:color w:val="000000" w:themeColor="text1"/>
        </w:rPr>
      </w:pPr>
      <w:r w:rsidRPr="006B3C2A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>
            <wp:extent cx="6496050" cy="2752725"/>
            <wp:effectExtent l="19050" t="0" r="19050" b="0"/>
            <wp:docPr id="3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F739C" w:rsidRDefault="001F739C" w:rsidP="006B3C2A">
      <w:pPr>
        <w:widowControl/>
        <w:spacing w:before="240" w:line="276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233531" w:rsidRPr="00400526" w:rsidRDefault="003849A2" w:rsidP="00214D50">
      <w:pPr>
        <w:pStyle w:val="Paragraphedeliste"/>
        <w:numPr>
          <w:ilvl w:val="0"/>
          <w:numId w:val="8"/>
        </w:numPr>
        <w:ind w:left="142" w:hanging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4F62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="00600D95" w:rsidRPr="00400526">
        <w:rPr>
          <w:rFonts w:asciiTheme="majorBidi" w:hAnsiTheme="majorBidi" w:cstheme="majorBidi"/>
          <w:b/>
          <w:bCs/>
          <w:sz w:val="24"/>
          <w:szCs w:val="24"/>
        </w:rPr>
        <w:t>Une</w:t>
      </w:r>
      <w:r w:rsidRPr="00400526">
        <w:rPr>
          <w:rFonts w:asciiTheme="majorBidi" w:hAnsiTheme="majorBidi" w:cstheme="majorBidi"/>
          <w:b/>
          <w:bCs/>
          <w:sz w:val="24"/>
          <w:szCs w:val="24"/>
        </w:rPr>
        <w:t xml:space="preserve"> conjoncture </w:t>
      </w:r>
      <w:r w:rsidR="00600D95" w:rsidRPr="0040052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perçue </w:t>
      </w:r>
      <w:r w:rsidR="002431B9" w:rsidRPr="0040052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comme </w:t>
      </w:r>
      <w:r w:rsidR="00600D95" w:rsidRPr="0040052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peu</w:t>
      </w:r>
      <w:r w:rsidRPr="0040052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 w:rsidR="00214D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propice </w:t>
      </w:r>
      <w:r w:rsidRPr="0040052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à l’</w:t>
      </w:r>
      <w:r w:rsidR="00600D95" w:rsidRPr="0040052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achat d</w:t>
      </w:r>
      <w:r w:rsidR="00C42BDE" w:rsidRPr="0040052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es </w:t>
      </w:r>
      <w:r w:rsidR="002A18ED" w:rsidRPr="0040052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biens durables  </w:t>
      </w:r>
    </w:p>
    <w:p w:rsidR="00FD2441" w:rsidRPr="00C706A5" w:rsidRDefault="00996593" w:rsidP="00C87EFC">
      <w:pPr>
        <w:widowControl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C706A5">
        <w:rPr>
          <w:rFonts w:ascii="Times New Roman" w:hAnsi="Times New Roman" w:cs="Times New Roman"/>
          <w:color w:val="000000" w:themeColor="text1"/>
        </w:rPr>
        <w:t>P</w:t>
      </w:r>
      <w:r w:rsidR="004E183B" w:rsidRPr="00C706A5">
        <w:rPr>
          <w:rFonts w:ascii="Times New Roman" w:hAnsi="Times New Roman" w:cs="Times New Roman"/>
          <w:color w:val="000000" w:themeColor="text1"/>
        </w:rPr>
        <w:t>rès</w:t>
      </w:r>
      <w:r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2226A1" w:rsidRPr="00C706A5">
        <w:rPr>
          <w:rFonts w:ascii="Times New Roman" w:hAnsi="Times New Roman" w:cs="Times New Roman"/>
          <w:color w:val="000000" w:themeColor="text1"/>
        </w:rPr>
        <w:t>de 5</w:t>
      </w:r>
      <w:r w:rsidR="00DE552A">
        <w:rPr>
          <w:rFonts w:ascii="Times New Roman" w:hAnsi="Times New Roman" w:cs="Times New Roman"/>
          <w:color w:val="000000" w:themeColor="text1"/>
        </w:rPr>
        <w:t>8,3</w:t>
      </w:r>
      <w:r w:rsidR="002226A1" w:rsidRPr="00C706A5">
        <w:rPr>
          <w:rFonts w:ascii="Times New Roman" w:hAnsi="Times New Roman" w:cs="Times New Roman"/>
          <w:color w:val="000000" w:themeColor="text1"/>
        </w:rPr>
        <w:t>% d</w:t>
      </w:r>
      <w:r w:rsidR="002D2970" w:rsidRPr="00C706A5">
        <w:rPr>
          <w:rFonts w:ascii="Times New Roman" w:hAnsi="Times New Roman" w:cs="Times New Roman"/>
          <w:color w:val="000000" w:themeColor="text1"/>
        </w:rPr>
        <w:t xml:space="preserve">es ménages marocains </w:t>
      </w:r>
      <w:r w:rsidR="00E265E4" w:rsidRPr="00C706A5">
        <w:rPr>
          <w:rFonts w:ascii="Times New Roman" w:hAnsi="Times New Roman" w:cs="Times New Roman"/>
          <w:color w:val="000000" w:themeColor="text1"/>
        </w:rPr>
        <w:t>considèrent</w:t>
      </w:r>
      <w:r w:rsidR="002D2970" w:rsidRPr="00C706A5">
        <w:rPr>
          <w:rFonts w:ascii="Times New Roman" w:hAnsi="Times New Roman" w:cs="Times New Roman"/>
          <w:color w:val="000000" w:themeColor="text1"/>
        </w:rPr>
        <w:t>,</w:t>
      </w:r>
      <w:r w:rsidR="00E265E4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2D2970" w:rsidRPr="00C706A5">
        <w:rPr>
          <w:rFonts w:ascii="Times New Roman" w:hAnsi="Times New Roman" w:cs="Times New Roman"/>
          <w:color w:val="000000" w:themeColor="text1"/>
        </w:rPr>
        <w:t xml:space="preserve">au </w:t>
      </w:r>
      <w:r w:rsidR="00DE552A">
        <w:rPr>
          <w:rFonts w:ascii="Times New Roman" w:hAnsi="Times New Roman" w:cs="Times New Roman"/>
          <w:color w:val="000000" w:themeColor="text1"/>
        </w:rPr>
        <w:t>premier</w:t>
      </w:r>
      <w:r w:rsidR="00540AC5">
        <w:rPr>
          <w:rFonts w:ascii="Times New Roman" w:hAnsi="Times New Roman" w:cs="Times New Roman"/>
          <w:color w:val="000000" w:themeColor="text1"/>
        </w:rPr>
        <w:t xml:space="preserve"> trimestre</w:t>
      </w:r>
      <w:r w:rsidR="00A161A9">
        <w:rPr>
          <w:rFonts w:ascii="Times New Roman" w:hAnsi="Times New Roman" w:cs="Times New Roman"/>
          <w:color w:val="000000" w:themeColor="text1"/>
        </w:rPr>
        <w:t xml:space="preserve"> </w:t>
      </w:r>
      <w:r w:rsidR="002D2970" w:rsidRPr="00C706A5">
        <w:rPr>
          <w:rFonts w:ascii="Times New Roman" w:hAnsi="Times New Roman" w:cs="Times New Roman"/>
          <w:color w:val="000000" w:themeColor="text1"/>
        </w:rPr>
        <w:t xml:space="preserve">de </w:t>
      </w:r>
      <w:r w:rsidR="0004211E">
        <w:rPr>
          <w:rFonts w:ascii="Times New Roman" w:hAnsi="Times New Roman" w:cs="Times New Roman"/>
          <w:color w:val="000000" w:themeColor="text1"/>
        </w:rPr>
        <w:t>201</w:t>
      </w:r>
      <w:r w:rsidR="00DE552A">
        <w:rPr>
          <w:rFonts w:ascii="Times New Roman" w:hAnsi="Times New Roman" w:cs="Times New Roman"/>
          <w:color w:val="000000" w:themeColor="text1"/>
        </w:rPr>
        <w:t>5</w:t>
      </w:r>
      <w:r w:rsidR="002D2970" w:rsidRPr="00C706A5">
        <w:rPr>
          <w:rFonts w:ascii="Times New Roman" w:hAnsi="Times New Roman" w:cs="Times New Roman"/>
          <w:color w:val="000000" w:themeColor="text1"/>
        </w:rPr>
        <w:t xml:space="preserve">, </w:t>
      </w:r>
      <w:r w:rsidR="000F6CE8" w:rsidRPr="00C706A5">
        <w:rPr>
          <w:rFonts w:ascii="Times New Roman" w:hAnsi="Times New Roman" w:cs="Times New Roman"/>
          <w:color w:val="000000" w:themeColor="text1"/>
        </w:rPr>
        <w:t xml:space="preserve">que </w:t>
      </w:r>
      <w:r w:rsidR="0019435A" w:rsidRPr="00C706A5">
        <w:rPr>
          <w:rFonts w:ascii="Times New Roman" w:hAnsi="Times New Roman" w:cs="Times New Roman"/>
          <w:color w:val="000000" w:themeColor="text1"/>
        </w:rPr>
        <w:t xml:space="preserve">le moment </w:t>
      </w:r>
      <w:r w:rsidR="00E265E4" w:rsidRPr="00C706A5">
        <w:rPr>
          <w:rFonts w:ascii="Times New Roman" w:hAnsi="Times New Roman" w:cs="Times New Roman"/>
          <w:color w:val="000000" w:themeColor="text1"/>
        </w:rPr>
        <w:t xml:space="preserve">n’est pas </w:t>
      </w:r>
      <w:r w:rsidR="00E9062C" w:rsidRPr="00C706A5">
        <w:rPr>
          <w:rFonts w:ascii="Times New Roman" w:hAnsi="Times New Roman" w:cs="Times New Roman"/>
          <w:color w:val="000000" w:themeColor="text1"/>
        </w:rPr>
        <w:t xml:space="preserve">opportun </w:t>
      </w:r>
      <w:r w:rsidR="00A7325E" w:rsidRPr="00C706A5">
        <w:rPr>
          <w:rFonts w:ascii="Times New Roman" w:hAnsi="Times New Roman" w:cs="Times New Roman"/>
          <w:color w:val="000000" w:themeColor="text1"/>
        </w:rPr>
        <w:t>pour</w:t>
      </w:r>
      <w:r w:rsidR="00E9062C" w:rsidRPr="00C706A5">
        <w:rPr>
          <w:rFonts w:ascii="Times New Roman" w:hAnsi="Times New Roman" w:cs="Times New Roman"/>
          <w:color w:val="000000" w:themeColor="text1"/>
        </w:rPr>
        <w:t xml:space="preserve"> faire des achats </w:t>
      </w:r>
      <w:r w:rsidR="0019435A" w:rsidRPr="00C706A5">
        <w:rPr>
          <w:rFonts w:ascii="Times New Roman" w:hAnsi="Times New Roman" w:cs="Times New Roman"/>
          <w:color w:val="000000" w:themeColor="text1"/>
        </w:rPr>
        <w:t>de biens durables</w:t>
      </w:r>
      <w:r w:rsidR="00097300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9A2085" w:rsidRPr="00C706A5">
        <w:rPr>
          <w:rFonts w:ascii="Times New Roman" w:hAnsi="Times New Roman" w:cs="Times New Roman"/>
          <w:color w:val="000000" w:themeColor="text1"/>
        </w:rPr>
        <w:t>alors que</w:t>
      </w:r>
      <w:r w:rsidR="00381490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DE552A">
        <w:rPr>
          <w:rFonts w:ascii="Times New Roman" w:hAnsi="Times New Roman" w:cs="Times New Roman"/>
          <w:color w:val="000000" w:themeColor="text1"/>
        </w:rPr>
        <w:t>21,3</w:t>
      </w:r>
      <w:r w:rsidR="00381490" w:rsidRPr="00C706A5">
        <w:rPr>
          <w:rFonts w:ascii="Times New Roman" w:hAnsi="Times New Roman" w:cs="Times New Roman"/>
          <w:color w:val="000000" w:themeColor="text1"/>
        </w:rPr>
        <w:t xml:space="preserve">% </w:t>
      </w:r>
      <w:r w:rsidR="00097300" w:rsidRPr="00C706A5">
        <w:rPr>
          <w:rFonts w:ascii="Times New Roman" w:hAnsi="Times New Roman" w:cs="Times New Roman"/>
          <w:color w:val="000000" w:themeColor="text1"/>
        </w:rPr>
        <w:t>pens</w:t>
      </w:r>
      <w:r w:rsidR="00381490" w:rsidRPr="00C706A5">
        <w:rPr>
          <w:rFonts w:ascii="Times New Roman" w:hAnsi="Times New Roman" w:cs="Times New Roman"/>
          <w:color w:val="000000" w:themeColor="text1"/>
        </w:rPr>
        <w:t>ent le contraire</w:t>
      </w:r>
      <w:r w:rsidR="00BC6D48">
        <w:rPr>
          <w:rFonts w:ascii="Times New Roman" w:hAnsi="Times New Roman" w:cs="Times New Roman"/>
          <w:color w:val="000000" w:themeColor="text1"/>
        </w:rPr>
        <w:t xml:space="preserve">. </w:t>
      </w:r>
      <w:r w:rsidR="00E442A1">
        <w:rPr>
          <w:rFonts w:ascii="Times New Roman" w:hAnsi="Times New Roman" w:cs="Times New Roman"/>
          <w:color w:val="000000" w:themeColor="text1"/>
        </w:rPr>
        <w:t>L</w:t>
      </w:r>
      <w:r w:rsidR="00381490" w:rsidRPr="00C706A5">
        <w:rPr>
          <w:rFonts w:ascii="Times New Roman" w:hAnsi="Times New Roman" w:cs="Times New Roman"/>
          <w:color w:val="000000" w:themeColor="text1"/>
        </w:rPr>
        <w:t>e solde re</w:t>
      </w:r>
      <w:r w:rsidR="003C4254" w:rsidRPr="00C706A5">
        <w:rPr>
          <w:rFonts w:ascii="Times New Roman" w:hAnsi="Times New Roman" w:cs="Times New Roman"/>
          <w:color w:val="000000" w:themeColor="text1"/>
        </w:rPr>
        <w:t xml:space="preserve">latif à cet indicateur </w:t>
      </w:r>
      <w:r w:rsidR="00E442A1">
        <w:rPr>
          <w:rFonts w:ascii="Times New Roman" w:hAnsi="Times New Roman" w:cs="Times New Roman"/>
          <w:color w:val="000000" w:themeColor="text1"/>
        </w:rPr>
        <w:t>s’établit à</w:t>
      </w:r>
      <w:r w:rsidR="00135D83" w:rsidRPr="00C706A5">
        <w:rPr>
          <w:rFonts w:ascii="Times New Roman" w:hAnsi="Times New Roman" w:cs="Times New Roman"/>
          <w:color w:val="000000" w:themeColor="text1"/>
        </w:rPr>
        <w:t xml:space="preserve"> -</w:t>
      </w:r>
      <w:r w:rsidR="002A7E1E">
        <w:rPr>
          <w:rFonts w:ascii="Times New Roman" w:hAnsi="Times New Roman" w:cs="Times New Roman"/>
          <w:color w:val="000000" w:themeColor="text1"/>
        </w:rPr>
        <w:t>37</w:t>
      </w:r>
      <w:r w:rsidR="00135D83" w:rsidRPr="00C706A5">
        <w:rPr>
          <w:rFonts w:ascii="Times New Roman" w:hAnsi="Times New Roman" w:cs="Times New Roman"/>
          <w:color w:val="000000" w:themeColor="text1"/>
        </w:rPr>
        <w:t xml:space="preserve"> points </w:t>
      </w:r>
      <w:r w:rsidR="00135D83">
        <w:rPr>
          <w:rFonts w:ascii="Times New Roman" w:hAnsi="Times New Roman" w:cs="Times New Roman"/>
          <w:color w:val="000000" w:themeColor="text1"/>
        </w:rPr>
        <w:t>en</w:t>
      </w:r>
      <w:r w:rsidR="007C5542">
        <w:rPr>
          <w:rFonts w:ascii="Times New Roman" w:hAnsi="Times New Roman" w:cs="Times New Roman"/>
          <w:color w:val="000000" w:themeColor="text1"/>
        </w:rPr>
        <w:t xml:space="preserve"> </w:t>
      </w:r>
      <w:r w:rsidR="00D93D3C">
        <w:rPr>
          <w:rFonts w:ascii="Times New Roman" w:hAnsi="Times New Roman" w:cs="Times New Roman"/>
          <w:color w:val="000000" w:themeColor="text1"/>
        </w:rPr>
        <w:t>amélioration</w:t>
      </w:r>
      <w:r w:rsidR="00335081">
        <w:rPr>
          <w:rFonts w:ascii="Times New Roman" w:hAnsi="Times New Roman" w:cs="Times New Roman"/>
          <w:color w:val="000000" w:themeColor="text1"/>
        </w:rPr>
        <w:t xml:space="preserve"> </w:t>
      </w:r>
      <w:r w:rsidR="002A7E1E">
        <w:rPr>
          <w:rFonts w:ascii="Times New Roman" w:hAnsi="Times New Roman" w:cs="Times New Roman"/>
          <w:color w:val="000000" w:themeColor="text1"/>
        </w:rPr>
        <w:t xml:space="preserve">de 1,1 </w:t>
      </w:r>
      <w:r w:rsidR="002A7E1E" w:rsidRPr="00C706A5">
        <w:rPr>
          <w:rFonts w:ascii="Times New Roman" w:hAnsi="Times New Roman" w:cs="Times New Roman"/>
          <w:color w:val="000000" w:themeColor="text1"/>
        </w:rPr>
        <w:t>point</w:t>
      </w:r>
      <w:r w:rsidR="002A7E1E">
        <w:rPr>
          <w:rFonts w:ascii="Times New Roman" w:hAnsi="Times New Roman" w:cs="Times New Roman"/>
          <w:color w:val="000000" w:themeColor="text1"/>
        </w:rPr>
        <w:t xml:space="preserve"> </w:t>
      </w:r>
      <w:r w:rsidR="004E183B" w:rsidRPr="00C706A5">
        <w:rPr>
          <w:rFonts w:ascii="Times New Roman" w:hAnsi="Times New Roman" w:cs="Times New Roman"/>
          <w:color w:val="000000" w:themeColor="text1"/>
        </w:rPr>
        <w:t>par rapport au trimestre précédent</w:t>
      </w:r>
      <w:r w:rsidR="00335081">
        <w:rPr>
          <w:rFonts w:ascii="Times New Roman" w:hAnsi="Times New Roman" w:cs="Times New Roman"/>
          <w:color w:val="000000" w:themeColor="text1"/>
        </w:rPr>
        <w:t xml:space="preserve"> </w:t>
      </w:r>
      <w:r w:rsidR="00F766B2">
        <w:rPr>
          <w:rFonts w:ascii="Times New Roman" w:hAnsi="Times New Roman" w:cs="Times New Roman"/>
          <w:color w:val="000000" w:themeColor="text1"/>
        </w:rPr>
        <w:t xml:space="preserve"> </w:t>
      </w:r>
      <w:r w:rsidR="00D93D3C">
        <w:rPr>
          <w:rFonts w:ascii="Times New Roman" w:hAnsi="Times New Roman" w:cs="Times New Roman"/>
          <w:color w:val="000000" w:themeColor="text1"/>
        </w:rPr>
        <w:t xml:space="preserve">et en dégradation </w:t>
      </w:r>
      <w:r w:rsidR="002A7E1E">
        <w:rPr>
          <w:rFonts w:ascii="Times New Roman" w:hAnsi="Times New Roman" w:cs="Times New Roman"/>
          <w:color w:val="000000" w:themeColor="text1"/>
        </w:rPr>
        <w:t>de 5,7</w:t>
      </w:r>
      <w:r w:rsidR="002A7E1E" w:rsidRPr="00C706A5">
        <w:rPr>
          <w:rFonts w:ascii="Times New Roman" w:hAnsi="Times New Roman" w:cs="Times New Roman"/>
          <w:color w:val="000000" w:themeColor="text1"/>
        </w:rPr>
        <w:t xml:space="preserve"> point</w:t>
      </w:r>
      <w:r w:rsidR="002A7E1E">
        <w:rPr>
          <w:rFonts w:ascii="Times New Roman" w:hAnsi="Times New Roman" w:cs="Times New Roman"/>
          <w:color w:val="000000" w:themeColor="text1"/>
        </w:rPr>
        <w:t>s</w:t>
      </w:r>
      <w:r w:rsidR="002A7E1E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D93D3C">
        <w:rPr>
          <w:rFonts w:ascii="Times New Roman" w:hAnsi="Times New Roman" w:cs="Times New Roman"/>
          <w:color w:val="000000" w:themeColor="text1"/>
        </w:rPr>
        <w:t>par rapport</w:t>
      </w:r>
      <w:r w:rsidR="00335081">
        <w:rPr>
          <w:rFonts w:ascii="Times New Roman" w:hAnsi="Times New Roman" w:cs="Times New Roman"/>
          <w:color w:val="000000" w:themeColor="text1"/>
        </w:rPr>
        <w:t xml:space="preserve"> a</w:t>
      </w:r>
      <w:r w:rsidR="00335081" w:rsidRPr="00C706A5">
        <w:rPr>
          <w:rFonts w:ascii="Times New Roman" w:hAnsi="Times New Roman" w:cs="Times New Roman"/>
          <w:color w:val="000000" w:themeColor="text1"/>
        </w:rPr>
        <w:t>u même trimestre de l’année précédente</w:t>
      </w:r>
      <w:r w:rsidR="002A7E1E">
        <w:rPr>
          <w:rFonts w:ascii="Times New Roman" w:hAnsi="Times New Roman" w:cs="Times New Roman"/>
          <w:color w:val="000000" w:themeColor="text1"/>
        </w:rPr>
        <w:t>.</w:t>
      </w:r>
      <w:r w:rsidR="002A18ED">
        <w:rPr>
          <w:rFonts w:ascii="Times New Roman" w:hAnsi="Times New Roman" w:cs="Times New Roman"/>
          <w:color w:val="000000" w:themeColor="text1"/>
        </w:rPr>
        <w:t xml:space="preserve"> </w:t>
      </w:r>
    </w:p>
    <w:p w:rsidR="005C473B" w:rsidRPr="00C706A5" w:rsidRDefault="005C473B" w:rsidP="00547601">
      <w:pPr>
        <w:widowControl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562E23" w:rsidRPr="00C706A5" w:rsidRDefault="006B3C2A" w:rsidP="00531247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6B3C2A">
        <w:rPr>
          <w:rFonts w:ascii="Times New Roman" w:hAnsi="Times New Roman" w:cs="Times New Roman"/>
          <w:b/>
          <w:bCs/>
          <w:noProof/>
          <w:color w:val="000000" w:themeColor="text1"/>
        </w:rPr>
        <w:drawing>
          <wp:inline distT="0" distB="0" distL="0" distR="0">
            <wp:extent cx="6238875" cy="2857500"/>
            <wp:effectExtent l="19050" t="0" r="9525" b="0"/>
            <wp:docPr id="4" name="Graphique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147DB" w:rsidRPr="00C706A5" w:rsidRDefault="00A147DB" w:rsidP="00B36214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2C26D4" w:rsidRPr="00F50CB9" w:rsidRDefault="00222682" w:rsidP="001F739C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F50CB9">
        <w:rPr>
          <w:rFonts w:ascii="Times New Roman" w:hAnsi="Times New Roman" w:cs="Times New Roman"/>
          <w:b/>
          <w:bCs/>
        </w:rPr>
        <w:t>•</w:t>
      </w:r>
      <w:r w:rsidR="002C1D2E" w:rsidRPr="00F50CB9">
        <w:rPr>
          <w:rFonts w:ascii="Times New Roman" w:hAnsi="Times New Roman" w:cs="Times New Roman"/>
          <w:b/>
          <w:bCs/>
        </w:rPr>
        <w:t xml:space="preserve"> Sit</w:t>
      </w:r>
      <w:r w:rsidR="001F739C">
        <w:rPr>
          <w:rFonts w:ascii="Times New Roman" w:hAnsi="Times New Roman" w:cs="Times New Roman"/>
          <w:b/>
          <w:bCs/>
        </w:rPr>
        <w:t>uation financière des ménages : perception</w:t>
      </w:r>
      <w:r w:rsidR="00AB3C59">
        <w:rPr>
          <w:rFonts w:ascii="Times New Roman" w:hAnsi="Times New Roman" w:cs="Times New Roman"/>
          <w:b/>
          <w:bCs/>
        </w:rPr>
        <w:t>s</w:t>
      </w:r>
      <w:r w:rsidR="001F739C">
        <w:rPr>
          <w:rFonts w:ascii="Times New Roman" w:hAnsi="Times New Roman" w:cs="Times New Roman"/>
          <w:b/>
          <w:bCs/>
        </w:rPr>
        <w:t xml:space="preserve"> en amélioration </w:t>
      </w:r>
      <w:r w:rsidR="0052315E" w:rsidRPr="00F50CB9">
        <w:rPr>
          <w:rFonts w:ascii="Times New Roman" w:hAnsi="Times New Roman" w:cs="Times New Roman"/>
          <w:b/>
          <w:bCs/>
        </w:rPr>
        <w:t xml:space="preserve">pour </w:t>
      </w:r>
      <w:r w:rsidR="001F739C">
        <w:rPr>
          <w:rFonts w:ascii="Times New Roman" w:hAnsi="Times New Roman" w:cs="Times New Roman"/>
          <w:b/>
          <w:bCs/>
        </w:rPr>
        <w:t>ses</w:t>
      </w:r>
      <w:r w:rsidR="00D75C4F" w:rsidRPr="00F50CB9">
        <w:rPr>
          <w:rFonts w:ascii="Times New Roman" w:hAnsi="Times New Roman" w:cs="Times New Roman"/>
          <w:b/>
          <w:bCs/>
        </w:rPr>
        <w:t xml:space="preserve"> </w:t>
      </w:r>
      <w:r w:rsidR="0052315E" w:rsidRPr="00F50CB9">
        <w:rPr>
          <w:rFonts w:ascii="Times New Roman" w:hAnsi="Times New Roman" w:cs="Times New Roman"/>
          <w:b/>
          <w:bCs/>
        </w:rPr>
        <w:t>évolution</w:t>
      </w:r>
      <w:r w:rsidR="00623440">
        <w:rPr>
          <w:rFonts w:ascii="Times New Roman" w:hAnsi="Times New Roman" w:cs="Times New Roman"/>
          <w:b/>
          <w:bCs/>
        </w:rPr>
        <w:t>s</w:t>
      </w:r>
      <w:r w:rsidR="0052315E" w:rsidRPr="00F50CB9">
        <w:rPr>
          <w:rFonts w:ascii="Times New Roman" w:hAnsi="Times New Roman" w:cs="Times New Roman"/>
          <w:b/>
          <w:bCs/>
        </w:rPr>
        <w:t xml:space="preserve"> passée et </w:t>
      </w:r>
      <w:r w:rsidR="00F50CB9">
        <w:rPr>
          <w:rFonts w:ascii="Times New Roman" w:hAnsi="Times New Roman" w:cs="Times New Roman"/>
          <w:b/>
          <w:bCs/>
        </w:rPr>
        <w:t>future</w:t>
      </w:r>
    </w:p>
    <w:p w:rsidR="00C93EAA" w:rsidRPr="002A18ED" w:rsidRDefault="0032654E" w:rsidP="008941B1">
      <w:pPr>
        <w:widowControl/>
        <w:spacing w:before="240"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Simplified Arabic"/>
          <w:lang w:bidi="ar-MA"/>
        </w:rPr>
        <w:t>P</w:t>
      </w:r>
      <w:r w:rsidR="00FF53E4">
        <w:rPr>
          <w:rFonts w:ascii="Times New Roman" w:hAnsi="Times New Roman" w:cs="Simplified Arabic"/>
          <w:lang w:bidi="ar-MA"/>
        </w:rPr>
        <w:t>rès</w:t>
      </w:r>
      <w:r w:rsidR="00EC6F5C">
        <w:rPr>
          <w:rFonts w:ascii="Times New Roman" w:hAnsi="Times New Roman" w:cs="Simplified Arabic"/>
          <w:lang w:bidi="ar-MA"/>
        </w:rPr>
        <w:t xml:space="preserve"> </w:t>
      </w:r>
      <w:r>
        <w:rPr>
          <w:rFonts w:ascii="Times New Roman" w:hAnsi="Times New Roman" w:cs="Simplified Arabic"/>
          <w:lang w:bidi="ar-MA"/>
        </w:rPr>
        <w:t xml:space="preserve">de </w:t>
      </w:r>
      <w:r w:rsidR="00D93D3C">
        <w:rPr>
          <w:rFonts w:ascii="Times New Roman" w:hAnsi="Times New Roman" w:cs="Simplified Arabic"/>
          <w:lang w:bidi="ar-MA"/>
        </w:rPr>
        <w:t>56</w:t>
      </w:r>
      <w:r w:rsidR="004D3202" w:rsidRPr="00C706A5">
        <w:rPr>
          <w:rFonts w:ascii="Times New Roman" w:hAnsi="Times New Roman" w:cs="Times New Roman"/>
          <w:color w:val="000000" w:themeColor="text1"/>
        </w:rPr>
        <w:t xml:space="preserve">% </w:t>
      </w:r>
      <w:r w:rsidR="00490E21" w:rsidRPr="00C706A5">
        <w:rPr>
          <w:rFonts w:ascii="Times New Roman" w:hAnsi="Times New Roman" w:cs="Times New Roman"/>
          <w:color w:val="000000" w:themeColor="text1"/>
        </w:rPr>
        <w:t>des ménages</w:t>
      </w:r>
      <w:r w:rsidR="00C229EC">
        <w:rPr>
          <w:rFonts w:ascii="Times New Roman" w:hAnsi="Times New Roman" w:cs="Times New Roman"/>
          <w:color w:val="000000" w:themeColor="text1"/>
        </w:rPr>
        <w:t xml:space="preserve"> considèrent que</w:t>
      </w:r>
      <w:r w:rsidR="00490E21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1A6BB6" w:rsidRPr="00C706A5">
        <w:rPr>
          <w:rFonts w:ascii="Times New Roman" w:hAnsi="Times New Roman" w:cs="Times New Roman"/>
          <w:color w:val="000000" w:themeColor="text1"/>
        </w:rPr>
        <w:t xml:space="preserve">leurs revenus couvrent leurs dépenses, alors que </w:t>
      </w:r>
      <w:r w:rsidR="004D3202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EA2018">
        <w:rPr>
          <w:rFonts w:ascii="Times New Roman" w:hAnsi="Times New Roman" w:cs="Times New Roman"/>
          <w:color w:val="000000" w:themeColor="text1"/>
        </w:rPr>
        <w:t>3</w:t>
      </w:r>
      <w:r w:rsidR="00D93D3C">
        <w:rPr>
          <w:rFonts w:ascii="Times New Roman" w:hAnsi="Times New Roman" w:cs="Times New Roman"/>
          <w:color w:val="000000" w:themeColor="text1"/>
        </w:rPr>
        <w:t>8</w:t>
      </w:r>
      <w:r w:rsidR="00EA2018">
        <w:rPr>
          <w:rFonts w:ascii="Times New Roman" w:hAnsi="Times New Roman" w:cs="Times New Roman"/>
          <w:color w:val="000000" w:themeColor="text1"/>
        </w:rPr>
        <w:t>,2</w:t>
      </w:r>
      <w:r w:rsidR="004D3202" w:rsidRPr="00C706A5">
        <w:rPr>
          <w:rFonts w:ascii="Times New Roman" w:hAnsi="Times New Roman" w:cs="Times New Roman"/>
          <w:color w:val="000000" w:themeColor="text1"/>
        </w:rPr>
        <w:t xml:space="preserve">% </w:t>
      </w:r>
      <w:r w:rsidR="001A6BB6" w:rsidRPr="00C706A5">
        <w:rPr>
          <w:rFonts w:ascii="Times New Roman" w:hAnsi="Times New Roman" w:cs="Times New Roman"/>
          <w:color w:val="000000" w:themeColor="text1"/>
        </w:rPr>
        <w:t xml:space="preserve">d’entre eux </w:t>
      </w:r>
      <w:r w:rsidR="00C229EC">
        <w:rPr>
          <w:rFonts w:ascii="Times New Roman" w:hAnsi="Times New Roman" w:cs="Times New Roman"/>
          <w:color w:val="000000" w:themeColor="text1"/>
        </w:rPr>
        <w:t xml:space="preserve">déclarent </w:t>
      </w:r>
      <w:r w:rsidR="001A6BB6" w:rsidRPr="00C706A5">
        <w:rPr>
          <w:rFonts w:ascii="Times New Roman" w:hAnsi="Times New Roman" w:cs="Times New Roman"/>
          <w:color w:val="000000" w:themeColor="text1"/>
        </w:rPr>
        <w:t>s’endette</w:t>
      </w:r>
      <w:r w:rsidR="00C229EC">
        <w:rPr>
          <w:rFonts w:ascii="Times New Roman" w:hAnsi="Times New Roman" w:cs="Times New Roman"/>
          <w:color w:val="000000" w:themeColor="text1"/>
        </w:rPr>
        <w:t>r</w:t>
      </w:r>
      <w:r w:rsidR="008D7E8B">
        <w:rPr>
          <w:rFonts w:ascii="Times New Roman" w:hAnsi="Times New Roman" w:cs="Times New Roman"/>
          <w:color w:val="000000" w:themeColor="text1"/>
        </w:rPr>
        <w:t xml:space="preserve"> </w:t>
      </w:r>
      <w:r w:rsidR="001A6BB6" w:rsidRPr="00C706A5">
        <w:rPr>
          <w:rFonts w:ascii="Times New Roman" w:hAnsi="Times New Roman" w:cs="Times New Roman"/>
          <w:color w:val="000000" w:themeColor="text1"/>
        </w:rPr>
        <w:t>ou puise</w:t>
      </w:r>
      <w:r w:rsidR="00C229EC">
        <w:rPr>
          <w:rFonts w:ascii="Times New Roman" w:hAnsi="Times New Roman" w:cs="Times New Roman"/>
          <w:color w:val="000000" w:themeColor="text1"/>
        </w:rPr>
        <w:t>r</w:t>
      </w:r>
      <w:r w:rsidR="001A6BB6" w:rsidRPr="00C706A5">
        <w:rPr>
          <w:rFonts w:ascii="Times New Roman" w:hAnsi="Times New Roman" w:cs="Times New Roman"/>
          <w:color w:val="000000" w:themeColor="text1"/>
        </w:rPr>
        <w:t xml:space="preserve"> pour </w:t>
      </w:r>
      <w:r w:rsidR="002B7509" w:rsidRPr="00C706A5">
        <w:rPr>
          <w:rFonts w:ascii="Times New Roman" w:hAnsi="Times New Roman" w:cs="Times New Roman"/>
          <w:color w:val="000000" w:themeColor="text1"/>
        </w:rPr>
        <w:t>cel</w:t>
      </w:r>
      <w:r w:rsidR="002B7509">
        <w:rPr>
          <w:rFonts w:ascii="Times New Roman" w:hAnsi="Times New Roman" w:cs="Times New Roman"/>
          <w:color w:val="000000" w:themeColor="text1"/>
        </w:rPr>
        <w:t>a</w:t>
      </w:r>
      <w:r w:rsidR="001A6BB6" w:rsidRPr="00C706A5">
        <w:rPr>
          <w:rFonts w:ascii="Times New Roman" w:hAnsi="Times New Roman" w:cs="Times New Roman"/>
          <w:color w:val="000000" w:themeColor="text1"/>
        </w:rPr>
        <w:t xml:space="preserve"> dans leur épargne</w:t>
      </w:r>
      <w:r w:rsidR="008941B1">
        <w:rPr>
          <w:rFonts w:ascii="Times New Roman" w:hAnsi="Times New Roman" w:cs="Times New Roman"/>
          <w:color w:val="000000" w:themeColor="text1"/>
        </w:rPr>
        <w:t xml:space="preserve"> et </w:t>
      </w:r>
      <w:r w:rsidR="00EA2018">
        <w:rPr>
          <w:rFonts w:ascii="Times New Roman" w:hAnsi="Times New Roman" w:cs="Times New Roman"/>
          <w:color w:val="000000" w:themeColor="text1"/>
        </w:rPr>
        <w:t>5,</w:t>
      </w:r>
      <w:r w:rsidR="00D93D3C">
        <w:rPr>
          <w:rFonts w:ascii="Times New Roman" w:hAnsi="Times New Roman" w:cs="Times New Roman"/>
          <w:color w:val="000000" w:themeColor="text1"/>
        </w:rPr>
        <w:t>8</w:t>
      </w:r>
      <w:r w:rsidR="004D3202" w:rsidRPr="00C706A5">
        <w:rPr>
          <w:rFonts w:ascii="Times New Roman" w:hAnsi="Times New Roman" w:cs="Times New Roman"/>
          <w:color w:val="000000" w:themeColor="text1"/>
        </w:rPr>
        <w:t xml:space="preserve">% </w:t>
      </w:r>
      <w:r w:rsidR="003E7065">
        <w:rPr>
          <w:rFonts w:ascii="Times New Roman" w:hAnsi="Times New Roman" w:cs="Times New Roman"/>
          <w:color w:val="000000" w:themeColor="text1"/>
        </w:rPr>
        <w:t>affirm</w:t>
      </w:r>
      <w:r w:rsidR="004D3202" w:rsidRPr="00C706A5">
        <w:rPr>
          <w:rFonts w:ascii="Times New Roman" w:hAnsi="Times New Roman" w:cs="Times New Roman"/>
          <w:color w:val="000000" w:themeColor="text1"/>
        </w:rPr>
        <w:t xml:space="preserve">ent </w:t>
      </w:r>
      <w:r w:rsidR="00705867" w:rsidRPr="00C706A5">
        <w:rPr>
          <w:rFonts w:ascii="Times New Roman" w:hAnsi="Times New Roman" w:cs="Times New Roman"/>
          <w:color w:val="000000" w:themeColor="text1"/>
        </w:rPr>
        <w:t xml:space="preserve">pouvoir </w:t>
      </w:r>
      <w:r w:rsidR="004D3202" w:rsidRPr="00C706A5">
        <w:rPr>
          <w:rFonts w:ascii="Times New Roman" w:hAnsi="Times New Roman" w:cs="Times New Roman"/>
          <w:color w:val="000000" w:themeColor="text1"/>
        </w:rPr>
        <w:t>épargner</w:t>
      </w:r>
      <w:r w:rsidR="00705867" w:rsidRPr="00C706A5">
        <w:rPr>
          <w:rFonts w:ascii="Times New Roman" w:hAnsi="Times New Roman" w:cs="Times New Roman"/>
          <w:color w:val="000000" w:themeColor="text1"/>
        </w:rPr>
        <w:t xml:space="preserve"> une partie de leur revenu</w:t>
      </w:r>
      <w:r w:rsidR="004D3202" w:rsidRPr="00C706A5">
        <w:rPr>
          <w:rFonts w:ascii="Times New Roman" w:hAnsi="Times New Roman" w:cs="Times New Roman"/>
          <w:color w:val="000000" w:themeColor="text1"/>
        </w:rPr>
        <w:t xml:space="preserve">. Le solde de </w:t>
      </w:r>
      <w:r w:rsidR="001A6BB6" w:rsidRPr="00C706A5">
        <w:rPr>
          <w:rFonts w:ascii="Times New Roman" w:hAnsi="Times New Roman" w:cs="Times New Roman"/>
          <w:color w:val="000000" w:themeColor="text1"/>
        </w:rPr>
        <w:t>l’</w:t>
      </w:r>
      <w:r w:rsidR="004D3202" w:rsidRPr="00C706A5">
        <w:rPr>
          <w:rFonts w:ascii="Times New Roman" w:hAnsi="Times New Roman" w:cs="Times New Roman"/>
          <w:color w:val="000000" w:themeColor="text1"/>
        </w:rPr>
        <w:t xml:space="preserve">indicateur </w:t>
      </w:r>
      <w:r w:rsidR="001A6BB6" w:rsidRPr="00C706A5">
        <w:rPr>
          <w:rFonts w:ascii="Times New Roman" w:hAnsi="Times New Roman" w:cs="Times New Roman"/>
          <w:color w:val="000000" w:themeColor="text1"/>
        </w:rPr>
        <w:t xml:space="preserve">relatif à la situation financière actuelle des ménages </w:t>
      </w:r>
      <w:r w:rsidR="004D3202" w:rsidRPr="00C706A5">
        <w:rPr>
          <w:rFonts w:ascii="Times New Roman" w:hAnsi="Times New Roman" w:cs="Times New Roman"/>
          <w:color w:val="000000" w:themeColor="text1"/>
        </w:rPr>
        <w:t>s’établit</w:t>
      </w:r>
      <w:r w:rsidR="002B7509">
        <w:rPr>
          <w:rFonts w:ascii="Times New Roman" w:hAnsi="Times New Roman" w:cs="Times New Roman"/>
          <w:color w:val="000000" w:themeColor="text1"/>
        </w:rPr>
        <w:t>,</w:t>
      </w:r>
      <w:r w:rsidR="004D3202" w:rsidRPr="00C706A5">
        <w:rPr>
          <w:rFonts w:ascii="Times New Roman" w:hAnsi="Times New Roman" w:cs="Times New Roman"/>
          <w:color w:val="000000" w:themeColor="text1"/>
        </w:rPr>
        <w:t xml:space="preserve"> ainsi</w:t>
      </w:r>
      <w:r w:rsidR="002B7509">
        <w:rPr>
          <w:rFonts w:ascii="Times New Roman" w:hAnsi="Times New Roman" w:cs="Times New Roman"/>
          <w:color w:val="000000" w:themeColor="text1"/>
        </w:rPr>
        <w:t>,</w:t>
      </w:r>
      <w:r w:rsidR="004D3202" w:rsidRPr="00C706A5">
        <w:rPr>
          <w:rFonts w:ascii="Times New Roman" w:hAnsi="Times New Roman" w:cs="Times New Roman"/>
          <w:color w:val="000000" w:themeColor="text1"/>
        </w:rPr>
        <w:t xml:space="preserve"> à un niveau négatif de </w:t>
      </w:r>
      <w:r w:rsidR="00857F10" w:rsidRPr="00C706A5">
        <w:rPr>
          <w:rFonts w:ascii="Times New Roman" w:hAnsi="Times New Roman" w:cs="Times New Roman"/>
          <w:color w:val="000000" w:themeColor="text1"/>
        </w:rPr>
        <w:t>-</w:t>
      </w:r>
      <w:r w:rsidR="00D93D3C">
        <w:rPr>
          <w:rFonts w:ascii="Times New Roman" w:hAnsi="Times New Roman" w:cs="Times New Roman"/>
          <w:color w:val="000000" w:themeColor="text1"/>
        </w:rPr>
        <w:t>32,4</w:t>
      </w:r>
      <w:r w:rsidR="004D3202" w:rsidRPr="00C706A5">
        <w:rPr>
          <w:rFonts w:ascii="Times New Roman" w:hAnsi="Times New Roman" w:cs="Times New Roman"/>
          <w:color w:val="000000" w:themeColor="text1"/>
        </w:rPr>
        <w:t xml:space="preserve"> points, </w:t>
      </w:r>
      <w:r w:rsidR="006A0913" w:rsidRPr="00C706A5">
        <w:rPr>
          <w:rFonts w:ascii="Times New Roman" w:hAnsi="Times New Roman" w:cs="Times New Roman"/>
          <w:color w:val="000000" w:themeColor="text1"/>
        </w:rPr>
        <w:t xml:space="preserve">en </w:t>
      </w:r>
      <w:r w:rsidR="00EC6F5C">
        <w:rPr>
          <w:rFonts w:ascii="Times New Roman" w:hAnsi="Times New Roman" w:cs="Times New Roman"/>
          <w:color w:val="000000" w:themeColor="text1"/>
        </w:rPr>
        <w:t>détérioration</w:t>
      </w:r>
      <w:r w:rsidR="003E3A1D">
        <w:rPr>
          <w:rFonts w:ascii="Times New Roman" w:hAnsi="Times New Roman" w:cs="Times New Roman"/>
          <w:color w:val="000000" w:themeColor="text1"/>
        </w:rPr>
        <w:t xml:space="preserve"> </w:t>
      </w:r>
      <w:r w:rsidR="008B1424">
        <w:rPr>
          <w:rFonts w:ascii="Times New Roman" w:hAnsi="Times New Roman" w:cs="Times New Roman"/>
          <w:color w:val="000000" w:themeColor="text1"/>
        </w:rPr>
        <w:t xml:space="preserve">aussi bien </w:t>
      </w:r>
      <w:r w:rsidR="004D3202" w:rsidRPr="00C706A5">
        <w:rPr>
          <w:rFonts w:ascii="Times New Roman" w:hAnsi="Times New Roman" w:cs="Times New Roman"/>
          <w:color w:val="000000" w:themeColor="text1"/>
        </w:rPr>
        <w:t>par ra</w:t>
      </w:r>
      <w:r w:rsidR="00C35BF2" w:rsidRPr="00C706A5">
        <w:rPr>
          <w:rFonts w:ascii="Times New Roman" w:hAnsi="Times New Roman" w:cs="Times New Roman"/>
          <w:color w:val="000000" w:themeColor="text1"/>
        </w:rPr>
        <w:t xml:space="preserve">pport </w:t>
      </w:r>
      <w:r w:rsidR="008B1424">
        <w:rPr>
          <w:rFonts w:ascii="Times New Roman" w:hAnsi="Times New Roman" w:cs="Times New Roman"/>
          <w:color w:val="000000" w:themeColor="text1"/>
        </w:rPr>
        <w:t xml:space="preserve">au trimestre précédent </w:t>
      </w:r>
      <w:r w:rsidR="002C211A" w:rsidRPr="00C706A5">
        <w:rPr>
          <w:rFonts w:ascii="Times New Roman" w:hAnsi="Times New Roman" w:cs="Times New Roman"/>
          <w:color w:val="000000" w:themeColor="text1"/>
        </w:rPr>
        <w:t>(</w:t>
      </w:r>
      <w:r w:rsidR="00EC6F5C">
        <w:rPr>
          <w:rFonts w:ascii="Times New Roman" w:hAnsi="Times New Roman" w:cs="Times New Roman"/>
          <w:color w:val="000000" w:themeColor="text1"/>
        </w:rPr>
        <w:t>-</w:t>
      </w:r>
      <w:r w:rsidR="00D93D3C">
        <w:rPr>
          <w:rFonts w:ascii="Times New Roman" w:hAnsi="Times New Roman" w:cs="Times New Roman"/>
          <w:color w:val="000000" w:themeColor="text1"/>
        </w:rPr>
        <w:t>1,8</w:t>
      </w:r>
      <w:r w:rsidR="002C211A" w:rsidRPr="00C706A5">
        <w:rPr>
          <w:rFonts w:ascii="Times New Roman" w:hAnsi="Times New Roman" w:cs="Times New Roman"/>
          <w:color w:val="000000" w:themeColor="text1"/>
        </w:rPr>
        <w:t xml:space="preserve"> point)</w:t>
      </w:r>
      <w:r w:rsidR="008B1424">
        <w:rPr>
          <w:rFonts w:ascii="Times New Roman" w:hAnsi="Times New Roman" w:cs="Times New Roman"/>
          <w:color w:val="000000" w:themeColor="text1"/>
        </w:rPr>
        <w:t xml:space="preserve"> qu’</w:t>
      </w:r>
      <w:r w:rsidR="008B1424" w:rsidRPr="00C706A5">
        <w:rPr>
          <w:rFonts w:ascii="Times New Roman" w:hAnsi="Times New Roman" w:cs="Times New Roman"/>
          <w:color w:val="000000" w:themeColor="text1"/>
        </w:rPr>
        <w:t>au</w:t>
      </w:r>
      <w:r w:rsidR="00C35BF2" w:rsidRPr="00C706A5">
        <w:rPr>
          <w:rFonts w:ascii="Times New Roman" w:hAnsi="Times New Roman" w:cs="Times New Roman"/>
          <w:color w:val="000000" w:themeColor="text1"/>
        </w:rPr>
        <w:t xml:space="preserve"> même trimestre de </w:t>
      </w:r>
      <w:r w:rsidR="00FF44FD">
        <w:rPr>
          <w:rFonts w:ascii="Times New Roman" w:hAnsi="Times New Roman" w:cs="Times New Roman"/>
          <w:color w:val="000000" w:themeColor="text1"/>
        </w:rPr>
        <w:t>201</w:t>
      </w:r>
      <w:r w:rsidR="00D93D3C">
        <w:rPr>
          <w:rFonts w:ascii="Times New Roman" w:hAnsi="Times New Roman" w:cs="Times New Roman"/>
          <w:color w:val="000000" w:themeColor="text1"/>
        </w:rPr>
        <w:t>4</w:t>
      </w:r>
      <w:r w:rsidR="008B1424">
        <w:rPr>
          <w:rFonts w:ascii="Times New Roman" w:hAnsi="Times New Roman" w:cs="Times New Roman"/>
          <w:color w:val="000000" w:themeColor="text1"/>
        </w:rPr>
        <w:t xml:space="preserve"> (</w:t>
      </w:r>
      <w:r w:rsidR="00EC6F5C">
        <w:rPr>
          <w:rFonts w:ascii="Times New Roman" w:hAnsi="Times New Roman" w:cs="Times New Roman"/>
          <w:color w:val="000000" w:themeColor="text1"/>
        </w:rPr>
        <w:t>-</w:t>
      </w:r>
      <w:r w:rsidR="00D93D3C">
        <w:rPr>
          <w:rFonts w:ascii="Times New Roman" w:hAnsi="Times New Roman" w:cs="Times New Roman"/>
          <w:color w:val="000000" w:themeColor="text1"/>
        </w:rPr>
        <w:t>1,1</w:t>
      </w:r>
      <w:r w:rsidR="008B1424">
        <w:rPr>
          <w:rFonts w:ascii="Times New Roman" w:hAnsi="Times New Roman" w:cs="Times New Roman"/>
          <w:color w:val="000000" w:themeColor="text1"/>
        </w:rPr>
        <w:t xml:space="preserve"> point)</w:t>
      </w:r>
      <w:r w:rsidR="002C211A" w:rsidRPr="00C706A5">
        <w:rPr>
          <w:rFonts w:ascii="Times New Roman" w:hAnsi="Times New Roman" w:cs="Times New Roman"/>
          <w:color w:val="000000" w:themeColor="text1"/>
        </w:rPr>
        <w:t>.</w:t>
      </w:r>
    </w:p>
    <w:p w:rsidR="002A18ED" w:rsidRDefault="00481C22" w:rsidP="00481C22">
      <w:pPr>
        <w:widowControl/>
        <w:spacing w:before="240"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Les perceptions des ménages sur </w:t>
      </w:r>
      <w:r w:rsidR="00DF369E">
        <w:rPr>
          <w:rFonts w:ascii="Times New Roman" w:hAnsi="Times New Roman" w:cs="Times New Roman"/>
          <w:color w:val="000000"/>
        </w:rPr>
        <w:t>l’évolution</w:t>
      </w:r>
      <w:r w:rsidR="00E45773">
        <w:rPr>
          <w:rFonts w:ascii="Times New Roman" w:hAnsi="Times New Roman" w:cs="Times New Roman"/>
          <w:color w:val="000000"/>
        </w:rPr>
        <w:t xml:space="preserve"> passée de l</w:t>
      </w:r>
      <w:r w:rsidR="00E45773" w:rsidRPr="00B10F10">
        <w:rPr>
          <w:rFonts w:ascii="Times New Roman" w:hAnsi="Times New Roman" w:cs="Times New Roman"/>
          <w:color w:val="000000"/>
        </w:rPr>
        <w:t>eur situation financière personnelle</w:t>
      </w:r>
      <w:r>
        <w:rPr>
          <w:rFonts w:ascii="Times New Roman" w:hAnsi="Times New Roman" w:cs="Times New Roman"/>
          <w:color w:val="000000"/>
        </w:rPr>
        <w:t xml:space="preserve"> ont connu une </w:t>
      </w:r>
      <w:r w:rsidR="00D93D3C">
        <w:rPr>
          <w:rFonts w:ascii="Times New Roman" w:hAnsi="Times New Roman" w:cs="Times New Roman"/>
          <w:color w:val="000000"/>
        </w:rPr>
        <w:t>a</w:t>
      </w:r>
      <w:r w:rsidR="00D93D3C" w:rsidRPr="00481C22">
        <w:rPr>
          <w:rFonts w:ascii="Times New Roman" w:hAnsi="Times New Roman" w:cs="Times New Roman"/>
          <w:color w:val="000000"/>
        </w:rPr>
        <w:t>mélio</w:t>
      </w:r>
      <w:r w:rsidRPr="00481C22">
        <w:rPr>
          <w:rFonts w:ascii="Times New Roman" w:hAnsi="Times New Roman" w:cs="Times New Roman"/>
          <w:color w:val="000000"/>
        </w:rPr>
        <w:t>ration</w:t>
      </w:r>
      <w:r w:rsidR="00D93D3C">
        <w:rPr>
          <w:rFonts w:ascii="Times New Roman" w:hAnsi="Times New Roman" w:cs="Times New Roman"/>
          <w:color w:val="000000"/>
        </w:rPr>
        <w:t xml:space="preserve"> </w:t>
      </w:r>
      <w:r w:rsidR="00100026">
        <w:rPr>
          <w:rFonts w:ascii="Times New Roman" w:hAnsi="Times New Roman" w:cs="Times New Roman"/>
          <w:color w:val="000000"/>
        </w:rPr>
        <w:t xml:space="preserve">de 2,2 points </w:t>
      </w:r>
      <w:r w:rsidR="00C35F99">
        <w:rPr>
          <w:rFonts w:ascii="Times New Roman" w:hAnsi="Times New Roman" w:cs="Times New Roman"/>
          <w:color w:val="000000"/>
        </w:rPr>
        <w:t xml:space="preserve">par rapport </w:t>
      </w:r>
      <w:r w:rsidR="00E2206C">
        <w:rPr>
          <w:rFonts w:ascii="Times New Roman" w:hAnsi="Times New Roman" w:cs="Times New Roman"/>
          <w:color w:val="000000"/>
        </w:rPr>
        <w:t>au trimestre précédent</w:t>
      </w:r>
      <w:r w:rsidR="00100026">
        <w:rPr>
          <w:rFonts w:ascii="Times New Roman" w:hAnsi="Times New Roman" w:cs="Times New Roman"/>
          <w:color w:val="000000"/>
        </w:rPr>
        <w:t xml:space="preserve"> </w:t>
      </w:r>
      <w:r w:rsidR="008D7E8B">
        <w:rPr>
          <w:rFonts w:ascii="Times New Roman" w:hAnsi="Times New Roman" w:cs="Times New Roman"/>
          <w:color w:val="000000"/>
        </w:rPr>
        <w:t>et</w:t>
      </w:r>
      <w:r w:rsidR="00100026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une </w:t>
      </w:r>
      <w:r w:rsidR="00D93D3C">
        <w:rPr>
          <w:rFonts w:ascii="Times New Roman" w:hAnsi="Times New Roman" w:cs="Times New Roman"/>
          <w:color w:val="000000"/>
        </w:rPr>
        <w:t>dégrad</w:t>
      </w:r>
      <w:r>
        <w:rPr>
          <w:rFonts w:ascii="Times New Roman" w:hAnsi="Times New Roman" w:cs="Times New Roman"/>
          <w:color w:val="000000"/>
        </w:rPr>
        <w:t>ation</w:t>
      </w:r>
      <w:r w:rsidR="00D93D3C">
        <w:rPr>
          <w:rFonts w:ascii="Times New Roman" w:hAnsi="Times New Roman" w:cs="Times New Roman"/>
          <w:color w:val="000000"/>
        </w:rPr>
        <w:t xml:space="preserve"> </w:t>
      </w:r>
      <w:r w:rsidR="00100026">
        <w:rPr>
          <w:rFonts w:ascii="Times New Roman" w:hAnsi="Times New Roman" w:cs="Times New Roman"/>
          <w:color w:val="000000"/>
        </w:rPr>
        <w:t xml:space="preserve">de 5,7 points </w:t>
      </w:r>
      <w:r w:rsidR="00023DE5" w:rsidRPr="00B10F10">
        <w:rPr>
          <w:rFonts w:ascii="Times New Roman" w:hAnsi="Times New Roman" w:cs="Times New Roman"/>
          <w:color w:val="000000"/>
        </w:rPr>
        <w:t xml:space="preserve">par rapport à un </w:t>
      </w:r>
      <w:r w:rsidR="00023DE5">
        <w:rPr>
          <w:rFonts w:ascii="Times New Roman" w:hAnsi="Times New Roman" w:cs="Times New Roman"/>
          <w:color w:val="000000"/>
        </w:rPr>
        <w:t xml:space="preserve">an </w:t>
      </w:r>
      <w:r w:rsidR="00023DE5" w:rsidRPr="00B10F10">
        <w:rPr>
          <w:rFonts w:ascii="Times New Roman" w:hAnsi="Times New Roman" w:cs="Times New Roman"/>
          <w:color w:val="000000"/>
        </w:rPr>
        <w:t>auparavant</w:t>
      </w:r>
      <w:r w:rsidR="00023DE5">
        <w:rPr>
          <w:rFonts w:ascii="Times New Roman" w:hAnsi="Times New Roman" w:cs="Times New Roman"/>
          <w:color w:val="000000"/>
        </w:rPr>
        <w:t>.</w:t>
      </w:r>
    </w:p>
    <w:p w:rsidR="00480253" w:rsidRDefault="00480253" w:rsidP="002A18ED">
      <w:pPr>
        <w:widowControl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DF369E" w:rsidRDefault="00F76B9D" w:rsidP="00916F2D">
      <w:pPr>
        <w:widowControl/>
        <w:spacing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 même, les</w:t>
      </w:r>
      <w:r>
        <w:rPr>
          <w:rFonts w:ascii="Times New Roman" w:hAnsi="Times New Roman" w:cs="Times New Roman" w:hint="cs"/>
          <w:color w:val="000000"/>
          <w:rtl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opinions des ménages sur </w:t>
      </w:r>
      <w:r w:rsidR="00763B79">
        <w:rPr>
          <w:rFonts w:ascii="Times New Roman" w:hAnsi="Times New Roman" w:cs="Times New Roman"/>
          <w:color w:val="000000"/>
        </w:rPr>
        <w:t>l’</w:t>
      </w:r>
      <w:r w:rsidR="00DF369E">
        <w:rPr>
          <w:rFonts w:ascii="Times New Roman" w:hAnsi="Times New Roman" w:cs="Times New Roman"/>
          <w:color w:val="000000"/>
        </w:rPr>
        <w:t>évolution future de l</w:t>
      </w:r>
      <w:r w:rsidR="00DF369E" w:rsidRPr="00B10F10">
        <w:rPr>
          <w:rFonts w:ascii="Times New Roman" w:hAnsi="Times New Roman" w:cs="Times New Roman"/>
          <w:color w:val="000000"/>
        </w:rPr>
        <w:t>eur situation financière personnelle</w:t>
      </w:r>
      <w:r w:rsidR="00DF369E">
        <w:rPr>
          <w:rFonts w:ascii="Times New Roman" w:hAnsi="Times New Roman" w:cs="Times New Roman"/>
          <w:color w:val="000000"/>
        </w:rPr>
        <w:t xml:space="preserve"> </w:t>
      </w:r>
      <w:r w:rsidR="00D039D9">
        <w:rPr>
          <w:rFonts w:ascii="Times New Roman" w:hAnsi="Times New Roman" w:cs="Times New Roman"/>
          <w:color w:val="000000"/>
        </w:rPr>
        <w:t xml:space="preserve">ont connu la même tendance avec une </w:t>
      </w:r>
      <w:r w:rsidR="00DF369E">
        <w:rPr>
          <w:rFonts w:ascii="Times New Roman" w:hAnsi="Times New Roman" w:cs="Times New Roman"/>
          <w:color w:val="000000"/>
        </w:rPr>
        <w:t xml:space="preserve"> amélior</w:t>
      </w:r>
      <w:r w:rsidR="00D039D9">
        <w:rPr>
          <w:rFonts w:ascii="Times New Roman" w:hAnsi="Times New Roman" w:cs="Times New Roman"/>
          <w:color w:val="000000"/>
        </w:rPr>
        <w:t>ation</w:t>
      </w:r>
      <w:r w:rsidR="00DF369E">
        <w:rPr>
          <w:rFonts w:ascii="Times New Roman" w:hAnsi="Times New Roman" w:cs="Times New Roman"/>
          <w:color w:val="000000"/>
        </w:rPr>
        <w:t xml:space="preserve"> de 4</w:t>
      </w:r>
      <w:r w:rsidR="00D039D9">
        <w:rPr>
          <w:rFonts w:ascii="Times New Roman" w:hAnsi="Times New Roman" w:cs="Times New Roman"/>
          <w:color w:val="000000"/>
        </w:rPr>
        <w:t xml:space="preserve"> </w:t>
      </w:r>
      <w:r w:rsidR="00DF369E">
        <w:rPr>
          <w:rFonts w:ascii="Times New Roman" w:hAnsi="Times New Roman" w:cs="Times New Roman"/>
          <w:color w:val="000000"/>
        </w:rPr>
        <w:t>points par rapport au trimestre précédent et</w:t>
      </w:r>
      <w:r w:rsidR="00D039D9">
        <w:rPr>
          <w:rFonts w:ascii="Times New Roman" w:hAnsi="Times New Roman" w:cs="Times New Roman"/>
          <w:color w:val="000000"/>
        </w:rPr>
        <w:t xml:space="preserve"> une </w:t>
      </w:r>
      <w:r w:rsidR="00DF369E">
        <w:rPr>
          <w:rFonts w:ascii="Times New Roman" w:hAnsi="Times New Roman" w:cs="Times New Roman"/>
          <w:color w:val="000000"/>
        </w:rPr>
        <w:t xml:space="preserve"> dégrad</w:t>
      </w:r>
      <w:r w:rsidR="00D039D9">
        <w:rPr>
          <w:rFonts w:ascii="Times New Roman" w:hAnsi="Times New Roman" w:cs="Times New Roman"/>
          <w:color w:val="000000"/>
        </w:rPr>
        <w:t>ation</w:t>
      </w:r>
      <w:r w:rsidR="00DF369E">
        <w:rPr>
          <w:rFonts w:ascii="Times New Roman" w:hAnsi="Times New Roman" w:cs="Times New Roman"/>
          <w:color w:val="000000"/>
        </w:rPr>
        <w:t xml:space="preserve"> de 1,1 point </w:t>
      </w:r>
      <w:r w:rsidR="00DF369E" w:rsidRPr="00B10F10">
        <w:rPr>
          <w:rFonts w:ascii="Times New Roman" w:hAnsi="Times New Roman" w:cs="Times New Roman"/>
          <w:color w:val="000000"/>
        </w:rPr>
        <w:t xml:space="preserve">par rapport </w:t>
      </w:r>
      <w:r w:rsidR="0051274C">
        <w:rPr>
          <w:rFonts w:ascii="Times New Roman" w:hAnsi="Times New Roman" w:cs="Times New Roman"/>
          <w:color w:val="000000"/>
        </w:rPr>
        <w:t>au même trimestre de l’année 2014.</w:t>
      </w:r>
    </w:p>
    <w:p w:rsidR="0045471C" w:rsidRDefault="0045471C" w:rsidP="00D039D9">
      <w:pPr>
        <w:widowControl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45471C" w:rsidRPr="0045471C" w:rsidRDefault="0045471C" w:rsidP="0045471C">
      <w:pPr>
        <w:widowControl/>
        <w:spacing w:line="276" w:lineRule="auto"/>
        <w:jc w:val="both"/>
        <w:rPr>
          <w:rFonts w:ascii="Times New Roman" w:hAnsi="Times New Roman" w:cs="Times New Roman"/>
          <w:color w:val="FF0000"/>
        </w:rPr>
      </w:pPr>
    </w:p>
    <w:p w:rsidR="0045471C" w:rsidRPr="0045471C" w:rsidRDefault="0045471C" w:rsidP="0045471C">
      <w:pPr>
        <w:widowControl/>
        <w:spacing w:before="240" w:line="276" w:lineRule="auto"/>
        <w:jc w:val="both"/>
        <w:rPr>
          <w:rFonts w:ascii="Times New Roman" w:hAnsi="Times New Roman" w:cs="Times New Roman"/>
          <w:color w:val="FF0000"/>
        </w:rPr>
      </w:pPr>
    </w:p>
    <w:p w:rsidR="0045471C" w:rsidRDefault="0045471C" w:rsidP="00D039D9">
      <w:pPr>
        <w:widowControl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AF6349" w:rsidRDefault="00657DDA" w:rsidP="00F656E6">
      <w:pPr>
        <w:widowControl/>
        <w:spacing w:before="240" w:line="276" w:lineRule="auto"/>
        <w:jc w:val="center"/>
        <w:rPr>
          <w:rFonts w:ascii="Times New Roman" w:hAnsi="Times New Roman" w:cs="Times New Roman"/>
          <w:color w:val="000000" w:themeColor="text1"/>
        </w:rPr>
      </w:pPr>
      <w:r w:rsidRPr="00657DDA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>
            <wp:extent cx="6448425" cy="4286250"/>
            <wp:effectExtent l="19050" t="0" r="9525" b="0"/>
            <wp:docPr id="6" name="Graphique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656E6" w:rsidRDefault="00F656E6" w:rsidP="00D46521">
      <w:pPr>
        <w:widowControl/>
        <w:spacing w:before="24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C62F85" w:rsidRPr="00C706A5" w:rsidRDefault="00C62F85" w:rsidP="00531247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rtl/>
        </w:rPr>
      </w:pPr>
    </w:p>
    <w:p w:rsidR="000E21A1" w:rsidRPr="003A3FCF" w:rsidRDefault="000E21A1" w:rsidP="00D75C4F">
      <w:pPr>
        <w:pStyle w:val="Paragraphedeliste"/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Evolution d’autres indicateurs </w:t>
      </w:r>
      <w:r w:rsidR="005D5D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trimestriels </w:t>
      </w:r>
      <w:r w:rsidR="00421A8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 la</w:t>
      </w:r>
      <w:r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perception</w:t>
      </w:r>
      <w:r w:rsidR="00421A8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75C4F"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 la conjoncture</w:t>
      </w:r>
      <w:r w:rsidR="00D75C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421A8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par l</w:t>
      </w:r>
      <w:r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es ménages </w:t>
      </w:r>
    </w:p>
    <w:p w:rsidR="00A52030" w:rsidRPr="00C706A5" w:rsidRDefault="00A52030" w:rsidP="00E531E7">
      <w:pPr>
        <w:widowControl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C706A5">
        <w:rPr>
          <w:rFonts w:ascii="Times New Roman" w:hAnsi="Times New Roman" w:cs="Times New Roman"/>
          <w:color w:val="000000" w:themeColor="text1"/>
        </w:rPr>
        <w:t>En plus des sept indicateurs composant l’ICM, l’enquête fournit des données trimestrielles sur l</w:t>
      </w:r>
      <w:r w:rsidR="00E531E7">
        <w:rPr>
          <w:rFonts w:ascii="Times New Roman" w:hAnsi="Times New Roman" w:cs="Times New Roman"/>
          <w:color w:val="000000" w:themeColor="text1"/>
        </w:rPr>
        <w:t>a</w:t>
      </w:r>
      <w:r w:rsidRPr="00C706A5">
        <w:rPr>
          <w:rFonts w:ascii="Times New Roman" w:hAnsi="Times New Roman" w:cs="Times New Roman"/>
          <w:color w:val="000000" w:themeColor="text1"/>
        </w:rPr>
        <w:t xml:space="preserve"> perception des ménages relatives à d’autres aspects de leurs conditions de vie. Il s’agit en particulier de la capacité d’épargne et de l’évolution des prix des produits alimentaires. </w:t>
      </w:r>
    </w:p>
    <w:p w:rsidR="00A52030" w:rsidRPr="00C706A5" w:rsidRDefault="00A52030" w:rsidP="00A52030">
      <w:pPr>
        <w:widowControl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812210" w:rsidRPr="00C706A5" w:rsidRDefault="00812210" w:rsidP="00E531E7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9112C">
        <w:rPr>
          <w:rFonts w:ascii="Times New Roman" w:hAnsi="Times New Roman" w:cs="Times New Roman"/>
          <w:b/>
          <w:bCs/>
          <w:color w:val="000000" w:themeColor="text1"/>
        </w:rPr>
        <w:t xml:space="preserve">• </w:t>
      </w:r>
      <w:r w:rsidR="008C2EDB">
        <w:rPr>
          <w:rFonts w:ascii="Times New Roman" w:hAnsi="Times New Roman" w:cs="Times New Roman"/>
          <w:b/>
          <w:bCs/>
          <w:color w:val="000000" w:themeColor="text1"/>
        </w:rPr>
        <w:t>P</w:t>
      </w:r>
      <w:r w:rsidR="003A18CF">
        <w:rPr>
          <w:rFonts w:ascii="Times New Roman" w:hAnsi="Times New Roman" w:cs="Times New Roman"/>
          <w:b/>
          <w:bCs/>
          <w:color w:val="000000" w:themeColor="text1"/>
        </w:rPr>
        <w:t xml:space="preserve">essimisme </w:t>
      </w:r>
      <w:r w:rsidR="00062779">
        <w:rPr>
          <w:rFonts w:ascii="Times New Roman" w:hAnsi="Times New Roman" w:cs="Times New Roman"/>
          <w:b/>
          <w:bCs/>
          <w:color w:val="000000" w:themeColor="text1"/>
        </w:rPr>
        <w:t xml:space="preserve">des ménages </w:t>
      </w:r>
      <w:r w:rsidR="003A18CF">
        <w:rPr>
          <w:rFonts w:ascii="Times New Roman" w:hAnsi="Times New Roman" w:cs="Times New Roman"/>
          <w:b/>
          <w:bCs/>
          <w:color w:val="000000" w:themeColor="text1"/>
        </w:rPr>
        <w:t>quant à l</w:t>
      </w:r>
      <w:r w:rsidR="007E6919">
        <w:rPr>
          <w:rFonts w:ascii="Times New Roman" w:hAnsi="Times New Roman" w:cs="Times New Roman"/>
          <w:b/>
          <w:bCs/>
          <w:color w:val="000000" w:themeColor="text1"/>
        </w:rPr>
        <w:t xml:space="preserve">eur </w:t>
      </w:r>
      <w:r w:rsidR="003A18CF">
        <w:rPr>
          <w:rFonts w:ascii="Times New Roman" w:hAnsi="Times New Roman" w:cs="Times New Roman"/>
          <w:b/>
          <w:bCs/>
          <w:color w:val="000000" w:themeColor="text1"/>
        </w:rPr>
        <w:t>c</w:t>
      </w:r>
      <w:r w:rsidR="003A18CF" w:rsidRPr="00C706A5">
        <w:rPr>
          <w:rFonts w:ascii="Times New Roman" w:hAnsi="Times New Roman" w:cs="Times New Roman"/>
          <w:b/>
          <w:bCs/>
          <w:color w:val="000000" w:themeColor="text1"/>
        </w:rPr>
        <w:t>apacité</w:t>
      </w:r>
      <w:r w:rsidR="00E531E7">
        <w:rPr>
          <w:rFonts w:ascii="Times New Roman" w:hAnsi="Times New Roman" w:cs="Times New Roman"/>
          <w:b/>
          <w:bCs/>
          <w:color w:val="000000" w:themeColor="text1"/>
        </w:rPr>
        <w:t xml:space="preserve"> future </w:t>
      </w:r>
      <w:r w:rsidR="00E97A41">
        <w:rPr>
          <w:rFonts w:ascii="Times New Roman" w:hAnsi="Times New Roman" w:cs="Times New Roman"/>
          <w:b/>
          <w:bCs/>
          <w:color w:val="000000" w:themeColor="text1"/>
        </w:rPr>
        <w:t>d’épargner</w:t>
      </w:r>
      <w:r w:rsidR="00CE27F5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:rsidR="00735526" w:rsidRPr="00C706A5" w:rsidRDefault="000B09BA" w:rsidP="00B6102A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C706A5">
        <w:rPr>
          <w:rFonts w:ascii="Times New Roman" w:hAnsi="Times New Roman" w:cs="Times New Roman"/>
          <w:color w:val="000000" w:themeColor="text1"/>
        </w:rPr>
        <w:t>Les</w:t>
      </w:r>
      <w:r w:rsidR="007F3847" w:rsidRPr="00C706A5">
        <w:rPr>
          <w:rFonts w:ascii="Times New Roman" w:hAnsi="Times New Roman" w:cs="Times New Roman"/>
          <w:color w:val="000000" w:themeColor="text1"/>
        </w:rPr>
        <w:t xml:space="preserve"> ménages </w:t>
      </w:r>
      <w:r w:rsidR="00D268A1" w:rsidRPr="00C706A5">
        <w:rPr>
          <w:rFonts w:ascii="Times New Roman" w:hAnsi="Times New Roman" w:cs="Times New Roman"/>
          <w:color w:val="000000" w:themeColor="text1"/>
        </w:rPr>
        <w:t xml:space="preserve">sont </w:t>
      </w:r>
      <w:r w:rsidRPr="00C706A5">
        <w:rPr>
          <w:rFonts w:ascii="Times New Roman" w:hAnsi="Times New Roman" w:cs="Times New Roman"/>
          <w:color w:val="000000" w:themeColor="text1"/>
        </w:rPr>
        <w:t xml:space="preserve">toujours </w:t>
      </w:r>
      <w:r w:rsidR="00D268A1" w:rsidRPr="00C706A5">
        <w:rPr>
          <w:rFonts w:ascii="Times New Roman" w:hAnsi="Times New Roman" w:cs="Times New Roman"/>
          <w:color w:val="000000" w:themeColor="text1"/>
        </w:rPr>
        <w:t xml:space="preserve">pessimistes quant à </w:t>
      </w:r>
      <w:r w:rsidR="00057E1A" w:rsidRPr="00C706A5">
        <w:rPr>
          <w:rFonts w:ascii="Times New Roman" w:hAnsi="Times New Roman" w:cs="Times New Roman"/>
          <w:color w:val="000000" w:themeColor="text1"/>
        </w:rPr>
        <w:t>leur capacité à épargner dans les mois à venir</w:t>
      </w:r>
      <w:r w:rsidR="00812210" w:rsidRPr="00C706A5">
        <w:rPr>
          <w:rFonts w:ascii="Times New Roman" w:hAnsi="Times New Roman" w:cs="Times New Roman"/>
          <w:color w:val="000000" w:themeColor="text1"/>
        </w:rPr>
        <w:t xml:space="preserve">. </w:t>
      </w:r>
      <w:r w:rsidRPr="00C706A5">
        <w:rPr>
          <w:rFonts w:ascii="Times New Roman" w:hAnsi="Times New Roman" w:cs="Times New Roman"/>
          <w:color w:val="000000" w:themeColor="text1"/>
        </w:rPr>
        <w:t xml:space="preserve">Au </w:t>
      </w:r>
      <w:r w:rsidR="00D93D3C">
        <w:rPr>
          <w:rFonts w:ascii="Times New Roman" w:hAnsi="Times New Roman" w:cs="Times New Roman"/>
          <w:color w:val="000000" w:themeColor="text1"/>
        </w:rPr>
        <w:t>premier</w:t>
      </w:r>
      <w:r w:rsidR="00540AC5">
        <w:rPr>
          <w:rFonts w:ascii="Times New Roman" w:hAnsi="Times New Roman" w:cs="Times New Roman"/>
          <w:color w:val="000000" w:themeColor="text1"/>
        </w:rPr>
        <w:t xml:space="preserve"> trimestre</w:t>
      </w:r>
      <w:r w:rsidR="00F406EF">
        <w:rPr>
          <w:rFonts w:ascii="Times New Roman" w:hAnsi="Times New Roman" w:cs="Times New Roman"/>
          <w:color w:val="000000" w:themeColor="text1"/>
        </w:rPr>
        <w:t xml:space="preserve"> </w:t>
      </w:r>
      <w:r w:rsidRPr="00C706A5">
        <w:rPr>
          <w:rFonts w:ascii="Times New Roman" w:hAnsi="Times New Roman" w:cs="Times New Roman"/>
          <w:color w:val="000000" w:themeColor="text1"/>
        </w:rPr>
        <w:t xml:space="preserve">de </w:t>
      </w:r>
      <w:r w:rsidR="0004211E">
        <w:rPr>
          <w:rFonts w:ascii="Times New Roman" w:hAnsi="Times New Roman" w:cs="Times New Roman"/>
          <w:color w:val="000000" w:themeColor="text1"/>
        </w:rPr>
        <w:t>201</w:t>
      </w:r>
      <w:r w:rsidR="00D93D3C">
        <w:rPr>
          <w:rFonts w:ascii="Times New Roman" w:hAnsi="Times New Roman" w:cs="Times New Roman"/>
          <w:color w:val="000000" w:themeColor="text1"/>
        </w:rPr>
        <w:t>5</w:t>
      </w:r>
      <w:r w:rsidRPr="00C706A5">
        <w:rPr>
          <w:rFonts w:ascii="Times New Roman" w:hAnsi="Times New Roman" w:cs="Times New Roman"/>
          <w:color w:val="000000" w:themeColor="text1"/>
        </w:rPr>
        <w:t xml:space="preserve">, </w:t>
      </w:r>
      <w:r w:rsidR="00107E17">
        <w:rPr>
          <w:rFonts w:ascii="Times New Roman" w:hAnsi="Times New Roman" w:cs="Times New Roman"/>
          <w:color w:val="000000" w:themeColor="text1"/>
        </w:rPr>
        <w:t>84,9</w:t>
      </w:r>
      <w:r w:rsidR="007F3847" w:rsidRPr="00C706A5">
        <w:rPr>
          <w:rFonts w:ascii="Times New Roman" w:hAnsi="Times New Roman" w:cs="Times New Roman"/>
          <w:color w:val="000000" w:themeColor="text1"/>
        </w:rPr>
        <w:t>%</w:t>
      </w:r>
      <w:r w:rsidR="00DE048F">
        <w:rPr>
          <w:rFonts w:ascii="Times New Roman" w:hAnsi="Times New Roman" w:cs="Times New Roman"/>
          <w:color w:val="000000" w:themeColor="text1"/>
        </w:rPr>
        <w:t xml:space="preserve"> des ménages</w:t>
      </w:r>
      <w:r w:rsidR="00511C57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F469DA">
        <w:rPr>
          <w:rFonts w:ascii="Times New Roman" w:hAnsi="Times New Roman" w:cs="Times New Roman"/>
          <w:color w:val="000000" w:themeColor="text1"/>
        </w:rPr>
        <w:t>estiment</w:t>
      </w:r>
      <w:r w:rsidR="00511C57" w:rsidRPr="00C706A5">
        <w:rPr>
          <w:rFonts w:ascii="Times New Roman" w:hAnsi="Times New Roman" w:cs="Times New Roman"/>
          <w:color w:val="000000" w:themeColor="text1"/>
        </w:rPr>
        <w:t xml:space="preserve"> ne pas pouvoir épargner au cours des 12 prochains mois</w:t>
      </w:r>
      <w:r w:rsidR="007F3847" w:rsidRPr="00C706A5">
        <w:rPr>
          <w:rFonts w:ascii="Times New Roman" w:hAnsi="Times New Roman" w:cs="Times New Roman"/>
          <w:color w:val="000000" w:themeColor="text1"/>
        </w:rPr>
        <w:t xml:space="preserve"> contre </w:t>
      </w:r>
      <w:r w:rsidR="00107E17">
        <w:rPr>
          <w:rFonts w:ascii="Times New Roman" w:hAnsi="Times New Roman" w:cs="Times New Roman"/>
          <w:color w:val="000000" w:themeColor="text1"/>
        </w:rPr>
        <w:t>15,1</w:t>
      </w:r>
      <w:r w:rsidR="007F3847" w:rsidRPr="00C706A5">
        <w:rPr>
          <w:rFonts w:ascii="Times New Roman" w:hAnsi="Times New Roman" w:cs="Times New Roman"/>
          <w:color w:val="000000" w:themeColor="text1"/>
        </w:rPr>
        <w:t>%</w:t>
      </w:r>
      <w:r w:rsidR="00735526" w:rsidRPr="00C706A5">
        <w:rPr>
          <w:rFonts w:ascii="Times New Roman" w:hAnsi="Times New Roman" w:cs="Times New Roman"/>
          <w:color w:val="000000" w:themeColor="text1"/>
        </w:rPr>
        <w:t xml:space="preserve"> qui </w:t>
      </w:r>
      <w:r w:rsidR="00675156">
        <w:rPr>
          <w:rFonts w:ascii="Times New Roman" w:hAnsi="Times New Roman" w:cs="Times New Roman"/>
          <w:color w:val="000000" w:themeColor="text1"/>
        </w:rPr>
        <w:t>affirment</w:t>
      </w:r>
      <w:r w:rsidR="00735526" w:rsidRPr="00C706A5">
        <w:rPr>
          <w:rFonts w:ascii="Times New Roman" w:hAnsi="Times New Roman" w:cs="Times New Roman"/>
          <w:color w:val="000000" w:themeColor="text1"/>
        </w:rPr>
        <w:t xml:space="preserve"> le contraire</w:t>
      </w:r>
      <w:r w:rsidR="00507FF6">
        <w:rPr>
          <w:rFonts w:ascii="Times New Roman" w:hAnsi="Times New Roman" w:cs="Times New Roman"/>
          <w:color w:val="000000" w:themeColor="text1"/>
        </w:rPr>
        <w:t>. L</w:t>
      </w:r>
      <w:r w:rsidR="00735526" w:rsidRPr="00C706A5">
        <w:rPr>
          <w:rFonts w:ascii="Times New Roman" w:hAnsi="Times New Roman" w:cs="Times New Roman"/>
          <w:color w:val="000000" w:themeColor="text1"/>
        </w:rPr>
        <w:t>e solde de cet indicateur se situe, ainsi, à un niveau négatif de -</w:t>
      </w:r>
      <w:r w:rsidR="00107E17">
        <w:rPr>
          <w:rFonts w:ascii="Times New Roman" w:hAnsi="Times New Roman" w:cs="Times New Roman"/>
          <w:color w:val="000000" w:themeColor="text1"/>
        </w:rPr>
        <w:t>69,8</w:t>
      </w:r>
      <w:r w:rsidR="00561B7D">
        <w:rPr>
          <w:rFonts w:ascii="Times New Roman" w:hAnsi="Times New Roman" w:cs="Times New Roman"/>
          <w:color w:val="000000" w:themeColor="text1"/>
        </w:rPr>
        <w:t xml:space="preserve"> </w:t>
      </w:r>
      <w:r w:rsidR="00735526" w:rsidRPr="00C706A5">
        <w:rPr>
          <w:rFonts w:ascii="Times New Roman" w:hAnsi="Times New Roman" w:cs="Times New Roman"/>
          <w:color w:val="000000" w:themeColor="text1"/>
        </w:rPr>
        <w:t>points</w:t>
      </w:r>
      <w:r w:rsidR="006B2086">
        <w:rPr>
          <w:rFonts w:ascii="Times New Roman" w:hAnsi="Times New Roman" w:cs="Times New Roman"/>
          <w:color w:val="000000" w:themeColor="text1"/>
        </w:rPr>
        <w:t>,</w:t>
      </w:r>
      <w:r w:rsidR="00735526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8D4C14">
        <w:rPr>
          <w:rFonts w:ascii="Times New Roman" w:hAnsi="Times New Roman" w:cs="Times New Roman"/>
          <w:color w:val="000000" w:themeColor="text1"/>
        </w:rPr>
        <w:t xml:space="preserve">enregistrant </w:t>
      </w:r>
      <w:r w:rsidR="00DA244B">
        <w:rPr>
          <w:rFonts w:ascii="Times New Roman" w:hAnsi="Times New Roman" w:cs="Times New Roman"/>
          <w:color w:val="000000" w:themeColor="text1"/>
        </w:rPr>
        <w:t>une</w:t>
      </w:r>
      <w:r w:rsidR="00DA244B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B6102A">
        <w:rPr>
          <w:rFonts w:ascii="Times New Roman" w:hAnsi="Times New Roman" w:cs="Times New Roman"/>
          <w:color w:val="000000" w:themeColor="text1"/>
        </w:rPr>
        <w:t>amélioration</w:t>
      </w:r>
      <w:r w:rsidR="00DA244B">
        <w:rPr>
          <w:rFonts w:ascii="Times New Roman" w:hAnsi="Times New Roman" w:cs="Times New Roman"/>
          <w:color w:val="000000" w:themeColor="text1"/>
        </w:rPr>
        <w:t xml:space="preserve"> </w:t>
      </w:r>
      <w:r w:rsidR="00DA244B" w:rsidRPr="00C706A5">
        <w:rPr>
          <w:rFonts w:ascii="Times New Roman" w:hAnsi="Times New Roman" w:cs="Times New Roman"/>
          <w:color w:val="000000" w:themeColor="text1"/>
        </w:rPr>
        <w:t xml:space="preserve">de </w:t>
      </w:r>
      <w:r w:rsidR="00107E17">
        <w:rPr>
          <w:rFonts w:ascii="Times New Roman" w:hAnsi="Times New Roman" w:cs="Times New Roman"/>
          <w:color w:val="000000" w:themeColor="text1"/>
        </w:rPr>
        <w:t>1,</w:t>
      </w:r>
      <w:r w:rsidR="00443831">
        <w:rPr>
          <w:rFonts w:ascii="Times New Roman" w:hAnsi="Times New Roman" w:cs="Times New Roman"/>
          <w:color w:val="000000" w:themeColor="text1"/>
        </w:rPr>
        <w:t>3</w:t>
      </w:r>
      <w:r w:rsidR="00107E17">
        <w:rPr>
          <w:rFonts w:ascii="Times New Roman" w:hAnsi="Times New Roman" w:cs="Times New Roman"/>
          <w:color w:val="000000" w:themeColor="text1"/>
        </w:rPr>
        <w:t xml:space="preserve"> point</w:t>
      </w:r>
      <w:r w:rsidR="00DA244B" w:rsidRPr="00641937">
        <w:rPr>
          <w:rFonts w:ascii="Times New Roman" w:hAnsi="Times New Roman" w:cs="Times New Roman"/>
          <w:color w:val="000000" w:themeColor="text1"/>
        </w:rPr>
        <w:t xml:space="preserve"> </w:t>
      </w:r>
      <w:r w:rsidR="00DA244B" w:rsidRPr="00C706A5">
        <w:rPr>
          <w:rFonts w:ascii="Times New Roman" w:hAnsi="Times New Roman" w:cs="Times New Roman"/>
          <w:color w:val="000000" w:themeColor="text1"/>
        </w:rPr>
        <w:t>par rapport au trimestre précédent</w:t>
      </w:r>
      <w:r w:rsidR="00DA244B">
        <w:rPr>
          <w:rFonts w:ascii="Times New Roman" w:hAnsi="Times New Roman" w:cs="Times New Roman"/>
          <w:color w:val="000000" w:themeColor="text1"/>
        </w:rPr>
        <w:t xml:space="preserve"> et </w:t>
      </w:r>
      <w:r w:rsidR="006B2086">
        <w:rPr>
          <w:rFonts w:ascii="Times New Roman" w:hAnsi="Times New Roman" w:cs="Times New Roman"/>
          <w:color w:val="000000" w:themeColor="text1"/>
        </w:rPr>
        <w:t xml:space="preserve">une </w:t>
      </w:r>
      <w:r w:rsidR="00B6102A">
        <w:rPr>
          <w:rFonts w:ascii="Times New Roman" w:hAnsi="Times New Roman" w:cs="Times New Roman"/>
          <w:color w:val="000000" w:themeColor="text1"/>
        </w:rPr>
        <w:t>détérioration</w:t>
      </w:r>
      <w:r w:rsidR="006B2086">
        <w:rPr>
          <w:rFonts w:ascii="Times New Roman" w:hAnsi="Times New Roman" w:cs="Times New Roman"/>
          <w:color w:val="000000" w:themeColor="text1"/>
        </w:rPr>
        <w:t xml:space="preserve"> </w:t>
      </w:r>
      <w:r w:rsidR="00236927">
        <w:rPr>
          <w:rFonts w:ascii="Times New Roman" w:hAnsi="Times New Roman" w:cs="Times New Roman"/>
          <w:color w:val="000000" w:themeColor="text1"/>
        </w:rPr>
        <w:t xml:space="preserve">de </w:t>
      </w:r>
      <w:r w:rsidR="00107E17">
        <w:rPr>
          <w:rFonts w:ascii="Times New Roman" w:hAnsi="Times New Roman" w:cs="Times New Roman"/>
          <w:color w:val="000000" w:themeColor="text1"/>
        </w:rPr>
        <w:t>3,</w:t>
      </w:r>
      <w:r w:rsidR="00443831">
        <w:rPr>
          <w:rFonts w:ascii="Times New Roman" w:hAnsi="Times New Roman" w:cs="Times New Roman"/>
          <w:color w:val="000000" w:themeColor="text1"/>
        </w:rPr>
        <w:t>2 points</w:t>
      </w:r>
      <w:r w:rsidR="005F2E1B">
        <w:rPr>
          <w:rFonts w:ascii="Times New Roman" w:hAnsi="Times New Roman" w:cs="Times New Roman"/>
          <w:color w:val="000000" w:themeColor="text1"/>
        </w:rPr>
        <w:t xml:space="preserve"> </w:t>
      </w:r>
      <w:r w:rsidR="00641937" w:rsidRPr="00C706A5">
        <w:rPr>
          <w:rFonts w:ascii="Times New Roman" w:hAnsi="Times New Roman" w:cs="Times New Roman"/>
          <w:color w:val="000000" w:themeColor="text1"/>
        </w:rPr>
        <w:t xml:space="preserve">par rapport à la même période de </w:t>
      </w:r>
      <w:r w:rsidR="00641937">
        <w:rPr>
          <w:rFonts w:ascii="Times New Roman" w:hAnsi="Times New Roman" w:cs="Times New Roman"/>
          <w:color w:val="000000" w:themeColor="text1"/>
        </w:rPr>
        <w:t>201</w:t>
      </w:r>
      <w:r w:rsidR="00107E17">
        <w:rPr>
          <w:rFonts w:ascii="Times New Roman" w:hAnsi="Times New Roman" w:cs="Times New Roman"/>
          <w:color w:val="000000" w:themeColor="text1"/>
        </w:rPr>
        <w:t>4</w:t>
      </w:r>
      <w:r w:rsidR="00735526" w:rsidRPr="00C706A5">
        <w:rPr>
          <w:rFonts w:ascii="Times New Roman" w:hAnsi="Times New Roman" w:cs="Times New Roman"/>
          <w:color w:val="000000" w:themeColor="text1"/>
        </w:rPr>
        <w:t>.</w:t>
      </w:r>
    </w:p>
    <w:p w:rsidR="007C52B7" w:rsidRPr="00C706A5" w:rsidRDefault="007C52B7" w:rsidP="00C60EE9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E92F9F" w:rsidRPr="00C706A5" w:rsidRDefault="00AE27A6" w:rsidP="00927831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9D5532">
        <w:rPr>
          <w:rFonts w:ascii="Times New Roman" w:hAnsi="Times New Roman" w:cs="Times New Roman"/>
          <w:b/>
          <w:bCs/>
          <w:color w:val="000000" w:themeColor="text1"/>
        </w:rPr>
        <w:t>•</w:t>
      </w:r>
      <w:r w:rsidR="003B6387" w:rsidRPr="009D5532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927831">
        <w:rPr>
          <w:rFonts w:ascii="Times New Roman" w:hAnsi="Times New Roman" w:cs="Times New Roman"/>
          <w:b/>
          <w:bCs/>
          <w:color w:val="000000" w:themeColor="text1"/>
        </w:rPr>
        <w:t xml:space="preserve">Une </w:t>
      </w:r>
      <w:r w:rsidR="00C10BA4">
        <w:rPr>
          <w:rFonts w:ascii="Times New Roman" w:hAnsi="Times New Roman" w:cs="Times New Roman"/>
          <w:b/>
          <w:bCs/>
          <w:color w:val="000000" w:themeColor="text1"/>
        </w:rPr>
        <w:t>évolution des</w:t>
      </w:r>
      <w:r w:rsidR="003B6387" w:rsidRPr="009D5532">
        <w:rPr>
          <w:rFonts w:ascii="Times New Roman" w:hAnsi="Times New Roman" w:cs="Times New Roman"/>
          <w:b/>
          <w:bCs/>
          <w:color w:val="000000" w:themeColor="text1"/>
        </w:rPr>
        <w:t xml:space="preserve"> prix des produits alimentaires</w:t>
      </w:r>
      <w:r w:rsidR="00927831">
        <w:rPr>
          <w:rFonts w:ascii="Times New Roman" w:hAnsi="Times New Roman" w:cs="Times New Roman"/>
          <w:b/>
          <w:bCs/>
          <w:color w:val="000000" w:themeColor="text1"/>
        </w:rPr>
        <w:t xml:space="preserve"> perçue en stagnation</w:t>
      </w:r>
    </w:p>
    <w:p w:rsidR="00A644C5" w:rsidRDefault="00985AB3" w:rsidP="00F656E6">
      <w:pPr>
        <w:widowControl/>
        <w:spacing w:before="24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C706A5">
        <w:rPr>
          <w:rFonts w:ascii="Times New Roman" w:hAnsi="Times New Roman" w:cs="Times New Roman"/>
          <w:color w:val="000000" w:themeColor="text1"/>
        </w:rPr>
        <w:t xml:space="preserve">Au </w:t>
      </w:r>
      <w:r w:rsidR="00107E17">
        <w:rPr>
          <w:rFonts w:ascii="Times New Roman" w:hAnsi="Times New Roman" w:cs="Times New Roman"/>
          <w:color w:val="000000" w:themeColor="text1"/>
        </w:rPr>
        <w:t xml:space="preserve">premier </w:t>
      </w:r>
      <w:r w:rsidR="00540AC5">
        <w:rPr>
          <w:rFonts w:ascii="Times New Roman" w:hAnsi="Times New Roman" w:cs="Times New Roman"/>
          <w:color w:val="000000" w:themeColor="text1"/>
        </w:rPr>
        <w:t>trimestre</w:t>
      </w:r>
      <w:r w:rsidR="006E004B">
        <w:rPr>
          <w:rFonts w:ascii="Times New Roman" w:hAnsi="Times New Roman" w:cs="Times New Roman"/>
          <w:color w:val="000000" w:themeColor="text1"/>
        </w:rPr>
        <w:t xml:space="preserve"> </w:t>
      </w:r>
      <w:r w:rsidRPr="00C706A5">
        <w:rPr>
          <w:rFonts w:ascii="Times New Roman" w:hAnsi="Times New Roman" w:cs="Times New Roman"/>
          <w:color w:val="000000" w:themeColor="text1"/>
        </w:rPr>
        <w:t xml:space="preserve">de </w:t>
      </w:r>
      <w:r w:rsidR="0004211E">
        <w:rPr>
          <w:rFonts w:ascii="Times New Roman" w:hAnsi="Times New Roman" w:cs="Times New Roman"/>
          <w:color w:val="000000" w:themeColor="text1"/>
        </w:rPr>
        <w:t>201</w:t>
      </w:r>
      <w:r w:rsidR="00107E17">
        <w:rPr>
          <w:rFonts w:ascii="Times New Roman" w:hAnsi="Times New Roman" w:cs="Times New Roman"/>
          <w:color w:val="000000" w:themeColor="text1"/>
        </w:rPr>
        <w:t>5</w:t>
      </w:r>
      <w:r w:rsidRPr="00C706A5">
        <w:rPr>
          <w:rFonts w:ascii="Times New Roman" w:hAnsi="Times New Roman" w:cs="Times New Roman"/>
          <w:color w:val="000000" w:themeColor="text1"/>
        </w:rPr>
        <w:t xml:space="preserve">, </w:t>
      </w:r>
      <w:r w:rsidR="00236927">
        <w:rPr>
          <w:rFonts w:ascii="Times New Roman" w:hAnsi="Times New Roman" w:cs="Times New Roman"/>
          <w:color w:val="000000" w:themeColor="text1"/>
        </w:rPr>
        <w:t>8</w:t>
      </w:r>
      <w:r w:rsidR="00107E17">
        <w:rPr>
          <w:rFonts w:ascii="Times New Roman" w:hAnsi="Times New Roman" w:cs="Times New Roman"/>
          <w:color w:val="000000" w:themeColor="text1"/>
        </w:rPr>
        <w:t>7</w:t>
      </w:r>
      <w:r w:rsidR="00236927">
        <w:rPr>
          <w:rFonts w:ascii="Times New Roman" w:hAnsi="Times New Roman" w:cs="Times New Roman"/>
          <w:color w:val="000000" w:themeColor="text1"/>
        </w:rPr>
        <w:t>,</w:t>
      </w:r>
      <w:r w:rsidR="00C305AE">
        <w:rPr>
          <w:rFonts w:ascii="Times New Roman" w:hAnsi="Times New Roman" w:cs="Times New Roman"/>
          <w:color w:val="000000" w:themeColor="text1"/>
        </w:rPr>
        <w:t>8</w:t>
      </w:r>
      <w:r w:rsidR="00563170" w:rsidRPr="00C706A5">
        <w:rPr>
          <w:rFonts w:ascii="Times New Roman" w:hAnsi="Times New Roman" w:cs="Times New Roman"/>
          <w:color w:val="000000" w:themeColor="text1"/>
        </w:rPr>
        <w:t>%</w:t>
      </w:r>
      <w:r w:rsidR="00742AC3" w:rsidRPr="00C706A5">
        <w:rPr>
          <w:rFonts w:ascii="Times New Roman" w:hAnsi="Times New Roman" w:cs="Times New Roman"/>
          <w:color w:val="000000" w:themeColor="text1"/>
        </w:rPr>
        <w:t xml:space="preserve"> des ménages</w:t>
      </w:r>
      <w:r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F656E6">
        <w:rPr>
          <w:rFonts w:ascii="Times New Roman" w:hAnsi="Times New Roman" w:cs="Times New Roman"/>
          <w:color w:val="000000" w:themeColor="text1"/>
        </w:rPr>
        <w:t>estiment</w:t>
      </w:r>
      <w:r w:rsidR="00F656E6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A644C5" w:rsidRPr="00C706A5">
        <w:rPr>
          <w:rFonts w:ascii="Times New Roman" w:hAnsi="Times New Roman" w:cs="Times New Roman"/>
          <w:color w:val="000000" w:themeColor="text1"/>
        </w:rPr>
        <w:t>que les prix des produits alimentaires ont augmenté</w:t>
      </w:r>
      <w:r w:rsidR="00DC1E47">
        <w:rPr>
          <w:rFonts w:ascii="Times New Roman" w:hAnsi="Times New Roman" w:cs="Times New Roman" w:hint="cs"/>
          <w:color w:val="000000" w:themeColor="text1"/>
          <w:rtl/>
        </w:rPr>
        <w:t xml:space="preserve"> </w:t>
      </w:r>
      <w:r w:rsidR="00E009EE">
        <w:rPr>
          <w:rFonts w:ascii="Times New Roman" w:hAnsi="Times New Roman" w:cs="Times New Roman"/>
          <w:color w:val="000000" w:themeColor="text1"/>
        </w:rPr>
        <w:t>durant les 12 derniers mois</w:t>
      </w:r>
      <w:r w:rsidR="00D77F27">
        <w:rPr>
          <w:rFonts w:ascii="Times New Roman" w:hAnsi="Times New Roman" w:cs="Times New Roman"/>
          <w:color w:val="000000" w:themeColor="text1"/>
        </w:rPr>
        <w:t xml:space="preserve">, 11,6 % </w:t>
      </w:r>
      <w:r w:rsidR="00F656E6">
        <w:rPr>
          <w:rFonts w:ascii="Times New Roman" w:hAnsi="Times New Roman" w:cs="Times New Roman"/>
          <w:color w:val="000000" w:themeColor="text1"/>
        </w:rPr>
        <w:t xml:space="preserve">jugent </w:t>
      </w:r>
      <w:r w:rsidR="00D77F27">
        <w:rPr>
          <w:rFonts w:ascii="Times New Roman" w:hAnsi="Times New Roman" w:cs="Times New Roman"/>
          <w:color w:val="000000" w:themeColor="text1"/>
        </w:rPr>
        <w:t>qu’ils ont stagné et 0,6</w:t>
      </w:r>
      <w:r w:rsidR="00A644C5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173781">
        <w:rPr>
          <w:rFonts w:ascii="Times New Roman" w:hAnsi="Times New Roman" w:cs="Times New Roman"/>
          <w:color w:val="000000" w:themeColor="text1"/>
        </w:rPr>
        <w:t xml:space="preserve">% </w:t>
      </w:r>
      <w:r w:rsidR="0064773C">
        <w:rPr>
          <w:rFonts w:ascii="Times New Roman" w:hAnsi="Times New Roman" w:cs="Times New Roman"/>
          <w:color w:val="000000" w:themeColor="text1"/>
        </w:rPr>
        <w:t xml:space="preserve">croient </w:t>
      </w:r>
      <w:r w:rsidR="00D77F27">
        <w:rPr>
          <w:rFonts w:ascii="Times New Roman" w:hAnsi="Times New Roman" w:cs="Times New Roman"/>
          <w:color w:val="000000" w:themeColor="text1"/>
        </w:rPr>
        <w:t>qu’ils ont baissé. Avec un niveau de -8</w:t>
      </w:r>
      <w:r w:rsidR="0064773C">
        <w:rPr>
          <w:rFonts w:ascii="Times New Roman" w:hAnsi="Times New Roman" w:cs="Times New Roman"/>
          <w:color w:val="000000" w:themeColor="text1"/>
        </w:rPr>
        <w:t>7</w:t>
      </w:r>
      <w:r w:rsidR="00D77F27">
        <w:rPr>
          <w:rFonts w:ascii="Times New Roman" w:hAnsi="Times New Roman" w:cs="Times New Roman"/>
          <w:color w:val="000000" w:themeColor="text1"/>
        </w:rPr>
        <w:t>,2 points, l</w:t>
      </w:r>
      <w:r w:rsidR="006B2086">
        <w:rPr>
          <w:rFonts w:ascii="Times New Roman" w:hAnsi="Times New Roman" w:cs="Times New Roman"/>
          <w:color w:val="000000" w:themeColor="text1"/>
        </w:rPr>
        <w:t>e</w:t>
      </w:r>
      <w:r w:rsidR="00C17A37" w:rsidRPr="00C706A5">
        <w:rPr>
          <w:rFonts w:ascii="Times New Roman" w:hAnsi="Times New Roman" w:cs="Times New Roman"/>
          <w:color w:val="000000" w:themeColor="text1"/>
        </w:rPr>
        <w:t xml:space="preserve"> solde d</w:t>
      </w:r>
      <w:r w:rsidR="00A644C5" w:rsidRPr="00C706A5">
        <w:rPr>
          <w:rFonts w:ascii="Times New Roman" w:hAnsi="Times New Roman" w:cs="Times New Roman"/>
          <w:color w:val="000000" w:themeColor="text1"/>
        </w:rPr>
        <w:t xml:space="preserve">e cet indicateur </w:t>
      </w:r>
      <w:r w:rsidR="00513F5E">
        <w:rPr>
          <w:rFonts w:ascii="Times New Roman" w:hAnsi="Times New Roman" w:cs="Times New Roman"/>
          <w:color w:val="000000" w:themeColor="text1"/>
        </w:rPr>
        <w:t xml:space="preserve">s’est </w:t>
      </w:r>
      <w:r w:rsidR="006F2FA8">
        <w:rPr>
          <w:rFonts w:ascii="Times New Roman" w:hAnsi="Times New Roman" w:cs="Times New Roman"/>
          <w:color w:val="000000" w:themeColor="text1"/>
        </w:rPr>
        <w:t>détério</w:t>
      </w:r>
      <w:r w:rsidR="00513F5E">
        <w:rPr>
          <w:rFonts w:ascii="Times New Roman" w:hAnsi="Times New Roman" w:cs="Times New Roman"/>
          <w:color w:val="000000" w:themeColor="text1"/>
        </w:rPr>
        <w:t>ré</w:t>
      </w:r>
      <w:r w:rsidR="00352D33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75581F">
        <w:rPr>
          <w:rFonts w:ascii="Times New Roman" w:hAnsi="Times New Roman" w:cs="Times New Roman"/>
          <w:color w:val="000000" w:themeColor="text1"/>
        </w:rPr>
        <w:t xml:space="preserve">de </w:t>
      </w:r>
      <w:r w:rsidR="006F2FA8">
        <w:rPr>
          <w:rFonts w:ascii="Times New Roman" w:hAnsi="Times New Roman" w:cs="Times New Roman"/>
          <w:color w:val="000000" w:themeColor="text1"/>
        </w:rPr>
        <w:t>2</w:t>
      </w:r>
      <w:r w:rsidR="00236927">
        <w:rPr>
          <w:rFonts w:ascii="Times New Roman" w:hAnsi="Times New Roman" w:cs="Times New Roman"/>
          <w:color w:val="000000" w:themeColor="text1"/>
        </w:rPr>
        <w:t>,</w:t>
      </w:r>
      <w:r w:rsidR="006B2086">
        <w:rPr>
          <w:rFonts w:ascii="Times New Roman" w:hAnsi="Times New Roman" w:cs="Times New Roman"/>
          <w:color w:val="000000" w:themeColor="text1"/>
        </w:rPr>
        <w:t>7</w:t>
      </w:r>
      <w:r w:rsidR="0075581F">
        <w:rPr>
          <w:rFonts w:ascii="Times New Roman" w:hAnsi="Times New Roman" w:cs="Times New Roman"/>
          <w:color w:val="000000" w:themeColor="text1"/>
        </w:rPr>
        <w:t xml:space="preserve"> point</w:t>
      </w:r>
      <w:r w:rsidR="00107E17">
        <w:rPr>
          <w:rFonts w:ascii="Times New Roman" w:hAnsi="Times New Roman" w:cs="Times New Roman"/>
          <w:color w:val="000000" w:themeColor="text1"/>
        </w:rPr>
        <w:t xml:space="preserve">s </w:t>
      </w:r>
      <w:r w:rsidR="0075581F" w:rsidRPr="00C706A5">
        <w:rPr>
          <w:rFonts w:ascii="Times New Roman" w:hAnsi="Times New Roman" w:cs="Times New Roman"/>
          <w:color w:val="000000" w:themeColor="text1"/>
        </w:rPr>
        <w:t>par rapport au trimestre précédent</w:t>
      </w:r>
      <w:r w:rsidR="0075581F">
        <w:rPr>
          <w:rFonts w:ascii="Times New Roman" w:hAnsi="Times New Roman" w:cs="Times New Roman"/>
          <w:color w:val="000000" w:themeColor="text1"/>
        </w:rPr>
        <w:t xml:space="preserve"> et </w:t>
      </w:r>
      <w:r w:rsidR="006F2FA8">
        <w:rPr>
          <w:rFonts w:ascii="Times New Roman" w:hAnsi="Times New Roman" w:cs="Times New Roman"/>
          <w:color w:val="000000" w:themeColor="text1"/>
        </w:rPr>
        <w:t xml:space="preserve">s’est amélioré de </w:t>
      </w:r>
      <w:r w:rsidR="00107E17">
        <w:rPr>
          <w:rFonts w:ascii="Times New Roman" w:hAnsi="Times New Roman" w:cs="Times New Roman"/>
          <w:color w:val="000000" w:themeColor="text1"/>
        </w:rPr>
        <w:t>2,2</w:t>
      </w:r>
      <w:r w:rsidR="00C427E9">
        <w:rPr>
          <w:rFonts w:ascii="Times New Roman" w:hAnsi="Times New Roman" w:cs="Times New Roman"/>
          <w:color w:val="000000" w:themeColor="text1"/>
        </w:rPr>
        <w:t xml:space="preserve"> </w:t>
      </w:r>
      <w:r w:rsidR="00A21054" w:rsidRPr="00C706A5">
        <w:rPr>
          <w:rFonts w:ascii="Times New Roman" w:hAnsi="Times New Roman" w:cs="Times New Roman"/>
          <w:color w:val="000000" w:themeColor="text1"/>
        </w:rPr>
        <w:t>point</w:t>
      </w:r>
      <w:r w:rsidR="006F2FA8">
        <w:rPr>
          <w:rFonts w:ascii="Times New Roman" w:hAnsi="Times New Roman" w:cs="Times New Roman"/>
          <w:color w:val="000000" w:themeColor="text1"/>
        </w:rPr>
        <w:t>s</w:t>
      </w:r>
      <w:r w:rsidR="00352D33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A21054" w:rsidRPr="00C706A5">
        <w:rPr>
          <w:rFonts w:ascii="Times New Roman" w:hAnsi="Times New Roman" w:cs="Times New Roman"/>
          <w:color w:val="000000" w:themeColor="text1"/>
        </w:rPr>
        <w:t xml:space="preserve">par rapport au même trimestre de </w:t>
      </w:r>
      <w:r w:rsidR="00FF44FD">
        <w:rPr>
          <w:rFonts w:ascii="Times New Roman" w:hAnsi="Times New Roman" w:cs="Times New Roman"/>
          <w:color w:val="000000" w:themeColor="text1"/>
        </w:rPr>
        <w:t>201</w:t>
      </w:r>
      <w:r w:rsidR="00107E17">
        <w:rPr>
          <w:rFonts w:ascii="Times New Roman" w:hAnsi="Times New Roman" w:cs="Times New Roman"/>
          <w:color w:val="000000" w:themeColor="text1"/>
        </w:rPr>
        <w:t>4</w:t>
      </w:r>
      <w:r w:rsidR="00A21054" w:rsidRPr="00C706A5">
        <w:rPr>
          <w:rFonts w:ascii="Times New Roman" w:hAnsi="Times New Roman" w:cs="Times New Roman"/>
          <w:color w:val="000000" w:themeColor="text1"/>
        </w:rPr>
        <w:t>.</w:t>
      </w:r>
    </w:p>
    <w:p w:rsidR="00435604" w:rsidRPr="00C706A5" w:rsidRDefault="00435604" w:rsidP="00471039">
      <w:pPr>
        <w:widowControl/>
        <w:spacing w:before="24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D54358" w:rsidRPr="00C706A5" w:rsidRDefault="006B2086" w:rsidP="00511BC9">
      <w:pPr>
        <w:widowControl/>
        <w:spacing w:before="240"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S’agissant des</w:t>
      </w:r>
      <w:r w:rsidR="00700954" w:rsidRPr="00C706A5">
        <w:rPr>
          <w:rFonts w:ascii="Times New Roman" w:hAnsi="Times New Roman" w:cs="Times New Roman"/>
          <w:color w:val="000000" w:themeColor="text1"/>
        </w:rPr>
        <w:t xml:space="preserve"> perspectives d’évolution des prix des produits alimentaires, </w:t>
      </w:r>
      <w:r w:rsidR="002A7E5D">
        <w:rPr>
          <w:rFonts w:ascii="Times New Roman" w:hAnsi="Times New Roman" w:cs="Times New Roman"/>
          <w:color w:val="000000" w:themeColor="text1"/>
        </w:rPr>
        <w:t>7</w:t>
      </w:r>
      <w:r w:rsidR="00107E17">
        <w:rPr>
          <w:rFonts w:ascii="Times New Roman" w:hAnsi="Times New Roman" w:cs="Times New Roman"/>
          <w:color w:val="000000" w:themeColor="text1"/>
        </w:rPr>
        <w:t>8,7</w:t>
      </w:r>
      <w:r w:rsidR="002A7E5D">
        <w:rPr>
          <w:rFonts w:ascii="Times New Roman" w:hAnsi="Times New Roman" w:cs="Times New Roman"/>
          <w:color w:val="000000" w:themeColor="text1"/>
        </w:rPr>
        <w:t>%</w:t>
      </w:r>
      <w:r w:rsidR="002A1C56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2A7E5D">
        <w:rPr>
          <w:rFonts w:ascii="Times New Roman" w:hAnsi="Times New Roman" w:cs="Times New Roman"/>
          <w:color w:val="000000" w:themeColor="text1"/>
        </w:rPr>
        <w:t xml:space="preserve">des ménages </w:t>
      </w:r>
      <w:r w:rsidR="002A1C56" w:rsidRPr="00C706A5">
        <w:rPr>
          <w:rFonts w:ascii="Times New Roman" w:hAnsi="Times New Roman" w:cs="Times New Roman"/>
          <w:color w:val="000000" w:themeColor="text1"/>
        </w:rPr>
        <w:t>pensent qu</w:t>
      </w:r>
      <w:r w:rsidR="00B42576">
        <w:rPr>
          <w:rFonts w:ascii="Times New Roman" w:hAnsi="Times New Roman" w:cs="Times New Roman"/>
          <w:color w:val="000000" w:themeColor="text1"/>
        </w:rPr>
        <w:t xml:space="preserve">’ils </w:t>
      </w:r>
      <w:r w:rsidR="002A1C56" w:rsidRPr="00C706A5">
        <w:rPr>
          <w:rFonts w:ascii="Times New Roman" w:hAnsi="Times New Roman" w:cs="Times New Roman"/>
          <w:color w:val="000000" w:themeColor="text1"/>
        </w:rPr>
        <w:t xml:space="preserve">continueront à augmenter dans le futur </w:t>
      </w:r>
      <w:r w:rsidR="00985AB3" w:rsidRPr="00C706A5">
        <w:rPr>
          <w:rFonts w:ascii="Times New Roman" w:hAnsi="Times New Roman" w:cs="Times New Roman"/>
          <w:color w:val="000000" w:themeColor="text1"/>
        </w:rPr>
        <w:t xml:space="preserve">contre </w:t>
      </w:r>
      <w:r w:rsidR="008D3987">
        <w:rPr>
          <w:rFonts w:ascii="Times New Roman" w:hAnsi="Times New Roman" w:cs="Times New Roman"/>
          <w:color w:val="000000" w:themeColor="text1"/>
        </w:rPr>
        <w:t>19,8</w:t>
      </w:r>
      <w:r w:rsidR="00985AB3" w:rsidRPr="00C706A5">
        <w:rPr>
          <w:rFonts w:ascii="Times New Roman" w:hAnsi="Times New Roman" w:cs="Times New Roman"/>
          <w:color w:val="000000" w:themeColor="text1"/>
        </w:rPr>
        <w:t xml:space="preserve">% </w:t>
      </w:r>
      <w:r w:rsidR="008D3987">
        <w:rPr>
          <w:rFonts w:ascii="Times New Roman" w:hAnsi="Times New Roman" w:cs="Times New Roman"/>
          <w:color w:val="000000" w:themeColor="text1"/>
        </w:rPr>
        <w:t xml:space="preserve">qui prévoient leur stagnation et </w:t>
      </w:r>
      <w:r w:rsidR="00565E32">
        <w:rPr>
          <w:rFonts w:ascii="Times New Roman" w:hAnsi="Times New Roman" w:cs="Times New Roman"/>
          <w:color w:val="000000" w:themeColor="text1"/>
        </w:rPr>
        <w:t>1</w:t>
      </w:r>
      <w:r w:rsidR="008D3987">
        <w:rPr>
          <w:rFonts w:ascii="Times New Roman" w:hAnsi="Times New Roman" w:cs="Times New Roman"/>
          <w:color w:val="000000" w:themeColor="text1"/>
        </w:rPr>
        <w:t>,</w:t>
      </w:r>
      <w:r w:rsidR="00565E32">
        <w:rPr>
          <w:rFonts w:ascii="Times New Roman" w:hAnsi="Times New Roman" w:cs="Times New Roman"/>
          <w:color w:val="000000" w:themeColor="text1"/>
        </w:rPr>
        <w:t>5</w:t>
      </w:r>
      <w:r w:rsidR="008D3987">
        <w:rPr>
          <w:rFonts w:ascii="Times New Roman" w:hAnsi="Times New Roman" w:cs="Times New Roman"/>
          <w:color w:val="000000" w:themeColor="text1"/>
        </w:rPr>
        <w:t xml:space="preserve">% </w:t>
      </w:r>
      <w:r w:rsidR="00B42576">
        <w:rPr>
          <w:rFonts w:ascii="Times New Roman" w:hAnsi="Times New Roman" w:cs="Times New Roman"/>
          <w:color w:val="000000" w:themeColor="text1"/>
        </w:rPr>
        <w:t>leur b</w:t>
      </w:r>
      <w:r w:rsidR="008D3987">
        <w:rPr>
          <w:rFonts w:ascii="Times New Roman" w:hAnsi="Times New Roman" w:cs="Times New Roman"/>
          <w:color w:val="000000" w:themeColor="text1"/>
        </w:rPr>
        <w:t xml:space="preserve">aisse. </w:t>
      </w:r>
      <w:r w:rsidR="00511BC9">
        <w:rPr>
          <w:rFonts w:ascii="Times New Roman" w:hAnsi="Times New Roman" w:cs="Times New Roman"/>
          <w:color w:val="000000" w:themeColor="text1"/>
        </w:rPr>
        <w:t>Avec -77,2 points, l</w:t>
      </w:r>
      <w:r w:rsidR="002A1C56" w:rsidRPr="00C706A5">
        <w:rPr>
          <w:rFonts w:ascii="Times New Roman" w:hAnsi="Times New Roman" w:cs="Times New Roman"/>
          <w:color w:val="000000" w:themeColor="text1"/>
        </w:rPr>
        <w:t xml:space="preserve">e solde </w:t>
      </w:r>
      <w:r w:rsidR="003A52E9" w:rsidRPr="00C706A5">
        <w:rPr>
          <w:rFonts w:ascii="Times New Roman" w:hAnsi="Times New Roman" w:cs="Times New Roman"/>
          <w:color w:val="000000" w:themeColor="text1"/>
        </w:rPr>
        <w:t xml:space="preserve"> relatif aux perspectives d’évolution </w:t>
      </w:r>
      <w:r w:rsidR="002A1C56" w:rsidRPr="00C706A5">
        <w:rPr>
          <w:rFonts w:ascii="Times New Roman" w:hAnsi="Times New Roman" w:cs="Times New Roman"/>
          <w:color w:val="000000" w:themeColor="text1"/>
        </w:rPr>
        <w:t>de</w:t>
      </w:r>
      <w:r w:rsidR="00511BC9">
        <w:rPr>
          <w:rFonts w:ascii="Times New Roman" w:hAnsi="Times New Roman" w:cs="Times New Roman"/>
          <w:color w:val="000000" w:themeColor="text1"/>
        </w:rPr>
        <w:t xml:space="preserve">s </w:t>
      </w:r>
      <w:r w:rsidR="002A1C56" w:rsidRPr="00C706A5">
        <w:rPr>
          <w:rFonts w:ascii="Times New Roman" w:hAnsi="Times New Roman" w:cs="Times New Roman"/>
          <w:color w:val="000000" w:themeColor="text1"/>
        </w:rPr>
        <w:t>prix</w:t>
      </w:r>
      <w:r w:rsidR="008D3987">
        <w:rPr>
          <w:rFonts w:ascii="Times New Roman" w:hAnsi="Times New Roman" w:cs="Times New Roman"/>
          <w:color w:val="000000" w:themeColor="text1"/>
        </w:rPr>
        <w:t xml:space="preserve"> </w:t>
      </w:r>
      <w:r w:rsidR="00C95A6B">
        <w:rPr>
          <w:rFonts w:ascii="Times New Roman" w:hAnsi="Times New Roman" w:cs="Times New Roman"/>
          <w:color w:val="000000" w:themeColor="text1"/>
        </w:rPr>
        <w:t xml:space="preserve">n’a pas connu de changement significatif </w:t>
      </w:r>
      <w:r w:rsidR="00387270">
        <w:rPr>
          <w:rFonts w:ascii="Times New Roman" w:hAnsi="Times New Roman" w:cs="Times New Roman"/>
          <w:color w:val="000000" w:themeColor="text1"/>
        </w:rPr>
        <w:t xml:space="preserve">aussi bien </w:t>
      </w:r>
      <w:r w:rsidR="00C95A6B">
        <w:rPr>
          <w:rFonts w:ascii="Times New Roman" w:hAnsi="Times New Roman" w:cs="Times New Roman"/>
          <w:color w:val="000000" w:themeColor="text1"/>
        </w:rPr>
        <w:t xml:space="preserve">par rapport au trimestre précédent et </w:t>
      </w:r>
      <w:r w:rsidR="00F61D79">
        <w:rPr>
          <w:rFonts w:ascii="Times New Roman" w:hAnsi="Times New Roman" w:cs="Times New Roman"/>
          <w:color w:val="000000" w:themeColor="text1"/>
        </w:rPr>
        <w:t>qu’</w:t>
      </w:r>
      <w:r w:rsidR="00C95A6B">
        <w:rPr>
          <w:rFonts w:ascii="Times New Roman" w:hAnsi="Times New Roman" w:cs="Times New Roman"/>
          <w:color w:val="000000" w:themeColor="text1"/>
        </w:rPr>
        <w:t xml:space="preserve">au même trimestre de l’année </w:t>
      </w:r>
      <w:r w:rsidR="00387270">
        <w:rPr>
          <w:rFonts w:ascii="Times New Roman" w:hAnsi="Times New Roman" w:cs="Times New Roman"/>
          <w:color w:val="000000" w:themeColor="text1"/>
        </w:rPr>
        <w:t>passée</w:t>
      </w:r>
      <w:r w:rsidR="007D6641" w:rsidRPr="00C706A5">
        <w:rPr>
          <w:rFonts w:ascii="Times New Roman" w:hAnsi="Times New Roman" w:cs="Times New Roman"/>
          <w:color w:val="000000" w:themeColor="text1"/>
        </w:rPr>
        <w:t>.</w:t>
      </w:r>
    </w:p>
    <w:p w:rsidR="00BC5D13" w:rsidRPr="00C706A5" w:rsidRDefault="00C0250F" w:rsidP="00C0250F">
      <w:pPr>
        <w:widowControl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C706A5">
        <w:rPr>
          <w:rFonts w:ascii="Times New Roman" w:hAnsi="Times New Roman" w:cs="Times New Roman"/>
          <w:noProof/>
          <w:color w:val="000000" w:themeColor="text1"/>
        </w:rPr>
        <w:t xml:space="preserve">  </w:t>
      </w:r>
      <w:r w:rsidR="00BC5D13" w:rsidRPr="00C706A5">
        <w:rPr>
          <w:rFonts w:ascii="Times New Roman" w:hAnsi="Times New Roman" w:cs="Times New Roman"/>
          <w:noProof/>
          <w:color w:val="000000" w:themeColor="text1"/>
        </w:rPr>
        <w:t xml:space="preserve">  </w:t>
      </w:r>
      <w:r w:rsidR="00C72318" w:rsidRPr="00C706A5">
        <w:rPr>
          <w:noProof/>
          <w:color w:val="000000" w:themeColor="text1"/>
        </w:rPr>
        <w:t xml:space="preserve"> </w:t>
      </w:r>
      <w:r w:rsidR="00C21ABF" w:rsidRPr="00C21ABF">
        <w:rPr>
          <w:noProof/>
        </w:rPr>
        <w:t xml:space="preserve"> </w:t>
      </w:r>
    </w:p>
    <w:p w:rsidR="00D03E2E" w:rsidRPr="00C706A5" w:rsidRDefault="0069760B" w:rsidP="009E2A58">
      <w:pPr>
        <w:widowControl/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69760B">
        <w:rPr>
          <w:rFonts w:ascii="Times New Roman" w:hAnsi="Times New Roman" w:cs="Times New Roman"/>
          <w:b/>
          <w:bCs/>
          <w:noProof/>
          <w:color w:val="000000" w:themeColor="text1"/>
        </w:rPr>
        <w:drawing>
          <wp:inline distT="0" distB="0" distL="0" distR="0">
            <wp:extent cx="3086100" cy="4133850"/>
            <wp:effectExtent l="19050" t="0" r="19050" b="0"/>
            <wp:docPr id="15" name="Graphique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69760B">
        <w:rPr>
          <w:rFonts w:ascii="Times New Roman" w:hAnsi="Times New Roman" w:cs="Times New Roman"/>
          <w:b/>
          <w:bCs/>
          <w:noProof/>
          <w:color w:val="000000" w:themeColor="text1"/>
        </w:rPr>
        <w:drawing>
          <wp:inline distT="0" distB="0" distL="0" distR="0">
            <wp:extent cx="3086100" cy="4133850"/>
            <wp:effectExtent l="19050" t="0" r="19050" b="0"/>
            <wp:docPr id="16" name="Graphique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6013E0" w:rsidRDefault="00B57ECB" w:rsidP="0069760B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</w:t>
      </w:r>
      <w:r w:rsidR="0069760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   </w:t>
      </w:r>
    </w:p>
    <w:p w:rsidR="006013E0" w:rsidRDefault="006013E0" w:rsidP="00B57ECB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3A1290" w:rsidRDefault="003A1290" w:rsidP="00B57ECB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C72318" w:rsidRPr="00C706A5" w:rsidRDefault="00C72318" w:rsidP="00B57ECB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C706A5">
        <w:rPr>
          <w:rFonts w:ascii="Times New Roman" w:hAnsi="Times New Roman" w:cs="Times New Roman"/>
          <w:color w:val="000000" w:themeColor="text1"/>
        </w:rPr>
        <w:t>Ci-joint  les détails des différents indicateurs et un rappel des principaux concepts.</w:t>
      </w:r>
    </w:p>
    <w:p w:rsidR="009D209A" w:rsidRPr="00C706A5" w:rsidRDefault="009D209A" w:rsidP="009E682C">
      <w:pPr>
        <w:spacing w:line="360" w:lineRule="auto"/>
        <w:ind w:left="-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9D209A" w:rsidRPr="00C706A5" w:rsidSect="005B1014">
          <w:footerReference w:type="default" r:id="rId15"/>
          <w:pgSz w:w="11906" w:h="16838" w:code="9"/>
          <w:pgMar w:top="1134" w:right="720" w:bottom="720" w:left="1077" w:header="709" w:footer="709" w:gutter="0"/>
          <w:cols w:space="708"/>
          <w:docGrid w:linePitch="360"/>
        </w:sectPr>
      </w:pPr>
    </w:p>
    <w:p w:rsidR="00B623D5" w:rsidRPr="00C706A5" w:rsidRDefault="00B623D5" w:rsidP="00C35BF2">
      <w:pPr>
        <w:spacing w:line="360" w:lineRule="auto"/>
        <w:ind w:left="-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22ACC" w:rsidRDefault="005D5B33" w:rsidP="002F5E45">
      <w:pPr>
        <w:spacing w:line="360" w:lineRule="auto"/>
        <w:ind w:left="-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706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Evolution de l’I</w:t>
      </w:r>
      <w:r w:rsidR="00C35BF2" w:rsidRPr="00C706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ndice de </w:t>
      </w:r>
      <w:r w:rsidRPr="00C706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</w:t>
      </w:r>
      <w:r w:rsidR="00C35BF2" w:rsidRPr="00C706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onfiance des </w:t>
      </w:r>
      <w:r w:rsidRPr="00C706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</w:t>
      </w:r>
      <w:r w:rsidR="00C35BF2" w:rsidRPr="00C706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énages  (ICM) </w:t>
      </w:r>
      <w:r w:rsidRPr="00C706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et de ses composantes</w:t>
      </w:r>
    </w:p>
    <w:tbl>
      <w:tblPr>
        <w:tblW w:w="5163" w:type="pct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3866"/>
        <w:gridCol w:w="565"/>
        <w:gridCol w:w="568"/>
        <w:gridCol w:w="491"/>
        <w:gridCol w:w="417"/>
        <w:gridCol w:w="401"/>
        <w:gridCol w:w="401"/>
        <w:gridCol w:w="401"/>
        <w:gridCol w:w="408"/>
        <w:gridCol w:w="401"/>
        <w:gridCol w:w="401"/>
        <w:gridCol w:w="401"/>
        <w:gridCol w:w="408"/>
        <w:gridCol w:w="401"/>
        <w:gridCol w:w="401"/>
        <w:gridCol w:w="401"/>
        <w:gridCol w:w="408"/>
        <w:gridCol w:w="401"/>
        <w:gridCol w:w="401"/>
        <w:gridCol w:w="401"/>
        <w:gridCol w:w="408"/>
        <w:gridCol w:w="401"/>
        <w:gridCol w:w="401"/>
        <w:gridCol w:w="401"/>
        <w:gridCol w:w="408"/>
        <w:gridCol w:w="401"/>
        <w:gridCol w:w="401"/>
        <w:gridCol w:w="401"/>
        <w:gridCol w:w="408"/>
        <w:gridCol w:w="472"/>
      </w:tblGrid>
      <w:tr w:rsidR="0069760B" w:rsidRPr="0069760B" w:rsidTr="007D0D66">
        <w:trPr>
          <w:trHeight w:val="525"/>
          <w:jc w:val="center"/>
        </w:trPr>
        <w:tc>
          <w:tcPr>
            <w:tcW w:w="12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0B" w:rsidRPr="0069760B" w:rsidRDefault="0069760B" w:rsidP="00B16E6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7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Indicateur</w:t>
            </w:r>
          </w:p>
        </w:tc>
        <w:tc>
          <w:tcPr>
            <w:tcW w:w="63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A15A2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76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2008</w:t>
            </w:r>
          </w:p>
        </w:tc>
        <w:tc>
          <w:tcPr>
            <w:tcW w:w="50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60B" w:rsidRPr="0069760B" w:rsidRDefault="0069760B" w:rsidP="00A15A2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76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2009</w:t>
            </w:r>
          </w:p>
        </w:tc>
        <w:tc>
          <w:tcPr>
            <w:tcW w:w="50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60B" w:rsidRPr="0069760B" w:rsidRDefault="0069760B" w:rsidP="00A15A2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76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2010</w:t>
            </w:r>
          </w:p>
        </w:tc>
        <w:tc>
          <w:tcPr>
            <w:tcW w:w="50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60B" w:rsidRPr="0069760B" w:rsidRDefault="0069760B" w:rsidP="00A15A2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76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2011</w:t>
            </w:r>
          </w:p>
        </w:tc>
        <w:tc>
          <w:tcPr>
            <w:tcW w:w="50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60B" w:rsidRPr="0069760B" w:rsidRDefault="0069760B" w:rsidP="00A15A2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76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2012</w:t>
            </w:r>
          </w:p>
        </w:tc>
        <w:tc>
          <w:tcPr>
            <w:tcW w:w="50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60B" w:rsidRPr="0069760B" w:rsidRDefault="0069760B" w:rsidP="00A15A2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76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2013</w:t>
            </w:r>
          </w:p>
        </w:tc>
        <w:tc>
          <w:tcPr>
            <w:tcW w:w="50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60B" w:rsidRPr="0069760B" w:rsidRDefault="0069760B" w:rsidP="00A15A2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76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2014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69760B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2015</w:t>
            </w:r>
          </w:p>
        </w:tc>
      </w:tr>
      <w:tr w:rsidR="009603D0" w:rsidRPr="0069760B" w:rsidTr="007D0D66">
        <w:trPr>
          <w:trHeight w:val="525"/>
          <w:jc w:val="center"/>
        </w:trPr>
        <w:tc>
          <w:tcPr>
            <w:tcW w:w="1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0B" w:rsidRPr="0069760B" w:rsidRDefault="0069760B" w:rsidP="00C73C3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890C24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890C2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T1/08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60B" w:rsidRPr="00890C24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890C2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T2/08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60B" w:rsidRPr="00890C24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890C2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T3/08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60B" w:rsidRPr="00890C24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890C2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T4/08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60B" w:rsidRPr="00890C24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890C2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T1/09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60B" w:rsidRPr="00890C24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890C2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T2/09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60B" w:rsidRPr="00890C24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890C2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T3/09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60B" w:rsidRPr="00890C24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890C2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T4/09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60B" w:rsidRPr="00890C24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890C2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T1/10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60B" w:rsidRPr="00890C24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890C2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T2/10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60B" w:rsidRPr="00890C24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890C2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T3/10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60B" w:rsidRPr="00890C24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890C2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T4/10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60B" w:rsidRPr="00890C24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890C2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T1/11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60B" w:rsidRPr="00890C24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890C2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T2/11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60B" w:rsidRPr="00890C24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890C2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T3/11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60B" w:rsidRPr="00890C24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890C2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T4/11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60B" w:rsidRPr="00890C24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890C2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T1/12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60B" w:rsidRPr="00890C24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890C2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T2/12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890C24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890C2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T3/12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890C24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890C2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T4/12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60B" w:rsidRPr="00890C24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890C2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T1/13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60B" w:rsidRPr="00890C24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890C2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T2/13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60B" w:rsidRPr="00890C24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890C2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T3/13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60B" w:rsidRPr="00890C24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890C2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T4/13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60B" w:rsidRPr="00890C24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890C2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T1/14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60B" w:rsidRPr="00890C24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890C2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T2/14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60B" w:rsidRPr="00890C24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890C2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T3/14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60B" w:rsidRPr="00890C24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890C2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T4/14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60B" w:rsidRPr="00890C24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3"/>
                <w:szCs w:val="13"/>
              </w:rPr>
            </w:pPr>
            <w:r w:rsidRPr="00890C24">
              <w:rPr>
                <w:rFonts w:ascii="Times New Roman" w:hAnsi="Times New Roman" w:cs="Times New Roman"/>
                <w:b/>
                <w:bCs/>
                <w:color w:val="000000" w:themeColor="text1"/>
                <w:sz w:val="13"/>
                <w:szCs w:val="13"/>
              </w:rPr>
              <w:t xml:space="preserve"> T1/15</w:t>
            </w:r>
          </w:p>
        </w:tc>
      </w:tr>
      <w:tr w:rsidR="009603D0" w:rsidRPr="0069760B" w:rsidTr="007D0D66">
        <w:trPr>
          <w:trHeight w:val="525"/>
          <w:jc w:val="center"/>
        </w:trPr>
        <w:tc>
          <w:tcPr>
            <w:tcW w:w="1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5426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7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Indice de Confiance des Ménages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76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85,9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76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77,7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76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75,6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76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80,1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76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76,9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76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77,6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76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79,1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76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79,5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76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80,1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76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78,8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76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78,6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76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74,7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76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78,4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76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85,8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76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86,5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76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84,5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76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82,9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76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80,7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76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77,6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76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78,4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76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75,8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76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74,3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76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75,4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76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74,2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76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74,1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60B" w:rsidRPr="0069760B" w:rsidRDefault="0069760B" w:rsidP="0069760B">
            <w:pPr>
              <w:ind w:left="-68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69760B">
              <w:rPr>
                <w:rFonts w:ascii="Calibri" w:hAnsi="Calibri"/>
                <w:b/>
                <w:bCs/>
                <w:sz w:val="16"/>
                <w:szCs w:val="16"/>
              </w:rPr>
              <w:t>74,0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76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73,1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76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71,6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60B" w:rsidRPr="0069760B" w:rsidRDefault="0069760B" w:rsidP="0069760B">
            <w:pPr>
              <w:ind w:left="-6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76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73,7</w:t>
            </w:r>
          </w:p>
        </w:tc>
      </w:tr>
      <w:tr w:rsidR="009603D0" w:rsidRPr="0069760B" w:rsidTr="007D0D66">
        <w:trPr>
          <w:trHeight w:val="593"/>
          <w:jc w:val="center"/>
        </w:trPr>
        <w:tc>
          <w:tcPr>
            <w:tcW w:w="1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C73C3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69760B">
              <w:rPr>
                <w:rFonts w:ascii="Times New Roman" w:hAnsi="Times New Roman" w:cs="Times New Roman"/>
                <w:sz w:val="18"/>
                <w:szCs w:val="18"/>
              </w:rPr>
              <w:t>Perspectives d'évolution du nombre de chômeurs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-52,1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-56,6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-51,6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-51,1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-51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-59,1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-57,9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-57,5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-59,2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-61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-56,1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-52,3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-52,4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-46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-41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-41,6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-44,1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-48,6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-56,7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-58,1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-61,7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-67,8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-69,8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-68,2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-69,1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60B" w:rsidRPr="0069760B" w:rsidRDefault="0069760B" w:rsidP="0069760B">
            <w:pPr>
              <w:ind w:left="-68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69760B">
              <w:rPr>
                <w:rFonts w:ascii="Arial" w:hAnsi="Arial" w:cs="Arial"/>
                <w:sz w:val="14"/>
                <w:szCs w:val="14"/>
              </w:rPr>
              <w:t>-66,5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-68,8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-68,0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60B" w:rsidRPr="0069760B" w:rsidRDefault="0069760B" w:rsidP="00633518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69760B">
              <w:rPr>
                <w:rFonts w:ascii="Arial" w:hAnsi="Arial" w:cs="Arial"/>
                <w:color w:val="000000" w:themeColor="text1"/>
                <w:sz w:val="14"/>
                <w:szCs w:val="14"/>
              </w:rPr>
              <w:t>-65,</w:t>
            </w:r>
            <w:r w:rsidR="00633518">
              <w:rPr>
                <w:rFonts w:ascii="Arial" w:hAnsi="Arial" w:cs="Arial"/>
                <w:color w:val="000000" w:themeColor="text1"/>
                <w:sz w:val="14"/>
                <w:szCs w:val="14"/>
              </w:rPr>
              <w:t>2</w:t>
            </w:r>
          </w:p>
        </w:tc>
      </w:tr>
      <w:tr w:rsidR="009603D0" w:rsidRPr="0069760B" w:rsidTr="007D0D66">
        <w:trPr>
          <w:trHeight w:val="601"/>
          <w:jc w:val="center"/>
        </w:trPr>
        <w:tc>
          <w:tcPr>
            <w:tcW w:w="1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C73C3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69760B">
              <w:rPr>
                <w:rFonts w:ascii="Times New Roman" w:hAnsi="Times New Roman" w:cs="Times New Roman"/>
                <w:sz w:val="18"/>
                <w:szCs w:val="18"/>
              </w:rPr>
              <w:t>Evolution  passée du niveau de vie en général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-10,4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-25,2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-31,1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-29,4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-36,7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-29,1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-25,7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-26,5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-25,7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-28,6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-27,9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-37,2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-26,1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-17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-13,4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-20,2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-26,2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-21,8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-27,9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-28,1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-29,2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-23,1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-21,2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-19,9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-18,1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60B" w:rsidRPr="0069760B" w:rsidRDefault="0069760B" w:rsidP="0069760B">
            <w:pPr>
              <w:ind w:left="-68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69760B">
              <w:rPr>
                <w:rFonts w:ascii="Arial" w:hAnsi="Arial" w:cs="Arial"/>
                <w:sz w:val="14"/>
                <w:szCs w:val="14"/>
              </w:rPr>
              <w:t>-17,7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-17,4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-16,5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60B" w:rsidRPr="0069760B" w:rsidRDefault="0069760B" w:rsidP="00633518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69760B">
              <w:rPr>
                <w:rFonts w:ascii="Arial" w:hAnsi="Arial" w:cs="Arial"/>
                <w:color w:val="000000" w:themeColor="text1"/>
                <w:sz w:val="14"/>
                <w:szCs w:val="14"/>
              </w:rPr>
              <w:t>-14,1</w:t>
            </w:r>
          </w:p>
        </w:tc>
      </w:tr>
      <w:tr w:rsidR="009603D0" w:rsidRPr="0069760B" w:rsidTr="007D0D66">
        <w:trPr>
          <w:trHeight w:val="580"/>
          <w:jc w:val="center"/>
        </w:trPr>
        <w:tc>
          <w:tcPr>
            <w:tcW w:w="1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C73C3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69760B">
              <w:rPr>
                <w:rFonts w:ascii="Times New Roman" w:hAnsi="Times New Roman" w:cs="Times New Roman"/>
                <w:sz w:val="18"/>
                <w:szCs w:val="18"/>
              </w:rPr>
              <w:t>Perspectives d'évolution du niveau de vie en général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14,4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-11,5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-21,4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-3,5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-9,3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-3,5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0,1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2,2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0,4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2,7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0,2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-11,4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-1,9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18,1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11,9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13,1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11,2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-3,2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-1,2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-5,1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-4,2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-3,1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-7,9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-11,4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60B" w:rsidRPr="0069760B" w:rsidRDefault="0069760B" w:rsidP="0069760B">
            <w:pPr>
              <w:ind w:left="-68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69760B">
              <w:rPr>
                <w:rFonts w:ascii="Arial" w:hAnsi="Arial" w:cs="Arial"/>
                <w:sz w:val="14"/>
                <w:szCs w:val="14"/>
              </w:rPr>
              <w:t>-13,1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-13,1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-12,7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60B" w:rsidRPr="0069760B" w:rsidRDefault="0069760B" w:rsidP="00633518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69760B">
              <w:rPr>
                <w:rFonts w:ascii="Arial" w:hAnsi="Arial" w:cs="Arial"/>
                <w:color w:val="000000" w:themeColor="text1"/>
                <w:sz w:val="14"/>
                <w:szCs w:val="14"/>
              </w:rPr>
              <w:t>-8,8</w:t>
            </w:r>
          </w:p>
        </w:tc>
      </w:tr>
      <w:tr w:rsidR="009603D0" w:rsidRPr="0069760B" w:rsidTr="007D0D66">
        <w:trPr>
          <w:trHeight w:val="541"/>
          <w:jc w:val="center"/>
        </w:trPr>
        <w:tc>
          <w:tcPr>
            <w:tcW w:w="1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C73C3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69760B">
              <w:rPr>
                <w:rFonts w:ascii="Times New Roman" w:hAnsi="Times New Roman" w:cs="Times New Roman"/>
                <w:sz w:val="18"/>
                <w:szCs w:val="18"/>
              </w:rPr>
              <w:t>Opportunité d'achat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-30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-34,3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-37,5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-39,1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-41,8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-46,5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-43,4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-42,6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-34,8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-37,5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-36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-44,3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-39,9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-39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-36,4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-38,5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-32,5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-37,4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-29,5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-29,3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-28,3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-31,7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-29,5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-31,8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-31,3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60B" w:rsidRPr="0069760B" w:rsidRDefault="0069760B" w:rsidP="0069760B">
            <w:pPr>
              <w:ind w:left="-68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69760B">
              <w:rPr>
                <w:rFonts w:ascii="Arial" w:hAnsi="Arial" w:cs="Arial"/>
                <w:sz w:val="14"/>
                <w:szCs w:val="14"/>
              </w:rPr>
              <w:t>-28,9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-33,1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-38,1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60B" w:rsidRPr="0069760B" w:rsidRDefault="0069760B" w:rsidP="00633518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69760B">
              <w:rPr>
                <w:rFonts w:ascii="Arial" w:hAnsi="Arial" w:cs="Arial"/>
                <w:color w:val="000000" w:themeColor="text1"/>
                <w:sz w:val="14"/>
                <w:szCs w:val="14"/>
              </w:rPr>
              <w:t>-3</w:t>
            </w:r>
            <w:r w:rsidR="00633518">
              <w:rPr>
                <w:rFonts w:ascii="Arial" w:hAnsi="Arial" w:cs="Arial"/>
                <w:color w:val="000000" w:themeColor="text1"/>
                <w:sz w:val="14"/>
                <w:szCs w:val="14"/>
              </w:rPr>
              <w:t>7</w:t>
            </w:r>
          </w:p>
        </w:tc>
      </w:tr>
      <w:tr w:rsidR="009603D0" w:rsidRPr="0069760B" w:rsidTr="007D0D66">
        <w:trPr>
          <w:trHeight w:val="653"/>
          <w:jc w:val="center"/>
        </w:trPr>
        <w:tc>
          <w:tcPr>
            <w:tcW w:w="1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C73C3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69760B">
              <w:rPr>
                <w:rFonts w:ascii="Times New Roman" w:hAnsi="Times New Roman" w:cs="Times New Roman"/>
                <w:sz w:val="18"/>
                <w:szCs w:val="18"/>
              </w:rPr>
              <w:t>Situation financière actuelle des ménages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-33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-32,9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-34,4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-33,1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-31,3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-26,9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-28,3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-25,3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-27,5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-27,6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-30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-28,1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-30,6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-27,1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-24,3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-25,7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-25,4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-31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-30,8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-29,4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-29,8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-30,2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-29,5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-29,5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-31,3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60B" w:rsidRPr="0069760B" w:rsidRDefault="0069760B" w:rsidP="0069760B">
            <w:pPr>
              <w:ind w:left="-68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69760B">
              <w:rPr>
                <w:rFonts w:ascii="Arial" w:hAnsi="Arial" w:cs="Arial"/>
                <w:sz w:val="14"/>
                <w:szCs w:val="14"/>
              </w:rPr>
              <w:t>-29,7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-28,3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-30,6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60B" w:rsidRPr="0069760B" w:rsidRDefault="0069760B" w:rsidP="00633518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69760B">
              <w:rPr>
                <w:rFonts w:ascii="Arial" w:hAnsi="Arial" w:cs="Arial"/>
                <w:color w:val="000000" w:themeColor="text1"/>
                <w:sz w:val="14"/>
                <w:szCs w:val="14"/>
              </w:rPr>
              <w:t>-32,4</w:t>
            </w:r>
          </w:p>
        </w:tc>
      </w:tr>
      <w:tr w:rsidR="009603D0" w:rsidRPr="0069760B" w:rsidTr="007D0D66">
        <w:trPr>
          <w:trHeight w:val="744"/>
          <w:jc w:val="center"/>
        </w:trPr>
        <w:tc>
          <w:tcPr>
            <w:tcW w:w="1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C73C3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69760B">
              <w:rPr>
                <w:rFonts w:ascii="Times New Roman" w:hAnsi="Times New Roman" w:cs="Times New Roman"/>
                <w:sz w:val="18"/>
                <w:szCs w:val="18"/>
              </w:rPr>
              <w:t>Evolution  passée  de la situation financière des ménages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-11,8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-11,4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-11,7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-9,5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-18,4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-13,4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-8,3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-11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-10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-7,9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-7,5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-12,8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-10,5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-8,9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-6,4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-9,8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-14,1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-16,6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-16,7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-15,7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-19,6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-23,8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-21,9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-21,9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-21,3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60B" w:rsidRPr="0069760B" w:rsidRDefault="0069760B" w:rsidP="0069760B">
            <w:pPr>
              <w:ind w:left="-68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69760B">
              <w:rPr>
                <w:rFonts w:ascii="Arial" w:hAnsi="Arial" w:cs="Arial"/>
                <w:sz w:val="14"/>
                <w:szCs w:val="14"/>
              </w:rPr>
              <w:t>-23,3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-25 ,8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-29,2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60B" w:rsidRPr="0069760B" w:rsidRDefault="0069760B" w:rsidP="00633518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69760B">
              <w:rPr>
                <w:rFonts w:ascii="Arial" w:hAnsi="Arial" w:cs="Arial"/>
                <w:color w:val="000000" w:themeColor="text1"/>
                <w:sz w:val="14"/>
                <w:szCs w:val="14"/>
              </w:rPr>
              <w:t>-27</w:t>
            </w:r>
            <w:r w:rsidR="00633518">
              <w:rPr>
                <w:rFonts w:ascii="Arial" w:hAnsi="Arial" w:cs="Arial"/>
                <w:color w:val="000000" w:themeColor="text1"/>
                <w:sz w:val="14"/>
                <w:szCs w:val="14"/>
              </w:rPr>
              <w:t>,0</w:t>
            </w:r>
          </w:p>
        </w:tc>
      </w:tr>
      <w:tr w:rsidR="009603D0" w:rsidRPr="0069760B" w:rsidTr="007D0D66">
        <w:trPr>
          <w:trHeight w:val="746"/>
          <w:jc w:val="center"/>
        </w:trPr>
        <w:tc>
          <w:tcPr>
            <w:tcW w:w="1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C73C3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69760B">
              <w:rPr>
                <w:rFonts w:ascii="Times New Roman" w:hAnsi="Times New Roman" w:cs="Times New Roman"/>
                <w:sz w:val="18"/>
                <w:szCs w:val="18"/>
              </w:rPr>
              <w:t>Evolution  future de la situation financière des ménages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23,9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15,6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16,6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26,7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26,8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17,5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17,1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17,8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11,8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7,8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9,4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10,2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20,4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15,1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11,2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11,1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7,7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10,6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0,7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2,8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-1,7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1,2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60B" w:rsidRPr="0069760B" w:rsidRDefault="0069760B" w:rsidP="0069760B">
            <w:pPr>
              <w:ind w:left="-68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69760B">
              <w:rPr>
                <w:rFonts w:ascii="Arial" w:hAnsi="Arial" w:cs="Arial"/>
                <w:sz w:val="14"/>
                <w:szCs w:val="14"/>
              </w:rPr>
              <w:t>-2,7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-1,5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-3,9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60B" w:rsidRPr="0069760B" w:rsidRDefault="0069760B" w:rsidP="00633518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69760B">
              <w:rPr>
                <w:rFonts w:ascii="Arial" w:hAnsi="Arial" w:cs="Arial"/>
                <w:color w:val="000000" w:themeColor="text1"/>
                <w:sz w:val="14"/>
                <w:szCs w:val="14"/>
              </w:rPr>
              <w:t>0,</w:t>
            </w:r>
            <w:r w:rsidR="00633518">
              <w:rPr>
                <w:rFonts w:ascii="Arial" w:hAnsi="Arial" w:cs="Arial"/>
                <w:color w:val="000000" w:themeColor="text1"/>
                <w:sz w:val="14"/>
                <w:szCs w:val="14"/>
              </w:rPr>
              <w:t>1</w:t>
            </w:r>
          </w:p>
        </w:tc>
      </w:tr>
      <w:tr w:rsidR="0069760B" w:rsidRPr="0069760B" w:rsidTr="009603D0">
        <w:trPr>
          <w:trHeight w:val="425"/>
          <w:jc w:val="center"/>
        </w:trPr>
        <w:tc>
          <w:tcPr>
            <w:tcW w:w="5000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Autres soldes</w:t>
            </w:r>
          </w:p>
        </w:tc>
      </w:tr>
      <w:tr w:rsidR="009603D0" w:rsidRPr="0069760B" w:rsidTr="007D0D66">
        <w:trPr>
          <w:trHeight w:val="334"/>
          <w:jc w:val="center"/>
        </w:trPr>
        <w:tc>
          <w:tcPr>
            <w:tcW w:w="1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C73C3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69760B">
              <w:rPr>
                <w:rFonts w:ascii="Times New Roman" w:hAnsi="Times New Roman" w:cs="Times New Roman"/>
                <w:sz w:val="18"/>
                <w:szCs w:val="18"/>
              </w:rPr>
              <w:t>Evolution future des prix des produits alimentaires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-74,1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-77,7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-78,9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-49,7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-34,9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-33,5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-50,9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-47,9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-46,5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-56,8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-62,2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-70,2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-73,4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-58,8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-72,6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-73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-69,8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-71,5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-73,6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-70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-76,1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-73,4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-76,0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-76,0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-77,6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69760B">
              <w:rPr>
                <w:rFonts w:ascii="Arial" w:hAnsi="Arial" w:cs="Arial"/>
                <w:sz w:val="14"/>
                <w:szCs w:val="14"/>
              </w:rPr>
              <w:t>-78,0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-76,9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-77,2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60B" w:rsidRPr="0069760B" w:rsidRDefault="0069760B" w:rsidP="00174553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69760B">
              <w:rPr>
                <w:rFonts w:ascii="Arial" w:hAnsi="Arial" w:cs="Arial"/>
                <w:color w:val="000000" w:themeColor="text1"/>
                <w:sz w:val="14"/>
                <w:szCs w:val="14"/>
              </w:rPr>
              <w:t>-77,2</w:t>
            </w:r>
          </w:p>
        </w:tc>
      </w:tr>
      <w:tr w:rsidR="009603D0" w:rsidRPr="0069760B" w:rsidTr="007D0D66">
        <w:trPr>
          <w:trHeight w:val="708"/>
          <w:jc w:val="center"/>
        </w:trPr>
        <w:tc>
          <w:tcPr>
            <w:tcW w:w="1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C73C3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69760B">
              <w:rPr>
                <w:rFonts w:ascii="Times New Roman" w:hAnsi="Times New Roman" w:cs="Times New Roman"/>
                <w:sz w:val="18"/>
                <w:szCs w:val="18"/>
              </w:rPr>
              <w:t>Evolution  passée des prix des produits alimentaires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-93,6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-95,9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-98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-96,2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-94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-87,2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-85,7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-83,3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-79,5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-87,8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-89,7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-90,9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-95,5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-87,2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-89,9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-92,5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-91,6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-91,1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-91,7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-90,6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-91,6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-89,0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-90,5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-90,8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-89,4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60B" w:rsidRPr="0069760B" w:rsidRDefault="0069760B" w:rsidP="0069760B">
            <w:pPr>
              <w:ind w:left="-68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69760B">
              <w:rPr>
                <w:rFonts w:ascii="Arial" w:hAnsi="Arial" w:cs="Arial"/>
                <w:sz w:val="14"/>
                <w:szCs w:val="14"/>
              </w:rPr>
              <w:t>-84,1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-81,8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-84,5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60B" w:rsidRPr="0069760B" w:rsidRDefault="0069760B" w:rsidP="00FA2D27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69760B">
              <w:rPr>
                <w:rFonts w:ascii="Arial" w:hAnsi="Arial" w:cs="Arial"/>
                <w:color w:val="000000" w:themeColor="text1"/>
                <w:sz w:val="14"/>
                <w:szCs w:val="14"/>
              </w:rPr>
              <w:t>-87,</w:t>
            </w:r>
            <w:r w:rsidR="00FA2D27">
              <w:rPr>
                <w:rFonts w:ascii="Arial" w:hAnsi="Arial" w:cs="Arial"/>
                <w:color w:val="000000" w:themeColor="text1"/>
                <w:sz w:val="14"/>
                <w:szCs w:val="14"/>
              </w:rPr>
              <w:t>2</w:t>
            </w:r>
          </w:p>
        </w:tc>
      </w:tr>
      <w:tr w:rsidR="009603D0" w:rsidRPr="0069760B" w:rsidTr="007D0D66">
        <w:trPr>
          <w:trHeight w:val="317"/>
          <w:jc w:val="center"/>
        </w:trPr>
        <w:tc>
          <w:tcPr>
            <w:tcW w:w="1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60B" w:rsidRPr="0069760B" w:rsidRDefault="0069760B" w:rsidP="00C73C3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69760B">
              <w:rPr>
                <w:rFonts w:ascii="Times New Roman" w:hAnsi="Times New Roman" w:cs="Times New Roman"/>
                <w:sz w:val="18"/>
                <w:szCs w:val="18"/>
              </w:rPr>
              <w:t>Capacité à épargner des ménages dans les mois à venir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-61,2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-61,3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-60,7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-56,7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-56,8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-57,1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-57,8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-58,5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-56,6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-61,1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-67,6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-66,6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-61,7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-63,3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-64,9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-64,7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-62,5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-63,5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-65,3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-64,5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-67,0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-70,3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-69,1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-66,7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-66,6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60B" w:rsidRPr="0069760B" w:rsidRDefault="0069760B" w:rsidP="0069760B">
            <w:pPr>
              <w:ind w:left="-68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69760B">
              <w:rPr>
                <w:rFonts w:ascii="Arial" w:hAnsi="Arial" w:cs="Arial"/>
                <w:sz w:val="14"/>
                <w:szCs w:val="14"/>
              </w:rPr>
              <w:t>-70,2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-74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60B" w:rsidRPr="0069760B" w:rsidRDefault="0069760B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0B">
              <w:rPr>
                <w:rFonts w:ascii="Times New Roman" w:hAnsi="Times New Roman" w:cs="Times New Roman"/>
                <w:sz w:val="14"/>
                <w:szCs w:val="14"/>
              </w:rPr>
              <w:t>-71,1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60B" w:rsidRPr="0069760B" w:rsidRDefault="0069760B" w:rsidP="00633518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69760B">
              <w:rPr>
                <w:rFonts w:ascii="Arial" w:hAnsi="Arial" w:cs="Arial"/>
                <w:color w:val="000000" w:themeColor="text1"/>
                <w:sz w:val="14"/>
                <w:szCs w:val="14"/>
              </w:rPr>
              <w:t>-69,8</w:t>
            </w:r>
          </w:p>
        </w:tc>
      </w:tr>
    </w:tbl>
    <w:p w:rsidR="005D5B33" w:rsidRPr="00C706A5" w:rsidRDefault="005D5B33" w:rsidP="00F04758">
      <w:pPr>
        <w:rPr>
          <w:rFonts w:ascii="Calibri" w:hAnsi="Calibri" w:cs="Times New Roman"/>
          <w:color w:val="000000" w:themeColor="text1"/>
          <w:szCs w:val="22"/>
        </w:rPr>
        <w:sectPr w:rsidR="005D5B33" w:rsidRPr="00C706A5" w:rsidSect="005D5B33"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p w:rsidR="00B10786" w:rsidRPr="00C706A5" w:rsidRDefault="00B10786" w:rsidP="00DB06E9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pPr w:leftFromText="141" w:rightFromText="141" w:vertAnchor="text" w:horzAnchor="margin" w:tblpY="289"/>
        <w:tblW w:w="107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791"/>
      </w:tblGrid>
      <w:tr w:rsidR="008D7771" w:rsidRPr="00C706A5" w:rsidTr="001133D2">
        <w:trPr>
          <w:trHeight w:val="6511"/>
        </w:trPr>
        <w:tc>
          <w:tcPr>
            <w:tcW w:w="10791" w:type="dxa"/>
          </w:tcPr>
          <w:p w:rsidR="001133D2" w:rsidRDefault="001133D2" w:rsidP="008D777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D7771" w:rsidRPr="00C706A5" w:rsidRDefault="008D7771" w:rsidP="008D7771">
            <w:pPr>
              <w:spacing w:line="276" w:lineRule="auto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Times New Roman" w:hAnsi="Times New Roman" w:cs="Times New Roman"/>
                <w:color w:val="000000" w:themeColor="text1"/>
              </w:rPr>
              <w:br w:type="page"/>
            </w: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Rappelons que :</w:t>
            </w:r>
          </w:p>
          <w:p w:rsidR="008D7771" w:rsidRPr="00C706A5" w:rsidRDefault="008D7771" w:rsidP="008D7771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les questions abordées sont qualitatives à 3 modalités (amélioration, stagnation, détérioration). Les  évolutions se réfèrent à une période de 12 mois. Les résultats sont présentés sous forme  de soldes (différence entre les pourcentages des réponses « amélioration » et  des réponses «détérioration»). Le niveau des soldes n’est pas directement interprétable, c’est leur évolution qui est analysée. </w:t>
            </w:r>
          </w:p>
          <w:p w:rsidR="008D7771" w:rsidRPr="00C706A5" w:rsidRDefault="008D7771" w:rsidP="008D7771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L’Indice de Confiance des Ménages (ICM) est calculé sur la base de sept indicateurs, quatre relatifs à la situation générale et trois à la situation propre du ménage :</w:t>
            </w:r>
          </w:p>
          <w:p w:rsidR="008D7771" w:rsidRPr="00C706A5" w:rsidRDefault="008D7771" w:rsidP="008D7771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évolution  passée du niveau de vie ;</w:t>
            </w:r>
          </w:p>
          <w:p w:rsidR="008D7771" w:rsidRPr="00C706A5" w:rsidRDefault="008D7771" w:rsidP="008D7771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perspective d'évolution du niveau de vie ;</w:t>
            </w:r>
          </w:p>
          <w:p w:rsidR="008D7771" w:rsidRPr="00C706A5" w:rsidRDefault="008D7771" w:rsidP="008D7771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perspective d'évolution du nombre de chômeurs ;</w:t>
            </w:r>
          </w:p>
          <w:p w:rsidR="008D7771" w:rsidRPr="00C706A5" w:rsidRDefault="008D7771" w:rsidP="008D7771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opportunité d'achat de biens durables;</w:t>
            </w:r>
          </w:p>
          <w:p w:rsidR="008D7771" w:rsidRPr="00C706A5" w:rsidRDefault="008D7771" w:rsidP="008D7771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situation financière actuelle des ménages ;</w:t>
            </w:r>
          </w:p>
          <w:p w:rsidR="008D7771" w:rsidRPr="00C706A5" w:rsidRDefault="008D7771" w:rsidP="008D7771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évolution  passée de la situation financière des ménages ;</w:t>
            </w:r>
          </w:p>
          <w:p w:rsidR="008D7771" w:rsidRPr="00C706A5" w:rsidRDefault="008D7771" w:rsidP="008D7771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évolution  future de la situation financière des ménages.</w:t>
            </w:r>
          </w:p>
          <w:p w:rsidR="008D7771" w:rsidRPr="00C706A5" w:rsidRDefault="008D7771" w:rsidP="008D7771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L’ICM est la  moyenne arithmétique simple des  soldes des 7 indicateurs, augmentée de 100, sa valeur varie ainsi de 0 à 200.</w:t>
            </w:r>
          </w:p>
          <w:p w:rsidR="002C768B" w:rsidRPr="0074699A" w:rsidRDefault="002C768B" w:rsidP="0074699A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A3867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Des tests statistiques de Fisher</w:t>
            </w:r>
            <w:r w:rsidR="0074699A" w:rsidRPr="00DA3867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sur l</w:t>
            </w:r>
            <w:r w:rsidR="0074699A" w:rsidRP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a série de l’indice de confiance des ménages</w:t>
            </w:r>
            <w:r w:rsid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durant </w:t>
            </w:r>
            <w:r w:rsidR="0074699A" w:rsidRP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la période allant de 2008 à 2014</w:t>
            </w:r>
            <w:r w:rsidRP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DA3867" w:rsidRP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ont</w:t>
            </w:r>
            <w:r w:rsidRP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confirmé l’absence des variations saisonnières stables et mobiles</w:t>
            </w:r>
            <w:r w:rsid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.</w:t>
            </w:r>
            <w:r w:rsidRP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8D7771" w:rsidRPr="00C706A5" w:rsidRDefault="008D7771" w:rsidP="008D7771">
            <w:pPr>
              <w:spacing w:line="276" w:lineRule="auto"/>
              <w:jc w:val="both"/>
              <w:rPr>
                <w:rFonts w:ascii="Book Antiqua" w:hAnsi="Book Antiqua" w:cs="Times New Roman"/>
                <w:b/>
                <w:bCs/>
                <w:color w:val="000000" w:themeColor="text1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Pour plus d’informations sur les aspects méthodologiques de cette enquête, consulter le site web du HCP au  </w:t>
            </w:r>
            <w:hyperlink r:id="rId16" w:history="1">
              <w:r w:rsidRPr="00C706A5">
                <w:rPr>
                  <w:rStyle w:val="Lienhypertexte"/>
                  <w:rFonts w:ascii="Book Antiqua" w:hAnsi="Book Antiqua" w:cs="Times New Roman"/>
                  <w:color w:val="000000" w:themeColor="text1"/>
                  <w:sz w:val="20"/>
                  <w:szCs w:val="20"/>
                </w:rPr>
                <w:t>www.hcp.ma</w:t>
              </w:r>
            </w:hyperlink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:rsidR="00B10786" w:rsidRPr="00C706A5" w:rsidRDefault="00B10786" w:rsidP="00DB06E9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68173C" w:rsidRPr="00C706A5" w:rsidRDefault="0068173C" w:rsidP="00DB06E9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68173C" w:rsidRPr="00C706A5" w:rsidRDefault="0068173C" w:rsidP="00DB06E9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sectPr w:rsidR="0068173C" w:rsidRPr="00C706A5" w:rsidSect="00B879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01C9" w:rsidRDefault="00EB01C9" w:rsidP="00460705">
      <w:r>
        <w:separator/>
      </w:r>
    </w:p>
  </w:endnote>
  <w:endnote w:type="continuationSeparator" w:id="0">
    <w:p w:rsidR="00EB01C9" w:rsidRDefault="00EB01C9" w:rsidP="004607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379" w:rsidRDefault="00212C46">
    <w:pPr>
      <w:pStyle w:val="Pieddepage"/>
      <w:jc w:val="right"/>
    </w:pPr>
    <w:fldSimple w:instr=" PAGE   \* MERGEFORMAT ">
      <w:r w:rsidR="00EB01C9">
        <w:rPr>
          <w:noProof/>
        </w:rPr>
        <w:t>1</w:t>
      </w:r>
    </w:fldSimple>
  </w:p>
  <w:p w:rsidR="00324379" w:rsidRDefault="0032437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01C9" w:rsidRDefault="00EB01C9" w:rsidP="00460705">
      <w:r>
        <w:separator/>
      </w:r>
    </w:p>
  </w:footnote>
  <w:footnote w:type="continuationSeparator" w:id="0">
    <w:p w:rsidR="00EB01C9" w:rsidRDefault="00EB01C9" w:rsidP="004607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07A8E"/>
    <w:multiLevelType w:val="hybridMultilevel"/>
    <w:tmpl w:val="DEAAA6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02827"/>
    <w:multiLevelType w:val="hybridMultilevel"/>
    <w:tmpl w:val="651C7EFE"/>
    <w:lvl w:ilvl="0" w:tplc="B100CA10">
      <w:start w:val="3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10A122E6"/>
    <w:multiLevelType w:val="hybridMultilevel"/>
    <w:tmpl w:val="826865B6"/>
    <w:lvl w:ilvl="0" w:tplc="0616EC8E">
      <w:numFmt w:val="bullet"/>
      <w:lvlText w:val="-"/>
      <w:lvlJc w:val="left"/>
      <w:pPr>
        <w:ind w:left="1080" w:hanging="360"/>
      </w:pPr>
      <w:rPr>
        <w:rFonts w:ascii="Book Antiqua" w:eastAsia="Calibri" w:hAnsi="Book Antiqua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CC54CD3"/>
    <w:multiLevelType w:val="hybridMultilevel"/>
    <w:tmpl w:val="0EF07944"/>
    <w:lvl w:ilvl="0" w:tplc="040C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9C3212"/>
    <w:multiLevelType w:val="hybridMultilevel"/>
    <w:tmpl w:val="80FE2C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245C66"/>
    <w:multiLevelType w:val="hybridMultilevel"/>
    <w:tmpl w:val="D1729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28527B"/>
    <w:multiLevelType w:val="multilevel"/>
    <w:tmpl w:val="615095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43E6100A"/>
    <w:multiLevelType w:val="hybridMultilevel"/>
    <w:tmpl w:val="F000AF92"/>
    <w:lvl w:ilvl="0" w:tplc="040C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8">
    <w:nsid w:val="498D60E8"/>
    <w:multiLevelType w:val="hybridMultilevel"/>
    <w:tmpl w:val="E83A85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355FAE"/>
    <w:multiLevelType w:val="hybridMultilevel"/>
    <w:tmpl w:val="5A8C44D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2DB559E"/>
    <w:multiLevelType w:val="hybridMultilevel"/>
    <w:tmpl w:val="C6182B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657841"/>
    <w:multiLevelType w:val="hybridMultilevel"/>
    <w:tmpl w:val="D1729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2F3FE5"/>
    <w:multiLevelType w:val="hybridMultilevel"/>
    <w:tmpl w:val="D1729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BD7D01"/>
    <w:multiLevelType w:val="hybridMultilevel"/>
    <w:tmpl w:val="0E2043F8"/>
    <w:lvl w:ilvl="0" w:tplc="040C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9"/>
  </w:num>
  <w:num w:numId="5">
    <w:abstractNumId w:val="6"/>
  </w:num>
  <w:num w:numId="6">
    <w:abstractNumId w:val="8"/>
  </w:num>
  <w:num w:numId="7">
    <w:abstractNumId w:val="0"/>
  </w:num>
  <w:num w:numId="8">
    <w:abstractNumId w:val="4"/>
  </w:num>
  <w:num w:numId="9">
    <w:abstractNumId w:val="11"/>
  </w:num>
  <w:num w:numId="10">
    <w:abstractNumId w:val="3"/>
  </w:num>
  <w:num w:numId="11">
    <w:abstractNumId w:val="13"/>
  </w:num>
  <w:num w:numId="12">
    <w:abstractNumId w:val="1"/>
  </w:num>
  <w:num w:numId="13">
    <w:abstractNumId w:val="12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12704"/>
    <w:rsid w:val="000016A1"/>
    <w:rsid w:val="000023E0"/>
    <w:rsid w:val="00002F9B"/>
    <w:rsid w:val="00003F54"/>
    <w:rsid w:val="000069AE"/>
    <w:rsid w:val="00011A0E"/>
    <w:rsid w:val="00011BC4"/>
    <w:rsid w:val="00011F4E"/>
    <w:rsid w:val="00014940"/>
    <w:rsid w:val="00015112"/>
    <w:rsid w:val="00016F90"/>
    <w:rsid w:val="000174FE"/>
    <w:rsid w:val="00017526"/>
    <w:rsid w:val="0001754D"/>
    <w:rsid w:val="00022644"/>
    <w:rsid w:val="00023DE5"/>
    <w:rsid w:val="00024686"/>
    <w:rsid w:val="0002532B"/>
    <w:rsid w:val="00025F15"/>
    <w:rsid w:val="000265CF"/>
    <w:rsid w:val="000315FD"/>
    <w:rsid w:val="00031CFB"/>
    <w:rsid w:val="000324B4"/>
    <w:rsid w:val="00032AF9"/>
    <w:rsid w:val="00032ECD"/>
    <w:rsid w:val="000356C1"/>
    <w:rsid w:val="000364EF"/>
    <w:rsid w:val="0003703D"/>
    <w:rsid w:val="000370B6"/>
    <w:rsid w:val="0004211E"/>
    <w:rsid w:val="00043430"/>
    <w:rsid w:val="0004437F"/>
    <w:rsid w:val="000451AC"/>
    <w:rsid w:val="00046C56"/>
    <w:rsid w:val="00047B2B"/>
    <w:rsid w:val="00051534"/>
    <w:rsid w:val="000518A6"/>
    <w:rsid w:val="00051B80"/>
    <w:rsid w:val="00052C8E"/>
    <w:rsid w:val="00055B18"/>
    <w:rsid w:val="0005628D"/>
    <w:rsid w:val="000569E9"/>
    <w:rsid w:val="00056F4A"/>
    <w:rsid w:val="00057262"/>
    <w:rsid w:val="00057BC7"/>
    <w:rsid w:val="00057E1A"/>
    <w:rsid w:val="00061CA4"/>
    <w:rsid w:val="00062779"/>
    <w:rsid w:val="00064021"/>
    <w:rsid w:val="000646B0"/>
    <w:rsid w:val="00066E22"/>
    <w:rsid w:val="00067D35"/>
    <w:rsid w:val="000706EE"/>
    <w:rsid w:val="000712A9"/>
    <w:rsid w:val="000720FD"/>
    <w:rsid w:val="00072708"/>
    <w:rsid w:val="00072CF2"/>
    <w:rsid w:val="00072F7C"/>
    <w:rsid w:val="00073079"/>
    <w:rsid w:val="000749D1"/>
    <w:rsid w:val="000779C2"/>
    <w:rsid w:val="00077CAA"/>
    <w:rsid w:val="0008224D"/>
    <w:rsid w:val="00082D2E"/>
    <w:rsid w:val="000836A6"/>
    <w:rsid w:val="0008574A"/>
    <w:rsid w:val="000877E9"/>
    <w:rsid w:val="00087DA2"/>
    <w:rsid w:val="00090FCF"/>
    <w:rsid w:val="00090FEC"/>
    <w:rsid w:val="00091FB9"/>
    <w:rsid w:val="00097300"/>
    <w:rsid w:val="00097799"/>
    <w:rsid w:val="0009797C"/>
    <w:rsid w:val="00097D75"/>
    <w:rsid w:val="000A0177"/>
    <w:rsid w:val="000A0881"/>
    <w:rsid w:val="000A14AD"/>
    <w:rsid w:val="000A158A"/>
    <w:rsid w:val="000A20DC"/>
    <w:rsid w:val="000A40C3"/>
    <w:rsid w:val="000A62F9"/>
    <w:rsid w:val="000B0844"/>
    <w:rsid w:val="000B09BA"/>
    <w:rsid w:val="000B1487"/>
    <w:rsid w:val="000B16D1"/>
    <w:rsid w:val="000C0C01"/>
    <w:rsid w:val="000C39F9"/>
    <w:rsid w:val="000C439F"/>
    <w:rsid w:val="000C4C0E"/>
    <w:rsid w:val="000C56EA"/>
    <w:rsid w:val="000C7F17"/>
    <w:rsid w:val="000D1CF5"/>
    <w:rsid w:val="000D24FA"/>
    <w:rsid w:val="000D2586"/>
    <w:rsid w:val="000D341B"/>
    <w:rsid w:val="000D367A"/>
    <w:rsid w:val="000D4077"/>
    <w:rsid w:val="000D5638"/>
    <w:rsid w:val="000D5AB2"/>
    <w:rsid w:val="000D5B0A"/>
    <w:rsid w:val="000E10E0"/>
    <w:rsid w:val="000E17D9"/>
    <w:rsid w:val="000E20BC"/>
    <w:rsid w:val="000E21A1"/>
    <w:rsid w:val="000E4DC7"/>
    <w:rsid w:val="000F0919"/>
    <w:rsid w:val="000F0DB1"/>
    <w:rsid w:val="000F184A"/>
    <w:rsid w:val="000F2945"/>
    <w:rsid w:val="000F2B60"/>
    <w:rsid w:val="000F6CE8"/>
    <w:rsid w:val="000F70E8"/>
    <w:rsid w:val="000F74C5"/>
    <w:rsid w:val="000F7A57"/>
    <w:rsid w:val="000F7C4F"/>
    <w:rsid w:val="00100026"/>
    <w:rsid w:val="00101249"/>
    <w:rsid w:val="00102B5C"/>
    <w:rsid w:val="001037B3"/>
    <w:rsid w:val="00104438"/>
    <w:rsid w:val="00104463"/>
    <w:rsid w:val="001052BE"/>
    <w:rsid w:val="00105320"/>
    <w:rsid w:val="00106E19"/>
    <w:rsid w:val="00106EC0"/>
    <w:rsid w:val="00106FA4"/>
    <w:rsid w:val="00107534"/>
    <w:rsid w:val="00107E17"/>
    <w:rsid w:val="00107F1E"/>
    <w:rsid w:val="001103D0"/>
    <w:rsid w:val="00110B90"/>
    <w:rsid w:val="001116C8"/>
    <w:rsid w:val="00113273"/>
    <w:rsid w:val="001133D2"/>
    <w:rsid w:val="00113767"/>
    <w:rsid w:val="0011495F"/>
    <w:rsid w:val="00115D48"/>
    <w:rsid w:val="001161C4"/>
    <w:rsid w:val="00116945"/>
    <w:rsid w:val="0011726A"/>
    <w:rsid w:val="00117A2F"/>
    <w:rsid w:val="00117F82"/>
    <w:rsid w:val="00121180"/>
    <w:rsid w:val="00121CCC"/>
    <w:rsid w:val="00122941"/>
    <w:rsid w:val="00123E79"/>
    <w:rsid w:val="00124827"/>
    <w:rsid w:val="00125161"/>
    <w:rsid w:val="001254E5"/>
    <w:rsid w:val="00125543"/>
    <w:rsid w:val="00126E55"/>
    <w:rsid w:val="00127D67"/>
    <w:rsid w:val="00131E2D"/>
    <w:rsid w:val="00133286"/>
    <w:rsid w:val="00133860"/>
    <w:rsid w:val="001347D2"/>
    <w:rsid w:val="00135D83"/>
    <w:rsid w:val="00137D7D"/>
    <w:rsid w:val="001404A9"/>
    <w:rsid w:val="001414F3"/>
    <w:rsid w:val="0014379B"/>
    <w:rsid w:val="001438AB"/>
    <w:rsid w:val="0014398F"/>
    <w:rsid w:val="00144320"/>
    <w:rsid w:val="0014733D"/>
    <w:rsid w:val="00151C70"/>
    <w:rsid w:val="0015212E"/>
    <w:rsid w:val="001523D7"/>
    <w:rsid w:val="00152D59"/>
    <w:rsid w:val="00153ECF"/>
    <w:rsid w:val="00154339"/>
    <w:rsid w:val="001545AE"/>
    <w:rsid w:val="00154E44"/>
    <w:rsid w:val="00156587"/>
    <w:rsid w:val="00157CA9"/>
    <w:rsid w:val="00162062"/>
    <w:rsid w:val="001638CE"/>
    <w:rsid w:val="001648E6"/>
    <w:rsid w:val="0016596E"/>
    <w:rsid w:val="001672BD"/>
    <w:rsid w:val="00173781"/>
    <w:rsid w:val="00174542"/>
    <w:rsid w:val="00174553"/>
    <w:rsid w:val="001757C5"/>
    <w:rsid w:val="001760CB"/>
    <w:rsid w:val="00181B72"/>
    <w:rsid w:val="00182E1E"/>
    <w:rsid w:val="00184023"/>
    <w:rsid w:val="00184250"/>
    <w:rsid w:val="00185207"/>
    <w:rsid w:val="00185ABC"/>
    <w:rsid w:val="00186530"/>
    <w:rsid w:val="001871C4"/>
    <w:rsid w:val="00187A5C"/>
    <w:rsid w:val="00187EB7"/>
    <w:rsid w:val="00190672"/>
    <w:rsid w:val="00191E08"/>
    <w:rsid w:val="00191F62"/>
    <w:rsid w:val="00193B35"/>
    <w:rsid w:val="00193B4D"/>
    <w:rsid w:val="0019435A"/>
    <w:rsid w:val="001956DC"/>
    <w:rsid w:val="00195D2E"/>
    <w:rsid w:val="001960E9"/>
    <w:rsid w:val="00196D8E"/>
    <w:rsid w:val="00196DF3"/>
    <w:rsid w:val="001975D4"/>
    <w:rsid w:val="00197D9A"/>
    <w:rsid w:val="00197F64"/>
    <w:rsid w:val="001A048A"/>
    <w:rsid w:val="001A0F65"/>
    <w:rsid w:val="001A4203"/>
    <w:rsid w:val="001A4BB7"/>
    <w:rsid w:val="001A648B"/>
    <w:rsid w:val="001A69DD"/>
    <w:rsid w:val="001A6BB6"/>
    <w:rsid w:val="001B0AB6"/>
    <w:rsid w:val="001B1130"/>
    <w:rsid w:val="001B2334"/>
    <w:rsid w:val="001B3593"/>
    <w:rsid w:val="001B3707"/>
    <w:rsid w:val="001B3CB2"/>
    <w:rsid w:val="001B50A1"/>
    <w:rsid w:val="001B561B"/>
    <w:rsid w:val="001B5B96"/>
    <w:rsid w:val="001B5F02"/>
    <w:rsid w:val="001B69A3"/>
    <w:rsid w:val="001B7322"/>
    <w:rsid w:val="001B7854"/>
    <w:rsid w:val="001C0839"/>
    <w:rsid w:val="001C4D54"/>
    <w:rsid w:val="001C5AA4"/>
    <w:rsid w:val="001C67D4"/>
    <w:rsid w:val="001C6846"/>
    <w:rsid w:val="001C6883"/>
    <w:rsid w:val="001D0C73"/>
    <w:rsid w:val="001D28DC"/>
    <w:rsid w:val="001D2D35"/>
    <w:rsid w:val="001D709D"/>
    <w:rsid w:val="001E0D0B"/>
    <w:rsid w:val="001E1901"/>
    <w:rsid w:val="001E36D5"/>
    <w:rsid w:val="001E42CC"/>
    <w:rsid w:val="001E4F55"/>
    <w:rsid w:val="001E6198"/>
    <w:rsid w:val="001F062E"/>
    <w:rsid w:val="001F14B0"/>
    <w:rsid w:val="001F20AF"/>
    <w:rsid w:val="001F321B"/>
    <w:rsid w:val="001F4A3E"/>
    <w:rsid w:val="001F4FE4"/>
    <w:rsid w:val="001F59E2"/>
    <w:rsid w:val="001F5D34"/>
    <w:rsid w:val="001F626D"/>
    <w:rsid w:val="001F6A9C"/>
    <w:rsid w:val="001F739C"/>
    <w:rsid w:val="001F7711"/>
    <w:rsid w:val="002021DE"/>
    <w:rsid w:val="002041E9"/>
    <w:rsid w:val="00206A7F"/>
    <w:rsid w:val="0020711A"/>
    <w:rsid w:val="0021180E"/>
    <w:rsid w:val="0021213E"/>
    <w:rsid w:val="00212C46"/>
    <w:rsid w:val="00212E56"/>
    <w:rsid w:val="00213786"/>
    <w:rsid w:val="00214D50"/>
    <w:rsid w:val="0021587D"/>
    <w:rsid w:val="002163AF"/>
    <w:rsid w:val="002164DC"/>
    <w:rsid w:val="00216E7C"/>
    <w:rsid w:val="00221FC5"/>
    <w:rsid w:val="00222682"/>
    <w:rsid w:val="002226A1"/>
    <w:rsid w:val="00222815"/>
    <w:rsid w:val="00222831"/>
    <w:rsid w:val="00223178"/>
    <w:rsid w:val="00223808"/>
    <w:rsid w:val="0022467F"/>
    <w:rsid w:val="00226BE3"/>
    <w:rsid w:val="00227B1B"/>
    <w:rsid w:val="0023094A"/>
    <w:rsid w:val="00232556"/>
    <w:rsid w:val="00233531"/>
    <w:rsid w:val="00236927"/>
    <w:rsid w:val="0024028E"/>
    <w:rsid w:val="002431B9"/>
    <w:rsid w:val="002436BE"/>
    <w:rsid w:val="00243AE1"/>
    <w:rsid w:val="00245992"/>
    <w:rsid w:val="00246518"/>
    <w:rsid w:val="002478EF"/>
    <w:rsid w:val="00247A3B"/>
    <w:rsid w:val="002502C2"/>
    <w:rsid w:val="0025259C"/>
    <w:rsid w:val="00253166"/>
    <w:rsid w:val="002534E9"/>
    <w:rsid w:val="00254D8A"/>
    <w:rsid w:val="00256FBC"/>
    <w:rsid w:val="00257385"/>
    <w:rsid w:val="00260173"/>
    <w:rsid w:val="00260D98"/>
    <w:rsid w:val="00262237"/>
    <w:rsid w:val="0026337D"/>
    <w:rsid w:val="002636A0"/>
    <w:rsid w:val="00263D54"/>
    <w:rsid w:val="0026440A"/>
    <w:rsid w:val="00264457"/>
    <w:rsid w:val="00265CFD"/>
    <w:rsid w:val="00266110"/>
    <w:rsid w:val="00267202"/>
    <w:rsid w:val="00267298"/>
    <w:rsid w:val="002672A0"/>
    <w:rsid w:val="0026748C"/>
    <w:rsid w:val="00267B6E"/>
    <w:rsid w:val="00270AD9"/>
    <w:rsid w:val="00270B31"/>
    <w:rsid w:val="0027263B"/>
    <w:rsid w:val="00272727"/>
    <w:rsid w:val="00272D28"/>
    <w:rsid w:val="002751C2"/>
    <w:rsid w:val="00275256"/>
    <w:rsid w:val="00276077"/>
    <w:rsid w:val="00280072"/>
    <w:rsid w:val="0028098C"/>
    <w:rsid w:val="002821C5"/>
    <w:rsid w:val="00287EC1"/>
    <w:rsid w:val="00290113"/>
    <w:rsid w:val="002915B7"/>
    <w:rsid w:val="00291C4B"/>
    <w:rsid w:val="00292082"/>
    <w:rsid w:val="00293863"/>
    <w:rsid w:val="002941A3"/>
    <w:rsid w:val="00295A6D"/>
    <w:rsid w:val="00295DF0"/>
    <w:rsid w:val="00296645"/>
    <w:rsid w:val="00296E08"/>
    <w:rsid w:val="002A18ED"/>
    <w:rsid w:val="002A1C56"/>
    <w:rsid w:val="002A1D28"/>
    <w:rsid w:val="002A1FD6"/>
    <w:rsid w:val="002A29D2"/>
    <w:rsid w:val="002A2E36"/>
    <w:rsid w:val="002A321D"/>
    <w:rsid w:val="002A53E5"/>
    <w:rsid w:val="002A7486"/>
    <w:rsid w:val="002A7E1E"/>
    <w:rsid w:val="002A7E5D"/>
    <w:rsid w:val="002B15A7"/>
    <w:rsid w:val="002B15E6"/>
    <w:rsid w:val="002B2EC5"/>
    <w:rsid w:val="002B3D5B"/>
    <w:rsid w:val="002B4B64"/>
    <w:rsid w:val="002B51C3"/>
    <w:rsid w:val="002B7130"/>
    <w:rsid w:val="002B74FD"/>
    <w:rsid w:val="002B7509"/>
    <w:rsid w:val="002B799E"/>
    <w:rsid w:val="002C03DA"/>
    <w:rsid w:val="002C0743"/>
    <w:rsid w:val="002C0BC4"/>
    <w:rsid w:val="002C0E6A"/>
    <w:rsid w:val="002C10D7"/>
    <w:rsid w:val="002C18A0"/>
    <w:rsid w:val="002C1D2E"/>
    <w:rsid w:val="002C211A"/>
    <w:rsid w:val="002C26D4"/>
    <w:rsid w:val="002C3101"/>
    <w:rsid w:val="002C366D"/>
    <w:rsid w:val="002C5954"/>
    <w:rsid w:val="002C768B"/>
    <w:rsid w:val="002C79A8"/>
    <w:rsid w:val="002C7EF2"/>
    <w:rsid w:val="002D112B"/>
    <w:rsid w:val="002D2100"/>
    <w:rsid w:val="002D2970"/>
    <w:rsid w:val="002D3C52"/>
    <w:rsid w:val="002D3E22"/>
    <w:rsid w:val="002D54C7"/>
    <w:rsid w:val="002D56C5"/>
    <w:rsid w:val="002D5AAA"/>
    <w:rsid w:val="002D6616"/>
    <w:rsid w:val="002D6FC3"/>
    <w:rsid w:val="002E3AEC"/>
    <w:rsid w:val="002E5787"/>
    <w:rsid w:val="002E5ABF"/>
    <w:rsid w:val="002E5BEC"/>
    <w:rsid w:val="002E6F5B"/>
    <w:rsid w:val="002E710F"/>
    <w:rsid w:val="002F08CD"/>
    <w:rsid w:val="002F1287"/>
    <w:rsid w:val="002F56E4"/>
    <w:rsid w:val="002F5CBB"/>
    <w:rsid w:val="002F5E45"/>
    <w:rsid w:val="002F5E6A"/>
    <w:rsid w:val="002F61B2"/>
    <w:rsid w:val="002F6AEC"/>
    <w:rsid w:val="002F7AAE"/>
    <w:rsid w:val="00300726"/>
    <w:rsid w:val="00301913"/>
    <w:rsid w:val="00302717"/>
    <w:rsid w:val="003043BE"/>
    <w:rsid w:val="00306F45"/>
    <w:rsid w:val="00307232"/>
    <w:rsid w:val="00307E20"/>
    <w:rsid w:val="00311292"/>
    <w:rsid w:val="00312C75"/>
    <w:rsid w:val="00313590"/>
    <w:rsid w:val="00313E26"/>
    <w:rsid w:val="00314363"/>
    <w:rsid w:val="00315331"/>
    <w:rsid w:val="00315FDD"/>
    <w:rsid w:val="0032273E"/>
    <w:rsid w:val="0032393A"/>
    <w:rsid w:val="00323DD3"/>
    <w:rsid w:val="00324379"/>
    <w:rsid w:val="0032457C"/>
    <w:rsid w:val="00326439"/>
    <w:rsid w:val="0032654E"/>
    <w:rsid w:val="003266B8"/>
    <w:rsid w:val="00326D4A"/>
    <w:rsid w:val="0033159D"/>
    <w:rsid w:val="003325C2"/>
    <w:rsid w:val="00333CD8"/>
    <w:rsid w:val="00335081"/>
    <w:rsid w:val="00335AA7"/>
    <w:rsid w:val="00337515"/>
    <w:rsid w:val="00342196"/>
    <w:rsid w:val="00344737"/>
    <w:rsid w:val="00346706"/>
    <w:rsid w:val="003514ED"/>
    <w:rsid w:val="00351E1C"/>
    <w:rsid w:val="00352106"/>
    <w:rsid w:val="0035217E"/>
    <w:rsid w:val="00352D33"/>
    <w:rsid w:val="00353CB2"/>
    <w:rsid w:val="00354A18"/>
    <w:rsid w:val="00354E92"/>
    <w:rsid w:val="003559FA"/>
    <w:rsid w:val="00360176"/>
    <w:rsid w:val="00360720"/>
    <w:rsid w:val="0036132C"/>
    <w:rsid w:val="00362A0D"/>
    <w:rsid w:val="0036400D"/>
    <w:rsid w:val="003670AA"/>
    <w:rsid w:val="00370A60"/>
    <w:rsid w:val="003713F9"/>
    <w:rsid w:val="003724EE"/>
    <w:rsid w:val="00373C93"/>
    <w:rsid w:val="00377971"/>
    <w:rsid w:val="00380461"/>
    <w:rsid w:val="003812CC"/>
    <w:rsid w:val="00381490"/>
    <w:rsid w:val="00381936"/>
    <w:rsid w:val="00384704"/>
    <w:rsid w:val="0038490E"/>
    <w:rsid w:val="003849A2"/>
    <w:rsid w:val="00385E59"/>
    <w:rsid w:val="00386E22"/>
    <w:rsid w:val="00387270"/>
    <w:rsid w:val="00391350"/>
    <w:rsid w:val="00393479"/>
    <w:rsid w:val="003937BF"/>
    <w:rsid w:val="003960C1"/>
    <w:rsid w:val="003A1290"/>
    <w:rsid w:val="003A18CF"/>
    <w:rsid w:val="003A3105"/>
    <w:rsid w:val="003A32A5"/>
    <w:rsid w:val="003A35D3"/>
    <w:rsid w:val="003A3FCF"/>
    <w:rsid w:val="003A4987"/>
    <w:rsid w:val="003A50A2"/>
    <w:rsid w:val="003A5110"/>
    <w:rsid w:val="003A5245"/>
    <w:rsid w:val="003A52E9"/>
    <w:rsid w:val="003A5304"/>
    <w:rsid w:val="003A5AEB"/>
    <w:rsid w:val="003A6EC4"/>
    <w:rsid w:val="003A70BA"/>
    <w:rsid w:val="003A7ECC"/>
    <w:rsid w:val="003B092A"/>
    <w:rsid w:val="003B0EDF"/>
    <w:rsid w:val="003B12AD"/>
    <w:rsid w:val="003B27AF"/>
    <w:rsid w:val="003B330D"/>
    <w:rsid w:val="003B478B"/>
    <w:rsid w:val="003B6387"/>
    <w:rsid w:val="003B6E43"/>
    <w:rsid w:val="003B7237"/>
    <w:rsid w:val="003C0E95"/>
    <w:rsid w:val="003C1028"/>
    <w:rsid w:val="003C2208"/>
    <w:rsid w:val="003C2924"/>
    <w:rsid w:val="003C3114"/>
    <w:rsid w:val="003C4254"/>
    <w:rsid w:val="003C79A0"/>
    <w:rsid w:val="003D554F"/>
    <w:rsid w:val="003D5D63"/>
    <w:rsid w:val="003D6DF2"/>
    <w:rsid w:val="003E04DE"/>
    <w:rsid w:val="003E1044"/>
    <w:rsid w:val="003E22C4"/>
    <w:rsid w:val="003E3A1D"/>
    <w:rsid w:val="003E4DD3"/>
    <w:rsid w:val="003E7065"/>
    <w:rsid w:val="003E7485"/>
    <w:rsid w:val="003F0597"/>
    <w:rsid w:val="003F107C"/>
    <w:rsid w:val="003F18F7"/>
    <w:rsid w:val="003F1E9D"/>
    <w:rsid w:val="003F362B"/>
    <w:rsid w:val="003F3656"/>
    <w:rsid w:val="003F3B02"/>
    <w:rsid w:val="003F3BF4"/>
    <w:rsid w:val="003F3FAF"/>
    <w:rsid w:val="00400110"/>
    <w:rsid w:val="00400526"/>
    <w:rsid w:val="00400983"/>
    <w:rsid w:val="00401990"/>
    <w:rsid w:val="0040459B"/>
    <w:rsid w:val="00404C21"/>
    <w:rsid w:val="00405940"/>
    <w:rsid w:val="004074DD"/>
    <w:rsid w:val="00407696"/>
    <w:rsid w:val="004105E0"/>
    <w:rsid w:val="0041160A"/>
    <w:rsid w:val="00412740"/>
    <w:rsid w:val="0041457A"/>
    <w:rsid w:val="004158F0"/>
    <w:rsid w:val="00416870"/>
    <w:rsid w:val="0042017B"/>
    <w:rsid w:val="00420B43"/>
    <w:rsid w:val="00420D3C"/>
    <w:rsid w:val="004211F6"/>
    <w:rsid w:val="00421A81"/>
    <w:rsid w:val="00422883"/>
    <w:rsid w:val="00422ACC"/>
    <w:rsid w:val="00424E25"/>
    <w:rsid w:val="0042529A"/>
    <w:rsid w:val="00426845"/>
    <w:rsid w:val="00427219"/>
    <w:rsid w:val="004274C1"/>
    <w:rsid w:val="00430234"/>
    <w:rsid w:val="00431767"/>
    <w:rsid w:val="0043296A"/>
    <w:rsid w:val="00434700"/>
    <w:rsid w:val="00434E44"/>
    <w:rsid w:val="00435604"/>
    <w:rsid w:val="00435631"/>
    <w:rsid w:val="00435C79"/>
    <w:rsid w:val="0043688A"/>
    <w:rsid w:val="0043785F"/>
    <w:rsid w:val="00437CA2"/>
    <w:rsid w:val="00440B2D"/>
    <w:rsid w:val="004421AE"/>
    <w:rsid w:val="004421E3"/>
    <w:rsid w:val="004430BB"/>
    <w:rsid w:val="0044331B"/>
    <w:rsid w:val="00443831"/>
    <w:rsid w:val="00445B5E"/>
    <w:rsid w:val="00446EA3"/>
    <w:rsid w:val="00450950"/>
    <w:rsid w:val="00450EFF"/>
    <w:rsid w:val="00451104"/>
    <w:rsid w:val="00451534"/>
    <w:rsid w:val="00452F6C"/>
    <w:rsid w:val="00454144"/>
    <w:rsid w:val="0045422F"/>
    <w:rsid w:val="0045433C"/>
    <w:rsid w:val="0045471C"/>
    <w:rsid w:val="00457115"/>
    <w:rsid w:val="00460705"/>
    <w:rsid w:val="00460A24"/>
    <w:rsid w:val="00460BC9"/>
    <w:rsid w:val="0046151F"/>
    <w:rsid w:val="00464052"/>
    <w:rsid w:val="00465799"/>
    <w:rsid w:val="0046586B"/>
    <w:rsid w:val="004660F5"/>
    <w:rsid w:val="0046675F"/>
    <w:rsid w:val="004674F7"/>
    <w:rsid w:val="00470256"/>
    <w:rsid w:val="004708C0"/>
    <w:rsid w:val="00471039"/>
    <w:rsid w:val="00471447"/>
    <w:rsid w:val="00471B70"/>
    <w:rsid w:val="00471D1D"/>
    <w:rsid w:val="0047220A"/>
    <w:rsid w:val="0047271F"/>
    <w:rsid w:val="00472EDA"/>
    <w:rsid w:val="004732C6"/>
    <w:rsid w:val="004744E1"/>
    <w:rsid w:val="00474682"/>
    <w:rsid w:val="00475AE3"/>
    <w:rsid w:val="00475F4B"/>
    <w:rsid w:val="004769C3"/>
    <w:rsid w:val="00477159"/>
    <w:rsid w:val="00477B88"/>
    <w:rsid w:val="00480253"/>
    <w:rsid w:val="00481C22"/>
    <w:rsid w:val="004825A3"/>
    <w:rsid w:val="00482DFE"/>
    <w:rsid w:val="004834BC"/>
    <w:rsid w:val="00484AD3"/>
    <w:rsid w:val="004851EA"/>
    <w:rsid w:val="0048573D"/>
    <w:rsid w:val="00485A63"/>
    <w:rsid w:val="004868DB"/>
    <w:rsid w:val="00486BF3"/>
    <w:rsid w:val="004872D2"/>
    <w:rsid w:val="00487AE4"/>
    <w:rsid w:val="00490B11"/>
    <w:rsid w:val="00490E21"/>
    <w:rsid w:val="00491AFA"/>
    <w:rsid w:val="00493412"/>
    <w:rsid w:val="00495348"/>
    <w:rsid w:val="0049640D"/>
    <w:rsid w:val="00497168"/>
    <w:rsid w:val="00497732"/>
    <w:rsid w:val="00497D4F"/>
    <w:rsid w:val="004A33E9"/>
    <w:rsid w:val="004A3EA6"/>
    <w:rsid w:val="004A3ECA"/>
    <w:rsid w:val="004A4BF6"/>
    <w:rsid w:val="004A590B"/>
    <w:rsid w:val="004A69AD"/>
    <w:rsid w:val="004B04C6"/>
    <w:rsid w:val="004B35F7"/>
    <w:rsid w:val="004B4E32"/>
    <w:rsid w:val="004B5383"/>
    <w:rsid w:val="004B64B5"/>
    <w:rsid w:val="004B7076"/>
    <w:rsid w:val="004C26D2"/>
    <w:rsid w:val="004C612A"/>
    <w:rsid w:val="004C7237"/>
    <w:rsid w:val="004D03FA"/>
    <w:rsid w:val="004D07E5"/>
    <w:rsid w:val="004D14A8"/>
    <w:rsid w:val="004D2992"/>
    <w:rsid w:val="004D3202"/>
    <w:rsid w:val="004D469E"/>
    <w:rsid w:val="004D4741"/>
    <w:rsid w:val="004D48A5"/>
    <w:rsid w:val="004D4E20"/>
    <w:rsid w:val="004D7FEA"/>
    <w:rsid w:val="004E0C6B"/>
    <w:rsid w:val="004E0D06"/>
    <w:rsid w:val="004E183B"/>
    <w:rsid w:val="004E2497"/>
    <w:rsid w:val="004E2DFB"/>
    <w:rsid w:val="004E3D51"/>
    <w:rsid w:val="004E3F63"/>
    <w:rsid w:val="004E4F5A"/>
    <w:rsid w:val="004E5131"/>
    <w:rsid w:val="004E5520"/>
    <w:rsid w:val="004E55BA"/>
    <w:rsid w:val="004E67DD"/>
    <w:rsid w:val="004E7840"/>
    <w:rsid w:val="004F07EF"/>
    <w:rsid w:val="004F0AE6"/>
    <w:rsid w:val="004F18F6"/>
    <w:rsid w:val="004F1AD1"/>
    <w:rsid w:val="004F344E"/>
    <w:rsid w:val="004F3CFC"/>
    <w:rsid w:val="004F4A05"/>
    <w:rsid w:val="004F59BE"/>
    <w:rsid w:val="004F6CAB"/>
    <w:rsid w:val="005016B0"/>
    <w:rsid w:val="00501D0E"/>
    <w:rsid w:val="00502774"/>
    <w:rsid w:val="00503DFC"/>
    <w:rsid w:val="00503F34"/>
    <w:rsid w:val="005041F1"/>
    <w:rsid w:val="00504C1B"/>
    <w:rsid w:val="0050642C"/>
    <w:rsid w:val="00506B3B"/>
    <w:rsid w:val="00507250"/>
    <w:rsid w:val="005076C2"/>
    <w:rsid w:val="00507FF6"/>
    <w:rsid w:val="00510671"/>
    <w:rsid w:val="00510B87"/>
    <w:rsid w:val="00511BC9"/>
    <w:rsid w:val="00511C57"/>
    <w:rsid w:val="0051274C"/>
    <w:rsid w:val="005128B6"/>
    <w:rsid w:val="00513F5E"/>
    <w:rsid w:val="00514271"/>
    <w:rsid w:val="00514F62"/>
    <w:rsid w:val="00515560"/>
    <w:rsid w:val="00517831"/>
    <w:rsid w:val="005216FD"/>
    <w:rsid w:val="00522383"/>
    <w:rsid w:val="005228C3"/>
    <w:rsid w:val="0052315E"/>
    <w:rsid w:val="005231BF"/>
    <w:rsid w:val="005234AF"/>
    <w:rsid w:val="00525787"/>
    <w:rsid w:val="00530E86"/>
    <w:rsid w:val="00530E90"/>
    <w:rsid w:val="00531247"/>
    <w:rsid w:val="005314AC"/>
    <w:rsid w:val="00531A41"/>
    <w:rsid w:val="005325CC"/>
    <w:rsid w:val="005346FE"/>
    <w:rsid w:val="0054064D"/>
    <w:rsid w:val="0054089B"/>
    <w:rsid w:val="00540AC5"/>
    <w:rsid w:val="005426C2"/>
    <w:rsid w:val="00545A36"/>
    <w:rsid w:val="005465E0"/>
    <w:rsid w:val="005467EB"/>
    <w:rsid w:val="00546AA5"/>
    <w:rsid w:val="00547601"/>
    <w:rsid w:val="0055015D"/>
    <w:rsid w:val="0055058D"/>
    <w:rsid w:val="00550895"/>
    <w:rsid w:val="00551FFF"/>
    <w:rsid w:val="00553EB0"/>
    <w:rsid w:val="0055426F"/>
    <w:rsid w:val="00557809"/>
    <w:rsid w:val="00557C85"/>
    <w:rsid w:val="00560C19"/>
    <w:rsid w:val="00561B7D"/>
    <w:rsid w:val="00562D36"/>
    <w:rsid w:val="00562E23"/>
    <w:rsid w:val="00563170"/>
    <w:rsid w:val="00565E32"/>
    <w:rsid w:val="005665B1"/>
    <w:rsid w:val="0056722B"/>
    <w:rsid w:val="00567CDC"/>
    <w:rsid w:val="00570BDD"/>
    <w:rsid w:val="0057388C"/>
    <w:rsid w:val="0057657D"/>
    <w:rsid w:val="00576614"/>
    <w:rsid w:val="005768F3"/>
    <w:rsid w:val="00576E52"/>
    <w:rsid w:val="00577957"/>
    <w:rsid w:val="00581039"/>
    <w:rsid w:val="005814AC"/>
    <w:rsid w:val="00581D56"/>
    <w:rsid w:val="00582246"/>
    <w:rsid w:val="0058309C"/>
    <w:rsid w:val="00584093"/>
    <w:rsid w:val="0058425B"/>
    <w:rsid w:val="00585AB6"/>
    <w:rsid w:val="00585AD7"/>
    <w:rsid w:val="00585C38"/>
    <w:rsid w:val="00586FA1"/>
    <w:rsid w:val="005879B7"/>
    <w:rsid w:val="005926A9"/>
    <w:rsid w:val="005926FE"/>
    <w:rsid w:val="00593A64"/>
    <w:rsid w:val="00593B3D"/>
    <w:rsid w:val="005950FE"/>
    <w:rsid w:val="00596CE0"/>
    <w:rsid w:val="00597CC7"/>
    <w:rsid w:val="005A0745"/>
    <w:rsid w:val="005A2E34"/>
    <w:rsid w:val="005A3289"/>
    <w:rsid w:val="005A36A6"/>
    <w:rsid w:val="005A4BB0"/>
    <w:rsid w:val="005A5697"/>
    <w:rsid w:val="005A5FB6"/>
    <w:rsid w:val="005A60A1"/>
    <w:rsid w:val="005A6B2B"/>
    <w:rsid w:val="005A7C0B"/>
    <w:rsid w:val="005B0A27"/>
    <w:rsid w:val="005B1014"/>
    <w:rsid w:val="005B1521"/>
    <w:rsid w:val="005B325E"/>
    <w:rsid w:val="005B33EC"/>
    <w:rsid w:val="005B6912"/>
    <w:rsid w:val="005B77A5"/>
    <w:rsid w:val="005C01F5"/>
    <w:rsid w:val="005C029D"/>
    <w:rsid w:val="005C1110"/>
    <w:rsid w:val="005C1739"/>
    <w:rsid w:val="005C41EB"/>
    <w:rsid w:val="005C473B"/>
    <w:rsid w:val="005D0118"/>
    <w:rsid w:val="005D0483"/>
    <w:rsid w:val="005D07D9"/>
    <w:rsid w:val="005D1941"/>
    <w:rsid w:val="005D1BE9"/>
    <w:rsid w:val="005D238E"/>
    <w:rsid w:val="005D2895"/>
    <w:rsid w:val="005D3EA9"/>
    <w:rsid w:val="005D44DC"/>
    <w:rsid w:val="005D466C"/>
    <w:rsid w:val="005D5B33"/>
    <w:rsid w:val="005D5DB2"/>
    <w:rsid w:val="005D63D7"/>
    <w:rsid w:val="005D6464"/>
    <w:rsid w:val="005D6C02"/>
    <w:rsid w:val="005D733B"/>
    <w:rsid w:val="005D7D69"/>
    <w:rsid w:val="005D7E3C"/>
    <w:rsid w:val="005E180C"/>
    <w:rsid w:val="005E1D4B"/>
    <w:rsid w:val="005E2815"/>
    <w:rsid w:val="005E2EB3"/>
    <w:rsid w:val="005E3E9B"/>
    <w:rsid w:val="005E5415"/>
    <w:rsid w:val="005E5D06"/>
    <w:rsid w:val="005E6632"/>
    <w:rsid w:val="005F0D2E"/>
    <w:rsid w:val="005F1F0E"/>
    <w:rsid w:val="005F2467"/>
    <w:rsid w:val="005F2E1B"/>
    <w:rsid w:val="005F3E46"/>
    <w:rsid w:val="005F4616"/>
    <w:rsid w:val="005F5357"/>
    <w:rsid w:val="00600D77"/>
    <w:rsid w:val="00600D95"/>
    <w:rsid w:val="006013E0"/>
    <w:rsid w:val="00607796"/>
    <w:rsid w:val="006078F5"/>
    <w:rsid w:val="00613A81"/>
    <w:rsid w:val="00615041"/>
    <w:rsid w:val="00617A67"/>
    <w:rsid w:val="00617BEB"/>
    <w:rsid w:val="00621856"/>
    <w:rsid w:val="00622CF0"/>
    <w:rsid w:val="00623440"/>
    <w:rsid w:val="00624CE0"/>
    <w:rsid w:val="00625499"/>
    <w:rsid w:val="00626C37"/>
    <w:rsid w:val="00627948"/>
    <w:rsid w:val="0063078B"/>
    <w:rsid w:val="006318E1"/>
    <w:rsid w:val="006332C7"/>
    <w:rsid w:val="00633518"/>
    <w:rsid w:val="00633DBA"/>
    <w:rsid w:val="00634247"/>
    <w:rsid w:val="00634856"/>
    <w:rsid w:val="00634C05"/>
    <w:rsid w:val="00636540"/>
    <w:rsid w:val="00637056"/>
    <w:rsid w:val="0064120B"/>
    <w:rsid w:val="00641433"/>
    <w:rsid w:val="00641937"/>
    <w:rsid w:val="00642021"/>
    <w:rsid w:val="0064218D"/>
    <w:rsid w:val="0064322F"/>
    <w:rsid w:val="00645377"/>
    <w:rsid w:val="0064643D"/>
    <w:rsid w:val="00646954"/>
    <w:rsid w:val="006473DB"/>
    <w:rsid w:val="0064773C"/>
    <w:rsid w:val="00647BE8"/>
    <w:rsid w:val="00651154"/>
    <w:rsid w:val="00651A47"/>
    <w:rsid w:val="00652533"/>
    <w:rsid w:val="0065300A"/>
    <w:rsid w:val="006550AF"/>
    <w:rsid w:val="006551E0"/>
    <w:rsid w:val="006559CC"/>
    <w:rsid w:val="00655B47"/>
    <w:rsid w:val="00655B8C"/>
    <w:rsid w:val="006575AC"/>
    <w:rsid w:val="00657DDA"/>
    <w:rsid w:val="0066027B"/>
    <w:rsid w:val="00660A7D"/>
    <w:rsid w:val="0066108F"/>
    <w:rsid w:val="0066175C"/>
    <w:rsid w:val="00661A4E"/>
    <w:rsid w:val="006620AD"/>
    <w:rsid w:val="00663397"/>
    <w:rsid w:val="00663FAD"/>
    <w:rsid w:val="00665ECF"/>
    <w:rsid w:val="0066619E"/>
    <w:rsid w:val="00667089"/>
    <w:rsid w:val="00671777"/>
    <w:rsid w:val="00671ECF"/>
    <w:rsid w:val="00672A2B"/>
    <w:rsid w:val="00672FEF"/>
    <w:rsid w:val="00675156"/>
    <w:rsid w:val="0068033A"/>
    <w:rsid w:val="0068173C"/>
    <w:rsid w:val="006817AF"/>
    <w:rsid w:val="006820FF"/>
    <w:rsid w:val="00682795"/>
    <w:rsid w:val="00683592"/>
    <w:rsid w:val="00683796"/>
    <w:rsid w:val="0068542B"/>
    <w:rsid w:val="006864D5"/>
    <w:rsid w:val="00686596"/>
    <w:rsid w:val="00686868"/>
    <w:rsid w:val="00687307"/>
    <w:rsid w:val="0069013E"/>
    <w:rsid w:val="00691370"/>
    <w:rsid w:val="0069195E"/>
    <w:rsid w:val="00692444"/>
    <w:rsid w:val="006934E4"/>
    <w:rsid w:val="006945C1"/>
    <w:rsid w:val="006946EF"/>
    <w:rsid w:val="00695A2C"/>
    <w:rsid w:val="006975E3"/>
    <w:rsid w:val="0069760B"/>
    <w:rsid w:val="0069792B"/>
    <w:rsid w:val="00697B51"/>
    <w:rsid w:val="00697E8F"/>
    <w:rsid w:val="006A0757"/>
    <w:rsid w:val="006A0913"/>
    <w:rsid w:val="006A1512"/>
    <w:rsid w:val="006A230B"/>
    <w:rsid w:val="006A552D"/>
    <w:rsid w:val="006A5708"/>
    <w:rsid w:val="006A7BD0"/>
    <w:rsid w:val="006B11E8"/>
    <w:rsid w:val="006B12D2"/>
    <w:rsid w:val="006B2086"/>
    <w:rsid w:val="006B3C2A"/>
    <w:rsid w:val="006B695F"/>
    <w:rsid w:val="006B6E07"/>
    <w:rsid w:val="006B7ED4"/>
    <w:rsid w:val="006C0438"/>
    <w:rsid w:val="006C0465"/>
    <w:rsid w:val="006C0877"/>
    <w:rsid w:val="006C09E5"/>
    <w:rsid w:val="006C1139"/>
    <w:rsid w:val="006C15D0"/>
    <w:rsid w:val="006C1ABB"/>
    <w:rsid w:val="006C2CF5"/>
    <w:rsid w:val="006C31B7"/>
    <w:rsid w:val="006C39DF"/>
    <w:rsid w:val="006C4C14"/>
    <w:rsid w:val="006C60A7"/>
    <w:rsid w:val="006C6BFF"/>
    <w:rsid w:val="006C7006"/>
    <w:rsid w:val="006D0BD2"/>
    <w:rsid w:val="006D0E54"/>
    <w:rsid w:val="006D3119"/>
    <w:rsid w:val="006D5C60"/>
    <w:rsid w:val="006D7C72"/>
    <w:rsid w:val="006E004B"/>
    <w:rsid w:val="006E15E3"/>
    <w:rsid w:val="006E2F48"/>
    <w:rsid w:val="006E51CE"/>
    <w:rsid w:val="006E54CD"/>
    <w:rsid w:val="006E743A"/>
    <w:rsid w:val="006F0E4F"/>
    <w:rsid w:val="006F193E"/>
    <w:rsid w:val="006F1D72"/>
    <w:rsid w:val="006F2FA8"/>
    <w:rsid w:val="006F62E6"/>
    <w:rsid w:val="006F6A79"/>
    <w:rsid w:val="006F794A"/>
    <w:rsid w:val="0070068D"/>
    <w:rsid w:val="00700954"/>
    <w:rsid w:val="007034D0"/>
    <w:rsid w:val="00705867"/>
    <w:rsid w:val="00706F3D"/>
    <w:rsid w:val="00707120"/>
    <w:rsid w:val="00707602"/>
    <w:rsid w:val="00710424"/>
    <w:rsid w:val="00710591"/>
    <w:rsid w:val="007119A5"/>
    <w:rsid w:val="007122EA"/>
    <w:rsid w:val="007125AF"/>
    <w:rsid w:val="00712B97"/>
    <w:rsid w:val="007137CC"/>
    <w:rsid w:val="00714273"/>
    <w:rsid w:val="007143DA"/>
    <w:rsid w:val="00714E60"/>
    <w:rsid w:val="00715DF7"/>
    <w:rsid w:val="00717305"/>
    <w:rsid w:val="00717A01"/>
    <w:rsid w:val="00720767"/>
    <w:rsid w:val="00722189"/>
    <w:rsid w:val="00723882"/>
    <w:rsid w:val="00724CEF"/>
    <w:rsid w:val="00725C97"/>
    <w:rsid w:val="007325A2"/>
    <w:rsid w:val="00732857"/>
    <w:rsid w:val="007328CF"/>
    <w:rsid w:val="00732D99"/>
    <w:rsid w:val="0073492C"/>
    <w:rsid w:val="00735526"/>
    <w:rsid w:val="007355D2"/>
    <w:rsid w:val="007360D9"/>
    <w:rsid w:val="00740BD9"/>
    <w:rsid w:val="00741BD7"/>
    <w:rsid w:val="00742AC3"/>
    <w:rsid w:val="00742C5C"/>
    <w:rsid w:val="00743347"/>
    <w:rsid w:val="00743C10"/>
    <w:rsid w:val="00744469"/>
    <w:rsid w:val="00745483"/>
    <w:rsid w:val="00745AD8"/>
    <w:rsid w:val="0074699A"/>
    <w:rsid w:val="00751D5F"/>
    <w:rsid w:val="007539E9"/>
    <w:rsid w:val="00753AB7"/>
    <w:rsid w:val="00754325"/>
    <w:rsid w:val="0075581F"/>
    <w:rsid w:val="0075742A"/>
    <w:rsid w:val="00760F13"/>
    <w:rsid w:val="00761915"/>
    <w:rsid w:val="00761A82"/>
    <w:rsid w:val="00763124"/>
    <w:rsid w:val="00763B79"/>
    <w:rsid w:val="007645FF"/>
    <w:rsid w:val="00765A34"/>
    <w:rsid w:val="00766BC9"/>
    <w:rsid w:val="00766FB9"/>
    <w:rsid w:val="0076762A"/>
    <w:rsid w:val="0076780C"/>
    <w:rsid w:val="00770188"/>
    <w:rsid w:val="00772D6A"/>
    <w:rsid w:val="00773421"/>
    <w:rsid w:val="00773FE4"/>
    <w:rsid w:val="007745FE"/>
    <w:rsid w:val="00774BE8"/>
    <w:rsid w:val="00774E22"/>
    <w:rsid w:val="0077630F"/>
    <w:rsid w:val="00777AFE"/>
    <w:rsid w:val="00777F87"/>
    <w:rsid w:val="00780E61"/>
    <w:rsid w:val="00781DEE"/>
    <w:rsid w:val="0078348A"/>
    <w:rsid w:val="00784FCF"/>
    <w:rsid w:val="0078567D"/>
    <w:rsid w:val="007909B3"/>
    <w:rsid w:val="007926D5"/>
    <w:rsid w:val="007937C5"/>
    <w:rsid w:val="007A00D5"/>
    <w:rsid w:val="007A02DF"/>
    <w:rsid w:val="007A0429"/>
    <w:rsid w:val="007A106F"/>
    <w:rsid w:val="007A2498"/>
    <w:rsid w:val="007A3C20"/>
    <w:rsid w:val="007A4238"/>
    <w:rsid w:val="007A430C"/>
    <w:rsid w:val="007A7334"/>
    <w:rsid w:val="007B348B"/>
    <w:rsid w:val="007B4778"/>
    <w:rsid w:val="007B6A7F"/>
    <w:rsid w:val="007C11F4"/>
    <w:rsid w:val="007C17FC"/>
    <w:rsid w:val="007C2155"/>
    <w:rsid w:val="007C2C4A"/>
    <w:rsid w:val="007C2DEA"/>
    <w:rsid w:val="007C32BD"/>
    <w:rsid w:val="007C33B5"/>
    <w:rsid w:val="007C4CD5"/>
    <w:rsid w:val="007C52B7"/>
    <w:rsid w:val="007C5542"/>
    <w:rsid w:val="007C58E4"/>
    <w:rsid w:val="007C7142"/>
    <w:rsid w:val="007C7AFB"/>
    <w:rsid w:val="007D01A0"/>
    <w:rsid w:val="007D04AD"/>
    <w:rsid w:val="007D0D66"/>
    <w:rsid w:val="007D41E2"/>
    <w:rsid w:val="007D4ED5"/>
    <w:rsid w:val="007D6641"/>
    <w:rsid w:val="007D7349"/>
    <w:rsid w:val="007D76C4"/>
    <w:rsid w:val="007D7FDE"/>
    <w:rsid w:val="007E06E3"/>
    <w:rsid w:val="007E0752"/>
    <w:rsid w:val="007E0D7B"/>
    <w:rsid w:val="007E656C"/>
    <w:rsid w:val="007E6919"/>
    <w:rsid w:val="007E79BB"/>
    <w:rsid w:val="007F2CA7"/>
    <w:rsid w:val="007F2FA3"/>
    <w:rsid w:val="007F353D"/>
    <w:rsid w:val="007F3847"/>
    <w:rsid w:val="007F3975"/>
    <w:rsid w:val="007F4106"/>
    <w:rsid w:val="007F5D85"/>
    <w:rsid w:val="007F5E32"/>
    <w:rsid w:val="007F664B"/>
    <w:rsid w:val="007F722E"/>
    <w:rsid w:val="007F7693"/>
    <w:rsid w:val="008004F5"/>
    <w:rsid w:val="00800D8F"/>
    <w:rsid w:val="00801868"/>
    <w:rsid w:val="00801956"/>
    <w:rsid w:val="00802183"/>
    <w:rsid w:val="00802A9E"/>
    <w:rsid w:val="00802F87"/>
    <w:rsid w:val="00803155"/>
    <w:rsid w:val="00811DBB"/>
    <w:rsid w:val="00812210"/>
    <w:rsid w:val="0081223B"/>
    <w:rsid w:val="00812C84"/>
    <w:rsid w:val="00813336"/>
    <w:rsid w:val="00815AFF"/>
    <w:rsid w:val="00816354"/>
    <w:rsid w:val="00816666"/>
    <w:rsid w:val="00817EBC"/>
    <w:rsid w:val="00820C60"/>
    <w:rsid w:val="00823DE5"/>
    <w:rsid w:val="00823EFA"/>
    <w:rsid w:val="00825C9C"/>
    <w:rsid w:val="0082604B"/>
    <w:rsid w:val="0082661B"/>
    <w:rsid w:val="00827634"/>
    <w:rsid w:val="00827916"/>
    <w:rsid w:val="00827C0D"/>
    <w:rsid w:val="00827DE2"/>
    <w:rsid w:val="008325C4"/>
    <w:rsid w:val="00833A0C"/>
    <w:rsid w:val="00833A84"/>
    <w:rsid w:val="008344F7"/>
    <w:rsid w:val="00834762"/>
    <w:rsid w:val="00834825"/>
    <w:rsid w:val="00834D94"/>
    <w:rsid w:val="0083547E"/>
    <w:rsid w:val="00835BBC"/>
    <w:rsid w:val="008379F4"/>
    <w:rsid w:val="0084029C"/>
    <w:rsid w:val="008407EE"/>
    <w:rsid w:val="00842AB8"/>
    <w:rsid w:val="0084366E"/>
    <w:rsid w:val="0084390C"/>
    <w:rsid w:val="00845B57"/>
    <w:rsid w:val="00845E27"/>
    <w:rsid w:val="00846510"/>
    <w:rsid w:val="008473C5"/>
    <w:rsid w:val="00853079"/>
    <w:rsid w:val="00853CBC"/>
    <w:rsid w:val="00855149"/>
    <w:rsid w:val="008577BA"/>
    <w:rsid w:val="00857F10"/>
    <w:rsid w:val="00860E74"/>
    <w:rsid w:val="00860E86"/>
    <w:rsid w:val="00862AF0"/>
    <w:rsid w:val="0086425D"/>
    <w:rsid w:val="008660BF"/>
    <w:rsid w:val="00866C9F"/>
    <w:rsid w:val="00867752"/>
    <w:rsid w:val="008704DD"/>
    <w:rsid w:val="008735A9"/>
    <w:rsid w:val="0087393D"/>
    <w:rsid w:val="00874D53"/>
    <w:rsid w:val="008750A7"/>
    <w:rsid w:val="00876C88"/>
    <w:rsid w:val="008770F6"/>
    <w:rsid w:val="00877221"/>
    <w:rsid w:val="00881FD0"/>
    <w:rsid w:val="008824D7"/>
    <w:rsid w:val="00882754"/>
    <w:rsid w:val="008840E8"/>
    <w:rsid w:val="00884DDB"/>
    <w:rsid w:val="0088505E"/>
    <w:rsid w:val="00885A0C"/>
    <w:rsid w:val="00886365"/>
    <w:rsid w:val="008870BF"/>
    <w:rsid w:val="0088731E"/>
    <w:rsid w:val="00887F4C"/>
    <w:rsid w:val="00890C24"/>
    <w:rsid w:val="00892EE4"/>
    <w:rsid w:val="008931AC"/>
    <w:rsid w:val="00893809"/>
    <w:rsid w:val="008941B1"/>
    <w:rsid w:val="00894425"/>
    <w:rsid w:val="008944F4"/>
    <w:rsid w:val="00894BC8"/>
    <w:rsid w:val="00896312"/>
    <w:rsid w:val="00896515"/>
    <w:rsid w:val="00897342"/>
    <w:rsid w:val="008A0C9C"/>
    <w:rsid w:val="008A184F"/>
    <w:rsid w:val="008A1CBA"/>
    <w:rsid w:val="008A3AF4"/>
    <w:rsid w:val="008A448E"/>
    <w:rsid w:val="008A4DF1"/>
    <w:rsid w:val="008A6651"/>
    <w:rsid w:val="008A6CD6"/>
    <w:rsid w:val="008B0864"/>
    <w:rsid w:val="008B1424"/>
    <w:rsid w:val="008B1F2A"/>
    <w:rsid w:val="008B4A63"/>
    <w:rsid w:val="008B4AC5"/>
    <w:rsid w:val="008B4FD3"/>
    <w:rsid w:val="008B50A5"/>
    <w:rsid w:val="008B595A"/>
    <w:rsid w:val="008B6246"/>
    <w:rsid w:val="008B79DF"/>
    <w:rsid w:val="008C02D0"/>
    <w:rsid w:val="008C0A72"/>
    <w:rsid w:val="008C154C"/>
    <w:rsid w:val="008C1716"/>
    <w:rsid w:val="008C2130"/>
    <w:rsid w:val="008C2EDB"/>
    <w:rsid w:val="008C3CBE"/>
    <w:rsid w:val="008C7124"/>
    <w:rsid w:val="008D14A9"/>
    <w:rsid w:val="008D1AAF"/>
    <w:rsid w:val="008D27B7"/>
    <w:rsid w:val="008D2E6F"/>
    <w:rsid w:val="008D37EC"/>
    <w:rsid w:val="008D3806"/>
    <w:rsid w:val="008D3987"/>
    <w:rsid w:val="008D449D"/>
    <w:rsid w:val="008D45C1"/>
    <w:rsid w:val="008D4C14"/>
    <w:rsid w:val="008D51E7"/>
    <w:rsid w:val="008D7771"/>
    <w:rsid w:val="008D7E8B"/>
    <w:rsid w:val="008E0A82"/>
    <w:rsid w:val="008E2CA1"/>
    <w:rsid w:val="008E2FF5"/>
    <w:rsid w:val="008E3E7B"/>
    <w:rsid w:val="008E6069"/>
    <w:rsid w:val="008E6F7E"/>
    <w:rsid w:val="008E7F17"/>
    <w:rsid w:val="008F01C0"/>
    <w:rsid w:val="008F16DE"/>
    <w:rsid w:val="008F2722"/>
    <w:rsid w:val="008F3C1D"/>
    <w:rsid w:val="008F4F52"/>
    <w:rsid w:val="008F617D"/>
    <w:rsid w:val="008F649D"/>
    <w:rsid w:val="008F7AF7"/>
    <w:rsid w:val="00900152"/>
    <w:rsid w:val="00902061"/>
    <w:rsid w:val="009020FD"/>
    <w:rsid w:val="00902516"/>
    <w:rsid w:val="00902EFF"/>
    <w:rsid w:val="0090394D"/>
    <w:rsid w:val="00904143"/>
    <w:rsid w:val="00904392"/>
    <w:rsid w:val="00905625"/>
    <w:rsid w:val="00905DCF"/>
    <w:rsid w:val="009062E4"/>
    <w:rsid w:val="0090637D"/>
    <w:rsid w:val="0090769B"/>
    <w:rsid w:val="00907B6A"/>
    <w:rsid w:val="0091058F"/>
    <w:rsid w:val="00911F1B"/>
    <w:rsid w:val="00912426"/>
    <w:rsid w:val="00912704"/>
    <w:rsid w:val="00912A95"/>
    <w:rsid w:val="009130EC"/>
    <w:rsid w:val="00913D87"/>
    <w:rsid w:val="00915686"/>
    <w:rsid w:val="00916F2D"/>
    <w:rsid w:val="00917757"/>
    <w:rsid w:val="009208FB"/>
    <w:rsid w:val="009251D3"/>
    <w:rsid w:val="00925C4D"/>
    <w:rsid w:val="0092631F"/>
    <w:rsid w:val="009264E7"/>
    <w:rsid w:val="0092695A"/>
    <w:rsid w:val="00927831"/>
    <w:rsid w:val="00927ECD"/>
    <w:rsid w:val="0093047E"/>
    <w:rsid w:val="00930FD8"/>
    <w:rsid w:val="009314EC"/>
    <w:rsid w:val="009326A8"/>
    <w:rsid w:val="009407CD"/>
    <w:rsid w:val="00941491"/>
    <w:rsid w:val="00943520"/>
    <w:rsid w:val="00943EDF"/>
    <w:rsid w:val="0094475D"/>
    <w:rsid w:val="00945AD3"/>
    <w:rsid w:val="00946866"/>
    <w:rsid w:val="00947733"/>
    <w:rsid w:val="00950395"/>
    <w:rsid w:val="009508D9"/>
    <w:rsid w:val="00950B72"/>
    <w:rsid w:val="00950CC4"/>
    <w:rsid w:val="00951B74"/>
    <w:rsid w:val="0095365D"/>
    <w:rsid w:val="00953D66"/>
    <w:rsid w:val="00954235"/>
    <w:rsid w:val="00954470"/>
    <w:rsid w:val="00954845"/>
    <w:rsid w:val="009559E4"/>
    <w:rsid w:val="00955B9E"/>
    <w:rsid w:val="009563BB"/>
    <w:rsid w:val="009576E4"/>
    <w:rsid w:val="00957E37"/>
    <w:rsid w:val="009603D0"/>
    <w:rsid w:val="00960BF0"/>
    <w:rsid w:val="0096486F"/>
    <w:rsid w:val="00966D00"/>
    <w:rsid w:val="009716F2"/>
    <w:rsid w:val="00975C25"/>
    <w:rsid w:val="009766A1"/>
    <w:rsid w:val="00976C98"/>
    <w:rsid w:val="00981872"/>
    <w:rsid w:val="00983D5F"/>
    <w:rsid w:val="00985AB3"/>
    <w:rsid w:val="00985DD2"/>
    <w:rsid w:val="0098660E"/>
    <w:rsid w:val="009874E6"/>
    <w:rsid w:val="00987987"/>
    <w:rsid w:val="00991EC1"/>
    <w:rsid w:val="009921AC"/>
    <w:rsid w:val="00996593"/>
    <w:rsid w:val="009969D7"/>
    <w:rsid w:val="009974CC"/>
    <w:rsid w:val="00997739"/>
    <w:rsid w:val="009978D4"/>
    <w:rsid w:val="00997EF3"/>
    <w:rsid w:val="00997F9E"/>
    <w:rsid w:val="009A19F3"/>
    <w:rsid w:val="009A1F5D"/>
    <w:rsid w:val="009A1FF0"/>
    <w:rsid w:val="009A2085"/>
    <w:rsid w:val="009A3696"/>
    <w:rsid w:val="009A4775"/>
    <w:rsid w:val="009A47E3"/>
    <w:rsid w:val="009A55CF"/>
    <w:rsid w:val="009A67C9"/>
    <w:rsid w:val="009A6BC1"/>
    <w:rsid w:val="009A7820"/>
    <w:rsid w:val="009B04AF"/>
    <w:rsid w:val="009B0755"/>
    <w:rsid w:val="009B20AD"/>
    <w:rsid w:val="009B31E6"/>
    <w:rsid w:val="009B4A71"/>
    <w:rsid w:val="009B4BFB"/>
    <w:rsid w:val="009B4C6F"/>
    <w:rsid w:val="009B563C"/>
    <w:rsid w:val="009B5D6E"/>
    <w:rsid w:val="009B764C"/>
    <w:rsid w:val="009B7955"/>
    <w:rsid w:val="009B7B83"/>
    <w:rsid w:val="009C09FE"/>
    <w:rsid w:val="009C2B2F"/>
    <w:rsid w:val="009C5A25"/>
    <w:rsid w:val="009C6033"/>
    <w:rsid w:val="009C6D75"/>
    <w:rsid w:val="009C76E3"/>
    <w:rsid w:val="009D209A"/>
    <w:rsid w:val="009D3683"/>
    <w:rsid w:val="009D40CA"/>
    <w:rsid w:val="009D430B"/>
    <w:rsid w:val="009D5532"/>
    <w:rsid w:val="009D577D"/>
    <w:rsid w:val="009D5A45"/>
    <w:rsid w:val="009D5CA0"/>
    <w:rsid w:val="009D60C2"/>
    <w:rsid w:val="009D614B"/>
    <w:rsid w:val="009D68B9"/>
    <w:rsid w:val="009D7551"/>
    <w:rsid w:val="009D788B"/>
    <w:rsid w:val="009E1083"/>
    <w:rsid w:val="009E2A58"/>
    <w:rsid w:val="009E3156"/>
    <w:rsid w:val="009E52D7"/>
    <w:rsid w:val="009E682C"/>
    <w:rsid w:val="009F7A1C"/>
    <w:rsid w:val="00A000CA"/>
    <w:rsid w:val="00A00639"/>
    <w:rsid w:val="00A0221A"/>
    <w:rsid w:val="00A0394D"/>
    <w:rsid w:val="00A04837"/>
    <w:rsid w:val="00A064CC"/>
    <w:rsid w:val="00A104FC"/>
    <w:rsid w:val="00A124D9"/>
    <w:rsid w:val="00A129F3"/>
    <w:rsid w:val="00A13982"/>
    <w:rsid w:val="00A13B42"/>
    <w:rsid w:val="00A147DB"/>
    <w:rsid w:val="00A14DE7"/>
    <w:rsid w:val="00A15A25"/>
    <w:rsid w:val="00A161A9"/>
    <w:rsid w:val="00A16D17"/>
    <w:rsid w:val="00A16EFD"/>
    <w:rsid w:val="00A20BC5"/>
    <w:rsid w:val="00A21054"/>
    <w:rsid w:val="00A21497"/>
    <w:rsid w:val="00A22750"/>
    <w:rsid w:val="00A231DE"/>
    <w:rsid w:val="00A24DA0"/>
    <w:rsid w:val="00A26209"/>
    <w:rsid w:val="00A271B5"/>
    <w:rsid w:val="00A276D8"/>
    <w:rsid w:val="00A27CEB"/>
    <w:rsid w:val="00A3041C"/>
    <w:rsid w:val="00A34F03"/>
    <w:rsid w:val="00A374B1"/>
    <w:rsid w:val="00A400D9"/>
    <w:rsid w:val="00A413F7"/>
    <w:rsid w:val="00A41973"/>
    <w:rsid w:val="00A43410"/>
    <w:rsid w:val="00A43DB9"/>
    <w:rsid w:val="00A44630"/>
    <w:rsid w:val="00A44E07"/>
    <w:rsid w:val="00A45128"/>
    <w:rsid w:val="00A4517E"/>
    <w:rsid w:val="00A502E5"/>
    <w:rsid w:val="00A51B13"/>
    <w:rsid w:val="00A51DC1"/>
    <w:rsid w:val="00A52030"/>
    <w:rsid w:val="00A521F4"/>
    <w:rsid w:val="00A5313B"/>
    <w:rsid w:val="00A53B08"/>
    <w:rsid w:val="00A544A4"/>
    <w:rsid w:val="00A547C5"/>
    <w:rsid w:val="00A604A4"/>
    <w:rsid w:val="00A6296B"/>
    <w:rsid w:val="00A644C5"/>
    <w:rsid w:val="00A654CA"/>
    <w:rsid w:val="00A67EC1"/>
    <w:rsid w:val="00A70962"/>
    <w:rsid w:val="00A70B4A"/>
    <w:rsid w:val="00A71977"/>
    <w:rsid w:val="00A71B9D"/>
    <w:rsid w:val="00A72622"/>
    <w:rsid w:val="00A7325E"/>
    <w:rsid w:val="00A7345B"/>
    <w:rsid w:val="00A7352E"/>
    <w:rsid w:val="00A76613"/>
    <w:rsid w:val="00A77DC2"/>
    <w:rsid w:val="00A82F5A"/>
    <w:rsid w:val="00A83E10"/>
    <w:rsid w:val="00A84468"/>
    <w:rsid w:val="00A861D2"/>
    <w:rsid w:val="00A8649F"/>
    <w:rsid w:val="00A90165"/>
    <w:rsid w:val="00A90C4D"/>
    <w:rsid w:val="00A90F20"/>
    <w:rsid w:val="00A91DBE"/>
    <w:rsid w:val="00A948E9"/>
    <w:rsid w:val="00A950DB"/>
    <w:rsid w:val="00A95D14"/>
    <w:rsid w:val="00A95F76"/>
    <w:rsid w:val="00A978EA"/>
    <w:rsid w:val="00A97CE2"/>
    <w:rsid w:val="00AA2C91"/>
    <w:rsid w:val="00AA3F50"/>
    <w:rsid w:val="00AA42D6"/>
    <w:rsid w:val="00AA42EB"/>
    <w:rsid w:val="00AA4B9B"/>
    <w:rsid w:val="00AA7979"/>
    <w:rsid w:val="00AB33B7"/>
    <w:rsid w:val="00AB3C59"/>
    <w:rsid w:val="00AB4418"/>
    <w:rsid w:val="00AB4E95"/>
    <w:rsid w:val="00AB5E04"/>
    <w:rsid w:val="00AB717C"/>
    <w:rsid w:val="00AB72BA"/>
    <w:rsid w:val="00AB7AC9"/>
    <w:rsid w:val="00AC0073"/>
    <w:rsid w:val="00AC18C7"/>
    <w:rsid w:val="00AC22CF"/>
    <w:rsid w:val="00AC3986"/>
    <w:rsid w:val="00AC66D2"/>
    <w:rsid w:val="00AD1582"/>
    <w:rsid w:val="00AD272E"/>
    <w:rsid w:val="00AD2999"/>
    <w:rsid w:val="00AD370F"/>
    <w:rsid w:val="00AD3812"/>
    <w:rsid w:val="00AD4377"/>
    <w:rsid w:val="00AD4F26"/>
    <w:rsid w:val="00AD5BB6"/>
    <w:rsid w:val="00AD6880"/>
    <w:rsid w:val="00AD736B"/>
    <w:rsid w:val="00AE068C"/>
    <w:rsid w:val="00AE0D89"/>
    <w:rsid w:val="00AE1C32"/>
    <w:rsid w:val="00AE27A6"/>
    <w:rsid w:val="00AE3F60"/>
    <w:rsid w:val="00AE553B"/>
    <w:rsid w:val="00AE5E67"/>
    <w:rsid w:val="00AE67F8"/>
    <w:rsid w:val="00AE779F"/>
    <w:rsid w:val="00AF015F"/>
    <w:rsid w:val="00AF09F9"/>
    <w:rsid w:val="00AF162A"/>
    <w:rsid w:val="00AF3096"/>
    <w:rsid w:val="00AF4665"/>
    <w:rsid w:val="00AF5E0B"/>
    <w:rsid w:val="00AF6349"/>
    <w:rsid w:val="00AF6C57"/>
    <w:rsid w:val="00AF6EFE"/>
    <w:rsid w:val="00B01809"/>
    <w:rsid w:val="00B01E6B"/>
    <w:rsid w:val="00B0283E"/>
    <w:rsid w:val="00B02BDD"/>
    <w:rsid w:val="00B033F4"/>
    <w:rsid w:val="00B04FEC"/>
    <w:rsid w:val="00B0688B"/>
    <w:rsid w:val="00B06DB1"/>
    <w:rsid w:val="00B10786"/>
    <w:rsid w:val="00B10909"/>
    <w:rsid w:val="00B10F10"/>
    <w:rsid w:val="00B11331"/>
    <w:rsid w:val="00B14433"/>
    <w:rsid w:val="00B16CE4"/>
    <w:rsid w:val="00B16D1D"/>
    <w:rsid w:val="00B16E69"/>
    <w:rsid w:val="00B20494"/>
    <w:rsid w:val="00B226CD"/>
    <w:rsid w:val="00B2336A"/>
    <w:rsid w:val="00B234AD"/>
    <w:rsid w:val="00B3257C"/>
    <w:rsid w:val="00B33398"/>
    <w:rsid w:val="00B36132"/>
    <w:rsid w:val="00B3617A"/>
    <w:rsid w:val="00B36214"/>
    <w:rsid w:val="00B36E89"/>
    <w:rsid w:val="00B42576"/>
    <w:rsid w:val="00B446BF"/>
    <w:rsid w:val="00B44ADE"/>
    <w:rsid w:val="00B453A5"/>
    <w:rsid w:val="00B45A8F"/>
    <w:rsid w:val="00B50EDD"/>
    <w:rsid w:val="00B531DA"/>
    <w:rsid w:val="00B55B9F"/>
    <w:rsid w:val="00B570D1"/>
    <w:rsid w:val="00B57ECB"/>
    <w:rsid w:val="00B600A7"/>
    <w:rsid w:val="00B607A0"/>
    <w:rsid w:val="00B6102A"/>
    <w:rsid w:val="00B6182C"/>
    <w:rsid w:val="00B61B79"/>
    <w:rsid w:val="00B61D96"/>
    <w:rsid w:val="00B61F69"/>
    <w:rsid w:val="00B623D5"/>
    <w:rsid w:val="00B62A94"/>
    <w:rsid w:val="00B62B0B"/>
    <w:rsid w:val="00B6354C"/>
    <w:rsid w:val="00B635C0"/>
    <w:rsid w:val="00B639AE"/>
    <w:rsid w:val="00B63BC5"/>
    <w:rsid w:val="00B64FE9"/>
    <w:rsid w:val="00B66ADA"/>
    <w:rsid w:val="00B70A77"/>
    <w:rsid w:val="00B70FEA"/>
    <w:rsid w:val="00B73F50"/>
    <w:rsid w:val="00B73F56"/>
    <w:rsid w:val="00B7423F"/>
    <w:rsid w:val="00B744FD"/>
    <w:rsid w:val="00B74770"/>
    <w:rsid w:val="00B750B3"/>
    <w:rsid w:val="00B7692B"/>
    <w:rsid w:val="00B772A4"/>
    <w:rsid w:val="00B80B06"/>
    <w:rsid w:val="00B817CC"/>
    <w:rsid w:val="00B82E10"/>
    <w:rsid w:val="00B851E2"/>
    <w:rsid w:val="00B85C21"/>
    <w:rsid w:val="00B85F87"/>
    <w:rsid w:val="00B86C71"/>
    <w:rsid w:val="00B87925"/>
    <w:rsid w:val="00B87AC9"/>
    <w:rsid w:val="00B87C77"/>
    <w:rsid w:val="00B94BD5"/>
    <w:rsid w:val="00BA05CB"/>
    <w:rsid w:val="00BA1CE0"/>
    <w:rsid w:val="00BA20BF"/>
    <w:rsid w:val="00BA3DCF"/>
    <w:rsid w:val="00BA72B1"/>
    <w:rsid w:val="00BA7DFB"/>
    <w:rsid w:val="00BB0D2B"/>
    <w:rsid w:val="00BB1F54"/>
    <w:rsid w:val="00BB3C65"/>
    <w:rsid w:val="00BB47D6"/>
    <w:rsid w:val="00BB4BB2"/>
    <w:rsid w:val="00BC0290"/>
    <w:rsid w:val="00BC1675"/>
    <w:rsid w:val="00BC1AA8"/>
    <w:rsid w:val="00BC2F5D"/>
    <w:rsid w:val="00BC3558"/>
    <w:rsid w:val="00BC427A"/>
    <w:rsid w:val="00BC4D62"/>
    <w:rsid w:val="00BC53BD"/>
    <w:rsid w:val="00BC5673"/>
    <w:rsid w:val="00BC5D13"/>
    <w:rsid w:val="00BC62BA"/>
    <w:rsid w:val="00BC6D48"/>
    <w:rsid w:val="00BC7770"/>
    <w:rsid w:val="00BD0705"/>
    <w:rsid w:val="00BD1F1D"/>
    <w:rsid w:val="00BD2328"/>
    <w:rsid w:val="00BD275A"/>
    <w:rsid w:val="00BD2D08"/>
    <w:rsid w:val="00BD2DA1"/>
    <w:rsid w:val="00BD4497"/>
    <w:rsid w:val="00BD46C6"/>
    <w:rsid w:val="00BD4F67"/>
    <w:rsid w:val="00BD5B10"/>
    <w:rsid w:val="00BD62C1"/>
    <w:rsid w:val="00BD6F03"/>
    <w:rsid w:val="00BD713D"/>
    <w:rsid w:val="00BD79F2"/>
    <w:rsid w:val="00BE052F"/>
    <w:rsid w:val="00BE0F84"/>
    <w:rsid w:val="00BE269D"/>
    <w:rsid w:val="00BE26EE"/>
    <w:rsid w:val="00BE2C7E"/>
    <w:rsid w:val="00BE4D50"/>
    <w:rsid w:val="00BE5779"/>
    <w:rsid w:val="00BE681E"/>
    <w:rsid w:val="00BF011D"/>
    <w:rsid w:val="00BF0E04"/>
    <w:rsid w:val="00BF0F38"/>
    <w:rsid w:val="00BF14F4"/>
    <w:rsid w:val="00BF15FE"/>
    <w:rsid w:val="00BF1D74"/>
    <w:rsid w:val="00BF28A9"/>
    <w:rsid w:val="00BF2C8B"/>
    <w:rsid w:val="00BF332E"/>
    <w:rsid w:val="00BF3780"/>
    <w:rsid w:val="00BF3E41"/>
    <w:rsid w:val="00BF54EF"/>
    <w:rsid w:val="00BF7AFA"/>
    <w:rsid w:val="00C00EC9"/>
    <w:rsid w:val="00C013B4"/>
    <w:rsid w:val="00C016BD"/>
    <w:rsid w:val="00C02059"/>
    <w:rsid w:val="00C0250F"/>
    <w:rsid w:val="00C02639"/>
    <w:rsid w:val="00C02A7D"/>
    <w:rsid w:val="00C046B1"/>
    <w:rsid w:val="00C049EB"/>
    <w:rsid w:val="00C0692C"/>
    <w:rsid w:val="00C070B3"/>
    <w:rsid w:val="00C077F1"/>
    <w:rsid w:val="00C10A05"/>
    <w:rsid w:val="00C10BA4"/>
    <w:rsid w:val="00C10C88"/>
    <w:rsid w:val="00C12EDB"/>
    <w:rsid w:val="00C13086"/>
    <w:rsid w:val="00C166F9"/>
    <w:rsid w:val="00C179F7"/>
    <w:rsid w:val="00C17A37"/>
    <w:rsid w:val="00C200F7"/>
    <w:rsid w:val="00C21058"/>
    <w:rsid w:val="00C21104"/>
    <w:rsid w:val="00C217BA"/>
    <w:rsid w:val="00C21ABF"/>
    <w:rsid w:val="00C229EC"/>
    <w:rsid w:val="00C24351"/>
    <w:rsid w:val="00C268CF"/>
    <w:rsid w:val="00C26D09"/>
    <w:rsid w:val="00C2764E"/>
    <w:rsid w:val="00C305AE"/>
    <w:rsid w:val="00C307A8"/>
    <w:rsid w:val="00C30E83"/>
    <w:rsid w:val="00C334F9"/>
    <w:rsid w:val="00C3468B"/>
    <w:rsid w:val="00C359BC"/>
    <w:rsid w:val="00C35BF2"/>
    <w:rsid w:val="00C35F99"/>
    <w:rsid w:val="00C3731B"/>
    <w:rsid w:val="00C374B5"/>
    <w:rsid w:val="00C374C9"/>
    <w:rsid w:val="00C37D45"/>
    <w:rsid w:val="00C40D94"/>
    <w:rsid w:val="00C411BC"/>
    <w:rsid w:val="00C427E9"/>
    <w:rsid w:val="00C429E3"/>
    <w:rsid w:val="00C42A4D"/>
    <w:rsid w:val="00C42BDE"/>
    <w:rsid w:val="00C476FD"/>
    <w:rsid w:val="00C51C29"/>
    <w:rsid w:val="00C5433E"/>
    <w:rsid w:val="00C54C3D"/>
    <w:rsid w:val="00C55103"/>
    <w:rsid w:val="00C553B5"/>
    <w:rsid w:val="00C60EE9"/>
    <w:rsid w:val="00C62F85"/>
    <w:rsid w:val="00C63C71"/>
    <w:rsid w:val="00C6435B"/>
    <w:rsid w:val="00C64827"/>
    <w:rsid w:val="00C649B2"/>
    <w:rsid w:val="00C65929"/>
    <w:rsid w:val="00C67698"/>
    <w:rsid w:val="00C701B3"/>
    <w:rsid w:val="00C706A5"/>
    <w:rsid w:val="00C71138"/>
    <w:rsid w:val="00C72080"/>
    <w:rsid w:val="00C72318"/>
    <w:rsid w:val="00C73C35"/>
    <w:rsid w:val="00C744C3"/>
    <w:rsid w:val="00C76249"/>
    <w:rsid w:val="00C77FF2"/>
    <w:rsid w:val="00C80E65"/>
    <w:rsid w:val="00C814E3"/>
    <w:rsid w:val="00C823BD"/>
    <w:rsid w:val="00C82FA2"/>
    <w:rsid w:val="00C85227"/>
    <w:rsid w:val="00C85F79"/>
    <w:rsid w:val="00C87EFC"/>
    <w:rsid w:val="00C91677"/>
    <w:rsid w:val="00C93EAA"/>
    <w:rsid w:val="00C93FD8"/>
    <w:rsid w:val="00C94A80"/>
    <w:rsid w:val="00C94E38"/>
    <w:rsid w:val="00C94F63"/>
    <w:rsid w:val="00C95A6B"/>
    <w:rsid w:val="00C968CC"/>
    <w:rsid w:val="00C976F1"/>
    <w:rsid w:val="00C97B9F"/>
    <w:rsid w:val="00CA482A"/>
    <w:rsid w:val="00CA49CC"/>
    <w:rsid w:val="00CA5870"/>
    <w:rsid w:val="00CA6364"/>
    <w:rsid w:val="00CA6F5A"/>
    <w:rsid w:val="00CA6F70"/>
    <w:rsid w:val="00CA71DA"/>
    <w:rsid w:val="00CA7EF6"/>
    <w:rsid w:val="00CB00C5"/>
    <w:rsid w:val="00CB09C6"/>
    <w:rsid w:val="00CB1696"/>
    <w:rsid w:val="00CB2C1A"/>
    <w:rsid w:val="00CB3CA9"/>
    <w:rsid w:val="00CB45B8"/>
    <w:rsid w:val="00CB592A"/>
    <w:rsid w:val="00CB6356"/>
    <w:rsid w:val="00CC30D7"/>
    <w:rsid w:val="00CC3DB6"/>
    <w:rsid w:val="00CC4490"/>
    <w:rsid w:val="00CC5917"/>
    <w:rsid w:val="00CC665B"/>
    <w:rsid w:val="00CC77E4"/>
    <w:rsid w:val="00CD00FA"/>
    <w:rsid w:val="00CD1559"/>
    <w:rsid w:val="00CD1E97"/>
    <w:rsid w:val="00CD259B"/>
    <w:rsid w:val="00CD3A9A"/>
    <w:rsid w:val="00CD4181"/>
    <w:rsid w:val="00CD7B38"/>
    <w:rsid w:val="00CE0A3F"/>
    <w:rsid w:val="00CE24DD"/>
    <w:rsid w:val="00CE27F5"/>
    <w:rsid w:val="00CE4D13"/>
    <w:rsid w:val="00CE5396"/>
    <w:rsid w:val="00CE555C"/>
    <w:rsid w:val="00CF0163"/>
    <w:rsid w:val="00CF09A5"/>
    <w:rsid w:val="00CF3082"/>
    <w:rsid w:val="00CF3268"/>
    <w:rsid w:val="00CF3541"/>
    <w:rsid w:val="00CF38B5"/>
    <w:rsid w:val="00CF490A"/>
    <w:rsid w:val="00CF5E47"/>
    <w:rsid w:val="00CF6BB4"/>
    <w:rsid w:val="00CF6E6C"/>
    <w:rsid w:val="00CF6E70"/>
    <w:rsid w:val="00CF7444"/>
    <w:rsid w:val="00D002B7"/>
    <w:rsid w:val="00D00FB0"/>
    <w:rsid w:val="00D035C0"/>
    <w:rsid w:val="00D039D9"/>
    <w:rsid w:val="00D039E6"/>
    <w:rsid w:val="00D03E2E"/>
    <w:rsid w:val="00D05527"/>
    <w:rsid w:val="00D05A1E"/>
    <w:rsid w:val="00D05E8E"/>
    <w:rsid w:val="00D063DF"/>
    <w:rsid w:val="00D0784E"/>
    <w:rsid w:val="00D1034E"/>
    <w:rsid w:val="00D1059C"/>
    <w:rsid w:val="00D10EF1"/>
    <w:rsid w:val="00D1103E"/>
    <w:rsid w:val="00D1110F"/>
    <w:rsid w:val="00D113DE"/>
    <w:rsid w:val="00D11FA6"/>
    <w:rsid w:val="00D12F92"/>
    <w:rsid w:val="00D138F5"/>
    <w:rsid w:val="00D13B8F"/>
    <w:rsid w:val="00D13E89"/>
    <w:rsid w:val="00D16D05"/>
    <w:rsid w:val="00D17130"/>
    <w:rsid w:val="00D17758"/>
    <w:rsid w:val="00D21428"/>
    <w:rsid w:val="00D23E6D"/>
    <w:rsid w:val="00D23F6C"/>
    <w:rsid w:val="00D25B22"/>
    <w:rsid w:val="00D268A1"/>
    <w:rsid w:val="00D26D39"/>
    <w:rsid w:val="00D302B4"/>
    <w:rsid w:val="00D31987"/>
    <w:rsid w:val="00D319FE"/>
    <w:rsid w:val="00D323D1"/>
    <w:rsid w:val="00D33B2C"/>
    <w:rsid w:val="00D33BC0"/>
    <w:rsid w:val="00D33DDC"/>
    <w:rsid w:val="00D34415"/>
    <w:rsid w:val="00D35B9B"/>
    <w:rsid w:val="00D35EAD"/>
    <w:rsid w:val="00D37DFB"/>
    <w:rsid w:val="00D40078"/>
    <w:rsid w:val="00D4022D"/>
    <w:rsid w:val="00D414F5"/>
    <w:rsid w:val="00D454E7"/>
    <w:rsid w:val="00D46097"/>
    <w:rsid w:val="00D46521"/>
    <w:rsid w:val="00D53275"/>
    <w:rsid w:val="00D54358"/>
    <w:rsid w:val="00D553C6"/>
    <w:rsid w:val="00D5577E"/>
    <w:rsid w:val="00D5614A"/>
    <w:rsid w:val="00D563AD"/>
    <w:rsid w:val="00D5679E"/>
    <w:rsid w:val="00D567AA"/>
    <w:rsid w:val="00D604DA"/>
    <w:rsid w:val="00D62952"/>
    <w:rsid w:val="00D62B1A"/>
    <w:rsid w:val="00D6316F"/>
    <w:rsid w:val="00D63E9A"/>
    <w:rsid w:val="00D641F8"/>
    <w:rsid w:val="00D66AE3"/>
    <w:rsid w:val="00D67390"/>
    <w:rsid w:val="00D673AA"/>
    <w:rsid w:val="00D713A0"/>
    <w:rsid w:val="00D7152A"/>
    <w:rsid w:val="00D7233D"/>
    <w:rsid w:val="00D724DC"/>
    <w:rsid w:val="00D7524D"/>
    <w:rsid w:val="00D75C4F"/>
    <w:rsid w:val="00D76CA5"/>
    <w:rsid w:val="00D76ED3"/>
    <w:rsid w:val="00D77DC1"/>
    <w:rsid w:val="00D77E85"/>
    <w:rsid w:val="00D77F27"/>
    <w:rsid w:val="00D80A2B"/>
    <w:rsid w:val="00D80D6A"/>
    <w:rsid w:val="00D84084"/>
    <w:rsid w:val="00D85054"/>
    <w:rsid w:val="00D851B0"/>
    <w:rsid w:val="00D90594"/>
    <w:rsid w:val="00D90AA2"/>
    <w:rsid w:val="00D9112C"/>
    <w:rsid w:val="00D92B4D"/>
    <w:rsid w:val="00D93334"/>
    <w:rsid w:val="00D93A63"/>
    <w:rsid w:val="00D93D3C"/>
    <w:rsid w:val="00D93D73"/>
    <w:rsid w:val="00D9452B"/>
    <w:rsid w:val="00D94ADC"/>
    <w:rsid w:val="00D96AB7"/>
    <w:rsid w:val="00D977C8"/>
    <w:rsid w:val="00DA244B"/>
    <w:rsid w:val="00DA3198"/>
    <w:rsid w:val="00DA3867"/>
    <w:rsid w:val="00DA3E9A"/>
    <w:rsid w:val="00DA6F31"/>
    <w:rsid w:val="00DA706E"/>
    <w:rsid w:val="00DA7137"/>
    <w:rsid w:val="00DA7D1B"/>
    <w:rsid w:val="00DB03ED"/>
    <w:rsid w:val="00DB06E9"/>
    <w:rsid w:val="00DB181D"/>
    <w:rsid w:val="00DB1B17"/>
    <w:rsid w:val="00DB1EDB"/>
    <w:rsid w:val="00DB210F"/>
    <w:rsid w:val="00DB220A"/>
    <w:rsid w:val="00DB2DBE"/>
    <w:rsid w:val="00DB49B6"/>
    <w:rsid w:val="00DB5B40"/>
    <w:rsid w:val="00DB6DA6"/>
    <w:rsid w:val="00DC1302"/>
    <w:rsid w:val="00DC13E1"/>
    <w:rsid w:val="00DC1E47"/>
    <w:rsid w:val="00DC2397"/>
    <w:rsid w:val="00DC364B"/>
    <w:rsid w:val="00DC4B35"/>
    <w:rsid w:val="00DC4FBE"/>
    <w:rsid w:val="00DC5A31"/>
    <w:rsid w:val="00DC676B"/>
    <w:rsid w:val="00DD2648"/>
    <w:rsid w:val="00DD79E3"/>
    <w:rsid w:val="00DE048F"/>
    <w:rsid w:val="00DE215D"/>
    <w:rsid w:val="00DE491D"/>
    <w:rsid w:val="00DE552A"/>
    <w:rsid w:val="00DE5A78"/>
    <w:rsid w:val="00DE5D94"/>
    <w:rsid w:val="00DE7FFC"/>
    <w:rsid w:val="00DF0119"/>
    <w:rsid w:val="00DF171F"/>
    <w:rsid w:val="00DF1AB3"/>
    <w:rsid w:val="00DF1AB5"/>
    <w:rsid w:val="00DF369E"/>
    <w:rsid w:val="00E0008D"/>
    <w:rsid w:val="00E009EE"/>
    <w:rsid w:val="00E00CDF"/>
    <w:rsid w:val="00E0120D"/>
    <w:rsid w:val="00E01521"/>
    <w:rsid w:val="00E016C4"/>
    <w:rsid w:val="00E0246A"/>
    <w:rsid w:val="00E02A34"/>
    <w:rsid w:val="00E030B1"/>
    <w:rsid w:val="00E040F3"/>
    <w:rsid w:val="00E0420B"/>
    <w:rsid w:val="00E042F5"/>
    <w:rsid w:val="00E0719F"/>
    <w:rsid w:val="00E07465"/>
    <w:rsid w:val="00E11853"/>
    <w:rsid w:val="00E11BB7"/>
    <w:rsid w:val="00E11D10"/>
    <w:rsid w:val="00E11EBD"/>
    <w:rsid w:val="00E1447C"/>
    <w:rsid w:val="00E1484A"/>
    <w:rsid w:val="00E14DE9"/>
    <w:rsid w:val="00E163A1"/>
    <w:rsid w:val="00E16DF8"/>
    <w:rsid w:val="00E16EEC"/>
    <w:rsid w:val="00E1715A"/>
    <w:rsid w:val="00E204D1"/>
    <w:rsid w:val="00E2206C"/>
    <w:rsid w:val="00E234D4"/>
    <w:rsid w:val="00E25030"/>
    <w:rsid w:val="00E265E4"/>
    <w:rsid w:val="00E3029E"/>
    <w:rsid w:val="00E30F1C"/>
    <w:rsid w:val="00E32127"/>
    <w:rsid w:val="00E3351C"/>
    <w:rsid w:val="00E33A89"/>
    <w:rsid w:val="00E3427F"/>
    <w:rsid w:val="00E34506"/>
    <w:rsid w:val="00E345E9"/>
    <w:rsid w:val="00E36F48"/>
    <w:rsid w:val="00E41784"/>
    <w:rsid w:val="00E41E05"/>
    <w:rsid w:val="00E41E0C"/>
    <w:rsid w:val="00E42A8D"/>
    <w:rsid w:val="00E44128"/>
    <w:rsid w:val="00E442A1"/>
    <w:rsid w:val="00E443E4"/>
    <w:rsid w:val="00E45315"/>
    <w:rsid w:val="00E45773"/>
    <w:rsid w:val="00E461FA"/>
    <w:rsid w:val="00E477A6"/>
    <w:rsid w:val="00E47D6F"/>
    <w:rsid w:val="00E50D58"/>
    <w:rsid w:val="00E5131F"/>
    <w:rsid w:val="00E5224B"/>
    <w:rsid w:val="00E531E7"/>
    <w:rsid w:val="00E543BB"/>
    <w:rsid w:val="00E55C95"/>
    <w:rsid w:val="00E55FB3"/>
    <w:rsid w:val="00E56009"/>
    <w:rsid w:val="00E57400"/>
    <w:rsid w:val="00E60F25"/>
    <w:rsid w:val="00E61B27"/>
    <w:rsid w:val="00E627F6"/>
    <w:rsid w:val="00E62E41"/>
    <w:rsid w:val="00E638BD"/>
    <w:rsid w:val="00E640FA"/>
    <w:rsid w:val="00E6458A"/>
    <w:rsid w:val="00E66872"/>
    <w:rsid w:val="00E67510"/>
    <w:rsid w:val="00E67EE4"/>
    <w:rsid w:val="00E7052B"/>
    <w:rsid w:val="00E709DF"/>
    <w:rsid w:val="00E70D2A"/>
    <w:rsid w:val="00E70FF3"/>
    <w:rsid w:val="00E7109F"/>
    <w:rsid w:val="00E71175"/>
    <w:rsid w:val="00E7128A"/>
    <w:rsid w:val="00E729D8"/>
    <w:rsid w:val="00E72FB5"/>
    <w:rsid w:val="00E73938"/>
    <w:rsid w:val="00E74794"/>
    <w:rsid w:val="00E7611D"/>
    <w:rsid w:val="00E7678D"/>
    <w:rsid w:val="00E772C0"/>
    <w:rsid w:val="00E8457A"/>
    <w:rsid w:val="00E85462"/>
    <w:rsid w:val="00E85929"/>
    <w:rsid w:val="00E865C9"/>
    <w:rsid w:val="00E870DB"/>
    <w:rsid w:val="00E87D24"/>
    <w:rsid w:val="00E905BD"/>
    <w:rsid w:val="00E9062C"/>
    <w:rsid w:val="00E92BE9"/>
    <w:rsid w:val="00E92F9F"/>
    <w:rsid w:val="00E94716"/>
    <w:rsid w:val="00E9473C"/>
    <w:rsid w:val="00E94AC2"/>
    <w:rsid w:val="00E95525"/>
    <w:rsid w:val="00E96060"/>
    <w:rsid w:val="00E96E14"/>
    <w:rsid w:val="00E9702D"/>
    <w:rsid w:val="00E974FA"/>
    <w:rsid w:val="00E97A41"/>
    <w:rsid w:val="00EA1EEC"/>
    <w:rsid w:val="00EA2018"/>
    <w:rsid w:val="00EA205A"/>
    <w:rsid w:val="00EA3C3C"/>
    <w:rsid w:val="00EA4C22"/>
    <w:rsid w:val="00EA57D0"/>
    <w:rsid w:val="00EB01C9"/>
    <w:rsid w:val="00EB078A"/>
    <w:rsid w:val="00EB0D9D"/>
    <w:rsid w:val="00EB284E"/>
    <w:rsid w:val="00EB2FF9"/>
    <w:rsid w:val="00EB35F3"/>
    <w:rsid w:val="00EB41C4"/>
    <w:rsid w:val="00EB5E7C"/>
    <w:rsid w:val="00EB61C0"/>
    <w:rsid w:val="00EB676E"/>
    <w:rsid w:val="00EB68B6"/>
    <w:rsid w:val="00EB6BE8"/>
    <w:rsid w:val="00EB6C77"/>
    <w:rsid w:val="00EC04CA"/>
    <w:rsid w:val="00EC1D43"/>
    <w:rsid w:val="00EC42FA"/>
    <w:rsid w:val="00EC5534"/>
    <w:rsid w:val="00EC578A"/>
    <w:rsid w:val="00EC6555"/>
    <w:rsid w:val="00EC6F5C"/>
    <w:rsid w:val="00EC75B2"/>
    <w:rsid w:val="00EC7956"/>
    <w:rsid w:val="00ED0791"/>
    <w:rsid w:val="00ED0ED5"/>
    <w:rsid w:val="00ED2CEA"/>
    <w:rsid w:val="00ED3373"/>
    <w:rsid w:val="00ED602D"/>
    <w:rsid w:val="00ED6E53"/>
    <w:rsid w:val="00ED7023"/>
    <w:rsid w:val="00ED71A4"/>
    <w:rsid w:val="00EE0397"/>
    <w:rsid w:val="00EE0655"/>
    <w:rsid w:val="00EE1923"/>
    <w:rsid w:val="00EE3490"/>
    <w:rsid w:val="00EE571A"/>
    <w:rsid w:val="00EE7955"/>
    <w:rsid w:val="00EF0475"/>
    <w:rsid w:val="00EF1E54"/>
    <w:rsid w:val="00EF24E6"/>
    <w:rsid w:val="00EF2FFA"/>
    <w:rsid w:val="00EF3BCC"/>
    <w:rsid w:val="00EF4D2C"/>
    <w:rsid w:val="00EF5A96"/>
    <w:rsid w:val="00EF772F"/>
    <w:rsid w:val="00F04758"/>
    <w:rsid w:val="00F06A6A"/>
    <w:rsid w:val="00F06B39"/>
    <w:rsid w:val="00F06F28"/>
    <w:rsid w:val="00F07166"/>
    <w:rsid w:val="00F078CD"/>
    <w:rsid w:val="00F10829"/>
    <w:rsid w:val="00F109BA"/>
    <w:rsid w:val="00F11462"/>
    <w:rsid w:val="00F119B5"/>
    <w:rsid w:val="00F12B69"/>
    <w:rsid w:val="00F17B9D"/>
    <w:rsid w:val="00F20644"/>
    <w:rsid w:val="00F20E5B"/>
    <w:rsid w:val="00F21FD0"/>
    <w:rsid w:val="00F23039"/>
    <w:rsid w:val="00F24882"/>
    <w:rsid w:val="00F24E95"/>
    <w:rsid w:val="00F27A8A"/>
    <w:rsid w:val="00F35575"/>
    <w:rsid w:val="00F3570E"/>
    <w:rsid w:val="00F35DBC"/>
    <w:rsid w:val="00F3620D"/>
    <w:rsid w:val="00F37379"/>
    <w:rsid w:val="00F37422"/>
    <w:rsid w:val="00F406EF"/>
    <w:rsid w:val="00F409B1"/>
    <w:rsid w:val="00F40FCE"/>
    <w:rsid w:val="00F40FEE"/>
    <w:rsid w:val="00F44BD0"/>
    <w:rsid w:val="00F44CD1"/>
    <w:rsid w:val="00F4574D"/>
    <w:rsid w:val="00F469DA"/>
    <w:rsid w:val="00F50003"/>
    <w:rsid w:val="00F50CB9"/>
    <w:rsid w:val="00F52F0C"/>
    <w:rsid w:val="00F53CD4"/>
    <w:rsid w:val="00F5423D"/>
    <w:rsid w:val="00F6021D"/>
    <w:rsid w:val="00F60885"/>
    <w:rsid w:val="00F61D79"/>
    <w:rsid w:val="00F625E1"/>
    <w:rsid w:val="00F628B0"/>
    <w:rsid w:val="00F62B6E"/>
    <w:rsid w:val="00F65398"/>
    <w:rsid w:val="00F654BE"/>
    <w:rsid w:val="00F656E6"/>
    <w:rsid w:val="00F65FAF"/>
    <w:rsid w:val="00F663A6"/>
    <w:rsid w:val="00F66E42"/>
    <w:rsid w:val="00F71ED3"/>
    <w:rsid w:val="00F727CB"/>
    <w:rsid w:val="00F733C9"/>
    <w:rsid w:val="00F752D4"/>
    <w:rsid w:val="00F766B2"/>
    <w:rsid w:val="00F76B9D"/>
    <w:rsid w:val="00F80F35"/>
    <w:rsid w:val="00F81337"/>
    <w:rsid w:val="00F83AD4"/>
    <w:rsid w:val="00F83EC5"/>
    <w:rsid w:val="00F8477B"/>
    <w:rsid w:val="00F86A23"/>
    <w:rsid w:val="00F86EAC"/>
    <w:rsid w:val="00F86FF5"/>
    <w:rsid w:val="00F90C09"/>
    <w:rsid w:val="00F90E31"/>
    <w:rsid w:val="00F93158"/>
    <w:rsid w:val="00F9424E"/>
    <w:rsid w:val="00F95AB9"/>
    <w:rsid w:val="00F96227"/>
    <w:rsid w:val="00FA00D7"/>
    <w:rsid w:val="00FA12E0"/>
    <w:rsid w:val="00FA1489"/>
    <w:rsid w:val="00FA174F"/>
    <w:rsid w:val="00FA2D27"/>
    <w:rsid w:val="00FA2E00"/>
    <w:rsid w:val="00FA3097"/>
    <w:rsid w:val="00FA33E5"/>
    <w:rsid w:val="00FA37C6"/>
    <w:rsid w:val="00FA5F0F"/>
    <w:rsid w:val="00FB444E"/>
    <w:rsid w:val="00FB45CC"/>
    <w:rsid w:val="00FB52FD"/>
    <w:rsid w:val="00FB5856"/>
    <w:rsid w:val="00FB6069"/>
    <w:rsid w:val="00FB60D3"/>
    <w:rsid w:val="00FB6CFF"/>
    <w:rsid w:val="00FB7CD3"/>
    <w:rsid w:val="00FC12D6"/>
    <w:rsid w:val="00FC2160"/>
    <w:rsid w:val="00FC2218"/>
    <w:rsid w:val="00FC2BA0"/>
    <w:rsid w:val="00FC336F"/>
    <w:rsid w:val="00FC370A"/>
    <w:rsid w:val="00FC4BB0"/>
    <w:rsid w:val="00FC4E57"/>
    <w:rsid w:val="00FC7126"/>
    <w:rsid w:val="00FC7143"/>
    <w:rsid w:val="00FC7C7F"/>
    <w:rsid w:val="00FD2441"/>
    <w:rsid w:val="00FD3616"/>
    <w:rsid w:val="00FD3A4D"/>
    <w:rsid w:val="00FD44AB"/>
    <w:rsid w:val="00FD4A4B"/>
    <w:rsid w:val="00FD511B"/>
    <w:rsid w:val="00FD5C41"/>
    <w:rsid w:val="00FD5E2D"/>
    <w:rsid w:val="00FD7AD8"/>
    <w:rsid w:val="00FD7BFC"/>
    <w:rsid w:val="00FD7CAB"/>
    <w:rsid w:val="00FE0FCA"/>
    <w:rsid w:val="00FE1AEA"/>
    <w:rsid w:val="00FE20AE"/>
    <w:rsid w:val="00FE3CBE"/>
    <w:rsid w:val="00FE4BDD"/>
    <w:rsid w:val="00FE639A"/>
    <w:rsid w:val="00FE6B1B"/>
    <w:rsid w:val="00FF1F1D"/>
    <w:rsid w:val="00FF2FF6"/>
    <w:rsid w:val="00FF31FB"/>
    <w:rsid w:val="00FF392F"/>
    <w:rsid w:val="00FF44FD"/>
    <w:rsid w:val="00FF53E4"/>
    <w:rsid w:val="00FF662E"/>
    <w:rsid w:val="00FF7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EC5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83EC5"/>
    <w:pPr>
      <w:keepNext/>
      <w:spacing w:before="240" w:after="60"/>
      <w:outlineLvl w:val="0"/>
    </w:pPr>
    <w:rPr>
      <w:rFonts w:ascii="Times New Roman" w:hAnsi="Times New Roman" w:cs="Times New Roman"/>
      <w:b/>
      <w:bCs/>
      <w:kern w:val="32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83EC5"/>
    <w:rPr>
      <w:b/>
      <w:bCs/>
      <w:kern w:val="32"/>
      <w:sz w:val="28"/>
      <w:szCs w:val="32"/>
    </w:rPr>
  </w:style>
  <w:style w:type="paragraph" w:styleId="TM1">
    <w:name w:val="toc 1"/>
    <w:basedOn w:val="Normal"/>
    <w:next w:val="Normal"/>
    <w:autoRedefine/>
    <w:uiPriority w:val="39"/>
    <w:qFormat/>
    <w:rsid w:val="00F83EC5"/>
    <w:pPr>
      <w:spacing w:before="120"/>
    </w:pPr>
    <w:rPr>
      <w:rFonts w:ascii="Calibri" w:hAnsi="Calibri" w:cs="Times New Roman"/>
      <w:b/>
      <w:bCs/>
      <w:i/>
      <w:iCs/>
      <w:szCs w:val="28"/>
    </w:rPr>
  </w:style>
  <w:style w:type="paragraph" w:styleId="TM2">
    <w:name w:val="toc 2"/>
    <w:basedOn w:val="Normal"/>
    <w:next w:val="Normal"/>
    <w:autoRedefine/>
    <w:uiPriority w:val="39"/>
    <w:semiHidden/>
    <w:qFormat/>
    <w:rsid w:val="00F83EC5"/>
    <w:pPr>
      <w:spacing w:before="120"/>
      <w:ind w:left="240"/>
    </w:pPr>
    <w:rPr>
      <w:rFonts w:ascii="Calibri" w:hAnsi="Calibri" w:cs="Times New Roman"/>
      <w:b/>
      <w:bCs/>
      <w:sz w:val="22"/>
      <w:szCs w:val="26"/>
    </w:rPr>
  </w:style>
  <w:style w:type="paragraph" w:styleId="TM3">
    <w:name w:val="toc 3"/>
    <w:basedOn w:val="Normal"/>
    <w:next w:val="Normal"/>
    <w:autoRedefine/>
    <w:uiPriority w:val="39"/>
    <w:semiHidden/>
    <w:qFormat/>
    <w:rsid w:val="00F83EC5"/>
    <w:pPr>
      <w:ind w:left="480"/>
    </w:pPr>
    <w:rPr>
      <w:rFonts w:ascii="Calibri" w:hAnsi="Calibri" w:cs="Times New Roman"/>
      <w:sz w:val="20"/>
    </w:rPr>
  </w:style>
  <w:style w:type="paragraph" w:styleId="Lgende">
    <w:name w:val="caption"/>
    <w:aliases w:val="Titre1+Rouge"/>
    <w:basedOn w:val="Normal"/>
    <w:next w:val="Normal"/>
    <w:qFormat/>
    <w:rsid w:val="00F83EC5"/>
    <w:rPr>
      <w:rFonts w:cs="Times New Roman"/>
    </w:rPr>
  </w:style>
  <w:style w:type="paragraph" w:styleId="Sansinterligne">
    <w:name w:val="No Spacing"/>
    <w:link w:val="SansinterligneCar"/>
    <w:uiPriority w:val="1"/>
    <w:qFormat/>
    <w:rsid w:val="00F83EC5"/>
    <w:rPr>
      <w:rFonts w:ascii="Calibri" w:hAnsi="Calibri" w:cs="Arial"/>
      <w:sz w:val="22"/>
      <w:szCs w:val="22"/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F83EC5"/>
    <w:rPr>
      <w:rFonts w:ascii="Calibri" w:hAnsi="Calibri" w:cs="Arial"/>
      <w:sz w:val="22"/>
      <w:szCs w:val="22"/>
      <w:lang w:val="fr-FR" w:eastAsia="en-US" w:bidi="ar-SA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83EC5"/>
    <w:pPr>
      <w:keepLines/>
      <w:widowControl/>
      <w:autoSpaceDE/>
      <w:autoSpaceDN/>
      <w:adjustRightInd/>
      <w:spacing w:before="480" w:after="0" w:line="276" w:lineRule="auto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customStyle="1" w:styleId="titre2">
    <w:name w:val="titre2"/>
    <w:basedOn w:val="Normal"/>
    <w:qFormat/>
    <w:rsid w:val="00F83EC5"/>
    <w:pPr>
      <w:tabs>
        <w:tab w:val="left" w:pos="-720"/>
      </w:tabs>
      <w:spacing w:line="300" w:lineRule="atLeast"/>
      <w:jc w:val="both"/>
    </w:pPr>
    <w:rPr>
      <w:rFonts w:ascii="Univers" w:hAnsi="Univers" w:cs="Univers"/>
      <w:b/>
      <w:bCs/>
      <w:spacing w:val="-3"/>
    </w:rPr>
  </w:style>
  <w:style w:type="paragraph" w:customStyle="1" w:styleId="titre3">
    <w:name w:val="titre3"/>
    <w:basedOn w:val="Normal"/>
    <w:qFormat/>
    <w:rsid w:val="00F83EC5"/>
    <w:pPr>
      <w:tabs>
        <w:tab w:val="left" w:pos="-720"/>
      </w:tabs>
      <w:spacing w:line="300" w:lineRule="atLeast"/>
      <w:jc w:val="both"/>
    </w:pPr>
    <w:rPr>
      <w:rFonts w:ascii="Univers" w:hAnsi="Univers" w:cs="Univers"/>
      <w:b/>
      <w:bCs/>
      <w:spacing w:val="-3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9452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452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D6C0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5D6C02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5D6C0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centuation">
    <w:name w:val="Emphasis"/>
    <w:basedOn w:val="Policepardfaut"/>
    <w:uiPriority w:val="20"/>
    <w:qFormat/>
    <w:rsid w:val="00E9062C"/>
    <w:rPr>
      <w:i/>
      <w:iCs/>
    </w:rPr>
  </w:style>
  <w:style w:type="paragraph" w:styleId="En-tte">
    <w:name w:val="header"/>
    <w:basedOn w:val="Normal"/>
    <w:link w:val="En-tteCar"/>
    <w:uiPriority w:val="99"/>
    <w:semiHidden/>
    <w:unhideWhenUsed/>
    <w:rsid w:val="0046070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60705"/>
    <w:rPr>
      <w:rFonts w:ascii="Courier New" w:hAnsi="Courier New" w:cs="Courier New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46070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0705"/>
    <w:rPr>
      <w:rFonts w:ascii="Courier New" w:hAnsi="Courier New" w:cs="Courier New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E265E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265E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265E4"/>
    <w:rPr>
      <w:rFonts w:ascii="Courier New" w:hAnsi="Courier New" w:cs="Courier New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265E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265E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hcp.m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elmarizgui\Desktop\resultatseECM(trim1-08-trim1-2015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elmarizgui\Desktop\resultatseECM(trim1-08-trim1-2015)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elmarizgui\Desktop\resultatseECM(trim1-08-trim1-2015)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elmarizgui\Desktop\resultatseECM(trim1-08-trim1-2015)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CM\Desktop\trim2%202014\resultatseECM(trim1-08-trim2-2014)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elmarizgui\Desktop\resultatseECM(trim1-08-trim1-2015)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elmarizgui\Desktop\resultatseECM(trim1-08-trim1-2015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 sz="1400"/>
            </a:pPr>
            <a:r>
              <a:rPr lang="en-US" sz="1400" b="1" i="0" baseline="0"/>
              <a:t>Evolution de l'Indice de Confiance des Ménages</a:t>
            </a:r>
            <a:endParaRPr lang="fr-FR" sz="1400" b="1" i="0" baseline="0"/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'graphe fr'!$A$18</c:f>
              <c:strCache>
                <c:ptCount val="1"/>
                <c:pt idx="0">
                  <c:v>ICM</c:v>
                </c:pt>
              </c:strCache>
            </c:strRef>
          </c:tx>
          <c:dLbls>
            <c:dLbl>
              <c:idx val="24"/>
              <c:layout/>
              <c:spPr/>
              <c:txPr>
                <a:bodyPr/>
                <a:lstStyle/>
                <a:p>
                  <a:pPr>
                    <a:defRPr sz="900" b="1"/>
                  </a:pPr>
                  <a:endParaRPr lang="fr-FR"/>
                </a:p>
              </c:txPr>
              <c:showVal val="1"/>
            </c:dLbl>
            <c:dLbl>
              <c:idx val="27"/>
              <c:layout>
                <c:manualLayout>
                  <c:x val="-1.1869436201780473E-2"/>
                  <c:y val="0"/>
                </c:manualLayout>
              </c:layout>
              <c:spPr/>
              <c:txPr>
                <a:bodyPr/>
                <a:lstStyle/>
                <a:p>
                  <a:pPr>
                    <a:defRPr sz="900" b="1"/>
                  </a:pPr>
                  <a:endParaRPr lang="fr-FR"/>
                </a:p>
              </c:txPr>
              <c:showVal val="1"/>
            </c:dLbl>
            <c:dLbl>
              <c:idx val="28"/>
              <c:layout>
                <c:manualLayout>
                  <c:x val="3.956478733926805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 sz="900" b="1"/>
                  </a:pPr>
                  <a:endParaRPr lang="fr-FR"/>
                </a:p>
              </c:txPr>
              <c:showVal val="1"/>
            </c:dLbl>
            <c:delete val="1"/>
          </c:dLbls>
          <c:cat>
            <c:strRef>
              <c:f>'graphe fr'!$B$9:$AD$9</c:f>
              <c:strCache>
                <c:ptCount val="29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</c:strCache>
            </c:strRef>
          </c:cat>
          <c:val>
            <c:numRef>
              <c:f>'graphe fr'!$B$18:$AD$18</c:f>
              <c:numCache>
                <c:formatCode>#,##0.0</c:formatCode>
                <c:ptCount val="29"/>
                <c:pt idx="0">
                  <c:v>85.866502294191648</c:v>
                </c:pt>
                <c:pt idx="1">
                  <c:v>77.678707955852772</c:v>
                </c:pt>
                <c:pt idx="2">
                  <c:v>75.552480635756169</c:v>
                </c:pt>
                <c:pt idx="3">
                  <c:v>80.136884034904298</c:v>
                </c:pt>
                <c:pt idx="4">
                  <c:v>76.902419880745626</c:v>
                </c:pt>
                <c:pt idx="5">
                  <c:v>77.636131881705708</c:v>
                </c:pt>
                <c:pt idx="6">
                  <c:v>79.135624759962667</c:v>
                </c:pt>
                <c:pt idx="7">
                  <c:v>79.463913413558046</c:v>
                </c:pt>
                <c:pt idx="8">
                  <c:v>80.136086093618985</c:v>
                </c:pt>
                <c:pt idx="9">
                  <c:v>78.833388330573882</c:v>
                </c:pt>
                <c:pt idx="10">
                  <c:v>78.629956901853419</c:v>
                </c:pt>
                <c:pt idx="11">
                  <c:v>74.744893710814793</c:v>
                </c:pt>
                <c:pt idx="12">
                  <c:v>78.406406130604537</c:v>
                </c:pt>
                <c:pt idx="13">
                  <c:v>85.789532632532399</c:v>
                </c:pt>
                <c:pt idx="14">
                  <c:v>86.506225251482533</c:v>
                </c:pt>
                <c:pt idx="15">
                  <c:v>84.477214694877432</c:v>
                </c:pt>
                <c:pt idx="16">
                  <c:v>82.88047854282118</c:v>
                </c:pt>
                <c:pt idx="17">
                  <c:v>80.673652783725359</c:v>
                </c:pt>
                <c:pt idx="18">
                  <c:v>77.553867036569088</c:v>
                </c:pt>
                <c:pt idx="19">
                  <c:v>78.40335368134987</c:v>
                </c:pt>
                <c:pt idx="20">
                  <c:v>75.830193123476278</c:v>
                </c:pt>
                <c:pt idx="21">
                  <c:v>74.26831493920966</c:v>
                </c:pt>
                <c:pt idx="22">
                  <c:v>75.40113716912164</c:v>
                </c:pt>
                <c:pt idx="23">
                  <c:v>74.15325435026638</c:v>
                </c:pt>
                <c:pt idx="24">
                  <c:v>74.110620959006027</c:v>
                </c:pt>
                <c:pt idx="25">
                  <c:v>74.01455309996183</c:v>
                </c:pt>
                <c:pt idx="26">
                  <c:v>73.148145370690258</c:v>
                </c:pt>
                <c:pt idx="27">
                  <c:v>71.583460003653542</c:v>
                </c:pt>
                <c:pt idx="28">
                  <c:v>73.659282965035374</c:v>
                </c:pt>
              </c:numCache>
            </c:numRef>
          </c:val>
        </c:ser>
        <c:gapWidth val="75"/>
        <c:overlap val="-25"/>
        <c:axId val="78557952"/>
        <c:axId val="78559488"/>
      </c:barChart>
      <c:catAx>
        <c:axId val="78557952"/>
        <c:scaling>
          <c:orientation val="minMax"/>
        </c:scaling>
        <c:axPos val="b"/>
        <c:numFmt formatCode="#,##0.0" sourceLinked="1"/>
        <c:majorTickMark val="none"/>
        <c:tickLblPos val="nextTo"/>
        <c:txPr>
          <a:bodyPr/>
          <a:lstStyle/>
          <a:p>
            <a:pPr>
              <a:defRPr sz="800"/>
            </a:pPr>
            <a:endParaRPr lang="fr-FR"/>
          </a:p>
        </c:txPr>
        <c:crossAx val="78559488"/>
        <c:crosses val="autoZero"/>
        <c:auto val="1"/>
        <c:lblAlgn val="ctr"/>
        <c:lblOffset val="100"/>
      </c:catAx>
      <c:valAx>
        <c:axId val="78559488"/>
        <c:scaling>
          <c:orientation val="minMax"/>
        </c:scaling>
        <c:axPos val="l"/>
        <c:majorGridlines/>
        <c:numFmt formatCode="#,##0.0" sourceLinked="1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800"/>
            </a:pPr>
            <a:endParaRPr lang="fr-FR"/>
          </a:p>
        </c:txPr>
        <c:crossAx val="78557952"/>
        <c:crosses val="autoZero"/>
        <c:crossBetween val="between"/>
        <c:majorUnit val="20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algn="ctr">
              <a:defRPr sz="1400"/>
            </a:pPr>
            <a:r>
              <a:rPr lang="fr-FR" sz="1400" b="1" i="0" baseline="0"/>
              <a:t>Perception de l'évolution passée et future du niveau de vie</a:t>
            </a:r>
            <a:endParaRPr lang="fr-FR" sz="1400"/>
          </a:p>
          <a:p>
            <a:pPr algn="ctr">
              <a:defRPr sz="1400"/>
            </a:pPr>
            <a:r>
              <a:rPr lang="fr-FR" sz="1400" b="1" i="0" baseline="0"/>
              <a:t>(soldes d'opinions) </a:t>
            </a:r>
            <a:endParaRPr lang="fr-FR" sz="1400"/>
          </a:p>
        </c:rich>
      </c:tx>
      <c:layout>
        <c:manualLayout>
          <c:xMode val="edge"/>
          <c:yMode val="edge"/>
          <c:x val="0.16811095582749214"/>
          <c:y val="4.4534256226821532E-4"/>
        </c:manualLayout>
      </c:layout>
    </c:title>
    <c:plotArea>
      <c:layout>
        <c:manualLayout>
          <c:layoutTarget val="inner"/>
          <c:xMode val="edge"/>
          <c:yMode val="edge"/>
          <c:x val="5.2448285331359167E-2"/>
          <c:y val="0.1567034120734927"/>
          <c:w val="0.90794788478801691"/>
          <c:h val="0.61062987310073225"/>
        </c:manualLayout>
      </c:layout>
      <c:lineChart>
        <c:grouping val="standard"/>
        <c:ser>
          <c:idx val="0"/>
          <c:order val="0"/>
          <c:tx>
            <c:strRef>
              <c:f>'graphe fr'!$A$11</c:f>
              <c:strCache>
                <c:ptCount val="1"/>
                <c:pt idx="0">
                  <c:v>Evolution  passée du niveau de vie</c:v>
                </c:pt>
              </c:strCache>
            </c:strRef>
          </c:tx>
          <c:marker>
            <c:symbol val="square"/>
            <c:size val="5"/>
          </c:marker>
          <c:cat>
            <c:strRef>
              <c:f>'graphe fr'!$B$9:$AD$9</c:f>
              <c:strCache>
                <c:ptCount val="29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</c:strCache>
            </c:strRef>
          </c:cat>
          <c:val>
            <c:numRef>
              <c:f>'graphe fr'!$B$11:$AD$11</c:f>
              <c:numCache>
                <c:formatCode>#,##0.0</c:formatCode>
                <c:ptCount val="29"/>
                <c:pt idx="0">
                  <c:v>-10.399945582052929</c:v>
                </c:pt>
                <c:pt idx="1">
                  <c:v>-25.15337945599229</c:v>
                </c:pt>
                <c:pt idx="2">
                  <c:v>-31.141291421499769</c:v>
                </c:pt>
                <c:pt idx="3">
                  <c:v>-29.393844818665286</c:v>
                </c:pt>
                <c:pt idx="4">
                  <c:v>-36.652789359955584</c:v>
                </c:pt>
                <c:pt idx="5">
                  <c:v>-29.108394514506987</c:v>
                </c:pt>
                <c:pt idx="6">
                  <c:v>-25.702364309825629</c:v>
                </c:pt>
                <c:pt idx="7">
                  <c:v>-26.546435956901789</c:v>
                </c:pt>
                <c:pt idx="8">
                  <c:v>-25.723634629572967</c:v>
                </c:pt>
                <c:pt idx="9">
                  <c:v>-28.56499551903989</c:v>
                </c:pt>
                <c:pt idx="10">
                  <c:v>-27.930454212484364</c:v>
                </c:pt>
                <c:pt idx="11">
                  <c:v>-37.23676034498348</c:v>
                </c:pt>
                <c:pt idx="12">
                  <c:v>-26.050959167650138</c:v>
                </c:pt>
                <c:pt idx="13">
                  <c:v>-16.961438303130837</c:v>
                </c:pt>
                <c:pt idx="14">
                  <c:v>-13.439142519852034</c:v>
                </c:pt>
                <c:pt idx="15">
                  <c:v>-20.224270151200944</c:v>
                </c:pt>
                <c:pt idx="16">
                  <c:v>-26.170201326733839</c:v>
                </c:pt>
                <c:pt idx="17">
                  <c:v>-21.816848529134631</c:v>
                </c:pt>
                <c:pt idx="18">
                  <c:v>-27.85707555673623</c:v>
                </c:pt>
                <c:pt idx="19">
                  <c:v>-28.088708351168624</c:v>
                </c:pt>
                <c:pt idx="20">
                  <c:v>-29.212341127418195</c:v>
                </c:pt>
                <c:pt idx="21">
                  <c:v>-23.102864483982106</c:v>
                </c:pt>
                <c:pt idx="22">
                  <c:v>-21.158266803557588</c:v>
                </c:pt>
                <c:pt idx="23">
                  <c:v>-19.887264929132375</c:v>
                </c:pt>
                <c:pt idx="24">
                  <c:v>-18.060219769201886</c:v>
                </c:pt>
                <c:pt idx="25">
                  <c:v>-17.740461010850293</c:v>
                </c:pt>
                <c:pt idx="26">
                  <c:v>-17.387590506775588</c:v>
                </c:pt>
                <c:pt idx="27">
                  <c:v>-16.459915505713987</c:v>
                </c:pt>
                <c:pt idx="28" formatCode="#,##0.00">
                  <c:v>-14.108179132101393</c:v>
                </c:pt>
              </c:numCache>
            </c:numRef>
          </c:val>
        </c:ser>
        <c:ser>
          <c:idx val="1"/>
          <c:order val="1"/>
          <c:tx>
            <c:strRef>
              <c:f>'graphe fr'!$A$12</c:f>
              <c:strCache>
                <c:ptCount val="1"/>
                <c:pt idx="0">
                  <c:v>Perspective d'évolution du niveau de vie</c:v>
                </c:pt>
              </c:strCache>
            </c:strRef>
          </c:tx>
          <c:marker>
            <c:symbol val="triangle"/>
            <c:size val="5"/>
          </c:marker>
          <c:cat>
            <c:strRef>
              <c:f>'graphe fr'!$B$9:$AD$9</c:f>
              <c:strCache>
                <c:ptCount val="29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</c:strCache>
            </c:strRef>
          </c:cat>
          <c:val>
            <c:numRef>
              <c:f>'graphe fr'!$B$12:$AD$12</c:f>
              <c:numCache>
                <c:formatCode>#,##0.0</c:formatCode>
                <c:ptCount val="29"/>
                <c:pt idx="0">
                  <c:v>14.440493946063453</c:v>
                </c:pt>
                <c:pt idx="1">
                  <c:v>-11.52673084245559</c:v>
                </c:pt>
                <c:pt idx="2">
                  <c:v>-21.380291437825413</c:v>
                </c:pt>
                <c:pt idx="3">
                  <c:v>-3.4692228168248267</c:v>
                </c:pt>
                <c:pt idx="4">
                  <c:v>-9.3118753956095954</c:v>
                </c:pt>
                <c:pt idx="5">
                  <c:v>-3.5223109272796771</c:v>
                </c:pt>
                <c:pt idx="6">
                  <c:v>8.4334302751113185E-2</c:v>
                </c:pt>
                <c:pt idx="7">
                  <c:v>2.1853913991610052</c:v>
                </c:pt>
                <c:pt idx="8">
                  <c:v>0.39154986438085793</c:v>
                </c:pt>
                <c:pt idx="9">
                  <c:v>2.7314646872285109</c:v>
                </c:pt>
                <c:pt idx="10">
                  <c:v>0.19418325799955083</c:v>
                </c:pt>
                <c:pt idx="11">
                  <c:v>-11.371112777150765</c:v>
                </c:pt>
                <c:pt idx="12">
                  <c:v>-1.8875512037963609</c:v>
                </c:pt>
                <c:pt idx="13">
                  <c:v>18.132139936578763</c:v>
                </c:pt>
                <c:pt idx="14">
                  <c:v>11.870106120928314</c:v>
                </c:pt>
                <c:pt idx="15">
                  <c:v>13.146309479543481</c:v>
                </c:pt>
                <c:pt idx="16">
                  <c:v>11.211772002164619</c:v>
                </c:pt>
                <c:pt idx="17">
                  <c:v>8.9776180181468028</c:v>
                </c:pt>
                <c:pt idx="18">
                  <c:v>-3.2327838268829292</c:v>
                </c:pt>
                <c:pt idx="19">
                  <c:v>-1.2159862376115478</c:v>
                </c:pt>
                <c:pt idx="20">
                  <c:v>-5.0957647237932591</c:v>
                </c:pt>
                <c:pt idx="21">
                  <c:v>-4.2068608448306524</c:v>
                </c:pt>
                <c:pt idx="22">
                  <c:v>-3.0973555754801207</c:v>
                </c:pt>
                <c:pt idx="23">
                  <c:v>-7.9340099346010531</c:v>
                </c:pt>
                <c:pt idx="24">
                  <c:v>-11.389732068783639</c:v>
                </c:pt>
                <c:pt idx="25">
                  <c:v>-13.063768224593518</c:v>
                </c:pt>
                <c:pt idx="26">
                  <c:v>-13.090700094553394</c:v>
                </c:pt>
                <c:pt idx="27">
                  <c:v>-12.672429336417776</c:v>
                </c:pt>
                <c:pt idx="28" formatCode="#,##0.00">
                  <c:v>-8.8537661336825266</c:v>
                </c:pt>
              </c:numCache>
            </c:numRef>
          </c:val>
        </c:ser>
        <c:marker val="1"/>
        <c:axId val="78576256"/>
        <c:axId val="111956352"/>
      </c:lineChart>
      <c:catAx>
        <c:axId val="78576256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800"/>
            </a:pPr>
            <a:endParaRPr lang="fr-FR"/>
          </a:p>
        </c:txPr>
        <c:crossAx val="111956352"/>
        <c:crosses val="autoZero"/>
        <c:auto val="1"/>
        <c:lblAlgn val="ctr"/>
        <c:lblOffset val="100"/>
      </c:catAx>
      <c:valAx>
        <c:axId val="111956352"/>
        <c:scaling>
          <c:orientation val="minMax"/>
        </c:scaling>
        <c:axPos val="l"/>
        <c:majorGridlines/>
        <c:numFmt formatCode="#,##0.0" sourceLinked="1"/>
        <c:majorTickMark val="none"/>
        <c:tickLblPos val="nextTo"/>
        <c:txPr>
          <a:bodyPr/>
          <a:lstStyle/>
          <a:p>
            <a:pPr>
              <a:defRPr sz="800"/>
            </a:pPr>
            <a:endParaRPr lang="fr-FR"/>
          </a:p>
        </c:txPr>
        <c:crossAx val="7857625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6.4549614897777163E-2"/>
          <c:y val="0.84591336174720611"/>
          <c:w val="0.82426828766388305"/>
          <c:h val="8.8479086903127932E-2"/>
        </c:manualLayout>
      </c:layout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algn="ctr">
              <a:defRPr sz="1200"/>
            </a:pPr>
            <a:r>
              <a:rPr lang="en-US" sz="1400" b="1" i="0" baseline="0"/>
              <a:t>Perceptions par les ménages de l'évolution future </a:t>
            </a:r>
          </a:p>
          <a:p>
            <a:pPr algn="ctr">
              <a:defRPr sz="1200"/>
            </a:pPr>
            <a:r>
              <a:rPr lang="en-US" sz="1400" b="1" i="0" baseline="0"/>
              <a:t>du chômage </a:t>
            </a:r>
            <a:r>
              <a:rPr lang="fr-FR" sz="1400" b="1" i="0" baseline="0"/>
              <a:t>(soldes d'opinions) </a:t>
            </a:r>
            <a:endParaRPr lang="fr-FR" sz="1100"/>
          </a:p>
        </c:rich>
      </c:tx>
      <c:layout>
        <c:manualLayout>
          <c:xMode val="edge"/>
          <c:yMode val="edge"/>
          <c:x val="0.18671158642483196"/>
          <c:y val="3.3052107679623806E-2"/>
        </c:manualLayout>
      </c:layout>
    </c:title>
    <c:plotArea>
      <c:layout>
        <c:manualLayout>
          <c:layoutTarget val="inner"/>
          <c:xMode val="edge"/>
          <c:yMode val="edge"/>
          <c:x val="8.5004929939313523E-2"/>
          <c:y val="0.26616714697406341"/>
          <c:w val="0.88912793308243876"/>
          <c:h val="0.64407723007226869"/>
        </c:manualLayout>
      </c:layout>
      <c:lineChart>
        <c:grouping val="standard"/>
        <c:ser>
          <c:idx val="0"/>
          <c:order val="0"/>
          <c:tx>
            <c:strRef>
              <c:f>'graphe fr'!$A$10</c:f>
              <c:strCache>
                <c:ptCount val="1"/>
                <c:pt idx="0">
                  <c:v>Perspective d'évolution du nombre de chômeur</c:v>
                </c:pt>
              </c:strCache>
            </c:strRef>
          </c:tx>
          <c:marker>
            <c:symbol val="none"/>
          </c:marker>
          <c:cat>
            <c:strRef>
              <c:f>'graphe fr'!$B$9:$AD$9</c:f>
              <c:strCache>
                <c:ptCount val="29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</c:strCache>
            </c:strRef>
          </c:cat>
          <c:val>
            <c:numRef>
              <c:f>'graphe fr'!$B$10:$AD$10</c:f>
              <c:numCache>
                <c:formatCode>#,##0.0</c:formatCode>
                <c:ptCount val="29"/>
                <c:pt idx="0">
                  <c:v>-52.09569227917931</c:v>
                </c:pt>
                <c:pt idx="1">
                  <c:v>-56.601297669293096</c:v>
                </c:pt>
                <c:pt idx="2">
                  <c:v>-51.593765595534528</c:v>
                </c:pt>
                <c:pt idx="3">
                  <c:v>-51.137343653505525</c:v>
                </c:pt>
                <c:pt idx="4">
                  <c:v>-50.999102607130283</c:v>
                </c:pt>
                <c:pt idx="5">
                  <c:v>-59.135165785990033</c:v>
                </c:pt>
                <c:pt idx="6">
                  <c:v>-57.930600458568392</c:v>
                </c:pt>
                <c:pt idx="7">
                  <c:v>-57.517749523976427</c:v>
                </c:pt>
                <c:pt idx="8">
                  <c:v>-59.239397454073007</c:v>
                </c:pt>
                <c:pt idx="9">
                  <c:v>-61.048152851769579</c:v>
                </c:pt>
                <c:pt idx="10">
                  <c:v>-56.106436371502731</c:v>
                </c:pt>
                <c:pt idx="11">
                  <c:v>-52.335316844022536</c:v>
                </c:pt>
                <c:pt idx="12">
                  <c:v>-52.408437207990296</c:v>
                </c:pt>
                <c:pt idx="13">
                  <c:v>-45.982278486233369</c:v>
                </c:pt>
                <c:pt idx="14">
                  <c:v>-40.986479794930496</c:v>
                </c:pt>
                <c:pt idx="15">
                  <c:v>-41.619683700101234</c:v>
                </c:pt>
                <c:pt idx="16">
                  <c:v>-44.058495214148614</c:v>
                </c:pt>
                <c:pt idx="17">
                  <c:v>-48.557155794606146</c:v>
                </c:pt>
                <c:pt idx="18">
                  <c:v>-56.657119953107134</c:v>
                </c:pt>
                <c:pt idx="19">
                  <c:v>-58.054676707354794</c:v>
                </c:pt>
                <c:pt idx="20">
                  <c:v>-61.683132655398175</c:v>
                </c:pt>
                <c:pt idx="21">
                  <c:v>-67.848891093145681</c:v>
                </c:pt>
                <c:pt idx="22">
                  <c:v>-69.816287861188869</c:v>
                </c:pt>
                <c:pt idx="23">
                  <c:v>-68.20001271186625</c:v>
                </c:pt>
                <c:pt idx="24">
                  <c:v>-69.100751044168078</c:v>
                </c:pt>
                <c:pt idx="25">
                  <c:v>-66.493969881109479</c:v>
                </c:pt>
                <c:pt idx="26">
                  <c:v>-68.825577821249638</c:v>
                </c:pt>
                <c:pt idx="27">
                  <c:v>-68.019160185663324</c:v>
                </c:pt>
                <c:pt idx="28" formatCode="#,##0.00">
                  <c:v>-65.155740215393394</c:v>
                </c:pt>
              </c:numCache>
            </c:numRef>
          </c:val>
        </c:ser>
        <c:marker val="1"/>
        <c:axId val="111979520"/>
        <c:axId val="111993600"/>
      </c:lineChart>
      <c:catAx>
        <c:axId val="111979520"/>
        <c:scaling>
          <c:orientation val="minMax"/>
        </c:scaling>
        <c:axPos val="b"/>
        <c:numFmt formatCode="#,##0" sourceLinked="1"/>
        <c:tickLblPos val="nextTo"/>
        <c:txPr>
          <a:bodyPr/>
          <a:lstStyle/>
          <a:p>
            <a:pPr>
              <a:defRPr sz="800"/>
            </a:pPr>
            <a:endParaRPr lang="fr-FR"/>
          </a:p>
        </c:txPr>
        <c:crossAx val="111993600"/>
        <c:crosses val="autoZero"/>
        <c:auto val="1"/>
        <c:lblAlgn val="ctr"/>
        <c:lblOffset val="100"/>
      </c:catAx>
      <c:valAx>
        <c:axId val="111993600"/>
        <c:scaling>
          <c:orientation val="minMax"/>
        </c:scaling>
        <c:axPos val="l"/>
        <c:majorGridlines/>
        <c:numFmt formatCode="#,##0.0" sourceLinked="1"/>
        <c:tickLblPos val="nextTo"/>
        <c:txPr>
          <a:bodyPr/>
          <a:lstStyle/>
          <a:p>
            <a:pPr>
              <a:defRPr sz="800"/>
            </a:pPr>
            <a:endParaRPr lang="fr-FR"/>
          </a:p>
        </c:txPr>
        <c:crossAx val="111979520"/>
        <c:crosses val="autoZero"/>
        <c:crossBetween val="between"/>
      </c:valAx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algn="ctr">
              <a:defRPr/>
            </a:pPr>
            <a:r>
              <a:rPr lang="en-US" sz="1400" b="1" i="0" baseline="0"/>
              <a:t>Perceptions par les ménages de l'opportunité d'achat des biens durables</a:t>
            </a:r>
            <a:r>
              <a:rPr lang="fr-FR" sz="1400" b="1" i="0" baseline="0"/>
              <a:t> (soldes d'opinions) </a:t>
            </a:r>
          </a:p>
        </c:rich>
      </c:tx>
      <c:layout>
        <c:manualLayout>
          <c:xMode val="edge"/>
          <c:yMode val="edge"/>
          <c:x val="0.14988375308048341"/>
          <c:y val="3.2763660224290237E-3"/>
        </c:manualLayout>
      </c:layout>
    </c:title>
    <c:plotArea>
      <c:layout>
        <c:manualLayout>
          <c:layoutTarget val="inner"/>
          <c:xMode val="edge"/>
          <c:yMode val="edge"/>
          <c:x val="8.354374787121073E-2"/>
          <c:y val="0.20561560486757341"/>
          <c:w val="0.89406439462242759"/>
          <c:h val="0.66520818420424721"/>
        </c:manualLayout>
      </c:layout>
      <c:lineChart>
        <c:grouping val="standard"/>
        <c:ser>
          <c:idx val="0"/>
          <c:order val="0"/>
          <c:tx>
            <c:strRef>
              <c:f>'graphe fr'!$A$13</c:f>
              <c:strCache>
                <c:ptCount val="1"/>
                <c:pt idx="0">
                  <c:v>Opportunité d'achat</c:v>
                </c:pt>
              </c:strCache>
            </c:strRef>
          </c:tx>
          <c:marker>
            <c:symbol val="none"/>
          </c:marker>
          <c:cat>
            <c:strRef>
              <c:f>'graphe fr'!$B$9:$AD$9</c:f>
              <c:strCache>
                <c:ptCount val="29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</c:strCache>
            </c:strRef>
          </c:cat>
          <c:val>
            <c:numRef>
              <c:f>'graphe fr'!$B$13:$AD$13</c:f>
              <c:numCache>
                <c:formatCode>#,##0.0</c:formatCode>
                <c:ptCount val="29"/>
                <c:pt idx="0">
                  <c:v>-30.018449770831737</c:v>
                </c:pt>
                <c:pt idx="1">
                  <c:v>-34.254528080670752</c:v>
                </c:pt>
                <c:pt idx="2">
                  <c:v>-37.471777984571169</c:v>
                </c:pt>
                <c:pt idx="3">
                  <c:v>-39.103064640682895</c:v>
                </c:pt>
                <c:pt idx="4">
                  <c:v>-41.765350509034015</c:v>
                </c:pt>
                <c:pt idx="5">
                  <c:v>-46.542730671354157</c:v>
                </c:pt>
                <c:pt idx="6">
                  <c:v>-43.408027388108131</c:v>
                </c:pt>
                <c:pt idx="7">
                  <c:v>-42.642623532569331</c:v>
                </c:pt>
                <c:pt idx="8">
                  <c:v>-34.756506471721544</c:v>
                </c:pt>
                <c:pt idx="9">
                  <c:v>-37.532519098271976</c:v>
                </c:pt>
                <c:pt idx="10">
                  <c:v>-36.012077907569903</c:v>
                </c:pt>
                <c:pt idx="11">
                  <c:v>-44.335673139521013</c:v>
                </c:pt>
                <c:pt idx="12">
                  <c:v>-39.860076277616599</c:v>
                </c:pt>
                <c:pt idx="13">
                  <c:v>-39.017818744674372</c:v>
                </c:pt>
                <c:pt idx="14">
                  <c:v>-36.350911088685244</c:v>
                </c:pt>
                <c:pt idx="15">
                  <c:v>-38.491211120248494</c:v>
                </c:pt>
                <c:pt idx="16">
                  <c:v>-32.485234146306901</c:v>
                </c:pt>
                <c:pt idx="17">
                  <c:v>-37.38858716910039</c:v>
                </c:pt>
                <c:pt idx="18">
                  <c:v>-29.521996232881474</c:v>
                </c:pt>
                <c:pt idx="19">
                  <c:v>-29.332441443088875</c:v>
                </c:pt>
                <c:pt idx="20">
                  <c:v>-28.34824029908166</c:v>
                </c:pt>
                <c:pt idx="21">
                  <c:v>-31.722199742496027</c:v>
                </c:pt>
                <c:pt idx="22">
                  <c:v>-29.53704552622213</c:v>
                </c:pt>
                <c:pt idx="23">
                  <c:v>-31.849081241594892</c:v>
                </c:pt>
                <c:pt idx="24">
                  <c:v>-31.319060011477994</c:v>
                </c:pt>
                <c:pt idx="25">
                  <c:v>-28.892463445062127</c:v>
                </c:pt>
                <c:pt idx="26">
                  <c:v>-33.067265037911191</c:v>
                </c:pt>
                <c:pt idx="27">
                  <c:v>-38.061946980941102</c:v>
                </c:pt>
                <c:pt idx="28" formatCode="#,##0.00">
                  <c:v>-36.986420638663795</c:v>
                </c:pt>
              </c:numCache>
            </c:numRef>
          </c:val>
        </c:ser>
        <c:marker val="1"/>
        <c:axId val="112050176"/>
        <c:axId val="112051712"/>
      </c:lineChart>
      <c:catAx>
        <c:axId val="112050176"/>
        <c:scaling>
          <c:orientation val="minMax"/>
        </c:scaling>
        <c:axPos val="b"/>
        <c:numFmt formatCode="#,##0" sourceLinked="1"/>
        <c:tickLblPos val="nextTo"/>
        <c:txPr>
          <a:bodyPr/>
          <a:lstStyle/>
          <a:p>
            <a:pPr>
              <a:defRPr sz="800"/>
            </a:pPr>
            <a:endParaRPr lang="fr-FR"/>
          </a:p>
        </c:txPr>
        <c:crossAx val="112051712"/>
        <c:crosses val="autoZero"/>
        <c:auto val="1"/>
        <c:lblAlgn val="ctr"/>
        <c:lblOffset val="100"/>
      </c:catAx>
      <c:valAx>
        <c:axId val="112051712"/>
        <c:scaling>
          <c:orientation val="minMax"/>
        </c:scaling>
        <c:axPos val="l"/>
        <c:majorGridlines/>
        <c:numFmt formatCode="#,##0.0" sourceLinked="1"/>
        <c:tickLblPos val="nextTo"/>
        <c:txPr>
          <a:bodyPr/>
          <a:lstStyle/>
          <a:p>
            <a:pPr>
              <a:defRPr sz="800"/>
            </a:pPr>
            <a:endParaRPr lang="fr-FR"/>
          </a:p>
        </c:txPr>
        <c:crossAx val="112050176"/>
        <c:crosses val="autoZero"/>
        <c:crossBetween val="between"/>
      </c:valAx>
    </c:plotArea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algn="ctr">
              <a:defRPr sz="1400"/>
            </a:pPr>
            <a:r>
              <a:rPr lang="fr-FR" sz="1400" b="1" i="0" baseline="0"/>
              <a:t>Perceptions  par les ménages de leurs situations financières</a:t>
            </a:r>
          </a:p>
          <a:p>
            <a:pPr algn="ctr">
              <a:defRPr sz="1400"/>
            </a:pPr>
            <a:r>
              <a:rPr lang="fr-FR" sz="1400" b="1" i="0" baseline="0"/>
              <a:t>(soldes d'opinions) </a:t>
            </a:r>
            <a:endParaRPr lang="fr-FR" sz="1400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'graphe fr'!$A$14</c:f>
              <c:strCache>
                <c:ptCount val="1"/>
                <c:pt idx="0">
                  <c:v>Situation financière actuelle des ménages</c:v>
                </c:pt>
              </c:strCache>
            </c:strRef>
          </c:tx>
          <c:marker>
            <c:symbol val="star"/>
            <c:size val="5"/>
          </c:marker>
          <c:cat>
            <c:strRef>
              <c:f>'graphe fr'!$B$9:$AD$9</c:f>
              <c:strCache>
                <c:ptCount val="29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</c:strCache>
            </c:strRef>
          </c:cat>
          <c:val>
            <c:numRef>
              <c:f>'graphe fr'!$B$14:$AD$14</c:f>
              <c:numCache>
                <c:formatCode>#,##0.0</c:formatCode>
                <c:ptCount val="29"/>
                <c:pt idx="0">
                  <c:v>-33.000396349797541</c:v>
                </c:pt>
                <c:pt idx="1">
                  <c:v>-32.92085732825101</c:v>
                </c:pt>
                <c:pt idx="2">
                  <c:v>-34.418326375664194</c:v>
                </c:pt>
                <c:pt idx="3">
                  <c:v>-33.119220631579381</c:v>
                </c:pt>
                <c:pt idx="4">
                  <c:v>-31.284887127595891</c:v>
                </c:pt>
                <c:pt idx="5">
                  <c:v>-26.871936633729426</c:v>
                </c:pt>
                <c:pt idx="6">
                  <c:v>-28.286909450889887</c:v>
                </c:pt>
                <c:pt idx="7">
                  <c:v>-25.297554133135563</c:v>
                </c:pt>
                <c:pt idx="8">
                  <c:v>-27.535808431365773</c:v>
                </c:pt>
                <c:pt idx="9">
                  <c:v>-27.628417792744592</c:v>
                </c:pt>
                <c:pt idx="10">
                  <c:v>-29.997502753451052</c:v>
                </c:pt>
                <c:pt idx="11">
                  <c:v>-28.062624892496274</c:v>
                </c:pt>
                <c:pt idx="12">
                  <c:v>-30.645498931903695</c:v>
                </c:pt>
                <c:pt idx="13">
                  <c:v>-27.092549889444257</c:v>
                </c:pt>
                <c:pt idx="14">
                  <c:v>-24.28899054728441</c:v>
                </c:pt>
                <c:pt idx="15">
                  <c:v>-25.669712181349691</c:v>
                </c:pt>
                <c:pt idx="16">
                  <c:v>-25.435462945688826</c:v>
                </c:pt>
                <c:pt idx="17">
                  <c:v>-31.040689498948886</c:v>
                </c:pt>
                <c:pt idx="18">
                  <c:v>-30.846093343724164</c:v>
                </c:pt>
                <c:pt idx="19">
                  <c:v>-29.426966691861228</c:v>
                </c:pt>
                <c:pt idx="20">
                  <c:v>-29.764200665198015</c:v>
                </c:pt>
                <c:pt idx="21">
                  <c:v>-30.168616451396016</c:v>
                </c:pt>
                <c:pt idx="22">
                  <c:v>-29.484131282651173</c:v>
                </c:pt>
                <c:pt idx="23">
                  <c:v>-29.485585569479909</c:v>
                </c:pt>
                <c:pt idx="24">
                  <c:v>-31.290770339915007</c:v>
                </c:pt>
                <c:pt idx="25">
                  <c:v>-29.704256665370011</c:v>
                </c:pt>
                <c:pt idx="26">
                  <c:v>-28.344504427944035</c:v>
                </c:pt>
                <c:pt idx="27">
                  <c:v>-30.637429411694097</c:v>
                </c:pt>
                <c:pt idx="28" formatCode="#,##0.00">
                  <c:v>-32.404955656558201</c:v>
                </c:pt>
              </c:numCache>
            </c:numRef>
          </c:val>
        </c:ser>
        <c:ser>
          <c:idx val="1"/>
          <c:order val="1"/>
          <c:tx>
            <c:strRef>
              <c:f>'graphe fr'!$A$15</c:f>
              <c:strCache>
                <c:ptCount val="1"/>
                <c:pt idx="0">
                  <c:v>Evolution  passée de la situation financière des ménages</c:v>
                </c:pt>
              </c:strCache>
            </c:strRef>
          </c:tx>
          <c:cat>
            <c:strRef>
              <c:f>'graphe fr'!$B$9:$AD$9</c:f>
              <c:strCache>
                <c:ptCount val="29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</c:strCache>
            </c:strRef>
          </c:cat>
          <c:val>
            <c:numRef>
              <c:f>'graphe fr'!$B$15:$AD$15</c:f>
              <c:numCache>
                <c:formatCode>#,##0.0</c:formatCode>
                <c:ptCount val="29"/>
                <c:pt idx="0">
                  <c:v>-11.760493904860514</c:v>
                </c:pt>
                <c:pt idx="1">
                  <c:v>-11.376439540974202</c:v>
                </c:pt>
                <c:pt idx="2">
                  <c:v>-11.707546774199256</c:v>
                </c:pt>
                <c:pt idx="3">
                  <c:v>-9.5250570435126427</c:v>
                </c:pt>
                <c:pt idx="4">
                  <c:v>-18.438210074457313</c:v>
                </c:pt>
                <c:pt idx="5">
                  <c:v>-13.353492384896784</c:v>
                </c:pt>
                <c:pt idx="6">
                  <c:v>-8.3398771422969418</c:v>
                </c:pt>
                <c:pt idx="7">
                  <c:v>-11.02764060888175</c:v>
                </c:pt>
                <c:pt idx="8">
                  <c:v>-9.9712946623485852</c:v>
                </c:pt>
                <c:pt idx="9">
                  <c:v>-7.900036816111526</c:v>
                </c:pt>
                <c:pt idx="10">
                  <c:v>-7.5448517126855705</c:v>
                </c:pt>
                <c:pt idx="11">
                  <c:v>-12.80990794833837</c:v>
                </c:pt>
                <c:pt idx="12">
                  <c:v>-10.526395373972909</c:v>
                </c:pt>
                <c:pt idx="13">
                  <c:v>-8.9058745431594577</c:v>
                </c:pt>
                <c:pt idx="14">
                  <c:v>-6.3663328535796895</c:v>
                </c:pt>
                <c:pt idx="15">
                  <c:v>-9.8004349690184291</c:v>
                </c:pt>
                <c:pt idx="16">
                  <c:v>-14.12986220998387</c:v>
                </c:pt>
                <c:pt idx="17">
                  <c:v>-16.595107957258964</c:v>
                </c:pt>
                <c:pt idx="18">
                  <c:v>-16.673706990082124</c:v>
                </c:pt>
                <c:pt idx="19">
                  <c:v>-15.707035536653336</c:v>
                </c:pt>
                <c:pt idx="20">
                  <c:v>-19.633449783694058</c:v>
                </c:pt>
                <c:pt idx="21">
                  <c:v>-23.788807201688929</c:v>
                </c:pt>
                <c:pt idx="22">
                  <c:v>-21.891965579068547</c:v>
                </c:pt>
                <c:pt idx="23">
                  <c:v>-21.870867995539985</c:v>
                </c:pt>
                <c:pt idx="24">
                  <c:v>-21.277780753263979</c:v>
                </c:pt>
                <c:pt idx="25">
                  <c:v>-23.337257864101161</c:v>
                </c:pt>
                <c:pt idx="26">
                  <c:v>-25.773771694272</c:v>
                </c:pt>
                <c:pt idx="27">
                  <c:v>-29.150994705705731</c:v>
                </c:pt>
                <c:pt idx="28" formatCode="#,##0.00">
                  <c:v>-26.965288381475716</c:v>
                </c:pt>
              </c:numCache>
            </c:numRef>
          </c:val>
        </c:ser>
        <c:ser>
          <c:idx val="2"/>
          <c:order val="2"/>
          <c:tx>
            <c:strRef>
              <c:f>'graphe fr'!$A$16</c:f>
              <c:strCache>
                <c:ptCount val="1"/>
                <c:pt idx="0">
                  <c:v>Evolution  future de la situation financière des ménages</c:v>
                </c:pt>
              </c:strCache>
            </c:strRef>
          </c:tx>
          <c:cat>
            <c:strRef>
              <c:f>'graphe fr'!$B$9:$AD$9</c:f>
              <c:strCache>
                <c:ptCount val="29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</c:strCache>
            </c:strRef>
          </c:cat>
          <c:val>
            <c:numRef>
              <c:f>'graphe fr'!$B$16:$AD$16</c:f>
              <c:numCache>
                <c:formatCode>#,##0.0</c:formatCode>
                <c:ptCount val="29"/>
                <c:pt idx="0">
                  <c:v>23.9</c:v>
                </c:pt>
                <c:pt idx="1">
                  <c:v>15.58418860861071</c:v>
                </c:pt>
                <c:pt idx="2">
                  <c:v>16.580364039590329</c:v>
                </c:pt>
                <c:pt idx="3">
                  <c:v>26.705941849103141</c:v>
                </c:pt>
                <c:pt idx="4">
                  <c:v>26.769154239001889</c:v>
                </c:pt>
                <c:pt idx="5">
                  <c:v>21.986954089697061</c:v>
                </c:pt>
                <c:pt idx="6">
                  <c:v>17.532817766676544</c:v>
                </c:pt>
                <c:pt idx="7">
                  <c:v>17.09400625121032</c:v>
                </c:pt>
                <c:pt idx="8">
                  <c:v>17.787694440036187</c:v>
                </c:pt>
                <c:pt idx="9">
                  <c:v>11.776375704730468</c:v>
                </c:pt>
                <c:pt idx="10">
                  <c:v>7.8068380126684715</c:v>
                </c:pt>
                <c:pt idx="11">
                  <c:v>9.3656519222157506</c:v>
                </c:pt>
                <c:pt idx="12">
                  <c:v>10.223761077165181</c:v>
                </c:pt>
                <c:pt idx="13">
                  <c:v>20.354548457792731</c:v>
                </c:pt>
                <c:pt idx="14">
                  <c:v>15.105327443781253</c:v>
                </c:pt>
                <c:pt idx="15">
                  <c:v>13.999505506513676</c:v>
                </c:pt>
                <c:pt idx="16">
                  <c:v>11.230833640450308</c:v>
                </c:pt>
                <c:pt idx="17">
                  <c:v>11.136340416980383</c:v>
                </c:pt>
                <c:pt idx="18">
                  <c:v>7.6658451594012842</c:v>
                </c:pt>
                <c:pt idx="19">
                  <c:v>10.649290737183625</c:v>
                </c:pt>
                <c:pt idx="20">
                  <c:v>4.5484811189173895</c:v>
                </c:pt>
                <c:pt idx="21">
                  <c:v>0.71644439200690369</c:v>
                </c:pt>
                <c:pt idx="22">
                  <c:v>2.7930128120198785</c:v>
                </c:pt>
                <c:pt idx="23">
                  <c:v>-1.7003971659207227</c:v>
                </c:pt>
                <c:pt idx="24">
                  <c:v>1.2126606998519158</c:v>
                </c:pt>
                <c:pt idx="25">
                  <c:v>-2.6659512091834952</c:v>
                </c:pt>
                <c:pt idx="26">
                  <c:v>-1.4735728224612341</c:v>
                </c:pt>
                <c:pt idx="27">
                  <c:v>-3.9139038482871626</c:v>
                </c:pt>
                <c:pt idx="28" formatCode="#,##0.00">
                  <c:v>8.9330913123193523E-2</c:v>
                </c:pt>
              </c:numCache>
            </c:numRef>
          </c:val>
        </c:ser>
        <c:marker val="1"/>
        <c:axId val="79449088"/>
        <c:axId val="79467264"/>
      </c:lineChart>
      <c:catAx>
        <c:axId val="79449088"/>
        <c:scaling>
          <c:orientation val="minMax"/>
        </c:scaling>
        <c:axPos val="b"/>
        <c:numFmt formatCode="#,##0" sourceLinked="1"/>
        <c:majorTickMark val="none"/>
        <c:tickLblPos val="nextTo"/>
        <c:txPr>
          <a:bodyPr/>
          <a:lstStyle/>
          <a:p>
            <a:pPr>
              <a:defRPr sz="800"/>
            </a:pPr>
            <a:endParaRPr lang="fr-FR"/>
          </a:p>
        </c:txPr>
        <c:crossAx val="79467264"/>
        <c:crosses val="autoZero"/>
        <c:auto val="1"/>
        <c:lblAlgn val="ctr"/>
        <c:lblOffset val="100"/>
      </c:catAx>
      <c:valAx>
        <c:axId val="79467264"/>
        <c:scaling>
          <c:orientation val="minMax"/>
        </c:scaling>
        <c:axPos val="l"/>
        <c:majorGridlines/>
        <c:numFmt formatCode="#,##0.0" sourceLinked="1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/>
            </a:pPr>
            <a:endParaRPr lang="fr-FR"/>
          </a:p>
        </c:txPr>
        <c:crossAx val="7944908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7.2541188375549445E-2"/>
          <c:y val="0.82513603040999184"/>
          <c:w val="0.90144562501976411"/>
          <c:h val="0.13626981627296594"/>
        </c:manualLayout>
      </c:layout>
      <c:txPr>
        <a:bodyPr/>
        <a:lstStyle/>
        <a:p>
          <a:pPr>
            <a:defRPr sz="900"/>
          </a:pPr>
          <a:endParaRPr lang="fr-FR"/>
        </a:p>
      </c:txPr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 sz="1400"/>
            </a:pPr>
            <a:r>
              <a:rPr lang="fr-FR" sz="1400" b="1" i="0" baseline="0"/>
              <a:t>Perception  des perspectives d'évolution des prix des produits alimentaires (en %)</a:t>
            </a:r>
          </a:p>
        </c:rich>
      </c:tx>
      <c:layout>
        <c:manualLayout>
          <c:xMode val="edge"/>
          <c:yMode val="edge"/>
          <c:x val="0.10318687015974855"/>
          <c:y val="1.5881563191697843E-2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strRef>
              <c:f>'graphe fr'!$Q$110</c:f>
              <c:strCache>
                <c:ptCount val="1"/>
                <c:pt idx="0">
                  <c:v>augmentation</c:v>
                </c:pt>
              </c:strCache>
            </c:strRef>
          </c:tx>
          <c:dLbls>
            <c:showVal val="1"/>
          </c:dLbls>
          <c:cat>
            <c:strRef>
              <c:f>'graphe fr'!$R$109:$T$109</c:f>
              <c:strCache>
                <c:ptCount val="3"/>
                <c:pt idx="0">
                  <c:v>T1/14</c:v>
                </c:pt>
                <c:pt idx="1">
                  <c:v>T4/14</c:v>
                </c:pt>
                <c:pt idx="2">
                  <c:v>T1/15</c:v>
                </c:pt>
              </c:strCache>
            </c:strRef>
          </c:cat>
          <c:val>
            <c:numRef>
              <c:f>'graphe fr'!$R$110:$T$110</c:f>
              <c:numCache>
                <c:formatCode>#,##0.0%</c:formatCode>
                <c:ptCount val="3"/>
                <c:pt idx="0">
                  <c:v>0.78551991641638863</c:v>
                </c:pt>
                <c:pt idx="1">
                  <c:v>0.79033661241644471</c:v>
                </c:pt>
                <c:pt idx="2">
                  <c:v>0.78713909382632252</c:v>
                </c:pt>
              </c:numCache>
            </c:numRef>
          </c:val>
        </c:ser>
        <c:ser>
          <c:idx val="1"/>
          <c:order val="1"/>
          <c:tx>
            <c:strRef>
              <c:f>'graphe fr'!$Q$111</c:f>
              <c:strCache>
                <c:ptCount val="1"/>
                <c:pt idx="0">
                  <c:v>stagnation</c:v>
                </c:pt>
              </c:strCache>
            </c:strRef>
          </c:tx>
          <c:dLbls>
            <c:showVal val="1"/>
          </c:dLbls>
          <c:cat>
            <c:strRef>
              <c:f>'graphe fr'!$R$109:$T$109</c:f>
              <c:strCache>
                <c:ptCount val="3"/>
                <c:pt idx="0">
                  <c:v>T1/14</c:v>
                </c:pt>
                <c:pt idx="1">
                  <c:v>T4/14</c:v>
                </c:pt>
                <c:pt idx="2">
                  <c:v>T1/15</c:v>
                </c:pt>
              </c:strCache>
            </c:strRef>
          </c:cat>
          <c:val>
            <c:numRef>
              <c:f>'graphe fr'!$R$111:$T$111</c:f>
              <c:numCache>
                <c:formatCode>#,##0.0%</c:formatCode>
                <c:ptCount val="3"/>
                <c:pt idx="0">
                  <c:v>0.20447803758022295</c:v>
                </c:pt>
                <c:pt idx="1">
                  <c:v>0.19196930011389657</c:v>
                </c:pt>
                <c:pt idx="2">
                  <c:v>0.19803898245059348</c:v>
                </c:pt>
              </c:numCache>
            </c:numRef>
          </c:val>
        </c:ser>
        <c:ser>
          <c:idx val="2"/>
          <c:order val="2"/>
          <c:tx>
            <c:strRef>
              <c:f>'graphe fr'!$Q$112</c:f>
              <c:strCache>
                <c:ptCount val="1"/>
                <c:pt idx="0">
                  <c:v>diminution</c:v>
                </c:pt>
              </c:strCache>
            </c:strRef>
          </c:tx>
          <c:dLbls>
            <c:showVal val="1"/>
          </c:dLbls>
          <c:cat>
            <c:strRef>
              <c:f>'graphe fr'!$R$109:$T$109</c:f>
              <c:strCache>
                <c:ptCount val="3"/>
                <c:pt idx="0">
                  <c:v>T1/14</c:v>
                </c:pt>
                <c:pt idx="1">
                  <c:v>T4/14</c:v>
                </c:pt>
                <c:pt idx="2">
                  <c:v>T1/15</c:v>
                </c:pt>
              </c:strCache>
            </c:strRef>
          </c:cat>
          <c:val>
            <c:numRef>
              <c:f>'graphe fr'!$R$112:$T$112</c:f>
              <c:numCache>
                <c:formatCode>#,##0.0%</c:formatCode>
                <c:ptCount val="3"/>
                <c:pt idx="0">
                  <c:v>1.0002046003389739E-2</c:v>
                </c:pt>
                <c:pt idx="1">
                  <c:v>1.7694087469651846E-2</c:v>
                </c:pt>
                <c:pt idx="2">
                  <c:v>1.482192372308448E-2</c:v>
                </c:pt>
              </c:numCache>
            </c:numRef>
          </c:val>
        </c:ser>
        <c:gapWidth val="75"/>
        <c:overlap val="-25"/>
        <c:axId val="79491840"/>
        <c:axId val="79493376"/>
      </c:barChart>
      <c:catAx>
        <c:axId val="79491840"/>
        <c:scaling>
          <c:orientation val="minMax"/>
        </c:scaling>
        <c:axPos val="b"/>
        <c:majorTickMark val="none"/>
        <c:tickLblPos val="nextTo"/>
        <c:crossAx val="79493376"/>
        <c:crosses val="autoZero"/>
        <c:auto val="1"/>
        <c:lblAlgn val="ctr"/>
        <c:lblOffset val="100"/>
      </c:catAx>
      <c:valAx>
        <c:axId val="79493376"/>
        <c:scaling>
          <c:orientation val="minMax"/>
        </c:scaling>
        <c:axPos val="l"/>
        <c:numFmt formatCode="#,##0.0%" sourceLinked="1"/>
        <c:majorTickMark val="none"/>
        <c:tickLblPos val="nextTo"/>
        <c:crossAx val="79491840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 sz="1400"/>
            </a:pPr>
            <a:r>
              <a:rPr lang="fr-FR" sz="1400" b="1" i="0" baseline="0"/>
              <a:t>Perception de l'évolution passée des prix des produits alimentaires (en %)</a:t>
            </a:r>
          </a:p>
        </c:rich>
      </c:tx>
      <c:layout>
        <c:manualLayout>
          <c:xMode val="edge"/>
          <c:yMode val="edge"/>
          <c:x val="0.12787822818443992"/>
          <c:y val="1.5881563191697843E-2"/>
        </c:manualLayout>
      </c:layout>
    </c:title>
    <c:plotArea>
      <c:layout>
        <c:manualLayout>
          <c:layoutTarget val="inner"/>
          <c:xMode val="edge"/>
          <c:yMode val="edge"/>
          <c:x val="0.20658760247561647"/>
          <c:y val="0.19478500671287091"/>
          <c:w val="0.74814490781244969"/>
          <c:h val="0.63143994097512002"/>
        </c:manualLayout>
      </c:layout>
      <c:barChart>
        <c:barDir val="col"/>
        <c:grouping val="clustered"/>
        <c:ser>
          <c:idx val="0"/>
          <c:order val="0"/>
          <c:tx>
            <c:strRef>
              <c:f>'graphe fr'!$Q$114</c:f>
              <c:strCache>
                <c:ptCount val="1"/>
                <c:pt idx="0">
                  <c:v>augmentation</c:v>
                </c:pt>
              </c:strCache>
            </c:strRef>
          </c:tx>
          <c:dLbls>
            <c:showVal val="1"/>
          </c:dLbls>
          <c:cat>
            <c:strRef>
              <c:f>'graphe fr'!$R$109:$T$109</c:f>
              <c:strCache>
                <c:ptCount val="3"/>
                <c:pt idx="0">
                  <c:v>T1/14</c:v>
                </c:pt>
                <c:pt idx="1">
                  <c:v>T4/14</c:v>
                </c:pt>
                <c:pt idx="2">
                  <c:v>T1/15</c:v>
                </c:pt>
              </c:strCache>
            </c:strRef>
          </c:cat>
          <c:val>
            <c:numRef>
              <c:f>'graphe fr'!$R$114:$T$114</c:f>
              <c:numCache>
                <c:formatCode>#,##0.0%</c:formatCode>
                <c:ptCount val="3"/>
                <c:pt idx="0">
                  <c:v>0.90507883998493777</c:v>
                </c:pt>
                <c:pt idx="1">
                  <c:v>0.85778695163080165</c:v>
                </c:pt>
                <c:pt idx="2">
                  <c:v>0.87848325632302549</c:v>
                </c:pt>
              </c:numCache>
            </c:numRef>
          </c:val>
        </c:ser>
        <c:ser>
          <c:idx val="1"/>
          <c:order val="1"/>
          <c:tx>
            <c:strRef>
              <c:f>'graphe fr'!$Q$115</c:f>
              <c:strCache>
                <c:ptCount val="1"/>
                <c:pt idx="0">
                  <c:v>stagnation</c:v>
                </c:pt>
              </c:strCache>
            </c:strRef>
          </c:tx>
          <c:dLbls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11,6%</a:t>
                    </a:r>
                  </a:p>
                </c:rich>
              </c:tx>
              <c:showVal val="1"/>
            </c:dLbl>
            <c:showVal val="1"/>
          </c:dLbls>
          <c:cat>
            <c:strRef>
              <c:f>'graphe fr'!$R$109:$T$109</c:f>
              <c:strCache>
                <c:ptCount val="3"/>
                <c:pt idx="0">
                  <c:v>T1/14</c:v>
                </c:pt>
                <c:pt idx="1">
                  <c:v>T4/14</c:v>
                </c:pt>
                <c:pt idx="2">
                  <c:v>T1/15</c:v>
                </c:pt>
              </c:strCache>
            </c:strRef>
          </c:cat>
          <c:val>
            <c:numRef>
              <c:f>'graphe fr'!$R$115:$T$115</c:f>
              <c:numCache>
                <c:formatCode>#,##0.0%</c:formatCode>
                <c:ptCount val="3"/>
                <c:pt idx="0">
                  <c:v>8.4062040878642316E-2</c:v>
                </c:pt>
                <c:pt idx="1">
                  <c:v>0.12963809453371097</c:v>
                </c:pt>
                <c:pt idx="2">
                  <c:v>0.11527230378545666</c:v>
                </c:pt>
              </c:numCache>
            </c:numRef>
          </c:val>
        </c:ser>
        <c:ser>
          <c:idx val="2"/>
          <c:order val="2"/>
          <c:tx>
            <c:strRef>
              <c:f>'graphe fr'!$Q$116</c:f>
              <c:strCache>
                <c:ptCount val="1"/>
                <c:pt idx="0">
                  <c:v>diminution</c:v>
                </c:pt>
              </c:strCache>
            </c:strRef>
          </c:tx>
          <c:dLbls>
            <c:showVal val="1"/>
          </c:dLbls>
          <c:cat>
            <c:strRef>
              <c:f>'graphe fr'!$R$109:$T$109</c:f>
              <c:strCache>
                <c:ptCount val="3"/>
                <c:pt idx="0">
                  <c:v>T1/14</c:v>
                </c:pt>
                <c:pt idx="1">
                  <c:v>T4/14</c:v>
                </c:pt>
                <c:pt idx="2">
                  <c:v>T1/15</c:v>
                </c:pt>
              </c:strCache>
            </c:strRef>
          </c:cat>
          <c:val>
            <c:numRef>
              <c:f>'graphe fr'!$R$116:$T$116</c:f>
              <c:numCache>
                <c:formatCode>#,##0.0%</c:formatCode>
                <c:ptCount val="3"/>
                <c:pt idx="0">
                  <c:v>1.085911913642032E-2</c:v>
                </c:pt>
                <c:pt idx="1">
                  <c:v>1.2E-2</c:v>
                </c:pt>
                <c:pt idx="2">
                  <c:v>6.2444398915206178E-3</c:v>
                </c:pt>
              </c:numCache>
            </c:numRef>
          </c:val>
        </c:ser>
        <c:gapWidth val="75"/>
        <c:overlap val="-25"/>
        <c:axId val="114598656"/>
        <c:axId val="114600192"/>
      </c:barChart>
      <c:catAx>
        <c:axId val="114598656"/>
        <c:scaling>
          <c:orientation val="minMax"/>
        </c:scaling>
        <c:axPos val="b"/>
        <c:majorTickMark val="none"/>
        <c:tickLblPos val="nextTo"/>
        <c:crossAx val="114600192"/>
        <c:crosses val="autoZero"/>
        <c:auto val="1"/>
        <c:lblAlgn val="ctr"/>
        <c:lblOffset val="100"/>
      </c:catAx>
      <c:valAx>
        <c:axId val="114600192"/>
        <c:scaling>
          <c:orientation val="minMax"/>
        </c:scaling>
        <c:axPos val="l"/>
        <c:numFmt formatCode="#,##0.0%" sourceLinked="1"/>
        <c:majorTickMark val="none"/>
        <c:tickLblPos val="nextTo"/>
        <c:crossAx val="114598656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93376-1B35-4140-AAA0-205865E78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1446</Words>
  <Characters>7957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9385</CharactersWithSpaces>
  <SharedDoc>false</SharedDoc>
  <HLinks>
    <vt:vector size="6" baseType="variant">
      <vt:variant>
        <vt:i4>7405692</vt:i4>
      </vt:variant>
      <vt:variant>
        <vt:i4>0</vt:i4>
      </vt:variant>
      <vt:variant>
        <vt:i4>0</vt:i4>
      </vt:variant>
      <vt:variant>
        <vt:i4>5</vt:i4>
      </vt:variant>
      <vt:variant>
        <vt:lpwstr>http://www.hcp.ma/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user</cp:lastModifiedBy>
  <cp:revision>2</cp:revision>
  <cp:lastPrinted>2015-05-14T16:05:00Z</cp:lastPrinted>
  <dcterms:created xsi:type="dcterms:W3CDTF">2015-05-15T19:59:00Z</dcterms:created>
  <dcterms:modified xsi:type="dcterms:W3CDTF">2015-05-15T19:59:00Z</dcterms:modified>
</cp:coreProperties>
</file>