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597A38" w:rsidRDefault="00597A38" w:rsidP="00597A3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9B7BDC" w:rsidRDefault="00D75679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</w:t>
      </w:r>
      <w:r w:rsidR="0035750D"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</w:t>
      </w: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Pr="00754D0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F043B0" w:rsidRPr="00642C11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NOTE D’INFORMATION DU HAUT COMMISSARIAT AU PLAN </w:t>
      </w:r>
    </w:p>
    <w:p w:rsidR="009B7BDC" w:rsidRPr="00642C11" w:rsidRDefault="009B7BDC" w:rsidP="00621920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</w:pP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SUJET DE LA SITUATION DU MARCHE DU TRAVAIL </w:t>
      </w:r>
      <w:r w:rsidR="00621920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 xml:space="preserve">AU PREMIER TRIMESTRE DE L’ANNEE </w:t>
      </w:r>
      <w:r w:rsidRPr="00642C11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201</w:t>
      </w:r>
      <w:r w:rsidR="00621920">
        <w:rPr>
          <w:rFonts w:ascii="Book Antiqua" w:hAnsi="Book Antiqua" w:cs="Times New Roman"/>
          <w:b/>
          <w:bCs/>
          <w:noProof w:val="0"/>
          <w:color w:val="D99594"/>
          <w:sz w:val="26"/>
          <w:szCs w:val="26"/>
        </w:rPr>
        <w:t>5</w:t>
      </w:r>
    </w:p>
    <w:p w:rsidR="009B7BDC" w:rsidRPr="00642C11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6"/>
          <w:szCs w:val="26"/>
        </w:rPr>
      </w:pPr>
    </w:p>
    <w:p w:rsidR="009B7BDC" w:rsidRPr="002A19AD" w:rsidRDefault="009B7BDC" w:rsidP="009B7BDC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2A19AD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Principaux </w:t>
      </w:r>
      <w:r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i</w:t>
      </w:r>
      <w:r w:rsidRPr="002A19AD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ndicateurs</w:t>
      </w:r>
    </w:p>
    <w:p w:rsidR="000535DC" w:rsidRPr="002F73C3" w:rsidRDefault="00642C11" w:rsidP="00D27792">
      <w:pPr>
        <w:autoSpaceDE w:val="0"/>
        <w:autoSpaceDN w:val="0"/>
        <w:bidi w:val="0"/>
        <w:adjustRightInd w:val="0"/>
        <w:spacing w:line="360" w:lineRule="auto"/>
        <w:ind w:left="360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Entre le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premier trimestre de </w:t>
      </w:r>
      <w:r w:rsidR="008639C7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l’année 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2014 et celui de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201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0535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 :</w:t>
      </w:r>
    </w:p>
    <w:p w:rsidR="00642C11" w:rsidRPr="002F73C3" w:rsidRDefault="00642C11" w:rsidP="00CC2F7C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L’économie marocaine </w:t>
      </w:r>
      <w:r w:rsidR="000535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 créé 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7</w:t>
      </w:r>
      <w:r w:rsidR="00D2154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</w:t>
      </w:r>
      <w:r w:rsidR="009F58FE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postes d’</w:t>
      </w:r>
      <w:r w:rsidR="006A272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emploi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résultat d’une création de 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45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</w:t>
      </w:r>
      <w:r w:rsid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postes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en milieu urbain et </w:t>
      </w:r>
      <w:r w:rsidR="009D2A50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d’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une perte de </w:t>
      </w:r>
      <w:r w:rsidR="00D2779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18</w:t>
      </w: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en milieu rural.</w:t>
      </w:r>
    </w:p>
    <w:p w:rsidR="00303C6A" w:rsidRPr="002F73C3" w:rsidRDefault="008D2845" w:rsidP="008D2845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Dans ce cadre, l</w:t>
      </w:r>
      <w:r w:rsidR="002E0D1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’"agriculture, forêt et pêche"</w:t>
      </w:r>
      <w:r w:rsidR="00FA11B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a </w:t>
      </w: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bénéficié de </w:t>
      </w:r>
      <w:r w:rsidR="00FA11B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14.000 emplois</w:t>
      </w:r>
      <w:r w:rsidR="002E0D1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2E0D1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l’"industrie y compris l'artisanat"</w:t>
      </w:r>
      <w:r w:rsidR="002E0D1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FA11B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9.000</w:t>
      </w:r>
      <w:r w:rsidR="00583F4A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FA11B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le</w:t>
      </w:r>
      <w:r w:rsidR="00B66237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s </w:t>
      </w:r>
      <w:r w:rsidR="00FA11BD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"services"</w:t>
      </w:r>
      <w:r w:rsidR="00FA11B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2E0D12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4.000</w:t>
      </w:r>
      <w:r w:rsidR="00583F4A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contre une performance nulle dans le </w:t>
      </w:r>
      <w:r w:rsidR="00642C1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BTP</w:t>
      </w:r>
      <w:r w:rsidR="00D21548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</w:p>
    <w:p w:rsidR="009F58FE" w:rsidRPr="002F73C3" w:rsidRDefault="00B66237" w:rsidP="00B66237">
      <w:pPr>
        <w:numPr>
          <w:ilvl w:val="0"/>
          <w:numId w:val="19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Avec une baisse de </w:t>
      </w:r>
      <w:r w:rsidR="000B004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</w:t>
      </w:r>
      <w:r w:rsidR="000B004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personnes, </w:t>
      </w:r>
      <w:r w:rsidR="007857A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12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.000 en milieu urbain et </w:t>
      </w:r>
      <w:r w:rsidR="005A2F48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7857A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5146C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.000 en milieu rural</w:t>
      </w:r>
      <w:r w:rsidR="009D336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le volume global </w:t>
      </w:r>
      <w:r w:rsidR="00F158A0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</w:t>
      </w:r>
      <w:r w:rsidR="001445F1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u</w:t>
      </w:r>
      <w:r w:rsidR="00F158A0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chômage </w:t>
      </w: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 atteint </w:t>
      </w:r>
      <w:r w:rsidR="007857A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1.1</w:t>
      </w:r>
      <w:r w:rsidR="007857A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7857A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7.000 personnes</w:t>
      </w:r>
      <w:r w:rsidR="009D336C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au niveau national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</w:p>
    <w:p w:rsidR="002F73C3" w:rsidRPr="002F73C3" w:rsidRDefault="001B6226" w:rsidP="001B6226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</w:t>
      </w:r>
      <w:r w:rsidR="00D61357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 taux de chômage </w:t>
      </w:r>
      <w:r w:rsidR="005C6E59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est </w:t>
      </w:r>
      <w:r w:rsidR="00CA7ADD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ainsi </w:t>
      </w:r>
      <w:r w:rsidR="005C6E59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passé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78243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de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10</w:t>
      </w:r>
      <w:r w:rsidR="0078243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F860E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2</w:t>
      </w:r>
      <w:r w:rsidR="00782432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</w:t>
      </w:r>
      <w:r w:rsidR="00D61357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à 9,</w:t>
      </w:r>
      <w:r w:rsidR="00F860E1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D61357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au niveau national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de 14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,6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14,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en 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milieu urbain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et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4,</w:t>
      </w:r>
      <w:r w:rsidR="00B013C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7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en milieu rural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</w:t>
      </w:r>
      <w:r w:rsidR="00E66730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Parmi les hommes,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</w:t>
      </w:r>
      <w:r w:rsidR="00387079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il est passé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de 9,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8</w:t>
      </w:r>
      <w:r w:rsidR="004D4F7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à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4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et </w:t>
      </w:r>
      <w:r w:rsidR="00CF16A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parmi les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femmes</w:t>
      </w:r>
      <w:r w:rsidR="005A2F48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 il s’est maintenu à 11</w:t>
      </w:r>
      <w:r w:rsidR="00387079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3035A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</w:t>
      </w:r>
      <w:r w:rsidR="009B1B4B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.</w:t>
      </w:r>
      <w:r w:rsidR="009B7BDC" w:rsidRPr="002F73C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Default="00C56D59" w:rsidP="001B6226">
      <w:pPr>
        <w:numPr>
          <w:ilvl w:val="0"/>
          <w:numId w:val="19"/>
        </w:num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  <w:r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L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e taux de sous-emploi,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quant à lui</w:t>
      </w:r>
      <w:r w:rsidR="004D4F7E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, </w:t>
      </w:r>
      <w:r w:rsidR="005C6E59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s’est accru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0,4 </w:t>
      </w:r>
      <w:r w:rsidR="002A7861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point, passant de 9,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2A7861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à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au niveau national</w:t>
      </w:r>
      <w:r w:rsidR="001B6226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. Il est passé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346C90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3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en milieu urbain et 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de 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346C90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9</w:t>
      </w:r>
      <w:r w:rsidR="00F75AF5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 xml:space="preserve">% à 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1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0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,</w:t>
      </w:r>
      <w:r w:rsidR="006C68BB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5</w:t>
      </w:r>
      <w:r w:rsidR="009B7BDC" w:rsidRPr="002F73C3"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  <w:t>% en milieu rural.</w:t>
      </w:r>
    </w:p>
    <w:p w:rsidR="00597A38" w:rsidRDefault="00597A38" w:rsidP="00597A38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0070C0"/>
          <w:sz w:val="26"/>
          <w:szCs w:val="26"/>
        </w:rPr>
      </w:pPr>
    </w:p>
    <w:p w:rsidR="009B7BDC" w:rsidRPr="00306463" w:rsidRDefault="009B7BDC" w:rsidP="00587F1E">
      <w:pPr>
        <w:autoSpaceDE w:val="0"/>
        <w:autoSpaceDN w:val="0"/>
        <w:bidi w:val="0"/>
        <w:adjustRightInd w:val="0"/>
        <w:spacing w:before="120" w:line="360" w:lineRule="auto"/>
        <w:jc w:val="both"/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</w:pPr>
      <w:r w:rsidRPr="00306463">
        <w:rPr>
          <w:rFonts w:ascii="Book Antiqua" w:hAnsi="Book Antiqua" w:cs="Times New Roman"/>
          <w:b/>
          <w:bCs/>
          <w:noProof w:val="0"/>
          <w:color w:val="B33B69"/>
          <w:sz w:val="32"/>
          <w:szCs w:val="32"/>
        </w:rPr>
        <w:lastRenderedPageBreak/>
        <w:t>Situation et évolution du marché du travail</w:t>
      </w:r>
    </w:p>
    <w:p w:rsidR="0087218B" w:rsidRPr="00CA7892" w:rsidRDefault="0087218B" w:rsidP="0087218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Légère baisse des taux d’activité et d’emploi</w:t>
      </w:r>
    </w:p>
    <w:p w:rsidR="0087218B" w:rsidRDefault="0087218B" w:rsidP="00014CF6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Pr="00694793" w:rsidRDefault="001D6147" w:rsidP="00E375D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694793">
        <w:rPr>
          <w:rFonts w:ascii="Book Antiqua" w:hAnsi="Book Antiqua" w:cs="Times New Roman"/>
          <w:noProof w:val="0"/>
          <w:sz w:val="26"/>
          <w:szCs w:val="26"/>
        </w:rPr>
        <w:t>Avec 11.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>670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.000 personnes,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a population active âgée de 15 ans et plus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C1E3E" w:rsidRPr="00694793">
        <w:rPr>
          <w:rFonts w:ascii="Book Antiqua" w:hAnsi="Book Antiqua" w:cs="Times New Roman"/>
          <w:noProof w:val="0"/>
          <w:sz w:val="26"/>
          <w:szCs w:val="26"/>
        </w:rPr>
        <w:t>a baissé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, entre le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premier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trimestre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s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 xml:space="preserve"> de 2014 et 2015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4E6FB0" w:rsidRPr="00694793">
        <w:rPr>
          <w:rFonts w:ascii="Book Antiqua" w:hAnsi="Book Antiqua" w:cs="Times New Roman"/>
          <w:noProof w:val="0"/>
          <w:sz w:val="26"/>
          <w:szCs w:val="26"/>
        </w:rPr>
        <w:t>0,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1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% au niveau national (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-0,7% en milieu rural 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+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>0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464B5F" w:rsidRPr="00694793">
        <w:rPr>
          <w:rFonts w:ascii="Book Antiqua" w:hAnsi="Book Antiqua" w:cs="Times New Roman"/>
          <w:noProof w:val="0"/>
          <w:sz w:val="26"/>
          <w:szCs w:val="26"/>
        </w:rPr>
        <w:t>5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% en milieu u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rbain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)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La population en âge d’activité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s’est accrue</w:t>
      </w:r>
      <w:r w:rsidR="009D2A50">
        <w:rPr>
          <w:rFonts w:ascii="Book Antiqua" w:hAnsi="Book Antiqua" w:cs="Times New Roman"/>
          <w:noProof w:val="0"/>
          <w:sz w:val="26"/>
          <w:szCs w:val="26"/>
        </w:rPr>
        <w:t>,</w:t>
      </w:r>
      <w:r w:rsidR="009D2A50" w:rsidRPr="009D2A5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D2A50" w:rsidRPr="00694793">
        <w:rPr>
          <w:rFonts w:ascii="Book Antiqua" w:hAnsi="Book Antiqua" w:cs="Times New Roman"/>
          <w:noProof w:val="0"/>
          <w:sz w:val="26"/>
          <w:szCs w:val="26"/>
        </w:rPr>
        <w:t xml:space="preserve">quant à elle, 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 xml:space="preserve"> de 1,5%. </w:t>
      </w:r>
      <w:r w:rsidR="00DB580E" w:rsidRPr="00694793">
        <w:rPr>
          <w:rFonts w:ascii="Book Antiqua" w:hAnsi="Book Antiqua" w:cs="Times New Roman"/>
          <w:noProof w:val="0"/>
          <w:sz w:val="26"/>
          <w:szCs w:val="26"/>
        </w:rPr>
        <w:t>Ainsi, l</w:t>
      </w:r>
      <w:r w:rsidR="00D41611" w:rsidRPr="00694793">
        <w:rPr>
          <w:rFonts w:ascii="Book Antiqua" w:hAnsi="Book Antiqua" w:cs="Times New Roman"/>
          <w:noProof w:val="0"/>
          <w:sz w:val="26"/>
          <w:szCs w:val="26"/>
        </w:rPr>
        <w:t>e taux d’activité</w:t>
      </w:r>
      <w:r w:rsidR="00E375D2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est passé</w:t>
      </w:r>
      <w:r w:rsidR="00014CF6" w:rsidRPr="00694793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de 4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>, enregistrant une diminution de 0,</w:t>
      </w:r>
      <w:r w:rsidR="006E461B" w:rsidRPr="00694793">
        <w:rPr>
          <w:rFonts w:ascii="Book Antiqua" w:hAnsi="Book Antiqua" w:cs="Times New Roman"/>
          <w:noProof w:val="0"/>
          <w:sz w:val="26"/>
          <w:szCs w:val="26"/>
        </w:rPr>
        <w:t>7</w:t>
      </w:r>
      <w:r w:rsidR="00B33A95" w:rsidRPr="00694793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E032BB" w:rsidRPr="00694793" w:rsidRDefault="009D2A50" w:rsidP="00F4195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En matière d’emploi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, 58.000 postes d’emploi rémunérés ont été créés au cours de la période, 49.000 postes en milieu urbain et 9.000 en milieu rural. L’emploi non rémunéré, composé d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’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>e</w:t>
      </w:r>
      <w:r w:rsidR="005A2F48" w:rsidRPr="00694793">
        <w:rPr>
          <w:rFonts w:ascii="Book Antiqua" w:hAnsi="Book Antiqua" w:cs="Times New Roman"/>
          <w:noProof w:val="0"/>
          <w:sz w:val="26"/>
          <w:szCs w:val="26"/>
        </w:rPr>
        <w:t>nviron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 98% d’aides familiales, a </w:t>
      </w:r>
      <w:r w:rsidR="005F14B1">
        <w:rPr>
          <w:rFonts w:ascii="Book Antiqua" w:hAnsi="Book Antiqua" w:cs="Times New Roman"/>
          <w:noProof w:val="0"/>
          <w:sz w:val="26"/>
          <w:szCs w:val="26"/>
        </w:rPr>
        <w:t xml:space="preserve">en revanche </w:t>
      </w:r>
      <w:r w:rsidR="00E032BB" w:rsidRPr="00694793">
        <w:rPr>
          <w:rFonts w:ascii="Book Antiqua" w:hAnsi="Book Antiqua" w:cs="Times New Roman"/>
          <w:noProof w:val="0"/>
          <w:sz w:val="26"/>
          <w:szCs w:val="26"/>
        </w:rPr>
        <w:t xml:space="preserve">enregistré une baisse de 31.000 postes, 4.000 en zones urbaines et 27.000 en zones rurales. </w:t>
      </w:r>
    </w:p>
    <w:p w:rsidR="009B7BDC" w:rsidRPr="009D2A50" w:rsidRDefault="009B7BDC" w:rsidP="00E032B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754D0C" w:rsidRDefault="009B7BDC" w:rsidP="00F436C6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 entre les </w:t>
      </w:r>
      <w:r w:rsidR="005A2F48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premiers trimestres de 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5A2F48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201</w:t>
      </w:r>
      <w:r w:rsidR="005A2F48">
        <w:rPr>
          <w:rFonts w:ascii="Book Antiqua" w:hAnsi="Book Antiqua" w:cs="Times New Roman"/>
          <w:b/>
          <w:bCs/>
          <w:noProof w:val="0"/>
          <w:sz w:val="24"/>
          <w:szCs w:val="24"/>
        </w:rPr>
        <w:t>5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9B7BDC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 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D75679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94400" cy="2336800"/>
            <wp:effectExtent l="19050" t="0" r="6350" b="0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E0457E" w:rsidRDefault="00871AAB" w:rsidP="00C8588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Au total, avec la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création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45.000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en milieu urbain et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la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>perte de 18.000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’économie marocaine a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créé </w:t>
      </w:r>
      <w:r w:rsidR="006C142E" w:rsidRPr="00694793">
        <w:rPr>
          <w:rFonts w:ascii="Book Antiqua" w:hAnsi="Book Antiqua" w:cs="Times New Roman"/>
          <w:noProof w:val="0"/>
          <w:sz w:val="26"/>
          <w:szCs w:val="26"/>
        </w:rPr>
        <w:t xml:space="preserve">27.000 postes </w:t>
      </w:r>
      <w:r w:rsidR="006C142E">
        <w:rPr>
          <w:rFonts w:ascii="Book Antiqua" w:hAnsi="Book Antiqua" w:cs="Times New Roman"/>
          <w:noProof w:val="0"/>
          <w:sz w:val="26"/>
          <w:szCs w:val="26"/>
        </w:rPr>
        <w:t xml:space="preserve">nets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d’emploi. 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Le volume global de l’emploi est ainsi passé, entre les deux périodes, de 10.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486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513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>.000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personnes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0D2029" w:rsidRPr="00694793">
        <w:rPr>
          <w:rFonts w:ascii="Book Antiqua" w:hAnsi="Book Antiqua" w:cs="Times New Roman"/>
          <w:noProof w:val="0"/>
          <w:sz w:val="26"/>
          <w:szCs w:val="26"/>
        </w:rPr>
        <w:t>Le taux d’emploi, quant à lui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0D2029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a reculé de 0,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 point au niveau national, passant de 4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2</w:t>
      </w:r>
      <w:r w:rsidR="00BD7FC2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BD7FC2" w:rsidRPr="00694793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</w:t>
      </w:r>
      <w:r w:rsidR="00C8588B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de 0,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4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 xml:space="preserve"> point 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 xml:space="preserve">en milieu urbain et de 0,6 point en milieu rural, passant respectivement 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de 36% à 35,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6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% et de 5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3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5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2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,</w:t>
      </w:r>
      <w:r w:rsidR="0027596D" w:rsidRPr="00694793">
        <w:rPr>
          <w:rFonts w:ascii="Book Antiqua" w:hAnsi="Book Antiqua" w:cs="Times New Roman"/>
          <w:noProof w:val="0"/>
          <w:sz w:val="26"/>
          <w:szCs w:val="26"/>
        </w:rPr>
        <w:t>9</w:t>
      </w:r>
      <w:r w:rsidR="00E0457E" w:rsidRPr="00694793">
        <w:rPr>
          <w:rFonts w:ascii="Book Antiqua" w:hAnsi="Book Antiqua" w:cs="Times New Roman"/>
          <w:noProof w:val="0"/>
          <w:sz w:val="26"/>
          <w:szCs w:val="26"/>
        </w:rPr>
        <w:t>%.</w:t>
      </w:r>
      <w:r w:rsidR="00ED2D75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DB2E54" w:rsidRDefault="00DB2E54" w:rsidP="00DB2E5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DB2E54" w:rsidRDefault="00DB2E54" w:rsidP="00DB2E5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C8588B" w:rsidRDefault="00C8588B" w:rsidP="00C8588B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50CAC" w:rsidRPr="00694793" w:rsidRDefault="00150CAC" w:rsidP="00150CA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CA7892" w:rsidRDefault="00A65CE8" w:rsidP="00694793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A l’exception du secteur des BTP dont le volume d’emploi a stagné, tous les autres </w:t>
      </w:r>
      <w:r w:rsidR="004726D3"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secteur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</w:t>
      </w:r>
      <w:r w:rsidR="004726D3"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ont </w:t>
      </w:r>
      <w:r w:rsidR="00694793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vu leur volume 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d’emploi</w:t>
      </w:r>
      <w:r w:rsidR="00694793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augmenter</w:t>
      </w:r>
      <w:r w:rsidR="009B7BDC"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 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12"/>
          <w:szCs w:val="12"/>
        </w:rPr>
      </w:pPr>
    </w:p>
    <w:p w:rsidR="00746423" w:rsidRPr="00694793" w:rsidRDefault="00925593" w:rsidP="00444B0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 xml:space="preserve">e secteur de l’"agriculture, forêt et pêche" 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créé 14.000</w:t>
      </w:r>
      <w:r w:rsidR="00694793">
        <w:rPr>
          <w:rFonts w:ascii="Book Antiqua" w:hAnsi="Book Antiqua" w:cs="Times New Roman"/>
          <w:noProof w:val="0"/>
          <w:sz w:val="26"/>
          <w:szCs w:val="26"/>
        </w:rPr>
        <w:t xml:space="preserve"> emplois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0,4% du volume d’emploi du secteur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) 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 xml:space="preserve">contre </w:t>
      </w:r>
      <w:r w:rsidR="00444B04" w:rsidRPr="00694793">
        <w:rPr>
          <w:rFonts w:ascii="Book Antiqua" w:hAnsi="Book Antiqua" w:cs="Times New Roman"/>
          <w:noProof w:val="0"/>
          <w:sz w:val="26"/>
          <w:szCs w:val="26"/>
        </w:rPr>
        <w:t xml:space="preserve">une création </w:t>
      </w:r>
      <w:r w:rsidR="00444B04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5</w:t>
      </w:r>
      <w:r w:rsidR="00125739" w:rsidRPr="00694793">
        <w:rPr>
          <w:rFonts w:ascii="Book Antiqua" w:hAnsi="Book Antiqua" w:cs="Times New Roman"/>
          <w:noProof w:val="0"/>
          <w:sz w:val="26"/>
          <w:szCs w:val="26"/>
        </w:rPr>
        <w:t>3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l’année dernière et une perte de </w:t>
      </w:r>
      <w:r w:rsidR="00125739" w:rsidRPr="00694793">
        <w:rPr>
          <w:rFonts w:ascii="Book Antiqua" w:hAnsi="Book Antiqua" w:cs="Times New Roman"/>
          <w:noProof w:val="0"/>
          <w:sz w:val="26"/>
          <w:szCs w:val="26"/>
        </w:rPr>
        <w:t>106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.000, comme moyenne annuelle</w:t>
      </w:r>
      <w:r w:rsidR="00444B04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au cours de</w:t>
      </w:r>
      <w:r w:rsidR="00125739" w:rsidRPr="00694793">
        <w:rPr>
          <w:rFonts w:ascii="Book Antiqua" w:hAnsi="Book Antiqua" w:cs="Times New Roman"/>
          <w:noProof w:val="0"/>
          <w:sz w:val="26"/>
          <w:szCs w:val="26"/>
        </w:rPr>
        <w:t xml:space="preserve"> la période 2011-2013</w:t>
      </w:r>
      <w:r w:rsidR="00746423" w:rsidRPr="00694793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6C359E" w:rsidRPr="00694793" w:rsidRDefault="00BF7C03" w:rsidP="00444B0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>e secteur de l</w:t>
      </w:r>
      <w:r w:rsidR="00C21D61" w:rsidRPr="00694793">
        <w:rPr>
          <w:rFonts w:ascii="Book Antiqua" w:hAnsi="Book Antiqua" w:cs="Times New Roman"/>
          <w:noProof w:val="0"/>
          <w:sz w:val="26"/>
          <w:szCs w:val="26"/>
        </w:rPr>
        <w:t xml:space="preserve">’"industrie" </w:t>
      </w:r>
      <w:r w:rsidR="00DE5373" w:rsidRPr="00694793">
        <w:rPr>
          <w:rFonts w:ascii="Book Antiqua" w:hAnsi="Book Antiqua" w:cs="Times New Roman"/>
          <w:noProof w:val="0"/>
          <w:sz w:val="26"/>
          <w:szCs w:val="26"/>
        </w:rPr>
        <w:t xml:space="preserve">qui comprend aussi l’artisanat </w:t>
      </w:r>
      <w:r w:rsidR="006C359E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280596" w:rsidRPr="00694793">
        <w:rPr>
          <w:rFonts w:ascii="Book Antiqua" w:hAnsi="Book Antiqua" w:cs="Times New Roman"/>
          <w:noProof w:val="0"/>
          <w:sz w:val="26"/>
          <w:szCs w:val="26"/>
        </w:rPr>
        <w:t xml:space="preserve">connu la création de </w:t>
      </w:r>
      <w:r w:rsidR="00C21D61" w:rsidRPr="00694793">
        <w:rPr>
          <w:rFonts w:ascii="Book Antiqua" w:hAnsi="Book Antiqua" w:cs="Times New Roman"/>
          <w:noProof w:val="0"/>
          <w:sz w:val="26"/>
          <w:szCs w:val="26"/>
        </w:rPr>
        <w:t>9</w:t>
      </w:r>
      <w:r w:rsidR="006C359E" w:rsidRPr="00694793">
        <w:rPr>
          <w:rFonts w:ascii="Book Antiqua" w:hAnsi="Book Antiqua" w:cs="Times New Roman"/>
          <w:noProof w:val="0"/>
          <w:sz w:val="26"/>
          <w:szCs w:val="26"/>
        </w:rPr>
        <w:t>.000 postes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925593" w:rsidRPr="00694793">
        <w:rPr>
          <w:rFonts w:ascii="Book Antiqua" w:hAnsi="Book Antiqua" w:cs="Times New Roman"/>
          <w:noProof w:val="0"/>
          <w:sz w:val="26"/>
          <w:szCs w:val="26"/>
        </w:rPr>
        <w:t>0,8%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>),</w:t>
      </w:r>
      <w:r w:rsidR="00925593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 xml:space="preserve">dont </w:t>
      </w:r>
      <w:r w:rsidR="00925593" w:rsidRPr="00694793">
        <w:rPr>
          <w:rFonts w:ascii="Book Antiqua" w:hAnsi="Book Antiqua" w:cs="Times New Roman"/>
          <w:noProof w:val="0"/>
          <w:sz w:val="26"/>
          <w:szCs w:val="26"/>
        </w:rPr>
        <w:t>e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>nviron</w:t>
      </w:r>
      <w:r w:rsidR="00925593" w:rsidRPr="00694793">
        <w:rPr>
          <w:rFonts w:ascii="Book Antiqua" w:hAnsi="Book Antiqua" w:cs="Times New Roman"/>
          <w:noProof w:val="0"/>
          <w:sz w:val="26"/>
          <w:szCs w:val="26"/>
        </w:rPr>
        <w:t xml:space="preserve"> 8.000 par la branche des "Industries extractives"</w:t>
      </w:r>
      <w:r w:rsidR="00925593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6C359E" w:rsidRPr="00694793">
        <w:rPr>
          <w:rFonts w:ascii="Book Antiqua" w:hAnsi="Book Antiqua" w:cs="Times New Roman"/>
          <w:noProof w:val="0"/>
          <w:sz w:val="26"/>
          <w:szCs w:val="26"/>
        </w:rPr>
        <w:t xml:space="preserve">contre une création </w:t>
      </w:r>
      <w:r w:rsidR="006C359E" w:rsidRPr="00694793">
        <w:rPr>
          <w:rFonts w:ascii="Book Antiqua" w:hAnsi="Book Antiqua" w:cs="Times New Roman"/>
          <w:color w:val="000000"/>
          <w:sz w:val="26"/>
          <w:szCs w:val="26"/>
        </w:rPr>
        <w:t xml:space="preserve">annuelle moyenne de </w:t>
      </w:r>
      <w:r w:rsidR="00C21D61" w:rsidRPr="00694793">
        <w:rPr>
          <w:rFonts w:ascii="Book Antiqua" w:hAnsi="Book Antiqua" w:cs="Times New Roman"/>
          <w:color w:val="000000"/>
          <w:sz w:val="26"/>
          <w:szCs w:val="26"/>
        </w:rPr>
        <w:t>5</w:t>
      </w:r>
      <w:r w:rsidR="006C359E" w:rsidRPr="00694793">
        <w:rPr>
          <w:rFonts w:ascii="Book Antiqua" w:hAnsi="Book Antiqua" w:cs="Times New Roman"/>
          <w:color w:val="000000"/>
          <w:sz w:val="26"/>
          <w:szCs w:val="26"/>
        </w:rPr>
        <w:t>.000 emplois au cours des trois dernières années</w:t>
      </w:r>
      <w:r w:rsidR="006C359E" w:rsidRPr="00694793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FF36C0" w:rsidRPr="00694793" w:rsidRDefault="00FF36C0" w:rsidP="00053261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694793" w:rsidRDefault="0096715A" w:rsidP="00444B0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secteur d</w:t>
      </w:r>
      <w:r w:rsidR="00C21D61" w:rsidRPr="00694793">
        <w:rPr>
          <w:rFonts w:ascii="Book Antiqua" w:hAnsi="Book Antiqua" w:cs="Times New Roman"/>
          <w:noProof w:val="0"/>
          <w:sz w:val="26"/>
          <w:szCs w:val="26"/>
        </w:rPr>
        <w:t xml:space="preserve">es "services" 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>créé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.000 postes d’emploi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>0,1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>%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="009B7BDC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 xml:space="preserve">contre une création </w:t>
      </w:r>
      <w:r w:rsidR="00A65CE8" w:rsidRPr="00694793">
        <w:rPr>
          <w:rFonts w:ascii="Book Antiqua" w:hAnsi="Book Antiqua" w:cs="Times New Roman"/>
          <w:color w:val="000000"/>
          <w:sz w:val="26"/>
          <w:szCs w:val="26"/>
        </w:rPr>
        <w:t>annuelle moyenne de 128.000 au cours des trois dernières années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694793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2B629F" w:rsidRPr="00694793" w:rsidRDefault="00444B04" w:rsidP="00444B0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>e secteur des BTP</w:t>
      </w:r>
      <w:r w:rsidR="00DB6160" w:rsidRPr="00694793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B4492B">
        <w:rPr>
          <w:rFonts w:ascii="Book Antiqua" w:hAnsi="Book Antiqua" w:cs="Times New Roman"/>
          <w:noProof w:val="0"/>
          <w:sz w:val="26"/>
          <w:szCs w:val="26"/>
        </w:rPr>
        <w:t>,</w:t>
      </w:r>
      <w:r w:rsidR="00DB6160" w:rsidRP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E5A69">
        <w:rPr>
          <w:rFonts w:ascii="Book Antiqua" w:hAnsi="Book Antiqua" w:cs="Times New Roman"/>
          <w:noProof w:val="0"/>
          <w:sz w:val="26"/>
          <w:szCs w:val="26"/>
        </w:rPr>
        <w:t>au contraire</w:t>
      </w:r>
      <w:r w:rsidR="00B4492B">
        <w:rPr>
          <w:rFonts w:ascii="Book Antiqua" w:hAnsi="Book Antiqua" w:cs="Times New Roman"/>
          <w:noProof w:val="0"/>
          <w:sz w:val="26"/>
          <w:szCs w:val="26"/>
        </w:rPr>
        <w:t>,</w:t>
      </w:r>
      <w:r w:rsidR="00BE5A69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B6160" w:rsidRPr="00694793">
        <w:rPr>
          <w:rFonts w:ascii="Book Antiqua" w:hAnsi="Book Antiqua" w:cs="Times New Roman"/>
          <w:noProof w:val="0"/>
          <w:sz w:val="26"/>
          <w:szCs w:val="26"/>
        </w:rPr>
        <w:t xml:space="preserve">connu une stagnation </w:t>
      </w:r>
      <w:r w:rsidR="00BF7C03">
        <w:rPr>
          <w:rFonts w:ascii="Book Antiqua" w:hAnsi="Book Antiqua" w:cs="Times New Roman"/>
          <w:noProof w:val="0"/>
          <w:sz w:val="26"/>
          <w:szCs w:val="26"/>
        </w:rPr>
        <w:t>de</w:t>
      </w:r>
      <w:r w:rsidR="0069479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B6160" w:rsidRPr="00694793">
        <w:rPr>
          <w:rFonts w:ascii="Book Antiqua" w:hAnsi="Book Antiqua" w:cs="Times New Roman"/>
          <w:noProof w:val="0"/>
          <w:sz w:val="26"/>
          <w:szCs w:val="26"/>
        </w:rPr>
        <w:t>son volume d’emploi</w:t>
      </w:r>
      <w:r w:rsidR="00B4492B">
        <w:rPr>
          <w:rFonts w:ascii="Book Antiqua" w:hAnsi="Book Antiqua" w:cs="Times New Roman"/>
          <w:noProof w:val="0"/>
          <w:sz w:val="26"/>
          <w:szCs w:val="26"/>
        </w:rPr>
        <w:t>,</w:t>
      </w:r>
      <w:r w:rsidR="00751B4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 xml:space="preserve">après </w:t>
      </w:r>
      <w:r w:rsidR="00751B43">
        <w:rPr>
          <w:rFonts w:ascii="Book Antiqua" w:hAnsi="Book Antiqua" w:cs="Times New Roman"/>
          <w:noProof w:val="0"/>
          <w:sz w:val="26"/>
          <w:szCs w:val="26"/>
        </w:rPr>
        <w:t>une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 xml:space="preserve"> per</w:t>
      </w:r>
      <w:r w:rsidR="00751B43">
        <w:rPr>
          <w:rFonts w:ascii="Book Antiqua" w:hAnsi="Book Antiqua" w:cs="Times New Roman"/>
          <w:noProof w:val="0"/>
          <w:sz w:val="26"/>
          <w:szCs w:val="26"/>
        </w:rPr>
        <w:t xml:space="preserve">te 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 xml:space="preserve">annuelle </w:t>
      </w:r>
      <w:r w:rsidR="00BF7C03" w:rsidRPr="00694793">
        <w:rPr>
          <w:rFonts w:ascii="Book Antiqua" w:hAnsi="Book Antiqua" w:cs="Times New Roman"/>
          <w:noProof w:val="0"/>
          <w:sz w:val="26"/>
          <w:szCs w:val="26"/>
        </w:rPr>
        <w:t xml:space="preserve">moyenne </w:t>
      </w:r>
      <w:r w:rsidR="00751B43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A65CE8" w:rsidRPr="00694793">
        <w:rPr>
          <w:rFonts w:ascii="Book Antiqua" w:hAnsi="Book Antiqua" w:cs="Times New Roman"/>
          <w:noProof w:val="0"/>
          <w:sz w:val="26"/>
          <w:szCs w:val="26"/>
        </w:rPr>
        <w:t>37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</w:t>
      </w:r>
      <w:r w:rsidR="00751B43">
        <w:rPr>
          <w:rFonts w:ascii="Book Antiqua" w:hAnsi="Book Antiqua" w:cs="Times New Roman"/>
          <w:noProof w:val="0"/>
          <w:sz w:val="26"/>
          <w:szCs w:val="26"/>
        </w:rPr>
        <w:t>durant l</w:t>
      </w:r>
      <w:r w:rsidR="002B629F" w:rsidRPr="00694793">
        <w:rPr>
          <w:rFonts w:ascii="Book Antiqua" w:hAnsi="Book Antiqua" w:cs="Times New Roman"/>
          <w:noProof w:val="0"/>
          <w:sz w:val="26"/>
          <w:szCs w:val="26"/>
        </w:rPr>
        <w:t>es trois dernières années.</w:t>
      </w:r>
    </w:p>
    <w:p w:rsidR="0072069C" w:rsidRPr="008B2D86" w:rsidRDefault="0072069C" w:rsidP="0072069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CA34D5" w:rsidRPr="00CA34D5" w:rsidRDefault="00CA34D5" w:rsidP="00CA34D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732456" w:rsidRDefault="009B7BDC" w:rsidP="0075120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754D0C">
        <w:rPr>
          <w:rFonts w:ascii="Book Antiqua" w:hAnsi="Book Antiqua" w:cs="Times New Roman"/>
          <w:b/>
          <w:bCs/>
          <w:noProof w:val="0"/>
          <w:sz w:val="23"/>
          <w:szCs w:val="23"/>
        </w:rPr>
        <w:t>F</w:t>
      </w:r>
      <w:r w:rsidRPr="00B20553">
        <w:rPr>
          <w:rFonts w:ascii="Book Antiqua" w:hAnsi="Book Antiqua" w:cs="Times New Roman"/>
          <w:b/>
          <w:bCs/>
          <w:noProof w:val="0"/>
          <w:sz w:val="22"/>
          <w:szCs w:val="22"/>
        </w:rPr>
        <w:t>igure 2. Créations nettes d’emploi par secteur d’activité économique et milieu de résidence</w:t>
      </w:r>
    </w:p>
    <w:p w:rsidR="009B7BDC" w:rsidRPr="00732456" w:rsidRDefault="009B7BDC" w:rsidP="007324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9B7BDC" w:rsidRPr="00754D0C" w:rsidRDefault="00D75679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5994400" cy="3175000"/>
            <wp:effectExtent l="19050" t="0" r="6350" b="0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69C" w:rsidRDefault="0072069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9B7BDC" w:rsidRPr="00DC4FEE" w:rsidRDefault="009B7BDC" w:rsidP="0072069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Par milieu de résidence, l’évolution de l’emploi selon les secteurs d’activité économique se présente comme suit : </w:t>
      </w:r>
    </w:p>
    <w:p w:rsidR="009B7BDC" w:rsidRPr="00DC4FEE" w:rsidRDefault="009B7BDC" w:rsidP="009B7BDC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DC4FEE" w:rsidRDefault="009B7BDC" w:rsidP="003C2899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b/>
          <w:bCs/>
          <w:noProof w:val="0"/>
          <w:sz w:val="26"/>
          <w:szCs w:val="26"/>
        </w:rPr>
        <w:t>En milieu urbain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, tous les secteurs </w:t>
      </w:r>
      <w:r w:rsidR="0080168E" w:rsidRPr="00DC4FEE">
        <w:rPr>
          <w:rFonts w:ascii="Book Antiqua" w:hAnsi="Book Antiqua" w:cs="Times New Roman"/>
          <w:noProof w:val="0"/>
          <w:sz w:val="26"/>
          <w:szCs w:val="26"/>
        </w:rPr>
        <w:t xml:space="preserve">d’activité 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ont </w:t>
      </w:r>
      <w:r w:rsidR="003C2899" w:rsidRPr="00DC4FEE">
        <w:rPr>
          <w:rFonts w:ascii="Book Antiqua" w:hAnsi="Book Antiqua" w:cs="Times New Roman"/>
          <w:noProof w:val="0"/>
          <w:sz w:val="26"/>
          <w:szCs w:val="26"/>
        </w:rPr>
        <w:t>connu des créations d’emploi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9B7BDC" w:rsidRPr="00DC4FEE" w:rsidRDefault="008B2D86" w:rsidP="0019796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>19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 xml:space="preserve">.000 postes dans le secteur </w:t>
      </w:r>
      <w:r w:rsidR="00777E3D" w:rsidRPr="00DC4FEE">
        <w:rPr>
          <w:rFonts w:ascii="Book Antiqua" w:hAnsi="Book Antiqua" w:cs="Times New Roman"/>
          <w:noProof w:val="0"/>
          <w:sz w:val="26"/>
          <w:szCs w:val="26"/>
        </w:rPr>
        <w:t>de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 l’"industrie y compris l'artisanat"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777E3D" w:rsidRPr="00DC4FEE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>,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 xml:space="preserve">% du volume d’emploi du secteur); </w:t>
      </w:r>
      <w:r w:rsidR="0001609E" w:rsidRPr="00DC4FE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DC4FEE" w:rsidRDefault="008B2D86" w:rsidP="0019796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>18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 xml:space="preserve">.000 dans 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les "services" 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>(+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0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>,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C4FEE">
        <w:rPr>
          <w:rFonts w:ascii="Book Antiqua" w:hAnsi="Book Antiqua" w:cs="Times New Roman"/>
          <w:noProof w:val="0"/>
          <w:sz w:val="26"/>
          <w:szCs w:val="26"/>
        </w:rPr>
        <w:t>%);</w:t>
      </w:r>
    </w:p>
    <w:p w:rsidR="008B2D86" w:rsidRPr="00DC4FEE" w:rsidRDefault="008B2D86" w:rsidP="0019796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>7.000 dans les BTP (+1,3%) ;</w:t>
      </w:r>
    </w:p>
    <w:p w:rsidR="008B2D86" w:rsidRDefault="008B2D86" w:rsidP="00197961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1.000 dans </w:t>
      </w:r>
      <w:r w:rsidR="0075120C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de l’"agriculture, forêt et pêche" (+</w:t>
      </w:r>
      <w:r w:rsidR="002447AE" w:rsidRPr="00DC4FEE">
        <w:rPr>
          <w:rFonts w:ascii="Book Antiqua" w:hAnsi="Book Antiqua" w:cs="Times New Roman"/>
          <w:noProof w:val="0"/>
          <w:sz w:val="26"/>
          <w:szCs w:val="26"/>
        </w:rPr>
        <w:t>0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,</w:t>
      </w:r>
      <w:r w:rsidR="002447AE" w:rsidRPr="00DC4FEE">
        <w:rPr>
          <w:rFonts w:ascii="Book Antiqua" w:hAnsi="Book Antiqua" w:cs="Times New Roman"/>
          <w:noProof w:val="0"/>
          <w:sz w:val="26"/>
          <w:szCs w:val="26"/>
        </w:rPr>
        <w:t>2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%)</w:t>
      </w:r>
      <w:r w:rsidR="002447AE" w:rsidRPr="00DC4FEE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B54E55" w:rsidRPr="00B54E55" w:rsidRDefault="00B54E55" w:rsidP="00B54E55">
      <w:p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DC4FEE" w:rsidRDefault="009B7BDC" w:rsidP="00DC4FE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b/>
          <w:bCs/>
          <w:noProof w:val="0"/>
          <w:sz w:val="26"/>
          <w:szCs w:val="26"/>
        </w:rPr>
        <w:t xml:space="preserve">En milieu rural, </w:t>
      </w:r>
      <w:r w:rsidR="003C2899" w:rsidRPr="00DC4FEE">
        <w:rPr>
          <w:rFonts w:ascii="Book Antiqua" w:hAnsi="Book Antiqua" w:cs="Times New Roman"/>
          <w:noProof w:val="0"/>
          <w:sz w:val="26"/>
          <w:szCs w:val="26"/>
        </w:rPr>
        <w:t xml:space="preserve">à l’exception du 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 xml:space="preserve">secteur de l’"agriculture, forêt et pêche" qui a créé 13.000 postes d’emploi, </w:t>
      </w:r>
      <w:r w:rsidR="00D16A36" w:rsidRPr="00DC4FEE">
        <w:rPr>
          <w:rFonts w:ascii="Book Antiqua" w:hAnsi="Book Antiqua" w:cs="Times New Roman"/>
          <w:noProof w:val="0"/>
          <w:sz w:val="26"/>
          <w:szCs w:val="26"/>
        </w:rPr>
        <w:t>correspond</w:t>
      </w:r>
      <w:r w:rsidR="00DC4FEE">
        <w:rPr>
          <w:rFonts w:ascii="Book Antiqua" w:hAnsi="Book Antiqua" w:cs="Times New Roman"/>
          <w:noProof w:val="0"/>
          <w:sz w:val="26"/>
          <w:szCs w:val="26"/>
        </w:rPr>
        <w:t>ant</w:t>
      </w:r>
      <w:r w:rsidR="00D16A36" w:rsidRPr="00DC4FE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à un accroissement de 0,</w:t>
      </w:r>
      <w:r w:rsidR="003C2899" w:rsidRPr="00DC4FEE">
        <w:rPr>
          <w:rFonts w:ascii="Book Antiqua" w:hAnsi="Book Antiqua" w:cs="Times New Roman"/>
          <w:noProof w:val="0"/>
          <w:sz w:val="26"/>
          <w:szCs w:val="26"/>
        </w:rPr>
        <w:t>4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% du volume de l’emploi du secteur, tous les autres secteurs ont vu leur volume d’emploi diminuer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:</w:t>
      </w:r>
    </w:p>
    <w:p w:rsidR="00090934" w:rsidRPr="00DC4FEE" w:rsidRDefault="003C2899" w:rsidP="009571E7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>14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 xml:space="preserve">.000 postes </w:t>
      </w:r>
      <w:r w:rsidR="009571E7">
        <w:rPr>
          <w:rFonts w:ascii="Book Antiqua" w:hAnsi="Book Antiqua" w:cs="Times New Roman"/>
          <w:noProof w:val="0"/>
          <w:sz w:val="26"/>
          <w:szCs w:val="26"/>
        </w:rPr>
        <w:t xml:space="preserve">en moins 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dans le secteur de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s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"services" 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(-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1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,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8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 xml:space="preserve">% du volume de l’emploi du secteur); </w:t>
      </w:r>
    </w:p>
    <w:p w:rsidR="003C2899" w:rsidRPr="00DC4FEE" w:rsidRDefault="003C2899" w:rsidP="009571E7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 xml:space="preserve">10.000 dans celui de l’"industrie y compris l'artisanat" (-4,5%). </w:t>
      </w:r>
    </w:p>
    <w:p w:rsidR="00090934" w:rsidRPr="00DC4FEE" w:rsidRDefault="003C2899" w:rsidP="002A3476">
      <w:pPr>
        <w:numPr>
          <w:ilvl w:val="0"/>
          <w:numId w:val="6"/>
        </w:numPr>
        <w:autoSpaceDE w:val="0"/>
        <w:autoSpaceDN w:val="0"/>
        <w:bidi w:val="0"/>
        <w:adjustRightInd w:val="0"/>
        <w:spacing w:line="276" w:lineRule="auto"/>
        <w:rPr>
          <w:rFonts w:ascii="Book Antiqua" w:hAnsi="Book Antiqua" w:cs="Times New Roman"/>
          <w:noProof w:val="0"/>
          <w:sz w:val="26"/>
          <w:szCs w:val="26"/>
        </w:rPr>
      </w:pPr>
      <w:r w:rsidRPr="00DC4FEE">
        <w:rPr>
          <w:rFonts w:ascii="Book Antiqua" w:hAnsi="Book Antiqua" w:cs="Times New Roman"/>
          <w:noProof w:val="0"/>
          <w:sz w:val="26"/>
          <w:szCs w:val="26"/>
        </w:rPr>
        <w:t>7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 xml:space="preserve">.000 dans </w:t>
      </w:r>
      <w:r w:rsidR="002A3476">
        <w:rPr>
          <w:rFonts w:ascii="Book Antiqua" w:hAnsi="Book Antiqua" w:cs="Times New Roman"/>
          <w:noProof w:val="0"/>
          <w:sz w:val="26"/>
          <w:szCs w:val="26"/>
        </w:rPr>
        <w:t xml:space="preserve">le secteur 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des BTP (-</w:t>
      </w:r>
      <w:r w:rsidRPr="00DC4FEE">
        <w:rPr>
          <w:rFonts w:ascii="Book Antiqua" w:hAnsi="Book Antiqua" w:cs="Times New Roman"/>
          <w:noProof w:val="0"/>
          <w:sz w:val="26"/>
          <w:szCs w:val="26"/>
        </w:rPr>
        <w:t>1</w:t>
      </w:r>
      <w:r w:rsidR="00090934" w:rsidRPr="00DC4FEE">
        <w:rPr>
          <w:rFonts w:ascii="Book Antiqua" w:hAnsi="Book Antiqua" w:cs="Times New Roman"/>
          <w:noProof w:val="0"/>
          <w:sz w:val="26"/>
          <w:szCs w:val="26"/>
        </w:rPr>
        <w:t>,6%);</w:t>
      </w:r>
    </w:p>
    <w:p w:rsidR="00370F71" w:rsidRDefault="00370F71" w:rsidP="00C21E2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81B61" w:rsidRPr="00CA7892" w:rsidRDefault="00C21E24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370F71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Quelques indications </w:t>
      </w:r>
      <w:r w:rsidR="00381B61" w:rsidRPr="00370F71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sur la qualité de l’emploi</w:t>
      </w:r>
      <w:r w:rsidR="00381B61"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381B61" w:rsidRDefault="00381B61" w:rsidP="00BF4FB3">
      <w:pPr>
        <w:shd w:val="clear" w:color="auto" w:fill="FFFFFF"/>
        <w:spacing w:before="120"/>
        <w:ind w:left="-93" w:hanging="93"/>
        <w:jc w:val="right"/>
        <w:rPr>
          <w:rFonts w:cs="Times New Roman"/>
          <w:color w:val="333333"/>
          <w:sz w:val="26"/>
          <w:szCs w:val="26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</w:rPr>
        <w:t xml:space="preserve">Il </w:t>
      </w:r>
      <w:r w:rsidRPr="00783D65">
        <w:rPr>
          <w:rFonts w:ascii="Book Antiqua" w:hAnsi="Book Antiqua" w:cs="Times New Roman"/>
          <w:noProof w:val="0"/>
          <w:sz w:val="26"/>
          <w:szCs w:val="26"/>
        </w:rPr>
        <w:t>ressort de l’analyse des principales caractéristiques de la population active occupée que</w:t>
      </w:r>
      <w:r w:rsidRPr="00783D65">
        <w:rPr>
          <w:rFonts w:ascii="Book Antiqua" w:hAnsi="Book Antiqua" w:cs="Times New Roman"/>
          <w:color w:val="000000"/>
          <w:sz w:val="26"/>
          <w:szCs w:val="26"/>
        </w:rPr>
        <w:t>:</w:t>
      </w:r>
      <w:r w:rsidRPr="00783D65">
        <w:rPr>
          <w:rFonts w:cs="Times New Roman"/>
          <w:color w:val="333333"/>
          <w:sz w:val="26"/>
          <w:szCs w:val="26"/>
        </w:rPr>
        <w:t>  </w:t>
      </w:r>
    </w:p>
    <w:p w:rsidR="00370F71" w:rsidRPr="00370F71" w:rsidRDefault="00370F71" w:rsidP="00BF4FB3">
      <w:pPr>
        <w:shd w:val="clear" w:color="auto" w:fill="FFFFFF"/>
        <w:spacing w:before="120"/>
        <w:ind w:left="-93" w:hanging="93"/>
        <w:jc w:val="right"/>
        <w:rPr>
          <w:rFonts w:ascii="Book Antiqua" w:hAnsi="Book Antiqua" w:cs="Times New Roman"/>
          <w:noProof w:val="0"/>
          <w:sz w:val="12"/>
          <w:szCs w:val="12"/>
        </w:rPr>
      </w:pPr>
    </w:p>
    <w:p w:rsidR="00381B61" w:rsidRDefault="00381B61" w:rsidP="00816005">
      <w:pPr>
        <w:pStyle w:val="Paragraphedeliste"/>
        <w:numPr>
          <w:ilvl w:val="0"/>
          <w:numId w:val="12"/>
        </w:numPr>
        <w:shd w:val="clear" w:color="auto" w:fill="FFFFFF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1,8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actifs  occupés sont sans diplôme, 2</w:t>
      </w:r>
      <w:r w:rsidR="00D758AC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ont un diplôme de niveau moyen</w:t>
      </w:r>
      <w:r w:rsidRPr="00783D6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1"/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1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un diplôme de niveau supérieur</w:t>
      </w:r>
      <w:r w:rsidRPr="00783D65">
        <w:rPr>
          <w:rStyle w:val="Appelnotedebasdep"/>
          <w:rFonts w:ascii="Book Antiqua" w:hAnsi="Book Antiqua" w:cs="Times New Roman"/>
          <w:b/>
          <w:bCs/>
          <w:color w:val="000000"/>
          <w:sz w:val="26"/>
          <w:szCs w:val="26"/>
          <w:lang w:val="fr-FR" w:eastAsia="fr-FR"/>
        </w:rPr>
        <w:footnoteReference w:id="2"/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. Selon le secteur d’activité, la part des actifs  occupés n’ayant aucun diplôme </w:t>
      </w:r>
      <w:r w:rsidR="0081600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est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de 4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</w:t>
      </w:r>
      <w:r w:rsidR="0081600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, 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49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l'industrie, 6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6,4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dans les BTP </w:t>
      </w:r>
      <w:r w:rsidR="0081600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et de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84,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l'</w:t>
      </w:r>
      <w:r w:rsidRPr="00783D6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agriculture, forêt et pêche</w:t>
      </w:r>
      <w:r w:rsidR="00474B68" w:rsidRPr="00783D6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;</w:t>
      </w:r>
    </w:p>
    <w:p w:rsidR="00370F71" w:rsidRPr="00370F71" w:rsidRDefault="00370F71" w:rsidP="00370F71">
      <w:pPr>
        <w:pStyle w:val="Paragraphedeliste"/>
        <w:shd w:val="clear" w:color="auto" w:fill="FFFFFF"/>
        <w:jc w:val="both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EA124A" w:rsidRDefault="00381B61" w:rsidP="00841ED2">
      <w:pPr>
        <w:pStyle w:val="Paragraphedeliste"/>
        <w:numPr>
          <w:ilvl w:val="0"/>
          <w:numId w:val="12"/>
        </w:numPr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le taux de participation des femmes à l</w:t>
      </w:r>
      <w:r w:rsidR="000B401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’emploi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est de </w:t>
      </w:r>
      <w:r w:rsidRPr="00841ED2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="00841ED2" w:rsidRPr="00841ED2">
        <w:rPr>
          <w:rFonts w:ascii="Book Antiqua" w:hAnsi="Book Antiqua" w:cs="Times New Roman"/>
          <w:sz w:val="26"/>
          <w:szCs w:val="26"/>
          <w:lang w:val="fr-FR" w:eastAsia="fr-FR"/>
        </w:rPr>
        <w:t>1,3</w:t>
      </w:r>
      <w:r w:rsidRPr="00841ED2">
        <w:rPr>
          <w:rFonts w:ascii="Book Antiqua" w:hAnsi="Book Antiqua" w:cs="Times New Roman"/>
          <w:sz w:val="26"/>
          <w:szCs w:val="26"/>
          <w:lang w:val="fr-FR" w:eastAsia="fr-FR"/>
        </w:rPr>
        <w:t>% au niveau national, 1</w:t>
      </w:r>
      <w:r w:rsidR="00841ED2" w:rsidRPr="00841ED2">
        <w:rPr>
          <w:rFonts w:ascii="Book Antiqua" w:hAnsi="Book Antiqua" w:cs="Times New Roman"/>
          <w:sz w:val="26"/>
          <w:szCs w:val="26"/>
          <w:lang w:val="fr-FR" w:eastAsia="fr-FR"/>
        </w:rPr>
        <w:t>3,8</w:t>
      </w:r>
      <w:r w:rsidRPr="00841ED2">
        <w:rPr>
          <w:rFonts w:ascii="Book Antiqua" w:hAnsi="Book Antiqua" w:cs="Times New Roman"/>
          <w:sz w:val="26"/>
          <w:szCs w:val="26"/>
          <w:lang w:val="fr-FR" w:eastAsia="fr-FR"/>
        </w:rPr>
        <w:t>% en milieu urbain et 3</w:t>
      </w:r>
      <w:r w:rsidR="00841ED2" w:rsidRPr="00841ED2">
        <w:rPr>
          <w:rFonts w:ascii="Book Antiqua" w:hAnsi="Book Antiqua" w:cs="Times New Roman"/>
          <w:sz w:val="26"/>
          <w:szCs w:val="26"/>
          <w:lang w:val="fr-FR" w:eastAsia="fr-FR"/>
        </w:rPr>
        <w:t>3,2</w:t>
      </w:r>
      <w:r w:rsidRPr="00841ED2">
        <w:rPr>
          <w:rFonts w:ascii="Book Antiqua" w:hAnsi="Book Antiqua" w:cs="Times New Roman"/>
          <w:sz w:val="26"/>
          <w:szCs w:val="26"/>
          <w:lang w:val="fr-FR" w:eastAsia="fr-FR"/>
        </w:rPr>
        <w:t>% en milieu rural ; </w:t>
      </w:r>
      <w:r w:rsidR="00EA124A" w:rsidRPr="00841ED2">
        <w:rPr>
          <w:rFonts w:ascii="Book Antiqua" w:hAnsi="Book Antiqua" w:cs="Times New Roman"/>
          <w:sz w:val="26"/>
          <w:szCs w:val="26"/>
          <w:lang w:val="fr-FR" w:eastAsia="fr-FR"/>
        </w:rPr>
        <w:t xml:space="preserve"> </w:t>
      </w:r>
    </w:p>
    <w:p w:rsidR="002550EB" w:rsidRDefault="002550EB" w:rsidP="002550EB">
      <w:pPr>
        <w:pStyle w:val="Paragraphedeliste"/>
        <w:rPr>
          <w:rFonts w:ascii="Book Antiqua" w:hAnsi="Book Antiqua" w:cs="Times New Roman"/>
          <w:sz w:val="26"/>
          <w:szCs w:val="26"/>
          <w:lang w:val="fr-FR" w:eastAsia="fr-FR"/>
        </w:rPr>
      </w:pPr>
    </w:p>
    <w:p w:rsidR="002550EB" w:rsidRPr="00841ED2" w:rsidRDefault="002550EB" w:rsidP="002550EB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</w:p>
    <w:p w:rsidR="00370F71" w:rsidRPr="00052B08" w:rsidRDefault="00370F71" w:rsidP="00370F71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381B61" w:rsidRPr="00783D65" w:rsidRDefault="00783D65" w:rsidP="00C575B2">
      <w:pPr>
        <w:pStyle w:val="Paragraphedeliste"/>
        <w:numPr>
          <w:ilvl w:val="0"/>
          <w:numId w:val="13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9,9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des actifs occupés sont sous-employés avec </w:t>
      </w:r>
      <w:r w:rsidR="00C575B2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quelques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disparités entre </w:t>
      </w:r>
      <w:r w:rsidR="00A063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les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secteurs d'activité:</w:t>
      </w:r>
    </w:p>
    <w:p w:rsidR="00381B61" w:rsidRPr="00783D65" w:rsidRDefault="00381B61" w:rsidP="00A0638C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="00783D6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6,6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</w:t>
      </w:r>
      <w:r w:rsidR="00A063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  <w:r w:rsidR="00A0638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bâtiments et travaux publics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 ;</w:t>
      </w:r>
    </w:p>
    <w:p w:rsidR="00381B61" w:rsidRPr="00783D65" w:rsidRDefault="00381B61" w:rsidP="00783D65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10% au niveau de l'agriculture, forêt et pêche;</w:t>
      </w:r>
    </w:p>
    <w:p w:rsidR="00381B61" w:rsidRPr="00783D65" w:rsidRDefault="00381B61" w:rsidP="00783D65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9,</w:t>
      </w:r>
      <w:r w:rsid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dans les services;</w:t>
      </w:r>
    </w:p>
    <w:p w:rsidR="00381B61" w:rsidRDefault="00783D65" w:rsidP="00370F71">
      <w:pPr>
        <w:pStyle w:val="Paragraphedeliste"/>
        <w:numPr>
          <w:ilvl w:val="0"/>
          <w:numId w:val="11"/>
        </w:numPr>
        <w:shd w:val="clear" w:color="auto" w:fill="FFFFFF"/>
        <w:spacing w:before="240"/>
        <w:ind w:left="1418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7,5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au niveau du secteur de l'industrie</w:t>
      </w:r>
      <w:r w:rsidR="00012209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y compris l’artisanat</w:t>
      </w:r>
      <w:r w:rsidR="00370F71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 ;</w:t>
      </w:r>
    </w:p>
    <w:p w:rsidR="00370F71" w:rsidRPr="00370F71" w:rsidRDefault="00370F71" w:rsidP="00370F71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381B61" w:rsidRDefault="00381B61" w:rsidP="00C30D44">
      <w:pPr>
        <w:pStyle w:val="Paragraphedeliste"/>
        <w:numPr>
          <w:ilvl w:val="0"/>
          <w:numId w:val="14"/>
        </w:numPr>
        <w:shd w:val="clear" w:color="auto" w:fill="FFFFFF"/>
        <w:spacing w:before="240"/>
        <w:jc w:val="both"/>
        <w:rPr>
          <w:rFonts w:ascii="Times New Roman" w:hAnsi="Times New Roman" w:cs="Times New Roman"/>
          <w:color w:val="333333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près de </w:t>
      </w:r>
      <w:r w:rsidR="005642FA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deux </w:t>
      </w:r>
      <w:r w:rsidR="00C30D4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emplois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salariés sur </w:t>
      </w:r>
      <w:r w:rsidR="005642FA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trois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(62,</w:t>
      </w:r>
      <w:r w:rsidR="00805FA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%) </w:t>
      </w:r>
      <w:r w:rsidR="00C30D44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sont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sans contrat de travail, notamment dans le secteur de l'</w:t>
      </w:r>
      <w:r w:rsidRPr="00783D6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agriculture, forêt et pêche</w:t>
      </w:r>
      <w:r w:rsidRPr="00783D65">
        <w:rPr>
          <w:rFonts w:ascii="Book Antiqua" w:hAnsi="Book Antiqua" w:cs="Times New Roman"/>
          <w:sz w:val="26"/>
          <w:szCs w:val="26"/>
          <w:lang w:val="fr-FR"/>
        </w:rPr>
        <w:t>"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où cette proportion atteint 9</w:t>
      </w:r>
      <w:r w:rsidR="00805FAC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0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;</w:t>
      </w:r>
      <w:r w:rsidRPr="00783D65">
        <w:rPr>
          <w:rFonts w:ascii="Times New Roman" w:hAnsi="Times New Roman" w:cs="Times New Roman"/>
          <w:color w:val="333333"/>
          <w:sz w:val="26"/>
          <w:szCs w:val="26"/>
          <w:lang w:val="fr-FR" w:eastAsia="fr-FR"/>
        </w:rPr>
        <w:t>  </w:t>
      </w:r>
    </w:p>
    <w:p w:rsidR="00370F71" w:rsidRPr="00370F71" w:rsidRDefault="00370F71" w:rsidP="00370F71">
      <w:pPr>
        <w:pStyle w:val="Paragraphedeliste"/>
        <w:shd w:val="clear" w:color="auto" w:fill="FFFFFF"/>
        <w:spacing w:before="240"/>
        <w:jc w:val="both"/>
        <w:rPr>
          <w:rFonts w:ascii="Times New Roman" w:hAnsi="Times New Roman" w:cs="Times New Roman"/>
          <w:color w:val="333333"/>
          <w:sz w:val="12"/>
          <w:szCs w:val="12"/>
          <w:lang w:val="fr-FR" w:eastAsia="fr-FR"/>
        </w:rPr>
      </w:pPr>
    </w:p>
    <w:p w:rsidR="00381B61" w:rsidRDefault="00381B61" w:rsidP="001775DE">
      <w:pPr>
        <w:pStyle w:val="Paragraphedeliste"/>
        <w:numPr>
          <w:ilvl w:val="0"/>
          <w:numId w:val="14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l'emploi non rémunéré représente 2</w:t>
      </w:r>
      <w:r w:rsidR="001775D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0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1775D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de l'emploi au niveau national et </w:t>
      </w:r>
      <w:r w:rsidR="001775D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38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; </w:t>
      </w:r>
    </w:p>
    <w:p w:rsidR="00370F71" w:rsidRPr="00370F71" w:rsidRDefault="00370F71" w:rsidP="00370F71">
      <w:pPr>
        <w:pStyle w:val="Paragraphedeliste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381B61" w:rsidRPr="00783D65" w:rsidRDefault="00E37522" w:rsidP="00E37522">
      <w:pPr>
        <w:pStyle w:val="Paragraphedeliste"/>
        <w:numPr>
          <w:ilvl w:val="0"/>
          <w:numId w:val="16"/>
        </w:numPr>
        <w:shd w:val="clear" w:color="auto" w:fill="FFFFFF"/>
        <w:spacing w:before="240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  <w:lang w:val="fr-FR" w:eastAsia="fr-FR"/>
        </w:rPr>
      </w:pPr>
      <w:r w:rsidRPr="00783D65">
        <w:rPr>
          <w:rFonts w:ascii="Book Antiqua" w:hAnsi="Book Antiqua" w:cs="Times New Roman"/>
          <w:sz w:val="26"/>
          <w:szCs w:val="26"/>
          <w:lang w:val="fr-FR" w:eastAsia="fr-FR"/>
        </w:rPr>
        <w:t>8,</w:t>
      </w:r>
      <w:r>
        <w:rPr>
          <w:rFonts w:ascii="Book Antiqua" w:hAnsi="Book Antiqua" w:cs="Times New Roman"/>
          <w:sz w:val="26"/>
          <w:szCs w:val="26"/>
          <w:lang w:val="fr-FR" w:eastAsia="fr-FR"/>
        </w:rPr>
        <w:t>1</w:t>
      </w:r>
      <w:r w:rsidRPr="00783D65">
        <w:rPr>
          <w:rFonts w:ascii="Book Antiqua" w:hAnsi="Book Antiqua" w:cs="Times New Roman"/>
          <w:sz w:val="26"/>
          <w:szCs w:val="26"/>
          <w:lang w:val="fr-FR" w:eastAsia="fr-FR"/>
        </w:rPr>
        <w:t xml:space="preserve">% </w:t>
      </w:r>
      <w:r>
        <w:rPr>
          <w:rFonts w:ascii="Book Antiqua" w:hAnsi="Book Antiqua" w:cs="Times New Roman"/>
          <w:sz w:val="26"/>
          <w:szCs w:val="26"/>
          <w:lang w:val="fr-FR" w:eastAsia="fr-FR"/>
        </w:rPr>
        <w:t xml:space="preserve">des actifs occupés sont soit 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occasionnel</w:t>
      </w:r>
      <w:r>
        <w:rPr>
          <w:rFonts w:ascii="Book Antiqua" w:hAnsi="Book Antiqua" w:cs="Times New Roman"/>
          <w:sz w:val="26"/>
          <w:szCs w:val="26"/>
          <w:lang w:val="fr-FR" w:eastAsia="fr-FR"/>
        </w:rPr>
        <w:t>s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soit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saisonnier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s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;</w:t>
      </w:r>
    </w:p>
    <w:p w:rsidR="00381B61" w:rsidRPr="00370F71" w:rsidRDefault="00381B61" w:rsidP="00381B61">
      <w:pPr>
        <w:pStyle w:val="Paragraphedeliste"/>
        <w:shd w:val="clear" w:color="auto" w:fill="FFFFFF"/>
        <w:spacing w:before="240"/>
        <w:jc w:val="both"/>
        <w:rPr>
          <w:rFonts w:ascii="Times New Roman" w:hAnsi="Times New Roman" w:cs="Times New Roman"/>
          <w:color w:val="FF0000"/>
          <w:sz w:val="12"/>
          <w:szCs w:val="12"/>
          <w:u w:val="single"/>
          <w:lang w:val="fr-FR" w:eastAsia="fr-FR"/>
        </w:rPr>
      </w:pPr>
    </w:p>
    <w:p w:rsidR="00381B61" w:rsidRPr="00783D65" w:rsidRDefault="00381B61" w:rsidP="00C13E1A">
      <w:pPr>
        <w:pStyle w:val="Paragraphedeliste"/>
        <w:numPr>
          <w:ilvl w:val="0"/>
          <w:numId w:val="17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près de huit actifs occupés sur dix (7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,5%) ne disposent pas de couverture </w:t>
      </w:r>
      <w:r w:rsidR="00C13E1A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médicale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 9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 et 64,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urbain. Parmi les salariés, cette proportion est de </w:t>
      </w:r>
      <w:r w:rsidR="00293100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58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au niveau national, 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79</w:t>
      </w:r>
      <w:r w:rsidR="00293100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rural</w:t>
      </w:r>
      <w:r w:rsidR="00AA512A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et </w:t>
      </w:r>
      <w:r w:rsidR="00293100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49</w:t>
      </w:r>
      <w:r w:rsidR="00AA512A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5F70F7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="00AA512A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;</w:t>
      </w:r>
    </w:p>
    <w:p w:rsidR="00381B61" w:rsidRPr="00370F71" w:rsidRDefault="00381B61" w:rsidP="00381B61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381B61" w:rsidRPr="00783D65" w:rsidRDefault="00431406" w:rsidP="00886D96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p</w:t>
      </w:r>
      <w:r w:rsidR="00381B61" w:rsidRP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rès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du quart (2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%) des actifs occupés et </w:t>
      </w:r>
      <w:r w:rsidR="005B2835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dans le secteur des BTP expriment le désir de changer </w:t>
      </w:r>
      <w:r w:rsidR="00886D96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d’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emploi. 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Les raisons évoquées portent principalement sur la rémunération pour 7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0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5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 xml:space="preserve">%, </w:t>
      </w:r>
      <w:r w:rsidR="00886D96">
        <w:rPr>
          <w:rFonts w:ascii="Book Antiqua" w:hAnsi="Book Antiqua" w:cs="Times New Roman"/>
          <w:sz w:val="26"/>
          <w:szCs w:val="26"/>
          <w:lang w:val="fr-FR" w:eastAsia="fr-FR"/>
        </w:rPr>
        <w:t xml:space="preserve">les 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 xml:space="preserve">conditions de travail  pour 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10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,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2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 xml:space="preserve">%, </w:t>
      </w:r>
      <w:r w:rsidR="00886D96">
        <w:rPr>
          <w:rFonts w:ascii="Book Antiqua" w:hAnsi="Book Antiqua" w:cs="Times New Roman"/>
          <w:sz w:val="26"/>
          <w:szCs w:val="26"/>
          <w:lang w:val="fr-FR" w:eastAsia="fr-FR"/>
        </w:rPr>
        <w:t xml:space="preserve">la 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stab</w:t>
      </w:r>
      <w:r w:rsidR="00886D96">
        <w:rPr>
          <w:rFonts w:ascii="Book Antiqua" w:hAnsi="Book Antiqua" w:cs="Times New Roman"/>
          <w:sz w:val="26"/>
          <w:szCs w:val="26"/>
          <w:lang w:val="fr-FR" w:eastAsia="fr-FR"/>
        </w:rPr>
        <w:t xml:space="preserve">ilité 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pour 9,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1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% et un emploi plus adéquat à la formation reçue pour 4,</w:t>
      </w:r>
      <w:r w:rsidR="004E330E">
        <w:rPr>
          <w:rFonts w:ascii="Book Antiqua" w:hAnsi="Book Antiqua" w:cs="Times New Roman"/>
          <w:sz w:val="26"/>
          <w:szCs w:val="26"/>
          <w:lang w:val="fr-FR" w:eastAsia="fr-FR"/>
        </w:rPr>
        <w:t>5</w:t>
      </w:r>
      <w:r w:rsidR="00381B61" w:rsidRPr="00783D65">
        <w:rPr>
          <w:rFonts w:ascii="Book Antiqua" w:hAnsi="Book Antiqua" w:cs="Times New Roman"/>
          <w:sz w:val="26"/>
          <w:szCs w:val="26"/>
          <w:lang w:val="fr-FR" w:eastAsia="fr-FR"/>
        </w:rPr>
        <w:t>% ;</w:t>
      </w:r>
      <w:r w:rsidR="00381B61" w:rsidRPr="00783D65">
        <w:rPr>
          <w:rFonts w:ascii="Times New Roman" w:hAnsi="Times New Roman" w:cs="Times New Roman"/>
          <w:sz w:val="26"/>
          <w:szCs w:val="26"/>
          <w:lang w:val="fr-FR" w:eastAsia="fr-FR"/>
        </w:rPr>
        <w:t> </w:t>
      </w:r>
    </w:p>
    <w:p w:rsidR="00381B61" w:rsidRPr="00370F71" w:rsidRDefault="00381B61" w:rsidP="00381B61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sz w:val="12"/>
          <w:szCs w:val="12"/>
          <w:lang w:val="fr-FR" w:eastAsia="fr-FR"/>
        </w:rPr>
      </w:pPr>
    </w:p>
    <w:p w:rsidR="00381B61" w:rsidRPr="00783D65" w:rsidRDefault="00381B61" w:rsidP="00E601FA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1,</w:t>
      </w:r>
      <w:r w:rsidR="00E601FA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7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des salariés au niveau national et 2,</w:t>
      </w:r>
      <w:r w:rsidR="00E601FA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2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déclarent avoir bénéficié d’une formation</w:t>
      </w:r>
      <w:r w:rsidR="005342C2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 prise en charge par l’employeur,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 au cours des 12 derniers mois ;</w:t>
      </w:r>
    </w:p>
    <w:p w:rsidR="00381B61" w:rsidRPr="00370F71" w:rsidRDefault="00381B61" w:rsidP="00381B61">
      <w:pPr>
        <w:pStyle w:val="Paragraphedeliste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381B61" w:rsidRPr="00783D65" w:rsidRDefault="004146F6" w:rsidP="00C575B2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</w:pP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50%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des actifs occupés </w:t>
      </w:r>
      <w:r w:rsidR="00C575B2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réussissent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à concilier entre leur vie privée et leur vie professionnelle, </w:t>
      </w:r>
      <w:r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30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avec difficultés, 1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avec beaucoup de difficultés et 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4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n’y arrivent pas malgré tous les efforts déployés ;</w:t>
      </w:r>
    </w:p>
    <w:p w:rsidR="00381B61" w:rsidRPr="00370F71" w:rsidRDefault="00381B61" w:rsidP="00381B61">
      <w:pPr>
        <w:pStyle w:val="Paragraphedeliste"/>
        <w:rPr>
          <w:rFonts w:ascii="Book Antiqua" w:hAnsi="Book Antiqua" w:cs="Times New Roman"/>
          <w:color w:val="000000"/>
          <w:sz w:val="12"/>
          <w:szCs w:val="12"/>
          <w:lang w:val="fr-FR" w:eastAsia="fr-FR"/>
        </w:rPr>
      </w:pPr>
    </w:p>
    <w:p w:rsidR="00AE077C" w:rsidRPr="00A12D94" w:rsidRDefault="00431406" w:rsidP="00431406">
      <w:pPr>
        <w:pStyle w:val="Paragraphedeliste"/>
        <w:numPr>
          <w:ilvl w:val="0"/>
          <w:numId w:val="18"/>
        </w:numPr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près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3% des actifs occupés sont affiliés à </w:t>
      </w:r>
      <w:r w:rsidR="00D42D5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une 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organisation syndicale ou professionnelle, </w:t>
      </w:r>
      <w:r w:rsidR="00AD37BE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5</w:t>
      </w:r>
      <w:r w:rsidR="004E330E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,6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en milieu urbain et moins de 1% en milieu rural. Parmi les salariés, cette proportion atteint </w:t>
      </w:r>
      <w:r w:rsidR="00AD37BE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près </w:t>
      </w:r>
      <w:r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de </w:t>
      </w:r>
      <w:r w:rsidR="00AD37BE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6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 xml:space="preserve">% au niveau national, </w:t>
      </w:r>
      <w:r w:rsidR="00E601FA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8</w:t>
      </w:r>
      <w:r w:rsidR="00381B61" w:rsidRPr="00783D65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% en milieu urbain et moins de 2% en milieu rural</w:t>
      </w:r>
      <w:r w:rsidR="00370F71">
        <w:rPr>
          <w:rFonts w:ascii="Book Antiqua" w:hAnsi="Book Antiqua" w:cs="Times New Roman"/>
          <w:color w:val="000000"/>
          <w:sz w:val="26"/>
          <w:szCs w:val="26"/>
          <w:lang w:val="fr-FR" w:eastAsia="fr-FR"/>
        </w:rPr>
        <w:t>.</w:t>
      </w:r>
    </w:p>
    <w:p w:rsidR="00A12D94" w:rsidRDefault="00A12D94" w:rsidP="00A12D94">
      <w:pPr>
        <w:pStyle w:val="Paragraphedeliste"/>
        <w:rPr>
          <w:rFonts w:ascii="Book Antiqua" w:hAnsi="Book Antiqua" w:cs="Times New Roman"/>
          <w:sz w:val="26"/>
          <w:szCs w:val="26"/>
          <w:lang w:val="fr-FR" w:eastAsia="fr-FR"/>
        </w:rPr>
      </w:pPr>
    </w:p>
    <w:p w:rsidR="00A12D94" w:rsidRDefault="00A12D94" w:rsidP="00A12D94">
      <w:pPr>
        <w:pStyle w:val="Paragraphedeliste"/>
        <w:shd w:val="clear" w:color="auto" w:fill="FFFFFF"/>
        <w:spacing w:before="240"/>
        <w:jc w:val="both"/>
        <w:rPr>
          <w:rFonts w:ascii="Book Antiqua" w:hAnsi="Book Antiqua" w:cs="Times New Roman"/>
          <w:sz w:val="26"/>
          <w:szCs w:val="26"/>
          <w:lang w:val="fr-FR" w:eastAsia="fr-FR"/>
        </w:rPr>
      </w:pPr>
    </w:p>
    <w:p w:rsidR="007F7C47" w:rsidRDefault="009B7BDC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Situation, évolution et principales caractéristiques du chômage</w:t>
      </w:r>
    </w:p>
    <w:p w:rsidR="009B7BDC" w:rsidRPr="005E24F2" w:rsidRDefault="009B7BDC" w:rsidP="007F7C47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</w:t>
      </w:r>
    </w:p>
    <w:p w:rsidR="009B7BDC" w:rsidRPr="00D95E34" w:rsidRDefault="003D37FE" w:rsidP="003D37FE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Avec une baisse de 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>34.000 chômeurs, 12.000 en milieu urbain et 22.000 en milieu rural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a population active en chômage </w:t>
      </w:r>
      <w:r>
        <w:rPr>
          <w:rFonts w:ascii="Book Antiqua" w:hAnsi="Book Antiqua" w:cs="Times New Roman"/>
          <w:noProof w:val="0"/>
          <w:sz w:val="26"/>
          <w:szCs w:val="26"/>
        </w:rPr>
        <w:t>est passée</w:t>
      </w:r>
      <w:r w:rsidRPr="003D37FE">
        <w:rPr>
          <w:rFonts w:ascii="Book Antiqua" w:hAnsi="Book Antiqua" w:cs="Times New Roman"/>
          <w:noProof w:val="0"/>
          <w:sz w:val="26"/>
          <w:szCs w:val="26"/>
        </w:rPr>
        <w:t>, entre le premier trimestre de l’année 2014 et celui de 2015, de 1.191.000 à 1.157.000 chômeurs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enregistrant une baisse de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2,9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9B7BDC" w:rsidRPr="00D95E34">
        <w:rPr>
          <w:rFonts w:ascii="Book Antiqua" w:hAnsi="Book Antiqua" w:cs="Times New Roman"/>
          <w:noProof w:val="0"/>
          <w:color w:val="0000FF"/>
          <w:sz w:val="26"/>
          <w:szCs w:val="26"/>
        </w:rPr>
        <w:t xml:space="preserve">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au niveau national. 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e taux de chômage est 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passé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>, entre les deux périodes,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10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 à 9,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</w:t>
      </w:r>
      <w:r w:rsidR="007277B9" w:rsidRPr="00D95E34">
        <w:rPr>
          <w:rFonts w:ascii="Book Antiqua" w:hAnsi="Book Antiqua" w:cs="Times New Roman"/>
          <w:noProof w:val="0"/>
          <w:sz w:val="26"/>
          <w:szCs w:val="26"/>
        </w:rPr>
        <w:t xml:space="preserve"> au niveau national, 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de 1</w:t>
      </w:r>
      <w:r w:rsidR="00FD363F" w:rsidRPr="00D95E34">
        <w:rPr>
          <w:rFonts w:ascii="Book Antiqua" w:hAnsi="Book Antiqua" w:cs="Times New Roman"/>
          <w:noProof w:val="0"/>
          <w:sz w:val="26"/>
          <w:szCs w:val="26"/>
        </w:rPr>
        <w:t>4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,6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 à 14,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en milieu urbain et de 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FD363F" w:rsidRPr="00D95E34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F317A4" w:rsidRPr="00D95E34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D95E34">
        <w:rPr>
          <w:rFonts w:ascii="Book Antiqua" w:hAnsi="Book Antiqua" w:cs="Times New Roman"/>
          <w:noProof w:val="0"/>
          <w:sz w:val="26"/>
          <w:szCs w:val="26"/>
        </w:rPr>
        <w:t>% en milieu  rural.</w:t>
      </w:r>
    </w:p>
    <w:p w:rsidR="009B7BDC" w:rsidRDefault="009B7BDC" w:rsidP="007456F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baisses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 les plus importantes du taux de chômage ont été relevées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D95E34">
        <w:rPr>
          <w:rFonts w:ascii="Book Antiqua" w:hAnsi="Book Antiqua" w:cs="Times New Roman"/>
          <w:noProof w:val="0"/>
          <w:sz w:val="26"/>
          <w:szCs w:val="26"/>
        </w:rPr>
        <w:t xml:space="preserve">parmi les </w:t>
      </w:r>
      <w:r w:rsidR="00305CAE" w:rsidRPr="00D95E34">
        <w:rPr>
          <w:rFonts w:ascii="Book Antiqua" w:hAnsi="Book Antiqua" w:cs="Times New Roman"/>
          <w:noProof w:val="0"/>
          <w:sz w:val="26"/>
          <w:szCs w:val="26"/>
        </w:rPr>
        <w:t>adultes âgés de 35 à 44 ans (-1 point)</w:t>
      </w:r>
      <w:r w:rsidR="007456F0" w:rsidRPr="00D95E34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305CAE" w:rsidRPr="00D95E34">
        <w:rPr>
          <w:rFonts w:ascii="Book Antiqua" w:hAnsi="Book Antiqua" w:cs="Times New Roman"/>
          <w:noProof w:val="0"/>
          <w:sz w:val="26"/>
          <w:szCs w:val="26"/>
        </w:rPr>
        <w:t xml:space="preserve">les 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personnes n’ayant aucun diplôme</w:t>
      </w:r>
      <w:r w:rsidR="007456F0" w:rsidRPr="00D95E3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(</w:t>
      </w:r>
      <w:r w:rsidR="00A97464" w:rsidRPr="00D95E34">
        <w:rPr>
          <w:rFonts w:ascii="Book Antiqua" w:hAnsi="Book Antiqua" w:cs="Times New Roman"/>
          <w:noProof w:val="0"/>
          <w:sz w:val="26"/>
          <w:szCs w:val="26"/>
        </w:rPr>
        <w:t>-0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>,</w:t>
      </w:r>
      <w:r w:rsidR="007456F0" w:rsidRPr="00D95E34">
        <w:rPr>
          <w:rFonts w:ascii="Book Antiqua" w:hAnsi="Book Antiqua" w:cs="Times New Roman"/>
          <w:noProof w:val="0"/>
          <w:sz w:val="26"/>
          <w:szCs w:val="26"/>
        </w:rPr>
        <w:t>5</w:t>
      </w:r>
      <w:r w:rsidR="00C052CA" w:rsidRPr="00D95E34">
        <w:rPr>
          <w:rFonts w:ascii="Book Antiqua" w:hAnsi="Book Antiqua" w:cs="Times New Roman"/>
          <w:noProof w:val="0"/>
          <w:sz w:val="26"/>
          <w:szCs w:val="26"/>
        </w:rPr>
        <w:t xml:space="preserve"> point).</w:t>
      </w:r>
    </w:p>
    <w:p w:rsidR="004F377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3"/>
          <w:szCs w:val="23"/>
        </w:rPr>
      </w:pPr>
    </w:p>
    <w:p w:rsidR="00BE3938" w:rsidRPr="005D23A6" w:rsidRDefault="00BE3938" w:rsidP="00BE3938">
      <w:pPr>
        <w:autoSpaceDE w:val="0"/>
        <w:autoSpaceDN w:val="0"/>
        <w:bidi w:val="0"/>
        <w:adjustRightInd w:val="0"/>
        <w:spacing w:after="120"/>
        <w:jc w:val="center"/>
        <w:rPr>
          <w:rFonts w:ascii="Garamond" w:hAnsi="Garamond" w:cs="Times New Roman"/>
          <w:b/>
          <w:bCs/>
          <w:noProof w:val="0"/>
          <w:sz w:val="24"/>
          <w:szCs w:val="24"/>
        </w:rPr>
      </w:pPr>
      <w:r w:rsidRPr="005D23A6">
        <w:rPr>
          <w:rFonts w:ascii="Garamond" w:hAnsi="Garamond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="001D7675" w:rsidRPr="005D23A6">
        <w:rPr>
          <w:rFonts w:ascii="Garamond" w:hAnsi="Garamond" w:cs="Times New Roman"/>
          <w:b/>
          <w:bCs/>
          <w:noProof w:val="0"/>
          <w:sz w:val="24"/>
          <w:szCs w:val="24"/>
        </w:rPr>
        <w:t>au 1</w:t>
      </w:r>
      <w:r w:rsidR="001D7675" w:rsidRPr="002D2075">
        <w:rPr>
          <w:rFonts w:ascii="Garamond" w:hAnsi="Garamond" w:cs="Times New Roman"/>
          <w:b/>
          <w:bCs/>
          <w:noProof w:val="0"/>
          <w:sz w:val="24"/>
          <w:szCs w:val="24"/>
          <w:vertAlign w:val="superscript"/>
        </w:rPr>
        <w:t xml:space="preserve">er </w:t>
      </w:r>
      <w:r w:rsidR="001D7675" w:rsidRPr="005D23A6">
        <w:rPr>
          <w:rFonts w:ascii="Garamond" w:hAnsi="Garamond" w:cs="Times New Roman"/>
          <w:b/>
          <w:bCs/>
          <w:noProof w:val="0"/>
          <w:sz w:val="24"/>
          <w:szCs w:val="24"/>
        </w:rPr>
        <w:t>trimestre</w:t>
      </w:r>
      <w:r w:rsidR="001D7675" w:rsidRPr="005D23A6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5D23A6">
        <w:rPr>
          <w:rFonts w:ascii="Garamond" w:hAnsi="Garamond" w:cs="Times New Roman"/>
          <w:b/>
          <w:bCs/>
          <w:noProof w:val="0"/>
          <w:sz w:val="24"/>
          <w:szCs w:val="24"/>
        </w:rPr>
        <w:t>par milieu de résidence (en%)</w:t>
      </w:r>
    </w:p>
    <w:p w:rsidR="009B7BDC" w:rsidRDefault="00D75679" w:rsidP="005B7D3B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156200" cy="2070100"/>
            <wp:effectExtent l="19050" t="0" r="6350" b="0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969" w:rsidRDefault="00080969" w:rsidP="00080969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BE3938" w:rsidRPr="006F3794" w:rsidRDefault="00BE3938" w:rsidP="00BE3938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C770A9" w:rsidRDefault="00C770A9" w:rsidP="000D3D51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667A70" w:rsidRDefault="000D3D51" w:rsidP="00C770A9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667A70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 xml:space="preserve">e chômage demeure </w:t>
      </w:r>
      <w:r w:rsidRPr="00667A70">
        <w:rPr>
          <w:rFonts w:ascii="Book Antiqua" w:hAnsi="Book Antiqua" w:cs="Times New Roman"/>
          <w:noProof w:val="0"/>
          <w:sz w:val="26"/>
          <w:szCs w:val="26"/>
        </w:rPr>
        <w:t xml:space="preserve">en particulier 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>élevé parmi les diplômés et les jeunes âgés de 15 à 24 ans</w:t>
      </w:r>
      <w:r w:rsidR="00ED4A11" w:rsidRPr="00667A70">
        <w:rPr>
          <w:rFonts w:ascii="Book Antiqua" w:hAnsi="Book Antiqua" w:cs="Times New Roman"/>
          <w:noProof w:val="0"/>
          <w:sz w:val="26"/>
          <w:szCs w:val="26"/>
        </w:rPr>
        <w:t>, c’est ainsi que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 xml:space="preserve"> :         </w:t>
      </w:r>
    </w:p>
    <w:p w:rsidR="00205B08" w:rsidRPr="00C770A9" w:rsidRDefault="00205B08" w:rsidP="00205B08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667A70" w:rsidRDefault="007424CD" w:rsidP="007424C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>e taux de chômage est de 4,</w:t>
      </w:r>
      <w:r w:rsidR="00614BAE" w:rsidRPr="00667A70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>%</w:t>
      </w:r>
      <w:r w:rsidR="00587F1E" w:rsidRPr="00667A70">
        <w:rPr>
          <w:rFonts w:ascii="Book Antiqua" w:hAnsi="Book Antiqua" w:cs="Times New Roman"/>
          <w:noProof w:val="0"/>
          <w:sz w:val="26"/>
          <w:szCs w:val="26"/>
        </w:rPr>
        <w:t xml:space="preserve"> parmi les personnes sans diplôme</w:t>
      </w:r>
      <w:r w:rsidR="009B7BDC" w:rsidRPr="00667A70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587F1E" w:rsidRPr="00667A70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587F1E" w:rsidRPr="00667A70">
        <w:rPr>
          <w:rFonts w:ascii="Book Antiqua" w:hAnsi="Book Antiqua" w:cs="Times New Roman"/>
          <w:sz w:val="26"/>
          <w:szCs w:val="26"/>
        </w:rPr>
        <w:t>1</w:t>
      </w:r>
      <w:r w:rsidR="00D95E34" w:rsidRPr="00667A70">
        <w:rPr>
          <w:rFonts w:ascii="Book Antiqua" w:hAnsi="Book Antiqua" w:cs="Times New Roman"/>
          <w:sz w:val="26"/>
          <w:szCs w:val="26"/>
        </w:rPr>
        <w:t>6</w:t>
      </w:r>
      <w:r w:rsidR="00587F1E" w:rsidRPr="00667A70">
        <w:rPr>
          <w:rFonts w:ascii="Book Antiqua" w:hAnsi="Book Antiqua" w:cs="Times New Roman"/>
          <w:sz w:val="26"/>
          <w:szCs w:val="26"/>
        </w:rPr>
        <w:t xml:space="preserve">% parmi 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ceux ayant un </w:t>
      </w:r>
      <w:r w:rsidR="00587F1E" w:rsidRPr="00667A70">
        <w:rPr>
          <w:rFonts w:ascii="Book Antiqua" w:hAnsi="Book Antiqua" w:cs="Times New Roman"/>
          <w:sz w:val="26"/>
          <w:szCs w:val="26"/>
        </w:rPr>
        <w:t>diplôm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e </w:t>
      </w:r>
      <w:r w:rsidR="009B7BDC" w:rsidRPr="00667A70">
        <w:rPr>
          <w:rFonts w:ascii="Book Antiqua" w:hAnsi="Book Antiqua" w:cs="Times New Roman"/>
          <w:sz w:val="26"/>
          <w:szCs w:val="26"/>
        </w:rPr>
        <w:t>de niveau moyen</w:t>
      </w:r>
      <w:r w:rsidR="00892C5F" w:rsidRPr="00667A70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3"/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 </w:t>
      </w:r>
      <w:r w:rsidR="005A57E6" w:rsidRPr="00667A70">
        <w:rPr>
          <w:rFonts w:ascii="Book Antiqua" w:hAnsi="Book Antiqua" w:cs="Times New Roman"/>
          <w:sz w:val="26"/>
          <w:szCs w:val="26"/>
        </w:rPr>
        <w:t xml:space="preserve">au niveau desquels il </w:t>
      </w:r>
      <w:r w:rsidR="00FD25BA" w:rsidRPr="00667A70">
        <w:rPr>
          <w:rFonts w:ascii="Book Antiqua" w:hAnsi="Book Antiqua" w:cs="Times New Roman"/>
          <w:sz w:val="26"/>
          <w:szCs w:val="26"/>
        </w:rPr>
        <w:t>e</w:t>
      </w:r>
      <w:r w:rsidR="005A57E6" w:rsidRPr="00667A70">
        <w:rPr>
          <w:rFonts w:ascii="Book Antiqua" w:hAnsi="Book Antiqua" w:cs="Times New Roman"/>
          <w:sz w:val="26"/>
          <w:szCs w:val="26"/>
        </w:rPr>
        <w:t>nre</w:t>
      </w:r>
      <w:r w:rsidR="00FD25BA" w:rsidRPr="00667A70">
        <w:rPr>
          <w:rFonts w:ascii="Book Antiqua" w:hAnsi="Book Antiqua" w:cs="Times New Roman"/>
          <w:sz w:val="26"/>
          <w:szCs w:val="26"/>
        </w:rPr>
        <w:t>gistre 2</w:t>
      </w:r>
      <w:r w:rsidR="00D95E34" w:rsidRPr="00667A70">
        <w:rPr>
          <w:rFonts w:ascii="Book Antiqua" w:hAnsi="Book Antiqua" w:cs="Times New Roman"/>
          <w:sz w:val="26"/>
          <w:szCs w:val="26"/>
        </w:rPr>
        <w:t>4</w:t>
      </w:r>
      <w:r w:rsidR="00FD25BA" w:rsidRPr="00667A70">
        <w:rPr>
          <w:rFonts w:ascii="Book Antiqua" w:hAnsi="Book Antiqua" w:cs="Times New Roman"/>
          <w:sz w:val="26"/>
          <w:szCs w:val="26"/>
        </w:rPr>
        <w:t>,</w:t>
      </w:r>
      <w:r w:rsidR="00D95E34" w:rsidRPr="00667A70">
        <w:rPr>
          <w:rFonts w:ascii="Book Antiqua" w:hAnsi="Book Antiqua" w:cs="Times New Roman"/>
          <w:sz w:val="26"/>
          <w:szCs w:val="26"/>
        </w:rPr>
        <w:t>3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% 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parmi les </w:t>
      </w:r>
      <w:r w:rsidR="002D2075">
        <w:rPr>
          <w:rFonts w:ascii="Book Antiqua" w:hAnsi="Book Antiqua" w:cs="Times New Roman"/>
          <w:sz w:val="26"/>
          <w:szCs w:val="26"/>
        </w:rPr>
        <w:t xml:space="preserve">actifs ayant un certificat </w:t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de </w:t>
      </w:r>
      <w:r w:rsidR="00614BAE" w:rsidRPr="00667A70">
        <w:rPr>
          <w:rFonts w:ascii="Book Antiqua" w:hAnsi="Book Antiqua" w:cs="Times New Roman"/>
          <w:sz w:val="26"/>
          <w:szCs w:val="26"/>
        </w:rPr>
        <w:t>spécialisation</w:t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 professionnelle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, et 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de </w:t>
      </w:r>
      <w:r w:rsidR="00D95E34" w:rsidRPr="00667A70">
        <w:rPr>
          <w:rFonts w:ascii="Book Antiqua" w:hAnsi="Book Antiqua" w:cs="Times New Roman"/>
          <w:sz w:val="26"/>
          <w:szCs w:val="26"/>
        </w:rPr>
        <w:t>19</w:t>
      </w:r>
      <w:r w:rsidR="00614BAE" w:rsidRPr="00667A70">
        <w:rPr>
          <w:rFonts w:ascii="Book Antiqua" w:hAnsi="Book Antiqua" w:cs="Times New Roman"/>
          <w:sz w:val="26"/>
          <w:szCs w:val="26"/>
        </w:rPr>
        <w:t>,9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% parmi les detenteurs d’un diplôme </w:t>
      </w:r>
      <w:r w:rsidR="009B7BDC" w:rsidRPr="00667A70">
        <w:rPr>
          <w:rFonts w:ascii="Book Antiqua" w:hAnsi="Book Antiqua" w:cs="Times New Roman"/>
          <w:sz w:val="26"/>
          <w:szCs w:val="26"/>
        </w:rPr>
        <w:t>de niveau supérieur</w:t>
      </w:r>
      <w:r w:rsidR="00892C5F" w:rsidRPr="00667A70">
        <w:rPr>
          <w:rStyle w:val="Appelnotedebasdep"/>
          <w:rFonts w:ascii="Book Antiqua" w:hAnsi="Book Antiqua" w:cs="Times New Roman"/>
          <w:b/>
          <w:bCs/>
          <w:sz w:val="26"/>
          <w:szCs w:val="26"/>
        </w:rPr>
        <w:footnoteReference w:id="4"/>
      </w:r>
      <w:r w:rsidR="009B7BDC" w:rsidRPr="00667A70">
        <w:rPr>
          <w:rFonts w:ascii="Book Antiqua" w:hAnsi="Book Antiqua" w:cs="Times New Roman"/>
          <w:sz w:val="26"/>
          <w:szCs w:val="26"/>
        </w:rPr>
        <w:t xml:space="preserve"> avec</w:t>
      </w:r>
      <w:r w:rsidR="00FD25BA" w:rsidRPr="00667A70">
        <w:rPr>
          <w:rFonts w:ascii="Book Antiqua" w:hAnsi="Book Antiqua" w:cs="Times New Roman"/>
          <w:sz w:val="26"/>
          <w:szCs w:val="26"/>
        </w:rPr>
        <w:t xml:space="preserve"> en particulier un taux de </w:t>
      </w:r>
      <w:r w:rsidR="00205B08" w:rsidRPr="00667A70">
        <w:rPr>
          <w:rFonts w:ascii="Book Antiqua" w:hAnsi="Book Antiqua" w:cs="Times New Roman"/>
          <w:sz w:val="26"/>
          <w:szCs w:val="26"/>
        </w:rPr>
        <w:t>2</w:t>
      </w:r>
      <w:r w:rsidR="00D95E34" w:rsidRPr="00667A70">
        <w:rPr>
          <w:rFonts w:ascii="Book Antiqua" w:hAnsi="Book Antiqua" w:cs="Times New Roman"/>
          <w:sz w:val="26"/>
          <w:szCs w:val="26"/>
        </w:rPr>
        <w:t>2</w:t>
      </w:r>
      <w:r w:rsidR="00205B08" w:rsidRPr="00667A70">
        <w:rPr>
          <w:rFonts w:ascii="Book Antiqua" w:hAnsi="Book Antiqua" w:cs="Times New Roman"/>
          <w:sz w:val="26"/>
          <w:szCs w:val="26"/>
        </w:rPr>
        <w:t>,</w:t>
      </w:r>
      <w:r w:rsidR="00614BAE" w:rsidRPr="00667A70">
        <w:rPr>
          <w:rFonts w:ascii="Book Antiqua" w:hAnsi="Book Antiqua" w:cs="Times New Roman"/>
          <w:sz w:val="26"/>
          <w:szCs w:val="26"/>
        </w:rPr>
        <w:t>1</w:t>
      </w:r>
      <w:r w:rsidR="00205B08" w:rsidRPr="00667A70">
        <w:rPr>
          <w:rFonts w:ascii="Book Antiqua" w:hAnsi="Book Antiqua" w:cs="Times New Roman"/>
          <w:sz w:val="26"/>
          <w:szCs w:val="26"/>
        </w:rPr>
        <w:t>% pour les lauréats d</w:t>
      </w:r>
      <w:r w:rsidR="005A57E6" w:rsidRPr="00667A70">
        <w:rPr>
          <w:rFonts w:ascii="Book Antiqua" w:hAnsi="Book Antiqua" w:cs="Times New Roman"/>
          <w:sz w:val="26"/>
          <w:szCs w:val="26"/>
        </w:rPr>
        <w:t>es</w:t>
      </w:r>
      <w:r w:rsidR="00205B08" w:rsidRPr="00667A70">
        <w:rPr>
          <w:rFonts w:ascii="Book Antiqua" w:hAnsi="Book Antiqua" w:cs="Times New Roman"/>
          <w:sz w:val="26"/>
          <w:szCs w:val="26"/>
        </w:rPr>
        <w:t xml:space="preserve"> </w:t>
      </w:r>
      <w:r w:rsidR="009B7BDC" w:rsidRPr="00667A70">
        <w:rPr>
          <w:rFonts w:ascii="Book Antiqua" w:hAnsi="Book Antiqua" w:cs="Times New Roman"/>
          <w:sz w:val="26"/>
          <w:szCs w:val="26"/>
        </w:rPr>
        <w:t>facult</w:t>
      </w:r>
      <w:r w:rsidR="00205B08" w:rsidRPr="00667A70">
        <w:rPr>
          <w:rFonts w:ascii="Book Antiqua" w:hAnsi="Book Antiqua" w:cs="Times New Roman"/>
          <w:sz w:val="26"/>
          <w:szCs w:val="26"/>
        </w:rPr>
        <w:t>é</w:t>
      </w:r>
      <w:r w:rsidR="005A57E6" w:rsidRPr="00667A70">
        <w:rPr>
          <w:rFonts w:ascii="Book Antiqua" w:hAnsi="Book Antiqua" w:cs="Times New Roman"/>
          <w:sz w:val="26"/>
          <w:szCs w:val="26"/>
        </w:rPr>
        <w:t>s</w:t>
      </w:r>
      <w:r w:rsidR="009B7BDC" w:rsidRPr="00667A70">
        <w:rPr>
          <w:rFonts w:ascii="Book Antiqua" w:hAnsi="Book Antiqua" w:cs="Times New Roman"/>
          <w:sz w:val="26"/>
          <w:szCs w:val="26"/>
        </w:rPr>
        <w:t>.</w:t>
      </w:r>
    </w:p>
    <w:p w:rsidR="00205B08" w:rsidRPr="00C770A9" w:rsidRDefault="00205B08" w:rsidP="00FD25BA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6158A0" w:rsidRPr="00667A70" w:rsidRDefault="007424CD" w:rsidP="007424CD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I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 xml:space="preserve">l est de 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2</w:t>
      </w:r>
      <w:r w:rsidR="00D95E34" w:rsidRPr="00667A70">
        <w:rPr>
          <w:rFonts w:ascii="Book Antiqua" w:hAnsi="Book Antiqua" w:cs="Times New Roman"/>
          <w:noProof w:val="0"/>
          <w:sz w:val="26"/>
          <w:szCs w:val="26"/>
        </w:rPr>
        <w:t>1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D95E34" w:rsidRPr="00667A70">
        <w:rPr>
          <w:rFonts w:ascii="Book Antiqua" w:hAnsi="Book Antiqua" w:cs="Times New Roman"/>
          <w:noProof w:val="0"/>
          <w:sz w:val="26"/>
          <w:szCs w:val="26"/>
        </w:rPr>
        <w:t>3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% parmi les jeunes âgés de 15 à 24 et de 3</w:t>
      </w:r>
      <w:r w:rsidR="00D95E34" w:rsidRPr="00667A70">
        <w:rPr>
          <w:rFonts w:ascii="Book Antiqua" w:hAnsi="Book Antiqua" w:cs="Times New Roman"/>
          <w:noProof w:val="0"/>
          <w:sz w:val="26"/>
          <w:szCs w:val="26"/>
        </w:rPr>
        <w:t>9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614BAE" w:rsidRPr="00667A70">
        <w:rPr>
          <w:rFonts w:ascii="Book Antiqua" w:hAnsi="Book Antiqua" w:cs="Times New Roman"/>
          <w:noProof w:val="0"/>
          <w:sz w:val="26"/>
          <w:szCs w:val="26"/>
        </w:rPr>
        <w:t>1</w:t>
      </w:r>
      <w:r w:rsidR="007D5A6D" w:rsidRPr="00667A70">
        <w:rPr>
          <w:rFonts w:ascii="Book Antiqua" w:hAnsi="Book Antiqua" w:cs="Times New Roman"/>
          <w:noProof w:val="0"/>
          <w:sz w:val="26"/>
          <w:szCs w:val="26"/>
        </w:rPr>
        <w:t>% parmi les citadins d’entre eux, contre 9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,</w:t>
      </w:r>
      <w:r w:rsidR="00614BAE" w:rsidRPr="00667A70">
        <w:rPr>
          <w:rFonts w:ascii="Book Antiqua" w:hAnsi="Book Antiqua" w:cs="Times New Roman"/>
          <w:noProof w:val="0"/>
          <w:sz w:val="26"/>
          <w:szCs w:val="26"/>
        </w:rPr>
        <w:t>9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% pour l</w:t>
      </w:r>
      <w:r w:rsidR="001C477B" w:rsidRPr="00667A70">
        <w:rPr>
          <w:rFonts w:ascii="Book Antiqua" w:hAnsi="Book Antiqua" w:cs="Times New Roman"/>
          <w:noProof w:val="0"/>
          <w:sz w:val="26"/>
          <w:szCs w:val="26"/>
        </w:rPr>
        <w:t>’ensemble d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es personnes âgé</w:t>
      </w:r>
      <w:r w:rsidR="0075120C">
        <w:rPr>
          <w:rFonts w:ascii="Book Antiqua" w:hAnsi="Book Antiqua" w:cs="Times New Roman"/>
          <w:noProof w:val="0"/>
          <w:sz w:val="26"/>
          <w:szCs w:val="26"/>
        </w:rPr>
        <w:t>e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 xml:space="preserve">s </w:t>
      </w:r>
      <w:r w:rsidR="00ED4A11" w:rsidRPr="00667A70">
        <w:rPr>
          <w:rFonts w:ascii="Book Antiqua" w:hAnsi="Book Antiqua" w:cs="Times New Roman"/>
          <w:noProof w:val="0"/>
          <w:sz w:val="26"/>
          <w:szCs w:val="26"/>
        </w:rPr>
        <w:t>de 15 ans et plus</w:t>
      </w:r>
      <w:r w:rsidR="006158A0" w:rsidRPr="00667A70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9B7BDC" w:rsidRPr="000715D1" w:rsidRDefault="009B7BDC" w:rsidP="006158A0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8"/>
          <w:szCs w:val="8"/>
        </w:rPr>
      </w:pPr>
      <w:r w:rsidRPr="008B415B">
        <w:rPr>
          <w:rFonts w:ascii="Book Antiqua" w:hAnsi="Book Antiqua" w:cs="Times New Roman"/>
          <w:noProof w:val="0"/>
          <w:sz w:val="24"/>
          <w:szCs w:val="24"/>
        </w:rPr>
        <w:t xml:space="preserve"> </w:t>
      </w:r>
    </w:p>
    <w:p w:rsidR="009B7BDC" w:rsidRPr="00556660" w:rsidRDefault="009B7BDC" w:rsidP="009B7BDC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A12D94" w:rsidRDefault="00A12D94" w:rsidP="00783D65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A12D94" w:rsidRDefault="00A12D94" w:rsidP="00A12D94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9B7BDC" w:rsidRPr="005D23A6" w:rsidRDefault="009B7BDC" w:rsidP="00A12D94">
      <w:pPr>
        <w:autoSpaceDE w:val="0"/>
        <w:autoSpaceDN w:val="0"/>
        <w:bidi w:val="0"/>
        <w:adjustRightInd w:val="0"/>
        <w:ind w:left="36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5D23A6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4 : Taux de chômage </w:t>
      </w:r>
      <w:r w:rsidR="00BA5365" w:rsidRPr="005D23A6">
        <w:rPr>
          <w:rFonts w:ascii="Book Antiqua" w:hAnsi="Book Antiqua" w:cs="Times New Roman"/>
          <w:b/>
          <w:bCs/>
          <w:noProof w:val="0"/>
          <w:sz w:val="24"/>
          <w:szCs w:val="24"/>
        </w:rPr>
        <w:t>au 1</w:t>
      </w:r>
      <w:r w:rsidR="00BA5365" w:rsidRPr="005D23A6">
        <w:rPr>
          <w:rFonts w:ascii="Book Antiqua" w:hAnsi="Book Antiqua" w:cs="Times New Roman"/>
          <w:b/>
          <w:bCs/>
          <w:noProof w:val="0"/>
          <w:sz w:val="24"/>
          <w:szCs w:val="24"/>
          <w:vertAlign w:val="superscript"/>
        </w:rPr>
        <w:t>er</w:t>
      </w:r>
      <w:r w:rsidR="00BA5365" w:rsidRPr="005D23A6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2015 </w:t>
      </w:r>
      <w:r w:rsidRPr="005D23A6">
        <w:rPr>
          <w:rFonts w:ascii="Book Antiqua" w:hAnsi="Book Antiqua" w:cs="Times New Roman"/>
          <w:b/>
          <w:bCs/>
          <w:noProof w:val="0"/>
          <w:sz w:val="24"/>
          <w:szCs w:val="24"/>
        </w:rPr>
        <w:t>selon le diplôme (en %).</w:t>
      </w:r>
    </w:p>
    <w:p w:rsidR="006F3794" w:rsidRDefault="00D75679" w:rsidP="006F3794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94400" cy="2133600"/>
            <wp:effectExtent l="19050" t="0" r="6350" b="0"/>
            <wp:docPr id="4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68E" w:rsidRDefault="0080168E" w:rsidP="005642F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370F71" w:rsidRPr="00705B2E" w:rsidRDefault="00370F71" w:rsidP="00D95E34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9B7BDC" w:rsidRPr="005922C0" w:rsidRDefault="00B40C98" w:rsidP="00D4715F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>Par ailleurs</w:t>
      </w:r>
      <w:r w:rsidR="00D529CA">
        <w:rPr>
          <w:rFonts w:ascii="Book Antiqua" w:hAnsi="Book Antiqua" w:cs="Times New Roman"/>
          <w:noProof w:val="0"/>
          <w:sz w:val="26"/>
          <w:szCs w:val="26"/>
        </w:rPr>
        <w:t xml:space="preserve">, les </w:t>
      </w:r>
      <w:r w:rsidR="00D529CA" w:rsidRPr="005922C0">
        <w:rPr>
          <w:rFonts w:ascii="Book Antiqua" w:hAnsi="Book Antiqua" w:cs="Times New Roman"/>
          <w:noProof w:val="0"/>
          <w:sz w:val="26"/>
          <w:szCs w:val="26"/>
        </w:rPr>
        <w:t>chômeurs</w:t>
      </w:r>
      <w:r w:rsidR="00D4715F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D529CA">
        <w:rPr>
          <w:rFonts w:ascii="Book Antiqua" w:hAnsi="Book Antiqua" w:cs="Times New Roman"/>
          <w:noProof w:val="0"/>
          <w:sz w:val="26"/>
          <w:szCs w:val="26"/>
        </w:rPr>
        <w:t>sont</w:t>
      </w:r>
      <w:r w:rsidR="00B22D2B">
        <w:rPr>
          <w:rFonts w:ascii="Book Antiqua" w:hAnsi="Book Antiqua" w:cs="Times New Roman"/>
          <w:noProof w:val="0"/>
          <w:sz w:val="26"/>
          <w:szCs w:val="26"/>
        </w:rPr>
        <w:t xml:space="preserve"> pour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: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</w:p>
    <w:p w:rsidR="009B7BDC" w:rsidRPr="005922C0" w:rsidRDefault="008C428E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de huit sur dix (</w:t>
      </w:r>
      <w:r w:rsidR="00CE731B" w:rsidRPr="005922C0">
        <w:rPr>
          <w:rFonts w:ascii="Book Antiqua" w:hAnsi="Book Antiqua" w:cs="Times New Roman"/>
          <w:noProof w:val="0"/>
          <w:sz w:val="26"/>
          <w:szCs w:val="26"/>
        </w:rPr>
        <w:t>78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F23529" w:rsidRPr="005922C0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%) citadins ;</w:t>
      </w:r>
    </w:p>
    <w:p w:rsidR="009B7BDC" w:rsidRPr="005922C0" w:rsidRDefault="00F23529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près des deux tiers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(6</w:t>
      </w:r>
      <w:r w:rsidR="00307038" w:rsidRPr="005922C0">
        <w:rPr>
          <w:rFonts w:ascii="Book Antiqua" w:hAnsi="Book Antiqua" w:cs="Times New Roman"/>
          <w:noProof w:val="0"/>
          <w:sz w:val="26"/>
          <w:szCs w:val="26"/>
        </w:rPr>
        <w:t>2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CE731B" w:rsidRP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%) âgés de 15 à 29 ans ;</w:t>
      </w:r>
    </w:p>
    <w:p w:rsidR="009B7BDC" w:rsidRPr="005922C0" w:rsidRDefault="00B43912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>plus d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u</w:t>
      </w:r>
      <w:r w:rsidR="00672098" w:rsidRPr="005922C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qua</w:t>
      </w:r>
      <w:r w:rsidR="00672098" w:rsidRPr="005922C0">
        <w:rPr>
          <w:rFonts w:ascii="Book Antiqua" w:hAnsi="Book Antiqua" w:cs="Times New Roman"/>
          <w:noProof w:val="0"/>
          <w:sz w:val="26"/>
          <w:szCs w:val="26"/>
        </w:rPr>
        <w:t>r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t</w:t>
      </w:r>
      <w:r w:rsidR="00672098" w:rsidRPr="005922C0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(2</w:t>
      </w:r>
      <w:r w:rsidR="00F23529" w:rsidRPr="005922C0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F23529" w:rsidRPr="005922C0">
        <w:rPr>
          <w:rFonts w:ascii="Book Antiqua" w:hAnsi="Book Antiqua" w:cs="Times New Roman"/>
          <w:noProof w:val="0"/>
          <w:sz w:val="26"/>
          <w:szCs w:val="26"/>
        </w:rPr>
        <w:t>6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182B14" w:rsidRPr="005922C0">
        <w:rPr>
          <w:rFonts w:ascii="Book Antiqua" w:hAnsi="Book Antiqua" w:cs="Times New Roman"/>
          <w:noProof w:val="0"/>
          <w:sz w:val="26"/>
          <w:szCs w:val="26"/>
        </w:rPr>
        <w:t>dét</w:t>
      </w:r>
      <w:r w:rsidR="00D529CA">
        <w:rPr>
          <w:rFonts w:ascii="Book Antiqua" w:hAnsi="Book Antiqua" w:cs="Times New Roman"/>
          <w:noProof w:val="0"/>
          <w:sz w:val="26"/>
          <w:szCs w:val="26"/>
        </w:rPr>
        <w:t>enteurs d’</w:t>
      </w:r>
      <w:r w:rsidR="00182B14" w:rsidRPr="005922C0">
        <w:rPr>
          <w:rFonts w:ascii="Book Antiqua" w:hAnsi="Book Antiqua" w:cs="Times New Roman"/>
          <w:noProof w:val="0"/>
          <w:sz w:val="26"/>
          <w:szCs w:val="26"/>
        </w:rPr>
        <w:t xml:space="preserve">un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diplôm</w:t>
      </w:r>
      <w:r w:rsidR="00182B14" w:rsidRPr="005922C0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de niveau supérieur ; </w:t>
      </w:r>
    </w:p>
    <w:p w:rsidR="009B7BDC" w:rsidRPr="005922C0" w:rsidRDefault="009C4E5B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près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de la moitié (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4</w:t>
      </w:r>
      <w:r w:rsidR="00CE731B" w:rsidRP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B43912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CE731B" w:rsidRPr="005922C0">
        <w:rPr>
          <w:rFonts w:ascii="Book Antiqua" w:hAnsi="Book Antiqua" w:cs="Times New Roman"/>
          <w:noProof w:val="0"/>
          <w:sz w:val="26"/>
          <w:szCs w:val="26"/>
        </w:rPr>
        <w:t>7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%) primo-demandeurs d’emploi ; </w:t>
      </w:r>
    </w:p>
    <w:p w:rsidR="009B7BDC" w:rsidRPr="005922C0" w:rsidRDefault="00CE731B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plus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de</w:t>
      </w:r>
      <w:r w:rsidR="009C4E5B" w:rsidRPr="005922C0">
        <w:rPr>
          <w:rFonts w:ascii="Book Antiqua" w:hAnsi="Book Antiqua" w:cs="Times New Roman"/>
          <w:noProof w:val="0"/>
          <w:sz w:val="26"/>
          <w:szCs w:val="26"/>
        </w:rPr>
        <w:t xml:space="preserve"> six sur dix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(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61</w:t>
      </w:r>
      <w:r w:rsidR="00B43912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4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D529CA">
        <w:rPr>
          <w:rFonts w:ascii="Book Antiqua" w:hAnsi="Book Antiqua" w:cs="Times New Roman"/>
          <w:noProof w:val="0"/>
          <w:sz w:val="26"/>
          <w:szCs w:val="26"/>
        </w:rPr>
        <w:t xml:space="preserve">en chômage </w:t>
      </w:r>
      <w:r w:rsidR="00D43119">
        <w:rPr>
          <w:rFonts w:ascii="Book Antiqua" w:hAnsi="Book Antiqua" w:cs="Times New Roman"/>
          <w:noProof w:val="0"/>
          <w:sz w:val="26"/>
          <w:szCs w:val="26"/>
        </w:rPr>
        <w:t xml:space="preserve">depuis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une année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 ou plus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 ;</w:t>
      </w:r>
    </w:p>
    <w:p w:rsidR="009B7BDC" w:rsidRPr="005922C0" w:rsidRDefault="009B7BDC" w:rsidP="00D529CA">
      <w:pPr>
        <w:numPr>
          <w:ilvl w:val="0"/>
          <w:numId w:val="8"/>
        </w:num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>près d</w:t>
      </w:r>
      <w:r w:rsidR="007D5E7D" w:rsidRPr="005922C0">
        <w:rPr>
          <w:rFonts w:ascii="Book Antiqua" w:hAnsi="Book Antiqua" w:cs="Times New Roman"/>
          <w:noProof w:val="0"/>
          <w:sz w:val="26"/>
          <w:szCs w:val="26"/>
        </w:rPr>
        <w:t xml:space="preserve">u quart 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(2</w:t>
      </w:r>
      <w:r w:rsidR="007D5E7D" w:rsidRPr="005922C0">
        <w:rPr>
          <w:rFonts w:ascii="Book Antiqua" w:hAnsi="Book Antiqua" w:cs="Times New Roman"/>
          <w:noProof w:val="0"/>
          <w:sz w:val="26"/>
          <w:szCs w:val="26"/>
        </w:rPr>
        <w:t>4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7D5E7D" w:rsidRPr="005922C0">
        <w:rPr>
          <w:rFonts w:ascii="Book Antiqua" w:hAnsi="Book Antiqua" w:cs="Times New Roman"/>
          <w:noProof w:val="0"/>
          <w:sz w:val="26"/>
          <w:szCs w:val="26"/>
        </w:rPr>
        <w:t>8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%) </w:t>
      </w:r>
      <w:r w:rsidR="00D529CA">
        <w:rPr>
          <w:rFonts w:ascii="Book Antiqua" w:hAnsi="Book Antiqua" w:cs="Times New Roman"/>
          <w:noProof w:val="0"/>
          <w:sz w:val="26"/>
          <w:szCs w:val="26"/>
        </w:rPr>
        <w:t xml:space="preserve">dans cette situation 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suite </w:t>
      </w:r>
      <w:r w:rsidR="00D43119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u</w:t>
      </w:r>
      <w:r w:rsidR="00D43119">
        <w:rPr>
          <w:rFonts w:ascii="Book Antiqua" w:hAnsi="Book Antiqua" w:cs="Times New Roman"/>
          <w:noProof w:val="0"/>
          <w:sz w:val="26"/>
          <w:szCs w:val="26"/>
        </w:rPr>
        <w:t>n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 licenciement ou à </w:t>
      </w:r>
      <w:r w:rsidR="004C23E4">
        <w:rPr>
          <w:rFonts w:ascii="Book Antiqua" w:hAnsi="Book Antiqua" w:cs="Times New Roman"/>
          <w:noProof w:val="0"/>
          <w:sz w:val="26"/>
          <w:szCs w:val="26"/>
        </w:rPr>
        <w:t xml:space="preserve">un 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arrêt de l’activité de l’établissement employeur. </w:t>
      </w:r>
    </w:p>
    <w:p w:rsidR="00667A70" w:rsidRPr="00783D65" w:rsidRDefault="00667A70" w:rsidP="00CA7892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2"/>
          <w:szCs w:val="12"/>
        </w:rPr>
      </w:pPr>
    </w:p>
    <w:p w:rsidR="00370F71" w:rsidRPr="00A52744" w:rsidRDefault="00370F71" w:rsidP="00667A70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</w:p>
    <w:p w:rsidR="00370F71" w:rsidRPr="00E254B2" w:rsidRDefault="008F7814" w:rsidP="00987527">
      <w:pPr>
        <w:bidi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D</w:t>
      </w:r>
      <w:r w:rsidR="0072517B">
        <w:rPr>
          <w:rFonts w:ascii="Book Antiqua" w:hAnsi="Book Antiqua" w:cs="Times New Roman"/>
          <w:noProof w:val="0"/>
          <w:sz w:val="26"/>
          <w:szCs w:val="26"/>
        </w:rPr>
        <w:t>’un autre coté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 xml:space="preserve">il est à noter que la population active en chômage intègre également les personnes découragées par la recherche active d’emploi. </w:t>
      </w:r>
      <w:r w:rsidR="006D0CFB">
        <w:rPr>
          <w:rFonts w:ascii="Book Antiqua" w:hAnsi="Book Antiqua" w:cs="Times New Roman"/>
          <w:noProof w:val="0"/>
          <w:sz w:val="26"/>
          <w:szCs w:val="26"/>
        </w:rPr>
        <w:t>Au premier trimestre 2015, l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 xml:space="preserve">eur </w:t>
      </w:r>
      <w:r w:rsidR="00EA607C" w:rsidRPr="00E254B2">
        <w:rPr>
          <w:rFonts w:ascii="Book Antiqua" w:hAnsi="Book Antiqua" w:cs="Times New Roman"/>
          <w:noProof w:val="0"/>
          <w:sz w:val="26"/>
          <w:szCs w:val="26"/>
        </w:rPr>
        <w:t xml:space="preserve">effectif 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 xml:space="preserve">a atteint </w:t>
      </w:r>
      <w:r w:rsidR="003072C7" w:rsidRPr="00E254B2">
        <w:rPr>
          <w:rFonts w:ascii="Book Antiqua" w:hAnsi="Book Antiqua" w:cs="Times New Roman"/>
          <w:noProof w:val="0"/>
          <w:sz w:val="26"/>
          <w:szCs w:val="26"/>
        </w:rPr>
        <w:t>4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>7</w:t>
      </w:r>
      <w:r w:rsidR="003072C7" w:rsidRPr="00E254B2">
        <w:rPr>
          <w:rFonts w:ascii="Book Antiqua" w:hAnsi="Book Antiqua" w:cs="Times New Roman"/>
          <w:noProof w:val="0"/>
          <w:sz w:val="26"/>
          <w:szCs w:val="26"/>
        </w:rPr>
        <w:t>.000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 xml:space="preserve"> personnes,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ce qui </w:t>
      </w:r>
      <w:r w:rsidR="00E254B2" w:rsidRPr="00E254B2">
        <w:rPr>
          <w:rFonts w:ascii="Book Antiqua" w:hAnsi="Book Antiqua" w:cs="Times New Roman"/>
          <w:noProof w:val="0"/>
          <w:sz w:val="26"/>
          <w:szCs w:val="26"/>
        </w:rPr>
        <w:t xml:space="preserve">correspond à </w:t>
      </w:r>
      <w:r w:rsidR="003F4A7E">
        <w:rPr>
          <w:rFonts w:ascii="Book Antiqua" w:hAnsi="Book Antiqua" w:cs="Times New Roman"/>
          <w:noProof w:val="0"/>
          <w:sz w:val="26"/>
          <w:szCs w:val="26"/>
        </w:rPr>
        <w:t>4</w:t>
      </w:r>
      <w:r w:rsidR="0072517B">
        <w:rPr>
          <w:rFonts w:ascii="Book Antiqua" w:hAnsi="Book Antiqua" w:cs="Times New Roman"/>
          <w:noProof w:val="0"/>
          <w:sz w:val="26"/>
          <w:szCs w:val="26"/>
        </w:rPr>
        <w:t>,1</w:t>
      </w:r>
      <w:r w:rsidR="00E254B2" w:rsidRPr="00E254B2">
        <w:rPr>
          <w:rFonts w:ascii="Book Antiqua" w:hAnsi="Book Antiqua" w:cs="Times New Roman"/>
          <w:noProof w:val="0"/>
          <w:sz w:val="26"/>
          <w:szCs w:val="26"/>
        </w:rPr>
        <w:t>% du volume global du chômage</w:t>
      </w:r>
      <w:r w:rsidR="00F90451">
        <w:rPr>
          <w:rFonts w:ascii="Book Antiqua" w:hAnsi="Book Antiqua" w:cs="Times New Roman"/>
          <w:noProof w:val="0"/>
          <w:sz w:val="26"/>
          <w:szCs w:val="26"/>
        </w:rPr>
        <w:t>,</w:t>
      </w:r>
      <w:r w:rsidR="00A52744">
        <w:rPr>
          <w:rFonts w:ascii="Book Antiqua" w:hAnsi="Book Antiqua" w:cs="Times New Roman"/>
          <w:noProof w:val="0"/>
          <w:sz w:val="26"/>
          <w:szCs w:val="26"/>
        </w:rPr>
        <w:t xml:space="preserve"> contre </w:t>
      </w:r>
      <w:r w:rsidR="0072517B">
        <w:rPr>
          <w:rFonts w:ascii="Book Antiqua" w:hAnsi="Book Antiqua" w:cs="Times New Roman"/>
          <w:noProof w:val="0"/>
          <w:sz w:val="26"/>
          <w:szCs w:val="26"/>
        </w:rPr>
        <w:t>3,6</w:t>
      </w:r>
      <w:r w:rsidR="00A52744">
        <w:rPr>
          <w:rFonts w:ascii="Book Antiqua" w:hAnsi="Book Antiqua" w:cs="Times New Roman"/>
          <w:noProof w:val="0"/>
          <w:sz w:val="26"/>
          <w:szCs w:val="26"/>
        </w:rPr>
        <w:t>% une année auparavant.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3072C7">
        <w:rPr>
          <w:rFonts w:ascii="Book Antiqua" w:hAnsi="Book Antiqua" w:cs="Times New Roman"/>
          <w:noProof w:val="0"/>
          <w:sz w:val="26"/>
          <w:szCs w:val="26"/>
        </w:rPr>
        <w:t xml:space="preserve">Ils sont 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 xml:space="preserve">à </w:t>
      </w:r>
      <w:r w:rsidR="00987527">
        <w:rPr>
          <w:rFonts w:ascii="Book Antiqua" w:hAnsi="Book Antiqua" w:cs="Times New Roman"/>
          <w:noProof w:val="0"/>
          <w:sz w:val="26"/>
          <w:szCs w:val="26"/>
        </w:rPr>
        <w:t>87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>,</w:t>
      </w:r>
      <w:r w:rsidR="00987527">
        <w:rPr>
          <w:rFonts w:ascii="Book Antiqua" w:hAnsi="Book Antiqua" w:cs="Times New Roman"/>
          <w:noProof w:val="0"/>
          <w:sz w:val="26"/>
          <w:szCs w:val="26"/>
        </w:rPr>
        <w:t>1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BF425F">
        <w:rPr>
          <w:rFonts w:ascii="Book Antiqua" w:hAnsi="Book Antiqua" w:cs="Times New Roman"/>
          <w:noProof w:val="0"/>
          <w:sz w:val="26"/>
          <w:szCs w:val="26"/>
        </w:rPr>
        <w:t>citadins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 xml:space="preserve"> et à </w:t>
      </w:r>
      <w:r w:rsidR="00987527">
        <w:rPr>
          <w:rFonts w:ascii="Book Antiqua" w:hAnsi="Book Antiqua" w:cs="Times New Roman"/>
          <w:noProof w:val="0"/>
          <w:sz w:val="26"/>
          <w:szCs w:val="26"/>
        </w:rPr>
        <w:t>60,3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>% masculin</w:t>
      </w:r>
      <w:r w:rsidR="00BF425F">
        <w:rPr>
          <w:rFonts w:ascii="Book Antiqua" w:hAnsi="Book Antiqua" w:cs="Times New Roman"/>
          <w:noProof w:val="0"/>
          <w:sz w:val="26"/>
          <w:szCs w:val="26"/>
        </w:rPr>
        <w:t>s</w:t>
      </w:r>
      <w:r w:rsidR="002D1103">
        <w:rPr>
          <w:rFonts w:ascii="Book Antiqua" w:hAnsi="Book Antiqua" w:cs="Times New Roman"/>
          <w:noProof w:val="0"/>
          <w:sz w:val="26"/>
          <w:szCs w:val="26"/>
        </w:rPr>
        <w:t>.</w:t>
      </w:r>
      <w:r w:rsidR="00987527">
        <w:rPr>
          <w:rFonts w:ascii="Book Antiqua" w:hAnsi="Book Antiqua" w:cs="Times New Roman"/>
          <w:noProof w:val="0"/>
          <w:sz w:val="26"/>
          <w:szCs w:val="26"/>
        </w:rPr>
        <w:t xml:space="preserve">  </w:t>
      </w: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1382D" w:rsidRDefault="0031382D" w:rsidP="0031382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5742B" w:rsidRDefault="0035742B" w:rsidP="0035742B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370F71" w:rsidRDefault="00370F71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9B7BDC" w:rsidRPr="00CA7892" w:rsidRDefault="009B7BDC" w:rsidP="00370F71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CA7892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Situation et évolution du sous emploi</w:t>
      </w:r>
    </w:p>
    <w:p w:rsidR="0038586F" w:rsidRPr="005D23A6" w:rsidRDefault="0038586F" w:rsidP="0038586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12"/>
          <w:szCs w:val="12"/>
        </w:rPr>
      </w:pPr>
    </w:p>
    <w:p w:rsidR="009B7BDC" w:rsidRPr="005922C0" w:rsidRDefault="00105F5B" w:rsidP="005922C0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5922C0">
        <w:rPr>
          <w:rFonts w:ascii="Book Antiqua" w:hAnsi="Book Antiqua" w:cs="Times New Roman"/>
          <w:noProof w:val="0"/>
          <w:sz w:val="26"/>
          <w:szCs w:val="26"/>
        </w:rPr>
        <w:t>L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e volume des actifs occupés en situation de sous emploi a augmenté, entre les deux périodes, de </w:t>
      </w:r>
      <w:r w:rsidR="00572956" w:rsidRPr="005922C0">
        <w:rPr>
          <w:rFonts w:ascii="Book Antiqua" w:hAnsi="Book Antiqua" w:cs="Times New Roman"/>
          <w:noProof w:val="0"/>
          <w:sz w:val="26"/>
          <w:szCs w:val="26"/>
        </w:rPr>
        <w:t>97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.000 à 1.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040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.000 personnes (de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466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502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.000 personnes dans les villes et de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509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.000 à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538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.000 dans les campagnes)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>. L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e taux de sous emploi est </w:t>
      </w:r>
      <w:r w:rsidRPr="005922C0">
        <w:rPr>
          <w:rFonts w:ascii="Book Antiqua" w:hAnsi="Book Antiqua" w:cs="Times New Roman"/>
          <w:noProof w:val="0"/>
          <w:sz w:val="26"/>
          <w:szCs w:val="26"/>
        </w:rPr>
        <w:t xml:space="preserve">ainsi 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passé de </w:t>
      </w:r>
      <w:r w:rsidR="0024749E" w:rsidRP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% à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</w:t>
      </w:r>
      <w:r w:rsidR="00572956" w:rsidRPr="005922C0">
        <w:rPr>
          <w:rFonts w:ascii="Book Antiqua" w:hAnsi="Book Antiqua" w:cs="Times New Roman"/>
          <w:noProof w:val="0"/>
          <w:sz w:val="26"/>
          <w:szCs w:val="26"/>
        </w:rPr>
        <w:t xml:space="preserve"> au niveau national,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1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 à 9,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3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 xml:space="preserve">% dans les villes et de 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9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 à 1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0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,</w:t>
      </w:r>
      <w:r w:rsidR="005922C0">
        <w:rPr>
          <w:rFonts w:ascii="Book Antiqua" w:hAnsi="Book Antiqua" w:cs="Times New Roman"/>
          <w:noProof w:val="0"/>
          <w:sz w:val="26"/>
          <w:szCs w:val="26"/>
        </w:rPr>
        <w:t>5</w:t>
      </w:r>
      <w:r w:rsidR="009B7BDC" w:rsidRPr="005922C0">
        <w:rPr>
          <w:rFonts w:ascii="Book Antiqua" w:hAnsi="Book Antiqua" w:cs="Times New Roman"/>
          <w:noProof w:val="0"/>
          <w:sz w:val="26"/>
          <w:szCs w:val="26"/>
        </w:rPr>
        <w:t>% dans les campagnes.</w:t>
      </w:r>
    </w:p>
    <w:p w:rsidR="004F377E" w:rsidRDefault="004F377E" w:rsidP="00E0269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</w:p>
    <w:p w:rsidR="009B7BDC" w:rsidRPr="005D23A6" w:rsidRDefault="009B7BDC" w:rsidP="00572956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2"/>
          <w:szCs w:val="22"/>
        </w:rPr>
      </w:pPr>
      <w:r w:rsidRPr="005D23A6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Figure 5 : Evolution du taux de sous-emploi </w:t>
      </w:r>
      <w:r w:rsidR="001D7675" w:rsidRPr="005D23A6">
        <w:rPr>
          <w:rFonts w:ascii="Book Antiqua" w:hAnsi="Book Antiqua" w:cs="Times New Roman"/>
          <w:b/>
          <w:bCs/>
          <w:noProof w:val="0"/>
          <w:sz w:val="22"/>
          <w:szCs w:val="22"/>
        </w:rPr>
        <w:t>au 1</w:t>
      </w:r>
      <w:r w:rsidR="001D7675" w:rsidRPr="005D23A6">
        <w:rPr>
          <w:rFonts w:ascii="Book Antiqua" w:hAnsi="Book Antiqua" w:cs="Times New Roman"/>
          <w:b/>
          <w:bCs/>
          <w:noProof w:val="0"/>
          <w:sz w:val="22"/>
          <w:szCs w:val="22"/>
          <w:vertAlign w:val="superscript"/>
        </w:rPr>
        <w:t>er</w:t>
      </w:r>
      <w:r w:rsidR="001D7675" w:rsidRPr="005D23A6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 trimestre </w:t>
      </w:r>
      <w:r w:rsidRPr="005D23A6">
        <w:rPr>
          <w:rFonts w:ascii="Book Antiqua" w:hAnsi="Book Antiqua" w:cs="Times New Roman"/>
          <w:b/>
          <w:bCs/>
          <w:noProof w:val="0"/>
          <w:sz w:val="22"/>
          <w:szCs w:val="22"/>
        </w:rPr>
        <w:t xml:space="preserve">par milieu de résidence (en %).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9B7BDC" w:rsidRDefault="00D75679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5207000" cy="1968500"/>
            <wp:effectExtent l="19050" t="0" r="0" b="0"/>
            <wp:docPr id="5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</w:p>
    <w:p w:rsidR="009B7BDC" w:rsidRPr="00D34004" w:rsidRDefault="009B7BDC" w:rsidP="00604E42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D34004">
        <w:rPr>
          <w:rFonts w:ascii="Book Antiqua" w:hAnsi="Book Antiqua" w:cs="Times New Roman"/>
          <w:noProof w:val="0"/>
          <w:sz w:val="26"/>
          <w:szCs w:val="26"/>
        </w:rPr>
        <w:t>Selon le secteur d’activité économique, les personnes exerçant dans les BTP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>,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 xml:space="preserve">un taux de sous-emploi de 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>1</w:t>
      </w:r>
      <w:r w:rsidR="00604E42">
        <w:rPr>
          <w:rFonts w:ascii="Book Antiqua" w:hAnsi="Book Antiqua" w:cs="Times New Roman"/>
          <w:noProof w:val="0"/>
          <w:sz w:val="26"/>
          <w:szCs w:val="26"/>
        </w:rPr>
        <w:t>6,6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>%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1B2C86" w:rsidRPr="00D34004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 xml:space="preserve">sont les plus touchées par 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>c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 xml:space="preserve">e </w:t>
      </w:r>
      <w:r w:rsidR="00872CCC" w:rsidRPr="00D34004">
        <w:rPr>
          <w:rFonts w:ascii="Book Antiqua" w:hAnsi="Book Antiqua" w:cs="Times New Roman"/>
          <w:noProof w:val="0"/>
          <w:sz w:val="26"/>
          <w:szCs w:val="26"/>
        </w:rPr>
        <w:t>phénomène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> ;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 xml:space="preserve">un constat relevé 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>aussi bien en milieu urbain qu’en milieu rural</w:t>
      </w:r>
      <w:r w:rsidR="00CF0D64" w:rsidRPr="00D34004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>L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>e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>s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 xml:space="preserve">personnes exerçant dans le 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>secteur de l’"agriculture, forêt et pêche"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 xml:space="preserve"> vien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 xml:space="preserve">nent 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 xml:space="preserve">en deuxième </w:t>
      </w:r>
      <w:r w:rsidR="004215CF" w:rsidRPr="00D34004">
        <w:rPr>
          <w:rFonts w:ascii="Book Antiqua" w:hAnsi="Book Antiqua" w:cs="Times New Roman"/>
          <w:noProof w:val="0"/>
          <w:sz w:val="26"/>
          <w:szCs w:val="26"/>
        </w:rPr>
        <w:t xml:space="preserve">rang </w:t>
      </w:r>
      <w:r w:rsidR="004A59B6" w:rsidRPr="00D34004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>1</w:t>
      </w:r>
      <w:r w:rsidR="008D455D" w:rsidRPr="00D34004">
        <w:rPr>
          <w:rFonts w:ascii="Book Antiqua" w:hAnsi="Book Antiqua" w:cs="Times New Roman"/>
          <w:noProof w:val="0"/>
          <w:sz w:val="26"/>
          <w:szCs w:val="26"/>
        </w:rPr>
        <w:t>0</w:t>
      </w:r>
      <w:r w:rsidRPr="00D34004">
        <w:rPr>
          <w:rFonts w:ascii="Book Antiqua" w:hAnsi="Book Antiqua" w:cs="Times New Roman"/>
          <w:noProof w:val="0"/>
          <w:sz w:val="26"/>
          <w:szCs w:val="26"/>
        </w:rPr>
        <w:t xml:space="preserve">%.   </w:t>
      </w:r>
    </w:p>
    <w:p w:rsidR="009B7BDC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26"/>
          <w:szCs w:val="26"/>
        </w:rPr>
      </w:pPr>
    </w:p>
    <w:p w:rsidR="009B7BDC" w:rsidRPr="00BA6BC7" w:rsidRDefault="009B7BDC" w:rsidP="0038586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604E4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6 : Evolution du taux de sous-emploi </w:t>
      </w:r>
      <w:r w:rsidR="001D7675" w:rsidRPr="00604E42">
        <w:rPr>
          <w:rFonts w:ascii="Book Antiqua" w:hAnsi="Book Antiqua" w:cs="Times New Roman"/>
          <w:b/>
          <w:bCs/>
          <w:noProof w:val="0"/>
          <w:sz w:val="24"/>
          <w:szCs w:val="24"/>
        </w:rPr>
        <w:t>au 1</w:t>
      </w:r>
      <w:r w:rsidR="001D7675" w:rsidRPr="00604E42">
        <w:rPr>
          <w:rFonts w:ascii="Book Antiqua" w:hAnsi="Book Antiqua" w:cs="Times New Roman"/>
          <w:b/>
          <w:bCs/>
          <w:noProof w:val="0"/>
          <w:sz w:val="24"/>
          <w:szCs w:val="24"/>
          <w:vertAlign w:val="superscript"/>
        </w:rPr>
        <w:t>er</w:t>
      </w:r>
      <w:r w:rsidR="001D7675" w:rsidRPr="00604E42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</w:t>
      </w:r>
      <w:r w:rsidRPr="00604E42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(en%)</w:t>
      </w:r>
    </w:p>
    <w:p w:rsidR="009B7BDC" w:rsidRPr="00A1104E" w:rsidRDefault="009B7BDC" w:rsidP="009B7BDC">
      <w:pPr>
        <w:autoSpaceDE w:val="0"/>
        <w:autoSpaceDN w:val="0"/>
        <w:bidi w:val="0"/>
        <w:adjustRightInd w:val="0"/>
        <w:jc w:val="center"/>
        <w:rPr>
          <w:rFonts w:ascii="Garamond" w:hAnsi="Garamond" w:cs="Times New Roman"/>
          <w:b/>
          <w:bCs/>
          <w:noProof w:val="0"/>
          <w:sz w:val="8"/>
          <w:szCs w:val="8"/>
        </w:rPr>
      </w:pPr>
    </w:p>
    <w:p w:rsidR="009B7BDC" w:rsidRDefault="00D75679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  <w:r>
        <w:rPr>
          <w:rFonts w:ascii="Garamond" w:hAnsi="Garamond" w:cs="Times New Roman"/>
          <w:b/>
          <w:bCs/>
          <w:color w:val="0070C0"/>
          <w:sz w:val="26"/>
          <w:szCs w:val="26"/>
        </w:rPr>
        <w:drawing>
          <wp:inline distT="0" distB="0" distL="0" distR="0">
            <wp:extent cx="5270500" cy="2120900"/>
            <wp:effectExtent l="19050" t="0" r="6350" b="0"/>
            <wp:docPr id="6" name="Graphiqu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6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65" w:rsidRDefault="00783D65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</w:p>
    <w:p w:rsidR="00783D65" w:rsidRDefault="00783D65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</w:p>
    <w:p w:rsidR="00783D65" w:rsidRDefault="00783D65" w:rsidP="009B7BDC">
      <w:pPr>
        <w:jc w:val="center"/>
        <w:rPr>
          <w:rFonts w:ascii="Garamond" w:hAnsi="Garamond" w:cs="Times New Roman"/>
          <w:b/>
          <w:bCs/>
          <w:color w:val="0070C0"/>
          <w:sz w:val="26"/>
          <w:szCs w:val="26"/>
        </w:rPr>
      </w:pPr>
    </w:p>
    <w:p w:rsidR="009B7BDC" w:rsidRPr="00754D0C" w:rsidRDefault="009B7BDC" w:rsidP="006F2D9D">
      <w:pPr>
        <w:pStyle w:val="Titre1"/>
        <w:spacing w:after="0"/>
        <w:jc w:val="center"/>
        <w:rPr>
          <w:rFonts w:ascii="Book Antiqua" w:hAnsi="Book Antiqua"/>
        </w:rPr>
      </w:pPr>
      <w:r>
        <w:rPr>
          <w:rFonts w:ascii="Book Antiqua" w:hAnsi="Book Antiqua" w:cs="Times New Roman"/>
          <w:color w:val="0070C0"/>
          <w:sz w:val="24"/>
          <w:szCs w:val="24"/>
        </w:rPr>
        <w:t>I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ndicateurs </w:t>
      </w:r>
      <w:r w:rsidR="001228F8">
        <w:rPr>
          <w:rFonts w:ascii="Book Antiqua" w:hAnsi="Book Antiqua" w:cs="Times New Roman"/>
          <w:color w:val="0070C0"/>
          <w:sz w:val="24"/>
          <w:szCs w:val="24"/>
        </w:rPr>
        <w:t>trimestriels</w:t>
      </w:r>
      <w:r w:rsidR="006F2D9D">
        <w:rPr>
          <w:rFonts w:ascii="Book Antiqua" w:hAnsi="Book Antiqua" w:cs="Times New Roman"/>
          <w:color w:val="0070C0"/>
          <w:sz w:val="24"/>
          <w:szCs w:val="24"/>
        </w:rPr>
        <w:t xml:space="preserve"> </w:t>
      </w:r>
      <w:r w:rsidRPr="00754D0C">
        <w:rPr>
          <w:rFonts w:ascii="Book Antiqua" w:hAnsi="Book Antiqua" w:cs="Times New Roman"/>
          <w:color w:val="0070C0"/>
          <w:sz w:val="24"/>
          <w:szCs w:val="24"/>
        </w:rPr>
        <w:t xml:space="preserve">d'activité, d’emploi et de chômage par milieu de résidence </w:t>
      </w:r>
      <w:r w:rsidRPr="00754D0C">
        <w:rPr>
          <w:rFonts w:ascii="Book Antiqua" w:hAnsi="Book Antiqua" w:cs="Times New Roman"/>
          <w:color w:val="0070C0"/>
          <w:sz w:val="24"/>
          <w:szCs w:val="24"/>
          <w:vertAlign w:val="superscript"/>
        </w:rPr>
        <w:t>(1)</w:t>
      </w:r>
    </w:p>
    <w:p w:rsidR="009B7BDC" w:rsidRPr="00BE751A" w:rsidRDefault="009B7BDC" w:rsidP="00F71AEA">
      <w:pPr>
        <w:pStyle w:val="Corpsdetexte2"/>
        <w:jc w:val="both"/>
        <w:rPr>
          <w:rFonts w:ascii="Book Antiqua" w:hAnsi="Book Antiqua" w:cs="Times New Roman"/>
          <w:sz w:val="20"/>
        </w:rPr>
      </w:pPr>
      <w:r w:rsidRPr="00754D0C"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         </w:t>
      </w:r>
      <w:r w:rsidRPr="00BE751A">
        <w:rPr>
          <w:rFonts w:ascii="Book Antiqua" w:hAnsi="Book Antiqua" w:cs="Times New Roman"/>
          <w:sz w:val="20"/>
        </w:rPr>
        <w:t>(</w:t>
      </w:r>
      <w:r w:rsidR="00F71AEA">
        <w:rPr>
          <w:rFonts w:ascii="Book Antiqua" w:hAnsi="Book Antiqua" w:cs="Times New Roman"/>
          <w:sz w:val="20"/>
        </w:rPr>
        <w:t>Effectifs en milliers, t</w:t>
      </w:r>
      <w:r w:rsidRPr="00BE751A">
        <w:rPr>
          <w:rFonts w:ascii="Book Antiqua" w:hAnsi="Book Antiqua" w:cs="Times New Roman"/>
          <w:sz w:val="20"/>
        </w:rPr>
        <w:t xml:space="preserve">aux </w:t>
      </w:r>
      <w:r w:rsidR="006F2D9D">
        <w:rPr>
          <w:rFonts w:ascii="Book Antiqua" w:hAnsi="Book Antiqua" w:cs="Times New Roman"/>
          <w:sz w:val="20"/>
        </w:rPr>
        <w:t xml:space="preserve">et structures </w:t>
      </w:r>
      <w:r w:rsidRPr="00BE751A">
        <w:rPr>
          <w:rFonts w:ascii="Book Antiqua" w:hAnsi="Book Antiqua" w:cs="Times New Roman"/>
          <w:sz w:val="20"/>
        </w:rPr>
        <w:t xml:space="preserve">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BD33A3" w:rsidRPr="00D8334D" w:rsidTr="00F80CEA">
        <w:trPr>
          <w:jc w:val="center"/>
        </w:trPr>
        <w:tc>
          <w:tcPr>
            <w:tcW w:w="4348" w:type="dxa"/>
            <w:vMerge w:val="restart"/>
            <w:vAlign w:val="center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Indicateurs</w:t>
            </w:r>
          </w:p>
        </w:tc>
        <w:tc>
          <w:tcPr>
            <w:tcW w:w="2924" w:type="dxa"/>
            <w:gridSpan w:val="3"/>
          </w:tcPr>
          <w:p w:rsidR="00BD33A3" w:rsidRPr="00D8334D" w:rsidRDefault="00BD33A3" w:rsidP="00BD33A3">
            <w:pPr>
              <w:tabs>
                <w:tab w:val="left" w:pos="-720"/>
              </w:tabs>
              <w:suppressAutoHyphens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>1</w:t>
            </w:r>
            <w:r w:rsidRPr="00CD7613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er </w:t>
            </w: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trimestre 201</w:t>
            </w:r>
            <w:r>
              <w:rPr>
                <w:rFonts w:ascii="Garamond" w:hAnsi="Garamond"/>
                <w:b/>
                <w:spacing w:val="-2"/>
                <w:sz w:val="22"/>
                <w:szCs w:val="22"/>
              </w:rPr>
              <w:t>4</w:t>
            </w: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               </w:t>
            </w:r>
          </w:p>
        </w:tc>
        <w:tc>
          <w:tcPr>
            <w:tcW w:w="3369" w:type="dxa"/>
            <w:gridSpan w:val="3"/>
          </w:tcPr>
          <w:p w:rsidR="00BD33A3" w:rsidRPr="00D8334D" w:rsidRDefault="00BD33A3" w:rsidP="00BD33A3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>1er  trimestre 201</w:t>
            </w:r>
            <w:r>
              <w:rPr>
                <w:rFonts w:ascii="Garamond" w:hAnsi="Garamond"/>
                <w:b/>
                <w:spacing w:val="-2"/>
                <w:sz w:val="22"/>
                <w:szCs w:val="22"/>
              </w:rPr>
              <w:t>5</w:t>
            </w: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 xml:space="preserve">                </w:t>
            </w:r>
          </w:p>
        </w:tc>
      </w:tr>
      <w:tr w:rsidR="00BD33A3" w:rsidRPr="00D8334D" w:rsidTr="00F80CEA">
        <w:trPr>
          <w:trHeight w:val="235"/>
          <w:jc w:val="center"/>
        </w:trPr>
        <w:tc>
          <w:tcPr>
            <w:tcW w:w="4348" w:type="dxa"/>
            <w:vMerge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849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952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National</w:t>
            </w:r>
          </w:p>
        </w:tc>
        <w:tc>
          <w:tcPr>
            <w:tcW w:w="1124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Urbain</w:t>
            </w:r>
          </w:p>
        </w:tc>
        <w:tc>
          <w:tcPr>
            <w:tcW w:w="1122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  <w:lang w:val="en-GB"/>
              </w:rPr>
              <w:t>Rural</w:t>
            </w:r>
          </w:p>
        </w:tc>
        <w:tc>
          <w:tcPr>
            <w:tcW w:w="1123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National</w:t>
            </w:r>
          </w:p>
        </w:tc>
      </w:tr>
      <w:tr w:rsidR="00BD33A3" w:rsidRPr="00D8334D" w:rsidTr="00F80CEA">
        <w:trPr>
          <w:trHeight w:val="170"/>
          <w:jc w:val="center"/>
        </w:trPr>
        <w:tc>
          <w:tcPr>
            <w:tcW w:w="4348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</w:t>
            </w: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6 265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5 412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11 677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6298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5372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11670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de féminisation de la population active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22,5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31,4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26,6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22,0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31,6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26,4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d'activité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42,</w:t>
            </w: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56,3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262933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41,6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55,5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47,0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sexe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Pr="00262933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79,8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72,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67,2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78,4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71,6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18,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34,3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24,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17,7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34,0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24,0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l’âge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15 - 24 ans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23,8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45,4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33,6</w:t>
            </w:r>
          </w:p>
        </w:tc>
        <w:tc>
          <w:tcPr>
            <w:tcW w:w="1124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20,9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39,7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29,5</w:t>
            </w: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25 - 34 ans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57,6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62,2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59,4</w:t>
            </w:r>
          </w:p>
        </w:tc>
        <w:tc>
          <w:tcPr>
            <w:tcW w:w="1124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58,0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64,3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60,5</w:t>
            </w: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35 - 44 ans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55,1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65,9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59,0</w:t>
            </w:r>
          </w:p>
        </w:tc>
        <w:tc>
          <w:tcPr>
            <w:tcW w:w="1124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56,8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67,6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60,6</w:t>
            </w: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45 ans et plus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37,0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57,3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44,3</w:t>
            </w:r>
          </w:p>
        </w:tc>
        <w:tc>
          <w:tcPr>
            <w:tcW w:w="1124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35,5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56,9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43,1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37,7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57,8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47,9</w:t>
            </w:r>
          </w:p>
        </w:tc>
        <w:tc>
          <w:tcPr>
            <w:tcW w:w="1124" w:type="dxa"/>
            <w:vAlign w:val="center"/>
          </w:tcPr>
          <w:p w:rsidR="00BF7DB6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36,5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58,1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47,5</w:t>
            </w:r>
          </w:p>
        </w:tc>
      </w:tr>
      <w:tr w:rsidR="00BF7DB6" w:rsidRPr="00D8334D" w:rsidTr="00F62BFE">
        <w:trPr>
          <w:trHeight w:val="284"/>
          <w:jc w:val="center"/>
        </w:trPr>
        <w:tc>
          <w:tcPr>
            <w:tcW w:w="4348" w:type="dxa"/>
          </w:tcPr>
          <w:p w:rsidR="00BF7DB6" w:rsidRPr="00D8334D" w:rsidRDefault="00BF7DB6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46,3</w:t>
            </w:r>
          </w:p>
        </w:tc>
        <w:tc>
          <w:tcPr>
            <w:tcW w:w="952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51,5</w:t>
            </w:r>
          </w:p>
        </w:tc>
        <w:tc>
          <w:tcPr>
            <w:tcW w:w="1123" w:type="dxa"/>
            <w:vAlign w:val="center"/>
          </w:tcPr>
          <w:p w:rsidR="00BF7DB6" w:rsidRPr="002A0009" w:rsidRDefault="00BF7DB6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A0009">
              <w:rPr>
                <w:rFonts w:ascii="Garamond" w:hAnsi="Garamond"/>
                <w:sz w:val="22"/>
                <w:szCs w:val="22"/>
              </w:rPr>
              <w:t>47,5</w:t>
            </w:r>
          </w:p>
        </w:tc>
        <w:tc>
          <w:tcPr>
            <w:tcW w:w="1124" w:type="dxa"/>
            <w:vAlign w:val="center"/>
          </w:tcPr>
          <w:p w:rsidR="00BF7DB6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45,9</w:t>
            </w:r>
          </w:p>
        </w:tc>
        <w:tc>
          <w:tcPr>
            <w:tcW w:w="1122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47,6</w:t>
            </w:r>
          </w:p>
        </w:tc>
        <w:tc>
          <w:tcPr>
            <w:tcW w:w="1123" w:type="dxa"/>
            <w:vAlign w:val="bottom"/>
          </w:tcPr>
          <w:p w:rsidR="00BF7DB6" w:rsidRPr="00BF7DB6" w:rsidRDefault="00BF7DB6" w:rsidP="00BF7DB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BF7DB6">
              <w:rPr>
                <w:rFonts w:ascii="Garamond" w:hAnsi="Garamond"/>
                <w:sz w:val="22"/>
                <w:szCs w:val="22"/>
              </w:rPr>
              <w:t>46,3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- </w:t>
            </w: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5 349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5 137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10 48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5394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5119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10513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d’emploi</w:t>
            </w:r>
          </w:p>
        </w:tc>
        <w:tc>
          <w:tcPr>
            <w:tcW w:w="849" w:type="dxa"/>
            <w:vAlign w:val="center"/>
          </w:tcPr>
          <w:p w:rsidR="009A22DD" w:rsidRPr="00577516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36,0</w:t>
            </w:r>
          </w:p>
        </w:tc>
        <w:tc>
          <w:tcPr>
            <w:tcW w:w="952" w:type="dxa"/>
            <w:vAlign w:val="center"/>
          </w:tcPr>
          <w:p w:rsidR="009A22DD" w:rsidRPr="00577516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53,5</w:t>
            </w:r>
          </w:p>
        </w:tc>
        <w:tc>
          <w:tcPr>
            <w:tcW w:w="1123" w:type="dxa"/>
            <w:vAlign w:val="center"/>
          </w:tcPr>
          <w:p w:rsidR="009A22DD" w:rsidRPr="00577516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77516">
              <w:rPr>
                <w:rFonts w:ascii="Garamond" w:hAnsi="Garamond"/>
                <w:sz w:val="22"/>
                <w:szCs w:val="22"/>
              </w:rPr>
              <w:t>42,9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35,6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52,9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42,3</w:t>
            </w:r>
          </w:p>
        </w:tc>
      </w:tr>
      <w:tr w:rsidR="009A22DD" w:rsidRPr="00D8334D" w:rsidTr="009A22DD">
        <w:trPr>
          <w:trHeight w:val="586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95,9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61,6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79,1</w:t>
            </w:r>
          </w:p>
        </w:tc>
        <w:tc>
          <w:tcPr>
            <w:tcW w:w="1124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96,0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62,0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79,4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Salariés  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66,2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41,3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56,7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69,0</w:t>
            </w:r>
          </w:p>
        </w:tc>
        <w:tc>
          <w:tcPr>
            <w:tcW w:w="1122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42,7</w:t>
            </w:r>
          </w:p>
        </w:tc>
        <w:tc>
          <w:tcPr>
            <w:tcW w:w="1123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59</w:t>
            </w:r>
            <w:r w:rsidR="00F62BFE">
              <w:rPr>
                <w:rFonts w:ascii="Garamond" w:hAnsi="Garamond"/>
                <w:sz w:val="22"/>
                <w:szCs w:val="22"/>
              </w:rPr>
              <w:t>,0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Auto-employés   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33,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58,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43,</w:t>
            </w: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1124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31,0</w:t>
            </w:r>
          </w:p>
        </w:tc>
        <w:tc>
          <w:tcPr>
            <w:tcW w:w="1122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57,3</w:t>
            </w:r>
          </w:p>
        </w:tc>
        <w:tc>
          <w:tcPr>
            <w:tcW w:w="1123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41</w:t>
            </w:r>
            <w:r w:rsidR="00F62BFE">
              <w:rPr>
                <w:rFonts w:ascii="Garamond" w:hAnsi="Garamond"/>
                <w:sz w:val="22"/>
                <w:szCs w:val="22"/>
              </w:rPr>
              <w:t>,0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/>
                <w:b/>
                <w:spacing w:val="-2"/>
                <w:sz w:val="22"/>
                <w:szCs w:val="22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466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509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975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502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538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1040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Taux de sous emploi</w:t>
            </w:r>
          </w:p>
        </w:tc>
        <w:tc>
          <w:tcPr>
            <w:tcW w:w="849" w:type="dxa"/>
            <w:vAlign w:val="center"/>
          </w:tcPr>
          <w:p w:rsidR="009A22DD" w:rsidRPr="00DD69BE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952" w:type="dxa"/>
            <w:vAlign w:val="center"/>
          </w:tcPr>
          <w:p w:rsidR="009A22DD" w:rsidRPr="00DD69BE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1123" w:type="dxa"/>
            <w:vAlign w:val="center"/>
          </w:tcPr>
          <w:p w:rsidR="009A22DD" w:rsidRPr="00DD69BE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  <w:r w:rsidRPr="00DD69BE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9,3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10,5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9,9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 Chômage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91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275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62933">
              <w:rPr>
                <w:rFonts w:ascii="Garamond" w:hAnsi="Garamond"/>
                <w:b/>
                <w:bCs/>
                <w:sz w:val="22"/>
                <w:szCs w:val="22"/>
              </w:rPr>
              <w:t>1 19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904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253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A22DD">
              <w:rPr>
                <w:rFonts w:ascii="Garamond" w:hAnsi="Garamond"/>
                <w:b/>
                <w:bCs/>
                <w:sz w:val="22"/>
                <w:szCs w:val="22"/>
                <w:rtl/>
              </w:rPr>
              <w:t>1157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- Taux de féminisation de la population </w:t>
            </w:r>
          </w:p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active en chômage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34,4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12,5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29,4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33,6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14,2</w:t>
            </w:r>
          </w:p>
        </w:tc>
        <w:tc>
          <w:tcPr>
            <w:tcW w:w="1123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29,3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>- Taux de chômage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14,6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5,1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10,2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14,3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4,7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9,9</w:t>
            </w:r>
          </w:p>
        </w:tc>
      </w:tr>
      <w:tr w:rsidR="00BD33A3" w:rsidRPr="00D8334D" w:rsidTr="00F80CEA">
        <w:trPr>
          <w:trHeight w:val="284"/>
          <w:jc w:val="center"/>
        </w:trPr>
        <w:tc>
          <w:tcPr>
            <w:tcW w:w="4348" w:type="dxa"/>
          </w:tcPr>
          <w:p w:rsidR="00BD33A3" w:rsidRPr="00D8334D" w:rsidRDefault="00BD33A3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. Selon le sexe</w:t>
            </w:r>
          </w:p>
        </w:tc>
        <w:tc>
          <w:tcPr>
            <w:tcW w:w="849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BD33A3" w:rsidRPr="00262933" w:rsidRDefault="00BD33A3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Hommes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12,4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6,5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9,8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12,2</w:t>
            </w:r>
          </w:p>
        </w:tc>
        <w:tc>
          <w:tcPr>
            <w:tcW w:w="1122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5,9</w:t>
            </w:r>
          </w:p>
        </w:tc>
        <w:tc>
          <w:tcPr>
            <w:tcW w:w="1123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9,5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Femmes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22,3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2,0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11,3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21,9</w:t>
            </w:r>
          </w:p>
        </w:tc>
        <w:tc>
          <w:tcPr>
            <w:tcW w:w="1122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2,1</w:t>
            </w:r>
          </w:p>
        </w:tc>
        <w:tc>
          <w:tcPr>
            <w:tcW w:w="1123" w:type="dxa"/>
            <w:vAlign w:val="center"/>
          </w:tcPr>
          <w:p w:rsidR="009A22DD" w:rsidRPr="009A22DD" w:rsidRDefault="00BF7DB6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l'âge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15-24 ans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36,7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9,9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20,2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39,1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10,0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21,3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25-34 ans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20,4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5,1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14,0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20,4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5,6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14,1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35-44 ans 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8,3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3,8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6,5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7,3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2,7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5,5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45 ans et plus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4,4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2,2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3,4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4,8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1,7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3,4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. Selon le diplôme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Sans diplôme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7,6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3,7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5,2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7,4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3,0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4,7</w:t>
            </w:r>
          </w:p>
        </w:tc>
      </w:tr>
      <w:tr w:rsidR="009A22DD" w:rsidRPr="00D8334D" w:rsidTr="009A22DD">
        <w:trPr>
          <w:trHeight w:val="284"/>
          <w:jc w:val="center"/>
        </w:trPr>
        <w:tc>
          <w:tcPr>
            <w:tcW w:w="4348" w:type="dxa"/>
          </w:tcPr>
          <w:p w:rsidR="009A22DD" w:rsidRPr="00D8334D" w:rsidRDefault="009A22DD" w:rsidP="00F80CEA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D8334D"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  <w:t xml:space="preserve">      Ayant un diplôme</w:t>
            </w:r>
          </w:p>
        </w:tc>
        <w:tc>
          <w:tcPr>
            <w:tcW w:w="849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19,9</w:t>
            </w:r>
          </w:p>
        </w:tc>
        <w:tc>
          <w:tcPr>
            <w:tcW w:w="952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10,3</w:t>
            </w:r>
          </w:p>
        </w:tc>
        <w:tc>
          <w:tcPr>
            <w:tcW w:w="1123" w:type="dxa"/>
            <w:vAlign w:val="center"/>
          </w:tcPr>
          <w:p w:rsidR="009A22DD" w:rsidRPr="00262933" w:rsidRDefault="009A22DD" w:rsidP="00F80CE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262933">
              <w:rPr>
                <w:rFonts w:ascii="Garamond" w:hAnsi="Garamond"/>
                <w:sz w:val="22"/>
                <w:szCs w:val="22"/>
              </w:rPr>
              <w:t>17,5</w:t>
            </w:r>
          </w:p>
        </w:tc>
        <w:tc>
          <w:tcPr>
            <w:tcW w:w="1124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19,1</w:t>
            </w:r>
          </w:p>
        </w:tc>
        <w:tc>
          <w:tcPr>
            <w:tcW w:w="1122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11,2</w:t>
            </w:r>
          </w:p>
        </w:tc>
        <w:tc>
          <w:tcPr>
            <w:tcW w:w="1123" w:type="dxa"/>
            <w:vAlign w:val="center"/>
          </w:tcPr>
          <w:p w:rsidR="009A22DD" w:rsidRPr="009A22DD" w:rsidRDefault="009A22DD" w:rsidP="009A22D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A22DD">
              <w:rPr>
                <w:rFonts w:ascii="Garamond" w:hAnsi="Garamond"/>
                <w:sz w:val="22"/>
                <w:szCs w:val="22"/>
                <w:rtl/>
              </w:rPr>
              <w:t>17,3</w:t>
            </w:r>
          </w:p>
        </w:tc>
      </w:tr>
    </w:tbl>
    <w:p w:rsidR="00EA124A" w:rsidRDefault="00EA124A" w:rsidP="009B7BDC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pacing w:val="-2"/>
          <w:sz w:val="16"/>
          <w:szCs w:val="16"/>
          <w:u w:val="single"/>
        </w:rPr>
      </w:pPr>
    </w:p>
    <w:p w:rsidR="009B7BDC" w:rsidRDefault="009B7BDC" w:rsidP="00654EF2">
      <w:pPr>
        <w:tabs>
          <w:tab w:val="left" w:pos="-720"/>
        </w:tabs>
        <w:suppressAutoHyphens/>
        <w:jc w:val="right"/>
      </w:pPr>
      <w:r w:rsidRPr="00754D0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Source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 xml:space="preserve"> :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Enquête nationale sur l'emploi, Haut Commissariat au Plan</w:t>
      </w:r>
      <w:r w:rsidRPr="00754D0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Pr="00754D0C">
        <w:rPr>
          <w:rFonts w:ascii="Book Antiqua" w:hAnsi="Book Antiqua" w:cs="Times New Roman"/>
          <w:b/>
          <w:spacing w:val="-2"/>
          <w:sz w:val="16"/>
          <w:szCs w:val="16"/>
        </w:rPr>
        <w:t>Direction de la Statistique).</w:t>
      </w:r>
      <w:r>
        <w:rPr>
          <w:rFonts w:ascii="Book Antiqua" w:hAnsi="Book Antiqua" w:cs="Times New Roman"/>
          <w:b/>
          <w:spacing w:val="-2"/>
          <w:sz w:val="16"/>
          <w:szCs w:val="16"/>
        </w:rPr>
        <w:t xml:space="preserve"> </w:t>
      </w:r>
      <w:r w:rsidRPr="00754D0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4" w:history="1">
        <w:r w:rsidRPr="00754D0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sectPr w:rsidR="009B7BDC" w:rsidSect="001702E4">
      <w:footerReference w:type="even" r:id="rId15"/>
      <w:footerReference w:type="default" r:id="rId16"/>
      <w:pgSz w:w="12240" w:h="15840"/>
      <w:pgMar w:top="851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18B" w:rsidRDefault="0080418B" w:rsidP="009B7BDC">
      <w:r>
        <w:separator/>
      </w:r>
    </w:p>
  </w:endnote>
  <w:endnote w:type="continuationSeparator" w:id="0">
    <w:p w:rsidR="0080418B" w:rsidRDefault="0080418B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FE" w:rsidRDefault="00F62BFE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F62BFE" w:rsidRDefault="00F62BF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FE" w:rsidRDefault="00F62BFE">
    <w:pPr>
      <w:pStyle w:val="Pieddepage"/>
      <w:jc w:val="center"/>
    </w:pPr>
    <w:fldSimple w:instr=" PAGE   \* MERGEFORMAT ">
      <w:r w:rsidR="0080418B">
        <w:rPr>
          <w:rtl/>
        </w:rPr>
        <w:t>1</w:t>
      </w:r>
    </w:fldSimple>
  </w:p>
  <w:p w:rsidR="00F62BFE" w:rsidRDefault="00F62B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18B" w:rsidRDefault="0080418B" w:rsidP="009B7BDC">
      <w:r>
        <w:separator/>
      </w:r>
    </w:p>
  </w:footnote>
  <w:footnote w:type="continuationSeparator" w:id="0">
    <w:p w:rsidR="0080418B" w:rsidRDefault="0080418B" w:rsidP="009B7BDC">
      <w:r>
        <w:continuationSeparator/>
      </w:r>
    </w:p>
  </w:footnote>
  <w:footnote w:id="1">
    <w:p w:rsidR="00F62BFE" w:rsidRDefault="00F62BFE" w:rsidP="00381B61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F62BFE" w:rsidRPr="00311472" w:rsidRDefault="00F62BFE" w:rsidP="00381B61">
      <w:pPr>
        <w:pStyle w:val="Notedebasdepage"/>
        <w:rPr>
          <w:rFonts w:ascii="Book Antiqua" w:hAnsi="Book Antiqua"/>
          <w:sz w:val="18"/>
          <w:szCs w:val="18"/>
        </w:rPr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2">
    <w:p w:rsidR="00F62BFE" w:rsidRPr="00311472" w:rsidRDefault="00F62BFE" w:rsidP="00381B61">
      <w:pPr>
        <w:pStyle w:val="Corpsdetexte"/>
        <w:bidi w:val="0"/>
        <w:rPr>
          <w:rFonts w:ascii="Book Antiqua" w:hAnsi="Book Antiqua"/>
          <w:sz w:val="18"/>
          <w:szCs w:val="18"/>
        </w:rPr>
      </w:pPr>
      <w:r w:rsidRPr="00311472">
        <w:rPr>
          <w:rStyle w:val="Appelnotedebasdep"/>
          <w:rFonts w:ascii="Book Antiqua" w:hAnsi="Book Antiqua"/>
        </w:rPr>
        <w:footnoteRef/>
      </w:r>
      <w:r w:rsidRPr="00311472">
        <w:rPr>
          <w:rFonts w:ascii="Book Antiqua" w:hAnsi="Book Antiqua"/>
        </w:rP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  <w:p w:rsidR="00F62BFE" w:rsidRDefault="00F62BFE" w:rsidP="00381B61">
      <w:pPr>
        <w:pStyle w:val="Notedebasdepage"/>
      </w:pPr>
    </w:p>
  </w:footnote>
  <w:footnote w:id="3">
    <w:p w:rsidR="00F62BFE" w:rsidRDefault="00F62BFE" w:rsidP="00892C5F">
      <w:pPr>
        <w:pStyle w:val="Notedebasdepage"/>
        <w:rPr>
          <w:rFonts w:ascii="Book Antiqua" w:hAnsi="Book Antiqua"/>
          <w:spacing w:val="-2"/>
          <w:sz w:val="18"/>
          <w:szCs w:val="18"/>
          <w:lang w:eastAsia="en-US"/>
        </w:rPr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 xml:space="preserve">iveau moyen regroupent les certificats de l'enseignement primaire, ceux du secondaire collégial et les </w:t>
      </w:r>
      <w:r>
        <w:rPr>
          <w:rFonts w:ascii="Book Antiqua" w:hAnsi="Book Antiqua"/>
          <w:spacing w:val="-2"/>
          <w:sz w:val="18"/>
          <w:szCs w:val="18"/>
          <w:lang w:eastAsia="en-US"/>
        </w:rPr>
        <w:t xml:space="preserve"> </w:t>
      </w:r>
    </w:p>
    <w:p w:rsidR="00F62BFE" w:rsidRDefault="00F62BFE" w:rsidP="00892C5F">
      <w:pPr>
        <w:pStyle w:val="Notedebasdepage"/>
      </w:pP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diplômes de qualification ou de spécialisation professionnelle.</w:t>
      </w:r>
    </w:p>
  </w:footnote>
  <w:footnote w:id="4">
    <w:p w:rsidR="00F62BFE" w:rsidRDefault="00F62BFE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11472">
        <w:rPr>
          <w:rFonts w:ascii="Book Antiqua" w:hAnsi="Book Antiqua"/>
          <w:sz w:val="18"/>
          <w:szCs w:val="18"/>
        </w:rPr>
        <w:t>Les diplômes de n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iveau</w:t>
      </w:r>
      <w:r w:rsidRPr="00311472">
        <w:rPr>
          <w:rFonts w:ascii="Book Antiqua" w:hAnsi="Book Antiqua"/>
          <w:sz w:val="18"/>
          <w:szCs w:val="18"/>
        </w:rPr>
        <w:t xml:space="preserve"> supérieur </w:t>
      </w:r>
      <w:r w:rsidRPr="00311472">
        <w:rPr>
          <w:rFonts w:ascii="Book Antiqua" w:hAnsi="Book Antiqua"/>
          <w:spacing w:val="-2"/>
          <w:sz w:val="18"/>
          <w:szCs w:val="18"/>
          <w:lang w:eastAsia="en-US"/>
        </w:rPr>
        <w:t>regroupent les b</w:t>
      </w:r>
      <w:r w:rsidRPr="00311472">
        <w:rPr>
          <w:rFonts w:ascii="Book Antiqua" w:hAnsi="Book Antiqua"/>
          <w:sz w:val="18"/>
          <w:szCs w:val="18"/>
        </w:rPr>
        <w:t>accalauréats, les diplômes de techniciens ou de techniciens</w:t>
      </w:r>
      <w:r>
        <w:rPr>
          <w:rFonts w:ascii="Book Antiqua" w:hAnsi="Book Antiqua"/>
          <w:sz w:val="18"/>
          <w:szCs w:val="18"/>
        </w:rPr>
        <w:t xml:space="preserve">   </w:t>
      </w:r>
      <w:r w:rsidRPr="00311472">
        <w:rPr>
          <w:rFonts w:ascii="Book Antiqua" w:hAnsi="Book Antiqua"/>
          <w:sz w:val="18"/>
          <w:szCs w:val="18"/>
        </w:rPr>
        <w:t>spécialisés et les diplômes d'enseignement supérieur (facultés, grandes écoles et instituts).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8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"/>
  </w:num>
  <w:num w:numId="16">
    <w:abstractNumId w:val="7"/>
  </w:num>
  <w:num w:numId="17">
    <w:abstractNumId w:val="10"/>
  </w:num>
  <w:num w:numId="18">
    <w:abstractNumId w:val="1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BDC"/>
    <w:rsid w:val="000015A4"/>
    <w:rsid w:val="000029B4"/>
    <w:rsid w:val="00007A4E"/>
    <w:rsid w:val="00012209"/>
    <w:rsid w:val="00014CF6"/>
    <w:rsid w:val="0001609E"/>
    <w:rsid w:val="00023B22"/>
    <w:rsid w:val="0002457C"/>
    <w:rsid w:val="00025176"/>
    <w:rsid w:val="00027624"/>
    <w:rsid w:val="00031FF6"/>
    <w:rsid w:val="0003474C"/>
    <w:rsid w:val="00045ADB"/>
    <w:rsid w:val="00047EAC"/>
    <w:rsid w:val="00052B08"/>
    <w:rsid w:val="00053261"/>
    <w:rsid w:val="000535DC"/>
    <w:rsid w:val="0005471B"/>
    <w:rsid w:val="0005611A"/>
    <w:rsid w:val="000715D1"/>
    <w:rsid w:val="00071E0C"/>
    <w:rsid w:val="00080969"/>
    <w:rsid w:val="000900D2"/>
    <w:rsid w:val="00090934"/>
    <w:rsid w:val="000A0D52"/>
    <w:rsid w:val="000B0043"/>
    <w:rsid w:val="000B4017"/>
    <w:rsid w:val="000B6FCD"/>
    <w:rsid w:val="000C2E8B"/>
    <w:rsid w:val="000C6A60"/>
    <w:rsid w:val="000D1994"/>
    <w:rsid w:val="000D2029"/>
    <w:rsid w:val="000D32D4"/>
    <w:rsid w:val="000D3D51"/>
    <w:rsid w:val="000F276F"/>
    <w:rsid w:val="000F5277"/>
    <w:rsid w:val="00100B48"/>
    <w:rsid w:val="00105F5B"/>
    <w:rsid w:val="001079B3"/>
    <w:rsid w:val="001228F8"/>
    <w:rsid w:val="00125739"/>
    <w:rsid w:val="001445C3"/>
    <w:rsid w:val="001445F1"/>
    <w:rsid w:val="001473F7"/>
    <w:rsid w:val="00150CAC"/>
    <w:rsid w:val="00151855"/>
    <w:rsid w:val="00155BE8"/>
    <w:rsid w:val="00164573"/>
    <w:rsid w:val="00166584"/>
    <w:rsid w:val="001702E4"/>
    <w:rsid w:val="001775DE"/>
    <w:rsid w:val="001800F6"/>
    <w:rsid w:val="00182B14"/>
    <w:rsid w:val="00191D38"/>
    <w:rsid w:val="00193E74"/>
    <w:rsid w:val="0019622A"/>
    <w:rsid w:val="00197961"/>
    <w:rsid w:val="00197FBA"/>
    <w:rsid w:val="001A5213"/>
    <w:rsid w:val="001A5788"/>
    <w:rsid w:val="001A57B8"/>
    <w:rsid w:val="001B2C86"/>
    <w:rsid w:val="001B6226"/>
    <w:rsid w:val="001C3191"/>
    <w:rsid w:val="001C369C"/>
    <w:rsid w:val="001C477B"/>
    <w:rsid w:val="001D6147"/>
    <w:rsid w:val="001D6F08"/>
    <w:rsid w:val="001D719B"/>
    <w:rsid w:val="001D7675"/>
    <w:rsid w:val="001E3468"/>
    <w:rsid w:val="001E5A43"/>
    <w:rsid w:val="001F137F"/>
    <w:rsid w:val="00200DD0"/>
    <w:rsid w:val="00201055"/>
    <w:rsid w:val="00203B9A"/>
    <w:rsid w:val="00204CC1"/>
    <w:rsid w:val="00205B08"/>
    <w:rsid w:val="00207BA8"/>
    <w:rsid w:val="00216395"/>
    <w:rsid w:val="00225716"/>
    <w:rsid w:val="002335AD"/>
    <w:rsid w:val="00234931"/>
    <w:rsid w:val="00244452"/>
    <w:rsid w:val="00244488"/>
    <w:rsid w:val="002447AE"/>
    <w:rsid w:val="0024749E"/>
    <w:rsid w:val="00253C9D"/>
    <w:rsid w:val="002550EB"/>
    <w:rsid w:val="00256058"/>
    <w:rsid w:val="00264153"/>
    <w:rsid w:val="002642AB"/>
    <w:rsid w:val="00267DE0"/>
    <w:rsid w:val="00273D96"/>
    <w:rsid w:val="0027596D"/>
    <w:rsid w:val="00275F0E"/>
    <w:rsid w:val="00280596"/>
    <w:rsid w:val="00291E1C"/>
    <w:rsid w:val="00293100"/>
    <w:rsid w:val="0029702A"/>
    <w:rsid w:val="00297F0C"/>
    <w:rsid w:val="002A3437"/>
    <w:rsid w:val="002A3476"/>
    <w:rsid w:val="002A705A"/>
    <w:rsid w:val="002A7861"/>
    <w:rsid w:val="002B629F"/>
    <w:rsid w:val="002B7327"/>
    <w:rsid w:val="002C0306"/>
    <w:rsid w:val="002D1103"/>
    <w:rsid w:val="002D2075"/>
    <w:rsid w:val="002E0D12"/>
    <w:rsid w:val="002E3D9E"/>
    <w:rsid w:val="002E48A8"/>
    <w:rsid w:val="002F73C3"/>
    <w:rsid w:val="003035A3"/>
    <w:rsid w:val="00303C6A"/>
    <w:rsid w:val="00303D9A"/>
    <w:rsid w:val="003046FF"/>
    <w:rsid w:val="00305CAE"/>
    <w:rsid w:val="00307038"/>
    <w:rsid w:val="00307067"/>
    <w:rsid w:val="003072C7"/>
    <w:rsid w:val="00311472"/>
    <w:rsid w:val="00311A35"/>
    <w:rsid w:val="0031382D"/>
    <w:rsid w:val="00313CE5"/>
    <w:rsid w:val="003243C6"/>
    <w:rsid w:val="00327BD8"/>
    <w:rsid w:val="003406FA"/>
    <w:rsid w:val="003445F5"/>
    <w:rsid w:val="00346C90"/>
    <w:rsid w:val="00351749"/>
    <w:rsid w:val="0035285B"/>
    <w:rsid w:val="00354F8F"/>
    <w:rsid w:val="0035578A"/>
    <w:rsid w:val="0035742B"/>
    <w:rsid w:val="0035750D"/>
    <w:rsid w:val="00361E6C"/>
    <w:rsid w:val="00370F71"/>
    <w:rsid w:val="00377111"/>
    <w:rsid w:val="00381B61"/>
    <w:rsid w:val="0038352E"/>
    <w:rsid w:val="0038586F"/>
    <w:rsid w:val="00387079"/>
    <w:rsid w:val="00392DE5"/>
    <w:rsid w:val="003945EC"/>
    <w:rsid w:val="003A41F5"/>
    <w:rsid w:val="003B2C21"/>
    <w:rsid w:val="003B35FC"/>
    <w:rsid w:val="003B400A"/>
    <w:rsid w:val="003B532C"/>
    <w:rsid w:val="003C240C"/>
    <w:rsid w:val="003C2899"/>
    <w:rsid w:val="003C7757"/>
    <w:rsid w:val="003D37FE"/>
    <w:rsid w:val="003E021C"/>
    <w:rsid w:val="003E4EB0"/>
    <w:rsid w:val="003E663D"/>
    <w:rsid w:val="003F4A7E"/>
    <w:rsid w:val="00411874"/>
    <w:rsid w:val="004146F6"/>
    <w:rsid w:val="00414AD2"/>
    <w:rsid w:val="004215CF"/>
    <w:rsid w:val="004262C7"/>
    <w:rsid w:val="00431406"/>
    <w:rsid w:val="00432DAC"/>
    <w:rsid w:val="00436F02"/>
    <w:rsid w:val="00444B04"/>
    <w:rsid w:val="0044517B"/>
    <w:rsid w:val="0044729D"/>
    <w:rsid w:val="00463923"/>
    <w:rsid w:val="00464B5F"/>
    <w:rsid w:val="004726D3"/>
    <w:rsid w:val="00474154"/>
    <w:rsid w:val="00474B68"/>
    <w:rsid w:val="004775BA"/>
    <w:rsid w:val="004818D7"/>
    <w:rsid w:val="004818EB"/>
    <w:rsid w:val="00482CD8"/>
    <w:rsid w:val="004834B6"/>
    <w:rsid w:val="00492B99"/>
    <w:rsid w:val="004949BA"/>
    <w:rsid w:val="004A3499"/>
    <w:rsid w:val="004A3846"/>
    <w:rsid w:val="004A59B6"/>
    <w:rsid w:val="004A6B2B"/>
    <w:rsid w:val="004C23E4"/>
    <w:rsid w:val="004D4F7E"/>
    <w:rsid w:val="004E330E"/>
    <w:rsid w:val="004E591D"/>
    <w:rsid w:val="004E6FB0"/>
    <w:rsid w:val="004F377E"/>
    <w:rsid w:val="004F7EDC"/>
    <w:rsid w:val="00502EB0"/>
    <w:rsid w:val="005049E1"/>
    <w:rsid w:val="00507CA9"/>
    <w:rsid w:val="005146C1"/>
    <w:rsid w:val="00515B78"/>
    <w:rsid w:val="00516A0D"/>
    <w:rsid w:val="00530415"/>
    <w:rsid w:val="00533D58"/>
    <w:rsid w:val="005342C2"/>
    <w:rsid w:val="00535072"/>
    <w:rsid w:val="005363B1"/>
    <w:rsid w:val="00556660"/>
    <w:rsid w:val="005575CD"/>
    <w:rsid w:val="00560D4E"/>
    <w:rsid w:val="005642FA"/>
    <w:rsid w:val="0057235B"/>
    <w:rsid w:val="00572956"/>
    <w:rsid w:val="00583F4A"/>
    <w:rsid w:val="00587F1E"/>
    <w:rsid w:val="00592218"/>
    <w:rsid w:val="005922C0"/>
    <w:rsid w:val="005970B1"/>
    <w:rsid w:val="0059727A"/>
    <w:rsid w:val="00597A38"/>
    <w:rsid w:val="005A2F48"/>
    <w:rsid w:val="005A57E6"/>
    <w:rsid w:val="005B2835"/>
    <w:rsid w:val="005B2838"/>
    <w:rsid w:val="005B7D3B"/>
    <w:rsid w:val="005C1E3E"/>
    <w:rsid w:val="005C4A2E"/>
    <w:rsid w:val="005C6E59"/>
    <w:rsid w:val="005D23A6"/>
    <w:rsid w:val="005D2D4F"/>
    <w:rsid w:val="005D6096"/>
    <w:rsid w:val="005E24F2"/>
    <w:rsid w:val="005E69FF"/>
    <w:rsid w:val="005F14B1"/>
    <w:rsid w:val="005F70F7"/>
    <w:rsid w:val="005F745D"/>
    <w:rsid w:val="006001CC"/>
    <w:rsid w:val="006022C1"/>
    <w:rsid w:val="006028B8"/>
    <w:rsid w:val="00604E42"/>
    <w:rsid w:val="00607EFC"/>
    <w:rsid w:val="00614BAE"/>
    <w:rsid w:val="006158A0"/>
    <w:rsid w:val="006214A1"/>
    <w:rsid w:val="00621920"/>
    <w:rsid w:val="0062483C"/>
    <w:rsid w:val="00633255"/>
    <w:rsid w:val="00634C97"/>
    <w:rsid w:val="006369B4"/>
    <w:rsid w:val="00636A68"/>
    <w:rsid w:val="0064010A"/>
    <w:rsid w:val="00642C11"/>
    <w:rsid w:val="00646F82"/>
    <w:rsid w:val="0065328B"/>
    <w:rsid w:val="00654EF2"/>
    <w:rsid w:val="00657783"/>
    <w:rsid w:val="0066326E"/>
    <w:rsid w:val="006634E5"/>
    <w:rsid w:val="00665ACB"/>
    <w:rsid w:val="00667A70"/>
    <w:rsid w:val="00672098"/>
    <w:rsid w:val="00672B4E"/>
    <w:rsid w:val="0067620B"/>
    <w:rsid w:val="00681EB8"/>
    <w:rsid w:val="00685BA7"/>
    <w:rsid w:val="00694793"/>
    <w:rsid w:val="00694C10"/>
    <w:rsid w:val="006A0743"/>
    <w:rsid w:val="006A2722"/>
    <w:rsid w:val="006A4DCA"/>
    <w:rsid w:val="006B076E"/>
    <w:rsid w:val="006B2DCD"/>
    <w:rsid w:val="006C142E"/>
    <w:rsid w:val="006C359E"/>
    <w:rsid w:val="006C41C1"/>
    <w:rsid w:val="006C68BB"/>
    <w:rsid w:val="006D0CFB"/>
    <w:rsid w:val="006D3CA9"/>
    <w:rsid w:val="006D689B"/>
    <w:rsid w:val="006E1D3F"/>
    <w:rsid w:val="006E2D69"/>
    <w:rsid w:val="006E461B"/>
    <w:rsid w:val="006F2D9D"/>
    <w:rsid w:val="006F3794"/>
    <w:rsid w:val="00705B2E"/>
    <w:rsid w:val="00706D1C"/>
    <w:rsid w:val="00713ABE"/>
    <w:rsid w:val="00716BE5"/>
    <w:rsid w:val="0072069C"/>
    <w:rsid w:val="0072517B"/>
    <w:rsid w:val="007277B9"/>
    <w:rsid w:val="00730B4C"/>
    <w:rsid w:val="00732456"/>
    <w:rsid w:val="00740F5B"/>
    <w:rsid w:val="00742277"/>
    <w:rsid w:val="007424CD"/>
    <w:rsid w:val="00743217"/>
    <w:rsid w:val="007456F0"/>
    <w:rsid w:val="0074595C"/>
    <w:rsid w:val="00746423"/>
    <w:rsid w:val="0075120C"/>
    <w:rsid w:val="00751B43"/>
    <w:rsid w:val="00752217"/>
    <w:rsid w:val="00764681"/>
    <w:rsid w:val="00775D0D"/>
    <w:rsid w:val="00777E3D"/>
    <w:rsid w:val="0078131E"/>
    <w:rsid w:val="00782432"/>
    <w:rsid w:val="00783D65"/>
    <w:rsid w:val="007857AC"/>
    <w:rsid w:val="00791326"/>
    <w:rsid w:val="00791E7E"/>
    <w:rsid w:val="007936D6"/>
    <w:rsid w:val="007B126F"/>
    <w:rsid w:val="007B3A82"/>
    <w:rsid w:val="007B5C17"/>
    <w:rsid w:val="007C30FE"/>
    <w:rsid w:val="007D5A6D"/>
    <w:rsid w:val="007D5E7D"/>
    <w:rsid w:val="007E1DE7"/>
    <w:rsid w:val="007F16AC"/>
    <w:rsid w:val="007F2254"/>
    <w:rsid w:val="007F7C47"/>
    <w:rsid w:val="0080168E"/>
    <w:rsid w:val="0080418B"/>
    <w:rsid w:val="00805FAC"/>
    <w:rsid w:val="0080608B"/>
    <w:rsid w:val="00806D62"/>
    <w:rsid w:val="00816005"/>
    <w:rsid w:val="008214B6"/>
    <w:rsid w:val="0082726C"/>
    <w:rsid w:val="00834DCB"/>
    <w:rsid w:val="00835CB2"/>
    <w:rsid w:val="00840CB8"/>
    <w:rsid w:val="00841ED2"/>
    <w:rsid w:val="0084252C"/>
    <w:rsid w:val="0084327E"/>
    <w:rsid w:val="00847328"/>
    <w:rsid w:val="00852DEE"/>
    <w:rsid w:val="00855EAB"/>
    <w:rsid w:val="00863346"/>
    <w:rsid w:val="008639C7"/>
    <w:rsid w:val="00865125"/>
    <w:rsid w:val="00866FDE"/>
    <w:rsid w:val="00871AAB"/>
    <w:rsid w:val="0087218B"/>
    <w:rsid w:val="00872CCC"/>
    <w:rsid w:val="00873FB9"/>
    <w:rsid w:val="0087452E"/>
    <w:rsid w:val="00883636"/>
    <w:rsid w:val="00886D96"/>
    <w:rsid w:val="00892C5F"/>
    <w:rsid w:val="00893381"/>
    <w:rsid w:val="008964E5"/>
    <w:rsid w:val="008A0539"/>
    <w:rsid w:val="008A4829"/>
    <w:rsid w:val="008A5D0E"/>
    <w:rsid w:val="008B0CB8"/>
    <w:rsid w:val="008B2A79"/>
    <w:rsid w:val="008B2D86"/>
    <w:rsid w:val="008B5448"/>
    <w:rsid w:val="008B7DD6"/>
    <w:rsid w:val="008C0C61"/>
    <w:rsid w:val="008C2987"/>
    <w:rsid w:val="008C428E"/>
    <w:rsid w:val="008C44D7"/>
    <w:rsid w:val="008D2488"/>
    <w:rsid w:val="008D2845"/>
    <w:rsid w:val="008D32FF"/>
    <w:rsid w:val="008D455D"/>
    <w:rsid w:val="008D6077"/>
    <w:rsid w:val="008D6162"/>
    <w:rsid w:val="008D7EAE"/>
    <w:rsid w:val="008E1CEA"/>
    <w:rsid w:val="008F3EBA"/>
    <w:rsid w:val="008F428D"/>
    <w:rsid w:val="008F7814"/>
    <w:rsid w:val="00900F36"/>
    <w:rsid w:val="00902541"/>
    <w:rsid w:val="00902A5B"/>
    <w:rsid w:val="009132CA"/>
    <w:rsid w:val="00915E14"/>
    <w:rsid w:val="00923A85"/>
    <w:rsid w:val="00925593"/>
    <w:rsid w:val="00927937"/>
    <w:rsid w:val="00931762"/>
    <w:rsid w:val="00934160"/>
    <w:rsid w:val="00935004"/>
    <w:rsid w:val="0094405F"/>
    <w:rsid w:val="0094638B"/>
    <w:rsid w:val="00947677"/>
    <w:rsid w:val="00952068"/>
    <w:rsid w:val="009539AD"/>
    <w:rsid w:val="00956A1E"/>
    <w:rsid w:val="009571E7"/>
    <w:rsid w:val="00960C43"/>
    <w:rsid w:val="00965C94"/>
    <w:rsid w:val="0096715A"/>
    <w:rsid w:val="009731AB"/>
    <w:rsid w:val="00976A52"/>
    <w:rsid w:val="00981804"/>
    <w:rsid w:val="00987527"/>
    <w:rsid w:val="00992B57"/>
    <w:rsid w:val="00993485"/>
    <w:rsid w:val="009A1CD6"/>
    <w:rsid w:val="009A22DD"/>
    <w:rsid w:val="009A6740"/>
    <w:rsid w:val="009B1B4B"/>
    <w:rsid w:val="009B1D56"/>
    <w:rsid w:val="009B26C4"/>
    <w:rsid w:val="009B30F8"/>
    <w:rsid w:val="009B7BDC"/>
    <w:rsid w:val="009C0B6B"/>
    <w:rsid w:val="009C3B34"/>
    <w:rsid w:val="009C3EFD"/>
    <w:rsid w:val="009C4E5B"/>
    <w:rsid w:val="009C4F70"/>
    <w:rsid w:val="009C673F"/>
    <w:rsid w:val="009D0019"/>
    <w:rsid w:val="009D2A50"/>
    <w:rsid w:val="009D336C"/>
    <w:rsid w:val="009E0235"/>
    <w:rsid w:val="009E7C97"/>
    <w:rsid w:val="009F2CF0"/>
    <w:rsid w:val="009F58FE"/>
    <w:rsid w:val="009F5BFE"/>
    <w:rsid w:val="00A0226B"/>
    <w:rsid w:val="00A02809"/>
    <w:rsid w:val="00A0638C"/>
    <w:rsid w:val="00A06968"/>
    <w:rsid w:val="00A12D94"/>
    <w:rsid w:val="00A31234"/>
    <w:rsid w:val="00A36CDC"/>
    <w:rsid w:val="00A45DD7"/>
    <w:rsid w:val="00A50E6D"/>
    <w:rsid w:val="00A52744"/>
    <w:rsid w:val="00A54037"/>
    <w:rsid w:val="00A57935"/>
    <w:rsid w:val="00A57BAB"/>
    <w:rsid w:val="00A6451A"/>
    <w:rsid w:val="00A6474A"/>
    <w:rsid w:val="00A65CE8"/>
    <w:rsid w:val="00A72BAA"/>
    <w:rsid w:val="00A835C5"/>
    <w:rsid w:val="00A879D1"/>
    <w:rsid w:val="00A937D3"/>
    <w:rsid w:val="00A94292"/>
    <w:rsid w:val="00A97464"/>
    <w:rsid w:val="00AA4A20"/>
    <w:rsid w:val="00AA512A"/>
    <w:rsid w:val="00AA70BD"/>
    <w:rsid w:val="00AB0075"/>
    <w:rsid w:val="00AB33E6"/>
    <w:rsid w:val="00AC0F7F"/>
    <w:rsid w:val="00AD08C6"/>
    <w:rsid w:val="00AD2408"/>
    <w:rsid w:val="00AD364F"/>
    <w:rsid w:val="00AD37BE"/>
    <w:rsid w:val="00AE04B1"/>
    <w:rsid w:val="00AE077C"/>
    <w:rsid w:val="00AF3DB7"/>
    <w:rsid w:val="00AF43AB"/>
    <w:rsid w:val="00B013CE"/>
    <w:rsid w:val="00B014CA"/>
    <w:rsid w:val="00B0628E"/>
    <w:rsid w:val="00B20553"/>
    <w:rsid w:val="00B2064A"/>
    <w:rsid w:val="00B22D2B"/>
    <w:rsid w:val="00B2439C"/>
    <w:rsid w:val="00B2485D"/>
    <w:rsid w:val="00B26924"/>
    <w:rsid w:val="00B27800"/>
    <w:rsid w:val="00B32C82"/>
    <w:rsid w:val="00B33A95"/>
    <w:rsid w:val="00B40C98"/>
    <w:rsid w:val="00B43912"/>
    <w:rsid w:val="00B4492B"/>
    <w:rsid w:val="00B46596"/>
    <w:rsid w:val="00B54326"/>
    <w:rsid w:val="00B54E55"/>
    <w:rsid w:val="00B62799"/>
    <w:rsid w:val="00B6404D"/>
    <w:rsid w:val="00B66237"/>
    <w:rsid w:val="00B674A3"/>
    <w:rsid w:val="00B678F1"/>
    <w:rsid w:val="00B707A9"/>
    <w:rsid w:val="00B73CFD"/>
    <w:rsid w:val="00B74D22"/>
    <w:rsid w:val="00B7581A"/>
    <w:rsid w:val="00B764BF"/>
    <w:rsid w:val="00B83965"/>
    <w:rsid w:val="00B87D64"/>
    <w:rsid w:val="00B93465"/>
    <w:rsid w:val="00BA20F0"/>
    <w:rsid w:val="00BA4E21"/>
    <w:rsid w:val="00BA5365"/>
    <w:rsid w:val="00BA59DF"/>
    <w:rsid w:val="00BA6BC7"/>
    <w:rsid w:val="00BC0EBE"/>
    <w:rsid w:val="00BC6AD1"/>
    <w:rsid w:val="00BC7ECE"/>
    <w:rsid w:val="00BD33A3"/>
    <w:rsid w:val="00BD7FC2"/>
    <w:rsid w:val="00BE272A"/>
    <w:rsid w:val="00BE3244"/>
    <w:rsid w:val="00BE3938"/>
    <w:rsid w:val="00BE5A69"/>
    <w:rsid w:val="00BF425F"/>
    <w:rsid w:val="00BF4FB3"/>
    <w:rsid w:val="00BF7C03"/>
    <w:rsid w:val="00BF7DB6"/>
    <w:rsid w:val="00C01D64"/>
    <w:rsid w:val="00C036B7"/>
    <w:rsid w:val="00C04EB8"/>
    <w:rsid w:val="00C052CA"/>
    <w:rsid w:val="00C13E1A"/>
    <w:rsid w:val="00C15FCB"/>
    <w:rsid w:val="00C21D61"/>
    <w:rsid w:val="00C21E24"/>
    <w:rsid w:val="00C26C95"/>
    <w:rsid w:val="00C30D44"/>
    <w:rsid w:val="00C32F4C"/>
    <w:rsid w:val="00C32FD0"/>
    <w:rsid w:val="00C340BE"/>
    <w:rsid w:val="00C348E2"/>
    <w:rsid w:val="00C412DC"/>
    <w:rsid w:val="00C4131A"/>
    <w:rsid w:val="00C468BB"/>
    <w:rsid w:val="00C52E95"/>
    <w:rsid w:val="00C534A2"/>
    <w:rsid w:val="00C56D59"/>
    <w:rsid w:val="00C575B2"/>
    <w:rsid w:val="00C63ABB"/>
    <w:rsid w:val="00C64164"/>
    <w:rsid w:val="00C6785E"/>
    <w:rsid w:val="00C72658"/>
    <w:rsid w:val="00C770A9"/>
    <w:rsid w:val="00C8588B"/>
    <w:rsid w:val="00C85D09"/>
    <w:rsid w:val="00CA34D5"/>
    <w:rsid w:val="00CA7892"/>
    <w:rsid w:val="00CA7ADD"/>
    <w:rsid w:val="00CB16CC"/>
    <w:rsid w:val="00CB42CC"/>
    <w:rsid w:val="00CC2F7C"/>
    <w:rsid w:val="00CE004D"/>
    <w:rsid w:val="00CE0586"/>
    <w:rsid w:val="00CE16AF"/>
    <w:rsid w:val="00CE731B"/>
    <w:rsid w:val="00CF0D64"/>
    <w:rsid w:val="00CF16AB"/>
    <w:rsid w:val="00CF20CE"/>
    <w:rsid w:val="00CF4720"/>
    <w:rsid w:val="00D06F37"/>
    <w:rsid w:val="00D1318D"/>
    <w:rsid w:val="00D15AB8"/>
    <w:rsid w:val="00D15E0E"/>
    <w:rsid w:val="00D1642D"/>
    <w:rsid w:val="00D16A36"/>
    <w:rsid w:val="00D21548"/>
    <w:rsid w:val="00D22582"/>
    <w:rsid w:val="00D22A43"/>
    <w:rsid w:val="00D27792"/>
    <w:rsid w:val="00D34004"/>
    <w:rsid w:val="00D3452B"/>
    <w:rsid w:val="00D41611"/>
    <w:rsid w:val="00D41F27"/>
    <w:rsid w:val="00D42D51"/>
    <w:rsid w:val="00D43119"/>
    <w:rsid w:val="00D44710"/>
    <w:rsid w:val="00D4715F"/>
    <w:rsid w:val="00D52766"/>
    <w:rsid w:val="00D529CA"/>
    <w:rsid w:val="00D61357"/>
    <w:rsid w:val="00D6390E"/>
    <w:rsid w:val="00D7002C"/>
    <w:rsid w:val="00D702F1"/>
    <w:rsid w:val="00D73EC3"/>
    <w:rsid w:val="00D75679"/>
    <w:rsid w:val="00D758AC"/>
    <w:rsid w:val="00D75E66"/>
    <w:rsid w:val="00D850B6"/>
    <w:rsid w:val="00D86869"/>
    <w:rsid w:val="00D87F73"/>
    <w:rsid w:val="00D934F7"/>
    <w:rsid w:val="00D95E34"/>
    <w:rsid w:val="00DA0CE0"/>
    <w:rsid w:val="00DA0EEF"/>
    <w:rsid w:val="00DB2E54"/>
    <w:rsid w:val="00DB4F6D"/>
    <w:rsid w:val="00DB5026"/>
    <w:rsid w:val="00DB580E"/>
    <w:rsid w:val="00DB6160"/>
    <w:rsid w:val="00DB6B54"/>
    <w:rsid w:val="00DC4FEE"/>
    <w:rsid w:val="00DC5686"/>
    <w:rsid w:val="00DC6A04"/>
    <w:rsid w:val="00DD32F8"/>
    <w:rsid w:val="00DE0504"/>
    <w:rsid w:val="00DE4026"/>
    <w:rsid w:val="00DE5373"/>
    <w:rsid w:val="00DE6548"/>
    <w:rsid w:val="00DE673C"/>
    <w:rsid w:val="00DF00DB"/>
    <w:rsid w:val="00DF44AC"/>
    <w:rsid w:val="00DF780D"/>
    <w:rsid w:val="00E02692"/>
    <w:rsid w:val="00E03282"/>
    <w:rsid w:val="00E032BB"/>
    <w:rsid w:val="00E0457E"/>
    <w:rsid w:val="00E04A33"/>
    <w:rsid w:val="00E13734"/>
    <w:rsid w:val="00E1470F"/>
    <w:rsid w:val="00E15220"/>
    <w:rsid w:val="00E15EA0"/>
    <w:rsid w:val="00E207B2"/>
    <w:rsid w:val="00E238BE"/>
    <w:rsid w:val="00E24B56"/>
    <w:rsid w:val="00E254B2"/>
    <w:rsid w:val="00E36DB9"/>
    <w:rsid w:val="00E37522"/>
    <w:rsid w:val="00E375D2"/>
    <w:rsid w:val="00E5283D"/>
    <w:rsid w:val="00E53E1F"/>
    <w:rsid w:val="00E601FA"/>
    <w:rsid w:val="00E61463"/>
    <w:rsid w:val="00E6458E"/>
    <w:rsid w:val="00E66730"/>
    <w:rsid w:val="00E71773"/>
    <w:rsid w:val="00E8038E"/>
    <w:rsid w:val="00E93822"/>
    <w:rsid w:val="00E93A26"/>
    <w:rsid w:val="00EA0115"/>
    <w:rsid w:val="00EA124A"/>
    <w:rsid w:val="00EA1C1B"/>
    <w:rsid w:val="00EA273C"/>
    <w:rsid w:val="00EA607C"/>
    <w:rsid w:val="00EA65BF"/>
    <w:rsid w:val="00EB48C5"/>
    <w:rsid w:val="00EB5B54"/>
    <w:rsid w:val="00EC49A3"/>
    <w:rsid w:val="00ED2D75"/>
    <w:rsid w:val="00ED4A11"/>
    <w:rsid w:val="00ED5807"/>
    <w:rsid w:val="00ED6F17"/>
    <w:rsid w:val="00ED7017"/>
    <w:rsid w:val="00ED7C0C"/>
    <w:rsid w:val="00EE0858"/>
    <w:rsid w:val="00EF4231"/>
    <w:rsid w:val="00EF6481"/>
    <w:rsid w:val="00EF76C7"/>
    <w:rsid w:val="00F043B0"/>
    <w:rsid w:val="00F07620"/>
    <w:rsid w:val="00F15554"/>
    <w:rsid w:val="00F158A0"/>
    <w:rsid w:val="00F23529"/>
    <w:rsid w:val="00F26674"/>
    <w:rsid w:val="00F27146"/>
    <w:rsid w:val="00F3162B"/>
    <w:rsid w:val="00F317A4"/>
    <w:rsid w:val="00F36F1A"/>
    <w:rsid w:val="00F37EA1"/>
    <w:rsid w:val="00F40070"/>
    <w:rsid w:val="00F41952"/>
    <w:rsid w:val="00F436C6"/>
    <w:rsid w:val="00F55849"/>
    <w:rsid w:val="00F62BFE"/>
    <w:rsid w:val="00F64AA8"/>
    <w:rsid w:val="00F7158B"/>
    <w:rsid w:val="00F71AEA"/>
    <w:rsid w:val="00F75AF5"/>
    <w:rsid w:val="00F80228"/>
    <w:rsid w:val="00F80CEA"/>
    <w:rsid w:val="00F83AF7"/>
    <w:rsid w:val="00F860E1"/>
    <w:rsid w:val="00F90451"/>
    <w:rsid w:val="00F90B74"/>
    <w:rsid w:val="00F9300D"/>
    <w:rsid w:val="00FA0856"/>
    <w:rsid w:val="00FA11BD"/>
    <w:rsid w:val="00FA4487"/>
    <w:rsid w:val="00FA52A7"/>
    <w:rsid w:val="00FA663C"/>
    <w:rsid w:val="00FB00DD"/>
    <w:rsid w:val="00FB048E"/>
    <w:rsid w:val="00FB140D"/>
    <w:rsid w:val="00FD25BA"/>
    <w:rsid w:val="00FD363F"/>
    <w:rsid w:val="00FE30FC"/>
    <w:rsid w:val="00FF1960"/>
    <w:rsid w:val="00FF3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customStyle="1" w:styleId="Paragraphedeliste2">
    <w:name w:val="Paragraphe de liste2"/>
    <w:basedOn w:val="Normal"/>
    <w:rsid w:val="00EA124A"/>
    <w:pPr>
      <w:bidi w:val="0"/>
      <w:ind w:left="720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29A1-B42F-471C-BB3B-22391B96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2015-04-24T19:13:00Z</cp:lastPrinted>
  <dcterms:created xsi:type="dcterms:W3CDTF">2015-05-04T19:51:00Z</dcterms:created>
  <dcterms:modified xsi:type="dcterms:W3CDTF">2015-05-04T19:51:00Z</dcterms:modified>
</cp:coreProperties>
</file>