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82154D" w:rsidP="001B5473">
      <w:pPr>
        <w:ind w:right="-375"/>
      </w:pPr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489337395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Pr="00EF35A9" w:rsidRDefault="00914269" w:rsidP="001B5473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EF35A9">
        <w:rPr>
          <w:rFonts w:ascii="Times" w:hAnsi="Times" w:cs="Times"/>
          <w:color w:val="660033"/>
          <w:sz w:val="32"/>
          <w:szCs w:val="32"/>
        </w:rPr>
        <w:t>Note d’information sur la situation économique</w:t>
      </w:r>
      <w:r w:rsidR="00322ADA" w:rsidRPr="00EF35A9">
        <w:rPr>
          <w:rFonts w:ascii="Times" w:hAnsi="Times" w:cs="Times"/>
          <w:color w:val="660033"/>
          <w:sz w:val="32"/>
          <w:szCs w:val="32"/>
        </w:rPr>
        <w:t xml:space="preserve"> nationale</w:t>
      </w:r>
    </w:p>
    <w:p w:rsidR="00914269" w:rsidRPr="00EF35A9" w:rsidRDefault="00914269" w:rsidP="001C59CA">
      <w:pPr>
        <w:pStyle w:val="Titre"/>
        <w:spacing w:line="312" w:lineRule="auto"/>
        <w:ind w:right="-375"/>
        <w:rPr>
          <w:color w:val="660033"/>
          <w:sz w:val="32"/>
          <w:szCs w:val="32"/>
        </w:rPr>
      </w:pPr>
      <w:r w:rsidRPr="00EF35A9">
        <w:rPr>
          <w:rFonts w:ascii="Times" w:hAnsi="Times" w:cs="Times"/>
          <w:color w:val="660033"/>
          <w:sz w:val="32"/>
          <w:szCs w:val="32"/>
        </w:rPr>
        <w:t xml:space="preserve"> au </w:t>
      </w:r>
      <w:r w:rsidR="001C59CA">
        <w:rPr>
          <w:rFonts w:ascii="Times" w:hAnsi="Times" w:cs="Times"/>
          <w:color w:val="660033"/>
          <w:sz w:val="32"/>
          <w:szCs w:val="32"/>
        </w:rPr>
        <w:t xml:space="preserve">quatrième </w:t>
      </w:r>
      <w:r w:rsidRPr="00EF35A9">
        <w:rPr>
          <w:rFonts w:ascii="Times" w:hAnsi="Times" w:cs="Times"/>
          <w:color w:val="660033"/>
          <w:sz w:val="32"/>
          <w:szCs w:val="32"/>
        </w:rPr>
        <w:t>trimestre 201</w:t>
      </w:r>
      <w:r w:rsidR="003A6678" w:rsidRPr="00EF35A9">
        <w:rPr>
          <w:rFonts w:ascii="Times" w:hAnsi="Times" w:cs="Times"/>
          <w:color w:val="660033"/>
          <w:sz w:val="32"/>
          <w:szCs w:val="32"/>
        </w:rPr>
        <w:t>4</w:t>
      </w:r>
    </w:p>
    <w:p w:rsidR="00914269" w:rsidRDefault="00914269" w:rsidP="001B5473">
      <w:pPr>
        <w:pStyle w:val="Titre"/>
        <w:ind w:right="-375"/>
        <w:rPr>
          <w:rtl/>
        </w:rPr>
      </w:pPr>
    </w:p>
    <w:p w:rsidR="00F91BA9" w:rsidRDefault="001C59CA" w:rsidP="00906E1F">
      <w:pPr>
        <w:pStyle w:val="Titre3"/>
        <w:shd w:val="clear" w:color="auto" w:fill="FFFFFF"/>
        <w:jc w:val="both"/>
        <w:rPr>
          <w:sz w:val="26"/>
          <w:szCs w:val="26"/>
        </w:rPr>
      </w:pPr>
      <w:r w:rsidRPr="00FE7EB6">
        <w:rPr>
          <w:sz w:val="26"/>
          <w:szCs w:val="26"/>
        </w:rPr>
        <w:t xml:space="preserve">L’arrêté des comptes nationaux du quatrième trimestre 2014 </w:t>
      </w:r>
      <w:r w:rsidR="00AF43F8">
        <w:rPr>
          <w:sz w:val="26"/>
          <w:szCs w:val="26"/>
        </w:rPr>
        <w:t>donne</w:t>
      </w:r>
      <w:r w:rsidR="00FE7EB6" w:rsidRPr="00FE7EB6">
        <w:rPr>
          <w:sz w:val="26"/>
          <w:szCs w:val="26"/>
        </w:rPr>
        <w:t xml:space="preserve"> </w:t>
      </w:r>
      <w:r w:rsidR="00906E1F">
        <w:rPr>
          <w:sz w:val="26"/>
          <w:szCs w:val="26"/>
        </w:rPr>
        <w:t xml:space="preserve">une croissance économique de </w:t>
      </w:r>
      <w:r w:rsidRPr="000975F0">
        <w:rPr>
          <w:sz w:val="26"/>
          <w:szCs w:val="26"/>
        </w:rPr>
        <w:t>1,8%</w:t>
      </w:r>
      <w:r w:rsidR="00682A05">
        <w:rPr>
          <w:sz w:val="26"/>
          <w:szCs w:val="26"/>
        </w:rPr>
        <w:t xml:space="preserve"> au </w:t>
      </w:r>
      <w:r w:rsidR="00906E1F">
        <w:rPr>
          <w:sz w:val="26"/>
          <w:szCs w:val="26"/>
        </w:rPr>
        <w:t>cours de ce trimestre</w:t>
      </w:r>
      <w:r w:rsidR="007363FF">
        <w:rPr>
          <w:sz w:val="26"/>
          <w:szCs w:val="26"/>
        </w:rPr>
        <w:t>,</w:t>
      </w:r>
      <w:r w:rsidR="00906E1F">
        <w:rPr>
          <w:sz w:val="26"/>
          <w:szCs w:val="26"/>
        </w:rPr>
        <w:t xml:space="preserve"> </w:t>
      </w:r>
      <w:r w:rsidR="00016E49">
        <w:rPr>
          <w:sz w:val="26"/>
          <w:szCs w:val="26"/>
        </w:rPr>
        <w:t xml:space="preserve">au lieu </w:t>
      </w:r>
      <w:r w:rsidRPr="000975F0">
        <w:rPr>
          <w:sz w:val="26"/>
          <w:szCs w:val="26"/>
        </w:rPr>
        <w:t xml:space="preserve">de 4,6% durant la même période de l’année 2013. </w:t>
      </w:r>
      <w:r w:rsidR="00425678">
        <w:rPr>
          <w:sz w:val="26"/>
          <w:szCs w:val="26"/>
        </w:rPr>
        <w:t>Sur l</w:t>
      </w:r>
      <w:r w:rsidR="00F91BA9">
        <w:rPr>
          <w:sz w:val="26"/>
          <w:szCs w:val="26"/>
        </w:rPr>
        <w:t>’ensemble de l’année 2014</w:t>
      </w:r>
      <w:r w:rsidR="009B60D6">
        <w:rPr>
          <w:sz w:val="26"/>
          <w:szCs w:val="26"/>
        </w:rPr>
        <w:t>,</w:t>
      </w:r>
      <w:r w:rsidR="00F91BA9">
        <w:rPr>
          <w:sz w:val="26"/>
          <w:szCs w:val="26"/>
        </w:rPr>
        <w:t xml:space="preserve"> </w:t>
      </w:r>
      <w:r w:rsidR="00425678">
        <w:rPr>
          <w:sz w:val="26"/>
          <w:szCs w:val="26"/>
        </w:rPr>
        <w:t>l</w:t>
      </w:r>
      <w:r w:rsidR="00682A05">
        <w:rPr>
          <w:sz w:val="26"/>
          <w:szCs w:val="26"/>
        </w:rPr>
        <w:t>e taux provisoire de croissance aurait été</w:t>
      </w:r>
      <w:r w:rsidR="00016E49">
        <w:rPr>
          <w:sz w:val="26"/>
          <w:szCs w:val="26"/>
        </w:rPr>
        <w:t>,</w:t>
      </w:r>
      <w:r w:rsidR="00682A05">
        <w:rPr>
          <w:sz w:val="26"/>
          <w:szCs w:val="26"/>
        </w:rPr>
        <w:t xml:space="preserve"> ainsi</w:t>
      </w:r>
      <w:r w:rsidR="00016E49">
        <w:rPr>
          <w:sz w:val="26"/>
          <w:szCs w:val="26"/>
        </w:rPr>
        <w:t>,</w:t>
      </w:r>
      <w:r w:rsidR="00682A05">
        <w:rPr>
          <w:sz w:val="26"/>
          <w:szCs w:val="26"/>
        </w:rPr>
        <w:t xml:space="preserve"> </w:t>
      </w:r>
      <w:r w:rsidR="00425678">
        <w:rPr>
          <w:sz w:val="26"/>
          <w:szCs w:val="26"/>
        </w:rPr>
        <w:t>de</w:t>
      </w:r>
      <w:r w:rsidR="00B50C04">
        <w:rPr>
          <w:sz w:val="26"/>
          <w:szCs w:val="26"/>
        </w:rPr>
        <w:t xml:space="preserve"> 2,2%</w:t>
      </w:r>
      <w:r w:rsidR="00425678">
        <w:rPr>
          <w:sz w:val="26"/>
          <w:szCs w:val="26"/>
        </w:rPr>
        <w:t>,</w:t>
      </w:r>
      <w:r w:rsidR="00B50C04">
        <w:rPr>
          <w:sz w:val="26"/>
          <w:szCs w:val="26"/>
        </w:rPr>
        <w:t xml:space="preserve"> </w:t>
      </w:r>
      <w:r w:rsidR="00E2668B">
        <w:rPr>
          <w:sz w:val="26"/>
          <w:szCs w:val="26"/>
        </w:rPr>
        <w:t>en baisse de 0,3</w:t>
      </w:r>
      <w:r w:rsidR="00425678">
        <w:rPr>
          <w:sz w:val="26"/>
          <w:szCs w:val="26"/>
        </w:rPr>
        <w:t xml:space="preserve"> point par rapport à l’estimation </w:t>
      </w:r>
      <w:r w:rsidR="00EB65B7">
        <w:rPr>
          <w:sz w:val="26"/>
          <w:szCs w:val="26"/>
        </w:rPr>
        <w:t>retenue par le HCP au</w:t>
      </w:r>
      <w:r w:rsidR="00425678">
        <w:rPr>
          <w:sz w:val="26"/>
          <w:szCs w:val="26"/>
        </w:rPr>
        <w:t xml:space="preserve"> </w:t>
      </w:r>
      <w:r w:rsidR="005D5EEE">
        <w:rPr>
          <w:sz w:val="26"/>
          <w:szCs w:val="26"/>
        </w:rPr>
        <w:t>mois de juin 2014</w:t>
      </w:r>
      <w:r w:rsidR="00F91BA9">
        <w:rPr>
          <w:sz w:val="26"/>
          <w:szCs w:val="26"/>
        </w:rPr>
        <w:t>.</w:t>
      </w:r>
    </w:p>
    <w:p w:rsidR="00F91737" w:rsidRDefault="00A13DD8" w:rsidP="007363FF">
      <w:pPr>
        <w:autoSpaceDE w:val="0"/>
        <w:autoSpaceDN w:val="0"/>
        <w:adjustRightInd w:val="0"/>
        <w:ind w:right="142"/>
        <w:jc w:val="both"/>
      </w:pPr>
      <w:r>
        <w:t>C’est ainsi que,</w:t>
      </w:r>
      <w:r w:rsidR="001C59CA" w:rsidRPr="00C867E7">
        <w:t xml:space="preserve"> </w:t>
      </w:r>
      <w:r w:rsidR="004C2559">
        <w:t>par rapport</w:t>
      </w:r>
      <w:r w:rsidR="00600001">
        <w:t xml:space="preserve"> à</w:t>
      </w:r>
      <w:r w:rsidR="004C2559">
        <w:t xml:space="preserve"> </w:t>
      </w:r>
      <w:r w:rsidR="004C2559" w:rsidRPr="000975F0">
        <w:t>l</w:t>
      </w:r>
      <w:r w:rsidR="004C2559">
        <w:t>a</w:t>
      </w:r>
      <w:r w:rsidR="004C2559" w:rsidRPr="000975F0">
        <w:t xml:space="preserve"> même </w:t>
      </w:r>
      <w:r w:rsidR="004C2559">
        <w:t>périod</w:t>
      </w:r>
      <w:r w:rsidR="004C2559" w:rsidRPr="000975F0">
        <w:t xml:space="preserve">e de l’année précédente </w:t>
      </w:r>
      <w:r w:rsidR="004C2559">
        <w:t xml:space="preserve">et </w:t>
      </w:r>
      <w:r w:rsidR="007363FF" w:rsidRPr="000975F0">
        <w:t>corr</w:t>
      </w:r>
      <w:r w:rsidR="007363FF">
        <w:t>igée</w:t>
      </w:r>
      <w:r w:rsidR="00600001">
        <w:t>s</w:t>
      </w:r>
      <w:r w:rsidR="007363FF">
        <w:t xml:space="preserve"> des variations saisonnières </w:t>
      </w:r>
      <w:r w:rsidR="007363FF" w:rsidRPr="000975F0">
        <w:t>(cvs)</w:t>
      </w:r>
      <w:r w:rsidR="007363FF">
        <w:t> :</w:t>
      </w:r>
    </w:p>
    <w:p w:rsidR="007363FF" w:rsidRDefault="007363FF" w:rsidP="007363FF">
      <w:pPr>
        <w:autoSpaceDE w:val="0"/>
        <w:autoSpaceDN w:val="0"/>
        <w:adjustRightInd w:val="0"/>
        <w:ind w:right="142"/>
        <w:jc w:val="both"/>
      </w:pPr>
      <w:r>
        <w:t xml:space="preserve"> </w:t>
      </w:r>
    </w:p>
    <w:p w:rsidR="007363FF" w:rsidRDefault="005D5EEE" w:rsidP="00F91737">
      <w:pPr>
        <w:numPr>
          <w:ilvl w:val="0"/>
          <w:numId w:val="5"/>
        </w:numPr>
        <w:autoSpaceDE w:val="0"/>
        <w:autoSpaceDN w:val="0"/>
        <w:adjustRightInd w:val="0"/>
        <w:ind w:right="142"/>
        <w:jc w:val="both"/>
      </w:pPr>
      <w:r>
        <w:rPr>
          <w:b/>
          <w:bCs/>
        </w:rPr>
        <w:t>l</w:t>
      </w:r>
      <w:r w:rsidR="001C59CA" w:rsidRPr="000975F0">
        <w:rPr>
          <w:b/>
          <w:bCs/>
        </w:rPr>
        <w:t>a valeur ajoutée agricole</w:t>
      </w:r>
      <w:r w:rsidR="007363FF">
        <w:rPr>
          <w:b/>
          <w:bCs/>
        </w:rPr>
        <w:t>,</w:t>
      </w:r>
      <w:r w:rsidR="001C59CA" w:rsidRPr="000975F0">
        <w:t xml:space="preserve"> en volume</w:t>
      </w:r>
      <w:r w:rsidR="007363FF">
        <w:t xml:space="preserve">, </w:t>
      </w:r>
      <w:r w:rsidR="001C59CA" w:rsidRPr="000975F0">
        <w:t xml:space="preserve">a baissé de 1,4% </w:t>
      </w:r>
      <w:r w:rsidR="007363FF">
        <w:t xml:space="preserve">après </w:t>
      </w:r>
      <w:r w:rsidR="001C59CA" w:rsidRPr="000975F0">
        <w:t>une hausse de 21,2%</w:t>
      </w:r>
      <w:r w:rsidR="007363FF">
        <w:t>, </w:t>
      </w:r>
    </w:p>
    <w:p w:rsidR="00850AF5" w:rsidRDefault="00385B4C" w:rsidP="00600001">
      <w:pPr>
        <w:numPr>
          <w:ilvl w:val="0"/>
          <w:numId w:val="5"/>
        </w:numPr>
        <w:autoSpaceDE w:val="0"/>
        <w:autoSpaceDN w:val="0"/>
        <w:adjustRightInd w:val="0"/>
        <w:ind w:right="142"/>
        <w:jc w:val="both"/>
      </w:pPr>
      <w:r w:rsidRPr="00600001">
        <w:t>C</w:t>
      </w:r>
      <w:r w:rsidR="001C59CA" w:rsidRPr="00600001">
        <w:t xml:space="preserve">elle </w:t>
      </w:r>
      <w:r w:rsidR="001C59CA" w:rsidRPr="00600001">
        <w:rPr>
          <w:b/>
          <w:bCs/>
        </w:rPr>
        <w:t>des activités non agricoles</w:t>
      </w:r>
      <w:r w:rsidR="001C59CA" w:rsidRPr="00600001">
        <w:t xml:space="preserve"> a été </w:t>
      </w:r>
      <w:r w:rsidR="00600001" w:rsidRPr="00600001">
        <w:t xml:space="preserve">en </w:t>
      </w:r>
      <w:r w:rsidR="001C59CA" w:rsidRPr="00600001">
        <w:t>légère amélior</w:t>
      </w:r>
      <w:r w:rsidR="00600001">
        <w:t>ation</w:t>
      </w:r>
      <w:r w:rsidR="00EB65B7" w:rsidRPr="00600001">
        <w:t>,</w:t>
      </w:r>
      <w:r w:rsidR="001C59CA" w:rsidRPr="00600001">
        <w:t xml:space="preserve"> </w:t>
      </w:r>
      <w:r w:rsidR="00600001" w:rsidRPr="00600001">
        <w:t xml:space="preserve">passant de 2% à </w:t>
      </w:r>
      <w:r w:rsidR="001C59CA" w:rsidRPr="00600001">
        <w:t>2,3%</w:t>
      </w:r>
      <w:r w:rsidR="00600001">
        <w:t>,</w:t>
      </w:r>
    </w:p>
    <w:p w:rsidR="00850AF5" w:rsidRDefault="00850AF5" w:rsidP="00850AF5">
      <w:pPr>
        <w:autoSpaceDE w:val="0"/>
        <w:autoSpaceDN w:val="0"/>
        <w:adjustRightInd w:val="0"/>
        <w:ind w:right="142"/>
        <w:jc w:val="both"/>
      </w:pPr>
    </w:p>
    <w:p w:rsidR="00600001" w:rsidRDefault="00850AF5" w:rsidP="00850AF5">
      <w:pPr>
        <w:autoSpaceDE w:val="0"/>
        <w:autoSpaceDN w:val="0"/>
        <w:adjustRightInd w:val="0"/>
        <w:ind w:left="284" w:right="142"/>
        <w:jc w:val="both"/>
      </w:pPr>
      <w:r>
        <w:t>s</w:t>
      </w:r>
      <w:r w:rsidR="00600001" w:rsidRPr="00600001">
        <w:t>ous l’effet</w:t>
      </w:r>
      <w:r w:rsidR="00600001">
        <w:t xml:space="preserve">, d’une part, </w:t>
      </w:r>
      <w:r w:rsidR="00600001" w:rsidRPr="00600001">
        <w:t>de la croissance</w:t>
      </w:r>
      <w:r w:rsidR="00600001">
        <w:t xml:space="preserve"> </w:t>
      </w:r>
      <w:r w:rsidR="00600001" w:rsidRPr="00600001">
        <w:t>:</w:t>
      </w:r>
    </w:p>
    <w:p w:rsidR="00F91737" w:rsidRDefault="00F91737" w:rsidP="00F91737">
      <w:pPr>
        <w:autoSpaceDE w:val="0"/>
        <w:autoSpaceDN w:val="0"/>
        <w:adjustRightInd w:val="0"/>
        <w:ind w:right="142"/>
        <w:jc w:val="both"/>
      </w:pPr>
    </w:p>
    <w:p w:rsidR="001C59CA" w:rsidRPr="00600001" w:rsidRDefault="001C59CA" w:rsidP="00280A9A">
      <w:pPr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right="142" w:hanging="240"/>
        <w:jc w:val="both"/>
      </w:pPr>
      <w:r w:rsidRPr="00600001">
        <w:t xml:space="preserve">de </w:t>
      </w:r>
      <w:r w:rsidR="00385B4C" w:rsidRPr="00600001">
        <w:t xml:space="preserve">la </w:t>
      </w:r>
      <w:r w:rsidRPr="00600001">
        <w:t xml:space="preserve">pêche de 13,3% </w:t>
      </w:r>
      <w:r w:rsidR="00385B4C" w:rsidRPr="00600001">
        <w:t>au lieu de</w:t>
      </w:r>
      <w:r w:rsidRPr="00600001">
        <w:t xml:space="preserve"> 2,8% ;</w:t>
      </w:r>
    </w:p>
    <w:p w:rsidR="001C59CA" w:rsidRDefault="001C59CA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des</w:t>
      </w:r>
      <w:r w:rsidRPr="000975F0">
        <w:t xml:space="preserve"> postes et télécommunications </w:t>
      </w:r>
      <w:r>
        <w:t>de</w:t>
      </w:r>
      <w:r w:rsidRPr="000975F0">
        <w:t xml:space="preserve"> 5,9% au lieu de 1,4%</w:t>
      </w:r>
      <w:r w:rsidR="0001731A">
        <w:t xml:space="preserve"> </w:t>
      </w:r>
      <w:r w:rsidRPr="000975F0">
        <w:t>;</w:t>
      </w:r>
    </w:p>
    <w:p w:rsidR="001C59CA" w:rsidRPr="00465416" w:rsidRDefault="001C59CA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des</w:t>
      </w:r>
      <w:r w:rsidRPr="000975F0">
        <w:t xml:space="preserve"> services de l’éducation, de la santé et de l’acti</w:t>
      </w:r>
      <w:r>
        <w:t>on sociale de 5,4% au lieu de 3%;</w:t>
      </w:r>
    </w:p>
    <w:p w:rsidR="001C59CA" w:rsidRPr="00C752C8" w:rsidRDefault="001C59CA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 w:rsidRPr="00C752C8">
        <w:t>de l’électricité et eau de 3% au lieu de 5,8%</w:t>
      </w:r>
      <w:r w:rsidR="0001731A">
        <w:t xml:space="preserve"> </w:t>
      </w:r>
      <w:r w:rsidRPr="00C752C8">
        <w:t xml:space="preserve">; </w:t>
      </w:r>
    </w:p>
    <w:p w:rsidR="001C59CA" w:rsidRDefault="001C59CA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</w:t>
      </w:r>
      <w:r w:rsidRPr="000975F0">
        <w:t xml:space="preserve"> transport </w:t>
      </w:r>
      <w:r>
        <w:t>de</w:t>
      </w:r>
      <w:r w:rsidRPr="000975F0">
        <w:t xml:space="preserve"> 2,7% au lieu de 2,9%</w:t>
      </w:r>
      <w:r w:rsidR="0001731A">
        <w:t xml:space="preserve"> </w:t>
      </w:r>
      <w:r w:rsidRPr="000975F0">
        <w:t>;</w:t>
      </w:r>
    </w:p>
    <w:p w:rsidR="001C59CA" w:rsidRPr="00C867E7" w:rsidRDefault="001C59CA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des</w:t>
      </w:r>
      <w:r w:rsidRPr="000975F0">
        <w:t xml:space="preserve"> services rendus aux ménages et aux entreprises </w:t>
      </w:r>
      <w:r>
        <w:t>de</w:t>
      </w:r>
      <w:r w:rsidRPr="000975F0">
        <w:t xml:space="preserve"> 2,1% au lieu de 1,9%</w:t>
      </w:r>
      <w:r w:rsidR="0001731A">
        <w:t xml:space="preserve"> </w:t>
      </w:r>
      <w:r w:rsidRPr="000975F0">
        <w:t>;</w:t>
      </w:r>
    </w:p>
    <w:p w:rsidR="001C59CA" w:rsidRPr="000975F0" w:rsidRDefault="001C59CA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des</w:t>
      </w:r>
      <w:r w:rsidRPr="000975F0">
        <w:t xml:space="preserve"> services rendus par l’administration publique générale et sécurité sociale </w:t>
      </w:r>
      <w:r>
        <w:t>de 2% au lieu d’une stagnation</w:t>
      </w:r>
      <w:r w:rsidR="0001731A">
        <w:t xml:space="preserve"> </w:t>
      </w:r>
      <w:r w:rsidRPr="000975F0">
        <w:t>;</w:t>
      </w:r>
    </w:p>
    <w:p w:rsidR="001C59CA" w:rsidRPr="000975F0" w:rsidRDefault="001C59CA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 xml:space="preserve">des industries de transformation de </w:t>
      </w:r>
      <w:r w:rsidRPr="000975F0">
        <w:t>1,6% au lieu de 2,3%</w:t>
      </w:r>
      <w:r w:rsidR="0001731A">
        <w:t xml:space="preserve"> </w:t>
      </w:r>
      <w:r w:rsidRPr="000975F0">
        <w:t>;</w:t>
      </w:r>
    </w:p>
    <w:p w:rsidR="001C59CA" w:rsidRPr="00465416" w:rsidRDefault="001C59CA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des</w:t>
      </w:r>
      <w:r w:rsidRPr="000975F0">
        <w:t xml:space="preserve"> services financiers et assurances </w:t>
      </w:r>
      <w:r>
        <w:t xml:space="preserve">de </w:t>
      </w:r>
      <w:r w:rsidRPr="000975F0">
        <w:t>1,5% au lieu de 0,6%</w:t>
      </w:r>
      <w:r w:rsidR="0001731A">
        <w:t xml:space="preserve"> </w:t>
      </w:r>
      <w:r w:rsidRPr="000975F0">
        <w:t>;</w:t>
      </w:r>
    </w:p>
    <w:p w:rsidR="001C59CA" w:rsidRDefault="001C59CA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 xml:space="preserve">de </w:t>
      </w:r>
      <w:r w:rsidRPr="000975F0">
        <w:t>bâtiment et travaux publics de 0,6% au lieu de 6%</w:t>
      </w:r>
      <w:r w:rsidR="00583EED">
        <w:t> ;</w:t>
      </w:r>
    </w:p>
    <w:p w:rsidR="00600001" w:rsidRDefault="00600001" w:rsidP="00600001">
      <w:pPr>
        <w:pStyle w:val="ListParagraph1"/>
        <w:autoSpaceDE w:val="0"/>
        <w:autoSpaceDN w:val="0"/>
        <w:adjustRightInd w:val="0"/>
        <w:jc w:val="both"/>
      </w:pPr>
    </w:p>
    <w:p w:rsidR="001C59CA" w:rsidRPr="000975F0" w:rsidRDefault="00850AF5" w:rsidP="00850AF5">
      <w:pPr>
        <w:pStyle w:val="ListParagraph1"/>
        <w:autoSpaceDE w:val="0"/>
        <w:autoSpaceDN w:val="0"/>
        <w:adjustRightInd w:val="0"/>
        <w:ind w:left="284"/>
        <w:jc w:val="both"/>
      </w:pPr>
      <w:r>
        <w:t>e</w:t>
      </w:r>
      <w:r w:rsidR="00600001">
        <w:t xml:space="preserve">t, d’autre part, par la </w:t>
      </w:r>
      <w:r w:rsidR="00A13DD8" w:rsidRPr="00600001">
        <w:t xml:space="preserve">baisse </w:t>
      </w:r>
      <w:r w:rsidR="00B90043">
        <w:t xml:space="preserve">de </w:t>
      </w:r>
      <w:r w:rsidR="00A13DD8">
        <w:t xml:space="preserve">l’industrie d’extraction </w:t>
      </w:r>
      <w:r w:rsidR="00600001">
        <w:t>de</w:t>
      </w:r>
      <w:r w:rsidR="001C59CA" w:rsidRPr="000975F0">
        <w:t xml:space="preserve"> 2,8%</w:t>
      </w:r>
      <w:r>
        <w:t>,</w:t>
      </w:r>
      <w:r w:rsidR="001C59CA" w:rsidRPr="000975F0">
        <w:t xml:space="preserve"> </w:t>
      </w:r>
      <w:r w:rsidR="00F91737">
        <w:t xml:space="preserve">après avoir été de </w:t>
      </w:r>
      <w:r w:rsidR="00A13DD8">
        <w:t xml:space="preserve">6,6% et par celle </w:t>
      </w:r>
      <w:r w:rsidR="00B90043">
        <w:t>des</w:t>
      </w:r>
      <w:r w:rsidR="001C59CA" w:rsidRPr="000975F0">
        <w:t xml:space="preserve"> hôtels et restaurants de 3,5% au lieu d’une hausse de 3,7%</w:t>
      </w:r>
      <w:r w:rsidR="00385B4C">
        <w:t>.</w:t>
      </w:r>
    </w:p>
    <w:p w:rsidR="001C59CA" w:rsidRPr="000975F0" w:rsidRDefault="001C59CA" w:rsidP="00600001">
      <w:pPr>
        <w:pStyle w:val="ListParagraph1"/>
        <w:tabs>
          <w:tab w:val="num" w:pos="480"/>
        </w:tabs>
        <w:autoSpaceDE w:val="0"/>
        <w:autoSpaceDN w:val="0"/>
        <w:adjustRightInd w:val="0"/>
        <w:ind w:left="0"/>
        <w:jc w:val="both"/>
      </w:pPr>
    </w:p>
    <w:p w:rsidR="001C59CA" w:rsidRPr="00CB7737" w:rsidRDefault="00A13DD8" w:rsidP="00757F85">
      <w:pPr>
        <w:shd w:val="clear" w:color="auto" w:fill="FFFFFF"/>
        <w:jc w:val="both"/>
      </w:pPr>
      <w:r>
        <w:t>Dans ce contexte</w:t>
      </w:r>
      <w:r w:rsidR="00B90043">
        <w:t>,</w:t>
      </w:r>
      <w:r w:rsidR="00850AF5">
        <w:t xml:space="preserve"> </w:t>
      </w:r>
      <w:r w:rsidR="00757F85">
        <w:t>l</w:t>
      </w:r>
      <w:r w:rsidR="00B90043" w:rsidRPr="00B90043">
        <w:rPr>
          <w:b/>
          <w:bCs/>
        </w:rPr>
        <w:t>e</w:t>
      </w:r>
      <w:r w:rsidR="001C59CA" w:rsidRPr="000975F0">
        <w:rPr>
          <w:b/>
          <w:bCs/>
        </w:rPr>
        <w:t xml:space="preserve"> Produit Intérieur Brut (PIB) </w:t>
      </w:r>
      <w:r w:rsidR="001C59CA" w:rsidRPr="000975F0">
        <w:t>en volume s’est accru de 1,8% durant le quatrième trimestre 2014 au lieu de 4,6% une anné</w:t>
      </w:r>
      <w:r w:rsidR="001C59CA">
        <w:t xml:space="preserve">e auparavant, </w:t>
      </w:r>
      <w:r w:rsidR="00757F85" w:rsidRPr="00757F85">
        <w:t>compte tenu des</w:t>
      </w:r>
      <w:r w:rsidR="00757F85" w:rsidRPr="000975F0">
        <w:t xml:space="preserve"> impôts sur les produits nets des subventions</w:t>
      </w:r>
      <w:r w:rsidR="00757F85">
        <w:t xml:space="preserve"> (lesquels ont augmenté de 2,4% au</w:t>
      </w:r>
      <w:r w:rsidR="00293F99">
        <w:t xml:space="preserve"> lieu</w:t>
      </w:r>
      <w:r w:rsidR="00757F85">
        <w:t xml:space="preserve"> 5,8%).</w:t>
      </w:r>
      <w:r w:rsidR="001C59CA" w:rsidRPr="000975F0">
        <w:t xml:space="preserve"> </w:t>
      </w:r>
      <w:r w:rsidR="001C59CA" w:rsidRPr="00CB7737">
        <w:t>Aux prix cour</w:t>
      </w:r>
      <w:r w:rsidR="001C59CA">
        <w:t xml:space="preserve">ants, l’accroissement </w:t>
      </w:r>
      <w:r w:rsidR="00385B4C">
        <w:t xml:space="preserve">du PIB </w:t>
      </w:r>
      <w:r w:rsidR="001C59CA">
        <w:t>a été de 3</w:t>
      </w:r>
      <w:r w:rsidR="001C59CA" w:rsidRPr="00CB7737">
        <w:t>,</w:t>
      </w:r>
      <w:r w:rsidR="001C59CA">
        <w:t>1</w:t>
      </w:r>
      <w:r w:rsidR="001C59CA" w:rsidRPr="00CB7737">
        <w:t>%</w:t>
      </w:r>
      <w:r w:rsidR="00385B4C">
        <w:t>,</w:t>
      </w:r>
      <w:r w:rsidR="001C59CA" w:rsidRPr="00CB7737">
        <w:t xml:space="preserve"> dégageant ainsi une hausse </w:t>
      </w:r>
      <w:r w:rsidR="00385B4C">
        <w:t>de son</w:t>
      </w:r>
      <w:r w:rsidR="001C59CA" w:rsidRPr="00CB7737">
        <w:t xml:space="preserve"> prix implicite </w:t>
      </w:r>
      <w:r w:rsidR="001C59CA">
        <w:t>de 1,3</w:t>
      </w:r>
      <w:r w:rsidR="00D85F5E">
        <w:t>% au lieu de 0.3%.</w:t>
      </w:r>
    </w:p>
    <w:p w:rsidR="001C59CA" w:rsidRDefault="001C59CA" w:rsidP="00D85F5E">
      <w:pPr>
        <w:shd w:val="clear" w:color="auto" w:fill="FFFFFF"/>
        <w:jc w:val="both"/>
      </w:pPr>
      <w:r w:rsidRPr="001C59CA">
        <w:rPr>
          <w:b/>
          <w:bCs/>
        </w:rPr>
        <w:lastRenderedPageBreak/>
        <w:t>Au niveau des emplois du PIB</w:t>
      </w:r>
      <w:r w:rsidRPr="000975F0">
        <w:t xml:space="preserve"> en volume, </w:t>
      </w:r>
      <w:r w:rsidR="00B936C0">
        <w:t>la demande intérieure s’est accrue de</w:t>
      </w:r>
      <w:r w:rsidR="00E94645">
        <w:t xml:space="preserve"> </w:t>
      </w:r>
      <w:r w:rsidR="008F3029" w:rsidRPr="00E94645">
        <w:t>2,8%</w:t>
      </w:r>
      <w:r w:rsidR="00B936C0">
        <w:t xml:space="preserve"> au lieu de</w:t>
      </w:r>
      <w:r w:rsidR="00E94645">
        <w:t xml:space="preserve"> 2,9%</w:t>
      </w:r>
      <w:r w:rsidR="00B936C0">
        <w:t xml:space="preserve"> avec une contribution</w:t>
      </w:r>
      <w:r w:rsidR="00E94645">
        <w:t xml:space="preserve"> à la croissance </w:t>
      </w:r>
      <w:r w:rsidR="00B936C0">
        <w:t>de</w:t>
      </w:r>
      <w:r w:rsidR="00E94645">
        <w:t xml:space="preserve"> 3,5 points</w:t>
      </w:r>
      <w:r w:rsidR="00B936C0">
        <w:t xml:space="preserve"> au lieu de</w:t>
      </w:r>
      <w:r w:rsidR="00E94645">
        <w:t xml:space="preserve"> 2,3 points</w:t>
      </w:r>
      <w:r w:rsidR="00B936C0">
        <w:t>.</w:t>
      </w:r>
      <w:r w:rsidR="00E94645">
        <w:t xml:space="preserve"> </w:t>
      </w:r>
      <w:r w:rsidR="00B936C0">
        <w:t>Dans ce cadre,</w:t>
      </w:r>
      <w:r w:rsidR="00B936C0" w:rsidRPr="000975F0">
        <w:t xml:space="preserve"> les</w:t>
      </w:r>
      <w:r w:rsidRPr="000975F0">
        <w:t xml:space="preserve"> dépenses de consommation finale des ménages </w:t>
      </w:r>
      <w:r w:rsidR="00B936C0">
        <w:t xml:space="preserve">ont connu une hausse </w:t>
      </w:r>
      <w:r w:rsidRPr="000975F0">
        <w:t>de 2,8% au lieu de 5,4% la même période de l’année précédente, contribuant ainsi pour 1,</w:t>
      </w:r>
      <w:r>
        <w:t>8</w:t>
      </w:r>
      <w:r w:rsidRPr="000975F0">
        <w:t xml:space="preserve"> point à la cr</w:t>
      </w:r>
      <w:r>
        <w:t>oissance au lieu de 3,2 points. L</w:t>
      </w:r>
      <w:r w:rsidRPr="000975F0">
        <w:t>a consommation finale des administrations publiques a affiché</w:t>
      </w:r>
      <w:r w:rsidR="004E0161">
        <w:t xml:space="preserve"> </w:t>
      </w:r>
      <w:r w:rsidR="00D85F5E">
        <w:t xml:space="preserve">une augmentation </w:t>
      </w:r>
      <w:r w:rsidRPr="000975F0">
        <w:t>de 2,9%</w:t>
      </w:r>
      <w:r w:rsidR="00D85F5E">
        <w:t>, avec une contribution à la croissance de 0,5 point, au même niveau de croissance et de contribution</w:t>
      </w:r>
      <w:r w:rsidRPr="000975F0">
        <w:t xml:space="preserve"> </w:t>
      </w:r>
      <w:r w:rsidR="005431FC">
        <w:t xml:space="preserve">une </w:t>
      </w:r>
      <w:r w:rsidRPr="000975F0">
        <w:t>année auparavant. De son côté, l’investissement brut (formation brute de capital fixe et variation de stocks) a marqué une augmentation de 2,5% au lieu d’une baisse de 1,8%</w:t>
      </w:r>
      <w:r>
        <w:t xml:space="preserve">, </w:t>
      </w:r>
      <w:r w:rsidRPr="00CB7737">
        <w:t>avec une c</w:t>
      </w:r>
      <w:r>
        <w:t>ontribution à la croissance de 1,2 point au lieu d’une contribution négative de 1</w:t>
      </w:r>
      <w:r w:rsidRPr="00CB7737">
        <w:t>,</w:t>
      </w:r>
      <w:r>
        <w:t>4</w:t>
      </w:r>
      <w:r w:rsidRPr="00CB7737">
        <w:t xml:space="preserve"> point</w:t>
      </w:r>
      <w:r w:rsidR="00EC3010">
        <w:t>, durant le même trimestre de l’année précédente</w:t>
      </w:r>
      <w:r w:rsidRPr="00CB7737">
        <w:t>.</w:t>
      </w:r>
    </w:p>
    <w:p w:rsidR="00EC3010" w:rsidRDefault="00EC3010" w:rsidP="00280A9A">
      <w:pPr>
        <w:shd w:val="clear" w:color="auto" w:fill="FFFFFF"/>
        <w:jc w:val="both"/>
      </w:pPr>
    </w:p>
    <w:p w:rsidR="001C59CA" w:rsidRDefault="001C59CA" w:rsidP="00D85F5E">
      <w:pPr>
        <w:shd w:val="clear" w:color="auto" w:fill="FFFFFF"/>
        <w:jc w:val="both"/>
      </w:pPr>
      <w:r>
        <w:t>Les échanges extérieurs</w:t>
      </w:r>
      <w:r w:rsidR="00B936C0">
        <w:t xml:space="preserve"> nets, de leur côté,</w:t>
      </w:r>
      <w:r>
        <w:t xml:space="preserve"> ont contribué négativement à la croissance avec 1,7 point </w:t>
      </w:r>
      <w:r w:rsidR="00EC3010">
        <w:t>au lieu d’</w:t>
      </w:r>
      <w:r>
        <w:t>une contribution positive de 2,3 point</w:t>
      </w:r>
      <w:r w:rsidR="00583EED">
        <w:t>s</w:t>
      </w:r>
      <w:r>
        <w:t>.</w:t>
      </w:r>
      <w:r w:rsidR="00D85F5E">
        <w:t xml:space="preserve"> Cette détérioration est le résultat d’</w:t>
      </w:r>
      <w:r w:rsidR="00C93DB7">
        <w:t xml:space="preserve">une augmentation de 3% </w:t>
      </w:r>
      <w:r w:rsidR="00D85F5E">
        <w:t>d</w:t>
      </w:r>
      <w:r>
        <w:t>es importations des biens et services</w:t>
      </w:r>
      <w:r w:rsidR="00D85F5E">
        <w:t xml:space="preserve"> au lieu d’une baisse de 0.</w:t>
      </w:r>
      <w:r w:rsidR="001E4C2D">
        <w:t>2</w:t>
      </w:r>
      <w:r w:rsidR="00D85F5E">
        <w:t xml:space="preserve">% une année auparavant et </w:t>
      </w:r>
      <w:r>
        <w:t xml:space="preserve">d’une </w:t>
      </w:r>
      <w:r w:rsidR="00FC5705">
        <w:t>diminution</w:t>
      </w:r>
      <w:r w:rsidR="00C93DB7">
        <w:t xml:space="preserve"> de 0,</w:t>
      </w:r>
      <w:r w:rsidR="00D85F5E">
        <w:t>8% d</w:t>
      </w:r>
      <w:r>
        <w:t>es exportations au lieu d’une hausse de 6,1%.</w:t>
      </w:r>
    </w:p>
    <w:p w:rsidR="00EC3010" w:rsidRDefault="00EC3010" w:rsidP="00280A9A">
      <w:pPr>
        <w:shd w:val="clear" w:color="auto" w:fill="FFFFFF"/>
        <w:jc w:val="both"/>
      </w:pPr>
    </w:p>
    <w:p w:rsidR="001C59CA" w:rsidRDefault="001C59CA" w:rsidP="00FC5705">
      <w:pPr>
        <w:shd w:val="clear" w:color="auto" w:fill="FFFFFF"/>
        <w:jc w:val="both"/>
      </w:pPr>
      <w:r>
        <w:t xml:space="preserve">Avec une diminution </w:t>
      </w:r>
      <w:r w:rsidR="00FC5705">
        <w:t xml:space="preserve">de 48,7% </w:t>
      </w:r>
      <w:r>
        <w:t xml:space="preserve">des revenus nets reçus du reste du monde et </w:t>
      </w:r>
      <w:r w:rsidR="00FC5705">
        <w:t>une</w:t>
      </w:r>
      <w:r>
        <w:t xml:space="preserve"> hausse</w:t>
      </w:r>
      <w:r w:rsidR="00FC5705">
        <w:t xml:space="preserve"> de 3,1%</w:t>
      </w:r>
      <w:r>
        <w:t xml:space="preserve"> du PIB </w:t>
      </w:r>
      <w:r w:rsidR="00FC5705">
        <w:t>aux pri</w:t>
      </w:r>
      <w:r w:rsidR="003416B6">
        <w:t>x</w:t>
      </w:r>
      <w:r w:rsidR="00FC5705">
        <w:t xml:space="preserve"> courants</w:t>
      </w:r>
      <w:r>
        <w:t xml:space="preserve">, le revenu national brut disponible a </w:t>
      </w:r>
      <w:r w:rsidR="003416B6">
        <w:t>baissé</w:t>
      </w:r>
      <w:r>
        <w:t xml:space="preserve"> de 0,4% </w:t>
      </w:r>
      <w:r w:rsidR="00FC5705">
        <w:t xml:space="preserve">après avoir augmenté </w:t>
      </w:r>
      <w:r>
        <w:t>de 7,5%</w:t>
      </w:r>
      <w:r w:rsidR="00FC5705">
        <w:t xml:space="preserve"> le même trimestre de l’</w:t>
      </w:r>
      <w:r w:rsidR="00FA15AC">
        <w:t>année 2013</w:t>
      </w:r>
      <w:r>
        <w:t xml:space="preserve">. </w:t>
      </w:r>
    </w:p>
    <w:p w:rsidR="00280A9A" w:rsidRDefault="00280A9A" w:rsidP="00280A9A">
      <w:pPr>
        <w:shd w:val="clear" w:color="auto" w:fill="FFFFFF"/>
        <w:jc w:val="both"/>
      </w:pPr>
    </w:p>
    <w:p w:rsidR="001C59CA" w:rsidRDefault="00FC5705" w:rsidP="00FC5705">
      <w:pPr>
        <w:shd w:val="clear" w:color="auto" w:fill="FFFFFF"/>
        <w:jc w:val="both"/>
      </w:pPr>
      <w:r>
        <w:t>Au total,</w:t>
      </w:r>
      <w:r w:rsidR="00EC3010">
        <w:t xml:space="preserve"> </w:t>
      </w:r>
      <w:r w:rsidR="001C59CA">
        <w:t xml:space="preserve">la consommation finale </w:t>
      </w:r>
      <w:r w:rsidR="00EC3010">
        <w:t>s</w:t>
      </w:r>
      <w:r>
        <w:t>’</w:t>
      </w:r>
      <w:r w:rsidR="00EC3010">
        <w:t>e</w:t>
      </w:r>
      <w:r>
        <w:t xml:space="preserve">st </w:t>
      </w:r>
      <w:r w:rsidR="00781178">
        <w:t>accrue</w:t>
      </w:r>
      <w:r>
        <w:t xml:space="preserve"> de</w:t>
      </w:r>
      <w:r w:rsidR="00EC3010">
        <w:t xml:space="preserve"> </w:t>
      </w:r>
      <w:r w:rsidR="00E960EF">
        <w:t>3,8% au lieu de 5,9</w:t>
      </w:r>
      <w:r w:rsidR="001C59CA">
        <w:t>%</w:t>
      </w:r>
      <w:r>
        <w:t>.</w:t>
      </w:r>
      <w:r w:rsidR="001C59CA">
        <w:t xml:space="preserve"> </w:t>
      </w:r>
      <w:r>
        <w:t>L</w:t>
      </w:r>
      <w:r w:rsidR="001C59CA">
        <w:t xml:space="preserve">’épargne </w:t>
      </w:r>
      <w:r w:rsidR="003416B6">
        <w:t>nationale, qui</w:t>
      </w:r>
      <w:r>
        <w:t xml:space="preserve"> était</w:t>
      </w:r>
      <w:r w:rsidR="001C59CA">
        <w:t xml:space="preserve"> </w:t>
      </w:r>
      <w:r>
        <w:t>de 28,8%.</w:t>
      </w:r>
      <w:r w:rsidR="001C59CA">
        <w:t>du PIB</w:t>
      </w:r>
      <w:r>
        <w:t>, a baissé à</w:t>
      </w:r>
      <w:r w:rsidR="001C59CA">
        <w:t xml:space="preserve"> </w:t>
      </w:r>
      <w:r>
        <w:t>24,7%.</w:t>
      </w:r>
    </w:p>
    <w:p w:rsidR="00EC3010" w:rsidRDefault="00EC3010" w:rsidP="00280A9A">
      <w:pPr>
        <w:shd w:val="clear" w:color="auto" w:fill="FFFFFF"/>
        <w:jc w:val="both"/>
      </w:pPr>
    </w:p>
    <w:p w:rsidR="00FC5705" w:rsidRDefault="00FC5705" w:rsidP="003416B6">
      <w:pPr>
        <w:shd w:val="clear" w:color="auto" w:fill="FFFFFF"/>
        <w:jc w:val="both"/>
      </w:pPr>
      <w:r>
        <w:t>De son coté, l’</w:t>
      </w:r>
      <w:r w:rsidR="001C59CA">
        <w:t xml:space="preserve">investissement brut </w:t>
      </w:r>
      <w:r>
        <w:t>est passé de 33,9% du PIB durant le quatrième trimestre  de l’année précédente à 30.8%.</w:t>
      </w:r>
    </w:p>
    <w:p w:rsidR="003416B6" w:rsidRDefault="003416B6" w:rsidP="00FC5705">
      <w:pPr>
        <w:shd w:val="clear" w:color="auto" w:fill="FFFFFF"/>
        <w:jc w:val="both"/>
      </w:pPr>
    </w:p>
    <w:p w:rsidR="001C59CA" w:rsidRPr="00CB7737" w:rsidRDefault="00FC5705" w:rsidP="00FC5705">
      <w:pPr>
        <w:shd w:val="clear" w:color="auto" w:fill="FFFFFF"/>
        <w:jc w:val="both"/>
      </w:pPr>
      <w:r>
        <w:t>Dans ces conditions,</w:t>
      </w:r>
      <w:r w:rsidR="00340A86">
        <w:t xml:space="preserve"> </w:t>
      </w:r>
      <w:r w:rsidR="00280A9A">
        <w:t xml:space="preserve">le </w:t>
      </w:r>
      <w:r w:rsidR="001C59CA">
        <w:t xml:space="preserve">besoin de financement de l’économie nationale </w:t>
      </w:r>
      <w:r>
        <w:t>a connu une augmentation passant de 5,1%</w:t>
      </w:r>
      <w:r w:rsidRPr="00FC5705">
        <w:t xml:space="preserve"> </w:t>
      </w:r>
      <w:r>
        <w:t xml:space="preserve">du PIB </w:t>
      </w:r>
      <w:r w:rsidR="00F31C96">
        <w:t>à 6,1</w:t>
      </w:r>
      <w:r w:rsidR="001C59CA">
        <w:t>%</w:t>
      </w:r>
      <w:r>
        <w:t>.</w:t>
      </w:r>
      <w:r w:rsidR="001C59CA">
        <w:t xml:space="preserve"> </w:t>
      </w:r>
    </w:p>
    <w:p w:rsidR="001266EE" w:rsidRDefault="001266EE" w:rsidP="00280A9A">
      <w:pPr>
        <w:ind w:right="-375"/>
        <w:rPr>
          <w:sz w:val="22"/>
          <w:szCs w:val="22"/>
        </w:rPr>
      </w:pPr>
    </w:p>
    <w:p w:rsidR="001266EE" w:rsidRDefault="001266EE" w:rsidP="00280A9A">
      <w:pPr>
        <w:ind w:right="-375"/>
        <w:rPr>
          <w:sz w:val="22"/>
          <w:szCs w:val="22"/>
        </w:rPr>
      </w:pPr>
    </w:p>
    <w:p w:rsidR="00280A9A" w:rsidRDefault="00280A9A" w:rsidP="00280A9A">
      <w:pPr>
        <w:ind w:right="-375"/>
        <w:rPr>
          <w:sz w:val="22"/>
          <w:szCs w:val="22"/>
        </w:rPr>
      </w:pPr>
    </w:p>
    <w:p w:rsidR="00F31C96" w:rsidRDefault="00F31C96" w:rsidP="00280A9A">
      <w:pPr>
        <w:ind w:right="-375"/>
        <w:rPr>
          <w:sz w:val="22"/>
          <w:szCs w:val="22"/>
        </w:rPr>
      </w:pPr>
    </w:p>
    <w:p w:rsidR="00F31C96" w:rsidRDefault="00F31C96" w:rsidP="00280A9A">
      <w:pPr>
        <w:ind w:right="-375"/>
        <w:rPr>
          <w:sz w:val="22"/>
          <w:szCs w:val="22"/>
        </w:rPr>
      </w:pPr>
    </w:p>
    <w:p w:rsidR="00F31C96" w:rsidRDefault="00F31C96" w:rsidP="00280A9A">
      <w:pPr>
        <w:ind w:right="-375"/>
        <w:rPr>
          <w:b/>
          <w:bCs/>
          <w:sz w:val="22"/>
          <w:szCs w:val="22"/>
        </w:rPr>
      </w:pPr>
    </w:p>
    <w:p w:rsidR="001266EE" w:rsidRPr="00F31C96" w:rsidRDefault="001266EE" w:rsidP="00280A9A">
      <w:pPr>
        <w:ind w:right="-375"/>
        <w:rPr>
          <w:b/>
          <w:bCs/>
          <w:sz w:val="22"/>
          <w:szCs w:val="22"/>
        </w:rPr>
      </w:pPr>
      <w:r w:rsidRPr="00F31C96">
        <w:rPr>
          <w:b/>
          <w:bCs/>
          <w:sz w:val="22"/>
          <w:szCs w:val="22"/>
        </w:rPr>
        <w:t xml:space="preserve">En annexe les tableaux présentant les résultats des comptes nationaux du </w:t>
      </w:r>
      <w:r w:rsidR="001C59CA" w:rsidRPr="00F31C96">
        <w:rPr>
          <w:b/>
          <w:bCs/>
          <w:sz w:val="22"/>
          <w:szCs w:val="22"/>
        </w:rPr>
        <w:t>quatrième</w:t>
      </w:r>
      <w:r w:rsidRPr="00F31C96">
        <w:rPr>
          <w:b/>
          <w:bCs/>
          <w:sz w:val="22"/>
          <w:szCs w:val="22"/>
        </w:rPr>
        <w:t xml:space="preserve"> trimestre 2014.</w:t>
      </w: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8B0127" w:rsidP="001B5473">
      <w:pPr>
        <w:ind w:right="-375"/>
        <w:rPr>
          <w:sz w:val="22"/>
          <w:szCs w:val="22"/>
        </w:rPr>
      </w:pPr>
      <w:r w:rsidRPr="00CD5BCB">
        <w:object w:dxaOrig="10958" w:dyaOrig="146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92pt" o:ole="">
            <v:imagedata r:id="rId9" o:title=""/>
          </v:shape>
          <o:OLEObject Type="Embed" ProgID="Excel.Sheet.8" ShapeID="_x0000_i1025" DrawAspect="Content" ObjectID="_1489337394" r:id="rId10"/>
        </w:object>
      </w:r>
    </w:p>
    <w:p w:rsidR="00AC7E97" w:rsidRPr="00900B41" w:rsidRDefault="00AC7E97" w:rsidP="001B5473">
      <w:pPr>
        <w:ind w:right="-375"/>
        <w:rPr>
          <w:sz w:val="22"/>
          <w:szCs w:val="22"/>
        </w:rPr>
      </w:pPr>
      <w:bookmarkStart w:id="0" w:name="_MON_1441711655"/>
      <w:bookmarkEnd w:id="0"/>
    </w:p>
    <w:sectPr w:rsidR="00AC7E97" w:rsidRPr="00900B41" w:rsidSect="0001049C">
      <w:footerReference w:type="default" r:id="rId11"/>
      <w:pgSz w:w="12240" w:h="15840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0F2" w:rsidRDefault="00E840F2">
      <w:r>
        <w:separator/>
      </w:r>
    </w:p>
  </w:endnote>
  <w:endnote w:type="continuationSeparator" w:id="0">
    <w:p w:rsidR="00E840F2" w:rsidRDefault="00E84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82154D">
    <w:pPr>
      <w:pStyle w:val="Pieddepage"/>
      <w:jc w:val="center"/>
    </w:pPr>
    <w:fldSimple w:instr=" PAGE   \* MERGEFORMAT ">
      <w:r w:rsidR="00E23305">
        <w:rPr>
          <w:noProof/>
        </w:rPr>
        <w:t>3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0F2" w:rsidRDefault="00E840F2">
      <w:r>
        <w:separator/>
      </w:r>
    </w:p>
  </w:footnote>
  <w:footnote w:type="continuationSeparator" w:id="0">
    <w:p w:rsidR="00E840F2" w:rsidRDefault="00E840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C09B1"/>
    <w:multiLevelType w:val="hybridMultilevel"/>
    <w:tmpl w:val="DB8C39C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1262"/>
        </w:tabs>
        <w:ind w:left="1262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982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142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302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151A"/>
    <w:rsid w:val="00001CF5"/>
    <w:rsid w:val="000033CB"/>
    <w:rsid w:val="000044A3"/>
    <w:rsid w:val="00006022"/>
    <w:rsid w:val="0000603E"/>
    <w:rsid w:val="0001049C"/>
    <w:rsid w:val="00012426"/>
    <w:rsid w:val="00015006"/>
    <w:rsid w:val="00015120"/>
    <w:rsid w:val="00016E49"/>
    <w:rsid w:val="0001731A"/>
    <w:rsid w:val="00021028"/>
    <w:rsid w:val="0002152E"/>
    <w:rsid w:val="0002235C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52B8"/>
    <w:rsid w:val="00036454"/>
    <w:rsid w:val="0003735F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29E7"/>
    <w:rsid w:val="0005315C"/>
    <w:rsid w:val="00053B75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B18"/>
    <w:rsid w:val="000A7BD1"/>
    <w:rsid w:val="000B0C21"/>
    <w:rsid w:val="000B3209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44FE"/>
    <w:rsid w:val="000D5184"/>
    <w:rsid w:val="000D561C"/>
    <w:rsid w:val="000D5ADD"/>
    <w:rsid w:val="000D73BB"/>
    <w:rsid w:val="000D7A68"/>
    <w:rsid w:val="000E0244"/>
    <w:rsid w:val="000E2AC0"/>
    <w:rsid w:val="000E48EA"/>
    <w:rsid w:val="000E4AA1"/>
    <w:rsid w:val="000E5580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4902"/>
    <w:rsid w:val="00125ADF"/>
    <w:rsid w:val="001266EE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C08FE"/>
    <w:rsid w:val="001C14EF"/>
    <w:rsid w:val="001C23EA"/>
    <w:rsid w:val="001C3562"/>
    <w:rsid w:val="001C52E9"/>
    <w:rsid w:val="001C5963"/>
    <w:rsid w:val="001C59CA"/>
    <w:rsid w:val="001C5CF8"/>
    <w:rsid w:val="001C6208"/>
    <w:rsid w:val="001C6B13"/>
    <w:rsid w:val="001C7B9C"/>
    <w:rsid w:val="001D1FDE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4C2D"/>
    <w:rsid w:val="001E7F9C"/>
    <w:rsid w:val="001F31D1"/>
    <w:rsid w:val="001F336B"/>
    <w:rsid w:val="001F336C"/>
    <w:rsid w:val="001F3595"/>
    <w:rsid w:val="001F769B"/>
    <w:rsid w:val="00201701"/>
    <w:rsid w:val="00202101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116"/>
    <w:rsid w:val="002379EE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0A9A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3F99"/>
    <w:rsid w:val="00296E56"/>
    <w:rsid w:val="002A09EE"/>
    <w:rsid w:val="002A0C4E"/>
    <w:rsid w:val="002A12D5"/>
    <w:rsid w:val="002A32F2"/>
    <w:rsid w:val="002A4776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2936"/>
    <w:rsid w:val="002E428E"/>
    <w:rsid w:val="002E455E"/>
    <w:rsid w:val="002E4C97"/>
    <w:rsid w:val="002E52B7"/>
    <w:rsid w:val="002E79CE"/>
    <w:rsid w:val="002F02EB"/>
    <w:rsid w:val="002F03A2"/>
    <w:rsid w:val="002F0BBE"/>
    <w:rsid w:val="002F0D5D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1EF9"/>
    <w:rsid w:val="00314214"/>
    <w:rsid w:val="0031481F"/>
    <w:rsid w:val="00320D8B"/>
    <w:rsid w:val="003223B1"/>
    <w:rsid w:val="00322ADA"/>
    <w:rsid w:val="00322E22"/>
    <w:rsid w:val="00324021"/>
    <w:rsid w:val="00324AF3"/>
    <w:rsid w:val="00325C58"/>
    <w:rsid w:val="003277E4"/>
    <w:rsid w:val="00330C65"/>
    <w:rsid w:val="00330D83"/>
    <w:rsid w:val="00331F3B"/>
    <w:rsid w:val="00331FCB"/>
    <w:rsid w:val="00334DFD"/>
    <w:rsid w:val="00335C84"/>
    <w:rsid w:val="00336F41"/>
    <w:rsid w:val="003409D4"/>
    <w:rsid w:val="00340A86"/>
    <w:rsid w:val="00340B2F"/>
    <w:rsid w:val="003416B6"/>
    <w:rsid w:val="003439E5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2759"/>
    <w:rsid w:val="00373E1A"/>
    <w:rsid w:val="0037467D"/>
    <w:rsid w:val="00374B7E"/>
    <w:rsid w:val="00377981"/>
    <w:rsid w:val="00380840"/>
    <w:rsid w:val="003808E5"/>
    <w:rsid w:val="003838F2"/>
    <w:rsid w:val="00384F78"/>
    <w:rsid w:val="00385B4C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6678"/>
    <w:rsid w:val="003A75DA"/>
    <w:rsid w:val="003B03C2"/>
    <w:rsid w:val="003B1456"/>
    <w:rsid w:val="003B19FE"/>
    <w:rsid w:val="003B216E"/>
    <w:rsid w:val="003B218D"/>
    <w:rsid w:val="003B4687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E6688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109F"/>
    <w:rsid w:val="00402E35"/>
    <w:rsid w:val="00405AEF"/>
    <w:rsid w:val="0041009B"/>
    <w:rsid w:val="00411FCC"/>
    <w:rsid w:val="004126DC"/>
    <w:rsid w:val="00412E0B"/>
    <w:rsid w:val="00413B1A"/>
    <w:rsid w:val="00414981"/>
    <w:rsid w:val="00414A63"/>
    <w:rsid w:val="0041514D"/>
    <w:rsid w:val="0041699B"/>
    <w:rsid w:val="00420260"/>
    <w:rsid w:val="00420B5F"/>
    <w:rsid w:val="00420D83"/>
    <w:rsid w:val="0042452F"/>
    <w:rsid w:val="00424CFE"/>
    <w:rsid w:val="00425678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48F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417D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40D"/>
    <w:rsid w:val="004A0238"/>
    <w:rsid w:val="004A0E84"/>
    <w:rsid w:val="004A1D8C"/>
    <w:rsid w:val="004A20C3"/>
    <w:rsid w:val="004A3AEA"/>
    <w:rsid w:val="004A4C19"/>
    <w:rsid w:val="004A6EAD"/>
    <w:rsid w:val="004A7F06"/>
    <w:rsid w:val="004B0985"/>
    <w:rsid w:val="004B5BA7"/>
    <w:rsid w:val="004B6B1D"/>
    <w:rsid w:val="004C1E08"/>
    <w:rsid w:val="004C2559"/>
    <w:rsid w:val="004C28E1"/>
    <w:rsid w:val="004C4EA0"/>
    <w:rsid w:val="004C5F7D"/>
    <w:rsid w:val="004C777A"/>
    <w:rsid w:val="004D1A7E"/>
    <w:rsid w:val="004D32C7"/>
    <w:rsid w:val="004E0161"/>
    <w:rsid w:val="004E0C2C"/>
    <w:rsid w:val="004E11A5"/>
    <w:rsid w:val="004E159E"/>
    <w:rsid w:val="004E16FE"/>
    <w:rsid w:val="004E1CC5"/>
    <w:rsid w:val="004E225F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609B"/>
    <w:rsid w:val="00516682"/>
    <w:rsid w:val="00516EDD"/>
    <w:rsid w:val="00517742"/>
    <w:rsid w:val="005234DC"/>
    <w:rsid w:val="0052456E"/>
    <w:rsid w:val="0052656B"/>
    <w:rsid w:val="00526AC3"/>
    <w:rsid w:val="00526C0C"/>
    <w:rsid w:val="005335DA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31FC"/>
    <w:rsid w:val="0054419F"/>
    <w:rsid w:val="0055009A"/>
    <w:rsid w:val="00550634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5573"/>
    <w:rsid w:val="005762A6"/>
    <w:rsid w:val="00582975"/>
    <w:rsid w:val="00583468"/>
    <w:rsid w:val="005835F2"/>
    <w:rsid w:val="00583EED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5EEE"/>
    <w:rsid w:val="005E1F30"/>
    <w:rsid w:val="005F17A3"/>
    <w:rsid w:val="005F22E1"/>
    <w:rsid w:val="005F432D"/>
    <w:rsid w:val="00600001"/>
    <w:rsid w:val="00601D96"/>
    <w:rsid w:val="00606189"/>
    <w:rsid w:val="006108C7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A3A"/>
    <w:rsid w:val="00643A38"/>
    <w:rsid w:val="00643B7F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7351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82A05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1E15"/>
    <w:rsid w:val="006A22A5"/>
    <w:rsid w:val="006A24B1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121A"/>
    <w:rsid w:val="006B2723"/>
    <w:rsid w:val="006B28B0"/>
    <w:rsid w:val="006B5842"/>
    <w:rsid w:val="006B7310"/>
    <w:rsid w:val="006B77E6"/>
    <w:rsid w:val="006B7C69"/>
    <w:rsid w:val="006C125F"/>
    <w:rsid w:val="006C2290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79BD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8D0"/>
    <w:rsid w:val="00712C7F"/>
    <w:rsid w:val="007152F0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294"/>
    <w:rsid w:val="00734DD4"/>
    <w:rsid w:val="007363FF"/>
    <w:rsid w:val="007400F5"/>
    <w:rsid w:val="00744073"/>
    <w:rsid w:val="00744176"/>
    <w:rsid w:val="0074620A"/>
    <w:rsid w:val="00746B80"/>
    <w:rsid w:val="00746D8B"/>
    <w:rsid w:val="007475F6"/>
    <w:rsid w:val="00750530"/>
    <w:rsid w:val="00753246"/>
    <w:rsid w:val="0075530D"/>
    <w:rsid w:val="00755ACE"/>
    <w:rsid w:val="007567EE"/>
    <w:rsid w:val="00756F44"/>
    <w:rsid w:val="00757F85"/>
    <w:rsid w:val="00757FF5"/>
    <w:rsid w:val="007610F4"/>
    <w:rsid w:val="0076233C"/>
    <w:rsid w:val="00765B1F"/>
    <w:rsid w:val="007661A8"/>
    <w:rsid w:val="00766D21"/>
    <w:rsid w:val="0077079B"/>
    <w:rsid w:val="007716C5"/>
    <w:rsid w:val="007722CD"/>
    <w:rsid w:val="00772BF1"/>
    <w:rsid w:val="007758FC"/>
    <w:rsid w:val="00775C27"/>
    <w:rsid w:val="007767DE"/>
    <w:rsid w:val="00777D49"/>
    <w:rsid w:val="00780DD9"/>
    <w:rsid w:val="00781178"/>
    <w:rsid w:val="007814E8"/>
    <w:rsid w:val="00781D30"/>
    <w:rsid w:val="00782959"/>
    <w:rsid w:val="0078360B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51E"/>
    <w:rsid w:val="007D0CD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6783"/>
    <w:rsid w:val="007E74D5"/>
    <w:rsid w:val="007E79A3"/>
    <w:rsid w:val="007F1835"/>
    <w:rsid w:val="007F201A"/>
    <w:rsid w:val="007F208B"/>
    <w:rsid w:val="007F3048"/>
    <w:rsid w:val="007F6773"/>
    <w:rsid w:val="007F6C27"/>
    <w:rsid w:val="00802F6B"/>
    <w:rsid w:val="00803D4B"/>
    <w:rsid w:val="00804A16"/>
    <w:rsid w:val="00804D23"/>
    <w:rsid w:val="00805247"/>
    <w:rsid w:val="00806638"/>
    <w:rsid w:val="008073D5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154D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6D58"/>
    <w:rsid w:val="00837913"/>
    <w:rsid w:val="00840365"/>
    <w:rsid w:val="008427C0"/>
    <w:rsid w:val="00842C5E"/>
    <w:rsid w:val="00842D35"/>
    <w:rsid w:val="00844710"/>
    <w:rsid w:val="00846B92"/>
    <w:rsid w:val="00850AF5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60D2"/>
    <w:rsid w:val="008A6D89"/>
    <w:rsid w:val="008B0127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375F"/>
    <w:rsid w:val="008D3FE0"/>
    <w:rsid w:val="008D5168"/>
    <w:rsid w:val="008D623A"/>
    <w:rsid w:val="008D6548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2977"/>
    <w:rsid w:val="008F3029"/>
    <w:rsid w:val="008F4866"/>
    <w:rsid w:val="008F527C"/>
    <w:rsid w:val="00900AA4"/>
    <w:rsid w:val="00900B6B"/>
    <w:rsid w:val="00900E3C"/>
    <w:rsid w:val="009053C1"/>
    <w:rsid w:val="0090574E"/>
    <w:rsid w:val="00905838"/>
    <w:rsid w:val="00906E1F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C9E"/>
    <w:rsid w:val="00934FA3"/>
    <w:rsid w:val="009365EA"/>
    <w:rsid w:val="009378A2"/>
    <w:rsid w:val="00944359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7321"/>
    <w:rsid w:val="00960079"/>
    <w:rsid w:val="00960B59"/>
    <w:rsid w:val="00961A99"/>
    <w:rsid w:val="00962DE7"/>
    <w:rsid w:val="00966013"/>
    <w:rsid w:val="009666A6"/>
    <w:rsid w:val="009677D0"/>
    <w:rsid w:val="00970EEE"/>
    <w:rsid w:val="009737FF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0D6"/>
    <w:rsid w:val="009B6A35"/>
    <w:rsid w:val="009B6E91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3DD8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25"/>
    <w:rsid w:val="00A43E94"/>
    <w:rsid w:val="00A44076"/>
    <w:rsid w:val="00A442D4"/>
    <w:rsid w:val="00A45FCB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3102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5784"/>
    <w:rsid w:val="00A85B13"/>
    <w:rsid w:val="00A93A33"/>
    <w:rsid w:val="00A94690"/>
    <w:rsid w:val="00A94DC9"/>
    <w:rsid w:val="00A9650C"/>
    <w:rsid w:val="00A9794D"/>
    <w:rsid w:val="00A97B86"/>
    <w:rsid w:val="00AA00FC"/>
    <w:rsid w:val="00AA0411"/>
    <w:rsid w:val="00AA0460"/>
    <w:rsid w:val="00AA1BAF"/>
    <w:rsid w:val="00AA68B4"/>
    <w:rsid w:val="00AA723C"/>
    <w:rsid w:val="00AB1827"/>
    <w:rsid w:val="00AB1ABB"/>
    <w:rsid w:val="00AB1BC8"/>
    <w:rsid w:val="00AB1C44"/>
    <w:rsid w:val="00AB1F39"/>
    <w:rsid w:val="00AB2564"/>
    <w:rsid w:val="00AB29CD"/>
    <w:rsid w:val="00AB47F0"/>
    <w:rsid w:val="00AB4B04"/>
    <w:rsid w:val="00AB6195"/>
    <w:rsid w:val="00AB7F64"/>
    <w:rsid w:val="00AC1236"/>
    <w:rsid w:val="00AC2374"/>
    <w:rsid w:val="00AC3C4E"/>
    <w:rsid w:val="00AC46CA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43F8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5105"/>
    <w:rsid w:val="00B359A3"/>
    <w:rsid w:val="00B369D6"/>
    <w:rsid w:val="00B41C18"/>
    <w:rsid w:val="00B43E4B"/>
    <w:rsid w:val="00B4425A"/>
    <w:rsid w:val="00B44529"/>
    <w:rsid w:val="00B45F0C"/>
    <w:rsid w:val="00B4790F"/>
    <w:rsid w:val="00B47AC4"/>
    <w:rsid w:val="00B5045D"/>
    <w:rsid w:val="00B50C04"/>
    <w:rsid w:val="00B51F9C"/>
    <w:rsid w:val="00B52312"/>
    <w:rsid w:val="00B52618"/>
    <w:rsid w:val="00B5322B"/>
    <w:rsid w:val="00B54760"/>
    <w:rsid w:val="00B57572"/>
    <w:rsid w:val="00B57C4C"/>
    <w:rsid w:val="00B6211E"/>
    <w:rsid w:val="00B644D8"/>
    <w:rsid w:val="00B67495"/>
    <w:rsid w:val="00B709BD"/>
    <w:rsid w:val="00B7291A"/>
    <w:rsid w:val="00B74EA2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13D"/>
    <w:rsid w:val="00B85F7E"/>
    <w:rsid w:val="00B90043"/>
    <w:rsid w:val="00B90DDD"/>
    <w:rsid w:val="00B917BA"/>
    <w:rsid w:val="00B918BC"/>
    <w:rsid w:val="00B92280"/>
    <w:rsid w:val="00B92A4D"/>
    <w:rsid w:val="00B9333C"/>
    <w:rsid w:val="00B936C0"/>
    <w:rsid w:val="00B95410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51AA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1CCC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7BCD"/>
    <w:rsid w:val="00C30B92"/>
    <w:rsid w:val="00C31155"/>
    <w:rsid w:val="00C326AA"/>
    <w:rsid w:val="00C33E2B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3DB7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B0203"/>
    <w:rsid w:val="00CB467F"/>
    <w:rsid w:val="00CB6608"/>
    <w:rsid w:val="00CC1A1A"/>
    <w:rsid w:val="00CC30C1"/>
    <w:rsid w:val="00CC37D8"/>
    <w:rsid w:val="00CC42B9"/>
    <w:rsid w:val="00CC66D8"/>
    <w:rsid w:val="00CC75BA"/>
    <w:rsid w:val="00CD0647"/>
    <w:rsid w:val="00CD112F"/>
    <w:rsid w:val="00CD1B2B"/>
    <w:rsid w:val="00CD1D3A"/>
    <w:rsid w:val="00CD2B20"/>
    <w:rsid w:val="00CD3507"/>
    <w:rsid w:val="00CD44D0"/>
    <w:rsid w:val="00CD4611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77C"/>
    <w:rsid w:val="00D00331"/>
    <w:rsid w:val="00D011EC"/>
    <w:rsid w:val="00D01749"/>
    <w:rsid w:val="00D017BC"/>
    <w:rsid w:val="00D021E5"/>
    <w:rsid w:val="00D03A83"/>
    <w:rsid w:val="00D03ACC"/>
    <w:rsid w:val="00D04FE9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4A89"/>
    <w:rsid w:val="00D24E3C"/>
    <w:rsid w:val="00D31F42"/>
    <w:rsid w:val="00D32B03"/>
    <w:rsid w:val="00D333BB"/>
    <w:rsid w:val="00D33E0C"/>
    <w:rsid w:val="00D37120"/>
    <w:rsid w:val="00D379D3"/>
    <w:rsid w:val="00D40246"/>
    <w:rsid w:val="00D410BE"/>
    <w:rsid w:val="00D416B3"/>
    <w:rsid w:val="00D479B7"/>
    <w:rsid w:val="00D47A56"/>
    <w:rsid w:val="00D51002"/>
    <w:rsid w:val="00D52096"/>
    <w:rsid w:val="00D528E0"/>
    <w:rsid w:val="00D54ADD"/>
    <w:rsid w:val="00D55A0F"/>
    <w:rsid w:val="00D56B79"/>
    <w:rsid w:val="00D57D0F"/>
    <w:rsid w:val="00D604FF"/>
    <w:rsid w:val="00D61072"/>
    <w:rsid w:val="00D616C6"/>
    <w:rsid w:val="00D62A50"/>
    <w:rsid w:val="00D659E3"/>
    <w:rsid w:val="00D67B7D"/>
    <w:rsid w:val="00D70478"/>
    <w:rsid w:val="00D70B76"/>
    <w:rsid w:val="00D72BC4"/>
    <w:rsid w:val="00D72CE8"/>
    <w:rsid w:val="00D74EDE"/>
    <w:rsid w:val="00D75C97"/>
    <w:rsid w:val="00D779BC"/>
    <w:rsid w:val="00D77A84"/>
    <w:rsid w:val="00D80A23"/>
    <w:rsid w:val="00D82AF2"/>
    <w:rsid w:val="00D85864"/>
    <w:rsid w:val="00D85F5E"/>
    <w:rsid w:val="00D90AFF"/>
    <w:rsid w:val="00D911A3"/>
    <w:rsid w:val="00D935B9"/>
    <w:rsid w:val="00D93BDF"/>
    <w:rsid w:val="00D93CDA"/>
    <w:rsid w:val="00D94317"/>
    <w:rsid w:val="00D94882"/>
    <w:rsid w:val="00D95D15"/>
    <w:rsid w:val="00D96B8E"/>
    <w:rsid w:val="00D973D2"/>
    <w:rsid w:val="00D97769"/>
    <w:rsid w:val="00D97935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3A9C"/>
    <w:rsid w:val="00DB404E"/>
    <w:rsid w:val="00DB5194"/>
    <w:rsid w:val="00DB60DF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BC9"/>
    <w:rsid w:val="00DD6EF5"/>
    <w:rsid w:val="00DD7801"/>
    <w:rsid w:val="00DE42C8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4C9"/>
    <w:rsid w:val="00E164D7"/>
    <w:rsid w:val="00E16F22"/>
    <w:rsid w:val="00E20436"/>
    <w:rsid w:val="00E20639"/>
    <w:rsid w:val="00E20F68"/>
    <w:rsid w:val="00E20F84"/>
    <w:rsid w:val="00E23305"/>
    <w:rsid w:val="00E25E92"/>
    <w:rsid w:val="00E2668B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5D85"/>
    <w:rsid w:val="00E664B4"/>
    <w:rsid w:val="00E66FCD"/>
    <w:rsid w:val="00E71FA3"/>
    <w:rsid w:val="00E75E61"/>
    <w:rsid w:val="00E76BA9"/>
    <w:rsid w:val="00E772C6"/>
    <w:rsid w:val="00E8066D"/>
    <w:rsid w:val="00E8145E"/>
    <w:rsid w:val="00E829C3"/>
    <w:rsid w:val="00E831CD"/>
    <w:rsid w:val="00E840F2"/>
    <w:rsid w:val="00E8465D"/>
    <w:rsid w:val="00E91537"/>
    <w:rsid w:val="00E91A3B"/>
    <w:rsid w:val="00E937A4"/>
    <w:rsid w:val="00E938A1"/>
    <w:rsid w:val="00E94645"/>
    <w:rsid w:val="00E95D1A"/>
    <w:rsid w:val="00E95F94"/>
    <w:rsid w:val="00E960EF"/>
    <w:rsid w:val="00E96350"/>
    <w:rsid w:val="00E96865"/>
    <w:rsid w:val="00E9717F"/>
    <w:rsid w:val="00E97BAA"/>
    <w:rsid w:val="00EA2B46"/>
    <w:rsid w:val="00EA4DB0"/>
    <w:rsid w:val="00EA4FC6"/>
    <w:rsid w:val="00EA6B61"/>
    <w:rsid w:val="00EA7489"/>
    <w:rsid w:val="00EB024F"/>
    <w:rsid w:val="00EB06EC"/>
    <w:rsid w:val="00EB3905"/>
    <w:rsid w:val="00EB4824"/>
    <w:rsid w:val="00EB592F"/>
    <w:rsid w:val="00EB65B7"/>
    <w:rsid w:val="00EB7042"/>
    <w:rsid w:val="00EB740A"/>
    <w:rsid w:val="00EB7A82"/>
    <w:rsid w:val="00EB7B4F"/>
    <w:rsid w:val="00EC0213"/>
    <w:rsid w:val="00EC2BE3"/>
    <w:rsid w:val="00EC3010"/>
    <w:rsid w:val="00EC3F33"/>
    <w:rsid w:val="00EC40D8"/>
    <w:rsid w:val="00EC4D39"/>
    <w:rsid w:val="00EC6C83"/>
    <w:rsid w:val="00ED2134"/>
    <w:rsid w:val="00ED403E"/>
    <w:rsid w:val="00ED4914"/>
    <w:rsid w:val="00ED6A0E"/>
    <w:rsid w:val="00EE046A"/>
    <w:rsid w:val="00EE099E"/>
    <w:rsid w:val="00EE1B50"/>
    <w:rsid w:val="00EE5526"/>
    <w:rsid w:val="00EE5E79"/>
    <w:rsid w:val="00EE71D3"/>
    <w:rsid w:val="00EE7E45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890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336"/>
    <w:rsid w:val="00F21A6D"/>
    <w:rsid w:val="00F21ED9"/>
    <w:rsid w:val="00F22819"/>
    <w:rsid w:val="00F22D0F"/>
    <w:rsid w:val="00F23F2F"/>
    <w:rsid w:val="00F25219"/>
    <w:rsid w:val="00F279C5"/>
    <w:rsid w:val="00F31C96"/>
    <w:rsid w:val="00F34073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118A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CA6"/>
    <w:rsid w:val="00F652EF"/>
    <w:rsid w:val="00F6617C"/>
    <w:rsid w:val="00F667AF"/>
    <w:rsid w:val="00F71D4F"/>
    <w:rsid w:val="00F74753"/>
    <w:rsid w:val="00F7593E"/>
    <w:rsid w:val="00F75C4F"/>
    <w:rsid w:val="00F75C95"/>
    <w:rsid w:val="00F7637A"/>
    <w:rsid w:val="00F80569"/>
    <w:rsid w:val="00F8109C"/>
    <w:rsid w:val="00F83246"/>
    <w:rsid w:val="00F91024"/>
    <w:rsid w:val="00F916AC"/>
    <w:rsid w:val="00F91737"/>
    <w:rsid w:val="00F91BA9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15AC"/>
    <w:rsid w:val="00FA4DCC"/>
    <w:rsid w:val="00FB19F3"/>
    <w:rsid w:val="00FB2D7C"/>
    <w:rsid w:val="00FB31FD"/>
    <w:rsid w:val="00FB31FF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5705"/>
    <w:rsid w:val="00FC69D1"/>
    <w:rsid w:val="00FD046F"/>
    <w:rsid w:val="00FD0731"/>
    <w:rsid w:val="00FD0945"/>
    <w:rsid w:val="00FD1261"/>
    <w:rsid w:val="00FD1946"/>
    <w:rsid w:val="00FD1DCC"/>
    <w:rsid w:val="00FD349E"/>
    <w:rsid w:val="00FD504A"/>
    <w:rsid w:val="00FD52C5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E7EB6"/>
    <w:rsid w:val="00FF069C"/>
    <w:rsid w:val="00FF248C"/>
    <w:rsid w:val="00FF35B0"/>
    <w:rsid w:val="00FF3C55"/>
    <w:rsid w:val="00FF468E"/>
    <w:rsid w:val="00FF4CF5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385B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2</cp:revision>
  <cp:lastPrinted>2015-03-31T14:29:00Z</cp:lastPrinted>
  <dcterms:created xsi:type="dcterms:W3CDTF">2015-03-31T19:03:00Z</dcterms:created>
  <dcterms:modified xsi:type="dcterms:W3CDTF">2015-03-31T19:03:00Z</dcterms:modified>
</cp:coreProperties>
</file>