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4B" w:rsidRDefault="00E1254B" w:rsidP="00E1254B">
      <w:pPr>
        <w:rPr>
          <w:rFonts w:hint="cs"/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E5F02" w:rsidRDefault="00EE5F02" w:rsidP="00E55C4F">
      <w:pPr>
        <w:rPr>
          <w:lang w:bidi="ar-MA"/>
        </w:rPr>
      </w:pPr>
    </w:p>
    <w:p w:rsidR="008075F6" w:rsidRDefault="00880CD5" w:rsidP="00880CD5">
      <w:pPr>
        <w:jc w:val="center"/>
        <w:rPr>
          <w:lang w:bidi="ar-MA"/>
        </w:rPr>
      </w:pPr>
      <w:r>
        <w:rPr>
          <w:lang w:bidi="ar-MA"/>
        </w:rPr>
        <w:t xml:space="preserve">    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EE5F0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 w:rsidP="00EE5F0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EE5F0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)</w:t>
      </w:r>
    </w:p>
    <w:p w:rsidR="009E579A" w:rsidRDefault="009E579A" w:rsidP="00EE5F0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623C7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5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934846" w:rsidP="00370006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866C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3700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résultant d’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une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</w:t>
      </w:r>
      <w:r w:rsidR="0059722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</w:t>
      </w:r>
      <w:r w:rsidR="006B223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74489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1,1% de </w:t>
      </w:r>
      <w:r w:rsidR="006B223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des produits alimentaires </w:t>
      </w:r>
      <w:r w:rsidR="00C9729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et </w:t>
      </w:r>
      <w:r w:rsidR="006B223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la baisse </w:t>
      </w:r>
      <w:r w:rsidR="0074489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0,4% </w:t>
      </w:r>
      <w:r w:rsidR="006B223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l’indice des produits non alimentaires.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L’indicateur d’inflation sous-jacente en hausse de 0,</w:t>
      </w:r>
      <w:r w:rsidR="005215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sur un mois et de </w:t>
      </w:r>
      <w:r w:rsidR="005215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215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866C4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623C79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934846">
        <w:rPr>
          <w:rFonts w:ascii="Arial" w:hAnsi="Arial" w:cs="Arial"/>
          <w:sz w:val="24"/>
          <w:szCs w:val="24"/>
        </w:rPr>
        <w:t>hausse</w:t>
      </w:r>
      <w:r w:rsidR="000B6311" w:rsidRPr="004671FE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866C48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6E04D2">
        <w:rPr>
          <w:rFonts w:ascii="Arial" w:hAnsi="Arial" w:cs="Arial"/>
          <w:sz w:val="24"/>
          <w:szCs w:val="24"/>
        </w:rPr>
        <w:t>hausse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623C79">
        <w:rPr>
          <w:rFonts w:ascii="Arial" w:hAnsi="Arial" w:cs="Arial"/>
          <w:sz w:val="24"/>
          <w:szCs w:val="24"/>
        </w:rPr>
        <w:t>1,1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623C79">
        <w:rPr>
          <w:rFonts w:ascii="Arial" w:hAnsi="Arial" w:cs="Arial"/>
          <w:sz w:val="24"/>
          <w:szCs w:val="24"/>
        </w:rPr>
        <w:t xml:space="preserve"> la baisse de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6E04D2">
        <w:rPr>
          <w:rFonts w:ascii="Arial" w:hAnsi="Arial" w:cs="Arial"/>
          <w:sz w:val="24"/>
          <w:szCs w:val="24"/>
        </w:rPr>
        <w:t>0,</w:t>
      </w:r>
      <w:r w:rsidR="00866C48">
        <w:rPr>
          <w:rFonts w:ascii="Arial" w:hAnsi="Arial" w:cs="Arial"/>
          <w:sz w:val="24"/>
          <w:szCs w:val="24"/>
        </w:rPr>
        <w:t>4</w:t>
      </w:r>
      <w:r w:rsidR="006E04D2">
        <w:rPr>
          <w:rFonts w:ascii="Arial" w:hAnsi="Arial" w:cs="Arial"/>
          <w:sz w:val="24"/>
          <w:szCs w:val="24"/>
        </w:rPr>
        <w:t xml:space="preserve">%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5D53A7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F63C1E">
        <w:rPr>
          <w:rFonts w:ascii="Arial" w:hAnsi="Arial" w:cs="Arial"/>
          <w:sz w:val="24"/>
          <w:szCs w:val="24"/>
        </w:rPr>
        <w:t>hausses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623C79">
        <w:rPr>
          <w:rFonts w:ascii="Arial" w:hAnsi="Arial" w:cs="Arial"/>
          <w:sz w:val="24"/>
          <w:szCs w:val="24"/>
        </w:rPr>
        <w:t>4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623C79">
        <w:rPr>
          <w:rFonts w:ascii="Arial" w:hAnsi="Arial" w:cs="Arial"/>
          <w:sz w:val="24"/>
          <w:szCs w:val="24"/>
        </w:rPr>
        <w:t>5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97298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C97298">
        <w:rPr>
          <w:rFonts w:ascii="Arial" w:hAnsi="Arial" w:cs="Arial"/>
          <w:sz w:val="24"/>
          <w:szCs w:val="24"/>
        </w:rPr>
        <w:t>7,1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B03E76">
        <w:rPr>
          <w:rFonts w:ascii="Arial" w:hAnsi="Arial" w:cs="Arial"/>
          <w:sz w:val="24"/>
          <w:szCs w:val="24"/>
        </w:rPr>
        <w:t xml:space="preserve">, </w:t>
      </w:r>
      <w:r w:rsidR="005D53A7">
        <w:rPr>
          <w:rFonts w:ascii="Arial" w:hAnsi="Arial" w:cs="Arial"/>
          <w:sz w:val="24"/>
          <w:szCs w:val="24"/>
        </w:rPr>
        <w:t xml:space="preserve">les « poissons et fruits de mer » avec 2,1% et </w:t>
      </w:r>
      <w:r w:rsidR="00361F65">
        <w:rPr>
          <w:rFonts w:ascii="Arial" w:hAnsi="Arial" w:cs="Arial"/>
          <w:sz w:val="24"/>
          <w:szCs w:val="24"/>
        </w:rPr>
        <w:t>le</w:t>
      </w:r>
      <w:r w:rsidR="00C97298">
        <w:rPr>
          <w:rFonts w:ascii="Arial" w:hAnsi="Arial" w:cs="Arial"/>
          <w:sz w:val="24"/>
          <w:szCs w:val="24"/>
        </w:rPr>
        <w:t xml:space="preserve"> «café, thé et cacao» avec 2,5%.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F63C1E">
        <w:rPr>
          <w:rFonts w:ascii="Arial" w:hAnsi="Arial" w:cs="Arial"/>
          <w:sz w:val="24"/>
          <w:szCs w:val="24"/>
        </w:rPr>
        <w:t>diminué</w:t>
      </w:r>
      <w:r w:rsidR="00726AAD">
        <w:rPr>
          <w:rFonts w:ascii="Arial" w:hAnsi="Arial" w:cs="Arial"/>
          <w:sz w:val="24"/>
          <w:szCs w:val="24"/>
        </w:rPr>
        <w:t xml:space="preserve"> de </w:t>
      </w:r>
      <w:r w:rsidR="00C97298">
        <w:rPr>
          <w:rFonts w:ascii="Arial" w:hAnsi="Arial" w:cs="Arial"/>
          <w:sz w:val="24"/>
          <w:szCs w:val="24"/>
        </w:rPr>
        <w:t>4,1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361F65">
        <w:rPr>
          <w:rFonts w:ascii="Arial" w:hAnsi="Arial" w:cs="Arial"/>
          <w:sz w:val="24"/>
          <w:szCs w:val="24"/>
        </w:rPr>
        <w:t>fruits</w:t>
      </w:r>
      <w:r w:rsidR="00C97298">
        <w:rPr>
          <w:rFonts w:ascii="Arial" w:hAnsi="Arial" w:cs="Arial"/>
          <w:sz w:val="24"/>
          <w:szCs w:val="24"/>
        </w:rPr>
        <w:t>». Pour les produits non alimentaires, la baisse a concerné principal</w:t>
      </w:r>
      <w:r w:rsidR="005D53A7">
        <w:rPr>
          <w:rFonts w:ascii="Arial" w:hAnsi="Arial" w:cs="Arial"/>
          <w:sz w:val="24"/>
          <w:szCs w:val="24"/>
        </w:rPr>
        <w:t>ement les prix des « carburants » avec 12</w:t>
      </w:r>
      <w:r w:rsidR="00C97298">
        <w:rPr>
          <w:rFonts w:ascii="Arial" w:hAnsi="Arial" w:cs="Arial"/>
          <w:sz w:val="24"/>
          <w:szCs w:val="24"/>
        </w:rPr>
        <w:t>,</w:t>
      </w:r>
      <w:r w:rsidR="005D53A7">
        <w:rPr>
          <w:rFonts w:ascii="Arial" w:hAnsi="Arial" w:cs="Arial"/>
          <w:sz w:val="24"/>
          <w:szCs w:val="24"/>
        </w:rPr>
        <w:t>9</w:t>
      </w:r>
      <w:r w:rsidR="00C97298">
        <w:rPr>
          <w:rFonts w:ascii="Arial" w:hAnsi="Arial" w:cs="Arial"/>
          <w:sz w:val="24"/>
          <w:szCs w:val="24"/>
        </w:rPr>
        <w:t>%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CF30C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B87BF8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613AF3">
        <w:rPr>
          <w:rFonts w:ascii="Arial" w:hAnsi="Arial" w:cs="Arial"/>
          <w:sz w:val="24"/>
          <w:szCs w:val="24"/>
        </w:rPr>
        <w:t>Settat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CF30CD">
        <w:rPr>
          <w:rFonts w:ascii="Arial" w:hAnsi="Arial" w:cs="Arial"/>
          <w:sz w:val="24"/>
          <w:szCs w:val="24"/>
        </w:rPr>
        <w:t>et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623C79">
        <w:rPr>
          <w:rFonts w:ascii="Arial" w:hAnsi="Arial" w:cs="Arial"/>
          <w:sz w:val="24"/>
          <w:szCs w:val="24"/>
        </w:rPr>
        <w:t>Safi</w:t>
      </w:r>
      <w:r w:rsidR="0091243D">
        <w:rPr>
          <w:rFonts w:ascii="Arial" w:hAnsi="Arial" w:cs="Arial"/>
          <w:sz w:val="24"/>
          <w:szCs w:val="24"/>
        </w:rPr>
        <w:t xml:space="preserve"> avec 0,</w:t>
      </w:r>
      <w:r w:rsidR="00613AF3">
        <w:rPr>
          <w:rFonts w:ascii="Arial" w:hAnsi="Arial" w:cs="Arial"/>
          <w:sz w:val="24"/>
          <w:szCs w:val="24"/>
        </w:rPr>
        <w:t>9</w:t>
      </w:r>
      <w:r w:rsidR="0091243D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 xml:space="preserve">à </w:t>
      </w:r>
      <w:r w:rsidR="00623C79">
        <w:rPr>
          <w:rFonts w:ascii="Arial" w:hAnsi="Arial" w:cs="Arial"/>
          <w:sz w:val="24"/>
          <w:szCs w:val="24"/>
        </w:rPr>
        <w:t>Oujda</w:t>
      </w:r>
      <w:r w:rsidR="009054B8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623C79">
        <w:rPr>
          <w:rFonts w:ascii="Arial" w:hAnsi="Arial" w:cs="Arial"/>
          <w:sz w:val="24"/>
          <w:szCs w:val="24"/>
        </w:rPr>
        <w:t>7</w:t>
      </w:r>
      <w:r w:rsidR="00631454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, </w:t>
      </w:r>
      <w:r w:rsidR="001B106F">
        <w:rPr>
          <w:rFonts w:ascii="Arial" w:hAnsi="Arial" w:cs="Arial"/>
          <w:sz w:val="24"/>
          <w:szCs w:val="24"/>
        </w:rPr>
        <w:t xml:space="preserve">à </w:t>
      </w:r>
      <w:r w:rsidR="00866C48">
        <w:rPr>
          <w:rFonts w:ascii="Arial" w:hAnsi="Arial" w:cs="Arial"/>
          <w:sz w:val="24"/>
          <w:szCs w:val="24"/>
        </w:rPr>
        <w:t xml:space="preserve">Dakhla et </w:t>
      </w:r>
      <w:r w:rsidR="00623C79">
        <w:rPr>
          <w:rFonts w:ascii="Arial" w:hAnsi="Arial" w:cs="Arial"/>
          <w:sz w:val="24"/>
          <w:szCs w:val="24"/>
        </w:rPr>
        <w:t>Guelmim</w:t>
      </w:r>
      <w:r w:rsidR="00613AF3">
        <w:rPr>
          <w:rFonts w:ascii="Arial" w:hAnsi="Arial" w:cs="Arial"/>
          <w:sz w:val="24"/>
          <w:szCs w:val="24"/>
        </w:rPr>
        <w:t xml:space="preserve"> avec </w:t>
      </w:r>
      <w:r w:rsidR="001B106F">
        <w:rPr>
          <w:rFonts w:ascii="Arial" w:hAnsi="Arial" w:cs="Arial"/>
          <w:sz w:val="24"/>
          <w:szCs w:val="24"/>
        </w:rPr>
        <w:t>0,</w:t>
      </w:r>
      <w:r w:rsidR="00623C79">
        <w:rPr>
          <w:rFonts w:ascii="Arial" w:hAnsi="Arial" w:cs="Arial"/>
          <w:sz w:val="24"/>
          <w:szCs w:val="24"/>
        </w:rPr>
        <w:t>6</w:t>
      </w:r>
      <w:r w:rsidR="001B106F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 et à </w:t>
      </w:r>
      <w:r w:rsidR="00921327">
        <w:rPr>
          <w:rFonts w:ascii="Arial" w:hAnsi="Arial" w:cs="Arial"/>
          <w:sz w:val="24"/>
          <w:szCs w:val="24"/>
        </w:rPr>
        <w:t xml:space="preserve">Casablanca et </w:t>
      </w:r>
      <w:r w:rsidR="00623C79">
        <w:rPr>
          <w:rFonts w:ascii="Arial" w:hAnsi="Arial" w:cs="Arial"/>
          <w:sz w:val="24"/>
          <w:szCs w:val="24"/>
        </w:rPr>
        <w:t>Al-Hoceima avec 0,5%</w:t>
      </w:r>
      <w:r w:rsidR="00B430CE">
        <w:rPr>
          <w:rFonts w:ascii="Arial" w:hAnsi="Arial" w:cs="Arial"/>
          <w:sz w:val="24"/>
          <w:szCs w:val="24"/>
        </w:rPr>
        <w:t>;</w:t>
      </w:r>
      <w:r w:rsidR="00623C79">
        <w:rPr>
          <w:rFonts w:ascii="Arial" w:hAnsi="Arial" w:cs="Arial"/>
          <w:sz w:val="24"/>
          <w:szCs w:val="24"/>
        </w:rPr>
        <w:t xml:space="preserve"> En revanche, des baisses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C79">
        <w:rPr>
          <w:rFonts w:ascii="Arial" w:hAnsi="Arial" w:cs="Arial"/>
          <w:sz w:val="24"/>
          <w:szCs w:val="24"/>
        </w:rPr>
        <w:t>Beni</w:t>
      </w:r>
      <w:proofErr w:type="spellEnd"/>
      <w:r w:rsidR="00623C79">
        <w:rPr>
          <w:rFonts w:ascii="Arial" w:hAnsi="Arial" w:cs="Arial"/>
          <w:sz w:val="24"/>
          <w:szCs w:val="24"/>
        </w:rPr>
        <w:t>-Mellal</w:t>
      </w:r>
      <w:r w:rsidR="008E0113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>avec 0,</w:t>
      </w:r>
      <w:r w:rsidR="00623C79">
        <w:rPr>
          <w:rFonts w:ascii="Arial" w:hAnsi="Arial" w:cs="Arial"/>
          <w:sz w:val="24"/>
          <w:szCs w:val="24"/>
        </w:rPr>
        <w:t>9</w:t>
      </w:r>
      <w:r w:rsidR="0091243D">
        <w:rPr>
          <w:rFonts w:ascii="Arial" w:hAnsi="Arial" w:cs="Arial"/>
          <w:sz w:val="24"/>
          <w:szCs w:val="24"/>
        </w:rPr>
        <w:t>%</w:t>
      </w:r>
      <w:r w:rsidR="00866C48">
        <w:rPr>
          <w:rFonts w:ascii="Arial" w:hAnsi="Arial" w:cs="Arial"/>
          <w:sz w:val="24"/>
          <w:szCs w:val="24"/>
        </w:rPr>
        <w:t>,</w:t>
      </w:r>
      <w:r w:rsidR="00623C79">
        <w:rPr>
          <w:rFonts w:ascii="Arial" w:hAnsi="Arial" w:cs="Arial"/>
          <w:sz w:val="24"/>
          <w:szCs w:val="24"/>
        </w:rPr>
        <w:t xml:space="preserve"> à Agadir avec 0,2%</w:t>
      </w:r>
      <w:r w:rsidR="00866C48">
        <w:rPr>
          <w:rFonts w:ascii="Arial" w:hAnsi="Arial" w:cs="Arial"/>
          <w:sz w:val="24"/>
          <w:szCs w:val="24"/>
        </w:rPr>
        <w:t xml:space="preserve"> et </w:t>
      </w:r>
      <w:r w:rsidR="00921327">
        <w:rPr>
          <w:rFonts w:ascii="Arial" w:hAnsi="Arial" w:cs="Arial"/>
          <w:sz w:val="24"/>
          <w:szCs w:val="24"/>
        </w:rPr>
        <w:t xml:space="preserve">à </w:t>
      </w:r>
      <w:r w:rsidR="00866C48">
        <w:rPr>
          <w:rFonts w:ascii="Arial" w:hAnsi="Arial" w:cs="Arial"/>
          <w:sz w:val="24"/>
          <w:szCs w:val="24"/>
        </w:rPr>
        <w:t>Marrakech avec 0,1%</w:t>
      </w:r>
      <w:r w:rsidR="0091243D">
        <w:rPr>
          <w:rFonts w:ascii="Arial" w:hAnsi="Arial" w:cs="Arial"/>
          <w:sz w:val="24"/>
          <w:szCs w:val="24"/>
        </w:rPr>
        <w:t>.</w:t>
      </w:r>
    </w:p>
    <w:p w:rsidR="009E579A" w:rsidRDefault="009E579A" w:rsidP="00866C4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AE08CD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866C48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</w:t>
      </w:r>
      <w:r w:rsidR="00AE08CD">
        <w:rPr>
          <w:rFonts w:ascii="Arial" w:hAnsi="Arial" w:cs="Arial"/>
          <w:sz w:val="24"/>
          <w:szCs w:val="24"/>
        </w:rPr>
        <w:t>15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AE08CD">
        <w:rPr>
          <w:rFonts w:ascii="Arial" w:hAnsi="Arial" w:cs="Arial"/>
          <w:sz w:val="24"/>
          <w:szCs w:val="24"/>
        </w:rPr>
        <w:t>2</w:t>
      </w:r>
      <w:r w:rsidR="00AA60F9">
        <w:rPr>
          <w:rFonts w:ascii="Arial" w:hAnsi="Arial" w:cs="Arial"/>
          <w:sz w:val="24"/>
          <w:szCs w:val="24"/>
        </w:rPr>
        <w:t>,</w:t>
      </w:r>
      <w:r w:rsidR="001A45DD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1A45DD">
        <w:rPr>
          <w:rFonts w:ascii="Arial" w:hAnsi="Arial" w:cs="Arial"/>
          <w:sz w:val="24"/>
          <w:szCs w:val="24"/>
        </w:rPr>
        <w:t>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</w:t>
      </w:r>
      <w:r w:rsidR="00AE08CD" w:rsidRPr="00AE08CD">
        <w:rPr>
          <w:rFonts w:ascii="Arial" w:hAnsi="Arial" w:cs="Arial"/>
          <w:sz w:val="24"/>
          <w:szCs w:val="24"/>
        </w:rPr>
        <w:t xml:space="preserve"> </w:t>
      </w:r>
      <w:r w:rsidR="00AE08CD">
        <w:rPr>
          <w:rFonts w:ascii="Arial" w:hAnsi="Arial" w:cs="Arial"/>
          <w:sz w:val="24"/>
          <w:szCs w:val="24"/>
        </w:rPr>
        <w:t>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AE08CD">
        <w:rPr>
          <w:rFonts w:ascii="Arial" w:hAnsi="Arial" w:cs="Arial"/>
          <w:sz w:val="24"/>
          <w:szCs w:val="24"/>
        </w:rPr>
        <w:t>1,</w:t>
      </w:r>
      <w:r w:rsidR="00866C48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AE08CD">
        <w:rPr>
          <w:rFonts w:ascii="Arial" w:hAnsi="Arial" w:cs="Arial"/>
          <w:spacing w:val="-2"/>
          <w:sz w:val="24"/>
          <w:szCs w:val="24"/>
        </w:rPr>
        <w:t>2,</w:t>
      </w:r>
      <w:r w:rsidR="00866C48">
        <w:rPr>
          <w:rFonts w:ascii="Arial" w:hAnsi="Arial" w:cs="Arial"/>
          <w:spacing w:val="-2"/>
          <w:sz w:val="24"/>
          <w:szCs w:val="24"/>
        </w:rPr>
        <w:t>8</w:t>
      </w:r>
      <w:r w:rsidR="00AE08CD">
        <w:rPr>
          <w:rFonts w:ascii="Arial" w:hAnsi="Arial" w:cs="Arial"/>
          <w:spacing w:val="-2"/>
          <w:sz w:val="24"/>
          <w:szCs w:val="24"/>
        </w:rPr>
        <w:t>% pour le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«</w:t>
      </w:r>
      <w:r w:rsidR="00AE08C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AE08CD">
        <w:rPr>
          <w:rFonts w:ascii="Arial" w:hAnsi="Arial" w:cs="Arial"/>
          <w:spacing w:val="-2"/>
          <w:sz w:val="24"/>
          <w:szCs w:val="24"/>
        </w:rPr>
        <w:t xml:space="preserve">4,9% pour le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AE08CD">
        <w:rPr>
          <w:rFonts w:ascii="Arial" w:hAnsi="Arial" w:cs="Arial"/>
          <w:spacing w:val="-2"/>
          <w:sz w:val="24"/>
          <w:szCs w:val="24"/>
        </w:rPr>
        <w:t xml:space="preserve">logement, eau et </w:t>
      </w:r>
      <w:r w:rsidR="00AE08CD" w:rsidRPr="00AE08CD">
        <w:rPr>
          <w:rFonts w:ascii="Arial" w:hAnsi="Arial" w:cs="Arial"/>
          <w:spacing w:val="-2"/>
          <w:sz w:val="24"/>
          <w:szCs w:val="24"/>
        </w:rPr>
        <w:t>électricité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52153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19430B">
        <w:rPr>
          <w:rFonts w:ascii="Arial" w:hAnsi="Arial" w:cs="Arial"/>
          <w:sz w:val="24"/>
          <w:szCs w:val="24"/>
        </w:rPr>
        <w:t xml:space="preserve">5 </w:t>
      </w:r>
      <w:r w:rsidR="006478E1" w:rsidRPr="00194996">
        <w:rPr>
          <w:rFonts w:ascii="Arial" w:hAnsi="Arial" w:cs="Arial"/>
          <w:sz w:val="24"/>
          <w:szCs w:val="24"/>
        </w:rPr>
        <w:t xml:space="preserve">une </w:t>
      </w:r>
      <w:r w:rsidR="00681B0C">
        <w:rPr>
          <w:rFonts w:ascii="Arial" w:hAnsi="Arial" w:cs="Arial"/>
          <w:sz w:val="24"/>
          <w:szCs w:val="24"/>
        </w:rPr>
        <w:t>hausse</w:t>
      </w:r>
      <w:r w:rsidR="00695137" w:rsidRPr="00194996">
        <w:rPr>
          <w:rFonts w:ascii="Arial" w:hAnsi="Arial" w:cs="Arial"/>
          <w:sz w:val="24"/>
          <w:szCs w:val="24"/>
        </w:rPr>
        <w:t xml:space="preserve"> de</w:t>
      </w:r>
      <w:r w:rsidR="006478E1" w:rsidRPr="00194996">
        <w:rPr>
          <w:rFonts w:ascii="Arial" w:hAnsi="Arial" w:cs="Arial"/>
          <w:sz w:val="24"/>
          <w:szCs w:val="24"/>
        </w:rPr>
        <w:t xml:space="preserve"> 0,</w:t>
      </w:r>
      <w:r w:rsidR="00521536">
        <w:rPr>
          <w:rFonts w:ascii="Arial" w:hAnsi="Arial" w:cs="Arial"/>
          <w:sz w:val="24"/>
          <w:szCs w:val="24"/>
        </w:rPr>
        <w:t>1</w:t>
      </w:r>
      <w:r w:rsidR="006478E1" w:rsidRPr="00194996">
        <w:rPr>
          <w:rFonts w:ascii="Arial" w:hAnsi="Arial" w:cs="Arial"/>
          <w:sz w:val="24"/>
          <w:szCs w:val="24"/>
        </w:rPr>
        <w:t xml:space="preserve">%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19430B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521536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521536">
        <w:rPr>
          <w:rFonts w:ascii="Arial" w:hAnsi="Arial" w:cs="Arial"/>
          <w:sz w:val="24"/>
          <w:szCs w:val="24"/>
        </w:rPr>
        <w:t>9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19430B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DF0859" w:rsidRDefault="00DF0859" w:rsidP="00DF085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 w:rsidTr="00A45C8B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A3658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 w:rsidTr="00A45C8B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19430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19430B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F0F2B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9430B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9430B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A45C8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C32143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32143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32143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32143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402008" w:rsidRDefault="00C32143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19430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9430B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A3658">
              <w:rPr>
                <w:rFonts w:ascii="Times-Bold" w:hAnsi="Times-Bold" w:cs="Times-Bold"/>
                <w:b/>
                <w:bCs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19430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19430B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19430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9430B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19430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19430B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32143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994B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994B2E" w:rsidP="00994B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3214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3214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32143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32143" w:rsidRPr="00402008" w:rsidRDefault="00C32143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32143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Pr="00CA17F7" w:rsidRDefault="00C32143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32143" w:rsidRDefault="00C321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DB00D9" w:rsidRDefault="009E579A" w:rsidP="00D03CA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A67378">
      <w:pgSz w:w="11906" w:h="16838"/>
      <w:pgMar w:top="720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087" w:rsidRDefault="00791087">
      <w:pPr>
        <w:jc w:val="right"/>
      </w:pPr>
      <w:r>
        <w:separator/>
      </w:r>
    </w:p>
  </w:endnote>
  <w:endnote w:type="continuationSeparator" w:id="0">
    <w:p w:rsidR="00791087" w:rsidRDefault="0079108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087" w:rsidRDefault="00791087">
      <w:pPr>
        <w:jc w:val="right"/>
      </w:pPr>
      <w:r>
        <w:separator/>
      </w:r>
    </w:p>
  </w:footnote>
  <w:footnote w:type="continuationSeparator" w:id="0">
    <w:p w:rsidR="00791087" w:rsidRDefault="0079108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0133"/>
    <w:rsid w:val="00241D02"/>
    <w:rsid w:val="00242B30"/>
    <w:rsid w:val="002536D6"/>
    <w:rsid w:val="00260C05"/>
    <w:rsid w:val="00264881"/>
    <w:rsid w:val="00264CB6"/>
    <w:rsid w:val="002718B2"/>
    <w:rsid w:val="00272F23"/>
    <w:rsid w:val="00275052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D01D6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0006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1536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84F78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53A7"/>
    <w:rsid w:val="005D7BB6"/>
    <w:rsid w:val="005E122A"/>
    <w:rsid w:val="005E23EB"/>
    <w:rsid w:val="005E2E9C"/>
    <w:rsid w:val="005E42E1"/>
    <w:rsid w:val="005F26AA"/>
    <w:rsid w:val="005F549B"/>
    <w:rsid w:val="005F588D"/>
    <w:rsid w:val="005F78F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2237"/>
    <w:rsid w:val="006B659E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886"/>
    <w:rsid w:val="00741AC5"/>
    <w:rsid w:val="00743537"/>
    <w:rsid w:val="00744890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087"/>
    <w:rsid w:val="00791D94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D84"/>
    <w:rsid w:val="00854EB7"/>
    <w:rsid w:val="008631BC"/>
    <w:rsid w:val="008634FB"/>
    <w:rsid w:val="00866C48"/>
    <w:rsid w:val="008704B4"/>
    <w:rsid w:val="00871931"/>
    <w:rsid w:val="008721B7"/>
    <w:rsid w:val="00873925"/>
    <w:rsid w:val="00876BBB"/>
    <w:rsid w:val="00880CD5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6C05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5C8B"/>
    <w:rsid w:val="00A465FF"/>
    <w:rsid w:val="00A52A0F"/>
    <w:rsid w:val="00A52A4D"/>
    <w:rsid w:val="00A55354"/>
    <w:rsid w:val="00A6140A"/>
    <w:rsid w:val="00A6185E"/>
    <w:rsid w:val="00A66337"/>
    <w:rsid w:val="00A67378"/>
    <w:rsid w:val="00A71489"/>
    <w:rsid w:val="00A74213"/>
    <w:rsid w:val="00A80139"/>
    <w:rsid w:val="00A81D41"/>
    <w:rsid w:val="00A84A36"/>
    <w:rsid w:val="00A87045"/>
    <w:rsid w:val="00A900CD"/>
    <w:rsid w:val="00A91347"/>
    <w:rsid w:val="00A9259B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937"/>
    <w:rsid w:val="00BB5E51"/>
    <w:rsid w:val="00BB7241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F0859"/>
    <w:rsid w:val="00DF1D87"/>
    <w:rsid w:val="00E02DDF"/>
    <w:rsid w:val="00E03454"/>
    <w:rsid w:val="00E0470E"/>
    <w:rsid w:val="00E10676"/>
    <w:rsid w:val="00E12263"/>
    <w:rsid w:val="00E1254B"/>
    <w:rsid w:val="00E15923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E5F02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566E7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2014-02-14T16:24:00Z</cp:lastPrinted>
  <dcterms:created xsi:type="dcterms:W3CDTF">2015-02-19T20:23:00Z</dcterms:created>
  <dcterms:modified xsi:type="dcterms:W3CDTF">2015-02-19T20:38:00Z</dcterms:modified>
</cp:coreProperties>
</file>