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</w:p>
    <w:p w:rsidR="00FB5154" w:rsidRDefault="007C152B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B5154" w:rsidRPr="00305222" w:rsidRDefault="004F6E4F" w:rsidP="00295120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الفصل ال</w:t>
      </w:r>
      <w:r w:rsidR="00295120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رابع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من سنة 201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4</w:t>
      </w:r>
    </w:p>
    <w:p w:rsidR="00FB5154" w:rsidRPr="00892060" w:rsidRDefault="00FB5154" w:rsidP="00FB5154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FB5154" w:rsidRPr="000F5040" w:rsidRDefault="00FB5154" w:rsidP="00EB4AF5">
      <w:p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للتخطيط، أن مؤشر ثقة الأسر قد سجل خلال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الفصل</w:t>
      </w:r>
      <w:r w:rsidR="00F17E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</w:t>
      </w:r>
      <w:r w:rsidR="004D4F3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لرابع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 201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17E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انخفاضا بحوالي</w:t>
      </w:r>
      <w:r w:rsidR="0029512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1.5 </w:t>
      </w:r>
      <w:r w:rsidR="004D4F3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نقطة مقارنة مع الفصل الثالث</w:t>
      </w:r>
      <w:r w:rsidR="00F17E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201</w:t>
      </w:r>
      <w:r w:rsidR="00564C6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B30C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و ب</w:t>
      </w:r>
      <w:r w:rsidR="00DD5CE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2</w:t>
      </w:r>
      <w:r w:rsidR="004D4F3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.6</w:t>
      </w:r>
      <w:r w:rsidRPr="000F5040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</w:t>
      </w:r>
      <w:r w:rsidR="00DD5CE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ط</w:t>
      </w:r>
      <w:r w:rsidR="004F6E4F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94D15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مستواه خلال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</w:t>
      </w:r>
      <w:r w:rsidR="004D4F3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الرابع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94D15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من سنة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3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6D32C4" w:rsidRDefault="00933226" w:rsidP="00EB4AF5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هكذا، استقر</w:t>
      </w:r>
      <w:r w:rsidR="00052202"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="00052202"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52202"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 w:rsid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4D4F3C" w:rsidRP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الرابع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>71</w:t>
      </w:r>
      <w:r w:rsidR="007D29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6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مقابل 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>73</w:t>
      </w:r>
      <w:r w:rsidR="007D29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FB515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السابق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74</w:t>
      </w:r>
      <w:r w:rsidR="007D29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</w:t>
      </w:r>
      <w:r w:rsidR="00052202" w:rsidRPr="0019574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AE09D2" w:rsidRDefault="00AE09D2" w:rsidP="00AE09D2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AE09D2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977713" cy="3572539"/>
            <wp:effectExtent l="19050" t="0" r="23037" b="8861"/>
            <wp:docPr id="5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14628" w:rsidRDefault="00514628" w:rsidP="00EB4AF5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192084" w:rsidRDefault="00192084" w:rsidP="00A50A31">
      <w:pPr>
        <w:pStyle w:val="Paragraphedeliste"/>
        <w:widowControl/>
        <w:autoSpaceDE/>
        <w:autoSpaceDN/>
        <w:bidi/>
        <w:adjustRightInd/>
        <w:spacing w:line="276" w:lineRule="auto"/>
        <w:ind w:left="-2"/>
        <w:jc w:val="center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192084" w:rsidRDefault="00192084" w:rsidP="00192084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4D10A3" w:rsidRDefault="004D10A3" w:rsidP="004D10A3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4D10A3" w:rsidRDefault="004D10A3" w:rsidP="004D10A3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4D10A3" w:rsidRDefault="004D10A3" w:rsidP="004D10A3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FB5154" w:rsidRPr="004D10A3" w:rsidRDefault="00FB5154" w:rsidP="00EB4AF5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تطور مكونات مؤشر الثقة</w:t>
      </w:r>
    </w:p>
    <w:p w:rsidR="00DD5CEF" w:rsidRDefault="00701282" w:rsidP="00EB4AF5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701282">
        <w:rPr>
          <w:rFonts w:ascii="Times New Roman" w:hAnsi="Times New Roman" w:cs="Simplified Arabic" w:hint="cs"/>
          <w:sz w:val="28"/>
          <w:szCs w:val="28"/>
          <w:rtl/>
          <w:lang w:bidi="ar-MA"/>
        </w:rPr>
        <w:t>يرجع تطور مؤشر الثقة  للت</w:t>
      </w:r>
      <w:r w:rsidR="00321810">
        <w:rPr>
          <w:rFonts w:ascii="Times New Roman" w:hAnsi="Times New Roman" w:cs="Simplified Arabic" w:hint="cs"/>
          <w:sz w:val="28"/>
          <w:szCs w:val="28"/>
          <w:rtl/>
          <w:lang w:bidi="ar-MA"/>
        </w:rPr>
        <w:t>غير</w:t>
      </w:r>
      <w:r w:rsidRPr="00701282">
        <w:rPr>
          <w:rFonts w:ascii="Times New Roman" w:hAnsi="Times New Roman" w:cs="Simplified Arabic" w:hint="cs"/>
          <w:sz w:val="28"/>
          <w:szCs w:val="28"/>
          <w:rtl/>
          <w:lang w:bidi="ar-MA"/>
        </w:rPr>
        <w:t>ات المتباينة لمختلف مكوناته.</w:t>
      </w:r>
    </w:p>
    <w:p w:rsidR="004D10A3" w:rsidRPr="004D10A3" w:rsidRDefault="004D10A3" w:rsidP="00EB4AF5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Pr="00E329C0" w:rsidRDefault="001F729D" w:rsidP="00711A50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E329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شعور بتحسن </w:t>
      </w:r>
      <w:r w:rsidR="0023068B" w:rsidRPr="00E329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المستوى العام للمعيشة </w:t>
      </w:r>
    </w:p>
    <w:p w:rsidR="00561537" w:rsidRDefault="00CA0478" w:rsidP="00EB4AF5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الرابع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2014،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 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الأسر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 ا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لمستوى </w:t>
      </w:r>
      <w:r w:rsidR="009C11F4">
        <w:rPr>
          <w:rFonts w:ascii="Times New Roman" w:hAnsi="Times New Roman" w:cs="Simplified Arabic" w:hint="cs"/>
          <w:sz w:val="28"/>
          <w:szCs w:val="28"/>
          <w:rtl/>
          <w:lang w:bidi="ar-MA"/>
        </w:rPr>
        <w:t>العام ل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لمعيشة 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>قد ت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حسن</w:t>
      </w:r>
      <w:r w:rsidR="00E41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D212C6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 مع نفس الفترة من 201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DD67FC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564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هكذا </w:t>
      </w:r>
      <w:r w:rsidR="007D29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D26F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D2924">
        <w:rPr>
          <w:rFonts w:ascii="Times New Roman" w:hAnsi="Times New Roman" w:cs="Simplified Arabic" w:hint="cs"/>
          <w:sz w:val="28"/>
          <w:szCs w:val="28"/>
          <w:rtl/>
          <w:lang w:bidi="ar-MA"/>
        </w:rPr>
        <w:t>في 16,5 - نقطة متابعا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منحا</w:t>
      </w:r>
      <w:r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التصاعدي الذي بدأه منذ 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564C62" w:rsidRP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لأول من سنة 2013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مسجلا </w:t>
      </w:r>
      <w:r w:rsidR="00147AA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بذلك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ارتفاعا 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0.9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هاتين الفترتين على التوالي.</w:t>
      </w:r>
    </w:p>
    <w:p w:rsidR="00267C04" w:rsidRDefault="009E158B" w:rsidP="00EB4AF5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بخصوص </w:t>
      </w:r>
      <w:r w:rsidR="00B177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تصورات الأسر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لتطور المستقبلي</w:t>
      </w:r>
      <w:r w:rsidR="001604B1" w:rsidRP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لمستوى المعيشة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فقد عرف رصيدها</w:t>
      </w:r>
      <w:r w:rsidR="00CB6D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 ب 0</w:t>
      </w:r>
      <w:r w:rsidR="00147AA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4 نقطة </w:t>
      </w:r>
      <w:r w:rsidR="00B177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السابق </w:t>
      </w:r>
      <w:r w:rsidR="000356A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تدهورا </w:t>
      </w:r>
      <w:r w:rsidR="00481E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بلغ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147AAF">
        <w:rPr>
          <w:rFonts w:ascii="Times New Roman" w:hAnsi="Times New Roman" w:cs="Simplified Arabic" w:hint="cs"/>
          <w:sz w:val="28"/>
          <w:szCs w:val="28"/>
          <w:rtl/>
          <w:lang w:bidi="ar-MA"/>
        </w:rPr>
        <w:t>,8</w:t>
      </w:r>
      <w:r w:rsidR="00481EF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81EFE">
        <w:rPr>
          <w:rFonts w:ascii="Times New Roman" w:hAnsi="Times New Roman" w:cs="Simplified Arabic" w:hint="cs"/>
          <w:sz w:val="28"/>
          <w:szCs w:val="28"/>
          <w:rtl/>
          <w:lang w:bidi="ar-MA"/>
        </w:rPr>
        <w:t>نقاط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نفس الفترة من 201</w:t>
      </w:r>
      <w:r w:rsidR="00304C6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A4220D" w:rsidRDefault="00A4220D" w:rsidP="00A4220D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Default="000F499D" w:rsidP="00FB5154">
      <w:pPr>
        <w:widowControl/>
        <w:autoSpaceDE/>
        <w:autoSpaceDN/>
        <w:bidi/>
        <w:adjustRightInd/>
        <w:spacing w:after="200" w:line="276" w:lineRule="auto"/>
        <w:jc w:val="center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0F499D">
        <w:rPr>
          <w:rFonts w:ascii="Times New Roman" w:hAnsi="Times New Roman" w:cs="Simplified Arabic"/>
          <w:b/>
          <w:bCs/>
          <w:noProof/>
          <w:sz w:val="30"/>
          <w:szCs w:val="30"/>
          <w:rtl/>
        </w:rPr>
        <w:drawing>
          <wp:inline distT="0" distB="0" distL="0" distR="0">
            <wp:extent cx="5758386" cy="2785730"/>
            <wp:effectExtent l="19050" t="0" r="13764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542A" w:rsidRPr="000C542A" w:rsidRDefault="000C542A" w:rsidP="000C542A">
      <w:pPr>
        <w:pStyle w:val="Paragraphedeliste"/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B5154" w:rsidRPr="00751E8B" w:rsidRDefault="00564C62" w:rsidP="00A27178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</w:t>
      </w:r>
      <w:r w:rsidR="00406DA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ات باستفحال</w:t>
      </w:r>
      <w:r w:rsidR="00F564F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البطالة</w:t>
      </w:r>
      <w:r w:rsidR="00155E7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735E4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لكن </w:t>
      </w:r>
      <w:r w:rsidR="00A2717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بحدة </w:t>
      </w:r>
      <w:r w:rsidR="00735E4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أقل </w:t>
      </w:r>
    </w:p>
    <w:p w:rsidR="00A27178" w:rsidRDefault="003E2DE1" w:rsidP="00A27178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الرابع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74</w:t>
      </w:r>
      <w:r w:rsidR="0031379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76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75</w:t>
      </w:r>
      <w:r w:rsidR="0031379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الفترة من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الماضية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639B6"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3F16A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مستوى سلبي ب</w:t>
      </w:r>
      <w:r w:rsidR="00597787">
        <w:rPr>
          <w:rFonts w:ascii="Times New Roman" w:hAnsi="Times New Roman" w:cs="Simplified Arabic" w:hint="cs"/>
          <w:sz w:val="28"/>
          <w:szCs w:val="28"/>
          <w:rtl/>
          <w:lang w:bidi="ar-MA"/>
        </w:rPr>
        <w:t>لغ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4220D">
        <w:rPr>
          <w:rFonts w:ascii="Times New Roman" w:hAnsi="Times New Roman" w:cs="Simplified Arabic" w:hint="cs"/>
          <w:sz w:val="28"/>
          <w:szCs w:val="28"/>
          <w:rtl/>
          <w:lang w:bidi="ar-MA"/>
        </w:rPr>
        <w:t>68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 ب</w:t>
      </w:r>
      <w:r w:rsidR="00514628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 طفيفا</w:t>
      </w:r>
      <w:r w:rsid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71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سواء  مقارنة مع </w:t>
      </w:r>
      <w:r w:rsidR="00A2717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A2717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A271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0.8 + نقطة) أو مع </w:t>
      </w:r>
      <w:r w:rsidR="00A2717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</w:t>
      </w:r>
      <w:r w:rsidR="00A27178">
        <w:rPr>
          <w:rFonts w:ascii="Times New Roman" w:hAnsi="Times New Roman" w:cs="Simplified Arabic" w:hint="cs"/>
          <w:sz w:val="28"/>
          <w:szCs w:val="28"/>
          <w:rtl/>
          <w:lang w:bidi="ar-MA"/>
        </w:rPr>
        <w:t>ترة</w:t>
      </w:r>
      <w:r w:rsidR="00A2717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 w:rsidR="00A271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السنة الماضية  </w:t>
      </w:r>
      <w:r w:rsidR="00A2717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A27178">
        <w:rPr>
          <w:rFonts w:ascii="Times New Roman" w:hAnsi="Times New Roman" w:cs="Simplified Arabic" w:hint="cs"/>
          <w:sz w:val="28"/>
          <w:szCs w:val="28"/>
          <w:rtl/>
          <w:lang w:bidi="ar-MA"/>
        </w:rPr>
        <w:t>0,2+ نقطة).</w:t>
      </w:r>
    </w:p>
    <w:p w:rsidR="00D45BD6" w:rsidRDefault="00D45BD6" w:rsidP="00D45BD6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45BD6" w:rsidRDefault="00D45BD6" w:rsidP="00D45BD6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45BD6" w:rsidRDefault="000F499D" w:rsidP="00D45BD6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0F499D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996276" cy="2849525"/>
            <wp:effectExtent l="19050" t="0" r="23524" b="797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5154" w:rsidRDefault="00FB5154" w:rsidP="00FB5154">
      <w:pPr>
        <w:rPr>
          <w:rtl/>
          <w:lang w:bidi="ar-MA"/>
        </w:rPr>
      </w:pPr>
    </w:p>
    <w:p w:rsidR="00084B8A" w:rsidRDefault="00597787" w:rsidP="00EB4AF5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استمرار اعتبار </w:t>
      </w:r>
      <w:r w:rsidR="00084B8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الظرف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ية</w:t>
      </w:r>
      <w:r w:rsidR="00084B8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غي</w:t>
      </w:r>
      <w:r w:rsidR="00084B8A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MA"/>
        </w:rPr>
        <w:t>ر</w:t>
      </w:r>
      <w:r w:rsidR="00084B8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ملائمة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97498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لشراء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السلع المستديمة</w:t>
      </w:r>
    </w:p>
    <w:p w:rsidR="00B60126" w:rsidRDefault="000E0292" w:rsidP="00EB4AF5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رابع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اعتبر أكثر من 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مستديمة</w:t>
      </w:r>
      <w:r w:rsidR="00512D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أن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18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عكس ذلك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</w:t>
      </w:r>
      <w:r w:rsidR="00955BC4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38</w:t>
      </w:r>
      <w:r w:rsidR="00FD46D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0818E4">
        <w:rPr>
          <w:rFonts w:ascii="Times New Roman" w:hAnsi="Times New Roman" w:cs="Simplified Arabic" w:hint="cs"/>
          <w:sz w:val="28"/>
          <w:szCs w:val="28"/>
          <w:rtl/>
          <w:lang w:bidi="ar-MA"/>
        </w:rPr>
        <w:t>دهور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سواء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818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6F2166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نقاط)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أو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ترة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السنة الماضية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D46D6">
        <w:rPr>
          <w:rFonts w:ascii="Times New Roman" w:hAnsi="Times New Roman" w:cs="Simplified Arabic" w:hint="cs"/>
          <w:sz w:val="28"/>
          <w:szCs w:val="28"/>
          <w:rtl/>
          <w:lang w:bidi="ar-MA"/>
        </w:rPr>
        <w:t>,3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نقاط).</w:t>
      </w:r>
    </w:p>
    <w:p w:rsidR="00192084" w:rsidRDefault="00192084" w:rsidP="00192084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C77367" w:rsidRDefault="000F499D" w:rsidP="00C77367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0F499D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981670" cy="3080902"/>
            <wp:effectExtent l="19050" t="0" r="19080" b="5198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F4A32" w:rsidRDefault="0004405A" w:rsidP="00EC56D7">
      <w:pPr>
        <w:rPr>
          <w:noProof/>
          <w:rtl/>
        </w:rPr>
      </w:pPr>
      <w:r w:rsidRPr="0004405A">
        <w:rPr>
          <w:noProof/>
        </w:rPr>
        <w:t xml:space="preserve"> </w:t>
      </w:r>
    </w:p>
    <w:p w:rsidR="00173E32" w:rsidRDefault="00173E32" w:rsidP="00EC56D7">
      <w:pPr>
        <w:rPr>
          <w:noProof/>
          <w:rtl/>
        </w:rPr>
      </w:pPr>
    </w:p>
    <w:p w:rsidR="00C90F31" w:rsidRDefault="00C90F31" w:rsidP="00EC56D7">
      <w:pPr>
        <w:rPr>
          <w:noProof/>
          <w:rtl/>
        </w:rPr>
      </w:pPr>
    </w:p>
    <w:p w:rsidR="001D0B9C" w:rsidRPr="0074631B" w:rsidRDefault="000C4CDC" w:rsidP="00EB4AF5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الوضعية المالية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7498A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3866C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آراء</w:t>
      </w:r>
      <w:r w:rsidR="00AD0BE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سلبية </w:t>
      </w:r>
      <w:r w:rsidR="003866C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حول التطورات السابقة و المستقبلية</w:t>
      </w:r>
    </w:p>
    <w:p w:rsidR="00464BE4" w:rsidRDefault="000D5FAB" w:rsidP="00EB4AF5">
      <w:pPr>
        <w:widowControl/>
        <w:autoSpaceDE/>
        <w:autoSpaceDN/>
        <w:bidi/>
        <w:adjustRightInd/>
        <w:spacing w:after="200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قرابة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58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 مداخيلها  تغطي  مصاريفها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تستنزف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36.2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  <w:r w:rsidR="00C01778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مدخراتها أو </w:t>
      </w:r>
      <w:r w:rsidR="00B9414B">
        <w:rPr>
          <w:rFonts w:ascii="Times New Roman" w:hAnsi="Times New Roman" w:cs="Simplified Arabic" w:hint="cs"/>
          <w:sz w:val="28"/>
          <w:szCs w:val="28"/>
          <w:rtl/>
          <w:lang w:bidi="ar-MA"/>
        </w:rPr>
        <w:t>تلجأ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الاستدان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06B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حين 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فقط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E37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تصرح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بتمكنها من ادخار جزء من مدخولها. و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بذ</w:t>
      </w:r>
      <w:r w:rsidR="00A06CE7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ك استقر رصيد مؤشر </w:t>
      </w:r>
      <w:r w:rsidR="0021249E">
        <w:rPr>
          <w:rFonts w:ascii="Times New Roman" w:hAnsi="Times New Roman" w:cs="Simplified Arabic" w:hint="cs"/>
          <w:sz w:val="28"/>
          <w:szCs w:val="28"/>
          <w:rtl/>
          <w:lang w:bidi="ar-MA"/>
        </w:rPr>
        <w:t>الوضعية المالية الحالية للأسر في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</w:t>
      </w:r>
      <w:r w:rsidR="00877F28">
        <w:rPr>
          <w:rFonts w:ascii="Times New Roman" w:hAnsi="Times New Roman" w:cs="Simplified Arabic" w:hint="cs"/>
          <w:sz w:val="28"/>
          <w:szCs w:val="28"/>
          <w:rtl/>
          <w:lang w:bidi="ar-MA"/>
        </w:rPr>
        <w:t>وصل إلى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30.6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نقطة مسجلا بذلك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تدهورا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سواء بالمقارنة مع 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(2</w:t>
      </w:r>
      <w:r w:rsidR="008F1FE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61CE">
        <w:rPr>
          <w:rFonts w:ascii="Times New Roman" w:hAnsi="Times New Roman" w:cs="Simplified Arabic" w:hint="cs"/>
          <w:sz w:val="28"/>
          <w:szCs w:val="28"/>
          <w:rtl/>
          <w:lang w:bidi="ar-MA"/>
        </w:rPr>
        <w:t>3- نق</w:t>
      </w:r>
      <w:r w:rsidR="008F1FE8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9161CE">
        <w:rPr>
          <w:rFonts w:ascii="Times New Roman" w:hAnsi="Times New Roman" w:cs="Simplified Arabic" w:hint="cs"/>
          <w:sz w:val="28"/>
          <w:szCs w:val="28"/>
          <w:rtl/>
          <w:lang w:bidi="ar-MA"/>
        </w:rPr>
        <w:t>ط)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أو </w:t>
      </w:r>
      <w:r w:rsidR="00FD1A1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الفصل من سنة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2013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679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8F1FE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2- </w:t>
      </w:r>
      <w:r w:rsidR="00CA679E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CA679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447B7" w:rsidRDefault="00C5234E" w:rsidP="00C5234E">
      <w:pPr>
        <w:widowControl/>
        <w:autoSpaceDE/>
        <w:autoSpaceDN/>
        <w:bidi/>
        <w:adjustRightInd/>
        <w:spacing w:after="200"/>
        <w:ind w:left="283" w:hanging="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التطور الساب</w:t>
      </w:r>
      <w:r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الخاصة، فقد عرفت آراء الأسر، كذلك، </w:t>
      </w:r>
      <w:r w:rsidR="007639BE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</w:t>
      </w:r>
      <w:r w:rsidR="00EF62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7639B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EF62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</w:t>
      </w:r>
      <w:r w:rsidR="00EF621B" w:rsidRP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F62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و 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7639B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اط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</w:t>
      </w:r>
      <w:r w:rsidR="009763FB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9763FB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</w:t>
      </w:r>
      <w:r w:rsidR="00953D97" w:rsidRP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 2013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6F2166" w:rsidRDefault="00CF1A2E" w:rsidP="00A27178">
      <w:pPr>
        <w:widowControl/>
        <w:autoSpaceDE/>
        <w:autoSpaceDN/>
        <w:bidi/>
        <w:adjustRightInd/>
        <w:spacing w:after="200"/>
        <w:ind w:left="283" w:hanging="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وب</w:t>
      </w:r>
      <w:r w:rsidR="006B2192">
        <w:rPr>
          <w:rFonts w:ascii="Times New Roman" w:hAnsi="Times New Roman" w:cs="Simplified Arabic" w:hint="cs"/>
          <w:sz w:val="28"/>
          <w:szCs w:val="28"/>
          <w:rtl/>
          <w:lang w:bidi="ar-MA"/>
        </w:rPr>
        <w:t>حدة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أقل، نفس التوجه سجلته ت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صورات الأسر للتطور المستقبلي </w:t>
      </w:r>
      <w:r w:rsidR="006F2166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6F2166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التي</w:t>
      </w:r>
      <w:r w:rsidR="006B219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انخفضت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4 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</w:t>
      </w:r>
      <w:r w:rsidR="006F2166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6F2166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 و ب 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</w:t>
      </w:r>
      <w:r w:rsidR="00A2717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الرابع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2013.</w:t>
      </w:r>
    </w:p>
    <w:p w:rsidR="0041230B" w:rsidRDefault="000F499D" w:rsidP="00817133">
      <w:pPr>
        <w:widowControl/>
        <w:autoSpaceDE/>
        <w:autoSpaceDN/>
        <w:bidi/>
        <w:adjustRightInd/>
        <w:spacing w:after="200"/>
        <w:ind w:left="283" w:hanging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0F499D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759450" cy="3575929"/>
            <wp:effectExtent l="19050" t="0" r="12700" b="5471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5154" w:rsidRPr="00A343E7" w:rsidRDefault="00FB5154" w:rsidP="00A8552D">
      <w:pPr>
        <w:widowControl/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2. </w:t>
      </w:r>
      <w:r w:rsidR="00A8552D"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تطور مؤشرات</w:t>
      </w:r>
      <w:r w:rsidR="00A8552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فصلية </w:t>
      </w:r>
      <w:r w:rsidR="00A8552D"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أخرى </w:t>
      </w:r>
      <w:r w:rsidR="00A8552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="00A8552D"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آراء</w:t>
      </w:r>
      <w:r w:rsidR="00A8552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 حول الظرفية</w:t>
      </w:r>
    </w:p>
    <w:p w:rsidR="006C6950" w:rsidRDefault="006C6950" w:rsidP="00EB4AF5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بالإضافة إلى المؤشرات السبع المكونة لمؤشر الثقة للأسر، يوفر البحث معطيات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فصلية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مجالات أخرى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74C15">
        <w:rPr>
          <w:rFonts w:ascii="Times New Roman" w:hAnsi="Times New Roman" w:cs="Simplified Arabic" w:hint="cs"/>
          <w:sz w:val="28"/>
          <w:szCs w:val="28"/>
          <w:rtl/>
          <w:lang w:bidi="ar-MA"/>
        </w:rPr>
        <w:t>ذات صلة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بظروف معيشتهم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ويتعلق الأمر على الخصوص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أثمنة</w:t>
      </w:r>
      <w:r w:rsidR="0079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</w:t>
      </w:r>
      <w:r w:rsidR="00527F86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1C068B" w:rsidRPr="001C068B" w:rsidRDefault="0033483C" w:rsidP="00A27178">
      <w:pPr>
        <w:pStyle w:val="Paragraphedeliste"/>
        <w:widowControl/>
        <w:numPr>
          <w:ilvl w:val="1"/>
          <w:numId w:val="3"/>
        </w:numPr>
        <w:autoSpaceDE/>
        <w:autoSpaceDN/>
        <w:bidi/>
        <w:adjustRightInd/>
        <w:spacing w:after="200"/>
        <w:ind w:left="565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استمرار</w:t>
      </w:r>
      <w:r w:rsidR="00FC552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A2717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 الأسر ل</w:t>
      </w:r>
      <w:r w:rsidR="00FC552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عدم قدر</w:t>
      </w:r>
      <w:r w:rsidR="00A2717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تهم</w:t>
      </w:r>
      <w:r w:rsidR="00FC552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على الادخار</w:t>
      </w:r>
    </w:p>
    <w:p w:rsidR="001C4A0B" w:rsidRDefault="0059278D" w:rsidP="00EB4AF5">
      <w:pPr>
        <w:pStyle w:val="Paragraphedeliste"/>
        <w:widowControl/>
        <w:autoSpaceDE/>
        <w:autoSpaceDN/>
        <w:bidi/>
        <w:adjustRightInd/>
        <w:spacing w:after="200"/>
        <w:ind w:left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تبقى الأسر متشائمة بخصوص قدرتها على الادخار خلال الشهور القادمة. ف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رابع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ترى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85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953D97"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سر 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</w:t>
      </w:r>
      <w:r w:rsidR="001A1FB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ستكون 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ق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در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على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الادخار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12 شهرا المقبلة مقابل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14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B2624"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تتوقع عكس </w:t>
      </w:r>
      <w:r w:rsidR="007B278D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لك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وب</w:t>
      </w:r>
      <w:r w:rsidR="00996A2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لك استق</w:t>
      </w:r>
      <w:r w:rsidR="00C062A5" w:rsidRPr="001C068B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ر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مستوى</w:t>
      </w:r>
      <w:r w:rsidR="001A1FB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سلبي يصل إلى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71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127E48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</w:t>
      </w:r>
      <w:r w:rsidR="00953D97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953D97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تدهورا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4,4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201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4D10A3" w:rsidRDefault="004D10A3" w:rsidP="004D10A3">
      <w:pPr>
        <w:pStyle w:val="Paragraphedeliste"/>
        <w:widowControl/>
        <w:autoSpaceDE/>
        <w:autoSpaceDN/>
        <w:bidi/>
        <w:adjustRightInd/>
        <w:spacing w:after="200"/>
        <w:ind w:left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Default="00EB2E14" w:rsidP="0097498A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أثمنة المواد الغذائية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7498A">
        <w:rPr>
          <w:rFonts w:ascii="Times New Roman" w:hAnsi="Times New Roman" w:cs="Times New Roman"/>
          <w:b/>
          <w:bCs/>
          <w:color w:val="000000" w:themeColor="text1"/>
        </w:rPr>
        <w:t>: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شعور بانخفاضها و </w:t>
      </w:r>
      <w:r w:rsidR="00A10B1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</w:t>
      </w:r>
      <w:r w:rsidR="007B105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ارتفاع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ها مستقبل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</w:p>
    <w:p w:rsidR="00D80851" w:rsidRPr="00D80851" w:rsidRDefault="00342122" w:rsidP="00EB4AF5">
      <w:pPr>
        <w:pStyle w:val="Paragraphedeliste"/>
        <w:widowControl/>
        <w:autoSpaceDE/>
        <w:autoSpaceDN/>
        <w:bidi/>
        <w:adjustRightInd/>
        <w:ind w:left="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رابع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03926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عتقد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85</w:t>
      </w:r>
      <w:r w:rsidR="001C761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D80851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A2D3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أثمنة المواد الغذائية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ارتفاعا</w:t>
      </w:r>
      <w:r w:rsidR="000F3B8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السابق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1C761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D80851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</w:t>
      </w:r>
      <w:r w:rsidR="001C761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الثالث من نفس السنة 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91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D80851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</w:t>
      </w:r>
      <w:r w:rsidR="001C761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الرابع 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5E30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 رصيد ه</w:t>
      </w:r>
      <w:r w:rsidR="00346369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ا المؤشر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تدهورا 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B01E1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C7614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</w:t>
      </w:r>
      <w:r w:rsidR="00566189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6.3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201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C91658" w:rsidRDefault="000A1AFF" w:rsidP="00EB4AF5">
      <w:pPr>
        <w:pStyle w:val="Paragraphedeliste"/>
        <w:widowControl/>
        <w:autoSpaceDE/>
        <w:autoSpaceDN/>
        <w:bidi/>
        <w:adjustRightInd/>
        <w:spacing w:after="240"/>
        <w:ind w:left="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الت</w:t>
      </w:r>
      <w:r w:rsidR="00A553E9">
        <w:rPr>
          <w:rFonts w:ascii="Times New Roman" w:hAnsi="Times New Roman" w:cs="Simplified Arabic" w:hint="cs"/>
          <w:sz w:val="28"/>
          <w:szCs w:val="28"/>
          <w:rtl/>
          <w:lang w:bidi="ar-MA"/>
        </w:rPr>
        <w:t>وقعات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المستقبلية لتطور أثمنة 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1F729D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استمرار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ارتفاعها في المستقبل مقابل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8 </w:t>
      </w:r>
      <w:r w:rsidR="00FB3BFE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FB3BF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C6B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رابع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2B3B1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بذلك ا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نخفض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الرصيد الخاص بالتطور 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مستقبلي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له</w:t>
      </w:r>
      <w:r w:rsidR="00A2494B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ه ا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لأثمنة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8C6B0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ة و 1</w:t>
      </w:r>
      <w:r w:rsidR="008C6B0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F8672B">
        <w:rPr>
          <w:rFonts w:ascii="Times New Roman" w:hAnsi="Times New Roman" w:cs="Simplified Arabic" w:hint="cs"/>
          <w:sz w:val="28"/>
          <w:szCs w:val="28"/>
          <w:rtl/>
          <w:lang w:bidi="ar-MA"/>
        </w:rPr>
        <w:t>طة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هاتين الفترتين على التوالي.</w:t>
      </w:r>
    </w:p>
    <w:p w:rsidR="00D9208D" w:rsidRDefault="00D9208D" w:rsidP="00F614DD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9208D">
        <w:rPr>
          <w:rFonts w:ascii="Times New Roman" w:hAnsi="Times New Roman" w:cs="Simplified Arabic"/>
          <w:noProof/>
          <w:sz w:val="28"/>
          <w:szCs w:val="28"/>
        </w:rPr>
        <w:drawing>
          <wp:inline distT="0" distB="0" distL="0" distR="0">
            <wp:extent cx="2681619" cy="4059732"/>
            <wp:effectExtent l="19050" t="0" r="23481" b="0"/>
            <wp:docPr id="9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 </w:t>
      </w:r>
      <w:r w:rsidRPr="00D9208D">
        <w:rPr>
          <w:rFonts w:ascii="Times New Roman" w:hAnsi="Times New Roman" w:cs="Simplified Arabic"/>
          <w:noProof/>
          <w:sz w:val="28"/>
          <w:szCs w:val="28"/>
        </w:rPr>
        <w:drawing>
          <wp:inline distT="0" distB="0" distL="0" distR="0">
            <wp:extent cx="2510394" cy="4061361"/>
            <wp:effectExtent l="19050" t="0" r="23256" b="0"/>
            <wp:docPr id="18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8038B" w:rsidRPr="0068038B" w:rsidRDefault="0068038B" w:rsidP="0068038B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A8552D" w:rsidRDefault="00C93AD6" w:rsidP="004E3A59">
      <w:pPr>
        <w:pStyle w:val="Paragraphedeliste"/>
        <w:widowControl/>
        <w:autoSpaceDE/>
        <w:autoSpaceDN/>
        <w:bidi/>
        <w:adjustRightInd/>
        <w:ind w:left="50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3. </w:t>
      </w:r>
      <w:r w:rsidR="00A8552D"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تطور مؤشرات </w:t>
      </w:r>
      <w:r w:rsidR="00A8552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سنوية ل</w:t>
      </w:r>
      <w:r w:rsidR="00A8552D"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آراء</w:t>
      </w:r>
      <w:r w:rsidR="00A8552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 حول الظرفية</w:t>
      </w:r>
      <w:r w:rsidR="00A8552D" w:rsidRPr="004E3A5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A8552D" w:rsidRDefault="00A8552D" w:rsidP="00A8552D">
      <w:pPr>
        <w:pStyle w:val="Paragraphedeliste"/>
        <w:widowControl/>
        <w:autoSpaceDE/>
        <w:autoSpaceDN/>
        <w:bidi/>
        <w:adjustRightInd/>
        <w:ind w:left="50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4E3A59" w:rsidRDefault="004E3A59" w:rsidP="00A8552D">
      <w:pPr>
        <w:pStyle w:val="Paragraphedeliste"/>
        <w:widowControl/>
        <w:autoSpaceDE/>
        <w:autoSpaceDN/>
        <w:bidi/>
        <w:adjustRightInd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4E3A59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بالاضافة للمؤشرات الفصلية، تقوم المندوبية السامية للتخطيط في نهاية كل سنة بحساب أرصدة تصورات الأسر لمكونات أخرى متعلقة بمحيطها والتي لا تعرف تغييرات معبرة من فصل إلى آخر.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ويتعلق الأمر ب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التطور الحاصل ما بين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2013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2014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لآراء الأسر حول </w:t>
      </w:r>
      <w:r w:rsidRPr="00007D34">
        <w:rPr>
          <w:rFonts w:ascii="Times New Roman" w:hAnsi="Times New Roman" w:cs="Simplified Arabic"/>
          <w:sz w:val="28"/>
          <w:szCs w:val="28"/>
          <w:rtl/>
          <w:lang w:bidi="ar-MA"/>
        </w:rPr>
        <w:t>وضعية حقوق الإنسان والبيئة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وكذا جودة بعض الخدمات العمومية.</w:t>
      </w:r>
    </w:p>
    <w:p w:rsidR="004E3A59" w:rsidRPr="004E3A59" w:rsidRDefault="004E3A59" w:rsidP="004E3A59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161CE" w:rsidRPr="002B668B" w:rsidRDefault="009161CE" w:rsidP="00546F50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lang w:bidi="ar-MA"/>
        </w:rPr>
      </w:pPr>
      <w:r w:rsidRPr="002B668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وضعية حقوق </w:t>
      </w:r>
      <w:r w:rsidR="00BE54AF" w:rsidRPr="002B668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الإنسان</w:t>
      </w:r>
      <w:r w:rsidR="00D36F1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:</w:t>
      </w:r>
      <w:r w:rsidRPr="002B668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آراء</w:t>
      </w:r>
      <w:r w:rsidR="00546F5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دائما إيجابية</w:t>
      </w:r>
    </w:p>
    <w:p w:rsidR="00755B45" w:rsidRDefault="00755B45" w:rsidP="00EB4AF5">
      <w:pPr>
        <w:bidi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2014، </w:t>
      </w:r>
      <w:r w:rsidR="002B668B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 w:rsidR="00BE54A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60.7 </w:t>
      </w:r>
      <w:r w:rsidR="00BE54AF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E54A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وضعية </w:t>
      </w:r>
      <w:r w:rsidRPr="007A4C39">
        <w:rPr>
          <w:rFonts w:ascii="Times New Roman" w:hAnsi="Times New Roman" w:cs="Simplified Arabic"/>
          <w:sz w:val="28"/>
          <w:szCs w:val="28"/>
          <w:rtl/>
          <w:lang w:bidi="ar-MA"/>
        </w:rPr>
        <w:t>حقوق الإنسان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بالمغرب قد تحسنت و </w:t>
      </w:r>
      <w:r w:rsidR="00BE54AF">
        <w:rPr>
          <w:rFonts w:ascii="Times New Roman" w:hAnsi="Times New Roman" w:cs="Simplified Arabic" w:hint="cs"/>
          <w:sz w:val="28"/>
          <w:szCs w:val="28"/>
          <w:rtl/>
          <w:lang w:bidi="ar-MA"/>
        </w:rPr>
        <w:t>29.7</w:t>
      </w:r>
      <w:r w:rsidR="00BE54AF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E54A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أنها لم تعرف أي تغيير فيما تظن 9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تراجعت</w:t>
      </w:r>
      <w:r w:rsidR="00BE54A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 قد عرف رصيد هذا المؤشر، الأكثر ارتفاعا من بين كل مؤشرات الظرفية (51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1 نقطة)، تحسنا قدر ب 0,9 نقطة مقارنة مع مستواه في 2013.</w:t>
      </w:r>
    </w:p>
    <w:p w:rsidR="00DC2D96" w:rsidRDefault="00DC2D96" w:rsidP="00DC2D96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2B668B" w:rsidRDefault="00017F39" w:rsidP="0088706B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ج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ود</w:t>
      </w:r>
      <w:r w:rsidRPr="001D1850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الخدمات الإدارية</w:t>
      </w:r>
      <w:r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88706B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شعور </w:t>
      </w:r>
      <w:r w:rsidR="0088706B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بتحسن</w:t>
      </w:r>
      <w:r w:rsidR="0088706B" w:rsidRPr="002B668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2B668B" w:rsidRDefault="002B668B" w:rsidP="00EB4AF5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2014، </w:t>
      </w:r>
      <w:r w:rsidR="009E0E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تزايد عدد الأسر التي ترى تحسنا في جودة </w:t>
      </w:r>
      <w:r w:rsidR="009E0E2A" w:rsidRPr="007A4C3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الخدمات الإدارية</w:t>
      </w:r>
      <w:r w:rsidR="007C5D40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P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>55.5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C5D4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</w:t>
      </w:r>
      <w:r w:rsid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14.9 </w:t>
      </w:r>
      <w:r w:rsidR="004A2939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التي ترى عكس ذلك. </w:t>
      </w:r>
      <w:r w:rsidR="007C5D4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فقد </w:t>
      </w:r>
      <w:r w:rsid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 رصيد هذه الآراء ب 0.8 نقطة</w:t>
      </w:r>
      <w:r w:rsidR="0035206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مابين 2013 و </w:t>
      </w:r>
      <w:r w:rsidR="005901D8">
        <w:rPr>
          <w:rFonts w:ascii="Times New Roman" w:hAnsi="Times New Roman" w:cs="Simplified Arabic" w:hint="cs"/>
          <w:sz w:val="28"/>
          <w:szCs w:val="28"/>
          <w:rtl/>
          <w:lang w:bidi="ar-MA"/>
        </w:rPr>
        <w:t>2014.</w:t>
      </w:r>
      <w:r w:rsidR="0035206B" w:rsidRPr="0035206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9E0E2A" w:rsidRDefault="009E0E2A" w:rsidP="009E0E2A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rPr>
          <w:rFonts w:ascii="Times New Roman" w:hAnsi="Times New Roman" w:cs="Simplified Arabic"/>
          <w:sz w:val="28"/>
          <w:szCs w:val="28"/>
          <w:lang w:bidi="ar-MA"/>
        </w:rPr>
      </w:pPr>
    </w:p>
    <w:p w:rsidR="002C3DF6" w:rsidRDefault="00017F39" w:rsidP="0088706B">
      <w:pPr>
        <w:pStyle w:val="Paragraphedeliste"/>
        <w:widowControl/>
        <w:numPr>
          <w:ilvl w:val="1"/>
          <w:numId w:val="11"/>
        </w:numPr>
        <w:autoSpaceDE/>
        <w:bidi/>
        <w:adjustRightInd/>
        <w:spacing w:after="200" w:line="276" w:lineRule="auto"/>
        <w:ind w:left="423"/>
        <w:rPr>
          <w:rFonts w:ascii="Simplified Arabic" w:hAnsi="Simplified Arabic" w:cs="Simplified Arabic"/>
          <w:b/>
          <w:bCs/>
          <w:sz w:val="28"/>
          <w:szCs w:val="28"/>
          <w:lang w:bidi="ar-MA"/>
        </w:rPr>
      </w:pPr>
      <w:r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المحافظة على </w:t>
      </w:r>
      <w:r w:rsidRPr="00043971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>البيئة</w:t>
      </w:r>
      <w:r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EA782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رصيد </w:t>
      </w:r>
      <w:r w:rsidR="00F82BB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في استقرار</w:t>
      </w:r>
    </w:p>
    <w:p w:rsidR="0084363B" w:rsidRDefault="002C3DF6" w:rsidP="00C93AD6">
      <w:pPr>
        <w:pStyle w:val="Paragraphedeliste"/>
        <w:widowControl/>
        <w:autoSpaceDE/>
        <w:autoSpaceDN/>
        <w:bidi/>
        <w:adjustRightInd/>
        <w:spacing w:after="200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لم تعرف آراء الأسر  بخصوص  </w:t>
      </w:r>
      <w:r w:rsidR="0084363B"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>وضعية</w:t>
      </w:r>
      <w:r w:rsidR="0084363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حماية البيئة تغيرات مهمة ما بين سنتي 2013 و 2014 حيث أن </w:t>
      </w:r>
      <w:r w:rsidR="0084363B">
        <w:rPr>
          <w:rFonts w:ascii="Simplified Arabic" w:hAnsi="Simplified Arabic" w:cs="Simplified Arabic"/>
          <w:sz w:val="28"/>
          <w:szCs w:val="28"/>
          <w:rtl/>
          <w:lang w:bidi="ar-MA"/>
        </w:rPr>
        <w:t>رصيد هذه الآراء</w:t>
      </w:r>
      <w:r w:rsidR="00C93AD6" w:rsidRPr="00C93AD6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93AD6" w:rsidRPr="00C93AD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قد سجل </w:t>
      </w:r>
      <w:r w:rsidR="00C93AD6" w:rsidRPr="00C93AD6">
        <w:rPr>
          <w:rFonts w:ascii="Simplified Arabic" w:hAnsi="Simplified Arabic" w:cs="Simplified Arabic"/>
          <w:sz w:val="28"/>
          <w:szCs w:val="28"/>
          <w:lang w:bidi="ar-MA"/>
        </w:rPr>
        <w:t xml:space="preserve">27,5 </w:t>
      </w:r>
      <w:r w:rsidR="00C93AD6" w:rsidRPr="00C93AD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C93AD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C93AD6" w:rsidRPr="00C93AD6">
        <w:rPr>
          <w:rFonts w:ascii="Simplified Arabic" w:hAnsi="Simplified Arabic" w:cs="Simplified Arabic"/>
          <w:sz w:val="28"/>
          <w:szCs w:val="28"/>
          <w:rtl/>
          <w:lang w:bidi="ar-MA"/>
        </w:rPr>
        <w:t>نقاط</w:t>
      </w:r>
      <w:r w:rsidR="00C93AD6" w:rsidRPr="00C93AD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="0084363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لم يتحسن سوى ب</w:t>
      </w:r>
      <w:r w:rsidR="0084363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0,1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نقطة خلال هذه المدة.</w:t>
      </w:r>
      <w:r w:rsidR="0084363B" w:rsidRPr="0084363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C3DF6" w:rsidRDefault="002C3DF6" w:rsidP="002C3DF6">
      <w:pPr>
        <w:pStyle w:val="Paragraphedeliste"/>
        <w:widowControl/>
        <w:autoSpaceDE/>
        <w:bidi/>
        <w:adjustRightInd/>
        <w:spacing w:after="200" w:line="276" w:lineRule="auto"/>
        <w:ind w:left="423"/>
        <w:rPr>
          <w:rFonts w:ascii="Simplified Arabic" w:hAnsi="Simplified Arabic" w:cs="Simplified Arabic"/>
          <w:sz w:val="28"/>
          <w:szCs w:val="28"/>
          <w:lang w:bidi="ar-MA"/>
        </w:rPr>
      </w:pPr>
    </w:p>
    <w:p w:rsidR="003526E0" w:rsidRPr="003526E0" w:rsidRDefault="00DA5C1A" w:rsidP="00005383">
      <w:pPr>
        <w:pStyle w:val="Paragraphedeliste"/>
        <w:widowControl/>
        <w:numPr>
          <w:ilvl w:val="0"/>
          <w:numId w:val="11"/>
        </w:numPr>
        <w:autoSpaceDE/>
        <w:bidi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ج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ود</w:t>
      </w:r>
      <w:r w:rsidRPr="001D1850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3526E0"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التعليم</w:t>
      </w:r>
      <w:r w:rsidR="003526E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0053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آراء</w:t>
      </w:r>
      <w:r w:rsidR="003526E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0053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</w:t>
      </w:r>
      <w:r w:rsidR="003526E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قل إيجابية</w:t>
      </w:r>
    </w:p>
    <w:p w:rsidR="00C93AD6" w:rsidRDefault="003526E0" w:rsidP="00EB4AF5">
      <w:pPr>
        <w:pStyle w:val="Paragraphedeliste"/>
        <w:widowControl/>
        <w:autoSpaceDE/>
        <w:bidi/>
        <w:adjustRightInd/>
        <w:spacing w:after="200"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en-US" w:bidi="ar-MA"/>
        </w:rPr>
        <w:t xml:space="preserve"> </w:t>
      </w:r>
      <w:r w:rsidR="002C3DF6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en-US" w:bidi="ar-MA"/>
        </w:rPr>
        <w:t xml:space="preserve">خلال سنة 2014، </w:t>
      </w:r>
      <w:r w:rsidR="00FE7B37">
        <w:rPr>
          <w:rFonts w:ascii="Times New Roman" w:hAnsi="Times New Roman" w:cs="Simplified Arabic" w:hint="cs"/>
          <w:sz w:val="28"/>
          <w:szCs w:val="28"/>
          <w:rtl/>
          <w:lang w:bidi="ar-MA"/>
        </w:rPr>
        <w:t>تظن</w:t>
      </w:r>
      <w:r w:rsidR="002C3DF6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en-US" w:bidi="ar-MA"/>
        </w:rPr>
        <w:t xml:space="preserve"> 35.8</w:t>
      </w:r>
      <w:r w:rsidR="002C3DF6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 </w:t>
      </w:r>
      <w:r w:rsidR="00FE7B37"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>جود</w:t>
      </w:r>
      <w:r w:rsidR="00FE7B37" w:rsidRPr="0064418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FE7B37"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خدمات التعليم</w:t>
      </w:r>
      <w:r w:rsidR="00FE7B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قد تحسنت 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>و 36.7</w:t>
      </w:r>
      <w:r w:rsidR="002C3DF6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لم تتغير </w:t>
      </w:r>
      <w:r w:rsidR="00FE7B37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ترى 25,7</w:t>
      </w:r>
      <w:r w:rsidR="00FE7B37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E7B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تدهورت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D9327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هكذا 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رصيد </w:t>
      </w:r>
      <w:r w:rsidR="00D9327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المؤشر 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عند مستوى إيجابي يعادل 8.3 </w:t>
      </w:r>
      <w:r w:rsidR="00D9327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إلا أنه </w:t>
      </w:r>
      <w:r w:rsidR="00D9327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عرف 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>تراجع</w:t>
      </w:r>
      <w:r w:rsidR="00D9327A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0.7 نقطة </w:t>
      </w:r>
      <w:r w:rsidR="00D9327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ما بين 2013 و </w:t>
      </w:r>
      <w:r w:rsidR="008E684B">
        <w:rPr>
          <w:rFonts w:ascii="Times New Roman" w:hAnsi="Times New Roman" w:cs="Simplified Arabic" w:hint="cs"/>
          <w:sz w:val="28"/>
          <w:szCs w:val="28"/>
          <w:rtl/>
          <w:lang w:bidi="ar-MA"/>
        </w:rPr>
        <w:t>2014 منتقلا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</w:p>
    <w:p w:rsidR="003526E0" w:rsidRDefault="002C3DF6" w:rsidP="00C93AD6">
      <w:pPr>
        <w:pStyle w:val="Paragraphedeliste"/>
        <w:widowControl/>
        <w:autoSpaceDE/>
        <w:bidi/>
        <w:adjustRightInd/>
        <w:spacing w:after="200"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68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9 </w:t>
      </w:r>
      <w:r w:rsidR="008E684B">
        <w:rPr>
          <w:rFonts w:ascii="Times New Roman" w:hAnsi="Times New Roman" w:cs="Simplified Arabic"/>
          <w:sz w:val="28"/>
          <w:szCs w:val="28"/>
          <w:rtl/>
          <w:lang w:bidi="ar-MA"/>
        </w:rPr>
        <w:t>نقاط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</w:t>
      </w:r>
      <w:r w:rsidR="00D9327A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8E68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3 </w:t>
      </w:r>
      <w:r w:rsidR="008E684B">
        <w:rPr>
          <w:rFonts w:ascii="Times New Roman" w:hAnsi="Times New Roman" w:cs="Simplified Arabic"/>
          <w:sz w:val="28"/>
          <w:szCs w:val="28"/>
          <w:rtl/>
          <w:lang w:bidi="ar-MA"/>
        </w:rPr>
        <w:t>نقاط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3526E0" w:rsidRDefault="003526E0" w:rsidP="003526E0">
      <w:pPr>
        <w:pStyle w:val="Paragraphedeliste"/>
        <w:widowControl/>
        <w:autoSpaceDE/>
        <w:bidi/>
        <w:adjustRightInd/>
        <w:spacing w:after="200" w:line="276" w:lineRule="auto"/>
        <w:ind w:left="502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EB4AF5" w:rsidRDefault="00EB4AF5" w:rsidP="00EB4AF5">
      <w:pPr>
        <w:pStyle w:val="Paragraphedeliste"/>
        <w:widowControl/>
        <w:autoSpaceDE/>
        <w:bidi/>
        <w:adjustRightInd/>
        <w:spacing w:after="200" w:line="276" w:lineRule="auto"/>
        <w:ind w:left="502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D46CE" w:rsidRPr="003839D8" w:rsidRDefault="00DA5C1A" w:rsidP="00DD46CE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ind w:left="141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ج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ود</w:t>
      </w:r>
      <w:r w:rsidRPr="001D1850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DD46CE"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الصحة</w:t>
      </w:r>
      <w:r w:rsidR="00DD46C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 شعور دائم بتدهورها</w:t>
      </w:r>
    </w:p>
    <w:p w:rsidR="002C3DF6" w:rsidRDefault="00EA16EA" w:rsidP="00EA16EA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en-US" w:bidi="ar-MA"/>
        </w:rPr>
        <w:t xml:space="preserve">خلال سنة 2014، </w:t>
      </w:r>
      <w:r w:rsidR="00DD46C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عبرت الأسر عن 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آراء أكثر سلبية </w:t>
      </w:r>
      <w:r w:rsidR="00DD46C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بخصوص </w:t>
      </w:r>
      <w:r w:rsidR="00DD46CE"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>جود</w:t>
      </w:r>
      <w:r w:rsidR="00DD46CE" w:rsidRPr="0064418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DD46CE"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D46CE" w:rsidRPr="0015203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الخدمات الصحية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مقارنة مع سنة 2013, 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حيث أن 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>أقل من ربع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الأسر(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>19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2C3DF6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</w:t>
      </w:r>
      <w:r w:rsidR="002C3DF6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 أن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هذه الخدمات قد تحسنت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23,6 </w:t>
      </w:r>
      <w:r w:rsidR="001D25F8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 2013) و ترى 38.3</w:t>
      </w:r>
      <w:r w:rsidR="00E36D6F" w:rsidRP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قد استقرت 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>34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1D25F8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سنة 2013) في حين أن 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>42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,5 </w:t>
      </w:r>
      <w:r w:rsidR="001D25F8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تعتقد أنها تراجعت (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>42.2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36D6F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 2013 ). و بذلك تراجع هذا الرصيد ب 4.8 نق</w:t>
      </w:r>
      <w:r w:rsidR="00873EF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1D25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873EFF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هذه الفترة.</w:t>
      </w:r>
    </w:p>
    <w:tbl>
      <w:tblPr>
        <w:tblW w:w="5331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965"/>
        <w:gridCol w:w="778"/>
        <w:gridCol w:w="974"/>
        <w:gridCol w:w="770"/>
        <w:gridCol w:w="892"/>
        <w:gridCol w:w="778"/>
        <w:gridCol w:w="974"/>
        <w:gridCol w:w="770"/>
        <w:gridCol w:w="2919"/>
      </w:tblGrid>
      <w:tr w:rsidR="003321E4" w:rsidRPr="00C85C5D" w:rsidTr="00C85C5D">
        <w:trPr>
          <w:trHeight w:val="416"/>
        </w:trPr>
        <w:tc>
          <w:tcPr>
            <w:tcW w:w="17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5C311A" w:rsidP="003321E4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Simplified Arabic"/>
                <w:b/>
                <w:bCs/>
                <w:color w:val="000000"/>
              </w:rPr>
              <w:t>2014</w:t>
            </w:r>
          </w:p>
        </w:tc>
        <w:tc>
          <w:tcPr>
            <w:tcW w:w="17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5C311A" w:rsidP="003321E4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Simplified Arabic"/>
                <w:b/>
                <w:bCs/>
                <w:color w:val="000000"/>
              </w:rPr>
              <w:t>2013</w:t>
            </w:r>
          </w:p>
        </w:tc>
        <w:tc>
          <w:tcPr>
            <w:tcW w:w="1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85C5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> </w:t>
            </w:r>
            <w:r w:rsidRPr="00C85C5D">
              <w:rPr>
                <w:rFonts w:ascii="Times New Roman" w:hAnsi="Times New Roman" w:cs="Simplified Arabic" w:hint="cs"/>
                <w:b/>
                <w:bCs/>
                <w:color w:val="000000"/>
                <w:sz w:val="32"/>
                <w:szCs w:val="32"/>
                <w:rtl/>
              </w:rPr>
              <w:t>المؤشر</w:t>
            </w:r>
          </w:p>
        </w:tc>
      </w:tr>
      <w:tr w:rsidR="00C85C5D" w:rsidRPr="00C85C5D" w:rsidTr="00C85C5D">
        <w:trPr>
          <w:trHeight w:val="416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الرصيد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تدهور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استقرار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تحسن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الرصيد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تدهور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استقرار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تحسن</w:t>
            </w:r>
          </w:p>
        </w:tc>
        <w:tc>
          <w:tcPr>
            <w:tcW w:w="1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85C5D" w:rsidRPr="00C85C5D" w:rsidTr="00C85C5D">
        <w:trPr>
          <w:trHeight w:val="416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51.1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9.6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29.7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60.7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50.2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9.8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30.2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60.0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وضعية حقوق الإنسان</w:t>
            </w:r>
          </w:p>
        </w:tc>
      </w:tr>
      <w:tr w:rsidR="00C85C5D" w:rsidRPr="00C85C5D" w:rsidTr="00C85C5D">
        <w:trPr>
          <w:trHeight w:val="416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40.6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14.9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29.6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55.5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39.8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15.9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28.4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55.7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الخدمات الإدارية</w:t>
            </w:r>
          </w:p>
        </w:tc>
      </w:tr>
      <w:tr w:rsidR="00C85C5D" w:rsidRPr="00C85C5D" w:rsidTr="00C85C5D">
        <w:trPr>
          <w:trHeight w:val="416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27.5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15.7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41.1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43.2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27.4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15.9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40.7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43.3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وضعية المحافظة على البيئة</w:t>
            </w:r>
          </w:p>
        </w:tc>
      </w:tr>
      <w:tr w:rsidR="00C85C5D" w:rsidRPr="00C85C5D" w:rsidTr="00C85C5D">
        <w:trPr>
          <w:trHeight w:val="416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8.3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27.5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36.7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35.8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9</w:t>
            </w:r>
            <w:r w:rsidR="00EA16EA">
              <w:rPr>
                <w:rFonts w:ascii="Calibri" w:hAnsi="Calibri" w:cs="Times New Roman" w:hint="cs"/>
                <w:b/>
                <w:bCs/>
                <w:color w:val="000000"/>
                <w:rtl/>
              </w:rPr>
              <w:t>0.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28.0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35.0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37.0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خدمات التعليم</w:t>
            </w:r>
          </w:p>
        </w:tc>
      </w:tr>
      <w:tr w:rsidR="00C85C5D" w:rsidRPr="00C85C5D" w:rsidTr="00C85C5D">
        <w:trPr>
          <w:trHeight w:val="416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-23.4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42.5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38.3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19.1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-18.6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42.2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34.2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1E4" w:rsidRPr="00C85C5D" w:rsidRDefault="003321E4" w:rsidP="003321E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C85C5D">
              <w:rPr>
                <w:rFonts w:ascii="Calibri" w:hAnsi="Calibri" w:cs="Times New Roman"/>
                <w:color w:val="000000"/>
              </w:rPr>
              <w:t>23.6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E4" w:rsidRPr="00C85C5D" w:rsidRDefault="003321E4" w:rsidP="00797092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الخدمات الصحية</w:t>
            </w:r>
          </w:p>
        </w:tc>
      </w:tr>
    </w:tbl>
    <w:p w:rsidR="003321E4" w:rsidRPr="00C85C5D" w:rsidRDefault="003321E4" w:rsidP="0068038B">
      <w:pPr>
        <w:bidi/>
        <w:spacing w:line="380" w:lineRule="exact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797092" w:rsidRDefault="00797092" w:rsidP="003321E4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B51E40" w:rsidRDefault="00B51E40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lastRenderedPageBreak/>
        <w:t>فيما يلي تفصيل لنتائج مختلف المؤشرات و تذكير بأهم المفاهيم.</w:t>
      </w:r>
    </w:p>
    <w:p w:rsidR="0075170A" w:rsidRDefault="0075170A" w:rsidP="0075170A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10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17"/>
      </w:tblGrid>
      <w:tr w:rsidR="0075170A" w:rsidRPr="00DC2D0E" w:rsidTr="00D12EE3">
        <w:trPr>
          <w:trHeight w:val="6017"/>
        </w:trPr>
        <w:tc>
          <w:tcPr>
            <w:tcW w:w="10017" w:type="dxa"/>
          </w:tcPr>
          <w:p w:rsidR="0075170A" w:rsidRPr="004B7848" w:rsidRDefault="0075170A" w:rsidP="0075170A">
            <w:pPr>
              <w:bidi/>
              <w:ind w:left="360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75170A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75170A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75170A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75170A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 2014 من تأكيد غياب التغييرات الموسمية سواء الثابتة أو المتحركة.</w:t>
            </w:r>
          </w:p>
          <w:p w:rsidR="0075170A" w:rsidRPr="001F1EA8" w:rsidRDefault="0075170A" w:rsidP="0075170A">
            <w:p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75170A">
            <w:pPr>
              <w:widowControl/>
              <w:autoSpaceDE/>
              <w:autoSpaceDN/>
              <w:bidi/>
              <w:adjustRightInd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5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B51E40">
      <w:pPr>
        <w:widowControl/>
        <w:autoSpaceDE/>
        <w:autoSpaceDN/>
        <w:adjustRightInd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D12EE3">
          <w:footerReference w:type="default" r:id="rId16"/>
          <w:type w:val="continuous"/>
          <w:pgSz w:w="11906" w:h="16838"/>
          <w:pgMar w:top="1247" w:right="1418" w:bottom="1191" w:left="1418" w:header="567" w:footer="567" w:gutter="0"/>
          <w:cols w:space="708"/>
          <w:docGrid w:linePitch="360"/>
        </w:sectPr>
      </w:pPr>
    </w:p>
    <w:p w:rsidR="00D12EE3" w:rsidRDefault="00D12EE3" w:rsidP="00B51E40">
      <w:pPr>
        <w:widowControl/>
        <w:autoSpaceDE/>
        <w:autoSpaceDN/>
        <w:adjustRightInd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D12EE3">
          <w:pgSz w:w="16838" w:h="11906" w:orient="landscape"/>
          <w:pgMar w:top="1418" w:right="1247" w:bottom="1418" w:left="1191" w:header="567" w:footer="567" w:gutter="0"/>
          <w:cols w:space="708"/>
          <w:docGrid w:linePitch="360"/>
        </w:sectPr>
      </w:pPr>
    </w:p>
    <w:p w:rsidR="00B51E40" w:rsidRDefault="00B51E40" w:rsidP="00B51E40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</w:t>
      </w:r>
    </w:p>
    <w:tbl>
      <w:tblPr>
        <w:tblW w:w="16347" w:type="dxa"/>
        <w:tblInd w:w="-9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710"/>
        <w:gridCol w:w="567"/>
        <w:gridCol w:w="612"/>
        <w:gridCol w:w="19"/>
        <w:gridCol w:w="474"/>
        <w:gridCol w:w="493"/>
        <w:gridCol w:w="493"/>
        <w:gridCol w:w="494"/>
        <w:gridCol w:w="31"/>
        <w:gridCol w:w="462"/>
        <w:gridCol w:w="493"/>
        <w:gridCol w:w="493"/>
        <w:gridCol w:w="493"/>
        <w:gridCol w:w="10"/>
        <w:gridCol w:w="484"/>
        <w:gridCol w:w="493"/>
        <w:gridCol w:w="493"/>
        <w:gridCol w:w="480"/>
        <w:gridCol w:w="13"/>
        <w:gridCol w:w="493"/>
        <w:gridCol w:w="494"/>
        <w:gridCol w:w="493"/>
        <w:gridCol w:w="458"/>
        <w:gridCol w:w="35"/>
        <w:gridCol w:w="493"/>
        <w:gridCol w:w="493"/>
        <w:gridCol w:w="494"/>
        <w:gridCol w:w="493"/>
        <w:gridCol w:w="32"/>
        <w:gridCol w:w="461"/>
        <w:gridCol w:w="493"/>
        <w:gridCol w:w="493"/>
        <w:gridCol w:w="494"/>
        <w:gridCol w:w="11"/>
        <w:gridCol w:w="2031"/>
        <w:gridCol w:w="12"/>
      </w:tblGrid>
      <w:tr w:rsidR="00F614DD" w:rsidRPr="00F22D86" w:rsidTr="00CF4BC9">
        <w:trPr>
          <w:trHeight w:val="213"/>
        </w:trPr>
        <w:tc>
          <w:tcPr>
            <w:tcW w:w="2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14DD" w:rsidRPr="00F22D86" w:rsidRDefault="00F614DD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14DD" w:rsidRPr="00F22D86" w:rsidRDefault="00F614DD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9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2012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2011</w:t>
            </w:r>
          </w:p>
        </w:tc>
        <w:tc>
          <w:tcPr>
            <w:tcW w:w="19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2010</w:t>
            </w:r>
          </w:p>
        </w:tc>
        <w:tc>
          <w:tcPr>
            <w:tcW w:w="2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2009</w:t>
            </w:r>
          </w:p>
        </w:tc>
        <w:tc>
          <w:tcPr>
            <w:tcW w:w="19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2008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2A07F0" w:rsidRDefault="00F614DD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A07F0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المؤشر</w:t>
            </w:r>
          </w:p>
        </w:tc>
      </w:tr>
      <w:tr w:rsidR="00D12EE3" w:rsidRPr="00C9429C" w:rsidTr="00CF4BC9">
        <w:trPr>
          <w:gridAfter w:val="1"/>
          <w:wAfter w:w="12" w:type="dxa"/>
          <w:trHeight w:val="7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Default="00F614DD" w:rsidP="00DF7C72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 xml:space="preserve">ف </w:t>
            </w:r>
            <w:r w:rsidR="00DF7C72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ف </w:t>
            </w: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73188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0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DD" w:rsidRPr="00F22D86" w:rsidRDefault="00F614DD" w:rsidP="00C9429C">
            <w:pPr>
              <w:widowControl/>
              <w:autoSpaceDE/>
              <w:autoSpaceDN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2EE3" w:rsidRPr="00C9429C" w:rsidTr="00CF4BC9">
        <w:trPr>
          <w:gridAfter w:val="1"/>
          <w:wAfter w:w="12" w:type="dxa"/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Default="00F614DD" w:rsidP="004D10A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71.6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2A0E57" w:rsidRDefault="00F614DD" w:rsidP="004D10A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73.1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2A0E57" w:rsidRDefault="00F614DD" w:rsidP="004D10A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A0E57">
              <w:rPr>
                <w:rFonts w:ascii="Calibri" w:hAnsi="Calibri"/>
                <w:b/>
                <w:bCs/>
                <w:sz w:val="20"/>
                <w:szCs w:val="20"/>
              </w:rPr>
              <w:t>74,0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2A0E57" w:rsidRDefault="00F614DD" w:rsidP="004D10A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A0E57">
              <w:rPr>
                <w:rFonts w:ascii="Calibri" w:hAnsi="Calibri"/>
                <w:b/>
                <w:bCs/>
                <w:sz w:val="20"/>
                <w:szCs w:val="20"/>
              </w:rPr>
              <w:t>74,1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74,2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75,4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74,</w:t>
            </w:r>
            <w:r w:rsidRPr="002A0E5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2A0E5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A0E5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مؤشر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ثقة الأسر المغربية</w:t>
            </w:r>
          </w:p>
        </w:tc>
      </w:tr>
      <w:tr w:rsidR="00D12EE3" w:rsidRPr="00C9429C" w:rsidTr="00CF4BC9">
        <w:trPr>
          <w:gridAfter w:val="1"/>
          <w:wAfter w:w="12" w:type="dxa"/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614DD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4DD">
              <w:rPr>
                <w:rFonts w:ascii="Arial" w:hAnsi="Arial" w:cs="Arial"/>
                <w:sz w:val="16"/>
                <w:szCs w:val="16"/>
              </w:rPr>
              <w:t>-68,0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-68.8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-66,5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D904A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-69,1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-68,2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-69,8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-67,8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-61,7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-56,7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-48,6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-44,1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-52,1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المستقبلي للبطالة</w:t>
            </w:r>
          </w:p>
        </w:tc>
      </w:tr>
      <w:tr w:rsidR="00D12EE3" w:rsidRPr="00C9429C" w:rsidTr="00CF4BC9">
        <w:trPr>
          <w:gridAfter w:val="1"/>
          <w:wAfter w:w="12" w:type="dxa"/>
          <w:trHeight w:val="5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614DD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4DD">
              <w:rPr>
                <w:rFonts w:ascii="Arial" w:hAnsi="Arial" w:cs="Arial"/>
                <w:sz w:val="16"/>
                <w:szCs w:val="16"/>
              </w:rPr>
              <w:t>-16,5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-17.4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-17,7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D904A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-18,1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-19,9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-23,1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-27,9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-36,7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-10,4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لمستوى المعيشة بصفة عامة</w:t>
            </w:r>
          </w:p>
        </w:tc>
      </w:tr>
      <w:tr w:rsidR="00D12EE3" w:rsidRPr="00C9429C" w:rsidTr="00CF4BC9">
        <w:trPr>
          <w:gridAfter w:val="1"/>
          <w:wAfter w:w="12" w:type="dxa"/>
          <w:trHeight w:val="5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614DD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4DD">
              <w:rPr>
                <w:rFonts w:ascii="Arial" w:hAnsi="Arial" w:cs="Arial"/>
                <w:sz w:val="16"/>
                <w:szCs w:val="16"/>
              </w:rPr>
              <w:t>-12,7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-13.1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-13,1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D904A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-11,4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-7,9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-4,2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-5,1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-3,2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-9,3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آفاق تطور مستوى المعيشة بصفة عامة</w:t>
            </w:r>
          </w:p>
        </w:tc>
      </w:tr>
      <w:tr w:rsidR="00D12EE3" w:rsidRPr="00C9429C" w:rsidTr="00CF4BC9">
        <w:trPr>
          <w:gridAfter w:val="1"/>
          <w:wAfter w:w="12" w:type="dxa"/>
          <w:trHeight w:val="5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614DD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4DD">
              <w:rPr>
                <w:rFonts w:ascii="Arial" w:hAnsi="Arial" w:cs="Arial"/>
                <w:sz w:val="16"/>
                <w:szCs w:val="16"/>
              </w:rPr>
              <w:t>-38,1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-33.1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-28,9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D904A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-31,3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-31,8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-31,7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-28,3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-32,5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-38,5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-44,3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-42,6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-43,4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-41,8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فرص اقتناء السلع المستديمة</w:t>
            </w:r>
          </w:p>
        </w:tc>
      </w:tr>
      <w:tr w:rsidR="00D12EE3" w:rsidRPr="00C9429C" w:rsidTr="00CF4BC9">
        <w:trPr>
          <w:gridAfter w:val="1"/>
          <w:wAfter w:w="12" w:type="dxa"/>
          <w:trHeight w:val="5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614DD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4DD">
              <w:rPr>
                <w:rFonts w:ascii="Arial" w:hAnsi="Arial" w:cs="Arial"/>
                <w:sz w:val="16"/>
                <w:szCs w:val="16"/>
              </w:rPr>
              <w:t>-30,6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-28.3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-29,7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D904A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-31,3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-30,2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-29,8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-30,8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-25,4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-27,1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-27,6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-31,3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الوضعية المالية الحالية للأسرة</w:t>
            </w:r>
          </w:p>
        </w:tc>
      </w:tr>
      <w:tr w:rsidR="00D12EE3" w:rsidRPr="00C9429C" w:rsidTr="00CF4BC9">
        <w:trPr>
          <w:gridAfter w:val="1"/>
          <w:wAfter w:w="12" w:type="dxa"/>
          <w:trHeight w:val="5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614DD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4DD">
              <w:rPr>
                <w:rFonts w:ascii="Arial" w:hAnsi="Arial" w:cs="Arial"/>
                <w:sz w:val="16"/>
                <w:szCs w:val="16"/>
              </w:rPr>
              <w:t>-29,2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-25.8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-23,3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D904A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-21,3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-21,9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-23,8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-19,6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-16,7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-7,9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-11,8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للوضعية المالية للأسرة</w:t>
            </w:r>
          </w:p>
        </w:tc>
      </w:tr>
      <w:tr w:rsidR="00D12EE3" w:rsidRPr="00C9429C" w:rsidTr="00CF4BC9">
        <w:trPr>
          <w:gridAfter w:val="1"/>
          <w:wAfter w:w="12" w:type="dxa"/>
          <w:trHeight w:val="4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614DD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4DD">
              <w:rPr>
                <w:rFonts w:ascii="Arial" w:hAnsi="Arial" w:cs="Arial"/>
                <w:sz w:val="16"/>
                <w:szCs w:val="16"/>
              </w:rPr>
              <w:t>-3,9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-1.5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-2,7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D904A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1,2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-1,7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2,8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0,7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4,5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7,7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للوضعية المالية للأسرة</w:t>
            </w:r>
          </w:p>
        </w:tc>
      </w:tr>
      <w:tr w:rsidR="00F614DD" w:rsidRPr="00F22D86" w:rsidTr="00D12EE3">
        <w:trPr>
          <w:trHeight w:val="438"/>
        </w:trPr>
        <w:tc>
          <w:tcPr>
            <w:tcW w:w="16347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DB40DE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</w:rPr>
            </w:pPr>
            <w:r w:rsidRPr="002A07F0">
              <w:rPr>
                <w:rFonts w:asciiTheme="majorBidi" w:hAnsiTheme="majorBidi" w:cstheme="majorBidi"/>
                <w:rtl/>
              </w:rPr>
              <w:t>أ</w:t>
            </w:r>
            <w:r w:rsidRPr="002A07F0">
              <w:rPr>
                <w:rFonts w:asciiTheme="majorBidi" w:hAnsiTheme="majorBidi" w:cstheme="majorBidi"/>
                <w:b/>
                <w:bCs/>
                <w:rtl/>
              </w:rPr>
              <w:t>رصـــدة أخـــرى</w:t>
            </w:r>
          </w:p>
        </w:tc>
      </w:tr>
      <w:tr w:rsidR="00D12EE3" w:rsidRPr="00C9429C" w:rsidTr="00CF4BC9">
        <w:trPr>
          <w:gridAfter w:val="1"/>
          <w:wAfter w:w="12" w:type="dxa"/>
          <w:trHeight w:val="5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614DD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77.2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-76.9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-78,0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D904A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-77,6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-76,0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-73,4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-76,1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-73,6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-72,6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-58,8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-73,4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-47,9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-34,9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-49,7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-74,1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لاثمنة المواد الغذائية</w:t>
            </w:r>
          </w:p>
        </w:tc>
      </w:tr>
      <w:tr w:rsidR="00D12EE3" w:rsidRPr="00C9429C" w:rsidTr="00CF4BC9">
        <w:trPr>
          <w:gridAfter w:val="1"/>
          <w:wAfter w:w="12" w:type="dxa"/>
          <w:trHeight w:val="4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614DD" w:rsidRDefault="004D10A3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84.5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-81.8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-84,1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D904A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-89,4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-90,8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-90,5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-8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9</w:t>
            </w:r>
            <w:r w:rsidRPr="00F22D86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0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-91,6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-91,7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-91,1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-91,6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-92,5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-89,9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-95,5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-89,7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-87,8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-96,2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-95,9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-93,6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لاثمنة المواد الغذائية</w:t>
            </w:r>
          </w:p>
        </w:tc>
      </w:tr>
      <w:tr w:rsidR="00D12EE3" w:rsidRPr="00C9429C" w:rsidTr="00CF4BC9">
        <w:trPr>
          <w:gridAfter w:val="1"/>
          <w:wAfter w:w="12" w:type="dxa"/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4D10A3" w:rsidRDefault="004D10A3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-71.1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1730A1" w:rsidRDefault="00F614DD" w:rsidP="004D1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0A1">
              <w:rPr>
                <w:rFonts w:ascii="Arial" w:hAnsi="Arial" w:cs="Arial"/>
                <w:sz w:val="16"/>
                <w:szCs w:val="16"/>
              </w:rPr>
              <w:t>-70,2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D904A7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-66,6</w:t>
            </w:r>
          </w:p>
        </w:tc>
        <w:tc>
          <w:tcPr>
            <w:tcW w:w="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-66,7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-69,1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-70,3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-67,0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-65,3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-62,5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-63,3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-61,1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4D10A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-61,2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4DD" w:rsidRPr="00F22D86" w:rsidRDefault="00F614DD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قدرة الأسر على الادخار خلال الأشهر المقبلة</w:t>
            </w:r>
          </w:p>
        </w:tc>
      </w:tr>
    </w:tbl>
    <w:p w:rsidR="00B51E40" w:rsidRDefault="00B51E40" w:rsidP="00B51E40">
      <w:pPr>
        <w:bidi/>
        <w:jc w:val="right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sectPr w:rsidR="00B51E40" w:rsidSect="00D12EE3">
          <w:type w:val="continuous"/>
          <w:pgSz w:w="16838" w:h="11906" w:orient="landscape" w:code="9"/>
          <w:pgMar w:top="1418" w:right="1418" w:bottom="1418" w:left="1276" w:header="709" w:footer="709" w:gutter="0"/>
          <w:cols w:space="708"/>
          <w:docGrid w:linePitch="360"/>
        </w:sectPr>
      </w:pPr>
    </w:p>
    <w:p w:rsidR="00B51E40" w:rsidRDefault="00B51E40">
      <w:pPr>
        <w:rPr>
          <w:lang w:bidi="ar-MA"/>
        </w:rPr>
      </w:pPr>
    </w:p>
    <w:sectPr w:rsidR="00B51E40" w:rsidSect="00D12EE3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77F" w:rsidRDefault="00E6577F" w:rsidP="00FB5154">
      <w:r>
        <w:separator/>
      </w:r>
    </w:p>
  </w:endnote>
  <w:endnote w:type="continuationSeparator" w:id="1">
    <w:p w:rsidR="00E6577F" w:rsidRDefault="00E6577F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092" w:rsidRDefault="00856DF0">
    <w:pPr>
      <w:pStyle w:val="Pieddepage"/>
      <w:jc w:val="center"/>
    </w:pPr>
    <w:fldSimple w:instr=" PAGE   \* MERGEFORMAT ">
      <w:r w:rsidR="007C152B">
        <w:rPr>
          <w:noProof/>
        </w:rPr>
        <w:t>1</w:t>
      </w:r>
    </w:fldSimple>
  </w:p>
  <w:p w:rsidR="00797092" w:rsidRDefault="0079709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77F" w:rsidRDefault="00E6577F" w:rsidP="00FB5154">
      <w:r>
        <w:separator/>
      </w:r>
    </w:p>
  </w:footnote>
  <w:footnote w:type="continuationSeparator" w:id="1">
    <w:p w:rsidR="00E6577F" w:rsidRDefault="00E6577F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6EAAE1B8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0277D"/>
    <w:rsid w:val="00002C4D"/>
    <w:rsid w:val="00005383"/>
    <w:rsid w:val="0001056E"/>
    <w:rsid w:val="000124FB"/>
    <w:rsid w:val="00013F2C"/>
    <w:rsid w:val="00014615"/>
    <w:rsid w:val="00017D49"/>
    <w:rsid w:val="00017F39"/>
    <w:rsid w:val="00023B39"/>
    <w:rsid w:val="00024034"/>
    <w:rsid w:val="000316DF"/>
    <w:rsid w:val="000356AC"/>
    <w:rsid w:val="00037417"/>
    <w:rsid w:val="00040872"/>
    <w:rsid w:val="0004224D"/>
    <w:rsid w:val="00043971"/>
    <w:rsid w:val="0004405A"/>
    <w:rsid w:val="00046B93"/>
    <w:rsid w:val="000501D5"/>
    <w:rsid w:val="00050D46"/>
    <w:rsid w:val="00051406"/>
    <w:rsid w:val="00052202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4B8A"/>
    <w:rsid w:val="000901AE"/>
    <w:rsid w:val="00093FB7"/>
    <w:rsid w:val="00094954"/>
    <w:rsid w:val="00095E84"/>
    <w:rsid w:val="00096DF6"/>
    <w:rsid w:val="000A0912"/>
    <w:rsid w:val="000A1AFF"/>
    <w:rsid w:val="000A6343"/>
    <w:rsid w:val="000B00E5"/>
    <w:rsid w:val="000B3E0B"/>
    <w:rsid w:val="000C4CDC"/>
    <w:rsid w:val="000C542A"/>
    <w:rsid w:val="000C59A2"/>
    <w:rsid w:val="000C7854"/>
    <w:rsid w:val="000D5FAB"/>
    <w:rsid w:val="000D626F"/>
    <w:rsid w:val="000D79A1"/>
    <w:rsid w:val="000E0292"/>
    <w:rsid w:val="000E1043"/>
    <w:rsid w:val="000E3A3B"/>
    <w:rsid w:val="000E4043"/>
    <w:rsid w:val="000E598D"/>
    <w:rsid w:val="000F1AFE"/>
    <w:rsid w:val="000F3B8E"/>
    <w:rsid w:val="000F499D"/>
    <w:rsid w:val="001001D9"/>
    <w:rsid w:val="00101EF8"/>
    <w:rsid w:val="001022C1"/>
    <w:rsid w:val="00105111"/>
    <w:rsid w:val="00105F6E"/>
    <w:rsid w:val="0011409B"/>
    <w:rsid w:val="00116CCA"/>
    <w:rsid w:val="001203F7"/>
    <w:rsid w:val="00121FE4"/>
    <w:rsid w:val="00122BBD"/>
    <w:rsid w:val="00127E48"/>
    <w:rsid w:val="00137B43"/>
    <w:rsid w:val="00143D45"/>
    <w:rsid w:val="001451F9"/>
    <w:rsid w:val="00147008"/>
    <w:rsid w:val="00147AAF"/>
    <w:rsid w:val="001527A3"/>
    <w:rsid w:val="001529FF"/>
    <w:rsid w:val="00153603"/>
    <w:rsid w:val="00155E7E"/>
    <w:rsid w:val="001604B1"/>
    <w:rsid w:val="00160CD6"/>
    <w:rsid w:val="001615E7"/>
    <w:rsid w:val="00165B54"/>
    <w:rsid w:val="00167E60"/>
    <w:rsid w:val="00170761"/>
    <w:rsid w:val="001708BF"/>
    <w:rsid w:val="001730A1"/>
    <w:rsid w:val="00173E32"/>
    <w:rsid w:val="00176575"/>
    <w:rsid w:val="0017770A"/>
    <w:rsid w:val="0018282E"/>
    <w:rsid w:val="00183A85"/>
    <w:rsid w:val="00192084"/>
    <w:rsid w:val="00192991"/>
    <w:rsid w:val="0019443D"/>
    <w:rsid w:val="00194803"/>
    <w:rsid w:val="00195748"/>
    <w:rsid w:val="00196E61"/>
    <w:rsid w:val="001A02EE"/>
    <w:rsid w:val="001A0B0C"/>
    <w:rsid w:val="001A0F67"/>
    <w:rsid w:val="001A1FBB"/>
    <w:rsid w:val="001A6534"/>
    <w:rsid w:val="001B0A37"/>
    <w:rsid w:val="001B5E1A"/>
    <w:rsid w:val="001B69E0"/>
    <w:rsid w:val="001C068B"/>
    <w:rsid w:val="001C4A0B"/>
    <w:rsid w:val="001C7614"/>
    <w:rsid w:val="001D0B9C"/>
    <w:rsid w:val="001D0D6A"/>
    <w:rsid w:val="001D25F8"/>
    <w:rsid w:val="001D288C"/>
    <w:rsid w:val="001D6480"/>
    <w:rsid w:val="001D7239"/>
    <w:rsid w:val="001E664F"/>
    <w:rsid w:val="001F0A87"/>
    <w:rsid w:val="001F1A58"/>
    <w:rsid w:val="001F1EA8"/>
    <w:rsid w:val="001F729D"/>
    <w:rsid w:val="00204E3E"/>
    <w:rsid w:val="00211597"/>
    <w:rsid w:val="0021249E"/>
    <w:rsid w:val="00213F1E"/>
    <w:rsid w:val="0021515F"/>
    <w:rsid w:val="0022035B"/>
    <w:rsid w:val="00224CF5"/>
    <w:rsid w:val="00225ADC"/>
    <w:rsid w:val="0023068B"/>
    <w:rsid w:val="0023549A"/>
    <w:rsid w:val="002367BA"/>
    <w:rsid w:val="00237549"/>
    <w:rsid w:val="002405A5"/>
    <w:rsid w:val="002419EE"/>
    <w:rsid w:val="002441C7"/>
    <w:rsid w:val="002447B7"/>
    <w:rsid w:val="0024601E"/>
    <w:rsid w:val="002501E1"/>
    <w:rsid w:val="00253930"/>
    <w:rsid w:val="002539F4"/>
    <w:rsid w:val="00254F5D"/>
    <w:rsid w:val="00255827"/>
    <w:rsid w:val="00256064"/>
    <w:rsid w:val="00257304"/>
    <w:rsid w:val="002610CC"/>
    <w:rsid w:val="00262199"/>
    <w:rsid w:val="002655BD"/>
    <w:rsid w:val="00267C04"/>
    <w:rsid w:val="00271D13"/>
    <w:rsid w:val="002730D2"/>
    <w:rsid w:val="002731D5"/>
    <w:rsid w:val="00274C15"/>
    <w:rsid w:val="00276571"/>
    <w:rsid w:val="002804A3"/>
    <w:rsid w:val="00282A76"/>
    <w:rsid w:val="00294A82"/>
    <w:rsid w:val="00294D15"/>
    <w:rsid w:val="00295120"/>
    <w:rsid w:val="002A07F0"/>
    <w:rsid w:val="002A080C"/>
    <w:rsid w:val="002A0E57"/>
    <w:rsid w:val="002A369A"/>
    <w:rsid w:val="002A44F9"/>
    <w:rsid w:val="002A71C9"/>
    <w:rsid w:val="002B3B14"/>
    <w:rsid w:val="002B4CA1"/>
    <w:rsid w:val="002B56E7"/>
    <w:rsid w:val="002B6282"/>
    <w:rsid w:val="002B668B"/>
    <w:rsid w:val="002B6E48"/>
    <w:rsid w:val="002B7CB7"/>
    <w:rsid w:val="002C315C"/>
    <w:rsid w:val="002C3B75"/>
    <w:rsid w:val="002C3DF6"/>
    <w:rsid w:val="002C41F9"/>
    <w:rsid w:val="002C44BF"/>
    <w:rsid w:val="002C7745"/>
    <w:rsid w:val="002D3D04"/>
    <w:rsid w:val="002D4F45"/>
    <w:rsid w:val="002D59E5"/>
    <w:rsid w:val="002D649E"/>
    <w:rsid w:val="002E2CB3"/>
    <w:rsid w:val="002E5376"/>
    <w:rsid w:val="002F0FB7"/>
    <w:rsid w:val="00304271"/>
    <w:rsid w:val="00304C66"/>
    <w:rsid w:val="003054DA"/>
    <w:rsid w:val="00305668"/>
    <w:rsid w:val="00306B5B"/>
    <w:rsid w:val="0030712F"/>
    <w:rsid w:val="0031379F"/>
    <w:rsid w:val="00313D8D"/>
    <w:rsid w:val="00313DAF"/>
    <w:rsid w:val="0031641F"/>
    <w:rsid w:val="0032032C"/>
    <w:rsid w:val="00321810"/>
    <w:rsid w:val="00323EF8"/>
    <w:rsid w:val="0033012D"/>
    <w:rsid w:val="003304BC"/>
    <w:rsid w:val="003321E4"/>
    <w:rsid w:val="003325D6"/>
    <w:rsid w:val="0033483C"/>
    <w:rsid w:val="0033541B"/>
    <w:rsid w:val="00335964"/>
    <w:rsid w:val="0034158E"/>
    <w:rsid w:val="00342122"/>
    <w:rsid w:val="00342898"/>
    <w:rsid w:val="00346369"/>
    <w:rsid w:val="00346F4B"/>
    <w:rsid w:val="0035206B"/>
    <w:rsid w:val="003526E0"/>
    <w:rsid w:val="00353952"/>
    <w:rsid w:val="00357020"/>
    <w:rsid w:val="003639B6"/>
    <w:rsid w:val="00363FED"/>
    <w:rsid w:val="00365421"/>
    <w:rsid w:val="0036643E"/>
    <w:rsid w:val="0036731F"/>
    <w:rsid w:val="003731F3"/>
    <w:rsid w:val="00373CA1"/>
    <w:rsid w:val="003774FD"/>
    <w:rsid w:val="003810D0"/>
    <w:rsid w:val="00381B13"/>
    <w:rsid w:val="003866C9"/>
    <w:rsid w:val="003875BA"/>
    <w:rsid w:val="00387B6D"/>
    <w:rsid w:val="003915CF"/>
    <w:rsid w:val="00397340"/>
    <w:rsid w:val="00397951"/>
    <w:rsid w:val="003A008A"/>
    <w:rsid w:val="003A5AEE"/>
    <w:rsid w:val="003B0304"/>
    <w:rsid w:val="003B758F"/>
    <w:rsid w:val="003C3C0C"/>
    <w:rsid w:val="003C6FDB"/>
    <w:rsid w:val="003E0E5B"/>
    <w:rsid w:val="003E2DE1"/>
    <w:rsid w:val="003E37B6"/>
    <w:rsid w:val="003E4E24"/>
    <w:rsid w:val="003F16A4"/>
    <w:rsid w:val="003F35F7"/>
    <w:rsid w:val="004002BC"/>
    <w:rsid w:val="00401AE2"/>
    <w:rsid w:val="00406DA7"/>
    <w:rsid w:val="0041124B"/>
    <w:rsid w:val="0041230B"/>
    <w:rsid w:val="004137F0"/>
    <w:rsid w:val="00414F76"/>
    <w:rsid w:val="00417BC7"/>
    <w:rsid w:val="004221A9"/>
    <w:rsid w:val="00422C2D"/>
    <w:rsid w:val="00424701"/>
    <w:rsid w:val="00430D3F"/>
    <w:rsid w:val="004317A2"/>
    <w:rsid w:val="004335D4"/>
    <w:rsid w:val="00435F3C"/>
    <w:rsid w:val="00436324"/>
    <w:rsid w:val="00440B2C"/>
    <w:rsid w:val="00441C14"/>
    <w:rsid w:val="004479A1"/>
    <w:rsid w:val="00453863"/>
    <w:rsid w:val="00456931"/>
    <w:rsid w:val="00457685"/>
    <w:rsid w:val="00464BE4"/>
    <w:rsid w:val="004662C1"/>
    <w:rsid w:val="00467660"/>
    <w:rsid w:val="00472DBD"/>
    <w:rsid w:val="00472F8A"/>
    <w:rsid w:val="004744D0"/>
    <w:rsid w:val="00481EFE"/>
    <w:rsid w:val="00486B84"/>
    <w:rsid w:val="00491FC0"/>
    <w:rsid w:val="00496B43"/>
    <w:rsid w:val="00497946"/>
    <w:rsid w:val="004A0A68"/>
    <w:rsid w:val="004A1A98"/>
    <w:rsid w:val="004A2939"/>
    <w:rsid w:val="004A321B"/>
    <w:rsid w:val="004A5633"/>
    <w:rsid w:val="004A5752"/>
    <w:rsid w:val="004B2CF6"/>
    <w:rsid w:val="004B448E"/>
    <w:rsid w:val="004B79A9"/>
    <w:rsid w:val="004C1865"/>
    <w:rsid w:val="004C3136"/>
    <w:rsid w:val="004C5AD7"/>
    <w:rsid w:val="004C7FE4"/>
    <w:rsid w:val="004D10A3"/>
    <w:rsid w:val="004D2C07"/>
    <w:rsid w:val="004D3AC3"/>
    <w:rsid w:val="004D4F3C"/>
    <w:rsid w:val="004D5AEC"/>
    <w:rsid w:val="004E3A59"/>
    <w:rsid w:val="004E4DF1"/>
    <w:rsid w:val="004F6E4F"/>
    <w:rsid w:val="005059EA"/>
    <w:rsid w:val="00506AE4"/>
    <w:rsid w:val="00510502"/>
    <w:rsid w:val="00512D03"/>
    <w:rsid w:val="00513331"/>
    <w:rsid w:val="00513CDE"/>
    <w:rsid w:val="00514628"/>
    <w:rsid w:val="00515511"/>
    <w:rsid w:val="005226E3"/>
    <w:rsid w:val="005268BB"/>
    <w:rsid w:val="00527F86"/>
    <w:rsid w:val="00530FFD"/>
    <w:rsid w:val="005332F6"/>
    <w:rsid w:val="00533E6F"/>
    <w:rsid w:val="005370AD"/>
    <w:rsid w:val="00542E22"/>
    <w:rsid w:val="00543D43"/>
    <w:rsid w:val="00545871"/>
    <w:rsid w:val="0054625D"/>
    <w:rsid w:val="00546BFA"/>
    <w:rsid w:val="00546F50"/>
    <w:rsid w:val="00551BD7"/>
    <w:rsid w:val="0055413F"/>
    <w:rsid w:val="00557807"/>
    <w:rsid w:val="005607B0"/>
    <w:rsid w:val="00561537"/>
    <w:rsid w:val="00564C62"/>
    <w:rsid w:val="00566189"/>
    <w:rsid w:val="0057415A"/>
    <w:rsid w:val="005810E2"/>
    <w:rsid w:val="00581E57"/>
    <w:rsid w:val="00587DC3"/>
    <w:rsid w:val="0059004C"/>
    <w:rsid w:val="005901D8"/>
    <w:rsid w:val="00591390"/>
    <w:rsid w:val="0059222A"/>
    <w:rsid w:val="0059278D"/>
    <w:rsid w:val="00594830"/>
    <w:rsid w:val="0059711C"/>
    <w:rsid w:val="00597787"/>
    <w:rsid w:val="005A1B82"/>
    <w:rsid w:val="005A1CB8"/>
    <w:rsid w:val="005A21E2"/>
    <w:rsid w:val="005A2385"/>
    <w:rsid w:val="005A2D0A"/>
    <w:rsid w:val="005A640C"/>
    <w:rsid w:val="005B1C7E"/>
    <w:rsid w:val="005B30C2"/>
    <w:rsid w:val="005B5D9B"/>
    <w:rsid w:val="005B6985"/>
    <w:rsid w:val="005C1C08"/>
    <w:rsid w:val="005C24BD"/>
    <w:rsid w:val="005C311A"/>
    <w:rsid w:val="005C3C2D"/>
    <w:rsid w:val="005C7953"/>
    <w:rsid w:val="005C79C5"/>
    <w:rsid w:val="005D3E17"/>
    <w:rsid w:val="005E30B1"/>
    <w:rsid w:val="005E75B8"/>
    <w:rsid w:val="005F04D0"/>
    <w:rsid w:val="005F0ED8"/>
    <w:rsid w:val="005F4C0B"/>
    <w:rsid w:val="005F5895"/>
    <w:rsid w:val="006024F0"/>
    <w:rsid w:val="00602E19"/>
    <w:rsid w:val="00607B45"/>
    <w:rsid w:val="00612F7A"/>
    <w:rsid w:val="00614661"/>
    <w:rsid w:val="00621804"/>
    <w:rsid w:val="006225D1"/>
    <w:rsid w:val="00630E9E"/>
    <w:rsid w:val="00631571"/>
    <w:rsid w:val="00642F6E"/>
    <w:rsid w:val="00660179"/>
    <w:rsid w:val="006620AA"/>
    <w:rsid w:val="00663D65"/>
    <w:rsid w:val="006656D8"/>
    <w:rsid w:val="006705DD"/>
    <w:rsid w:val="00680044"/>
    <w:rsid w:val="0068038B"/>
    <w:rsid w:val="0068132A"/>
    <w:rsid w:val="00685317"/>
    <w:rsid w:val="00687E05"/>
    <w:rsid w:val="006937A8"/>
    <w:rsid w:val="00695597"/>
    <w:rsid w:val="00697BCD"/>
    <w:rsid w:val="006A1177"/>
    <w:rsid w:val="006A17DF"/>
    <w:rsid w:val="006A600B"/>
    <w:rsid w:val="006A64D4"/>
    <w:rsid w:val="006A752D"/>
    <w:rsid w:val="006B1374"/>
    <w:rsid w:val="006B1F26"/>
    <w:rsid w:val="006B2192"/>
    <w:rsid w:val="006B7121"/>
    <w:rsid w:val="006B7D9F"/>
    <w:rsid w:val="006C2E02"/>
    <w:rsid w:val="006C6950"/>
    <w:rsid w:val="006C6C31"/>
    <w:rsid w:val="006D03A6"/>
    <w:rsid w:val="006D1A39"/>
    <w:rsid w:val="006D32C4"/>
    <w:rsid w:val="006D449E"/>
    <w:rsid w:val="006D54BD"/>
    <w:rsid w:val="006E4001"/>
    <w:rsid w:val="006F2166"/>
    <w:rsid w:val="006F6164"/>
    <w:rsid w:val="00701282"/>
    <w:rsid w:val="00711A50"/>
    <w:rsid w:val="0071371E"/>
    <w:rsid w:val="00713AEA"/>
    <w:rsid w:val="00716460"/>
    <w:rsid w:val="00722495"/>
    <w:rsid w:val="0073188D"/>
    <w:rsid w:val="00731C5E"/>
    <w:rsid w:val="00732DCF"/>
    <w:rsid w:val="00733628"/>
    <w:rsid w:val="00735E42"/>
    <w:rsid w:val="0074287F"/>
    <w:rsid w:val="0074631B"/>
    <w:rsid w:val="00750142"/>
    <w:rsid w:val="0075170A"/>
    <w:rsid w:val="00751DD8"/>
    <w:rsid w:val="00751E8B"/>
    <w:rsid w:val="00755B45"/>
    <w:rsid w:val="00757C27"/>
    <w:rsid w:val="007639BE"/>
    <w:rsid w:val="00763AE8"/>
    <w:rsid w:val="0076463C"/>
    <w:rsid w:val="0077217F"/>
    <w:rsid w:val="00777103"/>
    <w:rsid w:val="00793D4F"/>
    <w:rsid w:val="00795EDD"/>
    <w:rsid w:val="00796A15"/>
    <w:rsid w:val="00797092"/>
    <w:rsid w:val="007A1F39"/>
    <w:rsid w:val="007A2963"/>
    <w:rsid w:val="007A5ECA"/>
    <w:rsid w:val="007B06C6"/>
    <w:rsid w:val="007B105D"/>
    <w:rsid w:val="007B2624"/>
    <w:rsid w:val="007B278D"/>
    <w:rsid w:val="007B47F2"/>
    <w:rsid w:val="007B7C63"/>
    <w:rsid w:val="007C11A7"/>
    <w:rsid w:val="007C152B"/>
    <w:rsid w:val="007C157E"/>
    <w:rsid w:val="007C2046"/>
    <w:rsid w:val="007C3399"/>
    <w:rsid w:val="007C5535"/>
    <w:rsid w:val="007C5D40"/>
    <w:rsid w:val="007C676A"/>
    <w:rsid w:val="007C69D8"/>
    <w:rsid w:val="007D2155"/>
    <w:rsid w:val="007D2924"/>
    <w:rsid w:val="007D35E5"/>
    <w:rsid w:val="007D45FF"/>
    <w:rsid w:val="007D7613"/>
    <w:rsid w:val="007E21CC"/>
    <w:rsid w:val="007E2893"/>
    <w:rsid w:val="007E52A5"/>
    <w:rsid w:val="007E61A5"/>
    <w:rsid w:val="007E754C"/>
    <w:rsid w:val="007F2D66"/>
    <w:rsid w:val="007F508E"/>
    <w:rsid w:val="007F57C6"/>
    <w:rsid w:val="007F6595"/>
    <w:rsid w:val="007F7404"/>
    <w:rsid w:val="007F75D2"/>
    <w:rsid w:val="00800A1E"/>
    <w:rsid w:val="00817133"/>
    <w:rsid w:val="00821C57"/>
    <w:rsid w:val="00822166"/>
    <w:rsid w:val="008320BE"/>
    <w:rsid w:val="008333EA"/>
    <w:rsid w:val="0084363B"/>
    <w:rsid w:val="00846E2F"/>
    <w:rsid w:val="00850227"/>
    <w:rsid w:val="00851E7C"/>
    <w:rsid w:val="00853458"/>
    <w:rsid w:val="00853A3B"/>
    <w:rsid w:val="00855574"/>
    <w:rsid w:val="00856DF0"/>
    <w:rsid w:val="0085717B"/>
    <w:rsid w:val="00867624"/>
    <w:rsid w:val="00873EFF"/>
    <w:rsid w:val="00875A69"/>
    <w:rsid w:val="0087625F"/>
    <w:rsid w:val="008765D9"/>
    <w:rsid w:val="00877253"/>
    <w:rsid w:val="00877F28"/>
    <w:rsid w:val="00884267"/>
    <w:rsid w:val="00884C67"/>
    <w:rsid w:val="00885A82"/>
    <w:rsid w:val="00886E9F"/>
    <w:rsid w:val="0088706B"/>
    <w:rsid w:val="0089053D"/>
    <w:rsid w:val="00897A03"/>
    <w:rsid w:val="008A1445"/>
    <w:rsid w:val="008A21C5"/>
    <w:rsid w:val="008A2D3E"/>
    <w:rsid w:val="008A5081"/>
    <w:rsid w:val="008B179E"/>
    <w:rsid w:val="008B1C9B"/>
    <w:rsid w:val="008B3A54"/>
    <w:rsid w:val="008B3E93"/>
    <w:rsid w:val="008B7357"/>
    <w:rsid w:val="008B799B"/>
    <w:rsid w:val="008C6B06"/>
    <w:rsid w:val="008E176C"/>
    <w:rsid w:val="008E684B"/>
    <w:rsid w:val="008E6AB7"/>
    <w:rsid w:val="008F03B0"/>
    <w:rsid w:val="008F1754"/>
    <w:rsid w:val="008F1FE8"/>
    <w:rsid w:val="008F25FA"/>
    <w:rsid w:val="008F30A9"/>
    <w:rsid w:val="008F7CE5"/>
    <w:rsid w:val="00903583"/>
    <w:rsid w:val="0090370D"/>
    <w:rsid w:val="0090595D"/>
    <w:rsid w:val="0091447E"/>
    <w:rsid w:val="009161CE"/>
    <w:rsid w:val="00917745"/>
    <w:rsid w:val="0092383F"/>
    <w:rsid w:val="00924566"/>
    <w:rsid w:val="00926EE2"/>
    <w:rsid w:val="00930662"/>
    <w:rsid w:val="00932827"/>
    <w:rsid w:val="00933226"/>
    <w:rsid w:val="00933B37"/>
    <w:rsid w:val="00936ABF"/>
    <w:rsid w:val="00940EB5"/>
    <w:rsid w:val="00941ADA"/>
    <w:rsid w:val="00944BCB"/>
    <w:rsid w:val="00945689"/>
    <w:rsid w:val="00946208"/>
    <w:rsid w:val="00951643"/>
    <w:rsid w:val="00953D97"/>
    <w:rsid w:val="00955BC4"/>
    <w:rsid w:val="009569BA"/>
    <w:rsid w:val="0096041D"/>
    <w:rsid w:val="00961F83"/>
    <w:rsid w:val="00963708"/>
    <w:rsid w:val="00966260"/>
    <w:rsid w:val="009738D3"/>
    <w:rsid w:val="0097498A"/>
    <w:rsid w:val="00974DF7"/>
    <w:rsid w:val="009763FB"/>
    <w:rsid w:val="00985534"/>
    <w:rsid w:val="00987220"/>
    <w:rsid w:val="0098747B"/>
    <w:rsid w:val="009920C3"/>
    <w:rsid w:val="00996A25"/>
    <w:rsid w:val="009A05B6"/>
    <w:rsid w:val="009B2202"/>
    <w:rsid w:val="009B3F6C"/>
    <w:rsid w:val="009B4A5D"/>
    <w:rsid w:val="009B53C6"/>
    <w:rsid w:val="009B5BC3"/>
    <w:rsid w:val="009B7782"/>
    <w:rsid w:val="009C0B86"/>
    <w:rsid w:val="009C11F4"/>
    <w:rsid w:val="009C15BC"/>
    <w:rsid w:val="009C6459"/>
    <w:rsid w:val="009C77F2"/>
    <w:rsid w:val="009D049E"/>
    <w:rsid w:val="009E0E01"/>
    <w:rsid w:val="009E0E2A"/>
    <w:rsid w:val="009E158B"/>
    <w:rsid w:val="009E1623"/>
    <w:rsid w:val="009F00A5"/>
    <w:rsid w:val="009F1CF6"/>
    <w:rsid w:val="009F4A32"/>
    <w:rsid w:val="00A010B5"/>
    <w:rsid w:val="00A03926"/>
    <w:rsid w:val="00A03ED5"/>
    <w:rsid w:val="00A0641C"/>
    <w:rsid w:val="00A06CE7"/>
    <w:rsid w:val="00A10B1A"/>
    <w:rsid w:val="00A11AA2"/>
    <w:rsid w:val="00A17857"/>
    <w:rsid w:val="00A206FE"/>
    <w:rsid w:val="00A209C7"/>
    <w:rsid w:val="00A214E5"/>
    <w:rsid w:val="00A21DD0"/>
    <w:rsid w:val="00A22216"/>
    <w:rsid w:val="00A2494B"/>
    <w:rsid w:val="00A27178"/>
    <w:rsid w:val="00A30EDE"/>
    <w:rsid w:val="00A3155D"/>
    <w:rsid w:val="00A4220D"/>
    <w:rsid w:val="00A44892"/>
    <w:rsid w:val="00A46940"/>
    <w:rsid w:val="00A50A31"/>
    <w:rsid w:val="00A51077"/>
    <w:rsid w:val="00A553E9"/>
    <w:rsid w:val="00A57FC8"/>
    <w:rsid w:val="00A60C6B"/>
    <w:rsid w:val="00A61CF9"/>
    <w:rsid w:val="00A62F66"/>
    <w:rsid w:val="00A6300E"/>
    <w:rsid w:val="00A73F09"/>
    <w:rsid w:val="00A82F0E"/>
    <w:rsid w:val="00A83C1A"/>
    <w:rsid w:val="00A8552D"/>
    <w:rsid w:val="00A865CE"/>
    <w:rsid w:val="00A87B93"/>
    <w:rsid w:val="00AA20CA"/>
    <w:rsid w:val="00AA3B9F"/>
    <w:rsid w:val="00AB2CF1"/>
    <w:rsid w:val="00AB31AC"/>
    <w:rsid w:val="00AB4028"/>
    <w:rsid w:val="00AC0047"/>
    <w:rsid w:val="00AD0BEF"/>
    <w:rsid w:val="00AE09D2"/>
    <w:rsid w:val="00AE270D"/>
    <w:rsid w:val="00AF3E93"/>
    <w:rsid w:val="00AF4A28"/>
    <w:rsid w:val="00AF69B7"/>
    <w:rsid w:val="00AF6CD7"/>
    <w:rsid w:val="00B0165C"/>
    <w:rsid w:val="00B01E1E"/>
    <w:rsid w:val="00B10412"/>
    <w:rsid w:val="00B107F4"/>
    <w:rsid w:val="00B12659"/>
    <w:rsid w:val="00B1554E"/>
    <w:rsid w:val="00B156E3"/>
    <w:rsid w:val="00B1639D"/>
    <w:rsid w:val="00B1772B"/>
    <w:rsid w:val="00B17ABB"/>
    <w:rsid w:val="00B21FE3"/>
    <w:rsid w:val="00B230FC"/>
    <w:rsid w:val="00B23642"/>
    <w:rsid w:val="00B31DF9"/>
    <w:rsid w:val="00B31EEF"/>
    <w:rsid w:val="00B35F02"/>
    <w:rsid w:val="00B36DCD"/>
    <w:rsid w:val="00B401EE"/>
    <w:rsid w:val="00B44317"/>
    <w:rsid w:val="00B44768"/>
    <w:rsid w:val="00B45958"/>
    <w:rsid w:val="00B46A91"/>
    <w:rsid w:val="00B4744D"/>
    <w:rsid w:val="00B51E40"/>
    <w:rsid w:val="00B55B0F"/>
    <w:rsid w:val="00B55BE1"/>
    <w:rsid w:val="00B60126"/>
    <w:rsid w:val="00B631C4"/>
    <w:rsid w:val="00B651D4"/>
    <w:rsid w:val="00B66797"/>
    <w:rsid w:val="00B74353"/>
    <w:rsid w:val="00B80E5A"/>
    <w:rsid w:val="00B86C16"/>
    <w:rsid w:val="00B9414B"/>
    <w:rsid w:val="00B95B8F"/>
    <w:rsid w:val="00BC03B1"/>
    <w:rsid w:val="00BC060E"/>
    <w:rsid w:val="00BC7302"/>
    <w:rsid w:val="00BD3618"/>
    <w:rsid w:val="00BE0FF5"/>
    <w:rsid w:val="00BE54AF"/>
    <w:rsid w:val="00BE6191"/>
    <w:rsid w:val="00BE78CD"/>
    <w:rsid w:val="00BF5CFA"/>
    <w:rsid w:val="00C000EC"/>
    <w:rsid w:val="00C01778"/>
    <w:rsid w:val="00C04909"/>
    <w:rsid w:val="00C05D64"/>
    <w:rsid w:val="00C062A5"/>
    <w:rsid w:val="00C1247B"/>
    <w:rsid w:val="00C1289A"/>
    <w:rsid w:val="00C15BD5"/>
    <w:rsid w:val="00C254E5"/>
    <w:rsid w:val="00C308B8"/>
    <w:rsid w:val="00C35C32"/>
    <w:rsid w:val="00C3687F"/>
    <w:rsid w:val="00C36D30"/>
    <w:rsid w:val="00C40181"/>
    <w:rsid w:val="00C501DE"/>
    <w:rsid w:val="00C50B8D"/>
    <w:rsid w:val="00C5234E"/>
    <w:rsid w:val="00C528B5"/>
    <w:rsid w:val="00C55C52"/>
    <w:rsid w:val="00C5640E"/>
    <w:rsid w:val="00C57243"/>
    <w:rsid w:val="00C620FA"/>
    <w:rsid w:val="00C63D4E"/>
    <w:rsid w:val="00C711B5"/>
    <w:rsid w:val="00C77367"/>
    <w:rsid w:val="00C77851"/>
    <w:rsid w:val="00C842EA"/>
    <w:rsid w:val="00C85C5D"/>
    <w:rsid w:val="00C90F31"/>
    <w:rsid w:val="00C91537"/>
    <w:rsid w:val="00C91658"/>
    <w:rsid w:val="00C93AD6"/>
    <w:rsid w:val="00C94012"/>
    <w:rsid w:val="00C9429C"/>
    <w:rsid w:val="00C947BB"/>
    <w:rsid w:val="00C9541E"/>
    <w:rsid w:val="00CA0478"/>
    <w:rsid w:val="00CA04C4"/>
    <w:rsid w:val="00CA679E"/>
    <w:rsid w:val="00CA67D5"/>
    <w:rsid w:val="00CB1822"/>
    <w:rsid w:val="00CB2A34"/>
    <w:rsid w:val="00CB3F41"/>
    <w:rsid w:val="00CB504D"/>
    <w:rsid w:val="00CB5D0D"/>
    <w:rsid w:val="00CB6DA4"/>
    <w:rsid w:val="00CC12C4"/>
    <w:rsid w:val="00CC481D"/>
    <w:rsid w:val="00CC627E"/>
    <w:rsid w:val="00CC6815"/>
    <w:rsid w:val="00CC6D5B"/>
    <w:rsid w:val="00CD1544"/>
    <w:rsid w:val="00CD3444"/>
    <w:rsid w:val="00CD7023"/>
    <w:rsid w:val="00CE10AE"/>
    <w:rsid w:val="00CE3D8D"/>
    <w:rsid w:val="00CE52E9"/>
    <w:rsid w:val="00CF172D"/>
    <w:rsid w:val="00CF1A2E"/>
    <w:rsid w:val="00CF4B74"/>
    <w:rsid w:val="00CF4BC9"/>
    <w:rsid w:val="00CF5A1C"/>
    <w:rsid w:val="00D033E3"/>
    <w:rsid w:val="00D07129"/>
    <w:rsid w:val="00D1164E"/>
    <w:rsid w:val="00D12B7C"/>
    <w:rsid w:val="00D12EE3"/>
    <w:rsid w:val="00D155CE"/>
    <w:rsid w:val="00D17912"/>
    <w:rsid w:val="00D212C6"/>
    <w:rsid w:val="00D2415E"/>
    <w:rsid w:val="00D25D18"/>
    <w:rsid w:val="00D26FC3"/>
    <w:rsid w:val="00D34672"/>
    <w:rsid w:val="00D36F19"/>
    <w:rsid w:val="00D41B86"/>
    <w:rsid w:val="00D41EBC"/>
    <w:rsid w:val="00D427F1"/>
    <w:rsid w:val="00D44881"/>
    <w:rsid w:val="00D45BD6"/>
    <w:rsid w:val="00D554A9"/>
    <w:rsid w:val="00D55A0D"/>
    <w:rsid w:val="00D609D6"/>
    <w:rsid w:val="00D66C55"/>
    <w:rsid w:val="00D726FE"/>
    <w:rsid w:val="00D74937"/>
    <w:rsid w:val="00D80851"/>
    <w:rsid w:val="00D84CC8"/>
    <w:rsid w:val="00D904A7"/>
    <w:rsid w:val="00D9208D"/>
    <w:rsid w:val="00D9327A"/>
    <w:rsid w:val="00D970A1"/>
    <w:rsid w:val="00D97315"/>
    <w:rsid w:val="00D9799F"/>
    <w:rsid w:val="00DA0092"/>
    <w:rsid w:val="00DA0DBB"/>
    <w:rsid w:val="00DA1ABF"/>
    <w:rsid w:val="00DA3E5A"/>
    <w:rsid w:val="00DA522C"/>
    <w:rsid w:val="00DA5C1A"/>
    <w:rsid w:val="00DB10C4"/>
    <w:rsid w:val="00DB1264"/>
    <w:rsid w:val="00DB2DE8"/>
    <w:rsid w:val="00DB40DE"/>
    <w:rsid w:val="00DB59CC"/>
    <w:rsid w:val="00DC038B"/>
    <w:rsid w:val="00DC17BE"/>
    <w:rsid w:val="00DC2D96"/>
    <w:rsid w:val="00DC3BB6"/>
    <w:rsid w:val="00DD171D"/>
    <w:rsid w:val="00DD2977"/>
    <w:rsid w:val="00DD38B5"/>
    <w:rsid w:val="00DD46CE"/>
    <w:rsid w:val="00DD56AE"/>
    <w:rsid w:val="00DD5CEF"/>
    <w:rsid w:val="00DD67FC"/>
    <w:rsid w:val="00DD7AA5"/>
    <w:rsid w:val="00DE2A91"/>
    <w:rsid w:val="00DE6981"/>
    <w:rsid w:val="00DE74C8"/>
    <w:rsid w:val="00DF08AE"/>
    <w:rsid w:val="00DF0E2A"/>
    <w:rsid w:val="00DF5B36"/>
    <w:rsid w:val="00DF70DA"/>
    <w:rsid w:val="00DF7C72"/>
    <w:rsid w:val="00E0471C"/>
    <w:rsid w:val="00E076C0"/>
    <w:rsid w:val="00E1031F"/>
    <w:rsid w:val="00E1227C"/>
    <w:rsid w:val="00E15311"/>
    <w:rsid w:val="00E30073"/>
    <w:rsid w:val="00E329C0"/>
    <w:rsid w:val="00E351BD"/>
    <w:rsid w:val="00E36D6F"/>
    <w:rsid w:val="00E40CF6"/>
    <w:rsid w:val="00E41202"/>
    <w:rsid w:val="00E439E8"/>
    <w:rsid w:val="00E43FA4"/>
    <w:rsid w:val="00E5675A"/>
    <w:rsid w:val="00E60897"/>
    <w:rsid w:val="00E6277D"/>
    <w:rsid w:val="00E63B9D"/>
    <w:rsid w:val="00E64B0A"/>
    <w:rsid w:val="00E6577F"/>
    <w:rsid w:val="00E6781F"/>
    <w:rsid w:val="00E77F57"/>
    <w:rsid w:val="00E837A5"/>
    <w:rsid w:val="00E8429E"/>
    <w:rsid w:val="00E862E4"/>
    <w:rsid w:val="00E976D3"/>
    <w:rsid w:val="00EA06E8"/>
    <w:rsid w:val="00EA16EA"/>
    <w:rsid w:val="00EA2429"/>
    <w:rsid w:val="00EA6EC9"/>
    <w:rsid w:val="00EA782F"/>
    <w:rsid w:val="00EB1053"/>
    <w:rsid w:val="00EB2E14"/>
    <w:rsid w:val="00EB4AF5"/>
    <w:rsid w:val="00EB59FE"/>
    <w:rsid w:val="00EB71AB"/>
    <w:rsid w:val="00EC1FFE"/>
    <w:rsid w:val="00EC56D7"/>
    <w:rsid w:val="00EC7802"/>
    <w:rsid w:val="00ED4310"/>
    <w:rsid w:val="00EF0DB8"/>
    <w:rsid w:val="00EF621B"/>
    <w:rsid w:val="00EF6A6B"/>
    <w:rsid w:val="00F00B8A"/>
    <w:rsid w:val="00F04688"/>
    <w:rsid w:val="00F12585"/>
    <w:rsid w:val="00F13398"/>
    <w:rsid w:val="00F15496"/>
    <w:rsid w:val="00F17E30"/>
    <w:rsid w:val="00F22D86"/>
    <w:rsid w:val="00F2492F"/>
    <w:rsid w:val="00F26F33"/>
    <w:rsid w:val="00F325B2"/>
    <w:rsid w:val="00F34E0F"/>
    <w:rsid w:val="00F350EB"/>
    <w:rsid w:val="00F355D8"/>
    <w:rsid w:val="00F366ED"/>
    <w:rsid w:val="00F410CD"/>
    <w:rsid w:val="00F4706C"/>
    <w:rsid w:val="00F5174D"/>
    <w:rsid w:val="00F56184"/>
    <w:rsid w:val="00F564F4"/>
    <w:rsid w:val="00F614DD"/>
    <w:rsid w:val="00F62DE9"/>
    <w:rsid w:val="00F64031"/>
    <w:rsid w:val="00F640F9"/>
    <w:rsid w:val="00F71A38"/>
    <w:rsid w:val="00F72019"/>
    <w:rsid w:val="00F75299"/>
    <w:rsid w:val="00F82BB8"/>
    <w:rsid w:val="00F831A0"/>
    <w:rsid w:val="00F837A6"/>
    <w:rsid w:val="00F85E7F"/>
    <w:rsid w:val="00F8672B"/>
    <w:rsid w:val="00F86A5D"/>
    <w:rsid w:val="00F916C8"/>
    <w:rsid w:val="00F92F53"/>
    <w:rsid w:val="00F94A64"/>
    <w:rsid w:val="00FA0F2B"/>
    <w:rsid w:val="00FA2A94"/>
    <w:rsid w:val="00FA5597"/>
    <w:rsid w:val="00FB2760"/>
    <w:rsid w:val="00FB2D41"/>
    <w:rsid w:val="00FB3BFE"/>
    <w:rsid w:val="00FB5154"/>
    <w:rsid w:val="00FB7F68"/>
    <w:rsid w:val="00FC5367"/>
    <w:rsid w:val="00FC5522"/>
    <w:rsid w:val="00FC797C"/>
    <w:rsid w:val="00FD1A12"/>
    <w:rsid w:val="00FD43BF"/>
    <w:rsid w:val="00FD46D6"/>
    <w:rsid w:val="00FD67AA"/>
    <w:rsid w:val="00FD6CAA"/>
    <w:rsid w:val="00FE0324"/>
    <w:rsid w:val="00FE0C04"/>
    <w:rsid w:val="00FE7B37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www.hcp.ma" TargetMode="Externa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4-2014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4-2014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4-2014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4-2014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4-2014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4-2014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4-201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تطور مؤشر الثقة للأسر المغربية</a:t>
            </a:r>
            <a:endParaRPr lang="en-US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7.092346908959711E-2"/>
          <c:y val="0.13699413882989714"/>
          <c:w val="0.90689195524083377"/>
          <c:h val="0.69944788492357934"/>
        </c:manualLayout>
      </c:layout>
      <c:barChart>
        <c:barDir val="col"/>
        <c:grouping val="clustered"/>
        <c:ser>
          <c:idx val="0"/>
          <c:order val="0"/>
          <c:tx>
            <c:strRef>
              <c:f>'graphe fr'!$A$18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23"/>
              <c:showVal val="1"/>
            </c:dLbl>
            <c:dLbl>
              <c:idx val="26"/>
              <c:layout>
                <c:manualLayout>
                  <c:x val="-4.0335592126492514E-3"/>
                  <c:y val="0"/>
                </c:manualLayout>
              </c:layout>
              <c:showVal val="1"/>
            </c:dLbl>
            <c:dLbl>
              <c:idx val="27"/>
              <c:showVal val="1"/>
            </c:dLbl>
            <c:delete val="1"/>
          </c:dLbls>
          <c:cat>
            <c:strRef>
              <c:f>'graphe fr'!$B$9:$AC$9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 fr'!$B$18:$AC$18</c:f>
              <c:numCache>
                <c:formatCode>#,##0.0</c:formatCode>
                <c:ptCount val="28"/>
                <c:pt idx="0">
                  <c:v>85.866502294191648</c:v>
                </c:pt>
                <c:pt idx="1">
                  <c:v>77.678707955852943</c:v>
                </c:pt>
                <c:pt idx="2">
                  <c:v>75.552480635756297</c:v>
                </c:pt>
                <c:pt idx="3">
                  <c:v>80.136884034904398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80.13608609361907</c:v>
                </c:pt>
                <c:pt idx="9">
                  <c:v>78.833388330574081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78.406406130604694</c:v>
                </c:pt>
                <c:pt idx="13">
                  <c:v>85.789532632532485</c:v>
                </c:pt>
                <c:pt idx="14">
                  <c:v>86.506225251482533</c:v>
                </c:pt>
                <c:pt idx="15">
                  <c:v>84.477214694877219</c:v>
                </c:pt>
                <c:pt idx="16">
                  <c:v>82.880478542821379</c:v>
                </c:pt>
                <c:pt idx="17">
                  <c:v>80.673652783725359</c:v>
                </c:pt>
                <c:pt idx="18">
                  <c:v>77.553867036569244</c:v>
                </c:pt>
                <c:pt idx="19">
                  <c:v>78.403353681349699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74.014553099961716</c:v>
                </c:pt>
                <c:pt idx="26">
                  <c:v>73.148145370690258</c:v>
                </c:pt>
                <c:pt idx="27">
                  <c:v>71.583460003653641</c:v>
                </c:pt>
              </c:numCache>
            </c:numRef>
          </c:val>
        </c:ser>
        <c:gapWidth val="75"/>
        <c:overlap val="-25"/>
        <c:axId val="97659904"/>
        <c:axId val="97420032"/>
      </c:barChart>
      <c:catAx>
        <c:axId val="97659904"/>
        <c:scaling>
          <c:orientation val="minMax"/>
        </c:scaling>
        <c:axPos val="b"/>
        <c:numFmt formatCode="#,##0" sourceLinked="1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97420032"/>
        <c:crosses val="autoZero"/>
        <c:auto val="1"/>
        <c:lblAlgn val="ctr"/>
        <c:lblOffset val="100"/>
      </c:catAx>
      <c:valAx>
        <c:axId val="9742003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fr-FR"/>
          </a:p>
        </c:txPr>
        <c:crossAx val="97659904"/>
        <c:crosses val="autoZero"/>
        <c:crossBetween val="between"/>
        <c:majorUnit val="20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600"/>
            </a:pPr>
            <a:r>
              <a:rPr lang="ar-MA" sz="1600" b="1" i="0" baseline="0"/>
              <a:t>تطور المستوى العام للمعيشة</a:t>
            </a:r>
            <a:endParaRPr lang="fr-FR" sz="1600" b="1" i="0" baseline="0"/>
          </a:p>
          <a:p>
            <a:pPr algn="ctr">
              <a:defRPr sz="1600"/>
            </a:pPr>
            <a:r>
              <a:rPr lang="ar-MA" sz="1600" b="1" i="0" baseline="0"/>
              <a:t> (أرصدة الآراء)</a:t>
            </a:r>
            <a:endParaRPr lang="fr-FR" sz="1600" b="1" i="0" baseline="0"/>
          </a:p>
        </c:rich>
      </c:tx>
      <c:layout>
        <c:manualLayout>
          <c:xMode val="edge"/>
          <c:yMode val="edge"/>
          <c:x val="0.33414716815220524"/>
          <c:y val="1.84971098265896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'graphes ar'!$A$10</c:f>
              <c:strCache>
                <c:ptCount val="1"/>
                <c:pt idx="0">
                  <c:v>التطور السابق 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'graphes ar'!$B$7:$AC$7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'graphes ar'!$B$10:$AC$10</c:f>
              <c:numCache>
                <c:formatCode>#,##0.0</c:formatCode>
                <c:ptCount val="28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-31.141291421499737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-25.723634629572999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-37.236760344983416</c:v>
                </c:pt>
                <c:pt idx="12">
                  <c:v>-26.050959167650085</c:v>
                </c:pt>
                <c:pt idx="13">
                  <c:v>-16.961438303130876</c:v>
                </c:pt>
                <c:pt idx="14">
                  <c:v>-13.439142519852018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-28.088708351168666</c:v>
                </c:pt>
                <c:pt idx="20">
                  <c:v>-29.212341127418195</c:v>
                </c:pt>
                <c:pt idx="21">
                  <c:v>-23.102864483982078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 formatCode="#,##0.00">
                  <c:v>-17.740461010850293</c:v>
                </c:pt>
                <c:pt idx="26">
                  <c:v>-17.399999999999999</c:v>
                </c:pt>
                <c:pt idx="27">
                  <c:v>-16.5</c:v>
                </c:pt>
              </c:numCache>
            </c:numRef>
          </c:val>
        </c:ser>
        <c:ser>
          <c:idx val="1"/>
          <c:order val="1"/>
          <c:tx>
            <c:strRef>
              <c:f>'graphes ar'!$A$11</c:f>
              <c:strCache>
                <c:ptCount val="1"/>
                <c:pt idx="0">
                  <c:v>التطور المستقبلي </c:v>
                </c:pt>
              </c:strCache>
            </c:strRef>
          </c:tx>
          <c:cat>
            <c:strRef>
              <c:f>'graphes ar'!$B$7:$AC$7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'graphes ar'!$B$11:$AC$11</c:f>
              <c:numCache>
                <c:formatCode>#,##0.0</c:formatCode>
                <c:ptCount val="28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8.4334302751112922E-2</c:v>
                </c:pt>
                <c:pt idx="7">
                  <c:v>2.1853913991610052</c:v>
                </c:pt>
                <c:pt idx="8">
                  <c:v>0.39154986438085659</c:v>
                </c:pt>
                <c:pt idx="9">
                  <c:v>2.7314646872285109</c:v>
                </c:pt>
                <c:pt idx="10">
                  <c:v>0.19418325799955108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18.132139936578795</c:v>
                </c:pt>
                <c:pt idx="14">
                  <c:v>11.870106120928295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-4.2068608448306462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-11.389732068783612</c:v>
                </c:pt>
                <c:pt idx="25" formatCode="#,##0.00">
                  <c:v>-13.063768224593518</c:v>
                </c:pt>
                <c:pt idx="26">
                  <c:v>-13.1</c:v>
                </c:pt>
                <c:pt idx="27">
                  <c:v>-12.7</c:v>
                </c:pt>
              </c:numCache>
            </c:numRef>
          </c:val>
        </c:ser>
        <c:marker val="1"/>
        <c:axId val="97673216"/>
        <c:axId val="97674752"/>
      </c:lineChart>
      <c:catAx>
        <c:axId val="97673216"/>
        <c:scaling>
          <c:orientation val="minMax"/>
        </c:scaling>
        <c:axPos val="b"/>
        <c:majorTickMark val="none"/>
        <c:tickLblPos val="nextTo"/>
        <c:crossAx val="97674752"/>
        <c:crosses val="autoZero"/>
        <c:auto val="1"/>
        <c:lblAlgn val="ctr"/>
        <c:lblOffset val="100"/>
      </c:catAx>
      <c:valAx>
        <c:axId val="9767475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976732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600"/>
            </a:pPr>
            <a:r>
              <a:rPr lang="ar-MA" sz="1600" b="1" i="0" baseline="0"/>
              <a:t>التطور المستقبلي لعدد العاطلين</a:t>
            </a:r>
            <a:endParaRPr lang="fr-FR" sz="1600" b="1" i="0" baseline="0"/>
          </a:p>
          <a:p>
            <a:pPr algn="ctr">
              <a:defRPr sz="1600"/>
            </a:pPr>
            <a:r>
              <a:rPr lang="ar-MA" sz="1600" b="1" i="0" baseline="0"/>
              <a:t> (</a:t>
            </a:r>
            <a:r>
              <a:rPr lang="ar-MA" sz="1600" b="0" i="0" baseline="0"/>
              <a:t>أرصدة الآراء</a:t>
            </a:r>
            <a:r>
              <a:rPr lang="ar-MA" sz="1600" b="1" i="0" baseline="0"/>
              <a:t>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ar'!$A$9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ar'!$D$7:$AC$7</c:f>
              <c:strCache>
                <c:ptCount val="26"/>
                <c:pt idx="0">
                  <c:v>T3/08</c:v>
                </c:pt>
                <c:pt idx="1">
                  <c:v>T4/08</c:v>
                </c:pt>
                <c:pt idx="2">
                  <c:v>T1/09</c:v>
                </c:pt>
                <c:pt idx="3">
                  <c:v>T2/09</c:v>
                </c:pt>
                <c:pt idx="4">
                  <c:v>T3/09</c:v>
                </c:pt>
                <c:pt idx="5">
                  <c:v>T4/09</c:v>
                </c:pt>
                <c:pt idx="6">
                  <c:v>T1/10</c:v>
                </c:pt>
                <c:pt idx="7">
                  <c:v>T2/10</c:v>
                </c:pt>
                <c:pt idx="8">
                  <c:v>T3/10</c:v>
                </c:pt>
                <c:pt idx="9">
                  <c:v>T4/10</c:v>
                </c:pt>
                <c:pt idx="10">
                  <c:v>T1/11</c:v>
                </c:pt>
                <c:pt idx="11">
                  <c:v>T2/11</c:v>
                </c:pt>
                <c:pt idx="12">
                  <c:v>T3/11</c:v>
                </c:pt>
                <c:pt idx="13">
                  <c:v>T4/11</c:v>
                </c:pt>
                <c:pt idx="14">
                  <c:v>T1/12</c:v>
                </c:pt>
                <c:pt idx="15">
                  <c:v>T2/12</c:v>
                </c:pt>
                <c:pt idx="16">
                  <c:v>T3/12</c:v>
                </c:pt>
                <c:pt idx="17">
                  <c:v>T4/12</c:v>
                </c:pt>
                <c:pt idx="18">
                  <c:v>T1/13</c:v>
                </c:pt>
                <c:pt idx="19">
                  <c:v>T2/13</c:v>
                </c:pt>
                <c:pt idx="20">
                  <c:v>T3/13</c:v>
                </c:pt>
                <c:pt idx="21">
                  <c:v>T4/13</c:v>
                </c:pt>
                <c:pt idx="22">
                  <c:v>T1/14</c:v>
                </c:pt>
                <c:pt idx="23">
                  <c:v>T2/14</c:v>
                </c:pt>
                <c:pt idx="24">
                  <c:v>T3/14</c:v>
                </c:pt>
                <c:pt idx="25">
                  <c:v>T4/14</c:v>
                </c:pt>
              </c:strCache>
            </c:strRef>
          </c:cat>
          <c:val>
            <c:numRef>
              <c:f>'graphes ar'!$D$9:$AC$9</c:f>
              <c:numCache>
                <c:formatCode>#,##0.0</c:formatCode>
                <c:ptCount val="26"/>
                <c:pt idx="0">
                  <c:v>-51.593765595534528</c:v>
                </c:pt>
                <c:pt idx="1">
                  <c:v>-51.137343653505525</c:v>
                </c:pt>
                <c:pt idx="2">
                  <c:v>-50.999102607130283</c:v>
                </c:pt>
                <c:pt idx="3">
                  <c:v>-59.135165785990033</c:v>
                </c:pt>
                <c:pt idx="4">
                  <c:v>-57.930600458568449</c:v>
                </c:pt>
                <c:pt idx="5">
                  <c:v>-57.517749523976491</c:v>
                </c:pt>
                <c:pt idx="6">
                  <c:v>-59.239397454073007</c:v>
                </c:pt>
                <c:pt idx="7">
                  <c:v>-61.048152851769579</c:v>
                </c:pt>
                <c:pt idx="8">
                  <c:v>-56.106436371502731</c:v>
                </c:pt>
                <c:pt idx="9">
                  <c:v>-52.335316844022479</c:v>
                </c:pt>
                <c:pt idx="10">
                  <c:v>-52.408437207990296</c:v>
                </c:pt>
                <c:pt idx="11">
                  <c:v>-45.982278486233447</c:v>
                </c:pt>
                <c:pt idx="12">
                  <c:v>-40.986479794930496</c:v>
                </c:pt>
                <c:pt idx="13">
                  <c:v>-41.619683700101234</c:v>
                </c:pt>
                <c:pt idx="14">
                  <c:v>-44.058495214148614</c:v>
                </c:pt>
                <c:pt idx="15">
                  <c:v>-48.557155794606146</c:v>
                </c:pt>
                <c:pt idx="16">
                  <c:v>-56.657119953107134</c:v>
                </c:pt>
                <c:pt idx="17">
                  <c:v>-58.054676707354794</c:v>
                </c:pt>
                <c:pt idx="18">
                  <c:v>-61.683132655398175</c:v>
                </c:pt>
                <c:pt idx="19">
                  <c:v>-67.848891093145681</c:v>
                </c:pt>
                <c:pt idx="20">
                  <c:v>-69.816287861188869</c:v>
                </c:pt>
                <c:pt idx="21">
                  <c:v>-68.20001271186625</c:v>
                </c:pt>
                <c:pt idx="22">
                  <c:v>-69.100751044168078</c:v>
                </c:pt>
                <c:pt idx="23" formatCode="#,##0.00">
                  <c:v>-66.49396988110928</c:v>
                </c:pt>
                <c:pt idx="24">
                  <c:v>-68.8</c:v>
                </c:pt>
                <c:pt idx="25">
                  <c:v>-68</c:v>
                </c:pt>
              </c:numCache>
            </c:numRef>
          </c:val>
        </c:ser>
        <c:marker val="1"/>
        <c:axId val="97689984"/>
        <c:axId val="97691520"/>
      </c:lineChart>
      <c:catAx>
        <c:axId val="97689984"/>
        <c:scaling>
          <c:orientation val="minMax"/>
        </c:scaling>
        <c:axPos val="b"/>
        <c:tickLblPos val="nextTo"/>
        <c:crossAx val="97691520"/>
        <c:crosses val="autoZero"/>
        <c:auto val="1"/>
        <c:lblAlgn val="ctr"/>
        <c:lblOffset val="100"/>
      </c:catAx>
      <c:valAx>
        <c:axId val="97691520"/>
        <c:scaling>
          <c:orientation val="minMax"/>
        </c:scaling>
        <c:axPos val="l"/>
        <c:majorGridlines/>
        <c:numFmt formatCode="#,##0.0" sourceLinked="1"/>
        <c:tickLblPos val="nextTo"/>
        <c:crossAx val="9768998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600"/>
            </a:pPr>
            <a:r>
              <a:rPr lang="ar-MA" sz="1600"/>
              <a:t>فرص اقتناء السلع المستديمة</a:t>
            </a:r>
            <a:endParaRPr lang="fr-FR" sz="1600"/>
          </a:p>
          <a:p>
            <a:pPr>
              <a:defRPr sz="1600"/>
            </a:pPr>
            <a:r>
              <a:rPr lang="fr-FR" sz="1600" b="0" i="0" baseline="0"/>
              <a:t>)</a:t>
            </a:r>
            <a:r>
              <a:rPr lang="ar-MA" sz="1600" b="0" i="0" baseline="0"/>
              <a:t>رصدة الآراء</a:t>
            </a:r>
            <a:r>
              <a:rPr lang="fr-FR" sz="1600" b="0" i="0" baseline="0"/>
              <a:t>( </a:t>
            </a:r>
            <a:endParaRPr lang="fr-FR" sz="1600" b="1" i="0" baseline="0"/>
          </a:p>
          <a:p>
            <a:pPr>
              <a:defRPr sz="1600"/>
            </a:pPr>
            <a:endParaRPr lang="ar-MA" sz="16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ar'!$A$12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ar'!$B$7:$AC$7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'graphes ar'!$B$12:$AC$12</c:f>
              <c:numCache>
                <c:formatCode>#,##0.0</c:formatCode>
                <c:ptCount val="28"/>
                <c:pt idx="0">
                  <c:v>-30.018449770831779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-41.765350509033958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-34.756506471721551</c:v>
                </c:pt>
                <c:pt idx="9">
                  <c:v>-37.532519098271877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-39.860076277616713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-37.388587169100468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-28.348240299081688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 formatCode="#,##0.00">
                  <c:v>-28.892463445062127</c:v>
                </c:pt>
                <c:pt idx="26">
                  <c:v>-33.1</c:v>
                </c:pt>
                <c:pt idx="27">
                  <c:v>-38.1</c:v>
                </c:pt>
              </c:numCache>
            </c:numRef>
          </c:val>
        </c:ser>
        <c:marker val="1"/>
        <c:axId val="123217408"/>
        <c:axId val="123218944"/>
      </c:lineChart>
      <c:catAx>
        <c:axId val="123217408"/>
        <c:scaling>
          <c:orientation val="minMax"/>
        </c:scaling>
        <c:axPos val="b"/>
        <c:majorTickMark val="none"/>
        <c:tickLblPos val="nextTo"/>
        <c:crossAx val="123218944"/>
        <c:crosses val="autoZero"/>
        <c:auto val="1"/>
        <c:lblAlgn val="ctr"/>
        <c:lblOffset val="100"/>
      </c:catAx>
      <c:valAx>
        <c:axId val="12321894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23217408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600" b="1" i="0" baseline="0"/>
              <a:t>تصور الأسر حول وضعيتهم المالية</a:t>
            </a:r>
            <a:endParaRPr lang="fr-FR" sz="1600" b="1" i="0" baseline="0"/>
          </a:p>
          <a:p>
            <a:pPr algn="ctr">
              <a:defRPr/>
            </a:pPr>
            <a:r>
              <a:rPr lang="ar-MA" sz="1600" b="0" i="0" baseline="0"/>
              <a:t>(أرصدة الآراء)</a:t>
            </a:r>
            <a:endParaRPr lang="fr-FR" sz="1600" b="0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ar'!$A$13</c:f>
              <c:strCache>
                <c:ptCount val="1"/>
                <c:pt idx="0">
                  <c:v>الوضعية الحالية </c:v>
                </c:pt>
              </c:strCache>
            </c:strRef>
          </c:tx>
          <c:cat>
            <c:strRef>
              <c:f>'graphes ar'!$B$7:$AC$7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'graphes ar'!$B$13:$AC$13</c:f>
              <c:numCache>
                <c:formatCode>#,##0.0</c:formatCode>
                <c:ptCount val="28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-28.062624892496306</c:v>
                </c:pt>
                <c:pt idx="12">
                  <c:v>-30.645498931903724</c:v>
                </c:pt>
                <c:pt idx="13">
                  <c:v>-27.09254988944431</c:v>
                </c:pt>
                <c:pt idx="14">
                  <c:v>-24.28899054728441</c:v>
                </c:pt>
                <c:pt idx="15">
                  <c:v>-25.669712181349723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-30.846093343724192</c:v>
                </c:pt>
                <c:pt idx="19">
                  <c:v>-29.42696669186126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-29.484131282651212</c:v>
                </c:pt>
                <c:pt idx="23">
                  <c:v>-29.485585569479948</c:v>
                </c:pt>
                <c:pt idx="24">
                  <c:v>-31.290770339915039</c:v>
                </c:pt>
                <c:pt idx="25" formatCode="#,##0.00">
                  <c:v>-29.704256665370011</c:v>
                </c:pt>
                <c:pt idx="26">
                  <c:v>-28.3</c:v>
                </c:pt>
                <c:pt idx="27">
                  <c:v>-30.6</c:v>
                </c:pt>
              </c:numCache>
            </c:numRef>
          </c:val>
        </c:ser>
        <c:ser>
          <c:idx val="1"/>
          <c:order val="1"/>
          <c:tx>
            <c:strRef>
              <c:f>'graphes ar'!$A$14</c:f>
              <c:strCache>
                <c:ptCount val="1"/>
                <c:pt idx="0">
                  <c:v>التطور السابق</c:v>
                </c:pt>
              </c:strCache>
            </c:strRef>
          </c:tx>
          <c:cat>
            <c:strRef>
              <c:f>'graphes ar'!$B$7:$AC$7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'graphes ar'!$B$14:$AC$14</c:f>
              <c:numCache>
                <c:formatCode>#,##0.0</c:formatCode>
                <c:ptCount val="28"/>
                <c:pt idx="0">
                  <c:v>-11.760493904860514</c:v>
                </c:pt>
                <c:pt idx="1">
                  <c:v>-11.376439540974179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-18.438210074457352</c:v>
                </c:pt>
                <c:pt idx="5">
                  <c:v>-13.353492384896768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-9.8004349690184096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-21.891965579068511</c:v>
                </c:pt>
                <c:pt idx="23">
                  <c:v>-21.870867995539985</c:v>
                </c:pt>
                <c:pt idx="24">
                  <c:v>-21.277780753263979</c:v>
                </c:pt>
                <c:pt idx="25" formatCode="#,##0.00">
                  <c:v>-23.337257864101161</c:v>
                </c:pt>
                <c:pt idx="26">
                  <c:v>-25.8</c:v>
                </c:pt>
                <c:pt idx="27">
                  <c:v>-29.2</c:v>
                </c:pt>
              </c:numCache>
            </c:numRef>
          </c:val>
        </c:ser>
        <c:ser>
          <c:idx val="2"/>
          <c:order val="2"/>
          <c:tx>
            <c:strRef>
              <c:f>'graphes ar'!$A$15</c:f>
              <c:strCache>
                <c:ptCount val="1"/>
                <c:pt idx="0">
                  <c:v>التطور المرتقب </c:v>
                </c:pt>
              </c:strCache>
            </c:strRef>
          </c:tx>
          <c:cat>
            <c:strRef>
              <c:f>'graphes ar'!$B$7:$AC$7</c:f>
              <c:strCache>
                <c:ptCount val="2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</c:strCache>
            </c:strRef>
          </c:cat>
          <c:val>
            <c:numRef>
              <c:f>'graphes ar'!$B$15:$AC$15</c:f>
              <c:numCache>
                <c:formatCode>#,##0.0</c:formatCode>
                <c:ptCount val="28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26.705941849103176</c:v>
                </c:pt>
                <c:pt idx="4">
                  <c:v>26.769154239001917</c:v>
                </c:pt>
                <c:pt idx="5">
                  <c:v>21.986954089697061</c:v>
                </c:pt>
                <c:pt idx="6">
                  <c:v>17.532817766676505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11.776375704730496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11.230833640450323</c:v>
                </c:pt>
                <c:pt idx="17">
                  <c:v>11.136340416980383</c:v>
                </c:pt>
                <c:pt idx="18">
                  <c:v>7.6658451594012931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-1.7003971659207207</c:v>
                </c:pt>
                <c:pt idx="24">
                  <c:v>1.2126606998519158</c:v>
                </c:pt>
                <c:pt idx="25" formatCode="#,##0.00">
                  <c:v>-2.6659512091834952</c:v>
                </c:pt>
                <c:pt idx="26">
                  <c:v>-1.5</c:v>
                </c:pt>
                <c:pt idx="27">
                  <c:v>-3.9</c:v>
                </c:pt>
              </c:numCache>
            </c:numRef>
          </c:val>
        </c:ser>
        <c:marker val="1"/>
        <c:axId val="123246464"/>
        <c:axId val="123248000"/>
      </c:lineChart>
      <c:catAx>
        <c:axId val="12324646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3248000"/>
        <c:crosses val="autoZero"/>
        <c:auto val="1"/>
        <c:lblAlgn val="ctr"/>
        <c:lblOffset val="100"/>
      </c:catAx>
      <c:valAx>
        <c:axId val="12324800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2324646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000"/>
            </a:pPr>
            <a:r>
              <a:rPr lang="ar-MA" sz="1000"/>
              <a:t>تصورات حول التطور السابق لأثمنة المواد الغذائية (ب %) </a:t>
            </a:r>
            <a:endParaRPr lang="fr-FR" sz="1000"/>
          </a:p>
        </c:rich>
      </c:tx>
      <c:layout>
        <c:manualLayout>
          <c:xMode val="edge"/>
          <c:yMode val="edge"/>
          <c:x val="0.16147745074896921"/>
          <c:y val="3.115722909788134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fr'!$Q$114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T4/13</c:v>
                </c:pt>
                <c:pt idx="1">
                  <c:v>T3/14</c:v>
                </c:pt>
                <c:pt idx="2">
                  <c:v>T4/14</c:v>
                </c:pt>
              </c:strCache>
            </c:strRef>
          </c:cat>
          <c:val>
            <c:numRef>
              <c:f>'graphe fr'!$R$114:$T$114</c:f>
              <c:numCache>
                <c:formatCode>#,##0.0%</c:formatCode>
                <c:ptCount val="3"/>
                <c:pt idx="0">
                  <c:v>0.91900352935980567</c:v>
                </c:pt>
                <c:pt idx="1">
                  <c:v>0.83396482508920533</c:v>
                </c:pt>
                <c:pt idx="2">
                  <c:v>0.85778695163080165</c:v>
                </c:pt>
              </c:numCache>
            </c:numRef>
          </c:val>
        </c:ser>
        <c:ser>
          <c:idx val="1"/>
          <c:order val="1"/>
          <c:tx>
            <c:strRef>
              <c:f>'graphe fr'!$Q$115</c:f>
              <c:strCache>
                <c:ptCount val="1"/>
                <c:pt idx="0">
                  <c:v>stagnation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T4/13</c:v>
                </c:pt>
                <c:pt idx="1">
                  <c:v>T3/14</c:v>
                </c:pt>
                <c:pt idx="2">
                  <c:v>T4/14</c:v>
                </c:pt>
              </c:strCache>
            </c:strRef>
          </c:cat>
          <c:val>
            <c:numRef>
              <c:f>'graphe fr'!$R$115:$T$115</c:f>
              <c:numCache>
                <c:formatCode>#,##0.0%</c:formatCode>
                <c:ptCount val="3"/>
                <c:pt idx="0">
                  <c:v>7.0416966997420186E-2</c:v>
                </c:pt>
                <c:pt idx="1">
                  <c:v>0.14970284651782706</c:v>
                </c:pt>
                <c:pt idx="2">
                  <c:v>0.12963809453371097</c:v>
                </c:pt>
              </c:numCache>
            </c:numRef>
          </c:val>
        </c:ser>
        <c:ser>
          <c:idx val="2"/>
          <c:order val="2"/>
          <c:tx>
            <c:strRef>
              <c:f>'graphe fr'!$Q$116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T4/13</c:v>
                </c:pt>
                <c:pt idx="1">
                  <c:v>T3/14</c:v>
                </c:pt>
                <c:pt idx="2">
                  <c:v>T4/14</c:v>
                </c:pt>
              </c:strCache>
            </c:strRef>
          </c:cat>
          <c:val>
            <c:numRef>
              <c:f>'graphe fr'!$R$116:$T$116</c:f>
              <c:numCache>
                <c:formatCode>#,##0.0%</c:formatCode>
                <c:ptCount val="3"/>
                <c:pt idx="0">
                  <c:v>1.0579503642774421E-2</c:v>
                </c:pt>
                <c:pt idx="1">
                  <c:v>1.6332328392969272E-2</c:v>
                </c:pt>
                <c:pt idx="2">
                  <c:v>1.2E-2</c:v>
                </c:pt>
              </c:numCache>
            </c:numRef>
          </c:val>
        </c:ser>
        <c:gapWidth val="75"/>
        <c:overlap val="-25"/>
        <c:axId val="116007680"/>
        <c:axId val="116009216"/>
      </c:barChart>
      <c:catAx>
        <c:axId val="116007680"/>
        <c:scaling>
          <c:orientation val="minMax"/>
        </c:scaling>
        <c:axPos val="b"/>
        <c:majorTickMark val="none"/>
        <c:tickLblPos val="nextTo"/>
        <c:crossAx val="116009216"/>
        <c:crosses val="autoZero"/>
        <c:auto val="1"/>
        <c:lblAlgn val="ctr"/>
        <c:lblOffset val="100"/>
      </c:catAx>
      <c:valAx>
        <c:axId val="116009216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16007680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/>
              <a:t>تصورات حول</a:t>
            </a:r>
            <a:r>
              <a:rPr lang="ar-MA" baseline="0"/>
              <a:t> </a:t>
            </a:r>
            <a:r>
              <a:rPr lang="ar-MA"/>
              <a:t>التطور المستقبلي لأثمنة </a:t>
            </a:r>
            <a:r>
              <a:rPr lang="ar-MA" sz="1000"/>
              <a:t>المواد</a:t>
            </a:r>
            <a:r>
              <a:rPr lang="ar-MA"/>
              <a:t> الغذائية (ب %) </a:t>
            </a:r>
            <a:endParaRPr lang="fr-FR"/>
          </a:p>
        </c:rich>
      </c:tx>
      <c:layout>
        <c:manualLayout>
          <c:xMode val="edge"/>
          <c:yMode val="edge"/>
          <c:x val="0.10318708815479492"/>
          <c:y val="3.137254901960785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fr'!$Q$110</c:f>
              <c:strCache>
                <c:ptCount val="1"/>
                <c:pt idx="0">
                  <c:v>augmentation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'graphe fr'!$R$109:$T$109</c:f>
              <c:strCache>
                <c:ptCount val="3"/>
                <c:pt idx="0">
                  <c:v>T4/13</c:v>
                </c:pt>
                <c:pt idx="1">
                  <c:v>T3/14</c:v>
                </c:pt>
                <c:pt idx="2">
                  <c:v>T4/14</c:v>
                </c:pt>
              </c:strCache>
            </c:strRef>
          </c:cat>
          <c:val>
            <c:numRef>
              <c:f>'graphe fr'!$R$110:$T$110</c:f>
              <c:numCache>
                <c:formatCode>#,##0.0%</c:formatCode>
                <c:ptCount val="3"/>
                <c:pt idx="0">
                  <c:v>0.77030286543735127</c:v>
                </c:pt>
                <c:pt idx="1">
                  <c:v>0.78048807048985291</c:v>
                </c:pt>
                <c:pt idx="2">
                  <c:v>0.79033661241644471</c:v>
                </c:pt>
              </c:numCache>
            </c:numRef>
          </c:val>
        </c:ser>
        <c:ser>
          <c:idx val="1"/>
          <c:order val="1"/>
          <c:tx>
            <c:strRef>
              <c:f>'graphe fr'!$Q$111</c:f>
              <c:strCache>
                <c:ptCount val="1"/>
                <c:pt idx="0">
                  <c:v>stagnation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'graphe fr'!$R$109:$T$109</c:f>
              <c:strCache>
                <c:ptCount val="3"/>
                <c:pt idx="0">
                  <c:v>T4/13</c:v>
                </c:pt>
                <c:pt idx="1">
                  <c:v>T3/14</c:v>
                </c:pt>
                <c:pt idx="2">
                  <c:v>T4/14</c:v>
                </c:pt>
              </c:strCache>
            </c:strRef>
          </c:cat>
          <c:val>
            <c:numRef>
              <c:f>'graphe fr'!$R$111:$T$111</c:f>
              <c:numCache>
                <c:formatCode>#,##0.0%</c:formatCode>
                <c:ptCount val="3"/>
                <c:pt idx="0">
                  <c:v>0.21987982755154489</c:v>
                </c:pt>
                <c:pt idx="1">
                  <c:v>0.20801227623759591</c:v>
                </c:pt>
                <c:pt idx="2">
                  <c:v>0.19196930011389629</c:v>
                </c:pt>
              </c:numCache>
            </c:numRef>
          </c:val>
        </c:ser>
        <c:ser>
          <c:idx val="2"/>
          <c:order val="2"/>
          <c:tx>
            <c:strRef>
              <c:f>'graphe fr'!$Q$112</c:f>
              <c:strCache>
                <c:ptCount val="1"/>
                <c:pt idx="0">
                  <c:v>diminution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'graphe fr'!$R$109:$T$109</c:f>
              <c:strCache>
                <c:ptCount val="3"/>
                <c:pt idx="0">
                  <c:v>T4/13</c:v>
                </c:pt>
                <c:pt idx="1">
                  <c:v>T3/14</c:v>
                </c:pt>
                <c:pt idx="2">
                  <c:v>T4/14</c:v>
                </c:pt>
              </c:strCache>
            </c:strRef>
          </c:cat>
          <c:val>
            <c:numRef>
              <c:f>'graphe fr'!$R$112:$T$112</c:f>
              <c:numCache>
                <c:formatCode>#,##0.0%</c:formatCode>
                <c:ptCount val="3"/>
                <c:pt idx="0">
                  <c:v>9.8173070111037646E-3</c:v>
                </c:pt>
                <c:pt idx="1">
                  <c:v>1.2E-2</c:v>
                </c:pt>
                <c:pt idx="2">
                  <c:v>1.7694087469651846E-2</c:v>
                </c:pt>
              </c:numCache>
            </c:numRef>
          </c:val>
        </c:ser>
        <c:gapWidth val="75"/>
        <c:overlap val="-25"/>
        <c:axId val="116052736"/>
        <c:axId val="116054272"/>
      </c:barChart>
      <c:catAx>
        <c:axId val="116052736"/>
        <c:scaling>
          <c:orientation val="minMax"/>
        </c:scaling>
        <c:axPos val="b"/>
        <c:majorTickMark val="none"/>
        <c:tickLblPos val="nextTo"/>
        <c:crossAx val="116054272"/>
        <c:crosses val="autoZero"/>
        <c:auto val="1"/>
        <c:lblAlgn val="ctr"/>
        <c:lblOffset val="100"/>
      </c:catAx>
      <c:valAx>
        <c:axId val="116054272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16052736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48732-8FAC-4018-9640-23F3B71A1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1465</Words>
  <Characters>8061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 </cp:lastModifiedBy>
  <cp:revision>2</cp:revision>
  <cp:lastPrinted>2015-02-09T14:54:00Z</cp:lastPrinted>
  <dcterms:created xsi:type="dcterms:W3CDTF">2015-02-11T12:09:00Z</dcterms:created>
  <dcterms:modified xsi:type="dcterms:W3CDTF">2015-02-11T12:09:00Z</dcterms:modified>
</cp:coreProperties>
</file>