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703CB8" w:rsidRDefault="00703CB8" w:rsidP="00E1254B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1B3BD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1B3BD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DE NOVEMBRE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B953A9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4</w:t>
      </w:r>
    </w:p>
    <w:p w:rsidR="009E579A" w:rsidRPr="004671FE" w:rsidRDefault="009E579A">
      <w:pPr>
        <w:jc w:val="right"/>
        <w:rPr>
          <w:rFonts w:ascii="Arial" w:hAnsi="Arial" w:cs="Arial" w:hint="cs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2B0046" w:rsidRDefault="002B0046" w:rsidP="00C271D7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Stagnation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des prix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des produits à base de céréale de 5,2% et des fruits de 0,9% et de la baisse des prix des poissons et fruits de mer de </w:t>
      </w:r>
      <w:r w:rsidR="00C271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C271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et des légumes de 2,</w:t>
      </w:r>
      <w:r w:rsidR="00C271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.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 mois et  de 1,</w:t>
      </w:r>
      <w:r w:rsidR="00C271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2B0046" w:rsidRPr="004E2AF0" w:rsidRDefault="002B0046" w:rsidP="002B004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2B0046" w:rsidRPr="00C954F8" w:rsidRDefault="002B0046" w:rsidP="002B004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connu</w:t>
      </w:r>
      <w:r w:rsidRPr="004671FE">
        <w:rPr>
          <w:rFonts w:ascii="Arial" w:hAnsi="Arial" w:cs="Arial"/>
          <w:sz w:val="24"/>
          <w:szCs w:val="24"/>
        </w:rPr>
        <w:t xml:space="preserve">, au cours du mois </w:t>
      </w:r>
      <w:r>
        <w:rPr>
          <w:rFonts w:ascii="Arial" w:hAnsi="Arial" w:cs="Arial"/>
          <w:sz w:val="24"/>
          <w:szCs w:val="24"/>
        </w:rPr>
        <w:t>de novembre 201</w:t>
      </w:r>
      <w:r>
        <w:rPr>
          <w:rFonts w:ascii="Arial" w:hAnsi="Arial" w:cs="Arial" w:hint="cs"/>
          <w:sz w:val="24"/>
          <w:szCs w:val="24"/>
          <w:rtl/>
        </w:rPr>
        <w:t>4</w:t>
      </w:r>
      <w:r w:rsidRPr="004671FE">
        <w:rPr>
          <w:rFonts w:ascii="Arial" w:hAnsi="Arial" w:cs="Arial"/>
          <w:sz w:val="24"/>
          <w:szCs w:val="24"/>
        </w:rPr>
        <w:t xml:space="preserve">, une </w:t>
      </w:r>
      <w:r>
        <w:rPr>
          <w:rFonts w:ascii="Arial" w:hAnsi="Arial" w:cs="Arial"/>
          <w:sz w:val="24"/>
          <w:szCs w:val="24"/>
        </w:rPr>
        <w:t>stagnation</w:t>
      </w:r>
      <w:r w:rsidRPr="004671FE">
        <w:rPr>
          <w:rFonts w:ascii="Arial" w:hAnsi="Arial" w:cs="Arial"/>
          <w:sz w:val="24"/>
          <w:szCs w:val="24"/>
        </w:rPr>
        <w:t xml:space="preserve"> par rapport au mois précédent. Cette </w:t>
      </w:r>
      <w:r>
        <w:rPr>
          <w:rFonts w:ascii="Arial" w:hAnsi="Arial" w:cs="Arial"/>
          <w:sz w:val="24"/>
          <w:szCs w:val="24"/>
        </w:rPr>
        <w:t>stagnation</w:t>
      </w:r>
      <w:r w:rsidRPr="004671FE">
        <w:rPr>
          <w:rFonts w:ascii="Arial" w:hAnsi="Arial" w:cs="Arial"/>
          <w:sz w:val="24"/>
          <w:szCs w:val="24"/>
        </w:rPr>
        <w:t xml:space="preserve"> est le résultat d</w:t>
      </w:r>
      <w:r>
        <w:rPr>
          <w:rFonts w:ascii="Arial" w:hAnsi="Arial" w:cs="Arial"/>
          <w:sz w:val="24"/>
          <w:szCs w:val="24"/>
        </w:rPr>
        <w:t>e la hausse de 0,2</w:t>
      </w:r>
      <w:r w:rsidRPr="005662A0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sz w:val="24"/>
          <w:szCs w:val="24"/>
        </w:rPr>
        <w:t xml:space="preserve">de la baisse de 0,1% 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>
        <w:rPr>
          <w:rFonts w:ascii="Arial" w:hAnsi="Arial" w:cs="Arial"/>
          <w:sz w:val="24"/>
          <w:szCs w:val="24"/>
        </w:rPr>
        <w:t xml:space="preserve"> non </w:t>
      </w:r>
      <w:r w:rsidRPr="00C954F8">
        <w:rPr>
          <w:rFonts w:ascii="Arial" w:hAnsi="Arial" w:cs="Arial"/>
          <w:sz w:val="24"/>
          <w:szCs w:val="24"/>
        </w:rPr>
        <w:t>alimentaires</w:t>
      </w:r>
      <w:r>
        <w:rPr>
          <w:rFonts w:ascii="Arial" w:hAnsi="Arial" w:cs="Arial"/>
          <w:sz w:val="24"/>
          <w:szCs w:val="24"/>
        </w:rPr>
        <w:t>.</w:t>
      </w:r>
    </w:p>
    <w:p w:rsidR="002B0046" w:rsidRPr="00070661" w:rsidRDefault="002B0046" w:rsidP="002B004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2B0046" w:rsidRPr="00166D20" w:rsidRDefault="002B0046" w:rsidP="00DB5317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Les hausses des produits alimentaires observées entre octobre et novembre 2014 concernent principalement les </w:t>
      </w:r>
      <w:r w:rsidRPr="000E3762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produits à base de céréale</w:t>
      </w:r>
      <w:r w:rsidRPr="000E3762">
        <w:rPr>
          <w:rFonts w:ascii="Arial" w:hAnsi="Arial" w:cs="Arial"/>
          <w:sz w:val="24"/>
          <w:szCs w:val="24"/>
        </w:rPr>
        <w:t xml:space="preserve">» avec </w:t>
      </w:r>
      <w:r>
        <w:rPr>
          <w:rFonts w:ascii="Arial" w:hAnsi="Arial" w:cs="Arial"/>
          <w:sz w:val="24"/>
          <w:szCs w:val="24"/>
        </w:rPr>
        <w:t>5,2</w:t>
      </w:r>
      <w:r w:rsidRPr="000E3762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les «fruits» avec 0,9%. En revanche, les prix ont diminué de </w:t>
      </w:r>
      <w:r w:rsidR="00C271D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="00C271D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% pour les «poissons et fruits de mer», de 2,</w:t>
      </w:r>
      <w:r w:rsidR="00C271D7">
        <w:rPr>
          <w:rFonts w:ascii="Arial" w:hAnsi="Arial" w:cs="Arial"/>
          <w:sz w:val="24"/>
          <w:szCs w:val="24"/>
        </w:rPr>
        <w:t>8</w:t>
      </w:r>
      <w:r w:rsidR="00DB5317">
        <w:rPr>
          <w:rFonts w:ascii="Arial" w:hAnsi="Arial" w:cs="Arial"/>
          <w:sz w:val="24"/>
          <w:szCs w:val="24"/>
        </w:rPr>
        <w:t>% pour les «légumes» et</w:t>
      </w:r>
      <w:r>
        <w:rPr>
          <w:rFonts w:ascii="Arial" w:hAnsi="Arial" w:cs="Arial"/>
          <w:sz w:val="24"/>
          <w:szCs w:val="24"/>
        </w:rPr>
        <w:t xml:space="preserve"> de 0,</w:t>
      </w:r>
      <w:r w:rsidR="00C271D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% pour </w:t>
      </w:r>
      <w:r w:rsidR="00F0307A">
        <w:rPr>
          <w:rFonts w:ascii="Arial" w:hAnsi="Arial" w:cs="Arial"/>
          <w:sz w:val="24"/>
          <w:szCs w:val="24"/>
        </w:rPr>
        <w:t>les «viandes»</w:t>
      </w:r>
      <w:r w:rsidR="00DB531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B0046" w:rsidRPr="004671FE" w:rsidRDefault="002B0046" w:rsidP="002B004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2B0046" w:rsidRDefault="002B0046" w:rsidP="00F0307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Pr="000B6C75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 xml:space="preserve">hausses </w:t>
      </w:r>
      <w:r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>
        <w:rPr>
          <w:rFonts w:ascii="Arial" w:hAnsi="Arial" w:cs="Arial"/>
          <w:sz w:val="24"/>
          <w:szCs w:val="24"/>
        </w:rPr>
        <w:t xml:space="preserve">Casablanca et Safi avec 0,5%, à </w:t>
      </w:r>
      <w:proofErr w:type="spellStart"/>
      <w:r>
        <w:rPr>
          <w:rFonts w:ascii="Arial" w:hAnsi="Arial" w:cs="Arial"/>
          <w:sz w:val="24"/>
          <w:szCs w:val="24"/>
        </w:rPr>
        <w:t>Beni</w:t>
      </w:r>
      <w:proofErr w:type="spellEnd"/>
      <w:r>
        <w:rPr>
          <w:rFonts w:ascii="Arial" w:hAnsi="Arial" w:cs="Arial"/>
          <w:sz w:val="24"/>
          <w:szCs w:val="24"/>
        </w:rPr>
        <w:t>-Mellal avec 0,4% et à Kénitra avec 0,2%. En revanche, des baisses ont été enregistrées à Dakhla avec 0,9% et à Al-Hoceima, Fès, Tanger et Laâyoune avec 0,4%</w:t>
      </w:r>
      <w:r w:rsidR="00C271D7">
        <w:rPr>
          <w:rFonts w:ascii="Arial" w:hAnsi="Arial" w:cs="Arial"/>
          <w:sz w:val="24"/>
          <w:szCs w:val="24"/>
        </w:rPr>
        <w:t xml:space="preserve"> et à Rabat avec 0,3%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B0046" w:rsidRDefault="002B0046" w:rsidP="002B004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2B0046" w:rsidRDefault="002B0046" w:rsidP="002B004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</w:rPr>
        <w:t>même mois de l’année précédente,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enregistré</w:t>
      </w:r>
      <w:r>
        <w:rPr>
          <w:rFonts w:ascii="Arial" w:hAnsi="Arial" w:cs="Arial"/>
          <w:sz w:val="24"/>
          <w:szCs w:val="24"/>
        </w:rPr>
        <w:t xml:space="preserve"> une hausse de 1,2%</w:t>
      </w:r>
      <w:r w:rsidRPr="00684F8E">
        <w:rPr>
          <w:rFonts w:ascii="Arial" w:hAnsi="Arial" w:cs="Arial"/>
          <w:sz w:val="24"/>
          <w:szCs w:val="24"/>
        </w:rPr>
        <w:t xml:space="preserve"> au cours du mois </w:t>
      </w:r>
      <w:r>
        <w:rPr>
          <w:rFonts w:ascii="Arial" w:hAnsi="Arial" w:cs="Arial"/>
          <w:sz w:val="24"/>
          <w:szCs w:val="24"/>
        </w:rPr>
        <w:t>de novembre</w:t>
      </w:r>
      <w:r w:rsidRPr="00166D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 w:hint="cs"/>
          <w:sz w:val="24"/>
          <w:szCs w:val="24"/>
          <w:rtl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Pr="00E45101">
        <w:rPr>
          <w:rFonts w:ascii="Arial" w:hAnsi="Arial" w:cs="Arial"/>
          <w:sz w:val="24"/>
          <w:szCs w:val="24"/>
        </w:rPr>
        <w:t xml:space="preserve">Cette variation résulte de la </w:t>
      </w:r>
      <w:r>
        <w:rPr>
          <w:rFonts w:ascii="Arial" w:hAnsi="Arial" w:cs="Arial"/>
          <w:sz w:val="24"/>
          <w:szCs w:val="24"/>
        </w:rPr>
        <w:t>hausse</w:t>
      </w:r>
      <w:r w:rsidRPr="008D538D">
        <w:rPr>
          <w:rFonts w:ascii="Arial" w:hAnsi="Arial" w:cs="Arial"/>
          <w:sz w:val="24"/>
          <w:szCs w:val="24"/>
        </w:rPr>
        <w:t xml:space="preserve"> de l’indice des produits</w:t>
      </w:r>
      <w:r>
        <w:rPr>
          <w:rFonts w:ascii="Arial" w:hAnsi="Arial" w:cs="Arial"/>
          <w:sz w:val="24"/>
          <w:szCs w:val="24"/>
        </w:rPr>
        <w:t xml:space="preserve"> alimentaires </w:t>
      </w:r>
      <w:r w:rsidRPr="008D538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0,1</w:t>
      </w:r>
      <w:r w:rsidRPr="008D538D">
        <w:rPr>
          <w:rFonts w:ascii="Arial" w:hAnsi="Arial" w:cs="Arial"/>
          <w:sz w:val="24"/>
          <w:szCs w:val="24"/>
        </w:rPr>
        <w:t>% et</w:t>
      </w:r>
      <w:r>
        <w:rPr>
          <w:rFonts w:ascii="Arial" w:hAnsi="Arial" w:cs="Arial"/>
          <w:sz w:val="24"/>
          <w:szCs w:val="24"/>
        </w:rPr>
        <w:t xml:space="preserve"> </w:t>
      </w:r>
      <w:r w:rsidRPr="008D538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celui des </w:t>
      </w:r>
      <w:r w:rsidRPr="008D538D">
        <w:rPr>
          <w:rFonts w:ascii="Arial" w:hAnsi="Arial" w:cs="Arial"/>
          <w:sz w:val="24"/>
          <w:szCs w:val="24"/>
        </w:rPr>
        <w:t>produits</w:t>
      </w:r>
      <w:r>
        <w:rPr>
          <w:rFonts w:ascii="Arial" w:hAnsi="Arial" w:cs="Arial"/>
          <w:sz w:val="24"/>
          <w:szCs w:val="24"/>
        </w:rPr>
        <w:t xml:space="preserve"> non</w:t>
      </w:r>
      <w:r w:rsidRPr="008D538D">
        <w:rPr>
          <w:rFonts w:ascii="Arial" w:hAnsi="Arial" w:cs="Arial"/>
          <w:sz w:val="24"/>
          <w:szCs w:val="24"/>
        </w:rPr>
        <w:t xml:space="preserve"> alimentaires de </w:t>
      </w:r>
      <w:r>
        <w:rPr>
          <w:rFonts w:ascii="Arial" w:hAnsi="Arial" w:cs="Arial"/>
          <w:sz w:val="24"/>
          <w:szCs w:val="24"/>
        </w:rPr>
        <w:t>2,1</w:t>
      </w:r>
      <w:r w:rsidRPr="008D538D">
        <w:rPr>
          <w:rFonts w:ascii="Arial" w:hAnsi="Arial" w:cs="Arial"/>
          <w:sz w:val="24"/>
          <w:szCs w:val="24"/>
        </w:rPr>
        <w:t>%.</w:t>
      </w:r>
      <w:r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Les indices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d</w:t>
      </w:r>
      <w:r w:rsidRPr="006637DA">
        <w:rPr>
          <w:rFonts w:ascii="Arial" w:hAnsi="Arial" w:cs="Arial"/>
          <w:spacing w:val="-2"/>
          <w:sz w:val="24"/>
          <w:szCs w:val="24"/>
        </w:rPr>
        <w:t>es</w:t>
      </w:r>
      <w:r>
        <w:rPr>
          <w:rFonts w:ascii="Arial" w:hAnsi="Arial" w:cs="Arial"/>
          <w:spacing w:val="-2"/>
          <w:sz w:val="24"/>
          <w:szCs w:val="24"/>
        </w:rPr>
        <w:t xml:space="preserve"> prix des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 produits non alimentaires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ont </w:t>
      </w:r>
      <w:r>
        <w:rPr>
          <w:rFonts w:ascii="Arial" w:hAnsi="Arial" w:cs="Arial"/>
          <w:spacing w:val="-2"/>
          <w:sz w:val="24"/>
          <w:szCs w:val="24"/>
        </w:rPr>
        <w:t xml:space="preserve">varié entre 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une baisse de </w:t>
      </w:r>
      <w:r>
        <w:rPr>
          <w:rFonts w:ascii="Arial" w:hAnsi="Arial" w:cs="Arial"/>
          <w:spacing w:val="-2"/>
          <w:sz w:val="24"/>
          <w:szCs w:val="24"/>
        </w:rPr>
        <w:t xml:space="preserve">1,1% pour la </w:t>
      </w:r>
      <w:r w:rsidRPr="006637DA">
        <w:rPr>
          <w:rFonts w:ascii="Arial" w:hAnsi="Arial" w:cs="Arial"/>
          <w:spacing w:val="-2"/>
          <w:sz w:val="24"/>
          <w:szCs w:val="24"/>
        </w:rPr>
        <w:t>«</w:t>
      </w:r>
      <w:r>
        <w:rPr>
          <w:rFonts w:ascii="Arial" w:hAnsi="Arial" w:cs="Arial"/>
          <w:spacing w:val="-2"/>
          <w:sz w:val="24"/>
          <w:szCs w:val="24"/>
        </w:rPr>
        <w:t>santé</w:t>
      </w:r>
      <w:r w:rsidRPr="006637DA">
        <w:rPr>
          <w:rFonts w:ascii="Arial" w:hAnsi="Arial" w:cs="Arial"/>
          <w:spacing w:val="-2"/>
          <w:sz w:val="24"/>
          <w:szCs w:val="24"/>
        </w:rPr>
        <w:t>»</w:t>
      </w:r>
      <w:r>
        <w:rPr>
          <w:rFonts w:ascii="Arial" w:hAnsi="Arial" w:cs="Arial"/>
          <w:spacing w:val="-2"/>
          <w:sz w:val="24"/>
          <w:szCs w:val="24"/>
        </w:rPr>
        <w:t xml:space="preserve"> et les « loisirs et culture » et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 une hausse de </w:t>
      </w:r>
      <w:r>
        <w:rPr>
          <w:rFonts w:ascii="Arial" w:hAnsi="Arial" w:cs="Arial"/>
          <w:spacing w:val="-2"/>
          <w:sz w:val="24"/>
          <w:szCs w:val="24"/>
        </w:rPr>
        <w:t>4,4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>
        <w:rPr>
          <w:rFonts w:ascii="Arial" w:hAnsi="Arial" w:cs="Arial"/>
          <w:spacing w:val="-2"/>
          <w:sz w:val="24"/>
          <w:szCs w:val="24"/>
        </w:rPr>
        <w:t xml:space="preserve">pour </w:t>
      </w:r>
      <w:r w:rsidRPr="006637DA"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 xml:space="preserve">e </w:t>
      </w:r>
      <w:r w:rsidRPr="006637DA">
        <w:rPr>
          <w:rFonts w:ascii="Arial" w:hAnsi="Arial" w:cs="Arial"/>
          <w:spacing w:val="-2"/>
          <w:sz w:val="24"/>
          <w:szCs w:val="24"/>
        </w:rPr>
        <w:t>«</w:t>
      </w:r>
      <w:r>
        <w:rPr>
          <w:rFonts w:ascii="Arial" w:hAnsi="Arial" w:cs="Arial"/>
          <w:spacing w:val="-2"/>
          <w:sz w:val="24"/>
          <w:szCs w:val="24"/>
        </w:rPr>
        <w:t xml:space="preserve">logement, eau et électricité </w:t>
      </w:r>
      <w:r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2B0046" w:rsidRPr="004671FE" w:rsidRDefault="002B0046" w:rsidP="002B004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2B0046" w:rsidRPr="00194996" w:rsidRDefault="002B0046" w:rsidP="00C271D7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194996">
        <w:rPr>
          <w:rFonts w:ascii="Arial" w:hAnsi="Arial" w:cs="Arial"/>
          <w:sz w:val="24"/>
          <w:szCs w:val="24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sz w:val="24"/>
          <w:szCs w:val="24"/>
        </w:rPr>
        <w:t xml:space="preserve">de novembre </w:t>
      </w:r>
      <w:r w:rsidRPr="00194996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 w:hint="cs"/>
          <w:sz w:val="24"/>
          <w:szCs w:val="24"/>
          <w:rtl/>
        </w:rPr>
        <w:t>4</w:t>
      </w:r>
      <w:r w:rsidRPr="00194996">
        <w:rPr>
          <w:rFonts w:ascii="Arial" w:hAnsi="Arial" w:cs="Arial"/>
          <w:sz w:val="24"/>
          <w:szCs w:val="24"/>
        </w:rPr>
        <w:t xml:space="preserve"> une </w:t>
      </w:r>
      <w:r>
        <w:rPr>
          <w:rFonts w:ascii="Arial" w:hAnsi="Arial" w:cs="Arial"/>
          <w:sz w:val="24"/>
          <w:szCs w:val="24"/>
        </w:rPr>
        <w:t xml:space="preserve">hausse de 0,1% </w:t>
      </w:r>
      <w:r w:rsidRPr="00194996">
        <w:rPr>
          <w:rFonts w:ascii="Arial" w:hAnsi="Arial" w:cs="Arial"/>
          <w:sz w:val="24"/>
          <w:szCs w:val="24"/>
        </w:rPr>
        <w:t>par rapport au mois d</w:t>
      </w:r>
      <w:r>
        <w:rPr>
          <w:rFonts w:ascii="Arial" w:hAnsi="Arial" w:cs="Arial"/>
          <w:sz w:val="24"/>
          <w:szCs w:val="24"/>
        </w:rPr>
        <w:t xml:space="preserve">’octobre </w:t>
      </w:r>
      <w:r w:rsidRPr="00194996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 w:hint="cs"/>
          <w:sz w:val="24"/>
          <w:szCs w:val="24"/>
          <w:rtl/>
        </w:rPr>
        <w:t>4</w:t>
      </w:r>
      <w:r w:rsidRPr="00194996">
        <w:rPr>
          <w:rFonts w:ascii="Arial" w:hAnsi="Arial" w:cs="Arial"/>
          <w:sz w:val="24"/>
          <w:szCs w:val="24"/>
        </w:rPr>
        <w:t xml:space="preserve"> et de </w:t>
      </w:r>
      <w:r>
        <w:rPr>
          <w:rFonts w:ascii="Arial" w:hAnsi="Arial" w:cs="Arial"/>
          <w:sz w:val="24"/>
          <w:szCs w:val="24"/>
        </w:rPr>
        <w:t>1</w:t>
      </w:r>
      <w:r w:rsidRPr="00194996">
        <w:rPr>
          <w:rFonts w:ascii="Arial" w:hAnsi="Arial" w:cs="Arial"/>
          <w:sz w:val="24"/>
          <w:szCs w:val="24"/>
        </w:rPr>
        <w:t>,</w:t>
      </w:r>
      <w:r w:rsidR="00C271D7">
        <w:rPr>
          <w:rFonts w:ascii="Arial" w:hAnsi="Arial" w:cs="Arial"/>
          <w:sz w:val="24"/>
          <w:szCs w:val="24"/>
        </w:rPr>
        <w:t>1</w:t>
      </w:r>
      <w:r w:rsidRPr="00194996">
        <w:rPr>
          <w:rFonts w:ascii="Arial" w:hAnsi="Arial" w:cs="Arial"/>
          <w:sz w:val="24"/>
          <w:szCs w:val="24"/>
        </w:rPr>
        <w:t xml:space="preserve">% par rapport au mois </w:t>
      </w:r>
      <w:r>
        <w:rPr>
          <w:rFonts w:ascii="Arial" w:hAnsi="Arial" w:cs="Arial"/>
          <w:sz w:val="24"/>
          <w:szCs w:val="24"/>
        </w:rPr>
        <w:t xml:space="preserve">de novembre </w:t>
      </w:r>
      <w:r w:rsidRPr="00194996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 w:hint="cs"/>
          <w:sz w:val="24"/>
          <w:szCs w:val="24"/>
          <w:rtl/>
        </w:rPr>
        <w:t>3</w:t>
      </w:r>
      <w:r w:rsidRPr="00194996">
        <w:rPr>
          <w:rFonts w:ascii="Arial" w:hAnsi="Arial" w:cs="Arial"/>
          <w:sz w:val="24"/>
          <w:szCs w:val="24"/>
        </w:rPr>
        <w:t>.</w:t>
      </w:r>
    </w:p>
    <w:p w:rsidR="002B0046" w:rsidRPr="004671FE" w:rsidRDefault="002B0046" w:rsidP="002B004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F66A2B" w:rsidRDefault="00F66A2B" w:rsidP="00F66A2B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1E6576" w:rsidP="005432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Octobre 201</w:t>
            </w:r>
            <w:r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1E6576" w:rsidP="008C5CD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Novembre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E55AB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5AB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55AB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55AB5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1E657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1E6576">
              <w:rPr>
                <w:rFonts w:cs="Times New Roman"/>
                <w:b/>
                <w:bCs/>
              </w:rPr>
              <w:t>onze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DF7520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1E6576" w:rsidP="005432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Novembre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1E6576" w:rsidP="005432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Novembre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5432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54326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E55AB5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-5,0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E55AB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E55AB5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55AB5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1E657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1E6576">
              <w:rPr>
                <w:rFonts w:cs="Times New Roman"/>
                <w:b/>
                <w:bCs/>
                <w:sz w:val="24"/>
                <w:szCs w:val="24"/>
              </w:rPr>
              <w:t>onze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1E6576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Octobre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DD31F6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1E6576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Novembre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98738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98738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55AB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55AB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55AB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E55AB5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Pr="00402008" w:rsidRDefault="00E55AB5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55AB5" w:rsidRDefault="00E55AB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A30" w:rsidRDefault="00582A30">
      <w:pPr>
        <w:jc w:val="right"/>
      </w:pPr>
      <w:r>
        <w:separator/>
      </w:r>
    </w:p>
  </w:endnote>
  <w:endnote w:type="continuationSeparator" w:id="0">
    <w:p w:rsidR="00582A30" w:rsidRDefault="00582A3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A30" w:rsidRDefault="00582A30">
      <w:pPr>
        <w:jc w:val="right"/>
      </w:pPr>
      <w:r>
        <w:separator/>
      </w:r>
    </w:p>
  </w:footnote>
  <w:footnote w:type="continuationSeparator" w:id="0">
    <w:p w:rsidR="00582A30" w:rsidRDefault="00582A3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44A1"/>
    <w:rsid w:val="000A7C14"/>
    <w:rsid w:val="000B1E72"/>
    <w:rsid w:val="000B3146"/>
    <w:rsid w:val="000B31DA"/>
    <w:rsid w:val="000B3B58"/>
    <w:rsid w:val="000B54DB"/>
    <w:rsid w:val="000B6311"/>
    <w:rsid w:val="000B6C75"/>
    <w:rsid w:val="000B708C"/>
    <w:rsid w:val="000B7A94"/>
    <w:rsid w:val="000C2DC6"/>
    <w:rsid w:val="000C522D"/>
    <w:rsid w:val="000C52FC"/>
    <w:rsid w:val="000C58B7"/>
    <w:rsid w:val="000D26CA"/>
    <w:rsid w:val="000D5C67"/>
    <w:rsid w:val="000D7448"/>
    <w:rsid w:val="000E275E"/>
    <w:rsid w:val="000E3762"/>
    <w:rsid w:val="000E3E18"/>
    <w:rsid w:val="000F45B4"/>
    <w:rsid w:val="000F58D9"/>
    <w:rsid w:val="0010193B"/>
    <w:rsid w:val="00104D15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3799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55BAE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BD2"/>
    <w:rsid w:val="001B6356"/>
    <w:rsid w:val="001C391E"/>
    <w:rsid w:val="001C4D7B"/>
    <w:rsid w:val="001C5706"/>
    <w:rsid w:val="001D0A49"/>
    <w:rsid w:val="001D69C8"/>
    <w:rsid w:val="001E017E"/>
    <w:rsid w:val="001E6576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5225"/>
    <w:rsid w:val="00297046"/>
    <w:rsid w:val="00297BF3"/>
    <w:rsid w:val="002A1466"/>
    <w:rsid w:val="002A1D3B"/>
    <w:rsid w:val="002A352B"/>
    <w:rsid w:val="002A4A07"/>
    <w:rsid w:val="002A7F8E"/>
    <w:rsid w:val="002B0046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1CC"/>
    <w:rsid w:val="002F7AB3"/>
    <w:rsid w:val="00303A54"/>
    <w:rsid w:val="0030441E"/>
    <w:rsid w:val="003051E9"/>
    <w:rsid w:val="0031040D"/>
    <w:rsid w:val="00311CBF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5F83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5964"/>
    <w:rsid w:val="00417A51"/>
    <w:rsid w:val="004215B1"/>
    <w:rsid w:val="004216FE"/>
    <w:rsid w:val="00437D11"/>
    <w:rsid w:val="00441009"/>
    <w:rsid w:val="0044194B"/>
    <w:rsid w:val="00445415"/>
    <w:rsid w:val="00450991"/>
    <w:rsid w:val="00450B34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A2E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779BC"/>
    <w:rsid w:val="00582A30"/>
    <w:rsid w:val="00583C17"/>
    <w:rsid w:val="00585FE6"/>
    <w:rsid w:val="0058648A"/>
    <w:rsid w:val="0058777F"/>
    <w:rsid w:val="00591FC3"/>
    <w:rsid w:val="00595147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29A0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782E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6110"/>
    <w:rsid w:val="006C72CE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1A1"/>
    <w:rsid w:val="006F7E0B"/>
    <w:rsid w:val="00703CB8"/>
    <w:rsid w:val="0070458A"/>
    <w:rsid w:val="00706C44"/>
    <w:rsid w:val="0071595A"/>
    <w:rsid w:val="007160BC"/>
    <w:rsid w:val="0072141D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36D2"/>
    <w:rsid w:val="0077408B"/>
    <w:rsid w:val="00775CFF"/>
    <w:rsid w:val="007767DB"/>
    <w:rsid w:val="007817A3"/>
    <w:rsid w:val="007817B9"/>
    <w:rsid w:val="00782F89"/>
    <w:rsid w:val="00784DF9"/>
    <w:rsid w:val="007869F5"/>
    <w:rsid w:val="0078764B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15A59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A54BA"/>
    <w:rsid w:val="008B09DB"/>
    <w:rsid w:val="008B2828"/>
    <w:rsid w:val="008B4030"/>
    <w:rsid w:val="008B6C05"/>
    <w:rsid w:val="008B6DA0"/>
    <w:rsid w:val="008C33AF"/>
    <w:rsid w:val="008C4A68"/>
    <w:rsid w:val="008C5CD8"/>
    <w:rsid w:val="008D0BD0"/>
    <w:rsid w:val="008D0CB1"/>
    <w:rsid w:val="008D2213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8F562C"/>
    <w:rsid w:val="0090332D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0BCA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469A7"/>
    <w:rsid w:val="00A514B3"/>
    <w:rsid w:val="00A52A0F"/>
    <w:rsid w:val="00A52A4D"/>
    <w:rsid w:val="00A5435F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015B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B6137"/>
    <w:rsid w:val="00BC0C5A"/>
    <w:rsid w:val="00BC3C0E"/>
    <w:rsid w:val="00BC4FCA"/>
    <w:rsid w:val="00BC7457"/>
    <w:rsid w:val="00BD0726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271D7"/>
    <w:rsid w:val="00C32595"/>
    <w:rsid w:val="00C344D2"/>
    <w:rsid w:val="00C3452E"/>
    <w:rsid w:val="00C355A6"/>
    <w:rsid w:val="00C3754C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A3671"/>
    <w:rsid w:val="00CA68A2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317"/>
    <w:rsid w:val="00DB541B"/>
    <w:rsid w:val="00DB5D22"/>
    <w:rsid w:val="00DC1BDA"/>
    <w:rsid w:val="00DC21FC"/>
    <w:rsid w:val="00DD08FB"/>
    <w:rsid w:val="00DD1C6F"/>
    <w:rsid w:val="00DD2F20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3F4"/>
    <w:rsid w:val="00E529A1"/>
    <w:rsid w:val="00E52CEE"/>
    <w:rsid w:val="00E55AB5"/>
    <w:rsid w:val="00E55C4F"/>
    <w:rsid w:val="00E609C1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411C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5480"/>
    <w:rsid w:val="00EA61D7"/>
    <w:rsid w:val="00EB0560"/>
    <w:rsid w:val="00EB1444"/>
    <w:rsid w:val="00EB1BEE"/>
    <w:rsid w:val="00EB2982"/>
    <w:rsid w:val="00EB3BE2"/>
    <w:rsid w:val="00EB7DCF"/>
    <w:rsid w:val="00EC05DE"/>
    <w:rsid w:val="00EC7034"/>
    <w:rsid w:val="00ED03C1"/>
    <w:rsid w:val="00ED3739"/>
    <w:rsid w:val="00ED4485"/>
    <w:rsid w:val="00ED4765"/>
    <w:rsid w:val="00EE07F4"/>
    <w:rsid w:val="00EE1DB6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8E8"/>
    <w:rsid w:val="00F0307A"/>
    <w:rsid w:val="00F048CC"/>
    <w:rsid w:val="00F10A1B"/>
    <w:rsid w:val="00F10BFB"/>
    <w:rsid w:val="00F14DBA"/>
    <w:rsid w:val="00F20FDD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66A2B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EE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1BD4"/>
    <w:rsid w:val="00FC5D61"/>
    <w:rsid w:val="00FD141F"/>
    <w:rsid w:val="00FD6867"/>
    <w:rsid w:val="00FD68D9"/>
    <w:rsid w:val="00FD6DB8"/>
    <w:rsid w:val="00FD7E74"/>
    <w:rsid w:val="00FE15A6"/>
    <w:rsid w:val="00FE20E3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574F1-3934-4AEC-B62C-D2F01608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2014-11-20T15:23:00Z</cp:lastPrinted>
  <dcterms:created xsi:type="dcterms:W3CDTF">2014-12-21T22:03:00Z</dcterms:created>
  <dcterms:modified xsi:type="dcterms:W3CDTF">2014-12-21T22:05:00Z</dcterms:modified>
</cp:coreProperties>
</file>