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5A074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2A18ED" w:rsidP="00E85462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Troisième</w:t>
      </w:r>
      <w:r w:rsidR="00557809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04211E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</w:t>
      </w:r>
      <w:r w:rsidR="00EE0655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04211E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2014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4F4A0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que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Confiance des Ménages (ICM)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aura enregistré, au cours du 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>troisième</w:t>
      </w:r>
      <w:r w:rsidR="0055780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EE0655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2014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4F4A05" w:rsidRPr="00C706A5">
        <w:rPr>
          <w:rFonts w:ascii="Times New Roman" w:hAnsi="Times New Roman" w:cs="Times New Roman"/>
          <w:b/>
          <w:bCs/>
          <w:color w:val="000000" w:themeColor="text1"/>
        </w:rPr>
        <w:t>un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>baisse de 0,9 point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>deuxième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trimestre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>201</w:t>
      </w:r>
      <w:r w:rsidR="006550AF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et 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une baisse </w:t>
      </w:r>
      <w:r w:rsidR="00BE5779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4F4A05" w:rsidRPr="008E7F17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686596" w:rsidRPr="008E7F17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6550AF" w:rsidRPr="008E7F1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45128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point</w:t>
      </w:r>
      <w:r w:rsidR="004F4A05" w:rsidRPr="008E7F17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45128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par rapport </w:t>
      </w:r>
      <w:r w:rsidR="00BF7AFA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à son niveau du </w:t>
      </w:r>
      <w:r w:rsidR="004F4A05" w:rsidRPr="008E7F17">
        <w:rPr>
          <w:rFonts w:ascii="Times New Roman" w:hAnsi="Times New Roman" w:cs="Times New Roman"/>
          <w:b/>
          <w:bCs/>
          <w:color w:val="000000" w:themeColor="text1"/>
        </w:rPr>
        <w:t>troisième</w:t>
      </w:r>
      <w:r w:rsidR="00557809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4211E" w:rsidRPr="008E7F17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BF7AFA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de l’année 201</w:t>
      </w:r>
      <w:r w:rsidR="0088731E" w:rsidRPr="008E7F1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45128" w:rsidRPr="008E7F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F80F35" w:rsidRPr="00C706A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4D4741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4F4A05">
        <w:rPr>
          <w:rFonts w:ascii="Times New Roman" w:hAnsi="Times New Roman" w:cs="Times New Roman"/>
          <w:color w:val="000000" w:themeColor="text1"/>
        </w:rPr>
        <w:t>troisième</w:t>
      </w:r>
      <w:r w:rsidR="00557809">
        <w:rPr>
          <w:rFonts w:ascii="Times New Roman" w:hAnsi="Times New Roman" w:cs="Times New Roman"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5950FE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4F4A05">
        <w:rPr>
          <w:rFonts w:ascii="Times New Roman" w:hAnsi="Times New Roman" w:cs="Times New Roman"/>
          <w:color w:val="000000" w:themeColor="text1"/>
        </w:rPr>
        <w:t>73,1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1347D2">
        <w:rPr>
          <w:rFonts w:ascii="Times New Roman" w:hAnsi="Times New Roman" w:cs="Times New Roman"/>
          <w:color w:val="000000" w:themeColor="text1"/>
        </w:rPr>
        <w:t>4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4F4A05">
        <w:rPr>
          <w:rFonts w:ascii="Times New Roman" w:hAnsi="Times New Roman" w:cs="Times New Roman"/>
          <w:color w:val="000000" w:themeColor="text1"/>
        </w:rPr>
        <w:t xml:space="preserve">75,4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8E7F17" w:rsidRPr="008E7F17">
        <w:rPr>
          <w:rFonts w:ascii="Times New Roman" w:hAnsi="Times New Roman" w:cs="Times New Roman"/>
          <w:color w:val="000000" w:themeColor="text1"/>
        </w:rPr>
        <w:t>,</w:t>
      </w:r>
      <w:r w:rsidR="004834BC" w:rsidRPr="008E7F17">
        <w:rPr>
          <w:rFonts w:ascii="Times New Roman" w:hAnsi="Times New Roman" w:cs="Times New Roman"/>
          <w:color w:val="000000" w:themeColor="text1"/>
        </w:rPr>
        <w:t xml:space="preserve"> malgré l’amélioration </w:t>
      </w:r>
      <w:r w:rsidR="008E7F17">
        <w:rPr>
          <w:rFonts w:ascii="Times New Roman" w:hAnsi="Times New Roman" w:cs="Times New Roman"/>
          <w:color w:val="000000" w:themeColor="text1"/>
        </w:rPr>
        <w:t>d</w:t>
      </w:r>
      <w:r w:rsidR="004D4741">
        <w:rPr>
          <w:rFonts w:ascii="Times New Roman" w:hAnsi="Times New Roman" w:cs="Times New Roman"/>
          <w:color w:val="000000" w:themeColor="text1"/>
        </w:rPr>
        <w:t xml:space="preserve">e leur </w:t>
      </w:r>
      <w:r w:rsidR="004834BC" w:rsidRPr="008E7F17">
        <w:rPr>
          <w:rFonts w:ascii="Times New Roman" w:hAnsi="Times New Roman" w:cs="Times New Roman"/>
          <w:color w:val="000000" w:themeColor="text1"/>
        </w:rPr>
        <w:t xml:space="preserve"> ressenti en ce qui concerne </w:t>
      </w:r>
      <w:r w:rsidR="008E7F17">
        <w:rPr>
          <w:rFonts w:ascii="Times New Roman" w:hAnsi="Times New Roman" w:cs="Times New Roman"/>
          <w:color w:val="000000" w:themeColor="text1"/>
        </w:rPr>
        <w:t>d</w:t>
      </w:r>
      <w:r w:rsidR="004834BC" w:rsidRPr="008E7F17">
        <w:rPr>
          <w:rFonts w:ascii="Times New Roman" w:hAnsi="Times New Roman" w:cs="Times New Roman"/>
          <w:color w:val="000000" w:themeColor="text1"/>
        </w:rPr>
        <w:t>es composantes telles que le niveau de vie, la situation financière et les prix des produits alimentaires.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A18ED" w:rsidRPr="00C706A5" w:rsidRDefault="002A18ED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  <w:r w:rsidRPr="002A18E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759450" cy="2819311"/>
            <wp:effectExtent l="19050" t="0" r="12700" b="89"/>
            <wp:docPr id="1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C706A5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Pr="002A18ED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Ref379209308"/>
      <w:r w:rsidRPr="002A18ED">
        <w:rPr>
          <w:rFonts w:ascii="Times New Roman" w:hAnsi="Times New Roman" w:cs="Times New Roman"/>
          <w:b/>
          <w:bCs/>
          <w:color w:val="000000" w:themeColor="text1"/>
        </w:rPr>
        <w:t xml:space="preserve">Evolution des </w:t>
      </w:r>
      <w:r w:rsidR="00860E86" w:rsidRPr="002A18ED">
        <w:rPr>
          <w:rFonts w:ascii="Times New Roman" w:hAnsi="Times New Roman" w:cs="Times New Roman"/>
          <w:b/>
          <w:bCs/>
          <w:color w:val="000000" w:themeColor="text1"/>
        </w:rPr>
        <w:t>composantes de</w:t>
      </w:r>
      <w:r w:rsidRPr="002A18ED">
        <w:rPr>
          <w:rFonts w:ascii="Times New Roman" w:hAnsi="Times New Roman" w:cs="Times New Roman"/>
          <w:b/>
          <w:bCs/>
          <w:color w:val="000000" w:themeColor="text1"/>
        </w:rPr>
        <w:t xml:space="preserve"> l'ICM</w:t>
      </w:r>
      <w:bookmarkEnd w:id="0"/>
    </w:p>
    <w:p w:rsidR="008D3806" w:rsidRPr="00C706A5" w:rsidRDefault="008D3806" w:rsidP="008D3806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Cette évolution de l’ICM est le résultat des variations de ses différentes composantes. </w:t>
      </w:r>
    </w:p>
    <w:p w:rsidR="00912704" w:rsidRPr="00454144" w:rsidRDefault="005B1014" w:rsidP="00600D95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5414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600D95" w:rsidRPr="00454144">
        <w:rPr>
          <w:rFonts w:ascii="Times New Roman" w:hAnsi="Times New Roman" w:cs="Times New Roman"/>
          <w:b/>
          <w:bCs/>
          <w:color w:val="000000" w:themeColor="text1"/>
        </w:rPr>
        <w:t>iveau de vi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>e : r</w:t>
      </w:r>
      <w:r w:rsidR="002534E9">
        <w:rPr>
          <w:rFonts w:ascii="Times New Roman" w:hAnsi="Times New Roman" w:cs="Times New Roman"/>
          <w:b/>
          <w:bCs/>
          <w:color w:val="000000" w:themeColor="text1"/>
        </w:rPr>
        <w:t>essenti d’un</w:t>
      </w:r>
      <w:r w:rsidR="00D5614A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2534E9">
        <w:rPr>
          <w:rFonts w:ascii="Times New Roman" w:hAnsi="Times New Roman" w:cs="Times New Roman"/>
          <w:b/>
          <w:bCs/>
          <w:color w:val="000000" w:themeColor="text1"/>
        </w:rPr>
        <w:t xml:space="preserve"> amélioration 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 xml:space="preserve">passée </w:t>
      </w:r>
      <w:r w:rsidR="002534E9">
        <w:rPr>
          <w:rFonts w:ascii="Times New Roman" w:hAnsi="Times New Roman" w:cs="Times New Roman"/>
          <w:b/>
          <w:bCs/>
          <w:color w:val="000000" w:themeColor="text1"/>
        </w:rPr>
        <w:t xml:space="preserve">et 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>d’une dégradation à venir</w:t>
      </w:r>
    </w:p>
    <w:p w:rsidR="00122941" w:rsidRPr="00C706A5" w:rsidRDefault="00122941" w:rsidP="00621856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Les </w:t>
      </w:r>
      <w:r w:rsidR="0026748C">
        <w:rPr>
          <w:rFonts w:ascii="Times New Roman" w:hAnsi="Times New Roman" w:cs="Times New Roman"/>
          <w:color w:val="000000" w:themeColor="text1"/>
        </w:rPr>
        <w:t>opini</w:t>
      </w:r>
      <w:r w:rsidRPr="00C706A5">
        <w:rPr>
          <w:rFonts w:ascii="Times New Roman" w:hAnsi="Times New Roman" w:cs="Times New Roman"/>
          <w:color w:val="000000" w:themeColor="text1"/>
        </w:rPr>
        <w:t xml:space="preserve">ons des ménages sur l’évolution passée du niveau de vie </w:t>
      </w:r>
      <w:r w:rsidR="002E5787">
        <w:rPr>
          <w:rFonts w:ascii="Times New Roman" w:hAnsi="Times New Roman" w:cs="Times New Roman"/>
          <w:color w:val="000000" w:themeColor="text1"/>
        </w:rPr>
        <w:t>ont</w:t>
      </w:r>
      <w:r w:rsidRPr="00C706A5">
        <w:rPr>
          <w:rFonts w:ascii="Times New Roman" w:hAnsi="Times New Roman" w:cs="Times New Roman"/>
          <w:color w:val="000000" w:themeColor="text1"/>
        </w:rPr>
        <w:t xml:space="preserve"> connu, au </w:t>
      </w:r>
      <w:r w:rsidR="00621856">
        <w:rPr>
          <w:rFonts w:ascii="Times New Roman" w:hAnsi="Times New Roman" w:cs="Times New Roman"/>
          <w:color w:val="000000" w:themeColor="text1"/>
        </w:rPr>
        <w:t>troisième</w:t>
      </w:r>
      <w:r w:rsidR="00557809">
        <w:rPr>
          <w:rFonts w:ascii="Times New Roman" w:hAnsi="Times New Roman" w:cs="Times New Roman"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une amélioration aussi bien par rapport au trimestre précédent qu’au même trimestre de l’année </w:t>
      </w:r>
      <w:r w:rsidR="00D46521" w:rsidRPr="00C706A5">
        <w:rPr>
          <w:rFonts w:ascii="Times New Roman" w:hAnsi="Times New Roman" w:cs="Times New Roman"/>
          <w:color w:val="000000" w:themeColor="text1"/>
        </w:rPr>
        <w:lastRenderedPageBreak/>
        <w:t>201</w:t>
      </w:r>
      <w:r w:rsidR="00FF44FD">
        <w:rPr>
          <w:rFonts w:ascii="Times New Roman" w:hAnsi="Times New Roman" w:cs="Times New Roman"/>
          <w:color w:val="000000" w:themeColor="text1"/>
        </w:rPr>
        <w:t>3</w:t>
      </w:r>
      <w:r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137D7D" w:rsidRPr="00C706A5">
        <w:rPr>
          <w:rFonts w:ascii="Times New Roman" w:hAnsi="Times New Roman" w:cs="Times New Roman"/>
          <w:color w:val="000000" w:themeColor="text1"/>
        </w:rPr>
        <w:t>Le</w:t>
      </w:r>
      <w:r w:rsidRPr="00C706A5">
        <w:rPr>
          <w:rFonts w:ascii="Times New Roman" w:hAnsi="Times New Roman" w:cs="Times New Roman"/>
          <w:color w:val="000000" w:themeColor="text1"/>
        </w:rPr>
        <w:t xml:space="preserve"> solde relatif à cet indicateur</w:t>
      </w:r>
      <w:r w:rsidR="002E5787">
        <w:rPr>
          <w:rFonts w:ascii="Times New Roman" w:hAnsi="Times New Roman" w:cs="Times New Roman"/>
          <w:color w:val="000000" w:themeColor="text1"/>
        </w:rPr>
        <w:t>,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749D1">
        <w:rPr>
          <w:rFonts w:ascii="Times New Roman" w:hAnsi="Times New Roman" w:cs="Times New Roman"/>
          <w:color w:val="000000" w:themeColor="text1"/>
        </w:rPr>
        <w:t xml:space="preserve">qui </w:t>
      </w:r>
      <w:r w:rsidR="0041160A">
        <w:rPr>
          <w:rFonts w:ascii="Times New Roman" w:hAnsi="Times New Roman" w:cs="Times New Roman"/>
          <w:color w:val="000000" w:themeColor="text1"/>
        </w:rPr>
        <w:t xml:space="preserve">continue sa tendance </w:t>
      </w:r>
      <w:r w:rsidR="002E5787">
        <w:rPr>
          <w:rFonts w:ascii="Times New Roman" w:hAnsi="Times New Roman" w:cs="Times New Roman"/>
          <w:color w:val="000000" w:themeColor="text1"/>
        </w:rPr>
        <w:t>hauss</w:t>
      </w:r>
      <w:r w:rsidR="0041160A">
        <w:rPr>
          <w:rFonts w:ascii="Times New Roman" w:hAnsi="Times New Roman" w:cs="Times New Roman"/>
          <w:color w:val="000000" w:themeColor="text1"/>
        </w:rPr>
        <w:t xml:space="preserve">ière entamée depuis </w:t>
      </w:r>
      <w:r w:rsidR="001760CB">
        <w:rPr>
          <w:rFonts w:ascii="Times New Roman" w:hAnsi="Times New Roman" w:cs="Times New Roman"/>
          <w:color w:val="000000" w:themeColor="text1"/>
        </w:rPr>
        <w:t>le premier trimestre de 2013</w:t>
      </w:r>
      <w:r w:rsidR="00485A63">
        <w:rPr>
          <w:rFonts w:ascii="Times New Roman" w:hAnsi="Times New Roman" w:cs="Times New Roman"/>
          <w:color w:val="000000" w:themeColor="text1"/>
        </w:rPr>
        <w:t>,</w:t>
      </w:r>
      <w:r w:rsidR="00485A63" w:rsidRPr="00C706A5">
        <w:rPr>
          <w:rFonts w:ascii="Times New Roman" w:hAnsi="Times New Roman" w:cs="Times New Roman"/>
          <w:color w:val="000000" w:themeColor="text1"/>
        </w:rPr>
        <w:t xml:space="preserve"> gagne</w:t>
      </w:r>
      <w:r w:rsidR="00E030B1">
        <w:rPr>
          <w:rFonts w:ascii="Times New Roman" w:hAnsi="Times New Roman" w:cs="Times New Roman"/>
          <w:color w:val="000000" w:themeColor="text1"/>
        </w:rPr>
        <w:t xml:space="preserve"> </w:t>
      </w:r>
      <w:r w:rsidR="001760CB">
        <w:rPr>
          <w:rFonts w:ascii="Times New Roman" w:hAnsi="Times New Roman" w:cs="Times New Roman"/>
          <w:color w:val="000000" w:themeColor="text1"/>
        </w:rPr>
        <w:t>0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1E1901">
        <w:rPr>
          <w:rFonts w:ascii="Times New Roman" w:hAnsi="Times New Roman" w:cs="Times New Roman"/>
          <w:color w:val="000000" w:themeColor="text1"/>
        </w:rPr>
        <w:t>4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 et </w:t>
      </w:r>
      <w:r w:rsidR="00621856">
        <w:rPr>
          <w:rFonts w:ascii="Times New Roman" w:hAnsi="Times New Roman" w:cs="Times New Roman"/>
          <w:color w:val="000000" w:themeColor="text1"/>
        </w:rPr>
        <w:t>3,8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354A18" w:rsidRPr="00C706A5">
        <w:rPr>
          <w:rFonts w:ascii="Times New Roman" w:hAnsi="Times New Roman" w:cs="Times New Roman"/>
          <w:color w:val="000000" w:themeColor="text1"/>
        </w:rPr>
        <w:t xml:space="preserve"> durant ces deux périodes </w:t>
      </w:r>
      <w:r w:rsidR="00862AF0" w:rsidRPr="00C706A5">
        <w:rPr>
          <w:rFonts w:ascii="Times New Roman" w:hAnsi="Times New Roman" w:cs="Times New Roman"/>
          <w:color w:val="000000" w:themeColor="text1"/>
        </w:rPr>
        <w:t>respectives</w:t>
      </w:r>
      <w:r w:rsidRPr="00C706A5">
        <w:rPr>
          <w:rFonts w:ascii="Times New Roman" w:hAnsi="Times New Roman" w:cs="Times New Roman"/>
          <w:color w:val="000000" w:themeColor="text1"/>
        </w:rPr>
        <w:t>.</w:t>
      </w:r>
    </w:p>
    <w:p w:rsidR="00761A82" w:rsidRPr="00C706A5" w:rsidRDefault="002A18ED" w:rsidP="00023DE5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E94716" w:rsidRPr="00C706A5">
        <w:rPr>
          <w:rFonts w:ascii="Times New Roman" w:hAnsi="Times New Roman" w:cs="Times New Roman"/>
          <w:color w:val="000000" w:themeColor="text1"/>
        </w:rPr>
        <w:t>e</w:t>
      </w:r>
      <w:r w:rsidR="00897342">
        <w:rPr>
          <w:rFonts w:ascii="Times New Roman" w:hAnsi="Times New Roman" w:cs="Times New Roman"/>
          <w:color w:val="000000" w:themeColor="text1"/>
        </w:rPr>
        <w:t xml:space="preserve">s perceptions des ménages relatives à l’évolution future </w:t>
      </w:r>
      <w:r w:rsidR="00897342" w:rsidRPr="00C706A5">
        <w:rPr>
          <w:rFonts w:ascii="Times New Roman" w:hAnsi="Times New Roman" w:cs="Times New Roman"/>
          <w:color w:val="000000" w:themeColor="text1"/>
        </w:rPr>
        <w:t>de niveau de vie</w:t>
      </w:r>
      <w:r>
        <w:rPr>
          <w:rFonts w:ascii="Times New Roman" w:hAnsi="Times New Roman" w:cs="Times New Roman"/>
          <w:color w:val="000000" w:themeColor="text1"/>
        </w:rPr>
        <w:t>, quant à elles,</w:t>
      </w:r>
      <w:r w:rsidR="00897342">
        <w:rPr>
          <w:rFonts w:ascii="Times New Roman" w:hAnsi="Times New Roman" w:cs="Times New Roman"/>
          <w:color w:val="000000" w:themeColor="text1"/>
        </w:rPr>
        <w:t xml:space="preserve"> </w:t>
      </w:r>
      <w:r w:rsidR="00621856">
        <w:rPr>
          <w:rFonts w:ascii="Times New Roman" w:hAnsi="Times New Roman" w:cs="Times New Roman"/>
          <w:color w:val="000000" w:themeColor="text1"/>
        </w:rPr>
        <w:t xml:space="preserve">ont connu une stagnation par rapport au trimestre précédent et une </w:t>
      </w:r>
      <w:r w:rsidR="00377971">
        <w:rPr>
          <w:rFonts w:ascii="Times New Roman" w:hAnsi="Times New Roman" w:cs="Times New Roman"/>
          <w:color w:val="000000" w:themeColor="text1"/>
        </w:rPr>
        <w:t xml:space="preserve">nette </w:t>
      </w:r>
      <w:r w:rsidR="00621856">
        <w:rPr>
          <w:rFonts w:ascii="Times New Roman" w:hAnsi="Times New Roman" w:cs="Times New Roman"/>
          <w:color w:val="000000" w:themeColor="text1"/>
        </w:rPr>
        <w:t>dégradation par rapport au même trimestre de l’année précédente</w:t>
      </w:r>
      <w:r w:rsidR="004A590B" w:rsidRPr="00C706A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enregistrant </w:t>
      </w:r>
      <w:r w:rsidR="00621856">
        <w:rPr>
          <w:rFonts w:ascii="Times New Roman" w:hAnsi="Times New Roman" w:cs="Times New Roman"/>
          <w:color w:val="000000" w:themeColor="text1"/>
        </w:rPr>
        <w:t>une baisse de 10</w:t>
      </w:r>
      <w:r w:rsidR="00F86EAC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61A82" w:rsidRPr="00C706A5">
        <w:rPr>
          <w:rFonts w:ascii="Times New Roman" w:hAnsi="Times New Roman" w:cs="Times New Roman"/>
          <w:color w:val="000000" w:themeColor="text1"/>
        </w:rPr>
        <w:t>point</w:t>
      </w:r>
      <w:r w:rsidR="00F86EAC" w:rsidRPr="00C706A5">
        <w:rPr>
          <w:rFonts w:ascii="Times New Roman" w:hAnsi="Times New Roman" w:cs="Times New Roman"/>
          <w:color w:val="000000" w:themeColor="text1"/>
        </w:rPr>
        <w:t>s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761A82" w:rsidRPr="00C706A5">
        <w:rPr>
          <w:rFonts w:ascii="Times New Roman" w:hAnsi="Times New Roman" w:cs="Times New Roman"/>
          <w:color w:val="000000" w:themeColor="text1"/>
        </w:rPr>
        <w:t>.</w:t>
      </w:r>
    </w:p>
    <w:p w:rsidR="00DB5B40" w:rsidRPr="00C706A5" w:rsidRDefault="00DB5B40" w:rsidP="002A18ED">
      <w:pPr>
        <w:widowControl/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</w:rPr>
      </w:pPr>
    </w:p>
    <w:p w:rsidR="0092695A" w:rsidRPr="00C706A5" w:rsidRDefault="002E6F5B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  <w:r w:rsidRPr="002E6F5B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5915025" cy="2743200"/>
            <wp:effectExtent l="19050" t="0" r="9525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1AAF" w:rsidRPr="00C706A5" w:rsidRDefault="008D1AAF" w:rsidP="0023094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5954" w:rsidRPr="00C706A5" w:rsidRDefault="002C5954" w:rsidP="00FC7C7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FC7C7F">
        <w:rPr>
          <w:rFonts w:ascii="Times New Roman" w:hAnsi="Times New Roman" w:cs="Times New Roman"/>
          <w:b/>
          <w:bCs/>
          <w:color w:val="000000" w:themeColor="text1"/>
        </w:rPr>
        <w:t xml:space="preserve"> A</w:t>
      </w:r>
      <w:r w:rsidR="001E1901">
        <w:rPr>
          <w:rFonts w:ascii="Times New Roman" w:hAnsi="Times New Roman" w:cs="Times New Roman"/>
          <w:b/>
          <w:bCs/>
          <w:color w:val="000000" w:themeColor="text1"/>
        </w:rPr>
        <w:t>nticipation d’</w:t>
      </w:r>
      <w:r w:rsidR="000836A6">
        <w:rPr>
          <w:rFonts w:ascii="Times New Roman" w:hAnsi="Times New Roman" w:cs="Times New Roman"/>
          <w:b/>
          <w:bCs/>
          <w:color w:val="000000" w:themeColor="text1"/>
        </w:rPr>
        <w:t>une hausse</w:t>
      </w:r>
      <w:r w:rsidR="00FC7C7F">
        <w:rPr>
          <w:rFonts w:ascii="Times New Roman" w:hAnsi="Times New Roman" w:cs="Times New Roman"/>
          <w:b/>
          <w:bCs/>
          <w:color w:val="000000" w:themeColor="text1"/>
        </w:rPr>
        <w:t xml:space="preserve"> du c</w:t>
      </w:r>
      <w:r w:rsidR="00FC7C7F" w:rsidRPr="00C706A5">
        <w:rPr>
          <w:rFonts w:ascii="Times New Roman" w:hAnsi="Times New Roman" w:cs="Times New Roman"/>
          <w:b/>
          <w:bCs/>
          <w:color w:val="000000" w:themeColor="text1"/>
        </w:rPr>
        <w:t>hômage </w:t>
      </w:r>
    </w:p>
    <w:p w:rsidR="00E6458A" w:rsidRDefault="00C553B5" w:rsidP="00BC53BD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BA7DFB">
        <w:rPr>
          <w:rFonts w:ascii="Times New Roman" w:hAnsi="Times New Roman" w:cs="Times New Roman"/>
          <w:color w:val="000000" w:themeColor="text1"/>
        </w:rPr>
        <w:t>troisième</w:t>
      </w:r>
      <w:r w:rsidR="00557809">
        <w:rPr>
          <w:rFonts w:ascii="Times New Roman" w:hAnsi="Times New Roman" w:cs="Times New Roman"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BA7DFB">
        <w:rPr>
          <w:rFonts w:ascii="Times New Roman" w:hAnsi="Times New Roman" w:cs="Times New Roman"/>
          <w:color w:val="000000" w:themeColor="text1"/>
        </w:rPr>
        <w:t>76</w:t>
      </w:r>
      <w:r w:rsidRPr="00C706A5">
        <w:rPr>
          <w:rFonts w:ascii="Times New Roman" w:hAnsi="Times New Roman" w:cs="Times New Roman"/>
          <w:color w:val="000000" w:themeColor="text1"/>
        </w:rPr>
        <w:t xml:space="preserve">% des ménages anticipent une hausse du nombre de chômeurs pour les 12 mois à venir contre </w:t>
      </w:r>
      <w:r w:rsidR="00BA7DFB">
        <w:rPr>
          <w:rFonts w:ascii="Times New Roman" w:hAnsi="Times New Roman" w:cs="Times New Roman"/>
          <w:color w:val="000000" w:themeColor="text1"/>
        </w:rPr>
        <w:t>75,2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trimestre auparavant et </w:t>
      </w:r>
      <w:r w:rsidR="002A1D28">
        <w:rPr>
          <w:rFonts w:ascii="Times New Roman" w:hAnsi="Times New Roman" w:cs="Times New Roman"/>
          <w:color w:val="000000" w:themeColor="text1"/>
        </w:rPr>
        <w:t>77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an auparavant. </w:t>
      </w:r>
      <w:r w:rsidR="00B600A7">
        <w:rPr>
          <w:rFonts w:ascii="Times New Roman" w:hAnsi="Times New Roman" w:cs="Times New Roman"/>
          <w:color w:val="000000" w:themeColor="text1"/>
        </w:rPr>
        <w:t>Ainsi, l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e solde de cet indicateur </w:t>
      </w:r>
      <w:r w:rsidR="009A19F3" w:rsidRPr="00C706A5">
        <w:rPr>
          <w:rFonts w:ascii="Times New Roman" w:hAnsi="Times New Roman" w:cs="Times New Roman"/>
          <w:color w:val="000000" w:themeColor="text1"/>
        </w:rPr>
        <w:t>qui s’établi</w:t>
      </w:r>
      <w:r w:rsidR="00B600A7">
        <w:rPr>
          <w:rFonts w:ascii="Times New Roman" w:hAnsi="Times New Roman" w:cs="Times New Roman"/>
          <w:color w:val="000000" w:themeColor="text1"/>
        </w:rPr>
        <w:t xml:space="preserve">ssait </w:t>
      </w:r>
      <w:r w:rsidR="001F5D34" w:rsidRPr="00C706A5">
        <w:rPr>
          <w:rFonts w:ascii="Times New Roman" w:hAnsi="Times New Roman" w:cs="Times New Roman"/>
          <w:color w:val="000000" w:themeColor="text1"/>
        </w:rPr>
        <w:t xml:space="preserve">à </w:t>
      </w:r>
      <w:r w:rsidR="00B600A7">
        <w:rPr>
          <w:rFonts w:ascii="Times New Roman" w:hAnsi="Times New Roman" w:cs="Times New Roman"/>
          <w:color w:val="000000" w:themeColor="text1"/>
        </w:rPr>
        <w:t xml:space="preserve">un niveau négatif de </w:t>
      </w:r>
      <w:r w:rsidR="009A19F3" w:rsidRPr="00C706A5">
        <w:rPr>
          <w:rFonts w:ascii="Times New Roman" w:hAnsi="Times New Roman" w:cs="Times New Roman"/>
          <w:color w:val="000000" w:themeColor="text1"/>
        </w:rPr>
        <w:t>-</w:t>
      </w:r>
      <w:r w:rsidR="002A1D28">
        <w:rPr>
          <w:rFonts w:ascii="Times New Roman" w:hAnsi="Times New Roman" w:cs="Times New Roman"/>
          <w:color w:val="000000" w:themeColor="text1"/>
        </w:rPr>
        <w:t>68</w:t>
      </w:r>
      <w:r w:rsidR="009A19F3" w:rsidRPr="00C706A5">
        <w:rPr>
          <w:rFonts w:ascii="Times New Roman" w:hAnsi="Times New Roman" w:cs="Times New Roman"/>
          <w:color w:val="000000" w:themeColor="text1"/>
        </w:rPr>
        <w:t>,</w:t>
      </w:r>
      <w:r w:rsidR="002A1D28">
        <w:rPr>
          <w:rFonts w:ascii="Times New Roman" w:hAnsi="Times New Roman" w:cs="Times New Roman"/>
          <w:color w:val="000000" w:themeColor="text1"/>
        </w:rPr>
        <w:t>8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8D380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>enregistr</w:t>
      </w:r>
      <w:r w:rsidR="001F5D34" w:rsidRPr="00C706A5">
        <w:rPr>
          <w:rFonts w:ascii="Times New Roman" w:hAnsi="Times New Roman" w:cs="Times New Roman"/>
          <w:color w:val="000000" w:themeColor="text1"/>
        </w:rPr>
        <w:t>e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une </w:t>
      </w:r>
      <w:r w:rsidR="00896312">
        <w:rPr>
          <w:rFonts w:ascii="Times New Roman" w:hAnsi="Times New Roman" w:cs="Times New Roman"/>
          <w:color w:val="000000" w:themeColor="text1"/>
        </w:rPr>
        <w:t>dégradation</w:t>
      </w:r>
      <w:r w:rsidR="00E030B1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8577BA">
        <w:rPr>
          <w:rFonts w:ascii="Times New Roman" w:hAnsi="Times New Roman" w:cs="Times New Roman"/>
          <w:color w:val="000000" w:themeColor="text1"/>
        </w:rPr>
        <w:t>2</w:t>
      </w:r>
      <w:r w:rsidR="00D85054" w:rsidRPr="00C706A5">
        <w:rPr>
          <w:rFonts w:ascii="Times New Roman" w:hAnsi="Times New Roman" w:cs="Times New Roman"/>
          <w:color w:val="000000" w:themeColor="text1"/>
        </w:rPr>
        <w:t>,</w:t>
      </w:r>
      <w:r w:rsidR="002A1D28">
        <w:rPr>
          <w:rFonts w:ascii="Times New Roman" w:hAnsi="Times New Roman" w:cs="Times New Roman"/>
          <w:color w:val="000000" w:themeColor="text1"/>
        </w:rPr>
        <w:t>3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8577BA">
        <w:rPr>
          <w:rFonts w:ascii="Times New Roman" w:hAnsi="Times New Roman" w:cs="Times New Roman"/>
          <w:color w:val="000000" w:themeColor="text1"/>
        </w:rPr>
        <w:t>s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par rapport au trimestre précédent </w:t>
      </w:r>
      <w:r w:rsidR="004F1AD1" w:rsidRPr="00C706A5">
        <w:rPr>
          <w:rFonts w:ascii="Times New Roman" w:hAnsi="Times New Roman" w:cs="Times New Roman"/>
          <w:color w:val="000000" w:themeColor="text1"/>
        </w:rPr>
        <w:t>et</w:t>
      </w:r>
      <w:r w:rsidR="00D850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96312">
        <w:rPr>
          <w:rFonts w:ascii="Times New Roman" w:hAnsi="Times New Roman" w:cs="Times New Roman"/>
          <w:color w:val="000000" w:themeColor="text1"/>
        </w:rPr>
        <w:t xml:space="preserve">une amélioration </w:t>
      </w:r>
      <w:r w:rsidR="002A1D28">
        <w:rPr>
          <w:rFonts w:ascii="Times New Roman" w:hAnsi="Times New Roman" w:cs="Times New Roman"/>
          <w:color w:val="000000" w:themeColor="text1"/>
        </w:rPr>
        <w:t>d’un</w:t>
      </w:r>
      <w:r w:rsidR="00D850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point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003F54" w:rsidRPr="00C706A5">
        <w:rPr>
          <w:rFonts w:ascii="Times New Roman" w:hAnsi="Times New Roman" w:cs="Times New Roman"/>
          <w:color w:val="000000" w:themeColor="text1"/>
        </w:rPr>
        <w:t>.</w:t>
      </w:r>
    </w:p>
    <w:p w:rsidR="007C2DEA" w:rsidRDefault="007C2DEA" w:rsidP="00E030B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6458A" w:rsidRPr="00C706A5" w:rsidRDefault="002E6F5B" w:rsidP="001E1901">
      <w:pPr>
        <w:widowControl/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E6F5B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5991225" cy="2743200"/>
            <wp:effectExtent l="19050" t="0" r="9525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B69" w:rsidRDefault="00F12B69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33531" w:rsidRPr="007C2DEA" w:rsidRDefault="003849A2" w:rsidP="00600D95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="00600D95">
        <w:rPr>
          <w:rFonts w:asciiTheme="majorBidi" w:hAnsiTheme="majorBidi" w:cstheme="majorBidi"/>
          <w:b/>
          <w:bCs/>
          <w:color w:val="000000"/>
        </w:rPr>
        <w:t>Une</w:t>
      </w:r>
      <w:r>
        <w:rPr>
          <w:rFonts w:asciiTheme="majorBidi" w:hAnsiTheme="majorBidi" w:cstheme="majorBidi"/>
          <w:b/>
          <w:bCs/>
          <w:color w:val="000000"/>
        </w:rPr>
        <w:t xml:space="preserve"> conjoncture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toujours </w:t>
      </w:r>
      <w:r w:rsidR="00600D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perçue peu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favorable à l’</w:t>
      </w:r>
      <w:r w:rsidR="00600D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achat d</w:t>
      </w:r>
      <w:r w:rsidR="00C42B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es </w:t>
      </w:r>
      <w:r w:rsidR="002A18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biens durables  </w:t>
      </w:r>
    </w:p>
    <w:p w:rsidR="00FD2441" w:rsidRPr="00C706A5" w:rsidRDefault="0099659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P</w:t>
      </w:r>
      <w:r w:rsidR="004E183B" w:rsidRPr="00C706A5">
        <w:rPr>
          <w:rFonts w:ascii="Times New Roman" w:hAnsi="Times New Roman" w:cs="Times New Roman"/>
          <w:color w:val="000000" w:themeColor="text1"/>
        </w:rPr>
        <w:t>rès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226A1" w:rsidRPr="00C706A5">
        <w:rPr>
          <w:rFonts w:ascii="Times New Roman" w:hAnsi="Times New Roman" w:cs="Times New Roman"/>
          <w:color w:val="000000" w:themeColor="text1"/>
        </w:rPr>
        <w:t>de 5</w:t>
      </w:r>
      <w:r w:rsidR="002E6F5B">
        <w:rPr>
          <w:rFonts w:ascii="Times New Roman" w:hAnsi="Times New Roman" w:cs="Times New Roman"/>
          <w:color w:val="000000" w:themeColor="text1"/>
        </w:rPr>
        <w:t>3</w:t>
      </w:r>
      <w:r w:rsidR="002226A1"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2E6F5B">
        <w:rPr>
          <w:rFonts w:ascii="Times New Roman" w:hAnsi="Times New Roman" w:cs="Times New Roman"/>
          <w:color w:val="000000" w:themeColor="text1"/>
        </w:rPr>
        <w:t>troisième</w:t>
      </w:r>
      <w:r w:rsidR="00557809">
        <w:rPr>
          <w:rFonts w:ascii="Times New Roman" w:hAnsi="Times New Roman" w:cs="Times New Roman"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370A6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96312">
        <w:rPr>
          <w:rFonts w:ascii="Times New Roman" w:hAnsi="Times New Roman" w:cs="Times New Roman"/>
          <w:color w:val="000000" w:themeColor="text1"/>
        </w:rPr>
        <w:t>19,5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C334F9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671777" w:rsidRPr="00C706A5">
        <w:rPr>
          <w:rFonts w:ascii="Times New Roman" w:hAnsi="Times New Roman" w:cs="Times New Roman"/>
          <w:color w:val="000000" w:themeColor="text1"/>
        </w:rPr>
        <w:t>Avec -</w:t>
      </w:r>
      <w:r w:rsidR="00896312">
        <w:rPr>
          <w:rFonts w:ascii="Times New Roman" w:hAnsi="Times New Roman" w:cs="Times New Roman"/>
          <w:color w:val="000000" w:themeColor="text1"/>
        </w:rPr>
        <w:t>33,1</w:t>
      </w:r>
      <w:r w:rsidR="00671777" w:rsidRPr="00C706A5">
        <w:rPr>
          <w:rFonts w:ascii="Times New Roman" w:hAnsi="Times New Roman" w:cs="Times New Roman"/>
          <w:color w:val="000000" w:themeColor="text1"/>
        </w:rPr>
        <w:t xml:space="preserve"> points, 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4E183B" w:rsidRPr="00C706A5">
        <w:rPr>
          <w:rFonts w:ascii="Times New Roman" w:hAnsi="Times New Roman" w:cs="Times New Roman"/>
          <w:color w:val="000000" w:themeColor="text1"/>
        </w:rPr>
        <w:t>enregistre une</w:t>
      </w:r>
      <w:r w:rsidR="007C5542">
        <w:rPr>
          <w:rFonts w:ascii="Times New Roman" w:hAnsi="Times New Roman" w:cs="Times New Roman"/>
          <w:color w:val="000000" w:themeColor="text1"/>
        </w:rPr>
        <w:t xml:space="preserve"> </w:t>
      </w:r>
      <w:r w:rsidR="00896312">
        <w:rPr>
          <w:rFonts w:ascii="Times New Roman" w:hAnsi="Times New Roman" w:cs="Times New Roman"/>
          <w:color w:val="000000" w:themeColor="text1"/>
        </w:rPr>
        <w:t>dégradation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35081">
        <w:rPr>
          <w:rFonts w:ascii="Times New Roman" w:hAnsi="Times New Roman" w:cs="Times New Roman"/>
          <w:color w:val="000000" w:themeColor="text1"/>
        </w:rPr>
        <w:t xml:space="preserve">aussi bien </w:t>
      </w:r>
      <w:r w:rsidR="004E183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2A18ED">
        <w:rPr>
          <w:rFonts w:ascii="Times New Roman" w:hAnsi="Times New Roman" w:cs="Times New Roman"/>
          <w:color w:val="000000" w:themeColor="text1"/>
        </w:rPr>
        <w:t xml:space="preserve">(-4,2 </w:t>
      </w:r>
      <w:r w:rsidR="002A18ED" w:rsidRPr="00C706A5">
        <w:rPr>
          <w:rFonts w:ascii="Times New Roman" w:hAnsi="Times New Roman" w:cs="Times New Roman"/>
          <w:color w:val="000000" w:themeColor="text1"/>
        </w:rPr>
        <w:t>points</w:t>
      </w:r>
      <w:r w:rsidR="002A18ED">
        <w:rPr>
          <w:rFonts w:ascii="Times New Roman" w:hAnsi="Times New Roman" w:cs="Times New Roman"/>
          <w:color w:val="000000" w:themeColor="text1"/>
        </w:rPr>
        <w:t xml:space="preserve">) </w:t>
      </w:r>
      <w:r w:rsidR="00335081">
        <w:rPr>
          <w:rFonts w:ascii="Times New Roman" w:hAnsi="Times New Roman" w:cs="Times New Roman"/>
          <w:color w:val="000000" w:themeColor="text1"/>
        </w:rPr>
        <w:t>que par rapport a</w:t>
      </w:r>
      <w:r w:rsidR="00335081" w:rsidRPr="00C706A5">
        <w:rPr>
          <w:rFonts w:ascii="Times New Roman" w:hAnsi="Times New Roman" w:cs="Times New Roman"/>
          <w:color w:val="000000" w:themeColor="text1"/>
        </w:rPr>
        <w:t>u même trimestre de l’année précédente</w:t>
      </w:r>
      <w:r w:rsidR="002A18ED">
        <w:rPr>
          <w:rFonts w:ascii="Times New Roman" w:hAnsi="Times New Roman" w:cs="Times New Roman"/>
          <w:color w:val="000000" w:themeColor="text1"/>
        </w:rPr>
        <w:t xml:space="preserve"> (-3,5</w:t>
      </w:r>
      <w:r w:rsidR="002A18ED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2A18ED">
        <w:rPr>
          <w:rFonts w:ascii="Times New Roman" w:hAnsi="Times New Roman" w:cs="Times New Roman"/>
          <w:color w:val="000000" w:themeColor="text1"/>
        </w:rPr>
        <w:t>s)</w:t>
      </w:r>
      <w:r w:rsidR="00335081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5C473B" w:rsidRPr="00C706A5" w:rsidRDefault="005C473B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2E23" w:rsidRPr="00C706A5" w:rsidRDefault="00896312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96312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229350" cy="2743200"/>
            <wp:effectExtent l="19050" t="0" r="19050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26D4" w:rsidRDefault="00222682" w:rsidP="00600D9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21C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2821C5" w:rsidRPr="002821C5">
        <w:rPr>
          <w:rFonts w:ascii="Times New Roman" w:hAnsi="Times New Roman" w:cs="Times New Roman"/>
          <w:b/>
          <w:bCs/>
          <w:color w:val="000000" w:themeColor="text1"/>
        </w:rPr>
        <w:t>ituation financière</w:t>
      </w:r>
      <w:r w:rsidR="002821C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A706E">
        <w:rPr>
          <w:rFonts w:ascii="Times New Roman" w:hAnsi="Times New Roman" w:cs="Times New Roman"/>
          <w:b/>
          <w:bCs/>
          <w:color w:val="000000" w:themeColor="text1"/>
        </w:rPr>
        <w:t>des ménages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 xml:space="preserve"> : après une embellie, perspective </w:t>
      </w:r>
      <w:r w:rsidR="00477159">
        <w:rPr>
          <w:rFonts w:ascii="Times New Roman" w:hAnsi="Times New Roman" w:cs="Times New Roman"/>
          <w:b/>
          <w:bCs/>
          <w:color w:val="000000" w:themeColor="text1"/>
        </w:rPr>
        <w:t xml:space="preserve">jugée </w:t>
      </w:r>
      <w:r w:rsidR="00600D95">
        <w:rPr>
          <w:rFonts w:ascii="Times New Roman" w:hAnsi="Times New Roman" w:cs="Times New Roman"/>
          <w:b/>
          <w:bCs/>
          <w:color w:val="000000" w:themeColor="text1"/>
        </w:rPr>
        <w:t>peu favorable</w:t>
      </w:r>
    </w:p>
    <w:p w:rsidR="00C93EAA" w:rsidRPr="002A18ED" w:rsidRDefault="0032654E" w:rsidP="002A18ED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 xml:space="preserve">Près de </w:t>
      </w:r>
      <w:r w:rsidR="00EA2018">
        <w:rPr>
          <w:rFonts w:ascii="Times New Roman" w:hAnsi="Times New Roman" w:cs="Simplified Arabic"/>
          <w:lang w:bidi="ar-MA"/>
        </w:rPr>
        <w:t>60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alors que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EA2018">
        <w:rPr>
          <w:rFonts w:ascii="Times New Roman" w:hAnsi="Times New Roman" w:cs="Times New Roman"/>
          <w:color w:val="000000" w:themeColor="text1"/>
        </w:rPr>
        <w:t>34,2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pour cela dans leurs épargnes. </w:t>
      </w:r>
      <w:r w:rsidR="00511C57" w:rsidRPr="00C706A5">
        <w:rPr>
          <w:rFonts w:ascii="Times New Roman" w:hAnsi="Times New Roman" w:cs="Times New Roman"/>
          <w:color w:val="000000" w:themeColor="text1"/>
        </w:rPr>
        <w:t>S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euls </w:t>
      </w:r>
      <w:r w:rsidR="00EA2018">
        <w:rPr>
          <w:rFonts w:ascii="Times New Roman" w:hAnsi="Times New Roman" w:cs="Times New Roman"/>
          <w:color w:val="000000" w:themeColor="text1"/>
        </w:rPr>
        <w:t>5,9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s’établit ainsi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EA2018">
        <w:rPr>
          <w:rFonts w:ascii="Times New Roman" w:hAnsi="Times New Roman" w:cs="Times New Roman"/>
          <w:color w:val="000000" w:themeColor="text1"/>
        </w:rPr>
        <w:t>28,3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3E3A1D">
        <w:rPr>
          <w:rFonts w:ascii="Times New Roman" w:hAnsi="Times New Roman" w:cs="Times New Roman"/>
          <w:color w:val="000000" w:themeColor="text1"/>
        </w:rPr>
        <w:t xml:space="preserve">amélioration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3E3A1D">
        <w:rPr>
          <w:rFonts w:ascii="Times New Roman" w:hAnsi="Times New Roman" w:cs="Times New Roman"/>
          <w:color w:val="000000" w:themeColor="text1"/>
        </w:rPr>
        <w:t>+</w:t>
      </w:r>
      <w:r w:rsidR="008B1424">
        <w:rPr>
          <w:rFonts w:ascii="Times New Roman" w:hAnsi="Times New Roman" w:cs="Times New Roman"/>
          <w:color w:val="000000" w:themeColor="text1"/>
        </w:rPr>
        <w:t>1</w:t>
      </w:r>
      <w:r w:rsidR="002C211A" w:rsidRPr="00C706A5">
        <w:rPr>
          <w:rFonts w:ascii="Times New Roman" w:hAnsi="Times New Roman" w:cs="Times New Roman"/>
          <w:color w:val="000000" w:themeColor="text1"/>
        </w:rPr>
        <w:t>,</w:t>
      </w:r>
      <w:r w:rsidR="00EA2018">
        <w:rPr>
          <w:rFonts w:ascii="Times New Roman" w:hAnsi="Times New Roman" w:cs="Times New Roman"/>
          <w:color w:val="000000" w:themeColor="text1"/>
        </w:rPr>
        <w:t>4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8B1424">
        <w:rPr>
          <w:rFonts w:ascii="Times New Roman" w:hAnsi="Times New Roman" w:cs="Times New Roman"/>
          <w:color w:val="000000" w:themeColor="text1"/>
        </w:rPr>
        <w:t xml:space="preserve"> (</w:t>
      </w:r>
      <w:r w:rsidR="003E3A1D">
        <w:rPr>
          <w:rFonts w:ascii="Times New Roman" w:hAnsi="Times New Roman" w:cs="Times New Roman"/>
          <w:color w:val="000000" w:themeColor="text1"/>
        </w:rPr>
        <w:t>+</w:t>
      </w:r>
      <w:r w:rsidR="00EA2018">
        <w:rPr>
          <w:rFonts w:ascii="Times New Roman" w:hAnsi="Times New Roman" w:cs="Times New Roman"/>
          <w:color w:val="000000" w:themeColor="text1"/>
        </w:rPr>
        <w:t>1,1</w:t>
      </w:r>
      <w:r w:rsidR="008B1424">
        <w:rPr>
          <w:rFonts w:ascii="Times New Roman" w:hAnsi="Times New Roman" w:cs="Times New Roman"/>
          <w:color w:val="000000" w:themeColor="text1"/>
        </w:rPr>
        <w:t xml:space="preserve"> point)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2A18ED" w:rsidRDefault="002A18ED" w:rsidP="00023DE5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Inversement, les opinions des ménages sur</w:t>
      </w:r>
      <w:r w:rsidR="00C35F99">
        <w:rPr>
          <w:rFonts w:ascii="Times New Roman" w:hAnsi="Times New Roman" w:cs="Times New Roman"/>
          <w:color w:val="000000"/>
        </w:rPr>
        <w:t xml:space="preserve"> </w:t>
      </w:r>
      <w:r w:rsidR="00C35F99" w:rsidRPr="00B10F10">
        <w:rPr>
          <w:rFonts w:ascii="Times New Roman" w:hAnsi="Times New Roman" w:cs="Times New Roman"/>
          <w:color w:val="000000"/>
        </w:rPr>
        <w:t>l</w:t>
      </w:r>
      <w:r w:rsidR="00C229EC">
        <w:rPr>
          <w:rFonts w:ascii="Times New Roman" w:hAnsi="Times New Roman" w:cs="Times New Roman"/>
          <w:color w:val="000000"/>
        </w:rPr>
        <w:t>’évolution passée de l</w:t>
      </w:r>
      <w:r w:rsidR="00C35F99" w:rsidRPr="00B10F10">
        <w:rPr>
          <w:rFonts w:ascii="Times New Roman" w:hAnsi="Times New Roman" w:cs="Times New Roman"/>
          <w:color w:val="000000"/>
        </w:rPr>
        <w:t>eur situation financière personnelle</w:t>
      </w:r>
      <w:r w:rsidR="00023DE5">
        <w:rPr>
          <w:rFonts w:ascii="Times New Roman" w:hAnsi="Times New Roman" w:cs="Times New Roman" w:hint="cs"/>
          <w:color w:val="000000"/>
          <w:rtl/>
        </w:rPr>
        <w:t xml:space="preserve"> </w:t>
      </w:r>
      <w:r w:rsidR="00C35F99">
        <w:rPr>
          <w:rFonts w:ascii="Times New Roman" w:hAnsi="Times New Roman" w:cs="Times New Roman"/>
          <w:color w:val="000000"/>
        </w:rPr>
        <w:t>s</w:t>
      </w:r>
      <w:r w:rsidR="003F1E9D">
        <w:rPr>
          <w:rFonts w:ascii="Times New Roman" w:hAnsi="Times New Roman" w:cs="Times New Roman"/>
          <w:color w:val="000000"/>
        </w:rPr>
        <w:t xml:space="preserve">e sont </w:t>
      </w:r>
      <w:r w:rsidR="00236927">
        <w:rPr>
          <w:rFonts w:ascii="Times New Roman" w:hAnsi="Times New Roman" w:cs="Times New Roman"/>
          <w:color w:val="000000"/>
        </w:rPr>
        <w:t xml:space="preserve">dégradées </w:t>
      </w:r>
      <w:r w:rsidR="00C35F99">
        <w:rPr>
          <w:rFonts w:ascii="Times New Roman" w:hAnsi="Times New Roman" w:cs="Times New Roman"/>
          <w:color w:val="000000"/>
        </w:rPr>
        <w:t xml:space="preserve">de </w:t>
      </w:r>
      <w:r w:rsidR="00E2206C">
        <w:rPr>
          <w:rFonts w:ascii="Times New Roman" w:hAnsi="Times New Roman" w:cs="Times New Roman"/>
          <w:color w:val="000000"/>
        </w:rPr>
        <w:t>2</w:t>
      </w:r>
      <w:r w:rsidR="00C35F99">
        <w:rPr>
          <w:rFonts w:ascii="Times New Roman" w:hAnsi="Times New Roman" w:cs="Times New Roman"/>
          <w:color w:val="000000"/>
        </w:rPr>
        <w:t>,</w:t>
      </w:r>
      <w:r w:rsidR="00236927">
        <w:rPr>
          <w:rFonts w:ascii="Times New Roman" w:hAnsi="Times New Roman" w:cs="Times New Roman"/>
          <w:color w:val="000000"/>
        </w:rPr>
        <w:t>4</w:t>
      </w:r>
      <w:r w:rsidR="00C35F99">
        <w:rPr>
          <w:rFonts w:ascii="Times New Roman" w:hAnsi="Times New Roman" w:cs="Times New Roman"/>
          <w:color w:val="000000"/>
        </w:rPr>
        <w:t xml:space="preserve"> point</w:t>
      </w:r>
      <w:r w:rsidR="00E2206C">
        <w:rPr>
          <w:rFonts w:ascii="Times New Roman" w:hAnsi="Times New Roman" w:cs="Times New Roman"/>
          <w:color w:val="000000"/>
        </w:rPr>
        <w:t>s</w:t>
      </w:r>
      <w:r w:rsidR="00C35F99">
        <w:rPr>
          <w:rFonts w:ascii="Times New Roman" w:hAnsi="Times New Roman" w:cs="Times New Roman"/>
          <w:color w:val="000000"/>
        </w:rPr>
        <w:t xml:space="preserve"> par rapport </w:t>
      </w:r>
      <w:r w:rsidR="00E2206C">
        <w:rPr>
          <w:rFonts w:ascii="Times New Roman" w:hAnsi="Times New Roman" w:cs="Times New Roman"/>
          <w:color w:val="000000"/>
        </w:rPr>
        <w:t>au trimestre précédent</w:t>
      </w:r>
      <w:r w:rsidR="00023DE5">
        <w:rPr>
          <w:rFonts w:ascii="Times New Roman" w:hAnsi="Times New Roman" w:cs="Times New Roman"/>
          <w:color w:val="000000"/>
        </w:rPr>
        <w:t xml:space="preserve"> et de 3,9 points </w:t>
      </w:r>
      <w:r w:rsidR="00023DE5" w:rsidRPr="00B10F10">
        <w:rPr>
          <w:rFonts w:ascii="Times New Roman" w:hAnsi="Times New Roman" w:cs="Times New Roman"/>
          <w:color w:val="000000"/>
        </w:rPr>
        <w:t xml:space="preserve">par rapport à un </w:t>
      </w:r>
      <w:r w:rsidR="00023DE5">
        <w:rPr>
          <w:rFonts w:ascii="Times New Roman" w:hAnsi="Times New Roman" w:cs="Times New Roman"/>
          <w:color w:val="000000"/>
        </w:rPr>
        <w:t xml:space="preserve">an </w:t>
      </w:r>
      <w:r w:rsidR="00023DE5" w:rsidRPr="00B10F10">
        <w:rPr>
          <w:rFonts w:ascii="Times New Roman" w:hAnsi="Times New Roman" w:cs="Times New Roman"/>
          <w:color w:val="000000"/>
        </w:rPr>
        <w:t>auparavant</w:t>
      </w:r>
      <w:r w:rsidR="00023DE5">
        <w:rPr>
          <w:rFonts w:ascii="Times New Roman" w:hAnsi="Times New Roman" w:cs="Times New Roman"/>
          <w:color w:val="000000"/>
        </w:rPr>
        <w:t>.</w:t>
      </w:r>
    </w:p>
    <w:p w:rsidR="00480253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A18ED" w:rsidRDefault="002A18ED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Quant aux perceptions des ménages sur l’évolution </w:t>
      </w:r>
      <w:r w:rsidRPr="00B10F10">
        <w:rPr>
          <w:rFonts w:ascii="Times New Roman" w:hAnsi="Times New Roman" w:cs="Times New Roman"/>
          <w:color w:val="000000"/>
        </w:rPr>
        <w:t>future</w:t>
      </w:r>
      <w:r w:rsidRPr="00C229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 l</w:t>
      </w:r>
      <w:r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>, elles ont conn</w:t>
      </w:r>
      <w:r w:rsidR="00107F1E">
        <w:rPr>
          <w:rFonts w:ascii="Times New Roman" w:hAnsi="Times New Roman" w:cs="Times New Roman"/>
          <w:color w:val="000000"/>
        </w:rPr>
        <w:t>u une amélioration de l’ordre de</w:t>
      </w:r>
      <w:r>
        <w:rPr>
          <w:rFonts w:ascii="Times New Roman" w:hAnsi="Times New Roman" w:cs="Times New Roman"/>
          <w:color w:val="000000"/>
        </w:rPr>
        <w:t xml:space="preserve"> 1,2 point </w:t>
      </w:r>
      <w:r w:rsidRPr="00B10F10">
        <w:rPr>
          <w:rFonts w:ascii="Times New Roman" w:hAnsi="Times New Roman" w:cs="Times New Roman"/>
          <w:color w:val="000000"/>
        </w:rPr>
        <w:t xml:space="preserve">par rapport </w:t>
      </w:r>
      <w:r>
        <w:rPr>
          <w:rFonts w:ascii="Times New Roman" w:hAnsi="Times New Roman" w:cs="Times New Roman"/>
          <w:color w:val="000000"/>
        </w:rPr>
        <w:t>au</w:t>
      </w:r>
      <w:r w:rsidRPr="00B10F10">
        <w:rPr>
          <w:rFonts w:ascii="Times New Roman" w:hAnsi="Times New Roman" w:cs="Times New Roman"/>
          <w:color w:val="000000"/>
        </w:rPr>
        <w:t xml:space="preserve"> trimestre </w:t>
      </w:r>
      <w:r>
        <w:rPr>
          <w:rFonts w:ascii="Times New Roman" w:hAnsi="Times New Roman" w:cs="Times New Roman"/>
          <w:color w:val="000000"/>
        </w:rPr>
        <w:t>précédent et une dégradation de 4,3 points</w:t>
      </w:r>
      <w:r w:rsidRPr="00C229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 rapport au troisième trimestre de 2013.</w:t>
      </w:r>
    </w:p>
    <w:p w:rsidR="002A18ED" w:rsidRDefault="002A18ED" w:rsidP="0023692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585C38" w:rsidRDefault="00585C38" w:rsidP="00585C3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F6349" w:rsidRDefault="00AF6349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1C29" w:rsidRPr="00C706A5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06A6A" w:rsidRPr="00C706A5" w:rsidRDefault="002A18ED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A18E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29350" cy="2743200"/>
            <wp:effectExtent l="19050" t="0" r="19050" b="0"/>
            <wp:docPr id="19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5D2E" w:rsidRPr="00C706A5" w:rsidRDefault="00195D2E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2F85" w:rsidRPr="00C706A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A52030" w:rsidRPr="00C706A5" w:rsidRDefault="00613A81" w:rsidP="00613A81">
      <w:pPr>
        <w:pStyle w:val="Paragraphedeliste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A5203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utres </w:t>
      </w:r>
      <w:r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A52030" w:rsidRPr="00C706A5">
        <w:rPr>
          <w:rFonts w:ascii="Times New Roman" w:hAnsi="Times New Roman" w:cs="Times New Roman"/>
          <w:b/>
          <w:bCs/>
          <w:color w:val="000000" w:themeColor="text1"/>
        </w:rPr>
        <w:t>erception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5203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264E7" w:rsidRPr="00C706A5">
        <w:rPr>
          <w:rFonts w:ascii="Times New Roman" w:hAnsi="Times New Roman" w:cs="Times New Roman"/>
          <w:b/>
          <w:bCs/>
          <w:color w:val="000000" w:themeColor="text1"/>
        </w:rPr>
        <w:t>de la conjoncture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En plus des sept indicateurs composant l’ICM, l’enquête fournit des données trimestrielles sur les perceptions des ménages relatives à d’autres aspects de leurs conditions de vie. Il s’agit en particulier de la capacité d’épargne des ménages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C706A5" w:rsidRDefault="00812210" w:rsidP="00A97C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154339">
        <w:rPr>
          <w:rFonts w:ascii="Times New Roman" w:hAnsi="Times New Roman" w:cs="Times New Roman"/>
          <w:b/>
          <w:bCs/>
          <w:color w:val="000000" w:themeColor="text1"/>
        </w:rPr>
        <w:t>Persistance d</w:t>
      </w:r>
      <w:r w:rsidR="00A97CE2">
        <w:rPr>
          <w:rFonts w:ascii="Times New Roman" w:hAnsi="Times New Roman" w:cs="Times New Roman"/>
          <w:b/>
          <w:bCs/>
          <w:color w:val="000000" w:themeColor="text1"/>
        </w:rPr>
        <w:t xml:space="preserve">e l’attente à </w:t>
      </w:r>
      <w:r w:rsidR="009A6BC1">
        <w:rPr>
          <w:rFonts w:ascii="Times New Roman" w:hAnsi="Times New Roman" w:cs="Times New Roman"/>
          <w:b/>
          <w:bCs/>
          <w:color w:val="000000" w:themeColor="text1"/>
        </w:rPr>
        <w:t xml:space="preserve">une faible </w:t>
      </w:r>
      <w:r w:rsidR="00D5614A">
        <w:rPr>
          <w:rFonts w:ascii="Times New Roman" w:hAnsi="Times New Roman" w:cs="Times New Roman"/>
          <w:b/>
          <w:bCs/>
          <w:color w:val="000000" w:themeColor="text1"/>
        </w:rPr>
        <w:t>propension</w:t>
      </w:r>
      <w:r w:rsidR="009A6BC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54339">
        <w:rPr>
          <w:rFonts w:ascii="Times New Roman" w:hAnsi="Times New Roman" w:cs="Times New Roman"/>
          <w:b/>
          <w:bCs/>
          <w:color w:val="000000" w:themeColor="text1"/>
        </w:rPr>
        <w:t>à é</w:t>
      </w:r>
      <w:r w:rsidR="00057E1A" w:rsidRPr="00C706A5">
        <w:rPr>
          <w:rFonts w:ascii="Times New Roman" w:hAnsi="Times New Roman" w:cs="Times New Roman"/>
          <w:b/>
          <w:bCs/>
          <w:color w:val="000000" w:themeColor="text1"/>
        </w:rPr>
        <w:t>pargne</w:t>
      </w:r>
      <w:r w:rsidR="000518A6" w:rsidRPr="00C706A5">
        <w:rPr>
          <w:rFonts w:ascii="Times New Roman" w:hAnsi="Times New Roman" w:cs="Times New Roman"/>
          <w:b/>
          <w:bCs/>
          <w:color w:val="000000" w:themeColor="text1"/>
        </w:rPr>
        <w:t>r</w:t>
      </w:r>
      <w:r w:rsidR="00BC53BD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:rsidR="00735526" w:rsidRPr="00C706A5" w:rsidRDefault="000B09BA" w:rsidP="0023692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Les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ménages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sont </w:t>
      </w:r>
      <w:r w:rsidRPr="00C706A5">
        <w:rPr>
          <w:rFonts w:ascii="Times New Roman" w:hAnsi="Times New Roman" w:cs="Times New Roman"/>
          <w:color w:val="000000" w:themeColor="text1"/>
        </w:rPr>
        <w:t xml:space="preserve">toujours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pessimistes quant à </w:t>
      </w:r>
      <w:r w:rsidR="00057E1A" w:rsidRPr="00C706A5">
        <w:rPr>
          <w:rFonts w:ascii="Times New Roman" w:hAnsi="Times New Roman" w:cs="Times New Roman"/>
          <w:color w:val="000000" w:themeColor="text1"/>
        </w:rPr>
        <w:t>leur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capacité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à épargner dans les mois à venir</w:t>
      </w:r>
      <w:r w:rsidR="00812210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236927">
        <w:rPr>
          <w:rFonts w:ascii="Times New Roman" w:hAnsi="Times New Roman" w:cs="Times New Roman"/>
          <w:color w:val="000000" w:themeColor="text1"/>
        </w:rPr>
        <w:t>troisième</w:t>
      </w:r>
      <w:r w:rsidR="00557809">
        <w:rPr>
          <w:rFonts w:ascii="Times New Roman" w:hAnsi="Times New Roman" w:cs="Times New Roman"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927">
        <w:rPr>
          <w:rFonts w:ascii="Times New Roman" w:hAnsi="Times New Roman" w:cs="Times New Roman"/>
          <w:color w:val="000000" w:themeColor="text1"/>
        </w:rPr>
        <w:t>87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DE048F">
        <w:rPr>
          <w:rFonts w:ascii="Times New Roman" w:hAnsi="Times New Roman" w:cs="Times New Roman"/>
          <w:color w:val="000000" w:themeColor="text1"/>
        </w:rPr>
        <w:t xml:space="preserve"> des ménages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pensent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236927">
        <w:rPr>
          <w:rFonts w:ascii="Times New Roman" w:hAnsi="Times New Roman" w:cs="Times New Roman"/>
          <w:color w:val="000000" w:themeColor="text1"/>
        </w:rPr>
        <w:t>13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pensent le contraire</w:t>
      </w:r>
      <w:r w:rsidR="00507FF6">
        <w:rPr>
          <w:rFonts w:ascii="Times New Roman" w:hAnsi="Times New Roman" w:cs="Times New Roman"/>
          <w:color w:val="000000" w:themeColor="text1"/>
        </w:rPr>
        <w:t>. L</w:t>
      </w:r>
      <w:r w:rsidR="00735526" w:rsidRPr="00C706A5">
        <w:rPr>
          <w:rFonts w:ascii="Times New Roman" w:hAnsi="Times New Roman" w:cs="Times New Roman"/>
          <w:color w:val="000000" w:themeColor="text1"/>
        </w:rPr>
        <w:t>e solde de cet indicateur se situe, ainsi, à un niveau négatif de -</w:t>
      </w:r>
      <w:r w:rsidR="00236927">
        <w:rPr>
          <w:rFonts w:ascii="Times New Roman" w:hAnsi="Times New Roman" w:cs="Times New Roman"/>
          <w:color w:val="000000" w:themeColor="text1"/>
        </w:rPr>
        <w:t>74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points </w:t>
      </w:r>
      <w:r w:rsidR="008D4C14">
        <w:rPr>
          <w:rFonts w:ascii="Times New Roman" w:hAnsi="Times New Roman" w:cs="Times New Roman"/>
          <w:color w:val="000000" w:themeColor="text1"/>
        </w:rPr>
        <w:t xml:space="preserve">enregistrant </w:t>
      </w:r>
      <w:r w:rsidR="00DA244B">
        <w:rPr>
          <w:rFonts w:ascii="Times New Roman" w:hAnsi="Times New Roman" w:cs="Times New Roman"/>
          <w:color w:val="000000" w:themeColor="text1"/>
        </w:rPr>
        <w:t>une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A244B">
        <w:rPr>
          <w:rFonts w:ascii="Times New Roman" w:hAnsi="Times New Roman" w:cs="Times New Roman"/>
          <w:color w:val="000000" w:themeColor="text1"/>
        </w:rPr>
        <w:t xml:space="preserve">détérioration 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DA244B">
        <w:rPr>
          <w:rFonts w:ascii="Times New Roman" w:hAnsi="Times New Roman" w:cs="Times New Roman"/>
          <w:color w:val="000000" w:themeColor="text1"/>
        </w:rPr>
        <w:t>3</w:t>
      </w:r>
      <w:r w:rsidR="00DA244B" w:rsidRPr="00C706A5">
        <w:rPr>
          <w:rFonts w:ascii="Times New Roman" w:hAnsi="Times New Roman" w:cs="Times New Roman"/>
          <w:color w:val="000000" w:themeColor="text1"/>
        </w:rPr>
        <w:t>,</w:t>
      </w:r>
      <w:r w:rsidR="00236927">
        <w:rPr>
          <w:rFonts w:ascii="Times New Roman" w:hAnsi="Times New Roman" w:cs="Times New Roman"/>
          <w:color w:val="000000" w:themeColor="text1"/>
        </w:rPr>
        <w:t>8</w:t>
      </w:r>
      <w:r w:rsidR="00DA244B">
        <w:rPr>
          <w:rFonts w:ascii="Times New Roman" w:hAnsi="Times New Roman" w:cs="Times New Roman"/>
          <w:color w:val="000000" w:themeColor="text1"/>
        </w:rPr>
        <w:t xml:space="preserve"> points</w:t>
      </w:r>
      <w:r w:rsidR="00DA244B" w:rsidRPr="00641937">
        <w:rPr>
          <w:rFonts w:ascii="Times New Roman" w:hAnsi="Times New Roman" w:cs="Times New Roman"/>
          <w:color w:val="000000" w:themeColor="text1"/>
        </w:rPr>
        <w:t xml:space="preserve"> </w:t>
      </w:r>
      <w:r w:rsidR="00DA244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DA244B">
        <w:rPr>
          <w:rFonts w:ascii="Times New Roman" w:hAnsi="Times New Roman" w:cs="Times New Roman"/>
          <w:color w:val="000000" w:themeColor="text1"/>
        </w:rPr>
        <w:t xml:space="preserve"> et </w:t>
      </w:r>
      <w:r w:rsidR="00236927">
        <w:rPr>
          <w:rFonts w:ascii="Times New Roman" w:hAnsi="Times New Roman" w:cs="Times New Roman"/>
          <w:color w:val="000000" w:themeColor="text1"/>
        </w:rPr>
        <w:t>de 4,9</w:t>
      </w:r>
      <w:r w:rsidR="005F2E1B">
        <w:rPr>
          <w:rFonts w:ascii="Times New Roman" w:hAnsi="Times New Roman" w:cs="Times New Roman"/>
          <w:color w:val="000000" w:themeColor="text1"/>
        </w:rPr>
        <w:t xml:space="preserve"> </w:t>
      </w:r>
      <w:r w:rsidR="00641937" w:rsidRPr="00C706A5">
        <w:rPr>
          <w:rFonts w:ascii="Times New Roman" w:hAnsi="Times New Roman" w:cs="Times New Roman"/>
          <w:color w:val="000000" w:themeColor="text1"/>
        </w:rPr>
        <w:t xml:space="preserve">par rapport à la même période de </w:t>
      </w:r>
      <w:r w:rsidR="00641937">
        <w:rPr>
          <w:rFonts w:ascii="Times New Roman" w:hAnsi="Times New Roman" w:cs="Times New Roman"/>
          <w:color w:val="000000" w:themeColor="text1"/>
        </w:rPr>
        <w:t>2013</w:t>
      </w:r>
      <w:r w:rsidR="00735526" w:rsidRPr="00C706A5">
        <w:rPr>
          <w:rFonts w:ascii="Times New Roman" w:hAnsi="Times New Roman" w:cs="Times New Roman"/>
          <w:color w:val="000000" w:themeColor="text1"/>
        </w:rPr>
        <w:t>.</w:t>
      </w:r>
    </w:p>
    <w:p w:rsidR="007C52B7" w:rsidRPr="00C706A5" w:rsidRDefault="007C52B7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C706A5" w:rsidRDefault="00AE27A6" w:rsidP="004A4BF6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3B638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A6BC1">
        <w:rPr>
          <w:rFonts w:ascii="Times New Roman" w:hAnsi="Times New Roman" w:cs="Times New Roman"/>
          <w:b/>
          <w:bCs/>
          <w:color w:val="000000" w:themeColor="text1"/>
        </w:rPr>
        <w:t>Perception</w:t>
      </w:r>
      <w:r w:rsidR="003B6387">
        <w:rPr>
          <w:rFonts w:ascii="Times New Roman" w:hAnsi="Times New Roman" w:cs="Times New Roman"/>
          <w:b/>
          <w:bCs/>
          <w:color w:val="000000" w:themeColor="text1"/>
        </w:rPr>
        <w:t xml:space="preserve"> d’une baisse</w:t>
      </w:r>
      <w:r w:rsidR="004A4BF6">
        <w:rPr>
          <w:rFonts w:ascii="Times New Roman" w:hAnsi="Times New Roman" w:cs="Times New Roman"/>
          <w:b/>
          <w:bCs/>
          <w:color w:val="000000" w:themeColor="text1"/>
        </w:rPr>
        <w:t xml:space="preserve"> passée et d’une hausse prévisionnelle </w:t>
      </w:r>
      <w:r w:rsidR="003B6387">
        <w:rPr>
          <w:rFonts w:ascii="Times New Roman" w:hAnsi="Times New Roman" w:cs="Times New Roman"/>
          <w:b/>
          <w:bCs/>
          <w:color w:val="000000" w:themeColor="text1"/>
        </w:rPr>
        <w:t>des p</w:t>
      </w:r>
      <w:r w:rsidR="003B6387" w:rsidRPr="00C706A5">
        <w:rPr>
          <w:rFonts w:ascii="Times New Roman" w:hAnsi="Times New Roman" w:cs="Times New Roman"/>
          <w:b/>
          <w:bCs/>
          <w:color w:val="000000" w:themeColor="text1"/>
        </w:rPr>
        <w:t>rix des produits alimentaires</w:t>
      </w:r>
    </w:p>
    <w:p w:rsidR="00A644C5" w:rsidRPr="00C706A5" w:rsidRDefault="00985AB3" w:rsidP="00BC53BD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63078B">
        <w:rPr>
          <w:rFonts w:ascii="Times New Roman" w:hAnsi="Times New Roman" w:cs="Times New Roman"/>
          <w:color w:val="000000" w:themeColor="text1"/>
        </w:rPr>
        <w:t>troisième</w:t>
      </w:r>
      <w:r w:rsidR="00557809">
        <w:rPr>
          <w:rFonts w:ascii="Times New Roman" w:hAnsi="Times New Roman" w:cs="Times New Roman"/>
          <w:color w:val="000000" w:themeColor="text1"/>
        </w:rPr>
        <w:t xml:space="preserve">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1B3707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927">
        <w:rPr>
          <w:rFonts w:ascii="Times New Roman" w:hAnsi="Times New Roman" w:cs="Times New Roman"/>
          <w:color w:val="000000" w:themeColor="text1"/>
        </w:rPr>
        <w:t>83,4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pensent 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DC1E47">
        <w:rPr>
          <w:rFonts w:ascii="Times New Roman" w:hAnsi="Times New Roman" w:cs="Times New Roman"/>
          <w:color w:val="000000" w:themeColor="text1"/>
        </w:rPr>
        <w:t>dans le passé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236927">
        <w:rPr>
          <w:rFonts w:ascii="Times New Roman" w:hAnsi="Times New Roman" w:cs="Times New Roman"/>
          <w:color w:val="000000" w:themeColor="text1"/>
        </w:rPr>
        <w:t>85,3</w:t>
      </w:r>
      <w:r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81D56" w:rsidRPr="00C706A5">
        <w:rPr>
          <w:rFonts w:ascii="Times New Roman" w:hAnsi="Times New Roman" w:cs="Times New Roman"/>
          <w:color w:val="000000" w:themeColor="text1"/>
        </w:rPr>
        <w:t>un</w:t>
      </w:r>
      <w:r w:rsidRPr="00C706A5">
        <w:rPr>
          <w:rFonts w:ascii="Times New Roman" w:hAnsi="Times New Roman" w:cs="Times New Roman"/>
          <w:color w:val="000000" w:themeColor="text1"/>
        </w:rPr>
        <w:t xml:space="preserve"> trimestre </w:t>
      </w:r>
      <w:r w:rsidR="00581D56" w:rsidRPr="00C706A5">
        <w:rPr>
          <w:rFonts w:ascii="Times New Roman" w:hAnsi="Times New Roman" w:cs="Times New Roman"/>
          <w:color w:val="000000" w:themeColor="text1"/>
        </w:rPr>
        <w:t>auparavant</w:t>
      </w:r>
      <w:r w:rsidRPr="00C706A5">
        <w:rPr>
          <w:rFonts w:ascii="Times New Roman" w:hAnsi="Times New Roman" w:cs="Times New Roman"/>
          <w:color w:val="000000" w:themeColor="text1"/>
        </w:rPr>
        <w:t xml:space="preserve"> et </w:t>
      </w:r>
      <w:r w:rsidR="008A184F" w:rsidRPr="00C706A5">
        <w:rPr>
          <w:rFonts w:ascii="Times New Roman" w:hAnsi="Times New Roman" w:cs="Times New Roman"/>
          <w:color w:val="000000" w:themeColor="text1"/>
        </w:rPr>
        <w:t>9</w:t>
      </w:r>
      <w:r w:rsidR="00236927">
        <w:rPr>
          <w:rFonts w:ascii="Times New Roman" w:hAnsi="Times New Roman" w:cs="Times New Roman"/>
          <w:color w:val="000000" w:themeColor="text1"/>
        </w:rPr>
        <w:t>1,4</w:t>
      </w:r>
      <w:r w:rsidRPr="00C706A5">
        <w:rPr>
          <w:rFonts w:ascii="Times New Roman" w:hAnsi="Times New Roman" w:cs="Times New Roman"/>
          <w:color w:val="000000" w:themeColor="text1"/>
        </w:rPr>
        <w:t>% un an auparavant</w:t>
      </w:r>
      <w:r w:rsidR="00A644C5" w:rsidRPr="00C706A5">
        <w:rPr>
          <w:rFonts w:ascii="Times New Roman" w:hAnsi="Times New Roman" w:cs="Times New Roman"/>
          <w:color w:val="000000" w:themeColor="text1"/>
        </w:rPr>
        <w:t>.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63078B">
        <w:rPr>
          <w:rFonts w:ascii="Times New Roman" w:hAnsi="Times New Roman" w:cs="Times New Roman"/>
          <w:color w:val="000000" w:themeColor="text1"/>
        </w:rPr>
        <w:t>Quoique négatif, l</w:t>
      </w:r>
      <w:r w:rsidR="00352D33" w:rsidRPr="00C706A5">
        <w:rPr>
          <w:rFonts w:ascii="Times New Roman" w:hAnsi="Times New Roman" w:cs="Times New Roman"/>
          <w:color w:val="000000" w:themeColor="text1"/>
        </w:rPr>
        <w:t>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>s’est amélioré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5581F">
        <w:rPr>
          <w:rFonts w:ascii="Times New Roman" w:hAnsi="Times New Roman" w:cs="Times New Roman"/>
          <w:color w:val="000000" w:themeColor="text1"/>
        </w:rPr>
        <w:t xml:space="preserve">de </w:t>
      </w:r>
      <w:r w:rsidR="00236927">
        <w:rPr>
          <w:rFonts w:ascii="Times New Roman" w:hAnsi="Times New Roman" w:cs="Times New Roman"/>
          <w:color w:val="000000" w:themeColor="text1"/>
        </w:rPr>
        <w:t>2,</w:t>
      </w:r>
      <w:r w:rsidR="00950395">
        <w:rPr>
          <w:rFonts w:ascii="Times New Roman" w:hAnsi="Times New Roman" w:cs="Times New Roman"/>
          <w:color w:val="000000" w:themeColor="text1"/>
        </w:rPr>
        <w:t>3</w:t>
      </w:r>
      <w:r w:rsidR="0075581F">
        <w:rPr>
          <w:rFonts w:ascii="Times New Roman" w:hAnsi="Times New Roman" w:cs="Times New Roman"/>
          <w:color w:val="000000" w:themeColor="text1"/>
        </w:rPr>
        <w:t xml:space="preserve"> point</w:t>
      </w:r>
      <w:r w:rsidR="0032273E">
        <w:rPr>
          <w:rFonts w:ascii="Times New Roman" w:hAnsi="Times New Roman" w:cs="Times New Roman"/>
          <w:color w:val="000000" w:themeColor="text1"/>
        </w:rPr>
        <w:t>s</w:t>
      </w:r>
      <w:r w:rsidR="0075581F">
        <w:rPr>
          <w:rFonts w:ascii="Times New Roman" w:hAnsi="Times New Roman" w:cs="Times New Roman"/>
          <w:color w:val="000000" w:themeColor="text1"/>
        </w:rPr>
        <w:t xml:space="preserve">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236927">
        <w:rPr>
          <w:rFonts w:ascii="Times New Roman" w:hAnsi="Times New Roman" w:cs="Times New Roman"/>
          <w:color w:val="000000" w:themeColor="text1"/>
        </w:rPr>
        <w:t>8,7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32273E">
        <w:rPr>
          <w:rFonts w:ascii="Times New Roman" w:hAnsi="Times New Roman" w:cs="Times New Roman"/>
          <w:color w:val="000000" w:themeColor="text1"/>
        </w:rPr>
        <w:t>s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D54358" w:rsidRPr="00C706A5" w:rsidRDefault="00700954" w:rsidP="00AC007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Quant au</w:t>
      </w:r>
      <w:r w:rsidR="00C744C3" w:rsidRPr="00C706A5">
        <w:rPr>
          <w:rFonts w:ascii="Times New Roman" w:hAnsi="Times New Roman" w:cs="Times New Roman"/>
          <w:color w:val="000000" w:themeColor="text1"/>
        </w:rPr>
        <w:t>x</w:t>
      </w:r>
      <w:r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2A7E5D">
        <w:rPr>
          <w:rFonts w:ascii="Times New Roman" w:hAnsi="Times New Roman" w:cs="Times New Roman"/>
          <w:color w:val="000000" w:themeColor="text1"/>
        </w:rPr>
        <w:t>78%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A7E5D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pensent que </w:t>
      </w:r>
      <w:r w:rsidR="00EA205A" w:rsidRPr="00C706A5">
        <w:rPr>
          <w:rFonts w:ascii="Times New Roman" w:hAnsi="Times New Roman" w:cs="Times New Roman"/>
          <w:color w:val="000000" w:themeColor="text1"/>
        </w:rPr>
        <w:t>c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es prix 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2A7E5D">
        <w:rPr>
          <w:rFonts w:ascii="Times New Roman" w:hAnsi="Times New Roman" w:cs="Times New Roman"/>
          <w:color w:val="000000" w:themeColor="text1"/>
        </w:rPr>
        <w:t>79.4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2A7E5D">
        <w:rPr>
          <w:rFonts w:ascii="Times New Roman" w:hAnsi="Times New Roman" w:cs="Times New Roman"/>
          <w:color w:val="000000" w:themeColor="text1"/>
        </w:rPr>
        <w:t>deuxième</w:t>
      </w:r>
      <w:r w:rsidR="0004211E">
        <w:rPr>
          <w:rFonts w:ascii="Times New Roman" w:hAnsi="Times New Roman" w:cs="Times New Roman"/>
          <w:color w:val="000000" w:themeColor="text1"/>
        </w:rPr>
        <w:t xml:space="preserve"> trimestre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E048F">
        <w:rPr>
          <w:rFonts w:ascii="Times New Roman" w:hAnsi="Times New Roman" w:cs="Times New Roman"/>
          <w:color w:val="000000" w:themeColor="text1"/>
        </w:rPr>
        <w:t>4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et </w:t>
      </w:r>
      <w:r w:rsidR="002A7E5D">
        <w:rPr>
          <w:rFonts w:ascii="Times New Roman" w:hAnsi="Times New Roman" w:cs="Times New Roman"/>
          <w:color w:val="000000" w:themeColor="text1"/>
        </w:rPr>
        <w:t>76,7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2A7E5D">
        <w:rPr>
          <w:rFonts w:ascii="Times New Roman" w:hAnsi="Times New Roman" w:cs="Times New Roman"/>
          <w:color w:val="000000" w:themeColor="text1"/>
        </w:rPr>
        <w:t>troisièm</w:t>
      </w:r>
      <w:r w:rsidR="00557809">
        <w:rPr>
          <w:rFonts w:ascii="Times New Roman" w:hAnsi="Times New Roman" w:cs="Times New Roman"/>
          <w:color w:val="000000" w:themeColor="text1"/>
        </w:rPr>
        <w:t xml:space="preserve">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4868DB">
        <w:rPr>
          <w:rFonts w:ascii="Times New Roman" w:hAnsi="Times New Roman" w:cs="Times New Roman"/>
          <w:color w:val="000000" w:themeColor="text1"/>
        </w:rPr>
        <w:t>3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.  Le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de ces prix 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s’est </w:t>
      </w:r>
      <w:r w:rsidR="0063078B">
        <w:rPr>
          <w:rFonts w:ascii="Times New Roman" w:hAnsi="Times New Roman" w:cs="Times New Roman"/>
          <w:color w:val="000000" w:themeColor="text1"/>
        </w:rPr>
        <w:t>amélioré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63078B">
        <w:rPr>
          <w:rFonts w:ascii="Times New Roman" w:hAnsi="Times New Roman" w:cs="Times New Roman"/>
          <w:color w:val="000000" w:themeColor="text1"/>
        </w:rPr>
        <w:t>d</w:t>
      </w:r>
      <w:r w:rsidR="00AC0073">
        <w:rPr>
          <w:rFonts w:ascii="Times New Roman" w:hAnsi="Times New Roman" w:cs="Times New Roman"/>
          <w:color w:val="000000" w:themeColor="text1"/>
        </w:rPr>
        <w:t>e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63078B">
        <w:rPr>
          <w:rFonts w:ascii="Times New Roman" w:hAnsi="Times New Roman" w:cs="Times New Roman"/>
          <w:color w:val="000000" w:themeColor="text1"/>
        </w:rPr>
        <w:t>1.1</w:t>
      </w:r>
      <w:r w:rsidR="0065300A">
        <w:rPr>
          <w:rFonts w:ascii="Times New Roman" w:hAnsi="Times New Roman" w:cs="Times New Roman"/>
          <w:color w:val="000000" w:themeColor="text1"/>
        </w:rPr>
        <w:t xml:space="preserve"> point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D370F">
        <w:rPr>
          <w:rFonts w:ascii="Times New Roman" w:hAnsi="Times New Roman" w:cs="Times New Roman"/>
          <w:color w:val="000000" w:themeColor="text1"/>
        </w:rPr>
        <w:t xml:space="preserve">et </w:t>
      </w:r>
      <w:r w:rsidR="0063078B">
        <w:rPr>
          <w:rFonts w:ascii="Times New Roman" w:hAnsi="Times New Roman" w:cs="Times New Roman"/>
          <w:color w:val="000000" w:themeColor="text1"/>
        </w:rPr>
        <w:t xml:space="preserve">s’est détérioré </w:t>
      </w:r>
      <w:r w:rsidR="00AD370F">
        <w:rPr>
          <w:rFonts w:ascii="Times New Roman" w:hAnsi="Times New Roman" w:cs="Times New Roman"/>
          <w:color w:val="000000" w:themeColor="text1"/>
        </w:rPr>
        <w:t xml:space="preserve">de </w:t>
      </w:r>
      <w:r w:rsidR="0063078B">
        <w:rPr>
          <w:rFonts w:ascii="Times New Roman" w:hAnsi="Times New Roman" w:cs="Times New Roman"/>
          <w:color w:val="000000" w:themeColor="text1"/>
        </w:rPr>
        <w:t>0.9</w:t>
      </w:r>
      <w:r w:rsidR="00AD370F">
        <w:rPr>
          <w:rFonts w:ascii="Times New Roman" w:hAnsi="Times New Roman" w:cs="Times New Roman"/>
          <w:color w:val="000000" w:themeColor="text1"/>
        </w:rPr>
        <w:t xml:space="preserve"> point </w:t>
      </w:r>
      <w:r w:rsidR="00144320">
        <w:rPr>
          <w:rFonts w:ascii="Times New Roman" w:hAnsi="Times New Roman" w:cs="Times New Roman"/>
          <w:color w:val="000000" w:themeColor="text1"/>
        </w:rPr>
        <w:t>durant ces deux périodes respectives</w:t>
      </w:r>
      <w:r w:rsidR="007D6641" w:rsidRPr="00C706A5">
        <w:rPr>
          <w:rFonts w:ascii="Times New Roman" w:hAnsi="Times New Roman" w:cs="Times New Roman"/>
          <w:color w:val="000000" w:themeColor="text1"/>
        </w:rPr>
        <w:t>.</w:t>
      </w:r>
    </w:p>
    <w:p w:rsidR="008D1AAF" w:rsidRPr="00C706A5" w:rsidRDefault="008D1AAF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C5D13" w:rsidRPr="00C706A5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</w:rPr>
        <w:t xml:space="preserve"> </w:t>
      </w:r>
    </w:p>
    <w:p w:rsidR="00D03E2E" w:rsidRPr="00C706A5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72318" w:rsidRPr="00C706A5" w:rsidRDefault="007E06E3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57EC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752725" cy="3581400"/>
            <wp:effectExtent l="19050" t="0" r="9525" b="0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57ECB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B57ECB" w:rsidRPr="00B57ECB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800350" cy="3581400"/>
            <wp:effectExtent l="19050" t="0" r="19050" b="0"/>
            <wp:docPr id="1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72318"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Pr="00C706A5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D209A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E6C" w:rsidRDefault="005D5B33" w:rsidP="00C73C35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Evolution de l’I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ndice de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onfiance des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énages  (ICM)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 de ses composantes</w:t>
      </w:r>
    </w:p>
    <w:tbl>
      <w:tblPr>
        <w:tblW w:w="1596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983"/>
        <w:gridCol w:w="517"/>
        <w:gridCol w:w="518"/>
        <w:gridCol w:w="518"/>
        <w:gridCol w:w="517"/>
        <w:gridCol w:w="518"/>
        <w:gridCol w:w="518"/>
        <w:gridCol w:w="517"/>
        <w:gridCol w:w="518"/>
        <w:gridCol w:w="518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8"/>
        <w:gridCol w:w="518"/>
        <w:gridCol w:w="517"/>
        <w:gridCol w:w="518"/>
        <w:gridCol w:w="518"/>
        <w:gridCol w:w="517"/>
        <w:gridCol w:w="518"/>
        <w:gridCol w:w="518"/>
        <w:gridCol w:w="518"/>
      </w:tblGrid>
      <w:tr w:rsidR="00A15A25" w:rsidRPr="00C73C35" w:rsidTr="00A15A25">
        <w:trPr>
          <w:trHeight w:val="516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5" w:rsidRPr="00C73C35" w:rsidRDefault="00A15A2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Indicateur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25" w:rsidRPr="00CB3CA9" w:rsidRDefault="00A15A2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</w:tr>
      <w:tr w:rsidR="00A15A25" w:rsidRPr="00C73C35" w:rsidTr="00A15A25">
        <w:trPr>
          <w:trHeight w:val="516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T2/09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A15A25" w:rsidRDefault="004F6CAB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A15A25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T3/14</w:t>
            </w:r>
          </w:p>
        </w:tc>
      </w:tr>
      <w:tr w:rsidR="00A15A25" w:rsidRPr="00C73C35" w:rsidTr="00A15A25">
        <w:trPr>
          <w:trHeight w:val="516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542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C7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ndic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de Confiance des Ménages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B57ECB" w:rsidRDefault="004F6CAB" w:rsidP="00DE04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57ECB">
              <w:rPr>
                <w:rFonts w:ascii="Calibri" w:hAnsi="Calibri"/>
                <w:b/>
                <w:bCs/>
                <w:sz w:val="14"/>
                <w:szCs w:val="14"/>
              </w:rPr>
              <w:t>74,0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7EC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73,1</w:t>
            </w:r>
          </w:p>
        </w:tc>
      </w:tr>
      <w:tr w:rsidR="00A15A25" w:rsidRPr="00C73C35" w:rsidTr="00A15A25">
        <w:trPr>
          <w:trHeight w:val="584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-52,1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-51,6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-51,1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-59,1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-57,9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-57,5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-59,2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-52,3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-52,4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-41,6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-48,6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-58,1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-61,7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-67,8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-69,8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-68,2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-69,1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-66,5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-68,8</w:t>
            </w:r>
          </w:p>
        </w:tc>
      </w:tr>
      <w:tr w:rsidR="00A15A25" w:rsidRPr="00C73C35" w:rsidTr="00A15A25">
        <w:trPr>
          <w:trHeight w:val="592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-10,4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-36,7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-26,5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-28,6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-27,9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-37,2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-26,1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-13,4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-20,2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-26,2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-21,8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-27,9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-28,1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-23,1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-21,2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-19,9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-18,1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-17,7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-17,4</w:t>
            </w:r>
          </w:p>
        </w:tc>
      </w:tr>
      <w:tr w:rsidR="00A15A25" w:rsidRPr="00C73C35" w:rsidTr="00A15A25">
        <w:trPr>
          <w:trHeight w:val="571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14,4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-21,4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0,4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0,2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18,1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11,9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13,1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11,2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-13,1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-13,1</w:t>
            </w:r>
          </w:p>
        </w:tc>
      </w:tr>
      <w:tr w:rsidR="00A15A25" w:rsidRPr="00C73C35" w:rsidTr="00A15A25">
        <w:trPr>
          <w:trHeight w:val="532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Opportunité d'achat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-34,3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-37,5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-39,1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-41,8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-46,5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-43,4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-42,6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-34,8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-37,5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-44,3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-39,9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-36,4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-38,5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-32,5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-37,4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-28,3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-28,9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-33,1</w:t>
            </w:r>
          </w:p>
        </w:tc>
      </w:tr>
      <w:tr w:rsidR="00A15A25" w:rsidRPr="00C73C35" w:rsidTr="00A15A25">
        <w:trPr>
          <w:trHeight w:val="642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Situation financière actuelle des ménages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-32,9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-34,4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-33,1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-26,9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-28,3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-27,5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-27,6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-28,1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-30,6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-27,1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-24,3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-30,8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-30,2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-29,5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-31,3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-29,7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-28,3</w:t>
            </w:r>
          </w:p>
        </w:tc>
      </w:tr>
      <w:tr w:rsidR="00A15A25" w:rsidRPr="00C73C35" w:rsidTr="00A15A25">
        <w:trPr>
          <w:trHeight w:val="731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-18,4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-13,4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-12,8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-10,5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-16,6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-16,7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-15,7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-19,6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-23,8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-21,9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-21,9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-21,3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-23,3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-25 ,8</w:t>
            </w:r>
          </w:p>
        </w:tc>
      </w:tr>
      <w:tr w:rsidR="00A15A25" w:rsidRPr="00C73C35" w:rsidTr="00A15A25">
        <w:trPr>
          <w:trHeight w:val="733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23,9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15,6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16,6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26,7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26,8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17,5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17,1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17,8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11,8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7,8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9,4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10,2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20,4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15,1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11,2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11,1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7,7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10,6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4,5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0,7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2,8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-2,7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-1,5</w:t>
            </w:r>
          </w:p>
        </w:tc>
      </w:tr>
      <w:tr w:rsidR="004F6CAB" w:rsidRPr="00C73C35" w:rsidTr="00193B35">
        <w:trPr>
          <w:trHeight w:val="419"/>
          <w:jc w:val="center"/>
        </w:trPr>
        <w:tc>
          <w:tcPr>
            <w:tcW w:w="1596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Autres soldes</w:t>
            </w:r>
          </w:p>
        </w:tc>
      </w:tr>
      <w:tr w:rsidR="00A15A25" w:rsidRPr="00C73C35" w:rsidTr="00A15A25">
        <w:trPr>
          <w:trHeight w:val="329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-77,7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-78,9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-49,7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-34,9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-33,5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-50,9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-47,9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-46,5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-62,2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-70,2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-73,4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-58,8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-72,6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-69,8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-71,5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-73,6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-76,1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-73,4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-76,0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-76,0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-77,6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8F16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-78,0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-76,9</w:t>
            </w:r>
          </w:p>
        </w:tc>
      </w:tr>
      <w:tr w:rsidR="00A15A25" w:rsidRPr="00C73C35" w:rsidTr="00A15A25">
        <w:trPr>
          <w:trHeight w:val="697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-93,6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-95,9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-96,2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-87,2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-85,7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-83,3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-79,5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-87,8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-89,7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-90,9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-95,5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-87,2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-89,9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-92,5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-91,6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-91,1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-91,7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-90,6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-91,6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DE04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-89,0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-90,5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-90,8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-89,4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-84,1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-81,8</w:t>
            </w:r>
          </w:p>
        </w:tc>
      </w:tr>
      <w:tr w:rsidR="00A15A25" w:rsidRPr="00C73C35" w:rsidTr="00A15A25">
        <w:trPr>
          <w:trHeight w:val="312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B" w:rsidRPr="00C73C35" w:rsidRDefault="004F6CA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-61,2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-61,3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-60,7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-57,1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-57,8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-58,5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-56,6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-61,1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-67,6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-66,6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-61,7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-63,3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-64,9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-64,7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-62,5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-63,5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-65,3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-67,0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-70,3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-69,1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-66,7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B" w:rsidRPr="00B57ECB" w:rsidRDefault="004F6CAB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-66,6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57ECB">
              <w:rPr>
                <w:rFonts w:ascii="Arial" w:hAnsi="Arial" w:cs="Arial"/>
                <w:sz w:val="15"/>
                <w:szCs w:val="15"/>
              </w:rPr>
              <w:t>-70,2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CAB" w:rsidRPr="00B57ECB" w:rsidRDefault="004F6CAB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7ECB">
              <w:rPr>
                <w:rFonts w:ascii="Times New Roman" w:hAnsi="Times New Roman" w:cs="Times New Roman"/>
                <w:sz w:val="15"/>
                <w:szCs w:val="15"/>
              </w:rPr>
              <w:t>-74</w:t>
            </w:r>
          </w:p>
        </w:tc>
      </w:tr>
    </w:tbl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1133D2">
        <w:trPr>
          <w:trHeight w:val="6511"/>
        </w:trPr>
        <w:tc>
          <w:tcPr>
            <w:tcW w:w="10791" w:type="dxa"/>
          </w:tcPr>
          <w:p w:rsidR="001133D2" w:rsidRDefault="001133D2" w:rsidP="008D777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6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B9" w:rsidRDefault="00A43DB9" w:rsidP="00460705">
      <w:r>
        <w:separator/>
      </w:r>
    </w:p>
  </w:endnote>
  <w:endnote w:type="continuationSeparator" w:id="0">
    <w:p w:rsidR="00A43DB9" w:rsidRDefault="00A43DB9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ED" w:rsidRDefault="00997739">
    <w:pPr>
      <w:pStyle w:val="Pieddepage"/>
      <w:jc w:val="right"/>
    </w:pPr>
    <w:fldSimple w:instr=" PAGE   \* MERGEFORMAT ">
      <w:r w:rsidR="00A43DB9">
        <w:rPr>
          <w:noProof/>
        </w:rPr>
        <w:t>1</w:t>
      </w:r>
    </w:fldSimple>
  </w:p>
  <w:p w:rsidR="002A18ED" w:rsidRDefault="002A18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B9" w:rsidRDefault="00A43DB9" w:rsidP="00460705">
      <w:r>
        <w:separator/>
      </w:r>
    </w:p>
  </w:footnote>
  <w:footnote w:type="continuationSeparator" w:id="0">
    <w:p w:rsidR="00A43DB9" w:rsidRDefault="00A43DB9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80FE2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2F9B"/>
    <w:rsid w:val="00003F54"/>
    <w:rsid w:val="000069AE"/>
    <w:rsid w:val="00011A0E"/>
    <w:rsid w:val="00011BC4"/>
    <w:rsid w:val="00011F4E"/>
    <w:rsid w:val="00014940"/>
    <w:rsid w:val="00015112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70B6"/>
    <w:rsid w:val="0004211E"/>
    <w:rsid w:val="00043430"/>
    <w:rsid w:val="000451AC"/>
    <w:rsid w:val="00046C56"/>
    <w:rsid w:val="00047B2B"/>
    <w:rsid w:val="00051534"/>
    <w:rsid w:val="000518A6"/>
    <w:rsid w:val="00051B80"/>
    <w:rsid w:val="00052C8E"/>
    <w:rsid w:val="00055B18"/>
    <w:rsid w:val="0005628D"/>
    <w:rsid w:val="00056F4A"/>
    <w:rsid w:val="00057262"/>
    <w:rsid w:val="00057BC7"/>
    <w:rsid w:val="00057E1A"/>
    <w:rsid w:val="00061CA4"/>
    <w:rsid w:val="00064021"/>
    <w:rsid w:val="000646B0"/>
    <w:rsid w:val="00067D35"/>
    <w:rsid w:val="000706EE"/>
    <w:rsid w:val="000720FD"/>
    <w:rsid w:val="00072F7C"/>
    <w:rsid w:val="00073079"/>
    <w:rsid w:val="000749D1"/>
    <w:rsid w:val="000779C2"/>
    <w:rsid w:val="00077CAA"/>
    <w:rsid w:val="0008224D"/>
    <w:rsid w:val="00082D2E"/>
    <w:rsid w:val="000836A6"/>
    <w:rsid w:val="0008574A"/>
    <w:rsid w:val="000877E9"/>
    <w:rsid w:val="00087DA2"/>
    <w:rsid w:val="00090FCF"/>
    <w:rsid w:val="00090FEC"/>
    <w:rsid w:val="00091FB9"/>
    <w:rsid w:val="00097300"/>
    <w:rsid w:val="00097799"/>
    <w:rsid w:val="0009797C"/>
    <w:rsid w:val="00097D75"/>
    <w:rsid w:val="000A0177"/>
    <w:rsid w:val="000A0881"/>
    <w:rsid w:val="000A158A"/>
    <w:rsid w:val="000A20DC"/>
    <w:rsid w:val="000A40C3"/>
    <w:rsid w:val="000A62F9"/>
    <w:rsid w:val="000B0844"/>
    <w:rsid w:val="000B09BA"/>
    <w:rsid w:val="000B1487"/>
    <w:rsid w:val="000B16D1"/>
    <w:rsid w:val="000C0C01"/>
    <w:rsid w:val="000C439F"/>
    <w:rsid w:val="000C56EA"/>
    <w:rsid w:val="000C7F17"/>
    <w:rsid w:val="000D1CF5"/>
    <w:rsid w:val="000D24FA"/>
    <w:rsid w:val="000D341B"/>
    <w:rsid w:val="000D367A"/>
    <w:rsid w:val="000D4077"/>
    <w:rsid w:val="000D5638"/>
    <w:rsid w:val="000D5AB2"/>
    <w:rsid w:val="000D5B0A"/>
    <w:rsid w:val="000E10E0"/>
    <w:rsid w:val="000E17D9"/>
    <w:rsid w:val="000E20BC"/>
    <w:rsid w:val="000F0919"/>
    <w:rsid w:val="000F0DB1"/>
    <w:rsid w:val="000F184A"/>
    <w:rsid w:val="000F2945"/>
    <w:rsid w:val="000F6CE8"/>
    <w:rsid w:val="000F70E8"/>
    <w:rsid w:val="000F74C5"/>
    <w:rsid w:val="000F7A57"/>
    <w:rsid w:val="000F7C4F"/>
    <w:rsid w:val="001037B3"/>
    <w:rsid w:val="00104438"/>
    <w:rsid w:val="00104463"/>
    <w:rsid w:val="001052BE"/>
    <w:rsid w:val="00105320"/>
    <w:rsid w:val="00106E19"/>
    <w:rsid w:val="00106EC0"/>
    <w:rsid w:val="00106FA4"/>
    <w:rsid w:val="00107534"/>
    <w:rsid w:val="00107F1E"/>
    <w:rsid w:val="001103D0"/>
    <w:rsid w:val="00110B90"/>
    <w:rsid w:val="001116C8"/>
    <w:rsid w:val="001133D2"/>
    <w:rsid w:val="00113767"/>
    <w:rsid w:val="00115D48"/>
    <w:rsid w:val="001161C4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7D67"/>
    <w:rsid w:val="00131E2D"/>
    <w:rsid w:val="00133860"/>
    <w:rsid w:val="001347D2"/>
    <w:rsid w:val="00137D7D"/>
    <w:rsid w:val="001404A9"/>
    <w:rsid w:val="001414F3"/>
    <w:rsid w:val="001438AB"/>
    <w:rsid w:val="0014398F"/>
    <w:rsid w:val="00144320"/>
    <w:rsid w:val="0014733D"/>
    <w:rsid w:val="0015212E"/>
    <w:rsid w:val="001523D7"/>
    <w:rsid w:val="00152D59"/>
    <w:rsid w:val="00153ECF"/>
    <w:rsid w:val="00154339"/>
    <w:rsid w:val="001545AE"/>
    <w:rsid w:val="00156587"/>
    <w:rsid w:val="00157CA9"/>
    <w:rsid w:val="00162062"/>
    <w:rsid w:val="001638CE"/>
    <w:rsid w:val="001648E6"/>
    <w:rsid w:val="0016596E"/>
    <w:rsid w:val="001672BD"/>
    <w:rsid w:val="00174542"/>
    <w:rsid w:val="001757C5"/>
    <w:rsid w:val="001760CB"/>
    <w:rsid w:val="00184023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D8E"/>
    <w:rsid w:val="00196DF3"/>
    <w:rsid w:val="001975D4"/>
    <w:rsid w:val="00197D9A"/>
    <w:rsid w:val="00197F64"/>
    <w:rsid w:val="001A048A"/>
    <w:rsid w:val="001A0F65"/>
    <w:rsid w:val="001A4203"/>
    <w:rsid w:val="001A4BB7"/>
    <w:rsid w:val="001A648B"/>
    <w:rsid w:val="001A69DD"/>
    <w:rsid w:val="001A6BB6"/>
    <w:rsid w:val="001B1130"/>
    <w:rsid w:val="001B2334"/>
    <w:rsid w:val="001B3707"/>
    <w:rsid w:val="001B3CB2"/>
    <w:rsid w:val="001B50A1"/>
    <w:rsid w:val="001B561B"/>
    <w:rsid w:val="001B5B96"/>
    <w:rsid w:val="001B5F02"/>
    <w:rsid w:val="001B69A3"/>
    <w:rsid w:val="001B7322"/>
    <w:rsid w:val="001C0839"/>
    <w:rsid w:val="001C4D54"/>
    <w:rsid w:val="001C5AA4"/>
    <w:rsid w:val="001C67D4"/>
    <w:rsid w:val="001C6846"/>
    <w:rsid w:val="001C6883"/>
    <w:rsid w:val="001D0C73"/>
    <w:rsid w:val="001D709D"/>
    <w:rsid w:val="001E0D0B"/>
    <w:rsid w:val="001E1901"/>
    <w:rsid w:val="001E36D5"/>
    <w:rsid w:val="001E42CC"/>
    <w:rsid w:val="001E4F55"/>
    <w:rsid w:val="001E6198"/>
    <w:rsid w:val="001F062E"/>
    <w:rsid w:val="001F14B0"/>
    <w:rsid w:val="001F20AF"/>
    <w:rsid w:val="001F321B"/>
    <w:rsid w:val="001F4A3E"/>
    <w:rsid w:val="001F4FE4"/>
    <w:rsid w:val="001F59E2"/>
    <w:rsid w:val="001F5D34"/>
    <w:rsid w:val="001F626D"/>
    <w:rsid w:val="001F6A9C"/>
    <w:rsid w:val="001F7711"/>
    <w:rsid w:val="002021DE"/>
    <w:rsid w:val="002041E9"/>
    <w:rsid w:val="0020711A"/>
    <w:rsid w:val="0021180E"/>
    <w:rsid w:val="0021213E"/>
    <w:rsid w:val="00212E56"/>
    <w:rsid w:val="00213786"/>
    <w:rsid w:val="002163AF"/>
    <w:rsid w:val="002164D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927"/>
    <w:rsid w:val="0024028E"/>
    <w:rsid w:val="002436BE"/>
    <w:rsid w:val="00243AE1"/>
    <w:rsid w:val="00245992"/>
    <w:rsid w:val="00246518"/>
    <w:rsid w:val="002478EF"/>
    <w:rsid w:val="00247A3B"/>
    <w:rsid w:val="002502C2"/>
    <w:rsid w:val="00253166"/>
    <w:rsid w:val="002534E9"/>
    <w:rsid w:val="00256FBC"/>
    <w:rsid w:val="00257385"/>
    <w:rsid w:val="00260173"/>
    <w:rsid w:val="00260D98"/>
    <w:rsid w:val="00262237"/>
    <w:rsid w:val="0026337D"/>
    <w:rsid w:val="00263D54"/>
    <w:rsid w:val="00264457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51C2"/>
    <w:rsid w:val="00275256"/>
    <w:rsid w:val="00276077"/>
    <w:rsid w:val="00280072"/>
    <w:rsid w:val="0028098C"/>
    <w:rsid w:val="002821C5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A18ED"/>
    <w:rsid w:val="002A1C56"/>
    <w:rsid w:val="002A1D28"/>
    <w:rsid w:val="002A29D2"/>
    <w:rsid w:val="002A2E36"/>
    <w:rsid w:val="002A321D"/>
    <w:rsid w:val="002A53E5"/>
    <w:rsid w:val="002A7486"/>
    <w:rsid w:val="002A7E5D"/>
    <w:rsid w:val="002B15A7"/>
    <w:rsid w:val="002B15E6"/>
    <w:rsid w:val="002B2EC5"/>
    <w:rsid w:val="002B3D5B"/>
    <w:rsid w:val="002B51C3"/>
    <w:rsid w:val="002B7130"/>
    <w:rsid w:val="002B74FD"/>
    <w:rsid w:val="002B799E"/>
    <w:rsid w:val="002C03DA"/>
    <w:rsid w:val="002C0BC4"/>
    <w:rsid w:val="002C0E6A"/>
    <w:rsid w:val="002C10D7"/>
    <w:rsid w:val="002C18A0"/>
    <w:rsid w:val="002C211A"/>
    <w:rsid w:val="002C26D4"/>
    <w:rsid w:val="002C3101"/>
    <w:rsid w:val="002C366D"/>
    <w:rsid w:val="002C5954"/>
    <w:rsid w:val="002C768B"/>
    <w:rsid w:val="002C79A8"/>
    <w:rsid w:val="002C7EF2"/>
    <w:rsid w:val="002D2970"/>
    <w:rsid w:val="002D3C52"/>
    <w:rsid w:val="002D3E22"/>
    <w:rsid w:val="002D54C7"/>
    <w:rsid w:val="002D56C5"/>
    <w:rsid w:val="002D5AAA"/>
    <w:rsid w:val="002D6FC3"/>
    <w:rsid w:val="002E3AEC"/>
    <w:rsid w:val="002E5787"/>
    <w:rsid w:val="002E5ABF"/>
    <w:rsid w:val="002E5BEC"/>
    <w:rsid w:val="002E6F5B"/>
    <w:rsid w:val="002E710F"/>
    <w:rsid w:val="002F08CD"/>
    <w:rsid w:val="002F56E4"/>
    <w:rsid w:val="002F5CBB"/>
    <w:rsid w:val="002F5E6A"/>
    <w:rsid w:val="002F61B2"/>
    <w:rsid w:val="002F7AAE"/>
    <w:rsid w:val="00300726"/>
    <w:rsid w:val="00302717"/>
    <w:rsid w:val="003043BE"/>
    <w:rsid w:val="00306F45"/>
    <w:rsid w:val="00307232"/>
    <w:rsid w:val="00307E20"/>
    <w:rsid w:val="00311292"/>
    <w:rsid w:val="00312C75"/>
    <w:rsid w:val="00313590"/>
    <w:rsid w:val="00314363"/>
    <w:rsid w:val="00315331"/>
    <w:rsid w:val="00315FDD"/>
    <w:rsid w:val="0032273E"/>
    <w:rsid w:val="0032393A"/>
    <w:rsid w:val="0032457C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37515"/>
    <w:rsid w:val="00342196"/>
    <w:rsid w:val="00344737"/>
    <w:rsid w:val="00346706"/>
    <w:rsid w:val="003514ED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2A0D"/>
    <w:rsid w:val="003670AA"/>
    <w:rsid w:val="00370A60"/>
    <w:rsid w:val="003713F9"/>
    <w:rsid w:val="003724EE"/>
    <w:rsid w:val="00373C93"/>
    <w:rsid w:val="00377971"/>
    <w:rsid w:val="00380461"/>
    <w:rsid w:val="003812CC"/>
    <w:rsid w:val="00381490"/>
    <w:rsid w:val="00381936"/>
    <w:rsid w:val="0038490E"/>
    <w:rsid w:val="003849A2"/>
    <w:rsid w:val="00385E59"/>
    <w:rsid w:val="00386E22"/>
    <w:rsid w:val="00391350"/>
    <w:rsid w:val="003937BF"/>
    <w:rsid w:val="003960C1"/>
    <w:rsid w:val="003A3105"/>
    <w:rsid w:val="003A32A5"/>
    <w:rsid w:val="003A35D3"/>
    <w:rsid w:val="003A4987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27AF"/>
    <w:rsid w:val="003B330D"/>
    <w:rsid w:val="003B6387"/>
    <w:rsid w:val="003B6E43"/>
    <w:rsid w:val="003C0E95"/>
    <w:rsid w:val="003C1028"/>
    <w:rsid w:val="003C2208"/>
    <w:rsid w:val="003C2924"/>
    <w:rsid w:val="003C3114"/>
    <w:rsid w:val="003C4254"/>
    <w:rsid w:val="003C79A0"/>
    <w:rsid w:val="003D554F"/>
    <w:rsid w:val="003D6DF2"/>
    <w:rsid w:val="003E04DE"/>
    <w:rsid w:val="003E1044"/>
    <w:rsid w:val="003E22C4"/>
    <w:rsid w:val="003E3A1D"/>
    <w:rsid w:val="003E4DD3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400110"/>
    <w:rsid w:val="00400983"/>
    <w:rsid w:val="00401990"/>
    <w:rsid w:val="0040459B"/>
    <w:rsid w:val="00404C21"/>
    <w:rsid w:val="00405940"/>
    <w:rsid w:val="004074DD"/>
    <w:rsid w:val="004105E0"/>
    <w:rsid w:val="0041160A"/>
    <w:rsid w:val="00412740"/>
    <w:rsid w:val="004158F0"/>
    <w:rsid w:val="00416870"/>
    <w:rsid w:val="0042017B"/>
    <w:rsid w:val="00420B43"/>
    <w:rsid w:val="00420D3C"/>
    <w:rsid w:val="004211F6"/>
    <w:rsid w:val="00424E25"/>
    <w:rsid w:val="0042529A"/>
    <w:rsid w:val="00426845"/>
    <w:rsid w:val="00427219"/>
    <w:rsid w:val="004274C1"/>
    <w:rsid w:val="00430234"/>
    <w:rsid w:val="00431767"/>
    <w:rsid w:val="0043296A"/>
    <w:rsid w:val="00434700"/>
    <w:rsid w:val="00434E44"/>
    <w:rsid w:val="00435631"/>
    <w:rsid w:val="0043688A"/>
    <w:rsid w:val="00440B2D"/>
    <w:rsid w:val="004421AE"/>
    <w:rsid w:val="004421E3"/>
    <w:rsid w:val="004430BB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7115"/>
    <w:rsid w:val="00460705"/>
    <w:rsid w:val="00460BC9"/>
    <w:rsid w:val="0046151F"/>
    <w:rsid w:val="00464052"/>
    <w:rsid w:val="00465799"/>
    <w:rsid w:val="0046586B"/>
    <w:rsid w:val="004660F5"/>
    <w:rsid w:val="0046675F"/>
    <w:rsid w:val="004674F7"/>
    <w:rsid w:val="00470256"/>
    <w:rsid w:val="004708C0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F4B"/>
    <w:rsid w:val="004769C3"/>
    <w:rsid w:val="00477159"/>
    <w:rsid w:val="00477B88"/>
    <w:rsid w:val="00480253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412"/>
    <w:rsid w:val="00495348"/>
    <w:rsid w:val="0049640D"/>
    <w:rsid w:val="00497168"/>
    <w:rsid w:val="00497732"/>
    <w:rsid w:val="004A33E9"/>
    <w:rsid w:val="004A3ECA"/>
    <w:rsid w:val="004A4BF6"/>
    <w:rsid w:val="004A590B"/>
    <w:rsid w:val="004A69AD"/>
    <w:rsid w:val="004B04C6"/>
    <w:rsid w:val="004B35F7"/>
    <w:rsid w:val="004B4E32"/>
    <w:rsid w:val="004B5383"/>
    <w:rsid w:val="004B64B5"/>
    <w:rsid w:val="004B7076"/>
    <w:rsid w:val="004C26D2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CAB"/>
    <w:rsid w:val="005016B0"/>
    <w:rsid w:val="00501D0E"/>
    <w:rsid w:val="00503F34"/>
    <w:rsid w:val="005041F1"/>
    <w:rsid w:val="00504C1B"/>
    <w:rsid w:val="0050642C"/>
    <w:rsid w:val="00506B3B"/>
    <w:rsid w:val="00507250"/>
    <w:rsid w:val="005076C2"/>
    <w:rsid w:val="00507FF6"/>
    <w:rsid w:val="00510671"/>
    <w:rsid w:val="00510B87"/>
    <w:rsid w:val="00511C57"/>
    <w:rsid w:val="005128B6"/>
    <w:rsid w:val="00513F5E"/>
    <w:rsid w:val="00515560"/>
    <w:rsid w:val="00517831"/>
    <w:rsid w:val="005216FD"/>
    <w:rsid w:val="00522383"/>
    <w:rsid w:val="005228C3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4064D"/>
    <w:rsid w:val="0054089B"/>
    <w:rsid w:val="005426C2"/>
    <w:rsid w:val="00545A36"/>
    <w:rsid w:val="005465E0"/>
    <w:rsid w:val="005467EB"/>
    <w:rsid w:val="00546AA5"/>
    <w:rsid w:val="00547601"/>
    <w:rsid w:val="0055058D"/>
    <w:rsid w:val="00551FFF"/>
    <w:rsid w:val="00557809"/>
    <w:rsid w:val="00557C85"/>
    <w:rsid w:val="00560C19"/>
    <w:rsid w:val="00562D36"/>
    <w:rsid w:val="00562E23"/>
    <w:rsid w:val="00563170"/>
    <w:rsid w:val="005665B1"/>
    <w:rsid w:val="0056722B"/>
    <w:rsid w:val="00567CDC"/>
    <w:rsid w:val="00570BDD"/>
    <w:rsid w:val="0057388C"/>
    <w:rsid w:val="00576614"/>
    <w:rsid w:val="00576E52"/>
    <w:rsid w:val="00577957"/>
    <w:rsid w:val="00581039"/>
    <w:rsid w:val="005814AC"/>
    <w:rsid w:val="00581D56"/>
    <w:rsid w:val="00582246"/>
    <w:rsid w:val="0058309C"/>
    <w:rsid w:val="00584093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A0745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029D"/>
    <w:rsid w:val="005C1739"/>
    <w:rsid w:val="005C41EB"/>
    <w:rsid w:val="005C473B"/>
    <w:rsid w:val="005D0118"/>
    <w:rsid w:val="005D0483"/>
    <w:rsid w:val="005D07D9"/>
    <w:rsid w:val="005D1941"/>
    <w:rsid w:val="005D1BE9"/>
    <w:rsid w:val="005D238E"/>
    <w:rsid w:val="005D2895"/>
    <w:rsid w:val="005D3EA9"/>
    <w:rsid w:val="005D44DC"/>
    <w:rsid w:val="005D466C"/>
    <w:rsid w:val="005D5B33"/>
    <w:rsid w:val="005D63D7"/>
    <w:rsid w:val="005D6464"/>
    <w:rsid w:val="005D6C02"/>
    <w:rsid w:val="005D733B"/>
    <w:rsid w:val="005D7D69"/>
    <w:rsid w:val="005D7E3C"/>
    <w:rsid w:val="005E180C"/>
    <w:rsid w:val="005E1D4B"/>
    <w:rsid w:val="005E2815"/>
    <w:rsid w:val="005E2EB3"/>
    <w:rsid w:val="005E3E9B"/>
    <w:rsid w:val="005E5415"/>
    <w:rsid w:val="005E6632"/>
    <w:rsid w:val="005F0D2E"/>
    <w:rsid w:val="005F1F0E"/>
    <w:rsid w:val="005F2467"/>
    <w:rsid w:val="005F2E1B"/>
    <w:rsid w:val="005F3E46"/>
    <w:rsid w:val="005F4616"/>
    <w:rsid w:val="005F5357"/>
    <w:rsid w:val="00600D77"/>
    <w:rsid w:val="00600D95"/>
    <w:rsid w:val="00607796"/>
    <w:rsid w:val="006078F5"/>
    <w:rsid w:val="00613A81"/>
    <w:rsid w:val="00615041"/>
    <w:rsid w:val="00617A67"/>
    <w:rsid w:val="00617BEB"/>
    <w:rsid w:val="00621856"/>
    <w:rsid w:val="00622CF0"/>
    <w:rsid w:val="00625499"/>
    <w:rsid w:val="00626C37"/>
    <w:rsid w:val="00627948"/>
    <w:rsid w:val="0063078B"/>
    <w:rsid w:val="006318E1"/>
    <w:rsid w:val="006332C7"/>
    <w:rsid w:val="00633DBA"/>
    <w:rsid w:val="00634247"/>
    <w:rsid w:val="00634856"/>
    <w:rsid w:val="00634C05"/>
    <w:rsid w:val="00637056"/>
    <w:rsid w:val="0064120B"/>
    <w:rsid w:val="00641937"/>
    <w:rsid w:val="00642021"/>
    <w:rsid w:val="0064218D"/>
    <w:rsid w:val="0064322F"/>
    <w:rsid w:val="00645377"/>
    <w:rsid w:val="0064643D"/>
    <w:rsid w:val="00646954"/>
    <w:rsid w:val="006473DB"/>
    <w:rsid w:val="00647BE8"/>
    <w:rsid w:val="00651154"/>
    <w:rsid w:val="00652533"/>
    <w:rsid w:val="0065300A"/>
    <w:rsid w:val="006550AF"/>
    <w:rsid w:val="006551E0"/>
    <w:rsid w:val="00655B47"/>
    <w:rsid w:val="00655B8C"/>
    <w:rsid w:val="006575AC"/>
    <w:rsid w:val="0066027B"/>
    <w:rsid w:val="00660A7D"/>
    <w:rsid w:val="0066108F"/>
    <w:rsid w:val="00661A4E"/>
    <w:rsid w:val="006620AD"/>
    <w:rsid w:val="00663397"/>
    <w:rsid w:val="00663FAD"/>
    <w:rsid w:val="00665ECF"/>
    <w:rsid w:val="0066619E"/>
    <w:rsid w:val="00667089"/>
    <w:rsid w:val="00671777"/>
    <w:rsid w:val="00671ECF"/>
    <w:rsid w:val="00672A2B"/>
    <w:rsid w:val="00672FEF"/>
    <w:rsid w:val="0068033A"/>
    <w:rsid w:val="0068173C"/>
    <w:rsid w:val="006817AF"/>
    <w:rsid w:val="006820FF"/>
    <w:rsid w:val="00682795"/>
    <w:rsid w:val="00683796"/>
    <w:rsid w:val="0068542B"/>
    <w:rsid w:val="006864D5"/>
    <w:rsid w:val="00686596"/>
    <w:rsid w:val="00686868"/>
    <w:rsid w:val="00687307"/>
    <w:rsid w:val="0069013E"/>
    <w:rsid w:val="00691370"/>
    <w:rsid w:val="0069195E"/>
    <w:rsid w:val="00692444"/>
    <w:rsid w:val="006934E4"/>
    <w:rsid w:val="006945C1"/>
    <w:rsid w:val="006946EF"/>
    <w:rsid w:val="00695A2C"/>
    <w:rsid w:val="006975E3"/>
    <w:rsid w:val="0069792B"/>
    <w:rsid w:val="00697E8F"/>
    <w:rsid w:val="006A0757"/>
    <w:rsid w:val="006A0913"/>
    <w:rsid w:val="006A1512"/>
    <w:rsid w:val="006A230B"/>
    <w:rsid w:val="006A552D"/>
    <w:rsid w:val="006A5708"/>
    <w:rsid w:val="006A7BD0"/>
    <w:rsid w:val="006B11E8"/>
    <w:rsid w:val="006B12D2"/>
    <w:rsid w:val="006B695F"/>
    <w:rsid w:val="006B6E07"/>
    <w:rsid w:val="006C0438"/>
    <w:rsid w:val="006C0465"/>
    <w:rsid w:val="006C0877"/>
    <w:rsid w:val="006C09E5"/>
    <w:rsid w:val="006C1139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3119"/>
    <w:rsid w:val="006D5C60"/>
    <w:rsid w:val="006D7C72"/>
    <w:rsid w:val="006E15E3"/>
    <w:rsid w:val="006E2F48"/>
    <w:rsid w:val="006E51CE"/>
    <w:rsid w:val="006E54CD"/>
    <w:rsid w:val="006E743A"/>
    <w:rsid w:val="006F0E4F"/>
    <w:rsid w:val="006F193E"/>
    <w:rsid w:val="006F1D72"/>
    <w:rsid w:val="006F62E6"/>
    <w:rsid w:val="006F6A79"/>
    <w:rsid w:val="006F794A"/>
    <w:rsid w:val="0070068D"/>
    <w:rsid w:val="00700954"/>
    <w:rsid w:val="007034D0"/>
    <w:rsid w:val="00705867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7305"/>
    <w:rsid w:val="00717A01"/>
    <w:rsid w:val="00720767"/>
    <w:rsid w:val="00722189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2AC3"/>
    <w:rsid w:val="00742C5C"/>
    <w:rsid w:val="00743C10"/>
    <w:rsid w:val="00745483"/>
    <w:rsid w:val="00745AD8"/>
    <w:rsid w:val="0074699A"/>
    <w:rsid w:val="00751D5F"/>
    <w:rsid w:val="007539E9"/>
    <w:rsid w:val="00753AB7"/>
    <w:rsid w:val="00754325"/>
    <w:rsid w:val="0075581F"/>
    <w:rsid w:val="0075742A"/>
    <w:rsid w:val="00760F13"/>
    <w:rsid w:val="00761915"/>
    <w:rsid w:val="00761A82"/>
    <w:rsid w:val="00763124"/>
    <w:rsid w:val="007645FF"/>
    <w:rsid w:val="00765A34"/>
    <w:rsid w:val="00766FB9"/>
    <w:rsid w:val="0076762A"/>
    <w:rsid w:val="0076780C"/>
    <w:rsid w:val="00772D6A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37C5"/>
    <w:rsid w:val="007A00D5"/>
    <w:rsid w:val="007A02DF"/>
    <w:rsid w:val="007A0429"/>
    <w:rsid w:val="007A106F"/>
    <w:rsid w:val="007A2498"/>
    <w:rsid w:val="007A3C20"/>
    <w:rsid w:val="007A4238"/>
    <w:rsid w:val="007A430C"/>
    <w:rsid w:val="007A7334"/>
    <w:rsid w:val="007B4778"/>
    <w:rsid w:val="007B6A7F"/>
    <w:rsid w:val="007C17FC"/>
    <w:rsid w:val="007C2155"/>
    <w:rsid w:val="007C2C4A"/>
    <w:rsid w:val="007C2DEA"/>
    <w:rsid w:val="007C32BD"/>
    <w:rsid w:val="007C33B5"/>
    <w:rsid w:val="007C4CD5"/>
    <w:rsid w:val="007C52B7"/>
    <w:rsid w:val="007C5542"/>
    <w:rsid w:val="007C58E4"/>
    <w:rsid w:val="007C7142"/>
    <w:rsid w:val="007C7AFB"/>
    <w:rsid w:val="007D01A0"/>
    <w:rsid w:val="007D04AD"/>
    <w:rsid w:val="007D41E2"/>
    <w:rsid w:val="007D4ED5"/>
    <w:rsid w:val="007D6641"/>
    <w:rsid w:val="007D7349"/>
    <w:rsid w:val="007D76C4"/>
    <w:rsid w:val="007D7FDE"/>
    <w:rsid w:val="007E06E3"/>
    <w:rsid w:val="007E0752"/>
    <w:rsid w:val="007E0D7B"/>
    <w:rsid w:val="007E656C"/>
    <w:rsid w:val="007F2CA7"/>
    <w:rsid w:val="007F2FA3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956"/>
    <w:rsid w:val="00802183"/>
    <w:rsid w:val="00802F87"/>
    <w:rsid w:val="00803155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3DE5"/>
    <w:rsid w:val="00823EFA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825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5B57"/>
    <w:rsid w:val="00845E27"/>
    <w:rsid w:val="00846510"/>
    <w:rsid w:val="008473C5"/>
    <w:rsid w:val="00853079"/>
    <w:rsid w:val="00853CBC"/>
    <w:rsid w:val="00855149"/>
    <w:rsid w:val="008577BA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F4C"/>
    <w:rsid w:val="00892EE4"/>
    <w:rsid w:val="00894425"/>
    <w:rsid w:val="008944F4"/>
    <w:rsid w:val="00894BC8"/>
    <w:rsid w:val="00896312"/>
    <w:rsid w:val="00896515"/>
    <w:rsid w:val="00897342"/>
    <w:rsid w:val="008A0C9C"/>
    <w:rsid w:val="008A184F"/>
    <w:rsid w:val="008A1CBA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C02D0"/>
    <w:rsid w:val="008C0A72"/>
    <w:rsid w:val="008C154C"/>
    <w:rsid w:val="008C1716"/>
    <w:rsid w:val="008C2130"/>
    <w:rsid w:val="008C7124"/>
    <w:rsid w:val="008D1AAF"/>
    <w:rsid w:val="008D27B7"/>
    <w:rsid w:val="008D2E6F"/>
    <w:rsid w:val="008D37EC"/>
    <w:rsid w:val="008D3806"/>
    <w:rsid w:val="008D449D"/>
    <w:rsid w:val="008D4C14"/>
    <w:rsid w:val="008D51E7"/>
    <w:rsid w:val="008D7771"/>
    <w:rsid w:val="008E2CA1"/>
    <w:rsid w:val="008E2FF5"/>
    <w:rsid w:val="008E6069"/>
    <w:rsid w:val="008E6F7E"/>
    <w:rsid w:val="008E7F17"/>
    <w:rsid w:val="008F01C0"/>
    <w:rsid w:val="008F16DE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4392"/>
    <w:rsid w:val="00905625"/>
    <w:rsid w:val="00905DCF"/>
    <w:rsid w:val="009062E4"/>
    <w:rsid w:val="0090637D"/>
    <w:rsid w:val="0090769B"/>
    <w:rsid w:val="00907B6A"/>
    <w:rsid w:val="00911F1B"/>
    <w:rsid w:val="00912426"/>
    <w:rsid w:val="00912704"/>
    <w:rsid w:val="00912A95"/>
    <w:rsid w:val="009130EC"/>
    <w:rsid w:val="00913D87"/>
    <w:rsid w:val="00917757"/>
    <w:rsid w:val="009208FB"/>
    <w:rsid w:val="009251D3"/>
    <w:rsid w:val="00925C4D"/>
    <w:rsid w:val="0092631F"/>
    <w:rsid w:val="009264E7"/>
    <w:rsid w:val="0092695A"/>
    <w:rsid w:val="00927ECD"/>
    <w:rsid w:val="00930FD8"/>
    <w:rsid w:val="009314EC"/>
    <w:rsid w:val="009407CD"/>
    <w:rsid w:val="00941491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63BB"/>
    <w:rsid w:val="009576E4"/>
    <w:rsid w:val="00957E37"/>
    <w:rsid w:val="00960BF0"/>
    <w:rsid w:val="0096486F"/>
    <w:rsid w:val="00966D00"/>
    <w:rsid w:val="009716F2"/>
    <w:rsid w:val="00975C25"/>
    <w:rsid w:val="009766A1"/>
    <w:rsid w:val="00976C98"/>
    <w:rsid w:val="00985AB3"/>
    <w:rsid w:val="00985DD2"/>
    <w:rsid w:val="0098660E"/>
    <w:rsid w:val="009874E6"/>
    <w:rsid w:val="00987987"/>
    <w:rsid w:val="00991EC1"/>
    <w:rsid w:val="009921AC"/>
    <w:rsid w:val="00996593"/>
    <w:rsid w:val="00997739"/>
    <w:rsid w:val="009978D4"/>
    <w:rsid w:val="00997F9E"/>
    <w:rsid w:val="009A19F3"/>
    <w:rsid w:val="009A2085"/>
    <w:rsid w:val="009A3696"/>
    <w:rsid w:val="009A4775"/>
    <w:rsid w:val="009A47E3"/>
    <w:rsid w:val="009A55CF"/>
    <w:rsid w:val="009A67C9"/>
    <w:rsid w:val="009A6BC1"/>
    <w:rsid w:val="009A7820"/>
    <w:rsid w:val="009B04AF"/>
    <w:rsid w:val="009B0755"/>
    <w:rsid w:val="009B20AD"/>
    <w:rsid w:val="009B31E6"/>
    <w:rsid w:val="009B4A71"/>
    <w:rsid w:val="009B4BFB"/>
    <w:rsid w:val="009B4C6F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77D"/>
    <w:rsid w:val="009D5A45"/>
    <w:rsid w:val="009D5CA0"/>
    <w:rsid w:val="009D60C2"/>
    <w:rsid w:val="009D614B"/>
    <w:rsid w:val="009D68B9"/>
    <w:rsid w:val="009D7551"/>
    <w:rsid w:val="009D788B"/>
    <w:rsid w:val="009E1083"/>
    <w:rsid w:val="009E2A58"/>
    <w:rsid w:val="009E3156"/>
    <w:rsid w:val="009E52D7"/>
    <w:rsid w:val="009E682C"/>
    <w:rsid w:val="00A000CA"/>
    <w:rsid w:val="00A00639"/>
    <w:rsid w:val="00A0221A"/>
    <w:rsid w:val="00A04837"/>
    <w:rsid w:val="00A104FC"/>
    <w:rsid w:val="00A124D9"/>
    <w:rsid w:val="00A129F3"/>
    <w:rsid w:val="00A13982"/>
    <w:rsid w:val="00A13B42"/>
    <w:rsid w:val="00A147DB"/>
    <w:rsid w:val="00A15A25"/>
    <w:rsid w:val="00A16EFD"/>
    <w:rsid w:val="00A20BC5"/>
    <w:rsid w:val="00A21054"/>
    <w:rsid w:val="00A22750"/>
    <w:rsid w:val="00A231DE"/>
    <w:rsid w:val="00A24DA0"/>
    <w:rsid w:val="00A26209"/>
    <w:rsid w:val="00A271B5"/>
    <w:rsid w:val="00A276D8"/>
    <w:rsid w:val="00A27CEB"/>
    <w:rsid w:val="00A3041C"/>
    <w:rsid w:val="00A400D9"/>
    <w:rsid w:val="00A413F7"/>
    <w:rsid w:val="00A41973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96B"/>
    <w:rsid w:val="00A644C5"/>
    <w:rsid w:val="00A654C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48E9"/>
    <w:rsid w:val="00A95F76"/>
    <w:rsid w:val="00A978EA"/>
    <w:rsid w:val="00A97CE2"/>
    <w:rsid w:val="00AA2C91"/>
    <w:rsid w:val="00AA42D6"/>
    <w:rsid w:val="00AA4B9B"/>
    <w:rsid w:val="00AA7979"/>
    <w:rsid w:val="00AB33B7"/>
    <w:rsid w:val="00AB4418"/>
    <w:rsid w:val="00AB4E95"/>
    <w:rsid w:val="00AB5E04"/>
    <w:rsid w:val="00AB717C"/>
    <w:rsid w:val="00AB72BA"/>
    <w:rsid w:val="00AB7AC9"/>
    <w:rsid w:val="00AC0073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3F60"/>
    <w:rsid w:val="00AE553B"/>
    <w:rsid w:val="00AE5E67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10786"/>
    <w:rsid w:val="00B10909"/>
    <w:rsid w:val="00B10F10"/>
    <w:rsid w:val="00B11331"/>
    <w:rsid w:val="00B14433"/>
    <w:rsid w:val="00B16D1D"/>
    <w:rsid w:val="00B20494"/>
    <w:rsid w:val="00B226CD"/>
    <w:rsid w:val="00B2336A"/>
    <w:rsid w:val="00B234AD"/>
    <w:rsid w:val="00B33398"/>
    <w:rsid w:val="00B36132"/>
    <w:rsid w:val="00B3617A"/>
    <w:rsid w:val="00B36214"/>
    <w:rsid w:val="00B36E89"/>
    <w:rsid w:val="00B446BF"/>
    <w:rsid w:val="00B44ADE"/>
    <w:rsid w:val="00B453A5"/>
    <w:rsid w:val="00B45A8F"/>
    <w:rsid w:val="00B50EDD"/>
    <w:rsid w:val="00B531DA"/>
    <w:rsid w:val="00B55B9F"/>
    <w:rsid w:val="00B570D1"/>
    <w:rsid w:val="00B57ECB"/>
    <w:rsid w:val="00B600A7"/>
    <w:rsid w:val="00B607A0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FEA"/>
    <w:rsid w:val="00B73F50"/>
    <w:rsid w:val="00B73F56"/>
    <w:rsid w:val="00B744FD"/>
    <w:rsid w:val="00B74770"/>
    <w:rsid w:val="00B7692B"/>
    <w:rsid w:val="00B772A4"/>
    <w:rsid w:val="00B80B06"/>
    <w:rsid w:val="00B82E10"/>
    <w:rsid w:val="00B851E2"/>
    <w:rsid w:val="00B85C21"/>
    <w:rsid w:val="00B85F87"/>
    <w:rsid w:val="00B86C71"/>
    <w:rsid w:val="00B87925"/>
    <w:rsid w:val="00B87C77"/>
    <w:rsid w:val="00B94BD5"/>
    <w:rsid w:val="00BA1CE0"/>
    <w:rsid w:val="00BA20BF"/>
    <w:rsid w:val="00BA3DCF"/>
    <w:rsid w:val="00BA72B1"/>
    <w:rsid w:val="00BA7DFB"/>
    <w:rsid w:val="00BB1F54"/>
    <w:rsid w:val="00BB3C65"/>
    <w:rsid w:val="00BB47D6"/>
    <w:rsid w:val="00BB4BB2"/>
    <w:rsid w:val="00BC0290"/>
    <w:rsid w:val="00BC1675"/>
    <w:rsid w:val="00BC1AA8"/>
    <w:rsid w:val="00BC3558"/>
    <w:rsid w:val="00BC427A"/>
    <w:rsid w:val="00BC4D62"/>
    <w:rsid w:val="00BC53BD"/>
    <w:rsid w:val="00BC5673"/>
    <w:rsid w:val="00BC5D13"/>
    <w:rsid w:val="00BC62BA"/>
    <w:rsid w:val="00BC7770"/>
    <w:rsid w:val="00BD1F1D"/>
    <w:rsid w:val="00BD2328"/>
    <w:rsid w:val="00BD275A"/>
    <w:rsid w:val="00BD2D08"/>
    <w:rsid w:val="00BD2DA1"/>
    <w:rsid w:val="00BD46C6"/>
    <w:rsid w:val="00BD4F67"/>
    <w:rsid w:val="00BD5B10"/>
    <w:rsid w:val="00BD6F03"/>
    <w:rsid w:val="00BD79F2"/>
    <w:rsid w:val="00BE052F"/>
    <w:rsid w:val="00BE0F84"/>
    <w:rsid w:val="00BE269D"/>
    <w:rsid w:val="00BE2C7E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332E"/>
    <w:rsid w:val="00BF3780"/>
    <w:rsid w:val="00BF3E41"/>
    <w:rsid w:val="00BF54EF"/>
    <w:rsid w:val="00BF7AFA"/>
    <w:rsid w:val="00C00EC9"/>
    <w:rsid w:val="00C016BD"/>
    <w:rsid w:val="00C02059"/>
    <w:rsid w:val="00C0250F"/>
    <w:rsid w:val="00C046B1"/>
    <w:rsid w:val="00C049EB"/>
    <w:rsid w:val="00C0692C"/>
    <w:rsid w:val="00C070B3"/>
    <w:rsid w:val="00C077F1"/>
    <w:rsid w:val="00C10C88"/>
    <w:rsid w:val="00C12EDB"/>
    <w:rsid w:val="00C13086"/>
    <w:rsid w:val="00C166F9"/>
    <w:rsid w:val="00C17A37"/>
    <w:rsid w:val="00C21058"/>
    <w:rsid w:val="00C21104"/>
    <w:rsid w:val="00C217BA"/>
    <w:rsid w:val="00C21ABF"/>
    <w:rsid w:val="00C229EC"/>
    <w:rsid w:val="00C24351"/>
    <w:rsid w:val="00C268CF"/>
    <w:rsid w:val="00C26D09"/>
    <w:rsid w:val="00C2764E"/>
    <w:rsid w:val="00C30E83"/>
    <w:rsid w:val="00C334F9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1C29"/>
    <w:rsid w:val="00C5433E"/>
    <w:rsid w:val="00C54C3D"/>
    <w:rsid w:val="00C55103"/>
    <w:rsid w:val="00C553B5"/>
    <w:rsid w:val="00C60EE9"/>
    <w:rsid w:val="00C62F85"/>
    <w:rsid w:val="00C6435B"/>
    <w:rsid w:val="00C64827"/>
    <w:rsid w:val="00C65929"/>
    <w:rsid w:val="00C67698"/>
    <w:rsid w:val="00C701B3"/>
    <w:rsid w:val="00C706A5"/>
    <w:rsid w:val="00C71138"/>
    <w:rsid w:val="00C72080"/>
    <w:rsid w:val="00C72318"/>
    <w:rsid w:val="00C73C35"/>
    <w:rsid w:val="00C744C3"/>
    <w:rsid w:val="00C76249"/>
    <w:rsid w:val="00C77FF2"/>
    <w:rsid w:val="00C80E65"/>
    <w:rsid w:val="00C814E3"/>
    <w:rsid w:val="00C823BD"/>
    <w:rsid w:val="00C82FA2"/>
    <w:rsid w:val="00C85F79"/>
    <w:rsid w:val="00C91677"/>
    <w:rsid w:val="00C93EAA"/>
    <w:rsid w:val="00C93FD8"/>
    <w:rsid w:val="00C94A80"/>
    <w:rsid w:val="00C94E38"/>
    <w:rsid w:val="00C94F63"/>
    <w:rsid w:val="00C976F1"/>
    <w:rsid w:val="00C97B9F"/>
    <w:rsid w:val="00CA49CC"/>
    <w:rsid w:val="00CA5870"/>
    <w:rsid w:val="00CA6364"/>
    <w:rsid w:val="00CA6F5A"/>
    <w:rsid w:val="00CA6F70"/>
    <w:rsid w:val="00CA71DA"/>
    <w:rsid w:val="00CA7EF6"/>
    <w:rsid w:val="00CB1696"/>
    <w:rsid w:val="00CB2C1A"/>
    <w:rsid w:val="00CB3CA9"/>
    <w:rsid w:val="00CB45B8"/>
    <w:rsid w:val="00CB592A"/>
    <w:rsid w:val="00CB6356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7B38"/>
    <w:rsid w:val="00CE0A3F"/>
    <w:rsid w:val="00CE24DD"/>
    <w:rsid w:val="00CE5396"/>
    <w:rsid w:val="00CE555C"/>
    <w:rsid w:val="00CF0163"/>
    <w:rsid w:val="00CF09A5"/>
    <w:rsid w:val="00CF3268"/>
    <w:rsid w:val="00CF3541"/>
    <w:rsid w:val="00CF38B5"/>
    <w:rsid w:val="00CF490A"/>
    <w:rsid w:val="00CF5E47"/>
    <w:rsid w:val="00CF6BB4"/>
    <w:rsid w:val="00CF6E6C"/>
    <w:rsid w:val="00CF7444"/>
    <w:rsid w:val="00D002B7"/>
    <w:rsid w:val="00D00FB0"/>
    <w:rsid w:val="00D035C0"/>
    <w:rsid w:val="00D039E6"/>
    <w:rsid w:val="00D03E2E"/>
    <w:rsid w:val="00D05527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FA6"/>
    <w:rsid w:val="00D12F92"/>
    <w:rsid w:val="00D138F5"/>
    <w:rsid w:val="00D13B8F"/>
    <w:rsid w:val="00D16D05"/>
    <w:rsid w:val="00D17130"/>
    <w:rsid w:val="00D17758"/>
    <w:rsid w:val="00D21428"/>
    <w:rsid w:val="00D23E6D"/>
    <w:rsid w:val="00D23F6C"/>
    <w:rsid w:val="00D25B22"/>
    <w:rsid w:val="00D268A1"/>
    <w:rsid w:val="00D26D39"/>
    <w:rsid w:val="00D302B4"/>
    <w:rsid w:val="00D31987"/>
    <w:rsid w:val="00D33B2C"/>
    <w:rsid w:val="00D33BC0"/>
    <w:rsid w:val="00D34415"/>
    <w:rsid w:val="00D35B9B"/>
    <w:rsid w:val="00D35EAD"/>
    <w:rsid w:val="00D37DFB"/>
    <w:rsid w:val="00D40078"/>
    <w:rsid w:val="00D4022D"/>
    <w:rsid w:val="00D414F5"/>
    <w:rsid w:val="00D454E7"/>
    <w:rsid w:val="00D46097"/>
    <w:rsid w:val="00D46521"/>
    <w:rsid w:val="00D53275"/>
    <w:rsid w:val="00D54358"/>
    <w:rsid w:val="00D553C6"/>
    <w:rsid w:val="00D5577E"/>
    <w:rsid w:val="00D5614A"/>
    <w:rsid w:val="00D563AD"/>
    <w:rsid w:val="00D567AA"/>
    <w:rsid w:val="00D604DA"/>
    <w:rsid w:val="00D62B1A"/>
    <w:rsid w:val="00D6316F"/>
    <w:rsid w:val="00D63E9A"/>
    <w:rsid w:val="00D66AE3"/>
    <w:rsid w:val="00D67390"/>
    <w:rsid w:val="00D673AA"/>
    <w:rsid w:val="00D713A0"/>
    <w:rsid w:val="00D7152A"/>
    <w:rsid w:val="00D7233D"/>
    <w:rsid w:val="00D7524D"/>
    <w:rsid w:val="00D76CA5"/>
    <w:rsid w:val="00D76ED3"/>
    <w:rsid w:val="00D77DC1"/>
    <w:rsid w:val="00D77E85"/>
    <w:rsid w:val="00D80A2B"/>
    <w:rsid w:val="00D84084"/>
    <w:rsid w:val="00D85054"/>
    <w:rsid w:val="00D851B0"/>
    <w:rsid w:val="00D90594"/>
    <w:rsid w:val="00D90AA2"/>
    <w:rsid w:val="00D93334"/>
    <w:rsid w:val="00D93A63"/>
    <w:rsid w:val="00D93D73"/>
    <w:rsid w:val="00D9452B"/>
    <w:rsid w:val="00D94ADC"/>
    <w:rsid w:val="00D977C8"/>
    <w:rsid w:val="00DA244B"/>
    <w:rsid w:val="00DA3198"/>
    <w:rsid w:val="00DA3867"/>
    <w:rsid w:val="00DA3E9A"/>
    <w:rsid w:val="00DA6F31"/>
    <w:rsid w:val="00DA706E"/>
    <w:rsid w:val="00DA7137"/>
    <w:rsid w:val="00DA7D1B"/>
    <w:rsid w:val="00DB03ED"/>
    <w:rsid w:val="00DB06E9"/>
    <w:rsid w:val="00DB181D"/>
    <w:rsid w:val="00DB1B17"/>
    <w:rsid w:val="00DB1EDB"/>
    <w:rsid w:val="00DB210F"/>
    <w:rsid w:val="00DB220A"/>
    <w:rsid w:val="00DB2DBE"/>
    <w:rsid w:val="00DB49B6"/>
    <w:rsid w:val="00DB5B40"/>
    <w:rsid w:val="00DC1302"/>
    <w:rsid w:val="00DC13E1"/>
    <w:rsid w:val="00DC1E47"/>
    <w:rsid w:val="00DC2397"/>
    <w:rsid w:val="00DC364B"/>
    <w:rsid w:val="00DC4B35"/>
    <w:rsid w:val="00DC5A31"/>
    <w:rsid w:val="00DC676B"/>
    <w:rsid w:val="00DD2648"/>
    <w:rsid w:val="00DD79E3"/>
    <w:rsid w:val="00DE048F"/>
    <w:rsid w:val="00DE215D"/>
    <w:rsid w:val="00DE491D"/>
    <w:rsid w:val="00DE5A78"/>
    <w:rsid w:val="00DE7FFC"/>
    <w:rsid w:val="00DF0119"/>
    <w:rsid w:val="00DF171F"/>
    <w:rsid w:val="00DF1AB3"/>
    <w:rsid w:val="00DF1AB5"/>
    <w:rsid w:val="00E00CDF"/>
    <w:rsid w:val="00E0120D"/>
    <w:rsid w:val="00E01521"/>
    <w:rsid w:val="00E016C4"/>
    <w:rsid w:val="00E0246A"/>
    <w:rsid w:val="00E02A34"/>
    <w:rsid w:val="00E030B1"/>
    <w:rsid w:val="00E040F3"/>
    <w:rsid w:val="00E0420B"/>
    <w:rsid w:val="00E0719F"/>
    <w:rsid w:val="00E11853"/>
    <w:rsid w:val="00E11BB7"/>
    <w:rsid w:val="00E11D10"/>
    <w:rsid w:val="00E11EBD"/>
    <w:rsid w:val="00E1447C"/>
    <w:rsid w:val="00E1484A"/>
    <w:rsid w:val="00E14DE9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43E4"/>
    <w:rsid w:val="00E45315"/>
    <w:rsid w:val="00E461FA"/>
    <w:rsid w:val="00E477A6"/>
    <w:rsid w:val="00E47D6F"/>
    <w:rsid w:val="00E50D58"/>
    <w:rsid w:val="00E5131F"/>
    <w:rsid w:val="00E5224B"/>
    <w:rsid w:val="00E543BB"/>
    <w:rsid w:val="00E55C95"/>
    <w:rsid w:val="00E55FB3"/>
    <w:rsid w:val="00E56009"/>
    <w:rsid w:val="00E57400"/>
    <w:rsid w:val="00E60F25"/>
    <w:rsid w:val="00E61B27"/>
    <w:rsid w:val="00E62E41"/>
    <w:rsid w:val="00E640FA"/>
    <w:rsid w:val="00E6458A"/>
    <w:rsid w:val="00E66872"/>
    <w:rsid w:val="00E67EE4"/>
    <w:rsid w:val="00E7052B"/>
    <w:rsid w:val="00E70D2A"/>
    <w:rsid w:val="00E7109F"/>
    <w:rsid w:val="00E71175"/>
    <w:rsid w:val="00E729D8"/>
    <w:rsid w:val="00E72FB5"/>
    <w:rsid w:val="00E74794"/>
    <w:rsid w:val="00E85462"/>
    <w:rsid w:val="00E8592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6060"/>
    <w:rsid w:val="00E9702D"/>
    <w:rsid w:val="00E974FA"/>
    <w:rsid w:val="00EA1EEC"/>
    <w:rsid w:val="00EA2018"/>
    <w:rsid w:val="00EA205A"/>
    <w:rsid w:val="00EA3C3C"/>
    <w:rsid w:val="00EA4C22"/>
    <w:rsid w:val="00EA57D0"/>
    <w:rsid w:val="00EB078A"/>
    <w:rsid w:val="00EB0D9D"/>
    <w:rsid w:val="00EB284E"/>
    <w:rsid w:val="00EB2FF9"/>
    <w:rsid w:val="00EB41C4"/>
    <w:rsid w:val="00EB5E7C"/>
    <w:rsid w:val="00EB676E"/>
    <w:rsid w:val="00EB68B6"/>
    <w:rsid w:val="00EB6BE8"/>
    <w:rsid w:val="00EB6C77"/>
    <w:rsid w:val="00EC04CA"/>
    <w:rsid w:val="00EC42FA"/>
    <w:rsid w:val="00EC5534"/>
    <w:rsid w:val="00EC578A"/>
    <w:rsid w:val="00EC6555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3BCC"/>
    <w:rsid w:val="00EF4D2C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7B9D"/>
    <w:rsid w:val="00F20644"/>
    <w:rsid w:val="00F20E5B"/>
    <w:rsid w:val="00F21FD0"/>
    <w:rsid w:val="00F23039"/>
    <w:rsid w:val="00F24882"/>
    <w:rsid w:val="00F24E95"/>
    <w:rsid w:val="00F35575"/>
    <w:rsid w:val="00F3570E"/>
    <w:rsid w:val="00F35DBC"/>
    <w:rsid w:val="00F3620D"/>
    <w:rsid w:val="00F37422"/>
    <w:rsid w:val="00F409B1"/>
    <w:rsid w:val="00F40FCE"/>
    <w:rsid w:val="00F40FEE"/>
    <w:rsid w:val="00F44BD0"/>
    <w:rsid w:val="00F44CD1"/>
    <w:rsid w:val="00F4574D"/>
    <w:rsid w:val="00F50003"/>
    <w:rsid w:val="00F53CD4"/>
    <w:rsid w:val="00F5423D"/>
    <w:rsid w:val="00F6021D"/>
    <w:rsid w:val="00F60885"/>
    <w:rsid w:val="00F625E1"/>
    <w:rsid w:val="00F628B0"/>
    <w:rsid w:val="00F62B6E"/>
    <w:rsid w:val="00F65398"/>
    <w:rsid w:val="00F654BE"/>
    <w:rsid w:val="00F65FAF"/>
    <w:rsid w:val="00F66E42"/>
    <w:rsid w:val="00F71ED3"/>
    <w:rsid w:val="00F733C9"/>
    <w:rsid w:val="00F752D4"/>
    <w:rsid w:val="00F80F35"/>
    <w:rsid w:val="00F81337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00D7"/>
    <w:rsid w:val="00FA12E0"/>
    <w:rsid w:val="00FA1489"/>
    <w:rsid w:val="00FA174F"/>
    <w:rsid w:val="00FA2E00"/>
    <w:rsid w:val="00FA3097"/>
    <w:rsid w:val="00FA33E5"/>
    <w:rsid w:val="00FA37C6"/>
    <w:rsid w:val="00FA5F0F"/>
    <w:rsid w:val="00FB444E"/>
    <w:rsid w:val="00FB52FD"/>
    <w:rsid w:val="00FB5856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44AB"/>
    <w:rsid w:val="00FD4A4B"/>
    <w:rsid w:val="00FD511B"/>
    <w:rsid w:val="00FD5C41"/>
    <w:rsid w:val="00FD5E2D"/>
    <w:rsid w:val="00FD7AD8"/>
    <w:rsid w:val="00FD7BFC"/>
    <w:rsid w:val="00FD7CAB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en-US" sz="1800" b="1" i="0" baseline="0"/>
              <a:t>Evolution de l'Indice de Confiance des Ménages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2049622793843229"/>
          <c:y val="4.054182032418554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'[resultatseECM(trim1-08-trim3-2014).xlsx]graphes ar'!$A$8</c:f>
              <c:strCache>
                <c:ptCount val="1"/>
                <c:pt idx="0">
                  <c:v>ICM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'[resultatseECM(trim1-08-trim3-2014).xlsx]graphes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'[resultatseECM(trim1-08-trim3-2014).xlsx]graphes ar'!$B$8:$AB$8</c:f>
              <c:numCache>
                <c:formatCode>0.0</c:formatCode>
                <c:ptCount val="27"/>
                <c:pt idx="0">
                  <c:v>85.866502294191648</c:v>
                </c:pt>
                <c:pt idx="1">
                  <c:v>77.678707955852715</c:v>
                </c:pt>
                <c:pt idx="2">
                  <c:v>75.55248063575614</c:v>
                </c:pt>
                <c:pt idx="3">
                  <c:v>80.13688403490427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80.136086093618957</c:v>
                </c:pt>
                <c:pt idx="9">
                  <c:v>78.833388330573825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78.406406130604495</c:v>
                </c:pt>
                <c:pt idx="13">
                  <c:v>85.789532632532371</c:v>
                </c:pt>
                <c:pt idx="14">
                  <c:v>86.506225251482533</c:v>
                </c:pt>
                <c:pt idx="15">
                  <c:v>84.477214694877489</c:v>
                </c:pt>
                <c:pt idx="16">
                  <c:v>82.880478542821123</c:v>
                </c:pt>
                <c:pt idx="17">
                  <c:v>80.673652783725359</c:v>
                </c:pt>
                <c:pt idx="18">
                  <c:v>77.553867036569045</c:v>
                </c:pt>
                <c:pt idx="19">
                  <c:v>78.403353681349927</c:v>
                </c:pt>
                <c:pt idx="20">
                  <c:v>75.830193123476278</c:v>
                </c:pt>
                <c:pt idx="21">
                  <c:v>74.2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74.014553099961859</c:v>
                </c:pt>
                <c:pt idx="26" formatCode="#,##0.0">
                  <c:v>73.099999999999994</c:v>
                </c:pt>
              </c:numCache>
            </c:numRef>
          </c:val>
        </c:ser>
        <c:dLbls>
          <c:showVal val="1"/>
        </c:dLbls>
        <c:overlap val="-25"/>
        <c:axId val="108911232"/>
        <c:axId val="108917120"/>
      </c:barChart>
      <c:catAx>
        <c:axId val="1089112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8917120"/>
        <c:crosses val="autoZero"/>
        <c:auto val="1"/>
        <c:lblAlgn val="ctr"/>
        <c:lblOffset val="100"/>
      </c:catAx>
      <c:valAx>
        <c:axId val="108917120"/>
        <c:scaling>
          <c:orientation val="minMax"/>
        </c:scaling>
        <c:delete val="1"/>
        <c:axPos val="l"/>
        <c:numFmt formatCode="0.0" sourceLinked="1"/>
        <c:tickLblPos val="none"/>
        <c:crossAx val="1089112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Evolutions passée et future  du niveau de vie</a:t>
            </a:r>
            <a:endParaRPr lang="fr-FR" sz="1400"/>
          </a:p>
          <a:p>
            <a:pPr>
              <a:defRPr sz="1400"/>
            </a:pPr>
            <a:r>
              <a:rPr lang="fr-FR" sz="1400" b="1" i="0" baseline="0"/>
              <a:t>(soldes d'opinion)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'solde trim1-08-trim3-14'!$A$6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cat>
            <c:strRef>
              <c:f>'solde trim1-08-trim3-14'!$B$1:$AB$1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'solde trim1-08-trim3-14'!$B$6:$AB$6</c:f>
              <c:numCache>
                <c:formatCode>#,##0.0</c:formatCode>
                <c:ptCount val="27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-31.141291421499769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-25.723634629572967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-37.23676034498348</c:v>
                </c:pt>
                <c:pt idx="12">
                  <c:v>-26.050959167650106</c:v>
                </c:pt>
                <c:pt idx="13">
                  <c:v>-16.961438303130837</c:v>
                </c:pt>
                <c:pt idx="14">
                  <c:v>-13.439142519852034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-28.088708351168624</c:v>
                </c:pt>
                <c:pt idx="20">
                  <c:v>-29.212341127418195</c:v>
                </c:pt>
                <c:pt idx="21">
                  <c:v>-23.102864483982106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 formatCode="#,##0.00">
                  <c:v>-17.740461010850293</c:v>
                </c:pt>
                <c:pt idx="26">
                  <c:v>-17.387590506775588</c:v>
                </c:pt>
              </c:numCache>
            </c:numRef>
          </c:val>
        </c:ser>
        <c:ser>
          <c:idx val="1"/>
          <c:order val="1"/>
          <c:tx>
            <c:strRef>
              <c:f>'solde trim1-08-trim3-14'!$A$7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'solde trim1-08-trim3-14'!$B$1:$AB$1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'solde trim1-08-trim3-14'!$B$7:$AB$7</c:f>
              <c:numCache>
                <c:formatCode>#,##0.0</c:formatCode>
                <c:ptCount val="27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8.4334302751113185E-2</c:v>
                </c:pt>
                <c:pt idx="7">
                  <c:v>2.1853913991610052</c:v>
                </c:pt>
                <c:pt idx="8">
                  <c:v>0.39154986438085793</c:v>
                </c:pt>
                <c:pt idx="9">
                  <c:v>2.7314646872285109</c:v>
                </c:pt>
                <c:pt idx="10">
                  <c:v>0.19418325799955083</c:v>
                </c:pt>
                <c:pt idx="11">
                  <c:v>-11.371112777150765</c:v>
                </c:pt>
                <c:pt idx="12">
                  <c:v>-1.8875512037963251</c:v>
                </c:pt>
                <c:pt idx="13">
                  <c:v>18.132139936578763</c:v>
                </c:pt>
                <c:pt idx="14">
                  <c:v>11.870106120928314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-11.389732068783639</c:v>
                </c:pt>
                <c:pt idx="25" formatCode="#,##0.00">
                  <c:v>-13.063768224593518</c:v>
                </c:pt>
                <c:pt idx="26">
                  <c:v>-13.090700094553394</c:v>
                </c:pt>
              </c:numCache>
            </c:numRef>
          </c:val>
        </c:ser>
        <c:marker val="1"/>
        <c:axId val="116503296"/>
        <c:axId val="116504832"/>
      </c:lineChart>
      <c:catAx>
        <c:axId val="1165032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6504832"/>
        <c:crosses val="autoZero"/>
        <c:auto val="1"/>
        <c:lblAlgn val="ctr"/>
        <c:lblOffset val="100"/>
      </c:catAx>
      <c:valAx>
        <c:axId val="1165048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65032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/>
              <a:t>Perspective d'évolution du nombre de chômeurs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'solde trim1-08-trim3-14'!$A$5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'solde trim1-08-trim3-14'!$B$1:$AB$1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'solde trim1-08-trim3-14'!$B$5:$AB$5</c:f>
              <c:numCache>
                <c:formatCode>#,##0.0</c:formatCode>
                <c:ptCount val="27"/>
                <c:pt idx="0">
                  <c:v>-52.09569227917931</c:v>
                </c:pt>
                <c:pt idx="1">
                  <c:v>-56.601297669293096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-57.930600458568392</c:v>
                </c:pt>
                <c:pt idx="7">
                  <c:v>-57.517749523976427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-52.335316844022536</c:v>
                </c:pt>
                <c:pt idx="12">
                  <c:v>-52.408437207990346</c:v>
                </c:pt>
                <c:pt idx="13">
                  <c:v>-45.982278486233369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 formatCode="#,##0.00">
                  <c:v>-66.493969881109479</c:v>
                </c:pt>
                <c:pt idx="26">
                  <c:v>-68.825577821249638</c:v>
                </c:pt>
              </c:numCache>
            </c:numRef>
          </c:val>
        </c:ser>
        <c:marker val="1"/>
        <c:axId val="108919040"/>
        <c:axId val="116519680"/>
      </c:lineChart>
      <c:catAx>
        <c:axId val="10891904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6519680"/>
        <c:crosses val="autoZero"/>
        <c:auto val="1"/>
        <c:lblAlgn val="ctr"/>
        <c:lblOffset val="100"/>
      </c:catAx>
      <c:valAx>
        <c:axId val="11651968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089190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en-US" sz="1400" b="1" i="0" baseline="0"/>
              <a:t>Perceptions des ménages sur l'opportunité d'achat des biens durables</a:t>
            </a:r>
            <a:r>
              <a:rPr lang="fr-FR" sz="1400" b="1" i="0" baseline="0"/>
              <a:t> 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'solde trim1-08-trim3-14'!$A$9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'solde trim1-08-trim3-14'!$B$1:$AB$1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'solde trim1-08-trim3-14'!$B$9:$AB$9</c:f>
              <c:numCache>
                <c:formatCode>#,##0.0</c:formatCode>
                <c:ptCount val="27"/>
                <c:pt idx="0">
                  <c:v>-30.018449770831737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-37.532519098271976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-39.860076277616642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 formatCode="#,##0.00">
                  <c:v>-28.892463445062127</c:v>
                </c:pt>
                <c:pt idx="26">
                  <c:v>-33.067265037911191</c:v>
                </c:pt>
              </c:numCache>
            </c:numRef>
          </c:val>
        </c:ser>
        <c:marker val="1"/>
        <c:axId val="104191872"/>
        <c:axId val="104193408"/>
      </c:lineChart>
      <c:catAx>
        <c:axId val="10419187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4193408"/>
        <c:crosses val="autoZero"/>
        <c:auto val="1"/>
        <c:lblAlgn val="ctr"/>
        <c:lblOffset val="100"/>
      </c:catAx>
      <c:valAx>
        <c:axId val="104193408"/>
        <c:scaling>
          <c:orientation val="minMax"/>
        </c:scaling>
        <c:axPos val="l"/>
        <c:majorGridlines/>
        <c:numFmt formatCode="#,##0.0" sourceLinked="1"/>
        <c:tickLblPos val="nextTo"/>
        <c:crossAx val="10419187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600" b="1" i="0" baseline="0"/>
              <a:t>Perceptions des ménages sur leurs situations financières</a:t>
            </a:r>
          </a:p>
          <a:p>
            <a:pPr>
              <a:defRPr/>
            </a:pPr>
            <a:r>
              <a:rPr lang="fr-FR" sz="1600" b="1" i="0" baseline="0"/>
              <a:t>(soldes d'opinions) </a:t>
            </a:r>
            <a:endParaRPr lang="fr-FR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 actuelle</c:v>
                </c:pt>
              </c:strCache>
            </c:strRef>
          </c:tx>
          <c:cat>
            <c:strRef>
              <c:f>'graphe fr'!$B$9:$AD$9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 fr'!$B$14:$AD$14</c:f>
              <c:numCache>
                <c:formatCode>#,##0.0</c:formatCode>
                <c:ptCount val="2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-30.846093343724164</c:v>
                </c:pt>
                <c:pt idx="19">
                  <c:v>-29.426966691861228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-29.484131282651173</c:v>
                </c:pt>
                <c:pt idx="23">
                  <c:v>-29.485585569479909</c:v>
                </c:pt>
                <c:pt idx="24">
                  <c:v>-31.290770339915007</c:v>
                </c:pt>
                <c:pt idx="25" formatCode="#,##0.00">
                  <c:v>-29.704256665370011</c:v>
                </c:pt>
                <c:pt idx="26" formatCode="General">
                  <c:v>-28.344504427944035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 passée </c:v>
                </c:pt>
              </c:strCache>
            </c:strRef>
          </c:tx>
          <c:cat>
            <c:strRef>
              <c:f>'graphe fr'!$B$9:$AD$9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 fr'!$B$15:$AD$15</c:f>
              <c:numCache>
                <c:formatCode>#,##0.0</c:formatCode>
                <c:ptCount val="29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-21.891965579068547</c:v>
                </c:pt>
                <c:pt idx="23">
                  <c:v>-21.870867995539985</c:v>
                </c:pt>
                <c:pt idx="24">
                  <c:v>-21.277780753263979</c:v>
                </c:pt>
                <c:pt idx="25" formatCode="#,##0.00">
                  <c:v>-23.337257864101161</c:v>
                </c:pt>
                <c:pt idx="26" formatCode="General">
                  <c:v>-25.773771694272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 future</c:v>
                </c:pt>
              </c:strCache>
            </c:strRef>
          </c:tx>
          <c:cat>
            <c:strRef>
              <c:f>'graphe fr'!$B$9:$AD$9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 fr'!$B$16:$AD$16</c:f>
              <c:numCache>
                <c:formatCode>#,##0.0</c:formatCode>
                <c:ptCount val="2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  <c:pt idx="18">
                  <c:v>7.6658451594012842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-1.7003971659207227</c:v>
                </c:pt>
                <c:pt idx="24">
                  <c:v>1.2126606998519158</c:v>
                </c:pt>
                <c:pt idx="25" formatCode="#,##0.00">
                  <c:v>-2.6659512091834952</c:v>
                </c:pt>
                <c:pt idx="26" formatCode="General">
                  <c:v>-1.4735728224612341</c:v>
                </c:pt>
              </c:numCache>
            </c:numRef>
          </c:val>
        </c:ser>
        <c:marker val="1"/>
        <c:axId val="104641664"/>
        <c:axId val="104643200"/>
      </c:lineChart>
      <c:catAx>
        <c:axId val="10464166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4643200"/>
        <c:crosses val="autoZero"/>
        <c:auto val="1"/>
        <c:lblAlgn val="ctr"/>
        <c:lblOffset val="100"/>
      </c:catAx>
      <c:valAx>
        <c:axId val="10464320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0464166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fr-FR"/>
              <a:t>Perception  de l'évolution future des prix des produits alimentaires (en %)</a:t>
            </a:r>
          </a:p>
        </c:rich>
      </c:tx>
      <c:layout>
        <c:manualLayout>
          <c:xMode val="edge"/>
          <c:yMode val="edge"/>
          <c:x val="8.7658592848904274E-2"/>
          <c:y val="2.1276595744680847E-2"/>
        </c:manualLayout>
      </c:layout>
    </c:title>
    <c:plotArea>
      <c:layout>
        <c:manualLayout>
          <c:layoutTarget val="inner"/>
          <c:xMode val="edge"/>
          <c:yMode val="edge"/>
          <c:x val="7.0343707309753506E-2"/>
          <c:y val="0.12394320636119772"/>
          <c:w val="0.88909872957895453"/>
          <c:h val="0.67628832300218022"/>
        </c:manualLayout>
      </c:layout>
      <c:barChart>
        <c:barDir val="col"/>
        <c:grouping val="clustered"/>
        <c:ser>
          <c:idx val="0"/>
          <c:order val="0"/>
          <c:tx>
            <c:strRef>
              <c:f>Feuil3!$A$7</c:f>
              <c:strCache>
                <c:ptCount val="1"/>
                <c:pt idx="0">
                  <c:v>Augmentation</c:v>
                </c:pt>
              </c:strCache>
            </c:strRef>
          </c:tx>
          <c:cat>
            <c:strRef>
              <c:f>Feuil3!$B$6:$D$6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Feuil3!$B$7:$D$7</c:f>
              <c:numCache>
                <c:formatCode>#,##0.0%</c:formatCode>
                <c:ptCount val="3"/>
                <c:pt idx="0">
                  <c:v>0.76683781813050156</c:v>
                </c:pt>
                <c:pt idx="1">
                  <c:v>0.79353452868334551</c:v>
                </c:pt>
                <c:pt idx="2">
                  <c:v>0.78048807048985291</c:v>
                </c:pt>
              </c:numCache>
            </c:numRef>
          </c:val>
        </c:ser>
        <c:ser>
          <c:idx val="1"/>
          <c:order val="1"/>
          <c:tx>
            <c:strRef>
              <c:f>Feuil3!$A$8</c:f>
              <c:strCache>
                <c:ptCount val="1"/>
                <c:pt idx="0">
                  <c:v>Stagnation</c:v>
                </c:pt>
              </c:strCache>
            </c:strRef>
          </c:tx>
          <c:cat>
            <c:strRef>
              <c:f>Feuil3!$B$6:$D$6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Feuil3!$B$8:$D$8</c:f>
              <c:numCache>
                <c:formatCode>#,##0.0%</c:formatCode>
                <c:ptCount val="3"/>
                <c:pt idx="0">
                  <c:v>0.22639892300025333</c:v>
                </c:pt>
                <c:pt idx="1">
                  <c:v>0.19335449784596903</c:v>
                </c:pt>
                <c:pt idx="2">
                  <c:v>0.20801227623759591</c:v>
                </c:pt>
              </c:numCache>
            </c:numRef>
          </c:val>
        </c:ser>
        <c:ser>
          <c:idx val="2"/>
          <c:order val="2"/>
          <c:tx>
            <c:strRef>
              <c:f>Feuil3!$A$9</c:f>
              <c:strCache>
                <c:ptCount val="1"/>
                <c:pt idx="0">
                  <c:v>Diminution</c:v>
                </c:pt>
              </c:strCache>
            </c:strRef>
          </c:tx>
          <c:cat>
            <c:strRef>
              <c:f>Feuil3!$B$6:$D$6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Feuil3!$B$9:$D$9</c:f>
              <c:numCache>
                <c:formatCode>#,##0.0%</c:formatCode>
                <c:ptCount val="3"/>
                <c:pt idx="0">
                  <c:v>6.7632588692425931E-3</c:v>
                </c:pt>
                <c:pt idx="1">
                  <c:v>1.3110973470684186E-2</c:v>
                </c:pt>
                <c:pt idx="2">
                  <c:v>1.1499653272550991E-2</c:v>
                </c:pt>
              </c:numCache>
            </c:numRef>
          </c:val>
        </c:ser>
        <c:dLbls>
          <c:showVal val="1"/>
        </c:dLbls>
        <c:overlap val="-25"/>
        <c:axId val="63004672"/>
        <c:axId val="63006208"/>
      </c:barChart>
      <c:catAx>
        <c:axId val="63004672"/>
        <c:scaling>
          <c:orientation val="minMax"/>
        </c:scaling>
        <c:axPos val="b"/>
        <c:majorTickMark val="none"/>
        <c:tickLblPos val="nextTo"/>
        <c:crossAx val="63006208"/>
        <c:crosses val="autoZero"/>
        <c:auto val="1"/>
        <c:lblAlgn val="ctr"/>
        <c:lblOffset val="100"/>
      </c:catAx>
      <c:valAx>
        <c:axId val="63006208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63004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6152310809057608E-2"/>
          <c:y val="0.90637125146590714"/>
          <c:w val="0.85125994231709878"/>
          <c:h val="5.8167888719069756E-2"/>
        </c:manualLayout>
      </c:layout>
      <c:txPr>
        <a:bodyPr/>
        <a:lstStyle/>
        <a:p>
          <a:pPr>
            <a:defRPr sz="1000"/>
          </a:pPr>
          <a:endParaRPr lang="fr-FR"/>
        </a:p>
      </c:txPr>
    </c:legend>
    <c:plotVisOnly val="1"/>
  </c:chart>
  <c:txPr>
    <a:bodyPr/>
    <a:lstStyle/>
    <a:p>
      <a:pPr>
        <a:defRPr sz="900"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200"/>
            </a:pPr>
            <a:r>
              <a:rPr lang="fr-FR" sz="1080" b="1" i="0" baseline="0"/>
              <a:t>Perception  de l'évolution passée des prix des produits alimentaires (en %)</a:t>
            </a:r>
            <a:endParaRPr lang="fr-FR" sz="1080"/>
          </a:p>
        </c:rich>
      </c:tx>
      <c:layout>
        <c:manualLayout>
          <c:xMode val="edge"/>
          <c:yMode val="edge"/>
          <c:x val="0.11043083900226726"/>
          <c:y val="2.4822695035460994E-2"/>
        </c:manualLayout>
      </c:layout>
    </c:title>
    <c:plotArea>
      <c:layout>
        <c:manualLayout>
          <c:layoutTarget val="inner"/>
          <c:xMode val="edge"/>
          <c:yMode val="edge"/>
          <c:x val="6.1111111111111123E-2"/>
          <c:y val="0.14437943246091683"/>
          <c:w val="0.93888888888889155"/>
          <c:h val="0.65498454822839969"/>
        </c:manualLayout>
      </c:layout>
      <c:barChart>
        <c:barDir val="col"/>
        <c:grouping val="clustered"/>
        <c:ser>
          <c:idx val="0"/>
          <c:order val="0"/>
          <c:tx>
            <c:strRef>
              <c:f>Feuil3!$A$29</c:f>
              <c:strCache>
                <c:ptCount val="1"/>
                <c:pt idx="0">
                  <c:v>Augmentation</c:v>
                </c:pt>
              </c:strCache>
            </c:strRef>
          </c:tx>
          <c:cat>
            <c:strRef>
              <c:f>Feuil3!$C$28:$E$28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Feuil3!$B$29:$D$29</c:f>
              <c:numCache>
                <c:formatCode>#,##0.0%</c:formatCode>
                <c:ptCount val="3"/>
                <c:pt idx="0">
                  <c:v>0.91438433149499432</c:v>
                </c:pt>
                <c:pt idx="1">
                  <c:v>0.85326069490541667</c:v>
                </c:pt>
                <c:pt idx="2">
                  <c:v>0.83396482508920533</c:v>
                </c:pt>
              </c:numCache>
            </c:numRef>
          </c:val>
        </c:ser>
        <c:ser>
          <c:idx val="1"/>
          <c:order val="1"/>
          <c:tx>
            <c:strRef>
              <c:f>Feuil3!$A$30</c:f>
              <c:strCache>
                <c:ptCount val="1"/>
                <c:pt idx="0">
                  <c:v>Stagnation</c:v>
                </c:pt>
              </c:strCache>
            </c:strRef>
          </c:tx>
          <c:cat>
            <c:strRef>
              <c:f>Feuil3!$C$28:$E$28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Feuil3!$B$30:$D$30</c:f>
              <c:numCache>
                <c:formatCode>#,##0.0%</c:formatCode>
                <c:ptCount val="3"/>
                <c:pt idx="0">
                  <c:v>7.6311149928791414E-2</c:v>
                </c:pt>
                <c:pt idx="1">
                  <c:v>0.13483576894705868</c:v>
                </c:pt>
                <c:pt idx="2">
                  <c:v>0.14970284651782753</c:v>
                </c:pt>
              </c:numCache>
            </c:numRef>
          </c:val>
        </c:ser>
        <c:ser>
          <c:idx val="2"/>
          <c:order val="2"/>
          <c:tx>
            <c:strRef>
              <c:f>Feuil3!$A$31</c:f>
              <c:strCache>
                <c:ptCount val="1"/>
                <c:pt idx="0">
                  <c:v>Diminution</c:v>
                </c:pt>
              </c:strCache>
            </c:strRef>
          </c:tx>
          <c:cat>
            <c:strRef>
              <c:f>Feuil3!$C$28:$E$28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Feuil3!$B$31:$D$31</c:f>
              <c:numCache>
                <c:formatCode>#,##0.0%</c:formatCode>
                <c:ptCount val="3"/>
                <c:pt idx="0">
                  <c:v>9.3045185762115866E-3</c:v>
                </c:pt>
                <c:pt idx="1">
                  <c:v>1.1903536147524625E-2</c:v>
                </c:pt>
                <c:pt idx="2">
                  <c:v>1.6332328392969307E-2</c:v>
                </c:pt>
              </c:numCache>
            </c:numRef>
          </c:val>
        </c:ser>
        <c:dLbls>
          <c:showVal val="1"/>
        </c:dLbls>
        <c:overlap val="-25"/>
        <c:axId val="52644480"/>
        <c:axId val="52654464"/>
      </c:barChart>
      <c:catAx>
        <c:axId val="52644480"/>
        <c:scaling>
          <c:orientation val="minMax"/>
        </c:scaling>
        <c:axPos val="b"/>
        <c:majorTickMark val="none"/>
        <c:tickLblPos val="nextTo"/>
        <c:crossAx val="52654464"/>
        <c:crosses val="autoZero"/>
        <c:auto val="1"/>
        <c:lblAlgn val="ctr"/>
        <c:lblOffset val="100"/>
      </c:catAx>
      <c:valAx>
        <c:axId val="52654464"/>
        <c:scaling>
          <c:orientation val="minMax"/>
        </c:scaling>
        <c:delete val="1"/>
        <c:axPos val="l"/>
        <c:numFmt formatCode="#,##0.0%" sourceLinked="1"/>
        <c:tickLblPos val="none"/>
        <c:crossAx val="526444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1388469298480547"/>
          <c:y val="0.89000366734980063"/>
          <c:w val="0.88611494991697148"/>
          <c:h val="6.6056323605888936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4B0A-7B3B-4510-943E-2C9B58E1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9459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2014-11-12T16:09:00Z</cp:lastPrinted>
  <dcterms:created xsi:type="dcterms:W3CDTF">2014-11-17T19:03:00Z</dcterms:created>
  <dcterms:modified xsi:type="dcterms:W3CDTF">2014-11-17T19:03:00Z</dcterms:modified>
</cp:coreProperties>
</file>