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FE10A9">
      <w:pPr>
        <w:pStyle w:val="Titre"/>
      </w:pPr>
      <w:r>
        <w:t xml:space="preserve">                          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Pr="00B03647" w:rsidRDefault="00093022" w:rsidP="00093022">
      <w:pPr>
        <w:jc w:val="center"/>
        <w:rPr>
          <w:rFonts w:ascii="Arial" w:hAnsi="Arial"/>
          <w:b/>
          <w:bCs/>
          <w:shadow/>
          <w:sz w:val="28"/>
          <w:szCs w:val="28"/>
        </w:rPr>
      </w:pPr>
      <w:r w:rsidRPr="00B03647">
        <w:rPr>
          <w:rFonts w:ascii="Arial" w:hAnsi="Arial"/>
          <w:b/>
          <w:bCs/>
          <w:shadow/>
          <w:sz w:val="28"/>
          <w:szCs w:val="28"/>
        </w:rPr>
        <w:t>Note d’information relative aux résultats</w:t>
      </w:r>
    </w:p>
    <w:p w:rsidR="00093022" w:rsidRPr="00B03647" w:rsidRDefault="00093022" w:rsidP="00093022">
      <w:pPr>
        <w:jc w:val="center"/>
        <w:rPr>
          <w:rFonts w:ascii="Arial" w:hAnsi="Arial"/>
          <w:b/>
          <w:bCs/>
          <w:shadow/>
          <w:sz w:val="28"/>
          <w:szCs w:val="28"/>
        </w:rPr>
      </w:pPr>
      <w:r w:rsidRPr="00B03647">
        <w:rPr>
          <w:rFonts w:ascii="Arial" w:hAnsi="Arial"/>
          <w:b/>
          <w:bCs/>
          <w:shadow/>
          <w:sz w:val="28"/>
          <w:szCs w:val="28"/>
        </w:rPr>
        <w:t xml:space="preserve">   du compte satellite de tourisme de 2013</w:t>
      </w: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Pr="00ED3925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Pr="006C21ED" w:rsidRDefault="00093022" w:rsidP="00093022">
      <w:pPr>
        <w:pStyle w:val="Notedebasdepage"/>
        <w:spacing w:before="120" w:line="360" w:lineRule="auto"/>
        <w:ind w:firstLine="708"/>
        <w:jc w:val="both"/>
        <w:rPr>
          <w:rFonts w:ascii="Arial" w:hAnsi="Arial"/>
          <w:b/>
          <w:bCs/>
          <w:sz w:val="24"/>
        </w:rPr>
      </w:pPr>
      <w:r w:rsidRPr="006C21ED">
        <w:rPr>
          <w:rFonts w:ascii="Arial" w:hAnsi="Arial"/>
          <w:b/>
          <w:bCs/>
          <w:sz w:val="24"/>
        </w:rPr>
        <w:t xml:space="preserve">L’arrêté du compte satellite du tourisme pour l’année 2013 montre une amélioration importante du Produit Intérieur Brut (PIB) dégagé par l’activité du secteur du tourisme, de l’ordre de 4,6% au lieu d’une faible hausse de 0,5% en 2012. </w:t>
      </w:r>
    </w:p>
    <w:p w:rsidR="00093022" w:rsidRPr="000519FB" w:rsidRDefault="00093022" w:rsidP="00905C15">
      <w:pPr>
        <w:pStyle w:val="Notedebasdepage"/>
        <w:spacing w:after="0" w:line="200" w:lineRule="exact"/>
        <w:ind w:firstLine="709"/>
        <w:jc w:val="both"/>
        <w:rPr>
          <w:rFonts w:ascii="Arial" w:hAnsi="Arial"/>
          <w:sz w:val="24"/>
        </w:rPr>
      </w:pPr>
    </w:p>
    <w:p w:rsidR="00093022" w:rsidRPr="006C21ED" w:rsidRDefault="00093022" w:rsidP="00093022">
      <w:pPr>
        <w:spacing w:line="360" w:lineRule="auto"/>
        <w:ind w:firstLine="708"/>
        <w:jc w:val="both"/>
        <w:rPr>
          <w:rFonts w:ascii="Arial" w:hAnsi="Arial"/>
          <w:b/>
          <w:bCs/>
        </w:rPr>
      </w:pPr>
      <w:r w:rsidRPr="006C21ED">
        <w:rPr>
          <w:rFonts w:ascii="Arial" w:hAnsi="Arial"/>
          <w:b/>
          <w:bCs/>
        </w:rPr>
        <w:t>La consommation intérieure</w:t>
      </w:r>
      <w:r w:rsidRPr="006C21ED">
        <w:rPr>
          <w:rStyle w:val="Appelnotedebasdep"/>
          <w:rFonts w:ascii="Arial" w:hAnsi="Arial"/>
          <w:b/>
          <w:bCs/>
        </w:rPr>
        <w:footnoteReference w:id="1"/>
      </w:r>
      <w:r w:rsidRPr="006C21ED">
        <w:rPr>
          <w:rFonts w:ascii="Arial" w:hAnsi="Arial"/>
          <w:b/>
          <w:bCs/>
        </w:rPr>
        <w:t xml:space="preserve"> du tourisme s’est inscrite en augmentation </w:t>
      </w:r>
      <w:r w:rsidRPr="006C21ED">
        <w:rPr>
          <w:rFonts w:ascii="Arial" w:hAnsi="Arial"/>
          <w:b/>
          <w:bCs/>
          <w:color w:val="000000"/>
        </w:rPr>
        <w:t>en valeur  de 4,3%  au lieu de 3% en 2012</w:t>
      </w:r>
      <w:r w:rsidRPr="006C21ED">
        <w:rPr>
          <w:rFonts w:ascii="Arial" w:hAnsi="Arial"/>
          <w:b/>
          <w:bCs/>
        </w:rPr>
        <w:t>.</w:t>
      </w:r>
      <w:r w:rsidRPr="006C21ED">
        <w:rPr>
          <w:rFonts w:ascii="Arial" w:hAnsi="Arial"/>
          <w:b/>
          <w:bCs/>
          <w:color w:val="000000"/>
        </w:rPr>
        <w:t xml:space="preserve"> C’est ainsi qu’elle a atteint  101,9  milliards de dirhams en 2013 au lieu de 97,7 milliards en 2012.</w:t>
      </w:r>
    </w:p>
    <w:p w:rsidR="00093022" w:rsidRDefault="00093022" w:rsidP="00093022">
      <w:pPr>
        <w:pStyle w:val="Notedebasdepage"/>
        <w:spacing w:after="0" w:line="24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</w:p>
    <w:p w:rsidR="00093022" w:rsidRDefault="00093022" w:rsidP="00093022">
      <w:pPr>
        <w:pStyle w:val="Notedebasdepage"/>
        <w:spacing w:before="120"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  <w:szCs w:val="24"/>
        </w:rPr>
        <w:t>Dans ce cadre, l</w:t>
      </w:r>
      <w:r w:rsidRPr="0083598B">
        <w:rPr>
          <w:rFonts w:ascii="Arial" w:hAnsi="Arial"/>
          <w:color w:val="000000"/>
          <w:sz w:val="24"/>
          <w:szCs w:val="24"/>
        </w:rPr>
        <w:t xml:space="preserve">a consommation intérieure du </w:t>
      </w:r>
      <w:r w:rsidRPr="009E3BBC">
        <w:rPr>
          <w:rFonts w:ascii="Arial" w:hAnsi="Arial"/>
          <w:b/>
          <w:color w:val="000000"/>
          <w:sz w:val="24"/>
          <w:szCs w:val="24"/>
        </w:rPr>
        <w:t>tourisme récepteur</w:t>
      </w:r>
      <w:r w:rsidRPr="0083598B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</w:rPr>
        <w:t>a atteint 71,5 milliards</w:t>
      </w:r>
      <w:r w:rsidRPr="006A559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de dirhams en 2013 contre 69,5 milliards en 2012, progressant ainsi de 2,8% au lieu de 1,1%  en 2012. </w:t>
      </w:r>
    </w:p>
    <w:p w:rsidR="00093022" w:rsidRDefault="00093022" w:rsidP="006C21ED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De son côté, la</w:t>
      </w:r>
      <w:r w:rsidRPr="0083598B">
        <w:rPr>
          <w:rFonts w:ascii="Arial" w:hAnsi="Arial"/>
          <w:color w:val="000000"/>
        </w:rPr>
        <w:t xml:space="preserve"> consommation du </w:t>
      </w:r>
      <w:r w:rsidRPr="009E3BBC">
        <w:rPr>
          <w:rFonts w:ascii="Arial" w:hAnsi="Arial"/>
          <w:b/>
          <w:color w:val="000000"/>
        </w:rPr>
        <w:t>tourisme interne et émetteur</w:t>
      </w:r>
      <w:r>
        <w:rPr>
          <w:rStyle w:val="Appelnotedebasdep"/>
          <w:rFonts w:ascii="Arial" w:hAnsi="Arial"/>
          <w:b/>
          <w:color w:val="000000"/>
        </w:rPr>
        <w:footnoteReference w:id="2"/>
      </w:r>
      <w:r w:rsidRPr="009E3BBC">
        <w:rPr>
          <w:rFonts w:ascii="Arial" w:hAnsi="Arial"/>
        </w:rPr>
        <w:t xml:space="preserve"> </w:t>
      </w:r>
      <w:r>
        <w:rPr>
          <w:rFonts w:ascii="Arial" w:hAnsi="Arial"/>
        </w:rPr>
        <w:t>a enregistré une hausse de 8%  contre 7,9% en 2012 pour atteindre  30,4</w:t>
      </w:r>
      <w:r w:rsidRPr="00D64E35">
        <w:rPr>
          <w:rFonts w:ascii="Arial" w:hAnsi="Arial"/>
        </w:rPr>
        <w:t xml:space="preserve"> milliards de </w:t>
      </w:r>
      <w:r>
        <w:rPr>
          <w:rFonts w:ascii="Arial" w:hAnsi="Arial"/>
        </w:rPr>
        <w:t>dirhams</w:t>
      </w:r>
      <w:r w:rsidRPr="00D64E35">
        <w:rPr>
          <w:rFonts w:ascii="Arial" w:hAnsi="Arial"/>
        </w:rPr>
        <w:t xml:space="preserve"> </w:t>
      </w:r>
      <w:r>
        <w:rPr>
          <w:rFonts w:ascii="Arial" w:hAnsi="Arial"/>
        </w:rPr>
        <w:t>e</w:t>
      </w:r>
      <w:r w:rsidRPr="00D64E35">
        <w:rPr>
          <w:rFonts w:ascii="Arial" w:hAnsi="Arial"/>
        </w:rPr>
        <w:t>n 20</w:t>
      </w:r>
      <w:r>
        <w:rPr>
          <w:rFonts w:ascii="Arial" w:hAnsi="Arial"/>
        </w:rPr>
        <w:t>13.</w:t>
      </w:r>
    </w:p>
    <w:p w:rsidR="00093022" w:rsidRDefault="00093022" w:rsidP="006C21E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Sa part dans la consommation intérieure du tourisme est passée de 28,8% à 29,8% en 2013. </w:t>
      </w:r>
    </w:p>
    <w:p w:rsidR="00905C15" w:rsidRDefault="00905C15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Globalement, la production générée par le secteur du </w:t>
      </w:r>
      <w:r w:rsidRPr="00D64E35">
        <w:rPr>
          <w:rFonts w:ascii="Arial" w:hAnsi="Arial"/>
        </w:rPr>
        <w:t xml:space="preserve"> tourisme</w:t>
      </w:r>
      <w:r>
        <w:rPr>
          <w:rFonts w:ascii="Arial" w:hAnsi="Arial"/>
        </w:rPr>
        <w:t xml:space="preserve"> a progressé de près de 3% en  2013 au lieu d’une baisse de 2,1% en 2012. L</w:t>
      </w:r>
      <w:r w:rsidRPr="00D64E35">
        <w:rPr>
          <w:rFonts w:ascii="Arial" w:hAnsi="Arial"/>
        </w:rPr>
        <w:t>a valeur  ajoutée du</w:t>
      </w:r>
      <w:r>
        <w:rPr>
          <w:rFonts w:ascii="Arial" w:hAnsi="Arial"/>
        </w:rPr>
        <w:t xml:space="preserve"> secteur, après avoir connu une quasi- stagnation de son évolution en 2012,</w:t>
      </w:r>
      <w:r w:rsidRPr="00D64E35">
        <w:rPr>
          <w:rFonts w:ascii="Arial" w:hAnsi="Arial"/>
        </w:rPr>
        <w:t xml:space="preserve"> </w:t>
      </w:r>
      <w:r>
        <w:rPr>
          <w:rFonts w:ascii="Arial" w:hAnsi="Arial"/>
        </w:rPr>
        <w:t>a marqué une hausse de 3,7% en 2013  pour atteindre 48,3</w:t>
      </w:r>
      <w:r w:rsidRPr="00D64E35">
        <w:rPr>
          <w:rFonts w:ascii="Arial" w:hAnsi="Arial"/>
        </w:rPr>
        <w:t xml:space="preserve"> milliards de </w:t>
      </w:r>
      <w:r>
        <w:rPr>
          <w:rFonts w:ascii="Arial" w:hAnsi="Arial"/>
        </w:rPr>
        <w:t>dirhams</w:t>
      </w:r>
      <w:r w:rsidRPr="00D64E35">
        <w:rPr>
          <w:rFonts w:ascii="Arial" w:hAnsi="Arial"/>
        </w:rPr>
        <w:t xml:space="preserve"> </w:t>
      </w:r>
      <w:r>
        <w:rPr>
          <w:rFonts w:ascii="Arial" w:hAnsi="Arial"/>
        </w:rPr>
        <w:t xml:space="preserve">au lieu de </w:t>
      </w:r>
      <w:r w:rsidRPr="00D64E35">
        <w:rPr>
          <w:rFonts w:ascii="Arial" w:hAnsi="Arial"/>
        </w:rPr>
        <w:t>46,</w:t>
      </w:r>
      <w:r>
        <w:rPr>
          <w:rFonts w:ascii="Arial" w:hAnsi="Arial"/>
        </w:rPr>
        <w:t xml:space="preserve">6 </w:t>
      </w:r>
      <w:r w:rsidRPr="00D64E35">
        <w:rPr>
          <w:rFonts w:ascii="Arial" w:hAnsi="Arial"/>
        </w:rPr>
        <w:t xml:space="preserve">milliards </w:t>
      </w:r>
      <w:r>
        <w:rPr>
          <w:rFonts w:ascii="Arial" w:hAnsi="Arial"/>
        </w:rPr>
        <w:t xml:space="preserve">une année auparavant. </w:t>
      </w:r>
    </w:p>
    <w:p w:rsidR="00093022" w:rsidRDefault="00093022" w:rsidP="00093022">
      <w:pPr>
        <w:ind w:firstLine="709"/>
        <w:jc w:val="both"/>
        <w:rPr>
          <w:rFonts w:ascii="Arial" w:hAnsi="Arial"/>
        </w:rPr>
      </w:pPr>
    </w:p>
    <w:p w:rsidR="00093022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Par ailleurs, les impôts nets de subventions sur les produits touristiques se sont accrus de 8,8%. Dans ce contexte, le PIB du tourisme a atteint </w:t>
      </w:r>
      <w:r w:rsidRPr="00D64E35">
        <w:rPr>
          <w:rFonts w:ascii="Arial" w:hAnsi="Arial"/>
        </w:rPr>
        <w:t xml:space="preserve"> </w:t>
      </w:r>
      <w:r>
        <w:rPr>
          <w:rFonts w:ascii="Arial" w:hAnsi="Arial"/>
        </w:rPr>
        <w:t xml:space="preserve">59,7 </w:t>
      </w:r>
      <w:r w:rsidRPr="00D64E35">
        <w:rPr>
          <w:rFonts w:ascii="Arial" w:hAnsi="Arial"/>
        </w:rPr>
        <w:t xml:space="preserve">milliards de </w:t>
      </w:r>
      <w:r>
        <w:rPr>
          <w:rFonts w:ascii="Arial" w:hAnsi="Arial"/>
        </w:rPr>
        <w:t>dirhams</w:t>
      </w:r>
      <w:r w:rsidRPr="00D64E35">
        <w:rPr>
          <w:rFonts w:ascii="Arial" w:hAnsi="Arial"/>
        </w:rPr>
        <w:t xml:space="preserve"> au lieu de</w:t>
      </w:r>
      <w:r>
        <w:rPr>
          <w:rFonts w:ascii="Arial" w:hAnsi="Arial"/>
        </w:rPr>
        <w:t xml:space="preserve"> 57,0</w:t>
      </w:r>
      <w:r w:rsidRPr="00D64E35">
        <w:rPr>
          <w:rFonts w:ascii="Arial" w:hAnsi="Arial"/>
        </w:rPr>
        <w:t xml:space="preserve"> milliards  en 20</w:t>
      </w:r>
      <w:r>
        <w:rPr>
          <w:rFonts w:ascii="Arial" w:hAnsi="Arial"/>
        </w:rPr>
        <w:t>12 enregistrant ainsi une hausse de 4,6%</w:t>
      </w:r>
      <w:r w:rsidRPr="00D64E35">
        <w:rPr>
          <w:rFonts w:ascii="Arial" w:hAnsi="Arial"/>
        </w:rPr>
        <w:t xml:space="preserve">. </w:t>
      </w:r>
      <w:r>
        <w:rPr>
          <w:rFonts w:ascii="Arial" w:hAnsi="Arial"/>
        </w:rPr>
        <w:t>Par rapport au PIB, la</w:t>
      </w:r>
      <w:r w:rsidRPr="00D64E35">
        <w:rPr>
          <w:rFonts w:ascii="Arial" w:hAnsi="Arial"/>
        </w:rPr>
        <w:t xml:space="preserve"> contribution</w:t>
      </w:r>
      <w:r>
        <w:rPr>
          <w:rFonts w:ascii="Arial" w:hAnsi="Arial"/>
        </w:rPr>
        <w:t xml:space="preserve"> du secteur du  tourisme </w:t>
      </w:r>
      <w:r w:rsidRPr="00D64E35">
        <w:rPr>
          <w:rFonts w:ascii="Arial" w:hAnsi="Arial"/>
        </w:rPr>
        <w:t xml:space="preserve"> </w:t>
      </w:r>
      <w:r>
        <w:rPr>
          <w:rFonts w:ascii="Arial" w:hAnsi="Arial"/>
        </w:rPr>
        <w:t>s’est établie à</w:t>
      </w:r>
      <w:r w:rsidRPr="00D64E35">
        <w:rPr>
          <w:rFonts w:ascii="Arial" w:hAnsi="Arial"/>
        </w:rPr>
        <w:t xml:space="preserve"> </w:t>
      </w:r>
      <w:r>
        <w:rPr>
          <w:rFonts w:ascii="Arial" w:hAnsi="Arial"/>
        </w:rPr>
        <w:t xml:space="preserve">6,8 </w:t>
      </w:r>
      <w:r w:rsidRPr="00D64E35">
        <w:rPr>
          <w:rFonts w:ascii="Arial" w:hAnsi="Arial"/>
        </w:rPr>
        <w:t xml:space="preserve">% </w:t>
      </w:r>
      <w:r>
        <w:rPr>
          <w:rFonts w:ascii="Arial" w:hAnsi="Arial"/>
        </w:rPr>
        <w:t xml:space="preserve"> en 2013</w:t>
      </w:r>
      <w:r w:rsidRPr="00D64E35">
        <w:rPr>
          <w:rFonts w:ascii="Arial" w:hAnsi="Arial"/>
        </w:rPr>
        <w:t>.</w:t>
      </w:r>
    </w:p>
    <w:p w:rsidR="00093022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Default="00093022" w:rsidP="00093022">
      <w:pPr>
        <w:pStyle w:val="Titre1"/>
        <w:rPr>
          <w:b w:val="0"/>
          <w:bCs w:val="0"/>
        </w:rPr>
      </w:pPr>
    </w:p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093022" w:rsidRDefault="00093022" w:rsidP="00093022"/>
    <w:p w:rsidR="00905C15" w:rsidRDefault="00905C15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/>
    <w:p w:rsidR="00093022" w:rsidRDefault="00093022" w:rsidP="00093022">
      <w:pPr>
        <w:pStyle w:val="Titre1"/>
        <w:jc w:val="center"/>
        <w:rPr>
          <w:sz w:val="24"/>
          <w:szCs w:val="24"/>
        </w:rPr>
      </w:pPr>
      <w:r w:rsidRPr="00E70B6E">
        <w:rPr>
          <w:sz w:val="24"/>
          <w:szCs w:val="24"/>
        </w:rPr>
        <w:t>Consommation intérieure du tourisme</w:t>
      </w:r>
    </w:p>
    <w:p w:rsidR="00093022" w:rsidRDefault="00093022" w:rsidP="00093022">
      <w:pPr>
        <w:pStyle w:val="Titr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70B6E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E70B6E">
        <w:rPr>
          <w:sz w:val="24"/>
          <w:szCs w:val="24"/>
        </w:rPr>
        <w:t>En  millions de DH</w:t>
      </w:r>
    </w:p>
    <w:tbl>
      <w:tblPr>
        <w:tblW w:w="10409" w:type="dxa"/>
        <w:jc w:val="center"/>
        <w:tblBorders>
          <w:top w:val="thinThickSmallGap" w:sz="24" w:space="0" w:color="auto"/>
          <w:bottom w:val="thinThickSmallGap" w:sz="2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9"/>
        <w:gridCol w:w="941"/>
        <w:gridCol w:w="1530"/>
        <w:gridCol w:w="1260"/>
        <w:gridCol w:w="2199"/>
      </w:tblGrid>
      <w:tr w:rsidR="00093022" w:rsidRPr="00E70B6E">
        <w:trPr>
          <w:trHeight w:val="592"/>
          <w:jc w:val="center"/>
        </w:trPr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Types de consommation touristique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2013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Variation en %</w:t>
            </w:r>
          </w:p>
        </w:tc>
      </w:tr>
      <w:tr w:rsidR="00093022" w:rsidRPr="00E70B6E">
        <w:trPr>
          <w:trHeight w:val="454"/>
          <w:jc w:val="center"/>
        </w:trPr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 xml:space="preserve">Consommation  intérieure du tourisme 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94836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97666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101893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4,3</w:t>
            </w:r>
          </w:p>
        </w:tc>
      </w:tr>
      <w:tr w:rsidR="00093022" w:rsidRPr="00E70B6E">
        <w:trPr>
          <w:trHeight w:val="454"/>
          <w:jc w:val="center"/>
        </w:trPr>
        <w:tc>
          <w:tcPr>
            <w:tcW w:w="4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line="360" w:lineRule="auto"/>
              <w:ind w:left="708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- Tourisme récepteur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68762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69545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71525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2,8</w:t>
            </w:r>
          </w:p>
        </w:tc>
      </w:tr>
      <w:tr w:rsidR="00093022" w:rsidRPr="00E70B6E">
        <w:trPr>
          <w:trHeight w:val="454"/>
          <w:jc w:val="center"/>
        </w:trPr>
        <w:tc>
          <w:tcPr>
            <w:tcW w:w="44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line="360" w:lineRule="auto"/>
              <w:ind w:left="708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- Tourisme interne et émetteur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26074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28121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30368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after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8,0</w:t>
            </w:r>
          </w:p>
        </w:tc>
      </w:tr>
    </w:tbl>
    <w:p w:rsidR="00093022" w:rsidRPr="00E70B6E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Default="00093022" w:rsidP="00093022">
      <w:pPr>
        <w:pStyle w:val="Titre1"/>
        <w:jc w:val="center"/>
        <w:rPr>
          <w:sz w:val="24"/>
          <w:szCs w:val="24"/>
        </w:rPr>
      </w:pPr>
      <w:r w:rsidRPr="00E70B6E">
        <w:rPr>
          <w:sz w:val="24"/>
          <w:szCs w:val="24"/>
        </w:rPr>
        <w:t>Valeur ajoutée  et PIB du tourisme</w:t>
      </w:r>
    </w:p>
    <w:p w:rsidR="00093022" w:rsidRPr="00B140D2" w:rsidRDefault="00093022" w:rsidP="00093022"/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992"/>
        <w:gridCol w:w="1417"/>
        <w:gridCol w:w="1276"/>
        <w:gridCol w:w="2268"/>
      </w:tblGrid>
      <w:tr w:rsidR="00093022" w:rsidRPr="00E70B6E">
        <w:trPr>
          <w:trHeight w:val="496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En  millions de DH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Variation en %</w:t>
            </w:r>
          </w:p>
        </w:tc>
      </w:tr>
      <w:tr w:rsidR="00093022" w:rsidRPr="00E70B6E">
        <w:trPr>
          <w:trHeight w:val="503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(VAT)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46610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46555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48274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spacing w:before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3,7</w:t>
            </w:r>
          </w:p>
        </w:tc>
      </w:tr>
      <w:tr w:rsidR="00093022" w:rsidRPr="00E70B6E">
        <w:trPr>
          <w:trHeight w:val="819"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Impôts nets de subventions sur les produits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10114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10478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11399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spacing w:before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8,8</w:t>
            </w:r>
          </w:p>
        </w:tc>
      </w:tr>
      <w:tr w:rsidR="00093022" w:rsidRPr="00E70B6E">
        <w:trPr>
          <w:trHeight w:val="547"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PIB du tourisme (PIBT)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56724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57033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59673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3022" w:rsidRPr="00E70B6E" w:rsidRDefault="00093022" w:rsidP="00CA75DE">
            <w:pPr>
              <w:spacing w:before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4,6</w:t>
            </w:r>
          </w:p>
        </w:tc>
      </w:tr>
    </w:tbl>
    <w:p w:rsidR="00093022" w:rsidRPr="00E70B6E" w:rsidRDefault="00093022" w:rsidP="00093022">
      <w:pPr>
        <w:rPr>
          <w:rFonts w:ascii="Arial" w:hAnsi="Arial"/>
        </w:rPr>
      </w:pPr>
    </w:p>
    <w:p w:rsidR="00093022" w:rsidRDefault="00093022" w:rsidP="00093022">
      <w:pPr>
        <w:pStyle w:val="Titre1"/>
        <w:jc w:val="center"/>
        <w:rPr>
          <w:sz w:val="24"/>
          <w:szCs w:val="24"/>
        </w:rPr>
      </w:pPr>
      <w:r w:rsidRPr="00E70B6E">
        <w:rPr>
          <w:sz w:val="24"/>
          <w:szCs w:val="24"/>
        </w:rPr>
        <w:t>Part du tourisme dans le PIB</w:t>
      </w:r>
    </w:p>
    <w:p w:rsidR="00093022" w:rsidRPr="00B140D2" w:rsidRDefault="00093022" w:rsidP="00093022"/>
    <w:tbl>
      <w:tblPr>
        <w:tblW w:w="10368" w:type="dxa"/>
        <w:jc w:val="center"/>
        <w:tblInd w:w="-2001" w:type="dxa"/>
        <w:tblBorders>
          <w:top w:val="thinThickSmallGap" w:sz="24" w:space="0" w:color="auto"/>
          <w:bottom w:val="thinThickSmallGap" w:sz="2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4"/>
        <w:gridCol w:w="1800"/>
        <w:gridCol w:w="1980"/>
        <w:gridCol w:w="2104"/>
      </w:tblGrid>
      <w:tr w:rsidR="00093022" w:rsidRPr="00E70B6E">
        <w:trPr>
          <w:trHeight w:val="725"/>
          <w:jc w:val="center"/>
        </w:trPr>
        <w:tc>
          <w:tcPr>
            <w:tcW w:w="4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240"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 xml:space="preserve">En %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2012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2013</w:t>
            </w:r>
          </w:p>
        </w:tc>
      </w:tr>
      <w:tr w:rsidR="00093022" w:rsidRPr="00E70B6E">
        <w:trPr>
          <w:trHeight w:val="860"/>
          <w:jc w:val="center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/ valeur ajoutée de l’économie totale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022" w:rsidRPr="00E70B6E" w:rsidRDefault="00093022" w:rsidP="00CA75DE">
            <w:pPr>
              <w:spacing w:line="640" w:lineRule="exact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6,1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022" w:rsidRPr="00E70B6E" w:rsidRDefault="00093022" w:rsidP="00CA75DE">
            <w:pPr>
              <w:spacing w:line="640" w:lineRule="exact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6,0</w:t>
            </w:r>
          </w:p>
        </w:tc>
      </w:tr>
      <w:tr w:rsidR="00093022" w:rsidRPr="00E70B6E">
        <w:trPr>
          <w:trHeight w:val="454"/>
          <w:jc w:val="center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/PIB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022" w:rsidRPr="00E70B6E" w:rsidRDefault="00093022" w:rsidP="00CA75DE">
            <w:pPr>
              <w:spacing w:before="120" w:line="360" w:lineRule="auto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5,6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3022" w:rsidRPr="00E70B6E" w:rsidRDefault="00093022" w:rsidP="00CA75DE">
            <w:pPr>
              <w:spacing w:before="120" w:line="360" w:lineRule="auto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5,5</w:t>
            </w:r>
          </w:p>
        </w:tc>
      </w:tr>
      <w:tr w:rsidR="00093022" w:rsidRPr="00E70B6E">
        <w:trPr>
          <w:trHeight w:val="454"/>
          <w:jc w:val="center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PIB du tourisme / PIB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022" w:rsidRPr="00E70B6E" w:rsidRDefault="00093022" w:rsidP="00CA75DE">
            <w:pPr>
              <w:spacing w:before="120" w:line="360" w:lineRule="auto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7,1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022" w:rsidRPr="00E70B6E" w:rsidRDefault="00093022" w:rsidP="00CA75DE">
            <w:pPr>
              <w:spacing w:before="120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6,9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022" w:rsidRPr="00E70B6E" w:rsidRDefault="00093022" w:rsidP="00CA75DE">
            <w:pPr>
              <w:spacing w:before="120" w:line="360" w:lineRule="auto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6,8</w:t>
            </w:r>
          </w:p>
        </w:tc>
      </w:tr>
    </w:tbl>
    <w:p w:rsidR="00093022" w:rsidRDefault="00093022" w:rsidP="00093022">
      <w:pPr>
        <w:pStyle w:val="Titre1"/>
        <w:rPr>
          <w:b w:val="0"/>
          <w:bCs w:val="0"/>
        </w:rPr>
      </w:pPr>
    </w:p>
    <w:p w:rsidR="00093022" w:rsidRDefault="00093022" w:rsidP="00093022">
      <w:pPr>
        <w:pStyle w:val="Titre1"/>
        <w:spacing w:before="0" w:after="0" w:line="240" w:lineRule="auto"/>
        <w:jc w:val="center"/>
        <w:rPr>
          <w:bCs w:val="0"/>
          <w:sz w:val="28"/>
        </w:rPr>
      </w:pPr>
    </w:p>
    <w:tbl>
      <w:tblPr>
        <w:tblW w:w="1056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6"/>
        <w:gridCol w:w="10420"/>
      </w:tblGrid>
      <w:tr w:rsidR="00005F85" w:rsidRPr="00BC3A34">
        <w:trPr>
          <w:trHeight w:val="360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F85" w:rsidRPr="00627A37" w:rsidRDefault="00005F85" w:rsidP="004154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05F85" w:rsidRPr="00BC3A34">
        <w:trPr>
          <w:trHeight w:val="315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237" w:rsidRPr="00627A37" w:rsidRDefault="00393237" w:rsidP="004E03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3C88" w:rsidRPr="00BC3A34">
        <w:trPr>
          <w:gridAfter w:val="1"/>
          <w:wAfter w:w="10420" w:type="dxa"/>
          <w:trHeight w:val="40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C88" w:rsidRPr="00BC3A34" w:rsidRDefault="001F3C88" w:rsidP="004154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03309" w:rsidRDefault="00E03309" w:rsidP="00AD03D4"/>
    <w:sectPr w:rsidR="00E03309" w:rsidSect="00DB293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C51" w:rsidRDefault="00063C51">
      <w:r>
        <w:separator/>
      </w:r>
    </w:p>
  </w:endnote>
  <w:endnote w:type="continuationSeparator" w:id="0">
    <w:p w:rsidR="00063C51" w:rsidRDefault="0006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AE3BF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FD11F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C51" w:rsidRDefault="00063C51">
      <w:r>
        <w:separator/>
      </w:r>
    </w:p>
  </w:footnote>
  <w:footnote w:type="continuationSeparator" w:id="0">
    <w:p w:rsidR="00063C51" w:rsidRDefault="00063C51">
      <w:r>
        <w:continuationSeparator/>
      </w:r>
    </w:p>
  </w:footnote>
  <w:footnote w:id="1">
    <w:p w:rsidR="00093022" w:rsidRPr="009F41E6" w:rsidRDefault="00093022" w:rsidP="00093022">
      <w:pPr>
        <w:pStyle w:val="Notedebasdepage"/>
      </w:pPr>
      <w:r w:rsidRPr="009F41E6">
        <w:rPr>
          <w:rStyle w:val="Appelnotedebasdep"/>
        </w:rPr>
        <w:footnoteRef/>
      </w:r>
      <w:r w:rsidRPr="009F41E6">
        <w:t xml:space="preserve"> </w:t>
      </w:r>
      <w:r w:rsidRPr="009F41E6">
        <w:rPr>
          <w:rFonts w:ascii="Arial" w:hAnsi="Arial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2">
    <w:p w:rsidR="00093022" w:rsidRDefault="00093022" w:rsidP="006C21ED">
      <w:pPr>
        <w:spacing w:before="240"/>
        <w:jc w:val="both"/>
        <w:rPr>
          <w:rFonts w:ascii="Arial" w:hAnsi="Arial"/>
          <w:sz w:val="20"/>
          <w:szCs w:val="20"/>
        </w:rPr>
      </w:pPr>
      <w:r w:rsidRPr="009F41E6">
        <w:rPr>
          <w:rStyle w:val="Appelnotedebasdep"/>
          <w:sz w:val="20"/>
          <w:szCs w:val="20"/>
        </w:rPr>
        <w:footnoteRef/>
      </w:r>
      <w:r w:rsidRPr="009F41E6">
        <w:rPr>
          <w:sz w:val="20"/>
          <w:szCs w:val="20"/>
        </w:rPr>
        <w:t xml:space="preserve"> </w:t>
      </w:r>
      <w:r w:rsidR="006C21ED">
        <w:rPr>
          <w:sz w:val="20"/>
          <w:szCs w:val="20"/>
        </w:rPr>
        <w:t>L</w:t>
      </w:r>
      <w:r w:rsidRPr="009F41E6">
        <w:rPr>
          <w:rFonts w:ascii="Arial" w:hAnsi="Arial"/>
          <w:color w:val="000000"/>
          <w:sz w:val="20"/>
          <w:szCs w:val="20"/>
        </w:rPr>
        <w:t>es dépenses touristiques prises en compte sont celles réalisées au Maroc</w:t>
      </w:r>
      <w:r w:rsidRPr="009F41E6">
        <w:rPr>
          <w:rFonts w:ascii="Arial" w:hAnsi="Arial"/>
          <w:sz w:val="20"/>
          <w:szCs w:val="20"/>
        </w:rPr>
        <w:t>.</w:t>
      </w:r>
    </w:p>
    <w:p w:rsidR="00093022" w:rsidRDefault="00093022" w:rsidP="00093022">
      <w:pPr>
        <w:spacing w:before="240"/>
        <w:jc w:val="both"/>
        <w:rPr>
          <w:rFonts w:ascii="Arial" w:hAnsi="Arial"/>
          <w:sz w:val="20"/>
          <w:szCs w:val="20"/>
        </w:rPr>
      </w:pPr>
    </w:p>
    <w:p w:rsidR="00093022" w:rsidRDefault="00093022" w:rsidP="00093022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B03647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4C2"/>
    <w:rsid w:val="000025B3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50A6E"/>
    <w:rsid w:val="000554EE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A3BE9"/>
    <w:rsid w:val="000A4F68"/>
    <w:rsid w:val="000B2A3E"/>
    <w:rsid w:val="000B3D51"/>
    <w:rsid w:val="000C5E54"/>
    <w:rsid w:val="000C7682"/>
    <w:rsid w:val="000D25AF"/>
    <w:rsid w:val="000E21D3"/>
    <w:rsid w:val="000E7503"/>
    <w:rsid w:val="00100AF5"/>
    <w:rsid w:val="0010290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EFF"/>
    <w:rsid w:val="0018347F"/>
    <w:rsid w:val="00190301"/>
    <w:rsid w:val="001A116A"/>
    <w:rsid w:val="001A1A9C"/>
    <w:rsid w:val="001A7093"/>
    <w:rsid w:val="001B3A93"/>
    <w:rsid w:val="001B5762"/>
    <w:rsid w:val="001C3920"/>
    <w:rsid w:val="001C4BE1"/>
    <w:rsid w:val="001D07F7"/>
    <w:rsid w:val="001D0B13"/>
    <w:rsid w:val="001D34E6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3043F"/>
    <w:rsid w:val="00232ABC"/>
    <w:rsid w:val="00242C76"/>
    <w:rsid w:val="00242CBE"/>
    <w:rsid w:val="00243363"/>
    <w:rsid w:val="002443AA"/>
    <w:rsid w:val="0024586A"/>
    <w:rsid w:val="002541FE"/>
    <w:rsid w:val="00256291"/>
    <w:rsid w:val="002603C8"/>
    <w:rsid w:val="00262AA7"/>
    <w:rsid w:val="00264343"/>
    <w:rsid w:val="002648C4"/>
    <w:rsid w:val="00264D30"/>
    <w:rsid w:val="00271922"/>
    <w:rsid w:val="00282981"/>
    <w:rsid w:val="0028585A"/>
    <w:rsid w:val="00286F23"/>
    <w:rsid w:val="00290B88"/>
    <w:rsid w:val="00295997"/>
    <w:rsid w:val="002A1CE9"/>
    <w:rsid w:val="002A281B"/>
    <w:rsid w:val="002A5A7C"/>
    <w:rsid w:val="002A688F"/>
    <w:rsid w:val="002A739B"/>
    <w:rsid w:val="002B5535"/>
    <w:rsid w:val="002C02CC"/>
    <w:rsid w:val="002C09B2"/>
    <w:rsid w:val="002C6433"/>
    <w:rsid w:val="002D022C"/>
    <w:rsid w:val="002D3BD2"/>
    <w:rsid w:val="002D49EF"/>
    <w:rsid w:val="002E7DC6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57D2"/>
    <w:rsid w:val="003671BE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7C9A"/>
    <w:rsid w:val="003C357A"/>
    <w:rsid w:val="003E5DDB"/>
    <w:rsid w:val="003F28EA"/>
    <w:rsid w:val="003F445E"/>
    <w:rsid w:val="00401D3E"/>
    <w:rsid w:val="0040201B"/>
    <w:rsid w:val="00403A20"/>
    <w:rsid w:val="00407B06"/>
    <w:rsid w:val="00415408"/>
    <w:rsid w:val="00420A48"/>
    <w:rsid w:val="004275D6"/>
    <w:rsid w:val="004278FD"/>
    <w:rsid w:val="00430246"/>
    <w:rsid w:val="004457C2"/>
    <w:rsid w:val="00446DB7"/>
    <w:rsid w:val="00447FBC"/>
    <w:rsid w:val="00452774"/>
    <w:rsid w:val="00460388"/>
    <w:rsid w:val="00464561"/>
    <w:rsid w:val="00466581"/>
    <w:rsid w:val="004744FF"/>
    <w:rsid w:val="00481E24"/>
    <w:rsid w:val="00484E8D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E0373"/>
    <w:rsid w:val="004E17D0"/>
    <w:rsid w:val="004E36E2"/>
    <w:rsid w:val="004E67F8"/>
    <w:rsid w:val="004F505B"/>
    <w:rsid w:val="004F5172"/>
    <w:rsid w:val="004F572F"/>
    <w:rsid w:val="004F57F8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56D9"/>
    <w:rsid w:val="0052635A"/>
    <w:rsid w:val="00531787"/>
    <w:rsid w:val="00537897"/>
    <w:rsid w:val="00541A80"/>
    <w:rsid w:val="00541C46"/>
    <w:rsid w:val="00542043"/>
    <w:rsid w:val="00542E3A"/>
    <w:rsid w:val="00545624"/>
    <w:rsid w:val="00547ECD"/>
    <w:rsid w:val="00550169"/>
    <w:rsid w:val="00555CED"/>
    <w:rsid w:val="00555E54"/>
    <w:rsid w:val="005627C4"/>
    <w:rsid w:val="00564120"/>
    <w:rsid w:val="00564AE3"/>
    <w:rsid w:val="0057148E"/>
    <w:rsid w:val="00571918"/>
    <w:rsid w:val="005746EB"/>
    <w:rsid w:val="005754A6"/>
    <w:rsid w:val="005814DE"/>
    <w:rsid w:val="00582403"/>
    <w:rsid w:val="00585A9E"/>
    <w:rsid w:val="00590E1B"/>
    <w:rsid w:val="00594250"/>
    <w:rsid w:val="00594D60"/>
    <w:rsid w:val="00595235"/>
    <w:rsid w:val="005B0675"/>
    <w:rsid w:val="005B0A04"/>
    <w:rsid w:val="005B3582"/>
    <w:rsid w:val="005B48EA"/>
    <w:rsid w:val="005C28E5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604836"/>
    <w:rsid w:val="00610ADF"/>
    <w:rsid w:val="00611B94"/>
    <w:rsid w:val="006139DE"/>
    <w:rsid w:val="0061442D"/>
    <w:rsid w:val="00621C69"/>
    <w:rsid w:val="00621F5D"/>
    <w:rsid w:val="00627A37"/>
    <w:rsid w:val="00630E13"/>
    <w:rsid w:val="0063123E"/>
    <w:rsid w:val="00633846"/>
    <w:rsid w:val="00633BBA"/>
    <w:rsid w:val="00635AEC"/>
    <w:rsid w:val="0064092C"/>
    <w:rsid w:val="006418B5"/>
    <w:rsid w:val="00644F6D"/>
    <w:rsid w:val="00646D56"/>
    <w:rsid w:val="00650FBE"/>
    <w:rsid w:val="00656EDF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2EA7"/>
    <w:rsid w:val="00694FF6"/>
    <w:rsid w:val="00695BAE"/>
    <w:rsid w:val="006A3883"/>
    <w:rsid w:val="006B2B90"/>
    <w:rsid w:val="006B5F68"/>
    <w:rsid w:val="006C21ED"/>
    <w:rsid w:val="006D22BC"/>
    <w:rsid w:val="006D4F49"/>
    <w:rsid w:val="006D5BB8"/>
    <w:rsid w:val="006D7AEF"/>
    <w:rsid w:val="006D7FA4"/>
    <w:rsid w:val="006E2219"/>
    <w:rsid w:val="006E2C7A"/>
    <w:rsid w:val="006E456F"/>
    <w:rsid w:val="006E5679"/>
    <w:rsid w:val="006E7909"/>
    <w:rsid w:val="006F6E1A"/>
    <w:rsid w:val="00700E75"/>
    <w:rsid w:val="007206D4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065"/>
    <w:rsid w:val="007A3834"/>
    <w:rsid w:val="007A4BAD"/>
    <w:rsid w:val="007A6298"/>
    <w:rsid w:val="007B0E89"/>
    <w:rsid w:val="007B68AF"/>
    <w:rsid w:val="007C2982"/>
    <w:rsid w:val="007C6380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2A9C"/>
    <w:rsid w:val="00803256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52402"/>
    <w:rsid w:val="0086177A"/>
    <w:rsid w:val="00866410"/>
    <w:rsid w:val="0087042E"/>
    <w:rsid w:val="008712A1"/>
    <w:rsid w:val="0087409F"/>
    <w:rsid w:val="00877E3C"/>
    <w:rsid w:val="0088015C"/>
    <w:rsid w:val="0088199E"/>
    <w:rsid w:val="0088413A"/>
    <w:rsid w:val="00884C20"/>
    <w:rsid w:val="008938AA"/>
    <w:rsid w:val="008946E5"/>
    <w:rsid w:val="00894A15"/>
    <w:rsid w:val="00894C3A"/>
    <w:rsid w:val="008951BF"/>
    <w:rsid w:val="0089579A"/>
    <w:rsid w:val="008A2CAA"/>
    <w:rsid w:val="008A4CF7"/>
    <w:rsid w:val="008A6A9C"/>
    <w:rsid w:val="008B32BE"/>
    <w:rsid w:val="008B41EC"/>
    <w:rsid w:val="008B4A5F"/>
    <w:rsid w:val="008C2B3E"/>
    <w:rsid w:val="008C2C3C"/>
    <w:rsid w:val="008C79BB"/>
    <w:rsid w:val="008D1587"/>
    <w:rsid w:val="008D244F"/>
    <w:rsid w:val="008D38D9"/>
    <w:rsid w:val="008D767F"/>
    <w:rsid w:val="008E279E"/>
    <w:rsid w:val="008E513B"/>
    <w:rsid w:val="008E57C2"/>
    <w:rsid w:val="008F416D"/>
    <w:rsid w:val="008F6D54"/>
    <w:rsid w:val="00900744"/>
    <w:rsid w:val="00900B2E"/>
    <w:rsid w:val="00905C15"/>
    <w:rsid w:val="00911D8D"/>
    <w:rsid w:val="00930BC1"/>
    <w:rsid w:val="00931126"/>
    <w:rsid w:val="00944B4F"/>
    <w:rsid w:val="009501D7"/>
    <w:rsid w:val="0095153B"/>
    <w:rsid w:val="00953DB4"/>
    <w:rsid w:val="00961216"/>
    <w:rsid w:val="00964ED6"/>
    <w:rsid w:val="00965163"/>
    <w:rsid w:val="00970294"/>
    <w:rsid w:val="00970EB5"/>
    <w:rsid w:val="009750B7"/>
    <w:rsid w:val="009801E4"/>
    <w:rsid w:val="00984C53"/>
    <w:rsid w:val="00990C6F"/>
    <w:rsid w:val="00996F92"/>
    <w:rsid w:val="009A049E"/>
    <w:rsid w:val="009A205F"/>
    <w:rsid w:val="009A3A8A"/>
    <w:rsid w:val="009A62AA"/>
    <w:rsid w:val="009B2B2B"/>
    <w:rsid w:val="009B2BE5"/>
    <w:rsid w:val="009B42C1"/>
    <w:rsid w:val="009B68BD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30D62"/>
    <w:rsid w:val="00A322D1"/>
    <w:rsid w:val="00A3434A"/>
    <w:rsid w:val="00A37370"/>
    <w:rsid w:val="00A37E02"/>
    <w:rsid w:val="00A37E64"/>
    <w:rsid w:val="00A37F6E"/>
    <w:rsid w:val="00A44584"/>
    <w:rsid w:val="00A5496C"/>
    <w:rsid w:val="00A55F75"/>
    <w:rsid w:val="00A610E0"/>
    <w:rsid w:val="00A6210F"/>
    <w:rsid w:val="00A638E4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7B84"/>
    <w:rsid w:val="00A925A2"/>
    <w:rsid w:val="00AA3E6A"/>
    <w:rsid w:val="00AA48F7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442C"/>
    <w:rsid w:val="00AF74CA"/>
    <w:rsid w:val="00B03647"/>
    <w:rsid w:val="00B03879"/>
    <w:rsid w:val="00B065DA"/>
    <w:rsid w:val="00B10250"/>
    <w:rsid w:val="00B12082"/>
    <w:rsid w:val="00B20C66"/>
    <w:rsid w:val="00B247B4"/>
    <w:rsid w:val="00B24B25"/>
    <w:rsid w:val="00B317EB"/>
    <w:rsid w:val="00B31D24"/>
    <w:rsid w:val="00B35A48"/>
    <w:rsid w:val="00B37707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FCF"/>
    <w:rsid w:val="00B8450C"/>
    <w:rsid w:val="00B8462E"/>
    <w:rsid w:val="00B84D1B"/>
    <w:rsid w:val="00B855EA"/>
    <w:rsid w:val="00BA5F9D"/>
    <w:rsid w:val="00BB27CA"/>
    <w:rsid w:val="00BC2E39"/>
    <w:rsid w:val="00BC2EE7"/>
    <w:rsid w:val="00BC49B4"/>
    <w:rsid w:val="00BD05AA"/>
    <w:rsid w:val="00BD3618"/>
    <w:rsid w:val="00BD611F"/>
    <w:rsid w:val="00BD7B29"/>
    <w:rsid w:val="00BE0266"/>
    <w:rsid w:val="00BE12C8"/>
    <w:rsid w:val="00C005F2"/>
    <w:rsid w:val="00C02BDF"/>
    <w:rsid w:val="00C03E14"/>
    <w:rsid w:val="00C10731"/>
    <w:rsid w:val="00C10BDD"/>
    <w:rsid w:val="00C14DCE"/>
    <w:rsid w:val="00C26145"/>
    <w:rsid w:val="00C272F8"/>
    <w:rsid w:val="00C31EF5"/>
    <w:rsid w:val="00C36CAE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DE2"/>
    <w:rsid w:val="00C6558A"/>
    <w:rsid w:val="00C700B7"/>
    <w:rsid w:val="00C77AA4"/>
    <w:rsid w:val="00C83E7A"/>
    <w:rsid w:val="00C92504"/>
    <w:rsid w:val="00C92E38"/>
    <w:rsid w:val="00CA2232"/>
    <w:rsid w:val="00CA75DE"/>
    <w:rsid w:val="00CA7AEC"/>
    <w:rsid w:val="00CB05C8"/>
    <w:rsid w:val="00CB3A44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3217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40AE4"/>
    <w:rsid w:val="00D4135D"/>
    <w:rsid w:val="00D46A93"/>
    <w:rsid w:val="00D4763E"/>
    <w:rsid w:val="00D60382"/>
    <w:rsid w:val="00D71FF6"/>
    <w:rsid w:val="00D820EB"/>
    <w:rsid w:val="00D82174"/>
    <w:rsid w:val="00D82E00"/>
    <w:rsid w:val="00DA3A4B"/>
    <w:rsid w:val="00DB27A9"/>
    <w:rsid w:val="00DB293A"/>
    <w:rsid w:val="00DB41D2"/>
    <w:rsid w:val="00DB5B3F"/>
    <w:rsid w:val="00DC0C38"/>
    <w:rsid w:val="00DC5172"/>
    <w:rsid w:val="00DD01F2"/>
    <w:rsid w:val="00DD1685"/>
    <w:rsid w:val="00DD4344"/>
    <w:rsid w:val="00DD4AEF"/>
    <w:rsid w:val="00DD5A2F"/>
    <w:rsid w:val="00DE1986"/>
    <w:rsid w:val="00DE635A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DF5"/>
    <w:rsid w:val="00E2252B"/>
    <w:rsid w:val="00E225AC"/>
    <w:rsid w:val="00E24DC2"/>
    <w:rsid w:val="00E30992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E39"/>
    <w:rsid w:val="00E65927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B537F"/>
    <w:rsid w:val="00EB5AC5"/>
    <w:rsid w:val="00EB7741"/>
    <w:rsid w:val="00EC6140"/>
    <w:rsid w:val="00ED61AD"/>
    <w:rsid w:val="00EE0046"/>
    <w:rsid w:val="00EE549F"/>
    <w:rsid w:val="00EE5D39"/>
    <w:rsid w:val="00EF0AA8"/>
    <w:rsid w:val="00EF13CA"/>
    <w:rsid w:val="00F04237"/>
    <w:rsid w:val="00F1016F"/>
    <w:rsid w:val="00F11331"/>
    <w:rsid w:val="00F13493"/>
    <w:rsid w:val="00F14900"/>
    <w:rsid w:val="00F15891"/>
    <w:rsid w:val="00F16832"/>
    <w:rsid w:val="00F24784"/>
    <w:rsid w:val="00F2657B"/>
    <w:rsid w:val="00F30486"/>
    <w:rsid w:val="00F30675"/>
    <w:rsid w:val="00F317B3"/>
    <w:rsid w:val="00F35B0B"/>
    <w:rsid w:val="00F35C32"/>
    <w:rsid w:val="00F41603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6045"/>
    <w:rsid w:val="00F86144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2013-01-04T14:53:00Z</cp:lastPrinted>
  <dcterms:created xsi:type="dcterms:W3CDTF">2014-11-15T18:11:00Z</dcterms:created>
  <dcterms:modified xsi:type="dcterms:W3CDTF">2014-11-15T18:11:00Z</dcterms:modified>
</cp:coreProperties>
</file>