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35750D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</w:t>
      </w: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F043B0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NOTE D’INFORMATION DU HAUT COMMISSARIAT AU PLAN </w:t>
      </w:r>
    </w:p>
    <w:p w:rsidR="00F043B0" w:rsidRDefault="009B7BDC" w:rsidP="00F043B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SUJET DE LA SITUATION DU MARCHE DU TRAVAIL </w:t>
      </w:r>
    </w:p>
    <w:p w:rsidR="009B7BDC" w:rsidRPr="002C4E32" w:rsidRDefault="009B7BDC" w:rsidP="00F043B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</w:t>
      </w:r>
      <w:r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TROISIEME</w:t>
      </w: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 TRIMESTRE DE L’ANNEE 2014</w:t>
      </w:r>
    </w:p>
    <w:p w:rsidR="009B7BDC" w:rsidRPr="00754D0C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B7BDC" w:rsidRPr="002A19AD" w:rsidRDefault="009B7BDC" w:rsidP="009B7BDC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  <w:r w:rsidRPr="002A19AD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Principaux </w:t>
      </w:r>
      <w:r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i</w:t>
      </w:r>
      <w:r w:rsidRPr="002A19AD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ndicateurs</w:t>
      </w:r>
    </w:p>
    <w:p w:rsidR="000535DC" w:rsidRDefault="009B7BDC" w:rsidP="000535DC">
      <w:p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Entre le 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troisième</w:t>
      </w:r>
      <w:r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trimestre de</w:t>
      </w:r>
      <w:r w:rsidR="004A3846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2013 </w:t>
      </w:r>
      <w:r w:rsidR="004A3846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et</w:t>
      </w:r>
      <w:r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="006B076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celui de </w:t>
      </w:r>
      <w:r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2014</w:t>
      </w:r>
      <w:r w:rsidR="000535DC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 :</w:t>
      </w:r>
    </w:p>
    <w:p w:rsidR="00303C6A" w:rsidRDefault="000535DC" w:rsidP="0038352E">
      <w:pPr>
        <w:numPr>
          <w:ilvl w:val="0"/>
          <w:numId w:val="19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Le Maroc a créé </w:t>
      </w:r>
      <w:r w:rsidR="00D21548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133.000 </w:t>
      </w:r>
      <w:r w:rsidR="009F58F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postes d’</w:t>
      </w:r>
      <w:r w:rsidR="006A2722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emploi 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dans </w:t>
      </w:r>
      <w:r w:rsidR="00D21548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les secteurs secondaire et tertiaire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="00D21548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et 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en a </w:t>
      </w:r>
      <w:r w:rsidR="006A2722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per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du </w:t>
      </w:r>
      <w:r w:rsidR="00D21548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75.000</w:t>
      </w:r>
      <w:r w:rsidR="00D21548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dans </w:t>
      </w:r>
      <w:r w:rsidR="00D21548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l'"agriculture, forêt et pêche"</w:t>
      </w:r>
      <w:r w:rsidR="00D21548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, 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se soldant par une création nette </w:t>
      </w:r>
      <w:r w:rsidR="00D21548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d’emploi </w:t>
      </w:r>
      <w:r w:rsidR="0038352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à </w:t>
      </w:r>
      <w:r w:rsidR="00D21548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58.000 </w:t>
      </w:r>
      <w:r w:rsidR="006B076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postes</w:t>
      </w:r>
      <w:r w:rsidR="00D21548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 36</w:t>
      </w:r>
      <w:r w:rsidR="00D21548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.000 en milieu urbain</w:t>
      </w:r>
      <w:r w:rsidR="0038352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, </w:t>
      </w:r>
      <w:r w:rsidR="00D21548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22</w:t>
      </w:r>
      <w:r w:rsidR="00D21548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en milieu rural. </w:t>
      </w:r>
    </w:p>
    <w:p w:rsidR="009F58FE" w:rsidRDefault="00303C6A" w:rsidP="0038352E">
      <w:pPr>
        <w:numPr>
          <w:ilvl w:val="0"/>
          <w:numId w:val="19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L</w:t>
      </w:r>
      <w:r w:rsidR="00791E7E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e nombre de chômeurs</w:t>
      </w:r>
      <w:r w:rsidR="00791E7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="0038352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s’est accru </w:t>
      </w:r>
      <w:r w:rsidR="006B076E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de </w:t>
      </w:r>
      <w:r w:rsidR="006B076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64</w:t>
      </w:r>
      <w:r w:rsidR="006B076E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.000 personnes</w:t>
      </w:r>
      <w:r w:rsidR="005146C1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 w:rsidR="005146C1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="005146C1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40</w:t>
      </w:r>
      <w:r w:rsidR="005146C1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en milieu urbain et </w:t>
      </w:r>
      <w:r w:rsidR="005146C1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24</w:t>
      </w:r>
      <w:r w:rsidR="005146C1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.000 en milieu rural</w:t>
      </w:r>
      <w:r w:rsidR="0038352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portant le volume </w:t>
      </w:r>
      <w:r w:rsidR="00782432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global </w:t>
      </w:r>
      <w:r w:rsidR="0038352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du chômage au niveau national à </w:t>
      </w:r>
      <w:r w:rsidR="00764681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1.1</w:t>
      </w:r>
      <w:r w:rsidR="00764681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40</w:t>
      </w:r>
      <w:r w:rsidR="00764681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</w:t>
      </w:r>
      <w:r w:rsidR="006B076E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personnes</w:t>
      </w:r>
      <w:r w:rsidR="009B7BDC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 </w:t>
      </w:r>
    </w:p>
    <w:p w:rsidR="009B7BDC" w:rsidRPr="002A19AD" w:rsidRDefault="00782432" w:rsidP="00387079">
      <w:pPr>
        <w:numPr>
          <w:ilvl w:val="0"/>
          <w:numId w:val="19"/>
        </w:num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Compte tenu de l’évolution de la population active, </w:t>
      </w:r>
      <w:r w:rsidR="00D61357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le taux de chômage 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est passé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de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9,1% </w:t>
      </w:r>
      <w:r w:rsidR="00D61357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à 9</w:t>
      </w:r>
      <w:r w:rsidR="00D61357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 w:rsidR="00D61357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</w:t>
      </w:r>
      <w:r w:rsidR="00D61357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</w:t>
      </w:r>
      <w:r w:rsidR="00D61357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au niveau national</w:t>
      </w:r>
      <w:r w:rsidR="00CF16AB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, 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de 14% à </w:t>
      </w:r>
      <w:r w:rsidR="00CF16AB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14,</w:t>
      </w:r>
      <w:r w:rsidR="00CF16AB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5</w:t>
      </w:r>
      <w:r w:rsidR="00CF16AB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</w:t>
      </w:r>
      <w:r w:rsidR="00CF16AB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en </w:t>
      </w:r>
      <w:r w:rsidR="009B7BDC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milieu urbain</w:t>
      </w:r>
      <w:r w:rsidR="00CF16AB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et 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de 3,7% à </w:t>
      </w:r>
      <w:r w:rsidR="00CF16AB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4</w:t>
      </w:r>
      <w:r w:rsidR="00CF16AB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 w:rsidR="00CF16AB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</w:t>
      </w:r>
      <w:r w:rsidR="00CF16AB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</w:t>
      </w:r>
      <w:r w:rsidR="00CF16AB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="00CF16AB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en milieu rural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 </w:t>
      </w:r>
      <w:r w:rsidR="00387079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P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armi la tranche d’âge </w:t>
      </w:r>
      <w:r w:rsidR="00F75AF5" w:rsidRPr="00E5283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15</w:t>
      </w:r>
      <w:r w:rsidR="00387079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à </w:t>
      </w:r>
      <w:r w:rsidR="00F75AF5" w:rsidRPr="00E5283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24</w:t>
      </w:r>
      <w:r w:rsidR="00387079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="00387079" w:rsidRPr="00E5283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ans</w:t>
      </w:r>
      <w:r w:rsidR="00387079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 w:rsidR="00F75AF5" w:rsidRPr="00E5283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="00387079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il est passé 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de 19,</w:t>
      </w:r>
      <w:r w:rsidR="00387079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à </w:t>
      </w:r>
      <w:r w:rsidR="00CF16AB" w:rsidRPr="00E5283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20,6% 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et </w:t>
      </w:r>
      <w:r w:rsidR="00CF16AB" w:rsidRPr="00E5283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parmi les </w:t>
      </w:r>
      <w:r w:rsidR="00F75AF5" w:rsidRPr="00E5283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détenteurs de diplômes 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de 16</w:t>
      </w:r>
      <w:r w:rsidR="00387079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,5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à </w:t>
      </w:r>
      <w:r w:rsidR="009B1B4B" w:rsidRPr="00E5283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16,8%</w:t>
      </w:r>
      <w:r w:rsidR="009B1B4B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.</w:t>
      </w:r>
      <w:r w:rsidR="009B7BDC" w:rsidRPr="002A19AD">
        <w:rPr>
          <w:rFonts w:ascii="Book Antiqua" w:hAnsi="Book Antiqua" w:cs="Times New Roman"/>
          <w:noProof w:val="0"/>
          <w:sz w:val="27"/>
          <w:szCs w:val="27"/>
        </w:rPr>
        <w:t xml:space="preserve"> </w:t>
      </w:r>
    </w:p>
    <w:p w:rsidR="009B7BDC" w:rsidRDefault="00C56D59" w:rsidP="00346C90">
      <w:pPr>
        <w:numPr>
          <w:ilvl w:val="0"/>
          <w:numId w:val="19"/>
        </w:num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L</w:t>
      </w:r>
      <w:r w:rsidR="009B7BDC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e taux de sous-emploi</w:t>
      </w:r>
      <w:r w:rsidR="009B7BDC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,</w:t>
      </w:r>
      <w:r w:rsidR="009B7BDC" w:rsidRPr="00AE424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de son côté, s’est élevé de </w:t>
      </w:r>
      <w:r w:rsidR="00346C90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9,4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</w:t>
      </w:r>
      <w:r w:rsidR="009B7BDC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à </w:t>
      </w:r>
      <w:r w:rsidR="009B7BDC" w:rsidRPr="00EC49A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10,</w:t>
      </w:r>
      <w:r w:rsidR="00EC49A3" w:rsidRPr="00EC49A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</w:t>
      </w:r>
      <w:r w:rsidR="009B7BDC" w:rsidRPr="00EC49A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au niveau national, 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de </w:t>
      </w:r>
      <w:r w:rsidR="00346C90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8,6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à </w:t>
      </w:r>
      <w:r w:rsidR="009B7BDC" w:rsidRPr="00EC49A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9,</w:t>
      </w:r>
      <w:r w:rsidR="00EC49A3" w:rsidRPr="00EC49A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</w:t>
      </w:r>
      <w:r w:rsidR="009B7BDC" w:rsidRPr="00EC49A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en milieu urbain et 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de </w:t>
      </w:r>
      <w:r w:rsidR="00346C90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10,3</w:t>
      </w:r>
      <w:r w:rsidR="00F75AF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% à </w:t>
      </w:r>
      <w:r w:rsidR="009B7BDC" w:rsidRPr="00EC49A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11,</w:t>
      </w:r>
      <w:r w:rsidR="00EC49A3" w:rsidRPr="00EC49A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</w:t>
      </w:r>
      <w:r w:rsidR="009B7BDC" w:rsidRPr="00EC49A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%</w:t>
      </w:r>
      <w:r w:rsidR="009B7BDC" w:rsidRPr="002A19AD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en milieu rural.</w:t>
      </w:r>
    </w:p>
    <w:p w:rsidR="00BC7ECE" w:rsidRDefault="00BC7ECE" w:rsidP="009B7BDC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</w:p>
    <w:p w:rsidR="009B1B4B" w:rsidRDefault="009B1B4B" w:rsidP="009B1B4B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</w:p>
    <w:p w:rsidR="009B7BDC" w:rsidRPr="00306463" w:rsidRDefault="009B7BDC" w:rsidP="00587F1E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  <w:r w:rsidRPr="00306463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lastRenderedPageBreak/>
        <w:t>Situation et évolution du marché du travail</w:t>
      </w:r>
    </w:p>
    <w:p w:rsidR="009B7BDC" w:rsidRPr="00754D0C" w:rsidRDefault="001D6147" w:rsidP="00014CF6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 xml:space="preserve">Avec 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1</w:t>
      </w:r>
      <w:r>
        <w:rPr>
          <w:rFonts w:ascii="Book Antiqua" w:hAnsi="Book Antiqua" w:cs="Times New Roman"/>
          <w:noProof w:val="0"/>
          <w:sz w:val="24"/>
          <w:szCs w:val="24"/>
        </w:rPr>
        <w:t>1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.</w:t>
      </w:r>
      <w:r>
        <w:rPr>
          <w:rFonts w:ascii="Book Antiqua" w:hAnsi="Book Antiqua" w:cs="Times New Roman"/>
          <w:noProof w:val="0"/>
          <w:sz w:val="24"/>
          <w:szCs w:val="24"/>
        </w:rPr>
        <w:t>885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.000 personnes,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l</w:t>
      </w:r>
      <w:r w:rsidR="009B7BDC" w:rsidRPr="000D52F4">
        <w:rPr>
          <w:rFonts w:ascii="Book Antiqua" w:hAnsi="Book Antiqua" w:cs="Times New Roman"/>
          <w:noProof w:val="0"/>
          <w:sz w:val="24"/>
          <w:szCs w:val="24"/>
        </w:rPr>
        <w:t>a population active âgée de 15 ans et plus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s’est accrue, entre les </w:t>
      </w:r>
      <w:r w:rsidR="00B33A95">
        <w:rPr>
          <w:rFonts w:ascii="Book Antiqua" w:hAnsi="Book Antiqua" w:cs="Times New Roman"/>
          <w:noProof w:val="0"/>
          <w:sz w:val="24"/>
          <w:szCs w:val="24"/>
        </w:rPr>
        <w:t>troisièmes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trimestres de 2013 et 2014, </w:t>
      </w:r>
      <w:r w:rsidR="00B33A95">
        <w:rPr>
          <w:rFonts w:ascii="Book Antiqua" w:hAnsi="Book Antiqua" w:cs="Times New Roman"/>
          <w:noProof w:val="0"/>
          <w:sz w:val="24"/>
          <w:szCs w:val="24"/>
        </w:rPr>
        <w:t>de 1% au niveau national (+1,2</w:t>
      </w:r>
      <w:r w:rsidR="00B33A95" w:rsidRPr="00754D0C">
        <w:rPr>
          <w:rFonts w:ascii="Book Antiqua" w:hAnsi="Book Antiqua" w:cs="Times New Roman"/>
          <w:noProof w:val="0"/>
          <w:sz w:val="24"/>
          <w:szCs w:val="24"/>
        </w:rPr>
        <w:t>% en milieu</w:t>
      </w:r>
      <w:r w:rsidR="00B33A95">
        <w:rPr>
          <w:rFonts w:ascii="Book Antiqua" w:hAnsi="Book Antiqua" w:cs="Times New Roman"/>
          <w:noProof w:val="0"/>
          <w:sz w:val="24"/>
          <w:szCs w:val="24"/>
        </w:rPr>
        <w:t xml:space="preserve">  u</w:t>
      </w:r>
      <w:r w:rsidR="009B7BDC" w:rsidRPr="00754D0C">
        <w:rPr>
          <w:rFonts w:ascii="Book Antiqua" w:hAnsi="Book Antiqua" w:cs="Times New Roman"/>
          <w:noProof w:val="0"/>
          <w:sz w:val="24"/>
          <w:szCs w:val="24"/>
        </w:rPr>
        <w:t xml:space="preserve">rbain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et +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0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,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8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% </w:t>
      </w:r>
      <w:r w:rsidR="00935004">
        <w:rPr>
          <w:rFonts w:ascii="Book Antiqua" w:hAnsi="Book Antiqua" w:cs="Times New Roman"/>
          <w:noProof w:val="0"/>
          <w:sz w:val="24"/>
          <w:szCs w:val="24"/>
        </w:rPr>
        <w:t xml:space="preserve">en </w:t>
      </w:r>
      <w:r w:rsidR="009B7BDC" w:rsidRPr="00754D0C">
        <w:rPr>
          <w:rFonts w:ascii="Book Antiqua" w:hAnsi="Book Antiqua" w:cs="Times New Roman"/>
          <w:noProof w:val="0"/>
          <w:sz w:val="24"/>
          <w:szCs w:val="24"/>
        </w:rPr>
        <w:t>milieu rural</w:t>
      </w:r>
      <w:r w:rsidR="00B33A95">
        <w:rPr>
          <w:rFonts w:ascii="Book Antiqua" w:hAnsi="Book Antiqua" w:cs="Times New Roman"/>
          <w:noProof w:val="0"/>
          <w:sz w:val="24"/>
          <w:szCs w:val="24"/>
        </w:rPr>
        <w:t>)</w:t>
      </w:r>
      <w:r w:rsidR="009B7BDC" w:rsidRPr="00754D0C">
        <w:rPr>
          <w:rFonts w:ascii="Book Antiqua" w:hAnsi="Book Antiqua" w:cs="Times New Roman"/>
          <w:noProof w:val="0"/>
          <w:sz w:val="24"/>
          <w:szCs w:val="24"/>
        </w:rPr>
        <w:t xml:space="preserve">. Le taux d’activité </w:t>
      </w:r>
      <w:r w:rsidR="00B33A95">
        <w:rPr>
          <w:rFonts w:ascii="Book Antiqua" w:hAnsi="Book Antiqua" w:cs="Times New Roman"/>
          <w:noProof w:val="0"/>
          <w:sz w:val="24"/>
          <w:szCs w:val="24"/>
        </w:rPr>
        <w:t>est ainsi passé</w:t>
      </w:r>
      <w:r w:rsidR="00014CF6">
        <w:rPr>
          <w:rFonts w:ascii="Book Antiqua" w:hAnsi="Book Antiqua" w:cs="Times New Roman"/>
          <w:noProof w:val="0"/>
          <w:sz w:val="24"/>
          <w:szCs w:val="24"/>
        </w:rPr>
        <w:t>, entre les deux périodes,</w:t>
      </w:r>
      <w:r w:rsidR="00B33A95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de 48</w:t>
      </w:r>
      <w:r w:rsidR="009B7BDC" w:rsidRPr="00754D0C">
        <w:rPr>
          <w:rFonts w:ascii="Book Antiqua" w:hAnsi="Book Antiqua" w:cs="Times New Roman"/>
          <w:noProof w:val="0"/>
          <w:sz w:val="24"/>
          <w:szCs w:val="24"/>
        </w:rPr>
        <w:t>,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5</w:t>
      </w:r>
      <w:r w:rsidR="009B7BDC" w:rsidRPr="00754D0C">
        <w:rPr>
          <w:rFonts w:ascii="Book Antiqua" w:hAnsi="Book Antiqua" w:cs="Times New Roman"/>
          <w:noProof w:val="0"/>
          <w:sz w:val="24"/>
          <w:szCs w:val="24"/>
        </w:rPr>
        <w:t>% à 4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8</w:t>
      </w:r>
      <w:r w:rsidR="009B7BDC" w:rsidRPr="00754D0C">
        <w:rPr>
          <w:rFonts w:ascii="Book Antiqua" w:hAnsi="Book Antiqua" w:cs="Times New Roman"/>
          <w:noProof w:val="0"/>
          <w:sz w:val="24"/>
          <w:szCs w:val="24"/>
        </w:rPr>
        <w:t>,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2</w:t>
      </w:r>
      <w:r w:rsidR="009B7BDC" w:rsidRPr="00754D0C">
        <w:rPr>
          <w:rFonts w:ascii="Book Antiqua" w:hAnsi="Book Antiqua" w:cs="Times New Roman"/>
          <w:noProof w:val="0"/>
          <w:sz w:val="24"/>
          <w:szCs w:val="24"/>
        </w:rPr>
        <w:t>%</w:t>
      </w:r>
      <w:r w:rsidR="00B33A95">
        <w:rPr>
          <w:rFonts w:ascii="Book Antiqua" w:hAnsi="Book Antiqua" w:cs="Times New Roman"/>
          <w:noProof w:val="0"/>
          <w:sz w:val="24"/>
          <w:szCs w:val="24"/>
        </w:rPr>
        <w:t xml:space="preserve">, enregistrant une diminution de </w:t>
      </w:r>
      <w:r w:rsidR="00B33A95" w:rsidRPr="00754D0C">
        <w:rPr>
          <w:rFonts w:ascii="Book Antiqua" w:hAnsi="Book Antiqua" w:cs="Times New Roman"/>
          <w:noProof w:val="0"/>
          <w:sz w:val="24"/>
          <w:szCs w:val="24"/>
        </w:rPr>
        <w:t>0,</w:t>
      </w:r>
      <w:r w:rsidR="00B33A95">
        <w:rPr>
          <w:rFonts w:ascii="Book Antiqua" w:hAnsi="Book Antiqua" w:cs="Times New Roman"/>
          <w:noProof w:val="0"/>
          <w:sz w:val="24"/>
          <w:szCs w:val="24"/>
        </w:rPr>
        <w:t>3 point</w:t>
      </w:r>
      <w:r w:rsidR="009B7BDC" w:rsidRPr="00754D0C">
        <w:rPr>
          <w:rFonts w:ascii="Book Antiqua" w:hAnsi="Book Antiqua" w:cs="Times New Roman"/>
          <w:noProof w:val="0"/>
          <w:sz w:val="24"/>
          <w:szCs w:val="24"/>
        </w:rPr>
        <w:t>.</w:t>
      </w:r>
    </w:p>
    <w:p w:rsidR="009B7BDC" w:rsidRPr="00FD363F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6"/>
          <w:szCs w:val="16"/>
        </w:rPr>
      </w:pPr>
    </w:p>
    <w:p w:rsidR="009B7BDC" w:rsidRPr="00754D0C" w:rsidRDefault="009B7BDC" w:rsidP="00DD32F8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Dans ce cadre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>
        <w:rPr>
          <w:rFonts w:ascii="Book Antiqua" w:hAnsi="Book Antiqua" w:cs="Times New Roman"/>
          <w:noProof w:val="0"/>
          <w:sz w:val="24"/>
          <w:szCs w:val="24"/>
        </w:rPr>
        <w:t>141</w:t>
      </w:r>
      <w:r w:rsidRPr="00C07DC1">
        <w:rPr>
          <w:rFonts w:ascii="Book Antiqua" w:hAnsi="Book Antiqua" w:cs="Times New Roman"/>
          <w:noProof w:val="0"/>
          <w:sz w:val="24"/>
          <w:szCs w:val="24"/>
        </w:rPr>
        <w:t>.000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 postes d’emploi rémunérés ont été </w:t>
      </w:r>
      <w:r>
        <w:rPr>
          <w:rFonts w:ascii="Book Antiqua" w:hAnsi="Book Antiqua" w:cs="Times New Roman"/>
          <w:noProof w:val="0"/>
          <w:sz w:val="24"/>
          <w:szCs w:val="24"/>
        </w:rPr>
        <w:t>cré</w:t>
      </w:r>
      <w:r w:rsidR="005049E1">
        <w:rPr>
          <w:rFonts w:ascii="Book Antiqua" w:hAnsi="Book Antiqua" w:cs="Times New Roman"/>
          <w:noProof w:val="0"/>
          <w:sz w:val="24"/>
          <w:szCs w:val="24"/>
        </w:rPr>
        <w:t>é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s 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au cours de la période, </w:t>
      </w:r>
      <w:r>
        <w:rPr>
          <w:rFonts w:ascii="Book Antiqua" w:hAnsi="Book Antiqua" w:cs="Times New Roman"/>
          <w:noProof w:val="0"/>
          <w:sz w:val="24"/>
          <w:szCs w:val="24"/>
        </w:rPr>
        <w:t>58</w:t>
      </w:r>
      <w:r w:rsidRPr="00DF7FC0">
        <w:rPr>
          <w:rFonts w:ascii="Book Antiqua" w:hAnsi="Book Antiqua" w:cs="Times New Roman"/>
          <w:noProof w:val="0"/>
          <w:sz w:val="24"/>
          <w:szCs w:val="24"/>
        </w:rPr>
        <w:t>.000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 postes en milieu </w:t>
      </w:r>
      <w:r>
        <w:rPr>
          <w:rFonts w:ascii="Book Antiqua" w:hAnsi="Book Antiqua" w:cs="Times New Roman"/>
          <w:noProof w:val="0"/>
          <w:sz w:val="24"/>
          <w:szCs w:val="24"/>
        </w:rPr>
        <w:t>urbain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 et </w:t>
      </w:r>
      <w:r>
        <w:rPr>
          <w:rFonts w:ascii="Book Antiqua" w:hAnsi="Book Antiqua" w:cs="Times New Roman"/>
          <w:noProof w:val="0"/>
          <w:sz w:val="24"/>
          <w:szCs w:val="24"/>
        </w:rPr>
        <w:t>83.000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 en milieu </w:t>
      </w:r>
      <w:r>
        <w:rPr>
          <w:rFonts w:ascii="Book Antiqua" w:hAnsi="Book Antiqua" w:cs="Times New Roman"/>
          <w:noProof w:val="0"/>
          <w:sz w:val="24"/>
          <w:szCs w:val="24"/>
        </w:rPr>
        <w:t>rural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. L’emploi non rémunéré, composé </w:t>
      </w:r>
      <w:r w:rsidR="00DD32F8">
        <w:rPr>
          <w:rFonts w:ascii="Book Antiqua" w:hAnsi="Book Antiqua" w:cs="Times New Roman"/>
          <w:noProof w:val="0"/>
          <w:sz w:val="24"/>
          <w:szCs w:val="24"/>
        </w:rPr>
        <w:t xml:space="preserve">de 98% 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d’aides familiales, a enregistré une </w:t>
      </w:r>
      <w:r>
        <w:rPr>
          <w:rFonts w:ascii="Book Antiqua" w:hAnsi="Book Antiqua" w:cs="Times New Roman"/>
          <w:noProof w:val="0"/>
          <w:sz w:val="24"/>
          <w:szCs w:val="24"/>
        </w:rPr>
        <w:t>baisse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 de </w:t>
      </w:r>
      <w:r w:rsidR="001C369C">
        <w:rPr>
          <w:rFonts w:ascii="Book Antiqua" w:hAnsi="Book Antiqua" w:cs="Times New Roman"/>
          <w:noProof w:val="0"/>
          <w:sz w:val="24"/>
          <w:szCs w:val="24"/>
        </w:rPr>
        <w:t>83</w:t>
      </w:r>
      <w:r w:rsidR="001C369C" w:rsidRPr="00754D0C">
        <w:rPr>
          <w:rFonts w:ascii="Book Antiqua" w:hAnsi="Book Antiqua" w:cs="Times New Roman"/>
          <w:noProof w:val="0"/>
          <w:sz w:val="24"/>
          <w:szCs w:val="24"/>
        </w:rPr>
        <w:t>.000</w:t>
      </w:r>
      <w:r w:rsidR="001C369C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1C369C" w:rsidRPr="00754D0C">
        <w:rPr>
          <w:rFonts w:ascii="Book Antiqua" w:hAnsi="Book Antiqua" w:cs="Times New Roman"/>
          <w:noProof w:val="0"/>
          <w:sz w:val="24"/>
          <w:szCs w:val="24"/>
        </w:rPr>
        <w:t>postes</w:t>
      </w:r>
      <w:r w:rsidR="001C369C">
        <w:rPr>
          <w:rFonts w:ascii="Book Antiqua" w:hAnsi="Book Antiqua" w:cs="Times New Roman"/>
          <w:noProof w:val="0"/>
          <w:sz w:val="24"/>
          <w:szCs w:val="24"/>
        </w:rPr>
        <w:t>,</w:t>
      </w:r>
      <w:r w:rsidR="001C369C" w:rsidRPr="00754D0C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22.000 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en zones </w:t>
      </w:r>
      <w:r>
        <w:rPr>
          <w:rFonts w:ascii="Book Antiqua" w:hAnsi="Book Antiqua" w:cs="Times New Roman"/>
          <w:noProof w:val="0"/>
          <w:sz w:val="24"/>
          <w:szCs w:val="24"/>
        </w:rPr>
        <w:t>urbaines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 et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61.000 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en zones </w:t>
      </w:r>
      <w:r>
        <w:rPr>
          <w:rFonts w:ascii="Book Antiqua" w:hAnsi="Book Antiqua" w:cs="Times New Roman"/>
          <w:noProof w:val="0"/>
          <w:sz w:val="24"/>
          <w:szCs w:val="24"/>
        </w:rPr>
        <w:t>rurales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. </w:t>
      </w:r>
    </w:p>
    <w:p w:rsidR="009B7BDC" w:rsidRPr="002B23BF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Pr="00754D0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Créations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les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troisièmes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>2013 et 2014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 milieu de résidence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 </w:t>
      </w:r>
    </w:p>
    <w:p w:rsidR="009B7BDC" w:rsidRPr="00FD0F34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9B7BDC" w:rsidRPr="00754D0C" w:rsidRDefault="00F36F1A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  <w:highlight w:val="yellow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488735" cy="2523109"/>
            <wp:effectExtent l="12192" t="6096" r="3253" b="0"/>
            <wp:docPr id="1" name="Graphiqu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9B7BDC" w:rsidRPr="00CD7613" w:rsidRDefault="00ED7C0C" w:rsidP="007277B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L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’économie marocaine a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ainsi </w:t>
      </w:r>
      <w:r w:rsidR="007277B9">
        <w:rPr>
          <w:rFonts w:ascii="Book Antiqua" w:hAnsi="Book Antiqua" w:cs="Times New Roman"/>
          <w:noProof w:val="0"/>
          <w:sz w:val="24"/>
          <w:szCs w:val="24"/>
        </w:rPr>
        <w:t xml:space="preserve">connu la création nette de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58</w:t>
      </w:r>
      <w:r w:rsidR="009B7BDC" w:rsidRPr="00CD7613">
        <w:rPr>
          <w:rFonts w:ascii="Book Antiqua" w:hAnsi="Book Antiqua" w:cs="Times New Roman"/>
          <w:noProof w:val="0"/>
          <w:sz w:val="24"/>
          <w:szCs w:val="24"/>
        </w:rPr>
        <w:t>.000 postes d’emploi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, 36</w:t>
      </w:r>
      <w:r w:rsidR="009B7BDC" w:rsidRPr="00CD7613">
        <w:rPr>
          <w:rFonts w:ascii="Book Antiqua" w:hAnsi="Book Antiqua" w:cs="Times New Roman"/>
          <w:noProof w:val="0"/>
          <w:sz w:val="24"/>
          <w:szCs w:val="24"/>
        </w:rPr>
        <w:t xml:space="preserve">.000 en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milieu </w:t>
      </w:r>
      <w:r w:rsidR="009B7BDC" w:rsidRPr="00CD7613">
        <w:rPr>
          <w:rFonts w:ascii="Book Antiqua" w:hAnsi="Book Antiqua" w:cs="Times New Roman"/>
          <w:noProof w:val="0"/>
          <w:sz w:val="24"/>
          <w:szCs w:val="24"/>
        </w:rPr>
        <w:t xml:space="preserve">urbain et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22</w:t>
      </w:r>
      <w:r w:rsidR="009B7BDC" w:rsidRPr="00CD7613">
        <w:rPr>
          <w:rFonts w:ascii="Book Antiqua" w:hAnsi="Book Antiqua" w:cs="Times New Roman"/>
          <w:noProof w:val="0"/>
          <w:sz w:val="24"/>
          <w:szCs w:val="24"/>
        </w:rPr>
        <w:t xml:space="preserve">.000 en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milieu </w:t>
      </w:r>
      <w:r w:rsidR="009B7BDC" w:rsidRPr="00CD7613">
        <w:rPr>
          <w:rFonts w:ascii="Book Antiqua" w:hAnsi="Book Antiqua" w:cs="Times New Roman"/>
          <w:noProof w:val="0"/>
          <w:sz w:val="24"/>
          <w:szCs w:val="24"/>
        </w:rPr>
        <w:t>rural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. </w:t>
      </w:r>
      <w:r>
        <w:rPr>
          <w:rFonts w:ascii="Book Antiqua" w:hAnsi="Book Antiqua" w:cs="Times New Roman"/>
          <w:noProof w:val="0"/>
          <w:sz w:val="24"/>
          <w:szCs w:val="24"/>
        </w:rPr>
        <w:t>De 10.687.000</w:t>
      </w:r>
      <w:r w:rsidR="00D702F1">
        <w:rPr>
          <w:rFonts w:ascii="Book Antiqua" w:hAnsi="Book Antiqua" w:cs="Times New Roman"/>
          <w:noProof w:val="0"/>
          <w:sz w:val="24"/>
          <w:szCs w:val="24"/>
        </w:rPr>
        <w:t xml:space="preserve"> emplois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, son </w:t>
      </w:r>
      <w:r w:rsidR="009B7BDC" w:rsidRPr="00CD7613">
        <w:rPr>
          <w:rFonts w:ascii="Book Antiqua" w:hAnsi="Book Antiqua" w:cs="Times New Roman"/>
          <w:noProof w:val="0"/>
          <w:sz w:val="24"/>
          <w:szCs w:val="24"/>
        </w:rPr>
        <w:t xml:space="preserve">volume </w:t>
      </w:r>
      <w:r w:rsidR="00D702F1">
        <w:rPr>
          <w:rFonts w:ascii="Book Antiqua" w:hAnsi="Book Antiqua" w:cs="Times New Roman"/>
          <w:noProof w:val="0"/>
          <w:sz w:val="24"/>
          <w:szCs w:val="24"/>
        </w:rPr>
        <w:t>est</w:t>
      </w:r>
      <w:r w:rsidR="00923A85">
        <w:rPr>
          <w:rFonts w:ascii="Book Antiqua" w:hAnsi="Book Antiqua" w:cs="Times New Roman"/>
          <w:noProof w:val="0"/>
          <w:sz w:val="24"/>
          <w:szCs w:val="24"/>
        </w:rPr>
        <w:t xml:space="preserve"> passé</w:t>
      </w:r>
      <w:r w:rsidR="00D702F1">
        <w:rPr>
          <w:rFonts w:ascii="Book Antiqua" w:hAnsi="Book Antiqua" w:cs="Times New Roman"/>
          <w:noProof w:val="0"/>
          <w:sz w:val="24"/>
          <w:szCs w:val="24"/>
        </w:rPr>
        <w:t xml:space="preserve">, au troisième trimestre 2014, à </w:t>
      </w:r>
      <w:r w:rsidR="009B7BDC" w:rsidRPr="00CD7613">
        <w:rPr>
          <w:rFonts w:ascii="Book Antiqua" w:hAnsi="Book Antiqua" w:cs="Times New Roman"/>
          <w:noProof w:val="0"/>
          <w:sz w:val="24"/>
          <w:szCs w:val="24"/>
        </w:rPr>
        <w:t xml:space="preserve"> 10.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745</w:t>
      </w:r>
      <w:r w:rsidR="009B7BDC" w:rsidRPr="00CD7613">
        <w:rPr>
          <w:rFonts w:ascii="Book Antiqua" w:hAnsi="Book Antiqua" w:cs="Times New Roman"/>
          <w:noProof w:val="0"/>
          <w:sz w:val="24"/>
          <w:szCs w:val="24"/>
        </w:rPr>
        <w:t xml:space="preserve">.000. </w:t>
      </w:r>
      <w:r w:rsidR="000D2029">
        <w:rPr>
          <w:rFonts w:ascii="Book Antiqua" w:hAnsi="Book Antiqua" w:cs="Times New Roman"/>
          <w:noProof w:val="0"/>
          <w:sz w:val="24"/>
          <w:szCs w:val="24"/>
        </w:rPr>
        <w:t xml:space="preserve">Le taux d’emploi, quant à lui, </w:t>
      </w:r>
      <w:r w:rsidR="00D44710" w:rsidRPr="00D44710">
        <w:rPr>
          <w:rFonts w:ascii="Book Antiqua" w:hAnsi="Book Antiqua" w:cs="Times New Roman"/>
          <w:noProof w:val="0"/>
          <w:sz w:val="24"/>
          <w:szCs w:val="24"/>
        </w:rPr>
        <w:t xml:space="preserve">avec un accroissement du volume de la population en âge d'activité plus important que celui de la population active occupée, </w:t>
      </w:r>
      <w:r w:rsidR="009B7BDC" w:rsidRPr="00D44710">
        <w:rPr>
          <w:rFonts w:ascii="Book Antiqua" w:hAnsi="Book Antiqua" w:cs="Times New Roman"/>
          <w:noProof w:val="0"/>
          <w:sz w:val="24"/>
          <w:szCs w:val="24"/>
        </w:rPr>
        <w:t>a reculé de 0,4 point au niveau national, passant de 44% à 43,6%. Il a baissé de 0,5 point en milieu urbain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 w:rsidR="009B7BDC" w:rsidRPr="00D44710">
        <w:rPr>
          <w:rFonts w:ascii="Book Antiqua" w:hAnsi="Book Antiqua" w:cs="Times New Roman"/>
          <w:noProof w:val="0"/>
          <w:sz w:val="24"/>
          <w:szCs w:val="24"/>
        </w:rPr>
        <w:t>de 36,3% à 35,8%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 w:rsidR="009B7BDC" w:rsidRPr="00D44710">
        <w:rPr>
          <w:rFonts w:ascii="Book Antiqua" w:hAnsi="Book Antiqua" w:cs="Times New Roman"/>
          <w:noProof w:val="0"/>
          <w:sz w:val="24"/>
          <w:szCs w:val="24"/>
        </w:rPr>
        <w:t>et de 0,2 point en milieu rural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 w:rsidR="009B7BDC" w:rsidRPr="00D44710">
        <w:rPr>
          <w:rFonts w:ascii="Book Antiqua" w:hAnsi="Book Antiqua" w:cs="Times New Roman"/>
          <w:noProof w:val="0"/>
          <w:sz w:val="24"/>
          <w:szCs w:val="24"/>
        </w:rPr>
        <w:t>de 55,9% à 55,7%.</w:t>
      </w:r>
      <w:r w:rsidR="009B7BDC" w:rsidRPr="00CD7613">
        <w:rPr>
          <w:rFonts w:ascii="Book Antiqua" w:hAnsi="Book Antiqua" w:cs="Times New Roman"/>
          <w:noProof w:val="0"/>
          <w:sz w:val="24"/>
          <w:szCs w:val="24"/>
        </w:rPr>
        <w:t xml:space="preserve"> </w:t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F07620" w:rsidRDefault="00F07620" w:rsidP="00F07620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D702F1" w:rsidRDefault="00D702F1" w:rsidP="00D702F1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B7BDC" w:rsidRPr="00306463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  <w:r w:rsidRPr="00306463"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  <w:lastRenderedPageBreak/>
        <w:t>Le</w:t>
      </w:r>
      <w:r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  <w:t>s</w:t>
      </w:r>
      <w:r w:rsidRPr="00306463"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  <w:t xml:space="preserve"> secteur</w:t>
      </w:r>
      <w:r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  <w:t>s</w:t>
      </w:r>
      <w:r w:rsidRPr="00306463"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  <w:t xml:space="preserve">secondaire et tertiaire </w:t>
      </w:r>
      <w:r w:rsidRPr="00306463"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  <w:t xml:space="preserve">à l’origine des emplois créés  </w:t>
      </w:r>
    </w:p>
    <w:p w:rsidR="009B7BDC" w:rsidRDefault="009B7BDC" w:rsidP="009B7BDC">
      <w:p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4"/>
          <w:szCs w:val="24"/>
        </w:rPr>
      </w:pPr>
    </w:p>
    <w:p w:rsidR="009B7BDC" w:rsidRDefault="009B7BDC" w:rsidP="0044517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 xml:space="preserve">C’est ainsi, qu’au niveau national,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le secteur des "services"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a créé 60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.000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postes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ce qui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correspond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à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un accroissement de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1</w:t>
      </w:r>
      <w:r>
        <w:rPr>
          <w:rFonts w:ascii="Book Antiqua" w:hAnsi="Book Antiqua" w:cs="Times New Roman"/>
          <w:noProof w:val="0"/>
          <w:sz w:val="24"/>
          <w:szCs w:val="24"/>
        </w:rPr>
        <w:t>,4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% du volume d’emploi du secteur, </w:t>
      </w:r>
      <w:r w:rsidR="00F55849">
        <w:rPr>
          <w:rFonts w:ascii="Book Antiqua" w:hAnsi="Book Antiqua" w:cs="Times New Roman"/>
          <w:noProof w:val="0"/>
          <w:sz w:val="24"/>
          <w:szCs w:val="24"/>
        </w:rPr>
        <w:t xml:space="preserve">contre </w:t>
      </w:r>
      <w:r w:rsidR="00F90B74" w:rsidRPr="00F26674">
        <w:rPr>
          <w:rFonts w:ascii="Book Antiqua" w:hAnsi="Book Antiqua" w:cs="Times New Roman"/>
          <w:noProof w:val="0"/>
          <w:sz w:val="24"/>
          <w:szCs w:val="24"/>
        </w:rPr>
        <w:t>une</w:t>
      </w:r>
      <w:r w:rsidR="00F90B74">
        <w:rPr>
          <w:rFonts w:ascii="Book Antiqua" w:hAnsi="Book Antiqua" w:cs="Times New Roman"/>
          <w:noProof w:val="0"/>
          <w:sz w:val="24"/>
          <w:szCs w:val="24"/>
        </w:rPr>
        <w:t xml:space="preserve"> création </w:t>
      </w:r>
      <w:r w:rsidR="00F55849">
        <w:rPr>
          <w:rFonts w:ascii="Book Antiqua" w:hAnsi="Book Antiqua" w:cs="Times New Roman"/>
          <w:noProof w:val="0"/>
          <w:sz w:val="24"/>
          <w:szCs w:val="24"/>
        </w:rPr>
        <w:t xml:space="preserve">de </w:t>
      </w:r>
      <w:r w:rsidR="00F90B74">
        <w:rPr>
          <w:rFonts w:ascii="Book Antiqua" w:hAnsi="Book Antiqua" w:cs="Times New Roman"/>
          <w:noProof w:val="0"/>
          <w:sz w:val="24"/>
          <w:szCs w:val="24"/>
        </w:rPr>
        <w:t>64.000 postes l’année dernière</w:t>
      </w:r>
      <w:r w:rsidR="00F90B74" w:rsidRPr="00FB15AF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F55849">
        <w:rPr>
          <w:rFonts w:ascii="Book Antiqua" w:hAnsi="Book Antiqua" w:cs="Times New Roman"/>
          <w:noProof w:val="0"/>
          <w:sz w:val="24"/>
          <w:szCs w:val="24"/>
        </w:rPr>
        <w:t xml:space="preserve">et </w:t>
      </w:r>
      <w:r w:rsidR="004F7EDC">
        <w:rPr>
          <w:rFonts w:ascii="Book Antiqua" w:hAnsi="Book Antiqua" w:cs="Times New Roman"/>
          <w:noProof w:val="0"/>
          <w:sz w:val="24"/>
          <w:szCs w:val="24"/>
        </w:rPr>
        <w:t>d’</w:t>
      </w:r>
      <w:r w:rsidR="00F55849">
        <w:rPr>
          <w:rFonts w:ascii="Book Antiqua" w:hAnsi="Book Antiqua" w:cs="Times New Roman"/>
          <w:noProof w:val="0"/>
          <w:sz w:val="24"/>
          <w:szCs w:val="24"/>
        </w:rPr>
        <w:t xml:space="preserve">une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moyenne </w:t>
      </w:r>
      <w:r w:rsidR="004F7EDC" w:rsidRPr="00FB15AF">
        <w:rPr>
          <w:rFonts w:ascii="Book Antiqua" w:hAnsi="Book Antiqua" w:cs="Times New Roman"/>
          <w:noProof w:val="0"/>
          <w:sz w:val="24"/>
          <w:szCs w:val="24"/>
        </w:rPr>
        <w:t xml:space="preserve">annuelle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de </w:t>
      </w:r>
      <w:r>
        <w:rPr>
          <w:rFonts w:ascii="Book Antiqua" w:hAnsi="Book Antiqua" w:cs="Times New Roman"/>
          <w:noProof w:val="0"/>
          <w:sz w:val="24"/>
          <w:szCs w:val="24"/>
        </w:rPr>
        <w:t>138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.000 postes au cours de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s années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2011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et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201</w:t>
      </w:r>
      <w:r>
        <w:rPr>
          <w:rFonts w:ascii="Book Antiqua" w:hAnsi="Book Antiqua" w:cs="Times New Roman"/>
          <w:noProof w:val="0"/>
          <w:sz w:val="24"/>
          <w:szCs w:val="24"/>
        </w:rPr>
        <w:t>2. Les nouveaux emplois cré</w:t>
      </w:r>
      <w:r w:rsidR="0044517B">
        <w:rPr>
          <w:rFonts w:ascii="Book Antiqua" w:hAnsi="Book Antiqua" w:cs="Times New Roman"/>
          <w:noProof w:val="0"/>
          <w:sz w:val="24"/>
          <w:szCs w:val="24"/>
        </w:rPr>
        <w:t>é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s au niveau de ce secteur, </w:t>
      </w:r>
      <w:r w:rsidR="0044517B">
        <w:rPr>
          <w:rFonts w:ascii="Book Antiqua" w:hAnsi="Book Antiqua" w:cs="Times New Roman"/>
          <w:noProof w:val="0"/>
          <w:sz w:val="24"/>
          <w:szCs w:val="24"/>
        </w:rPr>
        <w:t xml:space="preserve">résultent </w:t>
      </w:r>
      <w:r>
        <w:rPr>
          <w:rFonts w:ascii="Book Antiqua" w:hAnsi="Book Antiqua" w:cs="Times New Roman"/>
          <w:noProof w:val="0"/>
          <w:sz w:val="24"/>
          <w:szCs w:val="24"/>
        </w:rPr>
        <w:t>principalement de la création de 45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.000 postes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par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l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a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branche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du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"commerce de détail et réparation d’articles domestiques"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et de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1</w:t>
      </w:r>
      <w:r>
        <w:rPr>
          <w:rFonts w:ascii="Book Antiqua" w:hAnsi="Book Antiqua" w:cs="Times New Roman"/>
          <w:noProof w:val="0"/>
          <w:sz w:val="24"/>
          <w:szCs w:val="24"/>
        </w:rPr>
        <w:t>3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.000 </w:t>
      </w:r>
      <w:r w:rsidR="00F55849">
        <w:rPr>
          <w:rFonts w:ascii="Book Antiqua" w:hAnsi="Book Antiqua" w:cs="Times New Roman"/>
          <w:noProof w:val="0"/>
          <w:sz w:val="24"/>
          <w:szCs w:val="24"/>
        </w:rPr>
        <w:t xml:space="preserve">postes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par celle des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"services personnels"</w:t>
      </w:r>
      <w:r>
        <w:rPr>
          <w:rFonts w:ascii="Book Antiqua" w:hAnsi="Book Antiqua" w:cs="Times New Roman"/>
          <w:noProof w:val="0"/>
          <w:sz w:val="24"/>
          <w:szCs w:val="24"/>
        </w:rPr>
        <w:t>.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 </w:t>
      </w:r>
    </w:p>
    <w:p w:rsidR="009B7BDC" w:rsidRPr="00F15E6A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9B7BDC" w:rsidP="0044517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 xml:space="preserve">De son côté,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le secteur des BTP</w:t>
      </w:r>
      <w:r w:rsidR="00791326">
        <w:rPr>
          <w:rFonts w:ascii="Book Antiqua" w:hAnsi="Book Antiqua" w:cs="Times New Roman"/>
          <w:noProof w:val="0"/>
          <w:sz w:val="24"/>
          <w:szCs w:val="24"/>
        </w:rPr>
        <w:t>,</w:t>
      </w:r>
      <w:r w:rsidR="0044517B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053261">
        <w:rPr>
          <w:rFonts w:ascii="Book Antiqua" w:hAnsi="Book Antiqua" w:cs="Times New Roman"/>
          <w:noProof w:val="0"/>
          <w:sz w:val="24"/>
          <w:szCs w:val="24"/>
        </w:rPr>
        <w:t xml:space="preserve">après </w:t>
      </w:r>
      <w:r w:rsidR="0044517B">
        <w:rPr>
          <w:rFonts w:ascii="Book Antiqua" w:hAnsi="Book Antiqua" w:cs="Times New Roman"/>
          <w:noProof w:val="0"/>
          <w:sz w:val="24"/>
          <w:szCs w:val="24"/>
        </w:rPr>
        <w:t xml:space="preserve">avoir perdu en </w:t>
      </w:r>
      <w:r w:rsidR="0044517B" w:rsidRPr="00FB15AF">
        <w:rPr>
          <w:rFonts w:ascii="Book Antiqua" w:hAnsi="Book Antiqua" w:cs="Times New Roman"/>
          <w:noProof w:val="0"/>
          <w:sz w:val="24"/>
          <w:szCs w:val="24"/>
        </w:rPr>
        <w:t xml:space="preserve">moyenne </w:t>
      </w:r>
      <w:r w:rsidR="00053261" w:rsidRPr="00FB15AF">
        <w:rPr>
          <w:rFonts w:ascii="Book Antiqua" w:hAnsi="Book Antiqua" w:cs="Times New Roman"/>
          <w:noProof w:val="0"/>
          <w:sz w:val="24"/>
          <w:szCs w:val="24"/>
        </w:rPr>
        <w:t xml:space="preserve">annuelle </w:t>
      </w:r>
      <w:r>
        <w:rPr>
          <w:rFonts w:ascii="Book Antiqua" w:hAnsi="Book Antiqua" w:cs="Times New Roman"/>
          <w:noProof w:val="0"/>
          <w:sz w:val="24"/>
          <w:szCs w:val="24"/>
        </w:rPr>
        <w:t>3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3.000 postes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d’emploi</w:t>
      </w:r>
      <w:r w:rsidR="0044517B">
        <w:rPr>
          <w:rFonts w:ascii="Book Antiqua" w:hAnsi="Book Antiqua" w:cs="Times New Roman"/>
          <w:noProof w:val="0"/>
          <w:sz w:val="24"/>
          <w:szCs w:val="24"/>
        </w:rPr>
        <w:t xml:space="preserve"> au cours des trois dernières années</w:t>
      </w:r>
      <w:r>
        <w:rPr>
          <w:rFonts w:ascii="Book Antiqua" w:hAnsi="Book Antiqua" w:cs="Times New Roman"/>
          <w:noProof w:val="0"/>
          <w:sz w:val="24"/>
          <w:szCs w:val="24"/>
        </w:rPr>
        <w:t>,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>
        <w:rPr>
          <w:rFonts w:ascii="Book Antiqua" w:hAnsi="Book Antiqua" w:cs="Times New Roman"/>
          <w:noProof w:val="0"/>
          <w:sz w:val="24"/>
          <w:szCs w:val="24"/>
        </w:rPr>
        <w:t>a connu une reprise avec la création de 42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.000 postes, </w:t>
      </w:r>
      <w:r w:rsidR="00053261">
        <w:rPr>
          <w:rFonts w:ascii="Book Antiqua" w:hAnsi="Book Antiqua" w:cs="Times New Roman"/>
          <w:noProof w:val="0"/>
          <w:sz w:val="24"/>
          <w:szCs w:val="24"/>
        </w:rPr>
        <w:t xml:space="preserve">correspondant à </w:t>
      </w:r>
      <w:r>
        <w:rPr>
          <w:rFonts w:ascii="Book Antiqua" w:hAnsi="Book Antiqua" w:cs="Times New Roman"/>
          <w:noProof w:val="0"/>
          <w:sz w:val="24"/>
          <w:szCs w:val="24"/>
        </w:rPr>
        <w:t>une hausse de 4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,</w:t>
      </w:r>
      <w:r>
        <w:rPr>
          <w:rFonts w:ascii="Book Antiqua" w:hAnsi="Book Antiqua" w:cs="Times New Roman"/>
          <w:noProof w:val="0"/>
          <w:sz w:val="24"/>
          <w:szCs w:val="24"/>
        </w:rPr>
        <w:t>6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% du volume d’emploi du secteur.</w:t>
      </w:r>
    </w:p>
    <w:p w:rsidR="009B7BDC" w:rsidRPr="00F15E6A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9B7BDC" w:rsidP="0005326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De même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 w:rsidRPr="003F34FA">
        <w:rPr>
          <w:rFonts w:ascii="Book Antiqua" w:hAnsi="Book Antiqua" w:cs="Times New Roman"/>
          <w:noProof w:val="0"/>
          <w:sz w:val="24"/>
          <w:szCs w:val="24"/>
        </w:rPr>
        <w:t>le secteur de l’"industrie"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qui comprend aussi </w:t>
      </w:r>
      <w:r w:rsidRPr="003F34FA">
        <w:rPr>
          <w:rFonts w:ascii="Book Antiqua" w:hAnsi="Book Antiqua" w:cs="Times New Roman"/>
          <w:noProof w:val="0"/>
          <w:sz w:val="24"/>
          <w:szCs w:val="24"/>
        </w:rPr>
        <w:t>l’artisanat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a crée 3</w:t>
      </w:r>
      <w:r w:rsidRPr="003F34FA">
        <w:rPr>
          <w:rFonts w:ascii="Book Antiqua" w:hAnsi="Book Antiqua" w:cs="Times New Roman"/>
          <w:noProof w:val="0"/>
          <w:sz w:val="24"/>
          <w:szCs w:val="24"/>
        </w:rPr>
        <w:t>1.000 postes d’emploi</w:t>
      </w:r>
      <w:r>
        <w:rPr>
          <w:rFonts w:ascii="Book Antiqua" w:hAnsi="Book Antiqua" w:cs="Times New Roman"/>
          <w:noProof w:val="0"/>
          <w:sz w:val="24"/>
          <w:szCs w:val="24"/>
        </w:rPr>
        <w:t>,</w:t>
      </w:r>
      <w:r w:rsidRPr="003F34FA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ce qui </w:t>
      </w:r>
      <w:r w:rsidRPr="003F34FA">
        <w:rPr>
          <w:rFonts w:ascii="Book Antiqua" w:hAnsi="Book Antiqua" w:cs="Times New Roman"/>
          <w:noProof w:val="0"/>
          <w:sz w:val="24"/>
          <w:szCs w:val="24"/>
        </w:rPr>
        <w:t xml:space="preserve">correspond à une </w:t>
      </w:r>
      <w:r>
        <w:rPr>
          <w:rFonts w:ascii="Book Antiqua" w:hAnsi="Book Antiqua" w:cs="Times New Roman"/>
          <w:noProof w:val="0"/>
          <w:sz w:val="24"/>
          <w:szCs w:val="24"/>
        </w:rPr>
        <w:t>hausse</w:t>
      </w:r>
      <w:r w:rsidRPr="003F34FA">
        <w:rPr>
          <w:rFonts w:ascii="Book Antiqua" w:hAnsi="Book Antiqua" w:cs="Times New Roman"/>
          <w:noProof w:val="0"/>
          <w:sz w:val="24"/>
          <w:szCs w:val="24"/>
        </w:rPr>
        <w:t xml:space="preserve"> de </w:t>
      </w:r>
      <w:r>
        <w:rPr>
          <w:rFonts w:ascii="Book Antiqua" w:hAnsi="Book Antiqua" w:cs="Times New Roman"/>
          <w:noProof w:val="0"/>
          <w:sz w:val="24"/>
          <w:szCs w:val="24"/>
        </w:rPr>
        <w:t>2,6</w:t>
      </w:r>
      <w:r w:rsidRPr="003F34FA">
        <w:rPr>
          <w:rFonts w:ascii="Book Antiqua" w:hAnsi="Book Antiqua" w:cs="Times New Roman"/>
          <w:noProof w:val="0"/>
          <w:sz w:val="24"/>
          <w:szCs w:val="24"/>
        </w:rPr>
        <w:t xml:space="preserve">% du volume d’emploi du secteur, contre une perte </w:t>
      </w:r>
      <w:r w:rsidR="00053261" w:rsidRPr="003F34FA">
        <w:rPr>
          <w:rFonts w:ascii="Book Antiqua" w:hAnsi="Book Antiqua" w:cs="Times New Roman"/>
          <w:noProof w:val="0"/>
          <w:sz w:val="24"/>
          <w:szCs w:val="24"/>
        </w:rPr>
        <w:t xml:space="preserve">annuelle </w:t>
      </w:r>
      <w:r w:rsidRPr="003F34FA">
        <w:rPr>
          <w:rFonts w:ascii="Book Antiqua" w:hAnsi="Book Antiqua" w:cs="Times New Roman"/>
          <w:noProof w:val="0"/>
          <w:sz w:val="24"/>
          <w:szCs w:val="24"/>
        </w:rPr>
        <w:t xml:space="preserve">moyenne de </w:t>
      </w:r>
      <w:r>
        <w:rPr>
          <w:rFonts w:ascii="Book Antiqua" w:hAnsi="Book Antiqua" w:cs="Times New Roman"/>
          <w:noProof w:val="0"/>
          <w:sz w:val="24"/>
          <w:szCs w:val="24"/>
        </w:rPr>
        <w:t>16</w:t>
      </w:r>
      <w:r w:rsidRPr="003F34FA">
        <w:rPr>
          <w:rFonts w:ascii="Book Antiqua" w:hAnsi="Book Antiqua" w:cs="Times New Roman"/>
          <w:noProof w:val="0"/>
          <w:sz w:val="24"/>
          <w:szCs w:val="24"/>
        </w:rPr>
        <w:t>.000 postes au cours des trois dernières années</w:t>
      </w:r>
      <w:r>
        <w:rPr>
          <w:rFonts w:ascii="Book Antiqua" w:hAnsi="Book Antiqua" w:cs="Times New Roman"/>
          <w:noProof w:val="0"/>
          <w:sz w:val="24"/>
          <w:szCs w:val="24"/>
        </w:rPr>
        <w:t>. Ces nouveaux postes d’emploi sont le fait de la création de 18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.000 </w:t>
      </w:r>
      <w:r>
        <w:rPr>
          <w:rFonts w:ascii="Book Antiqua" w:hAnsi="Book Antiqua" w:cs="Times New Roman"/>
          <w:noProof w:val="0"/>
          <w:sz w:val="24"/>
          <w:szCs w:val="24"/>
        </w:rPr>
        <w:t>emplois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par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l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a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branche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du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"</w:t>
      </w:r>
      <w:r>
        <w:rPr>
          <w:rFonts w:ascii="Book Antiqua" w:hAnsi="Book Antiqua" w:cs="Times New Roman"/>
          <w:noProof w:val="0"/>
          <w:sz w:val="24"/>
          <w:szCs w:val="24"/>
        </w:rPr>
        <w:t>t</w:t>
      </w:r>
      <w:r w:rsidRPr="001D4E4D">
        <w:rPr>
          <w:rFonts w:ascii="Book Antiqua" w:hAnsi="Book Antiqua" w:cs="Times New Roman"/>
          <w:noProof w:val="0"/>
          <w:sz w:val="24"/>
          <w:szCs w:val="24"/>
        </w:rPr>
        <w:t>extile bonneterie et habillement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"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et de 9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.000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par celle des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"</w:t>
      </w:r>
      <w:r>
        <w:rPr>
          <w:rFonts w:ascii="Book Antiqua" w:hAnsi="Book Antiqua" w:cs="Times New Roman"/>
          <w:noProof w:val="0"/>
          <w:sz w:val="24"/>
          <w:szCs w:val="24"/>
        </w:rPr>
        <w:t>i</w:t>
      </w:r>
      <w:r w:rsidRPr="001D4E4D">
        <w:rPr>
          <w:rFonts w:ascii="Book Antiqua" w:hAnsi="Book Antiqua" w:cs="Times New Roman"/>
          <w:noProof w:val="0"/>
          <w:sz w:val="24"/>
          <w:szCs w:val="24"/>
        </w:rPr>
        <w:t>ndustries alimentaires et de boissons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"</w:t>
      </w:r>
      <w:r>
        <w:rPr>
          <w:rFonts w:ascii="Book Antiqua" w:hAnsi="Book Antiqua" w:cs="Times New Roman"/>
          <w:noProof w:val="0"/>
          <w:sz w:val="24"/>
          <w:szCs w:val="24"/>
        </w:rPr>
        <w:t>.</w:t>
      </w:r>
    </w:p>
    <w:p w:rsidR="009B7BDC" w:rsidRPr="00F15E6A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AE1869" w:rsidRDefault="009B7BDC" w:rsidP="005049E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691ACA">
        <w:rPr>
          <w:rFonts w:ascii="Book Antiqua" w:hAnsi="Book Antiqua" w:cs="Times New Roman"/>
          <w:noProof w:val="0"/>
          <w:sz w:val="24"/>
          <w:szCs w:val="24"/>
        </w:rPr>
        <w:t>En revanche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 w:rsidRPr="006529B4">
        <w:rPr>
          <w:rFonts w:ascii="Book Antiqua" w:hAnsi="Book Antiqua" w:cs="Times New Roman"/>
          <w:noProof w:val="0"/>
          <w:sz w:val="24"/>
          <w:szCs w:val="24"/>
        </w:rPr>
        <w:t>l’"agriculture, forêt et pêche"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a per</w:t>
      </w:r>
      <w:r w:rsidR="00053261">
        <w:rPr>
          <w:rFonts w:ascii="Book Antiqua" w:hAnsi="Book Antiqua" w:cs="Times New Roman"/>
          <w:noProof w:val="0"/>
          <w:sz w:val="24"/>
          <w:szCs w:val="24"/>
        </w:rPr>
        <w:t xml:space="preserve">du </w:t>
      </w:r>
      <w:r>
        <w:rPr>
          <w:rFonts w:ascii="Book Antiqua" w:hAnsi="Book Antiqua" w:cs="Times New Roman"/>
          <w:noProof w:val="0"/>
          <w:sz w:val="24"/>
          <w:szCs w:val="24"/>
        </w:rPr>
        <w:t>75</w:t>
      </w:r>
      <w:r w:rsidRPr="006529B4">
        <w:rPr>
          <w:rFonts w:ascii="Book Antiqua" w:hAnsi="Book Antiqua" w:cs="Times New Roman"/>
          <w:noProof w:val="0"/>
          <w:sz w:val="24"/>
          <w:szCs w:val="24"/>
        </w:rPr>
        <w:t>.000 postes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d’emploi, </w:t>
      </w:r>
      <w:r w:rsidR="005049E1">
        <w:rPr>
          <w:rFonts w:ascii="Book Antiqua" w:hAnsi="Book Antiqua" w:cs="Times New Roman"/>
          <w:noProof w:val="0"/>
          <w:sz w:val="24"/>
          <w:szCs w:val="24"/>
        </w:rPr>
        <w:t xml:space="preserve">représentant </w:t>
      </w:r>
      <w:r w:rsidR="00053261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>
        <w:rPr>
          <w:rFonts w:ascii="Book Antiqua" w:hAnsi="Book Antiqua" w:cs="Times New Roman"/>
          <w:noProof w:val="0"/>
          <w:sz w:val="24"/>
          <w:szCs w:val="24"/>
        </w:rPr>
        <w:t>une baisse de 1,8</w:t>
      </w:r>
      <w:r w:rsidRPr="006529B4">
        <w:rPr>
          <w:rFonts w:ascii="Book Antiqua" w:hAnsi="Book Antiqua" w:cs="Times New Roman"/>
          <w:noProof w:val="0"/>
          <w:sz w:val="24"/>
          <w:szCs w:val="24"/>
        </w:rPr>
        <w:t>%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du volume d’emploi du secteur</w:t>
      </w:r>
      <w:r w:rsidRPr="006529B4"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contre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 xml:space="preserve">une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création </w:t>
      </w:r>
      <w:r w:rsidR="005049E1">
        <w:rPr>
          <w:rFonts w:ascii="Book Antiqua" w:hAnsi="Book Antiqua" w:cs="Times New Roman"/>
          <w:noProof w:val="0"/>
          <w:sz w:val="24"/>
          <w:szCs w:val="24"/>
        </w:rPr>
        <w:t>de 156.000 postes</w:t>
      </w:r>
      <w:r w:rsidR="005049E1" w:rsidRPr="00FB15AF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5049E1">
        <w:rPr>
          <w:rFonts w:ascii="Book Antiqua" w:hAnsi="Book Antiqua" w:cs="Times New Roman"/>
          <w:noProof w:val="0"/>
          <w:sz w:val="24"/>
          <w:szCs w:val="24"/>
        </w:rPr>
        <w:t>l’année dernière</w:t>
      </w:r>
      <w:r w:rsidR="005049E1" w:rsidRPr="00FB15AF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5049E1">
        <w:rPr>
          <w:rFonts w:ascii="Book Antiqua" w:hAnsi="Book Antiqua" w:cs="Times New Roman"/>
          <w:noProof w:val="0"/>
          <w:sz w:val="24"/>
          <w:szCs w:val="24"/>
        </w:rPr>
        <w:t>et 17</w:t>
      </w:r>
      <w:r w:rsidR="005049E1" w:rsidRPr="00FB15AF">
        <w:rPr>
          <w:rFonts w:ascii="Book Antiqua" w:hAnsi="Book Antiqua" w:cs="Times New Roman"/>
          <w:noProof w:val="0"/>
          <w:sz w:val="24"/>
          <w:szCs w:val="24"/>
        </w:rPr>
        <w:t>.000</w:t>
      </w:r>
      <w:r w:rsidR="005049E1">
        <w:rPr>
          <w:rFonts w:ascii="Book Antiqua" w:hAnsi="Book Antiqua" w:cs="Times New Roman"/>
          <w:noProof w:val="0"/>
          <w:sz w:val="24"/>
          <w:szCs w:val="24"/>
        </w:rPr>
        <w:t xml:space="preserve"> postes,</w:t>
      </w:r>
      <w:r w:rsidR="005049E1" w:rsidRPr="00FB15AF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5049E1">
        <w:rPr>
          <w:rFonts w:ascii="Book Antiqua" w:hAnsi="Book Antiqua" w:cs="Times New Roman"/>
          <w:noProof w:val="0"/>
          <w:sz w:val="24"/>
          <w:szCs w:val="24"/>
        </w:rPr>
        <w:t xml:space="preserve">comme </w:t>
      </w:r>
      <w:r w:rsidR="005049E1" w:rsidRPr="00FB15AF">
        <w:rPr>
          <w:rFonts w:ascii="Book Antiqua" w:hAnsi="Book Antiqua" w:cs="Times New Roman"/>
          <w:noProof w:val="0"/>
          <w:sz w:val="24"/>
          <w:szCs w:val="24"/>
        </w:rPr>
        <w:t xml:space="preserve">moyenne </w:t>
      </w:r>
      <w:r w:rsidR="00053261" w:rsidRPr="00FB15AF">
        <w:rPr>
          <w:rFonts w:ascii="Book Antiqua" w:hAnsi="Book Antiqua" w:cs="Times New Roman"/>
          <w:noProof w:val="0"/>
          <w:sz w:val="24"/>
          <w:szCs w:val="24"/>
        </w:rPr>
        <w:t>annuelle</w:t>
      </w:r>
      <w:r w:rsidR="005049E1">
        <w:rPr>
          <w:rFonts w:ascii="Book Antiqua" w:hAnsi="Book Antiqua" w:cs="Times New Roman"/>
          <w:noProof w:val="0"/>
          <w:sz w:val="24"/>
          <w:szCs w:val="24"/>
        </w:rPr>
        <w:t>,</w:t>
      </w:r>
      <w:r w:rsidR="00053261" w:rsidRPr="00FB15AF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au cours de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s années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2011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et </w:t>
      </w:r>
      <w:r w:rsidRPr="00FB15AF">
        <w:rPr>
          <w:rFonts w:ascii="Book Antiqua" w:hAnsi="Book Antiqua" w:cs="Times New Roman"/>
          <w:noProof w:val="0"/>
          <w:sz w:val="24"/>
          <w:szCs w:val="24"/>
        </w:rPr>
        <w:t>201</w:t>
      </w:r>
      <w:r>
        <w:rPr>
          <w:rFonts w:ascii="Book Antiqua" w:hAnsi="Book Antiqua" w:cs="Times New Roman"/>
          <w:noProof w:val="0"/>
          <w:sz w:val="24"/>
          <w:szCs w:val="24"/>
        </w:rPr>
        <w:t>2</w:t>
      </w:r>
      <w:r w:rsidRPr="00AE1869">
        <w:rPr>
          <w:rFonts w:ascii="Book Antiqua" w:hAnsi="Book Antiqua" w:cs="Times New Roman"/>
          <w:noProof w:val="0"/>
          <w:sz w:val="24"/>
          <w:szCs w:val="24"/>
        </w:rPr>
        <w:t>.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3"/>
          <w:szCs w:val="23"/>
        </w:rPr>
      </w:pPr>
    </w:p>
    <w:p w:rsidR="00732456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2"/>
          <w:szCs w:val="22"/>
        </w:rPr>
      </w:pPr>
      <w:r w:rsidRPr="00754D0C">
        <w:rPr>
          <w:rFonts w:ascii="Book Antiqua" w:hAnsi="Book Antiqua" w:cs="Times New Roman"/>
          <w:b/>
          <w:bCs/>
          <w:noProof w:val="0"/>
          <w:sz w:val="23"/>
          <w:szCs w:val="23"/>
        </w:rPr>
        <w:t>F</w:t>
      </w:r>
      <w:r w:rsidRPr="00B20553">
        <w:rPr>
          <w:rFonts w:ascii="Book Antiqua" w:hAnsi="Book Antiqua" w:cs="Times New Roman"/>
          <w:b/>
          <w:bCs/>
          <w:noProof w:val="0"/>
          <w:sz w:val="22"/>
          <w:szCs w:val="22"/>
        </w:rPr>
        <w:t>igure 2. Créations nettes d’emplois par secteur d’activité économique et milieu de résidence</w:t>
      </w:r>
    </w:p>
    <w:p w:rsidR="009B7BDC" w:rsidRPr="00732456" w:rsidRDefault="009B7BDC" w:rsidP="0073245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754D0C" w:rsidRDefault="00F36F1A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drawing>
          <wp:inline distT="0" distB="0" distL="0" distR="0">
            <wp:extent cx="6071949" cy="2419477"/>
            <wp:effectExtent l="13494" t="6096" r="6747" b="2667"/>
            <wp:docPr id="2" name="Graphiqu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494661">
        <w:rPr>
          <w:rFonts w:ascii="Book Antiqua" w:hAnsi="Book Antiqua" w:cs="Times New Roman"/>
          <w:noProof w:val="0"/>
          <w:sz w:val="24"/>
          <w:szCs w:val="24"/>
        </w:rPr>
        <w:lastRenderedPageBreak/>
        <w:t>Par milieu de résidence, l’évolution de l’emploi selon le</w:t>
      </w:r>
      <w:r>
        <w:rPr>
          <w:rFonts w:ascii="Book Antiqua" w:hAnsi="Book Antiqua" w:cs="Times New Roman"/>
          <w:noProof w:val="0"/>
          <w:sz w:val="24"/>
          <w:szCs w:val="24"/>
        </w:rPr>
        <w:t>s</w:t>
      </w:r>
      <w:r w:rsidRPr="00494661">
        <w:rPr>
          <w:rFonts w:ascii="Book Antiqua" w:hAnsi="Book Antiqua" w:cs="Times New Roman"/>
          <w:noProof w:val="0"/>
          <w:sz w:val="24"/>
          <w:szCs w:val="24"/>
        </w:rPr>
        <w:t xml:space="preserve"> secteur</w:t>
      </w:r>
      <w:r>
        <w:rPr>
          <w:rFonts w:ascii="Book Antiqua" w:hAnsi="Book Antiqua" w:cs="Times New Roman"/>
          <w:noProof w:val="0"/>
          <w:sz w:val="24"/>
          <w:szCs w:val="24"/>
        </w:rPr>
        <w:t>s</w:t>
      </w:r>
      <w:r w:rsidRPr="00494661">
        <w:rPr>
          <w:rFonts w:ascii="Book Antiqua" w:hAnsi="Book Antiqua" w:cs="Times New Roman"/>
          <w:noProof w:val="0"/>
          <w:sz w:val="24"/>
          <w:szCs w:val="24"/>
        </w:rPr>
        <w:t xml:space="preserve"> d’activité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économique</w:t>
      </w:r>
      <w:r w:rsidRPr="00494661">
        <w:rPr>
          <w:rFonts w:ascii="Book Antiqua" w:hAnsi="Book Antiqua" w:cs="Times New Roman"/>
          <w:noProof w:val="0"/>
          <w:sz w:val="24"/>
          <w:szCs w:val="24"/>
        </w:rPr>
        <w:t xml:space="preserve"> se présente comme suit : </w:t>
      </w:r>
    </w:p>
    <w:p w:rsidR="009B7BDC" w:rsidRPr="00C57017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3"/>
          <w:szCs w:val="23"/>
        </w:rPr>
      </w:pPr>
      <w:r w:rsidRPr="00691ACA">
        <w:rPr>
          <w:rFonts w:ascii="Book Antiqua" w:hAnsi="Book Antiqua" w:cs="Times New Roman"/>
          <w:b/>
          <w:bCs/>
          <w:noProof w:val="0"/>
          <w:sz w:val="24"/>
          <w:szCs w:val="24"/>
        </w:rPr>
        <w:t>En milieu urbain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>
        <w:rPr>
          <w:rFonts w:ascii="Book Antiqua" w:hAnsi="Book Antiqua" w:cs="Times New Roman" w:hint="cs"/>
          <w:noProof w:val="0"/>
          <w:sz w:val="24"/>
          <w:szCs w:val="24"/>
          <w:rtl/>
        </w:rPr>
        <w:t>à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l’exception du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secteur de l’"agriculture, forêt et pêche"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qui a connu la perte de 5.000 emplois, correspondant à une baisse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de </w:t>
      </w:r>
      <w:r>
        <w:rPr>
          <w:rFonts w:ascii="Book Antiqua" w:hAnsi="Book Antiqua" w:cs="Times New Roman"/>
          <w:noProof w:val="0"/>
          <w:sz w:val="24"/>
          <w:szCs w:val="24"/>
        </w:rPr>
        <w:t>2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,</w:t>
      </w:r>
      <w:r>
        <w:rPr>
          <w:rFonts w:ascii="Book Antiqua" w:hAnsi="Book Antiqua" w:cs="Times New Roman"/>
          <w:noProof w:val="0"/>
          <w:sz w:val="24"/>
          <w:szCs w:val="24"/>
        </w:rPr>
        <w:t>3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% du volume d’emploi </w:t>
      </w:r>
      <w:r>
        <w:rPr>
          <w:rFonts w:ascii="Book Antiqua" w:hAnsi="Book Antiqua" w:cs="Times New Roman"/>
          <w:noProof w:val="0"/>
          <w:sz w:val="24"/>
          <w:szCs w:val="24"/>
        </w:rPr>
        <w:t>dans le secteur, tous les autres secteurs ont vu leur volume d’emploi augmenter</w:t>
      </w:r>
      <w:r w:rsidRPr="00D6537F">
        <w:rPr>
          <w:rFonts w:ascii="Book Antiqua" w:hAnsi="Book Antiqua" w:cs="Times New Roman"/>
          <w:noProof w:val="0"/>
          <w:sz w:val="23"/>
          <w:szCs w:val="23"/>
        </w:rPr>
        <w:t>:</w:t>
      </w:r>
    </w:p>
    <w:p w:rsidR="009B7BDC" w:rsidRPr="00691ACA" w:rsidRDefault="009B7BDC" w:rsidP="009B7BDC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25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.000 postes d’emploi dans le secteur de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l’"industrie y compris l'artisanat" (</w:t>
      </w:r>
      <w:r>
        <w:rPr>
          <w:rFonts w:ascii="Book Antiqua" w:hAnsi="Book Antiqua" w:cs="Times New Roman"/>
          <w:noProof w:val="0"/>
          <w:sz w:val="24"/>
          <w:szCs w:val="24"/>
        </w:rPr>
        <w:t>+2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,</w:t>
      </w:r>
      <w:r>
        <w:rPr>
          <w:rFonts w:ascii="Book Antiqua" w:hAnsi="Book Antiqua" w:cs="Times New Roman"/>
          <w:noProof w:val="0"/>
          <w:sz w:val="24"/>
          <w:szCs w:val="24"/>
        </w:rPr>
        <w:t>6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% du volume d’emploi du secteur); </w:t>
      </w:r>
    </w:p>
    <w:p w:rsidR="009B7BDC" w:rsidRDefault="009B7BDC" w:rsidP="009B7BDC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11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.000 emplois dans celui de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s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"</w:t>
      </w:r>
      <w:r>
        <w:rPr>
          <w:rFonts w:ascii="Book Antiqua" w:hAnsi="Book Antiqua" w:cs="Times New Roman"/>
          <w:noProof w:val="0"/>
          <w:sz w:val="24"/>
          <w:szCs w:val="24"/>
        </w:rPr>
        <w:t>services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" (</w:t>
      </w:r>
      <w:r>
        <w:rPr>
          <w:rFonts w:ascii="Book Antiqua" w:hAnsi="Book Antiqua" w:cs="Times New Roman"/>
          <w:noProof w:val="0"/>
          <w:sz w:val="24"/>
          <w:szCs w:val="24"/>
        </w:rPr>
        <w:t>+0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,</w:t>
      </w:r>
      <w:r>
        <w:rPr>
          <w:rFonts w:ascii="Book Antiqua" w:hAnsi="Book Antiqua" w:cs="Times New Roman"/>
          <w:noProof w:val="0"/>
          <w:sz w:val="24"/>
          <w:szCs w:val="24"/>
        </w:rPr>
        <w:t>3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%)</w:t>
      </w:r>
      <w:r>
        <w:rPr>
          <w:rFonts w:ascii="Book Antiqua" w:hAnsi="Book Antiqua" w:cs="Times New Roman"/>
          <w:noProof w:val="0"/>
          <w:sz w:val="24"/>
          <w:szCs w:val="24"/>
        </w:rPr>
        <w:t>;</w:t>
      </w:r>
    </w:p>
    <w:p w:rsidR="009B7BDC" w:rsidRPr="00C57017" w:rsidRDefault="009B7BDC" w:rsidP="009B7BDC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C57017">
        <w:rPr>
          <w:rFonts w:ascii="Book Antiqua" w:hAnsi="Book Antiqua" w:cs="Times New Roman"/>
          <w:noProof w:val="0"/>
          <w:sz w:val="24"/>
          <w:szCs w:val="24"/>
        </w:rPr>
        <w:t>5.000 emplois dans les BTP (+1%)</w:t>
      </w:r>
      <w:r>
        <w:rPr>
          <w:rFonts w:ascii="Book Antiqua" w:hAnsi="Book Antiqua" w:cs="Times New Roman"/>
          <w:noProof w:val="0"/>
          <w:sz w:val="24"/>
          <w:szCs w:val="24"/>
        </w:rPr>
        <w:t>.</w:t>
      </w:r>
      <w:r w:rsidRPr="00C57017">
        <w:rPr>
          <w:rFonts w:ascii="Book Antiqua" w:hAnsi="Book Antiqua" w:cs="Times New Roman"/>
          <w:noProof w:val="0"/>
          <w:sz w:val="24"/>
          <w:szCs w:val="24"/>
        </w:rPr>
        <w:t> </w:t>
      </w:r>
    </w:p>
    <w:p w:rsidR="009B7BDC" w:rsidRPr="00C57017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C57017" w:rsidRDefault="009B7BDC" w:rsidP="007277B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6E0A05">
        <w:rPr>
          <w:rFonts w:ascii="Book Antiqua" w:hAnsi="Book Antiqua" w:cs="Times New Roman"/>
          <w:b/>
          <w:bCs/>
          <w:noProof w:val="0"/>
          <w:sz w:val="24"/>
          <w:szCs w:val="24"/>
        </w:rPr>
        <w:t>En milieu rural</w:t>
      </w:r>
      <w:r w:rsidRPr="00C5701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, </w:t>
      </w:r>
      <w:r w:rsidRPr="00C57017">
        <w:rPr>
          <w:rFonts w:ascii="Book Antiqua" w:hAnsi="Book Antiqua" w:cs="Times New Roman"/>
          <w:noProof w:val="0"/>
          <w:sz w:val="24"/>
          <w:szCs w:val="24"/>
        </w:rPr>
        <w:t xml:space="preserve">après une création exceptionnelle de 156.000 postes d’emploi </w:t>
      </w:r>
      <w:r>
        <w:rPr>
          <w:rFonts w:ascii="Book Antiqua" w:hAnsi="Book Antiqua" w:cs="Times New Roman"/>
          <w:noProof w:val="0"/>
          <w:sz w:val="24"/>
          <w:szCs w:val="24"/>
        </w:rPr>
        <w:t>l’année dernière</w:t>
      </w:r>
      <w:r w:rsidRPr="00C57017">
        <w:rPr>
          <w:rFonts w:ascii="Book Antiqua" w:hAnsi="Book Antiqua" w:cs="Times New Roman"/>
          <w:noProof w:val="0"/>
          <w:sz w:val="24"/>
          <w:szCs w:val="24"/>
        </w:rPr>
        <w:t xml:space="preserve">, le secteur de l’"agriculture, forêt et pêche" est le seul secteur à avoir perdu des emplois </w:t>
      </w:r>
      <w:r>
        <w:rPr>
          <w:rFonts w:ascii="Book Antiqua" w:hAnsi="Book Antiqua" w:cs="Times New Roman"/>
          <w:noProof w:val="0"/>
          <w:sz w:val="24"/>
          <w:szCs w:val="24"/>
        </w:rPr>
        <w:t>cette année</w:t>
      </w:r>
      <w:r w:rsidR="00F26674">
        <w:rPr>
          <w:rFonts w:ascii="Book Antiqua" w:hAnsi="Book Antiqua" w:cs="Times New Roman"/>
          <w:noProof w:val="0"/>
          <w:sz w:val="24"/>
          <w:szCs w:val="24"/>
        </w:rPr>
        <w:t xml:space="preserve">. </w:t>
      </w:r>
      <w:r w:rsidR="007277B9">
        <w:rPr>
          <w:rFonts w:ascii="Book Antiqua" w:hAnsi="Book Antiqua" w:cs="Times New Roman"/>
          <w:noProof w:val="0"/>
          <w:sz w:val="24"/>
          <w:szCs w:val="24"/>
        </w:rPr>
        <w:t>En effet, c</w:t>
      </w:r>
      <w:r w:rsidR="00F26674">
        <w:rPr>
          <w:rFonts w:ascii="Book Antiqua" w:hAnsi="Book Antiqua" w:cs="Times New Roman"/>
          <w:noProof w:val="0"/>
          <w:sz w:val="24"/>
          <w:szCs w:val="24"/>
        </w:rPr>
        <w:t xml:space="preserve">e dernier a </w:t>
      </w:r>
      <w:r w:rsidR="007277B9">
        <w:rPr>
          <w:rFonts w:ascii="Book Antiqua" w:hAnsi="Book Antiqua" w:cs="Times New Roman"/>
          <w:noProof w:val="0"/>
          <w:sz w:val="24"/>
          <w:szCs w:val="24"/>
        </w:rPr>
        <w:t xml:space="preserve">ainsi </w:t>
      </w:r>
      <w:r w:rsidR="00F26674">
        <w:rPr>
          <w:rFonts w:ascii="Book Antiqua" w:hAnsi="Book Antiqua" w:cs="Times New Roman"/>
          <w:noProof w:val="0"/>
          <w:sz w:val="24"/>
          <w:szCs w:val="24"/>
        </w:rPr>
        <w:t xml:space="preserve">perdu </w:t>
      </w:r>
      <w:r w:rsidRPr="00C57017">
        <w:rPr>
          <w:rFonts w:ascii="Book Antiqua" w:hAnsi="Book Antiqua" w:cs="Times New Roman"/>
          <w:noProof w:val="0"/>
          <w:sz w:val="24"/>
          <w:szCs w:val="24"/>
        </w:rPr>
        <w:t>75.000 postes, ce qui correspond à -1,7% du volume d’emploi du secteur</w:t>
      </w:r>
      <w:r w:rsidR="00732456">
        <w:rPr>
          <w:rFonts w:ascii="Book Antiqua" w:hAnsi="Book Antiqua" w:cs="Times New Roman"/>
          <w:noProof w:val="0"/>
          <w:sz w:val="24"/>
          <w:szCs w:val="24"/>
        </w:rPr>
        <w:t> ; alors que l</w:t>
      </w:r>
      <w:r w:rsidRPr="00C57017">
        <w:rPr>
          <w:rFonts w:ascii="Book Antiqua" w:hAnsi="Book Antiqua" w:cs="Times New Roman"/>
          <w:noProof w:val="0"/>
          <w:sz w:val="24"/>
          <w:szCs w:val="24"/>
        </w:rPr>
        <w:t>es autres secteurs</w:t>
      </w:r>
      <w:r w:rsidR="00732456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C57017">
        <w:rPr>
          <w:rFonts w:ascii="Book Antiqua" w:hAnsi="Book Antiqua" w:cs="Times New Roman"/>
          <w:noProof w:val="0"/>
          <w:sz w:val="24"/>
          <w:szCs w:val="24"/>
        </w:rPr>
        <w:t>ont tous créé des emplois avec respectivement :</w:t>
      </w:r>
    </w:p>
    <w:p w:rsidR="009B7BDC" w:rsidRPr="00691ACA" w:rsidRDefault="009B7BDC" w:rsidP="009B7BDC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49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.000 postes d’emploi </w:t>
      </w:r>
      <w:r>
        <w:rPr>
          <w:rFonts w:ascii="Book Antiqua" w:hAnsi="Book Antiqua" w:cs="Times New Roman"/>
          <w:noProof w:val="0"/>
          <w:sz w:val="24"/>
          <w:szCs w:val="24"/>
        </w:rPr>
        <w:t>par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 le secteur des "services" (</w:t>
      </w:r>
      <w:r>
        <w:rPr>
          <w:rFonts w:ascii="Book Antiqua" w:hAnsi="Book Antiqua" w:cs="Times New Roman"/>
          <w:noProof w:val="0"/>
          <w:sz w:val="24"/>
          <w:szCs w:val="24"/>
        </w:rPr>
        <w:t>+7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,</w:t>
      </w:r>
      <w:r>
        <w:rPr>
          <w:rFonts w:ascii="Book Antiqua" w:hAnsi="Book Antiqua" w:cs="Times New Roman"/>
          <w:noProof w:val="0"/>
          <w:sz w:val="24"/>
          <w:szCs w:val="24"/>
        </w:rPr>
        <w:t>2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% du volume d’emploi du secteur)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; </w:t>
      </w:r>
    </w:p>
    <w:p w:rsidR="009B7BDC" w:rsidRDefault="009B7BDC" w:rsidP="009B7BDC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37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.000 emplois </w:t>
      </w:r>
      <w:r>
        <w:rPr>
          <w:rFonts w:ascii="Book Antiqua" w:hAnsi="Book Antiqua" w:cs="Times New Roman"/>
          <w:noProof w:val="0"/>
          <w:sz w:val="24"/>
          <w:szCs w:val="24"/>
        </w:rPr>
        <w:t>par l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s BTP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(</w:t>
      </w:r>
      <w:r>
        <w:rPr>
          <w:rFonts w:ascii="Book Antiqua" w:hAnsi="Book Antiqua" w:cs="Times New Roman"/>
          <w:noProof w:val="0"/>
          <w:sz w:val="24"/>
          <w:szCs w:val="24"/>
        </w:rPr>
        <w:t>+9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,</w:t>
      </w:r>
      <w:r>
        <w:rPr>
          <w:rFonts w:ascii="Book Antiqua" w:hAnsi="Book Antiqua" w:cs="Times New Roman"/>
          <w:noProof w:val="0"/>
          <w:sz w:val="24"/>
          <w:szCs w:val="24"/>
        </w:rPr>
        <w:t>5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%) ;</w:t>
      </w:r>
    </w:p>
    <w:p w:rsidR="009B7BDC" w:rsidRDefault="009B7BDC" w:rsidP="009B7BDC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6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.000 postes d’emploi dans le secteur de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l’"industrie y compris l'artisanat" (</w:t>
      </w:r>
      <w:r>
        <w:rPr>
          <w:rFonts w:ascii="Book Antiqua" w:hAnsi="Book Antiqua" w:cs="Times New Roman"/>
          <w:noProof w:val="0"/>
          <w:sz w:val="24"/>
          <w:szCs w:val="24"/>
        </w:rPr>
        <w:t>+2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,</w:t>
      </w:r>
      <w:r>
        <w:rPr>
          <w:rFonts w:ascii="Book Antiqua" w:hAnsi="Book Antiqua" w:cs="Times New Roman"/>
          <w:noProof w:val="0"/>
          <w:sz w:val="24"/>
          <w:szCs w:val="24"/>
        </w:rPr>
        <w:t>6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%)</w:t>
      </w:r>
      <w:r>
        <w:rPr>
          <w:rFonts w:ascii="Book Antiqua" w:hAnsi="Book Antiqua" w:cs="Times New Roman"/>
          <w:noProof w:val="0"/>
          <w:sz w:val="24"/>
          <w:szCs w:val="24"/>
        </w:rPr>
        <w:t>.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 </w:t>
      </w:r>
    </w:p>
    <w:p w:rsidR="000900D2" w:rsidRPr="002C0306" w:rsidRDefault="000900D2" w:rsidP="000900D2">
      <w:p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C57017" w:rsidRDefault="009B7BDC" w:rsidP="004F377E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  <w:r w:rsidRPr="00C57017"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  <w:t xml:space="preserve">Situation, évolution et principales caractéristiques du chômage </w:t>
      </w:r>
    </w:p>
    <w:p w:rsidR="009B7BDC" w:rsidRPr="000C5098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9B7BDC" w:rsidRPr="00754D0C" w:rsidRDefault="009B7BDC" w:rsidP="007277B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La population active en chômage s’est accrue de </w:t>
      </w:r>
      <w:r>
        <w:rPr>
          <w:rFonts w:ascii="Book Antiqua" w:hAnsi="Book Antiqua" w:cs="Times New Roman"/>
          <w:noProof w:val="0"/>
          <w:sz w:val="24"/>
          <w:szCs w:val="24"/>
        </w:rPr>
        <w:t>6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%</w:t>
      </w:r>
      <w:r w:rsidRPr="00754D0C">
        <w:rPr>
          <w:rFonts w:ascii="Book Antiqua" w:hAnsi="Book Antiqua" w:cs="Times New Roman"/>
          <w:noProof w:val="0"/>
          <w:color w:val="0000FF"/>
          <w:sz w:val="24"/>
          <w:szCs w:val="24"/>
        </w:rPr>
        <w:t xml:space="preserve"> 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au niveau national, passant de 1.0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76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.000 au 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troisième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trimestre d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e l’année 201</w:t>
      </w:r>
      <w:r>
        <w:rPr>
          <w:rFonts w:ascii="Book Antiqua" w:hAnsi="Book Antiqua" w:cs="Times New Roman"/>
          <w:noProof w:val="0"/>
          <w:sz w:val="24"/>
          <w:szCs w:val="24"/>
        </w:rPr>
        <w:t>3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 à 1.1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40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.000 chômeurs au même trimestre de l’année 201</w:t>
      </w:r>
      <w:r>
        <w:rPr>
          <w:rFonts w:ascii="Book Antiqua" w:hAnsi="Book Antiqua" w:cs="Times New Roman"/>
          <w:noProof w:val="0"/>
          <w:sz w:val="24"/>
          <w:szCs w:val="24"/>
        </w:rPr>
        <w:t>4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>
        <w:rPr>
          <w:rFonts w:ascii="Book Antiqua" w:hAnsi="Book Antiqua" w:cs="Times New Roman"/>
          <w:noProof w:val="0"/>
          <w:sz w:val="24"/>
          <w:szCs w:val="24"/>
        </w:rPr>
        <w:t>ce qui correspond à 6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4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.000 chômeurs</w:t>
      </w:r>
      <w:r w:rsidR="00ED5807">
        <w:rPr>
          <w:rFonts w:ascii="Book Antiqua" w:hAnsi="Book Antiqua" w:cs="Times New Roman"/>
          <w:noProof w:val="0"/>
          <w:sz w:val="24"/>
          <w:szCs w:val="24"/>
        </w:rPr>
        <w:t xml:space="preserve"> en plus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40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.000 en milieu urbain et </w:t>
      </w:r>
      <w:r>
        <w:rPr>
          <w:rFonts w:ascii="Book Antiqua" w:hAnsi="Book Antiqua" w:cs="Times New Roman"/>
          <w:noProof w:val="0"/>
          <w:sz w:val="24"/>
          <w:szCs w:val="24"/>
        </w:rPr>
        <w:t>2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4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.000 en milieu rural. </w:t>
      </w:r>
      <w:r w:rsidR="007277B9">
        <w:rPr>
          <w:rFonts w:ascii="Book Antiqua" w:hAnsi="Book Antiqua" w:cs="Times New Roman"/>
          <w:noProof w:val="0"/>
          <w:sz w:val="24"/>
          <w:szCs w:val="24"/>
        </w:rPr>
        <w:t>L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e taux de chômage est </w:t>
      </w:r>
      <w:r w:rsidR="007277B9">
        <w:rPr>
          <w:rFonts w:ascii="Book Antiqua" w:hAnsi="Book Antiqua" w:cs="Times New Roman"/>
          <w:noProof w:val="0"/>
          <w:sz w:val="24"/>
          <w:szCs w:val="24"/>
        </w:rPr>
        <w:t xml:space="preserve">ainsi 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passé</w:t>
      </w:r>
      <w:r w:rsidR="007277B9" w:rsidRPr="00754D0C">
        <w:rPr>
          <w:rFonts w:ascii="Book Antiqua" w:hAnsi="Book Antiqua" w:cs="Times New Roman"/>
          <w:noProof w:val="0"/>
          <w:sz w:val="24"/>
          <w:szCs w:val="24"/>
        </w:rPr>
        <w:t>, entre les deux périodes</w:t>
      </w:r>
      <w:r w:rsidR="007277B9">
        <w:rPr>
          <w:rFonts w:ascii="Book Antiqua" w:hAnsi="Book Antiqua" w:cs="Times New Roman"/>
          <w:noProof w:val="0"/>
          <w:sz w:val="24"/>
          <w:szCs w:val="24"/>
        </w:rPr>
        <w:t>,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 de 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9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,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1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% à </w:t>
      </w:r>
      <w:r>
        <w:rPr>
          <w:rFonts w:ascii="Book Antiqua" w:hAnsi="Book Antiqua" w:cs="Times New Roman"/>
          <w:noProof w:val="0"/>
          <w:sz w:val="24"/>
          <w:szCs w:val="24"/>
        </w:rPr>
        <w:t>9,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6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%</w:t>
      </w:r>
      <w:r w:rsidR="007277B9">
        <w:rPr>
          <w:rFonts w:ascii="Book Antiqua" w:hAnsi="Book Antiqua" w:cs="Times New Roman"/>
          <w:noProof w:val="0"/>
          <w:sz w:val="24"/>
          <w:szCs w:val="24"/>
        </w:rPr>
        <w:t xml:space="preserve"> au niveau national, 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de 1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4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% à 14,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5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% en milieu urbain et de </w:t>
      </w:r>
      <w:r>
        <w:rPr>
          <w:rFonts w:ascii="Book Antiqua" w:hAnsi="Book Antiqua" w:cs="Times New Roman"/>
          <w:noProof w:val="0"/>
          <w:sz w:val="24"/>
          <w:szCs w:val="24"/>
        </w:rPr>
        <w:t>3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,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7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% à 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4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,</w:t>
      </w:r>
      <w:r w:rsidR="00FD363F">
        <w:rPr>
          <w:rFonts w:ascii="Book Antiqua" w:hAnsi="Book Antiqua" w:cs="Times New Roman"/>
          <w:noProof w:val="0"/>
          <w:sz w:val="24"/>
          <w:szCs w:val="24"/>
        </w:rPr>
        <w:t>1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% en milieu  rural.</w:t>
      </w:r>
    </w:p>
    <w:p w:rsidR="009B7BDC" w:rsidRDefault="009B7BDC" w:rsidP="004818E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noProof w:val="0"/>
          <w:sz w:val="24"/>
          <w:szCs w:val="24"/>
        </w:rPr>
        <w:t>Les hausses les plus importantes du taux de chômage ont été relevées, en milieu urbain, parmi les jeunes âgés de 15 à 24 ans (+</w:t>
      </w:r>
      <w:r w:rsidR="00560D4E">
        <w:rPr>
          <w:rFonts w:ascii="Book Antiqua" w:hAnsi="Book Antiqua" w:cs="Times New Roman"/>
          <w:noProof w:val="0"/>
          <w:sz w:val="24"/>
          <w:szCs w:val="24"/>
        </w:rPr>
        <w:t>2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,</w:t>
      </w:r>
      <w:r w:rsidR="00560D4E">
        <w:rPr>
          <w:rFonts w:ascii="Book Antiqua" w:hAnsi="Book Antiqua" w:cs="Times New Roman"/>
          <w:noProof w:val="0"/>
          <w:sz w:val="24"/>
          <w:szCs w:val="24"/>
        </w:rPr>
        <w:t>1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 point</w:t>
      </w:r>
      <w:r w:rsidR="00560D4E">
        <w:rPr>
          <w:rFonts w:ascii="Book Antiqua" w:hAnsi="Book Antiqua" w:cs="Times New Roman"/>
          <w:noProof w:val="0"/>
          <w:sz w:val="24"/>
          <w:szCs w:val="24"/>
        </w:rPr>
        <w:t>s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)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et les </w:t>
      </w:r>
      <w:r w:rsidR="00560D4E">
        <w:rPr>
          <w:rFonts w:ascii="Book Antiqua" w:hAnsi="Book Antiqua" w:cs="Times New Roman"/>
          <w:noProof w:val="0"/>
          <w:sz w:val="24"/>
          <w:szCs w:val="24"/>
        </w:rPr>
        <w:t xml:space="preserve">adultes </w:t>
      </w:r>
      <w:r w:rsidR="00560D4E" w:rsidRPr="00754D0C">
        <w:rPr>
          <w:rFonts w:ascii="Book Antiqua" w:hAnsi="Book Antiqua" w:cs="Times New Roman"/>
          <w:noProof w:val="0"/>
          <w:sz w:val="24"/>
          <w:szCs w:val="24"/>
        </w:rPr>
        <w:t>âgés</w:t>
      </w:r>
      <w:r w:rsidR="00560D4E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560D4E" w:rsidRPr="00754D0C">
        <w:rPr>
          <w:rFonts w:ascii="Book Antiqua" w:hAnsi="Book Antiqua" w:cs="Times New Roman"/>
          <w:noProof w:val="0"/>
          <w:sz w:val="24"/>
          <w:szCs w:val="24"/>
        </w:rPr>
        <w:t xml:space="preserve">de </w:t>
      </w:r>
      <w:r w:rsidR="00560D4E">
        <w:rPr>
          <w:rFonts w:ascii="Book Antiqua" w:hAnsi="Book Antiqua" w:cs="Times New Roman"/>
          <w:noProof w:val="0"/>
          <w:sz w:val="24"/>
          <w:szCs w:val="24"/>
        </w:rPr>
        <w:t>25</w:t>
      </w:r>
      <w:r w:rsidR="00560D4E" w:rsidRPr="00754D0C">
        <w:rPr>
          <w:rFonts w:ascii="Book Antiqua" w:hAnsi="Book Antiqua" w:cs="Times New Roman"/>
          <w:noProof w:val="0"/>
          <w:sz w:val="24"/>
          <w:szCs w:val="24"/>
        </w:rPr>
        <w:t xml:space="preserve"> à </w:t>
      </w:r>
      <w:r w:rsidR="00560D4E">
        <w:rPr>
          <w:rFonts w:ascii="Book Antiqua" w:hAnsi="Book Antiqua" w:cs="Times New Roman"/>
          <w:noProof w:val="0"/>
          <w:sz w:val="24"/>
          <w:szCs w:val="24"/>
        </w:rPr>
        <w:t>34</w:t>
      </w:r>
      <w:r w:rsidR="00560D4E" w:rsidRPr="00754D0C">
        <w:rPr>
          <w:rFonts w:ascii="Book Antiqua" w:hAnsi="Book Antiqua" w:cs="Times New Roman"/>
          <w:noProof w:val="0"/>
          <w:sz w:val="24"/>
          <w:szCs w:val="24"/>
        </w:rPr>
        <w:t xml:space="preserve"> ans</w:t>
      </w:r>
      <w:r w:rsidR="00560D4E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>
        <w:rPr>
          <w:rFonts w:ascii="Book Antiqua" w:hAnsi="Book Antiqua" w:cs="Times New Roman"/>
          <w:noProof w:val="0"/>
          <w:sz w:val="24"/>
          <w:szCs w:val="24"/>
        </w:rPr>
        <w:t>(+1,</w:t>
      </w:r>
      <w:r w:rsidR="004818EB">
        <w:rPr>
          <w:rFonts w:ascii="Book Antiqua" w:hAnsi="Book Antiqua" w:cs="Times New Roman"/>
          <w:noProof w:val="0"/>
          <w:sz w:val="24"/>
          <w:szCs w:val="24"/>
        </w:rPr>
        <w:t>2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point) et;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 xml:space="preserve"> en milieu rural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, principalement 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parmi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les jeunes âgés de 15 à 24 ans (+</w:t>
      </w:r>
      <w:r w:rsidR="00560D4E">
        <w:rPr>
          <w:rFonts w:ascii="Book Antiqua" w:hAnsi="Book Antiqua" w:cs="Times New Roman"/>
          <w:noProof w:val="0"/>
          <w:sz w:val="24"/>
          <w:szCs w:val="24"/>
        </w:rPr>
        <w:t>2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point</w:t>
      </w:r>
      <w:r w:rsidR="00560D4E">
        <w:rPr>
          <w:rFonts w:ascii="Book Antiqua" w:hAnsi="Book Antiqua" w:cs="Times New Roman"/>
          <w:noProof w:val="0"/>
          <w:sz w:val="24"/>
          <w:szCs w:val="24"/>
        </w:rPr>
        <w:t>s</w:t>
      </w:r>
      <w:r>
        <w:rPr>
          <w:rFonts w:ascii="Book Antiqua" w:hAnsi="Book Antiqua" w:cs="Times New Roman"/>
          <w:noProof w:val="0"/>
          <w:sz w:val="24"/>
          <w:szCs w:val="24"/>
        </w:rPr>
        <w:t>)</w:t>
      </w:r>
      <w:r w:rsidRPr="00754D0C">
        <w:rPr>
          <w:rFonts w:ascii="Book Antiqua" w:hAnsi="Book Antiqua" w:cs="Times New Roman"/>
          <w:noProof w:val="0"/>
          <w:sz w:val="24"/>
          <w:szCs w:val="24"/>
        </w:rPr>
        <w:t>.</w:t>
      </w:r>
    </w:p>
    <w:p w:rsidR="004F377E" w:rsidRDefault="004F377E" w:rsidP="008C44D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3"/>
          <w:szCs w:val="23"/>
        </w:rPr>
      </w:pPr>
    </w:p>
    <w:p w:rsidR="009B7BDC" w:rsidRDefault="009B7BDC" w:rsidP="004F377E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3"/>
          <w:szCs w:val="23"/>
        </w:rPr>
      </w:pPr>
      <w:r w:rsidRPr="00080969">
        <w:rPr>
          <w:rFonts w:ascii="Book Antiqua" w:hAnsi="Book Antiqua" w:cs="Times New Roman"/>
          <w:b/>
          <w:bCs/>
          <w:noProof w:val="0"/>
          <w:sz w:val="23"/>
          <w:szCs w:val="23"/>
        </w:rPr>
        <w:t xml:space="preserve">Figure 3 : Evolution du taux de chômage au </w:t>
      </w:r>
      <w:r w:rsidR="00A54037" w:rsidRPr="00080969">
        <w:rPr>
          <w:rFonts w:ascii="Book Antiqua" w:hAnsi="Book Antiqua" w:cs="Times New Roman"/>
          <w:b/>
          <w:bCs/>
          <w:noProof w:val="0"/>
          <w:sz w:val="23"/>
          <w:szCs w:val="23"/>
        </w:rPr>
        <w:t>3</w:t>
      </w:r>
      <w:r w:rsidRPr="00080969">
        <w:rPr>
          <w:rFonts w:ascii="Book Antiqua" w:hAnsi="Book Antiqua" w:cs="Times New Roman"/>
          <w:b/>
          <w:bCs/>
          <w:noProof w:val="0"/>
          <w:sz w:val="23"/>
          <w:szCs w:val="23"/>
          <w:vertAlign w:val="superscript"/>
        </w:rPr>
        <w:t>ème</w:t>
      </w:r>
      <w:r w:rsidRPr="00080969">
        <w:rPr>
          <w:rFonts w:ascii="Book Antiqua" w:hAnsi="Book Antiqua" w:cs="Times New Roman"/>
          <w:b/>
          <w:bCs/>
          <w:noProof w:val="0"/>
          <w:sz w:val="23"/>
          <w:szCs w:val="23"/>
        </w:rPr>
        <w:t xml:space="preserve"> trimestre par milieu de résidence (en %).</w:t>
      </w:r>
    </w:p>
    <w:p w:rsidR="00556660" w:rsidRPr="00556660" w:rsidRDefault="00556660" w:rsidP="0055666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B21092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F36F1A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615189" cy="1538555"/>
            <wp:effectExtent l="14984" t="4489" r="10532" b="641"/>
            <wp:docPr id="3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0969" w:rsidRPr="006F3794" w:rsidRDefault="00080969" w:rsidP="0008096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D16361" w:rsidRDefault="000D3D51" w:rsidP="000D3D51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8"/>
          <w:szCs w:val="8"/>
        </w:rPr>
      </w:pPr>
      <w:r>
        <w:rPr>
          <w:rFonts w:ascii="Book Antiqua" w:hAnsi="Book Antiqua" w:cs="Times New Roman"/>
          <w:noProof w:val="0"/>
          <w:sz w:val="24"/>
          <w:szCs w:val="24"/>
        </w:rPr>
        <w:lastRenderedPageBreak/>
        <w:t>L</w:t>
      </w:r>
      <w:r w:rsidR="009B7BDC" w:rsidRPr="008B0CB8">
        <w:rPr>
          <w:rFonts w:ascii="Book Antiqua" w:hAnsi="Book Antiqua" w:cs="Times New Roman"/>
          <w:noProof w:val="0"/>
          <w:sz w:val="24"/>
          <w:szCs w:val="24"/>
        </w:rPr>
        <w:t xml:space="preserve">e chômage demeure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en particulier </w:t>
      </w:r>
      <w:r w:rsidR="009B7BDC" w:rsidRPr="008B0CB8">
        <w:rPr>
          <w:rFonts w:ascii="Book Antiqua" w:hAnsi="Book Antiqua" w:cs="Times New Roman"/>
          <w:noProof w:val="0"/>
          <w:sz w:val="24"/>
          <w:szCs w:val="24"/>
        </w:rPr>
        <w:t>élevé</w:t>
      </w:r>
      <w:r w:rsidR="009B7BDC" w:rsidRPr="002A430F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parmi</w:t>
      </w:r>
      <w:r w:rsidR="009B7BDC" w:rsidRPr="002A430F">
        <w:rPr>
          <w:rFonts w:ascii="Book Antiqua" w:hAnsi="Book Antiqua" w:cs="Times New Roman"/>
          <w:noProof w:val="0"/>
          <w:sz w:val="24"/>
          <w:szCs w:val="24"/>
        </w:rPr>
        <w:t xml:space="preserve"> les diplômés et les jeunes âgés de 15 à 24 ans</w:t>
      </w:r>
      <w:r w:rsidR="00ED4A11">
        <w:rPr>
          <w:rFonts w:ascii="Book Antiqua" w:hAnsi="Book Antiqua" w:cs="Times New Roman"/>
          <w:noProof w:val="0"/>
          <w:sz w:val="24"/>
          <w:szCs w:val="24"/>
        </w:rPr>
        <w:t>, c’est ainsi que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 :</w:t>
      </w:r>
      <w:r w:rsidR="009B7BDC" w:rsidRPr="002A430F">
        <w:rPr>
          <w:rFonts w:ascii="Book Antiqua" w:hAnsi="Book Antiqua" w:cs="Times New Roman"/>
          <w:noProof w:val="0"/>
          <w:sz w:val="24"/>
          <w:szCs w:val="24"/>
        </w:rPr>
        <w:t xml:space="preserve">         </w:t>
      </w:r>
    </w:p>
    <w:p w:rsidR="00205B08" w:rsidRPr="007D5A6D" w:rsidRDefault="00205B08" w:rsidP="00205B08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D1642D" w:rsidRDefault="00587F1E" w:rsidP="00205B08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L</w:t>
      </w:r>
      <w:r w:rsidR="009B7BDC" w:rsidRPr="002A430F">
        <w:rPr>
          <w:rFonts w:ascii="Book Antiqua" w:hAnsi="Book Antiqua" w:cs="Times New Roman"/>
          <w:noProof w:val="0"/>
          <w:sz w:val="24"/>
          <w:szCs w:val="24"/>
        </w:rPr>
        <w:t>e taux de chômage e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st de 4,</w:t>
      </w:r>
      <w:r w:rsidR="00D1642D">
        <w:rPr>
          <w:rFonts w:ascii="Book Antiqua" w:hAnsi="Book Antiqua" w:cs="Times New Roman"/>
          <w:noProof w:val="0"/>
          <w:sz w:val="24"/>
          <w:szCs w:val="24"/>
        </w:rPr>
        <w:t>6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%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parmi les personnes sans diplôme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de </w:t>
      </w:r>
      <w:r w:rsidRPr="00806F69">
        <w:rPr>
          <w:rFonts w:ascii="Book Antiqua" w:hAnsi="Book Antiqua" w:cs="Times New Roman"/>
          <w:sz w:val="24"/>
          <w:szCs w:val="24"/>
        </w:rPr>
        <w:t>1</w:t>
      </w:r>
      <w:r>
        <w:rPr>
          <w:rFonts w:ascii="Book Antiqua" w:hAnsi="Book Antiqua" w:cs="Times New Roman"/>
          <w:sz w:val="24"/>
          <w:szCs w:val="24"/>
        </w:rPr>
        <w:t>5</w:t>
      </w:r>
      <w:r w:rsidRPr="00806F69">
        <w:rPr>
          <w:rFonts w:ascii="Book Antiqua" w:hAnsi="Book Antiqua" w:cs="Times New Roman"/>
          <w:sz w:val="24"/>
          <w:szCs w:val="24"/>
        </w:rPr>
        <w:t>,</w:t>
      </w:r>
      <w:r>
        <w:rPr>
          <w:rFonts w:ascii="Book Antiqua" w:hAnsi="Book Antiqua" w:cs="Times New Roman"/>
          <w:sz w:val="24"/>
          <w:szCs w:val="24"/>
        </w:rPr>
        <w:t>2</w:t>
      </w:r>
      <w:r w:rsidRPr="00806F69">
        <w:rPr>
          <w:rFonts w:ascii="Book Antiqua" w:hAnsi="Book Antiqua" w:cs="Times New Roman"/>
          <w:sz w:val="24"/>
          <w:szCs w:val="24"/>
        </w:rPr>
        <w:t>%</w:t>
      </w:r>
      <w:r>
        <w:rPr>
          <w:rFonts w:ascii="Book Antiqua" w:hAnsi="Book Antiqua" w:cs="Times New Roman"/>
          <w:sz w:val="24"/>
          <w:szCs w:val="24"/>
        </w:rPr>
        <w:t xml:space="preserve"> parmi </w:t>
      </w:r>
      <w:r w:rsidR="00205B08">
        <w:rPr>
          <w:rFonts w:ascii="Book Antiqua" w:hAnsi="Book Antiqua" w:cs="Times New Roman"/>
          <w:sz w:val="24"/>
          <w:szCs w:val="24"/>
        </w:rPr>
        <w:t xml:space="preserve">ceux ayant un </w:t>
      </w:r>
      <w:r>
        <w:rPr>
          <w:rFonts w:ascii="Book Antiqua" w:hAnsi="Book Antiqua" w:cs="Times New Roman"/>
          <w:sz w:val="24"/>
          <w:szCs w:val="24"/>
        </w:rPr>
        <w:t>diplôm</w:t>
      </w:r>
      <w:r w:rsidR="00205B08">
        <w:rPr>
          <w:rFonts w:ascii="Book Antiqua" w:hAnsi="Book Antiqua" w:cs="Times New Roman"/>
          <w:sz w:val="24"/>
          <w:szCs w:val="24"/>
        </w:rPr>
        <w:t xml:space="preserve">e </w:t>
      </w:r>
      <w:r w:rsidR="009B7BDC" w:rsidRPr="00806F69">
        <w:rPr>
          <w:rFonts w:ascii="Book Antiqua" w:hAnsi="Book Antiqua" w:cs="Times New Roman"/>
          <w:sz w:val="24"/>
          <w:szCs w:val="24"/>
        </w:rPr>
        <w:t>de niveau</w:t>
      </w:r>
      <w:r w:rsidR="009B7BDC">
        <w:rPr>
          <w:rFonts w:ascii="Book Antiqua" w:hAnsi="Book Antiqua" w:cs="Times New Roman"/>
          <w:sz w:val="24"/>
          <w:szCs w:val="24"/>
        </w:rPr>
        <w:t xml:space="preserve"> </w:t>
      </w:r>
      <w:r w:rsidR="009B7BDC" w:rsidRPr="00806F69">
        <w:rPr>
          <w:rFonts w:ascii="Book Antiqua" w:hAnsi="Book Antiqua" w:cs="Times New Roman"/>
          <w:sz w:val="24"/>
          <w:szCs w:val="24"/>
        </w:rPr>
        <w:t>moyen</w:t>
      </w:r>
      <w:r w:rsidR="00892C5F" w:rsidRPr="00892C5F">
        <w:rPr>
          <w:rStyle w:val="Appelnotedebasdep"/>
          <w:rFonts w:ascii="Book Antiqua" w:hAnsi="Book Antiqua" w:cs="Times New Roman"/>
          <w:b/>
          <w:bCs/>
          <w:sz w:val="24"/>
          <w:szCs w:val="24"/>
        </w:rPr>
        <w:footnoteReference w:id="2"/>
      </w:r>
      <w:r w:rsidR="00FD25BA">
        <w:rPr>
          <w:rFonts w:ascii="Book Antiqua" w:hAnsi="Book Antiqua" w:cs="Times New Roman"/>
          <w:sz w:val="24"/>
          <w:szCs w:val="24"/>
        </w:rPr>
        <w:t xml:space="preserve"> où il enregistre </w:t>
      </w:r>
      <w:r w:rsidR="00FD25BA" w:rsidRPr="00D1642D">
        <w:rPr>
          <w:rFonts w:ascii="Book Antiqua" w:hAnsi="Book Antiqua" w:cs="Times New Roman"/>
          <w:sz w:val="24"/>
          <w:szCs w:val="24"/>
        </w:rPr>
        <w:t>21,7%</w:t>
      </w:r>
      <w:r w:rsidR="00FD25BA">
        <w:rPr>
          <w:rFonts w:ascii="Book Antiqua" w:hAnsi="Book Antiqua" w:cs="Times New Roman"/>
          <w:sz w:val="24"/>
          <w:szCs w:val="24"/>
        </w:rPr>
        <w:t xml:space="preserve"> </w:t>
      </w:r>
      <w:r w:rsidR="00205B08">
        <w:rPr>
          <w:rFonts w:ascii="Book Antiqua" w:hAnsi="Book Antiqua" w:cs="Times New Roman"/>
          <w:sz w:val="24"/>
          <w:szCs w:val="24"/>
        </w:rPr>
        <w:t xml:space="preserve">parmi les diplômés </w:t>
      </w:r>
      <w:r w:rsidR="009B7BDC" w:rsidRPr="00806F69">
        <w:rPr>
          <w:rFonts w:ascii="Book Antiqua" w:hAnsi="Book Antiqua" w:cs="Times New Roman"/>
          <w:sz w:val="24"/>
          <w:szCs w:val="24"/>
        </w:rPr>
        <w:t xml:space="preserve">de </w:t>
      </w:r>
      <w:r w:rsidR="00205B08">
        <w:rPr>
          <w:rFonts w:ascii="Book Antiqua" w:hAnsi="Book Antiqua" w:cs="Times New Roman"/>
          <w:sz w:val="24"/>
          <w:szCs w:val="24"/>
        </w:rPr>
        <w:t xml:space="preserve">la </w:t>
      </w:r>
      <w:r w:rsidR="009B7BDC" w:rsidRPr="00806F69">
        <w:rPr>
          <w:rFonts w:ascii="Book Antiqua" w:hAnsi="Book Antiqua" w:cs="Times New Roman"/>
          <w:sz w:val="24"/>
          <w:szCs w:val="24"/>
        </w:rPr>
        <w:t>qualification professionnelle</w:t>
      </w:r>
      <w:r w:rsidR="00205B08">
        <w:rPr>
          <w:rFonts w:ascii="Book Antiqua" w:hAnsi="Book Antiqua" w:cs="Times New Roman"/>
          <w:sz w:val="24"/>
          <w:szCs w:val="24"/>
        </w:rPr>
        <w:t xml:space="preserve">, et </w:t>
      </w:r>
      <w:r w:rsidR="00FD25BA">
        <w:rPr>
          <w:rFonts w:ascii="Book Antiqua" w:hAnsi="Book Antiqua" w:cs="Times New Roman"/>
          <w:sz w:val="24"/>
          <w:szCs w:val="24"/>
        </w:rPr>
        <w:t xml:space="preserve">de </w:t>
      </w:r>
      <w:r w:rsidR="00FD25BA" w:rsidRPr="008B415B">
        <w:rPr>
          <w:rFonts w:ascii="Book Antiqua" w:hAnsi="Book Antiqua" w:cs="Times New Roman"/>
          <w:sz w:val="24"/>
          <w:szCs w:val="24"/>
        </w:rPr>
        <w:t>20%</w:t>
      </w:r>
      <w:r w:rsidR="00FD25BA">
        <w:rPr>
          <w:rFonts w:ascii="Book Antiqua" w:hAnsi="Book Antiqua" w:cs="Times New Roman"/>
          <w:sz w:val="24"/>
          <w:szCs w:val="24"/>
        </w:rPr>
        <w:t xml:space="preserve"> parmi les detenteurs d’un diplôme </w:t>
      </w:r>
      <w:r w:rsidR="009B7BDC" w:rsidRPr="008B415B">
        <w:rPr>
          <w:rFonts w:ascii="Book Antiqua" w:hAnsi="Book Antiqua" w:cs="Times New Roman"/>
          <w:sz w:val="24"/>
          <w:szCs w:val="24"/>
        </w:rPr>
        <w:t>de niveau supérieur</w:t>
      </w:r>
      <w:r w:rsidR="00892C5F" w:rsidRPr="00892C5F">
        <w:rPr>
          <w:rStyle w:val="Appelnotedebasdep"/>
          <w:rFonts w:ascii="Book Antiqua" w:hAnsi="Book Antiqua" w:cs="Times New Roman"/>
          <w:b/>
          <w:bCs/>
          <w:sz w:val="24"/>
          <w:szCs w:val="24"/>
        </w:rPr>
        <w:footnoteReference w:id="3"/>
      </w:r>
      <w:r w:rsidR="009B7BDC" w:rsidRPr="008B415B">
        <w:rPr>
          <w:rFonts w:ascii="Book Antiqua" w:hAnsi="Book Antiqua" w:cs="Times New Roman"/>
          <w:sz w:val="24"/>
          <w:szCs w:val="24"/>
        </w:rPr>
        <w:t xml:space="preserve"> avec</w:t>
      </w:r>
      <w:r w:rsidR="00FD25BA">
        <w:rPr>
          <w:rFonts w:ascii="Book Antiqua" w:hAnsi="Book Antiqua" w:cs="Times New Roman"/>
          <w:sz w:val="24"/>
          <w:szCs w:val="24"/>
        </w:rPr>
        <w:t xml:space="preserve"> en particulier un taux de </w:t>
      </w:r>
      <w:r w:rsidR="00205B08" w:rsidRPr="00D1642D">
        <w:rPr>
          <w:rFonts w:ascii="Book Antiqua" w:hAnsi="Book Antiqua" w:cs="Times New Roman"/>
          <w:sz w:val="24"/>
          <w:szCs w:val="24"/>
        </w:rPr>
        <w:t>24,6%</w:t>
      </w:r>
      <w:r w:rsidR="00205B08">
        <w:rPr>
          <w:rFonts w:ascii="Book Antiqua" w:hAnsi="Book Antiqua" w:cs="Times New Roman"/>
          <w:sz w:val="24"/>
          <w:szCs w:val="24"/>
        </w:rPr>
        <w:t xml:space="preserve"> pour les lauréats de la </w:t>
      </w:r>
      <w:r w:rsidR="009B7BDC" w:rsidRPr="008B415B">
        <w:rPr>
          <w:rFonts w:ascii="Book Antiqua" w:hAnsi="Book Antiqua" w:cs="Times New Roman"/>
          <w:sz w:val="24"/>
          <w:szCs w:val="24"/>
        </w:rPr>
        <w:t>facult</w:t>
      </w:r>
      <w:r w:rsidR="00205B08">
        <w:rPr>
          <w:rFonts w:ascii="Book Antiqua" w:hAnsi="Book Antiqua" w:cs="Times New Roman"/>
          <w:sz w:val="24"/>
          <w:szCs w:val="24"/>
        </w:rPr>
        <w:t>é</w:t>
      </w:r>
      <w:r w:rsidR="009B7BDC" w:rsidRPr="00D1642D">
        <w:rPr>
          <w:rFonts w:ascii="Book Antiqua" w:hAnsi="Book Antiqua" w:cs="Times New Roman"/>
          <w:sz w:val="24"/>
          <w:szCs w:val="24"/>
        </w:rPr>
        <w:t>.</w:t>
      </w:r>
    </w:p>
    <w:p w:rsidR="00205B08" w:rsidRPr="007D5A6D" w:rsidRDefault="00205B08" w:rsidP="00FD25BA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6158A0" w:rsidRDefault="00205B08" w:rsidP="007D5A6D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I</w:t>
      </w:r>
      <w:r w:rsidR="006158A0">
        <w:rPr>
          <w:rFonts w:ascii="Book Antiqua" w:hAnsi="Book Antiqua" w:cs="Times New Roman"/>
          <w:noProof w:val="0"/>
          <w:sz w:val="24"/>
          <w:szCs w:val="24"/>
        </w:rPr>
        <w:t xml:space="preserve">l est de </w:t>
      </w:r>
      <w:r w:rsidR="007D5A6D">
        <w:rPr>
          <w:rFonts w:ascii="Book Antiqua" w:hAnsi="Book Antiqua" w:cs="Times New Roman"/>
          <w:noProof w:val="0"/>
          <w:sz w:val="24"/>
          <w:szCs w:val="24"/>
        </w:rPr>
        <w:t xml:space="preserve">20,6% parmi les </w:t>
      </w:r>
      <w:r w:rsidR="007D5A6D" w:rsidRPr="008B415B">
        <w:rPr>
          <w:rFonts w:ascii="Book Antiqua" w:hAnsi="Book Antiqua" w:cs="Times New Roman"/>
          <w:noProof w:val="0"/>
          <w:sz w:val="24"/>
          <w:szCs w:val="24"/>
        </w:rPr>
        <w:t>jeunes âgés de 15</w:t>
      </w:r>
      <w:r w:rsidR="007D5A6D">
        <w:rPr>
          <w:rFonts w:ascii="Book Antiqua" w:hAnsi="Book Antiqua" w:cs="Times New Roman"/>
          <w:noProof w:val="0"/>
          <w:sz w:val="24"/>
          <w:szCs w:val="24"/>
        </w:rPr>
        <w:t xml:space="preserve"> à </w:t>
      </w:r>
      <w:r w:rsidR="007D5A6D" w:rsidRPr="008B415B">
        <w:rPr>
          <w:rFonts w:ascii="Book Antiqua" w:hAnsi="Book Antiqua" w:cs="Times New Roman"/>
          <w:noProof w:val="0"/>
          <w:sz w:val="24"/>
          <w:szCs w:val="24"/>
        </w:rPr>
        <w:t xml:space="preserve">24 </w:t>
      </w:r>
      <w:r w:rsidR="007D5A6D">
        <w:rPr>
          <w:rFonts w:ascii="Book Antiqua" w:hAnsi="Book Antiqua" w:cs="Times New Roman"/>
          <w:noProof w:val="0"/>
          <w:sz w:val="24"/>
          <w:szCs w:val="24"/>
        </w:rPr>
        <w:t>et de 39,9% parmi les citadins d’entre eux, contre 9</w:t>
      </w:r>
      <w:r w:rsidR="006158A0">
        <w:rPr>
          <w:rFonts w:ascii="Book Antiqua" w:hAnsi="Book Antiqua" w:cs="Times New Roman"/>
          <w:noProof w:val="0"/>
          <w:sz w:val="24"/>
          <w:szCs w:val="24"/>
        </w:rPr>
        <w:t>,2% pour l</w:t>
      </w:r>
      <w:r w:rsidR="001C477B">
        <w:rPr>
          <w:rFonts w:ascii="Book Antiqua" w:hAnsi="Book Antiqua" w:cs="Times New Roman"/>
          <w:noProof w:val="0"/>
          <w:sz w:val="24"/>
          <w:szCs w:val="24"/>
        </w:rPr>
        <w:t>’ensemble d</w:t>
      </w:r>
      <w:r w:rsidR="006158A0">
        <w:rPr>
          <w:rFonts w:ascii="Book Antiqua" w:hAnsi="Book Antiqua" w:cs="Times New Roman"/>
          <w:noProof w:val="0"/>
          <w:sz w:val="24"/>
          <w:szCs w:val="24"/>
        </w:rPr>
        <w:t xml:space="preserve">es personnes âgés </w:t>
      </w:r>
      <w:r w:rsidR="00ED4A11">
        <w:rPr>
          <w:rFonts w:ascii="Book Antiqua" w:hAnsi="Book Antiqua" w:cs="Times New Roman"/>
          <w:noProof w:val="0"/>
          <w:sz w:val="24"/>
          <w:szCs w:val="24"/>
        </w:rPr>
        <w:t>de 15 ans et plus</w:t>
      </w:r>
      <w:r w:rsidR="006158A0">
        <w:rPr>
          <w:rFonts w:ascii="Book Antiqua" w:hAnsi="Book Antiqua" w:cs="Times New Roman"/>
          <w:noProof w:val="0"/>
          <w:sz w:val="24"/>
          <w:szCs w:val="24"/>
        </w:rPr>
        <w:t>.</w:t>
      </w:r>
    </w:p>
    <w:p w:rsidR="009B7BDC" w:rsidRPr="008B415B" w:rsidRDefault="009B7BDC" w:rsidP="006158A0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8B415B">
        <w:rPr>
          <w:rFonts w:ascii="Book Antiqua" w:hAnsi="Book Antiqua" w:cs="Times New Roman"/>
          <w:noProof w:val="0"/>
          <w:sz w:val="24"/>
          <w:szCs w:val="24"/>
        </w:rPr>
        <w:t xml:space="preserve"> </w:t>
      </w:r>
    </w:p>
    <w:p w:rsidR="009B7BDC" w:rsidRPr="00556660" w:rsidRDefault="009B7BDC" w:rsidP="009B7BDC">
      <w:pPr>
        <w:autoSpaceDE w:val="0"/>
        <w:autoSpaceDN w:val="0"/>
        <w:bidi w:val="0"/>
        <w:adjustRightInd w:val="0"/>
        <w:ind w:left="36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Default="009B7BDC" w:rsidP="00E02692">
      <w:pPr>
        <w:autoSpaceDE w:val="0"/>
        <w:autoSpaceDN w:val="0"/>
        <w:bidi w:val="0"/>
        <w:adjustRightInd w:val="0"/>
        <w:ind w:left="36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Taux de chômage 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au </w:t>
      </w:r>
      <w:r w:rsidR="00902A5B">
        <w:rPr>
          <w:rFonts w:ascii="Book Antiqua" w:hAnsi="Book Antiqua" w:cs="Times New Roman"/>
          <w:b/>
          <w:bCs/>
          <w:noProof w:val="0"/>
          <w:sz w:val="24"/>
          <w:szCs w:val="24"/>
        </w:rPr>
        <w:t>3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  <w:vertAlign w:val="superscript"/>
        </w:rPr>
        <w:t>ème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2014 selon le diplôme 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6F3794" w:rsidRDefault="00F36F1A" w:rsidP="006F3794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6106968" cy="2001047"/>
            <wp:effectExtent l="12192" t="6188" r="8590" b="0"/>
            <wp:docPr id="4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7BDC" w:rsidRPr="00691ACA" w:rsidRDefault="00B40C98" w:rsidP="00B40C98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 xml:space="preserve">Par ailleurs, l’enquête révèle que :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 </w:t>
      </w:r>
    </w:p>
    <w:p w:rsidR="009B7BDC" w:rsidRPr="00691ACA" w:rsidRDefault="008C428E" w:rsidP="006F3794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 xml:space="preserve">près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de huit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chômeurs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 sur dix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(</w:t>
      </w:r>
      <w:r>
        <w:rPr>
          <w:rFonts w:ascii="Book Antiqua" w:hAnsi="Book Antiqua" w:cs="Times New Roman"/>
          <w:noProof w:val="0"/>
          <w:sz w:val="24"/>
          <w:szCs w:val="24"/>
        </w:rPr>
        <w:t>79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,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9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%) sont citadins ;</w:t>
      </w:r>
    </w:p>
    <w:p w:rsidR="009B7BDC" w:rsidRPr="00691ACA" w:rsidRDefault="00B43912" w:rsidP="006F3794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plus des deux tiers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9B7BDC" w:rsidRPr="00652E80">
        <w:rPr>
          <w:rFonts w:ascii="Book Antiqua" w:hAnsi="Book Antiqua" w:cs="Times New Roman"/>
          <w:noProof w:val="0"/>
          <w:sz w:val="24"/>
          <w:szCs w:val="24"/>
        </w:rPr>
        <w:t>(6</w:t>
      </w:r>
      <w:r>
        <w:rPr>
          <w:rFonts w:ascii="Book Antiqua" w:hAnsi="Book Antiqua" w:cs="Times New Roman"/>
          <w:noProof w:val="0"/>
          <w:sz w:val="24"/>
          <w:szCs w:val="24"/>
        </w:rPr>
        <w:t>4</w:t>
      </w:r>
      <w:r w:rsidR="009B7BDC" w:rsidRPr="00652E80">
        <w:rPr>
          <w:rFonts w:ascii="Book Antiqua" w:hAnsi="Book Antiqua" w:cs="Times New Roman"/>
          <w:noProof w:val="0"/>
          <w:sz w:val="24"/>
          <w:szCs w:val="24"/>
        </w:rPr>
        <w:t>,</w:t>
      </w:r>
      <w:r>
        <w:rPr>
          <w:rFonts w:ascii="Book Antiqua" w:hAnsi="Book Antiqua" w:cs="Times New Roman"/>
          <w:noProof w:val="0"/>
          <w:sz w:val="24"/>
          <w:szCs w:val="24"/>
        </w:rPr>
        <w:t>5</w:t>
      </w:r>
      <w:r w:rsidR="009B7BDC" w:rsidRPr="00652E80">
        <w:rPr>
          <w:rFonts w:ascii="Book Antiqua" w:hAnsi="Book Antiqua" w:cs="Times New Roman"/>
          <w:noProof w:val="0"/>
          <w:sz w:val="24"/>
          <w:szCs w:val="24"/>
        </w:rPr>
        <w:t>%)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sont âgés de 15 à 29 ans ;</w:t>
      </w:r>
    </w:p>
    <w:p w:rsidR="009B7BDC" w:rsidRPr="00691ACA" w:rsidRDefault="00B43912" w:rsidP="00182B14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plus d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u</w:t>
      </w:r>
      <w:r w:rsidR="00672098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qua</w:t>
      </w:r>
      <w:r w:rsidR="00672098">
        <w:rPr>
          <w:rFonts w:ascii="Book Antiqua" w:hAnsi="Book Antiqua" w:cs="Times New Roman"/>
          <w:noProof w:val="0"/>
          <w:sz w:val="24"/>
          <w:szCs w:val="24"/>
        </w:rPr>
        <w:t>r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t</w:t>
      </w:r>
      <w:r w:rsidR="00672098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(2</w:t>
      </w:r>
      <w:r>
        <w:rPr>
          <w:rFonts w:ascii="Book Antiqua" w:hAnsi="Book Antiqua" w:cs="Times New Roman"/>
          <w:noProof w:val="0"/>
          <w:sz w:val="24"/>
          <w:szCs w:val="24"/>
        </w:rPr>
        <w:t>6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,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8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%) </w:t>
      </w:r>
      <w:r w:rsidR="00182B14">
        <w:rPr>
          <w:rFonts w:ascii="Book Antiqua" w:hAnsi="Book Antiqua" w:cs="Times New Roman"/>
          <w:noProof w:val="0"/>
          <w:sz w:val="24"/>
          <w:szCs w:val="24"/>
        </w:rPr>
        <w:t xml:space="preserve">détiennent un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diplôm</w:t>
      </w:r>
      <w:r w:rsidR="00182B14">
        <w:rPr>
          <w:rFonts w:ascii="Book Antiqua" w:hAnsi="Book Antiqua" w:cs="Times New Roman"/>
          <w:noProof w:val="0"/>
          <w:sz w:val="24"/>
          <w:szCs w:val="24"/>
        </w:rPr>
        <w:t xml:space="preserve">e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de niveau supérieur ; </w:t>
      </w:r>
    </w:p>
    <w:p w:rsidR="009B7BDC" w:rsidRPr="00691ACA" w:rsidRDefault="00B43912" w:rsidP="006F3794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 xml:space="preserve">plus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de la moitié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(</w:t>
      </w:r>
      <w:r>
        <w:rPr>
          <w:rFonts w:ascii="Book Antiqua" w:hAnsi="Book Antiqua" w:cs="Times New Roman"/>
          <w:noProof w:val="0"/>
          <w:sz w:val="24"/>
          <w:szCs w:val="24"/>
        </w:rPr>
        <w:t>51,2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%)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sont 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>primo-demandeur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s</w:t>
      </w:r>
      <w:r w:rsidR="009B7BDC" w:rsidRPr="00691ACA">
        <w:rPr>
          <w:rFonts w:ascii="Book Antiqua" w:hAnsi="Book Antiqua" w:cs="Times New Roman"/>
          <w:noProof w:val="0"/>
          <w:sz w:val="24"/>
          <w:szCs w:val="24"/>
        </w:rPr>
        <w:t xml:space="preserve"> d’emploi ; </w:t>
      </w:r>
    </w:p>
    <w:p w:rsidR="009B7BDC" w:rsidRDefault="009B7BDC" w:rsidP="006F3794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près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des deux tiers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(</w:t>
      </w:r>
      <w:r>
        <w:rPr>
          <w:rFonts w:ascii="Book Antiqua" w:hAnsi="Book Antiqua" w:cs="Times New Roman"/>
          <w:noProof w:val="0"/>
          <w:sz w:val="24"/>
          <w:szCs w:val="24"/>
        </w:rPr>
        <w:t>6</w:t>
      </w:r>
      <w:r w:rsidR="00B43912">
        <w:rPr>
          <w:rFonts w:ascii="Book Antiqua" w:hAnsi="Book Antiqua" w:cs="Times New Roman"/>
          <w:noProof w:val="0"/>
          <w:sz w:val="24"/>
          <w:szCs w:val="24"/>
        </w:rPr>
        <w:t>2,4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%) chôment depuis plus d’une année</w:t>
      </w:r>
      <w:r>
        <w:rPr>
          <w:rFonts w:ascii="Book Antiqua" w:hAnsi="Book Antiqua" w:cs="Times New Roman"/>
          <w:noProof w:val="0"/>
          <w:sz w:val="24"/>
          <w:szCs w:val="24"/>
        </w:rPr>
        <w:t> ;</w:t>
      </w:r>
    </w:p>
    <w:p w:rsidR="009B7BDC" w:rsidRPr="00691ACA" w:rsidRDefault="009B7BDC" w:rsidP="006F3794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 xml:space="preserve">et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 xml:space="preserve">près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de trois </w:t>
      </w:r>
      <w:r w:rsidR="00672098" w:rsidRPr="00691ACA">
        <w:rPr>
          <w:rFonts w:ascii="Book Antiqua" w:hAnsi="Book Antiqua" w:cs="Times New Roman"/>
          <w:noProof w:val="0"/>
          <w:sz w:val="24"/>
          <w:szCs w:val="24"/>
        </w:rPr>
        <w:t xml:space="preserve">sur </w:t>
      </w:r>
      <w:r w:rsidR="00672098">
        <w:rPr>
          <w:rFonts w:ascii="Book Antiqua" w:hAnsi="Book Antiqua" w:cs="Times New Roman"/>
          <w:noProof w:val="0"/>
          <w:sz w:val="24"/>
          <w:szCs w:val="24"/>
        </w:rPr>
        <w:t xml:space="preserve">dix </w:t>
      </w:r>
      <w:r w:rsidRPr="00691ACA">
        <w:rPr>
          <w:rFonts w:ascii="Book Antiqua" w:hAnsi="Book Antiqua" w:cs="Times New Roman"/>
          <w:noProof w:val="0"/>
          <w:sz w:val="24"/>
          <w:szCs w:val="24"/>
        </w:rPr>
        <w:t>(2</w:t>
      </w:r>
      <w:r w:rsidR="00B43912">
        <w:rPr>
          <w:rFonts w:ascii="Book Antiqua" w:hAnsi="Book Antiqua" w:cs="Times New Roman"/>
          <w:noProof w:val="0"/>
          <w:sz w:val="24"/>
          <w:szCs w:val="24"/>
        </w:rPr>
        <w:t>8</w:t>
      </w:r>
      <w:r>
        <w:rPr>
          <w:rFonts w:ascii="Book Antiqua" w:hAnsi="Book Antiqua" w:cs="Times New Roman"/>
          <w:noProof w:val="0"/>
          <w:sz w:val="24"/>
          <w:szCs w:val="24"/>
        </w:rPr>
        <w:t>,</w:t>
      </w:r>
      <w:r w:rsidR="00B43912">
        <w:rPr>
          <w:rFonts w:ascii="Book Antiqua" w:hAnsi="Book Antiqua" w:cs="Times New Roman"/>
          <w:noProof w:val="0"/>
          <w:sz w:val="24"/>
          <w:szCs w:val="24"/>
        </w:rPr>
        <w:t>1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%) se sont retrouvés au chômage suite au </w:t>
      </w:r>
      <w:r w:rsidRPr="009A6FE2">
        <w:rPr>
          <w:rFonts w:ascii="Book Antiqua" w:hAnsi="Book Antiqua" w:cs="Times New Roman"/>
          <w:noProof w:val="0"/>
          <w:sz w:val="24"/>
          <w:szCs w:val="24"/>
        </w:rPr>
        <w:t xml:space="preserve">licenciement ou </w:t>
      </w:r>
      <w:r>
        <w:rPr>
          <w:rFonts w:ascii="Book Antiqua" w:hAnsi="Book Antiqua" w:cs="Times New Roman"/>
          <w:noProof w:val="0"/>
          <w:sz w:val="24"/>
          <w:szCs w:val="24"/>
        </w:rPr>
        <w:t>à l’</w:t>
      </w:r>
      <w:r w:rsidRPr="009A6FE2">
        <w:rPr>
          <w:rFonts w:ascii="Book Antiqua" w:hAnsi="Book Antiqua" w:cs="Times New Roman"/>
          <w:noProof w:val="0"/>
          <w:sz w:val="24"/>
          <w:szCs w:val="24"/>
        </w:rPr>
        <w:t>arrêt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9A6FE2">
        <w:rPr>
          <w:rFonts w:ascii="Book Antiqua" w:hAnsi="Book Antiqua" w:cs="Times New Roman"/>
          <w:noProof w:val="0"/>
          <w:sz w:val="24"/>
          <w:szCs w:val="24"/>
        </w:rPr>
        <w:t>de l’activité de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 l’</w:t>
      </w:r>
      <w:r w:rsidRPr="009A6FE2">
        <w:rPr>
          <w:rFonts w:ascii="Book Antiqua" w:hAnsi="Book Antiqua" w:cs="Times New Roman"/>
          <w:noProof w:val="0"/>
          <w:sz w:val="24"/>
          <w:szCs w:val="24"/>
        </w:rPr>
        <w:t>établissement employeur.</w:t>
      </w:r>
      <w:r w:rsidRPr="002A19AD">
        <w:rPr>
          <w:rFonts w:ascii="Book Antiqua" w:hAnsi="Book Antiqua" w:cs="Times New Roman"/>
          <w:noProof w:val="0"/>
          <w:sz w:val="27"/>
          <w:szCs w:val="27"/>
        </w:rPr>
        <w:t xml:space="preserve"> </w:t>
      </w:r>
    </w:p>
    <w:p w:rsidR="006D689B" w:rsidRDefault="006D689B" w:rsidP="00DB4F6D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</w:p>
    <w:p w:rsidR="004F377E" w:rsidRDefault="004F377E" w:rsidP="006D689B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</w:p>
    <w:p w:rsidR="004F377E" w:rsidRDefault="004F377E" w:rsidP="004F377E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</w:p>
    <w:p w:rsidR="004F377E" w:rsidRDefault="004F377E" w:rsidP="004F377E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</w:p>
    <w:p w:rsidR="004F377E" w:rsidRDefault="004F377E" w:rsidP="004F377E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</w:p>
    <w:p w:rsidR="004F377E" w:rsidRDefault="004F377E" w:rsidP="004F377E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</w:p>
    <w:p w:rsidR="004F377E" w:rsidRDefault="004F377E" w:rsidP="004F377E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</w:p>
    <w:p w:rsidR="004F377E" w:rsidRDefault="004F377E" w:rsidP="004F377E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</w:p>
    <w:p w:rsidR="009B7BDC" w:rsidRPr="008C428E" w:rsidRDefault="009B7BDC" w:rsidP="004F377E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</w:pPr>
      <w:r w:rsidRPr="008C428E">
        <w:rPr>
          <w:rFonts w:ascii="Book Antiqua" w:hAnsi="Book Antiqua" w:cs="Times New Roman"/>
          <w:b/>
          <w:bCs/>
          <w:noProof w:val="0"/>
          <w:color w:val="0000FF"/>
          <w:sz w:val="28"/>
          <w:szCs w:val="28"/>
        </w:rPr>
        <w:lastRenderedPageBreak/>
        <w:t>Situation et évolution du sous emploi</w:t>
      </w:r>
    </w:p>
    <w:p w:rsidR="009B7BDC" w:rsidRPr="00AB1BEE" w:rsidRDefault="00105F5B" w:rsidP="00105F5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noProof w:val="0"/>
          <w:sz w:val="24"/>
          <w:szCs w:val="24"/>
        </w:rPr>
        <w:t>L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e volume 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des actifs occupés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 xml:space="preserve">en situation de sous emploi a 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augmenté, entre les deux périodes, de 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1.00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9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.000 à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1.1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46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.000 personnes (de 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458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.000 à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5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18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.000 personnes dans les villes et de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5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51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.000 à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6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28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>.000 dans les campagnes)</w:t>
      </w:r>
      <w:r>
        <w:rPr>
          <w:rFonts w:ascii="Book Antiqua" w:hAnsi="Book Antiqua" w:cs="Times New Roman"/>
          <w:noProof w:val="0"/>
          <w:sz w:val="24"/>
          <w:szCs w:val="24"/>
        </w:rPr>
        <w:t>. L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e taux de sous emploi est </w:t>
      </w:r>
      <w:r>
        <w:rPr>
          <w:rFonts w:ascii="Book Antiqua" w:hAnsi="Book Antiqua" w:cs="Times New Roman"/>
          <w:noProof w:val="0"/>
          <w:sz w:val="24"/>
          <w:szCs w:val="24"/>
        </w:rPr>
        <w:t xml:space="preserve">ainsi 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passé de 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9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>,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4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% à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10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>,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6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% (de 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8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>,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6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% à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9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>,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6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% dans les villes et de 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10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>,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3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 xml:space="preserve">% à </w:t>
      </w:r>
      <w:r w:rsidR="009B7BDC">
        <w:rPr>
          <w:rFonts w:ascii="Book Antiqua" w:hAnsi="Book Antiqua" w:cs="Times New Roman"/>
          <w:noProof w:val="0"/>
          <w:sz w:val="24"/>
          <w:szCs w:val="24"/>
        </w:rPr>
        <w:t>11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>,</w:t>
      </w:r>
      <w:r w:rsidR="0024749E">
        <w:rPr>
          <w:rFonts w:ascii="Book Antiqua" w:hAnsi="Book Antiqua" w:cs="Times New Roman"/>
          <w:noProof w:val="0"/>
          <w:sz w:val="24"/>
          <w:szCs w:val="24"/>
        </w:rPr>
        <w:t>6</w:t>
      </w:r>
      <w:r w:rsidR="009B7BDC" w:rsidRPr="00AB1BEE">
        <w:rPr>
          <w:rFonts w:ascii="Book Antiqua" w:hAnsi="Book Antiqua" w:cs="Times New Roman"/>
          <w:noProof w:val="0"/>
          <w:sz w:val="24"/>
          <w:szCs w:val="24"/>
        </w:rPr>
        <w:t>% dans les campagnes).</w:t>
      </w:r>
    </w:p>
    <w:p w:rsidR="004F377E" w:rsidRDefault="004F377E" w:rsidP="00E0269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2"/>
          <w:szCs w:val="22"/>
        </w:rPr>
      </w:pPr>
    </w:p>
    <w:p w:rsidR="009B7BDC" w:rsidRDefault="009B7BDC" w:rsidP="004F377E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2"/>
          <w:szCs w:val="22"/>
        </w:rPr>
      </w:pPr>
      <w:r w:rsidRPr="00017D35">
        <w:rPr>
          <w:rFonts w:ascii="Book Antiqua" w:hAnsi="Book Antiqua" w:cs="Times New Roman"/>
          <w:b/>
          <w:bCs/>
          <w:noProof w:val="0"/>
          <w:sz w:val="22"/>
          <w:szCs w:val="22"/>
        </w:rPr>
        <w:t xml:space="preserve">Figure </w:t>
      </w:r>
      <w:r>
        <w:rPr>
          <w:rFonts w:ascii="Book Antiqua" w:hAnsi="Book Antiqua" w:cs="Times New Roman"/>
          <w:b/>
          <w:bCs/>
          <w:noProof w:val="0"/>
          <w:sz w:val="22"/>
          <w:szCs w:val="22"/>
        </w:rPr>
        <w:t>5</w:t>
      </w:r>
      <w:r w:rsidRPr="00017D35">
        <w:rPr>
          <w:rFonts w:ascii="Book Antiqua" w:hAnsi="Book Antiqua" w:cs="Times New Roman"/>
          <w:b/>
          <w:bCs/>
          <w:noProof w:val="0"/>
          <w:sz w:val="22"/>
          <w:szCs w:val="22"/>
        </w:rPr>
        <w:t xml:space="preserve"> : Evolution du taux de sous-emploi au </w:t>
      </w:r>
      <w:r w:rsidR="000900D2">
        <w:rPr>
          <w:rFonts w:ascii="Book Antiqua" w:hAnsi="Book Antiqua" w:cs="Times New Roman"/>
          <w:b/>
          <w:bCs/>
          <w:noProof w:val="0"/>
          <w:sz w:val="24"/>
          <w:szCs w:val="24"/>
        </w:rPr>
        <w:t>3</w:t>
      </w:r>
      <w:r w:rsidRPr="00017D35">
        <w:rPr>
          <w:rFonts w:ascii="Book Antiqua" w:hAnsi="Book Antiqua" w:cs="Times New Roman"/>
          <w:b/>
          <w:bCs/>
          <w:noProof w:val="0"/>
          <w:sz w:val="24"/>
          <w:szCs w:val="24"/>
          <w:vertAlign w:val="superscript"/>
        </w:rPr>
        <w:t>ème</w:t>
      </w:r>
      <w:r w:rsidRPr="00017D35">
        <w:rPr>
          <w:rFonts w:ascii="Book Antiqua" w:hAnsi="Book Antiqua" w:cs="Times New Roman"/>
          <w:b/>
          <w:bCs/>
          <w:noProof w:val="0"/>
          <w:sz w:val="22"/>
          <w:szCs w:val="22"/>
        </w:rPr>
        <w:t xml:space="preserve"> trimestre par milieu de résidence (en %).</w:t>
      </w:r>
      <w:r>
        <w:rPr>
          <w:rFonts w:ascii="Book Antiqua" w:hAnsi="Book Antiqua" w:cs="Times New Roman"/>
          <w:b/>
          <w:bCs/>
          <w:noProof w:val="0"/>
          <w:sz w:val="22"/>
          <w:szCs w:val="22"/>
        </w:rPr>
        <w:t xml:space="preserve"> 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</w:p>
    <w:p w:rsidR="009B7BDC" w:rsidRDefault="00F36F1A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drawing>
          <wp:inline distT="0" distB="0" distL="0" distR="0">
            <wp:extent cx="4754689" cy="1924454"/>
            <wp:effectExtent l="12697" t="5311" r="6544" b="0"/>
            <wp:docPr id="5" name="Graphiqu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</w:p>
    <w:p w:rsidR="009B7BDC" w:rsidRPr="009428E6" w:rsidRDefault="009B7BDC" w:rsidP="00CF0D64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  <w:r w:rsidRPr="009428E6">
        <w:rPr>
          <w:rFonts w:ascii="Book Antiqua" w:hAnsi="Book Antiqua" w:cs="Times New Roman"/>
          <w:noProof w:val="0"/>
          <w:sz w:val="24"/>
          <w:szCs w:val="24"/>
        </w:rPr>
        <w:t>Selon le secteur d’activité économique, les personnes exerçant dans les BTP</w:t>
      </w:r>
      <w:r w:rsidR="00CF0D64">
        <w:rPr>
          <w:rFonts w:ascii="Book Antiqua" w:hAnsi="Book Antiqua" w:cs="Times New Roman"/>
          <w:noProof w:val="0"/>
          <w:sz w:val="24"/>
          <w:szCs w:val="24"/>
        </w:rPr>
        <w:t>,</w:t>
      </w:r>
      <w:r w:rsidRPr="009428E6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="00CF0D64">
        <w:rPr>
          <w:rFonts w:ascii="Book Antiqua" w:hAnsi="Book Antiqua" w:cs="Times New Roman"/>
          <w:noProof w:val="0"/>
          <w:sz w:val="24"/>
          <w:szCs w:val="24"/>
        </w:rPr>
        <w:t xml:space="preserve">avec </w:t>
      </w:r>
      <w:r w:rsidR="00CF0D64" w:rsidRPr="009428E6">
        <w:rPr>
          <w:rFonts w:ascii="Book Antiqua" w:hAnsi="Book Antiqua" w:cs="Times New Roman"/>
          <w:noProof w:val="0"/>
          <w:sz w:val="24"/>
          <w:szCs w:val="24"/>
        </w:rPr>
        <w:t>1</w:t>
      </w:r>
      <w:r w:rsidR="00CF0D64">
        <w:rPr>
          <w:rFonts w:ascii="Book Antiqua" w:hAnsi="Book Antiqua" w:cs="Times New Roman"/>
          <w:noProof w:val="0"/>
          <w:sz w:val="24"/>
          <w:szCs w:val="24"/>
        </w:rPr>
        <w:t>7,2</w:t>
      </w:r>
      <w:r w:rsidR="00CF0D64" w:rsidRPr="009428E6">
        <w:rPr>
          <w:rFonts w:ascii="Book Antiqua" w:hAnsi="Book Antiqua" w:cs="Times New Roman"/>
          <w:noProof w:val="0"/>
          <w:sz w:val="24"/>
          <w:szCs w:val="24"/>
        </w:rPr>
        <w:t>%</w:t>
      </w:r>
      <w:r w:rsidR="00CF0D64">
        <w:rPr>
          <w:rFonts w:ascii="Book Antiqua" w:hAnsi="Book Antiqua" w:cs="Times New Roman"/>
          <w:noProof w:val="0"/>
          <w:sz w:val="24"/>
          <w:szCs w:val="24"/>
        </w:rPr>
        <w:t xml:space="preserve"> au niveau national</w:t>
      </w:r>
      <w:r w:rsidR="00872CCC">
        <w:rPr>
          <w:rFonts w:ascii="Book Antiqua" w:hAnsi="Book Antiqua" w:cs="Times New Roman"/>
          <w:noProof w:val="0"/>
          <w:sz w:val="24"/>
          <w:szCs w:val="24"/>
        </w:rPr>
        <w:t>,</w:t>
      </w:r>
      <w:r w:rsidR="00CF0D64" w:rsidRPr="009428E6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 w:rsidRPr="009428E6">
        <w:rPr>
          <w:rFonts w:ascii="Book Antiqua" w:hAnsi="Book Antiqua" w:cs="Times New Roman"/>
          <w:noProof w:val="0"/>
          <w:sz w:val="24"/>
          <w:szCs w:val="24"/>
        </w:rPr>
        <w:t xml:space="preserve">sont </w:t>
      </w:r>
      <w:r w:rsidR="00CF0D64">
        <w:rPr>
          <w:rFonts w:ascii="Book Antiqua" w:hAnsi="Book Antiqua" w:cs="Times New Roman"/>
          <w:noProof w:val="0"/>
          <w:sz w:val="24"/>
          <w:szCs w:val="24"/>
        </w:rPr>
        <w:t xml:space="preserve">en particulier </w:t>
      </w:r>
      <w:r w:rsidRPr="009428E6">
        <w:rPr>
          <w:rFonts w:ascii="Book Antiqua" w:hAnsi="Book Antiqua" w:cs="Times New Roman"/>
          <w:noProof w:val="0"/>
          <w:sz w:val="24"/>
          <w:szCs w:val="24"/>
        </w:rPr>
        <w:t xml:space="preserve">les plus touchées par </w:t>
      </w:r>
      <w:r w:rsidR="00CF0D64">
        <w:rPr>
          <w:rFonts w:ascii="Book Antiqua" w:hAnsi="Book Antiqua" w:cs="Times New Roman"/>
          <w:noProof w:val="0"/>
          <w:sz w:val="24"/>
          <w:szCs w:val="24"/>
        </w:rPr>
        <w:t>c</w:t>
      </w:r>
      <w:r w:rsidRPr="009428E6">
        <w:rPr>
          <w:rFonts w:ascii="Book Antiqua" w:hAnsi="Book Antiqua" w:cs="Times New Roman"/>
          <w:noProof w:val="0"/>
          <w:sz w:val="24"/>
          <w:szCs w:val="24"/>
        </w:rPr>
        <w:t xml:space="preserve">e </w:t>
      </w:r>
      <w:r w:rsidR="00872CCC">
        <w:rPr>
          <w:rFonts w:ascii="Book Antiqua" w:hAnsi="Book Antiqua" w:cs="Times New Roman"/>
          <w:noProof w:val="0"/>
          <w:sz w:val="24"/>
          <w:szCs w:val="24"/>
        </w:rPr>
        <w:t>phénomène</w:t>
      </w:r>
      <w:r w:rsidR="00CF0D64">
        <w:rPr>
          <w:rFonts w:ascii="Book Antiqua" w:hAnsi="Book Antiqua" w:cs="Times New Roman"/>
          <w:noProof w:val="0"/>
          <w:sz w:val="24"/>
          <w:szCs w:val="24"/>
        </w:rPr>
        <w:t xml:space="preserve">, </w:t>
      </w:r>
      <w:r w:rsidRPr="009428E6">
        <w:rPr>
          <w:rFonts w:ascii="Book Antiqua" w:hAnsi="Book Antiqua" w:cs="Times New Roman"/>
          <w:noProof w:val="0"/>
          <w:sz w:val="24"/>
          <w:szCs w:val="24"/>
        </w:rPr>
        <w:t>aussi bien en milieu urbain qu’en milieu rural</w:t>
      </w:r>
      <w:r w:rsidR="00CF0D64">
        <w:rPr>
          <w:rFonts w:ascii="Book Antiqua" w:hAnsi="Book Antiqua" w:cs="Times New Roman"/>
          <w:noProof w:val="0"/>
          <w:sz w:val="24"/>
          <w:szCs w:val="24"/>
        </w:rPr>
        <w:t xml:space="preserve">. Dans </w:t>
      </w:r>
      <w:r w:rsidRPr="009428E6">
        <w:rPr>
          <w:rFonts w:ascii="Book Antiqua" w:hAnsi="Book Antiqua" w:cs="Times New Roman"/>
          <w:noProof w:val="0"/>
          <w:sz w:val="24"/>
          <w:szCs w:val="24"/>
        </w:rPr>
        <w:t>le secteur de l’"agriculture, forêt et pêche"</w:t>
      </w:r>
      <w:r w:rsidR="00CF0D64">
        <w:rPr>
          <w:rFonts w:ascii="Book Antiqua" w:hAnsi="Book Antiqua" w:cs="Times New Roman"/>
          <w:noProof w:val="0"/>
          <w:sz w:val="24"/>
          <w:szCs w:val="24"/>
        </w:rPr>
        <w:t>, il atteint</w:t>
      </w:r>
      <w:r w:rsidRPr="009428E6">
        <w:rPr>
          <w:rFonts w:ascii="Book Antiqua" w:hAnsi="Book Antiqua" w:cs="Times New Roman"/>
          <w:noProof w:val="0"/>
          <w:sz w:val="24"/>
          <w:szCs w:val="24"/>
        </w:rPr>
        <w:t xml:space="preserve"> </w:t>
      </w:r>
      <w:r>
        <w:rPr>
          <w:rFonts w:ascii="Book Antiqua" w:hAnsi="Book Antiqua" w:cs="Times New Roman"/>
          <w:noProof w:val="0"/>
          <w:sz w:val="24"/>
          <w:szCs w:val="24"/>
        </w:rPr>
        <w:t>1</w:t>
      </w:r>
      <w:r w:rsidR="008D455D">
        <w:rPr>
          <w:rFonts w:ascii="Book Antiqua" w:hAnsi="Book Antiqua" w:cs="Times New Roman"/>
          <w:noProof w:val="0"/>
          <w:sz w:val="24"/>
          <w:szCs w:val="24"/>
        </w:rPr>
        <w:t>0</w:t>
      </w:r>
      <w:r w:rsidRPr="009428E6">
        <w:rPr>
          <w:rFonts w:ascii="Book Antiqua" w:hAnsi="Book Antiqua" w:cs="Times New Roman"/>
          <w:noProof w:val="0"/>
          <w:sz w:val="24"/>
          <w:szCs w:val="24"/>
        </w:rPr>
        <w:t>,</w:t>
      </w:r>
      <w:r w:rsidR="008D455D">
        <w:rPr>
          <w:rFonts w:ascii="Book Antiqua" w:hAnsi="Book Antiqua" w:cs="Times New Roman"/>
          <w:noProof w:val="0"/>
          <w:sz w:val="24"/>
          <w:szCs w:val="24"/>
        </w:rPr>
        <w:t>7</w:t>
      </w:r>
      <w:r w:rsidRPr="009428E6">
        <w:rPr>
          <w:rFonts w:ascii="Book Antiqua" w:hAnsi="Book Antiqua" w:cs="Times New Roman"/>
          <w:noProof w:val="0"/>
          <w:sz w:val="24"/>
          <w:szCs w:val="24"/>
        </w:rPr>
        <w:t xml:space="preserve">%.   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26"/>
          <w:szCs w:val="26"/>
        </w:rPr>
      </w:pPr>
    </w:p>
    <w:p w:rsidR="009B7BDC" w:rsidRDefault="009B7BDC" w:rsidP="00EC49A3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26"/>
          <w:szCs w:val="26"/>
        </w:rPr>
      </w:pPr>
      <w:r w:rsidRPr="00BE751A">
        <w:rPr>
          <w:rFonts w:ascii="Garamond" w:hAnsi="Garamond" w:cs="Times New Roman"/>
          <w:b/>
          <w:bCs/>
          <w:noProof w:val="0"/>
          <w:sz w:val="26"/>
          <w:szCs w:val="26"/>
        </w:rPr>
        <w:t xml:space="preserve">Figure </w:t>
      </w:r>
      <w:r>
        <w:rPr>
          <w:rFonts w:ascii="Garamond" w:hAnsi="Garamond" w:cs="Times New Roman"/>
          <w:b/>
          <w:bCs/>
          <w:noProof w:val="0"/>
          <w:sz w:val="26"/>
          <w:szCs w:val="26"/>
        </w:rPr>
        <w:t>6</w:t>
      </w:r>
      <w:r w:rsidRPr="00BE751A">
        <w:rPr>
          <w:rFonts w:ascii="Garamond" w:hAnsi="Garamond" w:cs="Times New Roman"/>
          <w:b/>
          <w:bCs/>
          <w:noProof w:val="0"/>
          <w:sz w:val="26"/>
          <w:szCs w:val="26"/>
        </w:rPr>
        <w:t xml:space="preserve"> : Evolution du taux de sous-emploi </w:t>
      </w:r>
      <w:r w:rsidRPr="00BE751A">
        <w:rPr>
          <w:rFonts w:ascii="Book Antiqua" w:hAnsi="Book Antiqua" w:cs="Times New Roman"/>
          <w:b/>
          <w:bCs/>
          <w:noProof w:val="0"/>
          <w:sz w:val="22"/>
          <w:szCs w:val="22"/>
        </w:rPr>
        <w:t xml:space="preserve">au </w:t>
      </w:r>
      <w:r w:rsidR="00EC49A3">
        <w:rPr>
          <w:rFonts w:ascii="Book Antiqua" w:hAnsi="Book Antiqua" w:cs="Times New Roman"/>
          <w:b/>
          <w:bCs/>
          <w:noProof w:val="0"/>
          <w:sz w:val="24"/>
          <w:szCs w:val="24"/>
        </w:rPr>
        <w:t>3</w:t>
      </w:r>
      <w:r w:rsidRPr="00BE751A">
        <w:rPr>
          <w:rFonts w:ascii="Book Antiqua" w:hAnsi="Book Antiqua" w:cs="Times New Roman"/>
          <w:b/>
          <w:bCs/>
          <w:noProof w:val="0"/>
          <w:sz w:val="24"/>
          <w:szCs w:val="24"/>
          <w:vertAlign w:val="superscript"/>
        </w:rPr>
        <w:t>ème</w:t>
      </w:r>
      <w:r w:rsidRPr="00BE751A">
        <w:rPr>
          <w:rFonts w:ascii="Book Antiqua" w:hAnsi="Book Antiqua" w:cs="Times New Roman"/>
          <w:b/>
          <w:bCs/>
          <w:noProof w:val="0"/>
          <w:sz w:val="22"/>
          <w:szCs w:val="22"/>
        </w:rPr>
        <w:t xml:space="preserve"> trimestre </w:t>
      </w:r>
      <w:r w:rsidRPr="00BE751A">
        <w:rPr>
          <w:rFonts w:ascii="Garamond" w:hAnsi="Garamond" w:cs="Times New Roman"/>
          <w:b/>
          <w:bCs/>
          <w:noProof w:val="0"/>
          <w:sz w:val="26"/>
          <w:szCs w:val="26"/>
        </w:rPr>
        <w:t>par secteur d’activité économique (en%)</w:t>
      </w:r>
    </w:p>
    <w:p w:rsidR="009B7BDC" w:rsidRPr="00A1104E" w:rsidRDefault="009B7BDC" w:rsidP="009B7BDC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8"/>
          <w:szCs w:val="8"/>
        </w:rPr>
      </w:pPr>
    </w:p>
    <w:p w:rsidR="009B7BDC" w:rsidRDefault="00F36F1A" w:rsidP="009B7BDC">
      <w:pPr>
        <w:jc w:val="center"/>
        <w:rPr>
          <w:rFonts w:ascii="Garamond" w:hAnsi="Garamond" w:cs="Times New Roman"/>
          <w:b/>
          <w:bCs/>
          <w:color w:val="0070C0"/>
          <w:sz w:val="26"/>
          <w:szCs w:val="26"/>
        </w:rPr>
      </w:pPr>
      <w:r>
        <w:rPr>
          <w:rFonts w:ascii="Garamond" w:hAnsi="Garamond" w:cs="Times New Roman"/>
          <w:b/>
          <w:bCs/>
          <w:color w:val="0070C0"/>
          <w:sz w:val="26"/>
          <w:szCs w:val="26"/>
        </w:rPr>
        <w:drawing>
          <wp:inline distT="0" distB="0" distL="0" distR="0">
            <wp:extent cx="5129335" cy="1906054"/>
            <wp:effectExtent l="13692" t="5931" r="4918" b="0"/>
            <wp:docPr id="6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D32D4" w:rsidRDefault="000D32D4" w:rsidP="009B7BDC">
      <w:pPr>
        <w:pStyle w:val="Titre1"/>
        <w:spacing w:after="0"/>
        <w:jc w:val="center"/>
        <w:rPr>
          <w:rFonts w:ascii="Book Antiqua" w:hAnsi="Book Antiqua" w:cs="Times New Roman"/>
          <w:color w:val="0070C0"/>
          <w:sz w:val="24"/>
          <w:szCs w:val="24"/>
        </w:rPr>
      </w:pPr>
    </w:p>
    <w:p w:rsidR="000D32D4" w:rsidRDefault="000D32D4" w:rsidP="000D32D4"/>
    <w:p w:rsidR="000D32D4" w:rsidRDefault="000D32D4" w:rsidP="000D32D4"/>
    <w:p w:rsidR="004F377E" w:rsidRDefault="004F377E" w:rsidP="000D32D4"/>
    <w:p w:rsidR="004F377E" w:rsidRDefault="004F377E" w:rsidP="000D32D4"/>
    <w:p w:rsidR="004F377E" w:rsidRDefault="004F377E" w:rsidP="000D32D4"/>
    <w:p w:rsidR="004F377E" w:rsidRDefault="004F377E" w:rsidP="000D32D4"/>
    <w:p w:rsidR="004F377E" w:rsidRDefault="004F377E" w:rsidP="000D32D4"/>
    <w:p w:rsidR="004F377E" w:rsidRDefault="004F377E" w:rsidP="000D32D4"/>
    <w:p w:rsidR="009B7BDC" w:rsidRPr="00754D0C" w:rsidRDefault="009B7BDC" w:rsidP="009B7BDC">
      <w:pPr>
        <w:pStyle w:val="Titre1"/>
        <w:spacing w:after="0"/>
        <w:jc w:val="center"/>
        <w:rPr>
          <w:rFonts w:ascii="Book Antiqua" w:hAnsi="Book Antiqua"/>
        </w:rPr>
      </w:pPr>
      <w:r>
        <w:rPr>
          <w:rFonts w:ascii="Book Antiqua" w:hAnsi="Book Antiqua" w:cs="Times New Roman"/>
          <w:color w:val="0070C0"/>
          <w:sz w:val="24"/>
          <w:szCs w:val="24"/>
        </w:rPr>
        <w:lastRenderedPageBreak/>
        <w:t>I</w:t>
      </w:r>
      <w:r w:rsidRPr="00754D0C">
        <w:rPr>
          <w:rFonts w:ascii="Book Antiqua" w:hAnsi="Book Antiqua" w:cs="Times New Roman"/>
          <w:color w:val="0070C0"/>
          <w:sz w:val="24"/>
          <w:szCs w:val="24"/>
        </w:rPr>
        <w:t xml:space="preserve">ndicateurs trimestriels d'activité, d’emploi et de chômage par milieu de résidence </w:t>
      </w:r>
      <w:r w:rsidRPr="00754D0C">
        <w:rPr>
          <w:rFonts w:ascii="Book Antiqua" w:hAnsi="Book Antiqua" w:cs="Times New Roman"/>
          <w:color w:val="0070C0"/>
          <w:sz w:val="24"/>
          <w:szCs w:val="24"/>
          <w:vertAlign w:val="superscript"/>
        </w:rPr>
        <w:t>(1)</w:t>
      </w:r>
    </w:p>
    <w:p w:rsidR="009B7BDC" w:rsidRPr="00BE751A" w:rsidRDefault="009B7BDC" w:rsidP="009B7BDC">
      <w:pPr>
        <w:pStyle w:val="Corpsdetexte2"/>
        <w:jc w:val="both"/>
        <w:rPr>
          <w:rFonts w:ascii="Book Antiqua" w:hAnsi="Book Antiqua" w:cs="Times New Roman"/>
          <w:sz w:val="20"/>
        </w:rPr>
      </w:pPr>
      <w:r w:rsidRPr="00754D0C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</w:t>
      </w:r>
      <w:r w:rsidRPr="00BE751A">
        <w:rPr>
          <w:rFonts w:ascii="Book Antiqua" w:hAnsi="Book Antiqua" w:cs="Times New Roman"/>
          <w:sz w:val="20"/>
        </w:rPr>
        <w:t xml:space="preserve">(Effectifs en milliers et taux 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9B7BDC" w:rsidRPr="00D8334D" w:rsidTr="001702E4">
        <w:trPr>
          <w:jc w:val="center"/>
        </w:trPr>
        <w:tc>
          <w:tcPr>
            <w:tcW w:w="4348" w:type="dxa"/>
            <w:vMerge w:val="restart"/>
            <w:vAlign w:val="center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Indicateurs</w:t>
            </w:r>
          </w:p>
        </w:tc>
        <w:tc>
          <w:tcPr>
            <w:tcW w:w="2924" w:type="dxa"/>
            <w:gridSpan w:val="3"/>
          </w:tcPr>
          <w:p w:rsidR="009B7BDC" w:rsidRPr="00BE751A" w:rsidRDefault="009B7BDC" w:rsidP="001702E4">
            <w:pPr>
              <w:tabs>
                <w:tab w:val="left" w:pos="-720"/>
              </w:tabs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3</w:t>
            </w:r>
            <w:r w:rsidRPr="00BE751A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  <w:vertAlign w:val="superscript"/>
              </w:rPr>
              <w:t>ème</w:t>
            </w:r>
            <w:r w:rsidRPr="00BE751A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 trimestre 2013                </w:t>
            </w:r>
          </w:p>
        </w:tc>
        <w:tc>
          <w:tcPr>
            <w:tcW w:w="3369" w:type="dxa"/>
            <w:gridSpan w:val="3"/>
          </w:tcPr>
          <w:p w:rsidR="009B7BDC" w:rsidRPr="00BE751A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</w:rPr>
              <w:t>3</w:t>
            </w:r>
            <w:r w:rsidRPr="00BE751A">
              <w:rPr>
                <w:rFonts w:ascii="Book Antiqua" w:hAnsi="Book Antiqua" w:cs="Times New Roman"/>
                <w:b/>
                <w:bCs/>
                <w:noProof w:val="0"/>
                <w:sz w:val="24"/>
                <w:szCs w:val="24"/>
                <w:vertAlign w:val="superscript"/>
              </w:rPr>
              <w:t>ème</w:t>
            </w:r>
            <w:r w:rsidRPr="00BE751A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 trimestre 2014                </w:t>
            </w:r>
          </w:p>
        </w:tc>
      </w:tr>
      <w:tr w:rsidR="009B7BDC" w:rsidRPr="00D8334D" w:rsidTr="001702E4">
        <w:trPr>
          <w:trHeight w:val="235"/>
          <w:jc w:val="center"/>
        </w:trPr>
        <w:tc>
          <w:tcPr>
            <w:tcW w:w="4348" w:type="dxa"/>
            <w:vMerge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49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952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23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National</w:t>
            </w:r>
          </w:p>
        </w:tc>
        <w:tc>
          <w:tcPr>
            <w:tcW w:w="1124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1122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23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National</w:t>
            </w:r>
          </w:p>
        </w:tc>
      </w:tr>
      <w:tr w:rsidR="009B7BDC" w:rsidRPr="00D8334D" w:rsidTr="001702E4">
        <w:trPr>
          <w:trHeight w:val="170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D8334D"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  <w:t xml:space="preserve"> Activité et emploi ( 15 ans et plus )</w:t>
            </w:r>
          </w:p>
        </w:tc>
        <w:tc>
          <w:tcPr>
            <w:tcW w:w="849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52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4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2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Population active (en milliers)</w:t>
            </w:r>
          </w:p>
        </w:tc>
        <w:tc>
          <w:tcPr>
            <w:tcW w:w="849" w:type="dxa"/>
            <w:vAlign w:val="center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6.205</w:t>
            </w:r>
          </w:p>
        </w:tc>
        <w:tc>
          <w:tcPr>
            <w:tcW w:w="952" w:type="dxa"/>
            <w:vAlign w:val="center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5.558</w:t>
            </w:r>
          </w:p>
        </w:tc>
        <w:tc>
          <w:tcPr>
            <w:tcW w:w="1123" w:type="dxa"/>
            <w:vAlign w:val="center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11.763</w:t>
            </w:r>
          </w:p>
        </w:tc>
        <w:tc>
          <w:tcPr>
            <w:tcW w:w="1124" w:type="dxa"/>
            <w:vAlign w:val="bottom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  <w:r w:rsidR="00DB5026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282</w:t>
            </w:r>
          </w:p>
        </w:tc>
        <w:tc>
          <w:tcPr>
            <w:tcW w:w="1122" w:type="dxa"/>
            <w:vAlign w:val="bottom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DB5026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603</w:t>
            </w:r>
          </w:p>
        </w:tc>
        <w:tc>
          <w:tcPr>
            <w:tcW w:w="1123" w:type="dxa"/>
            <w:vAlign w:val="bottom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11</w:t>
            </w:r>
            <w:r w:rsidR="00DB5026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885</w:t>
            </w:r>
          </w:p>
        </w:tc>
      </w:tr>
      <w:tr w:rsidR="00244488" w:rsidRPr="00D8334D" w:rsidTr="001702E4">
        <w:trPr>
          <w:trHeight w:val="284"/>
          <w:jc w:val="center"/>
        </w:trPr>
        <w:tc>
          <w:tcPr>
            <w:tcW w:w="4348" w:type="dxa"/>
          </w:tcPr>
          <w:p w:rsidR="00244488" w:rsidRPr="00D8334D" w:rsidRDefault="00244488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Taux de féminisation de la population active</w:t>
            </w:r>
          </w:p>
        </w:tc>
        <w:tc>
          <w:tcPr>
            <w:tcW w:w="849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22,2</w:t>
            </w:r>
          </w:p>
        </w:tc>
        <w:tc>
          <w:tcPr>
            <w:tcW w:w="952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34,3</w:t>
            </w:r>
          </w:p>
        </w:tc>
        <w:tc>
          <w:tcPr>
            <w:tcW w:w="1123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27,9</w:t>
            </w:r>
          </w:p>
        </w:tc>
        <w:tc>
          <w:tcPr>
            <w:tcW w:w="1124" w:type="dxa"/>
            <w:vAlign w:val="bottom"/>
          </w:tcPr>
          <w:p w:rsidR="00244488" w:rsidRDefault="00244488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21,9</w:t>
            </w:r>
          </w:p>
        </w:tc>
        <w:tc>
          <w:tcPr>
            <w:tcW w:w="1122" w:type="dxa"/>
            <w:vAlign w:val="bottom"/>
          </w:tcPr>
          <w:p w:rsidR="00244488" w:rsidRDefault="00244488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33,7</w:t>
            </w:r>
          </w:p>
        </w:tc>
        <w:tc>
          <w:tcPr>
            <w:tcW w:w="1123" w:type="dxa"/>
            <w:vAlign w:val="bottom"/>
          </w:tcPr>
          <w:p w:rsidR="00244488" w:rsidRDefault="00244488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27,4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Taux d'activité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42,2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58,1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48,5</w:t>
            </w:r>
          </w:p>
        </w:tc>
        <w:tc>
          <w:tcPr>
            <w:tcW w:w="1124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41,9</w:t>
            </w:r>
          </w:p>
        </w:tc>
        <w:tc>
          <w:tcPr>
            <w:tcW w:w="1122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58,1</w:t>
            </w:r>
          </w:p>
        </w:tc>
        <w:tc>
          <w:tcPr>
            <w:tcW w:w="1123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48,2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. Selon le sexe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122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123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244488" w:rsidRPr="00D8334D" w:rsidTr="001702E4">
        <w:trPr>
          <w:trHeight w:val="284"/>
          <w:jc w:val="center"/>
        </w:trPr>
        <w:tc>
          <w:tcPr>
            <w:tcW w:w="4348" w:type="dxa"/>
          </w:tcPr>
          <w:p w:rsidR="00244488" w:rsidRPr="00D8334D" w:rsidRDefault="00244488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67,9</w:t>
            </w:r>
          </w:p>
        </w:tc>
        <w:tc>
          <w:tcPr>
            <w:tcW w:w="952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78,7</w:t>
            </w:r>
          </w:p>
        </w:tc>
        <w:tc>
          <w:tcPr>
            <w:tcW w:w="1123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72,2</w:t>
            </w:r>
          </w:p>
        </w:tc>
        <w:tc>
          <w:tcPr>
            <w:tcW w:w="1124" w:type="dxa"/>
            <w:vAlign w:val="bottom"/>
          </w:tcPr>
          <w:p w:rsidR="00244488" w:rsidRDefault="00244488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67,6</w:t>
            </w:r>
          </w:p>
        </w:tc>
        <w:tc>
          <w:tcPr>
            <w:tcW w:w="1122" w:type="dxa"/>
            <w:vAlign w:val="bottom"/>
          </w:tcPr>
          <w:p w:rsidR="00244488" w:rsidRDefault="00244488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79,5</w:t>
            </w:r>
          </w:p>
        </w:tc>
        <w:tc>
          <w:tcPr>
            <w:tcW w:w="1123" w:type="dxa"/>
            <w:vAlign w:val="bottom"/>
          </w:tcPr>
          <w:p w:rsidR="00244488" w:rsidRDefault="00244488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72,3</w:t>
            </w:r>
          </w:p>
        </w:tc>
      </w:tr>
      <w:tr w:rsidR="00244488" w:rsidRPr="00D8334D" w:rsidTr="001702E4">
        <w:trPr>
          <w:trHeight w:val="284"/>
          <w:jc w:val="center"/>
        </w:trPr>
        <w:tc>
          <w:tcPr>
            <w:tcW w:w="4348" w:type="dxa"/>
          </w:tcPr>
          <w:p w:rsidR="00244488" w:rsidRPr="00D8334D" w:rsidRDefault="00244488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18,2</w:t>
            </w:r>
          </w:p>
        </w:tc>
        <w:tc>
          <w:tcPr>
            <w:tcW w:w="952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38,7</w:t>
            </w:r>
          </w:p>
        </w:tc>
        <w:tc>
          <w:tcPr>
            <w:tcW w:w="1123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26,2</w:t>
            </w:r>
          </w:p>
        </w:tc>
        <w:tc>
          <w:tcPr>
            <w:tcW w:w="1124" w:type="dxa"/>
            <w:vAlign w:val="bottom"/>
          </w:tcPr>
          <w:p w:rsidR="00244488" w:rsidRDefault="00244488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17,7</w:t>
            </w:r>
          </w:p>
        </w:tc>
        <w:tc>
          <w:tcPr>
            <w:tcW w:w="1122" w:type="dxa"/>
            <w:vAlign w:val="bottom"/>
          </w:tcPr>
          <w:p w:rsidR="00244488" w:rsidRDefault="00244488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38,0</w:t>
            </w:r>
          </w:p>
        </w:tc>
        <w:tc>
          <w:tcPr>
            <w:tcW w:w="1123" w:type="dxa"/>
            <w:vAlign w:val="bottom"/>
          </w:tcPr>
          <w:p w:rsidR="00244488" w:rsidRDefault="00244488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  <w:rtl/>
              </w:rPr>
              <w:t>25,7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. Selon l’âge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122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123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15 - 24 ans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22,8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42,9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32</w:t>
            </w:r>
          </w:p>
        </w:tc>
        <w:tc>
          <w:tcPr>
            <w:tcW w:w="1124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21,7</w:t>
            </w:r>
          </w:p>
        </w:tc>
        <w:tc>
          <w:tcPr>
            <w:tcW w:w="1122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44,4</w:t>
            </w:r>
          </w:p>
        </w:tc>
        <w:tc>
          <w:tcPr>
            <w:tcW w:w="1123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32,0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25 - 34 ans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59,1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65,8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61,8</w:t>
            </w:r>
          </w:p>
        </w:tc>
        <w:tc>
          <w:tcPr>
            <w:tcW w:w="1124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59,3</w:t>
            </w:r>
          </w:p>
        </w:tc>
        <w:tc>
          <w:tcPr>
            <w:tcW w:w="1122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65,5</w:t>
            </w:r>
          </w:p>
        </w:tc>
        <w:tc>
          <w:tcPr>
            <w:tcW w:w="1123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61,8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35 - 44 ans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57,2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71,7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62,4</w:t>
            </w:r>
          </w:p>
        </w:tc>
        <w:tc>
          <w:tcPr>
            <w:tcW w:w="1124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57,0</w:t>
            </w:r>
          </w:p>
        </w:tc>
        <w:tc>
          <w:tcPr>
            <w:tcW w:w="1122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70,0</w:t>
            </w:r>
          </w:p>
        </w:tc>
        <w:tc>
          <w:tcPr>
            <w:tcW w:w="1123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61,6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45 ans et plus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35,5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59,8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44,3</w:t>
            </w:r>
          </w:p>
        </w:tc>
        <w:tc>
          <w:tcPr>
            <w:tcW w:w="1124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35,2</w:t>
            </w:r>
          </w:p>
        </w:tc>
        <w:tc>
          <w:tcPr>
            <w:tcW w:w="1122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59,1</w:t>
            </w:r>
          </w:p>
        </w:tc>
        <w:tc>
          <w:tcPr>
            <w:tcW w:w="1123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43,7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122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123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36,6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61,4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49,4</w:t>
            </w:r>
          </w:p>
        </w:tc>
        <w:tc>
          <w:tcPr>
            <w:tcW w:w="1124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36,3</w:t>
            </w:r>
          </w:p>
        </w:tc>
        <w:tc>
          <w:tcPr>
            <w:tcW w:w="1122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60,7</w:t>
            </w:r>
          </w:p>
        </w:tc>
        <w:tc>
          <w:tcPr>
            <w:tcW w:w="1123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48,9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47,1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46,8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47</w:t>
            </w:r>
          </w:p>
        </w:tc>
        <w:tc>
          <w:tcPr>
            <w:tcW w:w="1124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46,6</w:t>
            </w:r>
          </w:p>
        </w:tc>
        <w:tc>
          <w:tcPr>
            <w:tcW w:w="1122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49,6</w:t>
            </w:r>
          </w:p>
        </w:tc>
        <w:tc>
          <w:tcPr>
            <w:tcW w:w="1123" w:type="dxa"/>
            <w:vAlign w:val="bottom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47,3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  <w:t xml:space="preserve">- </w:t>
            </w: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Population active occupée (en milliers)</w:t>
            </w:r>
          </w:p>
        </w:tc>
        <w:tc>
          <w:tcPr>
            <w:tcW w:w="849" w:type="dxa"/>
            <w:vAlign w:val="center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5.335</w:t>
            </w:r>
          </w:p>
        </w:tc>
        <w:tc>
          <w:tcPr>
            <w:tcW w:w="952" w:type="dxa"/>
            <w:vAlign w:val="center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5.352</w:t>
            </w:r>
          </w:p>
        </w:tc>
        <w:tc>
          <w:tcPr>
            <w:tcW w:w="1123" w:type="dxa"/>
            <w:vAlign w:val="center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10.687</w:t>
            </w:r>
          </w:p>
        </w:tc>
        <w:tc>
          <w:tcPr>
            <w:tcW w:w="1124" w:type="dxa"/>
            <w:vAlign w:val="center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DB5026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372</w:t>
            </w:r>
          </w:p>
        </w:tc>
        <w:tc>
          <w:tcPr>
            <w:tcW w:w="1122" w:type="dxa"/>
            <w:vAlign w:val="center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DB5026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373</w:t>
            </w:r>
          </w:p>
        </w:tc>
        <w:tc>
          <w:tcPr>
            <w:tcW w:w="1123" w:type="dxa"/>
            <w:vAlign w:val="center"/>
          </w:tcPr>
          <w:p w:rsidR="009B7BDC" w:rsidRPr="00DB5026" w:rsidRDefault="009B7BDC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10</w:t>
            </w:r>
            <w:r w:rsidR="00DB5026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745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Taux d’emploi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36,3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55,9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44</w:t>
            </w:r>
          </w:p>
        </w:tc>
        <w:tc>
          <w:tcPr>
            <w:tcW w:w="1124" w:type="dxa"/>
            <w:vAlign w:val="center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35,8</w:t>
            </w:r>
          </w:p>
        </w:tc>
        <w:tc>
          <w:tcPr>
            <w:tcW w:w="1122" w:type="dxa"/>
            <w:vAlign w:val="center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55,7</w:t>
            </w:r>
          </w:p>
        </w:tc>
        <w:tc>
          <w:tcPr>
            <w:tcW w:w="1123" w:type="dxa"/>
            <w:vAlign w:val="center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43,6</w:t>
            </w:r>
          </w:p>
        </w:tc>
      </w:tr>
      <w:tr w:rsidR="009B7BDC" w:rsidRPr="00D8334D" w:rsidTr="001702E4">
        <w:trPr>
          <w:trHeight w:val="586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Part de l’emploi  rémunéré dans                  l’emploi total. Dont :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95,7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58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76,8</w:t>
            </w:r>
          </w:p>
        </w:tc>
        <w:tc>
          <w:tcPr>
            <w:tcW w:w="1124" w:type="dxa"/>
            <w:vAlign w:val="center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96,1</w:t>
            </w:r>
          </w:p>
        </w:tc>
        <w:tc>
          <w:tcPr>
            <w:tcW w:w="1122" w:type="dxa"/>
            <w:vAlign w:val="center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59,3</w:t>
            </w:r>
          </w:p>
        </w:tc>
        <w:tc>
          <w:tcPr>
            <w:tcW w:w="1123" w:type="dxa"/>
            <w:vAlign w:val="center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77,7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- Salariés   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68,6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38,4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57,2</w:t>
            </w:r>
          </w:p>
        </w:tc>
        <w:tc>
          <w:tcPr>
            <w:tcW w:w="1124" w:type="dxa"/>
            <w:vAlign w:val="center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68,5</w:t>
            </w:r>
          </w:p>
        </w:tc>
        <w:tc>
          <w:tcPr>
            <w:tcW w:w="1122" w:type="dxa"/>
            <w:vAlign w:val="center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40,1</w:t>
            </w:r>
          </w:p>
        </w:tc>
        <w:tc>
          <w:tcPr>
            <w:tcW w:w="1123" w:type="dxa"/>
            <w:vAlign w:val="center"/>
          </w:tcPr>
          <w:p w:rsidR="009B7BDC" w:rsidRPr="00860715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60715">
              <w:rPr>
                <w:rFonts w:ascii="Garamond" w:hAnsi="Garamond"/>
                <w:sz w:val="22"/>
                <w:szCs w:val="22"/>
              </w:rPr>
              <w:t>57,6</w:t>
            </w:r>
          </w:p>
        </w:tc>
      </w:tr>
      <w:tr w:rsidR="00244488" w:rsidRPr="00D8334D" w:rsidTr="001702E4">
        <w:trPr>
          <w:trHeight w:val="284"/>
          <w:jc w:val="center"/>
        </w:trPr>
        <w:tc>
          <w:tcPr>
            <w:tcW w:w="4348" w:type="dxa"/>
          </w:tcPr>
          <w:p w:rsidR="00244488" w:rsidRPr="00D8334D" w:rsidRDefault="00244488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- Auto-employés    </w:t>
            </w:r>
          </w:p>
        </w:tc>
        <w:tc>
          <w:tcPr>
            <w:tcW w:w="849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31,4</w:t>
            </w:r>
          </w:p>
        </w:tc>
        <w:tc>
          <w:tcPr>
            <w:tcW w:w="952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61,6</w:t>
            </w:r>
          </w:p>
        </w:tc>
        <w:tc>
          <w:tcPr>
            <w:tcW w:w="1123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42,8</w:t>
            </w:r>
          </w:p>
        </w:tc>
        <w:tc>
          <w:tcPr>
            <w:tcW w:w="1124" w:type="dxa"/>
            <w:vAlign w:val="bottom"/>
          </w:tcPr>
          <w:p w:rsidR="00244488" w:rsidRDefault="00244488">
            <w:pPr>
              <w:bidi w:val="0"/>
              <w:jc w:val="center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122" w:type="dxa"/>
            <w:vAlign w:val="bottom"/>
          </w:tcPr>
          <w:p w:rsidR="00244488" w:rsidRDefault="00244488">
            <w:pPr>
              <w:bidi w:val="0"/>
              <w:jc w:val="center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1123" w:type="dxa"/>
            <w:vAlign w:val="bottom"/>
          </w:tcPr>
          <w:p w:rsidR="00244488" w:rsidRDefault="00244488">
            <w:pPr>
              <w:bidi w:val="0"/>
              <w:jc w:val="center"/>
              <w:rPr>
                <w:rFonts w:ascii="Bookman Old Style" w:hAnsi="Bookman Old Style" w:cs="Arial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/>
                <w:sz w:val="18"/>
                <w:szCs w:val="18"/>
              </w:rPr>
              <w:t>42,4</w:t>
            </w:r>
          </w:p>
        </w:tc>
      </w:tr>
      <w:tr w:rsidR="00244488" w:rsidRPr="00D8334D" w:rsidTr="00244488">
        <w:trPr>
          <w:trHeight w:val="284"/>
          <w:jc w:val="center"/>
        </w:trPr>
        <w:tc>
          <w:tcPr>
            <w:tcW w:w="4348" w:type="dxa"/>
          </w:tcPr>
          <w:p w:rsidR="00244488" w:rsidRPr="00D8334D" w:rsidRDefault="00244488" w:rsidP="001702E4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/>
                <w:b/>
                <w:spacing w:val="-2"/>
                <w:sz w:val="22"/>
                <w:szCs w:val="22"/>
              </w:rPr>
              <w:t>- Population active occupée sous employée (en milliers)</w:t>
            </w:r>
          </w:p>
        </w:tc>
        <w:tc>
          <w:tcPr>
            <w:tcW w:w="849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B1176">
              <w:rPr>
                <w:rFonts w:ascii="Garamond" w:hAnsi="Garamond"/>
                <w:b/>
                <w:bCs/>
                <w:sz w:val="22"/>
                <w:szCs w:val="22"/>
              </w:rPr>
              <w:t>458</w:t>
            </w:r>
          </w:p>
        </w:tc>
        <w:tc>
          <w:tcPr>
            <w:tcW w:w="952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B1176">
              <w:rPr>
                <w:rFonts w:ascii="Garamond" w:hAnsi="Garamond"/>
                <w:b/>
                <w:bCs/>
                <w:sz w:val="22"/>
                <w:szCs w:val="22"/>
              </w:rPr>
              <w:t>551</w:t>
            </w:r>
          </w:p>
        </w:tc>
        <w:tc>
          <w:tcPr>
            <w:tcW w:w="1123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B1176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5B1176">
              <w:rPr>
                <w:rFonts w:ascii="Garamond" w:hAnsi="Garamond"/>
                <w:b/>
                <w:bCs/>
                <w:sz w:val="22"/>
                <w:szCs w:val="22"/>
              </w:rPr>
              <w:t>009</w:t>
            </w:r>
          </w:p>
        </w:tc>
        <w:tc>
          <w:tcPr>
            <w:tcW w:w="1124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44488">
              <w:rPr>
                <w:rFonts w:ascii="Garamond" w:hAnsi="Garamond"/>
                <w:b/>
                <w:bCs/>
                <w:sz w:val="22"/>
                <w:szCs w:val="22"/>
              </w:rPr>
              <w:t>518</w:t>
            </w:r>
          </w:p>
        </w:tc>
        <w:tc>
          <w:tcPr>
            <w:tcW w:w="1122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44488">
              <w:rPr>
                <w:rFonts w:ascii="Garamond" w:hAnsi="Garamond"/>
                <w:b/>
                <w:bCs/>
                <w:sz w:val="22"/>
                <w:szCs w:val="22"/>
              </w:rPr>
              <w:t>628</w:t>
            </w:r>
          </w:p>
        </w:tc>
        <w:tc>
          <w:tcPr>
            <w:tcW w:w="1123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44488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DB5026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244488">
              <w:rPr>
                <w:rFonts w:ascii="Garamond" w:hAnsi="Garamond"/>
                <w:b/>
                <w:bCs/>
                <w:sz w:val="22"/>
                <w:szCs w:val="22"/>
              </w:rPr>
              <w:t>146</w:t>
            </w:r>
          </w:p>
        </w:tc>
      </w:tr>
      <w:tr w:rsidR="00244488" w:rsidRPr="00D8334D" w:rsidTr="00244488">
        <w:trPr>
          <w:trHeight w:val="284"/>
          <w:jc w:val="center"/>
        </w:trPr>
        <w:tc>
          <w:tcPr>
            <w:tcW w:w="4348" w:type="dxa"/>
          </w:tcPr>
          <w:p w:rsidR="00244488" w:rsidRPr="00D8334D" w:rsidRDefault="00244488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Taux de sous emploi</w:t>
            </w:r>
          </w:p>
        </w:tc>
        <w:tc>
          <w:tcPr>
            <w:tcW w:w="849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8,6</w:t>
            </w:r>
          </w:p>
        </w:tc>
        <w:tc>
          <w:tcPr>
            <w:tcW w:w="952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10,3</w:t>
            </w:r>
          </w:p>
        </w:tc>
        <w:tc>
          <w:tcPr>
            <w:tcW w:w="1123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9,4</w:t>
            </w:r>
          </w:p>
        </w:tc>
        <w:tc>
          <w:tcPr>
            <w:tcW w:w="1124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9,6</w:t>
            </w:r>
          </w:p>
        </w:tc>
        <w:tc>
          <w:tcPr>
            <w:tcW w:w="1122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11,6</w:t>
            </w:r>
          </w:p>
        </w:tc>
        <w:tc>
          <w:tcPr>
            <w:tcW w:w="1123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10,6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  <w:t xml:space="preserve">  Chômage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B7BDC" w:rsidRPr="00D8334D" w:rsidTr="00392DE5">
        <w:trPr>
          <w:trHeight w:val="268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- Population active en chômage (en milliers)   </w:t>
            </w:r>
          </w:p>
        </w:tc>
        <w:tc>
          <w:tcPr>
            <w:tcW w:w="849" w:type="dxa"/>
          </w:tcPr>
          <w:p w:rsidR="009B7BDC" w:rsidRPr="00DB5026" w:rsidRDefault="009B7BDC" w:rsidP="00392DE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952" w:type="dxa"/>
          </w:tcPr>
          <w:p w:rsidR="009B7BDC" w:rsidRPr="00DB5026" w:rsidRDefault="009B7BDC" w:rsidP="00392DE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206</w:t>
            </w:r>
          </w:p>
        </w:tc>
        <w:tc>
          <w:tcPr>
            <w:tcW w:w="1123" w:type="dxa"/>
          </w:tcPr>
          <w:p w:rsidR="009B7BDC" w:rsidRPr="00DB5026" w:rsidRDefault="009B7BDC" w:rsidP="00392DE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1.076</w:t>
            </w:r>
          </w:p>
        </w:tc>
        <w:tc>
          <w:tcPr>
            <w:tcW w:w="1124" w:type="dxa"/>
          </w:tcPr>
          <w:p w:rsidR="009B7BDC" w:rsidRPr="00DB5026" w:rsidRDefault="009B7BDC" w:rsidP="00392DE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91</w:t>
            </w:r>
            <w:r w:rsidR="00207BA8" w:rsidRPr="00DB5026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2" w:type="dxa"/>
          </w:tcPr>
          <w:p w:rsidR="009B7BDC" w:rsidRPr="00DB5026" w:rsidRDefault="009B7BDC" w:rsidP="00392DE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1123" w:type="dxa"/>
          </w:tcPr>
          <w:p w:rsidR="009B7BDC" w:rsidRPr="00DB5026" w:rsidRDefault="009B7BDC" w:rsidP="00392DE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DB5026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Pr="00DB5026">
              <w:rPr>
                <w:rFonts w:ascii="Garamond" w:hAnsi="Garamond"/>
                <w:b/>
                <w:bCs/>
                <w:sz w:val="22"/>
                <w:szCs w:val="22"/>
              </w:rPr>
              <w:t>140</w:t>
            </w:r>
          </w:p>
        </w:tc>
      </w:tr>
      <w:tr w:rsidR="00244488" w:rsidRPr="00D8334D" w:rsidTr="00244488">
        <w:trPr>
          <w:trHeight w:val="284"/>
          <w:jc w:val="center"/>
        </w:trPr>
        <w:tc>
          <w:tcPr>
            <w:tcW w:w="4348" w:type="dxa"/>
          </w:tcPr>
          <w:p w:rsidR="00244488" w:rsidRPr="00D8334D" w:rsidRDefault="00244488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- Taux de féminisation de la population </w:t>
            </w:r>
          </w:p>
          <w:p w:rsidR="00244488" w:rsidRPr="00D8334D" w:rsidRDefault="00244488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active en chômage</w:t>
            </w:r>
          </w:p>
        </w:tc>
        <w:tc>
          <w:tcPr>
            <w:tcW w:w="849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32,4</w:t>
            </w:r>
          </w:p>
        </w:tc>
        <w:tc>
          <w:tcPr>
            <w:tcW w:w="952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16,3</w:t>
            </w:r>
          </w:p>
        </w:tc>
        <w:tc>
          <w:tcPr>
            <w:tcW w:w="1123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29,3</w:t>
            </w:r>
          </w:p>
        </w:tc>
        <w:tc>
          <w:tcPr>
            <w:tcW w:w="1124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33,7</w:t>
            </w:r>
          </w:p>
        </w:tc>
        <w:tc>
          <w:tcPr>
            <w:tcW w:w="1122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16,5</w:t>
            </w:r>
          </w:p>
        </w:tc>
        <w:tc>
          <w:tcPr>
            <w:tcW w:w="1123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30,2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Taux de chômage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3,7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9,1</w:t>
            </w:r>
          </w:p>
        </w:tc>
        <w:tc>
          <w:tcPr>
            <w:tcW w:w="1124" w:type="dxa"/>
            <w:vAlign w:val="center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14,5</w:t>
            </w:r>
          </w:p>
        </w:tc>
        <w:tc>
          <w:tcPr>
            <w:tcW w:w="1122" w:type="dxa"/>
            <w:vAlign w:val="center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4,1</w:t>
            </w:r>
          </w:p>
        </w:tc>
        <w:tc>
          <w:tcPr>
            <w:tcW w:w="1123" w:type="dxa"/>
            <w:vAlign w:val="center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9,6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. Selon le sexe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9B7BDC" w:rsidRPr="00F974E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9B7BDC" w:rsidRPr="00F974E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B7BDC" w:rsidRPr="00F974E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44488" w:rsidRPr="00D8334D" w:rsidTr="00244488">
        <w:trPr>
          <w:trHeight w:val="284"/>
          <w:jc w:val="center"/>
        </w:trPr>
        <w:tc>
          <w:tcPr>
            <w:tcW w:w="4348" w:type="dxa"/>
          </w:tcPr>
          <w:p w:rsidR="00244488" w:rsidRPr="00D8334D" w:rsidRDefault="00244488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12,2</w:t>
            </w:r>
          </w:p>
        </w:tc>
        <w:tc>
          <w:tcPr>
            <w:tcW w:w="952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4,7</w:t>
            </w:r>
          </w:p>
        </w:tc>
        <w:tc>
          <w:tcPr>
            <w:tcW w:w="1123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124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12,3</w:t>
            </w:r>
          </w:p>
        </w:tc>
        <w:tc>
          <w:tcPr>
            <w:tcW w:w="1122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5,2</w:t>
            </w:r>
          </w:p>
        </w:tc>
        <w:tc>
          <w:tcPr>
            <w:tcW w:w="1123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9,2</w:t>
            </w:r>
          </w:p>
        </w:tc>
      </w:tr>
      <w:tr w:rsidR="00244488" w:rsidRPr="00D8334D" w:rsidTr="00244488">
        <w:trPr>
          <w:trHeight w:val="284"/>
          <w:jc w:val="center"/>
        </w:trPr>
        <w:tc>
          <w:tcPr>
            <w:tcW w:w="4348" w:type="dxa"/>
          </w:tcPr>
          <w:p w:rsidR="00244488" w:rsidRPr="00D8334D" w:rsidRDefault="00244488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20,4</w:t>
            </w:r>
          </w:p>
        </w:tc>
        <w:tc>
          <w:tcPr>
            <w:tcW w:w="952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1,8</w:t>
            </w:r>
          </w:p>
        </w:tc>
        <w:tc>
          <w:tcPr>
            <w:tcW w:w="1123" w:type="dxa"/>
            <w:vAlign w:val="center"/>
          </w:tcPr>
          <w:p w:rsidR="00244488" w:rsidRPr="005B1176" w:rsidRDefault="00244488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9,6</w:t>
            </w:r>
          </w:p>
        </w:tc>
        <w:tc>
          <w:tcPr>
            <w:tcW w:w="1124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22,3</w:t>
            </w:r>
          </w:p>
        </w:tc>
        <w:tc>
          <w:tcPr>
            <w:tcW w:w="1122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2,0</w:t>
            </w:r>
          </w:p>
        </w:tc>
        <w:tc>
          <w:tcPr>
            <w:tcW w:w="1123" w:type="dxa"/>
            <w:vAlign w:val="center"/>
          </w:tcPr>
          <w:p w:rsidR="00244488" w:rsidRPr="00244488" w:rsidRDefault="00244488" w:rsidP="0024448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44488">
              <w:rPr>
                <w:rFonts w:ascii="Garamond" w:hAnsi="Garamond"/>
                <w:sz w:val="22"/>
                <w:szCs w:val="22"/>
                <w:rtl/>
              </w:rPr>
              <w:t>10,6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. Selon l'âge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122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123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15-24 ans 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37,8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7,3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19,1</w:t>
            </w:r>
          </w:p>
        </w:tc>
        <w:tc>
          <w:tcPr>
            <w:tcW w:w="1124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39,9</w:t>
            </w:r>
          </w:p>
        </w:tc>
        <w:tc>
          <w:tcPr>
            <w:tcW w:w="1122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9,3</w:t>
            </w:r>
          </w:p>
        </w:tc>
        <w:tc>
          <w:tcPr>
            <w:tcW w:w="1123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20,6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25-34 ans 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19,3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3,9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12,8</w:t>
            </w:r>
          </w:p>
        </w:tc>
        <w:tc>
          <w:tcPr>
            <w:tcW w:w="1124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20,5</w:t>
            </w:r>
          </w:p>
        </w:tc>
        <w:tc>
          <w:tcPr>
            <w:tcW w:w="1122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4,3</w:t>
            </w:r>
          </w:p>
        </w:tc>
        <w:tc>
          <w:tcPr>
            <w:tcW w:w="1123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13,6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35-44 ans 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8,1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3,2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6,1</w:t>
            </w:r>
          </w:p>
        </w:tc>
        <w:tc>
          <w:tcPr>
            <w:tcW w:w="1124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8,3</w:t>
            </w:r>
          </w:p>
        </w:tc>
        <w:tc>
          <w:tcPr>
            <w:tcW w:w="1122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2,6</w:t>
            </w:r>
          </w:p>
        </w:tc>
        <w:tc>
          <w:tcPr>
            <w:tcW w:w="1123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6,0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45 ans et plus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3,1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1,2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2,2</w:t>
            </w:r>
          </w:p>
        </w:tc>
        <w:tc>
          <w:tcPr>
            <w:tcW w:w="1124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3,2</w:t>
            </w:r>
          </w:p>
        </w:tc>
        <w:tc>
          <w:tcPr>
            <w:tcW w:w="1122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1,1</w:t>
            </w:r>
          </w:p>
        </w:tc>
        <w:tc>
          <w:tcPr>
            <w:tcW w:w="1123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2,2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122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123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7,6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2,3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4,2</w:t>
            </w:r>
          </w:p>
        </w:tc>
        <w:tc>
          <w:tcPr>
            <w:tcW w:w="1124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7,9</w:t>
            </w:r>
          </w:p>
        </w:tc>
        <w:tc>
          <w:tcPr>
            <w:tcW w:w="1122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2,7</w:t>
            </w:r>
          </w:p>
        </w:tc>
        <w:tc>
          <w:tcPr>
            <w:tcW w:w="1123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4,6</w:t>
            </w:r>
          </w:p>
        </w:tc>
      </w:tr>
      <w:tr w:rsidR="009B7BDC" w:rsidRPr="00D8334D" w:rsidTr="001702E4">
        <w:trPr>
          <w:trHeight w:val="284"/>
          <w:jc w:val="center"/>
        </w:trPr>
        <w:tc>
          <w:tcPr>
            <w:tcW w:w="4348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lastRenderedPageBreak/>
              <w:t xml:space="preserve">      Ayant un diplôme</w:t>
            </w:r>
            <w:r>
              <w:rPr>
                <w:rStyle w:val="Appelnotedebasdep"/>
                <w:rFonts w:ascii="Garamond" w:hAnsi="Garamond" w:cs="Times New Roman"/>
                <w:b/>
                <w:spacing w:val="-2"/>
                <w:sz w:val="22"/>
                <w:szCs w:val="22"/>
              </w:rPr>
              <w:footnoteReference w:id="4"/>
            </w:r>
          </w:p>
        </w:tc>
        <w:tc>
          <w:tcPr>
            <w:tcW w:w="849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18,4</w:t>
            </w:r>
          </w:p>
        </w:tc>
        <w:tc>
          <w:tcPr>
            <w:tcW w:w="952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9,8</w:t>
            </w:r>
          </w:p>
        </w:tc>
        <w:tc>
          <w:tcPr>
            <w:tcW w:w="1123" w:type="dxa"/>
            <w:vAlign w:val="center"/>
          </w:tcPr>
          <w:p w:rsidR="009B7BDC" w:rsidRPr="005B1176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B1176">
              <w:rPr>
                <w:rFonts w:ascii="Garamond" w:hAnsi="Garamond"/>
                <w:sz w:val="22"/>
                <w:szCs w:val="22"/>
              </w:rPr>
              <w:t>16,5</w:t>
            </w:r>
          </w:p>
        </w:tc>
        <w:tc>
          <w:tcPr>
            <w:tcW w:w="1124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18,9</w:t>
            </w:r>
          </w:p>
        </w:tc>
        <w:tc>
          <w:tcPr>
            <w:tcW w:w="1122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9,7</w:t>
            </w:r>
          </w:p>
        </w:tc>
        <w:tc>
          <w:tcPr>
            <w:tcW w:w="1123" w:type="dxa"/>
            <w:vAlign w:val="bottom"/>
          </w:tcPr>
          <w:p w:rsidR="009B7BDC" w:rsidRPr="007B06DC" w:rsidRDefault="009B7BDC" w:rsidP="001702E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B06DC">
              <w:rPr>
                <w:rFonts w:ascii="Garamond" w:hAnsi="Garamond"/>
                <w:sz w:val="22"/>
                <w:szCs w:val="22"/>
              </w:rPr>
              <w:t>16,8</w:t>
            </w:r>
          </w:p>
        </w:tc>
      </w:tr>
    </w:tbl>
    <w:p w:rsidR="009B7BDC" w:rsidRPr="00754D0C" w:rsidRDefault="009B7BDC" w:rsidP="009B7BDC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  <w:r w:rsidRPr="00754D0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Source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 xml:space="preserve"> :</w:t>
      </w:r>
      <w:r w:rsidRPr="00754D0C">
        <w:rPr>
          <w:rFonts w:ascii="Book Antiqua" w:hAnsi="Book Antiqua" w:cs="Times New Roman"/>
          <w:spacing w:val="-2"/>
          <w:sz w:val="16"/>
          <w:szCs w:val="16"/>
        </w:rPr>
        <w:t xml:space="preserve"> 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>Enquête nationale sur l'emploi, Haut Commissariat au Plan</w:t>
      </w:r>
      <w:r w:rsidRPr="00754D0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>Direction de la Statistique).</w:t>
      </w:r>
      <w:r>
        <w:rPr>
          <w:rFonts w:ascii="Book Antiqua" w:hAnsi="Book Antiqua" w:cs="Times New Roman"/>
          <w:b/>
          <w:spacing w:val="-2"/>
          <w:sz w:val="16"/>
          <w:szCs w:val="16"/>
        </w:rPr>
        <w:t xml:space="preserve"> </w:t>
      </w:r>
      <w:r w:rsidRPr="00754D0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4" w:history="1">
        <w:r w:rsidRPr="00754D0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sectPr w:rsidR="009B7BDC" w:rsidRPr="00754D0C" w:rsidSect="001702E4">
      <w:footerReference w:type="even" r:id="rId15"/>
      <w:footerReference w:type="default" r:id="rId16"/>
      <w:pgSz w:w="12240" w:h="15840"/>
      <w:pgMar w:top="851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D9E" w:rsidRDefault="002E3D9E" w:rsidP="009B7BDC">
      <w:r>
        <w:separator/>
      </w:r>
    </w:p>
  </w:endnote>
  <w:endnote w:type="continuationSeparator" w:id="1">
    <w:p w:rsidR="002E3D9E" w:rsidRDefault="002E3D9E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E4" w:rsidRDefault="00D86869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EB48C5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1702E4" w:rsidRDefault="001702E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E4" w:rsidRDefault="00D86869">
    <w:pPr>
      <w:pStyle w:val="Pieddepage"/>
      <w:jc w:val="center"/>
    </w:pPr>
    <w:r>
      <w:fldChar w:fldCharType="begin"/>
    </w:r>
    <w:r w:rsidR="00EB48C5">
      <w:instrText xml:space="preserve"> PAGE   \* MERGEFORMAT </w:instrText>
    </w:r>
    <w:r>
      <w:fldChar w:fldCharType="separate"/>
    </w:r>
    <w:r w:rsidR="00F043B0">
      <w:rPr>
        <w:rtl/>
      </w:rPr>
      <w:t>1</w:t>
    </w:r>
    <w:r>
      <w:fldChar w:fldCharType="end"/>
    </w:r>
  </w:p>
  <w:p w:rsidR="001702E4" w:rsidRDefault="001702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D9E" w:rsidRDefault="002E3D9E" w:rsidP="009B7BDC">
      <w:r>
        <w:separator/>
      </w:r>
    </w:p>
  </w:footnote>
  <w:footnote w:type="continuationSeparator" w:id="1">
    <w:p w:rsidR="002E3D9E" w:rsidRDefault="002E3D9E" w:rsidP="009B7BDC">
      <w:r>
        <w:continuationSeparator/>
      </w:r>
    </w:p>
  </w:footnote>
  <w:footnote w:id="2">
    <w:p w:rsidR="00892C5F" w:rsidRDefault="00892C5F" w:rsidP="00892C5F">
      <w:pPr>
        <w:pStyle w:val="Notedebasdepage"/>
        <w:rPr>
          <w:rFonts w:ascii="Book Antiqua" w:hAnsi="Book Antiqua"/>
          <w:spacing w:val="-2"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 xml:space="preserve">iveau moyen regroupent les certificats de l'enseignement primaire, ceux du secondaire collégial et les </w:t>
      </w:r>
      <w:r>
        <w:rPr>
          <w:rFonts w:ascii="Book Antiqua" w:hAnsi="Book Antiqua"/>
          <w:spacing w:val="-2"/>
          <w:sz w:val="18"/>
          <w:szCs w:val="18"/>
          <w:lang w:eastAsia="en-US"/>
        </w:rPr>
        <w:t xml:space="preserve"> </w:t>
      </w:r>
    </w:p>
    <w:p w:rsidR="00892C5F" w:rsidRDefault="00892C5F" w:rsidP="00892C5F">
      <w:pPr>
        <w:pStyle w:val="Notedebasdepage"/>
      </w:pP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diplômes de qualification ou de spécialisation professionnelle.</w:t>
      </w:r>
    </w:p>
  </w:footnote>
  <w:footnote w:id="3">
    <w:p w:rsidR="00892C5F" w:rsidRDefault="00892C5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iveau</w:t>
      </w:r>
      <w:r w:rsidRPr="00311472">
        <w:rPr>
          <w:rFonts w:ascii="Book Antiqua" w:hAnsi="Book Antiqua"/>
          <w:sz w:val="18"/>
          <w:szCs w:val="18"/>
        </w:rPr>
        <w:t xml:space="preserve"> supérieur 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regroupent les b</w:t>
      </w:r>
      <w:r w:rsidRPr="00311472">
        <w:rPr>
          <w:rFonts w:ascii="Book Antiqua" w:hAnsi="Book Antiqua"/>
          <w:sz w:val="18"/>
          <w:szCs w:val="18"/>
        </w:rPr>
        <w:t>accalauréats, les diplômes de techniciens ou de techniciens</w:t>
      </w:r>
      <w:r>
        <w:rPr>
          <w:rFonts w:ascii="Book Antiqua" w:hAnsi="Book Antiqua"/>
          <w:sz w:val="18"/>
          <w:szCs w:val="18"/>
        </w:rPr>
        <w:t xml:space="preserve">   </w:t>
      </w:r>
      <w:r w:rsidRPr="00311472">
        <w:rPr>
          <w:rFonts w:ascii="Book Antiqua" w:hAnsi="Book Antiqua"/>
          <w:sz w:val="18"/>
          <w:szCs w:val="18"/>
        </w:rPr>
        <w:t>spécialisés et les diplômes d'enseignement supérieur (facultés, grandes écoles et instituts).</w:t>
      </w:r>
    </w:p>
  </w:footnote>
  <w:footnote w:id="4">
    <w:p w:rsidR="009B7BDC" w:rsidRPr="00E02692" w:rsidRDefault="009B7BDC" w:rsidP="00E02692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E02692">
        <w:rPr>
          <w:sz w:val="18"/>
          <w:szCs w:val="18"/>
        </w:rPr>
        <w:t xml:space="preserve">Il s’agit de tous les diplômes, aussi bien </w:t>
      </w:r>
      <w:r w:rsidR="00DB5026">
        <w:rPr>
          <w:sz w:val="18"/>
          <w:szCs w:val="18"/>
        </w:rPr>
        <w:t xml:space="preserve">ceux </w:t>
      </w:r>
      <w:r w:rsidRPr="00E02692">
        <w:rPr>
          <w:sz w:val="18"/>
          <w:szCs w:val="18"/>
        </w:rPr>
        <w:t>de l’enseignement général que de la formation professionnelle.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8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"/>
  </w:num>
  <w:num w:numId="16">
    <w:abstractNumId w:val="7"/>
  </w:num>
  <w:num w:numId="17">
    <w:abstractNumId w:val="10"/>
  </w:num>
  <w:num w:numId="18">
    <w:abstractNumId w:val="1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14CF6"/>
    <w:rsid w:val="00031FF6"/>
    <w:rsid w:val="0003474C"/>
    <w:rsid w:val="00045ADB"/>
    <w:rsid w:val="00053261"/>
    <w:rsid w:val="000535DC"/>
    <w:rsid w:val="00080969"/>
    <w:rsid w:val="000900D2"/>
    <w:rsid w:val="000D1994"/>
    <w:rsid w:val="000D2029"/>
    <w:rsid w:val="000D32D4"/>
    <w:rsid w:val="000D3D51"/>
    <w:rsid w:val="00100B48"/>
    <w:rsid w:val="00105F5B"/>
    <w:rsid w:val="001079B3"/>
    <w:rsid w:val="001473F7"/>
    <w:rsid w:val="001702E4"/>
    <w:rsid w:val="00182B14"/>
    <w:rsid w:val="00191D38"/>
    <w:rsid w:val="00193E74"/>
    <w:rsid w:val="001A5213"/>
    <w:rsid w:val="001A57B8"/>
    <w:rsid w:val="001C3191"/>
    <w:rsid w:val="001C369C"/>
    <w:rsid w:val="001C477B"/>
    <w:rsid w:val="001D6147"/>
    <w:rsid w:val="001E3468"/>
    <w:rsid w:val="001E5A43"/>
    <w:rsid w:val="00200DD0"/>
    <w:rsid w:val="00201055"/>
    <w:rsid w:val="00203B9A"/>
    <w:rsid w:val="00205B08"/>
    <w:rsid w:val="00207BA8"/>
    <w:rsid w:val="002335AD"/>
    <w:rsid w:val="00244488"/>
    <w:rsid w:val="0024749E"/>
    <w:rsid w:val="00253C9D"/>
    <w:rsid w:val="00291E1C"/>
    <w:rsid w:val="0029702A"/>
    <w:rsid w:val="00297F0C"/>
    <w:rsid w:val="002A705A"/>
    <w:rsid w:val="002B7327"/>
    <w:rsid w:val="002C0306"/>
    <w:rsid w:val="002E3D9E"/>
    <w:rsid w:val="00303C6A"/>
    <w:rsid w:val="00303D9A"/>
    <w:rsid w:val="00307067"/>
    <w:rsid w:val="00311472"/>
    <w:rsid w:val="003243C6"/>
    <w:rsid w:val="003406FA"/>
    <w:rsid w:val="00346C90"/>
    <w:rsid w:val="0035285B"/>
    <w:rsid w:val="00354F8F"/>
    <w:rsid w:val="0035750D"/>
    <w:rsid w:val="00377111"/>
    <w:rsid w:val="0038352E"/>
    <w:rsid w:val="00387079"/>
    <w:rsid w:val="00392DE5"/>
    <w:rsid w:val="003A41F5"/>
    <w:rsid w:val="003B2C21"/>
    <w:rsid w:val="003B532C"/>
    <w:rsid w:val="003E021C"/>
    <w:rsid w:val="003E663D"/>
    <w:rsid w:val="00411874"/>
    <w:rsid w:val="0044517B"/>
    <w:rsid w:val="00463923"/>
    <w:rsid w:val="004818EB"/>
    <w:rsid w:val="00482CD8"/>
    <w:rsid w:val="004949BA"/>
    <w:rsid w:val="004A3499"/>
    <w:rsid w:val="004A3846"/>
    <w:rsid w:val="004A6B2B"/>
    <w:rsid w:val="004E591D"/>
    <w:rsid w:val="004F377E"/>
    <w:rsid w:val="004F7EDC"/>
    <w:rsid w:val="005049E1"/>
    <w:rsid w:val="005146C1"/>
    <w:rsid w:val="00516A0D"/>
    <w:rsid w:val="00535072"/>
    <w:rsid w:val="00556660"/>
    <w:rsid w:val="005575CD"/>
    <w:rsid w:val="00560D4E"/>
    <w:rsid w:val="00587F1E"/>
    <w:rsid w:val="00592218"/>
    <w:rsid w:val="0059727A"/>
    <w:rsid w:val="005C4A2E"/>
    <w:rsid w:val="005D2D4F"/>
    <w:rsid w:val="005F745D"/>
    <w:rsid w:val="006022C1"/>
    <w:rsid w:val="00607EFC"/>
    <w:rsid w:val="006158A0"/>
    <w:rsid w:val="0062483C"/>
    <w:rsid w:val="00634C97"/>
    <w:rsid w:val="006369B4"/>
    <w:rsid w:val="0064010A"/>
    <w:rsid w:val="0065328B"/>
    <w:rsid w:val="0066326E"/>
    <w:rsid w:val="00665ACB"/>
    <w:rsid w:val="00672098"/>
    <w:rsid w:val="00672B4E"/>
    <w:rsid w:val="0067620B"/>
    <w:rsid w:val="00681EB8"/>
    <w:rsid w:val="00694C10"/>
    <w:rsid w:val="006A0743"/>
    <w:rsid w:val="006A2722"/>
    <w:rsid w:val="006B076E"/>
    <w:rsid w:val="006B2DCD"/>
    <w:rsid w:val="006C41C1"/>
    <w:rsid w:val="006D3CA9"/>
    <w:rsid w:val="006D689B"/>
    <w:rsid w:val="006E2D69"/>
    <w:rsid w:val="006F3794"/>
    <w:rsid w:val="00713ABE"/>
    <w:rsid w:val="007277B9"/>
    <w:rsid w:val="00732456"/>
    <w:rsid w:val="00740F5B"/>
    <w:rsid w:val="00752217"/>
    <w:rsid w:val="00764681"/>
    <w:rsid w:val="00782432"/>
    <w:rsid w:val="00791326"/>
    <w:rsid w:val="00791E7E"/>
    <w:rsid w:val="007B126F"/>
    <w:rsid w:val="007C30FE"/>
    <w:rsid w:val="007D5A6D"/>
    <w:rsid w:val="007F16AC"/>
    <w:rsid w:val="00840CB8"/>
    <w:rsid w:val="0084327E"/>
    <w:rsid w:val="00855EAB"/>
    <w:rsid w:val="00863346"/>
    <w:rsid w:val="00866FDE"/>
    <w:rsid w:val="00872CCC"/>
    <w:rsid w:val="00873FB9"/>
    <w:rsid w:val="00892C5F"/>
    <w:rsid w:val="00893381"/>
    <w:rsid w:val="008964E5"/>
    <w:rsid w:val="008B0CB8"/>
    <w:rsid w:val="008B2A79"/>
    <w:rsid w:val="008C0C61"/>
    <w:rsid w:val="008C2987"/>
    <w:rsid w:val="008C428E"/>
    <w:rsid w:val="008C44D7"/>
    <w:rsid w:val="008D2488"/>
    <w:rsid w:val="008D32FF"/>
    <w:rsid w:val="008D455D"/>
    <w:rsid w:val="008D6077"/>
    <w:rsid w:val="008D6162"/>
    <w:rsid w:val="00902A5B"/>
    <w:rsid w:val="00915E14"/>
    <w:rsid w:val="00923A85"/>
    <w:rsid w:val="00934160"/>
    <w:rsid w:val="00935004"/>
    <w:rsid w:val="0094638B"/>
    <w:rsid w:val="00947677"/>
    <w:rsid w:val="00952068"/>
    <w:rsid w:val="009539AD"/>
    <w:rsid w:val="00960C43"/>
    <w:rsid w:val="00976A52"/>
    <w:rsid w:val="00981804"/>
    <w:rsid w:val="009B1B4B"/>
    <w:rsid w:val="009B30F8"/>
    <w:rsid w:val="009B7BDC"/>
    <w:rsid w:val="009C3B34"/>
    <w:rsid w:val="009C3EFD"/>
    <w:rsid w:val="009D0019"/>
    <w:rsid w:val="009E7C97"/>
    <w:rsid w:val="009F2CF0"/>
    <w:rsid w:val="009F58FE"/>
    <w:rsid w:val="009F5BFE"/>
    <w:rsid w:val="00A0226B"/>
    <w:rsid w:val="00A02809"/>
    <w:rsid w:val="00A06968"/>
    <w:rsid w:val="00A31234"/>
    <w:rsid w:val="00A50E6D"/>
    <w:rsid w:val="00A54037"/>
    <w:rsid w:val="00A57935"/>
    <w:rsid w:val="00A57BAB"/>
    <w:rsid w:val="00A6451A"/>
    <w:rsid w:val="00A937D3"/>
    <w:rsid w:val="00A94292"/>
    <w:rsid w:val="00AB0075"/>
    <w:rsid w:val="00AB33E6"/>
    <w:rsid w:val="00AC0F7F"/>
    <w:rsid w:val="00AD08C6"/>
    <w:rsid w:val="00AD2408"/>
    <w:rsid w:val="00AE04B1"/>
    <w:rsid w:val="00AF3DB7"/>
    <w:rsid w:val="00B014CA"/>
    <w:rsid w:val="00B0628E"/>
    <w:rsid w:val="00B20553"/>
    <w:rsid w:val="00B2485D"/>
    <w:rsid w:val="00B26924"/>
    <w:rsid w:val="00B27800"/>
    <w:rsid w:val="00B33A95"/>
    <w:rsid w:val="00B40C98"/>
    <w:rsid w:val="00B43912"/>
    <w:rsid w:val="00B46596"/>
    <w:rsid w:val="00B6404D"/>
    <w:rsid w:val="00B678F1"/>
    <w:rsid w:val="00B73CFD"/>
    <w:rsid w:val="00B83965"/>
    <w:rsid w:val="00B87D64"/>
    <w:rsid w:val="00BA20F0"/>
    <w:rsid w:val="00BA4E21"/>
    <w:rsid w:val="00BA59DF"/>
    <w:rsid w:val="00BC7ECE"/>
    <w:rsid w:val="00C01D64"/>
    <w:rsid w:val="00C04EB8"/>
    <w:rsid w:val="00C32F4C"/>
    <w:rsid w:val="00C340BE"/>
    <w:rsid w:val="00C412DC"/>
    <w:rsid w:val="00C52E95"/>
    <w:rsid w:val="00C534A2"/>
    <w:rsid w:val="00C56D59"/>
    <w:rsid w:val="00C63ABB"/>
    <w:rsid w:val="00C64164"/>
    <w:rsid w:val="00C6785E"/>
    <w:rsid w:val="00C72658"/>
    <w:rsid w:val="00CB16CC"/>
    <w:rsid w:val="00CB42CC"/>
    <w:rsid w:val="00CE004D"/>
    <w:rsid w:val="00CE0586"/>
    <w:rsid w:val="00CE16AF"/>
    <w:rsid w:val="00CF0D64"/>
    <w:rsid w:val="00CF16AB"/>
    <w:rsid w:val="00D1318D"/>
    <w:rsid w:val="00D1642D"/>
    <w:rsid w:val="00D21548"/>
    <w:rsid w:val="00D41F27"/>
    <w:rsid w:val="00D44710"/>
    <w:rsid w:val="00D61357"/>
    <w:rsid w:val="00D702F1"/>
    <w:rsid w:val="00D75E66"/>
    <w:rsid w:val="00D850B6"/>
    <w:rsid w:val="00D86869"/>
    <w:rsid w:val="00DB4F6D"/>
    <w:rsid w:val="00DB5026"/>
    <w:rsid w:val="00DB6B54"/>
    <w:rsid w:val="00DD32F8"/>
    <w:rsid w:val="00DE0504"/>
    <w:rsid w:val="00DE6548"/>
    <w:rsid w:val="00DF00DB"/>
    <w:rsid w:val="00DF44AC"/>
    <w:rsid w:val="00DF780D"/>
    <w:rsid w:val="00E02692"/>
    <w:rsid w:val="00E03282"/>
    <w:rsid w:val="00E207B2"/>
    <w:rsid w:val="00E24B56"/>
    <w:rsid w:val="00E5283D"/>
    <w:rsid w:val="00E71773"/>
    <w:rsid w:val="00EA0115"/>
    <w:rsid w:val="00EA1C1B"/>
    <w:rsid w:val="00EA65BF"/>
    <w:rsid w:val="00EB48C5"/>
    <w:rsid w:val="00EB5B54"/>
    <w:rsid w:val="00EC49A3"/>
    <w:rsid w:val="00ED4A11"/>
    <w:rsid w:val="00ED5807"/>
    <w:rsid w:val="00ED6F17"/>
    <w:rsid w:val="00ED7017"/>
    <w:rsid w:val="00ED7C0C"/>
    <w:rsid w:val="00EE0858"/>
    <w:rsid w:val="00F043B0"/>
    <w:rsid w:val="00F07620"/>
    <w:rsid w:val="00F15554"/>
    <w:rsid w:val="00F26674"/>
    <w:rsid w:val="00F27146"/>
    <w:rsid w:val="00F36F1A"/>
    <w:rsid w:val="00F55849"/>
    <w:rsid w:val="00F75AF5"/>
    <w:rsid w:val="00F83AF7"/>
    <w:rsid w:val="00F90B74"/>
    <w:rsid w:val="00FA0856"/>
    <w:rsid w:val="00FA4487"/>
    <w:rsid w:val="00FA663C"/>
    <w:rsid w:val="00FB00DD"/>
    <w:rsid w:val="00FD25BA"/>
    <w:rsid w:val="00FD363F"/>
    <w:rsid w:val="00FE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4\Traitement-sit-1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4\traitement__branches-6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4\Traitement_taux%20de%20ch&#244;mage_taux%20du%20sous%20emploi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4\younes-var-trim_3__201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4\Traitement_taux%20de%20ch&#244;mage_taux%20du%20sous%20emploi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4\Traitement_taux%20de%20sous%20emploi__secteur_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autoTitleDeleted val="1"/>
    <c:plotArea>
      <c:layout>
        <c:manualLayout>
          <c:layoutTarget val="inner"/>
          <c:xMode val="edge"/>
          <c:yMode val="edge"/>
          <c:x val="7.7265357144292723E-2"/>
          <c:y val="3.8301936941426688E-2"/>
          <c:w val="0.8229004811898516"/>
          <c:h val="0.68243463237981783"/>
        </c:manualLayout>
      </c:layout>
      <c:barChart>
        <c:barDir val="col"/>
        <c:grouping val="clustered"/>
        <c:ser>
          <c:idx val="0"/>
          <c:order val="0"/>
          <c:tx>
            <c:strRef>
              <c:f>Feuil2!$C$2</c:f>
              <c:strCache>
                <c:ptCount val="1"/>
                <c:pt idx="0">
                  <c:v>Emploi rémunéré</c:v>
                </c:pt>
              </c:strCache>
            </c:strRef>
          </c:tx>
          <c:dLbls>
            <c:showVal val="1"/>
          </c:dLbls>
          <c:cat>
            <c:strRef>
              <c:f>Feuil2!$D$1:$F$1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Feuil2!$D$2:$F$2</c:f>
              <c:numCache>
                <c:formatCode>General</c:formatCode>
                <c:ptCount val="3"/>
                <c:pt idx="0">
                  <c:v>58000</c:v>
                </c:pt>
                <c:pt idx="1">
                  <c:v>83000</c:v>
                </c:pt>
                <c:pt idx="2">
                  <c:v>141000</c:v>
                </c:pt>
              </c:numCache>
            </c:numRef>
          </c:val>
        </c:ser>
        <c:ser>
          <c:idx val="1"/>
          <c:order val="1"/>
          <c:tx>
            <c:strRef>
              <c:f>Feuil2!$C$3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dLbl>
              <c:idx val="0"/>
              <c:layout>
                <c:manualLayout>
                  <c:x val="-2.0420188670903254E-3"/>
                  <c:y val="-4.2187448087976417E-3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6611847570460364E-6"/>
                </c:manualLayout>
              </c:layout>
              <c:showVal val="1"/>
            </c:dLbl>
            <c:showVal val="1"/>
          </c:dLbls>
          <c:cat>
            <c:strRef>
              <c:f>Feuil2!$D$1:$F$1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Feuil2!$D$3:$F$3</c:f>
              <c:numCache>
                <c:formatCode>0</c:formatCode>
                <c:ptCount val="3"/>
                <c:pt idx="0">
                  <c:v>-22000</c:v>
                </c:pt>
                <c:pt idx="1">
                  <c:v>-61000</c:v>
                </c:pt>
                <c:pt idx="2">
                  <c:v>-83000</c:v>
                </c:pt>
              </c:numCache>
            </c:numRef>
          </c:val>
        </c:ser>
        <c:ser>
          <c:idx val="2"/>
          <c:order val="2"/>
          <c:tx>
            <c:strRef>
              <c:f>Feuil2!$C$4</c:f>
              <c:strCache>
                <c:ptCount val="1"/>
                <c:pt idx="0">
                  <c:v>Emploi total</c:v>
                </c:pt>
              </c:strCache>
            </c:strRef>
          </c:tx>
          <c:dLbls>
            <c:showVal val="1"/>
          </c:dLbls>
          <c:cat>
            <c:strRef>
              <c:f>Feuil2!$D$1:$F$1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Feuil2!$D$4:$F$4</c:f>
              <c:numCache>
                <c:formatCode>General</c:formatCode>
                <c:ptCount val="3"/>
                <c:pt idx="0">
                  <c:v>36000</c:v>
                </c:pt>
                <c:pt idx="1">
                  <c:v>22000</c:v>
                </c:pt>
                <c:pt idx="2">
                  <c:v>58000</c:v>
                </c:pt>
              </c:numCache>
            </c:numRef>
          </c:val>
        </c:ser>
        <c:gapWidth val="119"/>
        <c:overlap val="-10"/>
        <c:axId val="94474624"/>
        <c:axId val="94476160"/>
      </c:barChart>
      <c:catAx>
        <c:axId val="94474624"/>
        <c:scaling>
          <c:orientation val="minMax"/>
        </c:scaling>
        <c:axPos val="b"/>
        <c:majorTickMark val="none"/>
        <c:tickLblPos val="low"/>
        <c:crossAx val="94476160"/>
        <c:crosses val="autoZero"/>
        <c:auto val="1"/>
        <c:lblAlgn val="ctr"/>
        <c:lblOffset val="100"/>
        <c:tickLblSkip val="1"/>
      </c:catAx>
      <c:valAx>
        <c:axId val="94476160"/>
        <c:scaling>
          <c:orientation val="minMax"/>
        </c:scaling>
        <c:delete val="1"/>
        <c:axPos val="r"/>
        <c:numFmt formatCode="General" sourceLinked="1"/>
        <c:majorTickMark val="none"/>
        <c:tickLblPos val="nextTo"/>
        <c:crossAx val="94474624"/>
        <c:crosses val="max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Feuil4!$I$4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1.5065915605070751E-2"/>
                  <c:y val="-4.2735042735042739E-3"/>
                </c:manualLayout>
              </c:layout>
              <c:showVal val="1"/>
            </c:dLbl>
            <c:dLbl>
              <c:idx val="3"/>
              <c:layout>
                <c:manualLayout>
                  <c:x val="-7.5329578025353739E-3"/>
                  <c:y val="-4.2735042735042739E-3"/>
                </c:manualLayout>
              </c:layout>
              <c:showVal val="1"/>
            </c:dLbl>
            <c:showVal val="1"/>
          </c:dLbls>
          <c:cat>
            <c:strRef>
              <c:f>Feuil4!$J$3:$M$3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Feuil4!$J$4:$M$4</c:f>
              <c:numCache>
                <c:formatCode>General</c:formatCode>
                <c:ptCount val="4"/>
                <c:pt idx="0">
                  <c:v>-5000</c:v>
                </c:pt>
                <c:pt idx="1">
                  <c:v>25000</c:v>
                </c:pt>
                <c:pt idx="2">
                  <c:v>5000</c:v>
                </c:pt>
                <c:pt idx="3">
                  <c:v>11000</c:v>
                </c:pt>
              </c:numCache>
            </c:numRef>
          </c:val>
        </c:ser>
        <c:ser>
          <c:idx val="1"/>
          <c:order val="1"/>
          <c:tx>
            <c:strRef>
              <c:f>Feuil4!$I$5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1.6949155055704629E-2"/>
                  <c:y val="-4.273504273504352E-3"/>
                </c:manualLayout>
              </c:layout>
              <c:showVal val="1"/>
            </c:dLbl>
            <c:showVal val="1"/>
          </c:dLbls>
          <c:cat>
            <c:strRef>
              <c:f>Feuil4!$J$3:$M$3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Feuil4!$J$5:$M$5</c:f>
              <c:numCache>
                <c:formatCode>General</c:formatCode>
                <c:ptCount val="4"/>
                <c:pt idx="0">
                  <c:v>-70000</c:v>
                </c:pt>
                <c:pt idx="1">
                  <c:v>6000</c:v>
                </c:pt>
                <c:pt idx="2">
                  <c:v>37000</c:v>
                </c:pt>
                <c:pt idx="3">
                  <c:v>49000</c:v>
                </c:pt>
              </c:numCache>
            </c:numRef>
          </c:val>
        </c:ser>
        <c:ser>
          <c:idx val="2"/>
          <c:order val="2"/>
          <c:tx>
            <c:strRef>
              <c:f>Feuil4!$I$6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2"/>
              <c:layout>
                <c:manualLayout>
                  <c:x val="1.8832394506338505E-2"/>
                  <c:y val="-1.282051282051282E-2"/>
                </c:manualLayout>
              </c:layout>
              <c:showVal val="1"/>
            </c:dLbl>
            <c:dLbl>
              <c:idx val="3"/>
              <c:layout>
                <c:manualLayout>
                  <c:x val="1.3182676154436905E-2"/>
                  <c:y val="4.8966670800077493E-18"/>
                </c:manualLayout>
              </c:layout>
              <c:showVal val="1"/>
            </c:dLbl>
            <c:showVal val="1"/>
          </c:dLbls>
          <c:cat>
            <c:strRef>
              <c:f>Feuil4!$J$3:$M$3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Feuil4!$J$6:$M$6</c:f>
              <c:numCache>
                <c:formatCode>General</c:formatCode>
                <c:ptCount val="4"/>
                <c:pt idx="0">
                  <c:v>-75000</c:v>
                </c:pt>
                <c:pt idx="1">
                  <c:v>31000</c:v>
                </c:pt>
                <c:pt idx="2">
                  <c:v>42000</c:v>
                </c:pt>
                <c:pt idx="3">
                  <c:v>60000</c:v>
                </c:pt>
              </c:numCache>
            </c:numRef>
          </c:val>
        </c:ser>
        <c:gapWidth val="118"/>
        <c:overlap val="-7"/>
        <c:axId val="119984128"/>
        <c:axId val="119985664"/>
      </c:barChart>
      <c:catAx>
        <c:axId val="119984128"/>
        <c:scaling>
          <c:orientation val="minMax"/>
        </c:scaling>
        <c:axPos val="b"/>
        <c:tickLblPos val="low"/>
        <c:crossAx val="119985664"/>
        <c:crosses val="autoZero"/>
        <c:lblAlgn val="ctr"/>
        <c:lblOffset val="100"/>
      </c:catAx>
      <c:valAx>
        <c:axId val="119985664"/>
        <c:scaling>
          <c:orientation val="minMax"/>
        </c:scaling>
        <c:delete val="1"/>
        <c:axPos val="l"/>
        <c:numFmt formatCode="General" sourceLinked="1"/>
        <c:tickLblPos val="nextTo"/>
        <c:crossAx val="11998412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9.1613298337707788E-2"/>
          <c:y val="7.9178331875182334E-2"/>
          <c:w val="0.86394225721784934"/>
          <c:h val="0.68673009623797165"/>
        </c:manualLayout>
      </c:layout>
      <c:lineChart>
        <c:grouping val="standard"/>
        <c:ser>
          <c:idx val="0"/>
          <c:order val="0"/>
          <c:tx>
            <c:strRef>
              <c:f>T_chômage!$B$3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1.66668853893264E-2"/>
                  <c:y val="-5.5555555555555455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1.6666666666666701E-2"/>
                  <c:y val="-4.6296296296296439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1.3888888888888938E-2"/>
                  <c:y val="-6.0185185185185147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1.3888888888888938E-2"/>
                  <c:y val="-5.0926290463692028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2.7777777777777957E-3"/>
                  <c:y val="-4.1666666666666692E-2"/>
                </c:manualLayout>
              </c:layout>
              <c:dLblPos val="r"/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T_chômage!$C$3:$G$3</c:f>
              <c:numCache>
                <c:formatCode>#,##0.0</c:formatCode>
                <c:ptCount val="5"/>
                <c:pt idx="0">
                  <c:v>13.805465404583151</c:v>
                </c:pt>
                <c:pt idx="1">
                  <c:v>13.52244874693622</c:v>
                </c:pt>
                <c:pt idx="2">
                  <c:v>14.028172592965593</c:v>
                </c:pt>
                <c:pt idx="3">
                  <c:v>14.021162784813733</c:v>
                </c:pt>
                <c:pt idx="4" formatCode="General">
                  <c:v>14.5</c:v>
                </c:pt>
              </c:numCache>
            </c:numRef>
          </c:val>
        </c:ser>
        <c:ser>
          <c:idx val="1"/>
          <c:order val="1"/>
          <c:tx>
            <c:strRef>
              <c:f>T_chômage!$B$4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5.5555555555555775E-3"/>
                  <c:y val="-5.5555555555555455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5.5555555555555558E-3"/>
                  <c:y val="-5.5555555555555455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0"/>
                  <c:y val="-4.166666666666666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0"/>
                  <c:y val="-4.6296296296296439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1.1111111111111125E-2"/>
                  <c:y val="-3.7037037037037056E-2"/>
                </c:manualLayout>
              </c:layout>
              <c:dLblPos val="r"/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T_chômage!$C$4:$G$4</c:f>
              <c:numCache>
                <c:formatCode>#,##0.0</c:formatCode>
                <c:ptCount val="5"/>
                <c:pt idx="0">
                  <c:v>3.7904397581189984</c:v>
                </c:pt>
                <c:pt idx="1">
                  <c:v>4.1185407175374955</c:v>
                </c:pt>
                <c:pt idx="2">
                  <c:v>4.1939272119106317</c:v>
                </c:pt>
                <c:pt idx="3">
                  <c:v>3.7006610610874393</c:v>
                </c:pt>
                <c:pt idx="4" formatCode="General">
                  <c:v>4.0999999999999996</c:v>
                </c:pt>
              </c:numCache>
            </c:numRef>
          </c:val>
        </c:ser>
        <c:ser>
          <c:idx val="2"/>
          <c:order val="2"/>
          <c:tx>
            <c:strRef>
              <c:f>T_chômage!$B$5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0"/>
              <c:layout>
                <c:manualLayout>
                  <c:x val="-8.3333333333333766E-3"/>
                  <c:y val="-5.0925925925925902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0"/>
                  <c:y val="-5.0925925925925923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8.3333333333333367E-3"/>
                  <c:y val="-4.166666666666666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0"/>
                  <c:y val="-3.7037037037037056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2.7777777777777957E-3"/>
                  <c:y val="-4.1666666666666713E-2"/>
                </c:manualLayout>
              </c:layout>
              <c:dLblPos val="r"/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T_chômage!$C$5:$G$5</c:f>
              <c:numCache>
                <c:formatCode>#,##0.0</c:formatCode>
                <c:ptCount val="5"/>
                <c:pt idx="0">
                  <c:v>9.0185475637887098</c:v>
                </c:pt>
                <c:pt idx="1">
                  <c:v>9.092981447274914</c:v>
                </c:pt>
                <c:pt idx="2">
                  <c:v>9.4308888223192557</c:v>
                </c:pt>
                <c:pt idx="3">
                  <c:v>9.1448608947732009</c:v>
                </c:pt>
                <c:pt idx="4" formatCode="General">
                  <c:v>9.6</c:v>
                </c:pt>
              </c:numCache>
            </c:numRef>
          </c:val>
        </c:ser>
        <c:marker val="1"/>
        <c:axId val="120245632"/>
        <c:axId val="95114368"/>
      </c:lineChart>
      <c:catAx>
        <c:axId val="120245632"/>
        <c:scaling>
          <c:orientation val="minMax"/>
        </c:scaling>
        <c:axPos val="b"/>
        <c:numFmt formatCode="General" sourceLinked="1"/>
        <c:tickLblPos val="nextTo"/>
        <c:crossAx val="95114368"/>
        <c:crosses val="autoZero"/>
        <c:auto val="1"/>
        <c:lblAlgn val="ctr"/>
        <c:lblOffset val="100"/>
      </c:catAx>
      <c:valAx>
        <c:axId val="95114368"/>
        <c:scaling>
          <c:orientation val="minMax"/>
        </c:scaling>
        <c:delete val="1"/>
        <c:axPos val="l"/>
        <c:numFmt formatCode="#,##0.0" sourceLinked="1"/>
        <c:tickLblPos val="nextTo"/>
        <c:crossAx val="120245632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7"/>
  <c:chart>
    <c:plotArea>
      <c:layout/>
      <c:barChart>
        <c:barDir val="bar"/>
        <c:grouping val="clustered"/>
        <c:ser>
          <c:idx val="0"/>
          <c:order val="0"/>
          <c:dPt>
            <c:idx val="8"/>
            <c:spPr>
              <a:solidFill>
                <a:srgbClr val="92D050"/>
              </a:solidFill>
              <a:ln>
                <a:solidFill>
                  <a:schemeClr val="accent1"/>
                </a:solidFill>
              </a:ln>
            </c:spPr>
          </c:dPt>
          <c:dLbls>
            <c:dLbl>
              <c:idx val="8"/>
              <c:spPr/>
              <c:txPr>
                <a:bodyPr/>
                <a:lstStyle/>
                <a:p>
                  <a:pPr>
                    <a:defRPr sz="800" b="1"/>
                  </a:pPr>
                  <a:endParaRPr lang="fr-FR"/>
                </a:p>
              </c:txPr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Feuil1!$B$1:$B$9</c:f>
              <c:strCache>
                <c:ptCount val="9"/>
                <c:pt idx="0">
                  <c:v>Diplômes et certificats de l"enseignement fondamental</c:v>
                </c:pt>
                <c:pt idx="1">
                  <c:v>Diplômes de l"enseignement secondaire</c:v>
                </c:pt>
                <c:pt idx="2">
                  <c:v>Diplômes supérieurs délivrés par  les facultés</c:v>
                </c:pt>
                <c:pt idx="3">
                  <c:v>Diplômes sup délivrés par les écoles et instituts</c:v>
                </c:pt>
                <c:pt idx="4">
                  <c:v>Diplôme de techniciens et de cadres moyens</c:v>
                </c:pt>
                <c:pt idx="5">
                  <c:v>Diplôme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Feuil1!$C$1:$C$9</c:f>
              <c:numCache>
                <c:formatCode>###0.0</c:formatCode>
                <c:ptCount val="9"/>
                <c:pt idx="0">
                  <c:v>14.093253194506865</c:v>
                </c:pt>
                <c:pt idx="1">
                  <c:v>14.9805551305635</c:v>
                </c:pt>
                <c:pt idx="2">
                  <c:v>24.571441397124424</c:v>
                </c:pt>
                <c:pt idx="3">
                  <c:v>8.68302523956757</c:v>
                </c:pt>
                <c:pt idx="4">
                  <c:v>21.603671155232824</c:v>
                </c:pt>
                <c:pt idx="5">
                  <c:v>21.663635254877189</c:v>
                </c:pt>
                <c:pt idx="6">
                  <c:v>20.726438970606686</c:v>
                </c:pt>
                <c:pt idx="7">
                  <c:v>4.5520139343913328</c:v>
                </c:pt>
                <c:pt idx="8">
                  <c:v>9.5985693613871952</c:v>
                </c:pt>
              </c:numCache>
            </c:numRef>
          </c:val>
        </c:ser>
        <c:axId val="95151616"/>
        <c:axId val="95153152"/>
      </c:barChart>
      <c:catAx>
        <c:axId val="95151616"/>
        <c:scaling>
          <c:orientation val="minMax"/>
        </c:scaling>
        <c:axPos val="l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5153152"/>
        <c:crosses val="autoZero"/>
        <c:auto val="1"/>
        <c:lblAlgn val="ctr"/>
        <c:lblOffset val="100"/>
      </c:catAx>
      <c:valAx>
        <c:axId val="95153152"/>
        <c:scaling>
          <c:orientation val="minMax"/>
        </c:scaling>
        <c:axPos val="b"/>
        <c:majorGridlines/>
        <c:numFmt formatCode="###0.0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5151616"/>
        <c:crosses val="autoZero"/>
        <c:crossBetween val="between"/>
      </c:valAx>
    </c:plotArea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7.7724409448819004E-2"/>
          <c:y val="6.2969582789881323E-2"/>
          <c:w val="0.86394225721784912"/>
          <c:h val="0.68673009623797143"/>
        </c:manualLayout>
      </c:layout>
      <c:lineChart>
        <c:grouping val="standard"/>
        <c:ser>
          <c:idx val="0"/>
          <c:order val="0"/>
          <c:tx>
            <c:strRef>
              <c:f>T_sous_emploi!$B$3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0.10277777777777777"/>
                  <c:y val="1.851851851851855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dLbl>
              <c:idx val="1"/>
              <c:layout>
                <c:manualLayout>
                  <c:x val="-4.7222222222222325E-2"/>
                  <c:y val="0.12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dLbl>
              <c:idx val="2"/>
              <c:layout>
                <c:manualLayout>
                  <c:x val="-5.5555555555555558E-3"/>
                  <c:y val="5.555555555555545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dLbl>
              <c:idx val="3"/>
              <c:layout>
                <c:manualLayout>
                  <c:x val="-4.7222222222222325E-2"/>
                  <c:y val="5.667341117963971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dLbl>
              <c:idx val="4"/>
              <c:layout>
                <c:manualLayout>
                  <c:x val="-1.6666666666666701E-2"/>
                  <c:y val="4.953560371517030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showVal val="1"/>
          </c:dLbls>
          <c:cat>
            <c:numRef>
              <c:f>T_sous_emploi!$C$2:$G$2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T_sous_emploi!$C$3:$G$3</c:f>
              <c:numCache>
                <c:formatCode>#,##0.0</c:formatCode>
                <c:ptCount val="5"/>
                <c:pt idx="0">
                  <c:v>9.6668296362272343</c:v>
                </c:pt>
                <c:pt idx="1">
                  <c:v>8.944708941394282</c:v>
                </c:pt>
                <c:pt idx="2">
                  <c:v>8.3736106120471305</c:v>
                </c:pt>
                <c:pt idx="3">
                  <c:v>8.5751456159278536</c:v>
                </c:pt>
                <c:pt idx="4">
                  <c:v>9.6</c:v>
                </c:pt>
              </c:numCache>
            </c:numRef>
          </c:val>
        </c:ser>
        <c:ser>
          <c:idx val="1"/>
          <c:order val="1"/>
          <c:tx>
            <c:strRef>
              <c:f>T_sous_emploi!$B$4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0.11111132983377063"/>
                  <c:y val="-2.314814814814814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dLbl>
              <c:idx val="1"/>
              <c:layout>
                <c:manualLayout>
                  <c:x val="-2.7777777777777901E-2"/>
                  <c:y val="-7.40740740740740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dLbl>
              <c:idx val="3"/>
              <c:layout>
                <c:manualLayout>
                  <c:x val="-4.1666666666666664E-2"/>
                  <c:y val="-6.543120190471553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dLbl>
              <c:idx val="4"/>
              <c:layout>
                <c:manualLayout>
                  <c:x val="-1.6666666666666701E-2"/>
                  <c:y val="-4.540763673890622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showVal val="1"/>
          </c:dLbls>
          <c:cat>
            <c:numRef>
              <c:f>T_sous_emploi!$C$2:$G$2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T_sous_emploi!$C$4:$G$4</c:f>
              <c:numCache>
                <c:formatCode>#,##0.0</c:formatCode>
                <c:ptCount val="5"/>
                <c:pt idx="0">
                  <c:v>13.334696856215519</c:v>
                </c:pt>
                <c:pt idx="1">
                  <c:v>11.597954510791032</c:v>
                </c:pt>
                <c:pt idx="2">
                  <c:v>9.6238815904496704</c:v>
                </c:pt>
                <c:pt idx="3">
                  <c:v>10.297682326454742</c:v>
                </c:pt>
                <c:pt idx="4">
                  <c:v>11.6</c:v>
                </c:pt>
              </c:numCache>
            </c:numRef>
          </c:val>
        </c:ser>
        <c:ser>
          <c:idx val="2"/>
          <c:order val="2"/>
          <c:tx>
            <c:strRef>
              <c:f>T_sous_emploi!$B$5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0"/>
              <c:layout>
                <c:manualLayout>
                  <c:x val="-0.10555555555555562"/>
                  <c:y val="4.629629629629643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dLbl>
              <c:idx val="3"/>
              <c:layout>
                <c:manualLayout>
                  <c:x val="1.1111111111111221E-2"/>
                  <c:y val="-3.3023735810113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fr-FR"/>
                </a:p>
              </c:txPr>
              <c:dLblPos val="r"/>
              <c:showVal val="1"/>
            </c:dLbl>
            <c:showVal val="1"/>
          </c:dLbls>
          <c:cat>
            <c:numRef>
              <c:f>T_sous_emploi!$C$2:$G$2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T_sous_emploi!$C$5:$G$5</c:f>
              <c:numCache>
                <c:formatCode>#,##0.0</c:formatCode>
                <c:ptCount val="5"/>
                <c:pt idx="0">
                  <c:v>11.520715006162296</c:v>
                </c:pt>
                <c:pt idx="1">
                  <c:v>10.262837577602628</c:v>
                </c:pt>
                <c:pt idx="2">
                  <c:v>8.9918794449278909</c:v>
                </c:pt>
                <c:pt idx="3">
                  <c:v>9.4377905348038524</c:v>
                </c:pt>
                <c:pt idx="4">
                  <c:v>10.6</c:v>
                </c:pt>
              </c:numCache>
            </c:numRef>
          </c:val>
        </c:ser>
        <c:marker val="1"/>
        <c:axId val="96588928"/>
        <c:axId val="96590464"/>
      </c:lineChart>
      <c:catAx>
        <c:axId val="96588928"/>
        <c:scaling>
          <c:orientation val="minMax"/>
        </c:scaling>
        <c:axPos val="b"/>
        <c:numFmt formatCode="General" sourceLinked="1"/>
        <c:majorTickMark val="cross"/>
        <c:tickLblPos val="nextTo"/>
        <c:txPr>
          <a:bodyPr rot="0" vert="horz"/>
          <a:lstStyle/>
          <a:p>
            <a:pPr>
              <a:defRPr/>
            </a:pPr>
            <a:endParaRPr lang="fr-FR"/>
          </a:p>
        </c:txPr>
        <c:crossAx val="96590464"/>
        <c:crosses val="autoZero"/>
        <c:auto val="1"/>
        <c:lblAlgn val="ctr"/>
        <c:lblOffset val="100"/>
      </c:catAx>
      <c:valAx>
        <c:axId val="96590464"/>
        <c:scaling>
          <c:orientation val="minMax"/>
          <c:min val="3"/>
        </c:scaling>
        <c:delete val="1"/>
        <c:axPos val="l"/>
        <c:numFmt formatCode="#,##0.0" sourceLinked="1"/>
        <c:tickLblPos val="nextTo"/>
        <c:crossAx val="96588928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txPr>
    <a:bodyPr/>
    <a:lstStyle/>
    <a:p>
      <a:pPr>
        <a:defRPr sz="900" b="0" i="0" u="none" strike="noStrike" baseline="0">
          <a:solidFill>
            <a:srgbClr val="000000"/>
          </a:solidFill>
          <a:latin typeface="Book Antiqua" pitchFamily="18" charset="0"/>
          <a:ea typeface="Calibri"/>
          <a:cs typeface="Calibri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8.0502187226596675E-2"/>
          <c:y val="5.0167800232401423E-2"/>
          <c:w val="0.86394225721784934"/>
          <c:h val="0.68673009623797165"/>
        </c:manualLayout>
      </c:layout>
      <c:lineChart>
        <c:grouping val="standard"/>
        <c:ser>
          <c:idx val="0"/>
          <c:order val="0"/>
          <c:tx>
            <c:strRef>
              <c:f>T_sous_emploi!$B$3</c:f>
              <c:strCache>
                <c:ptCount val="1"/>
                <c:pt idx="0">
                  <c:v>Agriculture</c:v>
                </c:pt>
              </c:strCache>
            </c:strRef>
          </c:tx>
          <c:dLbls>
            <c:dLbl>
              <c:idx val="0"/>
              <c:layout>
                <c:manualLayout>
                  <c:x val="-8.0555555555555922E-2"/>
                  <c:y val="-4.752882669852028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5.0000000000000024E-2"/>
                  <c:y val="-4.8374572373499666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888888888888889E-2"/>
                  <c:y val="-5.177153165451850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6.111111111111113E-2"/>
                  <c:y val="-7.1293565084550176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1.6666666666666701E-2"/>
                  <c:y val="-3.715170278637786E-2"/>
                </c:manualLayout>
              </c:layout>
              <c:dLblPos val="r"/>
              <c:showVal val="1"/>
            </c:dLbl>
            <c:showVal val="1"/>
          </c:dLbls>
          <c:cat>
            <c:numRef>
              <c:f>T_sous_emploi!$C$2:$G$2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T_sous_emploi!$C$3:$G$3</c:f>
              <c:numCache>
                <c:formatCode>#,##0.0</c:formatCode>
                <c:ptCount val="5"/>
                <c:pt idx="0">
                  <c:v>13.278899923635715</c:v>
                </c:pt>
                <c:pt idx="1">
                  <c:v>11.053242518156461</c:v>
                </c:pt>
                <c:pt idx="2">
                  <c:v>8.7764937260847447</c:v>
                </c:pt>
                <c:pt idx="3">
                  <c:v>9.8598911220117849</c:v>
                </c:pt>
                <c:pt idx="4">
                  <c:v>10.7</c:v>
                </c:pt>
              </c:numCache>
            </c:numRef>
          </c:val>
        </c:ser>
        <c:ser>
          <c:idx val="1"/>
          <c:order val="1"/>
          <c:tx>
            <c:strRef>
              <c:f>T_sous_emploi!$B$4</c:f>
              <c:strCache>
                <c:ptCount val="1"/>
                <c:pt idx="0">
                  <c:v>Industrie</c:v>
                </c:pt>
              </c:strCache>
            </c:strRef>
          </c:tx>
          <c:dLbls>
            <c:dLbl>
              <c:idx val="0"/>
              <c:layout>
                <c:manualLayout>
                  <c:x val="-8.0555774278215267E-2"/>
                  <c:y val="5.1155261939006963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2.7777777777777922E-2"/>
                  <c:y val="4.9765079674638196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1.1111111111111139E-2"/>
                  <c:y val="4.1279669762641781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3.888888888888889E-2"/>
                  <c:y val="6.2535774359474439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8.3333333333333488E-3"/>
                  <c:y val="2.8895768833849356E-2"/>
                </c:manualLayout>
              </c:layout>
              <c:dLblPos val="r"/>
              <c:showVal val="1"/>
            </c:dLbl>
            <c:showVal val="1"/>
          </c:dLbls>
          <c:cat>
            <c:numRef>
              <c:f>T_sous_emploi!$C$2:$G$2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T_sous_emploi!$C$4:$G$4</c:f>
              <c:numCache>
                <c:formatCode>#,##0.0</c:formatCode>
                <c:ptCount val="5"/>
                <c:pt idx="0">
                  <c:v>7.5615518427120785</c:v>
                </c:pt>
                <c:pt idx="1">
                  <c:v>6.6681150458746297</c:v>
                </c:pt>
                <c:pt idx="2">
                  <c:v>7.2807297597967304</c:v>
                </c:pt>
                <c:pt idx="3">
                  <c:v>7.0420852976924015</c:v>
                </c:pt>
                <c:pt idx="4">
                  <c:v>8.2000000000000011</c:v>
                </c:pt>
              </c:numCache>
            </c:numRef>
          </c:val>
        </c:ser>
        <c:ser>
          <c:idx val="2"/>
          <c:order val="2"/>
          <c:tx>
            <c:strRef>
              <c:f>T_sous_emploi!$B$5</c:f>
              <c:strCache>
                <c:ptCount val="1"/>
                <c:pt idx="0">
                  <c:v>BTP</c:v>
                </c:pt>
              </c:strCache>
            </c:strRef>
          </c:tx>
          <c:dLbls>
            <c:dLbl>
              <c:idx val="0"/>
              <c:layout>
                <c:manualLayout>
                  <c:x val="-0.10555555555555562"/>
                  <c:y val="4.6296296296296459E-3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1.3888888888888938E-2"/>
                  <c:y val="-2.4767801857585141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1.6666666666666701E-2"/>
                  <c:y val="-3.715170278637786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1.3888888888888833E-2"/>
                  <c:y val="-5.3663570691434466E-2"/>
                </c:manualLayout>
              </c:layout>
              <c:dLblPos val="r"/>
              <c:showVal val="1"/>
            </c:dLbl>
            <c:showVal val="1"/>
          </c:dLbls>
          <c:cat>
            <c:numRef>
              <c:f>T_sous_emploi!$C$2:$G$2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T_sous_emploi!$C$5:$G$5</c:f>
              <c:numCache>
                <c:formatCode>#,##0.0</c:formatCode>
                <c:ptCount val="5"/>
                <c:pt idx="0">
                  <c:v>16.968064979698749</c:v>
                </c:pt>
                <c:pt idx="1">
                  <c:v>17.973572364458025</c:v>
                </c:pt>
                <c:pt idx="2">
                  <c:v>17.096969864920229</c:v>
                </c:pt>
                <c:pt idx="3">
                  <c:v>15.073823606158133</c:v>
                </c:pt>
                <c:pt idx="4">
                  <c:v>17.2</c:v>
                </c:pt>
              </c:numCache>
            </c:numRef>
          </c:val>
        </c:ser>
        <c:ser>
          <c:idx val="3"/>
          <c:order val="3"/>
          <c:tx>
            <c:strRef>
              <c:f>T_sous_emploi!$B$6</c:f>
              <c:strCache>
                <c:ptCount val="1"/>
                <c:pt idx="0">
                  <c:v>Services</c:v>
                </c:pt>
              </c:strCache>
            </c:strRef>
          </c:tx>
          <c:dLbls>
            <c:dLbl>
              <c:idx val="0"/>
              <c:layout>
                <c:manualLayout>
                  <c:x val="-9.4444444444444567E-2"/>
                  <c:y val="1.238390092879257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1666666666666671E-2"/>
                  <c:y val="-2.4767801857585141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1.3888888888888938E-2"/>
                  <c:y val="1.6511867905056765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0"/>
                  <c:y val="8.2559339525284242E-3"/>
                </c:manualLayout>
              </c:layout>
              <c:dLblPos val="r"/>
              <c:showVal val="1"/>
            </c:dLbl>
            <c:txPr>
              <a:bodyPr/>
              <a:lstStyle/>
              <a:p>
                <a:pPr algn="ctr" rtl="0">
                  <a:defRPr/>
                </a:pPr>
                <a:endParaRPr lang="fr-FR"/>
              </a:p>
            </c:txPr>
            <c:showVal val="1"/>
          </c:dLbls>
          <c:cat>
            <c:numRef>
              <c:f>T_sous_emploi!$C$2:$G$2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T_sous_emploi!$C$6:$G$6</c:f>
              <c:numCache>
                <c:formatCode>#,##0.0</c:formatCode>
                <c:ptCount val="5"/>
                <c:pt idx="0">
                  <c:v>9.5454141473581586</c:v>
                </c:pt>
                <c:pt idx="1">
                  <c:v>8.6804952745077077</c:v>
                </c:pt>
                <c:pt idx="2">
                  <c:v>7.8386121449153174</c:v>
                </c:pt>
                <c:pt idx="3">
                  <c:v>8.4991108506991697</c:v>
                </c:pt>
                <c:pt idx="4">
                  <c:v>9.3000000000000007</c:v>
                </c:pt>
              </c:numCache>
            </c:numRef>
          </c:val>
        </c:ser>
        <c:marker val="1"/>
        <c:axId val="96647040"/>
        <c:axId val="96648576"/>
      </c:lineChart>
      <c:catAx>
        <c:axId val="96647040"/>
        <c:scaling>
          <c:orientation val="minMax"/>
        </c:scaling>
        <c:axPos val="b"/>
        <c:numFmt formatCode="General" sourceLinked="1"/>
        <c:majorTickMark val="cross"/>
        <c:tickLblPos val="nextTo"/>
        <c:txPr>
          <a:bodyPr rot="0" vert="horz"/>
          <a:lstStyle/>
          <a:p>
            <a:pPr>
              <a:defRPr/>
            </a:pPr>
            <a:endParaRPr lang="fr-FR"/>
          </a:p>
        </c:txPr>
        <c:crossAx val="96648576"/>
        <c:crosses val="autoZero"/>
        <c:auto val="1"/>
        <c:lblAlgn val="ctr"/>
        <c:lblOffset val="100"/>
      </c:catAx>
      <c:valAx>
        <c:axId val="96648576"/>
        <c:scaling>
          <c:orientation val="minMax"/>
          <c:min val="3"/>
        </c:scaling>
        <c:delete val="1"/>
        <c:axPos val="l"/>
        <c:numFmt formatCode="#,##0.0" sourceLinked="1"/>
        <c:tickLblPos val="nextTo"/>
        <c:crossAx val="96647040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txPr>
    <a:bodyPr/>
    <a:lstStyle/>
    <a:p>
      <a:pPr>
        <a:defRPr sz="900" b="0" i="0" u="none" strike="noStrike" baseline="0">
          <a:solidFill>
            <a:srgbClr val="000000"/>
          </a:solidFill>
          <a:latin typeface="Book Antiqua" pitchFamily="18" charset="0"/>
          <a:ea typeface="Calibri"/>
          <a:cs typeface="Calibri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387C-D351-45F1-8802-69F0E39D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1657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10754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5</cp:revision>
  <dcterms:created xsi:type="dcterms:W3CDTF">2014-11-04T13:43:00Z</dcterms:created>
  <dcterms:modified xsi:type="dcterms:W3CDTF">2014-11-04T13:55:00Z</dcterms:modified>
</cp:coreProperties>
</file>