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077" w:rsidRPr="00C706A5" w:rsidRDefault="00F37422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 w:rsidRPr="00C706A5">
        <w:rPr>
          <w:rFonts w:ascii="Book Antiqua" w:hAnsi="Book Antiqua" w:cs="Times New Roman"/>
          <w:b/>
          <w:bCs/>
          <w:color w:val="000000" w:themeColor="text1"/>
        </w:rPr>
        <w:t xml:space="preserve">          </w:t>
      </w:r>
    </w:p>
    <w:p w:rsidR="000D4077" w:rsidRPr="00C706A5" w:rsidRDefault="000D4077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0D4077" w:rsidRPr="00C706A5" w:rsidRDefault="000D4077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0D4077" w:rsidRPr="00C706A5" w:rsidRDefault="000D4077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0D4077" w:rsidRPr="00C706A5" w:rsidRDefault="000D4077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9E682C" w:rsidRPr="003A4987" w:rsidRDefault="009E682C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</w:rPr>
      </w:pPr>
    </w:p>
    <w:p w:rsidR="00912704" w:rsidRPr="003A4987" w:rsidRDefault="00912704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>Note d’information</w:t>
      </w:r>
      <w:r w:rsidR="0069792B"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 du Haut-commissariat au Plan</w:t>
      </w:r>
    </w:p>
    <w:p w:rsidR="00912704" w:rsidRPr="003A4987" w:rsidRDefault="00097300" w:rsidP="00CF7444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>R</w:t>
      </w:r>
      <w:r w:rsidR="00912704"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ésultats de l’enquête de conjoncture auprès des ménages </w:t>
      </w:r>
    </w:p>
    <w:p w:rsidR="00912704" w:rsidRPr="003A4987" w:rsidRDefault="003A4987" w:rsidP="00E85462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>d</w:t>
      </w:r>
      <w:r w:rsidR="00557809"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euxième </w:t>
      </w:r>
      <w:r w:rsidR="0004211E"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>trimestre</w:t>
      </w:r>
      <w:r w:rsidR="00EE0655"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 </w:t>
      </w:r>
      <w:r w:rsidR="0004211E"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>2014</w:t>
      </w:r>
    </w:p>
    <w:p w:rsidR="004105E0" w:rsidRPr="00C706A5" w:rsidRDefault="004105E0" w:rsidP="000F7C4F">
      <w:pPr>
        <w:widowControl/>
        <w:spacing w:before="240" w:line="276" w:lineRule="auto"/>
        <w:jc w:val="both"/>
        <w:rPr>
          <w:rFonts w:ascii="Book Antiqua" w:hAnsi="Book Antiqua" w:cs="Times New Roman"/>
          <w:color w:val="000000" w:themeColor="text1"/>
          <w:sz w:val="36"/>
          <w:szCs w:val="36"/>
        </w:rPr>
      </w:pPr>
    </w:p>
    <w:p w:rsidR="00A45128" w:rsidRPr="00C706A5" w:rsidRDefault="005E2815" w:rsidP="006550AF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C706A5">
        <w:rPr>
          <w:rFonts w:ascii="Times New Roman" w:hAnsi="Times New Roman" w:cs="Times New Roman"/>
          <w:b/>
          <w:color w:val="000000" w:themeColor="text1"/>
        </w:rPr>
        <w:t xml:space="preserve">Les </w:t>
      </w:r>
      <w:r w:rsidR="00A45128" w:rsidRPr="00C706A5">
        <w:rPr>
          <w:rFonts w:ascii="Times New Roman" w:hAnsi="Times New Roman" w:cs="Times New Roman"/>
          <w:b/>
          <w:color w:val="000000" w:themeColor="text1"/>
        </w:rPr>
        <w:t xml:space="preserve">résultats de l’enquête permanente de conjoncture auprès des ménages, menée par le HCP, </w:t>
      </w:r>
      <w:r w:rsidRPr="00C706A5">
        <w:rPr>
          <w:rFonts w:ascii="Times New Roman" w:hAnsi="Times New Roman" w:cs="Times New Roman"/>
          <w:b/>
          <w:color w:val="000000" w:themeColor="text1"/>
        </w:rPr>
        <w:t xml:space="preserve">montrent que </w:t>
      </w:r>
      <w:r w:rsidR="00A45128" w:rsidRPr="00C706A5">
        <w:rPr>
          <w:rFonts w:ascii="Times New Roman" w:hAnsi="Times New Roman" w:cs="Times New Roman"/>
          <w:b/>
          <w:color w:val="000000" w:themeColor="text1"/>
        </w:rPr>
        <w:t xml:space="preserve">l’Indice de Confiance des Ménages (ICM) </w:t>
      </w:r>
      <w:r w:rsidR="00A45128"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aura enregistré, au cours du </w:t>
      </w:r>
      <w:r w:rsidR="00557809">
        <w:rPr>
          <w:rFonts w:ascii="Times New Roman" w:hAnsi="Times New Roman" w:cs="Times New Roman"/>
          <w:b/>
          <w:bCs/>
          <w:color w:val="000000" w:themeColor="text1"/>
        </w:rPr>
        <w:t xml:space="preserve">deuxième </w:t>
      </w:r>
      <w:r w:rsidR="0004211E">
        <w:rPr>
          <w:rFonts w:ascii="Times New Roman" w:hAnsi="Times New Roman" w:cs="Times New Roman"/>
          <w:b/>
          <w:bCs/>
          <w:color w:val="000000" w:themeColor="text1"/>
        </w:rPr>
        <w:t>trimestre</w:t>
      </w:r>
      <w:r w:rsidR="00EE0655"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A45128"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de </w:t>
      </w:r>
      <w:r w:rsidR="0004211E">
        <w:rPr>
          <w:rFonts w:ascii="Times New Roman" w:hAnsi="Times New Roman" w:cs="Times New Roman"/>
          <w:b/>
          <w:bCs/>
          <w:color w:val="000000" w:themeColor="text1"/>
        </w:rPr>
        <w:t>2014</w:t>
      </w:r>
      <w:r w:rsidR="00A45128"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, une </w:t>
      </w:r>
      <w:r w:rsidR="0014398F">
        <w:rPr>
          <w:rFonts w:ascii="Times New Roman" w:hAnsi="Times New Roman" w:cs="Times New Roman"/>
          <w:b/>
          <w:bCs/>
          <w:color w:val="000000" w:themeColor="text1"/>
        </w:rPr>
        <w:t xml:space="preserve">quasi stagnation </w:t>
      </w:r>
      <w:r w:rsidR="00BE5779"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par rapport au </w:t>
      </w:r>
      <w:r w:rsidR="00557809">
        <w:rPr>
          <w:rFonts w:ascii="Times New Roman" w:hAnsi="Times New Roman" w:cs="Times New Roman"/>
          <w:b/>
          <w:bCs/>
          <w:color w:val="000000" w:themeColor="text1"/>
        </w:rPr>
        <w:t>premier</w:t>
      </w:r>
      <w:r w:rsidR="00BE5779">
        <w:rPr>
          <w:rFonts w:ascii="Times New Roman" w:hAnsi="Times New Roman" w:cs="Times New Roman"/>
          <w:b/>
          <w:bCs/>
          <w:color w:val="000000" w:themeColor="text1"/>
        </w:rPr>
        <w:t xml:space="preserve"> trimestre</w:t>
      </w:r>
      <w:r w:rsidR="00BE5779"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 de </w:t>
      </w:r>
      <w:r w:rsidR="00BE5779">
        <w:rPr>
          <w:rFonts w:ascii="Times New Roman" w:hAnsi="Times New Roman" w:cs="Times New Roman"/>
          <w:b/>
          <w:bCs/>
          <w:color w:val="000000" w:themeColor="text1"/>
        </w:rPr>
        <w:t>201</w:t>
      </w:r>
      <w:r w:rsidR="006550AF">
        <w:rPr>
          <w:rFonts w:ascii="Times New Roman" w:hAnsi="Times New Roman" w:cs="Times New Roman"/>
          <w:b/>
          <w:bCs/>
          <w:color w:val="000000" w:themeColor="text1"/>
        </w:rPr>
        <w:t>4</w:t>
      </w:r>
      <w:r w:rsidR="00BE5779">
        <w:rPr>
          <w:rFonts w:ascii="Times New Roman" w:hAnsi="Times New Roman" w:cs="Times New Roman"/>
          <w:b/>
          <w:bCs/>
          <w:color w:val="000000" w:themeColor="text1"/>
        </w:rPr>
        <w:t xml:space="preserve"> et </w:t>
      </w:r>
      <w:r w:rsidR="0014398F">
        <w:rPr>
          <w:rFonts w:ascii="Times New Roman" w:hAnsi="Times New Roman" w:cs="Times New Roman"/>
          <w:b/>
          <w:bCs/>
          <w:color w:val="000000" w:themeColor="text1"/>
        </w:rPr>
        <w:t xml:space="preserve">une baisse </w:t>
      </w:r>
      <w:r w:rsidR="00BE5779">
        <w:rPr>
          <w:rFonts w:ascii="Times New Roman" w:hAnsi="Times New Roman" w:cs="Times New Roman"/>
          <w:b/>
          <w:bCs/>
          <w:color w:val="000000" w:themeColor="text1"/>
        </w:rPr>
        <w:t xml:space="preserve">de </w:t>
      </w:r>
      <w:r w:rsidR="006550AF">
        <w:rPr>
          <w:rFonts w:ascii="Times New Roman" w:hAnsi="Times New Roman" w:cs="Times New Roman"/>
          <w:b/>
          <w:bCs/>
          <w:color w:val="000000" w:themeColor="text1"/>
        </w:rPr>
        <w:t>0</w:t>
      </w:r>
      <w:r w:rsidR="00686596" w:rsidRPr="00C706A5">
        <w:rPr>
          <w:rFonts w:ascii="Times New Roman" w:hAnsi="Times New Roman" w:cs="Times New Roman"/>
          <w:b/>
          <w:bCs/>
          <w:color w:val="000000" w:themeColor="text1"/>
        </w:rPr>
        <w:t>,</w:t>
      </w:r>
      <w:r w:rsidR="006550AF">
        <w:rPr>
          <w:rFonts w:ascii="Times New Roman" w:hAnsi="Times New Roman" w:cs="Times New Roman"/>
          <w:b/>
          <w:bCs/>
          <w:color w:val="000000" w:themeColor="text1"/>
        </w:rPr>
        <w:t>3</w:t>
      </w:r>
      <w:r w:rsidR="00A45128"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 point par rapport </w:t>
      </w:r>
      <w:r w:rsidR="00BF7AFA"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à son niveau du </w:t>
      </w:r>
      <w:r w:rsidR="00557809">
        <w:rPr>
          <w:rFonts w:ascii="Times New Roman" w:hAnsi="Times New Roman" w:cs="Times New Roman"/>
          <w:b/>
          <w:bCs/>
          <w:color w:val="000000" w:themeColor="text1"/>
        </w:rPr>
        <w:t xml:space="preserve">deuxième </w:t>
      </w:r>
      <w:r w:rsidR="0004211E">
        <w:rPr>
          <w:rFonts w:ascii="Times New Roman" w:hAnsi="Times New Roman" w:cs="Times New Roman"/>
          <w:b/>
          <w:bCs/>
          <w:color w:val="000000" w:themeColor="text1"/>
        </w:rPr>
        <w:t>trimestre</w:t>
      </w:r>
      <w:r w:rsidR="00BF7AFA"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 de l’année 201</w:t>
      </w:r>
      <w:r w:rsidR="0088731E">
        <w:rPr>
          <w:rFonts w:ascii="Times New Roman" w:hAnsi="Times New Roman" w:cs="Times New Roman"/>
          <w:b/>
          <w:bCs/>
          <w:color w:val="000000" w:themeColor="text1"/>
        </w:rPr>
        <w:t>3</w:t>
      </w:r>
      <w:r w:rsidR="00A45128" w:rsidRPr="00C706A5">
        <w:rPr>
          <w:rFonts w:ascii="Times New Roman" w:hAnsi="Times New Roman" w:cs="Times New Roman"/>
          <w:b/>
          <w:bCs/>
          <w:color w:val="000000" w:themeColor="text1"/>
        </w:rPr>
        <w:t>.</w:t>
      </w:r>
    </w:p>
    <w:p w:rsidR="00F80F35" w:rsidRPr="00C706A5" w:rsidRDefault="00A45128" w:rsidP="00717A01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:rsidR="00A45128" w:rsidRPr="00C706A5" w:rsidRDefault="00CF09A5" w:rsidP="00E55FB3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>C’est ainsi qu’a</w:t>
      </w:r>
      <w:r w:rsidR="00A45128" w:rsidRPr="00C706A5">
        <w:rPr>
          <w:rFonts w:ascii="Times New Roman" w:hAnsi="Times New Roman" w:cs="Times New Roman"/>
          <w:color w:val="000000" w:themeColor="text1"/>
        </w:rPr>
        <w:t xml:space="preserve">u </w:t>
      </w:r>
      <w:r w:rsidR="00557809">
        <w:rPr>
          <w:rFonts w:ascii="Times New Roman" w:hAnsi="Times New Roman" w:cs="Times New Roman"/>
          <w:color w:val="000000" w:themeColor="text1"/>
        </w:rPr>
        <w:t xml:space="preserve">deuxième </w:t>
      </w:r>
      <w:r w:rsidR="0004211E">
        <w:rPr>
          <w:rFonts w:ascii="Times New Roman" w:hAnsi="Times New Roman" w:cs="Times New Roman"/>
          <w:color w:val="000000" w:themeColor="text1"/>
        </w:rPr>
        <w:t>trimestre</w:t>
      </w:r>
      <w:r w:rsidR="005950FE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A45128" w:rsidRPr="00C706A5">
        <w:rPr>
          <w:rFonts w:ascii="Times New Roman" w:hAnsi="Times New Roman" w:cs="Times New Roman"/>
          <w:color w:val="000000" w:themeColor="text1"/>
        </w:rPr>
        <w:t xml:space="preserve">de </w:t>
      </w:r>
      <w:r w:rsidR="0004211E">
        <w:rPr>
          <w:rFonts w:ascii="Times New Roman" w:hAnsi="Times New Roman" w:cs="Times New Roman"/>
          <w:color w:val="000000" w:themeColor="text1"/>
        </w:rPr>
        <w:t>2014</w:t>
      </w:r>
      <w:r w:rsidR="001347D2">
        <w:rPr>
          <w:rFonts w:ascii="Times New Roman" w:hAnsi="Times New Roman" w:cs="Times New Roman"/>
          <w:color w:val="000000" w:themeColor="text1"/>
        </w:rPr>
        <w:t xml:space="preserve">, l'ICM s’établit à </w:t>
      </w:r>
      <w:r w:rsidR="009C76E3" w:rsidRPr="00C706A5">
        <w:rPr>
          <w:rFonts w:ascii="Times New Roman" w:hAnsi="Times New Roman" w:cs="Times New Roman"/>
          <w:color w:val="000000" w:themeColor="text1"/>
        </w:rPr>
        <w:t>7</w:t>
      </w:r>
      <w:r w:rsidR="00F86FF5" w:rsidRPr="00C706A5">
        <w:rPr>
          <w:rFonts w:ascii="Times New Roman" w:hAnsi="Times New Roman" w:cs="Times New Roman"/>
          <w:color w:val="000000" w:themeColor="text1"/>
        </w:rPr>
        <w:t>4</w:t>
      </w:r>
      <w:r w:rsidR="009C76E3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A45128" w:rsidRPr="00C706A5">
        <w:rPr>
          <w:rFonts w:ascii="Times New Roman" w:hAnsi="Times New Roman" w:cs="Times New Roman"/>
          <w:color w:val="000000" w:themeColor="text1"/>
        </w:rPr>
        <w:t>points</w:t>
      </w:r>
      <w:r w:rsidR="007C4CD5" w:rsidRPr="00C706A5">
        <w:rPr>
          <w:rFonts w:ascii="Times New Roman" w:hAnsi="Times New Roman" w:cs="Times New Roman"/>
          <w:color w:val="000000" w:themeColor="text1"/>
        </w:rPr>
        <w:t xml:space="preserve">, </w:t>
      </w:r>
      <w:r w:rsidR="00A45128" w:rsidRPr="00C706A5">
        <w:rPr>
          <w:rFonts w:ascii="Times New Roman" w:hAnsi="Times New Roman" w:cs="Times New Roman"/>
          <w:color w:val="000000" w:themeColor="text1"/>
        </w:rPr>
        <w:t xml:space="preserve">contre </w:t>
      </w:r>
      <w:r w:rsidR="009C76E3" w:rsidRPr="00C706A5">
        <w:rPr>
          <w:rFonts w:ascii="Times New Roman" w:hAnsi="Times New Roman" w:cs="Times New Roman"/>
          <w:color w:val="000000" w:themeColor="text1"/>
        </w:rPr>
        <w:t>7</w:t>
      </w:r>
      <w:r w:rsidR="001347D2">
        <w:rPr>
          <w:rFonts w:ascii="Times New Roman" w:hAnsi="Times New Roman" w:cs="Times New Roman"/>
          <w:color w:val="000000" w:themeColor="text1"/>
        </w:rPr>
        <w:t>4</w:t>
      </w:r>
      <w:r w:rsidR="009C76E3" w:rsidRPr="00C706A5">
        <w:rPr>
          <w:rFonts w:ascii="Times New Roman" w:hAnsi="Times New Roman" w:cs="Times New Roman"/>
          <w:color w:val="000000" w:themeColor="text1"/>
        </w:rPr>
        <w:t>,</w:t>
      </w:r>
      <w:r w:rsidR="00E55FB3">
        <w:rPr>
          <w:rFonts w:ascii="Times New Roman" w:hAnsi="Times New Roman" w:cs="Times New Roman"/>
          <w:color w:val="000000" w:themeColor="text1"/>
        </w:rPr>
        <w:t>1</w:t>
      </w:r>
      <w:r w:rsidR="009C76E3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A45128" w:rsidRPr="00C706A5">
        <w:rPr>
          <w:rFonts w:ascii="Times New Roman" w:hAnsi="Times New Roman" w:cs="Times New Roman"/>
          <w:color w:val="000000" w:themeColor="text1"/>
        </w:rPr>
        <w:t>points un trimestre auparavant</w:t>
      </w:r>
      <w:r w:rsidR="005A7C0B" w:rsidRPr="00C706A5">
        <w:rPr>
          <w:rFonts w:ascii="Times New Roman" w:hAnsi="Times New Roman" w:cs="Times New Roman" w:hint="cs"/>
          <w:color w:val="000000" w:themeColor="text1"/>
          <w:rtl/>
        </w:rPr>
        <w:t xml:space="preserve"> </w:t>
      </w:r>
      <w:r w:rsidR="005A7C0B" w:rsidRPr="00C706A5">
        <w:rPr>
          <w:rFonts w:ascii="Times New Roman" w:hAnsi="Times New Roman" w:cs="Times New Roman"/>
          <w:color w:val="000000" w:themeColor="text1"/>
        </w:rPr>
        <w:t xml:space="preserve"> et</w:t>
      </w:r>
      <w:r w:rsidR="00A45128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9C76E3" w:rsidRPr="00C706A5">
        <w:rPr>
          <w:rFonts w:ascii="Times New Roman" w:hAnsi="Times New Roman" w:cs="Times New Roman"/>
          <w:color w:val="000000" w:themeColor="text1"/>
        </w:rPr>
        <w:t>7</w:t>
      </w:r>
      <w:r w:rsidR="00E55FB3">
        <w:rPr>
          <w:rFonts w:ascii="Times New Roman" w:hAnsi="Times New Roman" w:cs="Times New Roman"/>
          <w:color w:val="000000" w:themeColor="text1"/>
        </w:rPr>
        <w:t>4</w:t>
      </w:r>
      <w:r w:rsidR="00BE269D" w:rsidRPr="00C706A5">
        <w:rPr>
          <w:rFonts w:ascii="Times New Roman" w:hAnsi="Times New Roman" w:cs="Times New Roman"/>
          <w:color w:val="000000" w:themeColor="text1"/>
        </w:rPr>
        <w:t>,</w:t>
      </w:r>
      <w:r w:rsidR="00E55FB3">
        <w:rPr>
          <w:rFonts w:ascii="Times New Roman" w:hAnsi="Times New Roman" w:cs="Times New Roman"/>
          <w:color w:val="000000" w:themeColor="text1"/>
        </w:rPr>
        <w:t>3</w:t>
      </w:r>
      <w:r w:rsidR="00BE269D" w:rsidRPr="00C706A5">
        <w:rPr>
          <w:rFonts w:ascii="Times New Roman" w:hAnsi="Times New Roman" w:cs="Times New Roman"/>
          <w:color w:val="000000" w:themeColor="text1"/>
        </w:rPr>
        <w:t xml:space="preserve"> points le même trimestre de l’année passée. </w:t>
      </w:r>
    </w:p>
    <w:p w:rsidR="00430234" w:rsidRPr="00C706A5" w:rsidRDefault="00430234" w:rsidP="00BE269D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  <w:rtl/>
        </w:rPr>
      </w:pPr>
    </w:p>
    <w:p w:rsidR="00E5224B" w:rsidRPr="00C706A5" w:rsidRDefault="006E51CE" w:rsidP="001347D2">
      <w:pPr>
        <w:widowControl/>
        <w:tabs>
          <w:tab w:val="left" w:pos="567"/>
          <w:tab w:val="left" w:pos="709"/>
        </w:tabs>
        <w:spacing w:line="276" w:lineRule="auto"/>
        <w:jc w:val="center"/>
        <w:rPr>
          <w:rFonts w:ascii="Book Antiqua" w:hAnsi="Book Antiqua" w:cs="Times New Roman"/>
          <w:color w:val="000000" w:themeColor="text1"/>
        </w:rPr>
      </w:pPr>
      <w:r w:rsidRPr="006E51CE">
        <w:rPr>
          <w:rFonts w:ascii="Book Antiqua" w:hAnsi="Book Antiqua" w:cs="Times New Roman"/>
          <w:noProof/>
          <w:color w:val="000000" w:themeColor="text1"/>
        </w:rPr>
        <w:drawing>
          <wp:inline distT="0" distB="0" distL="0" distR="0">
            <wp:extent cx="6160078" cy="2640504"/>
            <wp:effectExtent l="19050" t="0" r="12122" b="7446"/>
            <wp:docPr id="3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F5E6A" w:rsidRPr="00C706A5" w:rsidRDefault="00D26D39" w:rsidP="007137CC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13767" w:rsidRPr="00C706A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</w:p>
    <w:p w:rsidR="008D3806" w:rsidRPr="00C706A5" w:rsidRDefault="006F1D72" w:rsidP="003A4987">
      <w:pPr>
        <w:pStyle w:val="Paragraphedeliste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bookmarkStart w:id="0" w:name="_Ref379209308"/>
      <w:r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Evolution des </w:t>
      </w:r>
      <w:r w:rsidR="00860E86" w:rsidRPr="00C706A5">
        <w:rPr>
          <w:rFonts w:ascii="Times New Roman" w:hAnsi="Times New Roman" w:cs="Times New Roman"/>
          <w:b/>
          <w:bCs/>
          <w:color w:val="000000" w:themeColor="text1"/>
        </w:rPr>
        <w:t>composantes de</w:t>
      </w:r>
      <w:r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 l'ICM</w:t>
      </w:r>
      <w:bookmarkEnd w:id="0"/>
    </w:p>
    <w:p w:rsidR="008D3806" w:rsidRPr="00C706A5" w:rsidRDefault="008D3806" w:rsidP="008D3806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 xml:space="preserve">Cette évolution de l’ICM est le résultat des variations de ses différentes composantes. </w:t>
      </w:r>
    </w:p>
    <w:p w:rsidR="00912704" w:rsidRPr="00C706A5" w:rsidRDefault="005B1014" w:rsidP="00E62E41">
      <w:pPr>
        <w:pStyle w:val="Paragraphedeliste"/>
        <w:numPr>
          <w:ilvl w:val="0"/>
          <w:numId w:val="8"/>
        </w:numPr>
        <w:spacing w:before="240"/>
        <w:ind w:left="142" w:hanging="142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613A81">
        <w:rPr>
          <w:rFonts w:ascii="Times New Roman" w:hAnsi="Times New Roman" w:cs="Times New Roman"/>
          <w:b/>
          <w:bCs/>
          <w:color w:val="000000" w:themeColor="text1"/>
        </w:rPr>
        <w:t>Niveau</w:t>
      </w:r>
      <w:r w:rsidR="0002532B"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 de vie</w:t>
      </w:r>
      <w:r w:rsidR="00315331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B50EDD" w:rsidRPr="00C706A5">
        <w:rPr>
          <w:rFonts w:ascii="Times New Roman" w:hAnsi="Times New Roman" w:cs="Times New Roman"/>
          <w:b/>
          <w:bCs/>
          <w:color w:val="000000" w:themeColor="text1"/>
        </w:rPr>
        <w:t>:</w:t>
      </w:r>
      <w:r w:rsidR="001B1130"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E62E41">
        <w:rPr>
          <w:rFonts w:ascii="Times New Roman" w:hAnsi="Times New Roman" w:cs="Times New Roman"/>
          <w:b/>
          <w:bCs/>
          <w:color w:val="000000" w:themeColor="text1"/>
        </w:rPr>
        <w:t>perspectives moins</w:t>
      </w:r>
      <w:r w:rsidR="002B7130">
        <w:rPr>
          <w:rFonts w:ascii="Times New Roman" w:hAnsi="Times New Roman" w:cs="Times New Roman"/>
          <w:b/>
          <w:bCs/>
          <w:color w:val="000000" w:themeColor="text1"/>
        </w:rPr>
        <w:t xml:space="preserve"> optimistes</w:t>
      </w:r>
    </w:p>
    <w:p w:rsidR="00122941" w:rsidRPr="00C706A5" w:rsidRDefault="00122941" w:rsidP="001E1901">
      <w:pPr>
        <w:widowControl/>
        <w:spacing w:before="240" w:line="276" w:lineRule="auto"/>
        <w:jc w:val="both"/>
        <w:rPr>
          <w:rFonts w:ascii="Book Antiqua" w:hAnsi="Book Antiqua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 xml:space="preserve">Les </w:t>
      </w:r>
      <w:r w:rsidR="0026748C">
        <w:rPr>
          <w:rFonts w:ascii="Times New Roman" w:hAnsi="Times New Roman" w:cs="Times New Roman"/>
          <w:color w:val="000000" w:themeColor="text1"/>
        </w:rPr>
        <w:t>opini</w:t>
      </w:r>
      <w:r w:rsidRPr="00C706A5">
        <w:rPr>
          <w:rFonts w:ascii="Times New Roman" w:hAnsi="Times New Roman" w:cs="Times New Roman"/>
          <w:color w:val="000000" w:themeColor="text1"/>
        </w:rPr>
        <w:t xml:space="preserve">ons des ménages sur l’évolution passée du niveau de vie </w:t>
      </w:r>
      <w:r w:rsidR="002E5787">
        <w:rPr>
          <w:rFonts w:ascii="Times New Roman" w:hAnsi="Times New Roman" w:cs="Times New Roman"/>
          <w:color w:val="000000" w:themeColor="text1"/>
        </w:rPr>
        <w:t>ont</w:t>
      </w:r>
      <w:r w:rsidRPr="00C706A5">
        <w:rPr>
          <w:rFonts w:ascii="Times New Roman" w:hAnsi="Times New Roman" w:cs="Times New Roman"/>
          <w:color w:val="000000" w:themeColor="text1"/>
        </w:rPr>
        <w:t xml:space="preserve"> connu, au </w:t>
      </w:r>
      <w:r w:rsidR="00557809">
        <w:rPr>
          <w:rFonts w:ascii="Times New Roman" w:hAnsi="Times New Roman" w:cs="Times New Roman"/>
          <w:color w:val="000000" w:themeColor="text1"/>
        </w:rPr>
        <w:t xml:space="preserve">deuxième </w:t>
      </w:r>
      <w:r w:rsidR="0004211E">
        <w:rPr>
          <w:rFonts w:ascii="Times New Roman" w:hAnsi="Times New Roman" w:cs="Times New Roman"/>
          <w:color w:val="000000" w:themeColor="text1"/>
        </w:rPr>
        <w:t>trimestre</w:t>
      </w:r>
      <w:r w:rsidRPr="00C706A5">
        <w:rPr>
          <w:rFonts w:ascii="Times New Roman" w:hAnsi="Times New Roman" w:cs="Times New Roman"/>
          <w:color w:val="000000" w:themeColor="text1"/>
        </w:rPr>
        <w:t xml:space="preserve"> de </w:t>
      </w:r>
      <w:r w:rsidR="0004211E">
        <w:rPr>
          <w:rFonts w:ascii="Times New Roman" w:hAnsi="Times New Roman" w:cs="Times New Roman"/>
          <w:color w:val="000000" w:themeColor="text1"/>
        </w:rPr>
        <w:t>2014</w:t>
      </w:r>
      <w:r w:rsidRPr="00C706A5">
        <w:rPr>
          <w:rFonts w:ascii="Times New Roman" w:hAnsi="Times New Roman" w:cs="Times New Roman"/>
          <w:color w:val="000000" w:themeColor="text1"/>
        </w:rPr>
        <w:t xml:space="preserve">, une amélioration aussi bien par rapport au trimestre précédent qu’au même trimestre de l’année </w:t>
      </w:r>
      <w:r w:rsidR="00D46521" w:rsidRPr="00C706A5">
        <w:rPr>
          <w:rFonts w:ascii="Times New Roman" w:hAnsi="Times New Roman" w:cs="Times New Roman"/>
          <w:color w:val="000000" w:themeColor="text1"/>
        </w:rPr>
        <w:t>201</w:t>
      </w:r>
      <w:r w:rsidR="00FF44FD">
        <w:rPr>
          <w:rFonts w:ascii="Times New Roman" w:hAnsi="Times New Roman" w:cs="Times New Roman"/>
          <w:color w:val="000000" w:themeColor="text1"/>
        </w:rPr>
        <w:t>3</w:t>
      </w:r>
      <w:r w:rsidRPr="00C706A5">
        <w:rPr>
          <w:rFonts w:ascii="Times New Roman" w:hAnsi="Times New Roman" w:cs="Times New Roman"/>
          <w:color w:val="000000" w:themeColor="text1"/>
        </w:rPr>
        <w:t xml:space="preserve">. </w:t>
      </w:r>
      <w:r w:rsidR="00137D7D" w:rsidRPr="00C706A5">
        <w:rPr>
          <w:rFonts w:ascii="Times New Roman" w:hAnsi="Times New Roman" w:cs="Times New Roman"/>
          <w:color w:val="000000" w:themeColor="text1"/>
        </w:rPr>
        <w:t>Le</w:t>
      </w:r>
      <w:r w:rsidRPr="00C706A5">
        <w:rPr>
          <w:rFonts w:ascii="Times New Roman" w:hAnsi="Times New Roman" w:cs="Times New Roman"/>
          <w:color w:val="000000" w:themeColor="text1"/>
        </w:rPr>
        <w:t xml:space="preserve"> solde relatif à cet indicateur</w:t>
      </w:r>
      <w:r w:rsidR="002E5787">
        <w:rPr>
          <w:rFonts w:ascii="Times New Roman" w:hAnsi="Times New Roman" w:cs="Times New Roman"/>
          <w:color w:val="000000" w:themeColor="text1"/>
        </w:rPr>
        <w:t>,</w:t>
      </w:r>
      <w:r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0749D1">
        <w:rPr>
          <w:rFonts w:ascii="Times New Roman" w:hAnsi="Times New Roman" w:cs="Times New Roman"/>
          <w:color w:val="000000" w:themeColor="text1"/>
        </w:rPr>
        <w:t xml:space="preserve">qui </w:t>
      </w:r>
      <w:r w:rsidR="0041160A">
        <w:rPr>
          <w:rFonts w:ascii="Times New Roman" w:hAnsi="Times New Roman" w:cs="Times New Roman"/>
          <w:color w:val="000000" w:themeColor="text1"/>
        </w:rPr>
        <w:t xml:space="preserve">continue sa tendance </w:t>
      </w:r>
      <w:r w:rsidR="002E5787">
        <w:rPr>
          <w:rFonts w:ascii="Times New Roman" w:hAnsi="Times New Roman" w:cs="Times New Roman"/>
          <w:color w:val="000000" w:themeColor="text1"/>
        </w:rPr>
        <w:t>hauss</w:t>
      </w:r>
      <w:r w:rsidR="0041160A">
        <w:rPr>
          <w:rFonts w:ascii="Times New Roman" w:hAnsi="Times New Roman" w:cs="Times New Roman"/>
          <w:color w:val="000000" w:themeColor="text1"/>
        </w:rPr>
        <w:t xml:space="preserve">ière entamée depuis </w:t>
      </w:r>
      <w:r w:rsidR="001760CB">
        <w:rPr>
          <w:rFonts w:ascii="Times New Roman" w:hAnsi="Times New Roman" w:cs="Times New Roman"/>
          <w:color w:val="000000" w:themeColor="text1"/>
        </w:rPr>
        <w:t>le premier trimestre de 2013</w:t>
      </w:r>
      <w:r w:rsidR="00485A63">
        <w:rPr>
          <w:rFonts w:ascii="Times New Roman" w:hAnsi="Times New Roman" w:cs="Times New Roman"/>
          <w:color w:val="000000" w:themeColor="text1"/>
        </w:rPr>
        <w:t>,</w:t>
      </w:r>
      <w:r w:rsidR="00485A63" w:rsidRPr="00C706A5">
        <w:rPr>
          <w:rFonts w:ascii="Times New Roman" w:hAnsi="Times New Roman" w:cs="Times New Roman"/>
          <w:color w:val="000000" w:themeColor="text1"/>
        </w:rPr>
        <w:t xml:space="preserve"> gagne</w:t>
      </w:r>
      <w:r w:rsidR="00E030B1">
        <w:rPr>
          <w:rFonts w:ascii="Times New Roman" w:hAnsi="Times New Roman" w:cs="Times New Roman"/>
          <w:color w:val="000000" w:themeColor="text1"/>
        </w:rPr>
        <w:t xml:space="preserve"> </w:t>
      </w:r>
      <w:r w:rsidR="001760CB">
        <w:rPr>
          <w:rFonts w:ascii="Times New Roman" w:hAnsi="Times New Roman" w:cs="Times New Roman"/>
          <w:color w:val="000000" w:themeColor="text1"/>
        </w:rPr>
        <w:t>0</w:t>
      </w:r>
      <w:r w:rsidRPr="00C706A5">
        <w:rPr>
          <w:rFonts w:ascii="Times New Roman" w:hAnsi="Times New Roman" w:cs="Times New Roman"/>
          <w:color w:val="000000" w:themeColor="text1"/>
        </w:rPr>
        <w:t>,</w:t>
      </w:r>
      <w:r w:rsidR="001E1901">
        <w:rPr>
          <w:rFonts w:ascii="Times New Roman" w:hAnsi="Times New Roman" w:cs="Times New Roman"/>
          <w:color w:val="000000" w:themeColor="text1"/>
        </w:rPr>
        <w:t>4</w:t>
      </w:r>
      <w:r w:rsidRPr="00C706A5">
        <w:rPr>
          <w:rFonts w:ascii="Times New Roman" w:hAnsi="Times New Roman" w:cs="Times New Roman"/>
          <w:color w:val="000000" w:themeColor="text1"/>
        </w:rPr>
        <w:t xml:space="preserve"> point et </w:t>
      </w:r>
      <w:r w:rsidR="001760CB">
        <w:rPr>
          <w:rFonts w:ascii="Times New Roman" w:hAnsi="Times New Roman" w:cs="Times New Roman"/>
          <w:color w:val="000000" w:themeColor="text1"/>
        </w:rPr>
        <w:t>5</w:t>
      </w:r>
      <w:r w:rsidRPr="00C706A5">
        <w:rPr>
          <w:rFonts w:ascii="Times New Roman" w:hAnsi="Times New Roman" w:cs="Times New Roman"/>
          <w:color w:val="000000" w:themeColor="text1"/>
        </w:rPr>
        <w:t>,</w:t>
      </w:r>
      <w:r w:rsidR="001760CB">
        <w:rPr>
          <w:rFonts w:ascii="Times New Roman" w:hAnsi="Times New Roman" w:cs="Times New Roman"/>
          <w:color w:val="000000" w:themeColor="text1"/>
        </w:rPr>
        <w:t>4</w:t>
      </w:r>
      <w:r w:rsidRPr="00C706A5">
        <w:rPr>
          <w:rFonts w:ascii="Times New Roman" w:hAnsi="Times New Roman" w:cs="Times New Roman"/>
          <w:color w:val="000000" w:themeColor="text1"/>
        </w:rPr>
        <w:t xml:space="preserve"> points</w:t>
      </w:r>
      <w:r w:rsidR="00354A18" w:rsidRPr="00C706A5">
        <w:rPr>
          <w:rFonts w:ascii="Times New Roman" w:hAnsi="Times New Roman" w:cs="Times New Roman"/>
          <w:color w:val="000000" w:themeColor="text1"/>
        </w:rPr>
        <w:t xml:space="preserve"> durant ces deux périodes </w:t>
      </w:r>
      <w:r w:rsidR="00862AF0" w:rsidRPr="00C706A5">
        <w:rPr>
          <w:rFonts w:ascii="Times New Roman" w:hAnsi="Times New Roman" w:cs="Times New Roman"/>
          <w:color w:val="000000" w:themeColor="text1"/>
        </w:rPr>
        <w:t>respectives</w:t>
      </w:r>
      <w:r w:rsidRPr="00C706A5">
        <w:rPr>
          <w:rFonts w:ascii="Times New Roman" w:hAnsi="Times New Roman" w:cs="Times New Roman"/>
          <w:color w:val="000000" w:themeColor="text1"/>
        </w:rPr>
        <w:t>.</w:t>
      </w:r>
    </w:p>
    <w:p w:rsidR="00761A82" w:rsidRPr="00C706A5" w:rsidRDefault="00E94716" w:rsidP="000A0177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>Inversement, l</w:t>
      </w:r>
      <w:r w:rsidRPr="00C706A5">
        <w:rPr>
          <w:rFonts w:ascii="Times New Roman" w:hAnsi="Times New Roman" w:cs="Times New Roman"/>
          <w:color w:val="000000" w:themeColor="text1"/>
        </w:rPr>
        <w:t>e</w:t>
      </w:r>
      <w:r w:rsidR="00897342">
        <w:rPr>
          <w:rFonts w:ascii="Times New Roman" w:hAnsi="Times New Roman" w:cs="Times New Roman"/>
          <w:color w:val="000000" w:themeColor="text1"/>
        </w:rPr>
        <w:t xml:space="preserve">s perceptions des ménages relatives à l’évolution future </w:t>
      </w:r>
      <w:r w:rsidR="00897342" w:rsidRPr="00C706A5">
        <w:rPr>
          <w:rFonts w:ascii="Times New Roman" w:hAnsi="Times New Roman" w:cs="Times New Roman"/>
          <w:color w:val="000000" w:themeColor="text1"/>
        </w:rPr>
        <w:t>de niveau de vie</w:t>
      </w:r>
      <w:r w:rsidR="00897342">
        <w:rPr>
          <w:rFonts w:ascii="Times New Roman" w:hAnsi="Times New Roman" w:cs="Times New Roman"/>
          <w:color w:val="000000" w:themeColor="text1"/>
        </w:rPr>
        <w:t xml:space="preserve"> se </w:t>
      </w:r>
      <w:r w:rsidR="00266110">
        <w:rPr>
          <w:rFonts w:ascii="Times New Roman" w:hAnsi="Times New Roman" w:cs="Times New Roman"/>
          <w:color w:val="000000" w:themeColor="text1"/>
        </w:rPr>
        <w:t xml:space="preserve">sont </w:t>
      </w:r>
      <w:r w:rsidR="00897342">
        <w:rPr>
          <w:rFonts w:ascii="Times New Roman" w:hAnsi="Times New Roman" w:cs="Times New Roman"/>
          <w:color w:val="000000" w:themeColor="text1"/>
        </w:rPr>
        <w:t>dégrad</w:t>
      </w:r>
      <w:r w:rsidR="00266110">
        <w:rPr>
          <w:rFonts w:ascii="Times New Roman" w:hAnsi="Times New Roman" w:cs="Times New Roman"/>
          <w:color w:val="000000" w:themeColor="text1"/>
        </w:rPr>
        <w:t>ées</w:t>
      </w:r>
      <w:r w:rsidR="00897342">
        <w:rPr>
          <w:rFonts w:ascii="Times New Roman" w:hAnsi="Times New Roman" w:cs="Times New Roman"/>
          <w:color w:val="000000" w:themeColor="text1"/>
        </w:rPr>
        <w:t xml:space="preserve">. Le </w:t>
      </w:r>
      <w:r w:rsidRPr="00C706A5">
        <w:rPr>
          <w:rFonts w:ascii="Times New Roman" w:hAnsi="Times New Roman" w:cs="Times New Roman"/>
          <w:color w:val="000000" w:themeColor="text1"/>
        </w:rPr>
        <w:t xml:space="preserve">solde </w:t>
      </w:r>
      <w:r w:rsidR="00897342">
        <w:rPr>
          <w:rFonts w:ascii="Times New Roman" w:hAnsi="Times New Roman" w:cs="Times New Roman"/>
          <w:color w:val="000000" w:themeColor="text1"/>
        </w:rPr>
        <w:t xml:space="preserve">synthétisant cet indicateur </w:t>
      </w:r>
      <w:r w:rsidR="004A590B" w:rsidRPr="00C706A5">
        <w:rPr>
          <w:rFonts w:ascii="Times New Roman" w:hAnsi="Times New Roman" w:cs="Times New Roman"/>
          <w:color w:val="000000" w:themeColor="text1"/>
        </w:rPr>
        <w:t>enregistre</w:t>
      </w:r>
      <w:r w:rsidR="00897342">
        <w:rPr>
          <w:rFonts w:ascii="Times New Roman" w:hAnsi="Times New Roman" w:cs="Times New Roman"/>
          <w:color w:val="000000" w:themeColor="text1"/>
        </w:rPr>
        <w:t>,</w:t>
      </w:r>
      <w:r w:rsidR="004A590B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897342">
        <w:rPr>
          <w:rFonts w:ascii="Times New Roman" w:hAnsi="Times New Roman" w:cs="Times New Roman"/>
          <w:color w:val="000000" w:themeColor="text1"/>
        </w:rPr>
        <w:t xml:space="preserve">en effet, </w:t>
      </w:r>
      <w:r w:rsidR="00753AB7" w:rsidRPr="00C706A5">
        <w:rPr>
          <w:rFonts w:ascii="Times New Roman" w:hAnsi="Times New Roman" w:cs="Times New Roman"/>
          <w:color w:val="000000" w:themeColor="text1"/>
        </w:rPr>
        <w:t xml:space="preserve">une </w:t>
      </w:r>
      <w:r w:rsidR="00F86EAC" w:rsidRPr="00C706A5">
        <w:rPr>
          <w:rFonts w:ascii="Times New Roman" w:hAnsi="Times New Roman" w:cs="Times New Roman"/>
          <w:color w:val="000000" w:themeColor="text1"/>
        </w:rPr>
        <w:t>baisse</w:t>
      </w:r>
      <w:r w:rsidR="00753AB7" w:rsidRPr="00C706A5">
        <w:rPr>
          <w:rFonts w:ascii="Times New Roman" w:hAnsi="Times New Roman" w:cs="Times New Roman"/>
          <w:color w:val="000000" w:themeColor="text1"/>
        </w:rPr>
        <w:t xml:space="preserve"> de </w:t>
      </w:r>
      <w:r w:rsidR="000A0177">
        <w:rPr>
          <w:rFonts w:ascii="Times New Roman" w:hAnsi="Times New Roman" w:cs="Times New Roman"/>
          <w:color w:val="000000" w:themeColor="text1"/>
        </w:rPr>
        <w:t>1</w:t>
      </w:r>
      <w:r w:rsidR="00753AB7" w:rsidRPr="00C706A5">
        <w:rPr>
          <w:rFonts w:ascii="Times New Roman" w:hAnsi="Times New Roman" w:cs="Times New Roman"/>
          <w:color w:val="000000" w:themeColor="text1"/>
        </w:rPr>
        <w:t>,</w:t>
      </w:r>
      <w:r w:rsidR="000A0177">
        <w:rPr>
          <w:rFonts w:ascii="Times New Roman" w:hAnsi="Times New Roman" w:cs="Times New Roman"/>
          <w:color w:val="000000" w:themeColor="text1"/>
        </w:rPr>
        <w:t>7</w:t>
      </w:r>
      <w:r w:rsidR="00753AB7" w:rsidRPr="00C706A5">
        <w:rPr>
          <w:rFonts w:ascii="Times New Roman" w:hAnsi="Times New Roman" w:cs="Times New Roman"/>
          <w:color w:val="000000" w:themeColor="text1"/>
        </w:rPr>
        <w:t xml:space="preserve"> point</w:t>
      </w:r>
      <w:r w:rsidR="00761A82" w:rsidRPr="00C706A5">
        <w:rPr>
          <w:rFonts w:ascii="Times New Roman" w:hAnsi="Times New Roman" w:cs="Times New Roman"/>
          <w:color w:val="000000" w:themeColor="text1"/>
        </w:rPr>
        <w:t xml:space="preserve"> p</w:t>
      </w:r>
      <w:r w:rsidR="00C077F1" w:rsidRPr="00C706A5">
        <w:rPr>
          <w:rFonts w:ascii="Times New Roman" w:hAnsi="Times New Roman" w:cs="Times New Roman"/>
          <w:color w:val="000000" w:themeColor="text1"/>
        </w:rPr>
        <w:t>ar rapport</w:t>
      </w:r>
      <w:r w:rsidR="00761A82" w:rsidRPr="00C706A5">
        <w:rPr>
          <w:rFonts w:ascii="Times New Roman" w:hAnsi="Times New Roman" w:cs="Times New Roman"/>
          <w:color w:val="000000" w:themeColor="text1"/>
        </w:rPr>
        <w:t xml:space="preserve"> au trimestre précédent </w:t>
      </w:r>
      <w:r w:rsidR="00F625E1" w:rsidRPr="00C706A5">
        <w:rPr>
          <w:rFonts w:ascii="Times New Roman" w:hAnsi="Times New Roman" w:cs="Times New Roman"/>
          <w:color w:val="000000" w:themeColor="text1"/>
        </w:rPr>
        <w:t>et</w:t>
      </w:r>
      <w:r w:rsidR="00761A82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F86EAC" w:rsidRPr="00C706A5">
        <w:rPr>
          <w:rFonts w:ascii="Times New Roman" w:hAnsi="Times New Roman" w:cs="Times New Roman"/>
          <w:color w:val="000000" w:themeColor="text1"/>
        </w:rPr>
        <w:t xml:space="preserve">de </w:t>
      </w:r>
      <w:r w:rsidR="000A0177">
        <w:rPr>
          <w:rFonts w:ascii="Times New Roman" w:hAnsi="Times New Roman" w:cs="Times New Roman"/>
          <w:color w:val="000000" w:themeColor="text1"/>
        </w:rPr>
        <w:t>8,9</w:t>
      </w:r>
      <w:r w:rsidR="00F86EAC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761A82" w:rsidRPr="00C706A5">
        <w:rPr>
          <w:rFonts w:ascii="Times New Roman" w:hAnsi="Times New Roman" w:cs="Times New Roman"/>
          <w:color w:val="000000" w:themeColor="text1"/>
        </w:rPr>
        <w:t>point</w:t>
      </w:r>
      <w:r w:rsidR="00F86EAC" w:rsidRPr="00C706A5">
        <w:rPr>
          <w:rFonts w:ascii="Times New Roman" w:hAnsi="Times New Roman" w:cs="Times New Roman"/>
          <w:color w:val="000000" w:themeColor="text1"/>
        </w:rPr>
        <w:t>s</w:t>
      </w:r>
      <w:r w:rsidR="00761A82" w:rsidRPr="00C706A5">
        <w:rPr>
          <w:rFonts w:ascii="Times New Roman" w:hAnsi="Times New Roman" w:cs="Times New Roman"/>
          <w:color w:val="000000" w:themeColor="text1"/>
        </w:rPr>
        <w:t xml:space="preserve"> par rapport à la même période de </w:t>
      </w:r>
      <w:r w:rsidR="00FF44FD">
        <w:rPr>
          <w:rFonts w:ascii="Times New Roman" w:hAnsi="Times New Roman" w:cs="Times New Roman"/>
          <w:color w:val="000000" w:themeColor="text1"/>
        </w:rPr>
        <w:t>2013</w:t>
      </w:r>
      <w:r w:rsidR="00761A82" w:rsidRPr="00C706A5">
        <w:rPr>
          <w:rFonts w:ascii="Times New Roman" w:hAnsi="Times New Roman" w:cs="Times New Roman"/>
          <w:color w:val="000000" w:themeColor="text1"/>
        </w:rPr>
        <w:t>.</w:t>
      </w:r>
    </w:p>
    <w:p w:rsidR="00DB5B40" w:rsidRPr="00C706A5" w:rsidRDefault="00DB5B40" w:rsidP="00DB5B40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92695A" w:rsidRPr="00C706A5" w:rsidRDefault="0081223B" w:rsidP="004660F5">
      <w:pPr>
        <w:widowControl/>
        <w:spacing w:line="276" w:lineRule="auto"/>
        <w:jc w:val="center"/>
        <w:rPr>
          <w:rFonts w:ascii="Book Antiqua" w:hAnsi="Book Antiqua" w:cs="Times New Roman"/>
          <w:color w:val="000000" w:themeColor="text1"/>
          <w:rtl/>
        </w:rPr>
      </w:pPr>
      <w:r w:rsidRPr="0081223B">
        <w:rPr>
          <w:rFonts w:ascii="Book Antiqua" w:hAnsi="Book Antiqua" w:cs="Times New Roman"/>
          <w:noProof/>
          <w:color w:val="000000" w:themeColor="text1"/>
        </w:rPr>
        <w:drawing>
          <wp:inline distT="0" distB="0" distL="0" distR="0">
            <wp:extent cx="6028459" cy="2856519"/>
            <wp:effectExtent l="19050" t="0" r="10391" b="981"/>
            <wp:docPr id="4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D1AAF" w:rsidRPr="00C706A5" w:rsidRDefault="008D1AAF" w:rsidP="0023094A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2C5954" w:rsidRPr="00C706A5" w:rsidRDefault="002C5954" w:rsidP="003E3A1D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• </w:t>
      </w:r>
      <w:r w:rsidR="006F0E4F" w:rsidRPr="00C706A5">
        <w:rPr>
          <w:rFonts w:ascii="Times New Roman" w:hAnsi="Times New Roman" w:cs="Times New Roman"/>
          <w:b/>
          <w:bCs/>
          <w:color w:val="000000" w:themeColor="text1"/>
        </w:rPr>
        <w:t>C</w:t>
      </w:r>
      <w:r w:rsidR="000A40C3"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hômage : </w:t>
      </w:r>
      <w:r w:rsidR="001E1901">
        <w:rPr>
          <w:rFonts w:ascii="Times New Roman" w:hAnsi="Times New Roman" w:cs="Times New Roman"/>
          <w:b/>
          <w:bCs/>
          <w:color w:val="000000" w:themeColor="text1"/>
        </w:rPr>
        <w:t>anticipation d’</w:t>
      </w:r>
      <w:r w:rsidR="000836A6">
        <w:rPr>
          <w:rFonts w:ascii="Times New Roman" w:hAnsi="Times New Roman" w:cs="Times New Roman"/>
          <w:b/>
          <w:bCs/>
          <w:color w:val="000000" w:themeColor="text1"/>
        </w:rPr>
        <w:t>une hausse</w:t>
      </w:r>
      <w:r w:rsidR="00DC5A31" w:rsidRPr="00DC5A31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3E3A1D">
        <w:rPr>
          <w:rFonts w:ascii="Times New Roman" w:hAnsi="Times New Roman" w:cs="Times New Roman"/>
          <w:b/>
          <w:bCs/>
          <w:color w:val="000000" w:themeColor="text1"/>
        </w:rPr>
        <w:t xml:space="preserve">moins prononcée </w:t>
      </w:r>
    </w:p>
    <w:p w:rsidR="00E6458A" w:rsidRDefault="00C553B5" w:rsidP="001E1901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 xml:space="preserve">Au </w:t>
      </w:r>
      <w:r w:rsidR="00557809">
        <w:rPr>
          <w:rFonts w:ascii="Times New Roman" w:hAnsi="Times New Roman" w:cs="Times New Roman"/>
          <w:color w:val="000000" w:themeColor="text1"/>
        </w:rPr>
        <w:t xml:space="preserve">deuxième </w:t>
      </w:r>
      <w:r w:rsidR="0004211E">
        <w:rPr>
          <w:rFonts w:ascii="Times New Roman" w:hAnsi="Times New Roman" w:cs="Times New Roman"/>
          <w:color w:val="000000" w:themeColor="text1"/>
        </w:rPr>
        <w:t>trimestre</w:t>
      </w:r>
      <w:r w:rsidRPr="00C706A5">
        <w:rPr>
          <w:rFonts w:ascii="Times New Roman" w:hAnsi="Times New Roman" w:cs="Times New Roman"/>
          <w:color w:val="000000" w:themeColor="text1"/>
        </w:rPr>
        <w:t xml:space="preserve"> de </w:t>
      </w:r>
      <w:r w:rsidR="0004211E">
        <w:rPr>
          <w:rFonts w:ascii="Times New Roman" w:hAnsi="Times New Roman" w:cs="Times New Roman"/>
          <w:color w:val="000000" w:themeColor="text1"/>
        </w:rPr>
        <w:t>2014</w:t>
      </w:r>
      <w:r w:rsidRPr="00C706A5">
        <w:rPr>
          <w:rFonts w:ascii="Times New Roman" w:hAnsi="Times New Roman" w:cs="Times New Roman"/>
          <w:color w:val="000000" w:themeColor="text1"/>
        </w:rPr>
        <w:t>, 7</w:t>
      </w:r>
      <w:r w:rsidR="008577BA">
        <w:rPr>
          <w:rFonts w:ascii="Times New Roman" w:hAnsi="Times New Roman" w:cs="Times New Roman"/>
          <w:color w:val="000000" w:themeColor="text1"/>
        </w:rPr>
        <w:t>5</w:t>
      </w:r>
      <w:r w:rsidR="0064120B" w:rsidRPr="00C706A5">
        <w:rPr>
          <w:rFonts w:ascii="Times New Roman" w:hAnsi="Times New Roman" w:cs="Times New Roman"/>
          <w:color w:val="000000" w:themeColor="text1"/>
        </w:rPr>
        <w:t>,</w:t>
      </w:r>
      <w:r w:rsidR="008577BA">
        <w:rPr>
          <w:rFonts w:ascii="Times New Roman" w:hAnsi="Times New Roman" w:cs="Times New Roman"/>
          <w:color w:val="000000" w:themeColor="text1"/>
        </w:rPr>
        <w:t>2</w:t>
      </w:r>
      <w:r w:rsidRPr="00C706A5">
        <w:rPr>
          <w:rFonts w:ascii="Times New Roman" w:hAnsi="Times New Roman" w:cs="Times New Roman"/>
          <w:color w:val="000000" w:themeColor="text1"/>
        </w:rPr>
        <w:t xml:space="preserve">% des ménages anticipent une hausse du nombre de chômeurs pour les 12 mois à venir contre </w:t>
      </w:r>
      <w:r w:rsidR="001B69A3">
        <w:rPr>
          <w:rFonts w:ascii="Times New Roman" w:hAnsi="Times New Roman" w:cs="Times New Roman"/>
          <w:color w:val="000000" w:themeColor="text1"/>
        </w:rPr>
        <w:t>7</w:t>
      </w:r>
      <w:r w:rsidR="008577BA">
        <w:rPr>
          <w:rFonts w:ascii="Times New Roman" w:hAnsi="Times New Roman" w:cs="Times New Roman"/>
          <w:color w:val="000000" w:themeColor="text1"/>
        </w:rPr>
        <w:t>7</w:t>
      </w:r>
      <w:r w:rsidR="001B69A3">
        <w:rPr>
          <w:rFonts w:ascii="Times New Roman" w:hAnsi="Times New Roman" w:cs="Times New Roman"/>
          <w:color w:val="000000" w:themeColor="text1"/>
        </w:rPr>
        <w:t>,4</w:t>
      </w:r>
      <w:r w:rsidR="00842AB8" w:rsidRPr="00C706A5">
        <w:rPr>
          <w:rFonts w:ascii="Times New Roman" w:hAnsi="Times New Roman" w:cs="Times New Roman"/>
          <w:color w:val="000000" w:themeColor="text1"/>
        </w:rPr>
        <w:t xml:space="preserve">% un trimestre auparavant et </w:t>
      </w:r>
      <w:r w:rsidR="0064120B" w:rsidRPr="00C706A5">
        <w:rPr>
          <w:rFonts w:ascii="Times New Roman" w:hAnsi="Times New Roman" w:cs="Times New Roman"/>
          <w:color w:val="000000" w:themeColor="text1"/>
        </w:rPr>
        <w:t>7</w:t>
      </w:r>
      <w:r w:rsidR="008577BA">
        <w:rPr>
          <w:rFonts w:ascii="Times New Roman" w:hAnsi="Times New Roman" w:cs="Times New Roman"/>
          <w:color w:val="000000" w:themeColor="text1"/>
        </w:rPr>
        <w:t>6</w:t>
      </w:r>
      <w:r w:rsidR="00842AB8" w:rsidRPr="00C706A5">
        <w:rPr>
          <w:rFonts w:ascii="Times New Roman" w:hAnsi="Times New Roman" w:cs="Times New Roman"/>
          <w:color w:val="000000" w:themeColor="text1"/>
        </w:rPr>
        <w:t>,</w:t>
      </w:r>
      <w:r w:rsidR="008577BA">
        <w:rPr>
          <w:rFonts w:ascii="Times New Roman" w:hAnsi="Times New Roman" w:cs="Times New Roman"/>
          <w:color w:val="000000" w:themeColor="text1"/>
        </w:rPr>
        <w:t>7</w:t>
      </w:r>
      <w:r w:rsidR="00842AB8" w:rsidRPr="00C706A5">
        <w:rPr>
          <w:rFonts w:ascii="Times New Roman" w:hAnsi="Times New Roman" w:cs="Times New Roman"/>
          <w:color w:val="000000" w:themeColor="text1"/>
        </w:rPr>
        <w:t xml:space="preserve">% un an auparavant. </w:t>
      </w:r>
      <w:r w:rsidR="00B600A7">
        <w:rPr>
          <w:rFonts w:ascii="Times New Roman" w:hAnsi="Times New Roman" w:cs="Times New Roman"/>
          <w:color w:val="000000" w:themeColor="text1"/>
        </w:rPr>
        <w:t>Ainsi, l</w:t>
      </w:r>
      <w:r w:rsidR="00003F54" w:rsidRPr="00C706A5">
        <w:rPr>
          <w:rFonts w:ascii="Times New Roman" w:hAnsi="Times New Roman" w:cs="Times New Roman"/>
          <w:color w:val="000000" w:themeColor="text1"/>
        </w:rPr>
        <w:t xml:space="preserve">e solde de cet indicateur </w:t>
      </w:r>
      <w:r w:rsidR="009A19F3" w:rsidRPr="00C706A5">
        <w:rPr>
          <w:rFonts w:ascii="Times New Roman" w:hAnsi="Times New Roman" w:cs="Times New Roman"/>
          <w:color w:val="000000" w:themeColor="text1"/>
        </w:rPr>
        <w:t>qui s’établi</w:t>
      </w:r>
      <w:r w:rsidR="00B600A7">
        <w:rPr>
          <w:rFonts w:ascii="Times New Roman" w:hAnsi="Times New Roman" w:cs="Times New Roman"/>
          <w:color w:val="000000" w:themeColor="text1"/>
        </w:rPr>
        <w:t xml:space="preserve">ssait </w:t>
      </w:r>
      <w:r w:rsidR="001F5D34" w:rsidRPr="00C706A5">
        <w:rPr>
          <w:rFonts w:ascii="Times New Roman" w:hAnsi="Times New Roman" w:cs="Times New Roman"/>
          <w:color w:val="000000" w:themeColor="text1"/>
        </w:rPr>
        <w:t xml:space="preserve">à </w:t>
      </w:r>
      <w:r w:rsidR="00B600A7">
        <w:rPr>
          <w:rFonts w:ascii="Times New Roman" w:hAnsi="Times New Roman" w:cs="Times New Roman"/>
          <w:color w:val="000000" w:themeColor="text1"/>
        </w:rPr>
        <w:t xml:space="preserve">un niveau négatif de </w:t>
      </w:r>
      <w:r w:rsidR="009A19F3" w:rsidRPr="00C706A5">
        <w:rPr>
          <w:rFonts w:ascii="Times New Roman" w:hAnsi="Times New Roman" w:cs="Times New Roman"/>
          <w:color w:val="000000" w:themeColor="text1"/>
        </w:rPr>
        <w:t>-6</w:t>
      </w:r>
      <w:r w:rsidR="008577BA">
        <w:rPr>
          <w:rFonts w:ascii="Times New Roman" w:hAnsi="Times New Roman" w:cs="Times New Roman"/>
          <w:color w:val="000000" w:themeColor="text1"/>
        </w:rPr>
        <w:t>6</w:t>
      </w:r>
      <w:r w:rsidR="009A19F3" w:rsidRPr="00C706A5">
        <w:rPr>
          <w:rFonts w:ascii="Times New Roman" w:hAnsi="Times New Roman" w:cs="Times New Roman"/>
          <w:color w:val="000000" w:themeColor="text1"/>
        </w:rPr>
        <w:t>,</w:t>
      </w:r>
      <w:r w:rsidR="008577BA">
        <w:rPr>
          <w:rFonts w:ascii="Times New Roman" w:hAnsi="Times New Roman" w:cs="Times New Roman"/>
          <w:color w:val="000000" w:themeColor="text1"/>
        </w:rPr>
        <w:t>5</w:t>
      </w:r>
      <w:r w:rsidR="009A19F3" w:rsidRPr="00C706A5">
        <w:rPr>
          <w:rFonts w:ascii="Times New Roman" w:hAnsi="Times New Roman" w:cs="Times New Roman"/>
          <w:color w:val="000000" w:themeColor="text1"/>
        </w:rPr>
        <w:t xml:space="preserve"> points</w:t>
      </w:r>
      <w:r w:rsidR="008D3806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003F54" w:rsidRPr="00C706A5">
        <w:rPr>
          <w:rFonts w:ascii="Times New Roman" w:hAnsi="Times New Roman" w:cs="Times New Roman"/>
          <w:color w:val="000000" w:themeColor="text1"/>
        </w:rPr>
        <w:t>enregistr</w:t>
      </w:r>
      <w:r w:rsidR="001F5D34" w:rsidRPr="00C706A5">
        <w:rPr>
          <w:rFonts w:ascii="Times New Roman" w:hAnsi="Times New Roman" w:cs="Times New Roman"/>
          <w:color w:val="000000" w:themeColor="text1"/>
        </w:rPr>
        <w:t>e</w:t>
      </w:r>
      <w:r w:rsidR="009A19F3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003F54" w:rsidRPr="00C706A5">
        <w:rPr>
          <w:rFonts w:ascii="Times New Roman" w:hAnsi="Times New Roman" w:cs="Times New Roman"/>
          <w:color w:val="000000" w:themeColor="text1"/>
        </w:rPr>
        <w:t xml:space="preserve">une </w:t>
      </w:r>
      <w:r w:rsidR="00E030B1">
        <w:rPr>
          <w:rFonts w:ascii="Times New Roman" w:hAnsi="Times New Roman" w:cs="Times New Roman"/>
          <w:color w:val="000000" w:themeColor="text1"/>
        </w:rPr>
        <w:t xml:space="preserve">amélioration </w:t>
      </w:r>
      <w:r w:rsidR="00003F54" w:rsidRPr="00C706A5">
        <w:rPr>
          <w:rFonts w:ascii="Times New Roman" w:hAnsi="Times New Roman" w:cs="Times New Roman"/>
          <w:color w:val="000000" w:themeColor="text1"/>
        </w:rPr>
        <w:t xml:space="preserve">de </w:t>
      </w:r>
      <w:r w:rsidR="008577BA">
        <w:rPr>
          <w:rFonts w:ascii="Times New Roman" w:hAnsi="Times New Roman" w:cs="Times New Roman"/>
          <w:color w:val="000000" w:themeColor="text1"/>
        </w:rPr>
        <w:t>2</w:t>
      </w:r>
      <w:r w:rsidR="00D85054" w:rsidRPr="00C706A5">
        <w:rPr>
          <w:rFonts w:ascii="Times New Roman" w:hAnsi="Times New Roman" w:cs="Times New Roman"/>
          <w:color w:val="000000" w:themeColor="text1"/>
        </w:rPr>
        <w:t>,</w:t>
      </w:r>
      <w:r w:rsidR="008577BA">
        <w:rPr>
          <w:rFonts w:ascii="Times New Roman" w:hAnsi="Times New Roman" w:cs="Times New Roman"/>
          <w:color w:val="000000" w:themeColor="text1"/>
        </w:rPr>
        <w:t>6</w:t>
      </w:r>
      <w:r w:rsidR="00003F54" w:rsidRPr="00C706A5">
        <w:rPr>
          <w:rFonts w:ascii="Times New Roman" w:hAnsi="Times New Roman" w:cs="Times New Roman"/>
          <w:color w:val="000000" w:themeColor="text1"/>
        </w:rPr>
        <w:t xml:space="preserve"> point</w:t>
      </w:r>
      <w:r w:rsidR="008577BA">
        <w:rPr>
          <w:rFonts w:ascii="Times New Roman" w:hAnsi="Times New Roman" w:cs="Times New Roman"/>
          <w:color w:val="000000" w:themeColor="text1"/>
        </w:rPr>
        <w:t>s</w:t>
      </w:r>
      <w:r w:rsidR="00003F54" w:rsidRPr="00C706A5">
        <w:rPr>
          <w:rFonts w:ascii="Times New Roman" w:hAnsi="Times New Roman" w:cs="Times New Roman"/>
          <w:color w:val="000000" w:themeColor="text1"/>
        </w:rPr>
        <w:t xml:space="preserve"> par rapport au trimestre précédent </w:t>
      </w:r>
      <w:r w:rsidR="004F1AD1" w:rsidRPr="00C706A5">
        <w:rPr>
          <w:rFonts w:ascii="Times New Roman" w:hAnsi="Times New Roman" w:cs="Times New Roman"/>
          <w:color w:val="000000" w:themeColor="text1"/>
        </w:rPr>
        <w:t>et</w:t>
      </w:r>
      <w:r w:rsidR="00D85054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003F54" w:rsidRPr="00C706A5">
        <w:rPr>
          <w:rFonts w:ascii="Times New Roman" w:hAnsi="Times New Roman" w:cs="Times New Roman"/>
          <w:color w:val="000000" w:themeColor="text1"/>
        </w:rPr>
        <w:t xml:space="preserve">de </w:t>
      </w:r>
      <w:r w:rsidR="008577BA">
        <w:rPr>
          <w:rFonts w:ascii="Times New Roman" w:hAnsi="Times New Roman" w:cs="Times New Roman"/>
          <w:color w:val="000000" w:themeColor="text1"/>
        </w:rPr>
        <w:t>1</w:t>
      </w:r>
      <w:r w:rsidR="00D85054" w:rsidRPr="00C706A5">
        <w:rPr>
          <w:rFonts w:ascii="Times New Roman" w:hAnsi="Times New Roman" w:cs="Times New Roman"/>
          <w:color w:val="000000" w:themeColor="text1"/>
        </w:rPr>
        <w:t>,</w:t>
      </w:r>
      <w:r w:rsidR="001E1901">
        <w:rPr>
          <w:rFonts w:ascii="Times New Roman" w:hAnsi="Times New Roman" w:cs="Times New Roman"/>
          <w:color w:val="000000" w:themeColor="text1"/>
        </w:rPr>
        <w:t>3</w:t>
      </w:r>
      <w:r w:rsidR="00D85054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003F54" w:rsidRPr="00C706A5">
        <w:rPr>
          <w:rFonts w:ascii="Times New Roman" w:hAnsi="Times New Roman" w:cs="Times New Roman"/>
          <w:color w:val="000000" w:themeColor="text1"/>
        </w:rPr>
        <w:t xml:space="preserve">point par rapport à la même période de </w:t>
      </w:r>
      <w:r w:rsidR="00FF44FD">
        <w:rPr>
          <w:rFonts w:ascii="Times New Roman" w:hAnsi="Times New Roman" w:cs="Times New Roman"/>
          <w:color w:val="000000" w:themeColor="text1"/>
        </w:rPr>
        <w:t>2013</w:t>
      </w:r>
      <w:r w:rsidR="00003F54" w:rsidRPr="00C706A5">
        <w:rPr>
          <w:rFonts w:ascii="Times New Roman" w:hAnsi="Times New Roman" w:cs="Times New Roman"/>
          <w:color w:val="000000" w:themeColor="text1"/>
        </w:rPr>
        <w:t>.</w:t>
      </w:r>
    </w:p>
    <w:p w:rsidR="007C2DEA" w:rsidRDefault="007C2DEA" w:rsidP="00E030B1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E6458A" w:rsidRPr="00C706A5" w:rsidRDefault="005A2E34" w:rsidP="001E1901">
      <w:pPr>
        <w:widowControl/>
        <w:spacing w:line="276" w:lineRule="auto"/>
        <w:ind w:left="142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5A2E34">
        <w:rPr>
          <w:rFonts w:ascii="Times New Roman" w:hAnsi="Times New Roman" w:cs="Times New Roman"/>
          <w:b/>
          <w:bCs/>
          <w:noProof/>
          <w:color w:val="000000" w:themeColor="text1"/>
        </w:rPr>
        <w:drawing>
          <wp:inline distT="0" distB="0" distL="0" distR="0">
            <wp:extent cx="6348622" cy="2900752"/>
            <wp:effectExtent l="19050" t="0" r="14078" b="0"/>
            <wp:docPr id="5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12B69" w:rsidRDefault="00F12B69" w:rsidP="00F12B69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7C2DEA" w:rsidRDefault="007C2DEA" w:rsidP="00F12B69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7C2DEA" w:rsidRDefault="007C2DEA" w:rsidP="00F12B69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7C2DEA" w:rsidRDefault="007C2DEA" w:rsidP="00F12B69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7C2DEA" w:rsidRDefault="007C2DEA" w:rsidP="00F12B69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233531" w:rsidRPr="007C2DEA" w:rsidRDefault="001E1901" w:rsidP="001E1901">
      <w:pPr>
        <w:pStyle w:val="Paragraphedeliste"/>
        <w:numPr>
          <w:ilvl w:val="0"/>
          <w:numId w:val="8"/>
        </w:numPr>
        <w:ind w:left="142" w:hanging="142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Theme="majorBidi" w:hAnsiTheme="majorBidi" w:cstheme="majorBidi"/>
          <w:b/>
          <w:bCs/>
          <w:color w:val="000000"/>
        </w:rPr>
        <w:t xml:space="preserve"> </w:t>
      </w:r>
      <w:r w:rsidRPr="001E19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 xml:space="preserve">Opinion des ménages toujours réservée, malgré son amélioration, sur l'opportunité d'achat de biens durables </w:t>
      </w:r>
      <w:r w:rsidR="001B2334" w:rsidRPr="007C2DEA">
        <w:rPr>
          <w:rFonts w:ascii="Times New Roman" w:hAnsi="Times New Roman" w:cs="Times New Roman"/>
          <w:b/>
          <w:bCs/>
          <w:color w:val="000000" w:themeColor="text1"/>
        </w:rPr>
        <w:t> </w:t>
      </w:r>
      <w:r w:rsidR="00311292" w:rsidRPr="007C2DEA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:rsidR="001672BD" w:rsidRPr="00C706A5" w:rsidRDefault="00996593" w:rsidP="00335081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>P</w:t>
      </w:r>
      <w:r w:rsidR="004E183B" w:rsidRPr="00C706A5">
        <w:rPr>
          <w:rFonts w:ascii="Times New Roman" w:hAnsi="Times New Roman" w:cs="Times New Roman"/>
          <w:color w:val="000000" w:themeColor="text1"/>
        </w:rPr>
        <w:t>rès</w:t>
      </w:r>
      <w:r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2226A1" w:rsidRPr="00C706A5">
        <w:rPr>
          <w:rFonts w:ascii="Times New Roman" w:hAnsi="Times New Roman" w:cs="Times New Roman"/>
          <w:color w:val="000000" w:themeColor="text1"/>
        </w:rPr>
        <w:t>de 5</w:t>
      </w:r>
      <w:r w:rsidR="00335081">
        <w:rPr>
          <w:rFonts w:ascii="Times New Roman" w:hAnsi="Times New Roman" w:cs="Times New Roman"/>
          <w:color w:val="000000" w:themeColor="text1"/>
        </w:rPr>
        <w:t>2</w:t>
      </w:r>
      <w:r w:rsidR="002226A1" w:rsidRPr="00C706A5">
        <w:rPr>
          <w:rFonts w:ascii="Times New Roman" w:hAnsi="Times New Roman" w:cs="Times New Roman"/>
          <w:color w:val="000000" w:themeColor="text1"/>
        </w:rPr>
        <w:t>% d</w:t>
      </w:r>
      <w:r w:rsidR="002D2970" w:rsidRPr="00C706A5">
        <w:rPr>
          <w:rFonts w:ascii="Times New Roman" w:hAnsi="Times New Roman" w:cs="Times New Roman"/>
          <w:color w:val="000000" w:themeColor="text1"/>
        </w:rPr>
        <w:t xml:space="preserve">es ménages marocains </w:t>
      </w:r>
      <w:r w:rsidR="00E265E4" w:rsidRPr="00C706A5">
        <w:rPr>
          <w:rFonts w:ascii="Times New Roman" w:hAnsi="Times New Roman" w:cs="Times New Roman"/>
          <w:color w:val="000000" w:themeColor="text1"/>
        </w:rPr>
        <w:t>considèrent</w:t>
      </w:r>
      <w:r w:rsidR="002D2970" w:rsidRPr="00C706A5">
        <w:rPr>
          <w:rFonts w:ascii="Times New Roman" w:hAnsi="Times New Roman" w:cs="Times New Roman"/>
          <w:color w:val="000000" w:themeColor="text1"/>
        </w:rPr>
        <w:t>,</w:t>
      </w:r>
      <w:r w:rsidR="00E265E4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2D2970" w:rsidRPr="00C706A5">
        <w:rPr>
          <w:rFonts w:ascii="Times New Roman" w:hAnsi="Times New Roman" w:cs="Times New Roman"/>
          <w:color w:val="000000" w:themeColor="text1"/>
        </w:rPr>
        <w:t xml:space="preserve">au </w:t>
      </w:r>
      <w:r w:rsidR="00557809">
        <w:rPr>
          <w:rFonts w:ascii="Times New Roman" w:hAnsi="Times New Roman" w:cs="Times New Roman"/>
          <w:color w:val="000000" w:themeColor="text1"/>
        </w:rPr>
        <w:t xml:space="preserve">deuxième </w:t>
      </w:r>
      <w:r w:rsidR="0004211E">
        <w:rPr>
          <w:rFonts w:ascii="Times New Roman" w:hAnsi="Times New Roman" w:cs="Times New Roman"/>
          <w:color w:val="000000" w:themeColor="text1"/>
        </w:rPr>
        <w:t>trimestre</w:t>
      </w:r>
      <w:r w:rsidR="00370A60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2D2970" w:rsidRPr="00C706A5">
        <w:rPr>
          <w:rFonts w:ascii="Times New Roman" w:hAnsi="Times New Roman" w:cs="Times New Roman"/>
          <w:color w:val="000000" w:themeColor="text1"/>
        </w:rPr>
        <w:t xml:space="preserve">de </w:t>
      </w:r>
      <w:r w:rsidR="0004211E">
        <w:rPr>
          <w:rFonts w:ascii="Times New Roman" w:hAnsi="Times New Roman" w:cs="Times New Roman"/>
          <w:color w:val="000000" w:themeColor="text1"/>
        </w:rPr>
        <w:t>2014</w:t>
      </w:r>
      <w:r w:rsidR="002D2970" w:rsidRPr="00C706A5">
        <w:rPr>
          <w:rFonts w:ascii="Times New Roman" w:hAnsi="Times New Roman" w:cs="Times New Roman"/>
          <w:color w:val="000000" w:themeColor="text1"/>
        </w:rPr>
        <w:t xml:space="preserve">, </w:t>
      </w:r>
      <w:r w:rsidR="000F6CE8" w:rsidRPr="00C706A5">
        <w:rPr>
          <w:rFonts w:ascii="Times New Roman" w:hAnsi="Times New Roman" w:cs="Times New Roman"/>
          <w:color w:val="000000" w:themeColor="text1"/>
        </w:rPr>
        <w:t xml:space="preserve">que </w:t>
      </w:r>
      <w:r w:rsidR="0019435A" w:rsidRPr="00C706A5">
        <w:rPr>
          <w:rFonts w:ascii="Times New Roman" w:hAnsi="Times New Roman" w:cs="Times New Roman"/>
          <w:color w:val="000000" w:themeColor="text1"/>
        </w:rPr>
        <w:t xml:space="preserve">le moment </w:t>
      </w:r>
      <w:r w:rsidR="00E265E4" w:rsidRPr="00C706A5">
        <w:rPr>
          <w:rFonts w:ascii="Times New Roman" w:hAnsi="Times New Roman" w:cs="Times New Roman"/>
          <w:color w:val="000000" w:themeColor="text1"/>
        </w:rPr>
        <w:t xml:space="preserve">n’est pas </w:t>
      </w:r>
      <w:r w:rsidR="00E9062C" w:rsidRPr="00C706A5">
        <w:rPr>
          <w:rFonts w:ascii="Times New Roman" w:hAnsi="Times New Roman" w:cs="Times New Roman"/>
          <w:color w:val="000000" w:themeColor="text1"/>
        </w:rPr>
        <w:t xml:space="preserve">opportun </w:t>
      </w:r>
      <w:r w:rsidR="00A7325E" w:rsidRPr="00C706A5">
        <w:rPr>
          <w:rFonts w:ascii="Times New Roman" w:hAnsi="Times New Roman" w:cs="Times New Roman"/>
          <w:color w:val="000000" w:themeColor="text1"/>
        </w:rPr>
        <w:t>pour</w:t>
      </w:r>
      <w:r w:rsidR="00E9062C" w:rsidRPr="00C706A5">
        <w:rPr>
          <w:rFonts w:ascii="Times New Roman" w:hAnsi="Times New Roman" w:cs="Times New Roman"/>
          <w:color w:val="000000" w:themeColor="text1"/>
        </w:rPr>
        <w:t xml:space="preserve"> faire des achats </w:t>
      </w:r>
      <w:r w:rsidR="0019435A" w:rsidRPr="00C706A5">
        <w:rPr>
          <w:rFonts w:ascii="Times New Roman" w:hAnsi="Times New Roman" w:cs="Times New Roman"/>
          <w:color w:val="000000" w:themeColor="text1"/>
        </w:rPr>
        <w:t>de biens durables</w:t>
      </w:r>
      <w:r w:rsidR="00097300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9A2085" w:rsidRPr="00C706A5">
        <w:rPr>
          <w:rFonts w:ascii="Times New Roman" w:hAnsi="Times New Roman" w:cs="Times New Roman"/>
          <w:color w:val="000000" w:themeColor="text1"/>
        </w:rPr>
        <w:t>alors que</w:t>
      </w:r>
      <w:r w:rsidR="00381490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F24882">
        <w:rPr>
          <w:rFonts w:ascii="Times New Roman" w:hAnsi="Times New Roman" w:cs="Times New Roman"/>
          <w:color w:val="000000" w:themeColor="text1"/>
        </w:rPr>
        <w:t>22</w:t>
      </w:r>
      <w:r w:rsidR="00C334F9" w:rsidRPr="00C706A5">
        <w:rPr>
          <w:rFonts w:ascii="Times New Roman" w:hAnsi="Times New Roman" w:cs="Times New Roman"/>
          <w:color w:val="000000" w:themeColor="text1"/>
        </w:rPr>
        <w:t>,</w:t>
      </w:r>
      <w:r w:rsidR="00335081">
        <w:rPr>
          <w:rFonts w:ascii="Times New Roman" w:hAnsi="Times New Roman" w:cs="Times New Roman"/>
          <w:color w:val="000000" w:themeColor="text1"/>
        </w:rPr>
        <w:t>7</w:t>
      </w:r>
      <w:r w:rsidR="00381490" w:rsidRPr="00C706A5">
        <w:rPr>
          <w:rFonts w:ascii="Times New Roman" w:hAnsi="Times New Roman" w:cs="Times New Roman"/>
          <w:color w:val="000000" w:themeColor="text1"/>
        </w:rPr>
        <w:t xml:space="preserve">% </w:t>
      </w:r>
      <w:r w:rsidR="00097300" w:rsidRPr="00C706A5">
        <w:rPr>
          <w:rFonts w:ascii="Times New Roman" w:hAnsi="Times New Roman" w:cs="Times New Roman"/>
          <w:color w:val="000000" w:themeColor="text1"/>
        </w:rPr>
        <w:t>pens</w:t>
      </w:r>
      <w:r w:rsidR="00381490" w:rsidRPr="00C706A5">
        <w:rPr>
          <w:rFonts w:ascii="Times New Roman" w:hAnsi="Times New Roman" w:cs="Times New Roman"/>
          <w:color w:val="000000" w:themeColor="text1"/>
        </w:rPr>
        <w:t>ent le contraire</w:t>
      </w:r>
      <w:r w:rsidR="00C334F9" w:rsidRPr="00C706A5">
        <w:rPr>
          <w:rFonts w:ascii="Times New Roman" w:hAnsi="Times New Roman" w:cs="Times New Roman"/>
          <w:color w:val="000000" w:themeColor="text1"/>
        </w:rPr>
        <w:t xml:space="preserve">. </w:t>
      </w:r>
      <w:r w:rsidR="00671777" w:rsidRPr="00C706A5">
        <w:rPr>
          <w:rFonts w:ascii="Times New Roman" w:hAnsi="Times New Roman" w:cs="Times New Roman"/>
          <w:color w:val="000000" w:themeColor="text1"/>
        </w:rPr>
        <w:t>Avec -</w:t>
      </w:r>
      <w:r w:rsidR="00335081">
        <w:rPr>
          <w:rFonts w:ascii="Times New Roman" w:hAnsi="Times New Roman" w:cs="Times New Roman"/>
          <w:color w:val="000000" w:themeColor="text1"/>
        </w:rPr>
        <w:t>28</w:t>
      </w:r>
      <w:r w:rsidR="00671777" w:rsidRPr="00C706A5">
        <w:rPr>
          <w:rFonts w:ascii="Times New Roman" w:hAnsi="Times New Roman" w:cs="Times New Roman"/>
          <w:color w:val="000000" w:themeColor="text1"/>
        </w:rPr>
        <w:t>,</w:t>
      </w:r>
      <w:r w:rsidR="00335081">
        <w:rPr>
          <w:rFonts w:ascii="Times New Roman" w:hAnsi="Times New Roman" w:cs="Times New Roman"/>
          <w:color w:val="000000" w:themeColor="text1"/>
        </w:rPr>
        <w:t>9</w:t>
      </w:r>
      <w:r w:rsidR="00671777" w:rsidRPr="00C706A5">
        <w:rPr>
          <w:rFonts w:ascii="Times New Roman" w:hAnsi="Times New Roman" w:cs="Times New Roman"/>
          <w:color w:val="000000" w:themeColor="text1"/>
        </w:rPr>
        <w:t xml:space="preserve"> points, l</w:t>
      </w:r>
      <w:r w:rsidR="00381490" w:rsidRPr="00C706A5">
        <w:rPr>
          <w:rFonts w:ascii="Times New Roman" w:hAnsi="Times New Roman" w:cs="Times New Roman"/>
          <w:color w:val="000000" w:themeColor="text1"/>
        </w:rPr>
        <w:t>e solde re</w:t>
      </w:r>
      <w:r w:rsidR="003C4254" w:rsidRPr="00C706A5">
        <w:rPr>
          <w:rFonts w:ascii="Times New Roman" w:hAnsi="Times New Roman" w:cs="Times New Roman"/>
          <w:color w:val="000000" w:themeColor="text1"/>
        </w:rPr>
        <w:t xml:space="preserve">latif à cet indicateur </w:t>
      </w:r>
      <w:r w:rsidR="004E183B" w:rsidRPr="00C706A5">
        <w:rPr>
          <w:rFonts w:ascii="Times New Roman" w:hAnsi="Times New Roman" w:cs="Times New Roman"/>
          <w:color w:val="000000" w:themeColor="text1"/>
        </w:rPr>
        <w:t>enregistre une</w:t>
      </w:r>
      <w:r w:rsidR="007C5542">
        <w:rPr>
          <w:rFonts w:ascii="Times New Roman" w:hAnsi="Times New Roman" w:cs="Times New Roman"/>
          <w:color w:val="000000" w:themeColor="text1"/>
        </w:rPr>
        <w:t xml:space="preserve"> </w:t>
      </w:r>
      <w:r w:rsidR="00F24882">
        <w:rPr>
          <w:rFonts w:ascii="Times New Roman" w:hAnsi="Times New Roman" w:cs="Times New Roman"/>
          <w:color w:val="000000" w:themeColor="text1"/>
        </w:rPr>
        <w:t>amélioration</w:t>
      </w:r>
      <w:r w:rsidR="004E183B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335081">
        <w:rPr>
          <w:rFonts w:ascii="Times New Roman" w:hAnsi="Times New Roman" w:cs="Times New Roman"/>
          <w:color w:val="000000" w:themeColor="text1"/>
        </w:rPr>
        <w:t xml:space="preserve">aussi bien </w:t>
      </w:r>
      <w:r w:rsidR="004E183B" w:rsidRPr="00C706A5">
        <w:rPr>
          <w:rFonts w:ascii="Times New Roman" w:hAnsi="Times New Roman" w:cs="Times New Roman"/>
          <w:color w:val="000000" w:themeColor="text1"/>
        </w:rPr>
        <w:t>par rapport au trimestre précédent</w:t>
      </w:r>
      <w:r w:rsidR="00335081">
        <w:rPr>
          <w:rFonts w:ascii="Times New Roman" w:hAnsi="Times New Roman" w:cs="Times New Roman"/>
          <w:color w:val="000000" w:themeColor="text1"/>
        </w:rPr>
        <w:t xml:space="preserve"> que par rapport a</w:t>
      </w:r>
      <w:r w:rsidR="00335081" w:rsidRPr="00C706A5">
        <w:rPr>
          <w:rFonts w:ascii="Times New Roman" w:hAnsi="Times New Roman" w:cs="Times New Roman"/>
          <w:color w:val="000000" w:themeColor="text1"/>
        </w:rPr>
        <w:t xml:space="preserve">u même trimestre de l’année précédente </w:t>
      </w:r>
      <w:r w:rsidR="00335081">
        <w:rPr>
          <w:rFonts w:ascii="Times New Roman" w:hAnsi="Times New Roman" w:cs="Times New Roman"/>
          <w:color w:val="000000" w:themeColor="text1"/>
        </w:rPr>
        <w:t xml:space="preserve">avec respectivement 2,4 </w:t>
      </w:r>
      <w:r w:rsidR="00335081" w:rsidRPr="00C706A5">
        <w:rPr>
          <w:rFonts w:ascii="Times New Roman" w:hAnsi="Times New Roman" w:cs="Times New Roman"/>
          <w:color w:val="000000" w:themeColor="text1"/>
        </w:rPr>
        <w:t>points</w:t>
      </w:r>
      <w:r w:rsidR="00335081">
        <w:rPr>
          <w:rFonts w:ascii="Times New Roman" w:hAnsi="Times New Roman" w:cs="Times New Roman"/>
          <w:color w:val="000000" w:themeColor="text1"/>
        </w:rPr>
        <w:t xml:space="preserve"> et </w:t>
      </w:r>
      <w:r w:rsidR="00335081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335081">
        <w:rPr>
          <w:rFonts w:ascii="Times New Roman" w:hAnsi="Times New Roman" w:cs="Times New Roman"/>
          <w:color w:val="000000" w:themeColor="text1"/>
        </w:rPr>
        <w:t>2</w:t>
      </w:r>
      <w:r w:rsidR="00F24882">
        <w:rPr>
          <w:rFonts w:ascii="Times New Roman" w:hAnsi="Times New Roman" w:cs="Times New Roman"/>
          <w:color w:val="000000" w:themeColor="text1"/>
        </w:rPr>
        <w:t>,</w:t>
      </w:r>
      <w:r w:rsidR="00335081">
        <w:rPr>
          <w:rFonts w:ascii="Times New Roman" w:hAnsi="Times New Roman" w:cs="Times New Roman"/>
          <w:color w:val="000000" w:themeColor="text1"/>
        </w:rPr>
        <w:t>8</w:t>
      </w:r>
      <w:r w:rsidR="004E183B" w:rsidRPr="00C706A5">
        <w:rPr>
          <w:rFonts w:ascii="Times New Roman" w:hAnsi="Times New Roman" w:cs="Times New Roman"/>
          <w:color w:val="000000" w:themeColor="text1"/>
        </w:rPr>
        <w:t xml:space="preserve"> point</w:t>
      </w:r>
      <w:r w:rsidR="00335081">
        <w:rPr>
          <w:rFonts w:ascii="Times New Roman" w:hAnsi="Times New Roman" w:cs="Times New Roman"/>
          <w:color w:val="000000" w:themeColor="text1"/>
        </w:rPr>
        <w:t>s.</w:t>
      </w:r>
      <w:r w:rsidR="00F24882">
        <w:rPr>
          <w:rFonts w:ascii="Times New Roman" w:hAnsi="Times New Roman" w:cs="Times New Roman"/>
          <w:color w:val="000000" w:themeColor="text1"/>
        </w:rPr>
        <w:t xml:space="preserve"> </w:t>
      </w:r>
    </w:p>
    <w:p w:rsidR="00FD2441" w:rsidRPr="00C706A5" w:rsidRDefault="00FD2441" w:rsidP="00FD2441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5C473B" w:rsidRPr="00C706A5" w:rsidRDefault="005C473B" w:rsidP="00547601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562E23" w:rsidRPr="00C706A5" w:rsidRDefault="005A2E34" w:rsidP="0053124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5A2E34">
        <w:rPr>
          <w:rFonts w:ascii="Times New Roman" w:hAnsi="Times New Roman" w:cs="Times New Roman"/>
          <w:b/>
          <w:bCs/>
          <w:noProof/>
          <w:color w:val="000000" w:themeColor="text1"/>
        </w:rPr>
        <w:drawing>
          <wp:inline distT="0" distB="0" distL="0" distR="0">
            <wp:extent cx="6256564" cy="2892425"/>
            <wp:effectExtent l="19050" t="0" r="10886" b="3175"/>
            <wp:docPr id="6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147DB" w:rsidRPr="00C706A5" w:rsidRDefault="00A147DB" w:rsidP="00B36214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2C26D4" w:rsidRDefault="00222682" w:rsidP="00D16D05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C706A5">
        <w:rPr>
          <w:rFonts w:ascii="Times New Roman" w:hAnsi="Times New Roman" w:cs="Times New Roman"/>
          <w:b/>
          <w:bCs/>
          <w:color w:val="000000" w:themeColor="text1"/>
        </w:rPr>
        <w:t>•</w:t>
      </w:r>
      <w:r w:rsidR="008F01C0"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450EFF">
        <w:rPr>
          <w:rFonts w:ascii="Times New Roman" w:hAnsi="Times New Roman" w:cs="Times New Roman"/>
          <w:b/>
          <w:bCs/>
          <w:color w:val="000000" w:themeColor="text1"/>
        </w:rPr>
        <w:t>L</w:t>
      </w:r>
      <w:r w:rsidR="00D16D05">
        <w:rPr>
          <w:rFonts w:ascii="Times New Roman" w:hAnsi="Times New Roman" w:cs="Times New Roman"/>
          <w:b/>
          <w:bCs/>
          <w:color w:val="000000" w:themeColor="text1"/>
        </w:rPr>
        <w:t>es ménages s’attendent à une évolution défavorable de leurs</w:t>
      </w:r>
      <w:r w:rsidR="00450EFF">
        <w:rPr>
          <w:rFonts w:ascii="Times New Roman" w:hAnsi="Times New Roman" w:cs="Times New Roman"/>
          <w:b/>
          <w:bCs/>
          <w:color w:val="000000" w:themeColor="text1"/>
        </w:rPr>
        <w:t xml:space="preserve"> s</w:t>
      </w:r>
      <w:r w:rsidR="00CE5396" w:rsidRPr="00C706A5">
        <w:rPr>
          <w:rFonts w:ascii="Times New Roman" w:hAnsi="Times New Roman" w:cs="Times New Roman"/>
          <w:b/>
          <w:bCs/>
          <w:color w:val="000000" w:themeColor="text1"/>
        </w:rPr>
        <w:t>ituation</w:t>
      </w:r>
      <w:r w:rsidR="00D16D05">
        <w:rPr>
          <w:rFonts w:ascii="Times New Roman" w:hAnsi="Times New Roman" w:cs="Times New Roman"/>
          <w:b/>
          <w:bCs/>
          <w:color w:val="000000" w:themeColor="text1"/>
        </w:rPr>
        <w:t>s</w:t>
      </w:r>
      <w:r w:rsidR="00C12EDB"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 financière</w:t>
      </w:r>
      <w:r w:rsidR="00D16D05">
        <w:rPr>
          <w:rFonts w:ascii="Times New Roman" w:hAnsi="Times New Roman" w:cs="Times New Roman"/>
          <w:b/>
          <w:bCs/>
          <w:color w:val="000000" w:themeColor="text1"/>
        </w:rPr>
        <w:t>s</w:t>
      </w:r>
      <w:r w:rsidR="00C12EDB"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:rsidR="004D3202" w:rsidRPr="00C706A5" w:rsidRDefault="0032654E" w:rsidP="00AB717C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Simplified Arabic"/>
          <w:lang w:bidi="ar-MA"/>
        </w:rPr>
        <w:t xml:space="preserve">Près de </w:t>
      </w:r>
      <w:r w:rsidR="0014733D" w:rsidRPr="0014733D">
        <w:rPr>
          <w:rFonts w:ascii="Times New Roman" w:hAnsi="Times New Roman" w:cs="Simplified Arabic" w:hint="cs"/>
          <w:rtl/>
          <w:lang w:bidi="ar-MA"/>
        </w:rPr>
        <w:t>57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% </w:t>
      </w:r>
      <w:r w:rsidR="00490E21" w:rsidRPr="00C706A5">
        <w:rPr>
          <w:rFonts w:ascii="Times New Roman" w:hAnsi="Times New Roman" w:cs="Times New Roman"/>
          <w:color w:val="000000" w:themeColor="text1"/>
        </w:rPr>
        <w:t>des ménages</w:t>
      </w:r>
      <w:r w:rsidR="00C229EC">
        <w:rPr>
          <w:rFonts w:ascii="Times New Roman" w:hAnsi="Times New Roman" w:cs="Times New Roman"/>
          <w:color w:val="000000" w:themeColor="text1"/>
        </w:rPr>
        <w:t xml:space="preserve"> considèrent que</w:t>
      </w:r>
      <w:r w:rsidR="00490E21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1A6BB6" w:rsidRPr="00C706A5">
        <w:rPr>
          <w:rFonts w:ascii="Times New Roman" w:hAnsi="Times New Roman" w:cs="Times New Roman"/>
          <w:color w:val="000000" w:themeColor="text1"/>
        </w:rPr>
        <w:t xml:space="preserve">leurs revenus couvrent leurs dépenses, alors que 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570BDD" w:rsidRPr="00C706A5">
        <w:rPr>
          <w:rFonts w:ascii="Times New Roman" w:hAnsi="Times New Roman" w:cs="Times New Roman"/>
          <w:color w:val="000000" w:themeColor="text1"/>
        </w:rPr>
        <w:t>3</w:t>
      </w:r>
      <w:r w:rsidR="003E3A1D">
        <w:rPr>
          <w:rFonts w:ascii="Times New Roman" w:hAnsi="Times New Roman" w:cs="Times New Roman"/>
          <w:color w:val="000000" w:themeColor="text1"/>
        </w:rPr>
        <w:t>6</w:t>
      </w:r>
      <w:r w:rsidR="004D3202" w:rsidRPr="00C706A5">
        <w:rPr>
          <w:rFonts w:ascii="Times New Roman" w:hAnsi="Times New Roman" w:cs="Times New Roman"/>
          <w:color w:val="000000" w:themeColor="text1"/>
        </w:rPr>
        <w:t>,</w:t>
      </w:r>
      <w:r w:rsidR="003E3A1D">
        <w:rPr>
          <w:rFonts w:ascii="Times New Roman" w:hAnsi="Times New Roman" w:cs="Times New Roman"/>
          <w:color w:val="000000" w:themeColor="text1"/>
        </w:rPr>
        <w:t>4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% </w:t>
      </w:r>
      <w:r w:rsidR="001A6BB6" w:rsidRPr="00C706A5">
        <w:rPr>
          <w:rFonts w:ascii="Times New Roman" w:hAnsi="Times New Roman" w:cs="Times New Roman"/>
          <w:color w:val="000000" w:themeColor="text1"/>
        </w:rPr>
        <w:t xml:space="preserve">d’entre eux </w:t>
      </w:r>
      <w:r w:rsidR="00C229EC">
        <w:rPr>
          <w:rFonts w:ascii="Times New Roman" w:hAnsi="Times New Roman" w:cs="Times New Roman"/>
          <w:color w:val="000000" w:themeColor="text1"/>
        </w:rPr>
        <w:t xml:space="preserve">déclarent </w:t>
      </w:r>
      <w:r w:rsidR="001A6BB6" w:rsidRPr="00C706A5">
        <w:rPr>
          <w:rFonts w:ascii="Times New Roman" w:hAnsi="Times New Roman" w:cs="Times New Roman"/>
          <w:color w:val="000000" w:themeColor="text1"/>
        </w:rPr>
        <w:t>s’endette</w:t>
      </w:r>
      <w:r w:rsidR="00C229EC">
        <w:rPr>
          <w:rFonts w:ascii="Times New Roman" w:hAnsi="Times New Roman" w:cs="Times New Roman"/>
          <w:color w:val="000000" w:themeColor="text1"/>
        </w:rPr>
        <w:t>r</w:t>
      </w:r>
      <w:r w:rsidR="001A6BB6" w:rsidRPr="00C706A5">
        <w:rPr>
          <w:rFonts w:ascii="Times New Roman" w:hAnsi="Times New Roman" w:cs="Times New Roman"/>
          <w:color w:val="000000" w:themeColor="text1"/>
        </w:rPr>
        <w:t xml:space="preserve"> ou puise</w:t>
      </w:r>
      <w:r w:rsidR="00C229EC">
        <w:rPr>
          <w:rFonts w:ascii="Times New Roman" w:hAnsi="Times New Roman" w:cs="Times New Roman"/>
          <w:color w:val="000000" w:themeColor="text1"/>
        </w:rPr>
        <w:t>r</w:t>
      </w:r>
      <w:r w:rsidR="001A6BB6" w:rsidRPr="00C706A5">
        <w:rPr>
          <w:rFonts w:ascii="Times New Roman" w:hAnsi="Times New Roman" w:cs="Times New Roman"/>
          <w:color w:val="000000" w:themeColor="text1"/>
        </w:rPr>
        <w:t xml:space="preserve"> pour cela dans leurs épargnes. </w:t>
      </w:r>
      <w:r w:rsidR="00511C57" w:rsidRPr="00C706A5">
        <w:rPr>
          <w:rFonts w:ascii="Times New Roman" w:hAnsi="Times New Roman" w:cs="Times New Roman"/>
          <w:color w:val="000000" w:themeColor="text1"/>
        </w:rPr>
        <w:t>S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euls </w:t>
      </w:r>
      <w:r w:rsidR="003E3A1D">
        <w:rPr>
          <w:rFonts w:ascii="Times New Roman" w:hAnsi="Times New Roman" w:cs="Times New Roman"/>
          <w:color w:val="000000" w:themeColor="text1"/>
        </w:rPr>
        <w:t>6</w:t>
      </w:r>
      <w:r w:rsidR="004D3202" w:rsidRPr="00C706A5">
        <w:rPr>
          <w:rFonts w:ascii="Times New Roman" w:hAnsi="Times New Roman" w:cs="Times New Roman"/>
          <w:color w:val="000000" w:themeColor="text1"/>
        </w:rPr>
        <w:t>,</w:t>
      </w:r>
      <w:r w:rsidR="003E3A1D">
        <w:rPr>
          <w:rFonts w:ascii="Times New Roman" w:hAnsi="Times New Roman" w:cs="Times New Roman"/>
          <w:color w:val="000000" w:themeColor="text1"/>
        </w:rPr>
        <w:t>7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% </w:t>
      </w:r>
      <w:r w:rsidR="00511C57" w:rsidRPr="00C706A5">
        <w:rPr>
          <w:rFonts w:ascii="Times New Roman" w:hAnsi="Times New Roman" w:cs="Times New Roman"/>
          <w:color w:val="000000" w:themeColor="text1"/>
        </w:rPr>
        <w:t xml:space="preserve">des ménages </w:t>
      </w:r>
      <w:r w:rsidR="003E7065">
        <w:rPr>
          <w:rFonts w:ascii="Times New Roman" w:hAnsi="Times New Roman" w:cs="Times New Roman"/>
          <w:color w:val="000000" w:themeColor="text1"/>
        </w:rPr>
        <w:t>affirm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ent </w:t>
      </w:r>
      <w:r w:rsidR="00705867" w:rsidRPr="00C706A5">
        <w:rPr>
          <w:rFonts w:ascii="Times New Roman" w:hAnsi="Times New Roman" w:cs="Times New Roman"/>
          <w:color w:val="000000" w:themeColor="text1"/>
        </w:rPr>
        <w:t xml:space="preserve">pouvoir </w:t>
      </w:r>
      <w:r w:rsidR="004D3202" w:rsidRPr="00C706A5">
        <w:rPr>
          <w:rFonts w:ascii="Times New Roman" w:hAnsi="Times New Roman" w:cs="Times New Roman"/>
          <w:color w:val="000000" w:themeColor="text1"/>
        </w:rPr>
        <w:t>épargner</w:t>
      </w:r>
      <w:r w:rsidR="00705867" w:rsidRPr="00C706A5">
        <w:rPr>
          <w:rFonts w:ascii="Times New Roman" w:hAnsi="Times New Roman" w:cs="Times New Roman"/>
          <w:color w:val="000000" w:themeColor="text1"/>
        </w:rPr>
        <w:t xml:space="preserve"> une partie de leur revenu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. Le solde de </w:t>
      </w:r>
      <w:r w:rsidR="001A6BB6" w:rsidRPr="00C706A5">
        <w:rPr>
          <w:rFonts w:ascii="Times New Roman" w:hAnsi="Times New Roman" w:cs="Times New Roman"/>
          <w:color w:val="000000" w:themeColor="text1"/>
        </w:rPr>
        <w:t>l’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indicateur </w:t>
      </w:r>
      <w:r w:rsidR="001A6BB6" w:rsidRPr="00C706A5">
        <w:rPr>
          <w:rFonts w:ascii="Times New Roman" w:hAnsi="Times New Roman" w:cs="Times New Roman"/>
          <w:color w:val="000000" w:themeColor="text1"/>
        </w:rPr>
        <w:t xml:space="preserve">relatif à la situation financière actuelle des ménages 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s’établit ainsi à un niveau négatif de </w:t>
      </w:r>
      <w:r w:rsidR="00857F10" w:rsidRPr="00C706A5">
        <w:rPr>
          <w:rFonts w:ascii="Times New Roman" w:hAnsi="Times New Roman" w:cs="Times New Roman"/>
          <w:color w:val="000000" w:themeColor="text1"/>
        </w:rPr>
        <w:t>-</w:t>
      </w:r>
      <w:r w:rsidR="003E3A1D">
        <w:rPr>
          <w:rFonts w:ascii="Times New Roman" w:hAnsi="Times New Roman" w:cs="Times New Roman"/>
          <w:color w:val="000000" w:themeColor="text1"/>
        </w:rPr>
        <w:t>29</w:t>
      </w:r>
      <w:r w:rsidR="00DF0119" w:rsidRPr="00C706A5">
        <w:rPr>
          <w:rFonts w:ascii="Times New Roman" w:hAnsi="Times New Roman" w:cs="Times New Roman"/>
          <w:color w:val="000000" w:themeColor="text1"/>
        </w:rPr>
        <w:t>,</w:t>
      </w:r>
      <w:r w:rsidR="003E3A1D">
        <w:rPr>
          <w:rFonts w:ascii="Times New Roman" w:hAnsi="Times New Roman" w:cs="Times New Roman"/>
          <w:color w:val="000000" w:themeColor="text1"/>
        </w:rPr>
        <w:t>7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 points, </w:t>
      </w:r>
      <w:r w:rsidR="006A0913" w:rsidRPr="00C706A5">
        <w:rPr>
          <w:rFonts w:ascii="Times New Roman" w:hAnsi="Times New Roman" w:cs="Times New Roman"/>
          <w:color w:val="000000" w:themeColor="text1"/>
        </w:rPr>
        <w:t xml:space="preserve">en </w:t>
      </w:r>
      <w:r w:rsidR="003E3A1D">
        <w:rPr>
          <w:rFonts w:ascii="Times New Roman" w:hAnsi="Times New Roman" w:cs="Times New Roman"/>
          <w:color w:val="000000" w:themeColor="text1"/>
        </w:rPr>
        <w:t xml:space="preserve">amélioration </w:t>
      </w:r>
      <w:r w:rsidR="008B1424">
        <w:rPr>
          <w:rFonts w:ascii="Times New Roman" w:hAnsi="Times New Roman" w:cs="Times New Roman"/>
          <w:color w:val="000000" w:themeColor="text1"/>
        </w:rPr>
        <w:t xml:space="preserve">aussi bien </w:t>
      </w:r>
      <w:r w:rsidR="004D3202" w:rsidRPr="00C706A5">
        <w:rPr>
          <w:rFonts w:ascii="Times New Roman" w:hAnsi="Times New Roman" w:cs="Times New Roman"/>
          <w:color w:val="000000" w:themeColor="text1"/>
        </w:rPr>
        <w:t>par ra</w:t>
      </w:r>
      <w:r w:rsidR="00C35BF2" w:rsidRPr="00C706A5">
        <w:rPr>
          <w:rFonts w:ascii="Times New Roman" w:hAnsi="Times New Roman" w:cs="Times New Roman"/>
          <w:color w:val="000000" w:themeColor="text1"/>
        </w:rPr>
        <w:t xml:space="preserve">pport </w:t>
      </w:r>
      <w:r w:rsidR="008B1424">
        <w:rPr>
          <w:rFonts w:ascii="Times New Roman" w:hAnsi="Times New Roman" w:cs="Times New Roman"/>
          <w:color w:val="000000" w:themeColor="text1"/>
        </w:rPr>
        <w:t xml:space="preserve">au trimestre précédent </w:t>
      </w:r>
      <w:r w:rsidR="002C211A" w:rsidRPr="00C706A5">
        <w:rPr>
          <w:rFonts w:ascii="Times New Roman" w:hAnsi="Times New Roman" w:cs="Times New Roman"/>
          <w:color w:val="000000" w:themeColor="text1"/>
        </w:rPr>
        <w:t>(</w:t>
      </w:r>
      <w:r w:rsidR="003E3A1D">
        <w:rPr>
          <w:rFonts w:ascii="Times New Roman" w:hAnsi="Times New Roman" w:cs="Times New Roman"/>
          <w:color w:val="000000" w:themeColor="text1"/>
        </w:rPr>
        <w:t>+</w:t>
      </w:r>
      <w:r w:rsidR="008B1424">
        <w:rPr>
          <w:rFonts w:ascii="Times New Roman" w:hAnsi="Times New Roman" w:cs="Times New Roman"/>
          <w:color w:val="000000" w:themeColor="text1"/>
        </w:rPr>
        <w:t>1</w:t>
      </w:r>
      <w:r w:rsidR="002C211A" w:rsidRPr="00C706A5">
        <w:rPr>
          <w:rFonts w:ascii="Times New Roman" w:hAnsi="Times New Roman" w:cs="Times New Roman"/>
          <w:color w:val="000000" w:themeColor="text1"/>
        </w:rPr>
        <w:t>,</w:t>
      </w:r>
      <w:r w:rsidR="003E3A1D">
        <w:rPr>
          <w:rFonts w:ascii="Times New Roman" w:hAnsi="Times New Roman" w:cs="Times New Roman"/>
          <w:color w:val="000000" w:themeColor="text1"/>
        </w:rPr>
        <w:t>6</w:t>
      </w:r>
      <w:r w:rsidR="002C211A" w:rsidRPr="00C706A5">
        <w:rPr>
          <w:rFonts w:ascii="Times New Roman" w:hAnsi="Times New Roman" w:cs="Times New Roman"/>
          <w:color w:val="000000" w:themeColor="text1"/>
        </w:rPr>
        <w:t xml:space="preserve"> point)</w:t>
      </w:r>
      <w:r w:rsidR="008B1424">
        <w:rPr>
          <w:rFonts w:ascii="Times New Roman" w:hAnsi="Times New Roman" w:cs="Times New Roman"/>
          <w:color w:val="000000" w:themeColor="text1"/>
        </w:rPr>
        <w:t xml:space="preserve"> qu’</w:t>
      </w:r>
      <w:r w:rsidR="008B1424" w:rsidRPr="00C706A5">
        <w:rPr>
          <w:rFonts w:ascii="Times New Roman" w:hAnsi="Times New Roman" w:cs="Times New Roman"/>
          <w:color w:val="000000" w:themeColor="text1"/>
        </w:rPr>
        <w:t>au</w:t>
      </w:r>
      <w:r w:rsidR="00C35BF2" w:rsidRPr="00C706A5">
        <w:rPr>
          <w:rFonts w:ascii="Times New Roman" w:hAnsi="Times New Roman" w:cs="Times New Roman"/>
          <w:color w:val="000000" w:themeColor="text1"/>
        </w:rPr>
        <w:t xml:space="preserve"> même trimestre de </w:t>
      </w:r>
      <w:r w:rsidR="00FF44FD">
        <w:rPr>
          <w:rFonts w:ascii="Times New Roman" w:hAnsi="Times New Roman" w:cs="Times New Roman"/>
          <w:color w:val="000000" w:themeColor="text1"/>
        </w:rPr>
        <w:t>2013</w:t>
      </w:r>
      <w:r w:rsidR="008B1424">
        <w:rPr>
          <w:rFonts w:ascii="Times New Roman" w:hAnsi="Times New Roman" w:cs="Times New Roman"/>
          <w:color w:val="000000" w:themeColor="text1"/>
        </w:rPr>
        <w:t xml:space="preserve"> (</w:t>
      </w:r>
      <w:r w:rsidR="003E3A1D">
        <w:rPr>
          <w:rFonts w:ascii="Times New Roman" w:hAnsi="Times New Roman" w:cs="Times New Roman"/>
          <w:color w:val="000000" w:themeColor="text1"/>
        </w:rPr>
        <w:t>+0</w:t>
      </w:r>
      <w:r w:rsidR="008B1424">
        <w:rPr>
          <w:rFonts w:ascii="Times New Roman" w:hAnsi="Times New Roman" w:cs="Times New Roman"/>
          <w:color w:val="000000" w:themeColor="text1"/>
        </w:rPr>
        <w:t>,5 point)</w:t>
      </w:r>
      <w:r w:rsidR="002C211A" w:rsidRPr="00C706A5">
        <w:rPr>
          <w:rFonts w:ascii="Times New Roman" w:hAnsi="Times New Roman" w:cs="Times New Roman"/>
          <w:color w:val="000000" w:themeColor="text1"/>
        </w:rPr>
        <w:t>.</w:t>
      </w:r>
    </w:p>
    <w:p w:rsidR="00C93EAA" w:rsidRDefault="00C93EAA" w:rsidP="00C93EAA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C93EAA" w:rsidRDefault="00C93EAA" w:rsidP="00DE048F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Inversement à </w:t>
      </w:r>
      <w:r w:rsidR="00DE048F">
        <w:rPr>
          <w:rFonts w:ascii="Times New Roman" w:hAnsi="Times New Roman" w:cs="Times New Roman"/>
          <w:color w:val="000000"/>
        </w:rPr>
        <w:t>cette tendance</w:t>
      </w:r>
      <w:r>
        <w:rPr>
          <w:rFonts w:ascii="Times New Roman" w:hAnsi="Times New Roman" w:cs="Times New Roman"/>
          <w:color w:val="000000"/>
        </w:rPr>
        <w:t xml:space="preserve">, les perceptions des ménages sur l’évolution </w:t>
      </w:r>
      <w:r w:rsidRPr="00B10F10">
        <w:rPr>
          <w:rFonts w:ascii="Times New Roman" w:hAnsi="Times New Roman" w:cs="Times New Roman"/>
          <w:color w:val="000000"/>
        </w:rPr>
        <w:t>future</w:t>
      </w:r>
      <w:r w:rsidRPr="00C229EC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de l</w:t>
      </w:r>
      <w:r w:rsidRPr="00B10F10">
        <w:rPr>
          <w:rFonts w:ascii="Times New Roman" w:hAnsi="Times New Roman" w:cs="Times New Roman"/>
          <w:color w:val="000000"/>
        </w:rPr>
        <w:t>eur situation financière personnelle</w:t>
      </w:r>
      <w:r>
        <w:rPr>
          <w:rFonts w:ascii="Times New Roman" w:hAnsi="Times New Roman" w:cs="Times New Roman"/>
          <w:color w:val="000000"/>
        </w:rPr>
        <w:t xml:space="preserve"> ont connu une détérioration de l’ordre de 3,9 points </w:t>
      </w:r>
      <w:r w:rsidRPr="00B10F10">
        <w:rPr>
          <w:rFonts w:ascii="Times New Roman" w:hAnsi="Times New Roman" w:cs="Times New Roman"/>
          <w:color w:val="000000"/>
        </w:rPr>
        <w:t xml:space="preserve">par rapport </w:t>
      </w:r>
      <w:r>
        <w:rPr>
          <w:rFonts w:ascii="Times New Roman" w:hAnsi="Times New Roman" w:cs="Times New Roman"/>
          <w:color w:val="000000"/>
        </w:rPr>
        <w:t>au</w:t>
      </w:r>
      <w:r w:rsidRPr="00B10F10">
        <w:rPr>
          <w:rFonts w:ascii="Times New Roman" w:hAnsi="Times New Roman" w:cs="Times New Roman"/>
          <w:color w:val="000000"/>
        </w:rPr>
        <w:t xml:space="preserve"> trimestre </w:t>
      </w:r>
      <w:r>
        <w:rPr>
          <w:rFonts w:ascii="Times New Roman" w:hAnsi="Times New Roman" w:cs="Times New Roman"/>
          <w:color w:val="000000"/>
        </w:rPr>
        <w:t>précédent et de 3,4 points</w:t>
      </w:r>
      <w:r w:rsidRPr="00C229EC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par rapport au deuxième trimestre de 2013.</w:t>
      </w:r>
    </w:p>
    <w:p w:rsidR="00C35F99" w:rsidRDefault="00C35F99" w:rsidP="00DE048F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Quant à </w:t>
      </w:r>
      <w:r w:rsidRPr="00B10F10">
        <w:rPr>
          <w:rFonts w:ascii="Times New Roman" w:hAnsi="Times New Roman" w:cs="Times New Roman"/>
          <w:color w:val="000000"/>
        </w:rPr>
        <w:t>l</w:t>
      </w:r>
      <w:r w:rsidR="00C229EC">
        <w:rPr>
          <w:rFonts w:ascii="Times New Roman" w:hAnsi="Times New Roman" w:cs="Times New Roman"/>
          <w:color w:val="000000"/>
        </w:rPr>
        <w:t>’évolution passée de l</w:t>
      </w:r>
      <w:r w:rsidRPr="00B10F10">
        <w:rPr>
          <w:rFonts w:ascii="Times New Roman" w:hAnsi="Times New Roman" w:cs="Times New Roman"/>
          <w:color w:val="000000"/>
        </w:rPr>
        <w:t>eur situation financière personnelle</w:t>
      </w:r>
      <w:r>
        <w:rPr>
          <w:rFonts w:ascii="Times New Roman" w:hAnsi="Times New Roman" w:cs="Times New Roman"/>
          <w:color w:val="000000"/>
        </w:rPr>
        <w:t>,</w:t>
      </w:r>
      <w:r w:rsidRPr="00B10F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les opinions des ménages</w:t>
      </w:r>
      <w:r w:rsidR="00A72622">
        <w:rPr>
          <w:rFonts w:ascii="Times New Roman" w:hAnsi="Times New Roman" w:cs="Times New Roman"/>
          <w:color w:val="000000"/>
        </w:rPr>
        <w:t xml:space="preserve">, au </w:t>
      </w:r>
      <w:r w:rsidR="00557809">
        <w:rPr>
          <w:rFonts w:ascii="Times New Roman" w:hAnsi="Times New Roman" w:cs="Times New Roman"/>
          <w:color w:val="000000"/>
        </w:rPr>
        <w:t xml:space="preserve">deuxième </w:t>
      </w:r>
      <w:r w:rsidR="00A72622">
        <w:rPr>
          <w:rFonts w:ascii="Times New Roman" w:hAnsi="Times New Roman" w:cs="Times New Roman"/>
          <w:color w:val="000000"/>
        </w:rPr>
        <w:t>trimestre de 2014,</w:t>
      </w:r>
      <w:r>
        <w:rPr>
          <w:rFonts w:ascii="Times New Roman" w:hAnsi="Times New Roman" w:cs="Times New Roman"/>
          <w:color w:val="000000"/>
        </w:rPr>
        <w:t xml:space="preserve"> s</w:t>
      </w:r>
      <w:r w:rsidR="003F1E9D">
        <w:rPr>
          <w:rFonts w:ascii="Times New Roman" w:hAnsi="Times New Roman" w:cs="Times New Roman"/>
          <w:color w:val="000000"/>
        </w:rPr>
        <w:t xml:space="preserve">e sont </w:t>
      </w:r>
      <w:r>
        <w:rPr>
          <w:rFonts w:ascii="Times New Roman" w:hAnsi="Times New Roman" w:cs="Times New Roman"/>
          <w:color w:val="000000"/>
        </w:rPr>
        <w:t>amélior</w:t>
      </w:r>
      <w:r w:rsidR="003F1E9D">
        <w:rPr>
          <w:rFonts w:ascii="Times New Roman" w:hAnsi="Times New Roman" w:cs="Times New Roman"/>
          <w:color w:val="000000"/>
        </w:rPr>
        <w:t>ées</w:t>
      </w:r>
      <w:r>
        <w:rPr>
          <w:rFonts w:ascii="Times New Roman" w:hAnsi="Times New Roman" w:cs="Times New Roman"/>
          <w:color w:val="000000"/>
        </w:rPr>
        <w:t xml:space="preserve"> de 0,</w:t>
      </w:r>
      <w:r w:rsidR="00E2206C">
        <w:rPr>
          <w:rFonts w:ascii="Times New Roman" w:hAnsi="Times New Roman" w:cs="Times New Roman"/>
          <w:color w:val="000000"/>
        </w:rPr>
        <w:t>5</w:t>
      </w:r>
      <w:r>
        <w:rPr>
          <w:rFonts w:ascii="Times New Roman" w:hAnsi="Times New Roman" w:cs="Times New Roman"/>
          <w:color w:val="000000"/>
        </w:rPr>
        <w:t xml:space="preserve"> point </w:t>
      </w:r>
      <w:r w:rsidRPr="00B10F10">
        <w:rPr>
          <w:rFonts w:ascii="Times New Roman" w:hAnsi="Times New Roman" w:cs="Times New Roman"/>
          <w:color w:val="000000"/>
        </w:rPr>
        <w:t xml:space="preserve">par rapport à un </w:t>
      </w:r>
      <w:r w:rsidR="00E2206C">
        <w:rPr>
          <w:rFonts w:ascii="Times New Roman" w:hAnsi="Times New Roman" w:cs="Times New Roman"/>
          <w:color w:val="000000"/>
        </w:rPr>
        <w:t xml:space="preserve">an </w:t>
      </w:r>
      <w:r w:rsidRPr="00B10F10">
        <w:rPr>
          <w:rFonts w:ascii="Times New Roman" w:hAnsi="Times New Roman" w:cs="Times New Roman"/>
          <w:color w:val="000000"/>
        </w:rPr>
        <w:t>auparavant</w:t>
      </w:r>
      <w:r>
        <w:rPr>
          <w:rFonts w:ascii="Times New Roman" w:hAnsi="Times New Roman" w:cs="Times New Roman"/>
          <w:color w:val="000000"/>
        </w:rPr>
        <w:t xml:space="preserve"> mais se </w:t>
      </w:r>
      <w:r w:rsidR="003F1E9D">
        <w:rPr>
          <w:rFonts w:ascii="Times New Roman" w:hAnsi="Times New Roman" w:cs="Times New Roman"/>
          <w:color w:val="000000"/>
        </w:rPr>
        <w:t xml:space="preserve">sont </w:t>
      </w:r>
      <w:r>
        <w:rPr>
          <w:rFonts w:ascii="Times New Roman" w:hAnsi="Times New Roman" w:cs="Times New Roman"/>
          <w:color w:val="000000"/>
        </w:rPr>
        <w:t>détérior</w:t>
      </w:r>
      <w:r w:rsidR="003F1E9D">
        <w:rPr>
          <w:rFonts w:ascii="Times New Roman" w:hAnsi="Times New Roman" w:cs="Times New Roman"/>
          <w:color w:val="000000"/>
        </w:rPr>
        <w:t>ées</w:t>
      </w:r>
      <w:r>
        <w:rPr>
          <w:rFonts w:ascii="Times New Roman" w:hAnsi="Times New Roman" w:cs="Times New Roman"/>
          <w:color w:val="000000"/>
        </w:rPr>
        <w:t xml:space="preserve"> de </w:t>
      </w:r>
      <w:r w:rsidR="00E2206C">
        <w:rPr>
          <w:rFonts w:ascii="Times New Roman" w:hAnsi="Times New Roman" w:cs="Times New Roman"/>
          <w:color w:val="000000"/>
        </w:rPr>
        <w:t>2</w:t>
      </w:r>
      <w:r>
        <w:rPr>
          <w:rFonts w:ascii="Times New Roman" w:hAnsi="Times New Roman" w:cs="Times New Roman"/>
          <w:color w:val="000000"/>
        </w:rPr>
        <w:t>,</w:t>
      </w:r>
      <w:r w:rsidR="00DE048F">
        <w:rPr>
          <w:rFonts w:ascii="Times New Roman" w:hAnsi="Times New Roman" w:cs="Times New Roman"/>
          <w:color w:val="000000"/>
        </w:rPr>
        <w:t>0</w:t>
      </w:r>
      <w:r>
        <w:rPr>
          <w:rFonts w:ascii="Times New Roman" w:hAnsi="Times New Roman" w:cs="Times New Roman"/>
          <w:color w:val="000000"/>
        </w:rPr>
        <w:t xml:space="preserve"> point</w:t>
      </w:r>
      <w:r w:rsidR="00E2206C"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</w:rPr>
        <w:t xml:space="preserve"> par rapport </w:t>
      </w:r>
      <w:r w:rsidR="00E2206C">
        <w:rPr>
          <w:rFonts w:ascii="Times New Roman" w:hAnsi="Times New Roman" w:cs="Times New Roman"/>
          <w:color w:val="000000"/>
        </w:rPr>
        <w:t>au trimestre précédent</w:t>
      </w:r>
      <w:r>
        <w:rPr>
          <w:rFonts w:ascii="Times New Roman" w:hAnsi="Times New Roman" w:cs="Times New Roman"/>
          <w:color w:val="000000"/>
        </w:rPr>
        <w:t>.</w:t>
      </w:r>
    </w:p>
    <w:p w:rsidR="00585C38" w:rsidRDefault="00585C38" w:rsidP="00585C38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AF6349" w:rsidRDefault="00AF6349" w:rsidP="00D46521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C51C29" w:rsidRPr="00C706A5" w:rsidRDefault="00C51C29" w:rsidP="00C049EB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F06A6A" w:rsidRPr="00C706A5" w:rsidRDefault="005A2E34" w:rsidP="003A5245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5A2E34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6283779" cy="2682422"/>
            <wp:effectExtent l="19050" t="0" r="21771" b="3628"/>
            <wp:docPr id="7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195D2E" w:rsidRPr="00C706A5" w:rsidRDefault="00195D2E" w:rsidP="00195D2E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C62F85" w:rsidRPr="00C706A5" w:rsidRDefault="00C62F85" w:rsidP="0053124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rtl/>
        </w:rPr>
      </w:pPr>
    </w:p>
    <w:p w:rsidR="00A52030" w:rsidRPr="00C706A5" w:rsidRDefault="00613A81" w:rsidP="00613A81">
      <w:pPr>
        <w:pStyle w:val="Paragraphedeliste"/>
        <w:numPr>
          <w:ilvl w:val="0"/>
          <w:numId w:val="9"/>
        </w:numPr>
        <w:ind w:left="426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A</w:t>
      </w:r>
      <w:r w:rsidR="00A52030"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utres </w:t>
      </w:r>
      <w:r>
        <w:rPr>
          <w:rFonts w:ascii="Times New Roman" w:hAnsi="Times New Roman" w:cs="Times New Roman"/>
          <w:b/>
          <w:bCs/>
          <w:color w:val="000000" w:themeColor="text1"/>
        </w:rPr>
        <w:t>p</w:t>
      </w:r>
      <w:r w:rsidR="00A52030" w:rsidRPr="00C706A5">
        <w:rPr>
          <w:rFonts w:ascii="Times New Roman" w:hAnsi="Times New Roman" w:cs="Times New Roman"/>
          <w:b/>
          <w:bCs/>
          <w:color w:val="000000" w:themeColor="text1"/>
        </w:rPr>
        <w:t>erception</w:t>
      </w:r>
      <w:r>
        <w:rPr>
          <w:rFonts w:ascii="Times New Roman" w:hAnsi="Times New Roman" w:cs="Times New Roman"/>
          <w:b/>
          <w:bCs/>
          <w:color w:val="000000" w:themeColor="text1"/>
        </w:rPr>
        <w:t>s</w:t>
      </w:r>
      <w:r w:rsidR="00A52030"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9264E7" w:rsidRPr="00C706A5">
        <w:rPr>
          <w:rFonts w:ascii="Times New Roman" w:hAnsi="Times New Roman" w:cs="Times New Roman"/>
          <w:b/>
          <w:bCs/>
          <w:color w:val="000000" w:themeColor="text1"/>
        </w:rPr>
        <w:t>de la conjoncture</w:t>
      </w:r>
    </w:p>
    <w:p w:rsidR="00A52030" w:rsidRPr="00C706A5" w:rsidRDefault="00A52030" w:rsidP="00A52030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 xml:space="preserve">En plus des sept indicateurs composant l’ICM, l’enquête fournit des données trimestrielles sur les perceptions des ménages relatives à d’autres aspects de leurs conditions de vie. Il s’agit en particulier de la capacité d’épargne des ménages et de l’évolution des prix des produits alimentaires. </w:t>
      </w:r>
    </w:p>
    <w:p w:rsidR="00A52030" w:rsidRPr="00C706A5" w:rsidRDefault="00A52030" w:rsidP="00A52030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812210" w:rsidRPr="00C706A5" w:rsidRDefault="00812210" w:rsidP="00485A6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• </w:t>
      </w:r>
      <w:r w:rsidR="004E7840">
        <w:rPr>
          <w:rFonts w:ascii="Times New Roman" w:hAnsi="Times New Roman" w:cs="Times New Roman"/>
          <w:b/>
          <w:bCs/>
          <w:color w:val="000000" w:themeColor="text1"/>
        </w:rPr>
        <w:t>Détérioration attendue de la c</w:t>
      </w:r>
      <w:r w:rsidR="00057E1A"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apacité </w:t>
      </w:r>
      <w:r w:rsidR="000518A6"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des ménages à </w:t>
      </w:r>
      <w:r w:rsidR="00057E1A" w:rsidRPr="00C706A5">
        <w:rPr>
          <w:rFonts w:ascii="Times New Roman" w:hAnsi="Times New Roman" w:cs="Times New Roman"/>
          <w:b/>
          <w:bCs/>
          <w:color w:val="000000" w:themeColor="text1"/>
        </w:rPr>
        <w:t>épargne</w:t>
      </w:r>
      <w:r w:rsidR="000518A6" w:rsidRPr="00C706A5">
        <w:rPr>
          <w:rFonts w:ascii="Times New Roman" w:hAnsi="Times New Roman" w:cs="Times New Roman"/>
          <w:b/>
          <w:bCs/>
          <w:color w:val="000000" w:themeColor="text1"/>
        </w:rPr>
        <w:t>r</w:t>
      </w:r>
    </w:p>
    <w:p w:rsidR="00735526" w:rsidRPr="00C706A5" w:rsidRDefault="000B09BA" w:rsidP="00DE048F">
      <w:pPr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>Les</w:t>
      </w:r>
      <w:r w:rsidR="007F3847" w:rsidRPr="00C706A5">
        <w:rPr>
          <w:rFonts w:ascii="Times New Roman" w:hAnsi="Times New Roman" w:cs="Times New Roman"/>
          <w:color w:val="000000" w:themeColor="text1"/>
        </w:rPr>
        <w:t xml:space="preserve"> ménages </w:t>
      </w:r>
      <w:r w:rsidR="00D268A1" w:rsidRPr="00C706A5">
        <w:rPr>
          <w:rFonts w:ascii="Times New Roman" w:hAnsi="Times New Roman" w:cs="Times New Roman"/>
          <w:color w:val="000000" w:themeColor="text1"/>
        </w:rPr>
        <w:t xml:space="preserve">sont </w:t>
      </w:r>
      <w:r w:rsidRPr="00C706A5">
        <w:rPr>
          <w:rFonts w:ascii="Times New Roman" w:hAnsi="Times New Roman" w:cs="Times New Roman"/>
          <w:color w:val="000000" w:themeColor="text1"/>
        </w:rPr>
        <w:t xml:space="preserve">toujours </w:t>
      </w:r>
      <w:r w:rsidR="00D268A1" w:rsidRPr="00C706A5">
        <w:rPr>
          <w:rFonts w:ascii="Times New Roman" w:hAnsi="Times New Roman" w:cs="Times New Roman"/>
          <w:color w:val="000000" w:themeColor="text1"/>
        </w:rPr>
        <w:t xml:space="preserve">pessimistes quant à </w:t>
      </w:r>
      <w:r w:rsidR="00057E1A" w:rsidRPr="00C706A5">
        <w:rPr>
          <w:rFonts w:ascii="Times New Roman" w:hAnsi="Times New Roman" w:cs="Times New Roman"/>
          <w:color w:val="000000" w:themeColor="text1"/>
        </w:rPr>
        <w:t>leur</w:t>
      </w:r>
      <w:r w:rsidR="00D268A1" w:rsidRPr="00C706A5">
        <w:rPr>
          <w:rFonts w:ascii="Times New Roman" w:hAnsi="Times New Roman" w:cs="Times New Roman"/>
          <w:color w:val="000000" w:themeColor="text1"/>
        </w:rPr>
        <w:t>s</w:t>
      </w:r>
      <w:r w:rsidR="00057E1A" w:rsidRPr="00C706A5">
        <w:rPr>
          <w:rFonts w:ascii="Times New Roman" w:hAnsi="Times New Roman" w:cs="Times New Roman"/>
          <w:color w:val="000000" w:themeColor="text1"/>
        </w:rPr>
        <w:t xml:space="preserve"> capacité</w:t>
      </w:r>
      <w:r w:rsidR="00D268A1" w:rsidRPr="00C706A5">
        <w:rPr>
          <w:rFonts w:ascii="Times New Roman" w:hAnsi="Times New Roman" w:cs="Times New Roman"/>
          <w:color w:val="000000" w:themeColor="text1"/>
        </w:rPr>
        <w:t>s</w:t>
      </w:r>
      <w:r w:rsidR="00057E1A" w:rsidRPr="00C706A5">
        <w:rPr>
          <w:rFonts w:ascii="Times New Roman" w:hAnsi="Times New Roman" w:cs="Times New Roman"/>
          <w:color w:val="000000" w:themeColor="text1"/>
        </w:rPr>
        <w:t xml:space="preserve"> à épargner dans les mois à venir</w:t>
      </w:r>
      <w:r w:rsidR="00812210" w:rsidRPr="00C706A5">
        <w:rPr>
          <w:rFonts w:ascii="Times New Roman" w:hAnsi="Times New Roman" w:cs="Times New Roman"/>
          <w:color w:val="000000" w:themeColor="text1"/>
        </w:rPr>
        <w:t xml:space="preserve">. </w:t>
      </w:r>
      <w:r w:rsidRPr="00C706A5">
        <w:rPr>
          <w:rFonts w:ascii="Times New Roman" w:hAnsi="Times New Roman" w:cs="Times New Roman"/>
          <w:color w:val="000000" w:themeColor="text1"/>
        </w:rPr>
        <w:t xml:space="preserve">Au </w:t>
      </w:r>
      <w:r w:rsidR="00557809">
        <w:rPr>
          <w:rFonts w:ascii="Times New Roman" w:hAnsi="Times New Roman" w:cs="Times New Roman"/>
          <w:color w:val="000000" w:themeColor="text1"/>
        </w:rPr>
        <w:t xml:space="preserve">deuxième </w:t>
      </w:r>
      <w:r w:rsidR="0004211E">
        <w:rPr>
          <w:rFonts w:ascii="Times New Roman" w:hAnsi="Times New Roman" w:cs="Times New Roman"/>
          <w:color w:val="000000" w:themeColor="text1"/>
        </w:rPr>
        <w:t>trimestre</w:t>
      </w:r>
      <w:r w:rsidRPr="00C706A5">
        <w:rPr>
          <w:rFonts w:ascii="Times New Roman" w:hAnsi="Times New Roman" w:cs="Times New Roman"/>
          <w:color w:val="000000" w:themeColor="text1"/>
        </w:rPr>
        <w:t xml:space="preserve"> de </w:t>
      </w:r>
      <w:r w:rsidR="0004211E">
        <w:rPr>
          <w:rFonts w:ascii="Times New Roman" w:hAnsi="Times New Roman" w:cs="Times New Roman"/>
          <w:color w:val="000000" w:themeColor="text1"/>
        </w:rPr>
        <w:t>2014</w:t>
      </w:r>
      <w:r w:rsidRPr="00C706A5">
        <w:rPr>
          <w:rFonts w:ascii="Times New Roman" w:hAnsi="Times New Roman" w:cs="Times New Roman"/>
          <w:color w:val="000000" w:themeColor="text1"/>
        </w:rPr>
        <w:t xml:space="preserve">, </w:t>
      </w:r>
      <w:r w:rsidR="007F3847" w:rsidRPr="00C706A5">
        <w:rPr>
          <w:rFonts w:ascii="Times New Roman" w:hAnsi="Times New Roman" w:cs="Times New Roman"/>
          <w:color w:val="000000" w:themeColor="text1"/>
        </w:rPr>
        <w:t>8</w:t>
      </w:r>
      <w:r w:rsidR="00641937">
        <w:rPr>
          <w:rFonts w:ascii="Times New Roman" w:hAnsi="Times New Roman" w:cs="Times New Roman"/>
          <w:color w:val="000000" w:themeColor="text1"/>
        </w:rPr>
        <w:t>5</w:t>
      </w:r>
      <w:r w:rsidR="007F3847" w:rsidRPr="00C706A5">
        <w:rPr>
          <w:rFonts w:ascii="Times New Roman" w:hAnsi="Times New Roman" w:cs="Times New Roman"/>
          <w:color w:val="000000" w:themeColor="text1"/>
        </w:rPr>
        <w:t>,</w:t>
      </w:r>
      <w:r w:rsidR="00641937">
        <w:rPr>
          <w:rFonts w:ascii="Times New Roman" w:hAnsi="Times New Roman" w:cs="Times New Roman"/>
          <w:color w:val="000000" w:themeColor="text1"/>
        </w:rPr>
        <w:t>1</w:t>
      </w:r>
      <w:r w:rsidR="007F3847" w:rsidRPr="00C706A5">
        <w:rPr>
          <w:rFonts w:ascii="Times New Roman" w:hAnsi="Times New Roman" w:cs="Times New Roman"/>
          <w:color w:val="000000" w:themeColor="text1"/>
        </w:rPr>
        <w:t>%</w:t>
      </w:r>
      <w:r w:rsidR="00DE048F">
        <w:rPr>
          <w:rFonts w:ascii="Times New Roman" w:hAnsi="Times New Roman" w:cs="Times New Roman"/>
          <w:color w:val="000000" w:themeColor="text1"/>
        </w:rPr>
        <w:t xml:space="preserve"> des ménages</w:t>
      </w:r>
      <w:r w:rsidR="00511C57" w:rsidRPr="00C706A5">
        <w:rPr>
          <w:rFonts w:ascii="Times New Roman" w:hAnsi="Times New Roman" w:cs="Times New Roman"/>
          <w:color w:val="000000" w:themeColor="text1"/>
        </w:rPr>
        <w:t xml:space="preserve"> pensent ne pas pouvoir épargner au cours des 12 prochains mois</w:t>
      </w:r>
      <w:r w:rsidR="007F3847" w:rsidRPr="00C706A5">
        <w:rPr>
          <w:rFonts w:ascii="Times New Roman" w:hAnsi="Times New Roman" w:cs="Times New Roman"/>
          <w:color w:val="000000" w:themeColor="text1"/>
        </w:rPr>
        <w:t xml:space="preserve"> contre </w:t>
      </w:r>
      <w:r w:rsidR="00735526" w:rsidRPr="00C706A5">
        <w:rPr>
          <w:rFonts w:ascii="Times New Roman" w:hAnsi="Times New Roman" w:cs="Times New Roman"/>
          <w:color w:val="000000" w:themeColor="text1"/>
        </w:rPr>
        <w:t>1</w:t>
      </w:r>
      <w:r w:rsidR="00641937">
        <w:rPr>
          <w:rFonts w:ascii="Times New Roman" w:hAnsi="Times New Roman" w:cs="Times New Roman"/>
          <w:color w:val="000000" w:themeColor="text1"/>
        </w:rPr>
        <w:t>4</w:t>
      </w:r>
      <w:r w:rsidR="007F3847" w:rsidRPr="00C706A5">
        <w:rPr>
          <w:rFonts w:ascii="Times New Roman" w:hAnsi="Times New Roman" w:cs="Times New Roman"/>
          <w:color w:val="000000" w:themeColor="text1"/>
        </w:rPr>
        <w:t>,</w:t>
      </w:r>
      <w:r w:rsidR="00641937">
        <w:rPr>
          <w:rFonts w:ascii="Times New Roman" w:hAnsi="Times New Roman" w:cs="Times New Roman"/>
          <w:color w:val="000000" w:themeColor="text1"/>
        </w:rPr>
        <w:t>9</w:t>
      </w:r>
      <w:r w:rsidR="007F3847" w:rsidRPr="00C706A5">
        <w:rPr>
          <w:rFonts w:ascii="Times New Roman" w:hAnsi="Times New Roman" w:cs="Times New Roman"/>
          <w:color w:val="000000" w:themeColor="text1"/>
        </w:rPr>
        <w:t>%</w:t>
      </w:r>
      <w:r w:rsidR="00735526" w:rsidRPr="00C706A5">
        <w:rPr>
          <w:rFonts w:ascii="Times New Roman" w:hAnsi="Times New Roman" w:cs="Times New Roman"/>
          <w:color w:val="000000" w:themeColor="text1"/>
        </w:rPr>
        <w:t xml:space="preserve"> qui pensent le contraire</w:t>
      </w:r>
      <w:r w:rsidR="00507FF6">
        <w:rPr>
          <w:rFonts w:ascii="Times New Roman" w:hAnsi="Times New Roman" w:cs="Times New Roman"/>
          <w:color w:val="000000" w:themeColor="text1"/>
        </w:rPr>
        <w:t>. L</w:t>
      </w:r>
      <w:r w:rsidR="00735526" w:rsidRPr="00C706A5">
        <w:rPr>
          <w:rFonts w:ascii="Times New Roman" w:hAnsi="Times New Roman" w:cs="Times New Roman"/>
          <w:color w:val="000000" w:themeColor="text1"/>
        </w:rPr>
        <w:t>e solde de cet indicateur se situe, ainsi, à un niveau négatif de -</w:t>
      </w:r>
      <w:r w:rsidR="00641937">
        <w:rPr>
          <w:rFonts w:ascii="Times New Roman" w:hAnsi="Times New Roman" w:cs="Times New Roman"/>
          <w:color w:val="000000" w:themeColor="text1"/>
        </w:rPr>
        <w:t>70</w:t>
      </w:r>
      <w:r w:rsidR="00A413F7" w:rsidRPr="00C706A5">
        <w:rPr>
          <w:rFonts w:ascii="Times New Roman" w:hAnsi="Times New Roman" w:cs="Times New Roman"/>
          <w:color w:val="000000" w:themeColor="text1"/>
        </w:rPr>
        <w:t>,</w:t>
      </w:r>
      <w:r w:rsidR="00641937">
        <w:rPr>
          <w:rFonts w:ascii="Times New Roman" w:hAnsi="Times New Roman" w:cs="Times New Roman"/>
          <w:color w:val="000000" w:themeColor="text1"/>
        </w:rPr>
        <w:t>2</w:t>
      </w:r>
      <w:r w:rsidR="00735526" w:rsidRPr="00C706A5">
        <w:rPr>
          <w:rFonts w:ascii="Times New Roman" w:hAnsi="Times New Roman" w:cs="Times New Roman"/>
          <w:color w:val="000000" w:themeColor="text1"/>
        </w:rPr>
        <w:t xml:space="preserve"> points </w:t>
      </w:r>
      <w:r w:rsidR="008D4C14">
        <w:rPr>
          <w:rFonts w:ascii="Times New Roman" w:hAnsi="Times New Roman" w:cs="Times New Roman"/>
          <w:color w:val="000000" w:themeColor="text1"/>
        </w:rPr>
        <w:t xml:space="preserve">enregistrant </w:t>
      </w:r>
      <w:r w:rsidR="00DA244B">
        <w:rPr>
          <w:rFonts w:ascii="Times New Roman" w:hAnsi="Times New Roman" w:cs="Times New Roman"/>
          <w:color w:val="000000" w:themeColor="text1"/>
        </w:rPr>
        <w:t>une</w:t>
      </w:r>
      <w:r w:rsidR="00DA244B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DA244B">
        <w:rPr>
          <w:rFonts w:ascii="Times New Roman" w:hAnsi="Times New Roman" w:cs="Times New Roman"/>
          <w:color w:val="000000" w:themeColor="text1"/>
        </w:rPr>
        <w:t xml:space="preserve">détérioration </w:t>
      </w:r>
      <w:r w:rsidR="00DA244B" w:rsidRPr="00C706A5">
        <w:rPr>
          <w:rFonts w:ascii="Times New Roman" w:hAnsi="Times New Roman" w:cs="Times New Roman"/>
          <w:color w:val="000000" w:themeColor="text1"/>
        </w:rPr>
        <w:t xml:space="preserve">de </w:t>
      </w:r>
      <w:r w:rsidR="00DA244B">
        <w:rPr>
          <w:rFonts w:ascii="Times New Roman" w:hAnsi="Times New Roman" w:cs="Times New Roman"/>
          <w:color w:val="000000" w:themeColor="text1"/>
        </w:rPr>
        <w:t>3</w:t>
      </w:r>
      <w:r w:rsidR="00DA244B" w:rsidRPr="00C706A5">
        <w:rPr>
          <w:rFonts w:ascii="Times New Roman" w:hAnsi="Times New Roman" w:cs="Times New Roman"/>
          <w:color w:val="000000" w:themeColor="text1"/>
        </w:rPr>
        <w:t>,</w:t>
      </w:r>
      <w:r w:rsidR="00DA244B">
        <w:rPr>
          <w:rFonts w:ascii="Times New Roman" w:hAnsi="Times New Roman" w:cs="Times New Roman"/>
          <w:color w:val="000000" w:themeColor="text1"/>
        </w:rPr>
        <w:t>6 points</w:t>
      </w:r>
      <w:r w:rsidR="00DA244B" w:rsidRPr="00641937">
        <w:rPr>
          <w:rFonts w:ascii="Times New Roman" w:hAnsi="Times New Roman" w:cs="Times New Roman"/>
          <w:color w:val="000000" w:themeColor="text1"/>
        </w:rPr>
        <w:t xml:space="preserve"> </w:t>
      </w:r>
      <w:r w:rsidR="00DA244B" w:rsidRPr="00C706A5">
        <w:rPr>
          <w:rFonts w:ascii="Times New Roman" w:hAnsi="Times New Roman" w:cs="Times New Roman"/>
          <w:color w:val="000000" w:themeColor="text1"/>
        </w:rPr>
        <w:t>par rapport au trimestre précédent</w:t>
      </w:r>
      <w:r w:rsidR="00DA244B">
        <w:rPr>
          <w:rFonts w:ascii="Times New Roman" w:hAnsi="Times New Roman" w:cs="Times New Roman"/>
          <w:color w:val="000000" w:themeColor="text1"/>
        </w:rPr>
        <w:t xml:space="preserve"> et </w:t>
      </w:r>
      <w:r w:rsidR="008D4C14">
        <w:rPr>
          <w:rFonts w:ascii="Times New Roman" w:hAnsi="Times New Roman" w:cs="Times New Roman"/>
          <w:color w:val="000000" w:themeColor="text1"/>
        </w:rPr>
        <w:t>une</w:t>
      </w:r>
      <w:r w:rsidR="00735526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5F2E1B">
        <w:rPr>
          <w:rFonts w:ascii="Times New Roman" w:hAnsi="Times New Roman" w:cs="Times New Roman"/>
          <w:color w:val="000000" w:themeColor="text1"/>
        </w:rPr>
        <w:t xml:space="preserve">quasi stagnation </w:t>
      </w:r>
      <w:r w:rsidR="00641937" w:rsidRPr="00C706A5">
        <w:rPr>
          <w:rFonts w:ascii="Times New Roman" w:hAnsi="Times New Roman" w:cs="Times New Roman"/>
          <w:color w:val="000000" w:themeColor="text1"/>
        </w:rPr>
        <w:t xml:space="preserve">par rapport à la même période de </w:t>
      </w:r>
      <w:r w:rsidR="00641937">
        <w:rPr>
          <w:rFonts w:ascii="Times New Roman" w:hAnsi="Times New Roman" w:cs="Times New Roman"/>
          <w:color w:val="000000" w:themeColor="text1"/>
        </w:rPr>
        <w:t>2013</w:t>
      </w:r>
      <w:r w:rsidR="00735526" w:rsidRPr="00C706A5">
        <w:rPr>
          <w:rFonts w:ascii="Times New Roman" w:hAnsi="Times New Roman" w:cs="Times New Roman"/>
          <w:color w:val="000000" w:themeColor="text1"/>
        </w:rPr>
        <w:t>.</w:t>
      </w:r>
    </w:p>
    <w:p w:rsidR="007C52B7" w:rsidRPr="00C706A5" w:rsidRDefault="007C52B7" w:rsidP="00C60EE9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E92F9F" w:rsidRPr="00C706A5" w:rsidRDefault="00AE27A6" w:rsidP="007C33B5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C706A5">
        <w:rPr>
          <w:rFonts w:ascii="Times New Roman" w:hAnsi="Times New Roman" w:cs="Times New Roman"/>
          <w:b/>
          <w:bCs/>
          <w:color w:val="000000" w:themeColor="text1"/>
        </w:rPr>
        <w:t>•</w:t>
      </w:r>
      <w:r w:rsidR="00307E2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7C33B5">
        <w:rPr>
          <w:rFonts w:ascii="Times New Roman" w:hAnsi="Times New Roman" w:cs="Times New Roman"/>
          <w:b/>
          <w:bCs/>
          <w:color w:val="000000" w:themeColor="text1"/>
        </w:rPr>
        <w:t xml:space="preserve">Les ménages continuent à s’attendre à une hausse </w:t>
      </w:r>
      <w:r w:rsidR="00307E20">
        <w:rPr>
          <w:rFonts w:ascii="Times New Roman" w:hAnsi="Times New Roman" w:cs="Times New Roman"/>
          <w:b/>
          <w:bCs/>
          <w:color w:val="000000" w:themeColor="text1"/>
        </w:rPr>
        <w:t>des p</w:t>
      </w:r>
      <w:r w:rsidR="00307E20" w:rsidRPr="00C706A5">
        <w:rPr>
          <w:rFonts w:ascii="Times New Roman" w:hAnsi="Times New Roman" w:cs="Times New Roman"/>
          <w:b/>
          <w:bCs/>
          <w:color w:val="000000" w:themeColor="text1"/>
        </w:rPr>
        <w:t>rix des produits alimentaires</w:t>
      </w:r>
    </w:p>
    <w:p w:rsidR="00A644C5" w:rsidRPr="00C706A5" w:rsidRDefault="00985AB3" w:rsidP="0032273E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 xml:space="preserve">Au </w:t>
      </w:r>
      <w:r w:rsidR="00557809">
        <w:rPr>
          <w:rFonts w:ascii="Times New Roman" w:hAnsi="Times New Roman" w:cs="Times New Roman"/>
          <w:color w:val="000000" w:themeColor="text1"/>
        </w:rPr>
        <w:t xml:space="preserve">deuxième </w:t>
      </w:r>
      <w:r w:rsidR="0004211E">
        <w:rPr>
          <w:rFonts w:ascii="Times New Roman" w:hAnsi="Times New Roman" w:cs="Times New Roman"/>
          <w:color w:val="000000" w:themeColor="text1"/>
        </w:rPr>
        <w:t>trimestre</w:t>
      </w:r>
      <w:r w:rsidR="001B3707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Pr="00C706A5">
        <w:rPr>
          <w:rFonts w:ascii="Times New Roman" w:hAnsi="Times New Roman" w:cs="Times New Roman"/>
          <w:color w:val="000000" w:themeColor="text1"/>
        </w:rPr>
        <w:t xml:space="preserve">de </w:t>
      </w:r>
      <w:r w:rsidR="0004211E">
        <w:rPr>
          <w:rFonts w:ascii="Times New Roman" w:hAnsi="Times New Roman" w:cs="Times New Roman"/>
          <w:color w:val="000000" w:themeColor="text1"/>
        </w:rPr>
        <w:t>2014</w:t>
      </w:r>
      <w:r w:rsidRPr="00C706A5">
        <w:rPr>
          <w:rFonts w:ascii="Times New Roman" w:hAnsi="Times New Roman" w:cs="Times New Roman"/>
          <w:color w:val="000000" w:themeColor="text1"/>
        </w:rPr>
        <w:t xml:space="preserve">, </w:t>
      </w:r>
      <w:r w:rsidR="00352D33" w:rsidRPr="00C706A5">
        <w:rPr>
          <w:rFonts w:ascii="Times New Roman" w:hAnsi="Times New Roman" w:cs="Times New Roman"/>
          <w:color w:val="000000" w:themeColor="text1"/>
        </w:rPr>
        <w:t>pr</w:t>
      </w:r>
      <w:r w:rsidR="00E443E4" w:rsidRPr="00C706A5">
        <w:rPr>
          <w:rFonts w:ascii="Times New Roman" w:hAnsi="Times New Roman" w:cs="Times New Roman"/>
          <w:color w:val="000000" w:themeColor="text1"/>
        </w:rPr>
        <w:t>è</w:t>
      </w:r>
      <w:r w:rsidR="00352D33" w:rsidRPr="00C706A5">
        <w:rPr>
          <w:rFonts w:ascii="Times New Roman" w:hAnsi="Times New Roman" w:cs="Times New Roman"/>
          <w:color w:val="000000" w:themeColor="text1"/>
        </w:rPr>
        <w:t xml:space="preserve">s </w:t>
      </w:r>
      <w:r w:rsidR="00742AC3" w:rsidRPr="00C706A5">
        <w:rPr>
          <w:rFonts w:ascii="Times New Roman" w:hAnsi="Times New Roman" w:cs="Times New Roman"/>
          <w:color w:val="000000" w:themeColor="text1"/>
        </w:rPr>
        <w:t xml:space="preserve">de </w:t>
      </w:r>
      <w:r w:rsidR="0032273E">
        <w:rPr>
          <w:rFonts w:ascii="Times New Roman" w:hAnsi="Times New Roman" w:cs="Times New Roman"/>
          <w:color w:val="000000" w:themeColor="text1"/>
        </w:rPr>
        <w:t>85</w:t>
      </w:r>
      <w:r w:rsidR="00507FF6">
        <w:rPr>
          <w:rFonts w:ascii="Times New Roman" w:hAnsi="Times New Roman" w:cs="Times New Roman"/>
          <w:color w:val="000000" w:themeColor="text1"/>
        </w:rPr>
        <w:t>,</w:t>
      </w:r>
      <w:r w:rsidR="0032273E">
        <w:rPr>
          <w:rFonts w:ascii="Times New Roman" w:hAnsi="Times New Roman" w:cs="Times New Roman"/>
          <w:color w:val="000000" w:themeColor="text1"/>
        </w:rPr>
        <w:t>3</w:t>
      </w:r>
      <w:r w:rsidR="00563170" w:rsidRPr="00C706A5">
        <w:rPr>
          <w:rFonts w:ascii="Times New Roman" w:hAnsi="Times New Roman" w:cs="Times New Roman"/>
          <w:color w:val="000000" w:themeColor="text1"/>
        </w:rPr>
        <w:t>%</w:t>
      </w:r>
      <w:r w:rsidR="00742AC3" w:rsidRPr="00C706A5">
        <w:rPr>
          <w:rFonts w:ascii="Times New Roman" w:hAnsi="Times New Roman" w:cs="Times New Roman"/>
          <w:color w:val="000000" w:themeColor="text1"/>
        </w:rPr>
        <w:t xml:space="preserve"> des ménages</w:t>
      </w:r>
      <w:r w:rsidR="00A644C5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A644C5" w:rsidRPr="00C706A5">
        <w:rPr>
          <w:rFonts w:ascii="Times New Roman" w:hAnsi="Times New Roman" w:cs="Times New Roman"/>
          <w:color w:val="000000" w:themeColor="text1"/>
        </w:rPr>
        <w:t>pensent que les prix des produits alimentaires ont augmenté</w:t>
      </w:r>
      <w:r w:rsidR="00DC1E47">
        <w:rPr>
          <w:rFonts w:ascii="Times New Roman" w:hAnsi="Times New Roman" w:cs="Times New Roman" w:hint="cs"/>
          <w:color w:val="000000" w:themeColor="text1"/>
          <w:rtl/>
        </w:rPr>
        <w:t xml:space="preserve"> </w:t>
      </w:r>
      <w:r w:rsidR="00DC1E47">
        <w:rPr>
          <w:rFonts w:ascii="Times New Roman" w:hAnsi="Times New Roman" w:cs="Times New Roman"/>
          <w:color w:val="000000" w:themeColor="text1"/>
        </w:rPr>
        <w:t>dans le passé</w:t>
      </w:r>
      <w:r w:rsidR="00A644C5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Pr="00C706A5">
        <w:rPr>
          <w:rFonts w:ascii="Times New Roman" w:hAnsi="Times New Roman" w:cs="Times New Roman"/>
          <w:color w:val="000000" w:themeColor="text1"/>
        </w:rPr>
        <w:t xml:space="preserve">contre </w:t>
      </w:r>
      <w:r w:rsidR="0032273E">
        <w:rPr>
          <w:rFonts w:ascii="Times New Roman" w:hAnsi="Times New Roman" w:cs="Times New Roman"/>
          <w:color w:val="000000" w:themeColor="text1"/>
        </w:rPr>
        <w:t>90</w:t>
      </w:r>
      <w:r w:rsidR="00352D33" w:rsidRPr="00C706A5">
        <w:rPr>
          <w:rFonts w:ascii="Times New Roman" w:hAnsi="Times New Roman" w:cs="Times New Roman"/>
          <w:color w:val="000000" w:themeColor="text1"/>
        </w:rPr>
        <w:t>,</w:t>
      </w:r>
      <w:r w:rsidR="0032273E">
        <w:rPr>
          <w:rFonts w:ascii="Times New Roman" w:hAnsi="Times New Roman" w:cs="Times New Roman"/>
          <w:color w:val="000000" w:themeColor="text1"/>
        </w:rPr>
        <w:t>5</w:t>
      </w:r>
      <w:r w:rsidRPr="00C706A5">
        <w:rPr>
          <w:rFonts w:ascii="Times New Roman" w:hAnsi="Times New Roman" w:cs="Times New Roman"/>
          <w:color w:val="000000" w:themeColor="text1"/>
        </w:rPr>
        <w:t xml:space="preserve">% </w:t>
      </w:r>
      <w:r w:rsidR="00581D56" w:rsidRPr="00C706A5">
        <w:rPr>
          <w:rFonts w:ascii="Times New Roman" w:hAnsi="Times New Roman" w:cs="Times New Roman"/>
          <w:color w:val="000000" w:themeColor="text1"/>
        </w:rPr>
        <w:t>un</w:t>
      </w:r>
      <w:r w:rsidRPr="00C706A5">
        <w:rPr>
          <w:rFonts w:ascii="Times New Roman" w:hAnsi="Times New Roman" w:cs="Times New Roman"/>
          <w:color w:val="000000" w:themeColor="text1"/>
        </w:rPr>
        <w:t xml:space="preserve"> trimestre </w:t>
      </w:r>
      <w:r w:rsidR="00581D56" w:rsidRPr="00C706A5">
        <w:rPr>
          <w:rFonts w:ascii="Times New Roman" w:hAnsi="Times New Roman" w:cs="Times New Roman"/>
          <w:color w:val="000000" w:themeColor="text1"/>
        </w:rPr>
        <w:t>auparavant</w:t>
      </w:r>
      <w:r w:rsidRPr="00C706A5">
        <w:rPr>
          <w:rFonts w:ascii="Times New Roman" w:hAnsi="Times New Roman" w:cs="Times New Roman"/>
          <w:color w:val="000000" w:themeColor="text1"/>
        </w:rPr>
        <w:t xml:space="preserve"> et </w:t>
      </w:r>
      <w:r w:rsidR="008A184F" w:rsidRPr="00C706A5">
        <w:rPr>
          <w:rFonts w:ascii="Times New Roman" w:hAnsi="Times New Roman" w:cs="Times New Roman"/>
          <w:color w:val="000000" w:themeColor="text1"/>
        </w:rPr>
        <w:t>9</w:t>
      </w:r>
      <w:r w:rsidR="0032273E">
        <w:rPr>
          <w:rFonts w:ascii="Times New Roman" w:hAnsi="Times New Roman" w:cs="Times New Roman"/>
          <w:color w:val="000000" w:themeColor="text1"/>
        </w:rPr>
        <w:t>0</w:t>
      </w:r>
      <w:r w:rsidRPr="00C706A5">
        <w:rPr>
          <w:rFonts w:ascii="Times New Roman" w:hAnsi="Times New Roman" w:cs="Times New Roman"/>
          <w:color w:val="000000" w:themeColor="text1"/>
        </w:rPr>
        <w:t>% un an auparavant</w:t>
      </w:r>
      <w:r w:rsidR="00A644C5" w:rsidRPr="00C706A5">
        <w:rPr>
          <w:rFonts w:ascii="Times New Roman" w:hAnsi="Times New Roman" w:cs="Times New Roman"/>
          <w:color w:val="000000" w:themeColor="text1"/>
        </w:rPr>
        <w:t>.</w:t>
      </w:r>
      <w:r w:rsidR="00563170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A644C5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352D33" w:rsidRPr="00C706A5">
        <w:rPr>
          <w:rFonts w:ascii="Times New Roman" w:hAnsi="Times New Roman" w:cs="Times New Roman"/>
          <w:color w:val="000000" w:themeColor="text1"/>
        </w:rPr>
        <w:t>Le</w:t>
      </w:r>
      <w:r w:rsidR="00C17A37" w:rsidRPr="00C706A5">
        <w:rPr>
          <w:rFonts w:ascii="Times New Roman" w:hAnsi="Times New Roman" w:cs="Times New Roman"/>
          <w:color w:val="000000" w:themeColor="text1"/>
        </w:rPr>
        <w:t xml:space="preserve"> solde d</w:t>
      </w:r>
      <w:r w:rsidR="00A644C5" w:rsidRPr="00C706A5">
        <w:rPr>
          <w:rFonts w:ascii="Times New Roman" w:hAnsi="Times New Roman" w:cs="Times New Roman"/>
          <w:color w:val="000000" w:themeColor="text1"/>
        </w:rPr>
        <w:t xml:space="preserve">e cet indicateur </w:t>
      </w:r>
      <w:r w:rsidR="00513F5E">
        <w:rPr>
          <w:rFonts w:ascii="Times New Roman" w:hAnsi="Times New Roman" w:cs="Times New Roman"/>
          <w:color w:val="000000" w:themeColor="text1"/>
        </w:rPr>
        <w:t>s’est amélioré</w:t>
      </w:r>
      <w:r w:rsidR="00352D33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75581F">
        <w:rPr>
          <w:rFonts w:ascii="Times New Roman" w:hAnsi="Times New Roman" w:cs="Times New Roman"/>
          <w:color w:val="000000" w:themeColor="text1"/>
        </w:rPr>
        <w:t xml:space="preserve">de </w:t>
      </w:r>
      <w:r w:rsidR="0032273E">
        <w:rPr>
          <w:rFonts w:ascii="Times New Roman" w:hAnsi="Times New Roman" w:cs="Times New Roman"/>
          <w:color w:val="000000" w:themeColor="text1"/>
        </w:rPr>
        <w:t>5</w:t>
      </w:r>
      <w:r w:rsidR="0075581F">
        <w:rPr>
          <w:rFonts w:ascii="Times New Roman" w:hAnsi="Times New Roman" w:cs="Times New Roman"/>
          <w:color w:val="000000" w:themeColor="text1"/>
        </w:rPr>
        <w:t>,</w:t>
      </w:r>
      <w:r w:rsidR="0032273E">
        <w:rPr>
          <w:rFonts w:ascii="Times New Roman" w:hAnsi="Times New Roman" w:cs="Times New Roman"/>
          <w:color w:val="000000" w:themeColor="text1"/>
        </w:rPr>
        <w:t>3</w:t>
      </w:r>
      <w:r w:rsidR="0075581F">
        <w:rPr>
          <w:rFonts w:ascii="Times New Roman" w:hAnsi="Times New Roman" w:cs="Times New Roman"/>
          <w:color w:val="000000" w:themeColor="text1"/>
        </w:rPr>
        <w:t xml:space="preserve"> point</w:t>
      </w:r>
      <w:r w:rsidR="0032273E">
        <w:rPr>
          <w:rFonts w:ascii="Times New Roman" w:hAnsi="Times New Roman" w:cs="Times New Roman"/>
          <w:color w:val="000000" w:themeColor="text1"/>
        </w:rPr>
        <w:t>s</w:t>
      </w:r>
      <w:r w:rsidR="0075581F">
        <w:rPr>
          <w:rFonts w:ascii="Times New Roman" w:hAnsi="Times New Roman" w:cs="Times New Roman"/>
          <w:color w:val="000000" w:themeColor="text1"/>
        </w:rPr>
        <w:t xml:space="preserve"> </w:t>
      </w:r>
      <w:r w:rsidR="0075581F" w:rsidRPr="00C706A5">
        <w:rPr>
          <w:rFonts w:ascii="Times New Roman" w:hAnsi="Times New Roman" w:cs="Times New Roman"/>
          <w:color w:val="000000" w:themeColor="text1"/>
        </w:rPr>
        <w:t>par rapport au trimestre précédent</w:t>
      </w:r>
      <w:r w:rsidR="0075581F">
        <w:rPr>
          <w:rFonts w:ascii="Times New Roman" w:hAnsi="Times New Roman" w:cs="Times New Roman"/>
          <w:color w:val="000000" w:themeColor="text1"/>
        </w:rPr>
        <w:t xml:space="preserve"> et </w:t>
      </w:r>
      <w:r w:rsidR="00352D33" w:rsidRPr="00C706A5">
        <w:rPr>
          <w:rFonts w:ascii="Times New Roman" w:hAnsi="Times New Roman" w:cs="Times New Roman"/>
          <w:color w:val="000000" w:themeColor="text1"/>
        </w:rPr>
        <w:t xml:space="preserve">de </w:t>
      </w:r>
      <w:r w:rsidR="0032273E">
        <w:rPr>
          <w:rFonts w:ascii="Times New Roman" w:hAnsi="Times New Roman" w:cs="Times New Roman"/>
          <w:color w:val="000000" w:themeColor="text1"/>
        </w:rPr>
        <w:t>4</w:t>
      </w:r>
      <w:r w:rsidR="00352D33" w:rsidRPr="00C706A5">
        <w:rPr>
          <w:rFonts w:ascii="Times New Roman" w:hAnsi="Times New Roman" w:cs="Times New Roman"/>
          <w:color w:val="000000" w:themeColor="text1"/>
        </w:rPr>
        <w:t>,</w:t>
      </w:r>
      <w:r w:rsidR="0032273E">
        <w:rPr>
          <w:rFonts w:ascii="Times New Roman" w:hAnsi="Times New Roman" w:cs="Times New Roman"/>
          <w:color w:val="000000" w:themeColor="text1"/>
        </w:rPr>
        <w:t>8</w:t>
      </w:r>
      <w:r w:rsidR="00C427E9">
        <w:rPr>
          <w:rFonts w:ascii="Times New Roman" w:hAnsi="Times New Roman" w:cs="Times New Roman"/>
          <w:color w:val="000000" w:themeColor="text1"/>
        </w:rPr>
        <w:t xml:space="preserve"> </w:t>
      </w:r>
      <w:r w:rsidR="00A21054" w:rsidRPr="00C706A5">
        <w:rPr>
          <w:rFonts w:ascii="Times New Roman" w:hAnsi="Times New Roman" w:cs="Times New Roman"/>
          <w:color w:val="000000" w:themeColor="text1"/>
        </w:rPr>
        <w:t>point</w:t>
      </w:r>
      <w:r w:rsidR="0032273E">
        <w:rPr>
          <w:rFonts w:ascii="Times New Roman" w:hAnsi="Times New Roman" w:cs="Times New Roman"/>
          <w:color w:val="000000" w:themeColor="text1"/>
        </w:rPr>
        <w:t>s</w:t>
      </w:r>
      <w:r w:rsidR="00352D33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A21054" w:rsidRPr="00C706A5">
        <w:rPr>
          <w:rFonts w:ascii="Times New Roman" w:hAnsi="Times New Roman" w:cs="Times New Roman"/>
          <w:color w:val="000000" w:themeColor="text1"/>
        </w:rPr>
        <w:t xml:space="preserve">par rapport au même trimestre de </w:t>
      </w:r>
      <w:r w:rsidR="00FF44FD">
        <w:rPr>
          <w:rFonts w:ascii="Times New Roman" w:hAnsi="Times New Roman" w:cs="Times New Roman"/>
          <w:color w:val="000000" w:themeColor="text1"/>
        </w:rPr>
        <w:t>2013</w:t>
      </w:r>
      <w:r w:rsidR="00A21054" w:rsidRPr="00C706A5">
        <w:rPr>
          <w:rFonts w:ascii="Times New Roman" w:hAnsi="Times New Roman" w:cs="Times New Roman"/>
          <w:color w:val="000000" w:themeColor="text1"/>
        </w:rPr>
        <w:t>.</w:t>
      </w:r>
    </w:p>
    <w:p w:rsidR="00D54358" w:rsidRPr="00C706A5" w:rsidRDefault="00700954" w:rsidP="00485A63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>Quant au</w:t>
      </w:r>
      <w:r w:rsidR="00C744C3" w:rsidRPr="00C706A5">
        <w:rPr>
          <w:rFonts w:ascii="Times New Roman" w:hAnsi="Times New Roman" w:cs="Times New Roman"/>
          <w:color w:val="000000" w:themeColor="text1"/>
        </w:rPr>
        <w:t>x</w:t>
      </w:r>
      <w:r w:rsidRPr="00C706A5">
        <w:rPr>
          <w:rFonts w:ascii="Times New Roman" w:hAnsi="Times New Roman" w:cs="Times New Roman"/>
          <w:color w:val="000000" w:themeColor="text1"/>
        </w:rPr>
        <w:t xml:space="preserve"> perspectives d’évolution des prix des produits alimentaires, </w:t>
      </w:r>
      <w:r w:rsidR="00DE048F" w:rsidRPr="00C706A5">
        <w:rPr>
          <w:rFonts w:ascii="Times New Roman" w:hAnsi="Times New Roman" w:cs="Times New Roman"/>
          <w:color w:val="000000" w:themeColor="text1"/>
        </w:rPr>
        <w:t xml:space="preserve">près de huit ménages sur dix </w:t>
      </w:r>
      <w:r w:rsidR="002A1C56" w:rsidRPr="00C706A5">
        <w:rPr>
          <w:rFonts w:ascii="Times New Roman" w:hAnsi="Times New Roman" w:cs="Times New Roman"/>
          <w:color w:val="000000" w:themeColor="text1"/>
        </w:rPr>
        <w:t>(7</w:t>
      </w:r>
      <w:r w:rsidR="0032273E">
        <w:rPr>
          <w:rFonts w:ascii="Times New Roman" w:hAnsi="Times New Roman" w:cs="Times New Roman"/>
          <w:color w:val="000000" w:themeColor="text1"/>
        </w:rPr>
        <w:t>9,4</w:t>
      </w:r>
      <w:r w:rsidR="002A1C56" w:rsidRPr="00C706A5">
        <w:rPr>
          <w:rFonts w:ascii="Times New Roman" w:hAnsi="Times New Roman" w:cs="Times New Roman"/>
          <w:color w:val="000000" w:themeColor="text1"/>
        </w:rPr>
        <w:t xml:space="preserve">%) pensent que </w:t>
      </w:r>
      <w:r w:rsidR="00EA205A" w:rsidRPr="00C706A5">
        <w:rPr>
          <w:rFonts w:ascii="Times New Roman" w:hAnsi="Times New Roman" w:cs="Times New Roman"/>
          <w:color w:val="000000" w:themeColor="text1"/>
        </w:rPr>
        <w:t>c</w:t>
      </w:r>
      <w:r w:rsidR="002A1C56" w:rsidRPr="00C706A5">
        <w:rPr>
          <w:rFonts w:ascii="Times New Roman" w:hAnsi="Times New Roman" w:cs="Times New Roman"/>
          <w:color w:val="000000" w:themeColor="text1"/>
        </w:rPr>
        <w:t xml:space="preserve">es prix continueront à augmenter dans le futur </w:t>
      </w:r>
      <w:r w:rsidR="00985AB3" w:rsidRPr="00C706A5">
        <w:rPr>
          <w:rFonts w:ascii="Times New Roman" w:hAnsi="Times New Roman" w:cs="Times New Roman"/>
          <w:color w:val="000000" w:themeColor="text1"/>
        </w:rPr>
        <w:t xml:space="preserve">contre </w:t>
      </w:r>
      <w:r w:rsidR="004868DB">
        <w:rPr>
          <w:rFonts w:ascii="Times New Roman" w:hAnsi="Times New Roman" w:cs="Times New Roman"/>
          <w:color w:val="000000" w:themeColor="text1"/>
        </w:rPr>
        <w:t>7</w:t>
      </w:r>
      <w:r w:rsidR="0032273E">
        <w:rPr>
          <w:rFonts w:ascii="Times New Roman" w:hAnsi="Times New Roman" w:cs="Times New Roman"/>
          <w:color w:val="000000" w:themeColor="text1"/>
        </w:rPr>
        <w:t>8,6</w:t>
      </w:r>
      <w:r w:rsidR="00985AB3" w:rsidRPr="00C706A5">
        <w:rPr>
          <w:rFonts w:ascii="Times New Roman" w:hAnsi="Times New Roman" w:cs="Times New Roman"/>
          <w:color w:val="000000" w:themeColor="text1"/>
        </w:rPr>
        <w:t xml:space="preserve">% </w:t>
      </w:r>
      <w:r w:rsidR="002A1C56" w:rsidRPr="00C706A5">
        <w:rPr>
          <w:rFonts w:ascii="Times New Roman" w:hAnsi="Times New Roman" w:cs="Times New Roman"/>
          <w:color w:val="000000" w:themeColor="text1"/>
        </w:rPr>
        <w:t xml:space="preserve">au </w:t>
      </w:r>
      <w:r w:rsidR="00557809">
        <w:rPr>
          <w:rFonts w:ascii="Times New Roman" w:hAnsi="Times New Roman" w:cs="Times New Roman"/>
          <w:color w:val="000000" w:themeColor="text1"/>
        </w:rPr>
        <w:t>premier</w:t>
      </w:r>
      <w:r w:rsidR="0004211E">
        <w:rPr>
          <w:rFonts w:ascii="Times New Roman" w:hAnsi="Times New Roman" w:cs="Times New Roman"/>
          <w:color w:val="000000" w:themeColor="text1"/>
        </w:rPr>
        <w:t xml:space="preserve"> trimestre</w:t>
      </w:r>
      <w:r w:rsidR="002A1C56" w:rsidRPr="00C706A5">
        <w:rPr>
          <w:rFonts w:ascii="Times New Roman" w:hAnsi="Times New Roman" w:cs="Times New Roman"/>
          <w:color w:val="000000" w:themeColor="text1"/>
        </w:rPr>
        <w:t xml:space="preserve"> de </w:t>
      </w:r>
      <w:r w:rsidR="0004211E">
        <w:rPr>
          <w:rFonts w:ascii="Times New Roman" w:hAnsi="Times New Roman" w:cs="Times New Roman"/>
          <w:color w:val="000000" w:themeColor="text1"/>
        </w:rPr>
        <w:t>201</w:t>
      </w:r>
      <w:r w:rsidR="00DE048F">
        <w:rPr>
          <w:rFonts w:ascii="Times New Roman" w:hAnsi="Times New Roman" w:cs="Times New Roman"/>
          <w:color w:val="000000" w:themeColor="text1"/>
        </w:rPr>
        <w:t>4</w:t>
      </w:r>
      <w:r w:rsidR="002A1C56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985AB3" w:rsidRPr="00C706A5">
        <w:rPr>
          <w:rFonts w:ascii="Times New Roman" w:hAnsi="Times New Roman" w:cs="Times New Roman"/>
          <w:color w:val="000000" w:themeColor="text1"/>
        </w:rPr>
        <w:t xml:space="preserve">et </w:t>
      </w:r>
      <w:r w:rsidR="004868DB">
        <w:rPr>
          <w:rFonts w:ascii="Times New Roman" w:hAnsi="Times New Roman" w:cs="Times New Roman"/>
          <w:color w:val="000000" w:themeColor="text1"/>
        </w:rPr>
        <w:t>7</w:t>
      </w:r>
      <w:r w:rsidR="0032273E">
        <w:rPr>
          <w:rFonts w:ascii="Times New Roman" w:hAnsi="Times New Roman" w:cs="Times New Roman"/>
          <w:color w:val="000000" w:themeColor="text1"/>
        </w:rPr>
        <w:t>5,3</w:t>
      </w:r>
      <w:r w:rsidR="00985AB3" w:rsidRPr="00C706A5">
        <w:rPr>
          <w:rFonts w:ascii="Times New Roman" w:hAnsi="Times New Roman" w:cs="Times New Roman"/>
          <w:color w:val="000000" w:themeColor="text1"/>
        </w:rPr>
        <w:t xml:space="preserve">% </w:t>
      </w:r>
      <w:r w:rsidR="002A1C56" w:rsidRPr="00C706A5">
        <w:rPr>
          <w:rFonts w:ascii="Times New Roman" w:hAnsi="Times New Roman" w:cs="Times New Roman"/>
          <w:color w:val="000000" w:themeColor="text1"/>
        </w:rPr>
        <w:t xml:space="preserve">au </w:t>
      </w:r>
      <w:r w:rsidR="00557809">
        <w:rPr>
          <w:rFonts w:ascii="Times New Roman" w:hAnsi="Times New Roman" w:cs="Times New Roman"/>
          <w:color w:val="000000" w:themeColor="text1"/>
        </w:rPr>
        <w:t xml:space="preserve">deuxième </w:t>
      </w:r>
      <w:r w:rsidR="0004211E">
        <w:rPr>
          <w:rFonts w:ascii="Times New Roman" w:hAnsi="Times New Roman" w:cs="Times New Roman"/>
          <w:color w:val="000000" w:themeColor="text1"/>
        </w:rPr>
        <w:t>trimestre</w:t>
      </w:r>
      <w:r w:rsidR="002A1C56" w:rsidRPr="00C706A5">
        <w:rPr>
          <w:rFonts w:ascii="Times New Roman" w:hAnsi="Times New Roman" w:cs="Times New Roman"/>
          <w:color w:val="000000" w:themeColor="text1"/>
        </w:rPr>
        <w:t xml:space="preserve"> de </w:t>
      </w:r>
      <w:r w:rsidR="00FF44FD">
        <w:rPr>
          <w:rFonts w:ascii="Times New Roman" w:hAnsi="Times New Roman" w:cs="Times New Roman"/>
          <w:color w:val="000000" w:themeColor="text1"/>
        </w:rPr>
        <w:t>201</w:t>
      </w:r>
      <w:r w:rsidR="004868DB">
        <w:rPr>
          <w:rFonts w:ascii="Times New Roman" w:hAnsi="Times New Roman" w:cs="Times New Roman"/>
          <w:color w:val="000000" w:themeColor="text1"/>
        </w:rPr>
        <w:t>3</w:t>
      </w:r>
      <w:r w:rsidR="002A1C56" w:rsidRPr="00C706A5">
        <w:rPr>
          <w:rFonts w:ascii="Times New Roman" w:hAnsi="Times New Roman" w:cs="Times New Roman"/>
          <w:color w:val="000000" w:themeColor="text1"/>
        </w:rPr>
        <w:t xml:space="preserve">.  Le solde </w:t>
      </w:r>
      <w:r w:rsidR="003A52E9" w:rsidRPr="00C706A5">
        <w:rPr>
          <w:rFonts w:ascii="Times New Roman" w:hAnsi="Times New Roman" w:cs="Times New Roman"/>
          <w:color w:val="000000" w:themeColor="text1"/>
        </w:rPr>
        <w:t xml:space="preserve"> relatif aux perspectives d’évolution </w:t>
      </w:r>
      <w:r w:rsidR="002A1C56" w:rsidRPr="00C706A5">
        <w:rPr>
          <w:rFonts w:ascii="Times New Roman" w:hAnsi="Times New Roman" w:cs="Times New Roman"/>
          <w:color w:val="000000" w:themeColor="text1"/>
        </w:rPr>
        <w:t xml:space="preserve">de ces prix </w:t>
      </w:r>
      <w:r w:rsidR="00C13086" w:rsidRPr="00C706A5">
        <w:rPr>
          <w:rFonts w:ascii="Times New Roman" w:hAnsi="Times New Roman" w:cs="Times New Roman"/>
          <w:color w:val="000000" w:themeColor="text1"/>
        </w:rPr>
        <w:t xml:space="preserve">s’est </w:t>
      </w:r>
      <w:r w:rsidR="00C26D09">
        <w:rPr>
          <w:rFonts w:ascii="Times New Roman" w:hAnsi="Times New Roman" w:cs="Times New Roman"/>
          <w:color w:val="000000" w:themeColor="text1"/>
        </w:rPr>
        <w:t>détér</w:t>
      </w:r>
      <w:r w:rsidR="004868DB">
        <w:rPr>
          <w:rFonts w:ascii="Times New Roman" w:hAnsi="Times New Roman" w:cs="Times New Roman"/>
          <w:color w:val="000000" w:themeColor="text1"/>
        </w:rPr>
        <w:t>ior</w:t>
      </w:r>
      <w:r w:rsidR="00C13086" w:rsidRPr="00C706A5">
        <w:rPr>
          <w:rFonts w:ascii="Times New Roman" w:hAnsi="Times New Roman" w:cs="Times New Roman"/>
          <w:color w:val="000000" w:themeColor="text1"/>
        </w:rPr>
        <w:t xml:space="preserve">é </w:t>
      </w:r>
      <w:r w:rsidR="003A52E9" w:rsidRPr="00C706A5">
        <w:rPr>
          <w:rFonts w:ascii="Times New Roman" w:hAnsi="Times New Roman" w:cs="Times New Roman"/>
          <w:color w:val="000000" w:themeColor="text1"/>
        </w:rPr>
        <w:t xml:space="preserve">de </w:t>
      </w:r>
      <w:r w:rsidR="0032273E">
        <w:rPr>
          <w:rFonts w:ascii="Times New Roman" w:hAnsi="Times New Roman" w:cs="Times New Roman"/>
          <w:color w:val="000000" w:themeColor="text1"/>
        </w:rPr>
        <w:t>0</w:t>
      </w:r>
      <w:r w:rsidR="004868DB">
        <w:rPr>
          <w:rFonts w:ascii="Times New Roman" w:hAnsi="Times New Roman" w:cs="Times New Roman"/>
          <w:color w:val="000000" w:themeColor="text1"/>
        </w:rPr>
        <w:t>,</w:t>
      </w:r>
      <w:r w:rsidR="00DE048F">
        <w:rPr>
          <w:rFonts w:ascii="Times New Roman" w:hAnsi="Times New Roman" w:cs="Times New Roman"/>
          <w:color w:val="000000" w:themeColor="text1"/>
        </w:rPr>
        <w:t>4</w:t>
      </w:r>
      <w:r w:rsidR="0065300A">
        <w:rPr>
          <w:rFonts w:ascii="Times New Roman" w:hAnsi="Times New Roman" w:cs="Times New Roman"/>
          <w:color w:val="000000" w:themeColor="text1"/>
        </w:rPr>
        <w:t xml:space="preserve"> point</w:t>
      </w:r>
      <w:r w:rsidR="003A52E9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AD370F">
        <w:rPr>
          <w:rFonts w:ascii="Times New Roman" w:hAnsi="Times New Roman" w:cs="Times New Roman"/>
          <w:color w:val="000000" w:themeColor="text1"/>
        </w:rPr>
        <w:t xml:space="preserve">et de </w:t>
      </w:r>
      <w:r w:rsidR="0032273E">
        <w:rPr>
          <w:rFonts w:ascii="Times New Roman" w:hAnsi="Times New Roman" w:cs="Times New Roman"/>
          <w:color w:val="000000" w:themeColor="text1"/>
        </w:rPr>
        <w:t>4</w:t>
      </w:r>
      <w:r w:rsidR="00AD370F">
        <w:rPr>
          <w:rFonts w:ascii="Times New Roman" w:hAnsi="Times New Roman" w:cs="Times New Roman"/>
          <w:color w:val="000000" w:themeColor="text1"/>
        </w:rPr>
        <w:t>,</w:t>
      </w:r>
      <w:r w:rsidR="00485A63">
        <w:rPr>
          <w:rFonts w:ascii="Times New Roman" w:hAnsi="Times New Roman" w:cs="Times New Roman"/>
          <w:color w:val="000000" w:themeColor="text1"/>
        </w:rPr>
        <w:t>6</w:t>
      </w:r>
      <w:r w:rsidR="00AD370F">
        <w:rPr>
          <w:rFonts w:ascii="Times New Roman" w:hAnsi="Times New Roman" w:cs="Times New Roman"/>
          <w:color w:val="000000" w:themeColor="text1"/>
        </w:rPr>
        <w:t xml:space="preserve"> point</w:t>
      </w:r>
      <w:r w:rsidR="0032273E">
        <w:rPr>
          <w:rFonts w:ascii="Times New Roman" w:hAnsi="Times New Roman" w:cs="Times New Roman"/>
          <w:color w:val="000000" w:themeColor="text1"/>
        </w:rPr>
        <w:t>s</w:t>
      </w:r>
      <w:r w:rsidR="00AD370F">
        <w:rPr>
          <w:rFonts w:ascii="Times New Roman" w:hAnsi="Times New Roman" w:cs="Times New Roman"/>
          <w:color w:val="000000" w:themeColor="text1"/>
        </w:rPr>
        <w:t xml:space="preserve"> </w:t>
      </w:r>
      <w:r w:rsidR="00144320">
        <w:rPr>
          <w:rFonts w:ascii="Times New Roman" w:hAnsi="Times New Roman" w:cs="Times New Roman"/>
          <w:color w:val="000000" w:themeColor="text1"/>
        </w:rPr>
        <w:t>durant ces deux périodes respectives</w:t>
      </w:r>
      <w:r w:rsidR="007D6641" w:rsidRPr="00C706A5">
        <w:rPr>
          <w:rFonts w:ascii="Times New Roman" w:hAnsi="Times New Roman" w:cs="Times New Roman"/>
          <w:color w:val="000000" w:themeColor="text1"/>
        </w:rPr>
        <w:t>.</w:t>
      </w:r>
    </w:p>
    <w:p w:rsidR="008D1AAF" w:rsidRPr="00C706A5" w:rsidRDefault="008D1AAF" w:rsidP="008D1AAF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BC5D13" w:rsidRPr="00C706A5" w:rsidRDefault="00C0250F" w:rsidP="00C0250F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noProof/>
          <w:color w:val="000000" w:themeColor="text1"/>
        </w:rPr>
        <w:t xml:space="preserve">  </w:t>
      </w:r>
      <w:r w:rsidR="00BC5D13" w:rsidRPr="00C706A5">
        <w:rPr>
          <w:rFonts w:ascii="Times New Roman" w:hAnsi="Times New Roman" w:cs="Times New Roman"/>
          <w:noProof/>
          <w:color w:val="000000" w:themeColor="text1"/>
        </w:rPr>
        <w:t xml:space="preserve">  </w:t>
      </w:r>
      <w:r w:rsidR="00C72318" w:rsidRPr="00C706A5">
        <w:rPr>
          <w:noProof/>
          <w:color w:val="000000" w:themeColor="text1"/>
        </w:rPr>
        <w:t xml:space="preserve"> </w:t>
      </w:r>
      <w:r w:rsidR="00C21ABF" w:rsidRPr="00C21ABF">
        <w:rPr>
          <w:noProof/>
        </w:rPr>
        <w:t xml:space="preserve"> </w:t>
      </w:r>
    </w:p>
    <w:p w:rsidR="00D03E2E" w:rsidRPr="00C706A5" w:rsidRDefault="00D03E2E" w:rsidP="009E2A58">
      <w:pPr>
        <w:widowControl/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C72318" w:rsidRPr="00C706A5" w:rsidRDefault="00385E59" w:rsidP="00C72318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385E59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2966605" cy="3310544"/>
            <wp:effectExtent l="19050" t="0" r="24245" b="4156"/>
            <wp:docPr id="13" name="Graphique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="001133D2">
        <w:rPr>
          <w:rFonts w:ascii="Times New Roman" w:hAnsi="Times New Roman" w:cs="Times New Roman"/>
          <w:color w:val="000000" w:themeColor="text1"/>
        </w:rPr>
        <w:t xml:space="preserve">   </w:t>
      </w:r>
      <w:r w:rsidRPr="00385E59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2912919" cy="3313719"/>
            <wp:effectExtent l="19050" t="0" r="20781" b="981"/>
            <wp:docPr id="14" name="Graphique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C72318" w:rsidRPr="00C706A5" w:rsidRDefault="00C72318" w:rsidP="00C72318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>Ci-joint  les détails des différents indicateurs et un rappel des principaux concepts.</w:t>
      </w:r>
    </w:p>
    <w:p w:rsidR="009D209A" w:rsidRPr="00C706A5" w:rsidRDefault="009D209A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9D209A" w:rsidRPr="00C706A5" w:rsidSect="005B1014">
          <w:footerReference w:type="default" r:id="rId15"/>
          <w:pgSz w:w="11906" w:h="16838" w:code="9"/>
          <w:pgMar w:top="1134" w:right="720" w:bottom="720" w:left="1077" w:header="709" w:footer="709" w:gutter="0"/>
          <w:cols w:space="708"/>
          <w:docGrid w:linePitch="360"/>
        </w:sectPr>
      </w:pPr>
    </w:p>
    <w:p w:rsidR="00B623D5" w:rsidRPr="00C706A5" w:rsidRDefault="00B623D5" w:rsidP="00C35BF2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F6E6C" w:rsidRDefault="005D5B33" w:rsidP="00C73C35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706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Evolution de l’I</w:t>
      </w:r>
      <w:r w:rsidR="00C35BF2" w:rsidRPr="00C706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ndice de </w:t>
      </w:r>
      <w:r w:rsidRPr="00C706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</w:t>
      </w:r>
      <w:r w:rsidR="00C35BF2" w:rsidRPr="00C706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onfiance des </w:t>
      </w:r>
      <w:r w:rsidRPr="00C706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M</w:t>
      </w:r>
      <w:r w:rsidR="00C35BF2" w:rsidRPr="00C706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énages  (ICM) </w:t>
      </w:r>
      <w:r w:rsidRPr="00C706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et de ses composantes</w:t>
      </w:r>
    </w:p>
    <w:tbl>
      <w:tblPr>
        <w:tblW w:w="158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905"/>
        <w:gridCol w:w="490"/>
        <w:gridCol w:w="490"/>
        <w:gridCol w:w="490"/>
        <w:gridCol w:w="491"/>
        <w:gridCol w:w="490"/>
        <w:gridCol w:w="490"/>
        <w:gridCol w:w="490"/>
        <w:gridCol w:w="491"/>
        <w:gridCol w:w="490"/>
        <w:gridCol w:w="490"/>
        <w:gridCol w:w="490"/>
        <w:gridCol w:w="491"/>
        <w:gridCol w:w="490"/>
        <w:gridCol w:w="490"/>
        <w:gridCol w:w="490"/>
        <w:gridCol w:w="491"/>
        <w:gridCol w:w="490"/>
        <w:gridCol w:w="490"/>
        <w:gridCol w:w="490"/>
        <w:gridCol w:w="491"/>
        <w:gridCol w:w="490"/>
        <w:gridCol w:w="490"/>
        <w:gridCol w:w="490"/>
        <w:gridCol w:w="491"/>
        <w:gridCol w:w="567"/>
        <w:gridCol w:w="567"/>
      </w:tblGrid>
      <w:tr w:rsidR="008F16DE" w:rsidRPr="00C73C35" w:rsidTr="008C1716">
        <w:trPr>
          <w:trHeight w:val="296"/>
        </w:trPr>
        <w:tc>
          <w:tcPr>
            <w:tcW w:w="2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6DE" w:rsidRPr="00C73C35" w:rsidRDefault="008F16DE" w:rsidP="008C171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Indicateur</w:t>
            </w:r>
          </w:p>
        </w:tc>
        <w:tc>
          <w:tcPr>
            <w:tcW w:w="19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6DE" w:rsidRPr="00834762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3476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2008</w:t>
            </w:r>
          </w:p>
        </w:tc>
        <w:tc>
          <w:tcPr>
            <w:tcW w:w="19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6DE" w:rsidRPr="00834762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3476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2009</w:t>
            </w:r>
          </w:p>
        </w:tc>
        <w:tc>
          <w:tcPr>
            <w:tcW w:w="19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6DE" w:rsidRPr="00834762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3476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2010</w:t>
            </w:r>
          </w:p>
        </w:tc>
        <w:tc>
          <w:tcPr>
            <w:tcW w:w="19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6DE" w:rsidRPr="00834762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3476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2011</w:t>
            </w:r>
          </w:p>
        </w:tc>
        <w:tc>
          <w:tcPr>
            <w:tcW w:w="19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6DE" w:rsidRPr="00834762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3476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9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6DE" w:rsidRPr="00834762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3476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6DE" w:rsidRPr="00834762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3476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2014</w:t>
            </w:r>
          </w:p>
        </w:tc>
      </w:tr>
      <w:tr w:rsidR="001133D2" w:rsidRPr="00C73C35" w:rsidTr="008C1716">
        <w:trPr>
          <w:trHeight w:val="489"/>
        </w:trPr>
        <w:tc>
          <w:tcPr>
            <w:tcW w:w="2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T1/08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6DE" w:rsidRPr="00C73C35" w:rsidRDefault="008F16DE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T2/08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6DE" w:rsidRPr="00C73C35" w:rsidRDefault="008F16DE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T3/08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6DE" w:rsidRPr="00C73C35" w:rsidRDefault="008F16DE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T4/08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6DE" w:rsidRPr="00C73C35" w:rsidRDefault="008F16DE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T1/09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6DE" w:rsidRPr="00C73C35" w:rsidRDefault="008F16DE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T2/09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6DE" w:rsidRPr="00C73C35" w:rsidRDefault="008F16DE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T3/09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6DE" w:rsidRPr="00C73C35" w:rsidRDefault="008F16DE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T4/09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6DE" w:rsidRPr="00C73C35" w:rsidRDefault="008F16DE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T1/10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6DE" w:rsidRPr="00C73C35" w:rsidRDefault="008F16DE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T2/10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6DE" w:rsidRPr="00C73C35" w:rsidRDefault="008F16DE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T3/10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6DE" w:rsidRPr="00C73C35" w:rsidRDefault="008F16DE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T4/10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6DE" w:rsidRPr="00C73C35" w:rsidRDefault="008F16DE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T1/11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6DE" w:rsidRPr="00C73C35" w:rsidRDefault="008F16DE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T2/11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6DE" w:rsidRPr="00C73C35" w:rsidRDefault="008F16DE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T3/11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6DE" w:rsidRPr="00C73C35" w:rsidRDefault="008F16DE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T4/11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6DE" w:rsidRPr="00C73C35" w:rsidRDefault="008F16DE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T1/12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6DE" w:rsidRPr="00C73C35" w:rsidRDefault="008F16DE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T2/12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T3/12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T4/12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6DE" w:rsidRPr="00C73C35" w:rsidRDefault="008F16DE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T1/13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6DE" w:rsidRPr="00C73C35" w:rsidRDefault="008F16DE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T2/13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6DE" w:rsidRPr="00C73C35" w:rsidRDefault="008F16DE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T3/13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6DE" w:rsidRPr="00C73C35" w:rsidRDefault="008F16DE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T4/13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6DE" w:rsidRPr="00C73C35" w:rsidRDefault="008F16DE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T1/14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16DE" w:rsidRPr="00C73C35" w:rsidRDefault="008F16DE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  <w:r w:rsidRPr="00C73C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/14</w:t>
            </w:r>
          </w:p>
        </w:tc>
      </w:tr>
      <w:tr w:rsidR="001133D2" w:rsidRPr="00C73C35" w:rsidTr="008C1716">
        <w:trPr>
          <w:trHeight w:val="489"/>
        </w:trPr>
        <w:tc>
          <w:tcPr>
            <w:tcW w:w="2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5426C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  <w:r w:rsidRPr="00C73C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ndic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 de Confiance des Ménages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85,9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77,7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75,6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80,1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76,9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77,6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79,1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79,5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80,1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78,8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78,6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74,7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78,4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85,8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86,5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84,5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82,9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80,7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77,6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78,4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75,8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6DE" w:rsidRPr="00C73C35" w:rsidRDefault="008F16DE" w:rsidP="00DE048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74,</w:t>
            </w:r>
            <w:r w:rsidR="00DE048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75,4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74,2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74,1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16DE" w:rsidRPr="008F16DE" w:rsidRDefault="008F16DE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8F16DE">
              <w:rPr>
                <w:rFonts w:ascii="Calibri" w:hAnsi="Calibri"/>
                <w:b/>
                <w:bCs/>
                <w:sz w:val="16"/>
                <w:szCs w:val="16"/>
              </w:rPr>
              <w:t>74,0</w:t>
            </w:r>
          </w:p>
        </w:tc>
      </w:tr>
      <w:tr w:rsidR="001133D2" w:rsidRPr="00C73C35" w:rsidTr="008C1716">
        <w:trPr>
          <w:trHeight w:val="553"/>
        </w:trPr>
        <w:tc>
          <w:tcPr>
            <w:tcW w:w="2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C73C35">
              <w:rPr>
                <w:rFonts w:ascii="Times New Roman" w:hAnsi="Times New Roman" w:cs="Times New Roman"/>
                <w:sz w:val="20"/>
                <w:szCs w:val="20"/>
              </w:rPr>
              <w:t>Perspectives d'évolution du nombre de chômeurs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-52,1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-56,6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-51,6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-51,1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-51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-59,1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-57,9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-57,5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-59,2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-61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-56,1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-52,3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-52,4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-46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-41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-41,6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-44,1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-48,6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-56,7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-58,1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-61,7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-67,8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-69,8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-68,2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-69,1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16DE" w:rsidRPr="008F16DE" w:rsidRDefault="008F16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F16DE">
              <w:rPr>
                <w:rFonts w:ascii="Arial" w:hAnsi="Arial" w:cs="Arial"/>
                <w:sz w:val="16"/>
                <w:szCs w:val="16"/>
              </w:rPr>
              <w:t>-66,5</w:t>
            </w:r>
          </w:p>
        </w:tc>
      </w:tr>
      <w:tr w:rsidR="001133D2" w:rsidRPr="00C73C35" w:rsidTr="008C1716">
        <w:trPr>
          <w:trHeight w:val="561"/>
        </w:trPr>
        <w:tc>
          <w:tcPr>
            <w:tcW w:w="2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C73C35">
              <w:rPr>
                <w:rFonts w:ascii="Times New Roman" w:hAnsi="Times New Roman" w:cs="Times New Roman"/>
                <w:sz w:val="20"/>
                <w:szCs w:val="20"/>
              </w:rPr>
              <w:t>Evolution  passée du niveau de vie en général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-10,4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-25,2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-31,1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-29,4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-36,7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-29,1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-25,7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-26,5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-25,7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-28,6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-27,9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-37,2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-26,1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-17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-13,4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-20,2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-26,2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-21,8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-27,9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-28,1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-29,2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-23,1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-21,2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-19,9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-18,1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16DE" w:rsidRPr="008F16DE" w:rsidRDefault="008F16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F16DE">
              <w:rPr>
                <w:rFonts w:ascii="Arial" w:hAnsi="Arial" w:cs="Arial"/>
                <w:sz w:val="16"/>
                <w:szCs w:val="16"/>
              </w:rPr>
              <w:t>-17,7</w:t>
            </w:r>
          </w:p>
        </w:tc>
      </w:tr>
      <w:tr w:rsidR="001133D2" w:rsidRPr="00C73C35" w:rsidTr="008C1716">
        <w:trPr>
          <w:trHeight w:val="541"/>
        </w:trPr>
        <w:tc>
          <w:tcPr>
            <w:tcW w:w="2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C73C35">
              <w:rPr>
                <w:rFonts w:ascii="Times New Roman" w:hAnsi="Times New Roman" w:cs="Times New Roman"/>
                <w:sz w:val="20"/>
                <w:szCs w:val="20"/>
              </w:rPr>
              <w:t>Perspectives d'évolution du niveau de vie en général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14,4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-11,5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-21,4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-3,5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-9,3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-3,5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2,2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-11,4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-1,9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18,1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11,9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13,1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11,2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-3,2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-1,2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-5,1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-4,2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-3,1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-7,9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-11,4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16DE" w:rsidRPr="008F16DE" w:rsidRDefault="008F16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F16DE">
              <w:rPr>
                <w:rFonts w:ascii="Arial" w:hAnsi="Arial" w:cs="Arial"/>
                <w:sz w:val="16"/>
                <w:szCs w:val="16"/>
              </w:rPr>
              <w:t>-13,1</w:t>
            </w:r>
          </w:p>
        </w:tc>
      </w:tr>
      <w:tr w:rsidR="001133D2" w:rsidRPr="00C73C35" w:rsidTr="008C1716">
        <w:trPr>
          <w:trHeight w:val="504"/>
        </w:trPr>
        <w:tc>
          <w:tcPr>
            <w:tcW w:w="2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C73C35">
              <w:rPr>
                <w:rFonts w:ascii="Times New Roman" w:hAnsi="Times New Roman" w:cs="Times New Roman"/>
                <w:sz w:val="20"/>
                <w:szCs w:val="20"/>
              </w:rPr>
              <w:t>Opportunité d'achat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-30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-34,3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-37,5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-39,1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-41,8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-46,5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-43,4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-42,6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-34,8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-37,5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-36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-44,3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-39,9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-39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-36,4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-38,5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-32,5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-37,4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-29,5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-29,3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-28,3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-31,7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-29,5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-31,8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-31,3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16DE" w:rsidRPr="008F16DE" w:rsidRDefault="008F16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F16DE">
              <w:rPr>
                <w:rFonts w:ascii="Arial" w:hAnsi="Arial" w:cs="Arial"/>
                <w:sz w:val="16"/>
                <w:szCs w:val="16"/>
              </w:rPr>
              <w:t>-28,9</w:t>
            </w:r>
          </w:p>
        </w:tc>
      </w:tr>
      <w:tr w:rsidR="001133D2" w:rsidRPr="00C73C35" w:rsidTr="008C1716">
        <w:trPr>
          <w:trHeight w:val="609"/>
        </w:trPr>
        <w:tc>
          <w:tcPr>
            <w:tcW w:w="2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C73C35">
              <w:rPr>
                <w:rFonts w:ascii="Times New Roman" w:hAnsi="Times New Roman" w:cs="Times New Roman"/>
                <w:sz w:val="20"/>
                <w:szCs w:val="20"/>
              </w:rPr>
              <w:t>Situation financière actuelle des ménages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-33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-32,9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-34,4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-33,1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-31,3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-26,9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-28,3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-25,3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-27,5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-27,6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-30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-28,1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-30,6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-27,1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-24,3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-25,7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-25,4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-31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-30,8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-29,4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-29,8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-30,2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-29,5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-29,5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-31,3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16DE" w:rsidRPr="008F16DE" w:rsidRDefault="008F16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F16DE">
              <w:rPr>
                <w:rFonts w:ascii="Arial" w:hAnsi="Arial" w:cs="Arial"/>
                <w:sz w:val="16"/>
                <w:szCs w:val="16"/>
              </w:rPr>
              <w:t>-29,7</w:t>
            </w:r>
          </w:p>
        </w:tc>
      </w:tr>
      <w:tr w:rsidR="001133D2" w:rsidRPr="00C73C35" w:rsidTr="008C1716">
        <w:trPr>
          <w:trHeight w:val="692"/>
        </w:trPr>
        <w:tc>
          <w:tcPr>
            <w:tcW w:w="2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C73C35">
              <w:rPr>
                <w:rFonts w:ascii="Times New Roman" w:hAnsi="Times New Roman" w:cs="Times New Roman"/>
                <w:sz w:val="20"/>
                <w:szCs w:val="20"/>
              </w:rPr>
              <w:t>Evolution  passée  de la situation financière des ménages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-11,8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-11,4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-11,7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-9,5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-18,4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-13,4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-8,3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-11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-10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-7,9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-7,5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-12,8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-10,5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-8,9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-6,4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-9,8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-14,1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-16,6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-16,7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-15,7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-19,6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-23,8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-21,9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-21,9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-21,3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16DE" w:rsidRPr="008F16DE" w:rsidRDefault="008F16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F16DE">
              <w:rPr>
                <w:rFonts w:ascii="Arial" w:hAnsi="Arial" w:cs="Arial"/>
                <w:sz w:val="16"/>
                <w:szCs w:val="16"/>
              </w:rPr>
              <w:t>-23,3</w:t>
            </w:r>
          </w:p>
        </w:tc>
      </w:tr>
      <w:tr w:rsidR="001133D2" w:rsidRPr="00C73C35" w:rsidTr="008C1716">
        <w:trPr>
          <w:trHeight w:val="694"/>
        </w:trPr>
        <w:tc>
          <w:tcPr>
            <w:tcW w:w="2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C73C35">
              <w:rPr>
                <w:rFonts w:ascii="Times New Roman" w:hAnsi="Times New Roman" w:cs="Times New Roman"/>
                <w:sz w:val="20"/>
                <w:szCs w:val="20"/>
              </w:rPr>
              <w:t>Evolution  future de la situation financière des ménages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23,9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15,6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16,6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26,7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26,8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17,5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17,1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17,8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11,8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7,8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9,4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10,2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20,4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15,1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11,2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11,1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7,7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10,6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0,7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2,8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-1,7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16DE" w:rsidRPr="008F16DE" w:rsidRDefault="008F16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F16DE">
              <w:rPr>
                <w:rFonts w:ascii="Arial" w:hAnsi="Arial" w:cs="Arial"/>
                <w:sz w:val="16"/>
                <w:szCs w:val="16"/>
              </w:rPr>
              <w:t>-2,7</w:t>
            </w:r>
          </w:p>
        </w:tc>
      </w:tr>
      <w:tr w:rsidR="001133D2" w:rsidRPr="00C73C35" w:rsidTr="008C1716">
        <w:trPr>
          <w:trHeight w:val="397"/>
        </w:trPr>
        <w:tc>
          <w:tcPr>
            <w:tcW w:w="1580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3D2" w:rsidRPr="00015112" w:rsidRDefault="001133D2" w:rsidP="00015112">
            <w:pPr>
              <w:widowControl/>
              <w:tabs>
                <w:tab w:val="left" w:pos="3915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171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Autres soldes</w:t>
            </w:r>
          </w:p>
        </w:tc>
      </w:tr>
      <w:tr w:rsidR="001133D2" w:rsidRPr="00C73C35" w:rsidTr="008C1716">
        <w:trPr>
          <w:trHeight w:val="311"/>
        </w:trPr>
        <w:tc>
          <w:tcPr>
            <w:tcW w:w="2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C73C35">
              <w:rPr>
                <w:rFonts w:ascii="Times New Roman" w:hAnsi="Times New Roman" w:cs="Times New Roman"/>
                <w:sz w:val="20"/>
                <w:szCs w:val="20"/>
              </w:rPr>
              <w:t>Evolution future des prix des produits alimentaires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-74,1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-77,7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-78,9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-49,7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-34,9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-33,5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-50,9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-47,9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-46,5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-56,8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-62,2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-70,2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-73,4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-58,8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-72,6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-73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-69,8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-71,5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-73,6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-70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-76,1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-73,4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-76,0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-76,0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-77,6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16DE" w:rsidRPr="008F16DE" w:rsidRDefault="008F16DE" w:rsidP="008F16D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F16DE">
              <w:rPr>
                <w:rFonts w:ascii="Arial" w:hAnsi="Arial" w:cs="Arial"/>
                <w:sz w:val="16"/>
                <w:szCs w:val="16"/>
              </w:rPr>
              <w:t>-78,0</w:t>
            </w:r>
          </w:p>
        </w:tc>
      </w:tr>
      <w:tr w:rsidR="001133D2" w:rsidRPr="00C73C35" w:rsidTr="008C1716">
        <w:trPr>
          <w:trHeight w:val="660"/>
        </w:trPr>
        <w:tc>
          <w:tcPr>
            <w:tcW w:w="2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C73C35">
              <w:rPr>
                <w:rFonts w:ascii="Times New Roman" w:hAnsi="Times New Roman" w:cs="Times New Roman"/>
                <w:sz w:val="20"/>
                <w:szCs w:val="20"/>
              </w:rPr>
              <w:t>Evolution  passée des prix des produits alimentaires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-93,6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-95,9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-98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-96,2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-94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-87,2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-85,7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-83,3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-79,5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-87,8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-89,7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-90,9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-95,5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-87,2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-89,9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-92,5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-91,6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-91,1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-91,7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-90,6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-91,6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DE048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-89</w:t>
            </w:r>
            <w:r w:rsidR="00DE048F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-90,5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-90,8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-89,4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16DE" w:rsidRPr="008F16DE" w:rsidRDefault="008F16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F16DE">
              <w:rPr>
                <w:rFonts w:ascii="Arial" w:hAnsi="Arial" w:cs="Arial"/>
                <w:sz w:val="16"/>
                <w:szCs w:val="16"/>
              </w:rPr>
              <w:t>-84,1</w:t>
            </w:r>
          </w:p>
        </w:tc>
      </w:tr>
      <w:tr w:rsidR="001133D2" w:rsidRPr="00C73C35" w:rsidTr="008C1716">
        <w:trPr>
          <w:trHeight w:val="296"/>
        </w:trPr>
        <w:tc>
          <w:tcPr>
            <w:tcW w:w="2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C73C35">
              <w:rPr>
                <w:rFonts w:ascii="Times New Roman" w:hAnsi="Times New Roman" w:cs="Times New Roman"/>
                <w:sz w:val="20"/>
                <w:szCs w:val="20"/>
              </w:rPr>
              <w:t>Capacité à épargner des ménages dans les mois à venir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-61,2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-61,3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-60,7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-56,7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-56,8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-57,1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-57,8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-58,5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-56,6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-61,1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-67,6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-66,6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-61,7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-63,3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-64,9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-64,7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-62,5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-63,5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-65,3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-64,5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-67,0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-70,3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-69,1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-66,7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6DE" w:rsidRPr="00C73C35" w:rsidRDefault="008F16DE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-66,6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16DE" w:rsidRPr="008F16DE" w:rsidRDefault="008F16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F16DE">
              <w:rPr>
                <w:rFonts w:ascii="Arial" w:hAnsi="Arial" w:cs="Arial"/>
                <w:sz w:val="16"/>
                <w:szCs w:val="16"/>
              </w:rPr>
              <w:t>-70,2</w:t>
            </w:r>
          </w:p>
        </w:tc>
      </w:tr>
    </w:tbl>
    <w:p w:rsidR="00C73C35" w:rsidRDefault="00C73C35" w:rsidP="00C35BF2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73C35" w:rsidRDefault="00C73C35" w:rsidP="00C35BF2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73C35" w:rsidRPr="00C706A5" w:rsidRDefault="00C73C35" w:rsidP="00C35BF2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D5B33" w:rsidRPr="00C706A5" w:rsidRDefault="005D5B33" w:rsidP="00F04758">
      <w:pPr>
        <w:rPr>
          <w:rFonts w:ascii="Calibri" w:hAnsi="Calibri" w:cs="Times New Roman"/>
          <w:color w:val="000000" w:themeColor="text1"/>
          <w:szCs w:val="22"/>
        </w:rPr>
        <w:sectPr w:rsidR="005D5B33" w:rsidRPr="00C706A5" w:rsidSect="005D5B33">
          <w:pgSz w:w="16838" w:h="11906" w:orient="landscape" w:code="9"/>
          <w:pgMar w:top="720" w:right="720" w:bottom="720" w:left="720" w:header="709" w:footer="709" w:gutter="0"/>
          <w:cols w:space="708"/>
          <w:docGrid w:linePitch="360"/>
        </w:sectPr>
      </w:pPr>
    </w:p>
    <w:p w:rsidR="00B10786" w:rsidRPr="00C706A5" w:rsidRDefault="00B10786" w:rsidP="00DB06E9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pPr w:leftFromText="141" w:rightFromText="141" w:vertAnchor="text" w:horzAnchor="margin" w:tblpY="289"/>
        <w:tblW w:w="107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791"/>
      </w:tblGrid>
      <w:tr w:rsidR="008D7771" w:rsidRPr="00C706A5" w:rsidTr="001133D2">
        <w:trPr>
          <w:trHeight w:val="6511"/>
        </w:trPr>
        <w:tc>
          <w:tcPr>
            <w:tcW w:w="10791" w:type="dxa"/>
          </w:tcPr>
          <w:p w:rsidR="001133D2" w:rsidRDefault="001133D2" w:rsidP="008D7771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D7771" w:rsidRPr="00C706A5" w:rsidRDefault="008D7771" w:rsidP="008D7771">
            <w:pPr>
              <w:spacing w:line="276" w:lineRule="auto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Times New Roman" w:hAnsi="Times New Roman" w:cs="Times New Roman"/>
                <w:color w:val="000000" w:themeColor="text1"/>
              </w:rPr>
              <w:br w:type="page"/>
            </w: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Rappelons que :</w:t>
            </w:r>
          </w:p>
          <w:p w:rsidR="008D7771" w:rsidRPr="00C706A5" w:rsidRDefault="008D7771" w:rsidP="008D7771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les questions abordées sont qualitatives à 3 modalités (amélioration, stagnation, détérioration). Les  évolutions se réfèrent à une période de 12 mois. Les résultats sont présentés sous forme  de soldes (différence entre les pourcentages des réponses « amélioration » et  des réponses «détérioration»). Le niveau des soldes n’est pas directement interprétable, c’est leur évolution qui est analysée. </w:t>
            </w:r>
          </w:p>
          <w:p w:rsidR="008D7771" w:rsidRPr="00C706A5" w:rsidRDefault="008D7771" w:rsidP="008D7771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L’Indice de Confiance des Ménages (ICM) est calculé sur la base de sept indicateurs, quatre relatifs à la situation générale et trois à la situation propre du ménage :</w:t>
            </w:r>
          </w:p>
          <w:p w:rsidR="008D7771" w:rsidRPr="00C706A5" w:rsidRDefault="008D7771" w:rsidP="008D7771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passée du niveau de vie ;</w:t>
            </w:r>
          </w:p>
          <w:p w:rsidR="008D7771" w:rsidRPr="00C706A5" w:rsidRDefault="008D7771" w:rsidP="008D7771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perspective d'évolution du niveau de vie ;</w:t>
            </w:r>
          </w:p>
          <w:p w:rsidR="008D7771" w:rsidRPr="00C706A5" w:rsidRDefault="008D7771" w:rsidP="008D7771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perspective d'évolution du nombre de chômeurs ;</w:t>
            </w:r>
          </w:p>
          <w:p w:rsidR="008D7771" w:rsidRPr="00C706A5" w:rsidRDefault="008D7771" w:rsidP="008D7771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opportunité d'achat de biens durables;</w:t>
            </w:r>
          </w:p>
          <w:p w:rsidR="008D7771" w:rsidRPr="00C706A5" w:rsidRDefault="008D7771" w:rsidP="008D7771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situation financière actuelle des ménages ;</w:t>
            </w:r>
          </w:p>
          <w:p w:rsidR="008D7771" w:rsidRPr="00C706A5" w:rsidRDefault="008D7771" w:rsidP="008D7771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passée de la situation financière des ménages ;</w:t>
            </w:r>
          </w:p>
          <w:p w:rsidR="008D7771" w:rsidRPr="00C706A5" w:rsidRDefault="008D7771" w:rsidP="008D7771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future de la situation financière des ménages.</w:t>
            </w:r>
          </w:p>
          <w:p w:rsidR="008D7771" w:rsidRPr="00C706A5" w:rsidRDefault="008D7771" w:rsidP="008D7771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L’ICM est la  moyenne arithmétique simple des  soldes des 7 indicateurs, augmentée de 100, sa valeur varie ainsi de 0 à 200.</w:t>
            </w:r>
          </w:p>
          <w:p w:rsidR="002C768B" w:rsidRPr="0074699A" w:rsidRDefault="002C768B" w:rsidP="0074699A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DA3867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Des tests statistiques de Fisher</w:t>
            </w:r>
            <w:r w:rsidR="0074699A" w:rsidRPr="00DA3867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sur l</w:t>
            </w:r>
            <w:r w:rsidR="0074699A"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a série de l’indice de confiance des ménages</w:t>
            </w:r>
            <w:r w:rsid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durant </w:t>
            </w:r>
            <w:r w:rsidR="0074699A"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la période allant de 2008 à 2014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DA3867"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ont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confirmé l’absence des variations saisonnières stables et mobiles</w:t>
            </w:r>
            <w:r w:rsid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.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8D7771" w:rsidRPr="00C706A5" w:rsidRDefault="008D7771" w:rsidP="008D7771">
            <w:pPr>
              <w:spacing w:line="276" w:lineRule="auto"/>
              <w:jc w:val="both"/>
              <w:rPr>
                <w:rFonts w:ascii="Book Antiqua" w:hAnsi="Book Antiqua" w:cs="Times New Roman"/>
                <w:b/>
                <w:bCs/>
                <w:color w:val="000000" w:themeColor="text1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Pour plus d’informations sur les aspects méthodologiques de cette enquête, consulter le site web du HCP au  </w:t>
            </w:r>
            <w:hyperlink r:id="rId16" w:history="1">
              <w:r w:rsidRPr="00C706A5">
                <w:rPr>
                  <w:rStyle w:val="Lienhypertexte"/>
                  <w:rFonts w:ascii="Book Antiqua" w:hAnsi="Book Antiqua" w:cs="Times New Roman"/>
                  <w:color w:val="000000" w:themeColor="text1"/>
                  <w:sz w:val="20"/>
                  <w:szCs w:val="20"/>
                </w:rPr>
                <w:t>www.hcp.ma</w:t>
              </w:r>
            </w:hyperlink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:rsidR="00B10786" w:rsidRPr="00C706A5" w:rsidRDefault="00B10786" w:rsidP="00DB06E9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68173C" w:rsidRPr="00C706A5" w:rsidRDefault="0068173C" w:rsidP="00DB06E9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68173C" w:rsidRPr="00C706A5" w:rsidRDefault="0068173C" w:rsidP="00DB06E9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68173C" w:rsidRPr="00C706A5" w:rsidSect="00B879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3105" w:rsidRDefault="003A3105" w:rsidP="00460705">
      <w:r>
        <w:separator/>
      </w:r>
    </w:p>
  </w:endnote>
  <w:endnote w:type="continuationSeparator" w:id="0">
    <w:p w:rsidR="003A3105" w:rsidRDefault="003A3105" w:rsidP="004607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870" w:rsidRDefault="009E1083">
    <w:pPr>
      <w:pStyle w:val="Pieddepage"/>
      <w:jc w:val="right"/>
    </w:pPr>
    <w:fldSimple w:instr=" PAGE   \* MERGEFORMAT ">
      <w:r w:rsidR="003A3105">
        <w:rPr>
          <w:noProof/>
        </w:rPr>
        <w:t>1</w:t>
      </w:r>
    </w:fldSimple>
  </w:p>
  <w:p w:rsidR="00CA5870" w:rsidRDefault="00CA587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3105" w:rsidRDefault="003A3105" w:rsidP="00460705">
      <w:r>
        <w:separator/>
      </w:r>
    </w:p>
  </w:footnote>
  <w:footnote w:type="continuationSeparator" w:id="0">
    <w:p w:rsidR="003A3105" w:rsidRDefault="003A3105" w:rsidP="004607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07A8E"/>
    <w:multiLevelType w:val="hybridMultilevel"/>
    <w:tmpl w:val="DEAAA6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02827"/>
    <w:multiLevelType w:val="hybridMultilevel"/>
    <w:tmpl w:val="651C7EFE"/>
    <w:lvl w:ilvl="0" w:tplc="B100CA10">
      <w:start w:val="3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10A122E6"/>
    <w:multiLevelType w:val="hybridMultilevel"/>
    <w:tmpl w:val="826865B6"/>
    <w:lvl w:ilvl="0" w:tplc="0616EC8E">
      <w:numFmt w:val="bullet"/>
      <w:lvlText w:val="-"/>
      <w:lvlJc w:val="left"/>
      <w:pPr>
        <w:ind w:left="1080" w:hanging="360"/>
      </w:pPr>
      <w:rPr>
        <w:rFonts w:ascii="Book Antiqua" w:eastAsia="Calibri" w:hAnsi="Book Antiqua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CC54CD3"/>
    <w:multiLevelType w:val="hybridMultilevel"/>
    <w:tmpl w:val="0EF07944"/>
    <w:lvl w:ilvl="0" w:tplc="040C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9C3212"/>
    <w:multiLevelType w:val="hybridMultilevel"/>
    <w:tmpl w:val="80FE2C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28527B"/>
    <w:multiLevelType w:val="multilevel"/>
    <w:tmpl w:val="615095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43E6100A"/>
    <w:multiLevelType w:val="hybridMultilevel"/>
    <w:tmpl w:val="F000AF92"/>
    <w:lvl w:ilvl="0" w:tplc="040C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7">
    <w:nsid w:val="498D60E8"/>
    <w:multiLevelType w:val="hybridMultilevel"/>
    <w:tmpl w:val="E83A85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355FAE"/>
    <w:multiLevelType w:val="hybridMultilevel"/>
    <w:tmpl w:val="5A8C44D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2DB559E"/>
    <w:multiLevelType w:val="hybridMultilevel"/>
    <w:tmpl w:val="C6182B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657841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BD7D01"/>
    <w:multiLevelType w:val="hybridMultilevel"/>
    <w:tmpl w:val="0E2043F8"/>
    <w:lvl w:ilvl="0" w:tplc="040C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8"/>
  </w:num>
  <w:num w:numId="5">
    <w:abstractNumId w:val="5"/>
  </w:num>
  <w:num w:numId="6">
    <w:abstractNumId w:val="7"/>
  </w:num>
  <w:num w:numId="7">
    <w:abstractNumId w:val="0"/>
  </w:num>
  <w:num w:numId="8">
    <w:abstractNumId w:val="4"/>
  </w:num>
  <w:num w:numId="9">
    <w:abstractNumId w:val="10"/>
  </w:num>
  <w:num w:numId="10">
    <w:abstractNumId w:val="3"/>
  </w:num>
  <w:num w:numId="11">
    <w:abstractNumId w:val="11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12704"/>
    <w:rsid w:val="000016A1"/>
    <w:rsid w:val="000023E0"/>
    <w:rsid w:val="00002F9B"/>
    <w:rsid w:val="00003F54"/>
    <w:rsid w:val="000069AE"/>
    <w:rsid w:val="00011A0E"/>
    <w:rsid w:val="00011BC4"/>
    <w:rsid w:val="00011F4E"/>
    <w:rsid w:val="00014940"/>
    <w:rsid w:val="00015112"/>
    <w:rsid w:val="00016F90"/>
    <w:rsid w:val="000174FE"/>
    <w:rsid w:val="00017526"/>
    <w:rsid w:val="0001754D"/>
    <w:rsid w:val="00022644"/>
    <w:rsid w:val="00024686"/>
    <w:rsid w:val="0002532B"/>
    <w:rsid w:val="00025F15"/>
    <w:rsid w:val="000265CF"/>
    <w:rsid w:val="000315FD"/>
    <w:rsid w:val="00031CFB"/>
    <w:rsid w:val="000324B4"/>
    <w:rsid w:val="00032AF9"/>
    <w:rsid w:val="00032ECD"/>
    <w:rsid w:val="000356C1"/>
    <w:rsid w:val="000364EF"/>
    <w:rsid w:val="000370B6"/>
    <w:rsid w:val="0004211E"/>
    <w:rsid w:val="00043430"/>
    <w:rsid w:val="000451AC"/>
    <w:rsid w:val="00046C56"/>
    <w:rsid w:val="00047B2B"/>
    <w:rsid w:val="00051534"/>
    <w:rsid w:val="000518A6"/>
    <w:rsid w:val="00051B80"/>
    <w:rsid w:val="00052C8E"/>
    <w:rsid w:val="00055B18"/>
    <w:rsid w:val="0005628D"/>
    <w:rsid w:val="00056F4A"/>
    <w:rsid w:val="00057262"/>
    <w:rsid w:val="00057BC7"/>
    <w:rsid w:val="00057E1A"/>
    <w:rsid w:val="00061CA4"/>
    <w:rsid w:val="00064021"/>
    <w:rsid w:val="000646B0"/>
    <w:rsid w:val="00067D35"/>
    <w:rsid w:val="000706EE"/>
    <w:rsid w:val="000720FD"/>
    <w:rsid w:val="00072F7C"/>
    <w:rsid w:val="00073079"/>
    <w:rsid w:val="000749D1"/>
    <w:rsid w:val="000779C2"/>
    <w:rsid w:val="00077CAA"/>
    <w:rsid w:val="0008224D"/>
    <w:rsid w:val="00082D2E"/>
    <w:rsid w:val="000836A6"/>
    <w:rsid w:val="0008574A"/>
    <w:rsid w:val="000877E9"/>
    <w:rsid w:val="00087DA2"/>
    <w:rsid w:val="00090FCF"/>
    <w:rsid w:val="00090FEC"/>
    <w:rsid w:val="00091FB9"/>
    <w:rsid w:val="00097300"/>
    <w:rsid w:val="00097799"/>
    <w:rsid w:val="0009797C"/>
    <w:rsid w:val="00097D75"/>
    <w:rsid w:val="000A0177"/>
    <w:rsid w:val="000A0881"/>
    <w:rsid w:val="000A158A"/>
    <w:rsid w:val="000A20DC"/>
    <w:rsid w:val="000A40C3"/>
    <w:rsid w:val="000A62F9"/>
    <w:rsid w:val="000B0844"/>
    <w:rsid w:val="000B09BA"/>
    <w:rsid w:val="000B1487"/>
    <w:rsid w:val="000B16D1"/>
    <w:rsid w:val="000C0C01"/>
    <w:rsid w:val="000C439F"/>
    <w:rsid w:val="000C56EA"/>
    <w:rsid w:val="000C7F17"/>
    <w:rsid w:val="000D1CF5"/>
    <w:rsid w:val="000D24FA"/>
    <w:rsid w:val="000D341B"/>
    <w:rsid w:val="000D367A"/>
    <w:rsid w:val="000D4077"/>
    <w:rsid w:val="000D5638"/>
    <w:rsid w:val="000D5AB2"/>
    <w:rsid w:val="000D5B0A"/>
    <w:rsid w:val="000E10E0"/>
    <w:rsid w:val="000E17D9"/>
    <w:rsid w:val="000F0919"/>
    <w:rsid w:val="000F0DB1"/>
    <w:rsid w:val="000F2945"/>
    <w:rsid w:val="000F6CE8"/>
    <w:rsid w:val="000F70E8"/>
    <w:rsid w:val="000F74C5"/>
    <w:rsid w:val="000F7A57"/>
    <w:rsid w:val="000F7C4F"/>
    <w:rsid w:val="001037B3"/>
    <w:rsid w:val="00104438"/>
    <w:rsid w:val="00104463"/>
    <w:rsid w:val="001052BE"/>
    <w:rsid w:val="00105320"/>
    <w:rsid w:val="00106E19"/>
    <w:rsid w:val="00106EC0"/>
    <w:rsid w:val="00106FA4"/>
    <w:rsid w:val="00107534"/>
    <w:rsid w:val="001103D0"/>
    <w:rsid w:val="00110B90"/>
    <w:rsid w:val="001116C8"/>
    <w:rsid w:val="001133D2"/>
    <w:rsid w:val="00113767"/>
    <w:rsid w:val="00115D48"/>
    <w:rsid w:val="001161C4"/>
    <w:rsid w:val="0011726A"/>
    <w:rsid w:val="00117A2F"/>
    <w:rsid w:val="00117F82"/>
    <w:rsid w:val="00121CCC"/>
    <w:rsid w:val="00122941"/>
    <w:rsid w:val="00123E79"/>
    <w:rsid w:val="00124827"/>
    <w:rsid w:val="00125161"/>
    <w:rsid w:val="001254E5"/>
    <w:rsid w:val="00125543"/>
    <w:rsid w:val="00127D67"/>
    <w:rsid w:val="00131E2D"/>
    <w:rsid w:val="00133860"/>
    <w:rsid w:val="001347D2"/>
    <w:rsid w:val="00137D7D"/>
    <w:rsid w:val="001404A9"/>
    <w:rsid w:val="001414F3"/>
    <w:rsid w:val="001438AB"/>
    <w:rsid w:val="0014398F"/>
    <w:rsid w:val="00144320"/>
    <w:rsid w:val="0014733D"/>
    <w:rsid w:val="0015212E"/>
    <w:rsid w:val="001523D7"/>
    <w:rsid w:val="00152D59"/>
    <w:rsid w:val="00153ECF"/>
    <w:rsid w:val="001545AE"/>
    <w:rsid w:val="00156587"/>
    <w:rsid w:val="00157CA9"/>
    <w:rsid w:val="00162062"/>
    <w:rsid w:val="001648E6"/>
    <w:rsid w:val="0016596E"/>
    <w:rsid w:val="001672BD"/>
    <w:rsid w:val="00174542"/>
    <w:rsid w:val="001757C5"/>
    <w:rsid w:val="001760CB"/>
    <w:rsid w:val="00184023"/>
    <w:rsid w:val="00185207"/>
    <w:rsid w:val="00185ABC"/>
    <w:rsid w:val="001871C4"/>
    <w:rsid w:val="00187A5C"/>
    <w:rsid w:val="00187EB7"/>
    <w:rsid w:val="00190672"/>
    <w:rsid w:val="00191E08"/>
    <w:rsid w:val="00191F62"/>
    <w:rsid w:val="00193B4D"/>
    <w:rsid w:val="0019435A"/>
    <w:rsid w:val="001956DC"/>
    <w:rsid w:val="00195D2E"/>
    <w:rsid w:val="001960E9"/>
    <w:rsid w:val="00196D8E"/>
    <w:rsid w:val="00196DF3"/>
    <w:rsid w:val="001975D4"/>
    <w:rsid w:val="00197D9A"/>
    <w:rsid w:val="00197F64"/>
    <w:rsid w:val="001A048A"/>
    <w:rsid w:val="001A0F65"/>
    <w:rsid w:val="001A4203"/>
    <w:rsid w:val="001A4BB7"/>
    <w:rsid w:val="001A648B"/>
    <w:rsid w:val="001A69DD"/>
    <w:rsid w:val="001A6BB6"/>
    <w:rsid w:val="001B1130"/>
    <w:rsid w:val="001B2334"/>
    <w:rsid w:val="001B3707"/>
    <w:rsid w:val="001B3CB2"/>
    <w:rsid w:val="001B50A1"/>
    <w:rsid w:val="001B561B"/>
    <w:rsid w:val="001B5B96"/>
    <w:rsid w:val="001B5F02"/>
    <w:rsid w:val="001B69A3"/>
    <w:rsid w:val="001B7322"/>
    <w:rsid w:val="001C0839"/>
    <w:rsid w:val="001C4D54"/>
    <w:rsid w:val="001C5AA4"/>
    <w:rsid w:val="001C67D4"/>
    <w:rsid w:val="001C6846"/>
    <w:rsid w:val="001C6883"/>
    <w:rsid w:val="001D0C73"/>
    <w:rsid w:val="001D709D"/>
    <w:rsid w:val="001E0D0B"/>
    <w:rsid w:val="001E1901"/>
    <w:rsid w:val="001E36D5"/>
    <w:rsid w:val="001E42CC"/>
    <w:rsid w:val="001E4F55"/>
    <w:rsid w:val="001F062E"/>
    <w:rsid w:val="001F14B0"/>
    <w:rsid w:val="001F20AF"/>
    <w:rsid w:val="001F321B"/>
    <w:rsid w:val="001F4A3E"/>
    <w:rsid w:val="001F4FE4"/>
    <w:rsid w:val="001F59E2"/>
    <w:rsid w:val="001F5D34"/>
    <w:rsid w:val="001F626D"/>
    <w:rsid w:val="001F6A9C"/>
    <w:rsid w:val="001F7711"/>
    <w:rsid w:val="002021DE"/>
    <w:rsid w:val="002041E9"/>
    <w:rsid w:val="0020711A"/>
    <w:rsid w:val="0021180E"/>
    <w:rsid w:val="0021213E"/>
    <w:rsid w:val="00212E56"/>
    <w:rsid w:val="00213786"/>
    <w:rsid w:val="002163AF"/>
    <w:rsid w:val="002164DC"/>
    <w:rsid w:val="00221FC5"/>
    <w:rsid w:val="00222682"/>
    <w:rsid w:val="002226A1"/>
    <w:rsid w:val="00222815"/>
    <w:rsid w:val="00223178"/>
    <w:rsid w:val="00223808"/>
    <w:rsid w:val="0022467F"/>
    <w:rsid w:val="00226BE3"/>
    <w:rsid w:val="00227B1B"/>
    <w:rsid w:val="0023094A"/>
    <w:rsid w:val="00232556"/>
    <w:rsid w:val="00233531"/>
    <w:rsid w:val="0024028E"/>
    <w:rsid w:val="00243AE1"/>
    <w:rsid w:val="00245992"/>
    <w:rsid w:val="00246518"/>
    <w:rsid w:val="002478EF"/>
    <w:rsid w:val="00247A3B"/>
    <w:rsid w:val="00253166"/>
    <w:rsid w:val="00256FBC"/>
    <w:rsid w:val="00257385"/>
    <w:rsid w:val="00260173"/>
    <w:rsid w:val="00260D98"/>
    <w:rsid w:val="00262237"/>
    <w:rsid w:val="0026337D"/>
    <w:rsid w:val="00263D54"/>
    <w:rsid w:val="00264457"/>
    <w:rsid w:val="00265CFD"/>
    <w:rsid w:val="00266110"/>
    <w:rsid w:val="00267202"/>
    <w:rsid w:val="00267298"/>
    <w:rsid w:val="002672A0"/>
    <w:rsid w:val="0026748C"/>
    <w:rsid w:val="00267B6E"/>
    <w:rsid w:val="00270AD9"/>
    <w:rsid w:val="00270B31"/>
    <w:rsid w:val="0027263B"/>
    <w:rsid w:val="00272727"/>
    <w:rsid w:val="00272D28"/>
    <w:rsid w:val="002751C2"/>
    <w:rsid w:val="00275256"/>
    <w:rsid w:val="00276077"/>
    <w:rsid w:val="00280072"/>
    <w:rsid w:val="0028098C"/>
    <w:rsid w:val="00287EC1"/>
    <w:rsid w:val="00290113"/>
    <w:rsid w:val="002915B7"/>
    <w:rsid w:val="00291C4B"/>
    <w:rsid w:val="00292082"/>
    <w:rsid w:val="00293863"/>
    <w:rsid w:val="002941A3"/>
    <w:rsid w:val="00295A6D"/>
    <w:rsid w:val="00295DF0"/>
    <w:rsid w:val="00296645"/>
    <w:rsid w:val="002A1C56"/>
    <w:rsid w:val="002A29D2"/>
    <w:rsid w:val="002A2E36"/>
    <w:rsid w:val="002A321D"/>
    <w:rsid w:val="002A53E5"/>
    <w:rsid w:val="002A7486"/>
    <w:rsid w:val="002B15A7"/>
    <w:rsid w:val="002B15E6"/>
    <w:rsid w:val="002B2EC5"/>
    <w:rsid w:val="002B3D5B"/>
    <w:rsid w:val="002B51C3"/>
    <w:rsid w:val="002B7130"/>
    <w:rsid w:val="002B74FD"/>
    <w:rsid w:val="002B799E"/>
    <w:rsid w:val="002C03DA"/>
    <w:rsid w:val="002C0BC4"/>
    <w:rsid w:val="002C0E6A"/>
    <w:rsid w:val="002C10D7"/>
    <w:rsid w:val="002C18A0"/>
    <w:rsid w:val="002C211A"/>
    <w:rsid w:val="002C26D4"/>
    <w:rsid w:val="002C3101"/>
    <w:rsid w:val="002C366D"/>
    <w:rsid w:val="002C5954"/>
    <w:rsid w:val="002C768B"/>
    <w:rsid w:val="002C79A8"/>
    <w:rsid w:val="002C7EF2"/>
    <w:rsid w:val="002D2970"/>
    <w:rsid w:val="002D3C52"/>
    <w:rsid w:val="002D3E22"/>
    <w:rsid w:val="002D54C7"/>
    <w:rsid w:val="002D56C5"/>
    <w:rsid w:val="002D5AAA"/>
    <w:rsid w:val="002D6FC3"/>
    <w:rsid w:val="002E3AEC"/>
    <w:rsid w:val="002E5787"/>
    <w:rsid w:val="002E5ABF"/>
    <w:rsid w:val="002E5BEC"/>
    <w:rsid w:val="002E710F"/>
    <w:rsid w:val="002F08CD"/>
    <w:rsid w:val="002F56E4"/>
    <w:rsid w:val="002F5CBB"/>
    <w:rsid w:val="002F5E6A"/>
    <w:rsid w:val="002F61B2"/>
    <w:rsid w:val="002F7AAE"/>
    <w:rsid w:val="00300726"/>
    <w:rsid w:val="00302717"/>
    <w:rsid w:val="003043BE"/>
    <w:rsid w:val="00306F45"/>
    <w:rsid w:val="00307232"/>
    <w:rsid w:val="00307E20"/>
    <w:rsid w:val="00311292"/>
    <w:rsid w:val="00312C75"/>
    <w:rsid w:val="00313590"/>
    <w:rsid w:val="00314363"/>
    <w:rsid w:val="00315331"/>
    <w:rsid w:val="00315FDD"/>
    <w:rsid w:val="0032273E"/>
    <w:rsid w:val="0032393A"/>
    <w:rsid w:val="0032457C"/>
    <w:rsid w:val="00326439"/>
    <w:rsid w:val="0032654E"/>
    <w:rsid w:val="003266B8"/>
    <w:rsid w:val="00326D4A"/>
    <w:rsid w:val="0033159D"/>
    <w:rsid w:val="003325C2"/>
    <w:rsid w:val="00333CD8"/>
    <w:rsid w:val="00335081"/>
    <w:rsid w:val="00335AA7"/>
    <w:rsid w:val="00342196"/>
    <w:rsid w:val="00344737"/>
    <w:rsid w:val="00346706"/>
    <w:rsid w:val="003514ED"/>
    <w:rsid w:val="00352106"/>
    <w:rsid w:val="0035217E"/>
    <w:rsid w:val="00352D33"/>
    <w:rsid w:val="00353CB2"/>
    <w:rsid w:val="00354A18"/>
    <w:rsid w:val="00354E92"/>
    <w:rsid w:val="003559FA"/>
    <w:rsid w:val="00360176"/>
    <w:rsid w:val="00360720"/>
    <w:rsid w:val="00362A0D"/>
    <w:rsid w:val="003670AA"/>
    <w:rsid w:val="00370A60"/>
    <w:rsid w:val="003713F9"/>
    <w:rsid w:val="003724EE"/>
    <w:rsid w:val="00373C93"/>
    <w:rsid w:val="00380461"/>
    <w:rsid w:val="003812CC"/>
    <w:rsid w:val="00381490"/>
    <w:rsid w:val="00381936"/>
    <w:rsid w:val="0038490E"/>
    <w:rsid w:val="00385E59"/>
    <w:rsid w:val="00386E22"/>
    <w:rsid w:val="00391350"/>
    <w:rsid w:val="003937BF"/>
    <w:rsid w:val="003960C1"/>
    <w:rsid w:val="003A3105"/>
    <w:rsid w:val="003A32A5"/>
    <w:rsid w:val="003A35D3"/>
    <w:rsid w:val="003A4987"/>
    <w:rsid w:val="003A5110"/>
    <w:rsid w:val="003A5245"/>
    <w:rsid w:val="003A52E9"/>
    <w:rsid w:val="003A5304"/>
    <w:rsid w:val="003A5AEB"/>
    <w:rsid w:val="003A6EC4"/>
    <w:rsid w:val="003A70BA"/>
    <w:rsid w:val="003A7ECC"/>
    <w:rsid w:val="003B092A"/>
    <w:rsid w:val="003B0EDF"/>
    <w:rsid w:val="003B27AF"/>
    <w:rsid w:val="003B330D"/>
    <w:rsid w:val="003B6E43"/>
    <w:rsid w:val="003C0E95"/>
    <w:rsid w:val="003C1028"/>
    <w:rsid w:val="003C2208"/>
    <w:rsid w:val="003C2924"/>
    <w:rsid w:val="003C3114"/>
    <w:rsid w:val="003C4254"/>
    <w:rsid w:val="003C79A0"/>
    <w:rsid w:val="003D554F"/>
    <w:rsid w:val="003D6DF2"/>
    <w:rsid w:val="003E04DE"/>
    <w:rsid w:val="003E1044"/>
    <w:rsid w:val="003E22C4"/>
    <w:rsid w:val="003E3A1D"/>
    <w:rsid w:val="003E4DD3"/>
    <w:rsid w:val="003E7065"/>
    <w:rsid w:val="003E7485"/>
    <w:rsid w:val="003F0597"/>
    <w:rsid w:val="003F107C"/>
    <w:rsid w:val="003F18F7"/>
    <w:rsid w:val="003F1E9D"/>
    <w:rsid w:val="003F362B"/>
    <w:rsid w:val="003F3656"/>
    <w:rsid w:val="003F3B02"/>
    <w:rsid w:val="003F3BF4"/>
    <w:rsid w:val="00400110"/>
    <w:rsid w:val="00400983"/>
    <w:rsid w:val="0040459B"/>
    <w:rsid w:val="00404C21"/>
    <w:rsid w:val="00405940"/>
    <w:rsid w:val="004074DD"/>
    <w:rsid w:val="004105E0"/>
    <w:rsid w:val="0041160A"/>
    <w:rsid w:val="00412740"/>
    <w:rsid w:val="004158F0"/>
    <w:rsid w:val="00416870"/>
    <w:rsid w:val="0042017B"/>
    <w:rsid w:val="00420B43"/>
    <w:rsid w:val="00420D3C"/>
    <w:rsid w:val="004211F6"/>
    <w:rsid w:val="00424E25"/>
    <w:rsid w:val="0042529A"/>
    <w:rsid w:val="00426845"/>
    <w:rsid w:val="00427219"/>
    <w:rsid w:val="004274C1"/>
    <w:rsid w:val="00430234"/>
    <w:rsid w:val="00431767"/>
    <w:rsid w:val="0043296A"/>
    <w:rsid w:val="00434700"/>
    <w:rsid w:val="00434E44"/>
    <w:rsid w:val="00435631"/>
    <w:rsid w:val="0043688A"/>
    <w:rsid w:val="00440B2D"/>
    <w:rsid w:val="004421AE"/>
    <w:rsid w:val="004421E3"/>
    <w:rsid w:val="004430BB"/>
    <w:rsid w:val="00445B5E"/>
    <w:rsid w:val="00446EA3"/>
    <w:rsid w:val="00450950"/>
    <w:rsid w:val="00450EFF"/>
    <w:rsid w:val="00451104"/>
    <w:rsid w:val="00451534"/>
    <w:rsid w:val="00452F6C"/>
    <w:rsid w:val="0045422F"/>
    <w:rsid w:val="0045433C"/>
    <w:rsid w:val="00457115"/>
    <w:rsid w:val="00460705"/>
    <w:rsid w:val="00460BC9"/>
    <w:rsid w:val="0046151F"/>
    <w:rsid w:val="00464052"/>
    <w:rsid w:val="00465799"/>
    <w:rsid w:val="0046586B"/>
    <w:rsid w:val="004660F5"/>
    <w:rsid w:val="0046675F"/>
    <w:rsid w:val="004674F7"/>
    <w:rsid w:val="004708C0"/>
    <w:rsid w:val="00471447"/>
    <w:rsid w:val="00471B70"/>
    <w:rsid w:val="00471D1D"/>
    <w:rsid w:val="0047220A"/>
    <w:rsid w:val="0047271F"/>
    <w:rsid w:val="00472EDA"/>
    <w:rsid w:val="004732C6"/>
    <w:rsid w:val="004744E1"/>
    <w:rsid w:val="00474682"/>
    <w:rsid w:val="00475F4B"/>
    <w:rsid w:val="00477B88"/>
    <w:rsid w:val="004825A3"/>
    <w:rsid w:val="00482DFE"/>
    <w:rsid w:val="00484AD3"/>
    <w:rsid w:val="004851EA"/>
    <w:rsid w:val="0048573D"/>
    <w:rsid w:val="00485A63"/>
    <w:rsid w:val="004868DB"/>
    <w:rsid w:val="00486BF3"/>
    <w:rsid w:val="004872D2"/>
    <w:rsid w:val="00487AE4"/>
    <w:rsid w:val="00490B11"/>
    <w:rsid w:val="00490E21"/>
    <w:rsid w:val="00491AFA"/>
    <w:rsid w:val="00493412"/>
    <w:rsid w:val="00495348"/>
    <w:rsid w:val="0049640D"/>
    <w:rsid w:val="00497168"/>
    <w:rsid w:val="00497732"/>
    <w:rsid w:val="004A33E9"/>
    <w:rsid w:val="004A3ECA"/>
    <w:rsid w:val="004A590B"/>
    <w:rsid w:val="004A69AD"/>
    <w:rsid w:val="004B04C6"/>
    <w:rsid w:val="004B35F7"/>
    <w:rsid w:val="004B4E32"/>
    <w:rsid w:val="004B5383"/>
    <w:rsid w:val="004B64B5"/>
    <w:rsid w:val="004B7076"/>
    <w:rsid w:val="004C26D2"/>
    <w:rsid w:val="004C7237"/>
    <w:rsid w:val="004D03FA"/>
    <w:rsid w:val="004D07E5"/>
    <w:rsid w:val="004D14A8"/>
    <w:rsid w:val="004D2992"/>
    <w:rsid w:val="004D3202"/>
    <w:rsid w:val="004D469E"/>
    <w:rsid w:val="004D48A5"/>
    <w:rsid w:val="004D4E20"/>
    <w:rsid w:val="004D7FEA"/>
    <w:rsid w:val="004E183B"/>
    <w:rsid w:val="004E2497"/>
    <w:rsid w:val="004E2DFB"/>
    <w:rsid w:val="004E3D51"/>
    <w:rsid w:val="004E3F63"/>
    <w:rsid w:val="004E4F5A"/>
    <w:rsid w:val="004E5131"/>
    <w:rsid w:val="004E5520"/>
    <w:rsid w:val="004E55BA"/>
    <w:rsid w:val="004E67DD"/>
    <w:rsid w:val="004E7840"/>
    <w:rsid w:val="004F07EF"/>
    <w:rsid w:val="004F0AE6"/>
    <w:rsid w:val="004F18F6"/>
    <w:rsid w:val="004F1AD1"/>
    <w:rsid w:val="004F3CFC"/>
    <w:rsid w:val="004F59BE"/>
    <w:rsid w:val="005016B0"/>
    <w:rsid w:val="00501D0E"/>
    <w:rsid w:val="00503F34"/>
    <w:rsid w:val="005041F1"/>
    <w:rsid w:val="00504C1B"/>
    <w:rsid w:val="0050642C"/>
    <w:rsid w:val="00506B3B"/>
    <w:rsid w:val="00507250"/>
    <w:rsid w:val="005076C2"/>
    <w:rsid w:val="00507FF6"/>
    <w:rsid w:val="00510671"/>
    <w:rsid w:val="00510B87"/>
    <w:rsid w:val="00511C57"/>
    <w:rsid w:val="005128B6"/>
    <w:rsid w:val="00513F5E"/>
    <w:rsid w:val="00515560"/>
    <w:rsid w:val="00517831"/>
    <w:rsid w:val="005216FD"/>
    <w:rsid w:val="00522383"/>
    <w:rsid w:val="005228C3"/>
    <w:rsid w:val="005231BF"/>
    <w:rsid w:val="005234AF"/>
    <w:rsid w:val="00525787"/>
    <w:rsid w:val="00530E86"/>
    <w:rsid w:val="00530E90"/>
    <w:rsid w:val="00531247"/>
    <w:rsid w:val="005314AC"/>
    <w:rsid w:val="00531A41"/>
    <w:rsid w:val="005325CC"/>
    <w:rsid w:val="0054064D"/>
    <w:rsid w:val="005426C2"/>
    <w:rsid w:val="00545A36"/>
    <w:rsid w:val="005465E0"/>
    <w:rsid w:val="005467EB"/>
    <w:rsid w:val="00546AA5"/>
    <w:rsid w:val="00547601"/>
    <w:rsid w:val="0055058D"/>
    <w:rsid w:val="00551FFF"/>
    <w:rsid w:val="00557809"/>
    <w:rsid w:val="00557C85"/>
    <w:rsid w:val="00560C19"/>
    <w:rsid w:val="00562D36"/>
    <w:rsid w:val="00562E23"/>
    <w:rsid w:val="00563170"/>
    <w:rsid w:val="005665B1"/>
    <w:rsid w:val="0056722B"/>
    <w:rsid w:val="00567CDC"/>
    <w:rsid w:val="00570BDD"/>
    <w:rsid w:val="0057388C"/>
    <w:rsid w:val="00576614"/>
    <w:rsid w:val="00576E52"/>
    <w:rsid w:val="00577957"/>
    <w:rsid w:val="005814AC"/>
    <w:rsid w:val="00581D56"/>
    <w:rsid w:val="00582246"/>
    <w:rsid w:val="0058309C"/>
    <w:rsid w:val="00584093"/>
    <w:rsid w:val="00585AB6"/>
    <w:rsid w:val="00585AD7"/>
    <w:rsid w:val="00585C38"/>
    <w:rsid w:val="00586FA1"/>
    <w:rsid w:val="005879B7"/>
    <w:rsid w:val="005926A9"/>
    <w:rsid w:val="005926FE"/>
    <w:rsid w:val="00593A64"/>
    <w:rsid w:val="00593B3D"/>
    <w:rsid w:val="005950FE"/>
    <w:rsid w:val="00596CE0"/>
    <w:rsid w:val="005A2E34"/>
    <w:rsid w:val="005A3289"/>
    <w:rsid w:val="005A36A6"/>
    <w:rsid w:val="005A4BB0"/>
    <w:rsid w:val="005A5697"/>
    <w:rsid w:val="005A5FB6"/>
    <w:rsid w:val="005A60A1"/>
    <w:rsid w:val="005A6B2B"/>
    <w:rsid w:val="005A7C0B"/>
    <w:rsid w:val="005B0A27"/>
    <w:rsid w:val="005B1014"/>
    <w:rsid w:val="005B1521"/>
    <w:rsid w:val="005B325E"/>
    <w:rsid w:val="005B33EC"/>
    <w:rsid w:val="005B6912"/>
    <w:rsid w:val="005B77A5"/>
    <w:rsid w:val="005C01F5"/>
    <w:rsid w:val="005C029D"/>
    <w:rsid w:val="005C1739"/>
    <w:rsid w:val="005C41EB"/>
    <w:rsid w:val="005C473B"/>
    <w:rsid w:val="005D0118"/>
    <w:rsid w:val="005D0483"/>
    <w:rsid w:val="005D07D9"/>
    <w:rsid w:val="005D1941"/>
    <w:rsid w:val="005D1BE9"/>
    <w:rsid w:val="005D238E"/>
    <w:rsid w:val="005D2895"/>
    <w:rsid w:val="005D3EA9"/>
    <w:rsid w:val="005D44DC"/>
    <w:rsid w:val="005D466C"/>
    <w:rsid w:val="005D5B33"/>
    <w:rsid w:val="005D63D7"/>
    <w:rsid w:val="005D6464"/>
    <w:rsid w:val="005D6C02"/>
    <w:rsid w:val="005D733B"/>
    <w:rsid w:val="005D7D69"/>
    <w:rsid w:val="005D7E3C"/>
    <w:rsid w:val="005E180C"/>
    <w:rsid w:val="005E1D4B"/>
    <w:rsid w:val="005E2815"/>
    <w:rsid w:val="005E2EB3"/>
    <w:rsid w:val="005E3E9B"/>
    <w:rsid w:val="005E5415"/>
    <w:rsid w:val="005E6632"/>
    <w:rsid w:val="005F0D2E"/>
    <w:rsid w:val="005F2467"/>
    <w:rsid w:val="005F2E1B"/>
    <w:rsid w:val="005F3E46"/>
    <w:rsid w:val="005F4616"/>
    <w:rsid w:val="005F5357"/>
    <w:rsid w:val="00600D77"/>
    <w:rsid w:val="00607796"/>
    <w:rsid w:val="006078F5"/>
    <w:rsid w:val="00613A81"/>
    <w:rsid w:val="00615041"/>
    <w:rsid w:val="00617A67"/>
    <w:rsid w:val="00617BEB"/>
    <w:rsid w:val="00622CF0"/>
    <w:rsid w:val="00625499"/>
    <w:rsid w:val="00626C37"/>
    <w:rsid w:val="00627948"/>
    <w:rsid w:val="006318E1"/>
    <w:rsid w:val="006332C7"/>
    <w:rsid w:val="00633DBA"/>
    <w:rsid w:val="00634247"/>
    <w:rsid w:val="00634856"/>
    <w:rsid w:val="00634C05"/>
    <w:rsid w:val="00637056"/>
    <w:rsid w:val="0064120B"/>
    <w:rsid w:val="00641937"/>
    <w:rsid w:val="00642021"/>
    <w:rsid w:val="0064218D"/>
    <w:rsid w:val="0064322F"/>
    <w:rsid w:val="00645377"/>
    <w:rsid w:val="0064643D"/>
    <w:rsid w:val="00646954"/>
    <w:rsid w:val="006473DB"/>
    <w:rsid w:val="00647BE8"/>
    <w:rsid w:val="00651154"/>
    <w:rsid w:val="00652533"/>
    <w:rsid w:val="0065300A"/>
    <w:rsid w:val="006550AF"/>
    <w:rsid w:val="006551E0"/>
    <w:rsid w:val="00655B47"/>
    <w:rsid w:val="00655B8C"/>
    <w:rsid w:val="006575AC"/>
    <w:rsid w:val="0066027B"/>
    <w:rsid w:val="00660A7D"/>
    <w:rsid w:val="0066108F"/>
    <w:rsid w:val="00661A4E"/>
    <w:rsid w:val="006620AD"/>
    <w:rsid w:val="00663FAD"/>
    <w:rsid w:val="00665ECF"/>
    <w:rsid w:val="0066619E"/>
    <w:rsid w:val="00667089"/>
    <w:rsid w:val="00671777"/>
    <w:rsid w:val="00671ECF"/>
    <w:rsid w:val="00672A2B"/>
    <w:rsid w:val="00672FEF"/>
    <w:rsid w:val="0068033A"/>
    <w:rsid w:val="0068173C"/>
    <w:rsid w:val="006817AF"/>
    <w:rsid w:val="006820FF"/>
    <w:rsid w:val="00682795"/>
    <w:rsid w:val="00683796"/>
    <w:rsid w:val="0068542B"/>
    <w:rsid w:val="006864D5"/>
    <w:rsid w:val="00686596"/>
    <w:rsid w:val="00686868"/>
    <w:rsid w:val="00687307"/>
    <w:rsid w:val="0069013E"/>
    <w:rsid w:val="00691370"/>
    <w:rsid w:val="0069195E"/>
    <w:rsid w:val="00692444"/>
    <w:rsid w:val="006934E4"/>
    <w:rsid w:val="006945C1"/>
    <w:rsid w:val="00695A2C"/>
    <w:rsid w:val="006975E3"/>
    <w:rsid w:val="0069792B"/>
    <w:rsid w:val="00697E8F"/>
    <w:rsid w:val="006A0757"/>
    <w:rsid w:val="006A0913"/>
    <w:rsid w:val="006A1512"/>
    <w:rsid w:val="006A230B"/>
    <w:rsid w:val="006A552D"/>
    <w:rsid w:val="006A5708"/>
    <w:rsid w:val="006A7BD0"/>
    <w:rsid w:val="006B11E8"/>
    <w:rsid w:val="006B12D2"/>
    <w:rsid w:val="006B695F"/>
    <w:rsid w:val="006B6E07"/>
    <w:rsid w:val="006C0438"/>
    <w:rsid w:val="006C0465"/>
    <w:rsid w:val="006C0877"/>
    <w:rsid w:val="006C09E5"/>
    <w:rsid w:val="006C1139"/>
    <w:rsid w:val="006C15D0"/>
    <w:rsid w:val="006C1ABB"/>
    <w:rsid w:val="006C2CF5"/>
    <w:rsid w:val="006C31B7"/>
    <w:rsid w:val="006C39DF"/>
    <w:rsid w:val="006C4C14"/>
    <w:rsid w:val="006C60A7"/>
    <w:rsid w:val="006C6BFF"/>
    <w:rsid w:val="006C7006"/>
    <w:rsid w:val="006D0BD2"/>
    <w:rsid w:val="006D3119"/>
    <w:rsid w:val="006D5C60"/>
    <w:rsid w:val="006D7C72"/>
    <w:rsid w:val="006E15E3"/>
    <w:rsid w:val="006E2F48"/>
    <w:rsid w:val="006E51CE"/>
    <w:rsid w:val="006E54CD"/>
    <w:rsid w:val="006E743A"/>
    <w:rsid w:val="006F0E4F"/>
    <w:rsid w:val="006F193E"/>
    <w:rsid w:val="006F1D72"/>
    <w:rsid w:val="006F62E6"/>
    <w:rsid w:val="006F6A79"/>
    <w:rsid w:val="006F794A"/>
    <w:rsid w:val="0070068D"/>
    <w:rsid w:val="00700954"/>
    <w:rsid w:val="007034D0"/>
    <w:rsid w:val="00705867"/>
    <w:rsid w:val="00706F3D"/>
    <w:rsid w:val="00707120"/>
    <w:rsid w:val="00707602"/>
    <w:rsid w:val="00710424"/>
    <w:rsid w:val="00710591"/>
    <w:rsid w:val="007119A5"/>
    <w:rsid w:val="007122EA"/>
    <w:rsid w:val="007125AF"/>
    <w:rsid w:val="00712B97"/>
    <w:rsid w:val="007137CC"/>
    <w:rsid w:val="00714273"/>
    <w:rsid w:val="007143DA"/>
    <w:rsid w:val="00714E60"/>
    <w:rsid w:val="00717305"/>
    <w:rsid w:val="00717A01"/>
    <w:rsid w:val="00720767"/>
    <w:rsid w:val="00722189"/>
    <w:rsid w:val="00724CEF"/>
    <w:rsid w:val="00725C97"/>
    <w:rsid w:val="007325A2"/>
    <w:rsid w:val="00732857"/>
    <w:rsid w:val="007328CF"/>
    <w:rsid w:val="00732D99"/>
    <w:rsid w:val="0073492C"/>
    <w:rsid w:val="00735526"/>
    <w:rsid w:val="007355D2"/>
    <w:rsid w:val="00740BD9"/>
    <w:rsid w:val="00742AC3"/>
    <w:rsid w:val="00742C5C"/>
    <w:rsid w:val="00743C10"/>
    <w:rsid w:val="00745483"/>
    <w:rsid w:val="00745AD8"/>
    <w:rsid w:val="0074699A"/>
    <w:rsid w:val="00751D5F"/>
    <w:rsid w:val="007539E9"/>
    <w:rsid w:val="00753AB7"/>
    <w:rsid w:val="00754325"/>
    <w:rsid w:val="0075581F"/>
    <w:rsid w:val="0075742A"/>
    <w:rsid w:val="00760F13"/>
    <w:rsid w:val="00761915"/>
    <w:rsid w:val="00761A82"/>
    <w:rsid w:val="00763124"/>
    <w:rsid w:val="007645FF"/>
    <w:rsid w:val="00765A34"/>
    <w:rsid w:val="00766FB9"/>
    <w:rsid w:val="0076762A"/>
    <w:rsid w:val="0076780C"/>
    <w:rsid w:val="00772D6A"/>
    <w:rsid w:val="00773FE4"/>
    <w:rsid w:val="007745FE"/>
    <w:rsid w:val="00774BE8"/>
    <w:rsid w:val="00774E22"/>
    <w:rsid w:val="0077630F"/>
    <w:rsid w:val="00777AFE"/>
    <w:rsid w:val="00777F87"/>
    <w:rsid w:val="00780E61"/>
    <w:rsid w:val="00781DEE"/>
    <w:rsid w:val="0078348A"/>
    <w:rsid w:val="00784FCF"/>
    <w:rsid w:val="0078567D"/>
    <w:rsid w:val="007909B3"/>
    <w:rsid w:val="007937C5"/>
    <w:rsid w:val="007A00D5"/>
    <w:rsid w:val="007A02DF"/>
    <w:rsid w:val="007A0429"/>
    <w:rsid w:val="007A106F"/>
    <w:rsid w:val="007A2498"/>
    <w:rsid w:val="007A3C20"/>
    <w:rsid w:val="007A4238"/>
    <w:rsid w:val="007A430C"/>
    <w:rsid w:val="007A7334"/>
    <w:rsid w:val="007B4778"/>
    <w:rsid w:val="007B6A7F"/>
    <w:rsid w:val="007C17FC"/>
    <w:rsid w:val="007C2155"/>
    <w:rsid w:val="007C2C4A"/>
    <w:rsid w:val="007C2DEA"/>
    <w:rsid w:val="007C32BD"/>
    <w:rsid w:val="007C33B5"/>
    <w:rsid w:val="007C4CD5"/>
    <w:rsid w:val="007C52B7"/>
    <w:rsid w:val="007C5542"/>
    <w:rsid w:val="007C58E4"/>
    <w:rsid w:val="007C7142"/>
    <w:rsid w:val="007C7AFB"/>
    <w:rsid w:val="007D01A0"/>
    <w:rsid w:val="007D04AD"/>
    <w:rsid w:val="007D41E2"/>
    <w:rsid w:val="007D4ED5"/>
    <w:rsid w:val="007D6641"/>
    <w:rsid w:val="007D7349"/>
    <w:rsid w:val="007D76C4"/>
    <w:rsid w:val="007D7FDE"/>
    <w:rsid w:val="007E0752"/>
    <w:rsid w:val="007E0D7B"/>
    <w:rsid w:val="007F2CA7"/>
    <w:rsid w:val="007F2FA3"/>
    <w:rsid w:val="007F353D"/>
    <w:rsid w:val="007F3847"/>
    <w:rsid w:val="007F3975"/>
    <w:rsid w:val="007F4106"/>
    <w:rsid w:val="007F5E32"/>
    <w:rsid w:val="007F664B"/>
    <w:rsid w:val="007F722E"/>
    <w:rsid w:val="007F7693"/>
    <w:rsid w:val="008004F5"/>
    <w:rsid w:val="00800D8F"/>
    <w:rsid w:val="00801956"/>
    <w:rsid w:val="00802183"/>
    <w:rsid w:val="00802F87"/>
    <w:rsid w:val="00803155"/>
    <w:rsid w:val="00811DBB"/>
    <w:rsid w:val="00812210"/>
    <w:rsid w:val="0081223B"/>
    <w:rsid w:val="00812C84"/>
    <w:rsid w:val="00813336"/>
    <w:rsid w:val="00815AFF"/>
    <w:rsid w:val="00816354"/>
    <w:rsid w:val="00816666"/>
    <w:rsid w:val="00817EBC"/>
    <w:rsid w:val="00820C60"/>
    <w:rsid w:val="00823DE5"/>
    <w:rsid w:val="00823EFA"/>
    <w:rsid w:val="0082604B"/>
    <w:rsid w:val="0082661B"/>
    <w:rsid w:val="00827634"/>
    <w:rsid w:val="00827916"/>
    <w:rsid w:val="00827C0D"/>
    <w:rsid w:val="00827DE2"/>
    <w:rsid w:val="008325C4"/>
    <w:rsid w:val="00833A0C"/>
    <w:rsid w:val="00833A84"/>
    <w:rsid w:val="008344F7"/>
    <w:rsid w:val="00834762"/>
    <w:rsid w:val="00834D94"/>
    <w:rsid w:val="0083547E"/>
    <w:rsid w:val="00835BBC"/>
    <w:rsid w:val="008379F4"/>
    <w:rsid w:val="0084029C"/>
    <w:rsid w:val="008407EE"/>
    <w:rsid w:val="00842AB8"/>
    <w:rsid w:val="0084366E"/>
    <w:rsid w:val="0084390C"/>
    <w:rsid w:val="00845B57"/>
    <w:rsid w:val="00846510"/>
    <w:rsid w:val="008473C5"/>
    <w:rsid w:val="00853079"/>
    <w:rsid w:val="00853CBC"/>
    <w:rsid w:val="00855149"/>
    <w:rsid w:val="008577BA"/>
    <w:rsid w:val="00857F10"/>
    <w:rsid w:val="00860E74"/>
    <w:rsid w:val="00860E86"/>
    <w:rsid w:val="00862AF0"/>
    <w:rsid w:val="0086425D"/>
    <w:rsid w:val="008660BF"/>
    <w:rsid w:val="00866C9F"/>
    <w:rsid w:val="00867752"/>
    <w:rsid w:val="008704DD"/>
    <w:rsid w:val="008735A9"/>
    <w:rsid w:val="0087393D"/>
    <w:rsid w:val="008750A7"/>
    <w:rsid w:val="00876C88"/>
    <w:rsid w:val="008770F6"/>
    <w:rsid w:val="00877221"/>
    <w:rsid w:val="00881FD0"/>
    <w:rsid w:val="008824D7"/>
    <w:rsid w:val="00882754"/>
    <w:rsid w:val="008840E8"/>
    <w:rsid w:val="00884DDB"/>
    <w:rsid w:val="0088505E"/>
    <w:rsid w:val="00885A0C"/>
    <w:rsid w:val="00886365"/>
    <w:rsid w:val="008870BF"/>
    <w:rsid w:val="0088731E"/>
    <w:rsid w:val="00887F4C"/>
    <w:rsid w:val="00892EE4"/>
    <w:rsid w:val="00894425"/>
    <w:rsid w:val="008944F4"/>
    <w:rsid w:val="00894BC8"/>
    <w:rsid w:val="00896515"/>
    <w:rsid w:val="00897342"/>
    <w:rsid w:val="008A0C9C"/>
    <w:rsid w:val="008A184F"/>
    <w:rsid w:val="008A1CBA"/>
    <w:rsid w:val="008A448E"/>
    <w:rsid w:val="008A4DF1"/>
    <w:rsid w:val="008A6651"/>
    <w:rsid w:val="008A6CD6"/>
    <w:rsid w:val="008B0864"/>
    <w:rsid w:val="008B1424"/>
    <w:rsid w:val="008B1F2A"/>
    <w:rsid w:val="008B4AC5"/>
    <w:rsid w:val="008B4FD3"/>
    <w:rsid w:val="008B50A5"/>
    <w:rsid w:val="008B595A"/>
    <w:rsid w:val="008B6246"/>
    <w:rsid w:val="008C02D0"/>
    <w:rsid w:val="008C0A72"/>
    <w:rsid w:val="008C154C"/>
    <w:rsid w:val="008C1716"/>
    <w:rsid w:val="008C2130"/>
    <w:rsid w:val="008C7124"/>
    <w:rsid w:val="008D1AAF"/>
    <w:rsid w:val="008D27B7"/>
    <w:rsid w:val="008D2E6F"/>
    <w:rsid w:val="008D37EC"/>
    <w:rsid w:val="008D3806"/>
    <w:rsid w:val="008D449D"/>
    <w:rsid w:val="008D4C14"/>
    <w:rsid w:val="008D51E7"/>
    <w:rsid w:val="008D7771"/>
    <w:rsid w:val="008E2CA1"/>
    <w:rsid w:val="008E2FF5"/>
    <w:rsid w:val="008E6069"/>
    <w:rsid w:val="008E6F7E"/>
    <w:rsid w:val="008F01C0"/>
    <w:rsid w:val="008F16DE"/>
    <w:rsid w:val="008F2722"/>
    <w:rsid w:val="008F3C1D"/>
    <w:rsid w:val="008F4F52"/>
    <w:rsid w:val="008F617D"/>
    <w:rsid w:val="008F649D"/>
    <w:rsid w:val="00900152"/>
    <w:rsid w:val="00902061"/>
    <w:rsid w:val="009020FD"/>
    <w:rsid w:val="00902516"/>
    <w:rsid w:val="00902EFF"/>
    <w:rsid w:val="00904392"/>
    <w:rsid w:val="00905625"/>
    <w:rsid w:val="00905DCF"/>
    <w:rsid w:val="009062E4"/>
    <w:rsid w:val="0090637D"/>
    <w:rsid w:val="0090769B"/>
    <w:rsid w:val="00907B6A"/>
    <w:rsid w:val="00911F1B"/>
    <w:rsid w:val="00912426"/>
    <w:rsid w:val="00912704"/>
    <w:rsid w:val="00912A95"/>
    <w:rsid w:val="009130EC"/>
    <w:rsid w:val="00913D87"/>
    <w:rsid w:val="00917757"/>
    <w:rsid w:val="009208FB"/>
    <w:rsid w:val="009251D3"/>
    <w:rsid w:val="00925C4D"/>
    <w:rsid w:val="0092631F"/>
    <w:rsid w:val="009264E7"/>
    <w:rsid w:val="0092695A"/>
    <w:rsid w:val="00927ECD"/>
    <w:rsid w:val="00930FD8"/>
    <w:rsid w:val="009314EC"/>
    <w:rsid w:val="009407CD"/>
    <w:rsid w:val="00941491"/>
    <w:rsid w:val="00943EDF"/>
    <w:rsid w:val="0094475D"/>
    <w:rsid w:val="00945AD3"/>
    <w:rsid w:val="00946866"/>
    <w:rsid w:val="00947733"/>
    <w:rsid w:val="009508D9"/>
    <w:rsid w:val="00950B72"/>
    <w:rsid w:val="00950CC4"/>
    <w:rsid w:val="00951B74"/>
    <w:rsid w:val="0095365D"/>
    <w:rsid w:val="00953D66"/>
    <w:rsid w:val="00954235"/>
    <w:rsid w:val="00954470"/>
    <w:rsid w:val="00954845"/>
    <w:rsid w:val="009559E4"/>
    <w:rsid w:val="009563BB"/>
    <w:rsid w:val="009576E4"/>
    <w:rsid w:val="00960BF0"/>
    <w:rsid w:val="0096486F"/>
    <w:rsid w:val="00966D00"/>
    <w:rsid w:val="009716F2"/>
    <w:rsid w:val="00975C25"/>
    <w:rsid w:val="009766A1"/>
    <w:rsid w:val="00976C98"/>
    <w:rsid w:val="00985AB3"/>
    <w:rsid w:val="00985DD2"/>
    <w:rsid w:val="0098660E"/>
    <w:rsid w:val="009874E6"/>
    <w:rsid w:val="00987987"/>
    <w:rsid w:val="00991EC1"/>
    <w:rsid w:val="009921AC"/>
    <w:rsid w:val="00996593"/>
    <w:rsid w:val="00997F9E"/>
    <w:rsid w:val="009A19F3"/>
    <w:rsid w:val="009A2085"/>
    <w:rsid w:val="009A3696"/>
    <w:rsid w:val="009A4775"/>
    <w:rsid w:val="009A47E3"/>
    <w:rsid w:val="009A55CF"/>
    <w:rsid w:val="009A67C9"/>
    <w:rsid w:val="009A7820"/>
    <w:rsid w:val="009B04AF"/>
    <w:rsid w:val="009B0755"/>
    <w:rsid w:val="009B20AD"/>
    <w:rsid w:val="009B31E6"/>
    <w:rsid w:val="009B4A71"/>
    <w:rsid w:val="009B4BFB"/>
    <w:rsid w:val="009B4C6F"/>
    <w:rsid w:val="009B5D6E"/>
    <w:rsid w:val="009B764C"/>
    <w:rsid w:val="009B7955"/>
    <w:rsid w:val="009B7B83"/>
    <w:rsid w:val="009C09FE"/>
    <w:rsid w:val="009C2B2F"/>
    <w:rsid w:val="009C5A25"/>
    <w:rsid w:val="009C6033"/>
    <w:rsid w:val="009C6D75"/>
    <w:rsid w:val="009C76E3"/>
    <w:rsid w:val="009D209A"/>
    <w:rsid w:val="009D3683"/>
    <w:rsid w:val="009D40CA"/>
    <w:rsid w:val="009D430B"/>
    <w:rsid w:val="009D577D"/>
    <w:rsid w:val="009D5A45"/>
    <w:rsid w:val="009D5CA0"/>
    <w:rsid w:val="009D60C2"/>
    <w:rsid w:val="009D614B"/>
    <w:rsid w:val="009D68B9"/>
    <w:rsid w:val="009D7551"/>
    <w:rsid w:val="009D788B"/>
    <w:rsid w:val="009E1083"/>
    <w:rsid w:val="009E2A58"/>
    <w:rsid w:val="009E3156"/>
    <w:rsid w:val="009E682C"/>
    <w:rsid w:val="00A000CA"/>
    <w:rsid w:val="00A00639"/>
    <w:rsid w:val="00A0221A"/>
    <w:rsid w:val="00A04837"/>
    <w:rsid w:val="00A104FC"/>
    <w:rsid w:val="00A124D9"/>
    <w:rsid w:val="00A129F3"/>
    <w:rsid w:val="00A13982"/>
    <w:rsid w:val="00A13B42"/>
    <w:rsid w:val="00A147DB"/>
    <w:rsid w:val="00A16EFD"/>
    <w:rsid w:val="00A20BC5"/>
    <w:rsid w:val="00A21054"/>
    <w:rsid w:val="00A22750"/>
    <w:rsid w:val="00A231DE"/>
    <w:rsid w:val="00A24DA0"/>
    <w:rsid w:val="00A26209"/>
    <w:rsid w:val="00A271B5"/>
    <w:rsid w:val="00A276D8"/>
    <w:rsid w:val="00A27CEB"/>
    <w:rsid w:val="00A3041C"/>
    <w:rsid w:val="00A400D9"/>
    <w:rsid w:val="00A413F7"/>
    <w:rsid w:val="00A41973"/>
    <w:rsid w:val="00A43410"/>
    <w:rsid w:val="00A44630"/>
    <w:rsid w:val="00A44E07"/>
    <w:rsid w:val="00A45128"/>
    <w:rsid w:val="00A4517E"/>
    <w:rsid w:val="00A502E5"/>
    <w:rsid w:val="00A51B13"/>
    <w:rsid w:val="00A51DC1"/>
    <w:rsid w:val="00A52030"/>
    <w:rsid w:val="00A521F4"/>
    <w:rsid w:val="00A5313B"/>
    <w:rsid w:val="00A53B08"/>
    <w:rsid w:val="00A544A4"/>
    <w:rsid w:val="00A547C5"/>
    <w:rsid w:val="00A604A4"/>
    <w:rsid w:val="00A6296B"/>
    <w:rsid w:val="00A644C5"/>
    <w:rsid w:val="00A654CA"/>
    <w:rsid w:val="00A67EC1"/>
    <w:rsid w:val="00A70962"/>
    <w:rsid w:val="00A70B4A"/>
    <w:rsid w:val="00A71977"/>
    <w:rsid w:val="00A71B9D"/>
    <w:rsid w:val="00A72622"/>
    <w:rsid w:val="00A7325E"/>
    <w:rsid w:val="00A7345B"/>
    <w:rsid w:val="00A7352E"/>
    <w:rsid w:val="00A76613"/>
    <w:rsid w:val="00A77DC2"/>
    <w:rsid w:val="00A82F5A"/>
    <w:rsid w:val="00A83E10"/>
    <w:rsid w:val="00A84468"/>
    <w:rsid w:val="00A861D2"/>
    <w:rsid w:val="00A8649F"/>
    <w:rsid w:val="00A90165"/>
    <w:rsid w:val="00A90C4D"/>
    <w:rsid w:val="00A948E9"/>
    <w:rsid w:val="00A95F76"/>
    <w:rsid w:val="00A978EA"/>
    <w:rsid w:val="00AA2C91"/>
    <w:rsid w:val="00AA42D6"/>
    <w:rsid w:val="00AA4B9B"/>
    <w:rsid w:val="00AA7979"/>
    <w:rsid w:val="00AB33B7"/>
    <w:rsid w:val="00AB4418"/>
    <w:rsid w:val="00AB4E95"/>
    <w:rsid w:val="00AB5E04"/>
    <w:rsid w:val="00AB717C"/>
    <w:rsid w:val="00AB72BA"/>
    <w:rsid w:val="00AB7AC9"/>
    <w:rsid w:val="00AC18C7"/>
    <w:rsid w:val="00AC22CF"/>
    <w:rsid w:val="00AC3986"/>
    <w:rsid w:val="00AC66D2"/>
    <w:rsid w:val="00AD1582"/>
    <w:rsid w:val="00AD272E"/>
    <w:rsid w:val="00AD2999"/>
    <w:rsid w:val="00AD370F"/>
    <w:rsid w:val="00AD3812"/>
    <w:rsid w:val="00AD4377"/>
    <w:rsid w:val="00AD4F26"/>
    <w:rsid w:val="00AD5BB6"/>
    <w:rsid w:val="00AD6880"/>
    <w:rsid w:val="00AD736B"/>
    <w:rsid w:val="00AE068C"/>
    <w:rsid w:val="00AE0D89"/>
    <w:rsid w:val="00AE1C32"/>
    <w:rsid w:val="00AE27A6"/>
    <w:rsid w:val="00AE3F60"/>
    <w:rsid w:val="00AE553B"/>
    <w:rsid w:val="00AE5E67"/>
    <w:rsid w:val="00AE779F"/>
    <w:rsid w:val="00AF015F"/>
    <w:rsid w:val="00AF09F9"/>
    <w:rsid w:val="00AF162A"/>
    <w:rsid w:val="00AF3096"/>
    <w:rsid w:val="00AF4665"/>
    <w:rsid w:val="00AF5E0B"/>
    <w:rsid w:val="00AF6349"/>
    <w:rsid w:val="00AF6C57"/>
    <w:rsid w:val="00AF6EFE"/>
    <w:rsid w:val="00B01809"/>
    <w:rsid w:val="00B01E6B"/>
    <w:rsid w:val="00B0283E"/>
    <w:rsid w:val="00B02BDD"/>
    <w:rsid w:val="00B033F4"/>
    <w:rsid w:val="00B04FEC"/>
    <w:rsid w:val="00B0688B"/>
    <w:rsid w:val="00B06DB1"/>
    <w:rsid w:val="00B10786"/>
    <w:rsid w:val="00B10909"/>
    <w:rsid w:val="00B10F10"/>
    <w:rsid w:val="00B11331"/>
    <w:rsid w:val="00B14433"/>
    <w:rsid w:val="00B16D1D"/>
    <w:rsid w:val="00B20494"/>
    <w:rsid w:val="00B226CD"/>
    <w:rsid w:val="00B2336A"/>
    <w:rsid w:val="00B234AD"/>
    <w:rsid w:val="00B36132"/>
    <w:rsid w:val="00B3617A"/>
    <w:rsid w:val="00B36214"/>
    <w:rsid w:val="00B36E89"/>
    <w:rsid w:val="00B446BF"/>
    <w:rsid w:val="00B44ADE"/>
    <w:rsid w:val="00B453A5"/>
    <w:rsid w:val="00B45A8F"/>
    <w:rsid w:val="00B50EDD"/>
    <w:rsid w:val="00B531DA"/>
    <w:rsid w:val="00B55B9F"/>
    <w:rsid w:val="00B570D1"/>
    <w:rsid w:val="00B600A7"/>
    <w:rsid w:val="00B607A0"/>
    <w:rsid w:val="00B61B79"/>
    <w:rsid w:val="00B61D96"/>
    <w:rsid w:val="00B61F69"/>
    <w:rsid w:val="00B623D5"/>
    <w:rsid w:val="00B62A94"/>
    <w:rsid w:val="00B62B0B"/>
    <w:rsid w:val="00B6354C"/>
    <w:rsid w:val="00B635C0"/>
    <w:rsid w:val="00B639AE"/>
    <w:rsid w:val="00B63BC5"/>
    <w:rsid w:val="00B66ADA"/>
    <w:rsid w:val="00B70FEA"/>
    <w:rsid w:val="00B73F50"/>
    <w:rsid w:val="00B73F56"/>
    <w:rsid w:val="00B744FD"/>
    <w:rsid w:val="00B74770"/>
    <w:rsid w:val="00B7692B"/>
    <w:rsid w:val="00B772A4"/>
    <w:rsid w:val="00B80B06"/>
    <w:rsid w:val="00B82E10"/>
    <w:rsid w:val="00B85C21"/>
    <w:rsid w:val="00B85F87"/>
    <w:rsid w:val="00B86C71"/>
    <w:rsid w:val="00B87925"/>
    <w:rsid w:val="00B87C77"/>
    <w:rsid w:val="00B94BD5"/>
    <w:rsid w:val="00BA1CE0"/>
    <w:rsid w:val="00BA20BF"/>
    <w:rsid w:val="00BA3DCF"/>
    <w:rsid w:val="00BA72B1"/>
    <w:rsid w:val="00BB1F54"/>
    <w:rsid w:val="00BB3C65"/>
    <w:rsid w:val="00BB47D6"/>
    <w:rsid w:val="00BB4BB2"/>
    <w:rsid w:val="00BC0290"/>
    <w:rsid w:val="00BC1675"/>
    <w:rsid w:val="00BC1AA8"/>
    <w:rsid w:val="00BC3558"/>
    <w:rsid w:val="00BC427A"/>
    <w:rsid w:val="00BC4D62"/>
    <w:rsid w:val="00BC5D13"/>
    <w:rsid w:val="00BC62BA"/>
    <w:rsid w:val="00BC7770"/>
    <w:rsid w:val="00BD2328"/>
    <w:rsid w:val="00BD275A"/>
    <w:rsid w:val="00BD2D08"/>
    <w:rsid w:val="00BD2DA1"/>
    <w:rsid w:val="00BD46C6"/>
    <w:rsid w:val="00BD4F67"/>
    <w:rsid w:val="00BD5B10"/>
    <w:rsid w:val="00BD6F03"/>
    <w:rsid w:val="00BD79F2"/>
    <w:rsid w:val="00BE052F"/>
    <w:rsid w:val="00BE0F84"/>
    <w:rsid w:val="00BE269D"/>
    <w:rsid w:val="00BE2C7E"/>
    <w:rsid w:val="00BE4D50"/>
    <w:rsid w:val="00BE5779"/>
    <w:rsid w:val="00BE681E"/>
    <w:rsid w:val="00BF011D"/>
    <w:rsid w:val="00BF0E04"/>
    <w:rsid w:val="00BF0F38"/>
    <w:rsid w:val="00BF14F4"/>
    <w:rsid w:val="00BF15FE"/>
    <w:rsid w:val="00BF1D74"/>
    <w:rsid w:val="00BF28A9"/>
    <w:rsid w:val="00BF332E"/>
    <w:rsid w:val="00BF3780"/>
    <w:rsid w:val="00BF3E41"/>
    <w:rsid w:val="00BF54EF"/>
    <w:rsid w:val="00BF7AFA"/>
    <w:rsid w:val="00C00EC9"/>
    <w:rsid w:val="00C016BD"/>
    <w:rsid w:val="00C02059"/>
    <w:rsid w:val="00C0250F"/>
    <w:rsid w:val="00C046B1"/>
    <w:rsid w:val="00C049EB"/>
    <w:rsid w:val="00C0692C"/>
    <w:rsid w:val="00C070B3"/>
    <w:rsid w:val="00C077F1"/>
    <w:rsid w:val="00C12EDB"/>
    <w:rsid w:val="00C13086"/>
    <w:rsid w:val="00C166F9"/>
    <w:rsid w:val="00C17A37"/>
    <w:rsid w:val="00C21058"/>
    <w:rsid w:val="00C21104"/>
    <w:rsid w:val="00C217BA"/>
    <w:rsid w:val="00C21ABF"/>
    <w:rsid w:val="00C229EC"/>
    <w:rsid w:val="00C24351"/>
    <w:rsid w:val="00C26D09"/>
    <w:rsid w:val="00C2764E"/>
    <w:rsid w:val="00C30E83"/>
    <w:rsid w:val="00C334F9"/>
    <w:rsid w:val="00C35BF2"/>
    <w:rsid w:val="00C35F99"/>
    <w:rsid w:val="00C3731B"/>
    <w:rsid w:val="00C374B5"/>
    <w:rsid w:val="00C374C9"/>
    <w:rsid w:val="00C37D45"/>
    <w:rsid w:val="00C40D94"/>
    <w:rsid w:val="00C411BC"/>
    <w:rsid w:val="00C427E9"/>
    <w:rsid w:val="00C429E3"/>
    <w:rsid w:val="00C42A4D"/>
    <w:rsid w:val="00C476FD"/>
    <w:rsid w:val="00C51C29"/>
    <w:rsid w:val="00C5433E"/>
    <w:rsid w:val="00C54C3D"/>
    <w:rsid w:val="00C55103"/>
    <w:rsid w:val="00C553B5"/>
    <w:rsid w:val="00C60EE9"/>
    <w:rsid w:val="00C62F85"/>
    <w:rsid w:val="00C6435B"/>
    <w:rsid w:val="00C64827"/>
    <w:rsid w:val="00C65929"/>
    <w:rsid w:val="00C67698"/>
    <w:rsid w:val="00C701B3"/>
    <w:rsid w:val="00C706A5"/>
    <w:rsid w:val="00C71138"/>
    <w:rsid w:val="00C72080"/>
    <w:rsid w:val="00C72318"/>
    <w:rsid w:val="00C73C35"/>
    <w:rsid w:val="00C744C3"/>
    <w:rsid w:val="00C76249"/>
    <w:rsid w:val="00C77FF2"/>
    <w:rsid w:val="00C80E65"/>
    <w:rsid w:val="00C814E3"/>
    <w:rsid w:val="00C823BD"/>
    <w:rsid w:val="00C82FA2"/>
    <w:rsid w:val="00C85F79"/>
    <w:rsid w:val="00C91677"/>
    <w:rsid w:val="00C93EAA"/>
    <w:rsid w:val="00C93FD8"/>
    <w:rsid w:val="00C94A80"/>
    <w:rsid w:val="00C94E38"/>
    <w:rsid w:val="00C94F63"/>
    <w:rsid w:val="00C976F1"/>
    <w:rsid w:val="00C97B9F"/>
    <w:rsid w:val="00CA49CC"/>
    <w:rsid w:val="00CA5870"/>
    <w:rsid w:val="00CA6364"/>
    <w:rsid w:val="00CA6F5A"/>
    <w:rsid w:val="00CA6F70"/>
    <w:rsid w:val="00CA71DA"/>
    <w:rsid w:val="00CA7EF6"/>
    <w:rsid w:val="00CB1696"/>
    <w:rsid w:val="00CB2C1A"/>
    <w:rsid w:val="00CB45B8"/>
    <w:rsid w:val="00CB592A"/>
    <w:rsid w:val="00CB6356"/>
    <w:rsid w:val="00CC30D7"/>
    <w:rsid w:val="00CC3DB6"/>
    <w:rsid w:val="00CC4490"/>
    <w:rsid w:val="00CC5917"/>
    <w:rsid w:val="00CC665B"/>
    <w:rsid w:val="00CC77E4"/>
    <w:rsid w:val="00CD00FA"/>
    <w:rsid w:val="00CD1E97"/>
    <w:rsid w:val="00CD259B"/>
    <w:rsid w:val="00CD7B38"/>
    <w:rsid w:val="00CE0A3F"/>
    <w:rsid w:val="00CE5396"/>
    <w:rsid w:val="00CE555C"/>
    <w:rsid w:val="00CF0163"/>
    <w:rsid w:val="00CF09A5"/>
    <w:rsid w:val="00CF3541"/>
    <w:rsid w:val="00CF38B5"/>
    <w:rsid w:val="00CF490A"/>
    <w:rsid w:val="00CF5E47"/>
    <w:rsid w:val="00CF6BB4"/>
    <w:rsid w:val="00CF6E6C"/>
    <w:rsid w:val="00CF7444"/>
    <w:rsid w:val="00D002B7"/>
    <w:rsid w:val="00D00FB0"/>
    <w:rsid w:val="00D035C0"/>
    <w:rsid w:val="00D039E6"/>
    <w:rsid w:val="00D03E2E"/>
    <w:rsid w:val="00D05527"/>
    <w:rsid w:val="00D05E8E"/>
    <w:rsid w:val="00D063DF"/>
    <w:rsid w:val="00D0784E"/>
    <w:rsid w:val="00D1034E"/>
    <w:rsid w:val="00D1059C"/>
    <w:rsid w:val="00D10EF1"/>
    <w:rsid w:val="00D1110F"/>
    <w:rsid w:val="00D113DE"/>
    <w:rsid w:val="00D11FA6"/>
    <w:rsid w:val="00D12F92"/>
    <w:rsid w:val="00D138F5"/>
    <w:rsid w:val="00D13B8F"/>
    <w:rsid w:val="00D16D05"/>
    <w:rsid w:val="00D17130"/>
    <w:rsid w:val="00D17758"/>
    <w:rsid w:val="00D21428"/>
    <w:rsid w:val="00D23E6D"/>
    <w:rsid w:val="00D23F6C"/>
    <w:rsid w:val="00D25B22"/>
    <w:rsid w:val="00D268A1"/>
    <w:rsid w:val="00D26D39"/>
    <w:rsid w:val="00D302B4"/>
    <w:rsid w:val="00D31987"/>
    <w:rsid w:val="00D33B2C"/>
    <w:rsid w:val="00D33BC0"/>
    <w:rsid w:val="00D34415"/>
    <w:rsid w:val="00D35B9B"/>
    <w:rsid w:val="00D35EAD"/>
    <w:rsid w:val="00D37DFB"/>
    <w:rsid w:val="00D40078"/>
    <w:rsid w:val="00D4022D"/>
    <w:rsid w:val="00D414F5"/>
    <w:rsid w:val="00D454E7"/>
    <w:rsid w:val="00D46097"/>
    <w:rsid w:val="00D46521"/>
    <w:rsid w:val="00D53275"/>
    <w:rsid w:val="00D54358"/>
    <w:rsid w:val="00D553C6"/>
    <w:rsid w:val="00D5577E"/>
    <w:rsid w:val="00D563AD"/>
    <w:rsid w:val="00D567AA"/>
    <w:rsid w:val="00D604DA"/>
    <w:rsid w:val="00D62B1A"/>
    <w:rsid w:val="00D6316F"/>
    <w:rsid w:val="00D63E9A"/>
    <w:rsid w:val="00D66AE3"/>
    <w:rsid w:val="00D67390"/>
    <w:rsid w:val="00D673AA"/>
    <w:rsid w:val="00D7152A"/>
    <w:rsid w:val="00D7233D"/>
    <w:rsid w:val="00D7524D"/>
    <w:rsid w:val="00D76CA5"/>
    <w:rsid w:val="00D76ED3"/>
    <w:rsid w:val="00D77DC1"/>
    <w:rsid w:val="00D77E85"/>
    <w:rsid w:val="00D80A2B"/>
    <w:rsid w:val="00D84084"/>
    <w:rsid w:val="00D85054"/>
    <w:rsid w:val="00D851B0"/>
    <w:rsid w:val="00D90594"/>
    <w:rsid w:val="00D90AA2"/>
    <w:rsid w:val="00D93334"/>
    <w:rsid w:val="00D93A63"/>
    <w:rsid w:val="00D93D73"/>
    <w:rsid w:val="00D9452B"/>
    <w:rsid w:val="00D94ADC"/>
    <w:rsid w:val="00D977C8"/>
    <w:rsid w:val="00DA244B"/>
    <w:rsid w:val="00DA3198"/>
    <w:rsid w:val="00DA3867"/>
    <w:rsid w:val="00DA3E9A"/>
    <w:rsid w:val="00DA6F31"/>
    <w:rsid w:val="00DA7137"/>
    <w:rsid w:val="00DA7D1B"/>
    <w:rsid w:val="00DB03ED"/>
    <w:rsid w:val="00DB06E9"/>
    <w:rsid w:val="00DB181D"/>
    <w:rsid w:val="00DB1B17"/>
    <w:rsid w:val="00DB1EDB"/>
    <w:rsid w:val="00DB210F"/>
    <w:rsid w:val="00DB220A"/>
    <w:rsid w:val="00DB2DBE"/>
    <w:rsid w:val="00DB49B6"/>
    <w:rsid w:val="00DB5B40"/>
    <w:rsid w:val="00DC1302"/>
    <w:rsid w:val="00DC13E1"/>
    <w:rsid w:val="00DC1E47"/>
    <w:rsid w:val="00DC2397"/>
    <w:rsid w:val="00DC364B"/>
    <w:rsid w:val="00DC4B35"/>
    <w:rsid w:val="00DC5A31"/>
    <w:rsid w:val="00DC676B"/>
    <w:rsid w:val="00DD2648"/>
    <w:rsid w:val="00DD79E3"/>
    <w:rsid w:val="00DE048F"/>
    <w:rsid w:val="00DE215D"/>
    <w:rsid w:val="00DE491D"/>
    <w:rsid w:val="00DE5A78"/>
    <w:rsid w:val="00DE7FFC"/>
    <w:rsid w:val="00DF0119"/>
    <w:rsid w:val="00DF171F"/>
    <w:rsid w:val="00DF1AB3"/>
    <w:rsid w:val="00DF1AB5"/>
    <w:rsid w:val="00E00CDF"/>
    <w:rsid w:val="00E01521"/>
    <w:rsid w:val="00E016C4"/>
    <w:rsid w:val="00E0246A"/>
    <w:rsid w:val="00E02A34"/>
    <w:rsid w:val="00E030B1"/>
    <w:rsid w:val="00E040F3"/>
    <w:rsid w:val="00E0420B"/>
    <w:rsid w:val="00E0719F"/>
    <w:rsid w:val="00E11853"/>
    <w:rsid w:val="00E11BB7"/>
    <w:rsid w:val="00E11D10"/>
    <w:rsid w:val="00E11EBD"/>
    <w:rsid w:val="00E1447C"/>
    <w:rsid w:val="00E1484A"/>
    <w:rsid w:val="00E14DE9"/>
    <w:rsid w:val="00E16EEC"/>
    <w:rsid w:val="00E1715A"/>
    <w:rsid w:val="00E204D1"/>
    <w:rsid w:val="00E2206C"/>
    <w:rsid w:val="00E234D4"/>
    <w:rsid w:val="00E25030"/>
    <w:rsid w:val="00E265E4"/>
    <w:rsid w:val="00E3029E"/>
    <w:rsid w:val="00E30F1C"/>
    <w:rsid w:val="00E32127"/>
    <w:rsid w:val="00E33A89"/>
    <w:rsid w:val="00E34506"/>
    <w:rsid w:val="00E345E9"/>
    <w:rsid w:val="00E36F48"/>
    <w:rsid w:val="00E41784"/>
    <w:rsid w:val="00E41E05"/>
    <w:rsid w:val="00E41E0C"/>
    <w:rsid w:val="00E42A8D"/>
    <w:rsid w:val="00E44128"/>
    <w:rsid w:val="00E443E4"/>
    <w:rsid w:val="00E45315"/>
    <w:rsid w:val="00E461FA"/>
    <w:rsid w:val="00E477A6"/>
    <w:rsid w:val="00E47D6F"/>
    <w:rsid w:val="00E50D58"/>
    <w:rsid w:val="00E5131F"/>
    <w:rsid w:val="00E5224B"/>
    <w:rsid w:val="00E543BB"/>
    <w:rsid w:val="00E55C95"/>
    <w:rsid w:val="00E55FB3"/>
    <w:rsid w:val="00E56009"/>
    <w:rsid w:val="00E57400"/>
    <w:rsid w:val="00E60F25"/>
    <w:rsid w:val="00E61B27"/>
    <w:rsid w:val="00E62E41"/>
    <w:rsid w:val="00E640FA"/>
    <w:rsid w:val="00E6458A"/>
    <w:rsid w:val="00E66872"/>
    <w:rsid w:val="00E67EE4"/>
    <w:rsid w:val="00E7052B"/>
    <w:rsid w:val="00E70D2A"/>
    <w:rsid w:val="00E7109F"/>
    <w:rsid w:val="00E729D8"/>
    <w:rsid w:val="00E72FB5"/>
    <w:rsid w:val="00E74794"/>
    <w:rsid w:val="00E85462"/>
    <w:rsid w:val="00E85929"/>
    <w:rsid w:val="00E870DB"/>
    <w:rsid w:val="00E87D24"/>
    <w:rsid w:val="00E905BD"/>
    <w:rsid w:val="00E9062C"/>
    <w:rsid w:val="00E92BE9"/>
    <w:rsid w:val="00E92F9F"/>
    <w:rsid w:val="00E94716"/>
    <w:rsid w:val="00E9473C"/>
    <w:rsid w:val="00E94AC2"/>
    <w:rsid w:val="00E95525"/>
    <w:rsid w:val="00E96060"/>
    <w:rsid w:val="00E9702D"/>
    <w:rsid w:val="00E974FA"/>
    <w:rsid w:val="00EA1EEC"/>
    <w:rsid w:val="00EA205A"/>
    <w:rsid w:val="00EA3C3C"/>
    <w:rsid w:val="00EA4C22"/>
    <w:rsid w:val="00EA57D0"/>
    <w:rsid w:val="00EB078A"/>
    <w:rsid w:val="00EB284E"/>
    <w:rsid w:val="00EB2FF9"/>
    <w:rsid w:val="00EB41C4"/>
    <w:rsid w:val="00EB5E7C"/>
    <w:rsid w:val="00EB676E"/>
    <w:rsid w:val="00EB68B6"/>
    <w:rsid w:val="00EB6BE8"/>
    <w:rsid w:val="00EB6C77"/>
    <w:rsid w:val="00EC04CA"/>
    <w:rsid w:val="00EC42FA"/>
    <w:rsid w:val="00EC5534"/>
    <w:rsid w:val="00EC578A"/>
    <w:rsid w:val="00EC6555"/>
    <w:rsid w:val="00EC75B2"/>
    <w:rsid w:val="00EC7956"/>
    <w:rsid w:val="00ED0791"/>
    <w:rsid w:val="00ED0ED5"/>
    <w:rsid w:val="00ED2CEA"/>
    <w:rsid w:val="00ED3373"/>
    <w:rsid w:val="00ED602D"/>
    <w:rsid w:val="00ED6E53"/>
    <w:rsid w:val="00ED71A4"/>
    <w:rsid w:val="00EE0397"/>
    <w:rsid w:val="00EE0655"/>
    <w:rsid w:val="00EE1923"/>
    <w:rsid w:val="00EE3490"/>
    <w:rsid w:val="00EE571A"/>
    <w:rsid w:val="00EE7955"/>
    <w:rsid w:val="00EF0475"/>
    <w:rsid w:val="00EF1E54"/>
    <w:rsid w:val="00EF24E6"/>
    <w:rsid w:val="00EF3BCC"/>
    <w:rsid w:val="00EF4D2C"/>
    <w:rsid w:val="00EF772F"/>
    <w:rsid w:val="00F04758"/>
    <w:rsid w:val="00F06A6A"/>
    <w:rsid w:val="00F06B39"/>
    <w:rsid w:val="00F06F28"/>
    <w:rsid w:val="00F07166"/>
    <w:rsid w:val="00F078CD"/>
    <w:rsid w:val="00F10829"/>
    <w:rsid w:val="00F109BA"/>
    <w:rsid w:val="00F11462"/>
    <w:rsid w:val="00F119B5"/>
    <w:rsid w:val="00F12B69"/>
    <w:rsid w:val="00F17B9D"/>
    <w:rsid w:val="00F20E5B"/>
    <w:rsid w:val="00F21FD0"/>
    <w:rsid w:val="00F23039"/>
    <w:rsid w:val="00F24882"/>
    <w:rsid w:val="00F24E95"/>
    <w:rsid w:val="00F35575"/>
    <w:rsid w:val="00F3570E"/>
    <w:rsid w:val="00F35DBC"/>
    <w:rsid w:val="00F37422"/>
    <w:rsid w:val="00F409B1"/>
    <w:rsid w:val="00F40FCE"/>
    <w:rsid w:val="00F40FEE"/>
    <w:rsid w:val="00F44BD0"/>
    <w:rsid w:val="00F44CD1"/>
    <w:rsid w:val="00F4574D"/>
    <w:rsid w:val="00F50003"/>
    <w:rsid w:val="00F53CD4"/>
    <w:rsid w:val="00F5423D"/>
    <w:rsid w:val="00F6021D"/>
    <w:rsid w:val="00F60885"/>
    <w:rsid w:val="00F625E1"/>
    <w:rsid w:val="00F62B6E"/>
    <w:rsid w:val="00F65398"/>
    <w:rsid w:val="00F654BE"/>
    <w:rsid w:val="00F65FAF"/>
    <w:rsid w:val="00F66E42"/>
    <w:rsid w:val="00F71ED3"/>
    <w:rsid w:val="00F733C9"/>
    <w:rsid w:val="00F752D4"/>
    <w:rsid w:val="00F80F35"/>
    <w:rsid w:val="00F81337"/>
    <w:rsid w:val="00F83EC5"/>
    <w:rsid w:val="00F8477B"/>
    <w:rsid w:val="00F86A23"/>
    <w:rsid w:val="00F86EAC"/>
    <w:rsid w:val="00F86FF5"/>
    <w:rsid w:val="00F90C09"/>
    <w:rsid w:val="00F90E31"/>
    <w:rsid w:val="00F93158"/>
    <w:rsid w:val="00F9424E"/>
    <w:rsid w:val="00F95AB9"/>
    <w:rsid w:val="00F96227"/>
    <w:rsid w:val="00FA12E0"/>
    <w:rsid w:val="00FA1489"/>
    <w:rsid w:val="00FA174F"/>
    <w:rsid w:val="00FA2E00"/>
    <w:rsid w:val="00FA33E5"/>
    <w:rsid w:val="00FA37C6"/>
    <w:rsid w:val="00FA5F0F"/>
    <w:rsid w:val="00FB444E"/>
    <w:rsid w:val="00FB52FD"/>
    <w:rsid w:val="00FB5856"/>
    <w:rsid w:val="00FB7CD3"/>
    <w:rsid w:val="00FC12D6"/>
    <w:rsid w:val="00FC2160"/>
    <w:rsid w:val="00FC2218"/>
    <w:rsid w:val="00FC2BA0"/>
    <w:rsid w:val="00FC336F"/>
    <w:rsid w:val="00FC370A"/>
    <w:rsid w:val="00FC4BB0"/>
    <w:rsid w:val="00FC4E57"/>
    <w:rsid w:val="00FC7126"/>
    <w:rsid w:val="00FC7143"/>
    <w:rsid w:val="00FD2441"/>
    <w:rsid w:val="00FD3616"/>
    <w:rsid w:val="00FD44AB"/>
    <w:rsid w:val="00FD4A4B"/>
    <w:rsid w:val="00FD511B"/>
    <w:rsid w:val="00FD5C41"/>
    <w:rsid w:val="00FD5E2D"/>
    <w:rsid w:val="00FD7AD8"/>
    <w:rsid w:val="00FD7BFC"/>
    <w:rsid w:val="00FD7CAB"/>
    <w:rsid w:val="00FE0FCA"/>
    <w:rsid w:val="00FE1AEA"/>
    <w:rsid w:val="00FE20AE"/>
    <w:rsid w:val="00FE3CBE"/>
    <w:rsid w:val="00FE4BDD"/>
    <w:rsid w:val="00FE639A"/>
    <w:rsid w:val="00FE6B1B"/>
    <w:rsid w:val="00FF1F1D"/>
    <w:rsid w:val="00FF2FF6"/>
    <w:rsid w:val="00FF31FB"/>
    <w:rsid w:val="00FF392F"/>
    <w:rsid w:val="00FF4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EC5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F83EC5"/>
    <w:pPr>
      <w:keepNext/>
      <w:spacing w:before="240" w:after="60"/>
      <w:outlineLvl w:val="0"/>
    </w:pPr>
    <w:rPr>
      <w:rFonts w:ascii="Times New Roman" w:hAnsi="Times New Roman" w:cs="Times New Roman"/>
      <w:b/>
      <w:bCs/>
      <w:kern w:val="32"/>
      <w:sz w:val="28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83EC5"/>
    <w:rPr>
      <w:b/>
      <w:bCs/>
      <w:kern w:val="32"/>
      <w:sz w:val="28"/>
      <w:szCs w:val="32"/>
    </w:rPr>
  </w:style>
  <w:style w:type="paragraph" w:styleId="TM1">
    <w:name w:val="toc 1"/>
    <w:basedOn w:val="Normal"/>
    <w:next w:val="Normal"/>
    <w:autoRedefine/>
    <w:uiPriority w:val="39"/>
    <w:qFormat/>
    <w:rsid w:val="00F83EC5"/>
    <w:pPr>
      <w:spacing w:before="120"/>
    </w:pPr>
    <w:rPr>
      <w:rFonts w:ascii="Calibri" w:hAnsi="Calibri" w:cs="Times New Roman"/>
      <w:b/>
      <w:bCs/>
      <w:i/>
      <w:iCs/>
      <w:szCs w:val="28"/>
    </w:rPr>
  </w:style>
  <w:style w:type="paragraph" w:styleId="TM2">
    <w:name w:val="toc 2"/>
    <w:basedOn w:val="Normal"/>
    <w:next w:val="Normal"/>
    <w:autoRedefine/>
    <w:uiPriority w:val="39"/>
    <w:semiHidden/>
    <w:qFormat/>
    <w:rsid w:val="00F83EC5"/>
    <w:pPr>
      <w:spacing w:before="120"/>
      <w:ind w:left="240"/>
    </w:pPr>
    <w:rPr>
      <w:rFonts w:ascii="Calibri" w:hAnsi="Calibri" w:cs="Times New Roman"/>
      <w:b/>
      <w:bCs/>
      <w:sz w:val="22"/>
      <w:szCs w:val="26"/>
    </w:rPr>
  </w:style>
  <w:style w:type="paragraph" w:styleId="TM3">
    <w:name w:val="toc 3"/>
    <w:basedOn w:val="Normal"/>
    <w:next w:val="Normal"/>
    <w:autoRedefine/>
    <w:uiPriority w:val="39"/>
    <w:semiHidden/>
    <w:qFormat/>
    <w:rsid w:val="00F83EC5"/>
    <w:pPr>
      <w:ind w:left="480"/>
    </w:pPr>
    <w:rPr>
      <w:rFonts w:ascii="Calibri" w:hAnsi="Calibri" w:cs="Times New Roman"/>
      <w:sz w:val="20"/>
    </w:rPr>
  </w:style>
  <w:style w:type="paragraph" w:styleId="Lgende">
    <w:name w:val="caption"/>
    <w:aliases w:val="Titre1+Rouge"/>
    <w:basedOn w:val="Normal"/>
    <w:next w:val="Normal"/>
    <w:qFormat/>
    <w:rsid w:val="00F83EC5"/>
    <w:rPr>
      <w:rFonts w:cs="Times New Roman"/>
    </w:rPr>
  </w:style>
  <w:style w:type="paragraph" w:styleId="Sansinterligne">
    <w:name w:val="No Spacing"/>
    <w:link w:val="SansinterligneCar"/>
    <w:uiPriority w:val="1"/>
    <w:qFormat/>
    <w:rsid w:val="00F83EC5"/>
    <w:rPr>
      <w:rFonts w:ascii="Calibri" w:hAnsi="Calibri" w:cs="Arial"/>
      <w:sz w:val="22"/>
      <w:szCs w:val="22"/>
      <w:lang w:eastAsia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F83EC5"/>
    <w:rPr>
      <w:rFonts w:ascii="Calibri" w:hAnsi="Calibri" w:cs="Arial"/>
      <w:sz w:val="22"/>
      <w:szCs w:val="22"/>
      <w:lang w:val="fr-FR" w:eastAsia="en-US" w:bidi="ar-SA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83EC5"/>
    <w:pPr>
      <w:keepLines/>
      <w:widowControl/>
      <w:autoSpaceDE/>
      <w:autoSpaceDN/>
      <w:adjustRightInd/>
      <w:spacing w:before="480" w:after="0" w:line="276" w:lineRule="auto"/>
      <w:outlineLvl w:val="9"/>
    </w:pPr>
    <w:rPr>
      <w:rFonts w:ascii="Cambria" w:hAnsi="Cambria"/>
      <w:color w:val="365F91"/>
      <w:kern w:val="0"/>
      <w:szCs w:val="28"/>
      <w:lang w:eastAsia="en-US"/>
    </w:rPr>
  </w:style>
  <w:style w:type="paragraph" w:customStyle="1" w:styleId="titre2">
    <w:name w:val="titre2"/>
    <w:basedOn w:val="Normal"/>
    <w:qFormat/>
    <w:rsid w:val="00F83EC5"/>
    <w:pPr>
      <w:tabs>
        <w:tab w:val="left" w:pos="-720"/>
      </w:tabs>
      <w:spacing w:line="300" w:lineRule="atLeast"/>
      <w:jc w:val="both"/>
    </w:pPr>
    <w:rPr>
      <w:rFonts w:ascii="Univers" w:hAnsi="Univers" w:cs="Univers"/>
      <w:b/>
      <w:bCs/>
      <w:spacing w:val="-3"/>
    </w:rPr>
  </w:style>
  <w:style w:type="paragraph" w:customStyle="1" w:styleId="titre3">
    <w:name w:val="titre3"/>
    <w:basedOn w:val="Normal"/>
    <w:qFormat/>
    <w:rsid w:val="00F83EC5"/>
    <w:pPr>
      <w:tabs>
        <w:tab w:val="left" w:pos="-720"/>
      </w:tabs>
      <w:spacing w:line="300" w:lineRule="atLeast"/>
      <w:jc w:val="both"/>
    </w:pPr>
    <w:rPr>
      <w:rFonts w:ascii="Univers" w:hAnsi="Univers" w:cs="Univers"/>
      <w:b/>
      <w:bCs/>
      <w:spacing w:val="-3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9452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452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D6C0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styleId="Lienhypertexte">
    <w:name w:val="Hyperlink"/>
    <w:basedOn w:val="Policepardfaut"/>
    <w:uiPriority w:val="99"/>
    <w:unhideWhenUsed/>
    <w:rsid w:val="005D6C02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5D6C0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centuation">
    <w:name w:val="Emphasis"/>
    <w:basedOn w:val="Policepardfaut"/>
    <w:uiPriority w:val="20"/>
    <w:qFormat/>
    <w:rsid w:val="00E9062C"/>
    <w:rPr>
      <w:i/>
      <w:iCs/>
    </w:rPr>
  </w:style>
  <w:style w:type="paragraph" w:styleId="En-tte">
    <w:name w:val="header"/>
    <w:basedOn w:val="Normal"/>
    <w:link w:val="En-tteCar"/>
    <w:uiPriority w:val="99"/>
    <w:semiHidden/>
    <w:unhideWhenUsed/>
    <w:rsid w:val="0046070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460705"/>
    <w:rPr>
      <w:rFonts w:ascii="Courier New" w:hAnsi="Courier New" w:cs="Courier New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46070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60705"/>
    <w:rPr>
      <w:rFonts w:ascii="Courier New" w:hAnsi="Courier New" w:cs="Courier New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E265E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265E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265E4"/>
    <w:rPr>
      <w:rFonts w:ascii="Courier New" w:hAnsi="Courier New" w:cs="Courier New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265E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265E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hcp.m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CM\Desktop\trim2%202014\resultatseECM(trim1-08-trim2-2014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CM\Desktop\trim2%202014\resultatseECM(trim1-08-trim2-2014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CM\Desktop\trim2%202014\resultatseECM(trim1-08-trim2-2014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CM\Desktop\trim2%202014\resultatseECM(trim1-08-trim2-2014)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CM\Desktop\trim2%202014\resultatseECM(trim1-08-trim2-2014)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CM\Desktop\trim2%202014\resultatseECM(trim1-08-trim2-2014)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CM\Desktop\trim2%202014\resultatseECM(trim1-08-trim2-2014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 sz="1400"/>
            </a:pPr>
            <a:r>
              <a:rPr lang="en-US" sz="1400" b="1" i="0" baseline="0"/>
              <a:t>Evolution de l'Indice de Confiance des Ménages</a:t>
            </a:r>
            <a:endParaRPr lang="fr-FR" sz="1400" b="1" i="0" baseline="0"/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'graphe fr'!$A$18</c:f>
              <c:strCache>
                <c:ptCount val="1"/>
                <c:pt idx="0">
                  <c:v>ICM</c:v>
                </c:pt>
              </c:strCache>
            </c:strRef>
          </c:tx>
          <c:dLbls>
            <c:txPr>
              <a:bodyPr/>
              <a:lstStyle/>
              <a:p>
                <a:pPr>
                  <a:defRPr sz="600"/>
                </a:pPr>
                <a:endParaRPr lang="fr-FR"/>
              </a:p>
            </c:txPr>
            <c:showVal val="1"/>
          </c:dLbls>
          <c:cat>
            <c:strRef>
              <c:f>'graphe fr'!$B$9:$AA$9</c:f>
              <c:strCache>
                <c:ptCount val="26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T114</c:v>
                </c:pt>
                <c:pt idx="25">
                  <c:v>T2/14</c:v>
                </c:pt>
              </c:strCache>
            </c:strRef>
          </c:cat>
          <c:val>
            <c:numRef>
              <c:f>'graphe fr'!$B$18:$AA$18</c:f>
              <c:numCache>
                <c:formatCode>#,##0.0</c:formatCode>
                <c:ptCount val="26"/>
                <c:pt idx="0">
                  <c:v>85.866502294191648</c:v>
                </c:pt>
                <c:pt idx="1">
                  <c:v>77.678707955853056</c:v>
                </c:pt>
                <c:pt idx="2">
                  <c:v>75.552480635756368</c:v>
                </c:pt>
                <c:pt idx="3">
                  <c:v>80.136884034904469</c:v>
                </c:pt>
                <c:pt idx="4">
                  <c:v>76.902419880745626</c:v>
                </c:pt>
                <c:pt idx="5">
                  <c:v>77.636131881705708</c:v>
                </c:pt>
                <c:pt idx="6">
                  <c:v>79.135624759962667</c:v>
                </c:pt>
                <c:pt idx="7">
                  <c:v>79.463913413558046</c:v>
                </c:pt>
                <c:pt idx="8">
                  <c:v>80.136086093619141</c:v>
                </c:pt>
                <c:pt idx="9">
                  <c:v>78.833388330574223</c:v>
                </c:pt>
                <c:pt idx="10">
                  <c:v>78.629956901853419</c:v>
                </c:pt>
                <c:pt idx="11">
                  <c:v>74.744893710814793</c:v>
                </c:pt>
                <c:pt idx="12">
                  <c:v>78.406406130604779</c:v>
                </c:pt>
                <c:pt idx="13">
                  <c:v>85.789532632532556</c:v>
                </c:pt>
                <c:pt idx="14">
                  <c:v>86.506225251482533</c:v>
                </c:pt>
                <c:pt idx="15">
                  <c:v>84.477214694877091</c:v>
                </c:pt>
                <c:pt idx="16">
                  <c:v>82.880478542821521</c:v>
                </c:pt>
                <c:pt idx="17">
                  <c:v>80.673652783725359</c:v>
                </c:pt>
                <c:pt idx="18">
                  <c:v>77.553867036569343</c:v>
                </c:pt>
                <c:pt idx="19">
                  <c:v>78.403353681349586</c:v>
                </c:pt>
                <c:pt idx="20">
                  <c:v>75.830193123476278</c:v>
                </c:pt>
                <c:pt idx="21">
                  <c:v>74.26831493920966</c:v>
                </c:pt>
                <c:pt idx="22">
                  <c:v>75.40113716912164</c:v>
                </c:pt>
                <c:pt idx="23">
                  <c:v>74.15325435026638</c:v>
                </c:pt>
                <c:pt idx="24">
                  <c:v>74.110620959006013</c:v>
                </c:pt>
                <c:pt idx="25">
                  <c:v>74.014553099961645</c:v>
                </c:pt>
              </c:numCache>
            </c:numRef>
          </c:val>
        </c:ser>
        <c:gapWidth val="75"/>
        <c:overlap val="-25"/>
        <c:axId val="90078592"/>
        <c:axId val="90088576"/>
      </c:barChart>
      <c:catAx>
        <c:axId val="90078592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700"/>
            </a:pPr>
            <a:endParaRPr lang="fr-FR"/>
          </a:p>
        </c:txPr>
        <c:crossAx val="90088576"/>
        <c:crosses val="autoZero"/>
        <c:auto val="1"/>
        <c:lblAlgn val="ctr"/>
        <c:lblOffset val="100"/>
      </c:catAx>
      <c:valAx>
        <c:axId val="90088576"/>
        <c:scaling>
          <c:orientation val="minMax"/>
        </c:scaling>
        <c:delete val="1"/>
        <c:axPos val="l"/>
        <c:numFmt formatCode="#,##0.0" sourceLinked="1"/>
        <c:majorTickMark val="none"/>
        <c:tickLblPos val="none"/>
        <c:crossAx val="90078592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300"/>
            </a:pPr>
            <a:r>
              <a:rPr lang="fr-FR" sz="1300"/>
              <a:t>Perception de l'évolution passée et future du niveau de vie</a:t>
            </a:r>
          </a:p>
          <a:p>
            <a:pPr>
              <a:defRPr sz="1300"/>
            </a:pPr>
            <a:r>
              <a:rPr lang="fr-FR" sz="1300"/>
              <a:t>(soldes d'opinion) </a:t>
            </a:r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'graphe fr'!$A$11</c:f>
              <c:strCache>
                <c:ptCount val="1"/>
                <c:pt idx="0">
                  <c:v>Evolution  passée du niveau de vie</c:v>
                </c:pt>
              </c:strCache>
            </c:strRef>
          </c:tx>
          <c:marker>
            <c:symbol val="triangle"/>
            <c:size val="5"/>
          </c:marker>
          <c:cat>
            <c:strRef>
              <c:f>'graphe fr'!$B$9:$AA$9</c:f>
              <c:strCache>
                <c:ptCount val="26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T114</c:v>
                </c:pt>
                <c:pt idx="25">
                  <c:v>T2/14</c:v>
                </c:pt>
              </c:strCache>
            </c:strRef>
          </c:cat>
          <c:val>
            <c:numRef>
              <c:f>'graphe fr'!$B$11:$AA$11</c:f>
              <c:numCache>
                <c:formatCode>#,##0.0</c:formatCode>
                <c:ptCount val="26"/>
                <c:pt idx="0">
                  <c:v>-10.399945582052929</c:v>
                </c:pt>
                <c:pt idx="1">
                  <c:v>-25.15337945599229</c:v>
                </c:pt>
                <c:pt idx="2">
                  <c:v>-31.14129142149973</c:v>
                </c:pt>
                <c:pt idx="3">
                  <c:v>-29.393844818665286</c:v>
                </c:pt>
                <c:pt idx="4">
                  <c:v>-36.652789359955584</c:v>
                </c:pt>
                <c:pt idx="5">
                  <c:v>-29.108394514506987</c:v>
                </c:pt>
                <c:pt idx="6">
                  <c:v>-25.702364309825629</c:v>
                </c:pt>
                <c:pt idx="7">
                  <c:v>-26.546435956901789</c:v>
                </c:pt>
                <c:pt idx="8">
                  <c:v>-25.723634629573006</c:v>
                </c:pt>
                <c:pt idx="9">
                  <c:v>-28.56499551903989</c:v>
                </c:pt>
                <c:pt idx="10">
                  <c:v>-27.930454212484364</c:v>
                </c:pt>
                <c:pt idx="11">
                  <c:v>-37.236760344983395</c:v>
                </c:pt>
                <c:pt idx="12">
                  <c:v>-26.05095916765007</c:v>
                </c:pt>
                <c:pt idx="13">
                  <c:v>-16.961438303130883</c:v>
                </c:pt>
                <c:pt idx="14">
                  <c:v>-13.439142519852014</c:v>
                </c:pt>
                <c:pt idx="15">
                  <c:v>-20.224270151200944</c:v>
                </c:pt>
                <c:pt idx="16">
                  <c:v>-26.170201326733839</c:v>
                </c:pt>
                <c:pt idx="17">
                  <c:v>-21.816848529134631</c:v>
                </c:pt>
                <c:pt idx="18">
                  <c:v>-27.85707555673623</c:v>
                </c:pt>
                <c:pt idx="19">
                  <c:v>-28.088708351168673</c:v>
                </c:pt>
                <c:pt idx="20">
                  <c:v>-29.212341127418195</c:v>
                </c:pt>
                <c:pt idx="21">
                  <c:v>-23.102864483982071</c:v>
                </c:pt>
                <c:pt idx="22">
                  <c:v>-21.158266803557588</c:v>
                </c:pt>
                <c:pt idx="23">
                  <c:v>-19.887264929132375</c:v>
                </c:pt>
                <c:pt idx="24">
                  <c:v>-18.060219769201886</c:v>
                </c:pt>
                <c:pt idx="25" formatCode="#,##0.00">
                  <c:v>-17.740461010850293</c:v>
                </c:pt>
              </c:numCache>
            </c:numRef>
          </c:val>
        </c:ser>
        <c:ser>
          <c:idx val="1"/>
          <c:order val="1"/>
          <c:tx>
            <c:strRef>
              <c:f>'graphe fr'!$A$12</c:f>
              <c:strCache>
                <c:ptCount val="1"/>
                <c:pt idx="0">
                  <c:v>Perspective d'évolution du niveau de vie</c:v>
                </c:pt>
              </c:strCache>
            </c:strRef>
          </c:tx>
          <c:cat>
            <c:strRef>
              <c:f>'graphe fr'!$B$9:$AA$9</c:f>
              <c:strCache>
                <c:ptCount val="26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T114</c:v>
                </c:pt>
                <c:pt idx="25">
                  <c:v>T2/14</c:v>
                </c:pt>
              </c:strCache>
            </c:strRef>
          </c:cat>
          <c:val>
            <c:numRef>
              <c:f>'graphe fr'!$B$12:$AA$12</c:f>
              <c:numCache>
                <c:formatCode>#,##0.0</c:formatCode>
                <c:ptCount val="26"/>
                <c:pt idx="0">
                  <c:v>14.440493946063453</c:v>
                </c:pt>
                <c:pt idx="1">
                  <c:v>-11.52673084245559</c:v>
                </c:pt>
                <c:pt idx="2">
                  <c:v>-21.380291437825413</c:v>
                </c:pt>
                <c:pt idx="3">
                  <c:v>-3.4692228168248267</c:v>
                </c:pt>
                <c:pt idx="4">
                  <c:v>-9.3118753956095954</c:v>
                </c:pt>
                <c:pt idx="5">
                  <c:v>-3.5223109272796771</c:v>
                </c:pt>
                <c:pt idx="6">
                  <c:v>8.4334302751112852E-2</c:v>
                </c:pt>
                <c:pt idx="7">
                  <c:v>2.1853913991610052</c:v>
                </c:pt>
                <c:pt idx="8">
                  <c:v>0.39154986438085626</c:v>
                </c:pt>
                <c:pt idx="9">
                  <c:v>2.7314646872285109</c:v>
                </c:pt>
                <c:pt idx="10">
                  <c:v>0.19418325799955113</c:v>
                </c:pt>
                <c:pt idx="11">
                  <c:v>-11.371112777150765</c:v>
                </c:pt>
                <c:pt idx="12">
                  <c:v>-1.8875512037963609</c:v>
                </c:pt>
                <c:pt idx="13">
                  <c:v>18.132139936578803</c:v>
                </c:pt>
                <c:pt idx="14">
                  <c:v>11.870106120928288</c:v>
                </c:pt>
                <c:pt idx="15">
                  <c:v>13.146309479543481</c:v>
                </c:pt>
                <c:pt idx="16">
                  <c:v>11.211772002164619</c:v>
                </c:pt>
                <c:pt idx="17">
                  <c:v>8.9776180181468028</c:v>
                </c:pt>
                <c:pt idx="18">
                  <c:v>-3.2327838268829292</c:v>
                </c:pt>
                <c:pt idx="19">
                  <c:v>-1.2159862376115478</c:v>
                </c:pt>
                <c:pt idx="20">
                  <c:v>-5.0957647237932591</c:v>
                </c:pt>
                <c:pt idx="21">
                  <c:v>-4.2068608448306444</c:v>
                </c:pt>
                <c:pt idx="22">
                  <c:v>-3.0973555754801207</c:v>
                </c:pt>
                <c:pt idx="23">
                  <c:v>-7.9340099346010531</c:v>
                </c:pt>
                <c:pt idx="24">
                  <c:v>-11.389732068783605</c:v>
                </c:pt>
                <c:pt idx="25" formatCode="#,##0.00">
                  <c:v>-13.063768224593518</c:v>
                </c:pt>
              </c:numCache>
            </c:numRef>
          </c:val>
        </c:ser>
        <c:marker val="1"/>
        <c:axId val="90174592"/>
        <c:axId val="90176128"/>
      </c:lineChart>
      <c:catAx>
        <c:axId val="90174592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700"/>
            </a:pPr>
            <a:endParaRPr lang="fr-FR"/>
          </a:p>
        </c:txPr>
        <c:crossAx val="90176128"/>
        <c:crosses val="autoZero"/>
        <c:auto val="1"/>
        <c:lblAlgn val="ctr"/>
        <c:lblOffset val="100"/>
      </c:catAx>
      <c:valAx>
        <c:axId val="90176128"/>
        <c:scaling>
          <c:orientation val="minMax"/>
        </c:scaling>
        <c:axPos val="l"/>
        <c:majorGridlines/>
        <c:numFmt formatCode="#,##0.0" sourceLinked="1"/>
        <c:majorTickMark val="none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90174592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 sz="1300"/>
            </a:pPr>
            <a:r>
              <a:rPr lang="en-US" sz="1300" b="1" i="0" baseline="0"/>
              <a:t>Perceptions des ménages sur l'évolution future du chômage </a:t>
            </a:r>
          </a:p>
          <a:p>
            <a:pPr algn="ctr">
              <a:defRPr sz="1300"/>
            </a:pPr>
            <a:r>
              <a:rPr lang="fr-FR" sz="1300" b="1" i="0" baseline="0"/>
              <a:t>(soldes d'opinions) </a:t>
            </a:r>
          </a:p>
        </c:rich>
      </c:tx>
    </c:title>
    <c:plotArea>
      <c:layout>
        <c:manualLayout>
          <c:layoutTarget val="inner"/>
          <c:xMode val="edge"/>
          <c:yMode val="edge"/>
          <c:x val="6.1089496738202589E-2"/>
          <c:y val="0.25116279069767494"/>
          <c:w val="0.91690049997526357"/>
          <c:h val="0.69135092761954564"/>
        </c:manualLayout>
      </c:layout>
      <c:lineChart>
        <c:grouping val="standard"/>
        <c:ser>
          <c:idx val="0"/>
          <c:order val="0"/>
          <c:tx>
            <c:strRef>
              <c:f>'graphe fr'!$A$10</c:f>
              <c:strCache>
                <c:ptCount val="1"/>
                <c:pt idx="0">
                  <c:v>Perspective d'évolution du nombre de chômeur</c:v>
                </c:pt>
              </c:strCache>
            </c:strRef>
          </c:tx>
          <c:marker>
            <c:symbol val="none"/>
          </c:marker>
          <c:cat>
            <c:strRef>
              <c:f>'graphe fr'!$B$9:$AA$9</c:f>
              <c:strCache>
                <c:ptCount val="26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T114</c:v>
                </c:pt>
                <c:pt idx="25">
                  <c:v>T2/14</c:v>
                </c:pt>
              </c:strCache>
            </c:strRef>
          </c:cat>
          <c:val>
            <c:numRef>
              <c:f>'graphe fr'!$B$10:$AA$10</c:f>
              <c:numCache>
                <c:formatCode>#,##0.0</c:formatCode>
                <c:ptCount val="26"/>
                <c:pt idx="0">
                  <c:v>-52.095692279179204</c:v>
                </c:pt>
                <c:pt idx="1">
                  <c:v>-56.601297669293295</c:v>
                </c:pt>
                <c:pt idx="2">
                  <c:v>-51.593765595534528</c:v>
                </c:pt>
                <c:pt idx="3">
                  <c:v>-51.137343653505525</c:v>
                </c:pt>
                <c:pt idx="4">
                  <c:v>-50.999102607130283</c:v>
                </c:pt>
                <c:pt idx="5">
                  <c:v>-59.135165785990033</c:v>
                </c:pt>
                <c:pt idx="6">
                  <c:v>-57.93060045856847</c:v>
                </c:pt>
                <c:pt idx="7">
                  <c:v>-57.517749523976505</c:v>
                </c:pt>
                <c:pt idx="8">
                  <c:v>-59.239397454073007</c:v>
                </c:pt>
                <c:pt idx="9">
                  <c:v>-61.048152851769579</c:v>
                </c:pt>
                <c:pt idx="10">
                  <c:v>-56.106436371502731</c:v>
                </c:pt>
                <c:pt idx="11">
                  <c:v>-52.335316844022465</c:v>
                </c:pt>
                <c:pt idx="12">
                  <c:v>-52.408437207990296</c:v>
                </c:pt>
                <c:pt idx="13">
                  <c:v>-45.982278486233469</c:v>
                </c:pt>
                <c:pt idx="14">
                  <c:v>-40.986479794930496</c:v>
                </c:pt>
                <c:pt idx="15">
                  <c:v>-41.619683700101234</c:v>
                </c:pt>
                <c:pt idx="16">
                  <c:v>-44.058495214148614</c:v>
                </c:pt>
                <c:pt idx="17">
                  <c:v>-48.557155794606146</c:v>
                </c:pt>
                <c:pt idx="18">
                  <c:v>-56.657119953107134</c:v>
                </c:pt>
                <c:pt idx="19">
                  <c:v>-58.054676707354794</c:v>
                </c:pt>
                <c:pt idx="20">
                  <c:v>-61.683132655398175</c:v>
                </c:pt>
                <c:pt idx="21">
                  <c:v>-67.848891093145681</c:v>
                </c:pt>
                <c:pt idx="22">
                  <c:v>-69.816287861188869</c:v>
                </c:pt>
                <c:pt idx="23">
                  <c:v>-68.20001271186625</c:v>
                </c:pt>
                <c:pt idx="24">
                  <c:v>-69.100751044168078</c:v>
                </c:pt>
                <c:pt idx="25" formatCode="#,##0.00">
                  <c:v>-66.493969881109237</c:v>
                </c:pt>
              </c:numCache>
            </c:numRef>
          </c:val>
        </c:ser>
        <c:marker val="1"/>
        <c:axId val="92919680"/>
        <c:axId val="92921216"/>
      </c:lineChart>
      <c:catAx>
        <c:axId val="92919680"/>
        <c:scaling>
          <c:orientation val="minMax"/>
        </c:scaling>
        <c:axPos val="b"/>
        <c:numFmt formatCode="#,##0" sourceLinked="1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92921216"/>
        <c:crosses val="autoZero"/>
        <c:auto val="1"/>
        <c:lblAlgn val="ctr"/>
        <c:lblOffset val="100"/>
      </c:catAx>
      <c:valAx>
        <c:axId val="92921216"/>
        <c:scaling>
          <c:orientation val="minMax"/>
        </c:scaling>
        <c:axPos val="l"/>
        <c:majorGridlines/>
        <c:numFmt formatCode="#,##0.0" sourceLinked="1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92919680"/>
        <c:crosses val="autoZero"/>
        <c:crossBetween val="between"/>
      </c:valAx>
    </c:plotArea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 sz="1300"/>
            </a:pPr>
            <a:r>
              <a:rPr lang="en-US" sz="1300" b="1" i="0" baseline="0"/>
              <a:t>Perceptions des ménages sur l'opportunité d'achat des biens durables</a:t>
            </a:r>
            <a:r>
              <a:rPr lang="fr-FR" sz="1300" b="1" i="0" baseline="0"/>
              <a:t> (soldes d'opinions) </a:t>
            </a:r>
            <a:endParaRPr lang="fr-FR" sz="130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'graphe fr'!$A$13</c:f>
              <c:strCache>
                <c:ptCount val="1"/>
                <c:pt idx="0">
                  <c:v>Opportunité d'achat</c:v>
                </c:pt>
              </c:strCache>
            </c:strRef>
          </c:tx>
          <c:marker>
            <c:symbol val="none"/>
          </c:marker>
          <c:cat>
            <c:strRef>
              <c:f>'graphe fr'!$B$9:$AA$9</c:f>
              <c:strCache>
                <c:ptCount val="26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T114</c:v>
                </c:pt>
                <c:pt idx="25">
                  <c:v>T2/14</c:v>
                </c:pt>
              </c:strCache>
            </c:strRef>
          </c:cat>
          <c:val>
            <c:numRef>
              <c:f>'graphe fr'!$B$13:$AA$13</c:f>
              <c:numCache>
                <c:formatCode>#,##0.0</c:formatCode>
                <c:ptCount val="26"/>
                <c:pt idx="0">
                  <c:v>-30.01844977083179</c:v>
                </c:pt>
                <c:pt idx="1">
                  <c:v>-34.254528080670752</c:v>
                </c:pt>
                <c:pt idx="2">
                  <c:v>-37.471777984571169</c:v>
                </c:pt>
                <c:pt idx="3">
                  <c:v>-39.103064640682895</c:v>
                </c:pt>
                <c:pt idx="4">
                  <c:v>-41.765350509033937</c:v>
                </c:pt>
                <c:pt idx="5">
                  <c:v>-46.542730671354157</c:v>
                </c:pt>
                <c:pt idx="6">
                  <c:v>-43.408027388108131</c:v>
                </c:pt>
                <c:pt idx="7">
                  <c:v>-42.642623532569331</c:v>
                </c:pt>
                <c:pt idx="8">
                  <c:v>-34.756506471721565</c:v>
                </c:pt>
                <c:pt idx="9">
                  <c:v>-37.532519098271862</c:v>
                </c:pt>
                <c:pt idx="10">
                  <c:v>-36.012077907569903</c:v>
                </c:pt>
                <c:pt idx="11">
                  <c:v>-44.335673139521013</c:v>
                </c:pt>
                <c:pt idx="12">
                  <c:v>-39.860076277616727</c:v>
                </c:pt>
                <c:pt idx="13">
                  <c:v>-39.017818744674372</c:v>
                </c:pt>
                <c:pt idx="14">
                  <c:v>-36.350911088685244</c:v>
                </c:pt>
                <c:pt idx="15">
                  <c:v>-38.491211120248494</c:v>
                </c:pt>
                <c:pt idx="16">
                  <c:v>-32.485234146306901</c:v>
                </c:pt>
                <c:pt idx="17">
                  <c:v>-37.388587169100489</c:v>
                </c:pt>
                <c:pt idx="18">
                  <c:v>-29.521996232881474</c:v>
                </c:pt>
                <c:pt idx="19">
                  <c:v>-29.332441443088875</c:v>
                </c:pt>
                <c:pt idx="20">
                  <c:v>-28.348240299081699</c:v>
                </c:pt>
                <c:pt idx="21">
                  <c:v>-31.722199742496027</c:v>
                </c:pt>
                <c:pt idx="22">
                  <c:v>-29.53704552622213</c:v>
                </c:pt>
                <c:pt idx="23">
                  <c:v>-31.849081241594892</c:v>
                </c:pt>
                <c:pt idx="24">
                  <c:v>-31.319060011477994</c:v>
                </c:pt>
                <c:pt idx="25" formatCode="#,##0.00">
                  <c:v>-28.892463445062127</c:v>
                </c:pt>
              </c:numCache>
            </c:numRef>
          </c:val>
        </c:ser>
        <c:marker val="1"/>
        <c:axId val="99916416"/>
        <c:axId val="99959168"/>
      </c:lineChart>
      <c:catAx>
        <c:axId val="99916416"/>
        <c:scaling>
          <c:orientation val="minMax"/>
        </c:scaling>
        <c:axPos val="b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99959168"/>
        <c:crosses val="autoZero"/>
        <c:auto val="1"/>
        <c:lblAlgn val="ctr"/>
        <c:lblOffset val="100"/>
      </c:catAx>
      <c:valAx>
        <c:axId val="99959168"/>
        <c:scaling>
          <c:orientation val="minMax"/>
        </c:scaling>
        <c:axPos val="l"/>
        <c:majorGridlines/>
        <c:numFmt formatCode="#,##0.0" sourceLinked="1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99916416"/>
        <c:crosses val="autoZero"/>
        <c:crossBetween val="between"/>
      </c:valAx>
    </c:plotArea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 sz="1400"/>
            </a:pPr>
            <a:r>
              <a:rPr lang="fr-FR" sz="1400" b="1" i="0" baseline="0"/>
              <a:t>Perceptions des ménages sur leurs situations financières</a:t>
            </a:r>
          </a:p>
          <a:p>
            <a:pPr algn="ctr">
              <a:defRPr sz="1400"/>
            </a:pPr>
            <a:r>
              <a:rPr lang="fr-FR" sz="1400" b="1" i="0" baseline="0"/>
              <a:t>(soldes d'opinions) </a:t>
            </a:r>
            <a:endParaRPr lang="fr-FR" sz="1400"/>
          </a:p>
        </c:rich>
      </c:tx>
      <c:layout>
        <c:manualLayout>
          <c:xMode val="edge"/>
          <c:yMode val="edge"/>
          <c:x val="0.18499236459079085"/>
          <c:y val="2.4783147459727581E-3"/>
        </c:manualLayout>
      </c:layout>
    </c:title>
    <c:plotArea>
      <c:layout>
        <c:manualLayout>
          <c:layoutTarget val="inner"/>
          <c:xMode val="edge"/>
          <c:yMode val="edge"/>
          <c:x val="4.9190952724534928E-2"/>
          <c:y val="0.1562639893061703"/>
          <c:w val="0.93088872855036542"/>
          <c:h val="0.75405711832489675"/>
        </c:manualLayout>
      </c:layout>
      <c:lineChart>
        <c:grouping val="standard"/>
        <c:ser>
          <c:idx val="0"/>
          <c:order val="0"/>
          <c:tx>
            <c:strRef>
              <c:f>'graphe fr'!$A$14</c:f>
              <c:strCache>
                <c:ptCount val="1"/>
                <c:pt idx="0">
                  <c:v>Situation  actuelle</c:v>
                </c:pt>
              </c:strCache>
            </c:strRef>
          </c:tx>
          <c:marker>
            <c:symbol val="star"/>
            <c:size val="5"/>
          </c:marker>
          <c:cat>
            <c:strRef>
              <c:f>'graphe fr'!$B$9:$AA$9</c:f>
              <c:strCache>
                <c:ptCount val="26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T114</c:v>
                </c:pt>
                <c:pt idx="25">
                  <c:v>T2/14</c:v>
                </c:pt>
              </c:strCache>
            </c:strRef>
          </c:cat>
          <c:val>
            <c:numRef>
              <c:f>'graphe fr'!$B$14:$AA$14</c:f>
              <c:numCache>
                <c:formatCode>#,##0.0</c:formatCode>
                <c:ptCount val="26"/>
                <c:pt idx="0">
                  <c:v>-33.000396349797541</c:v>
                </c:pt>
                <c:pt idx="1">
                  <c:v>-32.92085732825101</c:v>
                </c:pt>
                <c:pt idx="2">
                  <c:v>-34.418326375664194</c:v>
                </c:pt>
                <c:pt idx="3">
                  <c:v>-33.119220631579381</c:v>
                </c:pt>
                <c:pt idx="4">
                  <c:v>-31.284887127595891</c:v>
                </c:pt>
                <c:pt idx="5">
                  <c:v>-26.871936633729426</c:v>
                </c:pt>
                <c:pt idx="6">
                  <c:v>-28.286909450889887</c:v>
                </c:pt>
                <c:pt idx="7">
                  <c:v>-25.297554133135563</c:v>
                </c:pt>
                <c:pt idx="8">
                  <c:v>-27.535808431365773</c:v>
                </c:pt>
                <c:pt idx="9">
                  <c:v>-27.628417792744592</c:v>
                </c:pt>
                <c:pt idx="10">
                  <c:v>-29.997502753451052</c:v>
                </c:pt>
                <c:pt idx="11">
                  <c:v>-28.062624892496313</c:v>
                </c:pt>
                <c:pt idx="12">
                  <c:v>-30.645498931903738</c:v>
                </c:pt>
                <c:pt idx="13">
                  <c:v>-27.092549889444324</c:v>
                </c:pt>
                <c:pt idx="14">
                  <c:v>-24.28899054728441</c:v>
                </c:pt>
                <c:pt idx="15">
                  <c:v>-25.669712181349734</c:v>
                </c:pt>
                <c:pt idx="16">
                  <c:v>-25.435462945688826</c:v>
                </c:pt>
                <c:pt idx="17">
                  <c:v>-31.040689498948886</c:v>
                </c:pt>
                <c:pt idx="18">
                  <c:v>-30.846093343724199</c:v>
                </c:pt>
                <c:pt idx="19">
                  <c:v>-29.426966691861267</c:v>
                </c:pt>
                <c:pt idx="20">
                  <c:v>-29.764200665198015</c:v>
                </c:pt>
                <c:pt idx="21">
                  <c:v>-30.168616451396016</c:v>
                </c:pt>
                <c:pt idx="22">
                  <c:v>-29.484131282651219</c:v>
                </c:pt>
                <c:pt idx="23">
                  <c:v>-29.485585569479959</c:v>
                </c:pt>
                <c:pt idx="24">
                  <c:v>-31.290770339915046</c:v>
                </c:pt>
                <c:pt idx="25" formatCode="#,##0.00">
                  <c:v>-29.704256665370011</c:v>
                </c:pt>
              </c:numCache>
            </c:numRef>
          </c:val>
        </c:ser>
        <c:ser>
          <c:idx val="1"/>
          <c:order val="1"/>
          <c:tx>
            <c:strRef>
              <c:f>'graphe fr'!$A$15</c:f>
              <c:strCache>
                <c:ptCount val="1"/>
                <c:pt idx="0">
                  <c:v>Evolution  passée </c:v>
                </c:pt>
              </c:strCache>
            </c:strRef>
          </c:tx>
          <c:cat>
            <c:strRef>
              <c:f>'graphe fr'!$B$9:$AA$9</c:f>
              <c:strCache>
                <c:ptCount val="26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T114</c:v>
                </c:pt>
                <c:pt idx="25">
                  <c:v>T2/14</c:v>
                </c:pt>
              </c:strCache>
            </c:strRef>
          </c:cat>
          <c:val>
            <c:numRef>
              <c:f>'graphe fr'!$B$15:$AA$15</c:f>
              <c:numCache>
                <c:formatCode>#,##0.0</c:formatCode>
                <c:ptCount val="26"/>
                <c:pt idx="0">
                  <c:v>-11.760493904860514</c:v>
                </c:pt>
                <c:pt idx="1">
                  <c:v>-11.376439540974175</c:v>
                </c:pt>
                <c:pt idx="2">
                  <c:v>-11.707546774199253</c:v>
                </c:pt>
                <c:pt idx="3">
                  <c:v>-9.5250570435126427</c:v>
                </c:pt>
                <c:pt idx="4">
                  <c:v>-18.438210074457359</c:v>
                </c:pt>
                <c:pt idx="5">
                  <c:v>-13.353492384896764</c:v>
                </c:pt>
                <c:pt idx="6">
                  <c:v>-8.3398771422969418</c:v>
                </c:pt>
                <c:pt idx="7">
                  <c:v>-11.02764060888175</c:v>
                </c:pt>
                <c:pt idx="8">
                  <c:v>-9.9712946623485852</c:v>
                </c:pt>
                <c:pt idx="9">
                  <c:v>-7.900036816111526</c:v>
                </c:pt>
                <c:pt idx="10">
                  <c:v>-7.5448517126855705</c:v>
                </c:pt>
                <c:pt idx="11">
                  <c:v>-12.80990794833837</c:v>
                </c:pt>
                <c:pt idx="12">
                  <c:v>-10.526395373972909</c:v>
                </c:pt>
                <c:pt idx="13">
                  <c:v>-8.9058745431594577</c:v>
                </c:pt>
                <c:pt idx="14">
                  <c:v>-6.3663328535796895</c:v>
                </c:pt>
                <c:pt idx="15">
                  <c:v>-9.8004349690184061</c:v>
                </c:pt>
                <c:pt idx="16">
                  <c:v>-14.12986220998387</c:v>
                </c:pt>
                <c:pt idx="17">
                  <c:v>-16.595107957258964</c:v>
                </c:pt>
                <c:pt idx="18">
                  <c:v>-16.673706990082124</c:v>
                </c:pt>
                <c:pt idx="19">
                  <c:v>-15.707035536653336</c:v>
                </c:pt>
                <c:pt idx="20">
                  <c:v>-19.633449783694058</c:v>
                </c:pt>
                <c:pt idx="21">
                  <c:v>-23.788807201688929</c:v>
                </c:pt>
                <c:pt idx="22">
                  <c:v>-21.891965579068504</c:v>
                </c:pt>
                <c:pt idx="23">
                  <c:v>-21.870867995539985</c:v>
                </c:pt>
                <c:pt idx="24">
                  <c:v>-21.277780753263979</c:v>
                </c:pt>
                <c:pt idx="25" formatCode="#,##0.00">
                  <c:v>-23.337257864101161</c:v>
                </c:pt>
              </c:numCache>
            </c:numRef>
          </c:val>
        </c:ser>
        <c:ser>
          <c:idx val="2"/>
          <c:order val="2"/>
          <c:tx>
            <c:strRef>
              <c:f>'graphe fr'!$A$16</c:f>
              <c:strCache>
                <c:ptCount val="1"/>
                <c:pt idx="0">
                  <c:v>Evolution  future</c:v>
                </c:pt>
              </c:strCache>
            </c:strRef>
          </c:tx>
          <c:cat>
            <c:strRef>
              <c:f>'graphe fr'!$B$9:$AA$9</c:f>
              <c:strCache>
                <c:ptCount val="26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T114</c:v>
                </c:pt>
                <c:pt idx="25">
                  <c:v>T2/14</c:v>
                </c:pt>
              </c:strCache>
            </c:strRef>
          </c:cat>
          <c:val>
            <c:numRef>
              <c:f>'graphe fr'!$B$16:$AA$16</c:f>
              <c:numCache>
                <c:formatCode>#,##0.0</c:formatCode>
                <c:ptCount val="26"/>
                <c:pt idx="0">
                  <c:v>23.9</c:v>
                </c:pt>
                <c:pt idx="1">
                  <c:v>15.58418860861071</c:v>
                </c:pt>
                <c:pt idx="2">
                  <c:v>16.580364039590329</c:v>
                </c:pt>
                <c:pt idx="3">
                  <c:v>26.705941849103183</c:v>
                </c:pt>
                <c:pt idx="4">
                  <c:v>26.769154239001924</c:v>
                </c:pt>
                <c:pt idx="5">
                  <c:v>21.986954089697061</c:v>
                </c:pt>
                <c:pt idx="6">
                  <c:v>17.532817766676498</c:v>
                </c:pt>
                <c:pt idx="7">
                  <c:v>17.09400625121032</c:v>
                </c:pt>
                <c:pt idx="8">
                  <c:v>17.787694440036187</c:v>
                </c:pt>
                <c:pt idx="9">
                  <c:v>11.776375704730501</c:v>
                </c:pt>
                <c:pt idx="10">
                  <c:v>7.8068380126684715</c:v>
                </c:pt>
                <c:pt idx="11">
                  <c:v>9.3656519222157506</c:v>
                </c:pt>
                <c:pt idx="12">
                  <c:v>10.223761077165181</c:v>
                </c:pt>
                <c:pt idx="13">
                  <c:v>20.354548457792728</c:v>
                </c:pt>
                <c:pt idx="14">
                  <c:v>15.105327443781253</c:v>
                </c:pt>
                <c:pt idx="15">
                  <c:v>13.999505506513676</c:v>
                </c:pt>
                <c:pt idx="16">
                  <c:v>11.230833640450328</c:v>
                </c:pt>
                <c:pt idx="17">
                  <c:v>11.136340416980383</c:v>
                </c:pt>
                <c:pt idx="18">
                  <c:v>7.6658451594012949</c:v>
                </c:pt>
                <c:pt idx="19">
                  <c:v>10.649290737183625</c:v>
                </c:pt>
                <c:pt idx="20">
                  <c:v>4.5484811189173895</c:v>
                </c:pt>
                <c:pt idx="21">
                  <c:v>0.71644439200690369</c:v>
                </c:pt>
                <c:pt idx="22">
                  <c:v>2.7930128120198785</c:v>
                </c:pt>
                <c:pt idx="23">
                  <c:v>-1.7003971659207202</c:v>
                </c:pt>
                <c:pt idx="24">
                  <c:v>1.2126606998519158</c:v>
                </c:pt>
                <c:pt idx="25" formatCode="#,##0.00">
                  <c:v>-2.6659512091834952</c:v>
                </c:pt>
              </c:numCache>
            </c:numRef>
          </c:val>
        </c:ser>
        <c:marker val="1"/>
        <c:axId val="67208320"/>
        <c:axId val="67209856"/>
      </c:lineChart>
      <c:catAx>
        <c:axId val="67208320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67209856"/>
        <c:crosses val="autoZero"/>
        <c:auto val="1"/>
        <c:lblAlgn val="ctr"/>
        <c:lblOffset val="100"/>
      </c:catAx>
      <c:valAx>
        <c:axId val="67209856"/>
        <c:scaling>
          <c:orientation val="minMax"/>
        </c:scaling>
        <c:axPos val="l"/>
        <c:majorGridlines/>
        <c:numFmt formatCode="#,##0.0" sourceLinked="1"/>
        <c:majorTickMark val="none"/>
        <c:tickLblPos val="nextTo"/>
        <c:spPr>
          <a:ln w="9525">
            <a:noFill/>
          </a:ln>
        </c:spPr>
        <c:crossAx val="6720832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15266163880047348"/>
          <c:y val="0.91912048141567582"/>
          <c:w val="0.69467656325914739"/>
          <c:h val="8.0879518584324198E-2"/>
        </c:manualLayout>
      </c:layout>
    </c:legend>
    <c:plotVisOnly val="1"/>
  </c:chart>
  <c:spPr>
    <a:ln>
      <a:solidFill>
        <a:schemeClr val="tx1"/>
      </a:solidFill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 sz="1200"/>
            </a:pPr>
            <a:r>
              <a:rPr lang="fr-FR" sz="1200"/>
              <a:t>Perception  de l'évolution future </a:t>
            </a:r>
            <a:r>
              <a:rPr lang="fr-FR" sz="1200" b="1" i="0" u="none" strike="noStrike" baseline="0"/>
              <a:t>des prix des produits alimentaires (en %)</a:t>
            </a:r>
            <a:endParaRPr lang="fr-FR" sz="1200"/>
          </a:p>
        </c:rich>
      </c:tx>
      <c:layout>
        <c:manualLayout>
          <c:xMode val="edge"/>
          <c:yMode val="edge"/>
          <c:x val="0.12182633420822422"/>
          <c:y val="2.7826092037173459E-2"/>
        </c:manualLayout>
      </c:layout>
    </c:title>
    <c:plotArea>
      <c:layout>
        <c:manualLayout>
          <c:layoutTarget val="inner"/>
          <c:xMode val="edge"/>
          <c:yMode val="edge"/>
          <c:x val="3.2381869082774482E-2"/>
          <c:y val="0.23271895037550674"/>
          <c:w val="0.93888888888889643"/>
          <c:h val="0.56580142977865633"/>
        </c:manualLayout>
      </c:layout>
      <c:barChart>
        <c:barDir val="col"/>
        <c:grouping val="clustered"/>
        <c:ser>
          <c:idx val="0"/>
          <c:order val="0"/>
          <c:tx>
            <c:strRef>
              <c:f>'graphe fr'!$Q$110</c:f>
              <c:strCache>
                <c:ptCount val="1"/>
                <c:pt idx="0">
                  <c:v>augmentation</c:v>
                </c:pt>
              </c:strCache>
            </c:strRef>
          </c:tx>
          <c:dLbls>
            <c:showVal val="1"/>
          </c:dLbls>
          <c:cat>
            <c:strRef>
              <c:f>'graphe fr'!$R$109:$T$109</c:f>
              <c:strCache>
                <c:ptCount val="3"/>
                <c:pt idx="0">
                  <c:v>T2/13</c:v>
                </c:pt>
                <c:pt idx="1">
                  <c:v>T1/14</c:v>
                </c:pt>
                <c:pt idx="2">
                  <c:v>T2/14</c:v>
                </c:pt>
              </c:strCache>
            </c:strRef>
          </c:cat>
          <c:val>
            <c:numRef>
              <c:f>'graphe fr'!$R$110:$T$110</c:f>
              <c:numCache>
                <c:formatCode>#,##0.0%</c:formatCode>
                <c:ptCount val="3"/>
                <c:pt idx="0">
                  <c:v>0.75298621548061362</c:v>
                </c:pt>
                <c:pt idx="1">
                  <c:v>0.78551991641638863</c:v>
                </c:pt>
                <c:pt idx="2">
                  <c:v>0.79353452868334551</c:v>
                </c:pt>
              </c:numCache>
            </c:numRef>
          </c:val>
        </c:ser>
        <c:ser>
          <c:idx val="1"/>
          <c:order val="1"/>
          <c:tx>
            <c:strRef>
              <c:f>'graphe fr'!$Q$111</c:f>
              <c:strCache>
                <c:ptCount val="1"/>
                <c:pt idx="0">
                  <c:v>stagnation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22,8%</a:t>
                    </a:r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19,2%</a:t>
                    </a:r>
                  </a:p>
                </c:rich>
              </c:tx>
              <c:showVal val="1"/>
            </c:dLbl>
            <c:showVal val="1"/>
          </c:dLbls>
          <c:cat>
            <c:strRef>
              <c:f>'graphe fr'!$R$109:$T$109</c:f>
              <c:strCache>
                <c:ptCount val="3"/>
                <c:pt idx="0">
                  <c:v>T2/13</c:v>
                </c:pt>
                <c:pt idx="1">
                  <c:v>T1/14</c:v>
                </c:pt>
                <c:pt idx="2">
                  <c:v>T2/14</c:v>
                </c:pt>
              </c:strCache>
            </c:strRef>
          </c:cat>
          <c:val>
            <c:numRef>
              <c:f>'graphe fr'!$R$111:$T$111</c:f>
              <c:numCache>
                <c:formatCode>#,##0.0%</c:formatCode>
                <c:ptCount val="3"/>
                <c:pt idx="0">
                  <c:v>0.22700000000000001</c:v>
                </c:pt>
                <c:pt idx="1">
                  <c:v>0.20447803758022234</c:v>
                </c:pt>
                <c:pt idx="2">
                  <c:v>0.19335449784596875</c:v>
                </c:pt>
              </c:numCache>
            </c:numRef>
          </c:val>
        </c:ser>
        <c:ser>
          <c:idx val="2"/>
          <c:order val="2"/>
          <c:tx>
            <c:strRef>
              <c:f>'graphe fr'!$Q$112</c:f>
              <c:strCache>
                <c:ptCount val="1"/>
                <c:pt idx="0">
                  <c:v>diminution</c:v>
                </c:pt>
              </c:strCache>
            </c:strRef>
          </c:tx>
          <c:dLbls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1,4%</a:t>
                    </a:r>
                  </a:p>
                </c:rich>
              </c:tx>
              <c:showVal val="1"/>
            </c:dLbl>
            <c:showVal val="1"/>
          </c:dLbls>
          <c:cat>
            <c:strRef>
              <c:f>'graphe fr'!$R$109:$T$109</c:f>
              <c:strCache>
                <c:ptCount val="3"/>
                <c:pt idx="0">
                  <c:v>T2/13</c:v>
                </c:pt>
                <c:pt idx="1">
                  <c:v>T1/14</c:v>
                </c:pt>
                <c:pt idx="2">
                  <c:v>T2/14</c:v>
                </c:pt>
              </c:strCache>
            </c:strRef>
          </c:cat>
          <c:val>
            <c:numRef>
              <c:f>'graphe fr'!$R$112:$T$112</c:f>
              <c:numCache>
                <c:formatCode>#,##0.0%</c:formatCode>
                <c:ptCount val="3"/>
                <c:pt idx="0">
                  <c:v>1.943650144329663E-2</c:v>
                </c:pt>
                <c:pt idx="1">
                  <c:v>1.0002046003389739E-2</c:v>
                </c:pt>
                <c:pt idx="2">
                  <c:v>1.3110973470684186E-2</c:v>
                </c:pt>
              </c:numCache>
            </c:numRef>
          </c:val>
        </c:ser>
        <c:gapWidth val="75"/>
        <c:overlap val="-25"/>
        <c:axId val="71049216"/>
        <c:axId val="71050752"/>
      </c:barChart>
      <c:catAx>
        <c:axId val="71049216"/>
        <c:scaling>
          <c:orientation val="minMax"/>
        </c:scaling>
        <c:axPos val="b"/>
        <c:majorTickMark val="none"/>
        <c:tickLblPos val="nextTo"/>
        <c:crossAx val="71050752"/>
        <c:crosses val="autoZero"/>
        <c:auto val="1"/>
        <c:lblAlgn val="ctr"/>
        <c:lblOffset val="100"/>
      </c:catAx>
      <c:valAx>
        <c:axId val="71050752"/>
        <c:scaling>
          <c:orientation val="minMax"/>
        </c:scaling>
        <c:delete val="1"/>
        <c:axPos val="l"/>
        <c:numFmt formatCode="#,##0.0%" sourceLinked="1"/>
        <c:majorTickMark val="none"/>
        <c:tickLblPos val="none"/>
        <c:crossAx val="71049216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200"/>
              <a:t>Perception </a:t>
            </a:r>
            <a:r>
              <a:rPr lang="fr-FR" sz="1200" b="1" i="0" u="none" strike="noStrike" baseline="0"/>
              <a:t>près de huit ménages sur dix </a:t>
            </a:r>
            <a:r>
              <a:rPr lang="fr-FR" sz="1200" b="1" i="0" baseline="0"/>
              <a:t>passée des prix des produits alimentaires (en %)</a:t>
            </a:r>
            <a:endParaRPr lang="fr-FR" sz="120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200"/>
              <a:t> 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'graphe fr'!$Q$114</c:f>
              <c:strCache>
                <c:ptCount val="1"/>
                <c:pt idx="0">
                  <c:v>augmentation</c:v>
                </c:pt>
              </c:strCache>
            </c:strRef>
          </c:tx>
          <c:dLbls>
            <c:showVal val="1"/>
          </c:dLbls>
          <c:cat>
            <c:strRef>
              <c:f>'graphe fr'!$R$109:$T$109</c:f>
              <c:strCache>
                <c:ptCount val="3"/>
                <c:pt idx="0">
                  <c:v>T2/13</c:v>
                </c:pt>
                <c:pt idx="1">
                  <c:v>T1/14</c:v>
                </c:pt>
                <c:pt idx="2">
                  <c:v>T2/14</c:v>
                </c:pt>
              </c:strCache>
            </c:strRef>
          </c:cat>
          <c:val>
            <c:numRef>
              <c:f>'graphe fr'!$R$114:$T$114</c:f>
              <c:numCache>
                <c:formatCode>#,##0.0%</c:formatCode>
                <c:ptCount val="3"/>
                <c:pt idx="0">
                  <c:v>0.89967992241941153</c:v>
                </c:pt>
                <c:pt idx="1">
                  <c:v>0.90507883998493777</c:v>
                </c:pt>
                <c:pt idx="2">
                  <c:v>0.85326069490541667</c:v>
                </c:pt>
              </c:numCache>
            </c:numRef>
          </c:val>
        </c:ser>
        <c:ser>
          <c:idx val="1"/>
          <c:order val="1"/>
          <c:tx>
            <c:strRef>
              <c:f>'graphe fr'!$Q$115</c:f>
              <c:strCache>
                <c:ptCount val="1"/>
                <c:pt idx="0">
                  <c:v>stagnation</c:v>
                </c:pt>
              </c:strCache>
            </c:strRef>
          </c:tx>
          <c:dLbls>
            <c:showVal val="1"/>
          </c:dLbls>
          <c:cat>
            <c:strRef>
              <c:f>'graphe fr'!$R$109:$T$109</c:f>
              <c:strCache>
                <c:ptCount val="3"/>
                <c:pt idx="0">
                  <c:v>T2/13</c:v>
                </c:pt>
                <c:pt idx="1">
                  <c:v>T1/14</c:v>
                </c:pt>
                <c:pt idx="2">
                  <c:v>T2/14</c:v>
                </c:pt>
              </c:strCache>
            </c:strRef>
          </c:cat>
          <c:val>
            <c:numRef>
              <c:f>'graphe fr'!$R$115:$T$115</c:f>
              <c:numCache>
                <c:formatCode>#,##0.0%</c:formatCode>
                <c:ptCount val="3"/>
                <c:pt idx="0">
                  <c:v>9.0277946086739225E-2</c:v>
                </c:pt>
                <c:pt idx="1">
                  <c:v>8.4062040878642011E-2</c:v>
                </c:pt>
                <c:pt idx="2">
                  <c:v>0.13483576894705868</c:v>
                </c:pt>
              </c:numCache>
            </c:numRef>
          </c:val>
        </c:ser>
        <c:ser>
          <c:idx val="2"/>
          <c:order val="2"/>
          <c:tx>
            <c:strRef>
              <c:f>'graphe fr'!$Q$116</c:f>
              <c:strCache>
                <c:ptCount val="1"/>
                <c:pt idx="0">
                  <c:v>diminution</c:v>
                </c:pt>
              </c:strCache>
            </c:strRef>
          </c:tx>
          <c:dLbls>
            <c:showVal val="1"/>
          </c:dLbls>
          <c:cat>
            <c:strRef>
              <c:f>'graphe fr'!$R$109:$T$109</c:f>
              <c:strCache>
                <c:ptCount val="3"/>
                <c:pt idx="0">
                  <c:v>T2/13</c:v>
                </c:pt>
                <c:pt idx="1">
                  <c:v>T1/14</c:v>
                </c:pt>
                <c:pt idx="2">
                  <c:v>T2/14</c:v>
                </c:pt>
              </c:strCache>
            </c:strRef>
          </c:cat>
          <c:val>
            <c:numRef>
              <c:f>'graphe fr'!$R$116:$T$116</c:f>
              <c:numCache>
                <c:formatCode>#,##0.0%</c:formatCode>
                <c:ptCount val="3"/>
                <c:pt idx="0">
                  <c:v>1.0042131493847025E-2</c:v>
                </c:pt>
                <c:pt idx="1">
                  <c:v>1.085911913642032E-2</c:v>
                </c:pt>
                <c:pt idx="2">
                  <c:v>1.1903536147524622E-2</c:v>
                </c:pt>
              </c:numCache>
            </c:numRef>
          </c:val>
        </c:ser>
        <c:gapWidth val="75"/>
        <c:overlap val="-25"/>
        <c:axId val="99942400"/>
        <c:axId val="99943936"/>
      </c:barChart>
      <c:catAx>
        <c:axId val="99942400"/>
        <c:scaling>
          <c:orientation val="minMax"/>
        </c:scaling>
        <c:axPos val="b"/>
        <c:majorTickMark val="none"/>
        <c:tickLblPos val="nextTo"/>
        <c:crossAx val="99943936"/>
        <c:crosses val="autoZero"/>
        <c:auto val="1"/>
        <c:lblAlgn val="ctr"/>
        <c:lblOffset val="100"/>
      </c:catAx>
      <c:valAx>
        <c:axId val="99943936"/>
        <c:scaling>
          <c:orientation val="minMax"/>
        </c:scaling>
        <c:delete val="1"/>
        <c:axPos val="l"/>
        <c:numFmt formatCode="#,##0.0%" sourceLinked="1"/>
        <c:majorTickMark val="none"/>
        <c:tickLblPos val="none"/>
        <c:crossAx val="99942400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A7C5E-2DBE-4FBC-B1D3-62ECE5A31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1424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9238</CharactersWithSpaces>
  <SharedDoc>false</SharedDoc>
  <HLinks>
    <vt:vector size="6" baseType="variant">
      <vt:variant>
        <vt:i4>7405692</vt:i4>
      </vt:variant>
      <vt:variant>
        <vt:i4>0</vt:i4>
      </vt:variant>
      <vt:variant>
        <vt:i4>0</vt:i4>
      </vt:variant>
      <vt:variant>
        <vt:i4>5</vt:i4>
      </vt:variant>
      <vt:variant>
        <vt:lpwstr>http://www.hcp.ma/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user</cp:lastModifiedBy>
  <cp:revision>2</cp:revision>
  <cp:lastPrinted>2014-08-12T10:32:00Z</cp:lastPrinted>
  <dcterms:created xsi:type="dcterms:W3CDTF">2014-08-17T12:52:00Z</dcterms:created>
  <dcterms:modified xsi:type="dcterms:W3CDTF">2014-08-17T12:52:00Z</dcterms:modified>
</cp:coreProperties>
</file>