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      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9E682C" w:rsidRPr="00C706A5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912704" w:rsidRPr="00C706A5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>Note d’information</w:t>
      </w:r>
      <w:r w:rsidR="0069792B" w:rsidRPr="00C706A5">
        <w:rPr>
          <w:rFonts w:ascii="Book Antiqua" w:hAnsi="Book Antiqua" w:cs="Times New Roman"/>
          <w:b/>
          <w:bCs/>
          <w:color w:val="000000" w:themeColor="text1"/>
        </w:rPr>
        <w:t xml:space="preserve"> du Haut-commissariat au Plan</w:t>
      </w:r>
    </w:p>
    <w:p w:rsidR="00912704" w:rsidRPr="00C706A5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>R</w:t>
      </w:r>
      <w:r w:rsidR="00912704" w:rsidRPr="00C706A5">
        <w:rPr>
          <w:rFonts w:ascii="Book Antiqua" w:hAnsi="Book Antiqua" w:cs="Times New Roman"/>
          <w:b/>
          <w:bCs/>
          <w:color w:val="000000" w:themeColor="text1"/>
        </w:rPr>
        <w:t xml:space="preserve">ésultats de l’enquête de conjoncture auprès des ménages </w:t>
      </w:r>
    </w:p>
    <w:p w:rsidR="00912704" w:rsidRPr="00C706A5" w:rsidRDefault="0004211E" w:rsidP="00E85462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>Premier trimestre</w:t>
      </w:r>
      <w:r w:rsidR="00EE0655" w:rsidRPr="00C706A5">
        <w:rPr>
          <w:rFonts w:ascii="Book Antiqua" w:hAnsi="Book Antiqua" w:cs="Times New Roman"/>
          <w:b/>
          <w:bCs/>
          <w:color w:val="000000" w:themeColor="text1"/>
        </w:rPr>
        <w:t xml:space="preserve"> </w:t>
      </w:r>
      <w:r>
        <w:rPr>
          <w:rFonts w:ascii="Book Antiqua" w:hAnsi="Book Antiqua" w:cs="Times New Roman"/>
          <w:b/>
          <w:bCs/>
          <w:color w:val="000000" w:themeColor="text1"/>
        </w:rPr>
        <w:t>2014</w:t>
      </w:r>
    </w:p>
    <w:p w:rsidR="004105E0" w:rsidRPr="00C706A5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14398F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montrent que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l’Indice de Confiance des Ménages (ICM) 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aura enregistré, au cours du </w:t>
      </w:r>
      <w:r w:rsidR="0004211E">
        <w:rPr>
          <w:rFonts w:ascii="Times New Roman" w:hAnsi="Times New Roman" w:cs="Times New Roman"/>
          <w:b/>
          <w:bCs/>
          <w:color w:val="000000" w:themeColor="text1"/>
        </w:rPr>
        <w:t>premier trimestre</w:t>
      </w:r>
      <w:r w:rsidR="00EE0655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b/>
          <w:bCs/>
          <w:color w:val="000000" w:themeColor="text1"/>
        </w:rPr>
        <w:t>2014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, une </w:t>
      </w:r>
      <w:r w:rsidR="0014398F">
        <w:rPr>
          <w:rFonts w:ascii="Times New Roman" w:hAnsi="Times New Roman" w:cs="Times New Roman"/>
          <w:b/>
          <w:bCs/>
          <w:color w:val="000000" w:themeColor="text1"/>
        </w:rPr>
        <w:t xml:space="preserve">quasi stagnation </w:t>
      </w:r>
      <w:r w:rsidR="00BE5779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par rapport au 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>quatrième trimestre</w:t>
      </w:r>
      <w:r w:rsidR="00BE5779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de 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>201</w:t>
      </w:r>
      <w:r w:rsidR="0041160A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 xml:space="preserve"> et </w:t>
      </w:r>
      <w:r w:rsidR="0014398F">
        <w:rPr>
          <w:rFonts w:ascii="Times New Roman" w:hAnsi="Times New Roman" w:cs="Times New Roman"/>
          <w:b/>
          <w:bCs/>
          <w:color w:val="000000" w:themeColor="text1"/>
        </w:rPr>
        <w:t xml:space="preserve">une baisse 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88731E">
        <w:rPr>
          <w:rFonts w:ascii="Times New Roman" w:hAnsi="Times New Roman" w:cs="Times New Roman"/>
          <w:b/>
          <w:bCs/>
          <w:color w:val="000000" w:themeColor="text1"/>
        </w:rPr>
        <w:t>1</w:t>
      </w:r>
      <w:r w:rsidR="00686596" w:rsidRPr="00C706A5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88731E">
        <w:rPr>
          <w:rFonts w:ascii="Times New Roman" w:hAnsi="Times New Roman" w:cs="Times New Roman"/>
          <w:b/>
          <w:bCs/>
          <w:color w:val="000000" w:themeColor="text1"/>
        </w:rPr>
        <w:t>7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point par rapport </w:t>
      </w:r>
      <w:r w:rsidR="00BF7AFA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à son niveau du </w:t>
      </w:r>
      <w:r w:rsidR="0004211E">
        <w:rPr>
          <w:rFonts w:ascii="Times New Roman" w:hAnsi="Times New Roman" w:cs="Times New Roman"/>
          <w:b/>
          <w:bCs/>
          <w:color w:val="000000" w:themeColor="text1"/>
        </w:rPr>
        <w:t>premier trimestre</w:t>
      </w:r>
      <w:r w:rsidR="00BF7AFA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de l’année 201</w:t>
      </w:r>
      <w:r w:rsidR="0088731E">
        <w:rPr>
          <w:rFonts w:ascii="Times New Roman" w:hAnsi="Times New Roman" w:cs="Times New Roman"/>
          <w:b/>
          <w:bCs/>
          <w:color w:val="000000" w:themeColor="text1"/>
        </w:rPr>
        <w:t>3</w:t>
      </w:r>
      <w:r w:rsidR="00A45128" w:rsidRPr="00C706A5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:rsidR="00F80F35" w:rsidRPr="00C706A5" w:rsidRDefault="00A45128" w:rsidP="00717A0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A45128" w:rsidRPr="00C706A5" w:rsidRDefault="00CF09A5" w:rsidP="00634C05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C’est ainsi qu’a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u </w:t>
      </w:r>
      <w:r w:rsidR="0004211E">
        <w:rPr>
          <w:rFonts w:ascii="Times New Roman" w:hAnsi="Times New Roman" w:cs="Times New Roman"/>
          <w:color w:val="000000" w:themeColor="text1"/>
        </w:rPr>
        <w:t>premier trimestre</w:t>
      </w:r>
      <w:r w:rsidR="005950FE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="001347D2">
        <w:rPr>
          <w:rFonts w:ascii="Times New Roman" w:hAnsi="Times New Roman" w:cs="Times New Roman"/>
          <w:color w:val="000000" w:themeColor="text1"/>
        </w:rPr>
        <w:t xml:space="preserve">, l'ICM s’établit à </w:t>
      </w:r>
      <w:r w:rsidR="009C76E3" w:rsidRPr="00C706A5">
        <w:rPr>
          <w:rFonts w:ascii="Times New Roman" w:hAnsi="Times New Roman" w:cs="Times New Roman"/>
          <w:color w:val="000000" w:themeColor="text1"/>
        </w:rPr>
        <w:t>7</w:t>
      </w:r>
      <w:r w:rsidR="00F86FF5" w:rsidRPr="00C706A5">
        <w:rPr>
          <w:rFonts w:ascii="Times New Roman" w:hAnsi="Times New Roman" w:cs="Times New Roman"/>
          <w:color w:val="000000" w:themeColor="text1"/>
        </w:rPr>
        <w:t>4</w:t>
      </w:r>
      <w:r w:rsidR="009C76E3" w:rsidRPr="00C706A5">
        <w:rPr>
          <w:rFonts w:ascii="Times New Roman" w:hAnsi="Times New Roman" w:cs="Times New Roman"/>
          <w:color w:val="000000" w:themeColor="text1"/>
        </w:rPr>
        <w:t>,</w:t>
      </w:r>
      <w:r w:rsidR="001347D2">
        <w:rPr>
          <w:rFonts w:ascii="Times New Roman" w:hAnsi="Times New Roman" w:cs="Times New Roman"/>
          <w:color w:val="000000" w:themeColor="text1"/>
        </w:rPr>
        <w:t>1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</w:t>
      </w:r>
      <w:r w:rsidR="007C4CD5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9C76E3" w:rsidRPr="00C706A5">
        <w:rPr>
          <w:rFonts w:ascii="Times New Roman" w:hAnsi="Times New Roman" w:cs="Times New Roman"/>
          <w:color w:val="000000" w:themeColor="text1"/>
        </w:rPr>
        <w:t>7</w:t>
      </w:r>
      <w:r w:rsidR="001347D2">
        <w:rPr>
          <w:rFonts w:ascii="Times New Roman" w:hAnsi="Times New Roman" w:cs="Times New Roman"/>
          <w:color w:val="000000" w:themeColor="text1"/>
        </w:rPr>
        <w:t>4</w:t>
      </w:r>
      <w:r w:rsidR="009C76E3" w:rsidRPr="00C706A5">
        <w:rPr>
          <w:rFonts w:ascii="Times New Roman" w:hAnsi="Times New Roman" w:cs="Times New Roman"/>
          <w:color w:val="000000" w:themeColor="text1"/>
        </w:rPr>
        <w:t>,</w:t>
      </w:r>
      <w:r w:rsidR="00634C05">
        <w:rPr>
          <w:rFonts w:ascii="Times New Roman" w:hAnsi="Times New Roman" w:cs="Times New Roman"/>
          <w:color w:val="000000" w:themeColor="text1"/>
        </w:rPr>
        <w:t>2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 un trimestre auparavant</w:t>
      </w:r>
      <w:r w:rsidR="005A7C0B" w:rsidRPr="00C706A5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A7C0B" w:rsidRPr="00C706A5">
        <w:rPr>
          <w:rFonts w:ascii="Times New Roman" w:hAnsi="Times New Roman" w:cs="Times New Roman"/>
          <w:color w:val="000000" w:themeColor="text1"/>
        </w:rPr>
        <w:t xml:space="preserve"> et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C76E3" w:rsidRPr="00C706A5">
        <w:rPr>
          <w:rFonts w:ascii="Times New Roman" w:hAnsi="Times New Roman" w:cs="Times New Roman"/>
          <w:color w:val="000000" w:themeColor="text1"/>
        </w:rPr>
        <w:t>7</w:t>
      </w:r>
      <w:r w:rsidR="001347D2">
        <w:rPr>
          <w:rFonts w:ascii="Times New Roman" w:hAnsi="Times New Roman" w:cs="Times New Roman"/>
          <w:color w:val="000000" w:themeColor="text1"/>
        </w:rPr>
        <w:t>5</w:t>
      </w:r>
      <w:r w:rsidR="00BE269D" w:rsidRPr="00C706A5">
        <w:rPr>
          <w:rFonts w:ascii="Times New Roman" w:hAnsi="Times New Roman" w:cs="Times New Roman"/>
          <w:color w:val="000000" w:themeColor="text1"/>
        </w:rPr>
        <w:t>,</w:t>
      </w:r>
      <w:r w:rsidR="001347D2">
        <w:rPr>
          <w:rFonts w:ascii="Times New Roman" w:hAnsi="Times New Roman" w:cs="Times New Roman"/>
          <w:color w:val="000000" w:themeColor="text1"/>
        </w:rPr>
        <w:t>8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points le même trimestre de l’année passée. </w:t>
      </w:r>
    </w:p>
    <w:p w:rsidR="00430234" w:rsidRPr="00C706A5" w:rsidRDefault="00430234" w:rsidP="00BE269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  <w:rtl/>
        </w:rPr>
      </w:pPr>
    </w:p>
    <w:p w:rsidR="00E5224B" w:rsidRPr="00C706A5" w:rsidRDefault="001347D2" w:rsidP="001347D2">
      <w:pPr>
        <w:widowControl/>
        <w:tabs>
          <w:tab w:val="left" w:pos="567"/>
          <w:tab w:val="left" w:pos="709"/>
        </w:tabs>
        <w:spacing w:line="276" w:lineRule="auto"/>
        <w:jc w:val="center"/>
        <w:rPr>
          <w:rFonts w:ascii="Book Antiqua" w:hAnsi="Book Antiqua" w:cs="Times New Roman"/>
          <w:color w:val="000000" w:themeColor="text1"/>
        </w:rPr>
      </w:pPr>
      <w:r w:rsidRPr="001347D2">
        <w:rPr>
          <w:rFonts w:ascii="Book Antiqua" w:hAnsi="Book Antiqua" w:cs="Times New Roman"/>
          <w:noProof/>
          <w:color w:val="000000" w:themeColor="text1"/>
          <w:sz w:val="22"/>
          <w:szCs w:val="22"/>
        </w:rPr>
        <w:drawing>
          <wp:inline distT="0" distB="0" distL="0" distR="0">
            <wp:extent cx="6162675" cy="3171825"/>
            <wp:effectExtent l="19050" t="0" r="9525" b="0"/>
            <wp:docPr id="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F5E6A" w:rsidRPr="00C706A5" w:rsidRDefault="00D26D39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13767"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8D3806" w:rsidRPr="00C706A5" w:rsidRDefault="006F1D72" w:rsidP="008D3806">
      <w:pPr>
        <w:pStyle w:val="Paragraphedeliste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Ref379209308"/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Evolution des </w:t>
      </w:r>
      <w:r w:rsidR="00860E86" w:rsidRPr="00C706A5">
        <w:rPr>
          <w:rFonts w:ascii="Times New Roman" w:hAnsi="Times New Roman" w:cs="Times New Roman"/>
          <w:b/>
          <w:bCs/>
          <w:color w:val="000000" w:themeColor="text1"/>
        </w:rPr>
        <w:t>composantes de</w:t>
      </w: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l'ICM</w:t>
      </w:r>
      <w:bookmarkEnd w:id="0"/>
    </w:p>
    <w:p w:rsidR="008D3806" w:rsidRPr="00C706A5" w:rsidRDefault="008D3806" w:rsidP="008D3806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Cette évolution de l’ICM est le résultat des variations de ses différentes composantes. </w:t>
      </w:r>
    </w:p>
    <w:p w:rsidR="00912704" w:rsidRPr="00C706A5" w:rsidRDefault="005B1014" w:rsidP="00E62E41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02532B" w:rsidRPr="00C706A5">
        <w:rPr>
          <w:rFonts w:ascii="Times New Roman" w:hAnsi="Times New Roman" w:cs="Times New Roman"/>
          <w:b/>
          <w:bCs/>
          <w:color w:val="000000" w:themeColor="text1"/>
        </w:rPr>
        <w:t>Niveaux de vie</w:t>
      </w:r>
      <w:r w:rsidR="00B50EDD" w:rsidRPr="00C706A5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1B1130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62E41">
        <w:rPr>
          <w:rFonts w:ascii="Times New Roman" w:hAnsi="Times New Roman" w:cs="Times New Roman"/>
          <w:b/>
          <w:bCs/>
          <w:color w:val="000000" w:themeColor="text1"/>
        </w:rPr>
        <w:t>perspectives moins</w:t>
      </w:r>
      <w:r w:rsidR="002B7130">
        <w:rPr>
          <w:rFonts w:ascii="Times New Roman" w:hAnsi="Times New Roman" w:cs="Times New Roman"/>
          <w:b/>
          <w:bCs/>
          <w:color w:val="000000" w:themeColor="text1"/>
        </w:rPr>
        <w:t xml:space="preserve"> optimistes</w:t>
      </w:r>
    </w:p>
    <w:p w:rsidR="00122941" w:rsidRPr="00C706A5" w:rsidRDefault="00122941" w:rsidP="0026748C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Les </w:t>
      </w:r>
      <w:r w:rsidR="0026748C">
        <w:rPr>
          <w:rFonts w:ascii="Times New Roman" w:hAnsi="Times New Roman" w:cs="Times New Roman"/>
          <w:color w:val="000000" w:themeColor="text1"/>
        </w:rPr>
        <w:t>opini</w:t>
      </w:r>
      <w:r w:rsidRPr="00C706A5">
        <w:rPr>
          <w:rFonts w:ascii="Times New Roman" w:hAnsi="Times New Roman" w:cs="Times New Roman"/>
          <w:color w:val="000000" w:themeColor="text1"/>
        </w:rPr>
        <w:t xml:space="preserve">ons des ménages sur l’évolution passée du niveau de vie </w:t>
      </w:r>
      <w:r w:rsidR="002E5787">
        <w:rPr>
          <w:rFonts w:ascii="Times New Roman" w:hAnsi="Times New Roman" w:cs="Times New Roman"/>
          <w:color w:val="000000" w:themeColor="text1"/>
        </w:rPr>
        <w:t>ont</w:t>
      </w:r>
      <w:r w:rsidRPr="00C706A5">
        <w:rPr>
          <w:rFonts w:ascii="Times New Roman" w:hAnsi="Times New Roman" w:cs="Times New Roman"/>
          <w:color w:val="000000" w:themeColor="text1"/>
        </w:rPr>
        <w:t xml:space="preserve"> connu, au </w:t>
      </w:r>
      <w:r w:rsidR="0004211E">
        <w:rPr>
          <w:rFonts w:ascii="Times New Roman" w:hAnsi="Times New Roman" w:cs="Times New Roman"/>
          <w:color w:val="000000" w:themeColor="text1"/>
        </w:rPr>
        <w:t>premier trimestre</w:t>
      </w:r>
      <w:r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une amélioration aussi bien par rapport au trimestre précédent qu’au même trimestre de l’année </w:t>
      </w:r>
      <w:r w:rsidR="00D46521" w:rsidRPr="00C706A5">
        <w:rPr>
          <w:rFonts w:ascii="Times New Roman" w:hAnsi="Times New Roman" w:cs="Times New Roman"/>
          <w:color w:val="000000" w:themeColor="text1"/>
        </w:rPr>
        <w:t>201</w:t>
      </w:r>
      <w:r w:rsidR="00FF44FD">
        <w:rPr>
          <w:rFonts w:ascii="Times New Roman" w:hAnsi="Times New Roman" w:cs="Times New Roman"/>
          <w:color w:val="000000" w:themeColor="text1"/>
        </w:rPr>
        <w:t>3</w:t>
      </w:r>
      <w:r w:rsidRPr="00C706A5">
        <w:rPr>
          <w:rFonts w:ascii="Times New Roman" w:hAnsi="Times New Roman" w:cs="Times New Roman"/>
          <w:color w:val="000000" w:themeColor="text1"/>
        </w:rPr>
        <w:t xml:space="preserve">. </w:t>
      </w:r>
      <w:r w:rsidR="00137D7D" w:rsidRPr="00C706A5">
        <w:rPr>
          <w:rFonts w:ascii="Times New Roman" w:hAnsi="Times New Roman" w:cs="Times New Roman"/>
          <w:color w:val="000000" w:themeColor="text1"/>
        </w:rPr>
        <w:t>Le</w:t>
      </w:r>
      <w:r w:rsidRPr="00C706A5">
        <w:rPr>
          <w:rFonts w:ascii="Times New Roman" w:hAnsi="Times New Roman" w:cs="Times New Roman"/>
          <w:color w:val="000000" w:themeColor="text1"/>
        </w:rPr>
        <w:t xml:space="preserve"> solde relatif à cet indicateur</w:t>
      </w:r>
      <w:r w:rsidR="002E5787">
        <w:rPr>
          <w:rFonts w:ascii="Times New Roman" w:hAnsi="Times New Roman" w:cs="Times New Roman"/>
          <w:color w:val="000000" w:themeColor="text1"/>
        </w:rPr>
        <w:t>,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749D1">
        <w:rPr>
          <w:rFonts w:ascii="Times New Roman" w:hAnsi="Times New Roman" w:cs="Times New Roman"/>
          <w:color w:val="000000" w:themeColor="text1"/>
        </w:rPr>
        <w:t xml:space="preserve">qui </w:t>
      </w:r>
      <w:r w:rsidR="0041160A">
        <w:rPr>
          <w:rFonts w:ascii="Times New Roman" w:hAnsi="Times New Roman" w:cs="Times New Roman"/>
          <w:color w:val="000000" w:themeColor="text1"/>
        </w:rPr>
        <w:t xml:space="preserve">continue sa tendance </w:t>
      </w:r>
      <w:r w:rsidR="002E5787">
        <w:rPr>
          <w:rFonts w:ascii="Times New Roman" w:hAnsi="Times New Roman" w:cs="Times New Roman"/>
          <w:color w:val="000000" w:themeColor="text1"/>
        </w:rPr>
        <w:t>hauss</w:t>
      </w:r>
      <w:r w:rsidR="0041160A">
        <w:rPr>
          <w:rFonts w:ascii="Times New Roman" w:hAnsi="Times New Roman" w:cs="Times New Roman"/>
          <w:color w:val="000000" w:themeColor="text1"/>
        </w:rPr>
        <w:t>ière entamée depuis une année</w:t>
      </w:r>
      <w:r w:rsidR="004732C6">
        <w:rPr>
          <w:rFonts w:ascii="Times New Roman" w:hAnsi="Times New Roman" w:cs="Times New Roman"/>
          <w:color w:val="000000" w:themeColor="text1"/>
        </w:rPr>
        <w:t xml:space="preserve">, </w:t>
      </w:r>
      <w:r w:rsidR="0041160A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 gag</w:t>
      </w:r>
      <w:r w:rsidR="004732C6">
        <w:rPr>
          <w:rFonts w:ascii="Times New Roman" w:hAnsi="Times New Roman" w:cs="Times New Roman"/>
          <w:color w:val="000000" w:themeColor="text1"/>
        </w:rPr>
        <w:t>ne</w:t>
      </w:r>
      <w:r w:rsidRPr="00C706A5">
        <w:rPr>
          <w:rFonts w:ascii="Times New Roman" w:hAnsi="Times New Roman" w:cs="Times New Roman"/>
          <w:color w:val="000000" w:themeColor="text1"/>
        </w:rPr>
        <w:t xml:space="preserve"> 1,</w:t>
      </w:r>
      <w:r w:rsidR="003F107C">
        <w:rPr>
          <w:rFonts w:ascii="Times New Roman" w:hAnsi="Times New Roman" w:cs="Times New Roman"/>
          <w:color w:val="000000" w:themeColor="text1"/>
        </w:rPr>
        <w:t>8</w:t>
      </w:r>
      <w:r w:rsidRPr="00C706A5">
        <w:rPr>
          <w:rFonts w:ascii="Times New Roman" w:hAnsi="Times New Roman" w:cs="Times New Roman"/>
          <w:color w:val="000000" w:themeColor="text1"/>
        </w:rPr>
        <w:t xml:space="preserve"> point et </w:t>
      </w:r>
      <w:r w:rsidR="003F107C">
        <w:rPr>
          <w:rFonts w:ascii="Times New Roman" w:hAnsi="Times New Roman" w:cs="Times New Roman"/>
          <w:color w:val="000000" w:themeColor="text1"/>
        </w:rPr>
        <w:t>11</w:t>
      </w:r>
      <w:r w:rsidRPr="00C706A5">
        <w:rPr>
          <w:rFonts w:ascii="Times New Roman" w:hAnsi="Times New Roman" w:cs="Times New Roman"/>
          <w:color w:val="000000" w:themeColor="text1"/>
        </w:rPr>
        <w:t>,</w:t>
      </w:r>
      <w:r w:rsidR="001F6A9C">
        <w:rPr>
          <w:rFonts w:ascii="Times New Roman" w:hAnsi="Times New Roman" w:cs="Times New Roman"/>
          <w:color w:val="000000" w:themeColor="text1"/>
        </w:rPr>
        <w:t>1</w:t>
      </w:r>
      <w:r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354A18" w:rsidRPr="00C706A5">
        <w:rPr>
          <w:rFonts w:ascii="Times New Roman" w:hAnsi="Times New Roman" w:cs="Times New Roman"/>
          <w:color w:val="000000" w:themeColor="text1"/>
        </w:rPr>
        <w:t xml:space="preserve"> durant ces deux périodes </w:t>
      </w:r>
      <w:r w:rsidR="00862AF0" w:rsidRPr="00C706A5">
        <w:rPr>
          <w:rFonts w:ascii="Times New Roman" w:hAnsi="Times New Roman" w:cs="Times New Roman"/>
          <w:color w:val="000000" w:themeColor="text1"/>
        </w:rPr>
        <w:t>respectives</w:t>
      </w:r>
      <w:r w:rsidRPr="00C706A5">
        <w:rPr>
          <w:rFonts w:ascii="Times New Roman" w:hAnsi="Times New Roman" w:cs="Times New Roman"/>
          <w:color w:val="000000" w:themeColor="text1"/>
        </w:rPr>
        <w:t>.</w:t>
      </w:r>
    </w:p>
    <w:p w:rsidR="00761A82" w:rsidRPr="00C706A5" w:rsidRDefault="00E94716" w:rsidP="00266110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Inversement, l</w:t>
      </w:r>
      <w:r w:rsidRPr="00C706A5">
        <w:rPr>
          <w:rFonts w:ascii="Times New Roman" w:hAnsi="Times New Roman" w:cs="Times New Roman"/>
          <w:color w:val="000000" w:themeColor="text1"/>
        </w:rPr>
        <w:t>e</w:t>
      </w:r>
      <w:r w:rsidR="00897342">
        <w:rPr>
          <w:rFonts w:ascii="Times New Roman" w:hAnsi="Times New Roman" w:cs="Times New Roman"/>
          <w:color w:val="000000" w:themeColor="text1"/>
        </w:rPr>
        <w:t xml:space="preserve">s perceptions des ménages relatives à l’évolution future </w:t>
      </w:r>
      <w:r w:rsidR="00897342" w:rsidRPr="00C706A5">
        <w:rPr>
          <w:rFonts w:ascii="Times New Roman" w:hAnsi="Times New Roman" w:cs="Times New Roman"/>
          <w:color w:val="000000" w:themeColor="text1"/>
        </w:rPr>
        <w:t>de niveau de vie</w:t>
      </w:r>
      <w:r w:rsidR="00897342">
        <w:rPr>
          <w:rFonts w:ascii="Times New Roman" w:hAnsi="Times New Roman" w:cs="Times New Roman"/>
          <w:color w:val="000000" w:themeColor="text1"/>
        </w:rPr>
        <w:t xml:space="preserve"> se </w:t>
      </w:r>
      <w:r w:rsidR="00266110">
        <w:rPr>
          <w:rFonts w:ascii="Times New Roman" w:hAnsi="Times New Roman" w:cs="Times New Roman"/>
          <w:color w:val="000000" w:themeColor="text1"/>
        </w:rPr>
        <w:t xml:space="preserve">sont </w:t>
      </w:r>
      <w:r w:rsidR="00897342">
        <w:rPr>
          <w:rFonts w:ascii="Times New Roman" w:hAnsi="Times New Roman" w:cs="Times New Roman"/>
          <w:color w:val="000000" w:themeColor="text1"/>
        </w:rPr>
        <w:t>dégrad</w:t>
      </w:r>
      <w:r w:rsidR="00266110">
        <w:rPr>
          <w:rFonts w:ascii="Times New Roman" w:hAnsi="Times New Roman" w:cs="Times New Roman"/>
          <w:color w:val="000000" w:themeColor="text1"/>
        </w:rPr>
        <w:t>ées</w:t>
      </w:r>
      <w:r w:rsidR="00897342">
        <w:rPr>
          <w:rFonts w:ascii="Times New Roman" w:hAnsi="Times New Roman" w:cs="Times New Roman"/>
          <w:color w:val="000000" w:themeColor="text1"/>
        </w:rPr>
        <w:t xml:space="preserve">. Le </w:t>
      </w:r>
      <w:r w:rsidRPr="00C706A5">
        <w:rPr>
          <w:rFonts w:ascii="Times New Roman" w:hAnsi="Times New Roman" w:cs="Times New Roman"/>
          <w:color w:val="000000" w:themeColor="text1"/>
        </w:rPr>
        <w:t xml:space="preserve">solde </w:t>
      </w:r>
      <w:r w:rsidR="00897342">
        <w:rPr>
          <w:rFonts w:ascii="Times New Roman" w:hAnsi="Times New Roman" w:cs="Times New Roman"/>
          <w:color w:val="000000" w:themeColor="text1"/>
        </w:rPr>
        <w:t xml:space="preserve">synthétisant cet indicateur </w:t>
      </w:r>
      <w:r w:rsidR="004A590B" w:rsidRPr="00C706A5">
        <w:rPr>
          <w:rFonts w:ascii="Times New Roman" w:hAnsi="Times New Roman" w:cs="Times New Roman"/>
          <w:color w:val="000000" w:themeColor="text1"/>
        </w:rPr>
        <w:t>enregistre</w:t>
      </w:r>
      <w:r w:rsidR="00897342">
        <w:rPr>
          <w:rFonts w:ascii="Times New Roman" w:hAnsi="Times New Roman" w:cs="Times New Roman"/>
          <w:color w:val="000000" w:themeColor="text1"/>
        </w:rPr>
        <w:t>,</w:t>
      </w:r>
      <w:r w:rsidR="004A590B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897342">
        <w:rPr>
          <w:rFonts w:ascii="Times New Roman" w:hAnsi="Times New Roman" w:cs="Times New Roman"/>
          <w:color w:val="000000" w:themeColor="text1"/>
        </w:rPr>
        <w:t xml:space="preserve">en effet, </w:t>
      </w:r>
      <w:r w:rsidR="00753AB7" w:rsidRPr="00C706A5">
        <w:rPr>
          <w:rFonts w:ascii="Times New Roman" w:hAnsi="Times New Roman" w:cs="Times New Roman"/>
          <w:color w:val="000000" w:themeColor="text1"/>
        </w:rPr>
        <w:t xml:space="preserve">une </w:t>
      </w:r>
      <w:r w:rsidR="00F86EAC" w:rsidRPr="00C706A5">
        <w:rPr>
          <w:rFonts w:ascii="Times New Roman" w:hAnsi="Times New Roman" w:cs="Times New Roman"/>
          <w:color w:val="000000" w:themeColor="text1"/>
        </w:rPr>
        <w:t>baisse</w:t>
      </w:r>
      <w:r w:rsidR="00753AB7"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2B74FD">
        <w:rPr>
          <w:rFonts w:ascii="Times New Roman" w:hAnsi="Times New Roman" w:cs="Times New Roman"/>
          <w:color w:val="000000" w:themeColor="text1"/>
        </w:rPr>
        <w:t>3</w:t>
      </w:r>
      <w:r w:rsidR="00753AB7" w:rsidRPr="00C706A5">
        <w:rPr>
          <w:rFonts w:ascii="Times New Roman" w:hAnsi="Times New Roman" w:cs="Times New Roman"/>
          <w:color w:val="000000" w:themeColor="text1"/>
        </w:rPr>
        <w:t>,</w:t>
      </w:r>
      <w:r w:rsidR="002B74FD">
        <w:rPr>
          <w:rFonts w:ascii="Times New Roman" w:hAnsi="Times New Roman" w:cs="Times New Roman"/>
          <w:color w:val="000000" w:themeColor="text1"/>
        </w:rPr>
        <w:t>5</w:t>
      </w:r>
      <w:r w:rsidR="00753AB7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F86EAC" w:rsidRPr="00C706A5">
        <w:rPr>
          <w:rFonts w:ascii="Times New Roman" w:hAnsi="Times New Roman" w:cs="Times New Roman"/>
          <w:color w:val="000000" w:themeColor="text1"/>
        </w:rPr>
        <w:t>s</w:t>
      </w:r>
      <w:r w:rsidR="00761A82" w:rsidRPr="00C706A5">
        <w:rPr>
          <w:rFonts w:ascii="Times New Roman" w:hAnsi="Times New Roman" w:cs="Times New Roman"/>
          <w:color w:val="000000" w:themeColor="text1"/>
        </w:rPr>
        <w:t xml:space="preserve"> p</w:t>
      </w:r>
      <w:r w:rsidR="00C077F1" w:rsidRPr="00C706A5">
        <w:rPr>
          <w:rFonts w:ascii="Times New Roman" w:hAnsi="Times New Roman" w:cs="Times New Roman"/>
          <w:color w:val="000000" w:themeColor="text1"/>
        </w:rPr>
        <w:t>ar rapport</w:t>
      </w:r>
      <w:r w:rsidR="00761A82" w:rsidRPr="00C706A5">
        <w:rPr>
          <w:rFonts w:ascii="Times New Roman" w:hAnsi="Times New Roman" w:cs="Times New Roman"/>
          <w:color w:val="000000" w:themeColor="text1"/>
        </w:rPr>
        <w:t xml:space="preserve"> au trimestre précédent </w:t>
      </w:r>
      <w:r w:rsidR="00F625E1" w:rsidRPr="00C706A5">
        <w:rPr>
          <w:rFonts w:ascii="Times New Roman" w:hAnsi="Times New Roman" w:cs="Times New Roman"/>
          <w:color w:val="000000" w:themeColor="text1"/>
        </w:rPr>
        <w:t>et</w:t>
      </w:r>
      <w:r w:rsidR="00761A82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F86EAC" w:rsidRPr="00C706A5">
        <w:rPr>
          <w:rFonts w:ascii="Times New Roman" w:hAnsi="Times New Roman" w:cs="Times New Roman"/>
          <w:color w:val="000000" w:themeColor="text1"/>
        </w:rPr>
        <w:t>de 6,</w:t>
      </w:r>
      <w:r w:rsidR="002B74FD">
        <w:rPr>
          <w:rFonts w:ascii="Times New Roman" w:hAnsi="Times New Roman" w:cs="Times New Roman"/>
          <w:color w:val="000000" w:themeColor="text1"/>
        </w:rPr>
        <w:t>3</w:t>
      </w:r>
      <w:r w:rsidR="00F86EAC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761A82" w:rsidRPr="00C706A5">
        <w:rPr>
          <w:rFonts w:ascii="Times New Roman" w:hAnsi="Times New Roman" w:cs="Times New Roman"/>
          <w:color w:val="000000" w:themeColor="text1"/>
        </w:rPr>
        <w:t>point</w:t>
      </w:r>
      <w:r w:rsidR="00F86EAC" w:rsidRPr="00C706A5">
        <w:rPr>
          <w:rFonts w:ascii="Times New Roman" w:hAnsi="Times New Roman" w:cs="Times New Roman"/>
          <w:color w:val="000000" w:themeColor="text1"/>
        </w:rPr>
        <w:t>s</w:t>
      </w:r>
      <w:r w:rsidR="00761A82" w:rsidRPr="00C706A5">
        <w:rPr>
          <w:rFonts w:ascii="Times New Roman" w:hAnsi="Times New Roman" w:cs="Times New Roman"/>
          <w:color w:val="000000" w:themeColor="text1"/>
        </w:rPr>
        <w:t xml:space="preserve"> par rapport à la même période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761A82" w:rsidRPr="00C706A5">
        <w:rPr>
          <w:rFonts w:ascii="Times New Roman" w:hAnsi="Times New Roman" w:cs="Times New Roman"/>
          <w:color w:val="000000" w:themeColor="text1"/>
        </w:rPr>
        <w:t>.</w:t>
      </w:r>
    </w:p>
    <w:p w:rsidR="00DB5B40" w:rsidRPr="00C706A5" w:rsidRDefault="00DB5B40" w:rsidP="00DB5B4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2695A" w:rsidRPr="00C706A5" w:rsidRDefault="004872D2" w:rsidP="004660F5">
      <w:pPr>
        <w:widowControl/>
        <w:spacing w:line="276" w:lineRule="auto"/>
        <w:jc w:val="center"/>
        <w:rPr>
          <w:rFonts w:ascii="Book Antiqua" w:hAnsi="Book Antiqua" w:cs="Times New Roman"/>
          <w:color w:val="000000" w:themeColor="text1"/>
          <w:rtl/>
        </w:rPr>
      </w:pPr>
      <w:r w:rsidRPr="004872D2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5872867" cy="3289935"/>
            <wp:effectExtent l="19050" t="0" r="13583" b="5715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D1AAF" w:rsidRPr="00C706A5" w:rsidRDefault="008D1AAF" w:rsidP="0023094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C5954" w:rsidRPr="00C706A5" w:rsidRDefault="002C5954" w:rsidP="00DC5A3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• </w:t>
      </w:r>
      <w:r w:rsidR="006F0E4F" w:rsidRPr="00C706A5">
        <w:rPr>
          <w:rFonts w:ascii="Times New Roman" w:hAnsi="Times New Roman" w:cs="Times New Roman"/>
          <w:b/>
          <w:bCs/>
          <w:color w:val="000000" w:themeColor="text1"/>
        </w:rPr>
        <w:t>C</w:t>
      </w:r>
      <w:r w:rsidR="000A40C3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hômage : </w:t>
      </w:r>
      <w:r w:rsidR="000836A6">
        <w:rPr>
          <w:rFonts w:ascii="Times New Roman" w:hAnsi="Times New Roman" w:cs="Times New Roman"/>
          <w:b/>
          <w:bCs/>
          <w:color w:val="000000" w:themeColor="text1"/>
        </w:rPr>
        <w:t>une hausse</w:t>
      </w:r>
      <w:r w:rsidR="00DC5A31" w:rsidRPr="00DC5A31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DC5A31" w:rsidRPr="00C706A5">
        <w:rPr>
          <w:rFonts w:ascii="Times New Roman" w:hAnsi="Times New Roman" w:cs="Times New Roman"/>
          <w:b/>
          <w:bCs/>
          <w:color w:val="000000" w:themeColor="text1"/>
        </w:rPr>
        <w:t>anticip</w:t>
      </w:r>
      <w:r w:rsidR="00DC5A31">
        <w:rPr>
          <w:rFonts w:ascii="Times New Roman" w:hAnsi="Times New Roman" w:cs="Times New Roman"/>
          <w:b/>
          <w:bCs/>
          <w:color w:val="000000" w:themeColor="text1"/>
        </w:rPr>
        <w:t>ée</w:t>
      </w:r>
    </w:p>
    <w:p w:rsidR="00E6458A" w:rsidRDefault="00C553B5" w:rsidP="00B600A7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04211E">
        <w:rPr>
          <w:rFonts w:ascii="Times New Roman" w:hAnsi="Times New Roman" w:cs="Times New Roman"/>
          <w:color w:val="000000" w:themeColor="text1"/>
        </w:rPr>
        <w:t>premier trimestre</w:t>
      </w:r>
      <w:r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>, 7</w:t>
      </w:r>
      <w:r w:rsidR="001B69A3">
        <w:rPr>
          <w:rFonts w:ascii="Times New Roman" w:hAnsi="Times New Roman" w:cs="Times New Roman"/>
          <w:color w:val="000000" w:themeColor="text1"/>
        </w:rPr>
        <w:t>7</w:t>
      </w:r>
      <w:r w:rsidR="0064120B" w:rsidRPr="00C706A5">
        <w:rPr>
          <w:rFonts w:ascii="Times New Roman" w:hAnsi="Times New Roman" w:cs="Times New Roman"/>
          <w:color w:val="000000" w:themeColor="text1"/>
        </w:rPr>
        <w:t>,4</w:t>
      </w:r>
      <w:r w:rsidRPr="00C706A5">
        <w:rPr>
          <w:rFonts w:ascii="Times New Roman" w:hAnsi="Times New Roman" w:cs="Times New Roman"/>
          <w:color w:val="000000" w:themeColor="text1"/>
        </w:rPr>
        <w:t xml:space="preserve">% des ménages anticipent une hausse du nombre de chômeurs pour les 12 mois à venir contre </w:t>
      </w:r>
      <w:r w:rsidR="001B69A3">
        <w:rPr>
          <w:rFonts w:ascii="Times New Roman" w:hAnsi="Times New Roman" w:cs="Times New Roman"/>
          <w:color w:val="000000" w:themeColor="text1"/>
        </w:rPr>
        <w:t>75,4</w:t>
      </w:r>
      <w:r w:rsidR="00842AB8" w:rsidRPr="00C706A5">
        <w:rPr>
          <w:rFonts w:ascii="Times New Roman" w:hAnsi="Times New Roman" w:cs="Times New Roman"/>
          <w:color w:val="000000" w:themeColor="text1"/>
        </w:rPr>
        <w:t xml:space="preserve">% un trimestre auparavant et </w:t>
      </w:r>
      <w:r w:rsidR="0064120B" w:rsidRPr="00C706A5">
        <w:rPr>
          <w:rFonts w:ascii="Times New Roman" w:hAnsi="Times New Roman" w:cs="Times New Roman"/>
          <w:color w:val="000000" w:themeColor="text1"/>
        </w:rPr>
        <w:t>7</w:t>
      </w:r>
      <w:r w:rsidR="001B69A3">
        <w:rPr>
          <w:rFonts w:ascii="Times New Roman" w:hAnsi="Times New Roman" w:cs="Times New Roman"/>
          <w:color w:val="000000" w:themeColor="text1"/>
        </w:rPr>
        <w:t>2</w:t>
      </w:r>
      <w:r w:rsidR="00842AB8" w:rsidRPr="00C706A5">
        <w:rPr>
          <w:rFonts w:ascii="Times New Roman" w:hAnsi="Times New Roman" w:cs="Times New Roman"/>
          <w:color w:val="000000" w:themeColor="text1"/>
        </w:rPr>
        <w:t>,</w:t>
      </w:r>
      <w:r w:rsidR="001B69A3">
        <w:rPr>
          <w:rFonts w:ascii="Times New Roman" w:hAnsi="Times New Roman" w:cs="Times New Roman"/>
          <w:color w:val="000000" w:themeColor="text1"/>
        </w:rPr>
        <w:t>4</w:t>
      </w:r>
      <w:r w:rsidR="00842AB8" w:rsidRPr="00C706A5">
        <w:rPr>
          <w:rFonts w:ascii="Times New Roman" w:hAnsi="Times New Roman" w:cs="Times New Roman"/>
          <w:color w:val="000000" w:themeColor="text1"/>
        </w:rPr>
        <w:t xml:space="preserve">% un an auparavant. </w:t>
      </w:r>
      <w:r w:rsidR="00B600A7">
        <w:rPr>
          <w:rFonts w:ascii="Times New Roman" w:hAnsi="Times New Roman" w:cs="Times New Roman"/>
          <w:color w:val="000000" w:themeColor="text1"/>
        </w:rPr>
        <w:t>Ainsi, l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e solde de cet indicateur </w:t>
      </w:r>
      <w:r w:rsidR="009A19F3" w:rsidRPr="00C706A5">
        <w:rPr>
          <w:rFonts w:ascii="Times New Roman" w:hAnsi="Times New Roman" w:cs="Times New Roman"/>
          <w:color w:val="000000" w:themeColor="text1"/>
        </w:rPr>
        <w:t>qui s’établi</w:t>
      </w:r>
      <w:r w:rsidR="00B600A7">
        <w:rPr>
          <w:rFonts w:ascii="Times New Roman" w:hAnsi="Times New Roman" w:cs="Times New Roman"/>
          <w:color w:val="000000" w:themeColor="text1"/>
        </w:rPr>
        <w:t xml:space="preserve">ssait </w:t>
      </w:r>
      <w:r w:rsidR="001F5D34" w:rsidRPr="00C706A5">
        <w:rPr>
          <w:rFonts w:ascii="Times New Roman" w:hAnsi="Times New Roman" w:cs="Times New Roman"/>
          <w:color w:val="000000" w:themeColor="text1"/>
        </w:rPr>
        <w:t xml:space="preserve">à </w:t>
      </w:r>
      <w:r w:rsidR="00B600A7">
        <w:rPr>
          <w:rFonts w:ascii="Times New Roman" w:hAnsi="Times New Roman" w:cs="Times New Roman"/>
          <w:color w:val="000000" w:themeColor="text1"/>
        </w:rPr>
        <w:t xml:space="preserve">un niveau négatif de </w:t>
      </w:r>
      <w:r w:rsidR="009A19F3" w:rsidRPr="00C706A5">
        <w:rPr>
          <w:rFonts w:ascii="Times New Roman" w:hAnsi="Times New Roman" w:cs="Times New Roman"/>
          <w:color w:val="000000" w:themeColor="text1"/>
        </w:rPr>
        <w:t>-6</w:t>
      </w:r>
      <w:r w:rsidR="00117F82">
        <w:rPr>
          <w:rFonts w:ascii="Times New Roman" w:hAnsi="Times New Roman" w:cs="Times New Roman"/>
          <w:color w:val="000000" w:themeColor="text1"/>
        </w:rPr>
        <w:t>9</w:t>
      </w:r>
      <w:r w:rsidR="009A19F3" w:rsidRPr="00C706A5">
        <w:rPr>
          <w:rFonts w:ascii="Times New Roman" w:hAnsi="Times New Roman" w:cs="Times New Roman"/>
          <w:color w:val="000000" w:themeColor="text1"/>
        </w:rPr>
        <w:t>,</w:t>
      </w:r>
      <w:r w:rsidR="00117F82">
        <w:rPr>
          <w:rFonts w:ascii="Times New Roman" w:hAnsi="Times New Roman" w:cs="Times New Roman"/>
          <w:color w:val="000000" w:themeColor="text1"/>
        </w:rPr>
        <w:t>1</w:t>
      </w:r>
      <w:r w:rsidR="009A19F3"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8D380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>enregistr</w:t>
      </w:r>
      <w:r w:rsidR="001F5D34" w:rsidRPr="00C706A5">
        <w:rPr>
          <w:rFonts w:ascii="Times New Roman" w:hAnsi="Times New Roman" w:cs="Times New Roman"/>
          <w:color w:val="000000" w:themeColor="text1"/>
        </w:rPr>
        <w:t>e</w:t>
      </w:r>
      <w:r w:rsidR="009A19F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une </w:t>
      </w:r>
      <w:r w:rsidR="001254E5">
        <w:rPr>
          <w:rFonts w:ascii="Times New Roman" w:hAnsi="Times New Roman" w:cs="Times New Roman"/>
          <w:color w:val="000000" w:themeColor="text1"/>
        </w:rPr>
        <w:t>baisse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1254E5">
        <w:rPr>
          <w:rFonts w:ascii="Times New Roman" w:hAnsi="Times New Roman" w:cs="Times New Roman"/>
          <w:color w:val="000000" w:themeColor="text1"/>
        </w:rPr>
        <w:t>0</w:t>
      </w:r>
      <w:r w:rsidR="00D85054" w:rsidRPr="00C706A5">
        <w:rPr>
          <w:rFonts w:ascii="Times New Roman" w:hAnsi="Times New Roman" w:cs="Times New Roman"/>
          <w:color w:val="000000" w:themeColor="text1"/>
        </w:rPr>
        <w:t>,</w:t>
      </w:r>
      <w:r w:rsidR="001254E5">
        <w:rPr>
          <w:rFonts w:ascii="Times New Roman" w:hAnsi="Times New Roman" w:cs="Times New Roman"/>
          <w:color w:val="000000" w:themeColor="text1"/>
        </w:rPr>
        <w:t>9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 point par rapport au trimestre précédent </w:t>
      </w:r>
      <w:r w:rsidR="004F1AD1" w:rsidRPr="00C706A5">
        <w:rPr>
          <w:rFonts w:ascii="Times New Roman" w:hAnsi="Times New Roman" w:cs="Times New Roman"/>
          <w:color w:val="000000" w:themeColor="text1"/>
        </w:rPr>
        <w:t>et</w:t>
      </w:r>
      <w:r w:rsidR="00D8505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1254E5">
        <w:rPr>
          <w:rFonts w:ascii="Times New Roman" w:hAnsi="Times New Roman" w:cs="Times New Roman"/>
          <w:color w:val="000000" w:themeColor="text1"/>
        </w:rPr>
        <w:t>7</w:t>
      </w:r>
      <w:r w:rsidR="00D85054" w:rsidRPr="00C706A5">
        <w:rPr>
          <w:rFonts w:ascii="Times New Roman" w:hAnsi="Times New Roman" w:cs="Times New Roman"/>
          <w:color w:val="000000" w:themeColor="text1"/>
        </w:rPr>
        <w:t>,</w:t>
      </w:r>
      <w:r w:rsidR="001254E5">
        <w:rPr>
          <w:rFonts w:ascii="Times New Roman" w:hAnsi="Times New Roman" w:cs="Times New Roman"/>
          <w:color w:val="000000" w:themeColor="text1"/>
        </w:rPr>
        <w:t>4</w:t>
      </w:r>
      <w:r w:rsidR="00D8505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3F54" w:rsidRPr="00C706A5">
        <w:rPr>
          <w:rFonts w:ascii="Times New Roman" w:hAnsi="Times New Roman" w:cs="Times New Roman"/>
          <w:color w:val="000000" w:themeColor="text1"/>
        </w:rPr>
        <w:t xml:space="preserve">points par rapport à la même période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003F54" w:rsidRPr="00C706A5">
        <w:rPr>
          <w:rFonts w:ascii="Times New Roman" w:hAnsi="Times New Roman" w:cs="Times New Roman"/>
          <w:color w:val="000000" w:themeColor="text1"/>
        </w:rPr>
        <w:t>.</w:t>
      </w:r>
    </w:p>
    <w:p w:rsidR="00F12B69" w:rsidRPr="00C706A5" w:rsidRDefault="00F12B69" w:rsidP="00F12B69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6458A" w:rsidRPr="00C706A5" w:rsidRDefault="000836A6" w:rsidP="000518A6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0836A6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6216705" cy="2552368"/>
            <wp:effectExtent l="19050" t="0" r="12645" b="332"/>
            <wp:docPr id="10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2B69" w:rsidRDefault="00F12B69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F12B69" w:rsidRDefault="00F12B69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8325C4" w:rsidRDefault="008325C4" w:rsidP="00F12B6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3F0597" w:rsidRPr="00F12B69" w:rsidRDefault="001B2334" w:rsidP="00F44CD1">
      <w:pPr>
        <w:pStyle w:val="Paragraphedeliste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F12B69">
        <w:rPr>
          <w:rFonts w:ascii="Times New Roman" w:hAnsi="Times New Roman" w:cs="Times New Roman"/>
          <w:b/>
          <w:bCs/>
          <w:color w:val="000000" w:themeColor="text1"/>
        </w:rPr>
        <w:lastRenderedPageBreak/>
        <w:t>Achat de bien</w:t>
      </w:r>
      <w:r w:rsidR="003E7485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F12B69">
        <w:rPr>
          <w:rFonts w:ascii="Times New Roman" w:hAnsi="Times New Roman" w:cs="Times New Roman"/>
          <w:b/>
          <w:bCs/>
          <w:color w:val="000000" w:themeColor="text1"/>
        </w:rPr>
        <w:t xml:space="preserve"> durable</w:t>
      </w:r>
      <w:r w:rsidR="003E7485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F12B69">
        <w:rPr>
          <w:rFonts w:ascii="Times New Roman" w:hAnsi="Times New Roman" w:cs="Times New Roman"/>
          <w:b/>
          <w:bCs/>
          <w:color w:val="000000" w:themeColor="text1"/>
        </w:rPr>
        <w:t xml:space="preserve"> : </w:t>
      </w:r>
      <w:r w:rsidR="000518A6" w:rsidRPr="00F12B69">
        <w:rPr>
          <w:rFonts w:ascii="Times New Roman" w:hAnsi="Times New Roman" w:cs="Times New Roman"/>
          <w:b/>
          <w:bCs/>
          <w:color w:val="000000" w:themeColor="text1"/>
        </w:rPr>
        <w:t>le m</w:t>
      </w:r>
      <w:r w:rsidR="00311292" w:rsidRPr="00F12B69">
        <w:rPr>
          <w:rFonts w:ascii="Times New Roman" w:hAnsi="Times New Roman" w:cs="Times New Roman"/>
          <w:b/>
          <w:bCs/>
          <w:color w:val="000000" w:themeColor="text1"/>
        </w:rPr>
        <w:t xml:space="preserve">oment </w:t>
      </w:r>
      <w:r w:rsidR="00F44CD1">
        <w:rPr>
          <w:rFonts w:ascii="Times New Roman" w:hAnsi="Times New Roman" w:cs="Times New Roman"/>
          <w:b/>
          <w:bCs/>
          <w:color w:val="000000" w:themeColor="text1"/>
        </w:rPr>
        <w:t xml:space="preserve">serait </w:t>
      </w:r>
      <w:r w:rsidR="00311292" w:rsidRPr="00F12B69">
        <w:rPr>
          <w:rFonts w:ascii="Times New Roman" w:hAnsi="Times New Roman" w:cs="Times New Roman"/>
          <w:b/>
          <w:bCs/>
          <w:color w:val="000000" w:themeColor="text1"/>
        </w:rPr>
        <w:t xml:space="preserve">inopportun </w:t>
      </w:r>
    </w:p>
    <w:p w:rsidR="00233531" w:rsidRPr="00C706A5" w:rsidRDefault="00233531" w:rsidP="0023353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1672BD" w:rsidRPr="00C706A5" w:rsidRDefault="00996593" w:rsidP="00F24882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P</w:t>
      </w:r>
      <w:r w:rsidR="004E183B" w:rsidRPr="00C706A5">
        <w:rPr>
          <w:rFonts w:ascii="Times New Roman" w:hAnsi="Times New Roman" w:cs="Times New Roman"/>
          <w:color w:val="000000" w:themeColor="text1"/>
        </w:rPr>
        <w:t>rès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226A1" w:rsidRPr="00C706A5">
        <w:rPr>
          <w:rFonts w:ascii="Times New Roman" w:hAnsi="Times New Roman" w:cs="Times New Roman"/>
          <w:color w:val="000000" w:themeColor="text1"/>
        </w:rPr>
        <w:t>de 5</w:t>
      </w:r>
      <w:r w:rsidR="00F24882">
        <w:rPr>
          <w:rFonts w:ascii="Times New Roman" w:hAnsi="Times New Roman" w:cs="Times New Roman"/>
          <w:color w:val="000000" w:themeColor="text1"/>
        </w:rPr>
        <w:t>4</w:t>
      </w:r>
      <w:r w:rsidR="002226A1" w:rsidRPr="00C706A5">
        <w:rPr>
          <w:rFonts w:ascii="Times New Roman" w:hAnsi="Times New Roman" w:cs="Times New Roman"/>
          <w:color w:val="000000" w:themeColor="text1"/>
        </w:rPr>
        <w:t>% d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es ménages marocains </w:t>
      </w:r>
      <w:r w:rsidR="00E265E4" w:rsidRPr="00C706A5">
        <w:rPr>
          <w:rFonts w:ascii="Times New Roman" w:hAnsi="Times New Roman" w:cs="Times New Roman"/>
          <w:color w:val="000000" w:themeColor="text1"/>
        </w:rPr>
        <w:t>considèrent</w:t>
      </w:r>
      <w:r w:rsidR="002D2970" w:rsidRPr="00C706A5">
        <w:rPr>
          <w:rFonts w:ascii="Times New Roman" w:hAnsi="Times New Roman" w:cs="Times New Roman"/>
          <w:color w:val="000000" w:themeColor="text1"/>
        </w:rPr>
        <w:t>,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04211E">
        <w:rPr>
          <w:rFonts w:ascii="Times New Roman" w:hAnsi="Times New Roman" w:cs="Times New Roman"/>
          <w:color w:val="000000" w:themeColor="text1"/>
        </w:rPr>
        <w:t>premier trimestre</w:t>
      </w:r>
      <w:r w:rsidR="00370A6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="002D2970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0F6CE8" w:rsidRPr="00C706A5">
        <w:rPr>
          <w:rFonts w:ascii="Times New Roman" w:hAnsi="Times New Roman" w:cs="Times New Roman"/>
          <w:color w:val="000000" w:themeColor="text1"/>
        </w:rPr>
        <w:t xml:space="preserve">que </w:t>
      </w:r>
      <w:r w:rsidR="0019435A" w:rsidRPr="00C706A5">
        <w:rPr>
          <w:rFonts w:ascii="Times New Roman" w:hAnsi="Times New Roman" w:cs="Times New Roman"/>
          <w:color w:val="000000" w:themeColor="text1"/>
        </w:rPr>
        <w:t xml:space="preserve">le moment </w:t>
      </w:r>
      <w:r w:rsidR="00E265E4" w:rsidRPr="00C706A5">
        <w:rPr>
          <w:rFonts w:ascii="Times New Roman" w:hAnsi="Times New Roman" w:cs="Times New Roman"/>
          <w:color w:val="000000" w:themeColor="text1"/>
        </w:rPr>
        <w:t xml:space="preserve">n’est pas 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opportun </w:t>
      </w:r>
      <w:r w:rsidR="00A7325E" w:rsidRPr="00C706A5">
        <w:rPr>
          <w:rFonts w:ascii="Times New Roman" w:hAnsi="Times New Roman" w:cs="Times New Roman"/>
          <w:color w:val="000000" w:themeColor="text1"/>
        </w:rPr>
        <w:t>pour</w:t>
      </w:r>
      <w:r w:rsidR="00E9062C" w:rsidRPr="00C706A5">
        <w:rPr>
          <w:rFonts w:ascii="Times New Roman" w:hAnsi="Times New Roman" w:cs="Times New Roman"/>
          <w:color w:val="000000" w:themeColor="text1"/>
        </w:rPr>
        <w:t xml:space="preserve"> faire des achats </w:t>
      </w:r>
      <w:r w:rsidR="0019435A" w:rsidRPr="00C706A5">
        <w:rPr>
          <w:rFonts w:ascii="Times New Roman" w:hAnsi="Times New Roman" w:cs="Times New Roman"/>
          <w:color w:val="000000" w:themeColor="text1"/>
        </w:rPr>
        <w:t>de biens durables</w:t>
      </w:r>
      <w:r w:rsidR="0009730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A2085" w:rsidRPr="00C706A5">
        <w:rPr>
          <w:rFonts w:ascii="Times New Roman" w:hAnsi="Times New Roman" w:cs="Times New Roman"/>
          <w:color w:val="000000" w:themeColor="text1"/>
        </w:rPr>
        <w:t>alors que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F24882">
        <w:rPr>
          <w:rFonts w:ascii="Times New Roman" w:hAnsi="Times New Roman" w:cs="Times New Roman"/>
          <w:color w:val="000000" w:themeColor="text1"/>
        </w:rPr>
        <w:t>22</w:t>
      </w:r>
      <w:r w:rsidR="00C334F9" w:rsidRPr="00C706A5">
        <w:rPr>
          <w:rFonts w:ascii="Times New Roman" w:hAnsi="Times New Roman" w:cs="Times New Roman"/>
          <w:color w:val="000000" w:themeColor="text1"/>
        </w:rPr>
        <w:t>,</w:t>
      </w:r>
      <w:r w:rsidR="00F24882">
        <w:rPr>
          <w:rFonts w:ascii="Times New Roman" w:hAnsi="Times New Roman" w:cs="Times New Roman"/>
          <w:color w:val="000000" w:themeColor="text1"/>
        </w:rPr>
        <w:t>3</w:t>
      </w:r>
      <w:r w:rsidR="00381490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097300" w:rsidRPr="00C706A5">
        <w:rPr>
          <w:rFonts w:ascii="Times New Roman" w:hAnsi="Times New Roman" w:cs="Times New Roman"/>
          <w:color w:val="000000" w:themeColor="text1"/>
        </w:rPr>
        <w:t>pens</w:t>
      </w:r>
      <w:r w:rsidR="00381490" w:rsidRPr="00C706A5">
        <w:rPr>
          <w:rFonts w:ascii="Times New Roman" w:hAnsi="Times New Roman" w:cs="Times New Roman"/>
          <w:color w:val="000000" w:themeColor="text1"/>
        </w:rPr>
        <w:t>ent le contraire</w:t>
      </w:r>
      <w:r w:rsidR="00C334F9" w:rsidRPr="00C706A5">
        <w:rPr>
          <w:rFonts w:ascii="Times New Roman" w:hAnsi="Times New Roman" w:cs="Times New Roman"/>
          <w:color w:val="000000" w:themeColor="text1"/>
        </w:rPr>
        <w:t xml:space="preserve">. </w:t>
      </w:r>
      <w:r w:rsidR="00671777" w:rsidRPr="00C706A5">
        <w:rPr>
          <w:rFonts w:ascii="Times New Roman" w:hAnsi="Times New Roman" w:cs="Times New Roman"/>
          <w:color w:val="000000" w:themeColor="text1"/>
        </w:rPr>
        <w:t>Avec -</w:t>
      </w:r>
      <w:r w:rsidR="004E183B" w:rsidRPr="00C706A5">
        <w:rPr>
          <w:rFonts w:ascii="Times New Roman" w:hAnsi="Times New Roman" w:cs="Times New Roman"/>
          <w:color w:val="000000" w:themeColor="text1"/>
        </w:rPr>
        <w:t>31</w:t>
      </w:r>
      <w:r w:rsidR="00671777" w:rsidRPr="00C706A5">
        <w:rPr>
          <w:rFonts w:ascii="Times New Roman" w:hAnsi="Times New Roman" w:cs="Times New Roman"/>
          <w:color w:val="000000" w:themeColor="text1"/>
        </w:rPr>
        <w:t>,</w:t>
      </w:r>
      <w:r w:rsidR="00F24882">
        <w:rPr>
          <w:rFonts w:ascii="Times New Roman" w:hAnsi="Times New Roman" w:cs="Times New Roman"/>
          <w:color w:val="000000" w:themeColor="text1"/>
        </w:rPr>
        <w:t>3</w:t>
      </w:r>
      <w:r w:rsidR="00671777" w:rsidRPr="00C706A5">
        <w:rPr>
          <w:rFonts w:ascii="Times New Roman" w:hAnsi="Times New Roman" w:cs="Times New Roman"/>
          <w:color w:val="000000" w:themeColor="text1"/>
        </w:rPr>
        <w:t xml:space="preserve"> points, l</w:t>
      </w:r>
      <w:r w:rsidR="00381490" w:rsidRPr="00C706A5">
        <w:rPr>
          <w:rFonts w:ascii="Times New Roman" w:hAnsi="Times New Roman" w:cs="Times New Roman"/>
          <w:color w:val="000000" w:themeColor="text1"/>
        </w:rPr>
        <w:t>e solde re</w:t>
      </w:r>
      <w:r w:rsidR="003C4254" w:rsidRPr="00C706A5">
        <w:rPr>
          <w:rFonts w:ascii="Times New Roman" w:hAnsi="Times New Roman" w:cs="Times New Roman"/>
          <w:color w:val="000000" w:themeColor="text1"/>
        </w:rPr>
        <w:t xml:space="preserve">latif à cet indicateur </w:t>
      </w:r>
      <w:r w:rsidR="004E183B" w:rsidRPr="00C706A5">
        <w:rPr>
          <w:rFonts w:ascii="Times New Roman" w:hAnsi="Times New Roman" w:cs="Times New Roman"/>
          <w:color w:val="000000" w:themeColor="text1"/>
        </w:rPr>
        <w:t xml:space="preserve">enregistre une </w:t>
      </w:r>
      <w:r w:rsidR="007C5542">
        <w:rPr>
          <w:rFonts w:ascii="Times New Roman" w:hAnsi="Times New Roman" w:cs="Times New Roman"/>
          <w:color w:val="000000" w:themeColor="text1"/>
        </w:rPr>
        <w:t xml:space="preserve">légère </w:t>
      </w:r>
      <w:r w:rsidR="00F24882">
        <w:rPr>
          <w:rFonts w:ascii="Times New Roman" w:hAnsi="Times New Roman" w:cs="Times New Roman"/>
          <w:color w:val="000000" w:themeColor="text1"/>
        </w:rPr>
        <w:t>amélioration</w:t>
      </w:r>
      <w:r w:rsidR="004E183B" w:rsidRPr="00C706A5">
        <w:rPr>
          <w:rFonts w:ascii="Times New Roman" w:hAnsi="Times New Roman" w:cs="Times New Roman"/>
          <w:color w:val="000000" w:themeColor="text1"/>
        </w:rPr>
        <w:t xml:space="preserve"> par rapport au trimestre précédent (</w:t>
      </w:r>
      <w:r w:rsidR="00777F87">
        <w:rPr>
          <w:rFonts w:ascii="Times New Roman" w:hAnsi="Times New Roman" w:cs="Times New Roman"/>
          <w:color w:val="000000" w:themeColor="text1"/>
        </w:rPr>
        <w:t>+</w:t>
      </w:r>
      <w:r w:rsidR="00F24882">
        <w:rPr>
          <w:rFonts w:ascii="Times New Roman" w:hAnsi="Times New Roman" w:cs="Times New Roman"/>
          <w:color w:val="000000" w:themeColor="text1"/>
        </w:rPr>
        <w:t>0,5</w:t>
      </w:r>
      <w:r w:rsidR="004E183B" w:rsidRPr="00C706A5">
        <w:rPr>
          <w:rFonts w:ascii="Times New Roman" w:hAnsi="Times New Roman" w:cs="Times New Roman"/>
          <w:color w:val="000000" w:themeColor="text1"/>
        </w:rPr>
        <w:t xml:space="preserve"> point) </w:t>
      </w:r>
      <w:r w:rsidR="00F24882">
        <w:rPr>
          <w:rFonts w:ascii="Times New Roman" w:hAnsi="Times New Roman" w:cs="Times New Roman"/>
          <w:color w:val="000000" w:themeColor="text1"/>
        </w:rPr>
        <w:t>et une détérioration par rapport a</w:t>
      </w:r>
      <w:r w:rsidR="004E183B" w:rsidRPr="00C706A5">
        <w:rPr>
          <w:rFonts w:ascii="Times New Roman" w:hAnsi="Times New Roman" w:cs="Times New Roman"/>
          <w:color w:val="000000" w:themeColor="text1"/>
        </w:rPr>
        <w:t>u même trimestre de l’année précédente (-</w:t>
      </w:r>
      <w:r w:rsidR="00F24882">
        <w:rPr>
          <w:rFonts w:ascii="Times New Roman" w:hAnsi="Times New Roman" w:cs="Times New Roman"/>
          <w:color w:val="000000" w:themeColor="text1"/>
        </w:rPr>
        <w:t>3</w:t>
      </w:r>
      <w:r w:rsidR="004E183B" w:rsidRPr="00C706A5">
        <w:rPr>
          <w:rFonts w:ascii="Times New Roman" w:hAnsi="Times New Roman" w:cs="Times New Roman"/>
          <w:color w:val="000000" w:themeColor="text1"/>
        </w:rPr>
        <w:t xml:space="preserve"> points)</w:t>
      </w:r>
      <w:r w:rsidR="00FD2441" w:rsidRPr="00C706A5">
        <w:rPr>
          <w:rFonts w:ascii="Times New Roman" w:hAnsi="Times New Roman" w:cs="Times New Roman"/>
          <w:color w:val="000000" w:themeColor="text1"/>
        </w:rPr>
        <w:t>.</w:t>
      </w:r>
      <w:r w:rsidR="003C4254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FD2441" w:rsidRPr="00C706A5" w:rsidRDefault="00FD2441" w:rsidP="00FD2441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C473B" w:rsidRPr="00C706A5" w:rsidRDefault="005C473B" w:rsidP="00547601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62E23" w:rsidRPr="00C706A5" w:rsidRDefault="00B446BF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B446BF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6343650" cy="3143250"/>
            <wp:effectExtent l="19050" t="0" r="19050" b="0"/>
            <wp:docPr id="12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147DB" w:rsidRPr="00C706A5" w:rsidRDefault="00A147DB" w:rsidP="00B3621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222682" w:rsidRPr="00C706A5" w:rsidRDefault="00222682" w:rsidP="00450EFF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8F01C0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50EFF">
        <w:rPr>
          <w:rFonts w:ascii="Times New Roman" w:hAnsi="Times New Roman" w:cs="Times New Roman"/>
          <w:b/>
          <w:bCs/>
          <w:color w:val="000000" w:themeColor="text1"/>
        </w:rPr>
        <w:t>La s</w:t>
      </w:r>
      <w:r w:rsidR="00CE5396" w:rsidRPr="00C706A5">
        <w:rPr>
          <w:rFonts w:ascii="Times New Roman" w:hAnsi="Times New Roman" w:cs="Times New Roman"/>
          <w:b/>
          <w:bCs/>
          <w:color w:val="000000" w:themeColor="text1"/>
        </w:rPr>
        <w:t>ituation</w:t>
      </w:r>
      <w:r w:rsidR="00C12EDB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financière des </w:t>
      </w:r>
      <w:r w:rsidR="0078348A" w:rsidRPr="00C706A5">
        <w:rPr>
          <w:rFonts w:ascii="Times New Roman" w:hAnsi="Times New Roman" w:cs="Times New Roman"/>
          <w:b/>
          <w:bCs/>
          <w:color w:val="000000" w:themeColor="text1"/>
        </w:rPr>
        <w:t>ménages</w:t>
      </w:r>
      <w:r w:rsidR="00450EFF">
        <w:rPr>
          <w:rFonts w:ascii="Times New Roman" w:hAnsi="Times New Roman" w:cs="Times New Roman"/>
          <w:b/>
          <w:bCs/>
          <w:color w:val="000000" w:themeColor="text1"/>
        </w:rPr>
        <w:t xml:space="preserve"> devrait se </w:t>
      </w:r>
      <w:r w:rsidR="00C12EDB" w:rsidRPr="00C706A5">
        <w:rPr>
          <w:rFonts w:ascii="Times New Roman" w:hAnsi="Times New Roman" w:cs="Times New Roman"/>
          <w:b/>
          <w:bCs/>
          <w:color w:val="000000" w:themeColor="text1"/>
        </w:rPr>
        <w:t>détér</w:t>
      </w:r>
      <w:r w:rsidR="00450EFF">
        <w:rPr>
          <w:rFonts w:ascii="Times New Roman" w:hAnsi="Times New Roman" w:cs="Times New Roman"/>
          <w:b/>
          <w:bCs/>
          <w:color w:val="000000" w:themeColor="text1"/>
        </w:rPr>
        <w:t>iorer</w:t>
      </w:r>
      <w:r w:rsidR="009A4775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4D3202" w:rsidRPr="00C706A5" w:rsidRDefault="0032654E" w:rsidP="003E7065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Simplified Arabic"/>
          <w:lang w:bidi="ar-MA"/>
        </w:rPr>
        <w:t xml:space="preserve">Près de </w:t>
      </w:r>
      <w:r w:rsidR="0014733D" w:rsidRPr="0014733D">
        <w:rPr>
          <w:rFonts w:ascii="Times New Roman" w:hAnsi="Times New Roman" w:cs="Simplified Arabic" w:hint="cs"/>
          <w:rtl/>
          <w:lang w:bidi="ar-MA"/>
        </w:rPr>
        <w:t>57,1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490E21" w:rsidRPr="00C706A5">
        <w:rPr>
          <w:rFonts w:ascii="Times New Roman" w:hAnsi="Times New Roman" w:cs="Times New Roman"/>
          <w:color w:val="000000" w:themeColor="text1"/>
        </w:rPr>
        <w:t>des ménages</w:t>
      </w:r>
      <w:r w:rsidR="00C229EC">
        <w:rPr>
          <w:rFonts w:ascii="Times New Roman" w:hAnsi="Times New Roman" w:cs="Times New Roman"/>
          <w:color w:val="000000" w:themeColor="text1"/>
        </w:rPr>
        <w:t xml:space="preserve"> considèrent que</w:t>
      </w:r>
      <w:r w:rsidR="00490E21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leurs revenus couvrent leurs dépenses, alors que 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570BDD" w:rsidRPr="00C706A5">
        <w:rPr>
          <w:rFonts w:ascii="Times New Roman" w:hAnsi="Times New Roman" w:cs="Times New Roman"/>
          <w:color w:val="000000" w:themeColor="text1"/>
        </w:rPr>
        <w:t>3</w:t>
      </w:r>
      <w:r w:rsidR="008B1424">
        <w:rPr>
          <w:rFonts w:ascii="Times New Roman" w:hAnsi="Times New Roman" w:cs="Times New Roman"/>
          <w:color w:val="000000" w:themeColor="text1"/>
        </w:rPr>
        <w:t>7</w:t>
      </w:r>
      <w:r w:rsidR="004D3202" w:rsidRPr="00C706A5">
        <w:rPr>
          <w:rFonts w:ascii="Times New Roman" w:hAnsi="Times New Roman" w:cs="Times New Roman"/>
          <w:color w:val="000000" w:themeColor="text1"/>
        </w:rPr>
        <w:t>,</w:t>
      </w:r>
      <w:r w:rsidR="008B1424">
        <w:rPr>
          <w:rFonts w:ascii="Times New Roman" w:hAnsi="Times New Roman" w:cs="Times New Roman"/>
          <w:color w:val="000000" w:themeColor="text1"/>
        </w:rPr>
        <w:t>1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d’entre eux </w:t>
      </w:r>
      <w:r w:rsidR="00C229EC">
        <w:rPr>
          <w:rFonts w:ascii="Times New Roman" w:hAnsi="Times New Roman" w:cs="Times New Roman"/>
          <w:color w:val="000000" w:themeColor="text1"/>
        </w:rPr>
        <w:t xml:space="preserve">déclarent </w:t>
      </w:r>
      <w:r w:rsidR="001A6BB6" w:rsidRPr="00C706A5">
        <w:rPr>
          <w:rFonts w:ascii="Times New Roman" w:hAnsi="Times New Roman" w:cs="Times New Roman"/>
          <w:color w:val="000000" w:themeColor="text1"/>
        </w:rPr>
        <w:t>s’endette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ou puise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pour cela dans leurs épargnes. </w:t>
      </w:r>
      <w:r w:rsidR="00511C57" w:rsidRPr="00C706A5">
        <w:rPr>
          <w:rFonts w:ascii="Times New Roman" w:hAnsi="Times New Roman" w:cs="Times New Roman"/>
          <w:color w:val="000000" w:themeColor="text1"/>
        </w:rPr>
        <w:t>S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euls </w:t>
      </w:r>
      <w:r w:rsidR="008B1424">
        <w:rPr>
          <w:rFonts w:ascii="Times New Roman" w:hAnsi="Times New Roman" w:cs="Times New Roman"/>
          <w:color w:val="000000" w:themeColor="text1"/>
        </w:rPr>
        <w:t>5</w:t>
      </w:r>
      <w:r w:rsidR="004D3202" w:rsidRPr="00C706A5">
        <w:rPr>
          <w:rFonts w:ascii="Times New Roman" w:hAnsi="Times New Roman" w:cs="Times New Roman"/>
          <w:color w:val="000000" w:themeColor="text1"/>
        </w:rPr>
        <w:t>,</w:t>
      </w:r>
      <w:r w:rsidR="008B1424">
        <w:rPr>
          <w:rFonts w:ascii="Times New Roman" w:hAnsi="Times New Roman" w:cs="Times New Roman"/>
          <w:color w:val="000000" w:themeColor="text1"/>
        </w:rPr>
        <w:t>8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des ménages </w:t>
      </w:r>
      <w:r w:rsidR="003E7065">
        <w:rPr>
          <w:rFonts w:ascii="Times New Roman" w:hAnsi="Times New Roman" w:cs="Times New Roman"/>
          <w:color w:val="000000" w:themeColor="text1"/>
        </w:rPr>
        <w:t>affirm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ent 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pouvoir </w:t>
      </w:r>
      <w:r w:rsidR="004D3202" w:rsidRPr="00C706A5">
        <w:rPr>
          <w:rFonts w:ascii="Times New Roman" w:hAnsi="Times New Roman" w:cs="Times New Roman"/>
          <w:color w:val="000000" w:themeColor="text1"/>
        </w:rPr>
        <w:t>épargner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 une partie de leur revenu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. Le solde de </w:t>
      </w:r>
      <w:r w:rsidR="001A6BB6" w:rsidRPr="00C706A5">
        <w:rPr>
          <w:rFonts w:ascii="Times New Roman" w:hAnsi="Times New Roman" w:cs="Times New Roman"/>
          <w:color w:val="000000" w:themeColor="text1"/>
        </w:rPr>
        <w:t>l’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indicateur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relatif à la situation financière actuelle des ménages 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s’établit ainsi à un niveau négatif de </w:t>
      </w:r>
      <w:r w:rsidR="00857F10" w:rsidRPr="00C706A5">
        <w:rPr>
          <w:rFonts w:ascii="Times New Roman" w:hAnsi="Times New Roman" w:cs="Times New Roman"/>
          <w:color w:val="000000" w:themeColor="text1"/>
        </w:rPr>
        <w:t>-</w:t>
      </w:r>
      <w:r w:rsidR="008B1424">
        <w:rPr>
          <w:rFonts w:ascii="Times New Roman" w:hAnsi="Times New Roman" w:cs="Times New Roman"/>
          <w:color w:val="000000" w:themeColor="text1"/>
        </w:rPr>
        <w:t>31</w:t>
      </w:r>
      <w:r w:rsidR="00DF0119" w:rsidRPr="00C706A5">
        <w:rPr>
          <w:rFonts w:ascii="Times New Roman" w:hAnsi="Times New Roman" w:cs="Times New Roman"/>
          <w:color w:val="000000" w:themeColor="text1"/>
        </w:rPr>
        <w:t>,</w:t>
      </w:r>
      <w:r w:rsidR="008B1424">
        <w:rPr>
          <w:rFonts w:ascii="Times New Roman" w:hAnsi="Times New Roman" w:cs="Times New Roman"/>
          <w:color w:val="000000" w:themeColor="text1"/>
        </w:rPr>
        <w:t>3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points, </w:t>
      </w:r>
      <w:r w:rsidR="006A0913" w:rsidRPr="00C706A5">
        <w:rPr>
          <w:rFonts w:ascii="Times New Roman" w:hAnsi="Times New Roman" w:cs="Times New Roman"/>
          <w:color w:val="000000" w:themeColor="text1"/>
        </w:rPr>
        <w:t xml:space="preserve">en </w:t>
      </w:r>
      <w:r w:rsidR="008B1424" w:rsidRPr="00C706A5">
        <w:rPr>
          <w:rFonts w:ascii="Times New Roman" w:hAnsi="Times New Roman" w:cs="Times New Roman"/>
          <w:color w:val="000000" w:themeColor="text1"/>
        </w:rPr>
        <w:t xml:space="preserve">détérioration </w:t>
      </w:r>
      <w:r w:rsidR="008B1424">
        <w:rPr>
          <w:rFonts w:ascii="Times New Roman" w:hAnsi="Times New Roman" w:cs="Times New Roman"/>
          <w:color w:val="000000" w:themeColor="text1"/>
        </w:rPr>
        <w:t xml:space="preserve">aussi bien </w:t>
      </w:r>
      <w:r w:rsidR="004D3202" w:rsidRPr="00C706A5">
        <w:rPr>
          <w:rFonts w:ascii="Times New Roman" w:hAnsi="Times New Roman" w:cs="Times New Roman"/>
          <w:color w:val="000000" w:themeColor="text1"/>
        </w:rPr>
        <w:t>par ra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pport </w:t>
      </w:r>
      <w:r w:rsidR="008B1424">
        <w:rPr>
          <w:rFonts w:ascii="Times New Roman" w:hAnsi="Times New Roman" w:cs="Times New Roman"/>
          <w:color w:val="000000" w:themeColor="text1"/>
        </w:rPr>
        <w:t xml:space="preserve">au trimestre précédent </w:t>
      </w:r>
      <w:r w:rsidR="002C211A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8B1424">
        <w:rPr>
          <w:rFonts w:ascii="Times New Roman" w:hAnsi="Times New Roman" w:cs="Times New Roman"/>
          <w:color w:val="000000" w:themeColor="text1"/>
        </w:rPr>
        <w:t xml:space="preserve"> </w:t>
      </w:r>
      <w:r w:rsidR="002C211A" w:rsidRPr="00C706A5">
        <w:rPr>
          <w:rFonts w:ascii="Times New Roman" w:hAnsi="Times New Roman" w:cs="Times New Roman"/>
          <w:color w:val="000000" w:themeColor="text1"/>
        </w:rPr>
        <w:t>(</w:t>
      </w:r>
      <w:r w:rsidR="00497168" w:rsidRPr="00C706A5">
        <w:rPr>
          <w:rFonts w:ascii="Times New Roman" w:hAnsi="Times New Roman" w:cs="Times New Roman"/>
          <w:color w:val="000000" w:themeColor="text1"/>
        </w:rPr>
        <w:t xml:space="preserve">- </w:t>
      </w:r>
      <w:r w:rsidR="008B1424">
        <w:rPr>
          <w:rFonts w:ascii="Times New Roman" w:hAnsi="Times New Roman" w:cs="Times New Roman"/>
          <w:color w:val="000000" w:themeColor="text1"/>
        </w:rPr>
        <w:t>1</w:t>
      </w:r>
      <w:r w:rsidR="002C211A" w:rsidRPr="00C706A5">
        <w:rPr>
          <w:rFonts w:ascii="Times New Roman" w:hAnsi="Times New Roman" w:cs="Times New Roman"/>
          <w:color w:val="000000" w:themeColor="text1"/>
        </w:rPr>
        <w:t>,</w:t>
      </w:r>
      <w:r w:rsidR="008B1424">
        <w:rPr>
          <w:rFonts w:ascii="Times New Roman" w:hAnsi="Times New Roman" w:cs="Times New Roman"/>
          <w:color w:val="000000" w:themeColor="text1"/>
        </w:rPr>
        <w:t>8</w:t>
      </w:r>
      <w:r w:rsidR="002C211A" w:rsidRPr="00C706A5">
        <w:rPr>
          <w:rFonts w:ascii="Times New Roman" w:hAnsi="Times New Roman" w:cs="Times New Roman"/>
          <w:color w:val="000000" w:themeColor="text1"/>
        </w:rPr>
        <w:t xml:space="preserve"> point)</w:t>
      </w:r>
      <w:r w:rsidR="008B1424">
        <w:rPr>
          <w:rFonts w:ascii="Times New Roman" w:hAnsi="Times New Roman" w:cs="Times New Roman"/>
          <w:color w:val="000000" w:themeColor="text1"/>
        </w:rPr>
        <w:t xml:space="preserve"> qu’</w:t>
      </w:r>
      <w:r w:rsidR="008B1424" w:rsidRPr="00C706A5">
        <w:rPr>
          <w:rFonts w:ascii="Times New Roman" w:hAnsi="Times New Roman" w:cs="Times New Roman"/>
          <w:color w:val="000000" w:themeColor="text1"/>
        </w:rPr>
        <w:t>au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 même trimestre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8B1424">
        <w:rPr>
          <w:rFonts w:ascii="Times New Roman" w:hAnsi="Times New Roman" w:cs="Times New Roman"/>
          <w:color w:val="000000" w:themeColor="text1"/>
        </w:rPr>
        <w:t xml:space="preserve"> (-1,5 point)</w:t>
      </w:r>
      <w:r w:rsidR="002C211A" w:rsidRPr="00C706A5">
        <w:rPr>
          <w:rFonts w:ascii="Times New Roman" w:hAnsi="Times New Roman" w:cs="Times New Roman"/>
          <w:color w:val="000000" w:themeColor="text1"/>
        </w:rPr>
        <w:t>.</w:t>
      </w:r>
    </w:p>
    <w:p w:rsidR="00C35F99" w:rsidRDefault="00C35F99" w:rsidP="00585C38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Quant à </w:t>
      </w:r>
      <w:r w:rsidRPr="00B10F10">
        <w:rPr>
          <w:rFonts w:ascii="Times New Roman" w:hAnsi="Times New Roman" w:cs="Times New Roman"/>
          <w:color w:val="000000"/>
        </w:rPr>
        <w:t>l</w:t>
      </w:r>
      <w:r w:rsidR="00C229EC">
        <w:rPr>
          <w:rFonts w:ascii="Times New Roman" w:hAnsi="Times New Roman" w:cs="Times New Roman"/>
          <w:color w:val="000000"/>
        </w:rPr>
        <w:t>’évolution passée de l</w:t>
      </w:r>
      <w:r w:rsidRPr="00B10F10">
        <w:rPr>
          <w:rFonts w:ascii="Times New Roman" w:hAnsi="Times New Roman" w:cs="Times New Roman"/>
          <w:color w:val="000000"/>
        </w:rPr>
        <w:t>eur situation financière personnelle</w:t>
      </w:r>
      <w:r>
        <w:rPr>
          <w:rFonts w:ascii="Times New Roman" w:hAnsi="Times New Roman" w:cs="Times New Roman"/>
          <w:color w:val="000000"/>
        </w:rPr>
        <w:t>,</w:t>
      </w:r>
      <w:r w:rsidRPr="00B10F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les opinions des ménages</w:t>
      </w:r>
      <w:r w:rsidR="00A72622">
        <w:rPr>
          <w:rFonts w:ascii="Times New Roman" w:hAnsi="Times New Roman" w:cs="Times New Roman"/>
          <w:color w:val="000000"/>
        </w:rPr>
        <w:t>, au premier trimestre de 2014,</w:t>
      </w:r>
      <w:r>
        <w:rPr>
          <w:rFonts w:ascii="Times New Roman" w:hAnsi="Times New Roman" w:cs="Times New Roman"/>
          <w:color w:val="000000"/>
        </w:rPr>
        <w:t xml:space="preserve"> s</w:t>
      </w:r>
      <w:r w:rsidR="003F1E9D">
        <w:rPr>
          <w:rFonts w:ascii="Times New Roman" w:hAnsi="Times New Roman" w:cs="Times New Roman"/>
          <w:color w:val="000000"/>
        </w:rPr>
        <w:t xml:space="preserve">e sont </w:t>
      </w:r>
      <w:r>
        <w:rPr>
          <w:rFonts w:ascii="Times New Roman" w:hAnsi="Times New Roman" w:cs="Times New Roman"/>
          <w:color w:val="000000"/>
        </w:rPr>
        <w:t>amélior</w:t>
      </w:r>
      <w:r w:rsidR="003F1E9D">
        <w:rPr>
          <w:rFonts w:ascii="Times New Roman" w:hAnsi="Times New Roman" w:cs="Times New Roman"/>
          <w:color w:val="000000"/>
        </w:rPr>
        <w:t>ées</w:t>
      </w:r>
      <w:r>
        <w:rPr>
          <w:rFonts w:ascii="Times New Roman" w:hAnsi="Times New Roman" w:cs="Times New Roman"/>
          <w:color w:val="000000"/>
        </w:rPr>
        <w:t xml:space="preserve"> de 0,6 point </w:t>
      </w:r>
      <w:r w:rsidRPr="00B10F10">
        <w:rPr>
          <w:rFonts w:ascii="Times New Roman" w:hAnsi="Times New Roman" w:cs="Times New Roman"/>
          <w:color w:val="000000"/>
        </w:rPr>
        <w:t>par rapport à un trimestre auparavant</w:t>
      </w:r>
      <w:r>
        <w:rPr>
          <w:rFonts w:ascii="Times New Roman" w:hAnsi="Times New Roman" w:cs="Times New Roman"/>
          <w:color w:val="000000"/>
        </w:rPr>
        <w:t xml:space="preserve"> mais se </w:t>
      </w:r>
      <w:r w:rsidR="003F1E9D">
        <w:rPr>
          <w:rFonts w:ascii="Times New Roman" w:hAnsi="Times New Roman" w:cs="Times New Roman"/>
          <w:color w:val="000000"/>
        </w:rPr>
        <w:t xml:space="preserve">sont </w:t>
      </w:r>
      <w:r>
        <w:rPr>
          <w:rFonts w:ascii="Times New Roman" w:hAnsi="Times New Roman" w:cs="Times New Roman"/>
          <w:color w:val="000000"/>
        </w:rPr>
        <w:t>détérior</w:t>
      </w:r>
      <w:r w:rsidR="003F1E9D">
        <w:rPr>
          <w:rFonts w:ascii="Times New Roman" w:hAnsi="Times New Roman" w:cs="Times New Roman"/>
          <w:color w:val="000000"/>
        </w:rPr>
        <w:t>ées</w:t>
      </w:r>
      <w:r>
        <w:rPr>
          <w:rFonts w:ascii="Times New Roman" w:hAnsi="Times New Roman" w:cs="Times New Roman"/>
          <w:color w:val="000000"/>
        </w:rPr>
        <w:t xml:space="preserve"> de 1,</w:t>
      </w:r>
      <w:r w:rsidR="007C5542">
        <w:rPr>
          <w:rFonts w:ascii="Times New Roman" w:hAnsi="Times New Roman" w:cs="Times New Roman"/>
          <w:color w:val="000000"/>
        </w:rPr>
        <w:t>7</w:t>
      </w:r>
      <w:r>
        <w:rPr>
          <w:rFonts w:ascii="Times New Roman" w:hAnsi="Times New Roman" w:cs="Times New Roman"/>
          <w:color w:val="000000"/>
        </w:rPr>
        <w:t xml:space="preserve"> point par rapport à la même période de 2013.</w:t>
      </w:r>
    </w:p>
    <w:p w:rsidR="00585C38" w:rsidRDefault="00585C38" w:rsidP="00585C38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C35F99" w:rsidRDefault="00B06DB1" w:rsidP="004D4E20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La </w:t>
      </w:r>
      <w:r w:rsidR="00C229EC">
        <w:rPr>
          <w:rFonts w:ascii="Times New Roman" w:hAnsi="Times New Roman" w:cs="Times New Roman"/>
          <w:color w:val="000000"/>
        </w:rPr>
        <w:t>même</w:t>
      </w:r>
      <w:r>
        <w:rPr>
          <w:rFonts w:ascii="Times New Roman" w:hAnsi="Times New Roman" w:cs="Times New Roman"/>
          <w:color w:val="000000"/>
        </w:rPr>
        <w:t xml:space="preserve"> tendance est observée pour les perceptions des ménages sur l’évolution </w:t>
      </w:r>
      <w:r w:rsidRPr="00B10F10">
        <w:rPr>
          <w:rFonts w:ascii="Times New Roman" w:hAnsi="Times New Roman" w:cs="Times New Roman"/>
          <w:color w:val="000000"/>
        </w:rPr>
        <w:t>future</w:t>
      </w:r>
      <w:r w:rsidRPr="00C229EC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de l</w:t>
      </w:r>
      <w:r w:rsidRPr="00B10F10">
        <w:rPr>
          <w:rFonts w:ascii="Times New Roman" w:hAnsi="Times New Roman" w:cs="Times New Roman"/>
          <w:color w:val="000000"/>
        </w:rPr>
        <w:t>eur situation financière personnelle</w:t>
      </w:r>
      <w:r w:rsidR="004D4E20">
        <w:rPr>
          <w:rFonts w:ascii="Times New Roman" w:hAnsi="Times New Roman" w:cs="Times New Roman"/>
          <w:color w:val="000000"/>
        </w:rPr>
        <w:t xml:space="preserve">, </w:t>
      </w:r>
      <w:r w:rsidR="000364EF">
        <w:rPr>
          <w:rFonts w:ascii="Times New Roman" w:hAnsi="Times New Roman" w:cs="Times New Roman"/>
          <w:color w:val="000000"/>
        </w:rPr>
        <w:t>l</w:t>
      </w:r>
      <w:r w:rsidR="00912A95">
        <w:rPr>
          <w:rFonts w:ascii="Times New Roman" w:hAnsi="Times New Roman" w:cs="Times New Roman"/>
          <w:color w:val="000000"/>
        </w:rPr>
        <w:t xml:space="preserve">e solde </w:t>
      </w:r>
      <w:r>
        <w:rPr>
          <w:rFonts w:ascii="Times New Roman" w:hAnsi="Times New Roman" w:cs="Times New Roman"/>
          <w:color w:val="000000"/>
        </w:rPr>
        <w:t>correspondant a</w:t>
      </w:r>
      <w:r w:rsidR="006A1512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enregistré une hausse </w:t>
      </w:r>
      <w:r w:rsidR="00C229EC">
        <w:rPr>
          <w:rFonts w:ascii="Times New Roman" w:hAnsi="Times New Roman" w:cs="Times New Roman"/>
          <w:color w:val="000000"/>
        </w:rPr>
        <w:t xml:space="preserve">de 2,9 points </w:t>
      </w:r>
      <w:r w:rsidR="00C229EC" w:rsidRPr="00B10F10">
        <w:rPr>
          <w:rFonts w:ascii="Times New Roman" w:hAnsi="Times New Roman" w:cs="Times New Roman"/>
          <w:color w:val="000000"/>
        </w:rPr>
        <w:t xml:space="preserve">par rapport </w:t>
      </w:r>
      <w:r w:rsidR="00912A95">
        <w:rPr>
          <w:rFonts w:ascii="Times New Roman" w:hAnsi="Times New Roman" w:cs="Times New Roman"/>
          <w:color w:val="000000"/>
        </w:rPr>
        <w:t>au</w:t>
      </w:r>
      <w:r w:rsidR="00C229EC" w:rsidRPr="00B10F10">
        <w:rPr>
          <w:rFonts w:ascii="Times New Roman" w:hAnsi="Times New Roman" w:cs="Times New Roman"/>
          <w:color w:val="000000"/>
        </w:rPr>
        <w:t xml:space="preserve"> trimestre </w:t>
      </w:r>
      <w:r w:rsidR="00912A95">
        <w:rPr>
          <w:rFonts w:ascii="Times New Roman" w:hAnsi="Times New Roman" w:cs="Times New Roman"/>
          <w:color w:val="000000"/>
        </w:rPr>
        <w:t xml:space="preserve">précédent </w:t>
      </w:r>
      <w:r>
        <w:rPr>
          <w:rFonts w:ascii="Times New Roman" w:hAnsi="Times New Roman" w:cs="Times New Roman"/>
          <w:color w:val="000000"/>
        </w:rPr>
        <w:t>et une baisse</w:t>
      </w:r>
      <w:r w:rsidR="00912A95">
        <w:rPr>
          <w:rFonts w:ascii="Times New Roman" w:hAnsi="Times New Roman" w:cs="Times New Roman"/>
          <w:color w:val="000000"/>
        </w:rPr>
        <w:t xml:space="preserve"> </w:t>
      </w:r>
      <w:r w:rsidR="00C229EC">
        <w:rPr>
          <w:rFonts w:ascii="Times New Roman" w:hAnsi="Times New Roman" w:cs="Times New Roman"/>
          <w:color w:val="000000"/>
        </w:rPr>
        <w:t>de 3,3 points</w:t>
      </w:r>
      <w:r w:rsidR="00C229EC" w:rsidRPr="00C229EC">
        <w:rPr>
          <w:rFonts w:ascii="Times New Roman" w:hAnsi="Times New Roman" w:cs="Times New Roman"/>
          <w:color w:val="000000"/>
        </w:rPr>
        <w:t xml:space="preserve"> </w:t>
      </w:r>
      <w:r w:rsidR="00C229EC">
        <w:rPr>
          <w:rFonts w:ascii="Times New Roman" w:hAnsi="Times New Roman" w:cs="Times New Roman"/>
          <w:color w:val="000000"/>
        </w:rPr>
        <w:t xml:space="preserve">par rapport </w:t>
      </w:r>
      <w:r w:rsidR="00912A95">
        <w:rPr>
          <w:rFonts w:ascii="Times New Roman" w:hAnsi="Times New Roman" w:cs="Times New Roman"/>
          <w:color w:val="000000"/>
        </w:rPr>
        <w:t>au premier trimestre de</w:t>
      </w:r>
      <w:r w:rsidR="00C229EC">
        <w:rPr>
          <w:rFonts w:ascii="Times New Roman" w:hAnsi="Times New Roman" w:cs="Times New Roman"/>
          <w:color w:val="000000"/>
        </w:rPr>
        <w:t xml:space="preserve"> 2013.</w:t>
      </w:r>
    </w:p>
    <w:p w:rsidR="00AF6349" w:rsidRDefault="00AF6349" w:rsidP="00D46521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51C29" w:rsidRPr="00C706A5" w:rsidRDefault="00C51C29" w:rsidP="00C049EB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06A6A" w:rsidRPr="00C706A5" w:rsidRDefault="00300726" w:rsidP="003A5245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300726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>
            <wp:extent cx="5934296" cy="3339548"/>
            <wp:effectExtent l="19050" t="0" r="28354" b="0"/>
            <wp:docPr id="1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95D2E" w:rsidRPr="00C706A5" w:rsidRDefault="00195D2E" w:rsidP="00195D2E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62F85" w:rsidRPr="00C706A5" w:rsidRDefault="00C62F8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rtl/>
        </w:rPr>
      </w:pPr>
    </w:p>
    <w:p w:rsidR="00A52030" w:rsidRPr="00C706A5" w:rsidRDefault="00A52030" w:rsidP="009264E7">
      <w:pPr>
        <w:pStyle w:val="Paragraphedeliste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Evolution d’autres indicateurs trimestriels de </w:t>
      </w:r>
      <w:r w:rsidR="00F6021D">
        <w:rPr>
          <w:rFonts w:ascii="Times New Roman" w:hAnsi="Times New Roman" w:cs="Times New Roman"/>
          <w:b/>
          <w:bCs/>
          <w:color w:val="000000" w:themeColor="text1"/>
        </w:rPr>
        <w:t xml:space="preserve">la </w:t>
      </w: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perception </w:t>
      </w:r>
      <w:r w:rsidR="009264E7" w:rsidRPr="00C706A5">
        <w:rPr>
          <w:rFonts w:ascii="Times New Roman" w:hAnsi="Times New Roman" w:cs="Times New Roman"/>
          <w:b/>
          <w:bCs/>
          <w:color w:val="000000" w:themeColor="text1"/>
        </w:rPr>
        <w:t>par les ménages de la conjoncture</w:t>
      </w:r>
    </w:p>
    <w:p w:rsidR="00A52030" w:rsidRPr="00C706A5" w:rsidRDefault="00A52030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En plus des sept indicateurs composant l’ICM, l’enquête fournit des données trimestrielles sur les perceptions des ménages relatives à d’autres aspects de leurs conditions de vie. Il s’agit en particulier de la capacité d’épargne des ménages et de l’évolution des prix des produits alimentaires. </w:t>
      </w:r>
    </w:p>
    <w:p w:rsidR="00A52030" w:rsidRPr="00C706A5" w:rsidRDefault="00A52030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812210" w:rsidRPr="00C706A5" w:rsidRDefault="00812210" w:rsidP="004E7840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• </w:t>
      </w:r>
      <w:r w:rsidR="004E7840">
        <w:rPr>
          <w:rFonts w:ascii="Times New Roman" w:hAnsi="Times New Roman" w:cs="Times New Roman"/>
          <w:b/>
          <w:bCs/>
          <w:color w:val="000000" w:themeColor="text1"/>
        </w:rPr>
        <w:t>Détérioration attendue de la c</w:t>
      </w:r>
      <w:r w:rsidR="00057E1A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apacité </w:t>
      </w:r>
      <w:r w:rsidR="000518A6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des ménages  à </w:t>
      </w:r>
      <w:r w:rsidR="00057E1A" w:rsidRPr="00C706A5">
        <w:rPr>
          <w:rFonts w:ascii="Times New Roman" w:hAnsi="Times New Roman" w:cs="Times New Roman"/>
          <w:b/>
          <w:bCs/>
          <w:color w:val="000000" w:themeColor="text1"/>
        </w:rPr>
        <w:t>épargne</w:t>
      </w:r>
      <w:r w:rsidR="000518A6" w:rsidRPr="00C706A5">
        <w:rPr>
          <w:rFonts w:ascii="Times New Roman" w:hAnsi="Times New Roman" w:cs="Times New Roman"/>
          <w:b/>
          <w:bCs/>
          <w:color w:val="000000" w:themeColor="text1"/>
        </w:rPr>
        <w:t>r</w:t>
      </w:r>
    </w:p>
    <w:p w:rsidR="00735526" w:rsidRPr="00C706A5" w:rsidRDefault="000B09BA" w:rsidP="00507FF6">
      <w:pPr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Les</w:t>
      </w:r>
      <w:r w:rsidR="007F3847" w:rsidRPr="00C706A5">
        <w:rPr>
          <w:rFonts w:ascii="Times New Roman" w:hAnsi="Times New Roman" w:cs="Times New Roman"/>
          <w:color w:val="000000" w:themeColor="text1"/>
        </w:rPr>
        <w:t xml:space="preserve"> ménages </w:t>
      </w:r>
      <w:r w:rsidR="00D268A1" w:rsidRPr="00C706A5">
        <w:rPr>
          <w:rFonts w:ascii="Times New Roman" w:hAnsi="Times New Roman" w:cs="Times New Roman"/>
          <w:color w:val="000000" w:themeColor="text1"/>
        </w:rPr>
        <w:t xml:space="preserve">sont </w:t>
      </w:r>
      <w:r w:rsidRPr="00C706A5">
        <w:rPr>
          <w:rFonts w:ascii="Times New Roman" w:hAnsi="Times New Roman" w:cs="Times New Roman"/>
          <w:color w:val="000000" w:themeColor="text1"/>
        </w:rPr>
        <w:t xml:space="preserve">toujours </w:t>
      </w:r>
      <w:r w:rsidR="00D268A1" w:rsidRPr="00C706A5">
        <w:rPr>
          <w:rFonts w:ascii="Times New Roman" w:hAnsi="Times New Roman" w:cs="Times New Roman"/>
          <w:color w:val="000000" w:themeColor="text1"/>
        </w:rPr>
        <w:t xml:space="preserve">pessimistes quant à </w:t>
      </w:r>
      <w:r w:rsidR="00057E1A" w:rsidRPr="00C706A5">
        <w:rPr>
          <w:rFonts w:ascii="Times New Roman" w:hAnsi="Times New Roman" w:cs="Times New Roman"/>
          <w:color w:val="000000" w:themeColor="text1"/>
        </w:rPr>
        <w:t>leur</w:t>
      </w:r>
      <w:r w:rsidR="00D268A1" w:rsidRPr="00C706A5">
        <w:rPr>
          <w:rFonts w:ascii="Times New Roman" w:hAnsi="Times New Roman" w:cs="Times New Roman"/>
          <w:color w:val="000000" w:themeColor="text1"/>
        </w:rPr>
        <w:t>s</w:t>
      </w:r>
      <w:r w:rsidR="00057E1A" w:rsidRPr="00C706A5">
        <w:rPr>
          <w:rFonts w:ascii="Times New Roman" w:hAnsi="Times New Roman" w:cs="Times New Roman"/>
          <w:color w:val="000000" w:themeColor="text1"/>
        </w:rPr>
        <w:t xml:space="preserve"> capacité</w:t>
      </w:r>
      <w:r w:rsidR="00D268A1" w:rsidRPr="00C706A5">
        <w:rPr>
          <w:rFonts w:ascii="Times New Roman" w:hAnsi="Times New Roman" w:cs="Times New Roman"/>
          <w:color w:val="000000" w:themeColor="text1"/>
        </w:rPr>
        <w:t>s</w:t>
      </w:r>
      <w:r w:rsidR="00057E1A" w:rsidRPr="00C706A5">
        <w:rPr>
          <w:rFonts w:ascii="Times New Roman" w:hAnsi="Times New Roman" w:cs="Times New Roman"/>
          <w:color w:val="000000" w:themeColor="text1"/>
        </w:rPr>
        <w:t xml:space="preserve"> à épargner dans les mois à venir</w:t>
      </w:r>
      <w:r w:rsidR="00812210" w:rsidRPr="00C706A5">
        <w:rPr>
          <w:rFonts w:ascii="Times New Roman" w:hAnsi="Times New Roman" w:cs="Times New Roman"/>
          <w:color w:val="000000" w:themeColor="text1"/>
        </w:rPr>
        <w:t xml:space="preserve">. </w:t>
      </w: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04211E">
        <w:rPr>
          <w:rFonts w:ascii="Times New Roman" w:hAnsi="Times New Roman" w:cs="Times New Roman"/>
          <w:color w:val="000000" w:themeColor="text1"/>
        </w:rPr>
        <w:t>premier trimestre</w:t>
      </w:r>
      <w:r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A413F7" w:rsidRPr="00C706A5">
        <w:rPr>
          <w:rFonts w:ascii="Times New Roman" w:hAnsi="Times New Roman" w:cs="Times New Roman"/>
          <w:color w:val="000000" w:themeColor="text1"/>
        </w:rPr>
        <w:t>près</w:t>
      </w:r>
      <w:r w:rsidR="00511C57" w:rsidRPr="00C706A5">
        <w:rPr>
          <w:rFonts w:ascii="Times New Roman" w:hAnsi="Times New Roman" w:cs="Times New Roman"/>
          <w:color w:val="000000" w:themeColor="text1"/>
        </w:rPr>
        <w:t xml:space="preserve"> de huit ménages sur dix </w:t>
      </w:r>
      <w:r w:rsidR="007F3847" w:rsidRPr="00C706A5">
        <w:rPr>
          <w:rFonts w:ascii="Times New Roman" w:hAnsi="Times New Roman" w:cs="Times New Roman"/>
          <w:color w:val="000000" w:themeColor="text1"/>
        </w:rPr>
        <w:t>(8</w:t>
      </w:r>
      <w:r w:rsidR="00A413F7" w:rsidRPr="00C706A5">
        <w:rPr>
          <w:rFonts w:ascii="Times New Roman" w:hAnsi="Times New Roman" w:cs="Times New Roman"/>
          <w:color w:val="000000" w:themeColor="text1"/>
        </w:rPr>
        <w:t>3</w:t>
      </w:r>
      <w:r w:rsidR="007F3847" w:rsidRPr="00C706A5">
        <w:rPr>
          <w:rFonts w:ascii="Times New Roman" w:hAnsi="Times New Roman" w:cs="Times New Roman"/>
          <w:color w:val="000000" w:themeColor="text1"/>
        </w:rPr>
        <w:t>,</w:t>
      </w:r>
      <w:r w:rsidR="00A413F7" w:rsidRPr="00C706A5">
        <w:rPr>
          <w:rFonts w:ascii="Times New Roman" w:hAnsi="Times New Roman" w:cs="Times New Roman"/>
          <w:color w:val="000000" w:themeColor="text1"/>
        </w:rPr>
        <w:t>3</w:t>
      </w:r>
      <w:r w:rsidR="007F3847" w:rsidRPr="00C706A5">
        <w:rPr>
          <w:rFonts w:ascii="Times New Roman" w:hAnsi="Times New Roman" w:cs="Times New Roman"/>
          <w:color w:val="000000" w:themeColor="text1"/>
        </w:rPr>
        <w:t>%</w:t>
      </w:r>
      <w:r w:rsidR="00511C57" w:rsidRPr="00C706A5">
        <w:rPr>
          <w:rFonts w:ascii="Times New Roman" w:hAnsi="Times New Roman" w:cs="Times New Roman"/>
          <w:color w:val="000000" w:themeColor="text1"/>
        </w:rPr>
        <w:t>) pensent ne pas pouvoir épargner au cours des 12 prochains mois</w:t>
      </w:r>
      <w:r w:rsidR="007F3847" w:rsidRPr="00C706A5">
        <w:rPr>
          <w:rFonts w:ascii="Times New Roman" w:hAnsi="Times New Roman" w:cs="Times New Roman"/>
          <w:color w:val="000000" w:themeColor="text1"/>
        </w:rPr>
        <w:t xml:space="preserve"> contre </w:t>
      </w:r>
      <w:r w:rsidR="00735526" w:rsidRPr="00C706A5">
        <w:rPr>
          <w:rFonts w:ascii="Times New Roman" w:hAnsi="Times New Roman" w:cs="Times New Roman"/>
          <w:color w:val="000000" w:themeColor="text1"/>
        </w:rPr>
        <w:t>1</w:t>
      </w:r>
      <w:r w:rsidR="00A413F7" w:rsidRPr="00C706A5">
        <w:rPr>
          <w:rFonts w:ascii="Times New Roman" w:hAnsi="Times New Roman" w:cs="Times New Roman"/>
          <w:color w:val="000000" w:themeColor="text1"/>
        </w:rPr>
        <w:t>6</w:t>
      </w:r>
      <w:r w:rsidR="007F3847" w:rsidRPr="00C706A5">
        <w:rPr>
          <w:rFonts w:ascii="Times New Roman" w:hAnsi="Times New Roman" w:cs="Times New Roman"/>
          <w:color w:val="000000" w:themeColor="text1"/>
        </w:rPr>
        <w:t>,</w:t>
      </w:r>
      <w:r w:rsidR="005F2E1B">
        <w:rPr>
          <w:rFonts w:ascii="Times New Roman" w:hAnsi="Times New Roman" w:cs="Times New Roman"/>
          <w:color w:val="000000" w:themeColor="text1"/>
        </w:rPr>
        <w:t>7</w:t>
      </w:r>
      <w:r w:rsidR="007F3847" w:rsidRPr="00C706A5">
        <w:rPr>
          <w:rFonts w:ascii="Times New Roman" w:hAnsi="Times New Roman" w:cs="Times New Roman"/>
          <w:color w:val="000000" w:themeColor="text1"/>
        </w:rPr>
        <w:t>%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qui pensent le contraire</w:t>
      </w:r>
      <w:r w:rsidR="00507FF6">
        <w:rPr>
          <w:rFonts w:ascii="Times New Roman" w:hAnsi="Times New Roman" w:cs="Times New Roman"/>
          <w:color w:val="000000" w:themeColor="text1"/>
        </w:rPr>
        <w:t>. L</w:t>
      </w:r>
      <w:r w:rsidR="00735526" w:rsidRPr="00C706A5">
        <w:rPr>
          <w:rFonts w:ascii="Times New Roman" w:hAnsi="Times New Roman" w:cs="Times New Roman"/>
          <w:color w:val="000000" w:themeColor="text1"/>
        </w:rPr>
        <w:t>e solde de cet indicateur se situe, ainsi, à un niveau négatif de -</w:t>
      </w:r>
      <w:r w:rsidRPr="00C706A5">
        <w:rPr>
          <w:rFonts w:ascii="Times New Roman" w:hAnsi="Times New Roman" w:cs="Times New Roman"/>
          <w:color w:val="000000" w:themeColor="text1"/>
        </w:rPr>
        <w:t>6</w:t>
      </w:r>
      <w:r w:rsidR="00A413F7" w:rsidRPr="00C706A5">
        <w:rPr>
          <w:rFonts w:ascii="Times New Roman" w:hAnsi="Times New Roman" w:cs="Times New Roman"/>
          <w:color w:val="000000" w:themeColor="text1"/>
        </w:rPr>
        <w:t>6,</w:t>
      </w:r>
      <w:r w:rsidR="005F2E1B">
        <w:rPr>
          <w:rFonts w:ascii="Times New Roman" w:hAnsi="Times New Roman" w:cs="Times New Roman"/>
          <w:color w:val="000000" w:themeColor="text1"/>
        </w:rPr>
        <w:t>6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points </w:t>
      </w:r>
      <w:r w:rsidR="008D4C14">
        <w:rPr>
          <w:rFonts w:ascii="Times New Roman" w:hAnsi="Times New Roman" w:cs="Times New Roman"/>
          <w:color w:val="000000" w:themeColor="text1"/>
        </w:rPr>
        <w:t>enregistrant une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5F2E1B">
        <w:rPr>
          <w:rFonts w:ascii="Times New Roman" w:hAnsi="Times New Roman" w:cs="Times New Roman"/>
          <w:color w:val="000000" w:themeColor="text1"/>
        </w:rPr>
        <w:t xml:space="preserve">quasi stagnation 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par rapport au trimestre précédent </w:t>
      </w:r>
      <w:r w:rsidR="005F2E1B">
        <w:rPr>
          <w:rFonts w:ascii="Times New Roman" w:hAnsi="Times New Roman" w:cs="Times New Roman"/>
          <w:color w:val="000000" w:themeColor="text1"/>
        </w:rPr>
        <w:t>et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8D4C14">
        <w:rPr>
          <w:rFonts w:ascii="Times New Roman" w:hAnsi="Times New Roman" w:cs="Times New Roman"/>
          <w:color w:val="000000" w:themeColor="text1"/>
        </w:rPr>
        <w:t>une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5F2E1B">
        <w:rPr>
          <w:rFonts w:ascii="Times New Roman" w:hAnsi="Times New Roman" w:cs="Times New Roman"/>
          <w:color w:val="000000" w:themeColor="text1"/>
        </w:rPr>
        <w:t xml:space="preserve">amélioration 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5F2E1B">
        <w:rPr>
          <w:rFonts w:ascii="Times New Roman" w:hAnsi="Times New Roman" w:cs="Times New Roman"/>
          <w:color w:val="000000" w:themeColor="text1"/>
        </w:rPr>
        <w:t>0</w:t>
      </w:r>
      <w:r w:rsidRPr="00C706A5">
        <w:rPr>
          <w:rFonts w:ascii="Times New Roman" w:hAnsi="Times New Roman" w:cs="Times New Roman"/>
          <w:color w:val="000000" w:themeColor="text1"/>
        </w:rPr>
        <w:t>,</w:t>
      </w:r>
      <w:r w:rsidR="005F2E1B">
        <w:rPr>
          <w:rFonts w:ascii="Times New Roman" w:hAnsi="Times New Roman" w:cs="Times New Roman"/>
          <w:color w:val="000000" w:themeColor="text1"/>
        </w:rPr>
        <w:t>4 point</w:t>
      </w:r>
      <w:r w:rsidR="00735526" w:rsidRPr="00C706A5">
        <w:rPr>
          <w:rFonts w:ascii="Times New Roman" w:hAnsi="Times New Roman" w:cs="Times New Roman"/>
          <w:color w:val="000000" w:themeColor="text1"/>
        </w:rPr>
        <w:t xml:space="preserve"> par rapport à la même période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735526" w:rsidRPr="00C706A5">
        <w:rPr>
          <w:rFonts w:ascii="Times New Roman" w:hAnsi="Times New Roman" w:cs="Times New Roman"/>
          <w:color w:val="000000" w:themeColor="text1"/>
        </w:rPr>
        <w:t>.</w:t>
      </w:r>
    </w:p>
    <w:p w:rsidR="007C52B7" w:rsidRPr="00C706A5" w:rsidRDefault="007C52B7" w:rsidP="00C60EE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E92F9F" w:rsidRPr="00C706A5" w:rsidRDefault="00AE27A6" w:rsidP="007C33B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307E2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C33B5">
        <w:rPr>
          <w:rFonts w:ascii="Times New Roman" w:hAnsi="Times New Roman" w:cs="Times New Roman"/>
          <w:b/>
          <w:bCs/>
          <w:color w:val="000000" w:themeColor="text1"/>
        </w:rPr>
        <w:t xml:space="preserve">Les ménages continuent à s’attendre à une hausse </w:t>
      </w:r>
      <w:r w:rsidR="00307E20">
        <w:rPr>
          <w:rFonts w:ascii="Times New Roman" w:hAnsi="Times New Roman" w:cs="Times New Roman"/>
          <w:b/>
          <w:bCs/>
          <w:color w:val="000000" w:themeColor="text1"/>
        </w:rPr>
        <w:t>des p</w:t>
      </w:r>
      <w:r w:rsidR="00307E20" w:rsidRPr="00C706A5">
        <w:rPr>
          <w:rFonts w:ascii="Times New Roman" w:hAnsi="Times New Roman" w:cs="Times New Roman"/>
          <w:b/>
          <w:bCs/>
          <w:color w:val="000000" w:themeColor="text1"/>
        </w:rPr>
        <w:t>rix des produits alimentaires</w:t>
      </w:r>
    </w:p>
    <w:p w:rsidR="00A644C5" w:rsidRPr="00C706A5" w:rsidRDefault="00985AB3" w:rsidP="0075581F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04211E">
        <w:rPr>
          <w:rFonts w:ascii="Times New Roman" w:hAnsi="Times New Roman" w:cs="Times New Roman"/>
          <w:color w:val="000000" w:themeColor="text1"/>
        </w:rPr>
        <w:t>premier trimestre</w:t>
      </w:r>
      <w:r w:rsidR="001B3707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2014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352D33" w:rsidRPr="00C706A5">
        <w:rPr>
          <w:rFonts w:ascii="Times New Roman" w:hAnsi="Times New Roman" w:cs="Times New Roman"/>
          <w:color w:val="000000" w:themeColor="text1"/>
        </w:rPr>
        <w:t>pr</w:t>
      </w:r>
      <w:r w:rsidR="00E443E4" w:rsidRPr="00C706A5">
        <w:rPr>
          <w:rFonts w:ascii="Times New Roman" w:hAnsi="Times New Roman" w:cs="Times New Roman"/>
          <w:color w:val="000000" w:themeColor="text1"/>
        </w:rPr>
        <w:t>è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s </w:t>
      </w:r>
      <w:r w:rsidR="00742AC3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987987" w:rsidRPr="00C706A5">
        <w:rPr>
          <w:rFonts w:ascii="Times New Roman" w:hAnsi="Times New Roman" w:cs="Times New Roman"/>
          <w:color w:val="000000" w:themeColor="text1"/>
        </w:rPr>
        <w:t>9</w:t>
      </w:r>
      <w:r w:rsidR="00507FF6">
        <w:rPr>
          <w:rFonts w:ascii="Times New Roman" w:hAnsi="Times New Roman" w:cs="Times New Roman"/>
          <w:color w:val="000000" w:themeColor="text1"/>
        </w:rPr>
        <w:t>0,5</w:t>
      </w:r>
      <w:r w:rsidR="00563170" w:rsidRPr="00C706A5">
        <w:rPr>
          <w:rFonts w:ascii="Times New Roman" w:hAnsi="Times New Roman" w:cs="Times New Roman"/>
          <w:color w:val="000000" w:themeColor="text1"/>
        </w:rPr>
        <w:t>%</w:t>
      </w:r>
      <w:r w:rsidR="00742AC3" w:rsidRPr="00C706A5">
        <w:rPr>
          <w:rFonts w:ascii="Times New Roman" w:hAnsi="Times New Roman" w:cs="Times New Roman"/>
          <w:color w:val="000000" w:themeColor="text1"/>
        </w:rPr>
        <w:t xml:space="preserve"> des ménages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C706A5">
        <w:rPr>
          <w:rFonts w:ascii="Times New Roman" w:hAnsi="Times New Roman" w:cs="Times New Roman"/>
          <w:color w:val="000000" w:themeColor="text1"/>
        </w:rPr>
        <w:t>pensent que les prix des produits alimentaires ont augmenté</w:t>
      </w:r>
      <w:r w:rsidR="00DC1E47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DC1E47">
        <w:rPr>
          <w:rFonts w:ascii="Times New Roman" w:hAnsi="Times New Roman" w:cs="Times New Roman"/>
          <w:color w:val="000000" w:themeColor="text1"/>
        </w:rPr>
        <w:t>dans le passé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742AC3" w:rsidRPr="00C706A5">
        <w:rPr>
          <w:rFonts w:ascii="Times New Roman" w:hAnsi="Times New Roman" w:cs="Times New Roman"/>
          <w:color w:val="000000" w:themeColor="text1"/>
        </w:rPr>
        <w:t>9</w:t>
      </w:r>
      <w:r w:rsidR="00352D33" w:rsidRPr="00C706A5">
        <w:rPr>
          <w:rFonts w:ascii="Times New Roman" w:hAnsi="Times New Roman" w:cs="Times New Roman"/>
          <w:color w:val="000000" w:themeColor="text1"/>
        </w:rPr>
        <w:t>1,</w:t>
      </w:r>
      <w:r w:rsidR="00C427E9">
        <w:rPr>
          <w:rFonts w:ascii="Times New Roman" w:hAnsi="Times New Roman" w:cs="Times New Roman"/>
          <w:color w:val="000000" w:themeColor="text1"/>
        </w:rPr>
        <w:t>9</w:t>
      </w:r>
      <w:r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581D56" w:rsidRPr="00C706A5">
        <w:rPr>
          <w:rFonts w:ascii="Times New Roman" w:hAnsi="Times New Roman" w:cs="Times New Roman"/>
          <w:color w:val="000000" w:themeColor="text1"/>
        </w:rPr>
        <w:t>un</w:t>
      </w:r>
      <w:r w:rsidRPr="00C706A5">
        <w:rPr>
          <w:rFonts w:ascii="Times New Roman" w:hAnsi="Times New Roman" w:cs="Times New Roman"/>
          <w:color w:val="000000" w:themeColor="text1"/>
        </w:rPr>
        <w:t xml:space="preserve"> trimestre </w:t>
      </w:r>
      <w:r w:rsidR="00581D56" w:rsidRPr="00C706A5">
        <w:rPr>
          <w:rFonts w:ascii="Times New Roman" w:hAnsi="Times New Roman" w:cs="Times New Roman"/>
          <w:color w:val="000000" w:themeColor="text1"/>
        </w:rPr>
        <w:t>auparavant</w:t>
      </w:r>
      <w:r w:rsidRPr="00C706A5">
        <w:rPr>
          <w:rFonts w:ascii="Times New Roman" w:hAnsi="Times New Roman" w:cs="Times New Roman"/>
          <w:color w:val="000000" w:themeColor="text1"/>
        </w:rPr>
        <w:t xml:space="preserve"> et </w:t>
      </w:r>
      <w:r w:rsidR="008A184F" w:rsidRPr="00C706A5">
        <w:rPr>
          <w:rFonts w:ascii="Times New Roman" w:hAnsi="Times New Roman" w:cs="Times New Roman"/>
          <w:color w:val="000000" w:themeColor="text1"/>
        </w:rPr>
        <w:t>9</w:t>
      </w:r>
      <w:r w:rsidR="00C427E9">
        <w:rPr>
          <w:rFonts w:ascii="Times New Roman" w:hAnsi="Times New Roman" w:cs="Times New Roman"/>
          <w:color w:val="000000" w:themeColor="text1"/>
        </w:rPr>
        <w:t>2</w:t>
      </w:r>
      <w:r w:rsidRPr="00C706A5">
        <w:rPr>
          <w:rFonts w:ascii="Times New Roman" w:hAnsi="Times New Roman" w:cs="Times New Roman"/>
          <w:color w:val="000000" w:themeColor="text1"/>
        </w:rPr>
        <w:t>,</w:t>
      </w:r>
      <w:r w:rsidR="00C427E9">
        <w:rPr>
          <w:rFonts w:ascii="Times New Roman" w:hAnsi="Times New Roman" w:cs="Times New Roman"/>
          <w:color w:val="000000" w:themeColor="text1"/>
        </w:rPr>
        <w:t>2</w:t>
      </w:r>
      <w:r w:rsidRPr="00C706A5">
        <w:rPr>
          <w:rFonts w:ascii="Times New Roman" w:hAnsi="Times New Roman" w:cs="Times New Roman"/>
          <w:color w:val="000000" w:themeColor="text1"/>
        </w:rPr>
        <w:t>% un an auparavant</w:t>
      </w:r>
      <w:r w:rsidR="00A644C5" w:rsidRPr="00C706A5">
        <w:rPr>
          <w:rFonts w:ascii="Times New Roman" w:hAnsi="Times New Roman" w:cs="Times New Roman"/>
          <w:color w:val="000000" w:themeColor="text1"/>
        </w:rPr>
        <w:t>.</w:t>
      </w:r>
      <w:r w:rsidR="0056317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352D33" w:rsidRPr="00C706A5">
        <w:rPr>
          <w:rFonts w:ascii="Times New Roman" w:hAnsi="Times New Roman" w:cs="Times New Roman"/>
          <w:color w:val="000000" w:themeColor="text1"/>
        </w:rPr>
        <w:t>Le</w:t>
      </w:r>
      <w:r w:rsidR="00C17A37" w:rsidRPr="00C706A5">
        <w:rPr>
          <w:rFonts w:ascii="Times New Roman" w:hAnsi="Times New Roman" w:cs="Times New Roman"/>
          <w:color w:val="000000" w:themeColor="text1"/>
        </w:rPr>
        <w:t xml:space="preserve"> solde d</w:t>
      </w:r>
      <w:r w:rsidR="00A644C5" w:rsidRPr="00C706A5">
        <w:rPr>
          <w:rFonts w:ascii="Times New Roman" w:hAnsi="Times New Roman" w:cs="Times New Roman"/>
          <w:color w:val="000000" w:themeColor="text1"/>
        </w:rPr>
        <w:t xml:space="preserve">e cet indicateur </w:t>
      </w:r>
      <w:r w:rsidR="00513F5E">
        <w:rPr>
          <w:rFonts w:ascii="Times New Roman" w:hAnsi="Times New Roman" w:cs="Times New Roman"/>
          <w:color w:val="000000" w:themeColor="text1"/>
        </w:rPr>
        <w:t>s’est amélioré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75581F">
        <w:rPr>
          <w:rFonts w:ascii="Times New Roman" w:hAnsi="Times New Roman" w:cs="Times New Roman"/>
          <w:color w:val="000000" w:themeColor="text1"/>
        </w:rPr>
        <w:t xml:space="preserve">de 1,4 point </w:t>
      </w:r>
      <w:r w:rsidR="0075581F" w:rsidRPr="00C706A5">
        <w:rPr>
          <w:rFonts w:ascii="Times New Roman" w:hAnsi="Times New Roman" w:cs="Times New Roman"/>
          <w:color w:val="000000" w:themeColor="text1"/>
        </w:rPr>
        <w:t>par rapport au trimestre précédent</w:t>
      </w:r>
      <w:r w:rsidR="0075581F">
        <w:rPr>
          <w:rFonts w:ascii="Times New Roman" w:hAnsi="Times New Roman" w:cs="Times New Roman"/>
          <w:color w:val="000000" w:themeColor="text1"/>
        </w:rPr>
        <w:t xml:space="preserve"> et 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AD370F">
        <w:rPr>
          <w:rFonts w:ascii="Times New Roman" w:hAnsi="Times New Roman" w:cs="Times New Roman"/>
          <w:color w:val="000000" w:themeColor="text1"/>
        </w:rPr>
        <w:t>2</w:t>
      </w:r>
      <w:r w:rsidR="00352D33" w:rsidRPr="00C706A5">
        <w:rPr>
          <w:rFonts w:ascii="Times New Roman" w:hAnsi="Times New Roman" w:cs="Times New Roman"/>
          <w:color w:val="000000" w:themeColor="text1"/>
        </w:rPr>
        <w:t>,</w:t>
      </w:r>
      <w:r w:rsidR="00AD370F">
        <w:rPr>
          <w:rFonts w:ascii="Times New Roman" w:hAnsi="Times New Roman" w:cs="Times New Roman"/>
          <w:color w:val="000000" w:themeColor="text1"/>
        </w:rPr>
        <w:t>2</w:t>
      </w:r>
      <w:r w:rsidR="00C427E9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>point</w:t>
      </w:r>
      <w:r w:rsidR="00352D3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21054" w:rsidRPr="00C706A5">
        <w:rPr>
          <w:rFonts w:ascii="Times New Roman" w:hAnsi="Times New Roman" w:cs="Times New Roman"/>
          <w:color w:val="000000" w:themeColor="text1"/>
        </w:rPr>
        <w:t xml:space="preserve">par rapport au même trimestre de </w:t>
      </w:r>
      <w:r w:rsidR="00FF44FD">
        <w:rPr>
          <w:rFonts w:ascii="Times New Roman" w:hAnsi="Times New Roman" w:cs="Times New Roman"/>
          <w:color w:val="000000" w:themeColor="text1"/>
        </w:rPr>
        <w:t>2013</w:t>
      </w:r>
      <w:r w:rsidR="00A21054" w:rsidRPr="00C706A5">
        <w:rPr>
          <w:rFonts w:ascii="Times New Roman" w:hAnsi="Times New Roman" w:cs="Times New Roman"/>
          <w:color w:val="000000" w:themeColor="text1"/>
        </w:rPr>
        <w:t>.</w:t>
      </w:r>
    </w:p>
    <w:p w:rsidR="00D54358" w:rsidRPr="00C706A5" w:rsidRDefault="00700954" w:rsidP="0066027B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Quant au</w:t>
      </w:r>
      <w:r w:rsidR="00C744C3" w:rsidRPr="00C706A5">
        <w:rPr>
          <w:rFonts w:ascii="Times New Roman" w:hAnsi="Times New Roman" w:cs="Times New Roman"/>
          <w:color w:val="000000" w:themeColor="text1"/>
        </w:rPr>
        <w:t>x</w:t>
      </w:r>
      <w:r w:rsidRPr="00C706A5">
        <w:rPr>
          <w:rFonts w:ascii="Times New Roman" w:hAnsi="Times New Roman" w:cs="Times New Roman"/>
          <w:color w:val="000000" w:themeColor="text1"/>
        </w:rPr>
        <w:t xml:space="preserve"> perspectives d’évolution des prix des produits alimentaires, p</w:t>
      </w:r>
      <w:r w:rsidR="00563170" w:rsidRPr="00C706A5">
        <w:rPr>
          <w:rFonts w:ascii="Times New Roman" w:hAnsi="Times New Roman" w:cs="Times New Roman"/>
          <w:color w:val="000000" w:themeColor="text1"/>
        </w:rPr>
        <w:t xml:space="preserve">lus de </w:t>
      </w:r>
      <w:r w:rsidR="002B2EC5" w:rsidRPr="00C706A5">
        <w:rPr>
          <w:rFonts w:ascii="Times New Roman" w:hAnsi="Times New Roman" w:cs="Times New Roman"/>
          <w:color w:val="000000" w:themeColor="text1"/>
        </w:rPr>
        <w:t>trois</w:t>
      </w:r>
      <w:r w:rsidR="0056317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C374B5" w:rsidRPr="00C706A5">
        <w:rPr>
          <w:rFonts w:ascii="Times New Roman" w:hAnsi="Times New Roman" w:cs="Times New Roman"/>
          <w:color w:val="000000" w:themeColor="text1"/>
        </w:rPr>
        <w:t xml:space="preserve">ménages </w:t>
      </w:r>
      <w:r w:rsidR="00563170" w:rsidRPr="00C706A5">
        <w:rPr>
          <w:rFonts w:ascii="Times New Roman" w:hAnsi="Times New Roman" w:cs="Times New Roman"/>
          <w:color w:val="000000" w:themeColor="text1"/>
        </w:rPr>
        <w:t xml:space="preserve">sur </w:t>
      </w:r>
      <w:r w:rsidR="002B2EC5" w:rsidRPr="00C706A5">
        <w:rPr>
          <w:rFonts w:ascii="Times New Roman" w:hAnsi="Times New Roman" w:cs="Times New Roman"/>
          <w:color w:val="000000" w:themeColor="text1"/>
        </w:rPr>
        <w:t>quatre</w:t>
      </w:r>
      <w:r w:rsidR="00563170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2A1C56" w:rsidRPr="00C706A5">
        <w:rPr>
          <w:rFonts w:ascii="Times New Roman" w:hAnsi="Times New Roman" w:cs="Times New Roman"/>
          <w:color w:val="000000" w:themeColor="text1"/>
        </w:rPr>
        <w:t>(7</w:t>
      </w:r>
      <w:r w:rsidR="004868DB">
        <w:rPr>
          <w:rFonts w:ascii="Times New Roman" w:hAnsi="Times New Roman" w:cs="Times New Roman"/>
          <w:color w:val="000000" w:themeColor="text1"/>
        </w:rPr>
        <w:t>8,6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%) pensent que </w:t>
      </w:r>
      <w:r w:rsidR="00EA205A" w:rsidRPr="00C706A5">
        <w:rPr>
          <w:rFonts w:ascii="Times New Roman" w:hAnsi="Times New Roman" w:cs="Times New Roman"/>
          <w:color w:val="000000" w:themeColor="text1"/>
        </w:rPr>
        <w:t>c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es prix continueront à augmenter dans le futur 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4868DB">
        <w:rPr>
          <w:rFonts w:ascii="Times New Roman" w:hAnsi="Times New Roman" w:cs="Times New Roman"/>
          <w:color w:val="000000" w:themeColor="text1"/>
        </w:rPr>
        <w:t>7</w:t>
      </w:r>
      <w:r w:rsidR="007D6641" w:rsidRPr="00C706A5">
        <w:rPr>
          <w:rFonts w:ascii="Times New Roman" w:hAnsi="Times New Roman" w:cs="Times New Roman"/>
          <w:color w:val="000000" w:themeColor="text1"/>
        </w:rPr>
        <w:t>7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04211E">
        <w:rPr>
          <w:rFonts w:ascii="Times New Roman" w:hAnsi="Times New Roman" w:cs="Times New Roman"/>
          <w:color w:val="000000" w:themeColor="text1"/>
        </w:rPr>
        <w:t>quatrième trimestre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4868DB">
        <w:rPr>
          <w:rFonts w:ascii="Times New Roman" w:hAnsi="Times New Roman" w:cs="Times New Roman"/>
          <w:color w:val="000000" w:themeColor="text1"/>
        </w:rPr>
        <w:t>3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et </w:t>
      </w:r>
      <w:r w:rsidR="004868DB">
        <w:rPr>
          <w:rFonts w:ascii="Times New Roman" w:hAnsi="Times New Roman" w:cs="Times New Roman"/>
          <w:color w:val="000000" w:themeColor="text1"/>
        </w:rPr>
        <w:t>78</w:t>
      </w:r>
      <w:r w:rsidR="00985AB3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au </w:t>
      </w:r>
      <w:r w:rsidR="0004211E">
        <w:rPr>
          <w:rFonts w:ascii="Times New Roman" w:hAnsi="Times New Roman" w:cs="Times New Roman"/>
          <w:color w:val="000000" w:themeColor="text1"/>
        </w:rPr>
        <w:t>premier trimestre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 de </w:t>
      </w:r>
      <w:r w:rsidR="00FF44FD">
        <w:rPr>
          <w:rFonts w:ascii="Times New Roman" w:hAnsi="Times New Roman" w:cs="Times New Roman"/>
          <w:color w:val="000000" w:themeColor="text1"/>
        </w:rPr>
        <w:t>201</w:t>
      </w:r>
      <w:r w:rsidR="004868DB">
        <w:rPr>
          <w:rFonts w:ascii="Times New Roman" w:hAnsi="Times New Roman" w:cs="Times New Roman"/>
          <w:color w:val="000000" w:themeColor="text1"/>
        </w:rPr>
        <w:t>3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.  Le solde </w:t>
      </w:r>
      <w:r w:rsidR="003A52E9" w:rsidRPr="00C706A5">
        <w:rPr>
          <w:rFonts w:ascii="Times New Roman" w:hAnsi="Times New Roman" w:cs="Times New Roman"/>
          <w:color w:val="000000" w:themeColor="text1"/>
        </w:rPr>
        <w:t xml:space="preserve"> relatif aux perspectives d’évolution </w:t>
      </w:r>
      <w:r w:rsidR="002A1C56" w:rsidRPr="00C706A5">
        <w:rPr>
          <w:rFonts w:ascii="Times New Roman" w:hAnsi="Times New Roman" w:cs="Times New Roman"/>
          <w:color w:val="000000" w:themeColor="text1"/>
        </w:rPr>
        <w:t xml:space="preserve">de ces prix </w:t>
      </w:r>
      <w:r w:rsidR="00C13086" w:rsidRPr="00C706A5">
        <w:rPr>
          <w:rFonts w:ascii="Times New Roman" w:hAnsi="Times New Roman" w:cs="Times New Roman"/>
          <w:color w:val="000000" w:themeColor="text1"/>
        </w:rPr>
        <w:t xml:space="preserve">s’est </w:t>
      </w:r>
      <w:r w:rsidR="00C26D09">
        <w:rPr>
          <w:rFonts w:ascii="Times New Roman" w:hAnsi="Times New Roman" w:cs="Times New Roman"/>
          <w:color w:val="000000" w:themeColor="text1"/>
        </w:rPr>
        <w:t>détér</w:t>
      </w:r>
      <w:r w:rsidR="004868DB">
        <w:rPr>
          <w:rFonts w:ascii="Times New Roman" w:hAnsi="Times New Roman" w:cs="Times New Roman"/>
          <w:color w:val="000000" w:themeColor="text1"/>
        </w:rPr>
        <w:t>ior</w:t>
      </w:r>
      <w:r w:rsidR="00C13086" w:rsidRPr="00C706A5">
        <w:rPr>
          <w:rFonts w:ascii="Times New Roman" w:hAnsi="Times New Roman" w:cs="Times New Roman"/>
          <w:color w:val="000000" w:themeColor="text1"/>
        </w:rPr>
        <w:t xml:space="preserve">é </w:t>
      </w:r>
      <w:r w:rsidR="003A52E9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C26D09">
        <w:rPr>
          <w:rFonts w:ascii="Times New Roman" w:hAnsi="Times New Roman" w:cs="Times New Roman"/>
          <w:color w:val="000000" w:themeColor="text1"/>
        </w:rPr>
        <w:t>1</w:t>
      </w:r>
      <w:r w:rsidR="004868DB">
        <w:rPr>
          <w:rFonts w:ascii="Times New Roman" w:hAnsi="Times New Roman" w:cs="Times New Roman"/>
          <w:color w:val="000000" w:themeColor="text1"/>
        </w:rPr>
        <w:t>,</w:t>
      </w:r>
      <w:r w:rsidR="0066027B">
        <w:rPr>
          <w:rFonts w:ascii="Times New Roman" w:hAnsi="Times New Roman" w:cs="Times New Roman"/>
          <w:color w:val="000000" w:themeColor="text1"/>
        </w:rPr>
        <w:t>6</w:t>
      </w:r>
      <w:r w:rsidR="0065300A">
        <w:rPr>
          <w:rFonts w:ascii="Times New Roman" w:hAnsi="Times New Roman" w:cs="Times New Roman"/>
          <w:color w:val="000000" w:themeColor="text1"/>
        </w:rPr>
        <w:t xml:space="preserve"> point</w:t>
      </w:r>
      <w:r w:rsidR="003A52E9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D370F">
        <w:rPr>
          <w:rFonts w:ascii="Times New Roman" w:hAnsi="Times New Roman" w:cs="Times New Roman"/>
          <w:color w:val="000000" w:themeColor="text1"/>
        </w:rPr>
        <w:t>et de 1,</w:t>
      </w:r>
      <w:r w:rsidR="0066027B">
        <w:rPr>
          <w:rFonts w:ascii="Times New Roman" w:hAnsi="Times New Roman" w:cs="Times New Roman"/>
          <w:color w:val="000000" w:themeColor="text1"/>
        </w:rPr>
        <w:t>5</w:t>
      </w:r>
      <w:r w:rsidR="00AD370F">
        <w:rPr>
          <w:rFonts w:ascii="Times New Roman" w:hAnsi="Times New Roman" w:cs="Times New Roman"/>
          <w:color w:val="000000" w:themeColor="text1"/>
        </w:rPr>
        <w:t xml:space="preserve"> point </w:t>
      </w:r>
      <w:r w:rsidR="00144320">
        <w:rPr>
          <w:rFonts w:ascii="Times New Roman" w:hAnsi="Times New Roman" w:cs="Times New Roman"/>
          <w:color w:val="000000" w:themeColor="text1"/>
        </w:rPr>
        <w:t>durant ces deux périodes respectives</w:t>
      </w:r>
      <w:r w:rsidR="007D6641" w:rsidRPr="00C706A5">
        <w:rPr>
          <w:rFonts w:ascii="Times New Roman" w:hAnsi="Times New Roman" w:cs="Times New Roman"/>
          <w:color w:val="000000" w:themeColor="text1"/>
        </w:rPr>
        <w:t>.</w:t>
      </w:r>
    </w:p>
    <w:p w:rsidR="008D1AAF" w:rsidRPr="00C706A5" w:rsidRDefault="008D1AAF" w:rsidP="008D1AAF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C5D13" w:rsidRPr="00C706A5" w:rsidRDefault="00C0250F" w:rsidP="00C0250F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noProof/>
          <w:color w:val="000000" w:themeColor="text1"/>
        </w:rPr>
        <w:lastRenderedPageBreak/>
        <w:t xml:space="preserve">  </w:t>
      </w:r>
      <w:r w:rsidR="00BC5D13" w:rsidRPr="00C706A5">
        <w:rPr>
          <w:rFonts w:ascii="Times New Roman" w:hAnsi="Times New Roman" w:cs="Times New Roman"/>
          <w:noProof/>
          <w:color w:val="000000" w:themeColor="text1"/>
        </w:rPr>
        <w:t xml:space="preserve">  </w:t>
      </w:r>
      <w:r w:rsidR="00C72318" w:rsidRPr="00C706A5">
        <w:rPr>
          <w:noProof/>
          <w:color w:val="000000" w:themeColor="text1"/>
        </w:rPr>
        <w:t xml:space="preserve"> </w:t>
      </w:r>
      <w:r w:rsidR="00C21ABF" w:rsidRPr="00C21ABF">
        <w:rPr>
          <w:noProof/>
          <w:color w:val="000000" w:themeColor="text1"/>
        </w:rPr>
        <w:drawing>
          <wp:inline distT="0" distB="0" distL="0" distR="0">
            <wp:extent cx="2660539" cy="3554233"/>
            <wp:effectExtent l="19050" t="0" r="25511" b="8117"/>
            <wp:docPr id="16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C21ABF" w:rsidRPr="00C21ABF">
        <w:rPr>
          <w:noProof/>
        </w:rPr>
        <w:t xml:space="preserve"> </w:t>
      </w:r>
      <w:r w:rsidR="00C21ABF" w:rsidRPr="00C21ABF">
        <w:rPr>
          <w:noProof/>
          <w:color w:val="000000" w:themeColor="text1"/>
        </w:rPr>
        <w:drawing>
          <wp:inline distT="0" distB="0" distL="0" distR="0">
            <wp:extent cx="2600795" cy="3562184"/>
            <wp:effectExtent l="19050" t="0" r="28105" b="166"/>
            <wp:docPr id="17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03E2E" w:rsidRPr="00C706A5" w:rsidRDefault="00D03E2E" w:rsidP="009E2A58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C72318" w:rsidRPr="00C706A5" w:rsidRDefault="00C72318" w:rsidP="00C7231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C72318" w:rsidRPr="00C706A5" w:rsidRDefault="00C72318" w:rsidP="00C7231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p w:rsidR="009D209A" w:rsidRPr="00C706A5" w:rsidRDefault="009D209A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9D209A" w:rsidRPr="00C706A5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B623D5" w:rsidRPr="00C706A5" w:rsidRDefault="00B623D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6E6C" w:rsidRDefault="005D5B33" w:rsidP="00C73C35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Evolution de l’I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ndice de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onfiance des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</w:t>
      </w:r>
      <w:r w:rsidR="00C35BF2"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énages  (ICM) </w:t>
      </w:r>
      <w:r w:rsidRPr="00C706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et de ses composantes</w:t>
      </w:r>
    </w:p>
    <w:tbl>
      <w:tblPr>
        <w:tblW w:w="1548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76"/>
        <w:gridCol w:w="598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500"/>
      </w:tblGrid>
      <w:tr w:rsidR="00834762" w:rsidRPr="00C73C35" w:rsidTr="00501D0E">
        <w:trPr>
          <w:trHeight w:val="296"/>
        </w:trPr>
        <w:tc>
          <w:tcPr>
            <w:tcW w:w="3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4762" w:rsidRPr="00C73C35" w:rsidRDefault="00834762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Indicateur</w:t>
            </w:r>
          </w:p>
        </w:tc>
        <w:tc>
          <w:tcPr>
            <w:tcW w:w="2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34762" w:rsidRPr="00834762" w:rsidRDefault="00834762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2008</w:t>
            </w:r>
          </w:p>
        </w:tc>
        <w:tc>
          <w:tcPr>
            <w:tcW w:w="19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762" w:rsidRPr="00834762" w:rsidRDefault="00834762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2009</w:t>
            </w:r>
          </w:p>
        </w:tc>
        <w:tc>
          <w:tcPr>
            <w:tcW w:w="19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762" w:rsidRPr="00834762" w:rsidRDefault="00834762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2010</w:t>
            </w:r>
          </w:p>
        </w:tc>
        <w:tc>
          <w:tcPr>
            <w:tcW w:w="19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762" w:rsidRPr="00834762" w:rsidRDefault="00834762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2011</w:t>
            </w:r>
          </w:p>
        </w:tc>
        <w:tc>
          <w:tcPr>
            <w:tcW w:w="19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762" w:rsidRPr="00834762" w:rsidRDefault="00834762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2012</w:t>
            </w:r>
          </w:p>
        </w:tc>
        <w:tc>
          <w:tcPr>
            <w:tcW w:w="19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762" w:rsidRPr="00834762" w:rsidRDefault="00834762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2013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4762" w:rsidRPr="00834762" w:rsidRDefault="00834762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3476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</w:t>
            </w:r>
          </w:p>
        </w:tc>
      </w:tr>
      <w:tr w:rsidR="00C73C35" w:rsidRPr="00C73C35" w:rsidTr="00501D0E">
        <w:trPr>
          <w:trHeight w:val="489"/>
        </w:trPr>
        <w:tc>
          <w:tcPr>
            <w:tcW w:w="3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T2/08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T3/08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T4/08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T1/09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T2/09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T3/09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T4/09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T2/10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T3/10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T4/10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T2/11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T3/11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T4/11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T1/12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T2/12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T3/12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T4/12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T2/13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T3/13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T4/13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T1/14</w:t>
            </w:r>
          </w:p>
        </w:tc>
      </w:tr>
      <w:tr w:rsidR="00C73C35" w:rsidRPr="00C73C35" w:rsidTr="00501D0E">
        <w:trPr>
          <w:trHeight w:val="489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5426C2" w:rsidP="005426C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 w:rsidR="00C73C35" w:rsidRPr="00C73C3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ndic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de Confiance des Ménages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76,9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86,5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84,5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82,9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80,7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78,4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74,1</w:t>
            </w:r>
          </w:p>
        </w:tc>
      </w:tr>
      <w:tr w:rsidR="00C73C35" w:rsidRPr="00C73C35" w:rsidTr="00501D0E">
        <w:trPr>
          <w:trHeight w:val="553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Perspectives d'évolution du nombre de chômeurs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-52,1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-51,6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-51,1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-59,1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-57,9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-57,5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-59,2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-52,3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-52,4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-41,6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-44,1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-48,6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-58,1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-61,7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-67,8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-69,8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-68,2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-69,1</w:t>
            </w:r>
          </w:p>
        </w:tc>
      </w:tr>
      <w:tr w:rsidR="00C73C35" w:rsidRPr="00C73C35" w:rsidTr="00501D0E">
        <w:trPr>
          <w:trHeight w:val="561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passée du niveau de vie en général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-10,4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-25,2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-36,7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-26,5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-28,6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-27,9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-37,2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-26,1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-13,4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-20,2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-26,2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-21,8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-27,9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-28,1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-23,1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-21,2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-19,9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-18,1</w:t>
            </w:r>
          </w:p>
        </w:tc>
      </w:tr>
      <w:tr w:rsidR="00C73C35" w:rsidRPr="00C73C35" w:rsidTr="00501D0E">
        <w:trPr>
          <w:trHeight w:val="541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Perspectives d'évolution du niveau de vie en général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-21,4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18,1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13,1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-11,4</w:t>
            </w:r>
          </w:p>
        </w:tc>
      </w:tr>
      <w:tr w:rsidR="00C73C35" w:rsidRPr="00C73C35" w:rsidTr="00501D0E">
        <w:trPr>
          <w:trHeight w:val="50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Opportunité d'achat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-34,3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-37,5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-39,1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-41,8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-46,5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-43,4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-42,6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-34,8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-37,5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-44,3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-39,9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-36,4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-38,5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-32,5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-37,4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-28,3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-31,3</w:t>
            </w:r>
          </w:p>
        </w:tc>
      </w:tr>
      <w:tr w:rsidR="00C73C35" w:rsidRPr="00C73C35" w:rsidTr="00501D0E">
        <w:trPr>
          <w:trHeight w:val="609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Situation financière actuelle des ménages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-32,9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-34,4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-33,1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-26,9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-28,3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-25,3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-27,5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-27,6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-28,1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-30,6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-27,1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-24,3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-25,4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-30,8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-30,2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-31,3</w:t>
            </w:r>
          </w:p>
        </w:tc>
      </w:tr>
      <w:tr w:rsidR="00C73C35" w:rsidRPr="00C73C35" w:rsidTr="00501D0E">
        <w:trPr>
          <w:trHeight w:val="692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passée  de la situation financière des ménages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-18,4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-13,4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-12,8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-10,5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-14,1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-16,6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-16,7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-15,7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-19,6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-23,8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-21,9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-21,9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-21,3</w:t>
            </w:r>
          </w:p>
        </w:tc>
      </w:tr>
      <w:tr w:rsidR="00C73C35" w:rsidRPr="00C73C35" w:rsidTr="00501D0E">
        <w:trPr>
          <w:trHeight w:val="694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future de la situation financière des ménages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23,9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15,6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16,6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26,8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17,8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11,8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7,8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20,4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11,1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2,8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-1,7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</w:tr>
      <w:tr w:rsidR="00C73C35" w:rsidRPr="00C73C35" w:rsidTr="00834762">
        <w:trPr>
          <w:trHeight w:val="296"/>
        </w:trPr>
        <w:tc>
          <w:tcPr>
            <w:tcW w:w="1548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015112">
            <w:pPr>
              <w:widowControl/>
              <w:tabs>
                <w:tab w:val="left" w:pos="3915"/>
              </w:tabs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151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Autres soldes</w:t>
            </w:r>
          </w:p>
        </w:tc>
      </w:tr>
      <w:tr w:rsidR="00C73C35" w:rsidRPr="00C73C35" w:rsidTr="00501D0E">
        <w:trPr>
          <w:trHeight w:val="311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future des prix des produits alimentaires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-74,1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-77,7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-78,9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-49,7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-34,9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-33,5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-50,9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-47,9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-46,5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-62,2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-70,2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-73,4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-58,8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-72,6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-69,8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-71,5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-73,6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-76,1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-73,4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-76,0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-76,0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-77,6</w:t>
            </w:r>
          </w:p>
        </w:tc>
      </w:tr>
      <w:tr w:rsidR="00C73C35" w:rsidRPr="00C73C35" w:rsidTr="00501D0E">
        <w:trPr>
          <w:trHeight w:val="660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Evolution  passée des prix des produits alimentaires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-93,6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-95,9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-96,2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-94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-87,2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-85,7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-83,3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-79,5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-87,8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-89,7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-90,9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-95,5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-87,2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-89,9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-92,5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-91,6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-91,1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-91,7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-90,6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-91,6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-88,9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-90,5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-90,8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-89,4</w:t>
            </w:r>
          </w:p>
        </w:tc>
      </w:tr>
      <w:tr w:rsidR="00C73C35" w:rsidRPr="00C73C35" w:rsidTr="00501D0E">
        <w:trPr>
          <w:trHeight w:val="296"/>
        </w:trPr>
        <w:tc>
          <w:tcPr>
            <w:tcW w:w="3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73C35">
              <w:rPr>
                <w:rFonts w:ascii="Times New Roman" w:hAnsi="Times New Roman" w:cs="Times New Roman"/>
                <w:sz w:val="20"/>
                <w:szCs w:val="20"/>
              </w:rPr>
              <w:t>Capacité à épargner des ménages dans les mois à venir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-61,2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-61,3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-60,7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-57,1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-57,8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-58,5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-56,6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-61,1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-67,6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-66,6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-61,7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-63,3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-64,9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-64,7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-62,5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-63,5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-65,3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-64,5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-67,0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-70,3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-69,1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-66,7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3C35" w:rsidRPr="00C73C35" w:rsidRDefault="00C73C35" w:rsidP="00C73C35">
            <w:pPr>
              <w:widowControl/>
              <w:autoSpaceDE/>
              <w:autoSpaceDN/>
              <w:adjustRightInd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73C35">
              <w:rPr>
                <w:rFonts w:ascii="Times New Roman" w:hAnsi="Times New Roman" w:cs="Times New Roman"/>
                <w:sz w:val="16"/>
                <w:szCs w:val="16"/>
              </w:rPr>
              <w:t>-66,6</w:t>
            </w:r>
          </w:p>
        </w:tc>
      </w:tr>
    </w:tbl>
    <w:p w:rsidR="00C73C35" w:rsidRDefault="00C73C3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73C35" w:rsidRDefault="00C73C3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73C35" w:rsidRPr="00C706A5" w:rsidRDefault="00C73C3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D5B33" w:rsidRPr="00C706A5" w:rsidRDefault="005D5B33" w:rsidP="00F04758">
      <w:pPr>
        <w:rPr>
          <w:rFonts w:ascii="Calibri" w:hAnsi="Calibri" w:cs="Times New Roman"/>
          <w:color w:val="000000" w:themeColor="text1"/>
          <w:szCs w:val="22"/>
        </w:rPr>
        <w:sectPr w:rsidR="005D5B33" w:rsidRPr="00C706A5" w:rsidSect="005D5B33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4759" w:type="dxa"/>
        <w:tblInd w:w="5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87"/>
        <w:gridCol w:w="867"/>
        <w:gridCol w:w="715"/>
        <w:gridCol w:w="710"/>
        <w:gridCol w:w="708"/>
        <w:gridCol w:w="709"/>
        <w:gridCol w:w="709"/>
        <w:gridCol w:w="662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624"/>
        <w:gridCol w:w="668"/>
      </w:tblGrid>
      <w:tr w:rsidR="004211F6" w:rsidRPr="00C706A5" w:rsidTr="005D5B33">
        <w:trPr>
          <w:trHeight w:val="300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</w:tr>
      <w:tr w:rsidR="004211F6" w:rsidRPr="00C706A5" w:rsidTr="005D5B33">
        <w:trPr>
          <w:trHeight w:val="300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4211F6" w:rsidRPr="00C706A5" w:rsidRDefault="004211F6" w:rsidP="00F04758">
            <w:pPr>
              <w:rPr>
                <w:rFonts w:ascii="Calibri" w:hAnsi="Calibri" w:cs="Times New Roman"/>
                <w:color w:val="000000" w:themeColor="text1"/>
                <w:szCs w:val="22"/>
              </w:rPr>
            </w:pPr>
          </w:p>
        </w:tc>
      </w:tr>
    </w:tbl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289"/>
        <w:tblW w:w="10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791"/>
      </w:tblGrid>
      <w:tr w:rsidR="008D7771" w:rsidRPr="00C706A5" w:rsidTr="00D34415">
        <w:trPr>
          <w:trHeight w:val="8496"/>
        </w:trPr>
        <w:tc>
          <w:tcPr>
            <w:tcW w:w="10791" w:type="dxa"/>
          </w:tcPr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 que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8D7771" w:rsidRPr="00C706A5" w:rsidRDefault="008D7771" w:rsidP="008D7771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2C768B" w:rsidRPr="0074699A" w:rsidRDefault="002C768B" w:rsidP="0074699A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Des tests statistiques de Fisher</w:t>
            </w:r>
            <w:r w:rsidR="0074699A"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="0074699A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2014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, </w:t>
            </w:r>
            <w:r w:rsidR="00DA3867"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ont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confirmé l’absence des variations saisonnières stables et mobiles</w:t>
            </w:r>
            <w:r w:rsid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D7771" w:rsidRPr="00C706A5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6" w:history="1">
              <w:r w:rsidRPr="00C706A5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B10786" w:rsidRPr="00C706A5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B87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E62" w:rsidRDefault="00622E62" w:rsidP="00460705">
      <w:r>
        <w:separator/>
      </w:r>
    </w:p>
  </w:endnote>
  <w:endnote w:type="continuationSeparator" w:id="1">
    <w:p w:rsidR="00622E62" w:rsidRDefault="00622E62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Univers">
    <w:altName w:val="Arial"/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7D2" w:rsidRDefault="00CE1016">
    <w:pPr>
      <w:pStyle w:val="Pieddepage"/>
      <w:jc w:val="right"/>
    </w:pPr>
    <w:fldSimple w:instr=" PAGE   \* MERGEFORMAT ">
      <w:r w:rsidR="00242B44">
        <w:rPr>
          <w:noProof/>
        </w:rPr>
        <w:t>2</w:t>
      </w:r>
    </w:fldSimple>
  </w:p>
  <w:p w:rsidR="001347D2" w:rsidRDefault="001347D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E62" w:rsidRDefault="00622E62" w:rsidP="00460705">
      <w:r>
        <w:separator/>
      </w:r>
    </w:p>
  </w:footnote>
  <w:footnote w:type="continuationSeparator" w:id="1">
    <w:p w:rsidR="00622E62" w:rsidRDefault="00622E62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C3212"/>
    <w:multiLevelType w:val="hybridMultilevel"/>
    <w:tmpl w:val="80FE2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0"/>
  </w:num>
  <w:num w:numId="8">
    <w:abstractNumId w:val="4"/>
  </w:num>
  <w:num w:numId="9">
    <w:abstractNumId w:val="10"/>
  </w:num>
  <w:num w:numId="10">
    <w:abstractNumId w:val="3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04"/>
    <w:rsid w:val="000016A1"/>
    <w:rsid w:val="000023E0"/>
    <w:rsid w:val="00002F9B"/>
    <w:rsid w:val="00003F54"/>
    <w:rsid w:val="000069AE"/>
    <w:rsid w:val="00011A0E"/>
    <w:rsid w:val="00011BC4"/>
    <w:rsid w:val="00011F4E"/>
    <w:rsid w:val="00014940"/>
    <w:rsid w:val="00015112"/>
    <w:rsid w:val="00016F90"/>
    <w:rsid w:val="000174FE"/>
    <w:rsid w:val="00017526"/>
    <w:rsid w:val="0001754D"/>
    <w:rsid w:val="00022644"/>
    <w:rsid w:val="00024686"/>
    <w:rsid w:val="0002532B"/>
    <w:rsid w:val="00025F15"/>
    <w:rsid w:val="000265CF"/>
    <w:rsid w:val="000315FD"/>
    <w:rsid w:val="00031CFB"/>
    <w:rsid w:val="000324B4"/>
    <w:rsid w:val="00032AF9"/>
    <w:rsid w:val="00032ECD"/>
    <w:rsid w:val="000356C1"/>
    <w:rsid w:val="000364EF"/>
    <w:rsid w:val="000370B6"/>
    <w:rsid w:val="0004211E"/>
    <w:rsid w:val="00043430"/>
    <w:rsid w:val="000451AC"/>
    <w:rsid w:val="00046C56"/>
    <w:rsid w:val="00047B2B"/>
    <w:rsid w:val="00051534"/>
    <w:rsid w:val="000518A6"/>
    <w:rsid w:val="00052C8E"/>
    <w:rsid w:val="00055B18"/>
    <w:rsid w:val="0005628D"/>
    <w:rsid w:val="00056F4A"/>
    <w:rsid w:val="00057262"/>
    <w:rsid w:val="00057BC7"/>
    <w:rsid w:val="00057E1A"/>
    <w:rsid w:val="00061CA4"/>
    <w:rsid w:val="00064021"/>
    <w:rsid w:val="000646B0"/>
    <w:rsid w:val="00067D35"/>
    <w:rsid w:val="000706EE"/>
    <w:rsid w:val="000720FD"/>
    <w:rsid w:val="00072F7C"/>
    <w:rsid w:val="00073079"/>
    <w:rsid w:val="000749D1"/>
    <w:rsid w:val="000779C2"/>
    <w:rsid w:val="00077CAA"/>
    <w:rsid w:val="0008224D"/>
    <w:rsid w:val="000836A6"/>
    <w:rsid w:val="0008574A"/>
    <w:rsid w:val="000877E9"/>
    <w:rsid w:val="00087DA2"/>
    <w:rsid w:val="00090FCF"/>
    <w:rsid w:val="00090FEC"/>
    <w:rsid w:val="00091FB9"/>
    <w:rsid w:val="00097300"/>
    <w:rsid w:val="00097799"/>
    <w:rsid w:val="0009797C"/>
    <w:rsid w:val="00097D75"/>
    <w:rsid w:val="000A0881"/>
    <w:rsid w:val="000A158A"/>
    <w:rsid w:val="000A20DC"/>
    <w:rsid w:val="000A40C3"/>
    <w:rsid w:val="000A62F9"/>
    <w:rsid w:val="000B0844"/>
    <w:rsid w:val="000B09BA"/>
    <w:rsid w:val="000B1487"/>
    <w:rsid w:val="000B16D1"/>
    <w:rsid w:val="000C0C01"/>
    <w:rsid w:val="000C439F"/>
    <w:rsid w:val="000C56EA"/>
    <w:rsid w:val="000C7F17"/>
    <w:rsid w:val="000D1CF5"/>
    <w:rsid w:val="000D24FA"/>
    <w:rsid w:val="000D341B"/>
    <w:rsid w:val="000D367A"/>
    <w:rsid w:val="000D4077"/>
    <w:rsid w:val="000D5638"/>
    <w:rsid w:val="000D5AB2"/>
    <w:rsid w:val="000D5B0A"/>
    <w:rsid w:val="000E10E0"/>
    <w:rsid w:val="000E17D9"/>
    <w:rsid w:val="000F0919"/>
    <w:rsid w:val="000F0DB1"/>
    <w:rsid w:val="000F2945"/>
    <w:rsid w:val="000F6CE8"/>
    <w:rsid w:val="000F70E8"/>
    <w:rsid w:val="000F74C5"/>
    <w:rsid w:val="000F7A57"/>
    <w:rsid w:val="000F7C4F"/>
    <w:rsid w:val="001037B3"/>
    <w:rsid w:val="00104438"/>
    <w:rsid w:val="00104463"/>
    <w:rsid w:val="001052BE"/>
    <w:rsid w:val="00105320"/>
    <w:rsid w:val="00106E19"/>
    <w:rsid w:val="00106EC0"/>
    <w:rsid w:val="00106FA4"/>
    <w:rsid w:val="00107534"/>
    <w:rsid w:val="001103D0"/>
    <w:rsid w:val="00110B90"/>
    <w:rsid w:val="001116C8"/>
    <w:rsid w:val="00113767"/>
    <w:rsid w:val="00115D48"/>
    <w:rsid w:val="001161C4"/>
    <w:rsid w:val="0011726A"/>
    <w:rsid w:val="00117A2F"/>
    <w:rsid w:val="00117F82"/>
    <w:rsid w:val="00121CCC"/>
    <w:rsid w:val="00122941"/>
    <w:rsid w:val="00123E79"/>
    <w:rsid w:val="00124827"/>
    <w:rsid w:val="00125161"/>
    <w:rsid w:val="001254E5"/>
    <w:rsid w:val="00125543"/>
    <w:rsid w:val="00127D67"/>
    <w:rsid w:val="00131E2D"/>
    <w:rsid w:val="00133860"/>
    <w:rsid w:val="001347D2"/>
    <w:rsid w:val="00137D7D"/>
    <w:rsid w:val="001404A9"/>
    <w:rsid w:val="001414F3"/>
    <w:rsid w:val="001438AB"/>
    <w:rsid w:val="0014398F"/>
    <w:rsid w:val="00144320"/>
    <w:rsid w:val="0014733D"/>
    <w:rsid w:val="0015212E"/>
    <w:rsid w:val="00152D59"/>
    <w:rsid w:val="00153ECF"/>
    <w:rsid w:val="001545AE"/>
    <w:rsid w:val="00156587"/>
    <w:rsid w:val="00157CA9"/>
    <w:rsid w:val="00162062"/>
    <w:rsid w:val="001648E6"/>
    <w:rsid w:val="0016596E"/>
    <w:rsid w:val="001672BD"/>
    <w:rsid w:val="00174542"/>
    <w:rsid w:val="001757C5"/>
    <w:rsid w:val="00184023"/>
    <w:rsid w:val="00185207"/>
    <w:rsid w:val="00185ABC"/>
    <w:rsid w:val="001871C4"/>
    <w:rsid w:val="00187EB7"/>
    <w:rsid w:val="00190672"/>
    <w:rsid w:val="00191E08"/>
    <w:rsid w:val="00191F62"/>
    <w:rsid w:val="00193B4D"/>
    <w:rsid w:val="0019435A"/>
    <w:rsid w:val="001956DC"/>
    <w:rsid w:val="00195D2E"/>
    <w:rsid w:val="001960E9"/>
    <w:rsid w:val="00196D8E"/>
    <w:rsid w:val="00196DF3"/>
    <w:rsid w:val="001975D4"/>
    <w:rsid w:val="00197D9A"/>
    <w:rsid w:val="00197F64"/>
    <w:rsid w:val="001A048A"/>
    <w:rsid w:val="001A0F65"/>
    <w:rsid w:val="001A4203"/>
    <w:rsid w:val="001A4BB7"/>
    <w:rsid w:val="001A648B"/>
    <w:rsid w:val="001A69DD"/>
    <w:rsid w:val="001A6BB6"/>
    <w:rsid w:val="001B1130"/>
    <w:rsid w:val="001B2334"/>
    <w:rsid w:val="001B3707"/>
    <w:rsid w:val="001B3CB2"/>
    <w:rsid w:val="001B50A1"/>
    <w:rsid w:val="001B561B"/>
    <w:rsid w:val="001B5B96"/>
    <w:rsid w:val="001B5F02"/>
    <w:rsid w:val="001B69A3"/>
    <w:rsid w:val="001B7322"/>
    <w:rsid w:val="001C0839"/>
    <w:rsid w:val="001C4D54"/>
    <w:rsid w:val="001C67D4"/>
    <w:rsid w:val="001C6846"/>
    <w:rsid w:val="001C6883"/>
    <w:rsid w:val="001D0C73"/>
    <w:rsid w:val="001D709D"/>
    <w:rsid w:val="001E0D0B"/>
    <w:rsid w:val="001E36D5"/>
    <w:rsid w:val="001E42CC"/>
    <w:rsid w:val="001E4F55"/>
    <w:rsid w:val="001F062E"/>
    <w:rsid w:val="001F14B0"/>
    <w:rsid w:val="001F20AF"/>
    <w:rsid w:val="001F321B"/>
    <w:rsid w:val="001F4A3E"/>
    <w:rsid w:val="001F4FE4"/>
    <w:rsid w:val="001F59E2"/>
    <w:rsid w:val="001F5D34"/>
    <w:rsid w:val="001F626D"/>
    <w:rsid w:val="001F6A9C"/>
    <w:rsid w:val="001F7711"/>
    <w:rsid w:val="002021DE"/>
    <w:rsid w:val="002041E9"/>
    <w:rsid w:val="0020711A"/>
    <w:rsid w:val="0021180E"/>
    <w:rsid w:val="0021213E"/>
    <w:rsid w:val="00213786"/>
    <w:rsid w:val="002163AF"/>
    <w:rsid w:val="002164DC"/>
    <w:rsid w:val="00221FC5"/>
    <w:rsid w:val="00222682"/>
    <w:rsid w:val="002226A1"/>
    <w:rsid w:val="00222815"/>
    <w:rsid w:val="00223178"/>
    <w:rsid w:val="00223808"/>
    <w:rsid w:val="0022467F"/>
    <w:rsid w:val="00226BE3"/>
    <w:rsid w:val="00227B1B"/>
    <w:rsid w:val="0023094A"/>
    <w:rsid w:val="00233531"/>
    <w:rsid w:val="0024028E"/>
    <w:rsid w:val="00242B44"/>
    <w:rsid w:val="00243AE1"/>
    <w:rsid w:val="00245992"/>
    <w:rsid w:val="00246518"/>
    <w:rsid w:val="002478EF"/>
    <w:rsid w:val="00247A3B"/>
    <w:rsid w:val="00253166"/>
    <w:rsid w:val="00256FBC"/>
    <w:rsid w:val="00257385"/>
    <w:rsid w:val="00260173"/>
    <w:rsid w:val="00260D98"/>
    <w:rsid w:val="00262237"/>
    <w:rsid w:val="0026337D"/>
    <w:rsid w:val="00263D54"/>
    <w:rsid w:val="00264457"/>
    <w:rsid w:val="00265CFD"/>
    <w:rsid w:val="00266110"/>
    <w:rsid w:val="00267202"/>
    <w:rsid w:val="00267298"/>
    <w:rsid w:val="002672A0"/>
    <w:rsid w:val="0026748C"/>
    <w:rsid w:val="00267B6E"/>
    <w:rsid w:val="00270AD9"/>
    <w:rsid w:val="0027263B"/>
    <w:rsid w:val="00272727"/>
    <w:rsid w:val="00272D28"/>
    <w:rsid w:val="002751C2"/>
    <w:rsid w:val="00275256"/>
    <w:rsid w:val="00276077"/>
    <w:rsid w:val="00280072"/>
    <w:rsid w:val="0028098C"/>
    <w:rsid w:val="00287EC1"/>
    <w:rsid w:val="00290113"/>
    <w:rsid w:val="002915B7"/>
    <w:rsid w:val="00291C4B"/>
    <w:rsid w:val="00292082"/>
    <w:rsid w:val="00293863"/>
    <w:rsid w:val="002941A3"/>
    <w:rsid w:val="00295A6D"/>
    <w:rsid w:val="00295DF0"/>
    <w:rsid w:val="00296645"/>
    <w:rsid w:val="002A1C56"/>
    <w:rsid w:val="002A29D2"/>
    <w:rsid w:val="002A2E36"/>
    <w:rsid w:val="002A321D"/>
    <w:rsid w:val="002A53E5"/>
    <w:rsid w:val="002A7486"/>
    <w:rsid w:val="002B15A7"/>
    <w:rsid w:val="002B15E6"/>
    <w:rsid w:val="002B2EC5"/>
    <w:rsid w:val="002B3D5B"/>
    <w:rsid w:val="002B51C3"/>
    <w:rsid w:val="002B7130"/>
    <w:rsid w:val="002B74FD"/>
    <w:rsid w:val="002B799E"/>
    <w:rsid w:val="002C03DA"/>
    <w:rsid w:val="002C0BC4"/>
    <w:rsid w:val="002C0E6A"/>
    <w:rsid w:val="002C10D7"/>
    <w:rsid w:val="002C18A0"/>
    <w:rsid w:val="002C211A"/>
    <w:rsid w:val="002C3101"/>
    <w:rsid w:val="002C366D"/>
    <w:rsid w:val="002C5954"/>
    <w:rsid w:val="002C768B"/>
    <w:rsid w:val="002C79A8"/>
    <w:rsid w:val="002C7EF2"/>
    <w:rsid w:val="002D2970"/>
    <w:rsid w:val="002D3C52"/>
    <w:rsid w:val="002D3E22"/>
    <w:rsid w:val="002D54C7"/>
    <w:rsid w:val="002D56C5"/>
    <w:rsid w:val="002D5AAA"/>
    <w:rsid w:val="002D6FC3"/>
    <w:rsid w:val="002E3AEC"/>
    <w:rsid w:val="002E5787"/>
    <w:rsid w:val="002E5ABF"/>
    <w:rsid w:val="002E5BEC"/>
    <w:rsid w:val="002E710F"/>
    <w:rsid w:val="002F08CD"/>
    <w:rsid w:val="002F56E4"/>
    <w:rsid w:val="002F5CBB"/>
    <w:rsid w:val="002F5E6A"/>
    <w:rsid w:val="002F61B2"/>
    <w:rsid w:val="002F7AAE"/>
    <w:rsid w:val="00300726"/>
    <w:rsid w:val="00302717"/>
    <w:rsid w:val="003043BE"/>
    <w:rsid w:val="00306F45"/>
    <w:rsid w:val="00307232"/>
    <w:rsid w:val="00307E20"/>
    <w:rsid w:val="00311292"/>
    <w:rsid w:val="00312C75"/>
    <w:rsid w:val="00313590"/>
    <w:rsid w:val="00314363"/>
    <w:rsid w:val="00315FDD"/>
    <w:rsid w:val="0032393A"/>
    <w:rsid w:val="0032457C"/>
    <w:rsid w:val="00326439"/>
    <w:rsid w:val="0032654E"/>
    <w:rsid w:val="003266B8"/>
    <w:rsid w:val="00326D4A"/>
    <w:rsid w:val="0033159D"/>
    <w:rsid w:val="003325C2"/>
    <w:rsid w:val="00333CD8"/>
    <w:rsid w:val="00335AA7"/>
    <w:rsid w:val="00342196"/>
    <w:rsid w:val="00344737"/>
    <w:rsid w:val="00346706"/>
    <w:rsid w:val="003514ED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2A0D"/>
    <w:rsid w:val="003670AA"/>
    <w:rsid w:val="00370A60"/>
    <w:rsid w:val="003713F9"/>
    <w:rsid w:val="003724EE"/>
    <w:rsid w:val="00373C93"/>
    <w:rsid w:val="00380461"/>
    <w:rsid w:val="003812CC"/>
    <w:rsid w:val="00381490"/>
    <w:rsid w:val="00381936"/>
    <w:rsid w:val="0038490E"/>
    <w:rsid w:val="00386E22"/>
    <w:rsid w:val="00391350"/>
    <w:rsid w:val="003937BF"/>
    <w:rsid w:val="003960C1"/>
    <w:rsid w:val="003A32A5"/>
    <w:rsid w:val="003A35D3"/>
    <w:rsid w:val="003A5110"/>
    <w:rsid w:val="003A5245"/>
    <w:rsid w:val="003A52E9"/>
    <w:rsid w:val="003A5304"/>
    <w:rsid w:val="003A5AEB"/>
    <w:rsid w:val="003A6EC4"/>
    <w:rsid w:val="003A70BA"/>
    <w:rsid w:val="003A7ECC"/>
    <w:rsid w:val="003B092A"/>
    <w:rsid w:val="003B0EDF"/>
    <w:rsid w:val="003B27AF"/>
    <w:rsid w:val="003B330D"/>
    <w:rsid w:val="003B6E43"/>
    <w:rsid w:val="003C0E95"/>
    <w:rsid w:val="003C1028"/>
    <w:rsid w:val="003C2208"/>
    <w:rsid w:val="003C2924"/>
    <w:rsid w:val="003C3114"/>
    <w:rsid w:val="003C4254"/>
    <w:rsid w:val="003C79A0"/>
    <w:rsid w:val="003D554F"/>
    <w:rsid w:val="003D6DF2"/>
    <w:rsid w:val="003E04DE"/>
    <w:rsid w:val="003E1044"/>
    <w:rsid w:val="003E22C4"/>
    <w:rsid w:val="003E4DD3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400110"/>
    <w:rsid w:val="00400983"/>
    <w:rsid w:val="0040459B"/>
    <w:rsid w:val="00404C21"/>
    <w:rsid w:val="00405940"/>
    <w:rsid w:val="004074DD"/>
    <w:rsid w:val="004105E0"/>
    <w:rsid w:val="0041160A"/>
    <w:rsid w:val="00412740"/>
    <w:rsid w:val="004158F0"/>
    <w:rsid w:val="00416870"/>
    <w:rsid w:val="0042017B"/>
    <w:rsid w:val="00420B43"/>
    <w:rsid w:val="00420D3C"/>
    <w:rsid w:val="004211F6"/>
    <w:rsid w:val="00424E25"/>
    <w:rsid w:val="0042529A"/>
    <w:rsid w:val="00426845"/>
    <w:rsid w:val="00427219"/>
    <w:rsid w:val="004274C1"/>
    <w:rsid w:val="00430234"/>
    <w:rsid w:val="00431767"/>
    <w:rsid w:val="0043296A"/>
    <w:rsid w:val="00434700"/>
    <w:rsid w:val="00434E44"/>
    <w:rsid w:val="00435631"/>
    <w:rsid w:val="0043688A"/>
    <w:rsid w:val="00440B2D"/>
    <w:rsid w:val="004421AE"/>
    <w:rsid w:val="004421E3"/>
    <w:rsid w:val="004430BB"/>
    <w:rsid w:val="00445B5E"/>
    <w:rsid w:val="00446EA3"/>
    <w:rsid w:val="00450950"/>
    <w:rsid w:val="00450EFF"/>
    <w:rsid w:val="00451104"/>
    <w:rsid w:val="00451534"/>
    <w:rsid w:val="00452F6C"/>
    <w:rsid w:val="0045422F"/>
    <w:rsid w:val="0045433C"/>
    <w:rsid w:val="00457115"/>
    <w:rsid w:val="00460705"/>
    <w:rsid w:val="00460BC9"/>
    <w:rsid w:val="0046151F"/>
    <w:rsid w:val="00464052"/>
    <w:rsid w:val="00465799"/>
    <w:rsid w:val="0046586B"/>
    <w:rsid w:val="004660F5"/>
    <w:rsid w:val="0046675F"/>
    <w:rsid w:val="004674F7"/>
    <w:rsid w:val="004708C0"/>
    <w:rsid w:val="00471447"/>
    <w:rsid w:val="00471B70"/>
    <w:rsid w:val="00471D1D"/>
    <w:rsid w:val="0047220A"/>
    <w:rsid w:val="0047271F"/>
    <w:rsid w:val="00472EDA"/>
    <w:rsid w:val="004732C6"/>
    <w:rsid w:val="004744E1"/>
    <w:rsid w:val="00474682"/>
    <w:rsid w:val="00475F4B"/>
    <w:rsid w:val="00477B88"/>
    <w:rsid w:val="004825A3"/>
    <w:rsid w:val="00482DFE"/>
    <w:rsid w:val="00484AD3"/>
    <w:rsid w:val="004851EA"/>
    <w:rsid w:val="0048573D"/>
    <w:rsid w:val="004868DB"/>
    <w:rsid w:val="00486BF3"/>
    <w:rsid w:val="004872D2"/>
    <w:rsid w:val="00487AE4"/>
    <w:rsid w:val="00490B11"/>
    <w:rsid w:val="00490E21"/>
    <w:rsid w:val="00491AFA"/>
    <w:rsid w:val="00493412"/>
    <w:rsid w:val="00495348"/>
    <w:rsid w:val="0049640D"/>
    <w:rsid w:val="00497168"/>
    <w:rsid w:val="00497732"/>
    <w:rsid w:val="004A33E9"/>
    <w:rsid w:val="004A3ECA"/>
    <w:rsid w:val="004A590B"/>
    <w:rsid w:val="004A69AD"/>
    <w:rsid w:val="004B04C6"/>
    <w:rsid w:val="004B35F7"/>
    <w:rsid w:val="004B4E32"/>
    <w:rsid w:val="004B5383"/>
    <w:rsid w:val="004B64B5"/>
    <w:rsid w:val="004B7076"/>
    <w:rsid w:val="004C26D2"/>
    <w:rsid w:val="004C7237"/>
    <w:rsid w:val="004D03FA"/>
    <w:rsid w:val="004D07E5"/>
    <w:rsid w:val="004D14A8"/>
    <w:rsid w:val="004D2992"/>
    <w:rsid w:val="004D3202"/>
    <w:rsid w:val="004D469E"/>
    <w:rsid w:val="004D48A5"/>
    <w:rsid w:val="004D4E20"/>
    <w:rsid w:val="004D7FEA"/>
    <w:rsid w:val="004E183B"/>
    <w:rsid w:val="004E2497"/>
    <w:rsid w:val="004E2DFB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8F6"/>
    <w:rsid w:val="004F1AD1"/>
    <w:rsid w:val="004F3CFC"/>
    <w:rsid w:val="004F59BE"/>
    <w:rsid w:val="005016B0"/>
    <w:rsid w:val="00501D0E"/>
    <w:rsid w:val="00503F34"/>
    <w:rsid w:val="005041F1"/>
    <w:rsid w:val="00504C1B"/>
    <w:rsid w:val="0050642C"/>
    <w:rsid w:val="00506B3B"/>
    <w:rsid w:val="00507250"/>
    <w:rsid w:val="005076C2"/>
    <w:rsid w:val="00507FF6"/>
    <w:rsid w:val="00510671"/>
    <w:rsid w:val="00510B87"/>
    <w:rsid w:val="00511C57"/>
    <w:rsid w:val="005128B6"/>
    <w:rsid w:val="00513F5E"/>
    <w:rsid w:val="00515560"/>
    <w:rsid w:val="00517831"/>
    <w:rsid w:val="005216FD"/>
    <w:rsid w:val="00522383"/>
    <w:rsid w:val="005228C3"/>
    <w:rsid w:val="005231BF"/>
    <w:rsid w:val="005234AF"/>
    <w:rsid w:val="00525787"/>
    <w:rsid w:val="00530E86"/>
    <w:rsid w:val="00530E90"/>
    <w:rsid w:val="00531247"/>
    <w:rsid w:val="005314AC"/>
    <w:rsid w:val="00531A41"/>
    <w:rsid w:val="005325CC"/>
    <w:rsid w:val="0054064D"/>
    <w:rsid w:val="005426C2"/>
    <w:rsid w:val="00545A36"/>
    <w:rsid w:val="005465E0"/>
    <w:rsid w:val="005467EB"/>
    <w:rsid w:val="00546AA5"/>
    <w:rsid w:val="00547601"/>
    <w:rsid w:val="0055058D"/>
    <w:rsid w:val="00551FFF"/>
    <w:rsid w:val="00557C85"/>
    <w:rsid w:val="00560C19"/>
    <w:rsid w:val="00562D36"/>
    <w:rsid w:val="00562E23"/>
    <w:rsid w:val="00563170"/>
    <w:rsid w:val="005665B1"/>
    <w:rsid w:val="0056722B"/>
    <w:rsid w:val="00567CDC"/>
    <w:rsid w:val="00570BDD"/>
    <w:rsid w:val="0057388C"/>
    <w:rsid w:val="00576614"/>
    <w:rsid w:val="00576E52"/>
    <w:rsid w:val="00577957"/>
    <w:rsid w:val="005814AC"/>
    <w:rsid w:val="00581D56"/>
    <w:rsid w:val="00582246"/>
    <w:rsid w:val="0058309C"/>
    <w:rsid w:val="00584093"/>
    <w:rsid w:val="00585AB6"/>
    <w:rsid w:val="00585AD7"/>
    <w:rsid w:val="00585C38"/>
    <w:rsid w:val="00586FA1"/>
    <w:rsid w:val="005879B7"/>
    <w:rsid w:val="005926A9"/>
    <w:rsid w:val="005926FE"/>
    <w:rsid w:val="00593A64"/>
    <w:rsid w:val="00593B3D"/>
    <w:rsid w:val="005950FE"/>
    <w:rsid w:val="00596CE0"/>
    <w:rsid w:val="005A3289"/>
    <w:rsid w:val="005A36A6"/>
    <w:rsid w:val="005A4BB0"/>
    <w:rsid w:val="005A5697"/>
    <w:rsid w:val="005A5FB6"/>
    <w:rsid w:val="005A60A1"/>
    <w:rsid w:val="005A6B2B"/>
    <w:rsid w:val="005A7C0B"/>
    <w:rsid w:val="005B0A27"/>
    <w:rsid w:val="005B1014"/>
    <w:rsid w:val="005B1521"/>
    <w:rsid w:val="005B325E"/>
    <w:rsid w:val="005B33EC"/>
    <w:rsid w:val="005B6912"/>
    <w:rsid w:val="005B77A5"/>
    <w:rsid w:val="005C01F5"/>
    <w:rsid w:val="005C029D"/>
    <w:rsid w:val="005C1739"/>
    <w:rsid w:val="005C41EB"/>
    <w:rsid w:val="005C473B"/>
    <w:rsid w:val="005D0118"/>
    <w:rsid w:val="005D0483"/>
    <w:rsid w:val="005D07D9"/>
    <w:rsid w:val="005D1941"/>
    <w:rsid w:val="005D1BE9"/>
    <w:rsid w:val="005D238E"/>
    <w:rsid w:val="005D2895"/>
    <w:rsid w:val="005D3EA9"/>
    <w:rsid w:val="005D44DC"/>
    <w:rsid w:val="005D466C"/>
    <w:rsid w:val="005D5B33"/>
    <w:rsid w:val="005D63D7"/>
    <w:rsid w:val="005D6464"/>
    <w:rsid w:val="005D6C02"/>
    <w:rsid w:val="005D733B"/>
    <w:rsid w:val="005D7D69"/>
    <w:rsid w:val="005E180C"/>
    <w:rsid w:val="005E1D4B"/>
    <w:rsid w:val="005E2815"/>
    <w:rsid w:val="005E2EB3"/>
    <w:rsid w:val="005E3E9B"/>
    <w:rsid w:val="005E5415"/>
    <w:rsid w:val="005E6632"/>
    <w:rsid w:val="005F0D2E"/>
    <w:rsid w:val="005F2467"/>
    <w:rsid w:val="005F2E1B"/>
    <w:rsid w:val="005F3E46"/>
    <w:rsid w:val="005F4616"/>
    <w:rsid w:val="005F5357"/>
    <w:rsid w:val="00600D77"/>
    <w:rsid w:val="00607796"/>
    <w:rsid w:val="006078F5"/>
    <w:rsid w:val="00615041"/>
    <w:rsid w:val="00617A67"/>
    <w:rsid w:val="00617BEB"/>
    <w:rsid w:val="00622CF0"/>
    <w:rsid w:val="00622E62"/>
    <w:rsid w:val="00625499"/>
    <w:rsid w:val="00626C37"/>
    <w:rsid w:val="00627948"/>
    <w:rsid w:val="006318E1"/>
    <w:rsid w:val="006332C7"/>
    <w:rsid w:val="00633DBA"/>
    <w:rsid w:val="00634247"/>
    <w:rsid w:val="00634856"/>
    <w:rsid w:val="00634C05"/>
    <w:rsid w:val="00637056"/>
    <w:rsid w:val="0064120B"/>
    <w:rsid w:val="00642021"/>
    <w:rsid w:val="0064218D"/>
    <w:rsid w:val="0064322F"/>
    <w:rsid w:val="00645377"/>
    <w:rsid w:val="0064643D"/>
    <w:rsid w:val="00646954"/>
    <w:rsid w:val="006473DB"/>
    <w:rsid w:val="00647BE8"/>
    <w:rsid w:val="00651154"/>
    <w:rsid w:val="00652533"/>
    <w:rsid w:val="0065300A"/>
    <w:rsid w:val="006551E0"/>
    <w:rsid w:val="00655B47"/>
    <w:rsid w:val="00655B8C"/>
    <w:rsid w:val="006575AC"/>
    <w:rsid w:val="0066027B"/>
    <w:rsid w:val="00660A7D"/>
    <w:rsid w:val="0066108F"/>
    <w:rsid w:val="00661A4E"/>
    <w:rsid w:val="006620AD"/>
    <w:rsid w:val="00663FAD"/>
    <w:rsid w:val="00665ECF"/>
    <w:rsid w:val="0066619E"/>
    <w:rsid w:val="00667089"/>
    <w:rsid w:val="00671777"/>
    <w:rsid w:val="00671ECF"/>
    <w:rsid w:val="00672A2B"/>
    <w:rsid w:val="00672FEF"/>
    <w:rsid w:val="0068033A"/>
    <w:rsid w:val="0068173C"/>
    <w:rsid w:val="006817AF"/>
    <w:rsid w:val="006820FF"/>
    <w:rsid w:val="00682795"/>
    <w:rsid w:val="00683796"/>
    <w:rsid w:val="0068542B"/>
    <w:rsid w:val="006864D5"/>
    <w:rsid w:val="00686596"/>
    <w:rsid w:val="00686868"/>
    <w:rsid w:val="00687307"/>
    <w:rsid w:val="0069013E"/>
    <w:rsid w:val="00691370"/>
    <w:rsid w:val="0069195E"/>
    <w:rsid w:val="00692444"/>
    <w:rsid w:val="006934E4"/>
    <w:rsid w:val="006945C1"/>
    <w:rsid w:val="00695A2C"/>
    <w:rsid w:val="006975E3"/>
    <w:rsid w:val="0069792B"/>
    <w:rsid w:val="00697E8F"/>
    <w:rsid w:val="006A0757"/>
    <w:rsid w:val="006A0913"/>
    <w:rsid w:val="006A1512"/>
    <w:rsid w:val="006A230B"/>
    <w:rsid w:val="006A552D"/>
    <w:rsid w:val="006A5708"/>
    <w:rsid w:val="006A7BD0"/>
    <w:rsid w:val="006B11E8"/>
    <w:rsid w:val="006B12D2"/>
    <w:rsid w:val="006B695F"/>
    <w:rsid w:val="006B6E07"/>
    <w:rsid w:val="006C0438"/>
    <w:rsid w:val="006C0465"/>
    <w:rsid w:val="006C0877"/>
    <w:rsid w:val="006C09E5"/>
    <w:rsid w:val="006C1139"/>
    <w:rsid w:val="006C15D0"/>
    <w:rsid w:val="006C1ABB"/>
    <w:rsid w:val="006C2CF5"/>
    <w:rsid w:val="006C31B7"/>
    <w:rsid w:val="006C39DF"/>
    <w:rsid w:val="006C4C14"/>
    <w:rsid w:val="006C60A7"/>
    <w:rsid w:val="006C6BFF"/>
    <w:rsid w:val="006C7006"/>
    <w:rsid w:val="006D0BD2"/>
    <w:rsid w:val="006D3119"/>
    <w:rsid w:val="006D5C60"/>
    <w:rsid w:val="006D7C72"/>
    <w:rsid w:val="006E15E3"/>
    <w:rsid w:val="006E2F48"/>
    <w:rsid w:val="006E54CD"/>
    <w:rsid w:val="006E743A"/>
    <w:rsid w:val="006F0E4F"/>
    <w:rsid w:val="006F193E"/>
    <w:rsid w:val="006F1D72"/>
    <w:rsid w:val="006F62E6"/>
    <w:rsid w:val="006F6A79"/>
    <w:rsid w:val="006F794A"/>
    <w:rsid w:val="0070068D"/>
    <w:rsid w:val="00700954"/>
    <w:rsid w:val="007034D0"/>
    <w:rsid w:val="00705867"/>
    <w:rsid w:val="00706F3D"/>
    <w:rsid w:val="00707120"/>
    <w:rsid w:val="00707602"/>
    <w:rsid w:val="00710424"/>
    <w:rsid w:val="00710591"/>
    <w:rsid w:val="007119A5"/>
    <w:rsid w:val="007122EA"/>
    <w:rsid w:val="007125AF"/>
    <w:rsid w:val="007137CC"/>
    <w:rsid w:val="00714273"/>
    <w:rsid w:val="007143DA"/>
    <w:rsid w:val="00714E60"/>
    <w:rsid w:val="00717305"/>
    <w:rsid w:val="00717A01"/>
    <w:rsid w:val="00720767"/>
    <w:rsid w:val="00722189"/>
    <w:rsid w:val="00724CEF"/>
    <w:rsid w:val="00725C97"/>
    <w:rsid w:val="007325A2"/>
    <w:rsid w:val="00732857"/>
    <w:rsid w:val="007328CF"/>
    <w:rsid w:val="00732D99"/>
    <w:rsid w:val="0073492C"/>
    <w:rsid w:val="00735526"/>
    <w:rsid w:val="007355D2"/>
    <w:rsid w:val="00740BD9"/>
    <w:rsid w:val="00742AC3"/>
    <w:rsid w:val="00742C5C"/>
    <w:rsid w:val="00743C10"/>
    <w:rsid w:val="00745483"/>
    <w:rsid w:val="00745AD8"/>
    <w:rsid w:val="0074699A"/>
    <w:rsid w:val="00751D5F"/>
    <w:rsid w:val="007539E9"/>
    <w:rsid w:val="00753AB7"/>
    <w:rsid w:val="00754325"/>
    <w:rsid w:val="0075581F"/>
    <w:rsid w:val="0075742A"/>
    <w:rsid w:val="00760F13"/>
    <w:rsid w:val="00761915"/>
    <w:rsid w:val="00761A82"/>
    <w:rsid w:val="00763124"/>
    <w:rsid w:val="007645FF"/>
    <w:rsid w:val="00765A34"/>
    <w:rsid w:val="00766FB9"/>
    <w:rsid w:val="0076762A"/>
    <w:rsid w:val="0076780C"/>
    <w:rsid w:val="00772D6A"/>
    <w:rsid w:val="00773FE4"/>
    <w:rsid w:val="007745FE"/>
    <w:rsid w:val="00774BE8"/>
    <w:rsid w:val="00774E22"/>
    <w:rsid w:val="0077630F"/>
    <w:rsid w:val="00777AFE"/>
    <w:rsid w:val="00777F87"/>
    <w:rsid w:val="00780E61"/>
    <w:rsid w:val="00781DEE"/>
    <w:rsid w:val="0078348A"/>
    <w:rsid w:val="00784FCF"/>
    <w:rsid w:val="0078567D"/>
    <w:rsid w:val="007909B3"/>
    <w:rsid w:val="007937C5"/>
    <w:rsid w:val="007A00D5"/>
    <w:rsid w:val="007A02DF"/>
    <w:rsid w:val="007A0429"/>
    <w:rsid w:val="007A106F"/>
    <w:rsid w:val="007A2498"/>
    <w:rsid w:val="007A3C20"/>
    <w:rsid w:val="007A4238"/>
    <w:rsid w:val="007A430C"/>
    <w:rsid w:val="007A7334"/>
    <w:rsid w:val="007B4778"/>
    <w:rsid w:val="007C17FC"/>
    <w:rsid w:val="007C2155"/>
    <w:rsid w:val="007C2C4A"/>
    <w:rsid w:val="007C32BD"/>
    <w:rsid w:val="007C33B5"/>
    <w:rsid w:val="007C4CD5"/>
    <w:rsid w:val="007C52B7"/>
    <w:rsid w:val="007C5542"/>
    <w:rsid w:val="007C58E4"/>
    <w:rsid w:val="007C7142"/>
    <w:rsid w:val="007C7AFB"/>
    <w:rsid w:val="007D01A0"/>
    <w:rsid w:val="007D04AD"/>
    <w:rsid w:val="007D41E2"/>
    <w:rsid w:val="007D4ED5"/>
    <w:rsid w:val="007D6641"/>
    <w:rsid w:val="007D7349"/>
    <w:rsid w:val="007D76C4"/>
    <w:rsid w:val="007D7FDE"/>
    <w:rsid w:val="007E0752"/>
    <w:rsid w:val="007E0D7B"/>
    <w:rsid w:val="007F2CA7"/>
    <w:rsid w:val="007F2FA3"/>
    <w:rsid w:val="007F353D"/>
    <w:rsid w:val="007F3847"/>
    <w:rsid w:val="007F3975"/>
    <w:rsid w:val="007F4106"/>
    <w:rsid w:val="007F5E32"/>
    <w:rsid w:val="007F722E"/>
    <w:rsid w:val="008004F5"/>
    <w:rsid w:val="00800D8F"/>
    <w:rsid w:val="00801956"/>
    <w:rsid w:val="00802183"/>
    <w:rsid w:val="00802F87"/>
    <w:rsid w:val="00803155"/>
    <w:rsid w:val="00811DBB"/>
    <w:rsid w:val="00812210"/>
    <w:rsid w:val="00812C84"/>
    <w:rsid w:val="00813336"/>
    <w:rsid w:val="00815AFF"/>
    <w:rsid w:val="00816354"/>
    <w:rsid w:val="00816666"/>
    <w:rsid w:val="00817EBC"/>
    <w:rsid w:val="00820C60"/>
    <w:rsid w:val="00823DE5"/>
    <w:rsid w:val="00823EFA"/>
    <w:rsid w:val="0082604B"/>
    <w:rsid w:val="0082661B"/>
    <w:rsid w:val="00827634"/>
    <w:rsid w:val="00827916"/>
    <w:rsid w:val="00827C0D"/>
    <w:rsid w:val="00827DE2"/>
    <w:rsid w:val="008325C4"/>
    <w:rsid w:val="00833A0C"/>
    <w:rsid w:val="00833A84"/>
    <w:rsid w:val="008344F7"/>
    <w:rsid w:val="00834762"/>
    <w:rsid w:val="00834D94"/>
    <w:rsid w:val="0083547E"/>
    <w:rsid w:val="00835BBC"/>
    <w:rsid w:val="008379F4"/>
    <w:rsid w:val="0084029C"/>
    <w:rsid w:val="008407EE"/>
    <w:rsid w:val="00842AB8"/>
    <w:rsid w:val="0084366E"/>
    <w:rsid w:val="00845B57"/>
    <w:rsid w:val="00846510"/>
    <w:rsid w:val="008473C5"/>
    <w:rsid w:val="00853079"/>
    <w:rsid w:val="00853CBC"/>
    <w:rsid w:val="00855149"/>
    <w:rsid w:val="00857F10"/>
    <w:rsid w:val="00860E74"/>
    <w:rsid w:val="00860E86"/>
    <w:rsid w:val="00862AF0"/>
    <w:rsid w:val="0086425D"/>
    <w:rsid w:val="008660BF"/>
    <w:rsid w:val="00866C9F"/>
    <w:rsid w:val="00867752"/>
    <w:rsid w:val="008704DD"/>
    <w:rsid w:val="008735A9"/>
    <w:rsid w:val="0087393D"/>
    <w:rsid w:val="008750A7"/>
    <w:rsid w:val="00876C88"/>
    <w:rsid w:val="008770F6"/>
    <w:rsid w:val="00877221"/>
    <w:rsid w:val="00881FD0"/>
    <w:rsid w:val="008824D7"/>
    <w:rsid w:val="00882754"/>
    <w:rsid w:val="008840E8"/>
    <w:rsid w:val="00884DDB"/>
    <w:rsid w:val="0088505E"/>
    <w:rsid w:val="00885A0C"/>
    <w:rsid w:val="00886365"/>
    <w:rsid w:val="008870BF"/>
    <w:rsid w:val="0088731E"/>
    <w:rsid w:val="00887F4C"/>
    <w:rsid w:val="00892EE4"/>
    <w:rsid w:val="00894425"/>
    <w:rsid w:val="008944F4"/>
    <w:rsid w:val="00894BC8"/>
    <w:rsid w:val="00896515"/>
    <w:rsid w:val="00897342"/>
    <w:rsid w:val="008A0C9C"/>
    <w:rsid w:val="008A184F"/>
    <w:rsid w:val="008A448E"/>
    <w:rsid w:val="008A4DF1"/>
    <w:rsid w:val="008A6651"/>
    <w:rsid w:val="008A6CD6"/>
    <w:rsid w:val="008B0864"/>
    <w:rsid w:val="008B1424"/>
    <w:rsid w:val="008B1F2A"/>
    <w:rsid w:val="008B4AC5"/>
    <w:rsid w:val="008B4FD3"/>
    <w:rsid w:val="008B50A5"/>
    <w:rsid w:val="008B595A"/>
    <w:rsid w:val="008B6246"/>
    <w:rsid w:val="008C02D0"/>
    <w:rsid w:val="008C0A72"/>
    <w:rsid w:val="008C154C"/>
    <w:rsid w:val="008C2130"/>
    <w:rsid w:val="008C7124"/>
    <w:rsid w:val="008D1AAF"/>
    <w:rsid w:val="008D27B7"/>
    <w:rsid w:val="008D2E6F"/>
    <w:rsid w:val="008D37EC"/>
    <w:rsid w:val="008D3806"/>
    <w:rsid w:val="008D449D"/>
    <w:rsid w:val="008D4C14"/>
    <w:rsid w:val="008D51E7"/>
    <w:rsid w:val="008D7771"/>
    <w:rsid w:val="008E2CA1"/>
    <w:rsid w:val="008E2FF5"/>
    <w:rsid w:val="008E6069"/>
    <w:rsid w:val="008E6F7E"/>
    <w:rsid w:val="008F01C0"/>
    <w:rsid w:val="008F2722"/>
    <w:rsid w:val="008F3C1D"/>
    <w:rsid w:val="008F4F52"/>
    <w:rsid w:val="008F617D"/>
    <w:rsid w:val="00900152"/>
    <w:rsid w:val="00902061"/>
    <w:rsid w:val="009020FD"/>
    <w:rsid w:val="00902516"/>
    <w:rsid w:val="00902EFF"/>
    <w:rsid w:val="00904392"/>
    <w:rsid w:val="00905625"/>
    <w:rsid w:val="00905DCF"/>
    <w:rsid w:val="009062E4"/>
    <w:rsid w:val="0090637D"/>
    <w:rsid w:val="0090769B"/>
    <w:rsid w:val="00907B6A"/>
    <w:rsid w:val="00911F1B"/>
    <w:rsid w:val="00912426"/>
    <w:rsid w:val="00912704"/>
    <w:rsid w:val="00912A95"/>
    <w:rsid w:val="009130EC"/>
    <w:rsid w:val="00913D87"/>
    <w:rsid w:val="00917757"/>
    <w:rsid w:val="009208FB"/>
    <w:rsid w:val="009251D3"/>
    <w:rsid w:val="00925C4D"/>
    <w:rsid w:val="0092631F"/>
    <w:rsid w:val="009264E7"/>
    <w:rsid w:val="0092695A"/>
    <w:rsid w:val="00927ECD"/>
    <w:rsid w:val="00930FD8"/>
    <w:rsid w:val="009314EC"/>
    <w:rsid w:val="009407CD"/>
    <w:rsid w:val="00941491"/>
    <w:rsid w:val="00943EDF"/>
    <w:rsid w:val="0094475D"/>
    <w:rsid w:val="00945AD3"/>
    <w:rsid w:val="00946866"/>
    <w:rsid w:val="00947733"/>
    <w:rsid w:val="009508D9"/>
    <w:rsid w:val="00950B72"/>
    <w:rsid w:val="00950CC4"/>
    <w:rsid w:val="00951B74"/>
    <w:rsid w:val="0095365D"/>
    <w:rsid w:val="00953D66"/>
    <w:rsid w:val="00954235"/>
    <w:rsid w:val="00954470"/>
    <w:rsid w:val="00954845"/>
    <w:rsid w:val="009559E4"/>
    <w:rsid w:val="009576E4"/>
    <w:rsid w:val="00960BF0"/>
    <w:rsid w:val="0096486F"/>
    <w:rsid w:val="00966D00"/>
    <w:rsid w:val="009716F2"/>
    <w:rsid w:val="00976C98"/>
    <w:rsid w:val="00985AB3"/>
    <w:rsid w:val="00985DD2"/>
    <w:rsid w:val="0098660E"/>
    <w:rsid w:val="009874E6"/>
    <w:rsid w:val="00987987"/>
    <w:rsid w:val="00991EC1"/>
    <w:rsid w:val="009921AC"/>
    <w:rsid w:val="00996593"/>
    <w:rsid w:val="00997F9E"/>
    <w:rsid w:val="009A19F3"/>
    <w:rsid w:val="009A2085"/>
    <w:rsid w:val="009A3696"/>
    <w:rsid w:val="009A4775"/>
    <w:rsid w:val="009A47E3"/>
    <w:rsid w:val="009A55CF"/>
    <w:rsid w:val="009A67C9"/>
    <w:rsid w:val="009A7820"/>
    <w:rsid w:val="009B04AF"/>
    <w:rsid w:val="009B0755"/>
    <w:rsid w:val="009B20AD"/>
    <w:rsid w:val="009B31E6"/>
    <w:rsid w:val="009B4A71"/>
    <w:rsid w:val="009B4BFB"/>
    <w:rsid w:val="009B4C6F"/>
    <w:rsid w:val="009B5D6E"/>
    <w:rsid w:val="009B764C"/>
    <w:rsid w:val="009B7955"/>
    <w:rsid w:val="009B7B83"/>
    <w:rsid w:val="009C09FE"/>
    <w:rsid w:val="009C2B2F"/>
    <w:rsid w:val="009C5A25"/>
    <w:rsid w:val="009C6033"/>
    <w:rsid w:val="009C6D75"/>
    <w:rsid w:val="009C76E3"/>
    <w:rsid w:val="009D209A"/>
    <w:rsid w:val="009D3683"/>
    <w:rsid w:val="009D40CA"/>
    <w:rsid w:val="009D430B"/>
    <w:rsid w:val="009D577D"/>
    <w:rsid w:val="009D5A45"/>
    <w:rsid w:val="009D5CA0"/>
    <w:rsid w:val="009D60C2"/>
    <w:rsid w:val="009D614B"/>
    <w:rsid w:val="009D68B9"/>
    <w:rsid w:val="009D7551"/>
    <w:rsid w:val="009D788B"/>
    <w:rsid w:val="009E2A58"/>
    <w:rsid w:val="009E3156"/>
    <w:rsid w:val="009E682C"/>
    <w:rsid w:val="00A000CA"/>
    <w:rsid w:val="00A00639"/>
    <w:rsid w:val="00A0221A"/>
    <w:rsid w:val="00A04837"/>
    <w:rsid w:val="00A104FC"/>
    <w:rsid w:val="00A124D9"/>
    <w:rsid w:val="00A129F3"/>
    <w:rsid w:val="00A13982"/>
    <w:rsid w:val="00A13B42"/>
    <w:rsid w:val="00A147DB"/>
    <w:rsid w:val="00A16EFD"/>
    <w:rsid w:val="00A20BC5"/>
    <w:rsid w:val="00A21054"/>
    <w:rsid w:val="00A22750"/>
    <w:rsid w:val="00A231DE"/>
    <w:rsid w:val="00A24DA0"/>
    <w:rsid w:val="00A26209"/>
    <w:rsid w:val="00A271B5"/>
    <w:rsid w:val="00A276D8"/>
    <w:rsid w:val="00A27CEB"/>
    <w:rsid w:val="00A3041C"/>
    <w:rsid w:val="00A400D9"/>
    <w:rsid w:val="00A413F7"/>
    <w:rsid w:val="00A41973"/>
    <w:rsid w:val="00A43410"/>
    <w:rsid w:val="00A44630"/>
    <w:rsid w:val="00A44E07"/>
    <w:rsid w:val="00A45128"/>
    <w:rsid w:val="00A4517E"/>
    <w:rsid w:val="00A502E5"/>
    <w:rsid w:val="00A51B13"/>
    <w:rsid w:val="00A51DC1"/>
    <w:rsid w:val="00A52030"/>
    <w:rsid w:val="00A521F4"/>
    <w:rsid w:val="00A5313B"/>
    <w:rsid w:val="00A53B08"/>
    <w:rsid w:val="00A544A4"/>
    <w:rsid w:val="00A547C5"/>
    <w:rsid w:val="00A604A4"/>
    <w:rsid w:val="00A6296B"/>
    <w:rsid w:val="00A644C5"/>
    <w:rsid w:val="00A654CA"/>
    <w:rsid w:val="00A67EC1"/>
    <w:rsid w:val="00A70962"/>
    <w:rsid w:val="00A70B4A"/>
    <w:rsid w:val="00A71977"/>
    <w:rsid w:val="00A71B9D"/>
    <w:rsid w:val="00A72622"/>
    <w:rsid w:val="00A7325E"/>
    <w:rsid w:val="00A7345B"/>
    <w:rsid w:val="00A7352E"/>
    <w:rsid w:val="00A76613"/>
    <w:rsid w:val="00A77DC2"/>
    <w:rsid w:val="00A82F5A"/>
    <w:rsid w:val="00A83E10"/>
    <w:rsid w:val="00A84468"/>
    <w:rsid w:val="00A861D2"/>
    <w:rsid w:val="00A8649F"/>
    <w:rsid w:val="00A90165"/>
    <w:rsid w:val="00A90C4D"/>
    <w:rsid w:val="00A948E9"/>
    <w:rsid w:val="00A95F76"/>
    <w:rsid w:val="00A978EA"/>
    <w:rsid w:val="00AA2C91"/>
    <w:rsid w:val="00AA42D6"/>
    <w:rsid w:val="00AA4B9B"/>
    <w:rsid w:val="00AA7979"/>
    <w:rsid w:val="00AB33B7"/>
    <w:rsid w:val="00AB4418"/>
    <w:rsid w:val="00AB4E95"/>
    <w:rsid w:val="00AB5E04"/>
    <w:rsid w:val="00AB72BA"/>
    <w:rsid w:val="00AB7AC9"/>
    <w:rsid w:val="00AC18C7"/>
    <w:rsid w:val="00AC22CF"/>
    <w:rsid w:val="00AC3986"/>
    <w:rsid w:val="00AC66D2"/>
    <w:rsid w:val="00AD1582"/>
    <w:rsid w:val="00AD2999"/>
    <w:rsid w:val="00AD370F"/>
    <w:rsid w:val="00AD3812"/>
    <w:rsid w:val="00AD4377"/>
    <w:rsid w:val="00AD4F26"/>
    <w:rsid w:val="00AD5BB6"/>
    <w:rsid w:val="00AD6880"/>
    <w:rsid w:val="00AD736B"/>
    <w:rsid w:val="00AE068C"/>
    <w:rsid w:val="00AE0D89"/>
    <w:rsid w:val="00AE1C32"/>
    <w:rsid w:val="00AE27A6"/>
    <w:rsid w:val="00AE3F60"/>
    <w:rsid w:val="00AE553B"/>
    <w:rsid w:val="00AE5E67"/>
    <w:rsid w:val="00AE779F"/>
    <w:rsid w:val="00AF015F"/>
    <w:rsid w:val="00AF09F9"/>
    <w:rsid w:val="00AF162A"/>
    <w:rsid w:val="00AF3096"/>
    <w:rsid w:val="00AF4665"/>
    <w:rsid w:val="00AF5E0B"/>
    <w:rsid w:val="00AF6349"/>
    <w:rsid w:val="00AF6C57"/>
    <w:rsid w:val="00AF6EFE"/>
    <w:rsid w:val="00B01809"/>
    <w:rsid w:val="00B01E6B"/>
    <w:rsid w:val="00B0283E"/>
    <w:rsid w:val="00B02BDD"/>
    <w:rsid w:val="00B033F4"/>
    <w:rsid w:val="00B04FEC"/>
    <w:rsid w:val="00B0688B"/>
    <w:rsid w:val="00B06DB1"/>
    <w:rsid w:val="00B10786"/>
    <w:rsid w:val="00B10909"/>
    <w:rsid w:val="00B10F10"/>
    <w:rsid w:val="00B11331"/>
    <w:rsid w:val="00B14433"/>
    <w:rsid w:val="00B16D1D"/>
    <w:rsid w:val="00B20494"/>
    <w:rsid w:val="00B226CD"/>
    <w:rsid w:val="00B2336A"/>
    <w:rsid w:val="00B234AD"/>
    <w:rsid w:val="00B36132"/>
    <w:rsid w:val="00B3617A"/>
    <w:rsid w:val="00B36214"/>
    <w:rsid w:val="00B36E89"/>
    <w:rsid w:val="00B446BF"/>
    <w:rsid w:val="00B44ADE"/>
    <w:rsid w:val="00B453A5"/>
    <w:rsid w:val="00B45A8F"/>
    <w:rsid w:val="00B50EDD"/>
    <w:rsid w:val="00B531DA"/>
    <w:rsid w:val="00B55B9F"/>
    <w:rsid w:val="00B570D1"/>
    <w:rsid w:val="00B600A7"/>
    <w:rsid w:val="00B607A0"/>
    <w:rsid w:val="00B61B79"/>
    <w:rsid w:val="00B61D96"/>
    <w:rsid w:val="00B61F69"/>
    <w:rsid w:val="00B623D5"/>
    <w:rsid w:val="00B62A94"/>
    <w:rsid w:val="00B62B0B"/>
    <w:rsid w:val="00B6354C"/>
    <w:rsid w:val="00B635C0"/>
    <w:rsid w:val="00B639AE"/>
    <w:rsid w:val="00B63BC5"/>
    <w:rsid w:val="00B66ADA"/>
    <w:rsid w:val="00B70FEA"/>
    <w:rsid w:val="00B73F50"/>
    <w:rsid w:val="00B73F56"/>
    <w:rsid w:val="00B74770"/>
    <w:rsid w:val="00B7692B"/>
    <w:rsid w:val="00B772A4"/>
    <w:rsid w:val="00B80B06"/>
    <w:rsid w:val="00B82E10"/>
    <w:rsid w:val="00B85C21"/>
    <w:rsid w:val="00B85F87"/>
    <w:rsid w:val="00B86C71"/>
    <w:rsid w:val="00B87925"/>
    <w:rsid w:val="00B87C77"/>
    <w:rsid w:val="00B94BD5"/>
    <w:rsid w:val="00BA1CE0"/>
    <w:rsid w:val="00BA20BF"/>
    <w:rsid w:val="00BA3DCF"/>
    <w:rsid w:val="00BA72B1"/>
    <w:rsid w:val="00BB1F54"/>
    <w:rsid w:val="00BB3C65"/>
    <w:rsid w:val="00BB47D6"/>
    <w:rsid w:val="00BB4BB2"/>
    <w:rsid w:val="00BC0290"/>
    <w:rsid w:val="00BC1675"/>
    <w:rsid w:val="00BC1AA8"/>
    <w:rsid w:val="00BC3558"/>
    <w:rsid w:val="00BC427A"/>
    <w:rsid w:val="00BC4D62"/>
    <w:rsid w:val="00BC5D13"/>
    <w:rsid w:val="00BC62BA"/>
    <w:rsid w:val="00BC7770"/>
    <w:rsid w:val="00BD2328"/>
    <w:rsid w:val="00BD275A"/>
    <w:rsid w:val="00BD2D08"/>
    <w:rsid w:val="00BD2DA1"/>
    <w:rsid w:val="00BD46C6"/>
    <w:rsid w:val="00BD4F67"/>
    <w:rsid w:val="00BD5B10"/>
    <w:rsid w:val="00BD6F03"/>
    <w:rsid w:val="00BD79F2"/>
    <w:rsid w:val="00BE052F"/>
    <w:rsid w:val="00BE0F84"/>
    <w:rsid w:val="00BE269D"/>
    <w:rsid w:val="00BE2C7E"/>
    <w:rsid w:val="00BE4D50"/>
    <w:rsid w:val="00BE5779"/>
    <w:rsid w:val="00BE681E"/>
    <w:rsid w:val="00BF011D"/>
    <w:rsid w:val="00BF0E04"/>
    <w:rsid w:val="00BF0F38"/>
    <w:rsid w:val="00BF14F4"/>
    <w:rsid w:val="00BF15FE"/>
    <w:rsid w:val="00BF1D74"/>
    <w:rsid w:val="00BF28A9"/>
    <w:rsid w:val="00BF332E"/>
    <w:rsid w:val="00BF3780"/>
    <w:rsid w:val="00BF3E41"/>
    <w:rsid w:val="00BF54EF"/>
    <w:rsid w:val="00BF7AFA"/>
    <w:rsid w:val="00C00EC9"/>
    <w:rsid w:val="00C016BD"/>
    <w:rsid w:val="00C02059"/>
    <w:rsid w:val="00C0250F"/>
    <w:rsid w:val="00C046B1"/>
    <w:rsid w:val="00C049EB"/>
    <w:rsid w:val="00C0692C"/>
    <w:rsid w:val="00C070B3"/>
    <w:rsid w:val="00C077F1"/>
    <w:rsid w:val="00C12EDB"/>
    <w:rsid w:val="00C13086"/>
    <w:rsid w:val="00C166F9"/>
    <w:rsid w:val="00C17A37"/>
    <w:rsid w:val="00C21058"/>
    <w:rsid w:val="00C21104"/>
    <w:rsid w:val="00C217BA"/>
    <w:rsid w:val="00C21ABF"/>
    <w:rsid w:val="00C229EC"/>
    <w:rsid w:val="00C24351"/>
    <w:rsid w:val="00C26D09"/>
    <w:rsid w:val="00C2764E"/>
    <w:rsid w:val="00C30E83"/>
    <w:rsid w:val="00C334F9"/>
    <w:rsid w:val="00C35BF2"/>
    <w:rsid w:val="00C35F99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76FD"/>
    <w:rsid w:val="00C51C29"/>
    <w:rsid w:val="00C5433E"/>
    <w:rsid w:val="00C54C3D"/>
    <w:rsid w:val="00C55103"/>
    <w:rsid w:val="00C553B5"/>
    <w:rsid w:val="00C60EE9"/>
    <w:rsid w:val="00C62F85"/>
    <w:rsid w:val="00C6435B"/>
    <w:rsid w:val="00C64827"/>
    <w:rsid w:val="00C65929"/>
    <w:rsid w:val="00C67698"/>
    <w:rsid w:val="00C701B3"/>
    <w:rsid w:val="00C706A5"/>
    <w:rsid w:val="00C71138"/>
    <w:rsid w:val="00C72080"/>
    <w:rsid w:val="00C72318"/>
    <w:rsid w:val="00C73C35"/>
    <w:rsid w:val="00C744C3"/>
    <w:rsid w:val="00C76249"/>
    <w:rsid w:val="00C77FF2"/>
    <w:rsid w:val="00C80E65"/>
    <w:rsid w:val="00C814E3"/>
    <w:rsid w:val="00C823BD"/>
    <w:rsid w:val="00C82FA2"/>
    <w:rsid w:val="00C85F79"/>
    <w:rsid w:val="00C91677"/>
    <w:rsid w:val="00C93FD8"/>
    <w:rsid w:val="00C94A80"/>
    <w:rsid w:val="00C94E38"/>
    <w:rsid w:val="00C94F63"/>
    <w:rsid w:val="00C976F1"/>
    <w:rsid w:val="00C97B9F"/>
    <w:rsid w:val="00CA49CC"/>
    <w:rsid w:val="00CA6364"/>
    <w:rsid w:val="00CA6F5A"/>
    <w:rsid w:val="00CA6F70"/>
    <w:rsid w:val="00CA71DA"/>
    <w:rsid w:val="00CB1696"/>
    <w:rsid w:val="00CB2C1A"/>
    <w:rsid w:val="00CB45B8"/>
    <w:rsid w:val="00CB592A"/>
    <w:rsid w:val="00CB6356"/>
    <w:rsid w:val="00CC30D7"/>
    <w:rsid w:val="00CC3DB6"/>
    <w:rsid w:val="00CC4490"/>
    <w:rsid w:val="00CC5917"/>
    <w:rsid w:val="00CC665B"/>
    <w:rsid w:val="00CC77E4"/>
    <w:rsid w:val="00CD00FA"/>
    <w:rsid w:val="00CD1E97"/>
    <w:rsid w:val="00CD259B"/>
    <w:rsid w:val="00CD7B38"/>
    <w:rsid w:val="00CE0A3F"/>
    <w:rsid w:val="00CE1016"/>
    <w:rsid w:val="00CE5396"/>
    <w:rsid w:val="00CE555C"/>
    <w:rsid w:val="00CF0163"/>
    <w:rsid w:val="00CF09A5"/>
    <w:rsid w:val="00CF3541"/>
    <w:rsid w:val="00CF38B5"/>
    <w:rsid w:val="00CF490A"/>
    <w:rsid w:val="00CF5E47"/>
    <w:rsid w:val="00CF6BB4"/>
    <w:rsid w:val="00CF6E6C"/>
    <w:rsid w:val="00CF7444"/>
    <w:rsid w:val="00D002B7"/>
    <w:rsid w:val="00D00FB0"/>
    <w:rsid w:val="00D035C0"/>
    <w:rsid w:val="00D039E6"/>
    <w:rsid w:val="00D03E2E"/>
    <w:rsid w:val="00D05527"/>
    <w:rsid w:val="00D05E8E"/>
    <w:rsid w:val="00D063DF"/>
    <w:rsid w:val="00D0784E"/>
    <w:rsid w:val="00D1034E"/>
    <w:rsid w:val="00D1059C"/>
    <w:rsid w:val="00D10EF1"/>
    <w:rsid w:val="00D1110F"/>
    <w:rsid w:val="00D113DE"/>
    <w:rsid w:val="00D11FA6"/>
    <w:rsid w:val="00D12F92"/>
    <w:rsid w:val="00D138F5"/>
    <w:rsid w:val="00D13B8F"/>
    <w:rsid w:val="00D17130"/>
    <w:rsid w:val="00D17758"/>
    <w:rsid w:val="00D21428"/>
    <w:rsid w:val="00D23E6D"/>
    <w:rsid w:val="00D23F6C"/>
    <w:rsid w:val="00D25B22"/>
    <w:rsid w:val="00D268A1"/>
    <w:rsid w:val="00D26D39"/>
    <w:rsid w:val="00D302B4"/>
    <w:rsid w:val="00D31987"/>
    <w:rsid w:val="00D33B2C"/>
    <w:rsid w:val="00D33BC0"/>
    <w:rsid w:val="00D34415"/>
    <w:rsid w:val="00D35B9B"/>
    <w:rsid w:val="00D35EAD"/>
    <w:rsid w:val="00D37DFB"/>
    <w:rsid w:val="00D40078"/>
    <w:rsid w:val="00D4022D"/>
    <w:rsid w:val="00D414F5"/>
    <w:rsid w:val="00D454E7"/>
    <w:rsid w:val="00D46097"/>
    <w:rsid w:val="00D46521"/>
    <w:rsid w:val="00D53275"/>
    <w:rsid w:val="00D54358"/>
    <w:rsid w:val="00D553C6"/>
    <w:rsid w:val="00D5577E"/>
    <w:rsid w:val="00D567AA"/>
    <w:rsid w:val="00D604DA"/>
    <w:rsid w:val="00D62B1A"/>
    <w:rsid w:val="00D6316F"/>
    <w:rsid w:val="00D63E9A"/>
    <w:rsid w:val="00D66AE3"/>
    <w:rsid w:val="00D67390"/>
    <w:rsid w:val="00D673AA"/>
    <w:rsid w:val="00D7152A"/>
    <w:rsid w:val="00D7233D"/>
    <w:rsid w:val="00D7524D"/>
    <w:rsid w:val="00D76CA5"/>
    <w:rsid w:val="00D76ED3"/>
    <w:rsid w:val="00D77DC1"/>
    <w:rsid w:val="00D77E85"/>
    <w:rsid w:val="00D80A2B"/>
    <w:rsid w:val="00D84084"/>
    <w:rsid w:val="00D85054"/>
    <w:rsid w:val="00D851B0"/>
    <w:rsid w:val="00D90594"/>
    <w:rsid w:val="00D90AA2"/>
    <w:rsid w:val="00D93334"/>
    <w:rsid w:val="00D93A63"/>
    <w:rsid w:val="00D93D73"/>
    <w:rsid w:val="00D9452B"/>
    <w:rsid w:val="00D94ADC"/>
    <w:rsid w:val="00D977C8"/>
    <w:rsid w:val="00DA3198"/>
    <w:rsid w:val="00DA3867"/>
    <w:rsid w:val="00DA3E9A"/>
    <w:rsid w:val="00DA7137"/>
    <w:rsid w:val="00DA7D1B"/>
    <w:rsid w:val="00DB03ED"/>
    <w:rsid w:val="00DB06E9"/>
    <w:rsid w:val="00DB181D"/>
    <w:rsid w:val="00DB1B17"/>
    <w:rsid w:val="00DB1EDB"/>
    <w:rsid w:val="00DB210F"/>
    <w:rsid w:val="00DB220A"/>
    <w:rsid w:val="00DB49B6"/>
    <w:rsid w:val="00DB5B40"/>
    <w:rsid w:val="00DC1302"/>
    <w:rsid w:val="00DC13E1"/>
    <w:rsid w:val="00DC1E47"/>
    <w:rsid w:val="00DC2397"/>
    <w:rsid w:val="00DC364B"/>
    <w:rsid w:val="00DC4B35"/>
    <w:rsid w:val="00DC5A31"/>
    <w:rsid w:val="00DC676B"/>
    <w:rsid w:val="00DD2648"/>
    <w:rsid w:val="00DD79E3"/>
    <w:rsid w:val="00DE215D"/>
    <w:rsid w:val="00DE491D"/>
    <w:rsid w:val="00DE5A78"/>
    <w:rsid w:val="00DE7FFC"/>
    <w:rsid w:val="00DF0119"/>
    <w:rsid w:val="00DF171F"/>
    <w:rsid w:val="00DF1AB3"/>
    <w:rsid w:val="00DF1AB5"/>
    <w:rsid w:val="00E00CDF"/>
    <w:rsid w:val="00E01521"/>
    <w:rsid w:val="00E016C4"/>
    <w:rsid w:val="00E0246A"/>
    <w:rsid w:val="00E02A34"/>
    <w:rsid w:val="00E040F3"/>
    <w:rsid w:val="00E0420B"/>
    <w:rsid w:val="00E0719F"/>
    <w:rsid w:val="00E11853"/>
    <w:rsid w:val="00E11BB7"/>
    <w:rsid w:val="00E11EBD"/>
    <w:rsid w:val="00E1447C"/>
    <w:rsid w:val="00E1484A"/>
    <w:rsid w:val="00E14DE9"/>
    <w:rsid w:val="00E16EEC"/>
    <w:rsid w:val="00E1715A"/>
    <w:rsid w:val="00E204D1"/>
    <w:rsid w:val="00E234D4"/>
    <w:rsid w:val="00E25030"/>
    <w:rsid w:val="00E265E4"/>
    <w:rsid w:val="00E3029E"/>
    <w:rsid w:val="00E30F1C"/>
    <w:rsid w:val="00E32127"/>
    <w:rsid w:val="00E33A89"/>
    <w:rsid w:val="00E34506"/>
    <w:rsid w:val="00E345E9"/>
    <w:rsid w:val="00E36F48"/>
    <w:rsid w:val="00E41784"/>
    <w:rsid w:val="00E41E05"/>
    <w:rsid w:val="00E41E0C"/>
    <w:rsid w:val="00E42A8D"/>
    <w:rsid w:val="00E44128"/>
    <w:rsid w:val="00E443E4"/>
    <w:rsid w:val="00E45315"/>
    <w:rsid w:val="00E461FA"/>
    <w:rsid w:val="00E477A6"/>
    <w:rsid w:val="00E47D6F"/>
    <w:rsid w:val="00E50D58"/>
    <w:rsid w:val="00E5131F"/>
    <w:rsid w:val="00E5224B"/>
    <w:rsid w:val="00E543BB"/>
    <w:rsid w:val="00E55C95"/>
    <w:rsid w:val="00E56009"/>
    <w:rsid w:val="00E57400"/>
    <w:rsid w:val="00E60F25"/>
    <w:rsid w:val="00E61B27"/>
    <w:rsid w:val="00E62E41"/>
    <w:rsid w:val="00E640FA"/>
    <w:rsid w:val="00E6458A"/>
    <w:rsid w:val="00E66872"/>
    <w:rsid w:val="00E67EE4"/>
    <w:rsid w:val="00E70D2A"/>
    <w:rsid w:val="00E7109F"/>
    <w:rsid w:val="00E729D8"/>
    <w:rsid w:val="00E72FB5"/>
    <w:rsid w:val="00E85462"/>
    <w:rsid w:val="00E85929"/>
    <w:rsid w:val="00E870DB"/>
    <w:rsid w:val="00E87D24"/>
    <w:rsid w:val="00E905BD"/>
    <w:rsid w:val="00E9062C"/>
    <w:rsid w:val="00E92BE9"/>
    <w:rsid w:val="00E92F9F"/>
    <w:rsid w:val="00E94716"/>
    <w:rsid w:val="00E9473C"/>
    <w:rsid w:val="00E94AC2"/>
    <w:rsid w:val="00E95525"/>
    <w:rsid w:val="00E96060"/>
    <w:rsid w:val="00E9702D"/>
    <w:rsid w:val="00E974FA"/>
    <w:rsid w:val="00EA1EEC"/>
    <w:rsid w:val="00EA205A"/>
    <w:rsid w:val="00EA3C3C"/>
    <w:rsid w:val="00EA4C22"/>
    <w:rsid w:val="00EA57D0"/>
    <w:rsid w:val="00EB078A"/>
    <w:rsid w:val="00EB284E"/>
    <w:rsid w:val="00EB2FF9"/>
    <w:rsid w:val="00EB41C4"/>
    <w:rsid w:val="00EB5E7C"/>
    <w:rsid w:val="00EB676E"/>
    <w:rsid w:val="00EB68B6"/>
    <w:rsid w:val="00EB6BE8"/>
    <w:rsid w:val="00EB6C77"/>
    <w:rsid w:val="00EC04CA"/>
    <w:rsid w:val="00EC42FA"/>
    <w:rsid w:val="00EC5534"/>
    <w:rsid w:val="00EC578A"/>
    <w:rsid w:val="00EC6555"/>
    <w:rsid w:val="00EC75B2"/>
    <w:rsid w:val="00EC7956"/>
    <w:rsid w:val="00ED0791"/>
    <w:rsid w:val="00ED0ED5"/>
    <w:rsid w:val="00ED2CEA"/>
    <w:rsid w:val="00ED3373"/>
    <w:rsid w:val="00ED602D"/>
    <w:rsid w:val="00ED6E53"/>
    <w:rsid w:val="00ED71A4"/>
    <w:rsid w:val="00EE0397"/>
    <w:rsid w:val="00EE0655"/>
    <w:rsid w:val="00EE1923"/>
    <w:rsid w:val="00EE3490"/>
    <w:rsid w:val="00EE571A"/>
    <w:rsid w:val="00EE7955"/>
    <w:rsid w:val="00EF0475"/>
    <w:rsid w:val="00EF1E54"/>
    <w:rsid w:val="00EF24E6"/>
    <w:rsid w:val="00EF3BCC"/>
    <w:rsid w:val="00EF4D2C"/>
    <w:rsid w:val="00EF772F"/>
    <w:rsid w:val="00F04758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12B69"/>
    <w:rsid w:val="00F17B9D"/>
    <w:rsid w:val="00F20E5B"/>
    <w:rsid w:val="00F21FD0"/>
    <w:rsid w:val="00F23039"/>
    <w:rsid w:val="00F24882"/>
    <w:rsid w:val="00F24E95"/>
    <w:rsid w:val="00F35575"/>
    <w:rsid w:val="00F3570E"/>
    <w:rsid w:val="00F35DBC"/>
    <w:rsid w:val="00F37422"/>
    <w:rsid w:val="00F409B1"/>
    <w:rsid w:val="00F40FCE"/>
    <w:rsid w:val="00F40FEE"/>
    <w:rsid w:val="00F44BD0"/>
    <w:rsid w:val="00F44CD1"/>
    <w:rsid w:val="00F4574D"/>
    <w:rsid w:val="00F50003"/>
    <w:rsid w:val="00F53CD4"/>
    <w:rsid w:val="00F5423D"/>
    <w:rsid w:val="00F6021D"/>
    <w:rsid w:val="00F60885"/>
    <w:rsid w:val="00F625E1"/>
    <w:rsid w:val="00F62B6E"/>
    <w:rsid w:val="00F65398"/>
    <w:rsid w:val="00F654BE"/>
    <w:rsid w:val="00F65FAF"/>
    <w:rsid w:val="00F66E42"/>
    <w:rsid w:val="00F71ED3"/>
    <w:rsid w:val="00F733C9"/>
    <w:rsid w:val="00F752D4"/>
    <w:rsid w:val="00F80F35"/>
    <w:rsid w:val="00F81337"/>
    <w:rsid w:val="00F83EC5"/>
    <w:rsid w:val="00F8477B"/>
    <w:rsid w:val="00F86A23"/>
    <w:rsid w:val="00F86EAC"/>
    <w:rsid w:val="00F86FF5"/>
    <w:rsid w:val="00F90C09"/>
    <w:rsid w:val="00F90E31"/>
    <w:rsid w:val="00F93158"/>
    <w:rsid w:val="00F9424E"/>
    <w:rsid w:val="00F95AB9"/>
    <w:rsid w:val="00F96227"/>
    <w:rsid w:val="00FA12E0"/>
    <w:rsid w:val="00FA1489"/>
    <w:rsid w:val="00FA174F"/>
    <w:rsid w:val="00FA2E00"/>
    <w:rsid w:val="00FA33E5"/>
    <w:rsid w:val="00FA37C6"/>
    <w:rsid w:val="00FA5F0F"/>
    <w:rsid w:val="00FB444E"/>
    <w:rsid w:val="00FB52FD"/>
    <w:rsid w:val="00FB5856"/>
    <w:rsid w:val="00FB7CD3"/>
    <w:rsid w:val="00FC12D6"/>
    <w:rsid w:val="00FC2160"/>
    <w:rsid w:val="00FC2218"/>
    <w:rsid w:val="00FC2BA0"/>
    <w:rsid w:val="00FC336F"/>
    <w:rsid w:val="00FC370A"/>
    <w:rsid w:val="00FC4BB0"/>
    <w:rsid w:val="00FC4E57"/>
    <w:rsid w:val="00FC7126"/>
    <w:rsid w:val="00FC7143"/>
    <w:rsid w:val="00FD2441"/>
    <w:rsid w:val="00FD3616"/>
    <w:rsid w:val="00FD44AB"/>
    <w:rsid w:val="00FD4A4B"/>
    <w:rsid w:val="00FD511B"/>
    <w:rsid w:val="00FD5C41"/>
    <w:rsid w:val="00FD5E2D"/>
    <w:rsid w:val="00FD7AD8"/>
    <w:rsid w:val="00FD7BFC"/>
    <w:rsid w:val="00FD7CAB"/>
    <w:rsid w:val="00FE0FCA"/>
    <w:rsid w:val="00FE1AEA"/>
    <w:rsid w:val="00FE20AE"/>
    <w:rsid w:val="00FE3CBE"/>
    <w:rsid w:val="00FE4BDD"/>
    <w:rsid w:val="00FE639A"/>
    <w:rsid w:val="00FE6B1B"/>
    <w:rsid w:val="00FF1F1D"/>
    <w:rsid w:val="00FF2FF6"/>
    <w:rsid w:val="00FF31FB"/>
    <w:rsid w:val="00FF392F"/>
    <w:rsid w:val="00FF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4\RESULTATS\resultatseECM(trim1-08-trim1-2014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600"/>
            </a:pPr>
            <a:r>
              <a:rPr lang="en-US" sz="1600" b="1" i="0" baseline="0"/>
              <a:t>Evolution de l'Indice de Confiance des Ménages</a:t>
            </a:r>
            <a:endParaRPr lang="fr-FR" sz="1600" b="1" i="0" baseline="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fr'!$A$18</c:f>
              <c:strCache>
                <c:ptCount val="1"/>
                <c:pt idx="0">
                  <c:v>ICM</c:v>
                </c:pt>
              </c:strCache>
            </c:strRef>
          </c:tx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'graphe fr'!$B$9:$Z$9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</c:strCache>
            </c:strRef>
          </c:cat>
          <c:val>
            <c:numRef>
              <c:f>'graphe fr'!$B$18:$Z$18</c:f>
              <c:numCache>
                <c:formatCode>#,##0.0</c:formatCode>
                <c:ptCount val="25"/>
                <c:pt idx="0">
                  <c:v>85.866502294191648</c:v>
                </c:pt>
                <c:pt idx="1">
                  <c:v>77.678707955852474</c:v>
                </c:pt>
                <c:pt idx="2">
                  <c:v>75.55248063575597</c:v>
                </c:pt>
                <c:pt idx="3">
                  <c:v>80.136884034904114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80.136086093618815</c:v>
                </c:pt>
                <c:pt idx="9">
                  <c:v>78.833388330573484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78.406406130604239</c:v>
                </c:pt>
                <c:pt idx="13">
                  <c:v>85.789532632532229</c:v>
                </c:pt>
                <c:pt idx="14">
                  <c:v>86.506225251482533</c:v>
                </c:pt>
                <c:pt idx="15">
                  <c:v>84.47721469487783</c:v>
                </c:pt>
                <c:pt idx="16">
                  <c:v>82.880478542820782</c:v>
                </c:pt>
                <c:pt idx="17">
                  <c:v>80.673652783725359</c:v>
                </c:pt>
                <c:pt idx="18">
                  <c:v>77.553867036568803</c:v>
                </c:pt>
                <c:pt idx="19">
                  <c:v>78.403353681350168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</c:numCache>
            </c:numRef>
          </c:val>
        </c:ser>
        <c:gapWidth val="75"/>
        <c:overlap val="-25"/>
        <c:axId val="97936128"/>
        <c:axId val="97937664"/>
      </c:barChart>
      <c:catAx>
        <c:axId val="9793612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7937664"/>
        <c:crosses val="autoZero"/>
        <c:auto val="1"/>
        <c:lblAlgn val="ctr"/>
        <c:lblOffset val="100"/>
      </c:catAx>
      <c:valAx>
        <c:axId val="97937664"/>
        <c:scaling>
          <c:orientation val="minMax"/>
        </c:scaling>
        <c:delete val="1"/>
        <c:axPos val="l"/>
        <c:numFmt formatCode="#,##0.0" sourceLinked="1"/>
        <c:majorTickMark val="none"/>
        <c:tickLblPos val="none"/>
        <c:crossAx val="9793612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600"/>
            </a:pPr>
            <a:r>
              <a:rPr lang="fr-FR" sz="1600"/>
              <a:t>Evolutions passée et future  du niveau de vie</a:t>
            </a:r>
          </a:p>
          <a:p>
            <a:pPr>
              <a:defRPr sz="1600"/>
            </a:pPr>
            <a:r>
              <a:rPr lang="fr-FR" sz="1600"/>
              <a:t>(soldes d'opinions)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fr'!$A$11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fr'!$B$9:$Z$9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</c:strCache>
            </c:strRef>
          </c:cat>
          <c:val>
            <c:numRef>
              <c:f>'graphe fr'!$B$11:$Z$11</c:f>
              <c:numCache>
                <c:formatCode>#,##0.0</c:formatCode>
                <c:ptCount val="25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-31.141291421499794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-25.723634629572953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-37.236760344983516</c:v>
                </c:pt>
                <c:pt idx="12">
                  <c:v>-26.050959167650163</c:v>
                </c:pt>
                <c:pt idx="13">
                  <c:v>-16.961438303130816</c:v>
                </c:pt>
                <c:pt idx="14">
                  <c:v>-13.439142519852041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-28.088708351168609</c:v>
                </c:pt>
                <c:pt idx="20">
                  <c:v>-29.212341127418195</c:v>
                </c:pt>
                <c:pt idx="21">
                  <c:v>-23.10286448398212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</c:numCache>
            </c:numRef>
          </c:val>
        </c:ser>
        <c:ser>
          <c:idx val="1"/>
          <c:order val="1"/>
          <c:tx>
            <c:strRef>
              <c:f>'graphe fr'!$A$12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'graphe fr'!$B$9:$Z$9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</c:strCache>
            </c:strRef>
          </c:cat>
          <c:val>
            <c:numRef>
              <c:f>'graphe fr'!$B$12:$Z$12</c:f>
              <c:numCache>
                <c:formatCode>#,##0.0</c:formatCode>
                <c:ptCount val="25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8.4334302751113296E-2</c:v>
                </c:pt>
                <c:pt idx="7">
                  <c:v>2.1853913991610052</c:v>
                </c:pt>
                <c:pt idx="8">
                  <c:v>0.39154986438085859</c:v>
                </c:pt>
                <c:pt idx="9">
                  <c:v>2.7314646872285109</c:v>
                </c:pt>
                <c:pt idx="10">
                  <c:v>0.19418325799955072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18.132139936578749</c:v>
                </c:pt>
                <c:pt idx="14">
                  <c:v>11.870106120928323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-11.389732068783653</c:v>
                </c:pt>
              </c:numCache>
            </c:numRef>
          </c:val>
        </c:ser>
        <c:marker val="1"/>
        <c:axId val="97945856"/>
        <c:axId val="98037760"/>
      </c:lineChart>
      <c:catAx>
        <c:axId val="9794585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8037760"/>
        <c:crosses val="autoZero"/>
        <c:auto val="1"/>
        <c:lblAlgn val="ctr"/>
        <c:lblOffset val="100"/>
      </c:catAx>
      <c:valAx>
        <c:axId val="9803776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crossAx val="9794585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600"/>
            </a:pPr>
            <a:r>
              <a:rPr lang="en-US" sz="1600" b="1" i="0" baseline="0"/>
              <a:t>Perceptions des ménages sur l'évolution future du nombre de chômeurs  </a:t>
            </a:r>
            <a:r>
              <a:rPr lang="fr-FR" sz="1600" b="1" i="0" baseline="0"/>
              <a:t>(soldes d'opinions) </a:t>
            </a:r>
            <a:endParaRPr lang="fr-FR" sz="1400" b="1"/>
          </a:p>
        </c:rich>
      </c:tx>
      <c:layout>
        <c:manualLayout>
          <c:xMode val="edge"/>
          <c:yMode val="edge"/>
          <c:x val="0.12259484727037895"/>
          <c:y val="1.8814293236711944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 fr'!$A$10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fr'!$B$9:$Z$9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</c:strCache>
            </c:strRef>
          </c:cat>
          <c:val>
            <c:numRef>
              <c:f>'graphe fr'!$B$10:$Z$10</c:f>
              <c:numCache>
                <c:formatCode>#,##0.0</c:formatCode>
                <c:ptCount val="25"/>
                <c:pt idx="0">
                  <c:v>-52.095692279179424</c:v>
                </c:pt>
                <c:pt idx="1">
                  <c:v>-56.601297669292876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-57.930600458568307</c:v>
                </c:pt>
                <c:pt idx="7">
                  <c:v>-57.517749523976327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-52.335316844022621</c:v>
                </c:pt>
                <c:pt idx="12">
                  <c:v>-52.408437207990296</c:v>
                </c:pt>
                <c:pt idx="13">
                  <c:v>-45.98227848623327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</c:numCache>
            </c:numRef>
          </c:val>
        </c:ser>
        <c:marker val="1"/>
        <c:axId val="99425664"/>
        <c:axId val="99452032"/>
      </c:lineChart>
      <c:catAx>
        <c:axId val="99425664"/>
        <c:scaling>
          <c:orientation val="minMax"/>
        </c:scaling>
        <c:axPos val="b"/>
        <c:numFmt formatCode="#,##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9452032"/>
        <c:crosses val="autoZero"/>
        <c:auto val="1"/>
        <c:lblAlgn val="ctr"/>
        <c:lblOffset val="100"/>
      </c:catAx>
      <c:valAx>
        <c:axId val="99452032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942566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600"/>
            </a:pPr>
            <a:r>
              <a:rPr lang="en-US" sz="1600" b="1" i="0" baseline="0"/>
              <a:t>Perception des ménages sur l'opportunité d'achat des biens durables</a:t>
            </a:r>
            <a:r>
              <a:rPr lang="fr-FR" sz="1600" b="1" i="0" baseline="0"/>
              <a:t> (soldes d'opinions)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fr'!$A$13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'graphe fr'!$B$9:$Z$9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</c:strCache>
            </c:strRef>
          </c:cat>
          <c:val>
            <c:numRef>
              <c:f>'graphe fr'!$B$13:$Z$13</c:f>
              <c:numCache>
                <c:formatCode>#,##0.0</c:formatCode>
                <c:ptCount val="25"/>
                <c:pt idx="0">
                  <c:v>-30.018449770831676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-41.7653505090341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-37.532519098272012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-39.860076277616429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-37.388587169100269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-28.348240299081606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</c:numCache>
            </c:numRef>
          </c:val>
        </c:ser>
        <c:marker val="1"/>
        <c:axId val="99459456"/>
        <c:axId val="99460992"/>
      </c:lineChart>
      <c:catAx>
        <c:axId val="99459456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9460992"/>
        <c:crosses val="autoZero"/>
        <c:auto val="1"/>
        <c:lblAlgn val="ctr"/>
        <c:lblOffset val="100"/>
      </c:catAx>
      <c:valAx>
        <c:axId val="99460992"/>
        <c:scaling>
          <c:orientation val="minMax"/>
        </c:scaling>
        <c:axPos val="l"/>
        <c:majorGridlines/>
        <c:numFmt formatCode="#,##0.0" sourceLinked="1"/>
        <c:tickLblPos val="nextTo"/>
        <c:crossAx val="99459456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/>
            </a:pPr>
            <a:r>
              <a:rPr lang="fr-FR" sz="1600" b="1" i="0" baseline="0"/>
              <a:t>Perceptions des ménages sur leurs situations financières (soldes d'opinions) </a:t>
            </a:r>
            <a:endParaRPr lang="fr-FR" sz="1600"/>
          </a:p>
        </c:rich>
      </c:tx>
      <c:layout>
        <c:manualLayout>
          <c:xMode val="edge"/>
          <c:yMode val="edge"/>
          <c:x val="0.18499236459079149"/>
          <c:y val="2.4783147459727685E-3"/>
        </c:manualLayout>
      </c:layout>
    </c:title>
    <c:plotArea>
      <c:layout>
        <c:manualLayout>
          <c:layoutTarget val="inner"/>
          <c:xMode val="edge"/>
          <c:yMode val="edge"/>
          <c:x val="6.1550350707143688E-2"/>
          <c:y val="0.1980959698737674"/>
          <c:w val="0.92286886262498824"/>
          <c:h val="0.74264840631127904"/>
        </c:manualLayout>
      </c:layout>
      <c:lineChart>
        <c:grouping val="standard"/>
        <c:ser>
          <c:idx val="0"/>
          <c:order val="0"/>
          <c:tx>
            <c:strRef>
              <c:f>'graphe fr'!$A$14</c:f>
              <c:strCache>
                <c:ptCount val="1"/>
                <c:pt idx="0">
                  <c:v>Situation  actuelle</c:v>
                </c:pt>
              </c:strCache>
            </c:strRef>
          </c:tx>
          <c:marker>
            <c:symbol val="star"/>
            <c:size val="5"/>
          </c:marker>
          <c:cat>
            <c:strRef>
              <c:f>'graphe fr'!$B$9:$Z$9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</c:strCache>
            </c:strRef>
          </c:cat>
          <c:val>
            <c:numRef>
              <c:f>'graphe fr'!$B$14:$Z$14</c:f>
              <c:numCache>
                <c:formatCode>#,##0.0</c:formatCode>
                <c:ptCount val="25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-28.06262489249626</c:v>
                </c:pt>
                <c:pt idx="12">
                  <c:v>-30.645498931903678</c:v>
                </c:pt>
                <c:pt idx="13">
                  <c:v>-27.092549889444228</c:v>
                </c:pt>
                <c:pt idx="14">
                  <c:v>-24.28899054728441</c:v>
                </c:pt>
                <c:pt idx="15">
                  <c:v>-25.669712181349674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-30.846093343724149</c:v>
                </c:pt>
                <c:pt idx="19">
                  <c:v>-29.426966691861214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-29.484131282651159</c:v>
                </c:pt>
                <c:pt idx="23">
                  <c:v>-29.485585569479884</c:v>
                </c:pt>
                <c:pt idx="24">
                  <c:v>-31.290770339914992</c:v>
                </c:pt>
              </c:numCache>
            </c:numRef>
          </c:val>
        </c:ser>
        <c:ser>
          <c:idx val="1"/>
          <c:order val="1"/>
          <c:tx>
            <c:strRef>
              <c:f>'graphe fr'!$A$15</c:f>
              <c:strCache>
                <c:ptCount val="1"/>
                <c:pt idx="0">
                  <c:v>Evolution  passée 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fr'!$B$9:$Z$9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</c:strCache>
            </c:strRef>
          </c:cat>
          <c:val>
            <c:numRef>
              <c:f>'graphe fr'!$B$15:$Z$15</c:f>
              <c:numCache>
                <c:formatCode>#,##0.0</c:formatCode>
                <c:ptCount val="25"/>
                <c:pt idx="0">
                  <c:v>-11.760493904860514</c:v>
                </c:pt>
                <c:pt idx="1">
                  <c:v>-11.376439540974218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-18.438210074457299</c:v>
                </c:pt>
                <c:pt idx="5">
                  <c:v>-13.353492384896791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-9.800434969018438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-21.891965579068561</c:v>
                </c:pt>
                <c:pt idx="23">
                  <c:v>-21.870867995539985</c:v>
                </c:pt>
                <c:pt idx="24">
                  <c:v>-21.277780753263979</c:v>
                </c:pt>
              </c:numCache>
            </c:numRef>
          </c:val>
        </c:ser>
        <c:ser>
          <c:idx val="2"/>
          <c:order val="2"/>
          <c:tx>
            <c:strRef>
              <c:f>'graphe fr'!$A$16</c:f>
              <c:strCache>
                <c:ptCount val="1"/>
                <c:pt idx="0">
                  <c:v>Evolution  future</c:v>
                </c:pt>
              </c:strCache>
            </c:strRef>
          </c:tx>
          <c:marker>
            <c:symbol val="square"/>
            <c:size val="5"/>
          </c:marker>
          <c:cat>
            <c:strRef>
              <c:f>'graphe fr'!$B$9:$Z$9</c:f>
              <c:strCache>
                <c:ptCount val="2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T114</c:v>
                </c:pt>
              </c:strCache>
            </c:strRef>
          </c:cat>
          <c:val>
            <c:numRef>
              <c:f>'graphe fr'!$B$16:$Z$16</c:f>
              <c:numCache>
                <c:formatCode>#,##0.0</c:formatCode>
                <c:ptCount val="25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26.70594184910312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17.532817766676558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11.776375704730455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11.230833640450301</c:v>
                </c:pt>
                <c:pt idx="17">
                  <c:v>11.136340416980383</c:v>
                </c:pt>
                <c:pt idx="18">
                  <c:v>7.6658451594012798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-1.7003971659207235</c:v>
                </c:pt>
                <c:pt idx="24">
                  <c:v>1.2126606998519158</c:v>
                </c:pt>
              </c:numCache>
            </c:numRef>
          </c:val>
        </c:ser>
        <c:marker val="1"/>
        <c:axId val="99478144"/>
        <c:axId val="99508608"/>
      </c:lineChart>
      <c:catAx>
        <c:axId val="99478144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9508608"/>
        <c:crosses val="autoZero"/>
        <c:auto val="1"/>
        <c:lblAlgn val="ctr"/>
        <c:lblOffset val="100"/>
      </c:catAx>
      <c:valAx>
        <c:axId val="99508608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900"/>
            </a:pPr>
            <a:endParaRPr lang="fr-FR"/>
          </a:p>
        </c:txPr>
        <c:crossAx val="9947814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200"/>
            </a:pPr>
            <a:r>
              <a:rPr lang="fr-FR" sz="1200" b="1" i="0" u="none" strike="noStrike" baseline="0"/>
              <a:t>Perception de l'évolution future des prix des produits alimentaires (en %)</a:t>
            </a:r>
            <a:endParaRPr lang="fr-FR" sz="1200"/>
          </a:p>
        </c:rich>
      </c:tx>
      <c:layout>
        <c:manualLayout>
          <c:xMode val="edge"/>
          <c:yMode val="edge"/>
          <c:x val="0.12182633420822422"/>
          <c:y val="2.7826092037173553E-2"/>
        </c:manualLayout>
      </c:layout>
    </c:title>
    <c:plotArea>
      <c:layout>
        <c:manualLayout>
          <c:layoutTarget val="inner"/>
          <c:xMode val="edge"/>
          <c:yMode val="edge"/>
          <c:x val="3.2381869082774649E-2"/>
          <c:y val="0.27918909600106956"/>
          <c:w val="0.93888888888889765"/>
          <c:h val="0.51933123641046264"/>
        </c:manualLayout>
      </c:layout>
      <c:barChart>
        <c:barDir val="col"/>
        <c:grouping val="clustered"/>
        <c:ser>
          <c:idx val="0"/>
          <c:order val="0"/>
          <c:tx>
            <c:strRef>
              <c:f>'graphe fr'!$Q$110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T1/13</c:v>
                </c:pt>
                <c:pt idx="1">
                  <c:v>T4/13</c:v>
                </c:pt>
                <c:pt idx="2">
                  <c:v>T1/14</c:v>
                </c:pt>
              </c:strCache>
            </c:strRef>
          </c:cat>
          <c:val>
            <c:numRef>
              <c:f>'graphe fr'!$R$110:$T$110</c:f>
              <c:numCache>
                <c:formatCode>#,##0.0%</c:formatCode>
                <c:ptCount val="3"/>
                <c:pt idx="0">
                  <c:v>0.77989562270245982</c:v>
                </c:pt>
                <c:pt idx="1">
                  <c:v>0.77030286543735127</c:v>
                </c:pt>
                <c:pt idx="2">
                  <c:v>0.78551991641638863</c:v>
                </c:pt>
              </c:numCache>
            </c:numRef>
          </c:val>
        </c:ser>
        <c:ser>
          <c:idx val="1"/>
          <c:order val="1"/>
          <c:tx>
            <c:strRef>
              <c:f>'graphe fr'!$Q$111</c:f>
              <c:strCache>
                <c:ptCount val="1"/>
                <c:pt idx="0">
                  <c:v>stagnation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T1/13</c:v>
                </c:pt>
                <c:pt idx="1">
                  <c:v>T4/13</c:v>
                </c:pt>
                <c:pt idx="2">
                  <c:v>T1/14</c:v>
                </c:pt>
              </c:strCache>
            </c:strRef>
          </c:cat>
          <c:val>
            <c:numRef>
              <c:f>'graphe fr'!$R$111:$T$111</c:f>
              <c:numCache>
                <c:formatCode>#,##0.0%</c:formatCode>
                <c:ptCount val="3"/>
                <c:pt idx="0">
                  <c:v>0.20117172146809367</c:v>
                </c:pt>
                <c:pt idx="1">
                  <c:v>0.21987982755154489</c:v>
                </c:pt>
                <c:pt idx="2">
                  <c:v>0.20447803758022373</c:v>
                </c:pt>
              </c:numCache>
            </c:numRef>
          </c:val>
        </c:ser>
        <c:ser>
          <c:idx val="2"/>
          <c:order val="2"/>
          <c:tx>
            <c:strRef>
              <c:f>'graphe fr'!$Q$112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T1/13</c:v>
                </c:pt>
                <c:pt idx="1">
                  <c:v>T4/13</c:v>
                </c:pt>
                <c:pt idx="2">
                  <c:v>T1/14</c:v>
                </c:pt>
              </c:strCache>
            </c:strRef>
          </c:cat>
          <c:val>
            <c:numRef>
              <c:f>'graphe fr'!$R$112:$T$112</c:f>
              <c:numCache>
                <c:formatCode>#,##0.0%</c:formatCode>
                <c:ptCount val="3"/>
                <c:pt idx="0">
                  <c:v>1.8932655829451122E-2</c:v>
                </c:pt>
                <c:pt idx="1">
                  <c:v>9.8173070111037767E-3</c:v>
                </c:pt>
                <c:pt idx="2">
                  <c:v>1.0002046003389739E-2</c:v>
                </c:pt>
              </c:numCache>
            </c:numRef>
          </c:val>
        </c:ser>
        <c:gapWidth val="75"/>
        <c:overlap val="-25"/>
        <c:axId val="99534336"/>
        <c:axId val="99535872"/>
      </c:barChart>
      <c:catAx>
        <c:axId val="99534336"/>
        <c:scaling>
          <c:orientation val="minMax"/>
        </c:scaling>
        <c:axPos val="b"/>
        <c:majorTickMark val="none"/>
        <c:tickLblPos val="nextTo"/>
        <c:crossAx val="99535872"/>
        <c:crosses val="autoZero"/>
        <c:auto val="1"/>
        <c:lblAlgn val="ctr"/>
        <c:lblOffset val="100"/>
      </c:catAx>
      <c:valAx>
        <c:axId val="99535872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9953433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Perception </a:t>
            </a:r>
            <a:r>
              <a:rPr lang="fr-FR" sz="1200" b="1" i="0" baseline="0"/>
              <a:t>de l'évolution passée des prix des produits alimentaires (en %)</a:t>
            </a:r>
            <a:endParaRPr lang="fr-FR" sz="12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5.3710937500000139E-2"/>
          <c:y val="0.2128973660308813"/>
          <c:w val="0.89257812499999956"/>
          <c:h val="0.58160298082630468"/>
        </c:manualLayout>
      </c:layout>
      <c:barChart>
        <c:barDir val="col"/>
        <c:grouping val="clustered"/>
        <c:ser>
          <c:idx val="0"/>
          <c:order val="0"/>
          <c:tx>
            <c:strRef>
              <c:f>'graphe fr'!$Q$114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T1/13</c:v>
                </c:pt>
                <c:pt idx="1">
                  <c:v>T4/13</c:v>
                </c:pt>
                <c:pt idx="2">
                  <c:v>T1/14</c:v>
                </c:pt>
              </c:strCache>
            </c:strRef>
          </c:cat>
          <c:val>
            <c:numRef>
              <c:f>'graphe fr'!$R$114:$T$114</c:f>
              <c:numCache>
                <c:formatCode>#,##0.0%</c:formatCode>
                <c:ptCount val="3"/>
                <c:pt idx="0">
                  <c:v>0.92203066945779144</c:v>
                </c:pt>
                <c:pt idx="1">
                  <c:v>0.91900352935980567</c:v>
                </c:pt>
                <c:pt idx="2">
                  <c:v>0.90507883998493777</c:v>
                </c:pt>
              </c:numCache>
            </c:numRef>
          </c:val>
        </c:ser>
        <c:ser>
          <c:idx val="1"/>
          <c:order val="1"/>
          <c:tx>
            <c:strRef>
              <c:f>'graphe fr'!$Q$115</c:f>
              <c:strCache>
                <c:ptCount val="1"/>
                <c:pt idx="0">
                  <c:v>stagnation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T1/13</c:v>
                </c:pt>
                <c:pt idx="1">
                  <c:v>T4/13</c:v>
                </c:pt>
                <c:pt idx="2">
                  <c:v>T1/14</c:v>
                </c:pt>
              </c:strCache>
            </c:strRef>
          </c:cat>
          <c:val>
            <c:numRef>
              <c:f>'graphe fr'!$R$115:$T$115</c:f>
              <c:numCache>
                <c:formatCode>#,##0.0%</c:formatCode>
                <c:ptCount val="3"/>
                <c:pt idx="0">
                  <c:v>7.224194939421362E-2</c:v>
                </c:pt>
                <c:pt idx="1">
                  <c:v>7.0416966997420588E-2</c:v>
                </c:pt>
                <c:pt idx="2">
                  <c:v>8.4062040878642691E-2</c:v>
                </c:pt>
              </c:numCache>
            </c:numRef>
          </c:val>
        </c:ser>
        <c:ser>
          <c:idx val="2"/>
          <c:order val="2"/>
          <c:tx>
            <c:strRef>
              <c:f>'graphe fr'!$Q$116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T1/13</c:v>
                </c:pt>
                <c:pt idx="1">
                  <c:v>T4/13</c:v>
                </c:pt>
                <c:pt idx="2">
                  <c:v>T1/14</c:v>
                </c:pt>
              </c:strCache>
            </c:strRef>
          </c:cat>
          <c:val>
            <c:numRef>
              <c:f>'graphe fr'!$R$116:$T$116</c:f>
              <c:numCache>
                <c:formatCode>#,##0.0%</c:formatCode>
                <c:ptCount val="3"/>
                <c:pt idx="0">
                  <c:v>5.7273811479935403E-3</c:v>
                </c:pt>
                <c:pt idx="1">
                  <c:v>1.0579503642774421E-2</c:v>
                </c:pt>
                <c:pt idx="2">
                  <c:v>1.085911913642032E-2</c:v>
                </c:pt>
              </c:numCache>
            </c:numRef>
          </c:val>
        </c:ser>
        <c:gapWidth val="75"/>
        <c:overlap val="-25"/>
        <c:axId val="99567104"/>
        <c:axId val="99568640"/>
      </c:barChart>
      <c:catAx>
        <c:axId val="99567104"/>
        <c:scaling>
          <c:orientation val="minMax"/>
        </c:scaling>
        <c:axPos val="b"/>
        <c:majorTickMark val="none"/>
        <c:tickLblPos val="nextTo"/>
        <c:crossAx val="99568640"/>
        <c:crosses val="autoZero"/>
        <c:auto val="1"/>
        <c:lblAlgn val="ctr"/>
        <c:lblOffset val="100"/>
      </c:catAx>
      <c:valAx>
        <c:axId val="99568640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99567104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66D51-3B42-4D27-973C-89DCA085F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1414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9179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 </cp:lastModifiedBy>
  <cp:revision>2</cp:revision>
  <cp:lastPrinted>2014-05-09T09:58:00Z</cp:lastPrinted>
  <dcterms:created xsi:type="dcterms:W3CDTF">2014-05-12T16:30:00Z</dcterms:created>
  <dcterms:modified xsi:type="dcterms:W3CDTF">2014-05-12T16:30:00Z</dcterms:modified>
</cp:coreProperties>
</file>