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C706A5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12704" w:rsidRPr="00C706A5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>Note d’information</w:t>
      </w:r>
      <w:r w:rsidR="0069792B" w:rsidRPr="00C706A5">
        <w:rPr>
          <w:rFonts w:ascii="Book Antiqua" w:hAnsi="Book Antiqua" w:cs="Times New Roman"/>
          <w:b/>
          <w:bCs/>
          <w:color w:val="000000" w:themeColor="text1"/>
        </w:rPr>
        <w:t xml:space="preserve"> du Haut-commissariat au Plan</w:t>
      </w:r>
    </w:p>
    <w:p w:rsidR="00912704" w:rsidRPr="00C706A5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>R</w:t>
      </w:r>
      <w:r w:rsidR="00912704" w:rsidRPr="00C706A5">
        <w:rPr>
          <w:rFonts w:ascii="Book Antiqua" w:hAnsi="Book Antiqua" w:cs="Times New Roman"/>
          <w:b/>
          <w:bCs/>
          <w:color w:val="000000" w:themeColor="text1"/>
        </w:rPr>
        <w:t xml:space="preserve">ésultats de l’enquête de conjoncture auprès des ménages </w:t>
      </w:r>
    </w:p>
    <w:p w:rsidR="00912704" w:rsidRPr="00C706A5" w:rsidRDefault="0004211E" w:rsidP="00E85462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>Premier trimestre</w:t>
      </w:r>
      <w:r w:rsidR="00EE0655" w:rsidRPr="00C706A5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>
        <w:rPr>
          <w:rFonts w:ascii="Book Antiqua" w:hAnsi="Book Antiqua" w:cs="Times New Roman"/>
          <w:b/>
          <w:bCs/>
          <w:color w:val="000000" w:themeColor="text1"/>
        </w:rPr>
        <w:t>2014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14398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que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Confiance des Ménages (ICM)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aura enregistré, au cours du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premier trimestre</w:t>
      </w:r>
      <w:r w:rsidR="00EE0655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2014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, une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quasi stagnation 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>quatrième trimestre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>201</w:t>
      </w:r>
      <w:r w:rsidR="0041160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et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une baisse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88731E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686596" w:rsidRPr="00C706A5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8731E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point par rapport </w:t>
      </w:r>
      <w:r w:rsidR="00BF7AF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à son niveau du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premier trimestre</w:t>
      </w:r>
      <w:r w:rsidR="00BF7AF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de l’année 201</w:t>
      </w:r>
      <w:r w:rsidR="0088731E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634C05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="005950FE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F86FF5" w:rsidRPr="00C706A5">
        <w:rPr>
          <w:rFonts w:ascii="Times New Roman" w:hAnsi="Times New Roman" w:cs="Times New Roman"/>
          <w:color w:val="000000" w:themeColor="text1"/>
        </w:rPr>
        <w:t>4</w:t>
      </w:r>
      <w:r w:rsidR="009C76E3" w:rsidRPr="00C706A5">
        <w:rPr>
          <w:rFonts w:ascii="Times New Roman" w:hAnsi="Times New Roman" w:cs="Times New Roman"/>
          <w:color w:val="000000" w:themeColor="text1"/>
        </w:rPr>
        <w:t>,</w:t>
      </w:r>
      <w:r w:rsidR="001347D2">
        <w:rPr>
          <w:rFonts w:ascii="Times New Roman" w:hAnsi="Times New Roman" w:cs="Times New Roman"/>
          <w:color w:val="000000" w:themeColor="text1"/>
        </w:rPr>
        <w:t>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1347D2">
        <w:rPr>
          <w:rFonts w:ascii="Times New Roman" w:hAnsi="Times New Roman" w:cs="Times New Roman"/>
          <w:color w:val="000000" w:themeColor="text1"/>
        </w:rPr>
        <w:t>4</w:t>
      </w:r>
      <w:r w:rsidR="009C76E3" w:rsidRPr="00C706A5">
        <w:rPr>
          <w:rFonts w:ascii="Times New Roman" w:hAnsi="Times New Roman" w:cs="Times New Roman"/>
          <w:color w:val="000000" w:themeColor="text1"/>
        </w:rPr>
        <w:t>,</w:t>
      </w:r>
      <w:r w:rsidR="00634C05">
        <w:rPr>
          <w:rFonts w:ascii="Times New Roman" w:hAnsi="Times New Roman" w:cs="Times New Roman"/>
          <w:color w:val="000000" w:themeColor="text1"/>
        </w:rPr>
        <w:t>2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C76E3" w:rsidRPr="00C706A5">
        <w:rPr>
          <w:rFonts w:ascii="Times New Roman" w:hAnsi="Times New Roman" w:cs="Times New Roman"/>
          <w:color w:val="000000" w:themeColor="text1"/>
        </w:rPr>
        <w:t>7</w:t>
      </w:r>
      <w:r w:rsidR="001347D2">
        <w:rPr>
          <w:rFonts w:ascii="Times New Roman" w:hAnsi="Times New Roman" w:cs="Times New Roman"/>
          <w:color w:val="000000" w:themeColor="text1"/>
        </w:rPr>
        <w:t>5</w:t>
      </w:r>
      <w:r w:rsidR="00BE269D" w:rsidRPr="00C706A5">
        <w:rPr>
          <w:rFonts w:ascii="Times New Roman" w:hAnsi="Times New Roman" w:cs="Times New Roman"/>
          <w:color w:val="000000" w:themeColor="text1"/>
        </w:rPr>
        <w:t>,</w:t>
      </w:r>
      <w:r w:rsidR="001347D2">
        <w:rPr>
          <w:rFonts w:ascii="Times New Roman" w:hAnsi="Times New Roman" w:cs="Times New Roman"/>
          <w:color w:val="000000" w:themeColor="text1"/>
        </w:rPr>
        <w:t>8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même trimestre de l’année passée. </w:t>
      </w:r>
    </w:p>
    <w:p w:rsidR="00430234" w:rsidRPr="00C706A5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</w:p>
    <w:p w:rsidR="00E5224B" w:rsidRPr="00C706A5" w:rsidRDefault="001347D2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1347D2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6162675" cy="3171825"/>
            <wp:effectExtent l="19050" t="0" r="9525" b="0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Pr="00C706A5" w:rsidRDefault="006F1D72" w:rsidP="008D3806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Ref379209308"/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Evolution des </w:t>
      </w:r>
      <w:r w:rsidR="00860E86" w:rsidRPr="00C706A5">
        <w:rPr>
          <w:rFonts w:ascii="Times New Roman" w:hAnsi="Times New Roman" w:cs="Times New Roman"/>
          <w:b/>
          <w:bCs/>
          <w:color w:val="000000" w:themeColor="text1"/>
        </w:rPr>
        <w:t>composantes de</w:t>
      </w: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l'ICM</w:t>
      </w:r>
      <w:bookmarkEnd w:id="0"/>
    </w:p>
    <w:p w:rsidR="008D3806" w:rsidRPr="00C706A5" w:rsidRDefault="008D3806" w:rsidP="008D3806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Cette évolution de l’ICM est le résultat des variations de ses différentes composantes. </w:t>
      </w:r>
    </w:p>
    <w:p w:rsidR="00912704" w:rsidRPr="00C706A5" w:rsidRDefault="005B1014" w:rsidP="00E62E41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2532B" w:rsidRPr="00C706A5">
        <w:rPr>
          <w:rFonts w:ascii="Times New Roman" w:hAnsi="Times New Roman" w:cs="Times New Roman"/>
          <w:b/>
          <w:bCs/>
          <w:color w:val="000000" w:themeColor="text1"/>
        </w:rPr>
        <w:t>Niveaux de vie</w:t>
      </w:r>
      <w:r w:rsidR="00B50EDD" w:rsidRPr="00C706A5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1B113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62E41">
        <w:rPr>
          <w:rFonts w:ascii="Times New Roman" w:hAnsi="Times New Roman" w:cs="Times New Roman"/>
          <w:b/>
          <w:bCs/>
          <w:color w:val="000000" w:themeColor="text1"/>
        </w:rPr>
        <w:t>perspectives moins</w:t>
      </w:r>
      <w:r w:rsidR="002B7130">
        <w:rPr>
          <w:rFonts w:ascii="Times New Roman" w:hAnsi="Times New Roman" w:cs="Times New Roman"/>
          <w:b/>
          <w:bCs/>
          <w:color w:val="000000" w:themeColor="text1"/>
        </w:rPr>
        <w:t xml:space="preserve"> optimistes</w:t>
      </w:r>
    </w:p>
    <w:p w:rsidR="00122941" w:rsidRPr="00C706A5" w:rsidRDefault="00122941" w:rsidP="0026748C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Les </w:t>
      </w:r>
      <w:r w:rsidR="0026748C">
        <w:rPr>
          <w:rFonts w:ascii="Times New Roman" w:hAnsi="Times New Roman" w:cs="Times New Roman"/>
          <w:color w:val="000000" w:themeColor="text1"/>
        </w:rPr>
        <w:t>opini</w:t>
      </w:r>
      <w:r w:rsidRPr="00C706A5">
        <w:rPr>
          <w:rFonts w:ascii="Times New Roman" w:hAnsi="Times New Roman" w:cs="Times New Roman"/>
          <w:color w:val="000000" w:themeColor="text1"/>
        </w:rPr>
        <w:t xml:space="preserve">ons des ménages sur l’évolution passée du niveau de vie </w:t>
      </w:r>
      <w:r w:rsidR="002E5787">
        <w:rPr>
          <w:rFonts w:ascii="Times New Roman" w:hAnsi="Times New Roman" w:cs="Times New Roman"/>
          <w:color w:val="000000" w:themeColor="text1"/>
        </w:rPr>
        <w:t>ont</w:t>
      </w:r>
      <w:r w:rsidRPr="00C706A5">
        <w:rPr>
          <w:rFonts w:ascii="Times New Roman" w:hAnsi="Times New Roman" w:cs="Times New Roman"/>
          <w:color w:val="000000" w:themeColor="text1"/>
        </w:rPr>
        <w:t xml:space="preserve"> connu, 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une amélioration aussi bien par rapport au trimestre précédent qu’au même trimestre de l’année </w:t>
      </w:r>
      <w:r w:rsidR="00D46521" w:rsidRPr="00C706A5">
        <w:rPr>
          <w:rFonts w:ascii="Times New Roman" w:hAnsi="Times New Roman" w:cs="Times New Roman"/>
          <w:color w:val="000000" w:themeColor="text1"/>
        </w:rPr>
        <w:t>201</w:t>
      </w:r>
      <w:r w:rsidR="00FF44FD">
        <w:rPr>
          <w:rFonts w:ascii="Times New Roman" w:hAnsi="Times New Roman" w:cs="Times New Roman"/>
          <w:color w:val="000000" w:themeColor="text1"/>
        </w:rPr>
        <w:t>3</w:t>
      </w:r>
      <w:r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137D7D" w:rsidRPr="00C706A5">
        <w:rPr>
          <w:rFonts w:ascii="Times New Roman" w:hAnsi="Times New Roman" w:cs="Times New Roman"/>
          <w:color w:val="000000" w:themeColor="text1"/>
        </w:rPr>
        <w:t>Le</w:t>
      </w:r>
      <w:r w:rsidRPr="00C706A5">
        <w:rPr>
          <w:rFonts w:ascii="Times New Roman" w:hAnsi="Times New Roman" w:cs="Times New Roman"/>
          <w:color w:val="000000" w:themeColor="text1"/>
        </w:rPr>
        <w:t xml:space="preserve"> solde relatif à cet indicateur</w:t>
      </w:r>
      <w:r w:rsidR="002E5787">
        <w:rPr>
          <w:rFonts w:ascii="Times New Roman" w:hAnsi="Times New Roman" w:cs="Times New Roman"/>
          <w:color w:val="000000" w:themeColor="text1"/>
        </w:rPr>
        <w:t>,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749D1">
        <w:rPr>
          <w:rFonts w:ascii="Times New Roman" w:hAnsi="Times New Roman" w:cs="Times New Roman"/>
          <w:color w:val="000000" w:themeColor="text1"/>
        </w:rPr>
        <w:t xml:space="preserve">qui </w:t>
      </w:r>
      <w:r w:rsidR="0041160A">
        <w:rPr>
          <w:rFonts w:ascii="Times New Roman" w:hAnsi="Times New Roman" w:cs="Times New Roman"/>
          <w:color w:val="000000" w:themeColor="text1"/>
        </w:rPr>
        <w:t xml:space="preserve">continue sa tendance </w:t>
      </w:r>
      <w:r w:rsidR="002E5787">
        <w:rPr>
          <w:rFonts w:ascii="Times New Roman" w:hAnsi="Times New Roman" w:cs="Times New Roman"/>
          <w:color w:val="000000" w:themeColor="text1"/>
        </w:rPr>
        <w:t>hauss</w:t>
      </w:r>
      <w:r w:rsidR="0041160A">
        <w:rPr>
          <w:rFonts w:ascii="Times New Roman" w:hAnsi="Times New Roman" w:cs="Times New Roman"/>
          <w:color w:val="000000" w:themeColor="text1"/>
        </w:rPr>
        <w:t>ière entamée depuis une année</w:t>
      </w:r>
      <w:r w:rsidR="004732C6">
        <w:rPr>
          <w:rFonts w:ascii="Times New Roman" w:hAnsi="Times New Roman" w:cs="Times New Roman"/>
          <w:color w:val="000000" w:themeColor="text1"/>
        </w:rPr>
        <w:t xml:space="preserve">, </w:t>
      </w:r>
      <w:r w:rsidR="0041160A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 gag</w:t>
      </w:r>
      <w:r w:rsidR="004732C6">
        <w:rPr>
          <w:rFonts w:ascii="Times New Roman" w:hAnsi="Times New Roman" w:cs="Times New Roman"/>
          <w:color w:val="000000" w:themeColor="text1"/>
        </w:rPr>
        <w:t>ne</w:t>
      </w:r>
      <w:r w:rsidRPr="00C706A5">
        <w:rPr>
          <w:rFonts w:ascii="Times New Roman" w:hAnsi="Times New Roman" w:cs="Times New Roman"/>
          <w:color w:val="000000" w:themeColor="text1"/>
        </w:rPr>
        <w:t xml:space="preserve"> 1,</w:t>
      </w:r>
      <w:r w:rsidR="003F107C">
        <w:rPr>
          <w:rFonts w:ascii="Times New Roman" w:hAnsi="Times New Roman" w:cs="Times New Roman"/>
          <w:color w:val="000000" w:themeColor="text1"/>
        </w:rPr>
        <w:t>8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 et </w:t>
      </w:r>
      <w:r w:rsidR="003F107C">
        <w:rPr>
          <w:rFonts w:ascii="Times New Roman" w:hAnsi="Times New Roman" w:cs="Times New Roman"/>
          <w:color w:val="000000" w:themeColor="text1"/>
        </w:rPr>
        <w:t>11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1F6A9C">
        <w:rPr>
          <w:rFonts w:ascii="Times New Roman" w:hAnsi="Times New Roman" w:cs="Times New Roman"/>
          <w:color w:val="000000" w:themeColor="text1"/>
        </w:rPr>
        <w:t>1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354A18" w:rsidRPr="00C706A5">
        <w:rPr>
          <w:rFonts w:ascii="Times New Roman" w:hAnsi="Times New Roman" w:cs="Times New Roman"/>
          <w:color w:val="000000" w:themeColor="text1"/>
        </w:rPr>
        <w:t xml:space="preserve"> durant ces deux périodes </w:t>
      </w:r>
      <w:r w:rsidR="00862AF0" w:rsidRPr="00C706A5">
        <w:rPr>
          <w:rFonts w:ascii="Times New Roman" w:hAnsi="Times New Roman" w:cs="Times New Roman"/>
          <w:color w:val="000000" w:themeColor="text1"/>
        </w:rPr>
        <w:t>respectives</w:t>
      </w:r>
      <w:r w:rsidRPr="00C706A5">
        <w:rPr>
          <w:rFonts w:ascii="Times New Roman" w:hAnsi="Times New Roman" w:cs="Times New Roman"/>
          <w:color w:val="000000" w:themeColor="text1"/>
        </w:rPr>
        <w:t>.</w:t>
      </w:r>
    </w:p>
    <w:p w:rsidR="00761A82" w:rsidRPr="00C706A5" w:rsidRDefault="00E94716" w:rsidP="0026611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Inversement, l</w:t>
      </w:r>
      <w:r w:rsidRPr="00C706A5">
        <w:rPr>
          <w:rFonts w:ascii="Times New Roman" w:hAnsi="Times New Roman" w:cs="Times New Roman"/>
          <w:color w:val="000000" w:themeColor="text1"/>
        </w:rPr>
        <w:t>e</w:t>
      </w:r>
      <w:r w:rsidR="00897342">
        <w:rPr>
          <w:rFonts w:ascii="Times New Roman" w:hAnsi="Times New Roman" w:cs="Times New Roman"/>
          <w:color w:val="000000" w:themeColor="text1"/>
        </w:rPr>
        <w:t xml:space="preserve">s perceptions des ménages relatives à l’évolution future </w:t>
      </w:r>
      <w:r w:rsidR="00897342" w:rsidRPr="00C706A5">
        <w:rPr>
          <w:rFonts w:ascii="Times New Roman" w:hAnsi="Times New Roman" w:cs="Times New Roman"/>
          <w:color w:val="000000" w:themeColor="text1"/>
        </w:rPr>
        <w:t>de niveau de vie</w:t>
      </w:r>
      <w:r w:rsidR="00897342">
        <w:rPr>
          <w:rFonts w:ascii="Times New Roman" w:hAnsi="Times New Roman" w:cs="Times New Roman"/>
          <w:color w:val="000000" w:themeColor="text1"/>
        </w:rPr>
        <w:t xml:space="preserve"> se </w:t>
      </w:r>
      <w:r w:rsidR="00266110">
        <w:rPr>
          <w:rFonts w:ascii="Times New Roman" w:hAnsi="Times New Roman" w:cs="Times New Roman"/>
          <w:color w:val="000000" w:themeColor="text1"/>
        </w:rPr>
        <w:t xml:space="preserve">sont </w:t>
      </w:r>
      <w:r w:rsidR="00897342">
        <w:rPr>
          <w:rFonts w:ascii="Times New Roman" w:hAnsi="Times New Roman" w:cs="Times New Roman"/>
          <w:color w:val="000000" w:themeColor="text1"/>
        </w:rPr>
        <w:t>dégrad</w:t>
      </w:r>
      <w:r w:rsidR="00266110">
        <w:rPr>
          <w:rFonts w:ascii="Times New Roman" w:hAnsi="Times New Roman" w:cs="Times New Roman"/>
          <w:color w:val="000000" w:themeColor="text1"/>
        </w:rPr>
        <w:t>ées</w:t>
      </w:r>
      <w:r w:rsidR="00897342">
        <w:rPr>
          <w:rFonts w:ascii="Times New Roman" w:hAnsi="Times New Roman" w:cs="Times New Roman"/>
          <w:color w:val="000000" w:themeColor="text1"/>
        </w:rPr>
        <w:t xml:space="preserve">. Le </w:t>
      </w:r>
      <w:r w:rsidRPr="00C706A5">
        <w:rPr>
          <w:rFonts w:ascii="Times New Roman" w:hAnsi="Times New Roman" w:cs="Times New Roman"/>
          <w:color w:val="000000" w:themeColor="text1"/>
        </w:rPr>
        <w:t xml:space="preserve">solde </w:t>
      </w:r>
      <w:r w:rsidR="00897342">
        <w:rPr>
          <w:rFonts w:ascii="Times New Roman" w:hAnsi="Times New Roman" w:cs="Times New Roman"/>
          <w:color w:val="000000" w:themeColor="text1"/>
        </w:rPr>
        <w:t xml:space="preserve">synthétisant cet indicateur </w:t>
      </w:r>
      <w:r w:rsidR="004A590B" w:rsidRPr="00C706A5">
        <w:rPr>
          <w:rFonts w:ascii="Times New Roman" w:hAnsi="Times New Roman" w:cs="Times New Roman"/>
          <w:color w:val="000000" w:themeColor="text1"/>
        </w:rPr>
        <w:t>enregistre</w:t>
      </w:r>
      <w:r w:rsidR="00897342">
        <w:rPr>
          <w:rFonts w:ascii="Times New Roman" w:hAnsi="Times New Roman" w:cs="Times New Roman"/>
          <w:color w:val="000000" w:themeColor="text1"/>
        </w:rPr>
        <w:t>,</w:t>
      </w:r>
      <w:r w:rsidR="004A590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97342">
        <w:rPr>
          <w:rFonts w:ascii="Times New Roman" w:hAnsi="Times New Roman" w:cs="Times New Roman"/>
          <w:color w:val="000000" w:themeColor="text1"/>
        </w:rPr>
        <w:t xml:space="preserve">en effet, 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F86EAC" w:rsidRPr="00C706A5">
        <w:rPr>
          <w:rFonts w:ascii="Times New Roman" w:hAnsi="Times New Roman" w:cs="Times New Roman"/>
          <w:color w:val="000000" w:themeColor="text1"/>
        </w:rPr>
        <w:t>baisse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2B74FD">
        <w:rPr>
          <w:rFonts w:ascii="Times New Roman" w:hAnsi="Times New Roman" w:cs="Times New Roman"/>
          <w:color w:val="000000" w:themeColor="text1"/>
        </w:rPr>
        <w:t>3</w:t>
      </w:r>
      <w:r w:rsidR="00753AB7" w:rsidRPr="00C706A5">
        <w:rPr>
          <w:rFonts w:ascii="Times New Roman" w:hAnsi="Times New Roman" w:cs="Times New Roman"/>
          <w:color w:val="000000" w:themeColor="text1"/>
        </w:rPr>
        <w:t>,</w:t>
      </w:r>
      <w:r w:rsidR="002B74FD">
        <w:rPr>
          <w:rFonts w:ascii="Times New Roman" w:hAnsi="Times New Roman" w:cs="Times New Roman"/>
          <w:color w:val="000000" w:themeColor="text1"/>
        </w:rPr>
        <w:t>5</w:t>
      </w:r>
      <w:r w:rsidR="00753AB7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F86EAC" w:rsidRPr="00C706A5">
        <w:rPr>
          <w:rFonts w:ascii="Times New Roman" w:hAnsi="Times New Roman" w:cs="Times New Roman"/>
          <w:color w:val="000000" w:themeColor="text1"/>
        </w:rPr>
        <w:t>s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p</w:t>
      </w:r>
      <w:r w:rsidR="00C077F1" w:rsidRPr="00C706A5">
        <w:rPr>
          <w:rFonts w:ascii="Times New Roman" w:hAnsi="Times New Roman" w:cs="Times New Roman"/>
          <w:color w:val="000000" w:themeColor="text1"/>
        </w:rPr>
        <w:t>ar rapport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au trimestre précédent </w:t>
      </w:r>
      <w:r w:rsidR="00F625E1" w:rsidRPr="00C706A5">
        <w:rPr>
          <w:rFonts w:ascii="Times New Roman" w:hAnsi="Times New Roman" w:cs="Times New Roman"/>
          <w:color w:val="000000" w:themeColor="text1"/>
        </w:rPr>
        <w:t>et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86EAC" w:rsidRPr="00C706A5">
        <w:rPr>
          <w:rFonts w:ascii="Times New Roman" w:hAnsi="Times New Roman" w:cs="Times New Roman"/>
          <w:color w:val="000000" w:themeColor="text1"/>
        </w:rPr>
        <w:t>de 6,</w:t>
      </w:r>
      <w:r w:rsidR="002B74FD">
        <w:rPr>
          <w:rFonts w:ascii="Times New Roman" w:hAnsi="Times New Roman" w:cs="Times New Roman"/>
          <w:color w:val="000000" w:themeColor="text1"/>
        </w:rPr>
        <w:t>3</w:t>
      </w:r>
      <w:r w:rsidR="00F86EAC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61A82" w:rsidRPr="00C706A5">
        <w:rPr>
          <w:rFonts w:ascii="Times New Roman" w:hAnsi="Times New Roman" w:cs="Times New Roman"/>
          <w:color w:val="000000" w:themeColor="text1"/>
        </w:rPr>
        <w:t>point</w:t>
      </w:r>
      <w:r w:rsidR="00F86EAC" w:rsidRPr="00C706A5">
        <w:rPr>
          <w:rFonts w:ascii="Times New Roman" w:hAnsi="Times New Roman" w:cs="Times New Roman"/>
          <w:color w:val="000000" w:themeColor="text1"/>
        </w:rPr>
        <w:t>s</w:t>
      </w:r>
      <w:r w:rsidR="00761A82" w:rsidRPr="00C706A5">
        <w:rPr>
          <w:rFonts w:ascii="Times New Roman" w:hAnsi="Times New Roman" w:cs="Times New Roman"/>
          <w:color w:val="000000" w:themeColor="text1"/>
        </w:rPr>
        <w:t xml:space="preserve">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761A82" w:rsidRPr="00C706A5">
        <w:rPr>
          <w:rFonts w:ascii="Times New Roman" w:hAnsi="Times New Roman" w:cs="Times New Roman"/>
          <w:color w:val="000000" w:themeColor="text1"/>
        </w:rPr>
        <w:t>.</w:t>
      </w:r>
    </w:p>
    <w:p w:rsidR="00DB5B40" w:rsidRPr="00C706A5" w:rsidRDefault="00DB5B40" w:rsidP="00DB5B4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2695A" w:rsidRPr="00C706A5" w:rsidRDefault="004872D2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 w:themeColor="text1"/>
          <w:rtl/>
        </w:rPr>
      </w:pPr>
      <w:r w:rsidRPr="004872D2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872867" cy="3289935"/>
            <wp:effectExtent l="19050" t="0" r="13583" b="571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AAF" w:rsidRPr="00C706A5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5954" w:rsidRPr="00C706A5" w:rsidRDefault="002C5954" w:rsidP="00DC5A3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6F0E4F" w:rsidRPr="00C706A5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0A40C3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hômage : </w:t>
      </w:r>
      <w:r w:rsidR="000836A6">
        <w:rPr>
          <w:rFonts w:ascii="Times New Roman" w:hAnsi="Times New Roman" w:cs="Times New Roman"/>
          <w:b/>
          <w:bCs/>
          <w:color w:val="000000" w:themeColor="text1"/>
        </w:rPr>
        <w:t>une hausse</w:t>
      </w:r>
      <w:r w:rsidR="00DC5A31" w:rsidRPr="00DC5A3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C5A31" w:rsidRPr="00C706A5">
        <w:rPr>
          <w:rFonts w:ascii="Times New Roman" w:hAnsi="Times New Roman" w:cs="Times New Roman"/>
          <w:b/>
          <w:bCs/>
          <w:color w:val="000000" w:themeColor="text1"/>
        </w:rPr>
        <w:t>anticip</w:t>
      </w:r>
      <w:r w:rsidR="00DC5A31">
        <w:rPr>
          <w:rFonts w:ascii="Times New Roman" w:hAnsi="Times New Roman" w:cs="Times New Roman"/>
          <w:b/>
          <w:bCs/>
          <w:color w:val="000000" w:themeColor="text1"/>
        </w:rPr>
        <w:t>ée</w:t>
      </w:r>
    </w:p>
    <w:p w:rsidR="00E6458A" w:rsidRDefault="00C553B5" w:rsidP="00B600A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>, 7</w:t>
      </w:r>
      <w:r w:rsidR="001B69A3">
        <w:rPr>
          <w:rFonts w:ascii="Times New Roman" w:hAnsi="Times New Roman" w:cs="Times New Roman"/>
          <w:color w:val="000000" w:themeColor="text1"/>
        </w:rPr>
        <w:t>7</w:t>
      </w:r>
      <w:r w:rsidR="0064120B" w:rsidRPr="00C706A5">
        <w:rPr>
          <w:rFonts w:ascii="Times New Roman" w:hAnsi="Times New Roman" w:cs="Times New Roman"/>
          <w:color w:val="000000" w:themeColor="text1"/>
        </w:rPr>
        <w:t>,4</w:t>
      </w:r>
      <w:r w:rsidRPr="00C706A5">
        <w:rPr>
          <w:rFonts w:ascii="Times New Roman" w:hAnsi="Times New Roman" w:cs="Times New Roman"/>
          <w:color w:val="000000" w:themeColor="text1"/>
        </w:rPr>
        <w:t xml:space="preserve">% des ménages anticipent une hausse du nombre de chômeurs pour les 12 mois à venir contre </w:t>
      </w:r>
      <w:r w:rsidR="001B69A3">
        <w:rPr>
          <w:rFonts w:ascii="Times New Roman" w:hAnsi="Times New Roman" w:cs="Times New Roman"/>
          <w:color w:val="000000" w:themeColor="text1"/>
        </w:rPr>
        <w:t>75,4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trimestre auparavant et </w:t>
      </w:r>
      <w:r w:rsidR="0064120B" w:rsidRPr="00C706A5">
        <w:rPr>
          <w:rFonts w:ascii="Times New Roman" w:hAnsi="Times New Roman" w:cs="Times New Roman"/>
          <w:color w:val="000000" w:themeColor="text1"/>
        </w:rPr>
        <w:t>7</w:t>
      </w:r>
      <w:r w:rsidR="001B69A3">
        <w:rPr>
          <w:rFonts w:ascii="Times New Roman" w:hAnsi="Times New Roman" w:cs="Times New Roman"/>
          <w:color w:val="000000" w:themeColor="text1"/>
        </w:rPr>
        <w:t>2</w:t>
      </w:r>
      <w:r w:rsidR="00842AB8" w:rsidRPr="00C706A5">
        <w:rPr>
          <w:rFonts w:ascii="Times New Roman" w:hAnsi="Times New Roman" w:cs="Times New Roman"/>
          <w:color w:val="000000" w:themeColor="text1"/>
        </w:rPr>
        <w:t>,</w:t>
      </w:r>
      <w:r w:rsidR="001B69A3">
        <w:rPr>
          <w:rFonts w:ascii="Times New Roman" w:hAnsi="Times New Roman" w:cs="Times New Roman"/>
          <w:color w:val="000000" w:themeColor="text1"/>
        </w:rPr>
        <w:t>4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an auparavant. </w:t>
      </w:r>
      <w:r w:rsidR="00B600A7">
        <w:rPr>
          <w:rFonts w:ascii="Times New Roman" w:hAnsi="Times New Roman" w:cs="Times New Roman"/>
          <w:color w:val="000000" w:themeColor="text1"/>
        </w:rPr>
        <w:t>Ainsi, l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e solde de cet indicateur </w:t>
      </w:r>
      <w:r w:rsidR="009A19F3" w:rsidRPr="00C706A5">
        <w:rPr>
          <w:rFonts w:ascii="Times New Roman" w:hAnsi="Times New Roman" w:cs="Times New Roman"/>
          <w:color w:val="000000" w:themeColor="text1"/>
        </w:rPr>
        <w:t>qui s’établi</w:t>
      </w:r>
      <w:r w:rsidR="00B600A7">
        <w:rPr>
          <w:rFonts w:ascii="Times New Roman" w:hAnsi="Times New Roman" w:cs="Times New Roman"/>
          <w:color w:val="000000" w:themeColor="text1"/>
        </w:rPr>
        <w:t xml:space="preserve">ssait </w:t>
      </w:r>
      <w:r w:rsidR="001F5D34" w:rsidRPr="00C706A5">
        <w:rPr>
          <w:rFonts w:ascii="Times New Roman" w:hAnsi="Times New Roman" w:cs="Times New Roman"/>
          <w:color w:val="000000" w:themeColor="text1"/>
        </w:rPr>
        <w:t xml:space="preserve">à </w:t>
      </w:r>
      <w:r w:rsidR="00B600A7">
        <w:rPr>
          <w:rFonts w:ascii="Times New Roman" w:hAnsi="Times New Roman" w:cs="Times New Roman"/>
          <w:color w:val="000000" w:themeColor="text1"/>
        </w:rPr>
        <w:t xml:space="preserve">un niveau négatif de </w:t>
      </w:r>
      <w:r w:rsidR="009A19F3" w:rsidRPr="00C706A5">
        <w:rPr>
          <w:rFonts w:ascii="Times New Roman" w:hAnsi="Times New Roman" w:cs="Times New Roman"/>
          <w:color w:val="000000" w:themeColor="text1"/>
        </w:rPr>
        <w:t>-6</w:t>
      </w:r>
      <w:r w:rsidR="00117F82">
        <w:rPr>
          <w:rFonts w:ascii="Times New Roman" w:hAnsi="Times New Roman" w:cs="Times New Roman"/>
          <w:color w:val="000000" w:themeColor="text1"/>
        </w:rPr>
        <w:t>9</w:t>
      </w:r>
      <w:r w:rsidR="009A19F3" w:rsidRPr="00C706A5">
        <w:rPr>
          <w:rFonts w:ascii="Times New Roman" w:hAnsi="Times New Roman" w:cs="Times New Roman"/>
          <w:color w:val="000000" w:themeColor="text1"/>
        </w:rPr>
        <w:t>,</w:t>
      </w:r>
      <w:r w:rsidR="00117F82">
        <w:rPr>
          <w:rFonts w:ascii="Times New Roman" w:hAnsi="Times New Roman" w:cs="Times New Roman"/>
          <w:color w:val="000000" w:themeColor="text1"/>
        </w:rPr>
        <w:t>1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8D380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enregistr</w:t>
      </w:r>
      <w:r w:rsidR="001F5D34" w:rsidRPr="00C706A5">
        <w:rPr>
          <w:rFonts w:ascii="Times New Roman" w:hAnsi="Times New Roman" w:cs="Times New Roman"/>
          <w:color w:val="000000" w:themeColor="text1"/>
        </w:rPr>
        <w:t>e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1254E5">
        <w:rPr>
          <w:rFonts w:ascii="Times New Roman" w:hAnsi="Times New Roman" w:cs="Times New Roman"/>
          <w:color w:val="000000" w:themeColor="text1"/>
        </w:rPr>
        <w:t>baisse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1254E5">
        <w:rPr>
          <w:rFonts w:ascii="Times New Roman" w:hAnsi="Times New Roman" w:cs="Times New Roman"/>
          <w:color w:val="000000" w:themeColor="text1"/>
        </w:rPr>
        <w:t>0</w:t>
      </w:r>
      <w:r w:rsidR="00D85054" w:rsidRPr="00C706A5">
        <w:rPr>
          <w:rFonts w:ascii="Times New Roman" w:hAnsi="Times New Roman" w:cs="Times New Roman"/>
          <w:color w:val="000000" w:themeColor="text1"/>
        </w:rPr>
        <w:t>,</w:t>
      </w:r>
      <w:r w:rsidR="001254E5">
        <w:rPr>
          <w:rFonts w:ascii="Times New Roman" w:hAnsi="Times New Roman" w:cs="Times New Roman"/>
          <w:color w:val="000000" w:themeColor="text1"/>
        </w:rPr>
        <w:t>9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point par rapport au trimestre précédent </w:t>
      </w:r>
      <w:r w:rsidR="004F1AD1" w:rsidRPr="00C706A5">
        <w:rPr>
          <w:rFonts w:ascii="Times New Roman" w:hAnsi="Times New Roman" w:cs="Times New Roman"/>
          <w:color w:val="000000" w:themeColor="text1"/>
        </w:rPr>
        <w:t>et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1254E5">
        <w:rPr>
          <w:rFonts w:ascii="Times New Roman" w:hAnsi="Times New Roman" w:cs="Times New Roman"/>
          <w:color w:val="000000" w:themeColor="text1"/>
        </w:rPr>
        <w:t>7</w:t>
      </w:r>
      <w:r w:rsidR="00D85054" w:rsidRPr="00C706A5">
        <w:rPr>
          <w:rFonts w:ascii="Times New Roman" w:hAnsi="Times New Roman" w:cs="Times New Roman"/>
          <w:color w:val="000000" w:themeColor="text1"/>
        </w:rPr>
        <w:t>,</w:t>
      </w:r>
      <w:r w:rsidR="001254E5">
        <w:rPr>
          <w:rFonts w:ascii="Times New Roman" w:hAnsi="Times New Roman" w:cs="Times New Roman"/>
          <w:color w:val="000000" w:themeColor="text1"/>
        </w:rPr>
        <w:t>4</w:t>
      </w:r>
      <w:r w:rsidR="00D850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points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003F54" w:rsidRPr="00C706A5">
        <w:rPr>
          <w:rFonts w:ascii="Times New Roman" w:hAnsi="Times New Roman" w:cs="Times New Roman"/>
          <w:color w:val="000000" w:themeColor="text1"/>
        </w:rPr>
        <w:t>.</w:t>
      </w:r>
    </w:p>
    <w:p w:rsidR="00F12B69" w:rsidRPr="00C706A5" w:rsidRDefault="00F12B69" w:rsidP="00F12B6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6458A" w:rsidRPr="00C706A5" w:rsidRDefault="000836A6" w:rsidP="000518A6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836A6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216705" cy="2552368"/>
            <wp:effectExtent l="19050" t="0" r="12645" b="332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B69" w:rsidRDefault="00F12B69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12B69" w:rsidRDefault="00F12B69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325C4" w:rsidRDefault="008325C4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F0597" w:rsidRPr="00F12B69" w:rsidRDefault="001B2334" w:rsidP="00F44CD1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2B69">
        <w:rPr>
          <w:rFonts w:ascii="Times New Roman" w:hAnsi="Times New Roman" w:cs="Times New Roman"/>
          <w:b/>
          <w:bCs/>
          <w:color w:val="000000" w:themeColor="text1"/>
        </w:rPr>
        <w:lastRenderedPageBreak/>
        <w:t>Achat de bien</w:t>
      </w:r>
      <w:r w:rsidR="003E7485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F12B69">
        <w:rPr>
          <w:rFonts w:ascii="Times New Roman" w:hAnsi="Times New Roman" w:cs="Times New Roman"/>
          <w:b/>
          <w:bCs/>
          <w:color w:val="000000" w:themeColor="text1"/>
        </w:rPr>
        <w:t xml:space="preserve"> durable</w:t>
      </w:r>
      <w:r w:rsidR="003E7485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F12B69">
        <w:rPr>
          <w:rFonts w:ascii="Times New Roman" w:hAnsi="Times New Roman" w:cs="Times New Roman"/>
          <w:b/>
          <w:bCs/>
          <w:color w:val="000000" w:themeColor="text1"/>
        </w:rPr>
        <w:t xml:space="preserve"> : </w:t>
      </w:r>
      <w:r w:rsidR="000518A6" w:rsidRPr="00F12B69">
        <w:rPr>
          <w:rFonts w:ascii="Times New Roman" w:hAnsi="Times New Roman" w:cs="Times New Roman"/>
          <w:b/>
          <w:bCs/>
          <w:color w:val="000000" w:themeColor="text1"/>
        </w:rPr>
        <w:t>le m</w:t>
      </w:r>
      <w:r w:rsidR="00311292" w:rsidRPr="00F12B69">
        <w:rPr>
          <w:rFonts w:ascii="Times New Roman" w:hAnsi="Times New Roman" w:cs="Times New Roman"/>
          <w:b/>
          <w:bCs/>
          <w:color w:val="000000" w:themeColor="text1"/>
        </w:rPr>
        <w:t xml:space="preserve">oment </w:t>
      </w:r>
      <w:r w:rsidR="00F44CD1">
        <w:rPr>
          <w:rFonts w:ascii="Times New Roman" w:hAnsi="Times New Roman" w:cs="Times New Roman"/>
          <w:b/>
          <w:bCs/>
          <w:color w:val="000000" w:themeColor="text1"/>
        </w:rPr>
        <w:t xml:space="preserve">serait </w:t>
      </w:r>
      <w:r w:rsidR="00311292" w:rsidRPr="00F12B69">
        <w:rPr>
          <w:rFonts w:ascii="Times New Roman" w:hAnsi="Times New Roman" w:cs="Times New Roman"/>
          <w:b/>
          <w:bCs/>
          <w:color w:val="000000" w:themeColor="text1"/>
        </w:rPr>
        <w:t xml:space="preserve">inopportun </w:t>
      </w:r>
    </w:p>
    <w:p w:rsidR="00233531" w:rsidRPr="00C706A5" w:rsidRDefault="00233531" w:rsidP="0023353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672BD" w:rsidRPr="00C706A5" w:rsidRDefault="00996593" w:rsidP="00F24882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P</w:t>
      </w:r>
      <w:r w:rsidR="004E183B" w:rsidRPr="00C706A5">
        <w:rPr>
          <w:rFonts w:ascii="Times New Roman" w:hAnsi="Times New Roman" w:cs="Times New Roman"/>
          <w:color w:val="000000" w:themeColor="text1"/>
        </w:rPr>
        <w:t>rès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226A1" w:rsidRPr="00C706A5">
        <w:rPr>
          <w:rFonts w:ascii="Times New Roman" w:hAnsi="Times New Roman" w:cs="Times New Roman"/>
          <w:color w:val="000000" w:themeColor="text1"/>
        </w:rPr>
        <w:t>de 5</w:t>
      </w:r>
      <w:r w:rsidR="00F24882">
        <w:rPr>
          <w:rFonts w:ascii="Times New Roman" w:hAnsi="Times New Roman" w:cs="Times New Roman"/>
          <w:color w:val="000000" w:themeColor="text1"/>
        </w:rPr>
        <w:t>4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="00370A6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24882">
        <w:rPr>
          <w:rFonts w:ascii="Times New Roman" w:hAnsi="Times New Roman" w:cs="Times New Roman"/>
          <w:color w:val="000000" w:themeColor="text1"/>
        </w:rPr>
        <w:t>22</w:t>
      </w:r>
      <w:r w:rsidR="00C334F9" w:rsidRPr="00C706A5">
        <w:rPr>
          <w:rFonts w:ascii="Times New Roman" w:hAnsi="Times New Roman" w:cs="Times New Roman"/>
          <w:color w:val="000000" w:themeColor="text1"/>
        </w:rPr>
        <w:t>,</w:t>
      </w:r>
      <w:r w:rsidR="00F24882">
        <w:rPr>
          <w:rFonts w:ascii="Times New Roman" w:hAnsi="Times New Roman" w:cs="Times New Roman"/>
          <w:color w:val="000000" w:themeColor="text1"/>
        </w:rPr>
        <w:t>3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C334F9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671777" w:rsidRPr="00C706A5">
        <w:rPr>
          <w:rFonts w:ascii="Times New Roman" w:hAnsi="Times New Roman" w:cs="Times New Roman"/>
          <w:color w:val="000000" w:themeColor="text1"/>
        </w:rPr>
        <w:t>Avec -</w:t>
      </w:r>
      <w:r w:rsidR="004E183B" w:rsidRPr="00C706A5">
        <w:rPr>
          <w:rFonts w:ascii="Times New Roman" w:hAnsi="Times New Roman" w:cs="Times New Roman"/>
          <w:color w:val="000000" w:themeColor="text1"/>
        </w:rPr>
        <w:t>31</w:t>
      </w:r>
      <w:r w:rsidR="00671777" w:rsidRPr="00C706A5">
        <w:rPr>
          <w:rFonts w:ascii="Times New Roman" w:hAnsi="Times New Roman" w:cs="Times New Roman"/>
          <w:color w:val="000000" w:themeColor="text1"/>
        </w:rPr>
        <w:t>,</w:t>
      </w:r>
      <w:r w:rsidR="00F24882">
        <w:rPr>
          <w:rFonts w:ascii="Times New Roman" w:hAnsi="Times New Roman" w:cs="Times New Roman"/>
          <w:color w:val="000000" w:themeColor="text1"/>
        </w:rPr>
        <w:t>3</w:t>
      </w:r>
      <w:r w:rsidR="00671777" w:rsidRPr="00C706A5">
        <w:rPr>
          <w:rFonts w:ascii="Times New Roman" w:hAnsi="Times New Roman" w:cs="Times New Roman"/>
          <w:color w:val="000000" w:themeColor="text1"/>
        </w:rPr>
        <w:t xml:space="preserve"> points, 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enregistre une </w:t>
      </w:r>
      <w:r w:rsidR="007C5542">
        <w:rPr>
          <w:rFonts w:ascii="Times New Roman" w:hAnsi="Times New Roman" w:cs="Times New Roman"/>
          <w:color w:val="000000" w:themeColor="text1"/>
        </w:rPr>
        <w:t xml:space="preserve">légère </w:t>
      </w:r>
      <w:r w:rsidR="00F24882">
        <w:rPr>
          <w:rFonts w:ascii="Times New Roman" w:hAnsi="Times New Roman" w:cs="Times New Roman"/>
          <w:color w:val="000000" w:themeColor="text1"/>
        </w:rPr>
        <w:t>amélioration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par rapport au trimestre précédent (</w:t>
      </w:r>
      <w:r w:rsidR="00777F87">
        <w:rPr>
          <w:rFonts w:ascii="Times New Roman" w:hAnsi="Times New Roman" w:cs="Times New Roman"/>
          <w:color w:val="000000" w:themeColor="text1"/>
        </w:rPr>
        <w:t>+</w:t>
      </w:r>
      <w:r w:rsidR="00F24882">
        <w:rPr>
          <w:rFonts w:ascii="Times New Roman" w:hAnsi="Times New Roman" w:cs="Times New Roman"/>
          <w:color w:val="000000" w:themeColor="text1"/>
        </w:rPr>
        <w:t>0,5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point) </w:t>
      </w:r>
      <w:r w:rsidR="00F24882">
        <w:rPr>
          <w:rFonts w:ascii="Times New Roman" w:hAnsi="Times New Roman" w:cs="Times New Roman"/>
          <w:color w:val="000000" w:themeColor="text1"/>
        </w:rPr>
        <w:t>et une détérioration par rapport a</w:t>
      </w:r>
      <w:r w:rsidR="004E183B" w:rsidRPr="00C706A5">
        <w:rPr>
          <w:rFonts w:ascii="Times New Roman" w:hAnsi="Times New Roman" w:cs="Times New Roman"/>
          <w:color w:val="000000" w:themeColor="text1"/>
        </w:rPr>
        <w:t>u même trimestre de l’année précédente (-</w:t>
      </w:r>
      <w:r w:rsidR="00F24882">
        <w:rPr>
          <w:rFonts w:ascii="Times New Roman" w:hAnsi="Times New Roman" w:cs="Times New Roman"/>
          <w:color w:val="000000" w:themeColor="text1"/>
        </w:rPr>
        <w:t>3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points)</w:t>
      </w:r>
      <w:r w:rsidR="00FD2441" w:rsidRPr="00C706A5">
        <w:rPr>
          <w:rFonts w:ascii="Times New Roman" w:hAnsi="Times New Roman" w:cs="Times New Roman"/>
          <w:color w:val="000000" w:themeColor="text1"/>
        </w:rPr>
        <w:t>.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FD2441" w:rsidRPr="00C706A5" w:rsidRDefault="00FD2441" w:rsidP="00FD244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C473B" w:rsidRPr="00C706A5" w:rsidRDefault="005C473B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2E23" w:rsidRPr="00C706A5" w:rsidRDefault="00B446BF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446BF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343650" cy="3143250"/>
            <wp:effectExtent l="19050" t="0" r="19050" b="0"/>
            <wp:docPr id="12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22682" w:rsidRPr="00C706A5" w:rsidRDefault="00222682" w:rsidP="00450EF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8F01C0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50EFF">
        <w:rPr>
          <w:rFonts w:ascii="Times New Roman" w:hAnsi="Times New Roman" w:cs="Times New Roman"/>
          <w:b/>
          <w:bCs/>
          <w:color w:val="000000" w:themeColor="text1"/>
        </w:rPr>
        <w:t>La s</w:t>
      </w:r>
      <w:r w:rsidR="00CE5396" w:rsidRPr="00C706A5">
        <w:rPr>
          <w:rFonts w:ascii="Times New Roman" w:hAnsi="Times New Roman" w:cs="Times New Roman"/>
          <w:b/>
          <w:bCs/>
          <w:color w:val="000000" w:themeColor="text1"/>
        </w:rPr>
        <w:t>ituation</w:t>
      </w:r>
      <w:r w:rsidR="00C12EDB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financière des </w:t>
      </w:r>
      <w:r w:rsidR="0078348A" w:rsidRPr="00C706A5">
        <w:rPr>
          <w:rFonts w:ascii="Times New Roman" w:hAnsi="Times New Roman" w:cs="Times New Roman"/>
          <w:b/>
          <w:bCs/>
          <w:color w:val="000000" w:themeColor="text1"/>
        </w:rPr>
        <w:t>ménages</w:t>
      </w:r>
      <w:r w:rsidR="00450EFF">
        <w:rPr>
          <w:rFonts w:ascii="Times New Roman" w:hAnsi="Times New Roman" w:cs="Times New Roman"/>
          <w:b/>
          <w:bCs/>
          <w:color w:val="000000" w:themeColor="text1"/>
        </w:rPr>
        <w:t xml:space="preserve"> devrait se </w:t>
      </w:r>
      <w:r w:rsidR="00C12EDB" w:rsidRPr="00C706A5">
        <w:rPr>
          <w:rFonts w:ascii="Times New Roman" w:hAnsi="Times New Roman" w:cs="Times New Roman"/>
          <w:b/>
          <w:bCs/>
          <w:color w:val="000000" w:themeColor="text1"/>
        </w:rPr>
        <w:t>détér</w:t>
      </w:r>
      <w:r w:rsidR="00450EFF">
        <w:rPr>
          <w:rFonts w:ascii="Times New Roman" w:hAnsi="Times New Roman" w:cs="Times New Roman"/>
          <w:b/>
          <w:bCs/>
          <w:color w:val="000000" w:themeColor="text1"/>
        </w:rPr>
        <w:t>iorer</w:t>
      </w:r>
      <w:r w:rsidR="009A4775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4D3202" w:rsidRPr="00C706A5" w:rsidRDefault="0032654E" w:rsidP="003E7065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Près de </w:t>
      </w:r>
      <w:r w:rsidR="0014733D" w:rsidRPr="0014733D">
        <w:rPr>
          <w:rFonts w:ascii="Times New Roman" w:hAnsi="Times New Roman" w:cs="Simplified Arabic" w:hint="cs"/>
          <w:rtl/>
          <w:lang w:bidi="ar-MA"/>
        </w:rPr>
        <w:t>57,1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alors que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70BDD" w:rsidRPr="00C706A5">
        <w:rPr>
          <w:rFonts w:ascii="Times New Roman" w:hAnsi="Times New Roman" w:cs="Times New Roman"/>
          <w:color w:val="000000" w:themeColor="text1"/>
        </w:rPr>
        <w:t>3</w:t>
      </w:r>
      <w:r w:rsidR="008B1424">
        <w:rPr>
          <w:rFonts w:ascii="Times New Roman" w:hAnsi="Times New Roman" w:cs="Times New Roman"/>
          <w:color w:val="000000" w:themeColor="text1"/>
        </w:rPr>
        <w:t>7</w:t>
      </w:r>
      <w:r w:rsidR="004D3202" w:rsidRPr="00C706A5">
        <w:rPr>
          <w:rFonts w:ascii="Times New Roman" w:hAnsi="Times New Roman" w:cs="Times New Roman"/>
          <w:color w:val="000000" w:themeColor="text1"/>
        </w:rPr>
        <w:t>,</w:t>
      </w:r>
      <w:r w:rsidR="008B1424">
        <w:rPr>
          <w:rFonts w:ascii="Times New Roman" w:hAnsi="Times New Roman" w:cs="Times New Roman"/>
          <w:color w:val="000000" w:themeColor="text1"/>
        </w:rPr>
        <w:t>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pour cela dans leurs épargnes. </w:t>
      </w:r>
      <w:r w:rsidR="00511C57" w:rsidRPr="00C706A5">
        <w:rPr>
          <w:rFonts w:ascii="Times New Roman" w:hAnsi="Times New Roman" w:cs="Times New Roman"/>
          <w:color w:val="000000" w:themeColor="text1"/>
        </w:rPr>
        <w:t>S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euls </w:t>
      </w:r>
      <w:r w:rsidR="008B1424">
        <w:rPr>
          <w:rFonts w:ascii="Times New Roman" w:hAnsi="Times New Roman" w:cs="Times New Roman"/>
          <w:color w:val="000000" w:themeColor="text1"/>
        </w:rPr>
        <w:t>5</w:t>
      </w:r>
      <w:r w:rsidR="004D3202" w:rsidRPr="00C706A5">
        <w:rPr>
          <w:rFonts w:ascii="Times New Roman" w:hAnsi="Times New Roman" w:cs="Times New Roman"/>
          <w:color w:val="000000" w:themeColor="text1"/>
        </w:rPr>
        <w:t>,</w:t>
      </w:r>
      <w:r w:rsidR="008B1424">
        <w:rPr>
          <w:rFonts w:ascii="Times New Roman" w:hAnsi="Times New Roman" w:cs="Times New Roman"/>
          <w:color w:val="000000" w:themeColor="text1"/>
        </w:rPr>
        <w:t>8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s’établit ainsi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8B1424">
        <w:rPr>
          <w:rFonts w:ascii="Times New Roman" w:hAnsi="Times New Roman" w:cs="Times New Roman"/>
          <w:color w:val="000000" w:themeColor="text1"/>
        </w:rPr>
        <w:t>31</w:t>
      </w:r>
      <w:r w:rsidR="00DF0119" w:rsidRPr="00C706A5">
        <w:rPr>
          <w:rFonts w:ascii="Times New Roman" w:hAnsi="Times New Roman" w:cs="Times New Roman"/>
          <w:color w:val="000000" w:themeColor="text1"/>
        </w:rPr>
        <w:t>,</w:t>
      </w:r>
      <w:r w:rsidR="008B1424">
        <w:rPr>
          <w:rFonts w:ascii="Times New Roman" w:hAnsi="Times New Roman" w:cs="Times New Roman"/>
          <w:color w:val="000000" w:themeColor="text1"/>
        </w:rPr>
        <w:t>3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8B1424" w:rsidRPr="00C706A5">
        <w:rPr>
          <w:rFonts w:ascii="Times New Roman" w:hAnsi="Times New Roman" w:cs="Times New Roman"/>
          <w:color w:val="000000" w:themeColor="text1"/>
        </w:rPr>
        <w:t xml:space="preserve">détérioration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B1424">
        <w:rPr>
          <w:rFonts w:ascii="Times New Roman" w:hAnsi="Times New Roman" w:cs="Times New Roman"/>
          <w:color w:val="000000" w:themeColor="text1"/>
        </w:rPr>
        <w:t xml:space="preserve">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497168" w:rsidRPr="00C706A5">
        <w:rPr>
          <w:rFonts w:ascii="Times New Roman" w:hAnsi="Times New Roman" w:cs="Times New Roman"/>
          <w:color w:val="000000" w:themeColor="text1"/>
        </w:rPr>
        <w:t xml:space="preserve">- </w:t>
      </w:r>
      <w:r w:rsidR="008B1424">
        <w:rPr>
          <w:rFonts w:ascii="Times New Roman" w:hAnsi="Times New Roman" w:cs="Times New Roman"/>
          <w:color w:val="000000" w:themeColor="text1"/>
        </w:rPr>
        <w:t>1</w:t>
      </w:r>
      <w:r w:rsidR="002C211A" w:rsidRPr="00C706A5">
        <w:rPr>
          <w:rFonts w:ascii="Times New Roman" w:hAnsi="Times New Roman" w:cs="Times New Roman"/>
          <w:color w:val="000000" w:themeColor="text1"/>
        </w:rPr>
        <w:t>,</w:t>
      </w:r>
      <w:r w:rsidR="008B1424">
        <w:rPr>
          <w:rFonts w:ascii="Times New Roman" w:hAnsi="Times New Roman" w:cs="Times New Roman"/>
          <w:color w:val="000000" w:themeColor="text1"/>
        </w:rPr>
        <w:t>8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8B1424">
        <w:rPr>
          <w:rFonts w:ascii="Times New Roman" w:hAnsi="Times New Roman" w:cs="Times New Roman"/>
          <w:color w:val="000000" w:themeColor="text1"/>
        </w:rPr>
        <w:t xml:space="preserve"> (-1,5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C35F99" w:rsidRDefault="00C35F99" w:rsidP="00585C38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à </w:t>
      </w:r>
      <w:r w:rsidRPr="00B10F10">
        <w:rPr>
          <w:rFonts w:ascii="Times New Roman" w:hAnsi="Times New Roman" w:cs="Times New Roman"/>
          <w:color w:val="000000"/>
        </w:rPr>
        <w:t>l</w:t>
      </w:r>
      <w:r w:rsidR="00C229EC">
        <w:rPr>
          <w:rFonts w:ascii="Times New Roman" w:hAnsi="Times New Roman" w:cs="Times New Roman"/>
          <w:color w:val="000000"/>
        </w:rPr>
        <w:t>’évolution passée 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>,</w:t>
      </w:r>
      <w:r w:rsidRPr="00B10F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les opinions des ménages</w:t>
      </w:r>
      <w:r w:rsidR="00A72622">
        <w:rPr>
          <w:rFonts w:ascii="Times New Roman" w:hAnsi="Times New Roman" w:cs="Times New Roman"/>
          <w:color w:val="000000"/>
        </w:rPr>
        <w:t>, au premier trimestre de 2014,</w:t>
      </w:r>
      <w:r>
        <w:rPr>
          <w:rFonts w:ascii="Times New Roman" w:hAnsi="Times New Roman" w:cs="Times New Roman"/>
          <w:color w:val="000000"/>
        </w:rPr>
        <w:t xml:space="preserve"> s</w:t>
      </w:r>
      <w:r w:rsidR="003F1E9D">
        <w:rPr>
          <w:rFonts w:ascii="Times New Roman" w:hAnsi="Times New Roman" w:cs="Times New Roman"/>
          <w:color w:val="000000"/>
        </w:rPr>
        <w:t xml:space="preserve">e sont </w:t>
      </w:r>
      <w:r>
        <w:rPr>
          <w:rFonts w:ascii="Times New Roman" w:hAnsi="Times New Roman" w:cs="Times New Roman"/>
          <w:color w:val="000000"/>
        </w:rPr>
        <w:t>amélior</w:t>
      </w:r>
      <w:r w:rsidR="003F1E9D">
        <w:rPr>
          <w:rFonts w:ascii="Times New Roman" w:hAnsi="Times New Roman" w:cs="Times New Roman"/>
          <w:color w:val="000000"/>
        </w:rPr>
        <w:t>ées</w:t>
      </w:r>
      <w:r>
        <w:rPr>
          <w:rFonts w:ascii="Times New Roman" w:hAnsi="Times New Roman" w:cs="Times New Roman"/>
          <w:color w:val="000000"/>
        </w:rPr>
        <w:t xml:space="preserve"> de 0,6 point </w:t>
      </w:r>
      <w:r w:rsidRPr="00B10F10">
        <w:rPr>
          <w:rFonts w:ascii="Times New Roman" w:hAnsi="Times New Roman" w:cs="Times New Roman"/>
          <w:color w:val="000000"/>
        </w:rPr>
        <w:t>par rapport à un trimestre auparavant</w:t>
      </w:r>
      <w:r>
        <w:rPr>
          <w:rFonts w:ascii="Times New Roman" w:hAnsi="Times New Roman" w:cs="Times New Roman"/>
          <w:color w:val="000000"/>
        </w:rPr>
        <w:t xml:space="preserve"> mais se </w:t>
      </w:r>
      <w:r w:rsidR="003F1E9D">
        <w:rPr>
          <w:rFonts w:ascii="Times New Roman" w:hAnsi="Times New Roman" w:cs="Times New Roman"/>
          <w:color w:val="000000"/>
        </w:rPr>
        <w:t xml:space="preserve">sont </w:t>
      </w:r>
      <w:r>
        <w:rPr>
          <w:rFonts w:ascii="Times New Roman" w:hAnsi="Times New Roman" w:cs="Times New Roman"/>
          <w:color w:val="000000"/>
        </w:rPr>
        <w:t>détérior</w:t>
      </w:r>
      <w:r w:rsidR="003F1E9D">
        <w:rPr>
          <w:rFonts w:ascii="Times New Roman" w:hAnsi="Times New Roman" w:cs="Times New Roman"/>
          <w:color w:val="000000"/>
        </w:rPr>
        <w:t>ées</w:t>
      </w:r>
      <w:r>
        <w:rPr>
          <w:rFonts w:ascii="Times New Roman" w:hAnsi="Times New Roman" w:cs="Times New Roman"/>
          <w:color w:val="000000"/>
        </w:rPr>
        <w:t xml:space="preserve"> de 1,</w:t>
      </w:r>
      <w:r w:rsidR="007C5542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point par rapport à la même période de 2013.</w:t>
      </w:r>
    </w:p>
    <w:p w:rsidR="00585C38" w:rsidRDefault="00585C38" w:rsidP="00585C3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35F99" w:rsidRDefault="00B06DB1" w:rsidP="004D4E2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</w:t>
      </w:r>
      <w:r w:rsidR="00C229EC">
        <w:rPr>
          <w:rFonts w:ascii="Times New Roman" w:hAnsi="Times New Roman" w:cs="Times New Roman"/>
          <w:color w:val="000000"/>
        </w:rPr>
        <w:t>même</w:t>
      </w:r>
      <w:r>
        <w:rPr>
          <w:rFonts w:ascii="Times New Roman" w:hAnsi="Times New Roman" w:cs="Times New Roman"/>
          <w:color w:val="000000"/>
        </w:rPr>
        <w:t xml:space="preserve"> tendance est observée pour les perceptions des ménages sur l’évolution </w:t>
      </w:r>
      <w:r w:rsidRPr="00B10F10">
        <w:rPr>
          <w:rFonts w:ascii="Times New Roman" w:hAnsi="Times New Roman" w:cs="Times New Roman"/>
          <w:color w:val="000000"/>
        </w:rPr>
        <w:t>future</w:t>
      </w:r>
      <w:r w:rsidRPr="00C229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4D4E20">
        <w:rPr>
          <w:rFonts w:ascii="Times New Roman" w:hAnsi="Times New Roman" w:cs="Times New Roman"/>
          <w:color w:val="000000"/>
        </w:rPr>
        <w:t xml:space="preserve">, </w:t>
      </w:r>
      <w:r w:rsidR="000364EF">
        <w:rPr>
          <w:rFonts w:ascii="Times New Roman" w:hAnsi="Times New Roman" w:cs="Times New Roman"/>
          <w:color w:val="000000"/>
        </w:rPr>
        <w:t>l</w:t>
      </w:r>
      <w:r w:rsidR="00912A95">
        <w:rPr>
          <w:rFonts w:ascii="Times New Roman" w:hAnsi="Times New Roman" w:cs="Times New Roman"/>
          <w:color w:val="000000"/>
        </w:rPr>
        <w:t xml:space="preserve">e solde </w:t>
      </w:r>
      <w:r>
        <w:rPr>
          <w:rFonts w:ascii="Times New Roman" w:hAnsi="Times New Roman" w:cs="Times New Roman"/>
          <w:color w:val="000000"/>
        </w:rPr>
        <w:t>correspondant a</w:t>
      </w:r>
      <w:r w:rsidR="006A151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enregistré une hausse </w:t>
      </w:r>
      <w:r w:rsidR="00C229EC">
        <w:rPr>
          <w:rFonts w:ascii="Times New Roman" w:hAnsi="Times New Roman" w:cs="Times New Roman"/>
          <w:color w:val="000000"/>
        </w:rPr>
        <w:t xml:space="preserve">de 2,9 points </w:t>
      </w:r>
      <w:r w:rsidR="00C229EC" w:rsidRPr="00B10F10">
        <w:rPr>
          <w:rFonts w:ascii="Times New Roman" w:hAnsi="Times New Roman" w:cs="Times New Roman"/>
          <w:color w:val="000000"/>
        </w:rPr>
        <w:t xml:space="preserve">par rapport </w:t>
      </w:r>
      <w:r w:rsidR="00912A95">
        <w:rPr>
          <w:rFonts w:ascii="Times New Roman" w:hAnsi="Times New Roman" w:cs="Times New Roman"/>
          <w:color w:val="000000"/>
        </w:rPr>
        <w:t>au</w:t>
      </w:r>
      <w:r w:rsidR="00C229EC" w:rsidRPr="00B10F10">
        <w:rPr>
          <w:rFonts w:ascii="Times New Roman" w:hAnsi="Times New Roman" w:cs="Times New Roman"/>
          <w:color w:val="000000"/>
        </w:rPr>
        <w:t xml:space="preserve"> trimestre </w:t>
      </w:r>
      <w:r w:rsidR="00912A95">
        <w:rPr>
          <w:rFonts w:ascii="Times New Roman" w:hAnsi="Times New Roman" w:cs="Times New Roman"/>
          <w:color w:val="000000"/>
        </w:rPr>
        <w:t xml:space="preserve">précédent </w:t>
      </w:r>
      <w:r>
        <w:rPr>
          <w:rFonts w:ascii="Times New Roman" w:hAnsi="Times New Roman" w:cs="Times New Roman"/>
          <w:color w:val="000000"/>
        </w:rPr>
        <w:t>et une baisse</w:t>
      </w:r>
      <w:r w:rsidR="00912A95">
        <w:rPr>
          <w:rFonts w:ascii="Times New Roman" w:hAnsi="Times New Roman" w:cs="Times New Roman"/>
          <w:color w:val="000000"/>
        </w:rPr>
        <w:t xml:space="preserve"> </w:t>
      </w:r>
      <w:r w:rsidR="00C229EC">
        <w:rPr>
          <w:rFonts w:ascii="Times New Roman" w:hAnsi="Times New Roman" w:cs="Times New Roman"/>
          <w:color w:val="000000"/>
        </w:rPr>
        <w:t>de 3,3 points</w:t>
      </w:r>
      <w:r w:rsidR="00C229EC" w:rsidRPr="00C229EC">
        <w:rPr>
          <w:rFonts w:ascii="Times New Roman" w:hAnsi="Times New Roman" w:cs="Times New Roman"/>
          <w:color w:val="000000"/>
        </w:rPr>
        <w:t xml:space="preserve"> </w:t>
      </w:r>
      <w:r w:rsidR="00C229EC">
        <w:rPr>
          <w:rFonts w:ascii="Times New Roman" w:hAnsi="Times New Roman" w:cs="Times New Roman"/>
          <w:color w:val="000000"/>
        </w:rPr>
        <w:t xml:space="preserve">par rapport </w:t>
      </w:r>
      <w:r w:rsidR="00912A95">
        <w:rPr>
          <w:rFonts w:ascii="Times New Roman" w:hAnsi="Times New Roman" w:cs="Times New Roman"/>
          <w:color w:val="000000"/>
        </w:rPr>
        <w:t>au premier trimestre de</w:t>
      </w:r>
      <w:r w:rsidR="00C229EC">
        <w:rPr>
          <w:rFonts w:ascii="Times New Roman" w:hAnsi="Times New Roman" w:cs="Times New Roman"/>
          <w:color w:val="000000"/>
        </w:rPr>
        <w:t xml:space="preserve"> 2013.</w:t>
      </w:r>
    </w:p>
    <w:p w:rsidR="00AF6349" w:rsidRDefault="00AF6349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1C29" w:rsidRPr="00C706A5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06A6A" w:rsidRPr="00C706A5" w:rsidRDefault="00300726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00726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34296" cy="3339548"/>
            <wp:effectExtent l="19050" t="0" r="28354" b="0"/>
            <wp:docPr id="1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D2E" w:rsidRPr="00C706A5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Pr="00C706A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A52030" w:rsidRPr="00C706A5" w:rsidRDefault="00A52030" w:rsidP="009264E7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Evolution d’autres indicateurs trimestriels de </w:t>
      </w:r>
      <w:r w:rsidR="00F6021D">
        <w:rPr>
          <w:rFonts w:ascii="Times New Roman" w:hAnsi="Times New Roman" w:cs="Times New Roman"/>
          <w:b/>
          <w:bCs/>
          <w:color w:val="000000" w:themeColor="text1"/>
        </w:rPr>
        <w:t xml:space="preserve">la </w:t>
      </w: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perception </w:t>
      </w:r>
      <w:r w:rsidR="009264E7" w:rsidRPr="00C706A5">
        <w:rPr>
          <w:rFonts w:ascii="Times New Roman" w:hAnsi="Times New Roman" w:cs="Times New Roman"/>
          <w:b/>
          <w:bCs/>
          <w:color w:val="000000" w:themeColor="text1"/>
        </w:rPr>
        <w:t>par les ménages de la conjoncture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En plus des sept indicateurs composant l’ICM, l’enquête fournit des données trimestrielles sur les perceptions des ménages relatives à d’autres aspects de leurs conditions de vie. Il s’agit en particulier de la capacité d’épargne des ménages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4E784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4E7840">
        <w:rPr>
          <w:rFonts w:ascii="Times New Roman" w:hAnsi="Times New Roman" w:cs="Times New Roman"/>
          <w:b/>
          <w:bCs/>
          <w:color w:val="000000" w:themeColor="text1"/>
        </w:rPr>
        <w:t>Détérioration attendue de la c</w:t>
      </w:r>
      <w:r w:rsidR="00057E1A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apacité </w:t>
      </w:r>
      <w:r w:rsidR="000518A6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des ménages  à </w:t>
      </w:r>
      <w:r w:rsidR="00057E1A" w:rsidRPr="00C706A5">
        <w:rPr>
          <w:rFonts w:ascii="Times New Roman" w:hAnsi="Times New Roman" w:cs="Times New Roman"/>
          <w:b/>
          <w:bCs/>
          <w:color w:val="000000" w:themeColor="text1"/>
        </w:rPr>
        <w:t>épargne</w:t>
      </w:r>
      <w:r w:rsidR="000518A6" w:rsidRPr="00C706A5">
        <w:rPr>
          <w:rFonts w:ascii="Times New Roman" w:hAnsi="Times New Roman" w:cs="Times New Roman"/>
          <w:b/>
          <w:bCs/>
          <w:color w:val="000000" w:themeColor="text1"/>
        </w:rPr>
        <w:t>r</w:t>
      </w:r>
    </w:p>
    <w:p w:rsidR="00735526" w:rsidRPr="00C706A5" w:rsidRDefault="000B09BA" w:rsidP="00507FF6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Les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ménages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sont </w:t>
      </w:r>
      <w:r w:rsidRPr="00C706A5">
        <w:rPr>
          <w:rFonts w:ascii="Times New Roman" w:hAnsi="Times New Roman" w:cs="Times New Roman"/>
          <w:color w:val="000000" w:themeColor="text1"/>
        </w:rPr>
        <w:t xml:space="preserve">toujours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pessimistes quant à </w:t>
      </w:r>
      <w:r w:rsidR="00057E1A" w:rsidRPr="00C706A5">
        <w:rPr>
          <w:rFonts w:ascii="Times New Roman" w:hAnsi="Times New Roman" w:cs="Times New Roman"/>
          <w:color w:val="000000" w:themeColor="text1"/>
        </w:rPr>
        <w:t>leur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capacité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à épargner dans les mois à venir</w:t>
      </w:r>
      <w:r w:rsidR="00812210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13F7" w:rsidRPr="00C706A5">
        <w:rPr>
          <w:rFonts w:ascii="Times New Roman" w:hAnsi="Times New Roman" w:cs="Times New Roman"/>
          <w:color w:val="000000" w:themeColor="text1"/>
        </w:rPr>
        <w:t>près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de huit ménages sur dix </w:t>
      </w:r>
      <w:r w:rsidR="007F3847" w:rsidRPr="00C706A5">
        <w:rPr>
          <w:rFonts w:ascii="Times New Roman" w:hAnsi="Times New Roman" w:cs="Times New Roman"/>
          <w:color w:val="000000" w:themeColor="text1"/>
        </w:rPr>
        <w:t>(8</w:t>
      </w:r>
      <w:r w:rsidR="00A413F7" w:rsidRPr="00C706A5">
        <w:rPr>
          <w:rFonts w:ascii="Times New Roman" w:hAnsi="Times New Roman" w:cs="Times New Roman"/>
          <w:color w:val="000000" w:themeColor="text1"/>
        </w:rPr>
        <w:t>3</w:t>
      </w:r>
      <w:r w:rsidR="007F3847" w:rsidRPr="00C706A5">
        <w:rPr>
          <w:rFonts w:ascii="Times New Roman" w:hAnsi="Times New Roman" w:cs="Times New Roman"/>
          <w:color w:val="000000" w:themeColor="text1"/>
        </w:rPr>
        <w:t>,</w:t>
      </w:r>
      <w:r w:rsidR="00A413F7" w:rsidRPr="00C706A5">
        <w:rPr>
          <w:rFonts w:ascii="Times New Roman" w:hAnsi="Times New Roman" w:cs="Times New Roman"/>
          <w:color w:val="000000" w:themeColor="text1"/>
        </w:rPr>
        <w:t>3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511C57" w:rsidRPr="00C706A5">
        <w:rPr>
          <w:rFonts w:ascii="Times New Roman" w:hAnsi="Times New Roman" w:cs="Times New Roman"/>
          <w:color w:val="000000" w:themeColor="text1"/>
        </w:rPr>
        <w:t>) pensent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735526" w:rsidRPr="00C706A5">
        <w:rPr>
          <w:rFonts w:ascii="Times New Roman" w:hAnsi="Times New Roman" w:cs="Times New Roman"/>
          <w:color w:val="000000" w:themeColor="text1"/>
        </w:rPr>
        <w:t>1</w:t>
      </w:r>
      <w:r w:rsidR="00A413F7" w:rsidRPr="00C706A5">
        <w:rPr>
          <w:rFonts w:ascii="Times New Roman" w:hAnsi="Times New Roman" w:cs="Times New Roman"/>
          <w:color w:val="000000" w:themeColor="text1"/>
        </w:rPr>
        <w:t>6</w:t>
      </w:r>
      <w:r w:rsidR="007F3847" w:rsidRPr="00C706A5">
        <w:rPr>
          <w:rFonts w:ascii="Times New Roman" w:hAnsi="Times New Roman" w:cs="Times New Roman"/>
          <w:color w:val="000000" w:themeColor="text1"/>
        </w:rPr>
        <w:t>,</w:t>
      </w:r>
      <w:r w:rsidR="005F2E1B">
        <w:rPr>
          <w:rFonts w:ascii="Times New Roman" w:hAnsi="Times New Roman" w:cs="Times New Roman"/>
          <w:color w:val="000000" w:themeColor="text1"/>
        </w:rPr>
        <w:t>7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pensent le contraire</w:t>
      </w:r>
      <w:r w:rsidR="00507FF6">
        <w:rPr>
          <w:rFonts w:ascii="Times New Roman" w:hAnsi="Times New Roman" w:cs="Times New Roman"/>
          <w:color w:val="000000" w:themeColor="text1"/>
        </w:rPr>
        <w:t>. L</w:t>
      </w:r>
      <w:r w:rsidR="00735526" w:rsidRPr="00C706A5">
        <w:rPr>
          <w:rFonts w:ascii="Times New Roman" w:hAnsi="Times New Roman" w:cs="Times New Roman"/>
          <w:color w:val="000000" w:themeColor="text1"/>
        </w:rPr>
        <w:t>e solde de cet indicateur se situe, ainsi, à un niveau négatif de -</w:t>
      </w:r>
      <w:r w:rsidRPr="00C706A5">
        <w:rPr>
          <w:rFonts w:ascii="Times New Roman" w:hAnsi="Times New Roman" w:cs="Times New Roman"/>
          <w:color w:val="000000" w:themeColor="text1"/>
        </w:rPr>
        <w:t>6</w:t>
      </w:r>
      <w:r w:rsidR="00A413F7" w:rsidRPr="00C706A5">
        <w:rPr>
          <w:rFonts w:ascii="Times New Roman" w:hAnsi="Times New Roman" w:cs="Times New Roman"/>
          <w:color w:val="000000" w:themeColor="text1"/>
        </w:rPr>
        <w:t>6,</w:t>
      </w:r>
      <w:r w:rsidR="005F2E1B">
        <w:rPr>
          <w:rFonts w:ascii="Times New Roman" w:hAnsi="Times New Roman" w:cs="Times New Roman"/>
          <w:color w:val="000000" w:themeColor="text1"/>
        </w:rPr>
        <w:t>6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8D4C14">
        <w:rPr>
          <w:rFonts w:ascii="Times New Roman" w:hAnsi="Times New Roman" w:cs="Times New Roman"/>
          <w:color w:val="000000" w:themeColor="text1"/>
        </w:rPr>
        <w:t>enregistrant une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F2E1B">
        <w:rPr>
          <w:rFonts w:ascii="Times New Roman" w:hAnsi="Times New Roman" w:cs="Times New Roman"/>
          <w:color w:val="000000" w:themeColor="text1"/>
        </w:rPr>
        <w:t xml:space="preserve">quasi stagnation 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5F2E1B">
        <w:rPr>
          <w:rFonts w:ascii="Times New Roman" w:hAnsi="Times New Roman" w:cs="Times New Roman"/>
          <w:color w:val="000000" w:themeColor="text1"/>
        </w:rPr>
        <w:t>et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D4C14">
        <w:rPr>
          <w:rFonts w:ascii="Times New Roman" w:hAnsi="Times New Roman" w:cs="Times New Roman"/>
          <w:color w:val="000000" w:themeColor="text1"/>
        </w:rPr>
        <w:t>une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F2E1B">
        <w:rPr>
          <w:rFonts w:ascii="Times New Roman" w:hAnsi="Times New Roman" w:cs="Times New Roman"/>
          <w:color w:val="000000" w:themeColor="text1"/>
        </w:rPr>
        <w:t xml:space="preserve">amélioration 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5F2E1B">
        <w:rPr>
          <w:rFonts w:ascii="Times New Roman" w:hAnsi="Times New Roman" w:cs="Times New Roman"/>
          <w:color w:val="000000" w:themeColor="text1"/>
        </w:rPr>
        <w:t>0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5F2E1B">
        <w:rPr>
          <w:rFonts w:ascii="Times New Roman" w:hAnsi="Times New Roman" w:cs="Times New Roman"/>
          <w:color w:val="000000" w:themeColor="text1"/>
        </w:rPr>
        <w:t>4 point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par rapport à la même période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735526" w:rsidRPr="00C706A5">
        <w:rPr>
          <w:rFonts w:ascii="Times New Roman" w:hAnsi="Times New Roman" w:cs="Times New Roman"/>
          <w:color w:val="000000" w:themeColor="text1"/>
        </w:rPr>
        <w:t>.</w:t>
      </w:r>
    </w:p>
    <w:p w:rsidR="007C52B7" w:rsidRPr="00C706A5" w:rsidRDefault="007C52B7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7C33B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07E2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C33B5">
        <w:rPr>
          <w:rFonts w:ascii="Times New Roman" w:hAnsi="Times New Roman" w:cs="Times New Roman"/>
          <w:b/>
          <w:bCs/>
          <w:color w:val="000000" w:themeColor="text1"/>
        </w:rPr>
        <w:t xml:space="preserve">Les ménages continuent à s’attendre à une hausse </w:t>
      </w:r>
      <w:r w:rsidR="00307E20">
        <w:rPr>
          <w:rFonts w:ascii="Times New Roman" w:hAnsi="Times New Roman" w:cs="Times New Roman"/>
          <w:b/>
          <w:bCs/>
          <w:color w:val="000000" w:themeColor="text1"/>
        </w:rPr>
        <w:t>des p</w:t>
      </w:r>
      <w:r w:rsidR="00307E20" w:rsidRPr="00C706A5">
        <w:rPr>
          <w:rFonts w:ascii="Times New Roman" w:hAnsi="Times New Roman" w:cs="Times New Roman"/>
          <w:b/>
          <w:bCs/>
          <w:color w:val="000000" w:themeColor="text1"/>
        </w:rPr>
        <w:t>rix des produits alimentaires</w:t>
      </w:r>
    </w:p>
    <w:p w:rsidR="00A644C5" w:rsidRPr="00C706A5" w:rsidRDefault="00985AB3" w:rsidP="0075581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="001B370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352D33" w:rsidRPr="00C706A5">
        <w:rPr>
          <w:rFonts w:ascii="Times New Roman" w:hAnsi="Times New Roman" w:cs="Times New Roman"/>
          <w:color w:val="000000" w:themeColor="text1"/>
        </w:rPr>
        <w:t>pr</w:t>
      </w:r>
      <w:r w:rsidR="00E443E4" w:rsidRPr="00C706A5">
        <w:rPr>
          <w:rFonts w:ascii="Times New Roman" w:hAnsi="Times New Roman" w:cs="Times New Roman"/>
          <w:color w:val="000000" w:themeColor="text1"/>
        </w:rPr>
        <w:t>è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s 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987987" w:rsidRPr="00C706A5">
        <w:rPr>
          <w:rFonts w:ascii="Times New Roman" w:hAnsi="Times New Roman" w:cs="Times New Roman"/>
          <w:color w:val="000000" w:themeColor="text1"/>
        </w:rPr>
        <w:t>9</w:t>
      </w:r>
      <w:r w:rsidR="00507FF6">
        <w:rPr>
          <w:rFonts w:ascii="Times New Roman" w:hAnsi="Times New Roman" w:cs="Times New Roman"/>
          <w:color w:val="000000" w:themeColor="text1"/>
        </w:rPr>
        <w:t>0,5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pensent 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DC1E47">
        <w:rPr>
          <w:rFonts w:ascii="Times New Roman" w:hAnsi="Times New Roman" w:cs="Times New Roman"/>
          <w:color w:val="000000" w:themeColor="text1"/>
        </w:rPr>
        <w:t>dans le passé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742AC3" w:rsidRPr="00C706A5">
        <w:rPr>
          <w:rFonts w:ascii="Times New Roman" w:hAnsi="Times New Roman" w:cs="Times New Roman"/>
          <w:color w:val="000000" w:themeColor="text1"/>
        </w:rPr>
        <w:t>9</w:t>
      </w:r>
      <w:r w:rsidR="00352D33" w:rsidRPr="00C706A5">
        <w:rPr>
          <w:rFonts w:ascii="Times New Roman" w:hAnsi="Times New Roman" w:cs="Times New Roman"/>
          <w:color w:val="000000" w:themeColor="text1"/>
        </w:rPr>
        <w:t>1,</w:t>
      </w:r>
      <w:r w:rsidR="00C427E9">
        <w:rPr>
          <w:rFonts w:ascii="Times New Roman" w:hAnsi="Times New Roman" w:cs="Times New Roman"/>
          <w:color w:val="000000" w:themeColor="text1"/>
        </w:rPr>
        <w:t>9</w:t>
      </w:r>
      <w:r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81D56" w:rsidRPr="00C706A5">
        <w:rPr>
          <w:rFonts w:ascii="Times New Roman" w:hAnsi="Times New Roman" w:cs="Times New Roman"/>
          <w:color w:val="000000" w:themeColor="text1"/>
        </w:rPr>
        <w:t>un</w:t>
      </w:r>
      <w:r w:rsidRPr="00C706A5">
        <w:rPr>
          <w:rFonts w:ascii="Times New Roman" w:hAnsi="Times New Roman" w:cs="Times New Roman"/>
          <w:color w:val="000000" w:themeColor="text1"/>
        </w:rPr>
        <w:t xml:space="preserve"> trimestre </w:t>
      </w:r>
      <w:r w:rsidR="00581D56" w:rsidRPr="00C706A5">
        <w:rPr>
          <w:rFonts w:ascii="Times New Roman" w:hAnsi="Times New Roman" w:cs="Times New Roman"/>
          <w:color w:val="000000" w:themeColor="text1"/>
        </w:rPr>
        <w:t>auparavant</w:t>
      </w:r>
      <w:r w:rsidRPr="00C706A5">
        <w:rPr>
          <w:rFonts w:ascii="Times New Roman" w:hAnsi="Times New Roman" w:cs="Times New Roman"/>
          <w:color w:val="000000" w:themeColor="text1"/>
        </w:rPr>
        <w:t xml:space="preserve"> et </w:t>
      </w:r>
      <w:r w:rsidR="008A184F" w:rsidRPr="00C706A5">
        <w:rPr>
          <w:rFonts w:ascii="Times New Roman" w:hAnsi="Times New Roman" w:cs="Times New Roman"/>
          <w:color w:val="000000" w:themeColor="text1"/>
        </w:rPr>
        <w:t>9</w:t>
      </w:r>
      <w:r w:rsidR="00C427E9">
        <w:rPr>
          <w:rFonts w:ascii="Times New Roman" w:hAnsi="Times New Roman" w:cs="Times New Roman"/>
          <w:color w:val="000000" w:themeColor="text1"/>
        </w:rPr>
        <w:t>2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C427E9">
        <w:rPr>
          <w:rFonts w:ascii="Times New Roman" w:hAnsi="Times New Roman" w:cs="Times New Roman"/>
          <w:color w:val="000000" w:themeColor="text1"/>
        </w:rPr>
        <w:t>2</w:t>
      </w:r>
      <w:r w:rsidRPr="00C706A5">
        <w:rPr>
          <w:rFonts w:ascii="Times New Roman" w:hAnsi="Times New Roman" w:cs="Times New Roman"/>
          <w:color w:val="000000" w:themeColor="text1"/>
        </w:rPr>
        <w:t>% un an auparavant</w:t>
      </w:r>
      <w:r w:rsidR="00A644C5" w:rsidRPr="00C706A5">
        <w:rPr>
          <w:rFonts w:ascii="Times New Roman" w:hAnsi="Times New Roman" w:cs="Times New Roman"/>
          <w:color w:val="000000" w:themeColor="text1"/>
        </w:rPr>
        <w:t>.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52D33" w:rsidRPr="00C706A5">
        <w:rPr>
          <w:rFonts w:ascii="Times New Roman" w:hAnsi="Times New Roman" w:cs="Times New Roman"/>
          <w:color w:val="000000" w:themeColor="text1"/>
        </w:rPr>
        <w:t>Le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>s’est amélioré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5581F">
        <w:rPr>
          <w:rFonts w:ascii="Times New Roman" w:hAnsi="Times New Roman" w:cs="Times New Roman"/>
          <w:color w:val="000000" w:themeColor="text1"/>
        </w:rPr>
        <w:t xml:space="preserve">de 1,4 point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AD370F">
        <w:rPr>
          <w:rFonts w:ascii="Times New Roman" w:hAnsi="Times New Roman" w:cs="Times New Roman"/>
          <w:color w:val="000000" w:themeColor="text1"/>
        </w:rPr>
        <w:t>2</w:t>
      </w:r>
      <w:r w:rsidR="00352D33" w:rsidRPr="00C706A5">
        <w:rPr>
          <w:rFonts w:ascii="Times New Roman" w:hAnsi="Times New Roman" w:cs="Times New Roman"/>
          <w:color w:val="000000" w:themeColor="text1"/>
        </w:rPr>
        <w:t>,</w:t>
      </w:r>
      <w:r w:rsidR="00AD370F">
        <w:rPr>
          <w:rFonts w:ascii="Times New Roman" w:hAnsi="Times New Roman" w:cs="Times New Roman"/>
          <w:color w:val="000000" w:themeColor="text1"/>
        </w:rPr>
        <w:t>2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D54358" w:rsidRPr="00C706A5" w:rsidRDefault="00700954" w:rsidP="0066027B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Quant au</w:t>
      </w:r>
      <w:r w:rsidR="00C744C3" w:rsidRPr="00C706A5">
        <w:rPr>
          <w:rFonts w:ascii="Times New Roman" w:hAnsi="Times New Roman" w:cs="Times New Roman"/>
          <w:color w:val="000000" w:themeColor="text1"/>
        </w:rPr>
        <w:t>x</w:t>
      </w:r>
      <w:r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p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lus de </w:t>
      </w:r>
      <w:r w:rsidR="002B2EC5" w:rsidRPr="00C706A5">
        <w:rPr>
          <w:rFonts w:ascii="Times New Roman" w:hAnsi="Times New Roman" w:cs="Times New Roman"/>
          <w:color w:val="000000" w:themeColor="text1"/>
        </w:rPr>
        <w:t>trois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C374B5" w:rsidRPr="00C706A5">
        <w:rPr>
          <w:rFonts w:ascii="Times New Roman" w:hAnsi="Times New Roman" w:cs="Times New Roman"/>
          <w:color w:val="000000" w:themeColor="text1"/>
        </w:rPr>
        <w:t xml:space="preserve">ménages 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sur </w:t>
      </w:r>
      <w:r w:rsidR="002B2EC5" w:rsidRPr="00C706A5">
        <w:rPr>
          <w:rFonts w:ascii="Times New Roman" w:hAnsi="Times New Roman" w:cs="Times New Roman"/>
          <w:color w:val="000000" w:themeColor="text1"/>
        </w:rPr>
        <w:t>quatre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1C56" w:rsidRPr="00C706A5">
        <w:rPr>
          <w:rFonts w:ascii="Times New Roman" w:hAnsi="Times New Roman" w:cs="Times New Roman"/>
          <w:color w:val="000000" w:themeColor="text1"/>
        </w:rPr>
        <w:t>(7</w:t>
      </w:r>
      <w:r w:rsidR="004868DB">
        <w:rPr>
          <w:rFonts w:ascii="Times New Roman" w:hAnsi="Times New Roman" w:cs="Times New Roman"/>
          <w:color w:val="000000" w:themeColor="text1"/>
        </w:rPr>
        <w:t>8,6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%) pensent que </w:t>
      </w:r>
      <w:r w:rsidR="00EA205A" w:rsidRPr="00C706A5">
        <w:rPr>
          <w:rFonts w:ascii="Times New Roman" w:hAnsi="Times New Roman" w:cs="Times New Roman"/>
          <w:color w:val="000000" w:themeColor="text1"/>
        </w:rPr>
        <w:t>c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es prix 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4868DB">
        <w:rPr>
          <w:rFonts w:ascii="Times New Roman" w:hAnsi="Times New Roman" w:cs="Times New Roman"/>
          <w:color w:val="000000" w:themeColor="text1"/>
        </w:rPr>
        <w:t>7</w:t>
      </w:r>
      <w:r w:rsidR="007D6641" w:rsidRPr="00C706A5">
        <w:rPr>
          <w:rFonts w:ascii="Times New Roman" w:hAnsi="Times New Roman" w:cs="Times New Roman"/>
          <w:color w:val="000000" w:themeColor="text1"/>
        </w:rPr>
        <w:t>7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quatrième 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4868DB">
        <w:rPr>
          <w:rFonts w:ascii="Times New Roman" w:hAnsi="Times New Roman" w:cs="Times New Roman"/>
          <w:color w:val="000000" w:themeColor="text1"/>
        </w:rPr>
        <w:t>3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et </w:t>
      </w:r>
      <w:r w:rsidR="004868DB">
        <w:rPr>
          <w:rFonts w:ascii="Times New Roman" w:hAnsi="Times New Roman" w:cs="Times New Roman"/>
          <w:color w:val="000000" w:themeColor="text1"/>
        </w:rPr>
        <w:t>78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04211E">
        <w:rPr>
          <w:rFonts w:ascii="Times New Roman" w:hAnsi="Times New Roman" w:cs="Times New Roman"/>
          <w:color w:val="000000" w:themeColor="text1"/>
        </w:rPr>
        <w:t>premier trimestre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4868DB">
        <w:rPr>
          <w:rFonts w:ascii="Times New Roman" w:hAnsi="Times New Roman" w:cs="Times New Roman"/>
          <w:color w:val="000000" w:themeColor="text1"/>
        </w:rPr>
        <w:t>3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.  Le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ces prix 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s’est </w:t>
      </w:r>
      <w:r w:rsidR="00C26D09">
        <w:rPr>
          <w:rFonts w:ascii="Times New Roman" w:hAnsi="Times New Roman" w:cs="Times New Roman"/>
          <w:color w:val="000000" w:themeColor="text1"/>
        </w:rPr>
        <w:t>détér</w:t>
      </w:r>
      <w:r w:rsidR="004868DB">
        <w:rPr>
          <w:rFonts w:ascii="Times New Roman" w:hAnsi="Times New Roman" w:cs="Times New Roman"/>
          <w:color w:val="000000" w:themeColor="text1"/>
        </w:rPr>
        <w:t>ior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é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C26D09">
        <w:rPr>
          <w:rFonts w:ascii="Times New Roman" w:hAnsi="Times New Roman" w:cs="Times New Roman"/>
          <w:color w:val="000000" w:themeColor="text1"/>
        </w:rPr>
        <w:t>1</w:t>
      </w:r>
      <w:r w:rsidR="004868DB">
        <w:rPr>
          <w:rFonts w:ascii="Times New Roman" w:hAnsi="Times New Roman" w:cs="Times New Roman"/>
          <w:color w:val="000000" w:themeColor="text1"/>
        </w:rPr>
        <w:t>,</w:t>
      </w:r>
      <w:r w:rsidR="0066027B">
        <w:rPr>
          <w:rFonts w:ascii="Times New Roman" w:hAnsi="Times New Roman" w:cs="Times New Roman"/>
          <w:color w:val="000000" w:themeColor="text1"/>
        </w:rPr>
        <w:t>6</w:t>
      </w:r>
      <w:r w:rsidR="0065300A">
        <w:rPr>
          <w:rFonts w:ascii="Times New Roman" w:hAnsi="Times New Roman" w:cs="Times New Roman"/>
          <w:color w:val="000000" w:themeColor="text1"/>
        </w:rPr>
        <w:t xml:space="preserve"> point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D370F">
        <w:rPr>
          <w:rFonts w:ascii="Times New Roman" w:hAnsi="Times New Roman" w:cs="Times New Roman"/>
          <w:color w:val="000000" w:themeColor="text1"/>
        </w:rPr>
        <w:t>et de 1,</w:t>
      </w:r>
      <w:r w:rsidR="0066027B">
        <w:rPr>
          <w:rFonts w:ascii="Times New Roman" w:hAnsi="Times New Roman" w:cs="Times New Roman"/>
          <w:color w:val="000000" w:themeColor="text1"/>
        </w:rPr>
        <w:t>5</w:t>
      </w:r>
      <w:r w:rsidR="00AD370F">
        <w:rPr>
          <w:rFonts w:ascii="Times New Roman" w:hAnsi="Times New Roman" w:cs="Times New Roman"/>
          <w:color w:val="000000" w:themeColor="text1"/>
        </w:rPr>
        <w:t xml:space="preserve"> point </w:t>
      </w:r>
      <w:r w:rsidR="00144320">
        <w:rPr>
          <w:rFonts w:ascii="Times New Roman" w:hAnsi="Times New Roman" w:cs="Times New Roman"/>
          <w:color w:val="000000" w:themeColor="text1"/>
        </w:rPr>
        <w:t>durant ces deux périodes respectives</w:t>
      </w:r>
      <w:r w:rsidR="007D6641" w:rsidRPr="00C706A5">
        <w:rPr>
          <w:rFonts w:ascii="Times New Roman" w:hAnsi="Times New Roman" w:cs="Times New Roman"/>
          <w:color w:val="000000" w:themeColor="text1"/>
        </w:rPr>
        <w:t>.</w:t>
      </w:r>
    </w:p>
    <w:p w:rsidR="008D1AAF" w:rsidRPr="00C706A5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C5D13" w:rsidRPr="00C706A5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noProof/>
          <w:color w:val="000000" w:themeColor="text1"/>
        </w:rPr>
        <w:lastRenderedPageBreak/>
        <w:t xml:space="preserve"> 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  <w:color w:val="000000" w:themeColor="text1"/>
        </w:rPr>
        <w:drawing>
          <wp:inline distT="0" distB="0" distL="0" distR="0">
            <wp:extent cx="2660539" cy="3554233"/>
            <wp:effectExtent l="19050" t="0" r="25511" b="8117"/>
            <wp:docPr id="16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21ABF" w:rsidRPr="00C21ABF">
        <w:rPr>
          <w:noProof/>
        </w:rPr>
        <w:t xml:space="preserve"> </w:t>
      </w:r>
      <w:r w:rsidR="00C21ABF" w:rsidRPr="00C21ABF">
        <w:rPr>
          <w:noProof/>
          <w:color w:val="000000" w:themeColor="text1"/>
        </w:rPr>
        <w:drawing>
          <wp:inline distT="0" distB="0" distL="0" distR="0">
            <wp:extent cx="2600795" cy="3562184"/>
            <wp:effectExtent l="19050" t="0" r="28105" b="166"/>
            <wp:docPr id="17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3E2E" w:rsidRPr="00C706A5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72318" w:rsidRPr="00C706A5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E6C" w:rsidRDefault="005D5B33" w:rsidP="00C73C3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154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59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500"/>
      </w:tblGrid>
      <w:tr w:rsidR="00834762" w:rsidRPr="00C73C35" w:rsidTr="00501D0E">
        <w:trPr>
          <w:trHeight w:val="29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762" w:rsidRPr="00C73C35" w:rsidRDefault="00834762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Indicateur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762" w:rsidRPr="00834762" w:rsidRDefault="00834762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7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</w:tr>
      <w:tr w:rsidR="00C73C35" w:rsidRPr="00C73C35" w:rsidTr="00501D0E">
        <w:trPr>
          <w:trHeight w:val="48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T2/13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T3/13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T4/13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T1/14</w:t>
            </w:r>
          </w:p>
        </w:tc>
      </w:tr>
      <w:tr w:rsidR="00C73C35" w:rsidRPr="00C73C35" w:rsidTr="00501D0E">
        <w:trPr>
          <w:trHeight w:val="4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5426C2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C73C35"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ndic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de Confiance des Ménages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74,1</w:t>
            </w:r>
          </w:p>
        </w:tc>
      </w:tr>
      <w:tr w:rsidR="00C73C35" w:rsidRPr="00C73C35" w:rsidTr="00501D0E">
        <w:trPr>
          <w:trHeight w:val="5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-59,1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-59,2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-52,4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-44,1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-48,6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-68,2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</w:tr>
      <w:tr w:rsidR="00C73C35" w:rsidRPr="00C73C35" w:rsidTr="00501D0E">
        <w:trPr>
          <w:trHeight w:val="5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-20,2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-23,1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-19,9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-18,1</w:t>
            </w:r>
          </w:p>
        </w:tc>
      </w:tr>
      <w:tr w:rsidR="00C73C35" w:rsidRPr="00C73C35" w:rsidTr="00501D0E">
        <w:trPr>
          <w:trHeight w:val="5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</w:tr>
      <w:tr w:rsidR="00C73C35" w:rsidRPr="00C73C35" w:rsidTr="00501D0E">
        <w:trPr>
          <w:trHeight w:val="5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-41,8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-43,4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-42,6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-38,5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-32,5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-37,4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</w:tr>
      <w:tr w:rsidR="00C73C35" w:rsidRPr="00C73C35" w:rsidTr="00501D0E">
        <w:trPr>
          <w:trHeight w:val="6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-26,9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-27,1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-25,4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-30,2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</w:tr>
      <w:tr w:rsidR="00C73C35" w:rsidRPr="00C73C35" w:rsidTr="00501D0E">
        <w:trPr>
          <w:trHeight w:val="6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-18,4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-12,8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-10,5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-14,1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-15,7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-19,6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-21,3</w:t>
            </w:r>
          </w:p>
        </w:tc>
      </w:tr>
      <w:tr w:rsidR="00C73C35" w:rsidRPr="00C73C35" w:rsidTr="00501D0E">
        <w:trPr>
          <w:trHeight w:val="6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-1,7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C73C35" w:rsidRPr="00C73C35" w:rsidTr="00834762">
        <w:trPr>
          <w:trHeight w:val="296"/>
        </w:trPr>
        <w:tc>
          <w:tcPr>
            <w:tcW w:w="15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015112">
            <w:pPr>
              <w:widowControl/>
              <w:tabs>
                <w:tab w:val="left" w:pos="391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51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</w:tr>
      <w:tr w:rsidR="00C73C35" w:rsidRPr="00C73C35" w:rsidTr="00501D0E">
        <w:trPr>
          <w:trHeight w:val="3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-74,1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-78,9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-49,7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-34,9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-33,5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-50,9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-47,9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-62,2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-72,6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-71,5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-77,6</w:t>
            </w:r>
          </w:p>
        </w:tc>
      </w:tr>
      <w:tr w:rsidR="00C73C35" w:rsidRPr="00C73C35" w:rsidTr="00501D0E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-93,6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-95,9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-96,2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-85,7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-83,3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-79,5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-95,5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-92,5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-88,9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-90,8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-89,4</w:t>
            </w:r>
          </w:p>
        </w:tc>
      </w:tr>
      <w:tr w:rsidR="00C73C35" w:rsidRPr="00C73C35" w:rsidTr="00501D0E">
        <w:trPr>
          <w:trHeight w:val="2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-60,7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-58,5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-63,3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-62,5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-63,5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-64,5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-67,0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-70,3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35" w:rsidRPr="00C73C35" w:rsidRDefault="00C73C3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3C3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</w:tr>
    </w:tbl>
    <w:p w:rsidR="00C73C3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3C3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3C35" w:rsidRPr="00C706A5" w:rsidRDefault="00C73C3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75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710"/>
        <w:gridCol w:w="708"/>
        <w:gridCol w:w="709"/>
        <w:gridCol w:w="709"/>
        <w:gridCol w:w="66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  <w:gridCol w:w="668"/>
      </w:tblGrid>
      <w:tr w:rsidR="004211F6" w:rsidRPr="00C706A5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</w:tr>
      <w:tr w:rsidR="004211F6" w:rsidRPr="00C706A5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C706A5" w:rsidRDefault="004211F6" w:rsidP="00F04758">
            <w:pPr>
              <w:rPr>
                <w:rFonts w:ascii="Calibri" w:hAnsi="Calibri" w:cs="Times New Roman"/>
                <w:color w:val="000000" w:themeColor="text1"/>
                <w:szCs w:val="22"/>
              </w:rPr>
            </w:pP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D34415">
        <w:trPr>
          <w:trHeight w:val="8496"/>
        </w:trPr>
        <w:tc>
          <w:tcPr>
            <w:tcW w:w="10791" w:type="dxa"/>
          </w:tcPr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6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62" w:rsidRDefault="00622E62" w:rsidP="00460705">
      <w:r>
        <w:separator/>
      </w:r>
    </w:p>
  </w:endnote>
  <w:endnote w:type="continuationSeparator" w:id="1">
    <w:p w:rsidR="00622E62" w:rsidRDefault="00622E62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D2" w:rsidRDefault="00CE1016">
    <w:pPr>
      <w:pStyle w:val="Pieddepage"/>
      <w:jc w:val="right"/>
    </w:pPr>
    <w:fldSimple w:instr=" PAGE   \* MERGEFORMAT ">
      <w:r w:rsidR="00242B44">
        <w:rPr>
          <w:noProof/>
        </w:rPr>
        <w:t>2</w:t>
      </w:r>
    </w:fldSimple>
  </w:p>
  <w:p w:rsidR="001347D2" w:rsidRDefault="001347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62" w:rsidRDefault="00622E62" w:rsidP="00460705">
      <w:r>
        <w:separator/>
      </w:r>
    </w:p>
  </w:footnote>
  <w:footnote w:type="continuationSeparator" w:id="1">
    <w:p w:rsidR="00622E62" w:rsidRDefault="00622E62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6F90"/>
    <w:rsid w:val="000174FE"/>
    <w:rsid w:val="00017526"/>
    <w:rsid w:val="0001754D"/>
    <w:rsid w:val="00022644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70B6"/>
    <w:rsid w:val="0004211E"/>
    <w:rsid w:val="00043430"/>
    <w:rsid w:val="000451AC"/>
    <w:rsid w:val="00046C56"/>
    <w:rsid w:val="00047B2B"/>
    <w:rsid w:val="00051534"/>
    <w:rsid w:val="000518A6"/>
    <w:rsid w:val="00052C8E"/>
    <w:rsid w:val="00055B18"/>
    <w:rsid w:val="0005628D"/>
    <w:rsid w:val="00056F4A"/>
    <w:rsid w:val="00057262"/>
    <w:rsid w:val="00057BC7"/>
    <w:rsid w:val="00057E1A"/>
    <w:rsid w:val="00061CA4"/>
    <w:rsid w:val="00064021"/>
    <w:rsid w:val="000646B0"/>
    <w:rsid w:val="00067D35"/>
    <w:rsid w:val="000706EE"/>
    <w:rsid w:val="000720FD"/>
    <w:rsid w:val="00072F7C"/>
    <w:rsid w:val="00073079"/>
    <w:rsid w:val="000749D1"/>
    <w:rsid w:val="000779C2"/>
    <w:rsid w:val="00077CAA"/>
    <w:rsid w:val="0008224D"/>
    <w:rsid w:val="000836A6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97D75"/>
    <w:rsid w:val="000A0881"/>
    <w:rsid w:val="000A158A"/>
    <w:rsid w:val="000A20DC"/>
    <w:rsid w:val="000A40C3"/>
    <w:rsid w:val="000A62F9"/>
    <w:rsid w:val="000B0844"/>
    <w:rsid w:val="000B09BA"/>
    <w:rsid w:val="000B1487"/>
    <w:rsid w:val="000B16D1"/>
    <w:rsid w:val="000C0C01"/>
    <w:rsid w:val="000C439F"/>
    <w:rsid w:val="000C56EA"/>
    <w:rsid w:val="000C7F17"/>
    <w:rsid w:val="000D1CF5"/>
    <w:rsid w:val="000D24FA"/>
    <w:rsid w:val="000D341B"/>
    <w:rsid w:val="000D367A"/>
    <w:rsid w:val="000D4077"/>
    <w:rsid w:val="000D5638"/>
    <w:rsid w:val="000D5AB2"/>
    <w:rsid w:val="000D5B0A"/>
    <w:rsid w:val="000E10E0"/>
    <w:rsid w:val="000E17D9"/>
    <w:rsid w:val="000F0919"/>
    <w:rsid w:val="000F0DB1"/>
    <w:rsid w:val="000F2945"/>
    <w:rsid w:val="000F6CE8"/>
    <w:rsid w:val="000F70E8"/>
    <w:rsid w:val="000F74C5"/>
    <w:rsid w:val="000F7A57"/>
    <w:rsid w:val="000F7C4F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103D0"/>
    <w:rsid w:val="00110B90"/>
    <w:rsid w:val="001116C8"/>
    <w:rsid w:val="00113767"/>
    <w:rsid w:val="00115D48"/>
    <w:rsid w:val="001161C4"/>
    <w:rsid w:val="0011726A"/>
    <w:rsid w:val="00117A2F"/>
    <w:rsid w:val="00117F82"/>
    <w:rsid w:val="00121CCC"/>
    <w:rsid w:val="00122941"/>
    <w:rsid w:val="00123E79"/>
    <w:rsid w:val="00124827"/>
    <w:rsid w:val="00125161"/>
    <w:rsid w:val="001254E5"/>
    <w:rsid w:val="00125543"/>
    <w:rsid w:val="00127D67"/>
    <w:rsid w:val="00131E2D"/>
    <w:rsid w:val="00133860"/>
    <w:rsid w:val="001347D2"/>
    <w:rsid w:val="00137D7D"/>
    <w:rsid w:val="001404A9"/>
    <w:rsid w:val="001414F3"/>
    <w:rsid w:val="001438AB"/>
    <w:rsid w:val="0014398F"/>
    <w:rsid w:val="00144320"/>
    <w:rsid w:val="0014733D"/>
    <w:rsid w:val="0015212E"/>
    <w:rsid w:val="00152D59"/>
    <w:rsid w:val="00153ECF"/>
    <w:rsid w:val="001545AE"/>
    <w:rsid w:val="00156587"/>
    <w:rsid w:val="00157CA9"/>
    <w:rsid w:val="00162062"/>
    <w:rsid w:val="001648E6"/>
    <w:rsid w:val="0016596E"/>
    <w:rsid w:val="001672BD"/>
    <w:rsid w:val="00174542"/>
    <w:rsid w:val="001757C5"/>
    <w:rsid w:val="00184023"/>
    <w:rsid w:val="00185207"/>
    <w:rsid w:val="00185ABC"/>
    <w:rsid w:val="001871C4"/>
    <w:rsid w:val="00187EB7"/>
    <w:rsid w:val="00190672"/>
    <w:rsid w:val="00191E08"/>
    <w:rsid w:val="00191F62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1130"/>
    <w:rsid w:val="001B2334"/>
    <w:rsid w:val="001B3707"/>
    <w:rsid w:val="001B3CB2"/>
    <w:rsid w:val="001B50A1"/>
    <w:rsid w:val="001B561B"/>
    <w:rsid w:val="001B5B96"/>
    <w:rsid w:val="001B5F02"/>
    <w:rsid w:val="001B69A3"/>
    <w:rsid w:val="001B7322"/>
    <w:rsid w:val="001C0839"/>
    <w:rsid w:val="001C4D54"/>
    <w:rsid w:val="001C67D4"/>
    <w:rsid w:val="001C6846"/>
    <w:rsid w:val="001C6883"/>
    <w:rsid w:val="001D0C73"/>
    <w:rsid w:val="001D709D"/>
    <w:rsid w:val="001E0D0B"/>
    <w:rsid w:val="001E36D5"/>
    <w:rsid w:val="001E42CC"/>
    <w:rsid w:val="001E4F55"/>
    <w:rsid w:val="001F062E"/>
    <w:rsid w:val="001F14B0"/>
    <w:rsid w:val="001F20AF"/>
    <w:rsid w:val="001F321B"/>
    <w:rsid w:val="001F4A3E"/>
    <w:rsid w:val="001F4FE4"/>
    <w:rsid w:val="001F59E2"/>
    <w:rsid w:val="001F5D34"/>
    <w:rsid w:val="001F626D"/>
    <w:rsid w:val="001F6A9C"/>
    <w:rsid w:val="001F7711"/>
    <w:rsid w:val="002021DE"/>
    <w:rsid w:val="002041E9"/>
    <w:rsid w:val="0020711A"/>
    <w:rsid w:val="0021180E"/>
    <w:rsid w:val="0021213E"/>
    <w:rsid w:val="00213786"/>
    <w:rsid w:val="002163AF"/>
    <w:rsid w:val="002164DC"/>
    <w:rsid w:val="00221FC5"/>
    <w:rsid w:val="00222682"/>
    <w:rsid w:val="002226A1"/>
    <w:rsid w:val="00222815"/>
    <w:rsid w:val="00223178"/>
    <w:rsid w:val="00223808"/>
    <w:rsid w:val="0022467F"/>
    <w:rsid w:val="00226BE3"/>
    <w:rsid w:val="00227B1B"/>
    <w:rsid w:val="0023094A"/>
    <w:rsid w:val="00233531"/>
    <w:rsid w:val="0024028E"/>
    <w:rsid w:val="00242B44"/>
    <w:rsid w:val="00243AE1"/>
    <w:rsid w:val="00245992"/>
    <w:rsid w:val="00246518"/>
    <w:rsid w:val="002478EF"/>
    <w:rsid w:val="00247A3B"/>
    <w:rsid w:val="00253166"/>
    <w:rsid w:val="00256FBC"/>
    <w:rsid w:val="00257385"/>
    <w:rsid w:val="00260173"/>
    <w:rsid w:val="00260D98"/>
    <w:rsid w:val="00262237"/>
    <w:rsid w:val="0026337D"/>
    <w:rsid w:val="00263D54"/>
    <w:rsid w:val="00264457"/>
    <w:rsid w:val="00265CFD"/>
    <w:rsid w:val="00266110"/>
    <w:rsid w:val="00267202"/>
    <w:rsid w:val="00267298"/>
    <w:rsid w:val="002672A0"/>
    <w:rsid w:val="0026748C"/>
    <w:rsid w:val="00267B6E"/>
    <w:rsid w:val="00270AD9"/>
    <w:rsid w:val="0027263B"/>
    <w:rsid w:val="00272727"/>
    <w:rsid w:val="00272D28"/>
    <w:rsid w:val="002751C2"/>
    <w:rsid w:val="00275256"/>
    <w:rsid w:val="00276077"/>
    <w:rsid w:val="00280072"/>
    <w:rsid w:val="0028098C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A1C56"/>
    <w:rsid w:val="002A29D2"/>
    <w:rsid w:val="002A2E36"/>
    <w:rsid w:val="002A321D"/>
    <w:rsid w:val="002A53E5"/>
    <w:rsid w:val="002A7486"/>
    <w:rsid w:val="002B15A7"/>
    <w:rsid w:val="002B15E6"/>
    <w:rsid w:val="002B2EC5"/>
    <w:rsid w:val="002B3D5B"/>
    <w:rsid w:val="002B51C3"/>
    <w:rsid w:val="002B7130"/>
    <w:rsid w:val="002B74FD"/>
    <w:rsid w:val="002B799E"/>
    <w:rsid w:val="002C03DA"/>
    <w:rsid w:val="002C0BC4"/>
    <w:rsid w:val="002C0E6A"/>
    <w:rsid w:val="002C10D7"/>
    <w:rsid w:val="002C18A0"/>
    <w:rsid w:val="002C211A"/>
    <w:rsid w:val="002C3101"/>
    <w:rsid w:val="002C366D"/>
    <w:rsid w:val="002C5954"/>
    <w:rsid w:val="002C768B"/>
    <w:rsid w:val="002C79A8"/>
    <w:rsid w:val="002C7EF2"/>
    <w:rsid w:val="002D2970"/>
    <w:rsid w:val="002D3C52"/>
    <w:rsid w:val="002D3E22"/>
    <w:rsid w:val="002D54C7"/>
    <w:rsid w:val="002D56C5"/>
    <w:rsid w:val="002D5AAA"/>
    <w:rsid w:val="002D6FC3"/>
    <w:rsid w:val="002E3AEC"/>
    <w:rsid w:val="002E5787"/>
    <w:rsid w:val="002E5ABF"/>
    <w:rsid w:val="002E5BEC"/>
    <w:rsid w:val="002E710F"/>
    <w:rsid w:val="002F08CD"/>
    <w:rsid w:val="002F56E4"/>
    <w:rsid w:val="002F5CBB"/>
    <w:rsid w:val="002F5E6A"/>
    <w:rsid w:val="002F61B2"/>
    <w:rsid w:val="002F7AAE"/>
    <w:rsid w:val="00300726"/>
    <w:rsid w:val="00302717"/>
    <w:rsid w:val="003043BE"/>
    <w:rsid w:val="00306F45"/>
    <w:rsid w:val="00307232"/>
    <w:rsid w:val="00307E20"/>
    <w:rsid w:val="00311292"/>
    <w:rsid w:val="00312C75"/>
    <w:rsid w:val="00313590"/>
    <w:rsid w:val="00314363"/>
    <w:rsid w:val="00315FDD"/>
    <w:rsid w:val="0032393A"/>
    <w:rsid w:val="0032457C"/>
    <w:rsid w:val="00326439"/>
    <w:rsid w:val="0032654E"/>
    <w:rsid w:val="003266B8"/>
    <w:rsid w:val="00326D4A"/>
    <w:rsid w:val="0033159D"/>
    <w:rsid w:val="003325C2"/>
    <w:rsid w:val="00333CD8"/>
    <w:rsid w:val="00335AA7"/>
    <w:rsid w:val="00342196"/>
    <w:rsid w:val="00344737"/>
    <w:rsid w:val="00346706"/>
    <w:rsid w:val="003514ED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2A0D"/>
    <w:rsid w:val="003670AA"/>
    <w:rsid w:val="00370A60"/>
    <w:rsid w:val="003713F9"/>
    <w:rsid w:val="003724EE"/>
    <w:rsid w:val="00373C93"/>
    <w:rsid w:val="00380461"/>
    <w:rsid w:val="003812CC"/>
    <w:rsid w:val="00381490"/>
    <w:rsid w:val="00381936"/>
    <w:rsid w:val="0038490E"/>
    <w:rsid w:val="00386E22"/>
    <w:rsid w:val="00391350"/>
    <w:rsid w:val="003937BF"/>
    <w:rsid w:val="003960C1"/>
    <w:rsid w:val="003A32A5"/>
    <w:rsid w:val="003A35D3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27AF"/>
    <w:rsid w:val="003B330D"/>
    <w:rsid w:val="003B6E43"/>
    <w:rsid w:val="003C0E95"/>
    <w:rsid w:val="003C1028"/>
    <w:rsid w:val="003C2208"/>
    <w:rsid w:val="003C2924"/>
    <w:rsid w:val="003C3114"/>
    <w:rsid w:val="003C4254"/>
    <w:rsid w:val="003C79A0"/>
    <w:rsid w:val="003D554F"/>
    <w:rsid w:val="003D6DF2"/>
    <w:rsid w:val="003E04DE"/>
    <w:rsid w:val="003E1044"/>
    <w:rsid w:val="003E22C4"/>
    <w:rsid w:val="003E4DD3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400110"/>
    <w:rsid w:val="00400983"/>
    <w:rsid w:val="0040459B"/>
    <w:rsid w:val="00404C21"/>
    <w:rsid w:val="00405940"/>
    <w:rsid w:val="004074DD"/>
    <w:rsid w:val="004105E0"/>
    <w:rsid w:val="0041160A"/>
    <w:rsid w:val="00412740"/>
    <w:rsid w:val="004158F0"/>
    <w:rsid w:val="00416870"/>
    <w:rsid w:val="0042017B"/>
    <w:rsid w:val="00420B43"/>
    <w:rsid w:val="00420D3C"/>
    <w:rsid w:val="004211F6"/>
    <w:rsid w:val="00424E25"/>
    <w:rsid w:val="0042529A"/>
    <w:rsid w:val="00426845"/>
    <w:rsid w:val="00427219"/>
    <w:rsid w:val="004274C1"/>
    <w:rsid w:val="00430234"/>
    <w:rsid w:val="00431767"/>
    <w:rsid w:val="0043296A"/>
    <w:rsid w:val="00434700"/>
    <w:rsid w:val="00434E44"/>
    <w:rsid w:val="00435631"/>
    <w:rsid w:val="0043688A"/>
    <w:rsid w:val="00440B2D"/>
    <w:rsid w:val="004421AE"/>
    <w:rsid w:val="004421E3"/>
    <w:rsid w:val="004430BB"/>
    <w:rsid w:val="00445B5E"/>
    <w:rsid w:val="00446EA3"/>
    <w:rsid w:val="00450950"/>
    <w:rsid w:val="00450EFF"/>
    <w:rsid w:val="00451104"/>
    <w:rsid w:val="00451534"/>
    <w:rsid w:val="00452F6C"/>
    <w:rsid w:val="0045422F"/>
    <w:rsid w:val="0045433C"/>
    <w:rsid w:val="00457115"/>
    <w:rsid w:val="00460705"/>
    <w:rsid w:val="00460BC9"/>
    <w:rsid w:val="0046151F"/>
    <w:rsid w:val="00464052"/>
    <w:rsid w:val="00465799"/>
    <w:rsid w:val="0046586B"/>
    <w:rsid w:val="004660F5"/>
    <w:rsid w:val="0046675F"/>
    <w:rsid w:val="004674F7"/>
    <w:rsid w:val="004708C0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F4B"/>
    <w:rsid w:val="00477B88"/>
    <w:rsid w:val="004825A3"/>
    <w:rsid w:val="00482DFE"/>
    <w:rsid w:val="00484AD3"/>
    <w:rsid w:val="004851EA"/>
    <w:rsid w:val="0048573D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A33E9"/>
    <w:rsid w:val="004A3ECA"/>
    <w:rsid w:val="004A590B"/>
    <w:rsid w:val="004A69AD"/>
    <w:rsid w:val="004B04C6"/>
    <w:rsid w:val="004B35F7"/>
    <w:rsid w:val="004B4E32"/>
    <w:rsid w:val="004B5383"/>
    <w:rsid w:val="004B64B5"/>
    <w:rsid w:val="004B7076"/>
    <w:rsid w:val="004C26D2"/>
    <w:rsid w:val="004C7237"/>
    <w:rsid w:val="004D03FA"/>
    <w:rsid w:val="004D07E5"/>
    <w:rsid w:val="004D14A8"/>
    <w:rsid w:val="004D2992"/>
    <w:rsid w:val="004D3202"/>
    <w:rsid w:val="004D469E"/>
    <w:rsid w:val="004D48A5"/>
    <w:rsid w:val="004D4E20"/>
    <w:rsid w:val="004D7FEA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CFC"/>
    <w:rsid w:val="004F59BE"/>
    <w:rsid w:val="005016B0"/>
    <w:rsid w:val="00501D0E"/>
    <w:rsid w:val="00503F34"/>
    <w:rsid w:val="005041F1"/>
    <w:rsid w:val="00504C1B"/>
    <w:rsid w:val="0050642C"/>
    <w:rsid w:val="00506B3B"/>
    <w:rsid w:val="00507250"/>
    <w:rsid w:val="005076C2"/>
    <w:rsid w:val="00507FF6"/>
    <w:rsid w:val="00510671"/>
    <w:rsid w:val="00510B87"/>
    <w:rsid w:val="00511C57"/>
    <w:rsid w:val="005128B6"/>
    <w:rsid w:val="00513F5E"/>
    <w:rsid w:val="00515560"/>
    <w:rsid w:val="00517831"/>
    <w:rsid w:val="005216FD"/>
    <w:rsid w:val="00522383"/>
    <w:rsid w:val="005228C3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4064D"/>
    <w:rsid w:val="005426C2"/>
    <w:rsid w:val="00545A36"/>
    <w:rsid w:val="005465E0"/>
    <w:rsid w:val="005467EB"/>
    <w:rsid w:val="00546AA5"/>
    <w:rsid w:val="00547601"/>
    <w:rsid w:val="0055058D"/>
    <w:rsid w:val="00551FFF"/>
    <w:rsid w:val="00557C85"/>
    <w:rsid w:val="00560C19"/>
    <w:rsid w:val="00562D36"/>
    <w:rsid w:val="00562E23"/>
    <w:rsid w:val="00563170"/>
    <w:rsid w:val="005665B1"/>
    <w:rsid w:val="0056722B"/>
    <w:rsid w:val="00567CDC"/>
    <w:rsid w:val="00570BDD"/>
    <w:rsid w:val="0057388C"/>
    <w:rsid w:val="00576614"/>
    <w:rsid w:val="00576E52"/>
    <w:rsid w:val="00577957"/>
    <w:rsid w:val="005814AC"/>
    <w:rsid w:val="00581D56"/>
    <w:rsid w:val="00582246"/>
    <w:rsid w:val="0058309C"/>
    <w:rsid w:val="00584093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739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A9"/>
    <w:rsid w:val="005D44DC"/>
    <w:rsid w:val="005D466C"/>
    <w:rsid w:val="005D5B33"/>
    <w:rsid w:val="005D63D7"/>
    <w:rsid w:val="005D6464"/>
    <w:rsid w:val="005D6C02"/>
    <w:rsid w:val="005D733B"/>
    <w:rsid w:val="005D7D69"/>
    <w:rsid w:val="005E180C"/>
    <w:rsid w:val="005E1D4B"/>
    <w:rsid w:val="005E2815"/>
    <w:rsid w:val="005E2EB3"/>
    <w:rsid w:val="005E3E9B"/>
    <w:rsid w:val="005E5415"/>
    <w:rsid w:val="005E6632"/>
    <w:rsid w:val="005F0D2E"/>
    <w:rsid w:val="005F2467"/>
    <w:rsid w:val="005F2E1B"/>
    <w:rsid w:val="005F3E46"/>
    <w:rsid w:val="005F4616"/>
    <w:rsid w:val="005F5357"/>
    <w:rsid w:val="00600D77"/>
    <w:rsid w:val="00607796"/>
    <w:rsid w:val="006078F5"/>
    <w:rsid w:val="00615041"/>
    <w:rsid w:val="00617A67"/>
    <w:rsid w:val="00617BEB"/>
    <w:rsid w:val="00622CF0"/>
    <w:rsid w:val="00622E62"/>
    <w:rsid w:val="00625499"/>
    <w:rsid w:val="00626C37"/>
    <w:rsid w:val="00627948"/>
    <w:rsid w:val="006318E1"/>
    <w:rsid w:val="006332C7"/>
    <w:rsid w:val="00633DBA"/>
    <w:rsid w:val="00634247"/>
    <w:rsid w:val="00634856"/>
    <w:rsid w:val="00634C05"/>
    <w:rsid w:val="00637056"/>
    <w:rsid w:val="0064120B"/>
    <w:rsid w:val="00642021"/>
    <w:rsid w:val="0064218D"/>
    <w:rsid w:val="0064322F"/>
    <w:rsid w:val="00645377"/>
    <w:rsid w:val="0064643D"/>
    <w:rsid w:val="00646954"/>
    <w:rsid w:val="006473DB"/>
    <w:rsid w:val="00647BE8"/>
    <w:rsid w:val="00651154"/>
    <w:rsid w:val="00652533"/>
    <w:rsid w:val="0065300A"/>
    <w:rsid w:val="006551E0"/>
    <w:rsid w:val="00655B47"/>
    <w:rsid w:val="00655B8C"/>
    <w:rsid w:val="006575AC"/>
    <w:rsid w:val="0066027B"/>
    <w:rsid w:val="00660A7D"/>
    <w:rsid w:val="0066108F"/>
    <w:rsid w:val="00661A4E"/>
    <w:rsid w:val="006620AD"/>
    <w:rsid w:val="00663FAD"/>
    <w:rsid w:val="00665ECF"/>
    <w:rsid w:val="0066619E"/>
    <w:rsid w:val="00667089"/>
    <w:rsid w:val="00671777"/>
    <w:rsid w:val="00671ECF"/>
    <w:rsid w:val="00672A2B"/>
    <w:rsid w:val="00672FEF"/>
    <w:rsid w:val="0068033A"/>
    <w:rsid w:val="0068173C"/>
    <w:rsid w:val="006817AF"/>
    <w:rsid w:val="006820FF"/>
    <w:rsid w:val="00682795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5A2C"/>
    <w:rsid w:val="006975E3"/>
    <w:rsid w:val="0069792B"/>
    <w:rsid w:val="00697E8F"/>
    <w:rsid w:val="006A0757"/>
    <w:rsid w:val="006A0913"/>
    <w:rsid w:val="006A1512"/>
    <w:rsid w:val="006A230B"/>
    <w:rsid w:val="006A552D"/>
    <w:rsid w:val="006A5708"/>
    <w:rsid w:val="006A7BD0"/>
    <w:rsid w:val="006B11E8"/>
    <w:rsid w:val="006B12D2"/>
    <w:rsid w:val="006B695F"/>
    <w:rsid w:val="006B6E07"/>
    <w:rsid w:val="006C0438"/>
    <w:rsid w:val="006C0465"/>
    <w:rsid w:val="006C0877"/>
    <w:rsid w:val="006C09E5"/>
    <w:rsid w:val="006C1139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3119"/>
    <w:rsid w:val="006D5C60"/>
    <w:rsid w:val="006D7C72"/>
    <w:rsid w:val="006E15E3"/>
    <w:rsid w:val="006E2F48"/>
    <w:rsid w:val="006E54CD"/>
    <w:rsid w:val="006E743A"/>
    <w:rsid w:val="006F0E4F"/>
    <w:rsid w:val="006F193E"/>
    <w:rsid w:val="006F1D72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37CC"/>
    <w:rsid w:val="00714273"/>
    <w:rsid w:val="007143DA"/>
    <w:rsid w:val="00714E60"/>
    <w:rsid w:val="00717305"/>
    <w:rsid w:val="00717A01"/>
    <w:rsid w:val="00720767"/>
    <w:rsid w:val="00722189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40BD9"/>
    <w:rsid w:val="00742AC3"/>
    <w:rsid w:val="00742C5C"/>
    <w:rsid w:val="00743C10"/>
    <w:rsid w:val="00745483"/>
    <w:rsid w:val="00745AD8"/>
    <w:rsid w:val="0074699A"/>
    <w:rsid w:val="00751D5F"/>
    <w:rsid w:val="007539E9"/>
    <w:rsid w:val="00753AB7"/>
    <w:rsid w:val="00754325"/>
    <w:rsid w:val="0075581F"/>
    <w:rsid w:val="0075742A"/>
    <w:rsid w:val="00760F13"/>
    <w:rsid w:val="00761915"/>
    <w:rsid w:val="00761A82"/>
    <w:rsid w:val="00763124"/>
    <w:rsid w:val="007645FF"/>
    <w:rsid w:val="00765A34"/>
    <w:rsid w:val="00766FB9"/>
    <w:rsid w:val="0076762A"/>
    <w:rsid w:val="0076780C"/>
    <w:rsid w:val="00772D6A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37C5"/>
    <w:rsid w:val="007A00D5"/>
    <w:rsid w:val="007A02DF"/>
    <w:rsid w:val="007A0429"/>
    <w:rsid w:val="007A106F"/>
    <w:rsid w:val="007A2498"/>
    <w:rsid w:val="007A3C20"/>
    <w:rsid w:val="007A4238"/>
    <w:rsid w:val="007A430C"/>
    <w:rsid w:val="007A7334"/>
    <w:rsid w:val="007B4778"/>
    <w:rsid w:val="007C17FC"/>
    <w:rsid w:val="007C2155"/>
    <w:rsid w:val="007C2C4A"/>
    <w:rsid w:val="007C32BD"/>
    <w:rsid w:val="007C33B5"/>
    <w:rsid w:val="007C4CD5"/>
    <w:rsid w:val="007C52B7"/>
    <w:rsid w:val="007C5542"/>
    <w:rsid w:val="007C58E4"/>
    <w:rsid w:val="007C7142"/>
    <w:rsid w:val="007C7AFB"/>
    <w:rsid w:val="007D01A0"/>
    <w:rsid w:val="007D04AD"/>
    <w:rsid w:val="007D41E2"/>
    <w:rsid w:val="007D4ED5"/>
    <w:rsid w:val="007D6641"/>
    <w:rsid w:val="007D7349"/>
    <w:rsid w:val="007D76C4"/>
    <w:rsid w:val="007D7FDE"/>
    <w:rsid w:val="007E0752"/>
    <w:rsid w:val="007E0D7B"/>
    <w:rsid w:val="007F2CA7"/>
    <w:rsid w:val="007F2FA3"/>
    <w:rsid w:val="007F353D"/>
    <w:rsid w:val="007F3847"/>
    <w:rsid w:val="007F3975"/>
    <w:rsid w:val="007F4106"/>
    <w:rsid w:val="007F5E32"/>
    <w:rsid w:val="007F722E"/>
    <w:rsid w:val="008004F5"/>
    <w:rsid w:val="00800D8F"/>
    <w:rsid w:val="00801956"/>
    <w:rsid w:val="00802183"/>
    <w:rsid w:val="00802F87"/>
    <w:rsid w:val="00803155"/>
    <w:rsid w:val="00811DBB"/>
    <w:rsid w:val="00812210"/>
    <w:rsid w:val="00812C84"/>
    <w:rsid w:val="00813336"/>
    <w:rsid w:val="00815AFF"/>
    <w:rsid w:val="00816354"/>
    <w:rsid w:val="00816666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D94"/>
    <w:rsid w:val="0083547E"/>
    <w:rsid w:val="00835BBC"/>
    <w:rsid w:val="008379F4"/>
    <w:rsid w:val="0084029C"/>
    <w:rsid w:val="008407EE"/>
    <w:rsid w:val="00842AB8"/>
    <w:rsid w:val="0084366E"/>
    <w:rsid w:val="00845B57"/>
    <w:rsid w:val="00846510"/>
    <w:rsid w:val="008473C5"/>
    <w:rsid w:val="00853079"/>
    <w:rsid w:val="00853CBC"/>
    <w:rsid w:val="00855149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F4C"/>
    <w:rsid w:val="00892EE4"/>
    <w:rsid w:val="00894425"/>
    <w:rsid w:val="008944F4"/>
    <w:rsid w:val="00894BC8"/>
    <w:rsid w:val="00896515"/>
    <w:rsid w:val="00897342"/>
    <w:rsid w:val="008A0C9C"/>
    <w:rsid w:val="008A184F"/>
    <w:rsid w:val="008A448E"/>
    <w:rsid w:val="008A4DF1"/>
    <w:rsid w:val="008A6651"/>
    <w:rsid w:val="008A6CD6"/>
    <w:rsid w:val="008B0864"/>
    <w:rsid w:val="008B1424"/>
    <w:rsid w:val="008B1F2A"/>
    <w:rsid w:val="008B4AC5"/>
    <w:rsid w:val="008B4FD3"/>
    <w:rsid w:val="008B50A5"/>
    <w:rsid w:val="008B595A"/>
    <w:rsid w:val="008B6246"/>
    <w:rsid w:val="008C02D0"/>
    <w:rsid w:val="008C0A72"/>
    <w:rsid w:val="008C154C"/>
    <w:rsid w:val="008C2130"/>
    <w:rsid w:val="008C7124"/>
    <w:rsid w:val="008D1AAF"/>
    <w:rsid w:val="008D27B7"/>
    <w:rsid w:val="008D2E6F"/>
    <w:rsid w:val="008D37EC"/>
    <w:rsid w:val="008D3806"/>
    <w:rsid w:val="008D449D"/>
    <w:rsid w:val="008D4C14"/>
    <w:rsid w:val="008D51E7"/>
    <w:rsid w:val="008D7771"/>
    <w:rsid w:val="008E2CA1"/>
    <w:rsid w:val="008E2FF5"/>
    <w:rsid w:val="008E6069"/>
    <w:rsid w:val="008E6F7E"/>
    <w:rsid w:val="008F01C0"/>
    <w:rsid w:val="008F2722"/>
    <w:rsid w:val="008F3C1D"/>
    <w:rsid w:val="008F4F52"/>
    <w:rsid w:val="008F617D"/>
    <w:rsid w:val="00900152"/>
    <w:rsid w:val="00902061"/>
    <w:rsid w:val="009020FD"/>
    <w:rsid w:val="00902516"/>
    <w:rsid w:val="00902EFF"/>
    <w:rsid w:val="00904392"/>
    <w:rsid w:val="00905625"/>
    <w:rsid w:val="00905DCF"/>
    <w:rsid w:val="009062E4"/>
    <w:rsid w:val="0090637D"/>
    <w:rsid w:val="0090769B"/>
    <w:rsid w:val="00907B6A"/>
    <w:rsid w:val="00911F1B"/>
    <w:rsid w:val="00912426"/>
    <w:rsid w:val="00912704"/>
    <w:rsid w:val="00912A95"/>
    <w:rsid w:val="009130EC"/>
    <w:rsid w:val="00913D87"/>
    <w:rsid w:val="00917757"/>
    <w:rsid w:val="009208FB"/>
    <w:rsid w:val="009251D3"/>
    <w:rsid w:val="00925C4D"/>
    <w:rsid w:val="0092631F"/>
    <w:rsid w:val="009264E7"/>
    <w:rsid w:val="0092695A"/>
    <w:rsid w:val="00927ECD"/>
    <w:rsid w:val="00930FD8"/>
    <w:rsid w:val="009314EC"/>
    <w:rsid w:val="009407CD"/>
    <w:rsid w:val="00941491"/>
    <w:rsid w:val="00943EDF"/>
    <w:rsid w:val="0094475D"/>
    <w:rsid w:val="00945AD3"/>
    <w:rsid w:val="00946866"/>
    <w:rsid w:val="00947733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76E4"/>
    <w:rsid w:val="00960BF0"/>
    <w:rsid w:val="0096486F"/>
    <w:rsid w:val="00966D00"/>
    <w:rsid w:val="009716F2"/>
    <w:rsid w:val="00976C98"/>
    <w:rsid w:val="00985AB3"/>
    <w:rsid w:val="00985DD2"/>
    <w:rsid w:val="0098660E"/>
    <w:rsid w:val="009874E6"/>
    <w:rsid w:val="00987987"/>
    <w:rsid w:val="00991EC1"/>
    <w:rsid w:val="009921AC"/>
    <w:rsid w:val="00996593"/>
    <w:rsid w:val="00997F9E"/>
    <w:rsid w:val="009A19F3"/>
    <w:rsid w:val="009A2085"/>
    <w:rsid w:val="009A3696"/>
    <w:rsid w:val="009A4775"/>
    <w:rsid w:val="009A47E3"/>
    <w:rsid w:val="009A55CF"/>
    <w:rsid w:val="009A67C9"/>
    <w:rsid w:val="009A7820"/>
    <w:rsid w:val="009B04AF"/>
    <w:rsid w:val="009B0755"/>
    <w:rsid w:val="009B20AD"/>
    <w:rsid w:val="009B31E6"/>
    <w:rsid w:val="009B4A71"/>
    <w:rsid w:val="009B4BFB"/>
    <w:rsid w:val="009B4C6F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77D"/>
    <w:rsid w:val="009D5A45"/>
    <w:rsid w:val="009D5CA0"/>
    <w:rsid w:val="009D60C2"/>
    <w:rsid w:val="009D614B"/>
    <w:rsid w:val="009D68B9"/>
    <w:rsid w:val="009D7551"/>
    <w:rsid w:val="009D788B"/>
    <w:rsid w:val="009E2A58"/>
    <w:rsid w:val="009E3156"/>
    <w:rsid w:val="009E682C"/>
    <w:rsid w:val="00A000CA"/>
    <w:rsid w:val="00A00639"/>
    <w:rsid w:val="00A0221A"/>
    <w:rsid w:val="00A04837"/>
    <w:rsid w:val="00A104FC"/>
    <w:rsid w:val="00A124D9"/>
    <w:rsid w:val="00A129F3"/>
    <w:rsid w:val="00A13982"/>
    <w:rsid w:val="00A13B42"/>
    <w:rsid w:val="00A147DB"/>
    <w:rsid w:val="00A16EFD"/>
    <w:rsid w:val="00A20BC5"/>
    <w:rsid w:val="00A21054"/>
    <w:rsid w:val="00A22750"/>
    <w:rsid w:val="00A231DE"/>
    <w:rsid w:val="00A24DA0"/>
    <w:rsid w:val="00A26209"/>
    <w:rsid w:val="00A271B5"/>
    <w:rsid w:val="00A276D8"/>
    <w:rsid w:val="00A27CEB"/>
    <w:rsid w:val="00A3041C"/>
    <w:rsid w:val="00A400D9"/>
    <w:rsid w:val="00A413F7"/>
    <w:rsid w:val="00A41973"/>
    <w:rsid w:val="00A43410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48E9"/>
    <w:rsid w:val="00A95F76"/>
    <w:rsid w:val="00A978EA"/>
    <w:rsid w:val="00AA2C91"/>
    <w:rsid w:val="00AA42D6"/>
    <w:rsid w:val="00AA4B9B"/>
    <w:rsid w:val="00AA7979"/>
    <w:rsid w:val="00AB33B7"/>
    <w:rsid w:val="00AB4418"/>
    <w:rsid w:val="00AB4E95"/>
    <w:rsid w:val="00AB5E04"/>
    <w:rsid w:val="00AB72BA"/>
    <w:rsid w:val="00AB7AC9"/>
    <w:rsid w:val="00AC18C7"/>
    <w:rsid w:val="00AC22CF"/>
    <w:rsid w:val="00AC3986"/>
    <w:rsid w:val="00AC66D2"/>
    <w:rsid w:val="00AD1582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3F60"/>
    <w:rsid w:val="00AE553B"/>
    <w:rsid w:val="00AE5E67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6132"/>
    <w:rsid w:val="00B3617A"/>
    <w:rsid w:val="00B36214"/>
    <w:rsid w:val="00B36E89"/>
    <w:rsid w:val="00B446BF"/>
    <w:rsid w:val="00B44ADE"/>
    <w:rsid w:val="00B453A5"/>
    <w:rsid w:val="00B45A8F"/>
    <w:rsid w:val="00B50EDD"/>
    <w:rsid w:val="00B531DA"/>
    <w:rsid w:val="00B55B9F"/>
    <w:rsid w:val="00B570D1"/>
    <w:rsid w:val="00B600A7"/>
    <w:rsid w:val="00B607A0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6ADA"/>
    <w:rsid w:val="00B70FEA"/>
    <w:rsid w:val="00B73F50"/>
    <w:rsid w:val="00B73F56"/>
    <w:rsid w:val="00B74770"/>
    <w:rsid w:val="00B7692B"/>
    <w:rsid w:val="00B772A4"/>
    <w:rsid w:val="00B80B06"/>
    <w:rsid w:val="00B82E10"/>
    <w:rsid w:val="00B85C21"/>
    <w:rsid w:val="00B85F87"/>
    <w:rsid w:val="00B86C71"/>
    <w:rsid w:val="00B87925"/>
    <w:rsid w:val="00B87C77"/>
    <w:rsid w:val="00B94BD5"/>
    <w:rsid w:val="00BA1CE0"/>
    <w:rsid w:val="00BA20BF"/>
    <w:rsid w:val="00BA3DCF"/>
    <w:rsid w:val="00BA72B1"/>
    <w:rsid w:val="00BB1F54"/>
    <w:rsid w:val="00BB3C65"/>
    <w:rsid w:val="00BB47D6"/>
    <w:rsid w:val="00BB4BB2"/>
    <w:rsid w:val="00BC0290"/>
    <w:rsid w:val="00BC1675"/>
    <w:rsid w:val="00BC1AA8"/>
    <w:rsid w:val="00BC3558"/>
    <w:rsid w:val="00BC427A"/>
    <w:rsid w:val="00BC4D62"/>
    <w:rsid w:val="00BC5D13"/>
    <w:rsid w:val="00BC62BA"/>
    <w:rsid w:val="00BC7770"/>
    <w:rsid w:val="00BD2328"/>
    <w:rsid w:val="00BD275A"/>
    <w:rsid w:val="00BD2D08"/>
    <w:rsid w:val="00BD2DA1"/>
    <w:rsid w:val="00BD46C6"/>
    <w:rsid w:val="00BD4F67"/>
    <w:rsid w:val="00BD5B10"/>
    <w:rsid w:val="00BD6F03"/>
    <w:rsid w:val="00BD79F2"/>
    <w:rsid w:val="00BE052F"/>
    <w:rsid w:val="00BE0F84"/>
    <w:rsid w:val="00BE269D"/>
    <w:rsid w:val="00BE2C7E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332E"/>
    <w:rsid w:val="00BF3780"/>
    <w:rsid w:val="00BF3E41"/>
    <w:rsid w:val="00BF54EF"/>
    <w:rsid w:val="00BF7AFA"/>
    <w:rsid w:val="00C00EC9"/>
    <w:rsid w:val="00C016BD"/>
    <w:rsid w:val="00C02059"/>
    <w:rsid w:val="00C0250F"/>
    <w:rsid w:val="00C046B1"/>
    <w:rsid w:val="00C049EB"/>
    <w:rsid w:val="00C0692C"/>
    <w:rsid w:val="00C070B3"/>
    <w:rsid w:val="00C077F1"/>
    <w:rsid w:val="00C12EDB"/>
    <w:rsid w:val="00C13086"/>
    <w:rsid w:val="00C166F9"/>
    <w:rsid w:val="00C17A37"/>
    <w:rsid w:val="00C21058"/>
    <w:rsid w:val="00C21104"/>
    <w:rsid w:val="00C217BA"/>
    <w:rsid w:val="00C21ABF"/>
    <w:rsid w:val="00C229EC"/>
    <w:rsid w:val="00C24351"/>
    <w:rsid w:val="00C26D09"/>
    <w:rsid w:val="00C2764E"/>
    <w:rsid w:val="00C30E83"/>
    <w:rsid w:val="00C334F9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76FD"/>
    <w:rsid w:val="00C51C29"/>
    <w:rsid w:val="00C5433E"/>
    <w:rsid w:val="00C54C3D"/>
    <w:rsid w:val="00C55103"/>
    <w:rsid w:val="00C553B5"/>
    <w:rsid w:val="00C60EE9"/>
    <w:rsid w:val="00C62F85"/>
    <w:rsid w:val="00C6435B"/>
    <w:rsid w:val="00C64827"/>
    <w:rsid w:val="00C65929"/>
    <w:rsid w:val="00C67698"/>
    <w:rsid w:val="00C701B3"/>
    <w:rsid w:val="00C706A5"/>
    <w:rsid w:val="00C71138"/>
    <w:rsid w:val="00C72080"/>
    <w:rsid w:val="00C72318"/>
    <w:rsid w:val="00C73C35"/>
    <w:rsid w:val="00C744C3"/>
    <w:rsid w:val="00C76249"/>
    <w:rsid w:val="00C77FF2"/>
    <w:rsid w:val="00C80E65"/>
    <w:rsid w:val="00C814E3"/>
    <w:rsid w:val="00C823BD"/>
    <w:rsid w:val="00C82FA2"/>
    <w:rsid w:val="00C85F79"/>
    <w:rsid w:val="00C91677"/>
    <w:rsid w:val="00C93FD8"/>
    <w:rsid w:val="00C94A80"/>
    <w:rsid w:val="00C94E38"/>
    <w:rsid w:val="00C94F63"/>
    <w:rsid w:val="00C976F1"/>
    <w:rsid w:val="00C97B9F"/>
    <w:rsid w:val="00CA49CC"/>
    <w:rsid w:val="00CA6364"/>
    <w:rsid w:val="00CA6F5A"/>
    <w:rsid w:val="00CA6F70"/>
    <w:rsid w:val="00CA71DA"/>
    <w:rsid w:val="00CB1696"/>
    <w:rsid w:val="00CB2C1A"/>
    <w:rsid w:val="00CB45B8"/>
    <w:rsid w:val="00CB592A"/>
    <w:rsid w:val="00CB6356"/>
    <w:rsid w:val="00CC30D7"/>
    <w:rsid w:val="00CC3DB6"/>
    <w:rsid w:val="00CC4490"/>
    <w:rsid w:val="00CC5917"/>
    <w:rsid w:val="00CC665B"/>
    <w:rsid w:val="00CC77E4"/>
    <w:rsid w:val="00CD00FA"/>
    <w:rsid w:val="00CD1E97"/>
    <w:rsid w:val="00CD259B"/>
    <w:rsid w:val="00CD7B38"/>
    <w:rsid w:val="00CE0A3F"/>
    <w:rsid w:val="00CE1016"/>
    <w:rsid w:val="00CE5396"/>
    <w:rsid w:val="00CE555C"/>
    <w:rsid w:val="00CF0163"/>
    <w:rsid w:val="00CF09A5"/>
    <w:rsid w:val="00CF3541"/>
    <w:rsid w:val="00CF38B5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5527"/>
    <w:rsid w:val="00D05E8E"/>
    <w:rsid w:val="00D063DF"/>
    <w:rsid w:val="00D0784E"/>
    <w:rsid w:val="00D1034E"/>
    <w:rsid w:val="00D1059C"/>
    <w:rsid w:val="00D10EF1"/>
    <w:rsid w:val="00D1110F"/>
    <w:rsid w:val="00D113DE"/>
    <w:rsid w:val="00D11FA6"/>
    <w:rsid w:val="00D12F92"/>
    <w:rsid w:val="00D138F5"/>
    <w:rsid w:val="00D13B8F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3B2C"/>
    <w:rsid w:val="00D33BC0"/>
    <w:rsid w:val="00D34415"/>
    <w:rsid w:val="00D35B9B"/>
    <w:rsid w:val="00D35EAD"/>
    <w:rsid w:val="00D37DFB"/>
    <w:rsid w:val="00D40078"/>
    <w:rsid w:val="00D4022D"/>
    <w:rsid w:val="00D414F5"/>
    <w:rsid w:val="00D454E7"/>
    <w:rsid w:val="00D46097"/>
    <w:rsid w:val="00D46521"/>
    <w:rsid w:val="00D53275"/>
    <w:rsid w:val="00D54358"/>
    <w:rsid w:val="00D553C6"/>
    <w:rsid w:val="00D5577E"/>
    <w:rsid w:val="00D567AA"/>
    <w:rsid w:val="00D604DA"/>
    <w:rsid w:val="00D62B1A"/>
    <w:rsid w:val="00D6316F"/>
    <w:rsid w:val="00D63E9A"/>
    <w:rsid w:val="00D66AE3"/>
    <w:rsid w:val="00D67390"/>
    <w:rsid w:val="00D673AA"/>
    <w:rsid w:val="00D7152A"/>
    <w:rsid w:val="00D7233D"/>
    <w:rsid w:val="00D7524D"/>
    <w:rsid w:val="00D76CA5"/>
    <w:rsid w:val="00D76ED3"/>
    <w:rsid w:val="00D77DC1"/>
    <w:rsid w:val="00D77E85"/>
    <w:rsid w:val="00D80A2B"/>
    <w:rsid w:val="00D84084"/>
    <w:rsid w:val="00D85054"/>
    <w:rsid w:val="00D851B0"/>
    <w:rsid w:val="00D90594"/>
    <w:rsid w:val="00D90AA2"/>
    <w:rsid w:val="00D93334"/>
    <w:rsid w:val="00D93A63"/>
    <w:rsid w:val="00D93D73"/>
    <w:rsid w:val="00D9452B"/>
    <w:rsid w:val="00D94ADC"/>
    <w:rsid w:val="00D977C8"/>
    <w:rsid w:val="00DA3198"/>
    <w:rsid w:val="00DA3867"/>
    <w:rsid w:val="00DA3E9A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49B6"/>
    <w:rsid w:val="00DB5B40"/>
    <w:rsid w:val="00DC1302"/>
    <w:rsid w:val="00DC13E1"/>
    <w:rsid w:val="00DC1E47"/>
    <w:rsid w:val="00DC2397"/>
    <w:rsid w:val="00DC364B"/>
    <w:rsid w:val="00DC4B35"/>
    <w:rsid w:val="00DC5A31"/>
    <w:rsid w:val="00DC676B"/>
    <w:rsid w:val="00DD2648"/>
    <w:rsid w:val="00DD79E3"/>
    <w:rsid w:val="00DE215D"/>
    <w:rsid w:val="00DE491D"/>
    <w:rsid w:val="00DE5A78"/>
    <w:rsid w:val="00DE7FFC"/>
    <w:rsid w:val="00DF0119"/>
    <w:rsid w:val="00DF171F"/>
    <w:rsid w:val="00DF1AB3"/>
    <w:rsid w:val="00DF1AB5"/>
    <w:rsid w:val="00E00CDF"/>
    <w:rsid w:val="00E01521"/>
    <w:rsid w:val="00E016C4"/>
    <w:rsid w:val="00E0246A"/>
    <w:rsid w:val="00E02A34"/>
    <w:rsid w:val="00E040F3"/>
    <w:rsid w:val="00E0420B"/>
    <w:rsid w:val="00E0719F"/>
    <w:rsid w:val="00E11853"/>
    <w:rsid w:val="00E11BB7"/>
    <w:rsid w:val="00E11EBD"/>
    <w:rsid w:val="00E1447C"/>
    <w:rsid w:val="00E1484A"/>
    <w:rsid w:val="00E14DE9"/>
    <w:rsid w:val="00E16EEC"/>
    <w:rsid w:val="00E1715A"/>
    <w:rsid w:val="00E204D1"/>
    <w:rsid w:val="00E234D4"/>
    <w:rsid w:val="00E25030"/>
    <w:rsid w:val="00E265E4"/>
    <w:rsid w:val="00E3029E"/>
    <w:rsid w:val="00E30F1C"/>
    <w:rsid w:val="00E32127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43E4"/>
    <w:rsid w:val="00E45315"/>
    <w:rsid w:val="00E461FA"/>
    <w:rsid w:val="00E477A6"/>
    <w:rsid w:val="00E47D6F"/>
    <w:rsid w:val="00E50D58"/>
    <w:rsid w:val="00E5131F"/>
    <w:rsid w:val="00E5224B"/>
    <w:rsid w:val="00E543BB"/>
    <w:rsid w:val="00E55C95"/>
    <w:rsid w:val="00E56009"/>
    <w:rsid w:val="00E57400"/>
    <w:rsid w:val="00E60F25"/>
    <w:rsid w:val="00E61B27"/>
    <w:rsid w:val="00E62E41"/>
    <w:rsid w:val="00E640FA"/>
    <w:rsid w:val="00E6458A"/>
    <w:rsid w:val="00E66872"/>
    <w:rsid w:val="00E67EE4"/>
    <w:rsid w:val="00E70D2A"/>
    <w:rsid w:val="00E7109F"/>
    <w:rsid w:val="00E729D8"/>
    <w:rsid w:val="00E72FB5"/>
    <w:rsid w:val="00E85462"/>
    <w:rsid w:val="00E8592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702D"/>
    <w:rsid w:val="00E974FA"/>
    <w:rsid w:val="00EA1EEC"/>
    <w:rsid w:val="00EA205A"/>
    <w:rsid w:val="00EA3C3C"/>
    <w:rsid w:val="00EA4C22"/>
    <w:rsid w:val="00EA57D0"/>
    <w:rsid w:val="00EB078A"/>
    <w:rsid w:val="00EB284E"/>
    <w:rsid w:val="00EB2FF9"/>
    <w:rsid w:val="00EB41C4"/>
    <w:rsid w:val="00EB5E7C"/>
    <w:rsid w:val="00EB676E"/>
    <w:rsid w:val="00EB68B6"/>
    <w:rsid w:val="00EB6BE8"/>
    <w:rsid w:val="00EB6C77"/>
    <w:rsid w:val="00EC04CA"/>
    <w:rsid w:val="00EC42FA"/>
    <w:rsid w:val="00EC5534"/>
    <w:rsid w:val="00EC578A"/>
    <w:rsid w:val="00EC6555"/>
    <w:rsid w:val="00EC75B2"/>
    <w:rsid w:val="00EC7956"/>
    <w:rsid w:val="00ED0791"/>
    <w:rsid w:val="00ED0ED5"/>
    <w:rsid w:val="00ED2CEA"/>
    <w:rsid w:val="00ED3373"/>
    <w:rsid w:val="00ED602D"/>
    <w:rsid w:val="00ED6E5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3BCC"/>
    <w:rsid w:val="00EF4D2C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7B9D"/>
    <w:rsid w:val="00F20E5B"/>
    <w:rsid w:val="00F21FD0"/>
    <w:rsid w:val="00F23039"/>
    <w:rsid w:val="00F24882"/>
    <w:rsid w:val="00F24E95"/>
    <w:rsid w:val="00F35575"/>
    <w:rsid w:val="00F3570E"/>
    <w:rsid w:val="00F35DBC"/>
    <w:rsid w:val="00F37422"/>
    <w:rsid w:val="00F409B1"/>
    <w:rsid w:val="00F40FCE"/>
    <w:rsid w:val="00F40FEE"/>
    <w:rsid w:val="00F44BD0"/>
    <w:rsid w:val="00F44CD1"/>
    <w:rsid w:val="00F4574D"/>
    <w:rsid w:val="00F50003"/>
    <w:rsid w:val="00F53CD4"/>
    <w:rsid w:val="00F5423D"/>
    <w:rsid w:val="00F6021D"/>
    <w:rsid w:val="00F60885"/>
    <w:rsid w:val="00F625E1"/>
    <w:rsid w:val="00F62B6E"/>
    <w:rsid w:val="00F65398"/>
    <w:rsid w:val="00F654BE"/>
    <w:rsid w:val="00F65FAF"/>
    <w:rsid w:val="00F66E42"/>
    <w:rsid w:val="00F71ED3"/>
    <w:rsid w:val="00F733C9"/>
    <w:rsid w:val="00F752D4"/>
    <w:rsid w:val="00F80F35"/>
    <w:rsid w:val="00F81337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12E0"/>
    <w:rsid w:val="00FA1489"/>
    <w:rsid w:val="00FA174F"/>
    <w:rsid w:val="00FA2E00"/>
    <w:rsid w:val="00FA33E5"/>
    <w:rsid w:val="00FA37C6"/>
    <w:rsid w:val="00FA5F0F"/>
    <w:rsid w:val="00FB444E"/>
    <w:rsid w:val="00FB52FD"/>
    <w:rsid w:val="00FB5856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D2441"/>
    <w:rsid w:val="00FD3616"/>
    <w:rsid w:val="00FD44AB"/>
    <w:rsid w:val="00FD4A4B"/>
    <w:rsid w:val="00FD511B"/>
    <w:rsid w:val="00FD5C41"/>
    <w:rsid w:val="00FD5E2D"/>
    <w:rsid w:val="00FD7AD8"/>
    <w:rsid w:val="00FD7BFC"/>
    <w:rsid w:val="00FD7CAB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1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en-US" sz="1600" b="1" i="0" baseline="0"/>
              <a:t>Evolution de l'Indice de Confiance des Ménages</a:t>
            </a:r>
            <a:endParaRPr lang="fr-FR" sz="1600" b="1" i="0" baseline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fr'!$B$18:$Z$18</c:f>
              <c:numCache>
                <c:formatCode>#,##0.0</c:formatCode>
                <c:ptCount val="25"/>
                <c:pt idx="0">
                  <c:v>85.866502294191648</c:v>
                </c:pt>
                <c:pt idx="1">
                  <c:v>77.678707955852474</c:v>
                </c:pt>
                <c:pt idx="2">
                  <c:v>75.55248063575597</c:v>
                </c:pt>
                <c:pt idx="3">
                  <c:v>80.136884034904114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80.136086093618815</c:v>
                </c:pt>
                <c:pt idx="9">
                  <c:v>78.833388330573484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78.406406130604239</c:v>
                </c:pt>
                <c:pt idx="13">
                  <c:v>85.789532632532229</c:v>
                </c:pt>
                <c:pt idx="14">
                  <c:v>86.506225251482533</c:v>
                </c:pt>
                <c:pt idx="15">
                  <c:v>84.47721469487783</c:v>
                </c:pt>
                <c:pt idx="16">
                  <c:v>82.880478542820782</c:v>
                </c:pt>
                <c:pt idx="17">
                  <c:v>80.673652783725359</c:v>
                </c:pt>
                <c:pt idx="18">
                  <c:v>77.553867036568803</c:v>
                </c:pt>
                <c:pt idx="19">
                  <c:v>78.403353681350168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</c:numCache>
            </c:numRef>
          </c:val>
        </c:ser>
        <c:gapWidth val="75"/>
        <c:overlap val="-25"/>
        <c:axId val="97936128"/>
        <c:axId val="97937664"/>
      </c:barChart>
      <c:catAx>
        <c:axId val="979361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7937664"/>
        <c:crosses val="autoZero"/>
        <c:auto val="1"/>
        <c:lblAlgn val="ctr"/>
        <c:lblOffset val="100"/>
      </c:catAx>
      <c:valAx>
        <c:axId val="9793766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979361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fr-FR" sz="1600"/>
              <a:t>Evolutions passée et future  du niveau de vie</a:t>
            </a:r>
          </a:p>
          <a:p>
            <a:pPr>
              <a:defRPr sz="1600"/>
            </a:pPr>
            <a:r>
              <a:rPr lang="fr-FR" sz="1600"/>
              <a:t>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fr'!$B$11:$Z$11</c:f>
              <c:numCache>
                <c:formatCode>#,##0.0</c:formatCode>
                <c:ptCount val="2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-31.141291421499794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-25.723634629572953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-37.236760344983516</c:v>
                </c:pt>
                <c:pt idx="12">
                  <c:v>-26.050959167650163</c:v>
                </c:pt>
                <c:pt idx="13">
                  <c:v>-16.961438303130816</c:v>
                </c:pt>
                <c:pt idx="14">
                  <c:v>-13.439142519852041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-28.088708351168609</c:v>
                </c:pt>
                <c:pt idx="20">
                  <c:v>-29.212341127418195</c:v>
                </c:pt>
                <c:pt idx="21">
                  <c:v>-23.10286448398212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</c:numCache>
            </c:numRef>
          </c:val>
        </c:ser>
        <c:ser>
          <c:idx val="1"/>
          <c:order val="1"/>
          <c:tx>
            <c:strRef>
              <c:f>'graphe fr'!$A$12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fr'!$B$12:$Z$12</c:f>
              <c:numCache>
                <c:formatCode>#,##0.0</c:formatCode>
                <c:ptCount val="2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8.4334302751113296E-2</c:v>
                </c:pt>
                <c:pt idx="7">
                  <c:v>2.1853913991610052</c:v>
                </c:pt>
                <c:pt idx="8">
                  <c:v>0.39154986438085859</c:v>
                </c:pt>
                <c:pt idx="9">
                  <c:v>2.7314646872285109</c:v>
                </c:pt>
                <c:pt idx="10">
                  <c:v>0.19418325799955072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18.132139936578749</c:v>
                </c:pt>
                <c:pt idx="14">
                  <c:v>11.870106120928323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-11.389732068783653</c:v>
                </c:pt>
              </c:numCache>
            </c:numRef>
          </c:val>
        </c:ser>
        <c:marker val="1"/>
        <c:axId val="97945856"/>
        <c:axId val="98037760"/>
      </c:lineChart>
      <c:catAx>
        <c:axId val="979458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8037760"/>
        <c:crosses val="autoZero"/>
        <c:auto val="1"/>
        <c:lblAlgn val="ctr"/>
        <c:lblOffset val="100"/>
      </c:catAx>
      <c:valAx>
        <c:axId val="9803776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979458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en-US" sz="1600" b="1" i="0" baseline="0"/>
              <a:t>Perceptions des ménages sur l'évolution future du nombre de chômeurs  </a:t>
            </a:r>
            <a:r>
              <a:rPr lang="fr-FR" sz="1600" b="1" i="0" baseline="0"/>
              <a:t>(soldes d'opinions) </a:t>
            </a:r>
            <a:endParaRPr lang="fr-FR" sz="1400" b="1"/>
          </a:p>
        </c:rich>
      </c:tx>
      <c:layout>
        <c:manualLayout>
          <c:xMode val="edge"/>
          <c:yMode val="edge"/>
          <c:x val="0.12259484727037895"/>
          <c:y val="1.8814293236711944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fr'!$B$10:$Z$10</c:f>
              <c:numCache>
                <c:formatCode>#,##0.0</c:formatCode>
                <c:ptCount val="25"/>
                <c:pt idx="0">
                  <c:v>-52.095692279179424</c:v>
                </c:pt>
                <c:pt idx="1">
                  <c:v>-56.601297669292876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-57.930600458568307</c:v>
                </c:pt>
                <c:pt idx="7">
                  <c:v>-57.517749523976327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-52.335316844022621</c:v>
                </c:pt>
                <c:pt idx="12">
                  <c:v>-52.408437207990296</c:v>
                </c:pt>
                <c:pt idx="13">
                  <c:v>-45.98227848623327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</c:numCache>
            </c:numRef>
          </c:val>
        </c:ser>
        <c:marker val="1"/>
        <c:axId val="99425664"/>
        <c:axId val="99452032"/>
      </c:lineChart>
      <c:catAx>
        <c:axId val="99425664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452032"/>
        <c:crosses val="autoZero"/>
        <c:auto val="1"/>
        <c:lblAlgn val="ctr"/>
        <c:lblOffset val="100"/>
      </c:catAx>
      <c:valAx>
        <c:axId val="9945203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4256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en-US" sz="1600" b="1" i="0" baseline="0"/>
              <a:t>Perception des ménages sur l'opportunité d'achat des biens durables</a:t>
            </a:r>
            <a:r>
              <a:rPr lang="fr-FR" sz="1600" b="1" i="0" baseline="0"/>
              <a:t> 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fr'!$B$13:$Z$13</c:f>
              <c:numCache>
                <c:formatCode>#,##0.0</c:formatCode>
                <c:ptCount val="25"/>
                <c:pt idx="0">
                  <c:v>-30.018449770831676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-41.7653505090341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-39.860076277616429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-37.388587169100269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-28.348240299081606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</c:numCache>
            </c:numRef>
          </c:val>
        </c:ser>
        <c:marker val="1"/>
        <c:axId val="99459456"/>
        <c:axId val="99460992"/>
      </c:lineChart>
      <c:catAx>
        <c:axId val="9945945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460992"/>
        <c:crosses val="autoZero"/>
        <c:auto val="1"/>
        <c:lblAlgn val="ctr"/>
        <c:lblOffset val="100"/>
      </c:catAx>
      <c:valAx>
        <c:axId val="99460992"/>
        <c:scaling>
          <c:orientation val="minMax"/>
        </c:scaling>
        <c:axPos val="l"/>
        <c:majorGridlines/>
        <c:numFmt formatCode="#,##0.0" sourceLinked="1"/>
        <c:tickLblPos val="nextTo"/>
        <c:crossAx val="9945945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 sz="1600" b="1" i="0" baseline="0"/>
              <a:t>Perceptions des ménages sur leurs situations financières (soldes d'opinions) </a:t>
            </a:r>
            <a:endParaRPr lang="fr-FR" sz="1600"/>
          </a:p>
        </c:rich>
      </c:tx>
      <c:layout>
        <c:manualLayout>
          <c:xMode val="edge"/>
          <c:yMode val="edge"/>
          <c:x val="0.18499236459079149"/>
          <c:y val="2.4783147459727685E-3"/>
        </c:manualLayout>
      </c:layout>
    </c:title>
    <c:plotArea>
      <c:layout>
        <c:manualLayout>
          <c:layoutTarget val="inner"/>
          <c:xMode val="edge"/>
          <c:yMode val="edge"/>
          <c:x val="6.1550350707143688E-2"/>
          <c:y val="0.1980959698737674"/>
          <c:w val="0.92286886262498824"/>
          <c:h val="0.74264840631127904"/>
        </c:manualLayout>
      </c:layout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 actuelle</c:v>
                </c:pt>
              </c:strCache>
            </c:strRef>
          </c:tx>
          <c:marker>
            <c:symbol val="star"/>
            <c:size val="5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fr'!$B$14:$Z$14</c:f>
              <c:numCache>
                <c:formatCode>#,##0.0</c:formatCode>
                <c:ptCount val="2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</c:v>
                </c:pt>
                <c:pt idx="12">
                  <c:v>-30.645498931903678</c:v>
                </c:pt>
                <c:pt idx="13">
                  <c:v>-27.092549889444228</c:v>
                </c:pt>
                <c:pt idx="14">
                  <c:v>-24.28899054728441</c:v>
                </c:pt>
                <c:pt idx="15">
                  <c:v>-25.669712181349674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-30.846093343724149</c:v>
                </c:pt>
                <c:pt idx="19">
                  <c:v>-29.426966691861214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-29.484131282651159</c:v>
                </c:pt>
                <c:pt idx="23">
                  <c:v>-29.485585569479884</c:v>
                </c:pt>
                <c:pt idx="24">
                  <c:v>-31.290770339914992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fr'!$B$15:$Z$15</c:f>
              <c:numCache>
                <c:formatCode>#,##0.0</c:formatCode>
                <c:ptCount val="25"/>
                <c:pt idx="0">
                  <c:v>-11.760493904860514</c:v>
                </c:pt>
                <c:pt idx="1">
                  <c:v>-11.376439540974218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-18.438210074457299</c:v>
                </c:pt>
                <c:pt idx="5">
                  <c:v>-13.353492384896791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-21.891965579068561</c:v>
                </c:pt>
                <c:pt idx="23">
                  <c:v>-21.870867995539985</c:v>
                </c:pt>
                <c:pt idx="24">
                  <c:v>-21.277780753263979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fr'!$B$9:$Z$9</c:f>
              <c:strCache>
                <c:ptCount val="2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T114</c:v>
                </c:pt>
              </c:strCache>
            </c:strRef>
          </c:cat>
          <c:val>
            <c:numRef>
              <c:f>'graphe fr'!$B$16:$Z$16</c:f>
              <c:numCache>
                <c:formatCode>#,##0.0</c:formatCode>
                <c:ptCount val="2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11.776375704730455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11.230833640450301</c:v>
                </c:pt>
                <c:pt idx="17">
                  <c:v>11.136340416980383</c:v>
                </c:pt>
                <c:pt idx="18">
                  <c:v>7.6658451594012798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-1.7003971659207235</c:v>
                </c:pt>
                <c:pt idx="24">
                  <c:v>1.2126606998519158</c:v>
                </c:pt>
              </c:numCache>
            </c:numRef>
          </c:val>
        </c:ser>
        <c:marker val="1"/>
        <c:axId val="99478144"/>
        <c:axId val="99508608"/>
      </c:lineChart>
      <c:catAx>
        <c:axId val="994781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508608"/>
        <c:crosses val="autoZero"/>
        <c:auto val="1"/>
        <c:lblAlgn val="ctr"/>
        <c:lblOffset val="100"/>
      </c:catAx>
      <c:valAx>
        <c:axId val="9950860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947814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fr-FR" sz="1200" b="1" i="0" u="none" strike="noStrike" baseline="0"/>
              <a:t>Perception de l'évolution future des prix des produits alimentaires (en %)</a:t>
            </a:r>
            <a:endParaRPr lang="fr-FR" sz="1200"/>
          </a:p>
        </c:rich>
      </c:tx>
      <c:layout>
        <c:manualLayout>
          <c:xMode val="edge"/>
          <c:yMode val="edge"/>
          <c:x val="0.12182633420822422"/>
          <c:y val="2.7826092037173553E-2"/>
        </c:manualLayout>
      </c:layout>
    </c:title>
    <c:plotArea>
      <c:layout>
        <c:manualLayout>
          <c:layoutTarget val="inner"/>
          <c:xMode val="edge"/>
          <c:yMode val="edge"/>
          <c:x val="3.2381869082774649E-2"/>
          <c:y val="0.27918909600106956"/>
          <c:w val="0.93888888888889765"/>
          <c:h val="0.51933123641046264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0.77989562270245982</c:v>
                </c:pt>
                <c:pt idx="1">
                  <c:v>0.77030286543735127</c:v>
                </c:pt>
                <c:pt idx="2">
                  <c:v>0.78551991641638863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0.20117172146809367</c:v>
                </c:pt>
                <c:pt idx="1">
                  <c:v>0.21987982755154489</c:v>
                </c:pt>
                <c:pt idx="2">
                  <c:v>0.20447803758022373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1.8932655829451122E-2</c:v>
                </c:pt>
                <c:pt idx="1">
                  <c:v>9.8173070111037767E-3</c:v>
                </c:pt>
                <c:pt idx="2">
                  <c:v>1.0002046003389739E-2</c:v>
                </c:pt>
              </c:numCache>
            </c:numRef>
          </c:val>
        </c:ser>
        <c:gapWidth val="75"/>
        <c:overlap val="-25"/>
        <c:axId val="99534336"/>
        <c:axId val="99535872"/>
      </c:barChart>
      <c:catAx>
        <c:axId val="99534336"/>
        <c:scaling>
          <c:orientation val="minMax"/>
        </c:scaling>
        <c:axPos val="b"/>
        <c:majorTickMark val="none"/>
        <c:tickLblPos val="nextTo"/>
        <c:crossAx val="99535872"/>
        <c:crosses val="autoZero"/>
        <c:auto val="1"/>
        <c:lblAlgn val="ctr"/>
        <c:lblOffset val="100"/>
      </c:catAx>
      <c:valAx>
        <c:axId val="99535872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95343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</a:t>
            </a:r>
            <a:r>
              <a:rPr lang="fr-FR" sz="1200" b="1" i="0" baseline="0"/>
              <a:t>de l'évolution passée des prix des produits alimentaires (en %)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5.3710937500000139E-2"/>
          <c:y val="0.2128973660308813"/>
          <c:w val="0.89257812499999956"/>
          <c:h val="0.58160298082630468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0.92203066945779144</c:v>
                </c:pt>
                <c:pt idx="1">
                  <c:v>0.91900352935980567</c:v>
                </c:pt>
                <c:pt idx="2">
                  <c:v>0.90507883998493777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7.224194939421362E-2</c:v>
                </c:pt>
                <c:pt idx="1">
                  <c:v>7.0416966997420588E-2</c:v>
                </c:pt>
                <c:pt idx="2">
                  <c:v>8.4062040878642691E-2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T1/13</c:v>
                </c:pt>
                <c:pt idx="1">
                  <c:v>T4/13</c:v>
                </c:pt>
                <c:pt idx="2">
                  <c:v>T1/14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5.7273811479935403E-3</c:v>
                </c:pt>
                <c:pt idx="1">
                  <c:v>1.0579503642774421E-2</c:v>
                </c:pt>
                <c:pt idx="2">
                  <c:v>1.085911913642032E-2</c:v>
                </c:pt>
              </c:numCache>
            </c:numRef>
          </c:val>
        </c:ser>
        <c:gapWidth val="75"/>
        <c:overlap val="-25"/>
        <c:axId val="99567104"/>
        <c:axId val="99568640"/>
      </c:barChart>
      <c:catAx>
        <c:axId val="99567104"/>
        <c:scaling>
          <c:orientation val="minMax"/>
        </c:scaling>
        <c:axPos val="b"/>
        <c:majorTickMark val="none"/>
        <c:tickLblPos val="nextTo"/>
        <c:crossAx val="99568640"/>
        <c:crosses val="autoZero"/>
        <c:auto val="1"/>
        <c:lblAlgn val="ctr"/>
        <c:lblOffset val="100"/>
      </c:catAx>
      <c:valAx>
        <c:axId val="9956864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956710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6D51-3B42-4D27-973C-89DCA085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1414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9179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 </cp:lastModifiedBy>
  <cp:revision>2</cp:revision>
  <cp:lastPrinted>2014-05-09T09:58:00Z</cp:lastPrinted>
  <dcterms:created xsi:type="dcterms:W3CDTF">2014-05-12T16:30:00Z</dcterms:created>
  <dcterms:modified xsi:type="dcterms:W3CDTF">2014-05-12T16:30:00Z</dcterms:modified>
</cp:coreProperties>
</file>