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9E579A" w:rsidRPr="004671FE" w:rsidRDefault="000232F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  <w:r>
        <w:rPr>
          <w:rFonts w:cs="Arial"/>
        </w:rPr>
        <w:t xml:space="preserve">   </w:t>
      </w:r>
    </w:p>
    <w:p w:rsidR="00A250D1" w:rsidRDefault="00A250D1" w:rsidP="00A250D1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A250D1" w:rsidRP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ES PRIX A LA CONSOMMATION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B1AD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4E5BE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FÉVRIER 201</w:t>
      </w:r>
      <w:r w:rsidR="004B1AD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CC5D9A" w:rsidRPr="004E2AF0" w:rsidRDefault="00CC5D9A" w:rsidP="00E16609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 0,2</w:t>
      </w:r>
      <w:r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87654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résultant d’une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prix des légumes de 4,8% et de</w:t>
      </w:r>
      <w:r w:rsidR="008C61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viande</w:t>
      </w:r>
      <w:r w:rsidR="008C61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1,3%</w:t>
      </w:r>
      <w:r w:rsidR="0087654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et d’une hausse des prix des poissons et fruits de mer </w:t>
      </w:r>
      <w:r w:rsidR="00E166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</w:t>
      </w:r>
      <w:r w:rsidR="0087654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5,8%</w:t>
      </w:r>
      <w:r w:rsid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P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de </w:t>
      </w:r>
      <w:r w:rsidRP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0,3% sur un mois et </w:t>
      </w:r>
      <w:r w:rsid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en hausse de 0</w:t>
      </w:r>
      <w:r w:rsidRP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F7354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CC5D9A" w:rsidRPr="004E2AF0" w:rsidRDefault="00CC5D9A" w:rsidP="00CC5D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CC5D9A" w:rsidRPr="00C954F8" w:rsidRDefault="00CC5D9A" w:rsidP="00CC5D9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>
        <w:rPr>
          <w:rFonts w:ascii="Arial" w:hAnsi="Arial" w:cs="Arial"/>
          <w:sz w:val="24"/>
          <w:szCs w:val="24"/>
        </w:rPr>
        <w:t>de février 2014</w:t>
      </w:r>
      <w:r w:rsidRPr="004671FE">
        <w:rPr>
          <w:rFonts w:ascii="Arial" w:hAnsi="Arial" w:cs="Arial"/>
          <w:sz w:val="24"/>
          <w:szCs w:val="24"/>
        </w:rPr>
        <w:t xml:space="preserve">, une </w:t>
      </w:r>
      <w:r>
        <w:rPr>
          <w:rFonts w:ascii="Arial" w:hAnsi="Arial" w:cs="Arial"/>
          <w:sz w:val="24"/>
          <w:szCs w:val="24"/>
        </w:rPr>
        <w:t>baisse</w:t>
      </w:r>
      <w:r w:rsidRPr="004671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0,2</w:t>
      </w:r>
      <w:r w:rsidRPr="004671FE">
        <w:rPr>
          <w:rFonts w:ascii="Arial" w:hAnsi="Arial" w:cs="Arial"/>
          <w:sz w:val="24"/>
          <w:szCs w:val="24"/>
        </w:rPr>
        <w:t>% par rapport au mois précédent. Cette variation est le résultat d</w:t>
      </w:r>
      <w:r>
        <w:rPr>
          <w:rFonts w:ascii="Arial" w:hAnsi="Arial" w:cs="Arial"/>
          <w:sz w:val="24"/>
          <w:szCs w:val="24"/>
        </w:rPr>
        <w:t xml:space="preserve">e la baisse </w:t>
      </w:r>
      <w:r w:rsidRPr="005662A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0,7</w:t>
      </w:r>
      <w:r w:rsidRPr="005662A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de la hausse de 0,3% de </w:t>
      </w:r>
      <w:r w:rsidRPr="00C954F8">
        <w:rPr>
          <w:rFonts w:ascii="Arial" w:hAnsi="Arial" w:cs="Arial"/>
          <w:sz w:val="24"/>
          <w:szCs w:val="24"/>
        </w:rPr>
        <w:t>l’indice des produits non alimentaires</w:t>
      </w:r>
      <w:r>
        <w:rPr>
          <w:rFonts w:ascii="Arial" w:hAnsi="Arial" w:cs="Arial"/>
          <w:sz w:val="24"/>
          <w:szCs w:val="24"/>
        </w:rPr>
        <w:t>.</w:t>
      </w:r>
    </w:p>
    <w:p w:rsidR="00CC5D9A" w:rsidRPr="004671FE" w:rsidRDefault="00CC5D9A" w:rsidP="00CC5D9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CC5D9A" w:rsidRPr="00166D20" w:rsidRDefault="00CC5D9A" w:rsidP="0083375D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>
        <w:rPr>
          <w:rFonts w:ascii="Arial" w:hAnsi="Arial" w:cs="Arial"/>
          <w:sz w:val="24"/>
          <w:szCs w:val="24"/>
        </w:rPr>
        <w:t>janvier et février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0E3762">
        <w:rPr>
          <w:rFonts w:ascii="Arial" w:hAnsi="Arial" w:cs="Arial"/>
          <w:sz w:val="24"/>
          <w:szCs w:val="24"/>
        </w:rPr>
        <w:t>les «</w:t>
      </w:r>
      <w:r>
        <w:rPr>
          <w:rFonts w:ascii="Arial" w:hAnsi="Arial" w:cs="Arial"/>
          <w:sz w:val="24"/>
          <w:szCs w:val="24"/>
        </w:rPr>
        <w:t>légumes</w:t>
      </w:r>
      <w:r w:rsidRPr="000E3762">
        <w:rPr>
          <w:rFonts w:ascii="Arial" w:hAnsi="Arial" w:cs="Arial"/>
          <w:sz w:val="24"/>
          <w:szCs w:val="24"/>
        </w:rPr>
        <w:t xml:space="preserve">» avec </w:t>
      </w:r>
      <w:r>
        <w:rPr>
          <w:rFonts w:ascii="Arial" w:hAnsi="Arial" w:cs="Arial"/>
          <w:sz w:val="24"/>
          <w:szCs w:val="24"/>
        </w:rPr>
        <w:t>4,8</w:t>
      </w:r>
      <w:r w:rsidRPr="000E3762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l</w:t>
      </w:r>
      <w:r w:rsidR="0083375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«viande</w:t>
      </w:r>
      <w:r w:rsidR="008337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» avec 1,3%. En revanche, les prix ont augmenté de 5,8% pour les «poissons et fruits de mer». </w:t>
      </w:r>
      <w:r w:rsidR="00EA4CBC">
        <w:rPr>
          <w:rFonts w:ascii="Arial" w:hAnsi="Arial" w:cs="Arial"/>
          <w:sz w:val="24"/>
          <w:szCs w:val="24"/>
        </w:rPr>
        <w:t>Pour les produits non alimentaires, la hausse a concerné principalement les carburants avec 5,</w:t>
      </w:r>
      <w:r w:rsidR="00A66CFB">
        <w:rPr>
          <w:rFonts w:ascii="Arial" w:hAnsi="Arial" w:cs="Arial"/>
          <w:sz w:val="24"/>
          <w:szCs w:val="24"/>
        </w:rPr>
        <w:t>6</w:t>
      </w:r>
      <w:r w:rsidR="00EA4CBC">
        <w:rPr>
          <w:rFonts w:ascii="Arial" w:hAnsi="Arial" w:cs="Arial"/>
          <w:sz w:val="24"/>
          <w:szCs w:val="24"/>
        </w:rPr>
        <w:t>%.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5D9A" w:rsidRPr="004671FE" w:rsidRDefault="00CC5D9A" w:rsidP="00CC5D9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C5D9A" w:rsidRPr="00C954F8" w:rsidRDefault="00CC5D9A" w:rsidP="00E11B9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0B6C75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>baisses</w:t>
      </w:r>
      <w:r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>
        <w:rPr>
          <w:rFonts w:ascii="Arial" w:hAnsi="Arial" w:cs="Arial"/>
          <w:sz w:val="24"/>
          <w:szCs w:val="24"/>
        </w:rPr>
        <w:t>Settat avec 1,0%, à Safi avec 0,7%, à Tanger avec 0,6% et</w:t>
      </w:r>
      <w:r w:rsidRPr="001B1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Meknès, Guelmim et </w:t>
      </w:r>
      <w:proofErr w:type="spellStart"/>
      <w:r>
        <w:rPr>
          <w:rFonts w:ascii="Arial" w:hAnsi="Arial" w:cs="Arial"/>
          <w:sz w:val="24"/>
          <w:szCs w:val="24"/>
        </w:rPr>
        <w:t>Beni</w:t>
      </w:r>
      <w:proofErr w:type="spellEnd"/>
      <w:r>
        <w:rPr>
          <w:rFonts w:ascii="Arial" w:hAnsi="Arial" w:cs="Arial"/>
          <w:sz w:val="24"/>
          <w:szCs w:val="24"/>
        </w:rPr>
        <w:t>-Mellal avec 0,5%</w:t>
      </w:r>
      <w:r w:rsidR="00E11B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11B9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revanche</w:t>
      </w:r>
      <w:r w:rsidR="00E11B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 hausses ont été enregistrées à Dakhla avec 0,4% et</w:t>
      </w:r>
      <w:r w:rsidRPr="00BF3A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Casablanca et Fès avec 0,2%.</w:t>
      </w:r>
    </w:p>
    <w:p w:rsidR="00CC5D9A" w:rsidRDefault="00CC5D9A" w:rsidP="00CC5D9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</w:rPr>
        <w:t>même mois de l’année précédente,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enregistré</w:t>
      </w:r>
      <w:r>
        <w:rPr>
          <w:rFonts w:ascii="Arial" w:hAnsi="Arial" w:cs="Arial"/>
          <w:sz w:val="24"/>
          <w:szCs w:val="24"/>
        </w:rPr>
        <w:t xml:space="preserve"> une hausse de 0,4%</w:t>
      </w:r>
      <w:r w:rsidRPr="00684F8E">
        <w:rPr>
          <w:rFonts w:ascii="Arial" w:hAnsi="Arial" w:cs="Arial"/>
          <w:sz w:val="24"/>
          <w:szCs w:val="24"/>
        </w:rPr>
        <w:t xml:space="preserve"> au cours du mois </w:t>
      </w:r>
      <w:r>
        <w:rPr>
          <w:rFonts w:ascii="Arial" w:hAnsi="Arial" w:cs="Arial"/>
          <w:sz w:val="24"/>
          <w:szCs w:val="24"/>
        </w:rPr>
        <w:t>de février</w:t>
      </w:r>
      <w:r w:rsidRPr="0016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Cette variation résulte de la </w:t>
      </w:r>
      <w:r>
        <w:rPr>
          <w:rFonts w:ascii="Arial" w:hAnsi="Arial" w:cs="Arial"/>
          <w:sz w:val="24"/>
          <w:szCs w:val="24"/>
        </w:rPr>
        <w:t>hausse</w:t>
      </w:r>
      <w:r w:rsidRPr="008D538D">
        <w:rPr>
          <w:rFonts w:ascii="Arial" w:hAnsi="Arial" w:cs="Arial"/>
          <w:sz w:val="24"/>
          <w:szCs w:val="24"/>
        </w:rPr>
        <w:t xml:space="preserve"> de l’indice des produits </w:t>
      </w:r>
      <w:r>
        <w:rPr>
          <w:rFonts w:ascii="Arial" w:hAnsi="Arial" w:cs="Arial"/>
          <w:sz w:val="24"/>
          <w:szCs w:val="24"/>
        </w:rPr>
        <w:t xml:space="preserve">non </w:t>
      </w:r>
      <w:r w:rsidRPr="008D538D">
        <w:rPr>
          <w:rFonts w:ascii="Arial" w:hAnsi="Arial" w:cs="Arial"/>
          <w:sz w:val="24"/>
          <w:szCs w:val="24"/>
        </w:rPr>
        <w:t xml:space="preserve">alimentaires de </w:t>
      </w:r>
      <w:r>
        <w:rPr>
          <w:rFonts w:ascii="Arial" w:hAnsi="Arial" w:cs="Arial"/>
          <w:sz w:val="24"/>
          <w:szCs w:val="24"/>
        </w:rPr>
        <w:t>1,4</w:t>
      </w:r>
      <w:r w:rsidRPr="008D538D">
        <w:rPr>
          <w:rFonts w:ascii="Arial" w:hAnsi="Arial" w:cs="Arial"/>
          <w:sz w:val="24"/>
          <w:szCs w:val="24"/>
        </w:rPr>
        <w:t>% et</w:t>
      </w:r>
      <w:r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 baisse de celui</w:t>
      </w:r>
      <w:r w:rsidRPr="008D538D">
        <w:rPr>
          <w:rFonts w:ascii="Arial" w:hAnsi="Arial" w:cs="Arial"/>
          <w:sz w:val="24"/>
          <w:szCs w:val="24"/>
        </w:rPr>
        <w:t xml:space="preserve"> des produits alimentaires de </w:t>
      </w:r>
      <w:r>
        <w:rPr>
          <w:rFonts w:ascii="Arial" w:hAnsi="Arial" w:cs="Arial"/>
          <w:sz w:val="24"/>
          <w:szCs w:val="24"/>
        </w:rPr>
        <w:t>0,8</w:t>
      </w:r>
      <w:r w:rsidRPr="008D538D">
        <w:rPr>
          <w:rFonts w:ascii="Arial" w:hAnsi="Arial" w:cs="Arial"/>
          <w:sz w:val="24"/>
          <w:szCs w:val="24"/>
        </w:rPr>
        <w:t>%.</w:t>
      </w:r>
      <w:r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>
        <w:rPr>
          <w:rFonts w:ascii="Arial" w:hAnsi="Arial" w:cs="Arial"/>
          <w:spacing w:val="-2"/>
          <w:sz w:val="24"/>
          <w:szCs w:val="24"/>
        </w:rPr>
        <w:t>9,0</w:t>
      </w:r>
      <w:r w:rsidRPr="006637DA">
        <w:rPr>
          <w:rFonts w:ascii="Arial" w:hAnsi="Arial" w:cs="Arial"/>
          <w:spacing w:val="-2"/>
          <w:sz w:val="24"/>
          <w:szCs w:val="24"/>
        </w:rPr>
        <w:t>% pour les «</w:t>
      </w:r>
      <w:r>
        <w:rPr>
          <w:rFonts w:ascii="Arial" w:hAnsi="Arial" w:cs="Arial"/>
          <w:spacing w:val="-2"/>
          <w:sz w:val="24"/>
          <w:szCs w:val="24"/>
        </w:rPr>
        <w:t>communications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>
        <w:rPr>
          <w:rFonts w:ascii="Arial" w:hAnsi="Arial" w:cs="Arial"/>
          <w:spacing w:val="-2"/>
          <w:sz w:val="24"/>
          <w:szCs w:val="24"/>
        </w:rPr>
        <w:t>3</w:t>
      </w:r>
      <w:r w:rsidRPr="006637DA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>5</w:t>
      </w:r>
      <w:r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CC5D9A" w:rsidRPr="004671FE" w:rsidRDefault="00CC5D9A" w:rsidP="00CC5D9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E579A" w:rsidRPr="00F73549" w:rsidRDefault="00CC5D9A" w:rsidP="00F7354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F73549">
        <w:rPr>
          <w:rFonts w:ascii="Arial" w:hAnsi="Arial" w:cs="Arial"/>
          <w:sz w:val="24"/>
          <w:szCs w:val="24"/>
        </w:rPr>
        <w:t xml:space="preserve">Dans ces conditions, l’indicateur d’inflation sous-jacente, qui exclut les produits à prix volatiles et les produits à tarifs publics, aurait connu au cours du mois de février 2014 une </w:t>
      </w:r>
      <w:r w:rsidR="00F73549">
        <w:rPr>
          <w:rFonts w:ascii="Arial" w:hAnsi="Arial" w:cs="Arial"/>
          <w:sz w:val="24"/>
          <w:szCs w:val="24"/>
        </w:rPr>
        <w:t xml:space="preserve">baisse de </w:t>
      </w:r>
      <w:r w:rsidRPr="00F73549">
        <w:rPr>
          <w:rFonts w:ascii="Arial" w:hAnsi="Arial" w:cs="Arial"/>
          <w:sz w:val="24"/>
          <w:szCs w:val="24"/>
        </w:rPr>
        <w:t xml:space="preserve">0,3% par rapport au mois de janvier 2014 et une hausse de </w:t>
      </w:r>
      <w:r w:rsidR="00F73549">
        <w:rPr>
          <w:rFonts w:ascii="Arial" w:hAnsi="Arial" w:cs="Arial"/>
          <w:sz w:val="24"/>
          <w:szCs w:val="24"/>
        </w:rPr>
        <w:t>0</w:t>
      </w:r>
      <w:r w:rsidRPr="00F73549">
        <w:rPr>
          <w:rFonts w:ascii="Arial" w:hAnsi="Arial" w:cs="Arial"/>
          <w:sz w:val="24"/>
          <w:szCs w:val="24"/>
        </w:rPr>
        <w:t>,</w:t>
      </w:r>
      <w:r w:rsidR="00F73549">
        <w:rPr>
          <w:rFonts w:ascii="Arial" w:hAnsi="Arial" w:cs="Arial"/>
          <w:sz w:val="24"/>
          <w:szCs w:val="24"/>
        </w:rPr>
        <w:t>9</w:t>
      </w:r>
      <w:r w:rsidRPr="00F73549">
        <w:rPr>
          <w:rFonts w:ascii="Arial" w:hAnsi="Arial" w:cs="Arial"/>
          <w:sz w:val="24"/>
          <w:szCs w:val="24"/>
        </w:rPr>
        <w:t>% par rapport au mois de février 2013</w:t>
      </w:r>
      <w:r w:rsidR="00F73549" w:rsidRPr="00F73549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DF0859" w:rsidRDefault="00DF0859" w:rsidP="00DF085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>ES PRIX A LA CONSOMMATION</w:t>
      </w:r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9E579A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41832" w:rsidRPr="00402008" w:rsidTr="005256E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41832" w:rsidRPr="00402008" w:rsidRDefault="00941832" w:rsidP="009418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41832" w:rsidRPr="00324B4E" w:rsidRDefault="00941832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34373C" w:rsidRPr="00402008" w:rsidTr="005256E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4373C" w:rsidRPr="00402008" w:rsidRDefault="0034373C" w:rsidP="00941832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4E5BEE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Janvier 201</w:t>
            </w:r>
            <w:r w:rsidR="00CC5D9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4E5BEE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</w:t>
            </w:r>
            <w:r w:rsidR="00CC5D9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324B4E" w:rsidRDefault="0034373C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 w:rsidR="00CB64C1"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6F50CE" w:rsidRPr="00402008" w:rsidTr="00D30CEB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32411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D30CEB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941832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402008" w:rsidRPr="00402008" w:rsidRDefault="00402008" w:rsidP="00941832">
      <w:pPr>
        <w:jc w:val="right"/>
        <w:rPr>
          <w:rFonts w:cs="Times New Roman"/>
          <w:spacing w:val="-2"/>
          <w:sz w:val="18"/>
          <w:u w:val="single"/>
        </w:rPr>
      </w:pPr>
    </w:p>
    <w:p w:rsidR="00402008" w:rsidRPr="00402008" w:rsidRDefault="00402008" w:rsidP="00402008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</w:t>
      </w:r>
      <w:r w:rsidR="0092171D">
        <w:rPr>
          <w:rFonts w:cs="Times New Roman"/>
          <w:b/>
          <w:i/>
          <w:spacing w:val="-2"/>
        </w:rPr>
        <w:t xml:space="preserve"> </w:t>
      </w:r>
      <w:r w:rsidRPr="00402008">
        <w:rPr>
          <w:rFonts w:cs="Times New Roman"/>
          <w:b/>
          <w:i/>
          <w:spacing w:val="-2"/>
        </w:rPr>
        <w:t xml:space="preserve"> 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1D69C8" w:rsidRPr="00402008" w:rsidTr="005256E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5256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4E5BEE">
              <w:rPr>
                <w:rFonts w:cs="Times New Roman"/>
                <w:b/>
                <w:bCs/>
              </w:rPr>
              <w:t>deux</w:t>
            </w:r>
            <w:r w:rsidRPr="00D23C2D">
              <w:rPr>
                <w:rFonts w:cs="Times New Roman"/>
                <w:b/>
                <w:bCs/>
              </w:rPr>
              <w:t xml:space="preserve"> premiers mois</w:t>
            </w:r>
          </w:p>
        </w:tc>
      </w:tr>
      <w:tr w:rsidR="004E5BEE" w:rsidRPr="00402008" w:rsidTr="00BB4694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E5BEE" w:rsidRPr="00402008" w:rsidRDefault="004E5BEE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BEE" w:rsidRPr="00324B4E" w:rsidRDefault="004E5BEE" w:rsidP="00CC5D9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Février </w:t>
            </w:r>
            <w:r w:rsidR="00197915">
              <w:rPr>
                <w:rFonts w:cs="Times New Roman"/>
                <w:b/>
                <w:bCs/>
              </w:rPr>
              <w:t>201</w:t>
            </w:r>
            <w:r w:rsidR="00CC5D9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E5BEE" w:rsidRPr="00324B4E" w:rsidRDefault="004E5BEE" w:rsidP="00CC5D9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</w:t>
            </w:r>
            <w:r w:rsidR="00CC5D9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BB46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BB46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FF6B57">
              <w:rPr>
                <w:rFonts w:cs="Times New Roman"/>
                <w:b/>
                <w:bCs/>
              </w:rPr>
              <w:t>1</w:t>
            </w:r>
            <w:r w:rsidR="00CC5D9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197915" w:rsidP="00BB469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C5D9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E5BEE" w:rsidRPr="00793709" w:rsidRDefault="004E5BEE" w:rsidP="00BB469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6F50CE" w:rsidRPr="00402008" w:rsidTr="00D30CE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F50CE" w:rsidRPr="00402008" w:rsidTr="00D30C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6F50CE" w:rsidRPr="00402008" w:rsidTr="00D30CE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6F50CE" w:rsidRPr="00402008" w:rsidTr="00D30CEB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50CE" w:rsidRPr="00402008" w:rsidRDefault="006F50CE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D30C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9E579A" w:rsidRDefault="009E579A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8D538D" w:rsidRDefault="008D538D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E579A" w:rsidRPr="004671FE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DES PRIX A LA CONSOMMATION</w:t>
      </w:r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 w:rsidTr="0002375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D74603" w:rsidP="004E5BE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4E5BEE">
              <w:rPr>
                <w:rFonts w:cs="Times New Roman"/>
                <w:b/>
                <w:bCs/>
                <w:sz w:val="24"/>
                <w:szCs w:val="24"/>
              </w:rPr>
              <w:t>deux</w:t>
            </w:r>
            <w:r w:rsidR="001F5B23"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34373C" w:rsidRPr="00402008" w:rsidTr="00BB469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4373C" w:rsidRPr="00402008" w:rsidRDefault="0034373C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4E5BEE" w:rsidP="00CC5D9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Janvier</w:t>
            </w:r>
            <w:r w:rsidR="009D6DE3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34373C"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34373C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C5D9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4373C" w:rsidRPr="00DB00D9" w:rsidRDefault="004E5BEE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 201</w:t>
            </w:r>
            <w:r w:rsidR="00CC5D9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DB00D9" w:rsidRDefault="0034373C" w:rsidP="00BB46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DB00D9" w:rsidRDefault="0034373C" w:rsidP="00BB46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FF6B57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C5D9A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DB00D9" w:rsidRDefault="00197915" w:rsidP="00BB46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C5D9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4373C" w:rsidRPr="00DB00D9" w:rsidRDefault="0034373C" w:rsidP="00BB469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F50CE" w:rsidRPr="00402008" w:rsidTr="006F50CE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Casablanca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F50CE" w:rsidRPr="00402008" w:rsidTr="006F50CE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F50CE" w:rsidRPr="00402008" w:rsidTr="006F50CE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6F50CE" w:rsidRPr="00402008" w:rsidTr="006F50CE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Pr="00402008" w:rsidRDefault="006F50CE" w:rsidP="006F50CE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50CE" w:rsidRDefault="006F50CE" w:rsidP="006F50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DB00D9" w:rsidRDefault="009E579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9E579A" w:rsidRPr="004671FE" w:rsidRDefault="00DB00D9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p w:rsidR="009E579A" w:rsidRPr="00DB00D9" w:rsidRDefault="009E579A">
      <w:pPr>
        <w:jc w:val="right"/>
        <w:rPr>
          <w:rFonts w:ascii="Arial" w:hAnsi="Arial" w:cs="Arial"/>
          <w:b/>
          <w:i/>
          <w:sz w:val="24"/>
        </w:rPr>
      </w:pP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A8" w:rsidRDefault="00DD7FA8">
      <w:pPr>
        <w:jc w:val="right"/>
      </w:pPr>
      <w:r>
        <w:separator/>
      </w:r>
    </w:p>
  </w:endnote>
  <w:endnote w:type="continuationSeparator" w:id="0">
    <w:p w:rsidR="00DD7FA8" w:rsidRDefault="00DD7FA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A8" w:rsidRDefault="00DD7FA8">
      <w:pPr>
        <w:jc w:val="right"/>
      </w:pPr>
      <w:r>
        <w:separator/>
      </w:r>
    </w:p>
  </w:footnote>
  <w:footnote w:type="continuationSeparator" w:id="0">
    <w:p w:rsidR="00DD7FA8" w:rsidRDefault="00DD7FA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14A7D"/>
    <w:rsid w:val="00015B58"/>
    <w:rsid w:val="00020A71"/>
    <w:rsid w:val="000224A5"/>
    <w:rsid w:val="000232FA"/>
    <w:rsid w:val="00023754"/>
    <w:rsid w:val="00027809"/>
    <w:rsid w:val="00030CA7"/>
    <w:rsid w:val="0003571B"/>
    <w:rsid w:val="000420CB"/>
    <w:rsid w:val="000427D0"/>
    <w:rsid w:val="000430BB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9125C"/>
    <w:rsid w:val="00093234"/>
    <w:rsid w:val="00094B65"/>
    <w:rsid w:val="000A0EAC"/>
    <w:rsid w:val="000A668B"/>
    <w:rsid w:val="000A7C14"/>
    <w:rsid w:val="000B1E72"/>
    <w:rsid w:val="000B3B58"/>
    <w:rsid w:val="000B492F"/>
    <w:rsid w:val="000B54DB"/>
    <w:rsid w:val="000B6311"/>
    <w:rsid w:val="000B6C75"/>
    <w:rsid w:val="000C522D"/>
    <w:rsid w:val="000D26CA"/>
    <w:rsid w:val="000D7448"/>
    <w:rsid w:val="000E3762"/>
    <w:rsid w:val="0010193B"/>
    <w:rsid w:val="0010600E"/>
    <w:rsid w:val="00106C4B"/>
    <w:rsid w:val="00107771"/>
    <w:rsid w:val="00107799"/>
    <w:rsid w:val="00110803"/>
    <w:rsid w:val="00113647"/>
    <w:rsid w:val="001156AE"/>
    <w:rsid w:val="00115C8F"/>
    <w:rsid w:val="00116F51"/>
    <w:rsid w:val="00120A05"/>
    <w:rsid w:val="00123E4D"/>
    <w:rsid w:val="00133549"/>
    <w:rsid w:val="00136986"/>
    <w:rsid w:val="00145010"/>
    <w:rsid w:val="001455FD"/>
    <w:rsid w:val="00147E22"/>
    <w:rsid w:val="001664C7"/>
    <w:rsid w:val="00166D20"/>
    <w:rsid w:val="00170F76"/>
    <w:rsid w:val="00173A84"/>
    <w:rsid w:val="0017468D"/>
    <w:rsid w:val="001861C2"/>
    <w:rsid w:val="0018783E"/>
    <w:rsid w:val="0019261B"/>
    <w:rsid w:val="001963BD"/>
    <w:rsid w:val="0019769A"/>
    <w:rsid w:val="00197915"/>
    <w:rsid w:val="001A0455"/>
    <w:rsid w:val="001A4BD1"/>
    <w:rsid w:val="001A56D7"/>
    <w:rsid w:val="001A7DEF"/>
    <w:rsid w:val="001B1D44"/>
    <w:rsid w:val="001C391E"/>
    <w:rsid w:val="001C4D7B"/>
    <w:rsid w:val="001D0A49"/>
    <w:rsid w:val="001D69C8"/>
    <w:rsid w:val="001E017E"/>
    <w:rsid w:val="001F0BCC"/>
    <w:rsid w:val="001F0ECC"/>
    <w:rsid w:val="001F3BB0"/>
    <w:rsid w:val="001F441C"/>
    <w:rsid w:val="001F4D4B"/>
    <w:rsid w:val="001F5B23"/>
    <w:rsid w:val="001F6587"/>
    <w:rsid w:val="00203795"/>
    <w:rsid w:val="00204FA2"/>
    <w:rsid w:val="00207251"/>
    <w:rsid w:val="002078F2"/>
    <w:rsid w:val="00214B22"/>
    <w:rsid w:val="002174B9"/>
    <w:rsid w:val="002210F0"/>
    <w:rsid w:val="00221ABF"/>
    <w:rsid w:val="00221CE0"/>
    <w:rsid w:val="002264CF"/>
    <w:rsid w:val="00227A67"/>
    <w:rsid w:val="00231EE6"/>
    <w:rsid w:val="00235E10"/>
    <w:rsid w:val="00237E67"/>
    <w:rsid w:val="00242B30"/>
    <w:rsid w:val="002536D6"/>
    <w:rsid w:val="00260C05"/>
    <w:rsid w:val="00264881"/>
    <w:rsid w:val="00264CB6"/>
    <w:rsid w:val="00272F23"/>
    <w:rsid w:val="00275643"/>
    <w:rsid w:val="002807A5"/>
    <w:rsid w:val="00297BF3"/>
    <w:rsid w:val="002A1D3B"/>
    <w:rsid w:val="002B1052"/>
    <w:rsid w:val="002B1996"/>
    <w:rsid w:val="002B3456"/>
    <w:rsid w:val="002B3777"/>
    <w:rsid w:val="002B5114"/>
    <w:rsid w:val="002C1791"/>
    <w:rsid w:val="002D01D6"/>
    <w:rsid w:val="002D0CC6"/>
    <w:rsid w:val="002D5B8E"/>
    <w:rsid w:val="002D5F73"/>
    <w:rsid w:val="002E162B"/>
    <w:rsid w:val="002E7663"/>
    <w:rsid w:val="002F7AB3"/>
    <w:rsid w:val="00303A54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22B1"/>
    <w:rsid w:val="0035716A"/>
    <w:rsid w:val="00357388"/>
    <w:rsid w:val="00364714"/>
    <w:rsid w:val="00364F39"/>
    <w:rsid w:val="0036648A"/>
    <w:rsid w:val="00366DF6"/>
    <w:rsid w:val="003753A1"/>
    <w:rsid w:val="003769B3"/>
    <w:rsid w:val="0038242C"/>
    <w:rsid w:val="00382D7A"/>
    <w:rsid w:val="0038345A"/>
    <w:rsid w:val="003842C3"/>
    <w:rsid w:val="003907B8"/>
    <w:rsid w:val="00395EB9"/>
    <w:rsid w:val="003A2C52"/>
    <w:rsid w:val="003A6FBC"/>
    <w:rsid w:val="003A7961"/>
    <w:rsid w:val="003B4A5D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E1B9B"/>
    <w:rsid w:val="003E58D5"/>
    <w:rsid w:val="00402008"/>
    <w:rsid w:val="0040576C"/>
    <w:rsid w:val="00410156"/>
    <w:rsid w:val="0041282A"/>
    <w:rsid w:val="004129CE"/>
    <w:rsid w:val="004155AD"/>
    <w:rsid w:val="00417A51"/>
    <w:rsid w:val="004215B1"/>
    <w:rsid w:val="00425190"/>
    <w:rsid w:val="004426D7"/>
    <w:rsid w:val="00445415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84778"/>
    <w:rsid w:val="00490020"/>
    <w:rsid w:val="00490051"/>
    <w:rsid w:val="0049147A"/>
    <w:rsid w:val="00494AE2"/>
    <w:rsid w:val="00495FA7"/>
    <w:rsid w:val="004A0835"/>
    <w:rsid w:val="004A5950"/>
    <w:rsid w:val="004A6F3D"/>
    <w:rsid w:val="004B1AD8"/>
    <w:rsid w:val="004B4243"/>
    <w:rsid w:val="004C3747"/>
    <w:rsid w:val="004C68D9"/>
    <w:rsid w:val="004D073B"/>
    <w:rsid w:val="004D4D08"/>
    <w:rsid w:val="004D530C"/>
    <w:rsid w:val="004D6827"/>
    <w:rsid w:val="004D7AAA"/>
    <w:rsid w:val="004E1A35"/>
    <w:rsid w:val="004E5BEE"/>
    <w:rsid w:val="004E6BE0"/>
    <w:rsid w:val="004F1EE3"/>
    <w:rsid w:val="005046D7"/>
    <w:rsid w:val="00506CE4"/>
    <w:rsid w:val="005102F3"/>
    <w:rsid w:val="00510635"/>
    <w:rsid w:val="0051173A"/>
    <w:rsid w:val="00511AA6"/>
    <w:rsid w:val="005134F4"/>
    <w:rsid w:val="00514BD2"/>
    <w:rsid w:val="005256EA"/>
    <w:rsid w:val="00530F25"/>
    <w:rsid w:val="00531D7B"/>
    <w:rsid w:val="00532936"/>
    <w:rsid w:val="00534535"/>
    <w:rsid w:val="00535DD6"/>
    <w:rsid w:val="005360AD"/>
    <w:rsid w:val="00536113"/>
    <w:rsid w:val="00536A43"/>
    <w:rsid w:val="00541606"/>
    <w:rsid w:val="00545FD9"/>
    <w:rsid w:val="00550163"/>
    <w:rsid w:val="00551B51"/>
    <w:rsid w:val="00557AC8"/>
    <w:rsid w:val="005603ED"/>
    <w:rsid w:val="005662A0"/>
    <w:rsid w:val="00585FE6"/>
    <w:rsid w:val="0058648A"/>
    <w:rsid w:val="0058777F"/>
    <w:rsid w:val="00595F54"/>
    <w:rsid w:val="00596978"/>
    <w:rsid w:val="0059722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E6160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9EE"/>
    <w:rsid w:val="00631454"/>
    <w:rsid w:val="00631D9B"/>
    <w:rsid w:val="006431D6"/>
    <w:rsid w:val="00643FA2"/>
    <w:rsid w:val="00647467"/>
    <w:rsid w:val="006478E1"/>
    <w:rsid w:val="00651B2C"/>
    <w:rsid w:val="006637DA"/>
    <w:rsid w:val="00671C5B"/>
    <w:rsid w:val="00674936"/>
    <w:rsid w:val="006760EB"/>
    <w:rsid w:val="006805D4"/>
    <w:rsid w:val="006841BA"/>
    <w:rsid w:val="0068484F"/>
    <w:rsid w:val="00684F8E"/>
    <w:rsid w:val="006858C8"/>
    <w:rsid w:val="00685E09"/>
    <w:rsid w:val="00686B5B"/>
    <w:rsid w:val="00692619"/>
    <w:rsid w:val="00693459"/>
    <w:rsid w:val="00695137"/>
    <w:rsid w:val="006A3E02"/>
    <w:rsid w:val="006A7CDB"/>
    <w:rsid w:val="006B13BA"/>
    <w:rsid w:val="006B659E"/>
    <w:rsid w:val="006C22F6"/>
    <w:rsid w:val="006C2E19"/>
    <w:rsid w:val="006C3700"/>
    <w:rsid w:val="006C79AE"/>
    <w:rsid w:val="006D0B82"/>
    <w:rsid w:val="006D1328"/>
    <w:rsid w:val="006D58C3"/>
    <w:rsid w:val="006D7752"/>
    <w:rsid w:val="006E0F8A"/>
    <w:rsid w:val="006E4846"/>
    <w:rsid w:val="006E72E9"/>
    <w:rsid w:val="006F50CE"/>
    <w:rsid w:val="0070458A"/>
    <w:rsid w:val="00706C44"/>
    <w:rsid w:val="0071595A"/>
    <w:rsid w:val="007160BC"/>
    <w:rsid w:val="007221D9"/>
    <w:rsid w:val="0072267E"/>
    <w:rsid w:val="007239CF"/>
    <w:rsid w:val="00723DA8"/>
    <w:rsid w:val="00725406"/>
    <w:rsid w:val="00726AAD"/>
    <w:rsid w:val="00731560"/>
    <w:rsid w:val="007329CC"/>
    <w:rsid w:val="00733DD1"/>
    <w:rsid w:val="00741AC5"/>
    <w:rsid w:val="0074536A"/>
    <w:rsid w:val="007458BF"/>
    <w:rsid w:val="00751473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91D94"/>
    <w:rsid w:val="00793709"/>
    <w:rsid w:val="00793B5C"/>
    <w:rsid w:val="00793BC6"/>
    <w:rsid w:val="00797F4E"/>
    <w:rsid w:val="007A05AA"/>
    <w:rsid w:val="007A4E1B"/>
    <w:rsid w:val="007B1FF5"/>
    <w:rsid w:val="007B29DC"/>
    <w:rsid w:val="007B663F"/>
    <w:rsid w:val="007C092E"/>
    <w:rsid w:val="007C540E"/>
    <w:rsid w:val="007D1A34"/>
    <w:rsid w:val="007D2A04"/>
    <w:rsid w:val="007E1D8F"/>
    <w:rsid w:val="007E2139"/>
    <w:rsid w:val="007E2F92"/>
    <w:rsid w:val="007F1A78"/>
    <w:rsid w:val="007F53EA"/>
    <w:rsid w:val="00803EFD"/>
    <w:rsid w:val="00804466"/>
    <w:rsid w:val="008058AF"/>
    <w:rsid w:val="0080741D"/>
    <w:rsid w:val="0080741E"/>
    <w:rsid w:val="00807671"/>
    <w:rsid w:val="00810F09"/>
    <w:rsid w:val="00815977"/>
    <w:rsid w:val="00824895"/>
    <w:rsid w:val="008256AE"/>
    <w:rsid w:val="00825810"/>
    <w:rsid w:val="00827A62"/>
    <w:rsid w:val="00833443"/>
    <w:rsid w:val="0083375D"/>
    <w:rsid w:val="008352EE"/>
    <w:rsid w:val="00837511"/>
    <w:rsid w:val="00837CFE"/>
    <w:rsid w:val="00842948"/>
    <w:rsid w:val="008468E2"/>
    <w:rsid w:val="008631BC"/>
    <w:rsid w:val="008634FB"/>
    <w:rsid w:val="008704B4"/>
    <w:rsid w:val="00871931"/>
    <w:rsid w:val="00873925"/>
    <w:rsid w:val="0087654A"/>
    <w:rsid w:val="00876BBB"/>
    <w:rsid w:val="008841C6"/>
    <w:rsid w:val="00884FE7"/>
    <w:rsid w:val="008928BB"/>
    <w:rsid w:val="0089676C"/>
    <w:rsid w:val="00897ACC"/>
    <w:rsid w:val="00897ACE"/>
    <w:rsid w:val="008A253C"/>
    <w:rsid w:val="008A3E1F"/>
    <w:rsid w:val="008B2828"/>
    <w:rsid w:val="008B4030"/>
    <w:rsid w:val="008B6C05"/>
    <w:rsid w:val="008B6DA0"/>
    <w:rsid w:val="008C4A68"/>
    <w:rsid w:val="008C61F0"/>
    <w:rsid w:val="008D0BD0"/>
    <w:rsid w:val="008D0CB1"/>
    <w:rsid w:val="008D538D"/>
    <w:rsid w:val="008D78DC"/>
    <w:rsid w:val="008E72E7"/>
    <w:rsid w:val="008F02D3"/>
    <w:rsid w:val="008F1073"/>
    <w:rsid w:val="009063FE"/>
    <w:rsid w:val="00906BE5"/>
    <w:rsid w:val="00912AC8"/>
    <w:rsid w:val="00913EC2"/>
    <w:rsid w:val="009141FB"/>
    <w:rsid w:val="009164CC"/>
    <w:rsid w:val="0092171D"/>
    <w:rsid w:val="00923CA4"/>
    <w:rsid w:val="00927498"/>
    <w:rsid w:val="00931557"/>
    <w:rsid w:val="00931C2D"/>
    <w:rsid w:val="00932C5C"/>
    <w:rsid w:val="00933D29"/>
    <w:rsid w:val="00934BF8"/>
    <w:rsid w:val="00936A7A"/>
    <w:rsid w:val="00940573"/>
    <w:rsid w:val="0094141D"/>
    <w:rsid w:val="00941832"/>
    <w:rsid w:val="009456AC"/>
    <w:rsid w:val="00946E5C"/>
    <w:rsid w:val="00946FAC"/>
    <w:rsid w:val="00950152"/>
    <w:rsid w:val="009550CF"/>
    <w:rsid w:val="00963EC0"/>
    <w:rsid w:val="009644E8"/>
    <w:rsid w:val="009651D7"/>
    <w:rsid w:val="00965691"/>
    <w:rsid w:val="00966BCC"/>
    <w:rsid w:val="009671C2"/>
    <w:rsid w:val="00976561"/>
    <w:rsid w:val="009770CE"/>
    <w:rsid w:val="00980C50"/>
    <w:rsid w:val="00983A79"/>
    <w:rsid w:val="00985628"/>
    <w:rsid w:val="00985D48"/>
    <w:rsid w:val="00986A42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D0381"/>
    <w:rsid w:val="009D4403"/>
    <w:rsid w:val="009D6DE3"/>
    <w:rsid w:val="009E04ED"/>
    <w:rsid w:val="009E4869"/>
    <w:rsid w:val="009E579A"/>
    <w:rsid w:val="009E6FA1"/>
    <w:rsid w:val="009F03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50D1"/>
    <w:rsid w:val="00A26D98"/>
    <w:rsid w:val="00A27AB8"/>
    <w:rsid w:val="00A33195"/>
    <w:rsid w:val="00A35647"/>
    <w:rsid w:val="00A41B6B"/>
    <w:rsid w:val="00A45009"/>
    <w:rsid w:val="00A457E3"/>
    <w:rsid w:val="00A52A4D"/>
    <w:rsid w:val="00A55354"/>
    <w:rsid w:val="00A6140A"/>
    <w:rsid w:val="00A66337"/>
    <w:rsid w:val="00A66CFB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285F"/>
    <w:rsid w:val="00AA54C5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537"/>
    <w:rsid w:val="00AD79C5"/>
    <w:rsid w:val="00AE1862"/>
    <w:rsid w:val="00AE30B1"/>
    <w:rsid w:val="00AE3C81"/>
    <w:rsid w:val="00AE6503"/>
    <w:rsid w:val="00AE6F27"/>
    <w:rsid w:val="00AF2565"/>
    <w:rsid w:val="00B00101"/>
    <w:rsid w:val="00B018A5"/>
    <w:rsid w:val="00B02D1F"/>
    <w:rsid w:val="00B02DEE"/>
    <w:rsid w:val="00B04562"/>
    <w:rsid w:val="00B11F61"/>
    <w:rsid w:val="00B15B3E"/>
    <w:rsid w:val="00B25CC3"/>
    <w:rsid w:val="00B342DB"/>
    <w:rsid w:val="00B35819"/>
    <w:rsid w:val="00B35862"/>
    <w:rsid w:val="00B513F0"/>
    <w:rsid w:val="00B52843"/>
    <w:rsid w:val="00B54F88"/>
    <w:rsid w:val="00B60B25"/>
    <w:rsid w:val="00B63B34"/>
    <w:rsid w:val="00B71D28"/>
    <w:rsid w:val="00B73678"/>
    <w:rsid w:val="00B74B81"/>
    <w:rsid w:val="00B801E1"/>
    <w:rsid w:val="00B85846"/>
    <w:rsid w:val="00B95B27"/>
    <w:rsid w:val="00B96E81"/>
    <w:rsid w:val="00B97493"/>
    <w:rsid w:val="00BA06E5"/>
    <w:rsid w:val="00BA1360"/>
    <w:rsid w:val="00BA546E"/>
    <w:rsid w:val="00BB4694"/>
    <w:rsid w:val="00BB4937"/>
    <w:rsid w:val="00BB5E51"/>
    <w:rsid w:val="00BC7457"/>
    <w:rsid w:val="00BD2912"/>
    <w:rsid w:val="00BD3937"/>
    <w:rsid w:val="00BD4491"/>
    <w:rsid w:val="00BE4A2E"/>
    <w:rsid w:val="00BE5F43"/>
    <w:rsid w:val="00BF6F68"/>
    <w:rsid w:val="00BF7D2F"/>
    <w:rsid w:val="00C01A86"/>
    <w:rsid w:val="00C0404A"/>
    <w:rsid w:val="00C05306"/>
    <w:rsid w:val="00C1000E"/>
    <w:rsid w:val="00C16852"/>
    <w:rsid w:val="00C170C8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69C3"/>
    <w:rsid w:val="00C87218"/>
    <w:rsid w:val="00C94466"/>
    <w:rsid w:val="00C94B57"/>
    <w:rsid w:val="00C954F8"/>
    <w:rsid w:val="00CA0D32"/>
    <w:rsid w:val="00CB0CC5"/>
    <w:rsid w:val="00CB26DD"/>
    <w:rsid w:val="00CB31D2"/>
    <w:rsid w:val="00CB3F6B"/>
    <w:rsid w:val="00CB46B9"/>
    <w:rsid w:val="00CB5804"/>
    <w:rsid w:val="00CB581B"/>
    <w:rsid w:val="00CB64C1"/>
    <w:rsid w:val="00CC449B"/>
    <w:rsid w:val="00CC5D9A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0CEB"/>
    <w:rsid w:val="00D31E09"/>
    <w:rsid w:val="00D33618"/>
    <w:rsid w:val="00D3688C"/>
    <w:rsid w:val="00D407EC"/>
    <w:rsid w:val="00D429B8"/>
    <w:rsid w:val="00D429D1"/>
    <w:rsid w:val="00D44DD5"/>
    <w:rsid w:val="00D4500C"/>
    <w:rsid w:val="00D467CE"/>
    <w:rsid w:val="00D52DA1"/>
    <w:rsid w:val="00D52FCA"/>
    <w:rsid w:val="00D542A3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7FA8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1B9E"/>
    <w:rsid w:val="00E12263"/>
    <w:rsid w:val="00E16497"/>
    <w:rsid w:val="00E16595"/>
    <w:rsid w:val="00E16609"/>
    <w:rsid w:val="00E2022D"/>
    <w:rsid w:val="00E22226"/>
    <w:rsid w:val="00E226D9"/>
    <w:rsid w:val="00E23BF7"/>
    <w:rsid w:val="00E24032"/>
    <w:rsid w:val="00E31F18"/>
    <w:rsid w:val="00E32578"/>
    <w:rsid w:val="00E42981"/>
    <w:rsid w:val="00E46DC7"/>
    <w:rsid w:val="00E55937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4044"/>
    <w:rsid w:val="00E9556F"/>
    <w:rsid w:val="00EA074E"/>
    <w:rsid w:val="00EA433C"/>
    <w:rsid w:val="00EA4CBC"/>
    <w:rsid w:val="00EA539E"/>
    <w:rsid w:val="00EA61D7"/>
    <w:rsid w:val="00EB1444"/>
    <w:rsid w:val="00EB1BEE"/>
    <w:rsid w:val="00EB3BE2"/>
    <w:rsid w:val="00EB7DCF"/>
    <w:rsid w:val="00EC05DE"/>
    <w:rsid w:val="00ED3739"/>
    <w:rsid w:val="00ED4485"/>
    <w:rsid w:val="00ED4765"/>
    <w:rsid w:val="00EE49CF"/>
    <w:rsid w:val="00EE4C97"/>
    <w:rsid w:val="00EF0D18"/>
    <w:rsid w:val="00EF13C2"/>
    <w:rsid w:val="00EF1697"/>
    <w:rsid w:val="00EF4241"/>
    <w:rsid w:val="00EF48B9"/>
    <w:rsid w:val="00EF7E26"/>
    <w:rsid w:val="00F01C81"/>
    <w:rsid w:val="00F10BFB"/>
    <w:rsid w:val="00F233C3"/>
    <w:rsid w:val="00F241E1"/>
    <w:rsid w:val="00F2611F"/>
    <w:rsid w:val="00F27640"/>
    <w:rsid w:val="00F33C49"/>
    <w:rsid w:val="00F35181"/>
    <w:rsid w:val="00F3730C"/>
    <w:rsid w:val="00F65C05"/>
    <w:rsid w:val="00F72976"/>
    <w:rsid w:val="00F73549"/>
    <w:rsid w:val="00F74497"/>
    <w:rsid w:val="00F75AFE"/>
    <w:rsid w:val="00F800C4"/>
    <w:rsid w:val="00F80775"/>
    <w:rsid w:val="00F80D6C"/>
    <w:rsid w:val="00F83D43"/>
    <w:rsid w:val="00F866F5"/>
    <w:rsid w:val="00F90071"/>
    <w:rsid w:val="00F93863"/>
    <w:rsid w:val="00F93BA8"/>
    <w:rsid w:val="00F94C03"/>
    <w:rsid w:val="00FA06B4"/>
    <w:rsid w:val="00FA0F63"/>
    <w:rsid w:val="00FA53D4"/>
    <w:rsid w:val="00FA58FA"/>
    <w:rsid w:val="00FB203D"/>
    <w:rsid w:val="00FB2E59"/>
    <w:rsid w:val="00FB4C8C"/>
    <w:rsid w:val="00FB6A72"/>
    <w:rsid w:val="00FD68D9"/>
    <w:rsid w:val="00FD6DB8"/>
    <w:rsid w:val="00FE15A6"/>
    <w:rsid w:val="00FE3C5D"/>
    <w:rsid w:val="00FF53DC"/>
    <w:rsid w:val="00FF56E7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5A1A-BE7D-445D-A1A3-BFB1F8B2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800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2011-03-16T14:57:00Z</cp:lastPrinted>
  <dcterms:created xsi:type="dcterms:W3CDTF">2014-03-20T21:33:00Z</dcterms:created>
  <dcterms:modified xsi:type="dcterms:W3CDTF">2014-03-21T02:37:00Z</dcterms:modified>
</cp:coreProperties>
</file>