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0B7846" w:rsidRPr="004671FE" w:rsidRDefault="000B7846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8075F6" w:rsidRDefault="005B6947" w:rsidP="003D5304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</w:rPr>
        <w:t xml:space="preserve">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A31B97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A31B9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4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934846" w:rsidP="00741886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7958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due </w:t>
      </w:r>
      <w:r w:rsidR="006D0B8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principalement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à 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une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</w:t>
      </w:r>
      <w:r w:rsidR="0059722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6568B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poissons et fruits de mer de </w:t>
      </w:r>
      <w:r w:rsidR="007958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7958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76730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7958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du café, thé et cacao de 1,9% et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</w:t>
      </w:r>
      <w:r w:rsidR="0074188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légumes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7958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74188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L’indicateur d’inflation sous-jacente en hausse de 0,</w:t>
      </w:r>
      <w:r w:rsidR="00850D8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 mois et de 1,</w:t>
      </w:r>
      <w:r w:rsidR="00850D8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9054B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79589A">
        <w:rPr>
          <w:rFonts w:ascii="Arial" w:hAnsi="Arial" w:cs="Arial"/>
          <w:sz w:val="24"/>
          <w:szCs w:val="24"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934846">
        <w:rPr>
          <w:rFonts w:ascii="Arial" w:hAnsi="Arial" w:cs="Arial"/>
          <w:sz w:val="24"/>
          <w:szCs w:val="24"/>
        </w:rPr>
        <w:t>hausse</w:t>
      </w:r>
      <w:r w:rsidR="000B6311" w:rsidRPr="004671FE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79589A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6E04D2">
        <w:rPr>
          <w:rFonts w:ascii="Arial" w:hAnsi="Arial" w:cs="Arial"/>
          <w:sz w:val="24"/>
          <w:szCs w:val="24"/>
        </w:rPr>
        <w:t>hausse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6E04D2">
        <w:rPr>
          <w:rFonts w:ascii="Arial" w:hAnsi="Arial" w:cs="Arial"/>
          <w:sz w:val="24"/>
          <w:szCs w:val="24"/>
        </w:rPr>
        <w:t>0,</w:t>
      </w:r>
      <w:r w:rsidR="0079589A">
        <w:rPr>
          <w:rFonts w:ascii="Arial" w:hAnsi="Arial" w:cs="Arial"/>
          <w:sz w:val="24"/>
          <w:szCs w:val="24"/>
        </w:rPr>
        <w:t>5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6E04D2">
        <w:rPr>
          <w:rFonts w:ascii="Arial" w:hAnsi="Arial" w:cs="Arial"/>
          <w:sz w:val="24"/>
          <w:szCs w:val="24"/>
        </w:rPr>
        <w:t>0,</w:t>
      </w:r>
      <w:r w:rsidR="009054B8">
        <w:rPr>
          <w:rFonts w:ascii="Arial" w:hAnsi="Arial" w:cs="Arial"/>
          <w:sz w:val="24"/>
          <w:szCs w:val="24"/>
        </w:rPr>
        <w:t>1</w:t>
      </w:r>
      <w:r w:rsidR="006E04D2">
        <w:rPr>
          <w:rFonts w:ascii="Arial" w:hAnsi="Arial" w:cs="Arial"/>
          <w:sz w:val="24"/>
          <w:szCs w:val="24"/>
        </w:rPr>
        <w:t xml:space="preserve">%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0B240F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F63C1E">
        <w:rPr>
          <w:rFonts w:ascii="Arial" w:hAnsi="Arial" w:cs="Arial"/>
          <w:sz w:val="24"/>
          <w:szCs w:val="24"/>
        </w:rPr>
        <w:t>hausses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361F65">
        <w:rPr>
          <w:rFonts w:ascii="Arial" w:hAnsi="Arial" w:cs="Arial"/>
          <w:sz w:val="24"/>
          <w:szCs w:val="24"/>
        </w:rPr>
        <w:t>3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361F65">
        <w:rPr>
          <w:rFonts w:ascii="Arial" w:hAnsi="Arial" w:cs="Arial"/>
          <w:sz w:val="24"/>
          <w:szCs w:val="24"/>
        </w:rPr>
        <w:t>4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BD7817">
        <w:rPr>
          <w:rFonts w:ascii="Arial" w:hAnsi="Arial" w:cs="Arial"/>
          <w:sz w:val="24"/>
          <w:szCs w:val="24"/>
        </w:rPr>
        <w:t>poissons et fruits de mer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361F65">
        <w:rPr>
          <w:rFonts w:ascii="Arial" w:hAnsi="Arial" w:cs="Arial"/>
          <w:sz w:val="24"/>
          <w:szCs w:val="24"/>
        </w:rPr>
        <w:t>5</w:t>
      </w:r>
      <w:r w:rsidR="00A52A0F">
        <w:rPr>
          <w:rFonts w:ascii="Arial" w:hAnsi="Arial" w:cs="Arial"/>
          <w:sz w:val="24"/>
          <w:szCs w:val="24"/>
        </w:rPr>
        <w:t>,</w:t>
      </w:r>
      <w:r w:rsidR="00361F65">
        <w:rPr>
          <w:rFonts w:ascii="Arial" w:hAnsi="Arial" w:cs="Arial"/>
          <w:sz w:val="24"/>
          <w:szCs w:val="24"/>
        </w:rPr>
        <w:t>4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B03E76">
        <w:rPr>
          <w:rFonts w:ascii="Arial" w:hAnsi="Arial" w:cs="Arial"/>
          <w:sz w:val="24"/>
          <w:szCs w:val="24"/>
        </w:rPr>
        <w:t xml:space="preserve">, </w:t>
      </w:r>
      <w:r w:rsidR="00361F65">
        <w:rPr>
          <w:rFonts w:ascii="Arial" w:hAnsi="Arial" w:cs="Arial"/>
          <w:sz w:val="24"/>
          <w:szCs w:val="24"/>
        </w:rPr>
        <w:t xml:space="preserve">le «café, thé et cacao» avec 1,9%, </w:t>
      </w:r>
      <w:r w:rsidR="000B240F">
        <w:rPr>
          <w:rFonts w:ascii="Arial" w:hAnsi="Arial" w:cs="Arial"/>
          <w:sz w:val="24"/>
          <w:szCs w:val="24"/>
        </w:rPr>
        <w:t xml:space="preserve">les « légumes » avec 0,8% et </w:t>
      </w:r>
      <w:r w:rsidR="00BD7817">
        <w:rPr>
          <w:rFonts w:ascii="Arial" w:hAnsi="Arial" w:cs="Arial"/>
          <w:sz w:val="24"/>
          <w:szCs w:val="24"/>
        </w:rPr>
        <w:t xml:space="preserve">les «viandes» avec </w:t>
      </w:r>
      <w:r w:rsidR="00361F65">
        <w:rPr>
          <w:rFonts w:ascii="Arial" w:hAnsi="Arial" w:cs="Arial"/>
          <w:sz w:val="24"/>
          <w:szCs w:val="24"/>
        </w:rPr>
        <w:t>0</w:t>
      </w:r>
      <w:r w:rsidR="00BD7817">
        <w:rPr>
          <w:rFonts w:ascii="Arial" w:hAnsi="Arial" w:cs="Arial"/>
          <w:sz w:val="24"/>
          <w:szCs w:val="24"/>
        </w:rPr>
        <w:t>,</w:t>
      </w:r>
      <w:r w:rsidR="00361F65">
        <w:rPr>
          <w:rFonts w:ascii="Arial" w:hAnsi="Arial" w:cs="Arial"/>
          <w:sz w:val="24"/>
          <w:szCs w:val="24"/>
        </w:rPr>
        <w:t>7</w:t>
      </w:r>
      <w:r w:rsidR="00BD7817">
        <w:rPr>
          <w:rFonts w:ascii="Arial" w:hAnsi="Arial" w:cs="Arial"/>
          <w:sz w:val="24"/>
          <w:szCs w:val="24"/>
        </w:rPr>
        <w:t>%</w:t>
      </w:r>
      <w:r w:rsidR="00361F65">
        <w:rPr>
          <w:rFonts w:ascii="Arial" w:hAnsi="Arial" w:cs="Arial"/>
          <w:sz w:val="24"/>
          <w:szCs w:val="24"/>
        </w:rPr>
        <w:t xml:space="preserve">.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F63C1E">
        <w:rPr>
          <w:rFonts w:ascii="Arial" w:hAnsi="Arial" w:cs="Arial"/>
          <w:sz w:val="24"/>
          <w:szCs w:val="24"/>
        </w:rPr>
        <w:t>diminué</w:t>
      </w:r>
      <w:r w:rsidR="00726AAD">
        <w:rPr>
          <w:rFonts w:ascii="Arial" w:hAnsi="Arial" w:cs="Arial"/>
          <w:sz w:val="24"/>
          <w:szCs w:val="24"/>
        </w:rPr>
        <w:t xml:space="preserve"> de </w:t>
      </w:r>
      <w:r w:rsidR="00361F65">
        <w:rPr>
          <w:rFonts w:ascii="Arial" w:hAnsi="Arial" w:cs="Arial"/>
          <w:sz w:val="24"/>
          <w:szCs w:val="24"/>
        </w:rPr>
        <w:t>1</w:t>
      </w:r>
      <w:r w:rsidR="00F63C1E">
        <w:rPr>
          <w:rFonts w:ascii="Arial" w:hAnsi="Arial" w:cs="Arial"/>
          <w:sz w:val="24"/>
          <w:szCs w:val="24"/>
        </w:rPr>
        <w:t>,</w:t>
      </w:r>
      <w:r w:rsidR="00361F65">
        <w:rPr>
          <w:rFonts w:ascii="Arial" w:hAnsi="Arial" w:cs="Arial"/>
          <w:sz w:val="24"/>
          <w:szCs w:val="24"/>
        </w:rPr>
        <w:t>9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361F65">
        <w:rPr>
          <w:rFonts w:ascii="Arial" w:hAnsi="Arial" w:cs="Arial"/>
          <w:sz w:val="24"/>
          <w:szCs w:val="24"/>
        </w:rPr>
        <w:t>fruits</w:t>
      </w:r>
      <w:r w:rsidR="00726AAD">
        <w:rPr>
          <w:rFonts w:ascii="Arial" w:hAnsi="Arial" w:cs="Arial"/>
          <w:sz w:val="24"/>
          <w:szCs w:val="24"/>
        </w:rPr>
        <w:t xml:space="preserve">».  </w:t>
      </w:r>
    </w:p>
    <w:p w:rsidR="00723DA8" w:rsidRPr="004671FE" w:rsidRDefault="00723DA8" w:rsidP="00723DA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3E329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B87BF8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613AF3">
        <w:rPr>
          <w:rFonts w:ascii="Arial" w:hAnsi="Arial" w:cs="Arial"/>
          <w:sz w:val="24"/>
          <w:szCs w:val="24"/>
        </w:rPr>
        <w:t>Settat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F7186">
        <w:rPr>
          <w:rFonts w:ascii="Arial" w:hAnsi="Arial" w:cs="Arial"/>
          <w:sz w:val="24"/>
          <w:szCs w:val="24"/>
        </w:rPr>
        <w:t xml:space="preserve">avec </w:t>
      </w:r>
      <w:r w:rsidR="00613AF3">
        <w:rPr>
          <w:rFonts w:ascii="Arial" w:hAnsi="Arial" w:cs="Arial"/>
          <w:sz w:val="24"/>
          <w:szCs w:val="24"/>
        </w:rPr>
        <w:t>1</w:t>
      </w:r>
      <w:r w:rsidR="004F7186">
        <w:rPr>
          <w:rFonts w:ascii="Arial" w:hAnsi="Arial" w:cs="Arial"/>
          <w:sz w:val="24"/>
          <w:szCs w:val="24"/>
        </w:rPr>
        <w:t>,</w:t>
      </w:r>
      <w:r w:rsidR="00613AF3">
        <w:rPr>
          <w:rFonts w:ascii="Arial" w:hAnsi="Arial" w:cs="Arial"/>
          <w:sz w:val="24"/>
          <w:szCs w:val="24"/>
        </w:rPr>
        <w:t>2</w:t>
      </w:r>
      <w:r w:rsidR="004F7186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 Al Hoceima avec 0,</w:t>
      </w:r>
      <w:r w:rsidR="00613AF3">
        <w:rPr>
          <w:rFonts w:ascii="Arial" w:hAnsi="Arial" w:cs="Arial"/>
          <w:sz w:val="24"/>
          <w:szCs w:val="24"/>
        </w:rPr>
        <w:t>9</w:t>
      </w:r>
      <w:r w:rsidR="0091243D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 xml:space="preserve">à </w:t>
      </w:r>
      <w:r w:rsidR="00613AF3">
        <w:rPr>
          <w:rFonts w:ascii="Arial" w:hAnsi="Arial" w:cs="Arial"/>
          <w:sz w:val="24"/>
          <w:szCs w:val="24"/>
        </w:rPr>
        <w:t>Fès</w:t>
      </w:r>
      <w:r w:rsidR="00B03E76">
        <w:rPr>
          <w:rFonts w:ascii="Arial" w:hAnsi="Arial" w:cs="Arial"/>
          <w:sz w:val="24"/>
          <w:szCs w:val="24"/>
        </w:rPr>
        <w:t xml:space="preserve"> </w:t>
      </w:r>
      <w:r w:rsidR="009054B8">
        <w:rPr>
          <w:rFonts w:ascii="Arial" w:hAnsi="Arial" w:cs="Arial"/>
          <w:sz w:val="24"/>
          <w:szCs w:val="24"/>
        </w:rPr>
        <w:t xml:space="preserve">et Laâyoune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613AF3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 et</w:t>
      </w:r>
      <w:r w:rsidR="001B106F" w:rsidRPr="001B106F">
        <w:rPr>
          <w:rFonts w:ascii="Arial" w:hAnsi="Arial" w:cs="Arial"/>
          <w:sz w:val="24"/>
          <w:szCs w:val="24"/>
        </w:rPr>
        <w:t xml:space="preserve"> </w:t>
      </w:r>
      <w:r w:rsidR="001B106F">
        <w:rPr>
          <w:rFonts w:ascii="Arial" w:hAnsi="Arial" w:cs="Arial"/>
          <w:sz w:val="24"/>
          <w:szCs w:val="24"/>
        </w:rPr>
        <w:t xml:space="preserve">à </w:t>
      </w:r>
      <w:r w:rsidR="00613AF3">
        <w:rPr>
          <w:rFonts w:ascii="Arial" w:hAnsi="Arial" w:cs="Arial"/>
          <w:sz w:val="24"/>
          <w:szCs w:val="24"/>
        </w:rPr>
        <w:t xml:space="preserve">Meknès, </w:t>
      </w:r>
      <w:r w:rsidR="009E2AF4">
        <w:rPr>
          <w:rFonts w:ascii="Arial" w:hAnsi="Arial" w:cs="Arial"/>
          <w:sz w:val="24"/>
          <w:szCs w:val="24"/>
        </w:rPr>
        <w:t xml:space="preserve">Dakhla et </w:t>
      </w:r>
      <w:proofErr w:type="spellStart"/>
      <w:r w:rsidR="00613AF3">
        <w:rPr>
          <w:rFonts w:ascii="Arial" w:hAnsi="Arial" w:cs="Arial"/>
          <w:sz w:val="24"/>
          <w:szCs w:val="24"/>
        </w:rPr>
        <w:t>Beni</w:t>
      </w:r>
      <w:proofErr w:type="spellEnd"/>
      <w:r w:rsidR="00613AF3">
        <w:rPr>
          <w:rFonts w:ascii="Arial" w:hAnsi="Arial" w:cs="Arial"/>
          <w:sz w:val="24"/>
          <w:szCs w:val="24"/>
        </w:rPr>
        <w:t xml:space="preserve">-Mellal avec </w:t>
      </w:r>
      <w:r w:rsidR="001B106F">
        <w:rPr>
          <w:rFonts w:ascii="Arial" w:hAnsi="Arial" w:cs="Arial"/>
          <w:sz w:val="24"/>
          <w:szCs w:val="24"/>
        </w:rPr>
        <w:t>0,</w:t>
      </w:r>
      <w:r w:rsidR="00613AF3">
        <w:rPr>
          <w:rFonts w:ascii="Arial" w:hAnsi="Arial" w:cs="Arial"/>
          <w:sz w:val="24"/>
          <w:szCs w:val="24"/>
        </w:rPr>
        <w:t>5</w:t>
      </w:r>
      <w:r w:rsidR="001B106F">
        <w:rPr>
          <w:rFonts w:ascii="Arial" w:hAnsi="Arial" w:cs="Arial"/>
          <w:sz w:val="24"/>
          <w:szCs w:val="24"/>
        </w:rPr>
        <w:t>%</w:t>
      </w:r>
      <w:r w:rsidR="00B430CE">
        <w:rPr>
          <w:rFonts w:ascii="Arial" w:hAnsi="Arial" w:cs="Arial"/>
          <w:sz w:val="24"/>
          <w:szCs w:val="24"/>
        </w:rPr>
        <w:t xml:space="preserve">; et </w:t>
      </w:r>
      <w:r w:rsidR="008E0113">
        <w:rPr>
          <w:rFonts w:ascii="Arial" w:hAnsi="Arial" w:cs="Arial"/>
          <w:sz w:val="24"/>
          <w:szCs w:val="24"/>
        </w:rPr>
        <w:t xml:space="preserve">les moins importantes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notamment 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9E2AF4">
        <w:rPr>
          <w:rFonts w:ascii="Arial" w:hAnsi="Arial" w:cs="Arial"/>
          <w:sz w:val="24"/>
          <w:szCs w:val="24"/>
        </w:rPr>
        <w:t xml:space="preserve">Agadir, </w:t>
      </w:r>
      <w:r w:rsidR="008E0113">
        <w:rPr>
          <w:rFonts w:ascii="Arial" w:hAnsi="Arial" w:cs="Arial"/>
          <w:sz w:val="24"/>
          <w:szCs w:val="24"/>
        </w:rPr>
        <w:t xml:space="preserve">Marrakech et Rabat </w:t>
      </w:r>
      <w:r w:rsidR="0091243D">
        <w:rPr>
          <w:rFonts w:ascii="Arial" w:hAnsi="Arial" w:cs="Arial"/>
          <w:sz w:val="24"/>
          <w:szCs w:val="24"/>
        </w:rPr>
        <w:t>avec 0,</w:t>
      </w:r>
      <w:r w:rsidR="008E0113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%.</w:t>
      </w:r>
    </w:p>
    <w:p w:rsidR="009E579A" w:rsidRDefault="009E579A" w:rsidP="00881E1E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1A45DD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1A45DD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1A45DD">
        <w:rPr>
          <w:rFonts w:ascii="Arial" w:hAnsi="Arial" w:cs="Arial"/>
          <w:sz w:val="24"/>
          <w:szCs w:val="24"/>
        </w:rPr>
        <w:t>4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1A45DD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1A45DD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1A45DD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1A45DD">
        <w:rPr>
          <w:rFonts w:ascii="Arial" w:hAnsi="Arial" w:cs="Arial"/>
          <w:sz w:val="24"/>
          <w:szCs w:val="24"/>
        </w:rPr>
        <w:t>la baisse de 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 alimentaires de </w:t>
      </w:r>
      <w:r w:rsidR="001A45DD">
        <w:rPr>
          <w:rFonts w:ascii="Arial" w:hAnsi="Arial" w:cs="Arial"/>
          <w:sz w:val="24"/>
          <w:szCs w:val="24"/>
        </w:rPr>
        <w:t>0</w:t>
      </w:r>
      <w:r w:rsidR="008D538D">
        <w:rPr>
          <w:rFonts w:ascii="Arial" w:hAnsi="Arial" w:cs="Arial"/>
          <w:sz w:val="24"/>
          <w:szCs w:val="24"/>
        </w:rPr>
        <w:t>,</w:t>
      </w:r>
      <w:r w:rsidR="001A45DD">
        <w:rPr>
          <w:rFonts w:ascii="Arial" w:hAnsi="Arial" w:cs="Arial"/>
          <w:sz w:val="24"/>
          <w:szCs w:val="24"/>
        </w:rPr>
        <w:t>2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1A45DD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1A45DD">
        <w:rPr>
          <w:rFonts w:ascii="Arial" w:hAnsi="Arial" w:cs="Arial"/>
          <w:spacing w:val="-2"/>
          <w:sz w:val="24"/>
          <w:szCs w:val="24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881E1E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881E1E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850D84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881E1E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681B0C">
        <w:rPr>
          <w:rFonts w:ascii="Arial" w:hAnsi="Arial" w:cs="Arial"/>
          <w:sz w:val="24"/>
          <w:szCs w:val="24"/>
        </w:rPr>
        <w:t>hausse</w:t>
      </w:r>
      <w:r w:rsidR="00695137" w:rsidRPr="00194996">
        <w:rPr>
          <w:rFonts w:ascii="Arial" w:hAnsi="Arial" w:cs="Arial"/>
          <w:sz w:val="24"/>
          <w:szCs w:val="24"/>
        </w:rPr>
        <w:t xml:space="preserve"> de</w:t>
      </w:r>
      <w:r w:rsidR="006478E1" w:rsidRPr="00194996">
        <w:rPr>
          <w:rFonts w:ascii="Arial" w:hAnsi="Arial" w:cs="Arial"/>
          <w:sz w:val="24"/>
          <w:szCs w:val="24"/>
        </w:rPr>
        <w:t xml:space="preserve"> 0,</w:t>
      </w:r>
      <w:r w:rsidR="00850D84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%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881E1E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D6DBC" w:rsidRPr="00194996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850D84">
        <w:rPr>
          <w:rFonts w:ascii="Arial" w:hAnsi="Arial" w:cs="Arial"/>
          <w:sz w:val="24"/>
          <w:szCs w:val="24"/>
        </w:rPr>
        <w:t>5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881E1E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DF0859" w:rsidRDefault="00DF0859" w:rsidP="00DF085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 w:rsidTr="000B7846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A3658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 w:rsidTr="000B7846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A31B97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A31B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F0F2B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A31B97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A31B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0B784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F669E4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F669E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669E4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669E4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402008" w:rsidRDefault="00F669E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402008" w:rsidRPr="004671FE" w:rsidRDefault="00402008" w:rsidP="000B7846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A31B9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A31B97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7A3658">
              <w:rPr>
                <w:rFonts w:ascii="Times-Bold" w:hAnsi="Times-Bold" w:cs="Times-Bold"/>
                <w:b/>
                <w:bCs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A31B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A31B97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A31B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A31B97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A31B9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A31B97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669E4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669E4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669E4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669E4" w:rsidRPr="00402008" w:rsidRDefault="00F669E4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669E4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CA17F7" w:rsidRDefault="00F669E4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DB00D9" w:rsidRDefault="009E579A" w:rsidP="000B7846">
      <w:pPr>
        <w:tabs>
          <w:tab w:val="left" w:pos="-720"/>
        </w:tabs>
        <w:ind w:left="-284" w:right="-284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73C" w:rsidRDefault="0023773C">
      <w:pPr>
        <w:jc w:val="right"/>
      </w:pPr>
      <w:r>
        <w:separator/>
      </w:r>
    </w:p>
  </w:endnote>
  <w:endnote w:type="continuationSeparator" w:id="0">
    <w:p w:rsidR="0023773C" w:rsidRDefault="0023773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73C" w:rsidRDefault="0023773C">
      <w:pPr>
        <w:jc w:val="right"/>
      </w:pPr>
      <w:r>
        <w:separator/>
      </w:r>
    </w:p>
  </w:footnote>
  <w:footnote w:type="continuationSeparator" w:id="0">
    <w:p w:rsidR="0023773C" w:rsidRDefault="0023773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B7846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73C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052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C1791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5304"/>
    <w:rsid w:val="003D6526"/>
    <w:rsid w:val="003D7D59"/>
    <w:rsid w:val="003E1B9B"/>
    <w:rsid w:val="003E3291"/>
    <w:rsid w:val="003E58D5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74CCA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6947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408B"/>
    <w:rsid w:val="007767DB"/>
    <w:rsid w:val="007814DB"/>
    <w:rsid w:val="007817A3"/>
    <w:rsid w:val="007817B9"/>
    <w:rsid w:val="00784DF9"/>
    <w:rsid w:val="00791D94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D84"/>
    <w:rsid w:val="00854EB7"/>
    <w:rsid w:val="008631BC"/>
    <w:rsid w:val="008634FB"/>
    <w:rsid w:val="008704B4"/>
    <w:rsid w:val="00871931"/>
    <w:rsid w:val="008721B7"/>
    <w:rsid w:val="00873925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937"/>
    <w:rsid w:val="00BB5E51"/>
    <w:rsid w:val="00BB7241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20A26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C62C0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2014-02-14T16:24:00Z</cp:lastPrinted>
  <dcterms:created xsi:type="dcterms:W3CDTF">2014-02-19T21:27:00Z</dcterms:created>
  <dcterms:modified xsi:type="dcterms:W3CDTF">2014-02-19T21:36:00Z</dcterms:modified>
</cp:coreProperties>
</file>