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077" w:rsidRPr="00C706A5" w:rsidRDefault="00F37422" w:rsidP="0069792B">
      <w:pPr>
        <w:widowControl/>
        <w:spacing w:line="276" w:lineRule="auto"/>
        <w:jc w:val="center"/>
        <w:rPr>
          <w:rFonts w:ascii="Book Antiqua" w:hAnsi="Book Antiqua" w:cs="Times New Roman"/>
          <w:b/>
          <w:bCs/>
          <w:color w:val="000000" w:themeColor="text1"/>
        </w:rPr>
      </w:pPr>
      <w:r w:rsidRPr="00C706A5">
        <w:rPr>
          <w:rFonts w:ascii="Book Antiqua" w:hAnsi="Book Antiqua" w:cs="Times New Roman"/>
          <w:b/>
          <w:bCs/>
          <w:color w:val="000000" w:themeColor="text1"/>
        </w:rPr>
        <w:t xml:space="preserve">          </w:t>
      </w:r>
    </w:p>
    <w:p w:rsidR="000D4077" w:rsidRPr="00C706A5" w:rsidRDefault="000D4077" w:rsidP="0069792B">
      <w:pPr>
        <w:widowControl/>
        <w:spacing w:line="276" w:lineRule="auto"/>
        <w:jc w:val="center"/>
        <w:rPr>
          <w:rFonts w:ascii="Book Antiqua" w:hAnsi="Book Antiqua" w:cs="Times New Roman"/>
          <w:b/>
          <w:bCs/>
          <w:color w:val="000000" w:themeColor="text1"/>
        </w:rPr>
      </w:pPr>
    </w:p>
    <w:p w:rsidR="000D4077" w:rsidRPr="00C706A5" w:rsidRDefault="000D4077" w:rsidP="0069792B">
      <w:pPr>
        <w:widowControl/>
        <w:spacing w:line="276" w:lineRule="auto"/>
        <w:jc w:val="center"/>
        <w:rPr>
          <w:rFonts w:ascii="Book Antiqua" w:hAnsi="Book Antiqua" w:cs="Times New Roman"/>
          <w:b/>
          <w:bCs/>
          <w:color w:val="000000" w:themeColor="text1"/>
        </w:rPr>
      </w:pPr>
    </w:p>
    <w:p w:rsidR="000D4077" w:rsidRPr="00C706A5" w:rsidRDefault="00846584" w:rsidP="0069792B">
      <w:pPr>
        <w:widowControl/>
        <w:spacing w:line="276" w:lineRule="auto"/>
        <w:jc w:val="center"/>
        <w:rPr>
          <w:rFonts w:ascii="Book Antiqua" w:hAnsi="Book Antiqua" w:cs="Times New Roman"/>
          <w:b/>
          <w:bCs/>
          <w:color w:val="000000" w:themeColor="text1"/>
        </w:rPr>
      </w:pPr>
      <w:r>
        <w:rPr>
          <w:rFonts w:ascii="Book Antiqua" w:hAnsi="Book Antiqua" w:cs="Times New Roman"/>
          <w:b/>
          <w:bCs/>
          <w:color w:val="000000" w:themeColor="text1"/>
        </w:rPr>
        <w:t xml:space="preserve">     </w:t>
      </w:r>
    </w:p>
    <w:p w:rsidR="000D4077" w:rsidRPr="00C706A5" w:rsidRDefault="000D4077" w:rsidP="0069792B">
      <w:pPr>
        <w:widowControl/>
        <w:spacing w:line="276" w:lineRule="auto"/>
        <w:jc w:val="center"/>
        <w:rPr>
          <w:rFonts w:ascii="Book Antiqua" w:hAnsi="Book Antiqua" w:cs="Times New Roman"/>
          <w:b/>
          <w:bCs/>
          <w:color w:val="000000" w:themeColor="text1"/>
        </w:rPr>
      </w:pPr>
    </w:p>
    <w:p w:rsidR="009E682C" w:rsidRPr="00C706A5" w:rsidRDefault="009E682C" w:rsidP="0069792B">
      <w:pPr>
        <w:widowControl/>
        <w:spacing w:line="276" w:lineRule="auto"/>
        <w:jc w:val="center"/>
        <w:rPr>
          <w:rFonts w:ascii="Book Antiqua" w:hAnsi="Book Antiqua" w:cs="Times New Roman"/>
          <w:b/>
          <w:bCs/>
          <w:color w:val="000000" w:themeColor="text1"/>
        </w:rPr>
      </w:pPr>
    </w:p>
    <w:p w:rsidR="00912704" w:rsidRPr="00C706A5" w:rsidRDefault="00912704" w:rsidP="0069792B">
      <w:pPr>
        <w:widowControl/>
        <w:spacing w:line="276" w:lineRule="auto"/>
        <w:jc w:val="center"/>
        <w:rPr>
          <w:rFonts w:ascii="Book Antiqua" w:hAnsi="Book Antiqua" w:cs="Times New Roman"/>
          <w:b/>
          <w:bCs/>
          <w:color w:val="000000" w:themeColor="text1"/>
        </w:rPr>
      </w:pPr>
      <w:r w:rsidRPr="00C706A5">
        <w:rPr>
          <w:rFonts w:ascii="Book Antiqua" w:hAnsi="Book Antiqua" w:cs="Times New Roman"/>
          <w:b/>
          <w:bCs/>
          <w:color w:val="000000" w:themeColor="text1"/>
        </w:rPr>
        <w:t>Note d’information</w:t>
      </w:r>
      <w:r w:rsidR="0069792B" w:rsidRPr="00C706A5">
        <w:rPr>
          <w:rFonts w:ascii="Book Antiqua" w:hAnsi="Book Antiqua" w:cs="Times New Roman"/>
          <w:b/>
          <w:bCs/>
          <w:color w:val="000000" w:themeColor="text1"/>
        </w:rPr>
        <w:t xml:space="preserve"> du Haut-commissariat au Plan</w:t>
      </w:r>
    </w:p>
    <w:p w:rsidR="00912704" w:rsidRPr="00C706A5" w:rsidRDefault="00097300" w:rsidP="00CF7444">
      <w:pPr>
        <w:widowControl/>
        <w:spacing w:line="276" w:lineRule="auto"/>
        <w:jc w:val="center"/>
        <w:rPr>
          <w:rFonts w:ascii="Book Antiqua" w:hAnsi="Book Antiqua" w:cs="Times New Roman"/>
          <w:b/>
          <w:bCs/>
          <w:color w:val="000000" w:themeColor="text1"/>
        </w:rPr>
      </w:pPr>
      <w:r w:rsidRPr="00C706A5">
        <w:rPr>
          <w:rFonts w:ascii="Book Antiqua" w:hAnsi="Book Antiqua" w:cs="Times New Roman"/>
          <w:b/>
          <w:bCs/>
          <w:color w:val="000000" w:themeColor="text1"/>
        </w:rPr>
        <w:t>R</w:t>
      </w:r>
      <w:r w:rsidR="00912704" w:rsidRPr="00C706A5">
        <w:rPr>
          <w:rFonts w:ascii="Book Antiqua" w:hAnsi="Book Antiqua" w:cs="Times New Roman"/>
          <w:b/>
          <w:bCs/>
          <w:color w:val="000000" w:themeColor="text1"/>
        </w:rPr>
        <w:t xml:space="preserve">ésultats de l’enquête de conjoncture auprès des ménages </w:t>
      </w:r>
    </w:p>
    <w:p w:rsidR="00912704" w:rsidRPr="00C706A5" w:rsidRDefault="001A4203" w:rsidP="00E85462">
      <w:pPr>
        <w:widowControl/>
        <w:spacing w:line="276" w:lineRule="auto"/>
        <w:jc w:val="center"/>
        <w:rPr>
          <w:rFonts w:ascii="Book Antiqua" w:hAnsi="Book Antiqua" w:cs="Times New Roman"/>
          <w:b/>
          <w:bCs/>
          <w:color w:val="000000" w:themeColor="text1"/>
        </w:rPr>
      </w:pPr>
      <w:r w:rsidRPr="00C706A5">
        <w:rPr>
          <w:rFonts w:ascii="Book Antiqua" w:hAnsi="Book Antiqua" w:cs="Times New Roman"/>
          <w:b/>
          <w:bCs/>
          <w:color w:val="000000" w:themeColor="text1"/>
        </w:rPr>
        <w:t>Quatrième trimestre</w:t>
      </w:r>
      <w:r w:rsidR="00EE0655" w:rsidRPr="00C706A5">
        <w:rPr>
          <w:rFonts w:ascii="Book Antiqua" w:hAnsi="Book Antiqua" w:cs="Times New Roman"/>
          <w:b/>
          <w:bCs/>
          <w:color w:val="000000" w:themeColor="text1"/>
        </w:rPr>
        <w:t xml:space="preserve"> </w:t>
      </w:r>
      <w:r w:rsidR="003724EE" w:rsidRPr="00C706A5">
        <w:rPr>
          <w:rFonts w:ascii="Book Antiqua" w:hAnsi="Book Antiqua" w:cs="Times New Roman"/>
          <w:b/>
          <w:bCs/>
          <w:color w:val="000000" w:themeColor="text1"/>
        </w:rPr>
        <w:t>201</w:t>
      </w:r>
      <w:r w:rsidR="00E85462" w:rsidRPr="00C706A5">
        <w:rPr>
          <w:rFonts w:ascii="Book Antiqua" w:hAnsi="Book Antiqua" w:cs="Times New Roman"/>
          <w:b/>
          <w:bCs/>
          <w:color w:val="000000" w:themeColor="text1"/>
        </w:rPr>
        <w:t>3</w:t>
      </w:r>
    </w:p>
    <w:p w:rsidR="004105E0" w:rsidRPr="00C706A5" w:rsidRDefault="004105E0" w:rsidP="000F7C4F">
      <w:pPr>
        <w:widowControl/>
        <w:spacing w:before="240" w:line="276" w:lineRule="auto"/>
        <w:jc w:val="both"/>
        <w:rPr>
          <w:rFonts w:ascii="Book Antiqua" w:hAnsi="Book Antiqua" w:cs="Times New Roman"/>
          <w:color w:val="000000" w:themeColor="text1"/>
          <w:sz w:val="36"/>
          <w:szCs w:val="36"/>
        </w:rPr>
      </w:pPr>
    </w:p>
    <w:p w:rsidR="00A45128" w:rsidRPr="00C706A5" w:rsidRDefault="005E2815" w:rsidP="000518A6">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color w:val="000000" w:themeColor="text1"/>
        </w:rPr>
        <w:t xml:space="preserve">Les </w:t>
      </w:r>
      <w:r w:rsidR="00A45128" w:rsidRPr="00C706A5">
        <w:rPr>
          <w:rFonts w:ascii="Times New Roman" w:hAnsi="Times New Roman" w:cs="Times New Roman"/>
          <w:b/>
          <w:color w:val="000000" w:themeColor="text1"/>
        </w:rPr>
        <w:t xml:space="preserve">résultats de l’enquête permanente de conjoncture auprès des ménages, menée par le HCP, </w:t>
      </w:r>
      <w:r w:rsidRPr="00C706A5">
        <w:rPr>
          <w:rFonts w:ascii="Times New Roman" w:hAnsi="Times New Roman" w:cs="Times New Roman"/>
          <w:b/>
          <w:color w:val="000000" w:themeColor="text1"/>
        </w:rPr>
        <w:t xml:space="preserve">montrent que </w:t>
      </w:r>
      <w:r w:rsidR="00A45128" w:rsidRPr="00C706A5">
        <w:rPr>
          <w:rFonts w:ascii="Times New Roman" w:hAnsi="Times New Roman" w:cs="Times New Roman"/>
          <w:b/>
          <w:color w:val="000000" w:themeColor="text1"/>
        </w:rPr>
        <w:t xml:space="preserve">l’Indice de Confiance des Ménages (ICM) </w:t>
      </w:r>
      <w:r w:rsidR="00A45128" w:rsidRPr="00C706A5">
        <w:rPr>
          <w:rFonts w:ascii="Times New Roman" w:hAnsi="Times New Roman" w:cs="Times New Roman"/>
          <w:b/>
          <w:bCs/>
          <w:color w:val="000000" w:themeColor="text1"/>
        </w:rPr>
        <w:t xml:space="preserve">aura enregistré, au cours du </w:t>
      </w:r>
      <w:r w:rsidR="001A4203" w:rsidRPr="00C706A5">
        <w:rPr>
          <w:rFonts w:ascii="Times New Roman" w:hAnsi="Times New Roman" w:cs="Times New Roman"/>
          <w:b/>
          <w:bCs/>
          <w:color w:val="000000" w:themeColor="text1"/>
        </w:rPr>
        <w:t>quatrième trimestre</w:t>
      </w:r>
      <w:r w:rsidR="00EE0655" w:rsidRPr="00C706A5">
        <w:rPr>
          <w:rFonts w:ascii="Times New Roman" w:hAnsi="Times New Roman" w:cs="Times New Roman"/>
          <w:b/>
          <w:bCs/>
          <w:color w:val="000000" w:themeColor="text1"/>
        </w:rPr>
        <w:t xml:space="preserve"> </w:t>
      </w:r>
      <w:r w:rsidR="00A45128" w:rsidRPr="00C706A5">
        <w:rPr>
          <w:rFonts w:ascii="Times New Roman" w:hAnsi="Times New Roman" w:cs="Times New Roman"/>
          <w:b/>
          <w:bCs/>
          <w:color w:val="000000" w:themeColor="text1"/>
        </w:rPr>
        <w:t>de 201</w:t>
      </w:r>
      <w:r w:rsidR="00A129F3" w:rsidRPr="00C706A5">
        <w:rPr>
          <w:rFonts w:ascii="Times New Roman" w:hAnsi="Times New Roman" w:cs="Times New Roman"/>
          <w:b/>
          <w:bCs/>
          <w:color w:val="000000" w:themeColor="text1"/>
        </w:rPr>
        <w:t>3</w:t>
      </w:r>
      <w:r w:rsidR="00A45128" w:rsidRPr="00C706A5">
        <w:rPr>
          <w:rFonts w:ascii="Times New Roman" w:hAnsi="Times New Roman" w:cs="Times New Roman"/>
          <w:b/>
          <w:bCs/>
          <w:color w:val="000000" w:themeColor="text1"/>
        </w:rPr>
        <w:t xml:space="preserve">, une </w:t>
      </w:r>
      <w:r w:rsidR="000518A6" w:rsidRPr="00C706A5">
        <w:rPr>
          <w:rFonts w:ascii="Times New Roman" w:hAnsi="Times New Roman" w:cs="Times New Roman"/>
          <w:b/>
          <w:bCs/>
          <w:color w:val="000000" w:themeColor="text1"/>
        </w:rPr>
        <w:t>baisse</w:t>
      </w:r>
      <w:r w:rsidR="00A45128" w:rsidRPr="00C706A5">
        <w:rPr>
          <w:rFonts w:ascii="Times New Roman" w:hAnsi="Times New Roman" w:cs="Times New Roman"/>
          <w:b/>
          <w:bCs/>
          <w:color w:val="000000" w:themeColor="text1"/>
        </w:rPr>
        <w:t xml:space="preserve"> de </w:t>
      </w:r>
      <w:r w:rsidR="00BF7AFA" w:rsidRPr="00C706A5">
        <w:rPr>
          <w:rFonts w:ascii="Times New Roman" w:hAnsi="Times New Roman" w:cs="Times New Roman"/>
          <w:b/>
          <w:bCs/>
          <w:color w:val="000000" w:themeColor="text1"/>
        </w:rPr>
        <w:t>4</w:t>
      </w:r>
      <w:r w:rsidR="00686596" w:rsidRPr="00C706A5">
        <w:rPr>
          <w:rFonts w:ascii="Times New Roman" w:hAnsi="Times New Roman" w:cs="Times New Roman"/>
          <w:b/>
          <w:bCs/>
          <w:color w:val="000000" w:themeColor="text1"/>
        </w:rPr>
        <w:t>,</w:t>
      </w:r>
      <w:r w:rsidR="00F86FF5" w:rsidRPr="00C706A5">
        <w:rPr>
          <w:rFonts w:ascii="Times New Roman" w:hAnsi="Times New Roman" w:cs="Times New Roman"/>
          <w:b/>
          <w:bCs/>
          <w:color w:val="000000" w:themeColor="text1"/>
        </w:rPr>
        <w:t>2</w:t>
      </w:r>
      <w:r w:rsidR="00A45128" w:rsidRPr="00C706A5">
        <w:rPr>
          <w:rFonts w:ascii="Times New Roman" w:hAnsi="Times New Roman" w:cs="Times New Roman"/>
          <w:b/>
          <w:bCs/>
          <w:color w:val="000000" w:themeColor="text1"/>
        </w:rPr>
        <w:t xml:space="preserve"> point</w:t>
      </w:r>
      <w:r w:rsidR="00BF7AFA" w:rsidRPr="00C706A5">
        <w:rPr>
          <w:rFonts w:ascii="Times New Roman" w:hAnsi="Times New Roman" w:cs="Times New Roman"/>
          <w:b/>
          <w:bCs/>
          <w:color w:val="000000" w:themeColor="text1"/>
        </w:rPr>
        <w:t>s</w:t>
      </w:r>
      <w:r w:rsidR="00A45128" w:rsidRPr="00C706A5">
        <w:rPr>
          <w:rFonts w:ascii="Times New Roman" w:hAnsi="Times New Roman" w:cs="Times New Roman"/>
          <w:b/>
          <w:bCs/>
          <w:color w:val="000000" w:themeColor="text1"/>
        </w:rPr>
        <w:t xml:space="preserve"> par rapport </w:t>
      </w:r>
      <w:r w:rsidR="00BF7AFA" w:rsidRPr="00C706A5">
        <w:rPr>
          <w:rFonts w:ascii="Times New Roman" w:hAnsi="Times New Roman" w:cs="Times New Roman"/>
          <w:b/>
          <w:bCs/>
          <w:color w:val="000000" w:themeColor="text1"/>
        </w:rPr>
        <w:t xml:space="preserve">à son niveau du quatrième trimestre de l’année 2012 </w:t>
      </w:r>
      <w:r w:rsidR="00233531" w:rsidRPr="00C706A5">
        <w:rPr>
          <w:rFonts w:ascii="Times New Roman" w:hAnsi="Times New Roman" w:cs="Times New Roman"/>
          <w:b/>
          <w:bCs/>
          <w:color w:val="000000" w:themeColor="text1"/>
        </w:rPr>
        <w:t>et</w:t>
      </w:r>
      <w:r w:rsidR="00A45128" w:rsidRPr="00C706A5">
        <w:rPr>
          <w:rFonts w:ascii="Times New Roman" w:hAnsi="Times New Roman" w:cs="Times New Roman"/>
          <w:b/>
          <w:bCs/>
          <w:color w:val="000000" w:themeColor="text1"/>
        </w:rPr>
        <w:t xml:space="preserve"> </w:t>
      </w:r>
      <w:r w:rsidR="009C76E3" w:rsidRPr="00C706A5">
        <w:rPr>
          <w:rFonts w:ascii="Times New Roman" w:hAnsi="Times New Roman" w:cs="Times New Roman"/>
          <w:b/>
          <w:bCs/>
          <w:color w:val="000000" w:themeColor="text1"/>
        </w:rPr>
        <w:t xml:space="preserve">de </w:t>
      </w:r>
      <w:r w:rsidR="00BF7AFA" w:rsidRPr="00C706A5">
        <w:rPr>
          <w:rFonts w:ascii="Times New Roman" w:hAnsi="Times New Roman" w:cs="Times New Roman"/>
          <w:b/>
          <w:bCs/>
          <w:color w:val="000000" w:themeColor="text1"/>
        </w:rPr>
        <w:t>1</w:t>
      </w:r>
      <w:r w:rsidR="00A45128" w:rsidRPr="00C706A5">
        <w:rPr>
          <w:rFonts w:ascii="Times New Roman" w:hAnsi="Times New Roman" w:cs="Times New Roman"/>
          <w:b/>
          <w:bCs/>
          <w:color w:val="000000" w:themeColor="text1"/>
        </w:rPr>
        <w:t>,</w:t>
      </w:r>
      <w:r w:rsidR="00686596" w:rsidRPr="00C706A5">
        <w:rPr>
          <w:rFonts w:ascii="Times New Roman" w:hAnsi="Times New Roman" w:cs="Times New Roman"/>
          <w:b/>
          <w:bCs/>
          <w:color w:val="000000" w:themeColor="text1"/>
        </w:rPr>
        <w:t>2</w:t>
      </w:r>
      <w:r w:rsidR="00A45128" w:rsidRPr="00C706A5">
        <w:rPr>
          <w:rFonts w:ascii="Times New Roman" w:hAnsi="Times New Roman" w:cs="Times New Roman"/>
          <w:b/>
          <w:bCs/>
          <w:color w:val="000000" w:themeColor="text1"/>
        </w:rPr>
        <w:t xml:space="preserve"> point </w:t>
      </w:r>
      <w:r w:rsidR="001C0839" w:rsidRPr="00C706A5">
        <w:rPr>
          <w:rFonts w:ascii="Times New Roman" w:hAnsi="Times New Roman" w:cs="Times New Roman"/>
          <w:b/>
          <w:bCs/>
          <w:color w:val="000000" w:themeColor="text1"/>
        </w:rPr>
        <w:t>par rapport</w:t>
      </w:r>
      <w:r w:rsidR="00BF7AFA" w:rsidRPr="00C706A5">
        <w:rPr>
          <w:rFonts w:ascii="Times New Roman" w:hAnsi="Times New Roman" w:cs="Times New Roman"/>
          <w:b/>
          <w:bCs/>
          <w:color w:val="000000" w:themeColor="text1"/>
        </w:rPr>
        <w:t xml:space="preserve"> au troisième trimestre de 2013</w:t>
      </w:r>
      <w:r w:rsidR="00A45128" w:rsidRPr="00C706A5">
        <w:rPr>
          <w:rFonts w:ascii="Times New Roman" w:hAnsi="Times New Roman" w:cs="Times New Roman"/>
          <w:b/>
          <w:bCs/>
          <w:color w:val="000000" w:themeColor="text1"/>
        </w:rPr>
        <w:t>.</w:t>
      </w:r>
    </w:p>
    <w:p w:rsidR="00F80F35" w:rsidRPr="00C706A5" w:rsidRDefault="00A45128" w:rsidP="00717A01">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p>
    <w:p w:rsidR="00A45128" w:rsidRPr="00C706A5" w:rsidRDefault="00CF09A5" w:rsidP="002C768B">
      <w:pPr>
        <w:widowControl/>
        <w:tabs>
          <w:tab w:val="left" w:pos="709"/>
        </w:tabs>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C’est ainsi qu’a</w:t>
      </w:r>
      <w:r w:rsidR="00A45128" w:rsidRPr="00C706A5">
        <w:rPr>
          <w:rFonts w:ascii="Times New Roman" w:hAnsi="Times New Roman" w:cs="Times New Roman"/>
          <w:color w:val="000000" w:themeColor="text1"/>
        </w:rPr>
        <w:t xml:space="preserve">u </w:t>
      </w:r>
      <w:r w:rsidR="001A4203" w:rsidRPr="00C706A5">
        <w:rPr>
          <w:rFonts w:ascii="Times New Roman" w:hAnsi="Times New Roman" w:cs="Times New Roman"/>
          <w:color w:val="000000" w:themeColor="text1"/>
        </w:rPr>
        <w:t>quatrième trimestre</w:t>
      </w:r>
      <w:r w:rsidR="005950FE" w:rsidRPr="00C706A5">
        <w:rPr>
          <w:rFonts w:ascii="Times New Roman" w:hAnsi="Times New Roman" w:cs="Times New Roman"/>
          <w:color w:val="000000" w:themeColor="text1"/>
        </w:rPr>
        <w:t xml:space="preserve"> </w:t>
      </w:r>
      <w:r w:rsidR="00A45128" w:rsidRPr="00C706A5">
        <w:rPr>
          <w:rFonts w:ascii="Times New Roman" w:hAnsi="Times New Roman" w:cs="Times New Roman"/>
          <w:color w:val="000000" w:themeColor="text1"/>
        </w:rPr>
        <w:t>de 201</w:t>
      </w:r>
      <w:r w:rsidR="00760F13" w:rsidRPr="00C706A5">
        <w:rPr>
          <w:rFonts w:ascii="Times New Roman" w:hAnsi="Times New Roman" w:cs="Times New Roman"/>
          <w:color w:val="000000" w:themeColor="text1"/>
        </w:rPr>
        <w:t>3</w:t>
      </w:r>
      <w:r w:rsidR="00A45128" w:rsidRPr="00C706A5">
        <w:rPr>
          <w:rFonts w:ascii="Times New Roman" w:hAnsi="Times New Roman" w:cs="Times New Roman"/>
          <w:color w:val="000000" w:themeColor="text1"/>
        </w:rPr>
        <w:t xml:space="preserve">, l'ICM s’établit  à  </w:t>
      </w:r>
      <w:r w:rsidR="009C76E3" w:rsidRPr="00C706A5">
        <w:rPr>
          <w:rFonts w:ascii="Times New Roman" w:hAnsi="Times New Roman" w:cs="Times New Roman"/>
          <w:color w:val="000000" w:themeColor="text1"/>
        </w:rPr>
        <w:t>7</w:t>
      </w:r>
      <w:r w:rsidR="00F86FF5" w:rsidRPr="00C706A5">
        <w:rPr>
          <w:rFonts w:ascii="Times New Roman" w:hAnsi="Times New Roman" w:cs="Times New Roman"/>
          <w:color w:val="000000" w:themeColor="text1"/>
        </w:rPr>
        <w:t>4</w:t>
      </w:r>
      <w:r w:rsidR="009C76E3" w:rsidRPr="00C706A5">
        <w:rPr>
          <w:rFonts w:ascii="Times New Roman" w:hAnsi="Times New Roman" w:cs="Times New Roman"/>
          <w:color w:val="000000" w:themeColor="text1"/>
        </w:rPr>
        <w:t>,</w:t>
      </w:r>
      <w:r w:rsidR="00F86FF5" w:rsidRPr="00C706A5">
        <w:rPr>
          <w:rFonts w:ascii="Times New Roman" w:hAnsi="Times New Roman" w:cs="Times New Roman"/>
          <w:color w:val="000000" w:themeColor="text1"/>
        </w:rPr>
        <w:t>2</w:t>
      </w:r>
      <w:r w:rsidR="009C76E3" w:rsidRPr="00C706A5">
        <w:rPr>
          <w:rFonts w:ascii="Times New Roman" w:hAnsi="Times New Roman" w:cs="Times New Roman"/>
          <w:color w:val="000000" w:themeColor="text1"/>
        </w:rPr>
        <w:t xml:space="preserve"> </w:t>
      </w:r>
      <w:r w:rsidR="00A45128" w:rsidRPr="00C706A5">
        <w:rPr>
          <w:rFonts w:ascii="Times New Roman" w:hAnsi="Times New Roman" w:cs="Times New Roman"/>
          <w:color w:val="000000" w:themeColor="text1"/>
        </w:rPr>
        <w:t>points</w:t>
      </w:r>
      <w:r w:rsidR="007C4CD5" w:rsidRPr="00C706A5">
        <w:rPr>
          <w:rFonts w:ascii="Times New Roman" w:hAnsi="Times New Roman" w:cs="Times New Roman"/>
          <w:color w:val="000000" w:themeColor="text1"/>
        </w:rPr>
        <w:t>, son niveau le plus bas depuis le début de l’enquête,</w:t>
      </w:r>
      <w:r w:rsidR="00A45128" w:rsidRPr="00C706A5">
        <w:rPr>
          <w:rFonts w:ascii="Times New Roman" w:hAnsi="Times New Roman" w:cs="Times New Roman"/>
          <w:color w:val="000000" w:themeColor="text1"/>
        </w:rPr>
        <w:t xml:space="preserve"> contre </w:t>
      </w:r>
      <w:r w:rsidR="009C76E3" w:rsidRPr="00C706A5">
        <w:rPr>
          <w:rFonts w:ascii="Times New Roman" w:hAnsi="Times New Roman" w:cs="Times New Roman"/>
          <w:color w:val="000000" w:themeColor="text1"/>
        </w:rPr>
        <w:t>7</w:t>
      </w:r>
      <w:r w:rsidR="00F86FF5" w:rsidRPr="00C706A5">
        <w:rPr>
          <w:rFonts w:ascii="Times New Roman" w:hAnsi="Times New Roman" w:cs="Times New Roman"/>
          <w:color w:val="000000" w:themeColor="text1"/>
        </w:rPr>
        <w:t>5</w:t>
      </w:r>
      <w:r w:rsidR="009C76E3" w:rsidRPr="00C706A5">
        <w:rPr>
          <w:rFonts w:ascii="Times New Roman" w:hAnsi="Times New Roman" w:cs="Times New Roman"/>
          <w:color w:val="000000" w:themeColor="text1"/>
        </w:rPr>
        <w:t>,</w:t>
      </w:r>
      <w:r w:rsidR="00F86FF5" w:rsidRPr="00C706A5">
        <w:rPr>
          <w:rFonts w:ascii="Times New Roman" w:hAnsi="Times New Roman" w:cs="Times New Roman"/>
          <w:color w:val="000000" w:themeColor="text1"/>
        </w:rPr>
        <w:t>4</w:t>
      </w:r>
      <w:r w:rsidR="009C76E3" w:rsidRPr="00C706A5">
        <w:rPr>
          <w:rFonts w:ascii="Times New Roman" w:hAnsi="Times New Roman" w:cs="Times New Roman"/>
          <w:color w:val="000000" w:themeColor="text1"/>
        </w:rPr>
        <w:t xml:space="preserve"> </w:t>
      </w:r>
      <w:r w:rsidR="00A45128" w:rsidRPr="00C706A5">
        <w:rPr>
          <w:rFonts w:ascii="Times New Roman" w:hAnsi="Times New Roman" w:cs="Times New Roman"/>
          <w:color w:val="000000" w:themeColor="text1"/>
        </w:rPr>
        <w:t>points un trimestre auparavant</w:t>
      </w:r>
      <w:r w:rsidR="005A7C0B" w:rsidRPr="00C706A5">
        <w:rPr>
          <w:rFonts w:ascii="Times New Roman" w:hAnsi="Times New Roman" w:cs="Times New Roman" w:hint="cs"/>
          <w:color w:val="000000" w:themeColor="text1"/>
          <w:rtl/>
        </w:rPr>
        <w:t xml:space="preserve"> </w:t>
      </w:r>
      <w:r w:rsidR="005A7C0B" w:rsidRPr="00C706A5">
        <w:rPr>
          <w:rFonts w:ascii="Times New Roman" w:hAnsi="Times New Roman" w:cs="Times New Roman"/>
          <w:color w:val="000000" w:themeColor="text1"/>
        </w:rPr>
        <w:t xml:space="preserve"> et</w:t>
      </w:r>
      <w:r w:rsidR="00A45128" w:rsidRPr="00C706A5">
        <w:rPr>
          <w:rFonts w:ascii="Times New Roman" w:hAnsi="Times New Roman" w:cs="Times New Roman"/>
          <w:color w:val="000000" w:themeColor="text1"/>
        </w:rPr>
        <w:t xml:space="preserve"> </w:t>
      </w:r>
      <w:r w:rsidR="009C76E3" w:rsidRPr="00C706A5">
        <w:rPr>
          <w:rFonts w:ascii="Times New Roman" w:hAnsi="Times New Roman" w:cs="Times New Roman"/>
          <w:color w:val="000000" w:themeColor="text1"/>
        </w:rPr>
        <w:t>7</w:t>
      </w:r>
      <w:r w:rsidR="00F86FF5" w:rsidRPr="00C706A5">
        <w:rPr>
          <w:rFonts w:ascii="Times New Roman" w:hAnsi="Times New Roman" w:cs="Times New Roman"/>
          <w:color w:val="000000" w:themeColor="text1"/>
        </w:rPr>
        <w:t>8</w:t>
      </w:r>
      <w:r w:rsidR="00BE269D" w:rsidRPr="00C706A5">
        <w:rPr>
          <w:rFonts w:ascii="Times New Roman" w:hAnsi="Times New Roman" w:cs="Times New Roman"/>
          <w:color w:val="000000" w:themeColor="text1"/>
        </w:rPr>
        <w:t>,</w:t>
      </w:r>
      <w:r w:rsidR="00F86FF5" w:rsidRPr="00C706A5">
        <w:rPr>
          <w:rFonts w:ascii="Times New Roman" w:hAnsi="Times New Roman" w:cs="Times New Roman"/>
          <w:color w:val="000000" w:themeColor="text1"/>
        </w:rPr>
        <w:t>4</w:t>
      </w:r>
      <w:r w:rsidR="00BE269D" w:rsidRPr="00C706A5">
        <w:rPr>
          <w:rFonts w:ascii="Times New Roman" w:hAnsi="Times New Roman" w:cs="Times New Roman"/>
          <w:color w:val="000000" w:themeColor="text1"/>
        </w:rPr>
        <w:t xml:space="preserve"> points le même trimestre de l’année passée. </w:t>
      </w:r>
    </w:p>
    <w:p w:rsidR="00430234" w:rsidRPr="00C706A5" w:rsidRDefault="00430234" w:rsidP="00BE269D">
      <w:pPr>
        <w:widowControl/>
        <w:spacing w:line="276" w:lineRule="auto"/>
        <w:jc w:val="both"/>
        <w:rPr>
          <w:rFonts w:ascii="Times New Roman" w:hAnsi="Times New Roman" w:cs="Times New Roman"/>
          <w:color w:val="000000" w:themeColor="text1"/>
          <w:rtl/>
        </w:rPr>
      </w:pPr>
    </w:p>
    <w:p w:rsidR="00E5224B" w:rsidRPr="00C706A5" w:rsidRDefault="00C814E3" w:rsidP="008C02D0">
      <w:pPr>
        <w:widowControl/>
        <w:spacing w:line="276" w:lineRule="auto"/>
        <w:jc w:val="center"/>
        <w:rPr>
          <w:rFonts w:ascii="Book Antiqua" w:hAnsi="Book Antiqua" w:cs="Times New Roman"/>
          <w:color w:val="000000" w:themeColor="text1"/>
        </w:rPr>
      </w:pPr>
      <w:r w:rsidRPr="00C706A5">
        <w:rPr>
          <w:rFonts w:ascii="Book Antiqua" w:hAnsi="Book Antiqua" w:cs="Times New Roman"/>
          <w:noProof/>
          <w:color w:val="000000" w:themeColor="text1"/>
        </w:rPr>
        <w:drawing>
          <wp:inline distT="0" distB="0" distL="0" distR="0">
            <wp:extent cx="6362700" cy="3171825"/>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13767" w:rsidRPr="00C706A5" w:rsidRDefault="00D26D39" w:rsidP="00A95F76">
      <w:pPr>
        <w:jc w:val="both"/>
        <w:rPr>
          <w:rFonts w:ascii="Times New Roman" w:hAnsi="Times New Roman" w:cs="Times New Roman"/>
          <w:color w:val="000000" w:themeColor="text1"/>
          <w:sz w:val="18"/>
          <w:szCs w:val="18"/>
        </w:rPr>
      </w:pPr>
      <w:r w:rsidRPr="00C706A5">
        <w:rPr>
          <w:rFonts w:ascii="Times New Roman" w:hAnsi="Times New Roman" w:cs="Times New Roman"/>
          <w:color w:val="000000" w:themeColor="text1"/>
          <w:sz w:val="18"/>
          <w:szCs w:val="18"/>
        </w:rPr>
        <w:t xml:space="preserve"> </w:t>
      </w:r>
      <w:r w:rsidR="00113767" w:rsidRPr="00C706A5">
        <w:rPr>
          <w:rFonts w:ascii="Times New Roman" w:hAnsi="Times New Roman" w:cs="Times New Roman"/>
          <w:color w:val="000000" w:themeColor="text1"/>
          <w:sz w:val="18"/>
          <w:szCs w:val="18"/>
        </w:rPr>
        <w:t xml:space="preserve"> </w:t>
      </w:r>
    </w:p>
    <w:p w:rsidR="00F80F35" w:rsidRPr="00C706A5" w:rsidRDefault="00F80F35" w:rsidP="00531247">
      <w:pPr>
        <w:widowControl/>
        <w:spacing w:line="276" w:lineRule="auto"/>
        <w:jc w:val="both"/>
        <w:rPr>
          <w:rFonts w:ascii="Times New Roman" w:hAnsi="Times New Roman" w:cs="Times New Roman"/>
          <w:b/>
          <w:bCs/>
          <w:color w:val="000000" w:themeColor="text1"/>
        </w:rPr>
      </w:pPr>
    </w:p>
    <w:p w:rsidR="00B623D5" w:rsidRPr="00C706A5" w:rsidRDefault="00B623D5" w:rsidP="00531247">
      <w:pPr>
        <w:widowControl/>
        <w:spacing w:line="276" w:lineRule="auto"/>
        <w:jc w:val="both"/>
        <w:rPr>
          <w:rFonts w:ascii="Times New Roman" w:hAnsi="Times New Roman" w:cs="Times New Roman"/>
          <w:b/>
          <w:bCs/>
          <w:color w:val="000000" w:themeColor="text1"/>
        </w:rPr>
      </w:pPr>
    </w:p>
    <w:p w:rsidR="00B623D5" w:rsidRPr="00C706A5" w:rsidRDefault="00B623D5" w:rsidP="00531247">
      <w:pPr>
        <w:widowControl/>
        <w:spacing w:line="276" w:lineRule="auto"/>
        <w:jc w:val="both"/>
        <w:rPr>
          <w:rFonts w:ascii="Times New Roman" w:hAnsi="Times New Roman" w:cs="Times New Roman"/>
          <w:b/>
          <w:bCs/>
          <w:color w:val="000000" w:themeColor="text1"/>
        </w:rPr>
      </w:pPr>
    </w:p>
    <w:p w:rsidR="008D3806" w:rsidRPr="00C706A5" w:rsidRDefault="008D3806" w:rsidP="00531247">
      <w:pPr>
        <w:widowControl/>
        <w:spacing w:line="276" w:lineRule="auto"/>
        <w:jc w:val="both"/>
        <w:rPr>
          <w:rFonts w:ascii="Times New Roman" w:hAnsi="Times New Roman" w:cs="Times New Roman"/>
          <w:b/>
          <w:bCs/>
          <w:color w:val="000000" w:themeColor="text1"/>
        </w:rPr>
      </w:pPr>
    </w:p>
    <w:p w:rsidR="00B623D5" w:rsidRPr="00C706A5" w:rsidRDefault="00B623D5" w:rsidP="00531247">
      <w:pPr>
        <w:widowControl/>
        <w:spacing w:line="276" w:lineRule="auto"/>
        <w:jc w:val="both"/>
        <w:rPr>
          <w:rFonts w:ascii="Times New Roman" w:hAnsi="Times New Roman" w:cs="Times New Roman"/>
          <w:b/>
          <w:bCs/>
          <w:color w:val="000000" w:themeColor="text1"/>
        </w:rPr>
      </w:pPr>
    </w:p>
    <w:p w:rsidR="008D3806" w:rsidRPr="00C706A5" w:rsidRDefault="008D3806" w:rsidP="00531247">
      <w:pPr>
        <w:widowControl/>
        <w:spacing w:line="276" w:lineRule="auto"/>
        <w:jc w:val="both"/>
        <w:rPr>
          <w:rFonts w:ascii="Times New Roman" w:hAnsi="Times New Roman" w:cs="Times New Roman"/>
          <w:b/>
          <w:bCs/>
          <w:color w:val="000000" w:themeColor="text1"/>
        </w:rPr>
      </w:pPr>
    </w:p>
    <w:p w:rsidR="00B623D5" w:rsidRPr="00C706A5" w:rsidRDefault="00B623D5" w:rsidP="00531247">
      <w:pPr>
        <w:widowControl/>
        <w:spacing w:line="276" w:lineRule="auto"/>
        <w:jc w:val="both"/>
        <w:rPr>
          <w:rFonts w:ascii="Times New Roman" w:hAnsi="Times New Roman" w:cs="Times New Roman"/>
          <w:b/>
          <w:bCs/>
          <w:color w:val="000000" w:themeColor="text1"/>
        </w:rPr>
      </w:pPr>
    </w:p>
    <w:p w:rsidR="002F5E6A" w:rsidRPr="00C706A5" w:rsidRDefault="002F5E6A" w:rsidP="00531247">
      <w:pPr>
        <w:widowControl/>
        <w:spacing w:line="276" w:lineRule="auto"/>
        <w:jc w:val="both"/>
        <w:rPr>
          <w:rFonts w:ascii="Times New Roman" w:hAnsi="Times New Roman" w:cs="Times New Roman"/>
          <w:b/>
          <w:bCs/>
          <w:color w:val="000000" w:themeColor="text1"/>
        </w:rPr>
      </w:pPr>
    </w:p>
    <w:p w:rsidR="008D3806" w:rsidRPr="00C706A5" w:rsidRDefault="006F1D72" w:rsidP="008D3806">
      <w:pPr>
        <w:pStyle w:val="Paragraphedeliste"/>
        <w:numPr>
          <w:ilvl w:val="0"/>
          <w:numId w:val="9"/>
        </w:numPr>
        <w:jc w:val="both"/>
        <w:rPr>
          <w:rFonts w:ascii="Times New Roman" w:hAnsi="Times New Roman" w:cs="Times New Roman"/>
          <w:b/>
          <w:bCs/>
          <w:color w:val="000000" w:themeColor="text1"/>
        </w:rPr>
      </w:pPr>
      <w:bookmarkStart w:id="0" w:name="_Ref379209308"/>
      <w:r w:rsidRPr="00C706A5">
        <w:rPr>
          <w:rFonts w:ascii="Times New Roman" w:hAnsi="Times New Roman" w:cs="Times New Roman"/>
          <w:b/>
          <w:bCs/>
          <w:color w:val="000000" w:themeColor="text1"/>
        </w:rPr>
        <w:lastRenderedPageBreak/>
        <w:t xml:space="preserve">Evolution des </w:t>
      </w:r>
      <w:r w:rsidR="00860E86" w:rsidRPr="00C706A5">
        <w:rPr>
          <w:rFonts w:ascii="Times New Roman" w:hAnsi="Times New Roman" w:cs="Times New Roman"/>
          <w:b/>
          <w:bCs/>
          <w:color w:val="000000" w:themeColor="text1"/>
        </w:rPr>
        <w:t>composantes de</w:t>
      </w:r>
      <w:r w:rsidRPr="00C706A5">
        <w:rPr>
          <w:rFonts w:ascii="Times New Roman" w:hAnsi="Times New Roman" w:cs="Times New Roman"/>
          <w:b/>
          <w:bCs/>
          <w:color w:val="000000" w:themeColor="text1"/>
        </w:rPr>
        <w:t xml:space="preserve"> l'ICM</w:t>
      </w:r>
      <w:bookmarkEnd w:id="0"/>
    </w:p>
    <w:p w:rsidR="008D3806" w:rsidRPr="00C706A5" w:rsidRDefault="008D3806" w:rsidP="008D3806">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Cette évolution de l’ICM est le résultat des variations de ses différentes composantes. </w:t>
      </w:r>
    </w:p>
    <w:p w:rsidR="00912704" w:rsidRPr="00C706A5" w:rsidRDefault="005B1014" w:rsidP="000518A6">
      <w:pPr>
        <w:pStyle w:val="Paragraphedeliste"/>
        <w:numPr>
          <w:ilvl w:val="0"/>
          <w:numId w:val="8"/>
        </w:numPr>
        <w:spacing w:before="240"/>
        <w:ind w:left="142" w:hanging="142"/>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r w:rsidR="0002532B" w:rsidRPr="00C706A5">
        <w:rPr>
          <w:rFonts w:ascii="Times New Roman" w:hAnsi="Times New Roman" w:cs="Times New Roman"/>
          <w:b/>
          <w:bCs/>
          <w:color w:val="000000" w:themeColor="text1"/>
        </w:rPr>
        <w:t>Niveaux de vie</w:t>
      </w:r>
      <w:r w:rsidR="00B50EDD" w:rsidRPr="00C706A5">
        <w:rPr>
          <w:rFonts w:ascii="Times New Roman" w:hAnsi="Times New Roman" w:cs="Times New Roman"/>
          <w:b/>
          <w:bCs/>
          <w:color w:val="000000" w:themeColor="text1"/>
        </w:rPr>
        <w:t>:</w:t>
      </w:r>
      <w:r w:rsidR="001B1130" w:rsidRPr="00C706A5">
        <w:rPr>
          <w:rFonts w:ascii="Times New Roman" w:hAnsi="Times New Roman" w:cs="Times New Roman"/>
          <w:b/>
          <w:bCs/>
          <w:color w:val="000000" w:themeColor="text1"/>
        </w:rPr>
        <w:t xml:space="preserve"> </w:t>
      </w:r>
      <w:r w:rsidR="000174FE" w:rsidRPr="00C706A5">
        <w:rPr>
          <w:rFonts w:ascii="Times New Roman" w:hAnsi="Times New Roman" w:cs="Times New Roman"/>
          <w:b/>
          <w:bCs/>
          <w:color w:val="000000" w:themeColor="text1"/>
        </w:rPr>
        <w:t xml:space="preserve">anticipation d’une </w:t>
      </w:r>
      <w:r w:rsidR="000518A6" w:rsidRPr="00C706A5">
        <w:rPr>
          <w:rFonts w:ascii="Times New Roman" w:hAnsi="Times New Roman" w:cs="Times New Roman"/>
          <w:b/>
          <w:bCs/>
          <w:color w:val="000000" w:themeColor="text1"/>
        </w:rPr>
        <w:t>baisse</w:t>
      </w:r>
    </w:p>
    <w:p w:rsidR="00122941" w:rsidRPr="00C706A5" w:rsidRDefault="00122941" w:rsidP="00D46521">
      <w:pPr>
        <w:widowControl/>
        <w:spacing w:before="240" w:line="276" w:lineRule="auto"/>
        <w:jc w:val="both"/>
        <w:rPr>
          <w:rFonts w:ascii="Book Antiqua" w:hAnsi="Book Antiqua" w:cs="Times New Roman"/>
          <w:color w:val="000000" w:themeColor="text1"/>
        </w:rPr>
      </w:pPr>
      <w:r w:rsidRPr="00C706A5">
        <w:rPr>
          <w:rFonts w:ascii="Times New Roman" w:hAnsi="Times New Roman" w:cs="Times New Roman"/>
          <w:color w:val="000000" w:themeColor="text1"/>
        </w:rPr>
        <w:t xml:space="preserve">Les perceptions des ménages sur l’évolution passée du niveau de vie a connu, au </w:t>
      </w:r>
      <w:r w:rsidR="001A4203" w:rsidRPr="00C706A5">
        <w:rPr>
          <w:rFonts w:ascii="Times New Roman" w:hAnsi="Times New Roman" w:cs="Times New Roman"/>
          <w:color w:val="000000" w:themeColor="text1"/>
        </w:rPr>
        <w:t>quatrième trimestre</w:t>
      </w:r>
      <w:r w:rsidRPr="00C706A5">
        <w:rPr>
          <w:rFonts w:ascii="Times New Roman" w:hAnsi="Times New Roman" w:cs="Times New Roman"/>
          <w:color w:val="000000" w:themeColor="text1"/>
        </w:rPr>
        <w:t xml:space="preserve"> de 2013, une amélioration aussi bien par rapport au trimestre précédent qu’au même trimestre de l’année </w:t>
      </w:r>
      <w:r w:rsidR="00D46521" w:rsidRPr="00C706A5">
        <w:rPr>
          <w:rFonts w:ascii="Times New Roman" w:hAnsi="Times New Roman" w:cs="Times New Roman"/>
          <w:color w:val="000000" w:themeColor="text1"/>
        </w:rPr>
        <w:t>2012</w:t>
      </w:r>
      <w:r w:rsidRPr="00C706A5">
        <w:rPr>
          <w:rFonts w:ascii="Times New Roman" w:hAnsi="Times New Roman" w:cs="Times New Roman"/>
          <w:color w:val="000000" w:themeColor="text1"/>
        </w:rPr>
        <w:t xml:space="preserve">. </w:t>
      </w:r>
      <w:r w:rsidR="00137D7D" w:rsidRPr="00C706A5">
        <w:rPr>
          <w:rFonts w:ascii="Times New Roman" w:hAnsi="Times New Roman" w:cs="Times New Roman"/>
          <w:color w:val="000000" w:themeColor="text1"/>
        </w:rPr>
        <w:t>Le</w:t>
      </w:r>
      <w:r w:rsidRPr="00C706A5">
        <w:rPr>
          <w:rFonts w:ascii="Times New Roman" w:hAnsi="Times New Roman" w:cs="Times New Roman"/>
          <w:color w:val="000000" w:themeColor="text1"/>
        </w:rPr>
        <w:t xml:space="preserve"> solde relatif à cet indicateur </w:t>
      </w:r>
      <w:r w:rsidR="00354A18" w:rsidRPr="00C706A5">
        <w:rPr>
          <w:rFonts w:ascii="Times New Roman" w:hAnsi="Times New Roman" w:cs="Times New Roman"/>
          <w:color w:val="000000" w:themeColor="text1"/>
        </w:rPr>
        <w:t>a</w:t>
      </w:r>
      <w:r w:rsidRPr="00C706A5">
        <w:rPr>
          <w:rFonts w:ascii="Times New Roman" w:hAnsi="Times New Roman" w:cs="Times New Roman"/>
          <w:color w:val="000000" w:themeColor="text1"/>
        </w:rPr>
        <w:t xml:space="preserve"> gagné  1,</w:t>
      </w:r>
      <w:r w:rsidR="00885A0C"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 xml:space="preserve"> point et </w:t>
      </w:r>
      <w:r w:rsidR="00885A0C" w:rsidRPr="00C706A5">
        <w:rPr>
          <w:rFonts w:ascii="Times New Roman" w:hAnsi="Times New Roman" w:cs="Times New Roman"/>
          <w:color w:val="000000" w:themeColor="text1"/>
        </w:rPr>
        <w:t>8</w:t>
      </w:r>
      <w:r w:rsidRPr="00C706A5">
        <w:rPr>
          <w:rFonts w:ascii="Times New Roman" w:hAnsi="Times New Roman" w:cs="Times New Roman"/>
          <w:color w:val="000000" w:themeColor="text1"/>
        </w:rPr>
        <w:t>,</w:t>
      </w:r>
      <w:r w:rsidR="00885A0C"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points</w:t>
      </w:r>
      <w:r w:rsidR="00354A18" w:rsidRPr="00C706A5">
        <w:rPr>
          <w:rFonts w:ascii="Times New Roman" w:hAnsi="Times New Roman" w:cs="Times New Roman"/>
          <w:color w:val="000000" w:themeColor="text1"/>
        </w:rPr>
        <w:t xml:space="preserve"> durant ces deux périodes </w:t>
      </w:r>
      <w:r w:rsidR="00862AF0" w:rsidRPr="00C706A5">
        <w:rPr>
          <w:rFonts w:ascii="Times New Roman" w:hAnsi="Times New Roman" w:cs="Times New Roman"/>
          <w:color w:val="000000" w:themeColor="text1"/>
        </w:rPr>
        <w:t>respectives</w:t>
      </w:r>
      <w:r w:rsidRPr="00C706A5">
        <w:rPr>
          <w:rFonts w:ascii="Times New Roman" w:hAnsi="Times New Roman" w:cs="Times New Roman"/>
          <w:color w:val="000000" w:themeColor="text1"/>
        </w:rPr>
        <w:t>.</w:t>
      </w:r>
    </w:p>
    <w:p w:rsidR="00761A82" w:rsidRPr="00C706A5" w:rsidRDefault="004A590B" w:rsidP="006F193E">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Le solde d’opinion relatif aux perspectives d’évolution de niveau de vie enregistre cependant,</w:t>
      </w:r>
      <w:r w:rsidR="00F86EAC" w:rsidRPr="00C706A5">
        <w:rPr>
          <w:rFonts w:ascii="Times New Roman" w:hAnsi="Times New Roman" w:cs="Times New Roman"/>
          <w:color w:val="000000" w:themeColor="text1"/>
        </w:rPr>
        <w:t xml:space="preserve"> </w:t>
      </w:r>
      <w:r w:rsidR="00753AB7" w:rsidRPr="00C706A5">
        <w:rPr>
          <w:rFonts w:ascii="Times New Roman" w:hAnsi="Times New Roman" w:cs="Times New Roman"/>
          <w:color w:val="000000" w:themeColor="text1"/>
        </w:rPr>
        <w:t xml:space="preserve">une </w:t>
      </w:r>
      <w:r w:rsidR="00F86EAC" w:rsidRPr="00C706A5">
        <w:rPr>
          <w:rFonts w:ascii="Times New Roman" w:hAnsi="Times New Roman" w:cs="Times New Roman"/>
          <w:color w:val="000000" w:themeColor="text1"/>
        </w:rPr>
        <w:t>baisse</w:t>
      </w:r>
      <w:r w:rsidR="00753AB7" w:rsidRPr="00C706A5">
        <w:rPr>
          <w:rFonts w:ascii="Times New Roman" w:hAnsi="Times New Roman" w:cs="Times New Roman"/>
          <w:color w:val="000000" w:themeColor="text1"/>
        </w:rPr>
        <w:t xml:space="preserve"> de </w:t>
      </w:r>
      <w:r w:rsidR="00F86EAC" w:rsidRPr="00C706A5">
        <w:rPr>
          <w:rFonts w:ascii="Times New Roman" w:hAnsi="Times New Roman" w:cs="Times New Roman"/>
          <w:color w:val="000000" w:themeColor="text1"/>
        </w:rPr>
        <w:t>4</w:t>
      </w:r>
      <w:r w:rsidR="00753AB7" w:rsidRPr="00C706A5">
        <w:rPr>
          <w:rFonts w:ascii="Times New Roman" w:hAnsi="Times New Roman" w:cs="Times New Roman"/>
          <w:color w:val="000000" w:themeColor="text1"/>
        </w:rPr>
        <w:t>,</w:t>
      </w:r>
      <w:r w:rsidR="00F86EAC" w:rsidRPr="00C706A5">
        <w:rPr>
          <w:rFonts w:ascii="Times New Roman" w:hAnsi="Times New Roman" w:cs="Times New Roman"/>
          <w:color w:val="000000" w:themeColor="text1"/>
        </w:rPr>
        <w:t>8</w:t>
      </w:r>
      <w:r w:rsidR="00753AB7" w:rsidRPr="00C706A5">
        <w:rPr>
          <w:rFonts w:ascii="Times New Roman" w:hAnsi="Times New Roman" w:cs="Times New Roman"/>
          <w:color w:val="000000" w:themeColor="text1"/>
        </w:rPr>
        <w:t xml:space="preserve"> point</w:t>
      </w:r>
      <w:r w:rsidR="00F86EAC" w:rsidRPr="00C706A5">
        <w:rPr>
          <w:rFonts w:ascii="Times New Roman" w:hAnsi="Times New Roman" w:cs="Times New Roman"/>
          <w:color w:val="000000" w:themeColor="text1"/>
        </w:rPr>
        <w:t>s</w:t>
      </w:r>
      <w:r w:rsidR="00761A82" w:rsidRPr="00C706A5">
        <w:rPr>
          <w:rFonts w:ascii="Times New Roman" w:hAnsi="Times New Roman" w:cs="Times New Roman"/>
          <w:color w:val="000000" w:themeColor="text1"/>
        </w:rPr>
        <w:t xml:space="preserve"> p</w:t>
      </w:r>
      <w:r w:rsidR="00C077F1" w:rsidRPr="00C706A5">
        <w:rPr>
          <w:rFonts w:ascii="Times New Roman" w:hAnsi="Times New Roman" w:cs="Times New Roman"/>
          <w:color w:val="000000" w:themeColor="text1"/>
        </w:rPr>
        <w:t>ar rapport</w:t>
      </w:r>
      <w:r w:rsidR="00761A82" w:rsidRPr="00C706A5">
        <w:rPr>
          <w:rFonts w:ascii="Times New Roman" w:hAnsi="Times New Roman" w:cs="Times New Roman"/>
          <w:color w:val="000000" w:themeColor="text1"/>
        </w:rPr>
        <w:t xml:space="preserve"> au trimestre précédent </w:t>
      </w:r>
      <w:r w:rsidR="00F625E1" w:rsidRPr="00C706A5">
        <w:rPr>
          <w:rFonts w:ascii="Times New Roman" w:hAnsi="Times New Roman" w:cs="Times New Roman"/>
          <w:color w:val="000000" w:themeColor="text1"/>
        </w:rPr>
        <w:t>et</w:t>
      </w:r>
      <w:r w:rsidR="00761A82" w:rsidRPr="00C706A5">
        <w:rPr>
          <w:rFonts w:ascii="Times New Roman" w:hAnsi="Times New Roman" w:cs="Times New Roman"/>
          <w:color w:val="000000" w:themeColor="text1"/>
        </w:rPr>
        <w:t xml:space="preserve"> </w:t>
      </w:r>
      <w:r w:rsidR="00F86EAC" w:rsidRPr="00C706A5">
        <w:rPr>
          <w:rFonts w:ascii="Times New Roman" w:hAnsi="Times New Roman" w:cs="Times New Roman"/>
          <w:color w:val="000000" w:themeColor="text1"/>
        </w:rPr>
        <w:t xml:space="preserve">de 6,7 </w:t>
      </w:r>
      <w:r w:rsidR="00761A82" w:rsidRPr="00C706A5">
        <w:rPr>
          <w:rFonts w:ascii="Times New Roman" w:hAnsi="Times New Roman" w:cs="Times New Roman"/>
          <w:color w:val="000000" w:themeColor="text1"/>
        </w:rPr>
        <w:t>point</w:t>
      </w:r>
      <w:r w:rsidR="00F86EAC" w:rsidRPr="00C706A5">
        <w:rPr>
          <w:rFonts w:ascii="Times New Roman" w:hAnsi="Times New Roman" w:cs="Times New Roman"/>
          <w:color w:val="000000" w:themeColor="text1"/>
        </w:rPr>
        <w:t>s</w:t>
      </w:r>
      <w:r w:rsidR="00761A82" w:rsidRPr="00C706A5">
        <w:rPr>
          <w:rFonts w:ascii="Times New Roman" w:hAnsi="Times New Roman" w:cs="Times New Roman"/>
          <w:color w:val="000000" w:themeColor="text1"/>
        </w:rPr>
        <w:t xml:space="preserve"> par rapport à la même période de 2012.</w:t>
      </w:r>
    </w:p>
    <w:p w:rsidR="00DB5B40" w:rsidRPr="00C706A5" w:rsidRDefault="00DB5B40" w:rsidP="00DB5B40">
      <w:pPr>
        <w:widowControl/>
        <w:spacing w:line="276" w:lineRule="auto"/>
        <w:jc w:val="both"/>
        <w:rPr>
          <w:rFonts w:ascii="Times New Roman" w:hAnsi="Times New Roman" w:cs="Times New Roman"/>
          <w:color w:val="000000" w:themeColor="text1"/>
        </w:rPr>
      </w:pPr>
    </w:p>
    <w:p w:rsidR="0092695A" w:rsidRPr="00C706A5" w:rsidRDefault="00C814E3" w:rsidP="004660F5">
      <w:pPr>
        <w:widowControl/>
        <w:spacing w:line="276" w:lineRule="auto"/>
        <w:jc w:val="center"/>
        <w:rPr>
          <w:rFonts w:ascii="Book Antiqua" w:hAnsi="Book Antiqua" w:cs="Times New Roman"/>
          <w:color w:val="000000" w:themeColor="text1"/>
          <w:rtl/>
        </w:rPr>
      </w:pPr>
      <w:r w:rsidRPr="00C706A5">
        <w:rPr>
          <w:rFonts w:ascii="Book Antiqua" w:hAnsi="Book Antiqua" w:cs="Times New Roman"/>
          <w:noProof/>
          <w:color w:val="000000" w:themeColor="text1"/>
        </w:rPr>
        <w:drawing>
          <wp:inline distT="0" distB="0" distL="0" distR="0">
            <wp:extent cx="6410325" cy="2647950"/>
            <wp:effectExtent l="19050" t="0" r="9525"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D1AAF" w:rsidRPr="00C706A5" w:rsidRDefault="008D1AAF" w:rsidP="0023094A">
      <w:pPr>
        <w:widowControl/>
        <w:spacing w:line="276" w:lineRule="auto"/>
        <w:jc w:val="both"/>
        <w:rPr>
          <w:rFonts w:ascii="Times New Roman" w:hAnsi="Times New Roman" w:cs="Times New Roman"/>
          <w:b/>
          <w:bCs/>
          <w:color w:val="000000" w:themeColor="text1"/>
        </w:rPr>
      </w:pPr>
    </w:p>
    <w:p w:rsidR="002C5954" w:rsidRPr="00C706A5" w:rsidRDefault="002C5954" w:rsidP="006F0E4F">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r w:rsidR="006F0E4F" w:rsidRPr="00C706A5">
        <w:rPr>
          <w:rFonts w:ascii="Times New Roman" w:hAnsi="Times New Roman" w:cs="Times New Roman"/>
          <w:b/>
          <w:bCs/>
          <w:color w:val="000000" w:themeColor="text1"/>
        </w:rPr>
        <w:t>C</w:t>
      </w:r>
      <w:r w:rsidR="000A40C3" w:rsidRPr="00C706A5">
        <w:rPr>
          <w:rFonts w:ascii="Times New Roman" w:hAnsi="Times New Roman" w:cs="Times New Roman"/>
          <w:b/>
          <w:bCs/>
          <w:color w:val="000000" w:themeColor="text1"/>
        </w:rPr>
        <w:t xml:space="preserve">hômage : </w:t>
      </w:r>
      <w:r w:rsidR="006F6A79" w:rsidRPr="00C706A5">
        <w:rPr>
          <w:rFonts w:ascii="Times New Roman" w:hAnsi="Times New Roman" w:cs="Times New Roman"/>
          <w:b/>
          <w:bCs/>
          <w:color w:val="000000" w:themeColor="text1"/>
        </w:rPr>
        <w:t xml:space="preserve">une </w:t>
      </w:r>
      <w:r w:rsidR="009A19F3" w:rsidRPr="00C706A5">
        <w:rPr>
          <w:rFonts w:ascii="Times New Roman" w:hAnsi="Times New Roman" w:cs="Times New Roman"/>
          <w:b/>
          <w:bCs/>
          <w:color w:val="000000" w:themeColor="text1"/>
        </w:rPr>
        <w:t>hausse</w:t>
      </w:r>
      <w:r w:rsidR="00D94ADC" w:rsidRPr="00C706A5">
        <w:rPr>
          <w:rFonts w:ascii="Times New Roman" w:hAnsi="Times New Roman" w:cs="Times New Roman"/>
          <w:b/>
          <w:bCs/>
          <w:color w:val="000000" w:themeColor="text1"/>
        </w:rPr>
        <w:t xml:space="preserve"> moins forte</w:t>
      </w:r>
      <w:r w:rsidR="009A19F3" w:rsidRPr="00C706A5">
        <w:rPr>
          <w:rFonts w:ascii="Times New Roman" w:hAnsi="Times New Roman" w:cs="Times New Roman"/>
          <w:b/>
          <w:bCs/>
          <w:color w:val="000000" w:themeColor="text1"/>
        </w:rPr>
        <w:t xml:space="preserve"> </w:t>
      </w:r>
      <w:r w:rsidR="006F0E4F" w:rsidRPr="00C706A5">
        <w:rPr>
          <w:rFonts w:ascii="Times New Roman" w:hAnsi="Times New Roman" w:cs="Times New Roman"/>
          <w:b/>
          <w:bCs/>
          <w:color w:val="000000" w:themeColor="text1"/>
        </w:rPr>
        <w:t>anticipée</w:t>
      </w:r>
    </w:p>
    <w:p w:rsidR="00003F54" w:rsidRPr="00C706A5" w:rsidRDefault="00C553B5" w:rsidP="004F1AD1">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quatrième trimestre</w:t>
      </w:r>
      <w:r w:rsidRPr="00C706A5">
        <w:rPr>
          <w:rFonts w:ascii="Times New Roman" w:hAnsi="Times New Roman" w:cs="Times New Roman"/>
          <w:color w:val="000000" w:themeColor="text1"/>
        </w:rPr>
        <w:t xml:space="preserve"> de 2013, 7</w:t>
      </w:r>
      <w:r w:rsidR="0064120B" w:rsidRPr="00C706A5">
        <w:rPr>
          <w:rFonts w:ascii="Times New Roman" w:hAnsi="Times New Roman" w:cs="Times New Roman"/>
          <w:color w:val="000000" w:themeColor="text1"/>
        </w:rPr>
        <w:t>5,4</w:t>
      </w:r>
      <w:r w:rsidRPr="00C706A5">
        <w:rPr>
          <w:rFonts w:ascii="Times New Roman" w:hAnsi="Times New Roman" w:cs="Times New Roman"/>
          <w:color w:val="000000" w:themeColor="text1"/>
        </w:rPr>
        <w:t xml:space="preserve">% des ménages anticipent une hausse du nombre de chômeurs pour les 12 mois à venir contre </w:t>
      </w:r>
      <w:r w:rsidR="00842AB8" w:rsidRPr="00C706A5">
        <w:rPr>
          <w:rFonts w:ascii="Times New Roman" w:hAnsi="Times New Roman" w:cs="Times New Roman"/>
          <w:color w:val="000000" w:themeColor="text1"/>
        </w:rPr>
        <w:t>7</w:t>
      </w:r>
      <w:r w:rsidR="0064120B" w:rsidRPr="00C706A5">
        <w:rPr>
          <w:rFonts w:ascii="Times New Roman" w:hAnsi="Times New Roman" w:cs="Times New Roman"/>
          <w:color w:val="000000" w:themeColor="text1"/>
        </w:rPr>
        <w:t>7</w:t>
      </w:r>
      <w:r w:rsidR="00842AB8" w:rsidRPr="00C706A5">
        <w:rPr>
          <w:rFonts w:ascii="Times New Roman" w:hAnsi="Times New Roman" w:cs="Times New Roman"/>
          <w:color w:val="000000" w:themeColor="text1"/>
        </w:rPr>
        <w:t xml:space="preserve">% un trimestre auparavant et </w:t>
      </w:r>
      <w:r w:rsidR="0064120B" w:rsidRPr="00C706A5">
        <w:rPr>
          <w:rFonts w:ascii="Times New Roman" w:hAnsi="Times New Roman" w:cs="Times New Roman"/>
          <w:color w:val="000000" w:themeColor="text1"/>
        </w:rPr>
        <w:t>70</w:t>
      </w:r>
      <w:r w:rsidR="00842AB8" w:rsidRPr="00C706A5">
        <w:rPr>
          <w:rFonts w:ascii="Times New Roman" w:hAnsi="Times New Roman" w:cs="Times New Roman"/>
          <w:color w:val="000000" w:themeColor="text1"/>
        </w:rPr>
        <w:t>,</w:t>
      </w:r>
      <w:r w:rsidR="00BF011D" w:rsidRPr="00C706A5">
        <w:rPr>
          <w:rFonts w:ascii="Times New Roman" w:hAnsi="Times New Roman" w:cs="Times New Roman"/>
          <w:color w:val="000000" w:themeColor="text1"/>
        </w:rPr>
        <w:t>3</w:t>
      </w:r>
      <w:r w:rsidR="00842AB8" w:rsidRPr="00C706A5">
        <w:rPr>
          <w:rFonts w:ascii="Times New Roman" w:hAnsi="Times New Roman" w:cs="Times New Roman"/>
          <w:color w:val="000000" w:themeColor="text1"/>
        </w:rPr>
        <w:t xml:space="preserve">% un an auparavant. </w:t>
      </w:r>
      <w:r w:rsidR="00003F54" w:rsidRPr="00C706A5">
        <w:rPr>
          <w:rFonts w:ascii="Times New Roman" w:hAnsi="Times New Roman" w:cs="Times New Roman"/>
          <w:color w:val="000000" w:themeColor="text1"/>
        </w:rPr>
        <w:t xml:space="preserve">Le solde de cet indicateur </w:t>
      </w:r>
      <w:r w:rsidR="009A19F3" w:rsidRPr="00C706A5">
        <w:rPr>
          <w:rFonts w:ascii="Times New Roman" w:hAnsi="Times New Roman" w:cs="Times New Roman"/>
          <w:color w:val="000000" w:themeColor="text1"/>
        </w:rPr>
        <w:t>qui s’établi</w:t>
      </w:r>
      <w:r w:rsidR="001F5D34" w:rsidRPr="00C706A5">
        <w:rPr>
          <w:rFonts w:ascii="Times New Roman" w:hAnsi="Times New Roman" w:cs="Times New Roman"/>
          <w:color w:val="000000" w:themeColor="text1"/>
        </w:rPr>
        <w:t>t</w:t>
      </w:r>
      <w:r w:rsidR="009A19F3" w:rsidRPr="00C706A5">
        <w:rPr>
          <w:rFonts w:ascii="Times New Roman" w:hAnsi="Times New Roman" w:cs="Times New Roman"/>
          <w:color w:val="000000" w:themeColor="text1"/>
        </w:rPr>
        <w:t xml:space="preserve"> </w:t>
      </w:r>
      <w:r w:rsidR="001F5D34" w:rsidRPr="00C706A5">
        <w:rPr>
          <w:rFonts w:ascii="Times New Roman" w:hAnsi="Times New Roman" w:cs="Times New Roman"/>
          <w:color w:val="000000" w:themeColor="text1"/>
        </w:rPr>
        <w:t xml:space="preserve">à </w:t>
      </w:r>
      <w:r w:rsidR="009A19F3" w:rsidRPr="00C706A5">
        <w:rPr>
          <w:rFonts w:ascii="Times New Roman" w:hAnsi="Times New Roman" w:cs="Times New Roman"/>
          <w:color w:val="000000" w:themeColor="text1"/>
        </w:rPr>
        <w:t>-6</w:t>
      </w:r>
      <w:r w:rsidR="0064120B" w:rsidRPr="00C706A5">
        <w:rPr>
          <w:rFonts w:ascii="Times New Roman" w:hAnsi="Times New Roman" w:cs="Times New Roman"/>
          <w:color w:val="000000" w:themeColor="text1"/>
        </w:rPr>
        <w:t>8</w:t>
      </w:r>
      <w:r w:rsidR="009A19F3" w:rsidRPr="00C706A5">
        <w:rPr>
          <w:rFonts w:ascii="Times New Roman" w:hAnsi="Times New Roman" w:cs="Times New Roman"/>
          <w:color w:val="000000" w:themeColor="text1"/>
        </w:rPr>
        <w:t>,</w:t>
      </w:r>
      <w:r w:rsidR="0064120B" w:rsidRPr="00C706A5">
        <w:rPr>
          <w:rFonts w:ascii="Times New Roman" w:hAnsi="Times New Roman" w:cs="Times New Roman"/>
          <w:color w:val="000000" w:themeColor="text1"/>
        </w:rPr>
        <w:t>2</w:t>
      </w:r>
      <w:r w:rsidR="009A19F3" w:rsidRPr="00C706A5">
        <w:rPr>
          <w:rFonts w:ascii="Times New Roman" w:hAnsi="Times New Roman" w:cs="Times New Roman"/>
          <w:color w:val="000000" w:themeColor="text1"/>
        </w:rPr>
        <w:t xml:space="preserve"> points</w:t>
      </w:r>
      <w:r w:rsidR="008D3806" w:rsidRPr="00C706A5">
        <w:rPr>
          <w:rFonts w:ascii="Times New Roman" w:hAnsi="Times New Roman" w:cs="Times New Roman"/>
          <w:color w:val="000000" w:themeColor="text1"/>
        </w:rPr>
        <w:t xml:space="preserve"> rompt sa tendance baissière entamée depuis deux ans. </w:t>
      </w:r>
      <w:r w:rsidR="00B01E6B" w:rsidRPr="00C706A5">
        <w:rPr>
          <w:rFonts w:ascii="Times New Roman" w:hAnsi="Times New Roman" w:cs="Times New Roman"/>
          <w:color w:val="000000" w:themeColor="text1"/>
        </w:rPr>
        <w:t xml:space="preserve">Il </w:t>
      </w:r>
      <w:r w:rsidR="00003F54" w:rsidRPr="00C706A5">
        <w:rPr>
          <w:rFonts w:ascii="Times New Roman" w:hAnsi="Times New Roman" w:cs="Times New Roman"/>
          <w:color w:val="000000" w:themeColor="text1"/>
        </w:rPr>
        <w:t>enregistr</w:t>
      </w:r>
      <w:r w:rsidR="001F5D34" w:rsidRPr="00C706A5">
        <w:rPr>
          <w:rFonts w:ascii="Times New Roman" w:hAnsi="Times New Roman" w:cs="Times New Roman"/>
          <w:color w:val="000000" w:themeColor="text1"/>
        </w:rPr>
        <w:t>e</w:t>
      </w:r>
      <w:r w:rsidR="009A19F3" w:rsidRPr="00C706A5">
        <w:rPr>
          <w:rFonts w:ascii="Times New Roman" w:hAnsi="Times New Roman" w:cs="Times New Roman"/>
          <w:color w:val="000000" w:themeColor="text1"/>
        </w:rPr>
        <w:t xml:space="preserve"> </w:t>
      </w:r>
      <w:r w:rsidR="00D85054" w:rsidRPr="00C706A5">
        <w:rPr>
          <w:rFonts w:ascii="Times New Roman" w:hAnsi="Times New Roman" w:cs="Times New Roman"/>
          <w:color w:val="000000" w:themeColor="text1"/>
        </w:rPr>
        <w:t xml:space="preserve">ainsi </w:t>
      </w:r>
      <w:r w:rsidR="00003F54" w:rsidRPr="00C706A5">
        <w:rPr>
          <w:rFonts w:ascii="Times New Roman" w:hAnsi="Times New Roman" w:cs="Times New Roman"/>
          <w:color w:val="000000" w:themeColor="text1"/>
        </w:rPr>
        <w:t xml:space="preserve">une </w:t>
      </w:r>
      <w:r w:rsidR="00B570D1" w:rsidRPr="00C706A5">
        <w:rPr>
          <w:rFonts w:ascii="Times New Roman" w:hAnsi="Times New Roman" w:cs="Times New Roman"/>
          <w:color w:val="000000" w:themeColor="text1"/>
        </w:rPr>
        <w:t>amélioration</w:t>
      </w:r>
      <w:r w:rsidR="00003F54" w:rsidRPr="00C706A5">
        <w:rPr>
          <w:rFonts w:ascii="Times New Roman" w:hAnsi="Times New Roman" w:cs="Times New Roman"/>
          <w:color w:val="000000" w:themeColor="text1"/>
        </w:rPr>
        <w:t xml:space="preserve"> de </w:t>
      </w:r>
      <w:r w:rsidR="00D85054" w:rsidRPr="00C706A5">
        <w:rPr>
          <w:rFonts w:ascii="Times New Roman" w:hAnsi="Times New Roman" w:cs="Times New Roman"/>
          <w:color w:val="000000" w:themeColor="text1"/>
        </w:rPr>
        <w:t>1,6</w:t>
      </w:r>
      <w:r w:rsidR="00003F54" w:rsidRPr="00C706A5">
        <w:rPr>
          <w:rFonts w:ascii="Times New Roman" w:hAnsi="Times New Roman" w:cs="Times New Roman"/>
          <w:color w:val="000000" w:themeColor="text1"/>
        </w:rPr>
        <w:t xml:space="preserve"> point par rapport au trimestre précédent </w:t>
      </w:r>
      <w:r w:rsidR="004F1AD1" w:rsidRPr="00C706A5">
        <w:rPr>
          <w:rFonts w:ascii="Times New Roman" w:hAnsi="Times New Roman" w:cs="Times New Roman"/>
          <w:color w:val="000000" w:themeColor="text1"/>
        </w:rPr>
        <w:t>et</w:t>
      </w:r>
      <w:r w:rsidR="00D85054" w:rsidRPr="00C706A5">
        <w:rPr>
          <w:rFonts w:ascii="Times New Roman" w:hAnsi="Times New Roman" w:cs="Times New Roman"/>
          <w:color w:val="000000" w:themeColor="text1"/>
        </w:rPr>
        <w:t xml:space="preserve"> connait cependant une </w:t>
      </w:r>
      <w:r w:rsidR="00B570D1" w:rsidRPr="00C706A5">
        <w:rPr>
          <w:rFonts w:ascii="Times New Roman" w:hAnsi="Times New Roman" w:cs="Times New Roman"/>
          <w:color w:val="000000" w:themeColor="text1"/>
        </w:rPr>
        <w:t>détérioration</w:t>
      </w:r>
      <w:r w:rsidR="00003F54" w:rsidRPr="00C706A5">
        <w:rPr>
          <w:rFonts w:ascii="Times New Roman" w:hAnsi="Times New Roman" w:cs="Times New Roman"/>
          <w:color w:val="000000" w:themeColor="text1"/>
        </w:rPr>
        <w:t xml:space="preserve"> de </w:t>
      </w:r>
      <w:r w:rsidR="00D85054" w:rsidRPr="00C706A5">
        <w:rPr>
          <w:rFonts w:ascii="Times New Roman" w:hAnsi="Times New Roman" w:cs="Times New Roman"/>
          <w:color w:val="000000" w:themeColor="text1"/>
        </w:rPr>
        <w:t xml:space="preserve">l’ordre de 10,1 </w:t>
      </w:r>
      <w:r w:rsidR="00003F54" w:rsidRPr="00C706A5">
        <w:rPr>
          <w:rFonts w:ascii="Times New Roman" w:hAnsi="Times New Roman" w:cs="Times New Roman"/>
          <w:color w:val="000000" w:themeColor="text1"/>
        </w:rPr>
        <w:t>points par rapport à la même période de 2012.</w:t>
      </w: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E6458A" w:rsidRPr="00C706A5" w:rsidRDefault="00E6458A" w:rsidP="004F1AD1">
      <w:pPr>
        <w:widowControl/>
        <w:spacing w:before="240" w:line="276" w:lineRule="auto"/>
        <w:jc w:val="both"/>
        <w:rPr>
          <w:rFonts w:ascii="Times New Roman" w:hAnsi="Times New Roman" w:cs="Times New Roman"/>
          <w:color w:val="000000" w:themeColor="text1"/>
        </w:rPr>
      </w:pPr>
    </w:p>
    <w:p w:rsidR="004E2DFB" w:rsidRPr="00C706A5" w:rsidRDefault="00BA20BF" w:rsidP="003F0597">
      <w:pPr>
        <w:widowControl/>
        <w:spacing w:before="240" w:line="276" w:lineRule="auto"/>
        <w:jc w:val="both"/>
        <w:rPr>
          <w:rFonts w:ascii="Times New Roman" w:hAnsi="Times New Roman" w:cs="Times New Roman"/>
          <w:noProof/>
          <w:color w:val="000000" w:themeColor="text1"/>
        </w:rPr>
      </w:pPr>
      <w:r w:rsidRPr="00C706A5">
        <w:rPr>
          <w:rFonts w:ascii="Times New Roman" w:hAnsi="Times New Roman" w:cs="Times New Roman"/>
          <w:noProof/>
          <w:color w:val="000000" w:themeColor="text1"/>
        </w:rPr>
        <w:drawing>
          <wp:inline distT="0" distB="0" distL="0" distR="0">
            <wp:extent cx="6410325" cy="2847975"/>
            <wp:effectExtent l="19050" t="0" r="9525" b="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458A" w:rsidRPr="00C706A5" w:rsidRDefault="00E6458A" w:rsidP="000518A6">
      <w:pPr>
        <w:widowControl/>
        <w:spacing w:line="276" w:lineRule="auto"/>
        <w:jc w:val="both"/>
        <w:rPr>
          <w:rFonts w:ascii="Times New Roman" w:hAnsi="Times New Roman" w:cs="Times New Roman"/>
          <w:b/>
          <w:bCs/>
          <w:color w:val="000000" w:themeColor="text1"/>
        </w:rPr>
      </w:pPr>
    </w:p>
    <w:p w:rsidR="003F0597" w:rsidRPr="00C706A5" w:rsidRDefault="005D733B" w:rsidP="009020FD">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r w:rsidR="001B2334" w:rsidRPr="00C706A5">
        <w:rPr>
          <w:rFonts w:ascii="Times New Roman" w:hAnsi="Times New Roman" w:cs="Times New Roman"/>
          <w:b/>
          <w:bCs/>
          <w:color w:val="000000" w:themeColor="text1"/>
        </w:rPr>
        <w:t>Achat de bien durable : p</w:t>
      </w:r>
      <w:r w:rsidR="000518A6" w:rsidRPr="00C706A5">
        <w:rPr>
          <w:rFonts w:ascii="Times New Roman" w:hAnsi="Times New Roman" w:cs="Times New Roman"/>
          <w:b/>
          <w:bCs/>
          <w:color w:val="000000" w:themeColor="text1"/>
        </w:rPr>
        <w:t>ersistance à estimer le m</w:t>
      </w:r>
      <w:r w:rsidR="00311292" w:rsidRPr="00C706A5">
        <w:rPr>
          <w:rFonts w:ascii="Times New Roman" w:hAnsi="Times New Roman" w:cs="Times New Roman"/>
          <w:b/>
          <w:bCs/>
          <w:color w:val="000000" w:themeColor="text1"/>
        </w:rPr>
        <w:t xml:space="preserve">oment inopportun </w:t>
      </w:r>
    </w:p>
    <w:p w:rsidR="00233531" w:rsidRPr="00C706A5" w:rsidRDefault="00233531" w:rsidP="00233531">
      <w:pPr>
        <w:widowControl/>
        <w:spacing w:line="276" w:lineRule="auto"/>
        <w:jc w:val="both"/>
        <w:rPr>
          <w:rFonts w:ascii="Times New Roman" w:hAnsi="Times New Roman" w:cs="Times New Roman"/>
          <w:b/>
          <w:bCs/>
          <w:color w:val="000000" w:themeColor="text1"/>
        </w:rPr>
      </w:pPr>
    </w:p>
    <w:p w:rsidR="001672BD" w:rsidRPr="00C706A5" w:rsidRDefault="00996593" w:rsidP="004E183B">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P</w:t>
      </w:r>
      <w:r w:rsidR="004E183B" w:rsidRPr="00C706A5">
        <w:rPr>
          <w:rFonts w:ascii="Times New Roman" w:hAnsi="Times New Roman" w:cs="Times New Roman"/>
          <w:color w:val="000000" w:themeColor="text1"/>
        </w:rPr>
        <w:t>rès</w:t>
      </w:r>
      <w:r w:rsidRPr="00C706A5">
        <w:rPr>
          <w:rFonts w:ascii="Times New Roman" w:hAnsi="Times New Roman" w:cs="Times New Roman"/>
          <w:color w:val="000000" w:themeColor="text1"/>
        </w:rPr>
        <w:t xml:space="preserve"> </w:t>
      </w:r>
      <w:r w:rsidR="002226A1" w:rsidRPr="00C706A5">
        <w:rPr>
          <w:rFonts w:ascii="Times New Roman" w:hAnsi="Times New Roman" w:cs="Times New Roman"/>
          <w:color w:val="000000" w:themeColor="text1"/>
        </w:rPr>
        <w:t>de 5</w:t>
      </w:r>
      <w:r w:rsidR="004E183B" w:rsidRPr="00C706A5">
        <w:rPr>
          <w:rFonts w:ascii="Times New Roman" w:hAnsi="Times New Roman" w:cs="Times New Roman"/>
          <w:color w:val="000000" w:themeColor="text1"/>
        </w:rPr>
        <w:t>2</w:t>
      </w:r>
      <w:r w:rsidR="002226A1" w:rsidRPr="00C706A5">
        <w:rPr>
          <w:rFonts w:ascii="Times New Roman" w:hAnsi="Times New Roman" w:cs="Times New Roman"/>
          <w:color w:val="000000" w:themeColor="text1"/>
        </w:rPr>
        <w:t>% d</w:t>
      </w:r>
      <w:r w:rsidR="002D2970" w:rsidRPr="00C706A5">
        <w:rPr>
          <w:rFonts w:ascii="Times New Roman" w:hAnsi="Times New Roman" w:cs="Times New Roman"/>
          <w:color w:val="000000" w:themeColor="text1"/>
        </w:rPr>
        <w:t xml:space="preserve">es ménages marocains </w:t>
      </w:r>
      <w:r w:rsidR="00E265E4" w:rsidRPr="00C706A5">
        <w:rPr>
          <w:rFonts w:ascii="Times New Roman" w:hAnsi="Times New Roman" w:cs="Times New Roman"/>
          <w:color w:val="000000" w:themeColor="text1"/>
        </w:rPr>
        <w:t>considèrent</w:t>
      </w:r>
      <w:r w:rsidR="002D2970" w:rsidRPr="00C706A5">
        <w:rPr>
          <w:rFonts w:ascii="Times New Roman" w:hAnsi="Times New Roman" w:cs="Times New Roman"/>
          <w:color w:val="000000" w:themeColor="text1"/>
        </w:rPr>
        <w:t>,</w:t>
      </w:r>
      <w:r w:rsidR="00E265E4" w:rsidRPr="00C706A5">
        <w:rPr>
          <w:rFonts w:ascii="Times New Roman" w:hAnsi="Times New Roman" w:cs="Times New Roman"/>
          <w:color w:val="000000" w:themeColor="text1"/>
        </w:rPr>
        <w:t xml:space="preserve"> </w:t>
      </w:r>
      <w:r w:rsidR="002D2970"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quatrième trimestre</w:t>
      </w:r>
      <w:r w:rsidR="00370A60" w:rsidRPr="00C706A5">
        <w:rPr>
          <w:rFonts w:ascii="Times New Roman" w:hAnsi="Times New Roman" w:cs="Times New Roman"/>
          <w:color w:val="000000" w:themeColor="text1"/>
        </w:rPr>
        <w:t xml:space="preserve"> </w:t>
      </w:r>
      <w:r w:rsidR="002D2970" w:rsidRPr="00C706A5">
        <w:rPr>
          <w:rFonts w:ascii="Times New Roman" w:hAnsi="Times New Roman" w:cs="Times New Roman"/>
          <w:color w:val="000000" w:themeColor="text1"/>
        </w:rPr>
        <w:t>de 201</w:t>
      </w:r>
      <w:r w:rsidR="00811DBB" w:rsidRPr="00C706A5">
        <w:rPr>
          <w:rFonts w:ascii="Times New Roman" w:hAnsi="Times New Roman" w:cs="Times New Roman"/>
          <w:color w:val="000000" w:themeColor="text1"/>
        </w:rPr>
        <w:t>3</w:t>
      </w:r>
      <w:r w:rsidR="002D2970" w:rsidRPr="00C706A5">
        <w:rPr>
          <w:rFonts w:ascii="Times New Roman" w:hAnsi="Times New Roman" w:cs="Times New Roman"/>
          <w:color w:val="000000" w:themeColor="text1"/>
        </w:rPr>
        <w:t xml:space="preserve">, </w:t>
      </w:r>
      <w:r w:rsidR="000F6CE8" w:rsidRPr="00C706A5">
        <w:rPr>
          <w:rFonts w:ascii="Times New Roman" w:hAnsi="Times New Roman" w:cs="Times New Roman"/>
          <w:color w:val="000000" w:themeColor="text1"/>
        </w:rPr>
        <w:t xml:space="preserve">que </w:t>
      </w:r>
      <w:r w:rsidR="0019435A" w:rsidRPr="00C706A5">
        <w:rPr>
          <w:rFonts w:ascii="Times New Roman" w:hAnsi="Times New Roman" w:cs="Times New Roman"/>
          <w:color w:val="000000" w:themeColor="text1"/>
        </w:rPr>
        <w:t xml:space="preserve">le moment </w:t>
      </w:r>
      <w:r w:rsidR="00E265E4" w:rsidRPr="00C706A5">
        <w:rPr>
          <w:rFonts w:ascii="Times New Roman" w:hAnsi="Times New Roman" w:cs="Times New Roman"/>
          <w:color w:val="000000" w:themeColor="text1"/>
        </w:rPr>
        <w:t xml:space="preserve">n’est pas </w:t>
      </w:r>
      <w:r w:rsidR="00E9062C" w:rsidRPr="00C706A5">
        <w:rPr>
          <w:rFonts w:ascii="Times New Roman" w:hAnsi="Times New Roman" w:cs="Times New Roman"/>
          <w:color w:val="000000" w:themeColor="text1"/>
        </w:rPr>
        <w:t xml:space="preserve">opportun </w:t>
      </w:r>
      <w:r w:rsidR="00A7325E" w:rsidRPr="00C706A5">
        <w:rPr>
          <w:rFonts w:ascii="Times New Roman" w:hAnsi="Times New Roman" w:cs="Times New Roman"/>
          <w:color w:val="000000" w:themeColor="text1"/>
        </w:rPr>
        <w:t>pour</w:t>
      </w:r>
      <w:r w:rsidR="00E9062C" w:rsidRPr="00C706A5">
        <w:rPr>
          <w:rFonts w:ascii="Times New Roman" w:hAnsi="Times New Roman" w:cs="Times New Roman"/>
          <w:color w:val="000000" w:themeColor="text1"/>
        </w:rPr>
        <w:t xml:space="preserve"> faire des achats </w:t>
      </w:r>
      <w:r w:rsidR="0019435A" w:rsidRPr="00C706A5">
        <w:rPr>
          <w:rFonts w:ascii="Times New Roman" w:hAnsi="Times New Roman" w:cs="Times New Roman"/>
          <w:color w:val="000000" w:themeColor="text1"/>
        </w:rPr>
        <w:t>de biens durables</w:t>
      </w:r>
      <w:r w:rsidR="00097300" w:rsidRPr="00C706A5">
        <w:rPr>
          <w:rFonts w:ascii="Times New Roman" w:hAnsi="Times New Roman" w:cs="Times New Roman"/>
          <w:color w:val="000000" w:themeColor="text1"/>
        </w:rPr>
        <w:t xml:space="preserve"> </w:t>
      </w:r>
      <w:r w:rsidR="009A2085" w:rsidRPr="00C706A5">
        <w:rPr>
          <w:rFonts w:ascii="Times New Roman" w:hAnsi="Times New Roman" w:cs="Times New Roman"/>
          <w:color w:val="000000" w:themeColor="text1"/>
        </w:rPr>
        <w:t>alors que</w:t>
      </w:r>
      <w:r w:rsidR="00381490" w:rsidRPr="00C706A5">
        <w:rPr>
          <w:rFonts w:ascii="Times New Roman" w:hAnsi="Times New Roman" w:cs="Times New Roman"/>
          <w:color w:val="000000" w:themeColor="text1"/>
        </w:rPr>
        <w:t xml:space="preserve"> </w:t>
      </w:r>
      <w:r w:rsidR="004E183B" w:rsidRPr="00C706A5">
        <w:rPr>
          <w:rFonts w:ascii="Times New Roman" w:hAnsi="Times New Roman" w:cs="Times New Roman"/>
          <w:color w:val="000000" w:themeColor="text1"/>
        </w:rPr>
        <w:t>19</w:t>
      </w:r>
      <w:r w:rsidR="00C334F9" w:rsidRPr="00C706A5">
        <w:rPr>
          <w:rFonts w:ascii="Times New Roman" w:hAnsi="Times New Roman" w:cs="Times New Roman"/>
          <w:color w:val="000000" w:themeColor="text1"/>
        </w:rPr>
        <w:t>,</w:t>
      </w:r>
      <w:r w:rsidR="004E183B" w:rsidRPr="00C706A5">
        <w:rPr>
          <w:rFonts w:ascii="Times New Roman" w:hAnsi="Times New Roman" w:cs="Times New Roman"/>
          <w:color w:val="000000" w:themeColor="text1"/>
        </w:rPr>
        <w:t>8</w:t>
      </w:r>
      <w:r w:rsidR="00381490" w:rsidRPr="00C706A5">
        <w:rPr>
          <w:rFonts w:ascii="Times New Roman" w:hAnsi="Times New Roman" w:cs="Times New Roman"/>
          <w:color w:val="000000" w:themeColor="text1"/>
        </w:rPr>
        <w:t xml:space="preserve">% </w:t>
      </w:r>
      <w:r w:rsidR="00097300" w:rsidRPr="00C706A5">
        <w:rPr>
          <w:rFonts w:ascii="Times New Roman" w:hAnsi="Times New Roman" w:cs="Times New Roman"/>
          <w:color w:val="000000" w:themeColor="text1"/>
        </w:rPr>
        <w:t>pens</w:t>
      </w:r>
      <w:r w:rsidR="00381490" w:rsidRPr="00C706A5">
        <w:rPr>
          <w:rFonts w:ascii="Times New Roman" w:hAnsi="Times New Roman" w:cs="Times New Roman"/>
          <w:color w:val="000000" w:themeColor="text1"/>
        </w:rPr>
        <w:t>ent le contraire</w:t>
      </w:r>
      <w:r w:rsidR="00C334F9" w:rsidRPr="00C706A5">
        <w:rPr>
          <w:rFonts w:ascii="Times New Roman" w:hAnsi="Times New Roman" w:cs="Times New Roman"/>
          <w:color w:val="000000" w:themeColor="text1"/>
        </w:rPr>
        <w:t xml:space="preserve">. </w:t>
      </w:r>
      <w:r w:rsidR="00671777" w:rsidRPr="00C706A5">
        <w:rPr>
          <w:rFonts w:ascii="Times New Roman" w:hAnsi="Times New Roman" w:cs="Times New Roman"/>
          <w:color w:val="000000" w:themeColor="text1"/>
        </w:rPr>
        <w:t>Avec -</w:t>
      </w:r>
      <w:r w:rsidR="004E183B" w:rsidRPr="00C706A5">
        <w:rPr>
          <w:rFonts w:ascii="Times New Roman" w:hAnsi="Times New Roman" w:cs="Times New Roman"/>
          <w:color w:val="000000" w:themeColor="text1"/>
        </w:rPr>
        <w:t>31</w:t>
      </w:r>
      <w:r w:rsidR="00671777" w:rsidRPr="00C706A5">
        <w:rPr>
          <w:rFonts w:ascii="Times New Roman" w:hAnsi="Times New Roman" w:cs="Times New Roman"/>
          <w:color w:val="000000" w:themeColor="text1"/>
        </w:rPr>
        <w:t>,</w:t>
      </w:r>
      <w:r w:rsidR="004E183B" w:rsidRPr="00C706A5">
        <w:rPr>
          <w:rFonts w:ascii="Times New Roman" w:hAnsi="Times New Roman" w:cs="Times New Roman"/>
          <w:color w:val="000000" w:themeColor="text1"/>
        </w:rPr>
        <w:t>8</w:t>
      </w:r>
      <w:r w:rsidR="00671777" w:rsidRPr="00C706A5">
        <w:rPr>
          <w:rFonts w:ascii="Times New Roman" w:hAnsi="Times New Roman" w:cs="Times New Roman"/>
          <w:color w:val="000000" w:themeColor="text1"/>
        </w:rPr>
        <w:t xml:space="preserve"> points, l</w:t>
      </w:r>
      <w:r w:rsidR="00381490" w:rsidRPr="00C706A5">
        <w:rPr>
          <w:rFonts w:ascii="Times New Roman" w:hAnsi="Times New Roman" w:cs="Times New Roman"/>
          <w:color w:val="000000" w:themeColor="text1"/>
        </w:rPr>
        <w:t>e solde re</w:t>
      </w:r>
      <w:r w:rsidR="003C4254" w:rsidRPr="00C706A5">
        <w:rPr>
          <w:rFonts w:ascii="Times New Roman" w:hAnsi="Times New Roman" w:cs="Times New Roman"/>
          <w:color w:val="000000" w:themeColor="text1"/>
        </w:rPr>
        <w:t xml:space="preserve">latif à cet indicateur </w:t>
      </w:r>
      <w:r w:rsidR="004E183B" w:rsidRPr="00C706A5">
        <w:rPr>
          <w:rFonts w:ascii="Times New Roman" w:hAnsi="Times New Roman" w:cs="Times New Roman"/>
          <w:color w:val="000000" w:themeColor="text1"/>
        </w:rPr>
        <w:t>enregistre une détérioration aussi bien par rapport au trimestre précédent (-2,3 points) qu’au même trimestre de l’année précédente (-2,5 points)</w:t>
      </w:r>
      <w:r w:rsidR="00FD2441" w:rsidRPr="00C706A5">
        <w:rPr>
          <w:rFonts w:ascii="Times New Roman" w:hAnsi="Times New Roman" w:cs="Times New Roman"/>
          <w:color w:val="000000" w:themeColor="text1"/>
        </w:rPr>
        <w:t>.</w:t>
      </w:r>
      <w:r w:rsidR="003C4254" w:rsidRPr="00C706A5">
        <w:rPr>
          <w:rFonts w:ascii="Times New Roman" w:hAnsi="Times New Roman" w:cs="Times New Roman"/>
          <w:color w:val="000000" w:themeColor="text1"/>
        </w:rPr>
        <w:t xml:space="preserve"> </w:t>
      </w:r>
    </w:p>
    <w:p w:rsidR="00FD2441" w:rsidRPr="00C706A5" w:rsidRDefault="00FD2441" w:rsidP="00FD2441">
      <w:pPr>
        <w:widowControl/>
        <w:spacing w:line="276" w:lineRule="auto"/>
        <w:jc w:val="both"/>
        <w:rPr>
          <w:rFonts w:ascii="Times New Roman" w:hAnsi="Times New Roman" w:cs="Times New Roman"/>
          <w:color w:val="000000" w:themeColor="text1"/>
        </w:rPr>
      </w:pPr>
    </w:p>
    <w:p w:rsidR="005C473B" w:rsidRPr="00C706A5" w:rsidRDefault="005C473B" w:rsidP="00547601">
      <w:pPr>
        <w:widowControl/>
        <w:spacing w:line="276" w:lineRule="auto"/>
        <w:jc w:val="both"/>
        <w:rPr>
          <w:rFonts w:ascii="Times New Roman" w:hAnsi="Times New Roman" w:cs="Times New Roman"/>
          <w:color w:val="000000" w:themeColor="text1"/>
        </w:rPr>
      </w:pPr>
    </w:p>
    <w:p w:rsidR="00562E23" w:rsidRPr="00C706A5" w:rsidRDefault="00FA33E5" w:rsidP="00531247">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noProof/>
          <w:color w:val="000000" w:themeColor="text1"/>
        </w:rPr>
        <w:drawing>
          <wp:inline distT="0" distB="0" distL="0" distR="0">
            <wp:extent cx="6343650" cy="2676525"/>
            <wp:effectExtent l="19050" t="0" r="19050" b="0"/>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47DB" w:rsidRPr="00C706A5" w:rsidRDefault="00A147DB" w:rsidP="00B36214">
      <w:pPr>
        <w:widowControl/>
        <w:spacing w:line="276" w:lineRule="auto"/>
        <w:jc w:val="both"/>
        <w:rPr>
          <w:rFonts w:ascii="Times New Roman" w:hAnsi="Times New Roman" w:cs="Times New Roman"/>
          <w:b/>
          <w:bCs/>
          <w:color w:val="000000" w:themeColor="text1"/>
        </w:rPr>
      </w:pPr>
    </w:p>
    <w:p w:rsidR="00222682" w:rsidRPr="00C706A5" w:rsidRDefault="00222682" w:rsidP="00CE5396">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w:t>
      </w:r>
      <w:r w:rsidR="008F01C0" w:rsidRPr="00C706A5">
        <w:rPr>
          <w:rFonts w:ascii="Times New Roman" w:hAnsi="Times New Roman" w:cs="Times New Roman"/>
          <w:b/>
          <w:bCs/>
          <w:color w:val="000000" w:themeColor="text1"/>
        </w:rPr>
        <w:t xml:space="preserve"> </w:t>
      </w:r>
      <w:r w:rsidR="00CE5396" w:rsidRPr="00C706A5">
        <w:rPr>
          <w:rFonts w:ascii="Times New Roman" w:hAnsi="Times New Roman" w:cs="Times New Roman"/>
          <w:b/>
          <w:bCs/>
          <w:color w:val="000000" w:themeColor="text1"/>
        </w:rPr>
        <w:t>Situation</w:t>
      </w:r>
      <w:r w:rsidR="00C12EDB" w:rsidRPr="00C706A5">
        <w:rPr>
          <w:rFonts w:ascii="Times New Roman" w:hAnsi="Times New Roman" w:cs="Times New Roman"/>
          <w:b/>
          <w:bCs/>
          <w:color w:val="000000" w:themeColor="text1"/>
        </w:rPr>
        <w:t xml:space="preserve"> financière des </w:t>
      </w:r>
      <w:r w:rsidR="0078348A" w:rsidRPr="00C706A5">
        <w:rPr>
          <w:rFonts w:ascii="Times New Roman" w:hAnsi="Times New Roman" w:cs="Times New Roman"/>
          <w:b/>
          <w:bCs/>
          <w:color w:val="000000" w:themeColor="text1"/>
        </w:rPr>
        <w:t>ménages</w:t>
      </w:r>
      <w:r w:rsidR="00C12EDB" w:rsidRPr="00C706A5">
        <w:rPr>
          <w:rFonts w:ascii="Times New Roman" w:hAnsi="Times New Roman" w:cs="Times New Roman"/>
          <w:b/>
          <w:bCs/>
          <w:color w:val="000000" w:themeColor="text1"/>
        </w:rPr>
        <w:t xml:space="preserve"> : </w:t>
      </w:r>
      <w:r w:rsidR="00B0283E" w:rsidRPr="00C706A5">
        <w:rPr>
          <w:rFonts w:ascii="Times New Roman" w:hAnsi="Times New Roman" w:cs="Times New Roman"/>
          <w:b/>
          <w:bCs/>
          <w:color w:val="000000" w:themeColor="text1"/>
        </w:rPr>
        <w:t>l’</w:t>
      </w:r>
      <w:r w:rsidR="00C12EDB" w:rsidRPr="00C706A5">
        <w:rPr>
          <w:rFonts w:ascii="Times New Roman" w:hAnsi="Times New Roman" w:cs="Times New Roman"/>
          <w:b/>
          <w:bCs/>
          <w:color w:val="000000" w:themeColor="text1"/>
        </w:rPr>
        <w:t>attente d’</w:t>
      </w:r>
      <w:r w:rsidR="00C94F63" w:rsidRPr="00C706A5">
        <w:rPr>
          <w:rFonts w:ascii="Times New Roman" w:hAnsi="Times New Roman" w:cs="Times New Roman"/>
          <w:b/>
          <w:bCs/>
          <w:color w:val="000000" w:themeColor="text1"/>
        </w:rPr>
        <w:t xml:space="preserve">une </w:t>
      </w:r>
      <w:r w:rsidR="00C12EDB" w:rsidRPr="00C706A5">
        <w:rPr>
          <w:rFonts w:ascii="Times New Roman" w:hAnsi="Times New Roman" w:cs="Times New Roman"/>
          <w:b/>
          <w:bCs/>
          <w:color w:val="000000" w:themeColor="text1"/>
        </w:rPr>
        <w:t>détérioration</w:t>
      </w:r>
      <w:r w:rsidR="009A4775" w:rsidRPr="00C706A5">
        <w:rPr>
          <w:rFonts w:ascii="Times New Roman" w:hAnsi="Times New Roman" w:cs="Times New Roman"/>
          <w:b/>
          <w:bCs/>
          <w:color w:val="000000" w:themeColor="text1"/>
        </w:rPr>
        <w:t xml:space="preserve"> </w:t>
      </w:r>
    </w:p>
    <w:p w:rsidR="004D3202" w:rsidRPr="00C706A5" w:rsidRDefault="001A6BB6" w:rsidP="002C211A">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Pour </w:t>
      </w:r>
      <w:r w:rsidR="004D3202" w:rsidRPr="00C706A5">
        <w:rPr>
          <w:rFonts w:ascii="Times New Roman" w:hAnsi="Times New Roman" w:cs="Times New Roman"/>
          <w:color w:val="000000" w:themeColor="text1"/>
        </w:rPr>
        <w:t>5</w:t>
      </w:r>
      <w:r w:rsidR="00720767" w:rsidRPr="00C706A5">
        <w:rPr>
          <w:rFonts w:ascii="Times New Roman" w:hAnsi="Times New Roman" w:cs="Times New Roman"/>
          <w:color w:val="000000" w:themeColor="text1"/>
        </w:rPr>
        <w:t>7</w:t>
      </w:r>
      <w:r w:rsidR="008379F4" w:rsidRPr="00C706A5">
        <w:rPr>
          <w:rFonts w:ascii="Times New Roman" w:hAnsi="Times New Roman" w:cs="Times New Roman"/>
          <w:color w:val="000000" w:themeColor="text1"/>
        </w:rPr>
        <w:t>,</w:t>
      </w:r>
      <w:r w:rsidR="002C211A" w:rsidRPr="00C706A5">
        <w:rPr>
          <w:rFonts w:ascii="Times New Roman" w:hAnsi="Times New Roman" w:cs="Times New Roman"/>
          <w:color w:val="000000" w:themeColor="text1"/>
        </w:rPr>
        <w:t>8</w:t>
      </w:r>
      <w:r w:rsidR="004D3202" w:rsidRPr="00C706A5">
        <w:rPr>
          <w:rFonts w:ascii="Times New Roman" w:hAnsi="Times New Roman" w:cs="Times New Roman"/>
          <w:color w:val="000000" w:themeColor="text1"/>
        </w:rPr>
        <w:t xml:space="preserve">% </w:t>
      </w:r>
      <w:r w:rsidR="00490E21" w:rsidRPr="00C706A5">
        <w:rPr>
          <w:rFonts w:ascii="Times New Roman" w:hAnsi="Times New Roman" w:cs="Times New Roman"/>
          <w:color w:val="000000" w:themeColor="text1"/>
        </w:rPr>
        <w:t>des ménages</w:t>
      </w:r>
      <w:r w:rsidRPr="00C706A5">
        <w:rPr>
          <w:rFonts w:ascii="Times New Roman" w:hAnsi="Times New Roman" w:cs="Times New Roman"/>
          <w:color w:val="000000" w:themeColor="text1"/>
        </w:rPr>
        <w:t>,</w:t>
      </w:r>
      <w:r w:rsidR="00490E21"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 xml:space="preserve">leurs revenus couvrent leurs dépenses, alors que </w:t>
      </w:r>
      <w:r w:rsidR="004D3202" w:rsidRPr="00C706A5">
        <w:rPr>
          <w:rFonts w:ascii="Times New Roman" w:hAnsi="Times New Roman" w:cs="Times New Roman"/>
          <w:color w:val="000000" w:themeColor="text1"/>
        </w:rPr>
        <w:t xml:space="preserve"> </w:t>
      </w:r>
      <w:r w:rsidR="00570BDD" w:rsidRPr="00C706A5">
        <w:rPr>
          <w:rFonts w:ascii="Times New Roman" w:hAnsi="Times New Roman" w:cs="Times New Roman"/>
          <w:color w:val="000000" w:themeColor="text1"/>
        </w:rPr>
        <w:t>3</w:t>
      </w:r>
      <w:r w:rsidR="008379F4" w:rsidRPr="00C706A5">
        <w:rPr>
          <w:rFonts w:ascii="Times New Roman" w:hAnsi="Times New Roman" w:cs="Times New Roman"/>
          <w:color w:val="000000" w:themeColor="text1"/>
        </w:rPr>
        <w:t>5</w:t>
      </w:r>
      <w:r w:rsidR="004D3202" w:rsidRPr="00C706A5">
        <w:rPr>
          <w:rFonts w:ascii="Times New Roman" w:hAnsi="Times New Roman" w:cs="Times New Roman"/>
          <w:color w:val="000000" w:themeColor="text1"/>
        </w:rPr>
        <w:t>,</w:t>
      </w:r>
      <w:r w:rsidR="002C211A" w:rsidRPr="00C706A5">
        <w:rPr>
          <w:rFonts w:ascii="Times New Roman" w:hAnsi="Times New Roman" w:cs="Times New Roman"/>
          <w:color w:val="000000" w:themeColor="text1"/>
        </w:rPr>
        <w:t>9</w:t>
      </w:r>
      <w:r w:rsidR="004D3202"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 xml:space="preserve">d’entre eux s’endettent ou puisent pour cela dans leurs épargnes. </w:t>
      </w:r>
      <w:r w:rsidR="00511C57" w:rsidRPr="00C706A5">
        <w:rPr>
          <w:rFonts w:ascii="Times New Roman" w:hAnsi="Times New Roman" w:cs="Times New Roman"/>
          <w:color w:val="000000" w:themeColor="text1"/>
        </w:rPr>
        <w:t>S</w:t>
      </w:r>
      <w:r w:rsidR="004D3202" w:rsidRPr="00C706A5">
        <w:rPr>
          <w:rFonts w:ascii="Times New Roman" w:hAnsi="Times New Roman" w:cs="Times New Roman"/>
          <w:color w:val="000000" w:themeColor="text1"/>
        </w:rPr>
        <w:t xml:space="preserve">euls </w:t>
      </w:r>
      <w:r w:rsidR="00720767" w:rsidRPr="00C706A5">
        <w:rPr>
          <w:rFonts w:ascii="Times New Roman" w:hAnsi="Times New Roman" w:cs="Times New Roman"/>
          <w:color w:val="000000" w:themeColor="text1"/>
        </w:rPr>
        <w:t>6</w:t>
      </w:r>
      <w:r w:rsidR="004D3202" w:rsidRPr="00C706A5">
        <w:rPr>
          <w:rFonts w:ascii="Times New Roman" w:hAnsi="Times New Roman" w:cs="Times New Roman"/>
          <w:color w:val="000000" w:themeColor="text1"/>
        </w:rPr>
        <w:t>,</w:t>
      </w:r>
      <w:r w:rsidR="002C211A" w:rsidRPr="00C706A5">
        <w:rPr>
          <w:rFonts w:ascii="Times New Roman" w:hAnsi="Times New Roman" w:cs="Times New Roman"/>
          <w:color w:val="000000" w:themeColor="text1"/>
        </w:rPr>
        <w:t>4</w:t>
      </w:r>
      <w:r w:rsidR="004D3202" w:rsidRPr="00C706A5">
        <w:rPr>
          <w:rFonts w:ascii="Times New Roman" w:hAnsi="Times New Roman" w:cs="Times New Roman"/>
          <w:color w:val="000000" w:themeColor="text1"/>
        </w:rPr>
        <w:t xml:space="preserve">% </w:t>
      </w:r>
      <w:r w:rsidR="00511C57" w:rsidRPr="00C706A5">
        <w:rPr>
          <w:rFonts w:ascii="Times New Roman" w:hAnsi="Times New Roman" w:cs="Times New Roman"/>
          <w:color w:val="000000" w:themeColor="text1"/>
        </w:rPr>
        <w:t xml:space="preserve">des ménages </w:t>
      </w:r>
      <w:r w:rsidR="004D3202" w:rsidRPr="00C706A5">
        <w:rPr>
          <w:rFonts w:ascii="Times New Roman" w:hAnsi="Times New Roman" w:cs="Times New Roman"/>
          <w:color w:val="000000" w:themeColor="text1"/>
        </w:rPr>
        <w:t xml:space="preserve">déclarent </w:t>
      </w:r>
      <w:r w:rsidR="00705867" w:rsidRPr="00C706A5">
        <w:rPr>
          <w:rFonts w:ascii="Times New Roman" w:hAnsi="Times New Roman" w:cs="Times New Roman"/>
          <w:color w:val="000000" w:themeColor="text1"/>
        </w:rPr>
        <w:t xml:space="preserve">pouvoir </w:t>
      </w:r>
      <w:r w:rsidR="004D3202" w:rsidRPr="00C706A5">
        <w:rPr>
          <w:rFonts w:ascii="Times New Roman" w:hAnsi="Times New Roman" w:cs="Times New Roman"/>
          <w:color w:val="000000" w:themeColor="text1"/>
        </w:rPr>
        <w:t>épargner</w:t>
      </w:r>
      <w:r w:rsidR="00705867" w:rsidRPr="00C706A5">
        <w:rPr>
          <w:rFonts w:ascii="Times New Roman" w:hAnsi="Times New Roman" w:cs="Times New Roman"/>
          <w:color w:val="000000" w:themeColor="text1"/>
        </w:rPr>
        <w:t xml:space="preserve"> une partie de leur revenu</w:t>
      </w:r>
      <w:r w:rsidR="004D3202" w:rsidRPr="00C706A5">
        <w:rPr>
          <w:rFonts w:ascii="Times New Roman" w:hAnsi="Times New Roman" w:cs="Times New Roman"/>
          <w:color w:val="000000" w:themeColor="text1"/>
        </w:rPr>
        <w:t xml:space="preserve">. Le solde de </w:t>
      </w:r>
      <w:r w:rsidRPr="00C706A5">
        <w:rPr>
          <w:rFonts w:ascii="Times New Roman" w:hAnsi="Times New Roman" w:cs="Times New Roman"/>
          <w:color w:val="000000" w:themeColor="text1"/>
        </w:rPr>
        <w:t>l’</w:t>
      </w:r>
      <w:r w:rsidR="004D3202" w:rsidRPr="00C706A5">
        <w:rPr>
          <w:rFonts w:ascii="Times New Roman" w:hAnsi="Times New Roman" w:cs="Times New Roman"/>
          <w:color w:val="000000" w:themeColor="text1"/>
        </w:rPr>
        <w:t xml:space="preserve">indicateur </w:t>
      </w:r>
      <w:r w:rsidRPr="00C706A5">
        <w:rPr>
          <w:rFonts w:ascii="Times New Roman" w:hAnsi="Times New Roman" w:cs="Times New Roman"/>
          <w:color w:val="000000" w:themeColor="text1"/>
        </w:rPr>
        <w:t xml:space="preserve">relatif à la situation financière actuelle des ménages </w:t>
      </w:r>
      <w:r w:rsidR="004D3202" w:rsidRPr="00C706A5">
        <w:rPr>
          <w:rFonts w:ascii="Times New Roman" w:hAnsi="Times New Roman" w:cs="Times New Roman"/>
          <w:color w:val="000000" w:themeColor="text1"/>
        </w:rPr>
        <w:t xml:space="preserve">s’établit ainsi à un niveau négatif de </w:t>
      </w:r>
      <w:r w:rsidR="00857F10" w:rsidRPr="00C706A5">
        <w:rPr>
          <w:rFonts w:ascii="Times New Roman" w:hAnsi="Times New Roman" w:cs="Times New Roman"/>
          <w:color w:val="000000" w:themeColor="text1"/>
        </w:rPr>
        <w:t>-</w:t>
      </w:r>
      <w:r w:rsidR="0090769B" w:rsidRPr="00C706A5">
        <w:rPr>
          <w:rFonts w:ascii="Times New Roman" w:hAnsi="Times New Roman" w:cs="Times New Roman"/>
          <w:color w:val="000000" w:themeColor="text1"/>
        </w:rPr>
        <w:t>29</w:t>
      </w:r>
      <w:r w:rsidR="00DF0119" w:rsidRPr="00C706A5">
        <w:rPr>
          <w:rFonts w:ascii="Times New Roman" w:hAnsi="Times New Roman" w:cs="Times New Roman"/>
          <w:color w:val="000000" w:themeColor="text1"/>
        </w:rPr>
        <w:t>,</w:t>
      </w:r>
      <w:r w:rsidR="00720767" w:rsidRPr="00C706A5">
        <w:rPr>
          <w:rFonts w:ascii="Times New Roman" w:hAnsi="Times New Roman" w:cs="Times New Roman"/>
          <w:color w:val="000000" w:themeColor="text1"/>
        </w:rPr>
        <w:t>5</w:t>
      </w:r>
      <w:r w:rsidR="004D3202" w:rsidRPr="00C706A5">
        <w:rPr>
          <w:rFonts w:ascii="Times New Roman" w:hAnsi="Times New Roman" w:cs="Times New Roman"/>
          <w:color w:val="000000" w:themeColor="text1"/>
        </w:rPr>
        <w:t xml:space="preserve"> points, </w:t>
      </w:r>
      <w:r w:rsidR="006A0913" w:rsidRPr="00C706A5">
        <w:rPr>
          <w:rFonts w:ascii="Times New Roman" w:hAnsi="Times New Roman" w:cs="Times New Roman"/>
          <w:color w:val="000000" w:themeColor="text1"/>
        </w:rPr>
        <w:t xml:space="preserve">en </w:t>
      </w:r>
      <w:r w:rsidR="002C211A" w:rsidRPr="00C706A5">
        <w:rPr>
          <w:rFonts w:ascii="Times New Roman" w:hAnsi="Times New Roman" w:cs="Times New Roman"/>
          <w:color w:val="000000" w:themeColor="text1"/>
        </w:rPr>
        <w:t xml:space="preserve">stagnation </w:t>
      </w:r>
      <w:r w:rsidR="004D3202" w:rsidRPr="00C706A5">
        <w:rPr>
          <w:rFonts w:ascii="Times New Roman" w:hAnsi="Times New Roman" w:cs="Times New Roman"/>
          <w:color w:val="000000" w:themeColor="text1"/>
        </w:rPr>
        <w:t>par ra</w:t>
      </w:r>
      <w:r w:rsidR="00C35BF2" w:rsidRPr="00C706A5">
        <w:rPr>
          <w:rFonts w:ascii="Times New Roman" w:hAnsi="Times New Roman" w:cs="Times New Roman"/>
          <w:color w:val="000000" w:themeColor="text1"/>
        </w:rPr>
        <w:t xml:space="preserve">pport </w:t>
      </w:r>
      <w:r w:rsidR="002C211A" w:rsidRPr="00C706A5">
        <w:rPr>
          <w:rFonts w:ascii="Times New Roman" w:hAnsi="Times New Roman" w:cs="Times New Roman"/>
          <w:color w:val="000000" w:themeColor="text1"/>
        </w:rPr>
        <w:t>au trimestre précédent  et en légère détérioration (</w:t>
      </w:r>
      <w:r w:rsidR="00497168" w:rsidRPr="00C706A5">
        <w:rPr>
          <w:rFonts w:ascii="Times New Roman" w:hAnsi="Times New Roman" w:cs="Times New Roman"/>
          <w:color w:val="000000" w:themeColor="text1"/>
        </w:rPr>
        <w:t xml:space="preserve">- </w:t>
      </w:r>
      <w:r w:rsidR="002C211A" w:rsidRPr="00C706A5">
        <w:rPr>
          <w:rFonts w:ascii="Times New Roman" w:hAnsi="Times New Roman" w:cs="Times New Roman"/>
          <w:color w:val="000000" w:themeColor="text1"/>
        </w:rPr>
        <w:t xml:space="preserve">0,1 point)  par rapport </w:t>
      </w:r>
      <w:r w:rsidR="00C35BF2" w:rsidRPr="00C706A5">
        <w:rPr>
          <w:rFonts w:ascii="Times New Roman" w:hAnsi="Times New Roman" w:cs="Times New Roman"/>
          <w:color w:val="000000" w:themeColor="text1"/>
        </w:rPr>
        <w:t>au même trimestre de 201</w:t>
      </w:r>
      <w:r w:rsidR="004F0AE6" w:rsidRPr="00C706A5">
        <w:rPr>
          <w:rFonts w:ascii="Times New Roman" w:hAnsi="Times New Roman" w:cs="Times New Roman"/>
          <w:color w:val="000000" w:themeColor="text1"/>
        </w:rPr>
        <w:t>2</w:t>
      </w:r>
      <w:r w:rsidR="002C211A" w:rsidRPr="00C706A5">
        <w:rPr>
          <w:rFonts w:ascii="Times New Roman" w:hAnsi="Times New Roman" w:cs="Times New Roman"/>
          <w:color w:val="000000" w:themeColor="text1"/>
        </w:rPr>
        <w:t>.</w:t>
      </w:r>
    </w:p>
    <w:p w:rsidR="007A3C20" w:rsidRPr="00C706A5" w:rsidRDefault="007A3C20" w:rsidP="004D14A8">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Quant à leur situation financière personnelle passée</w:t>
      </w:r>
      <w:r w:rsidR="00E7109F"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le</w:t>
      </w:r>
      <w:r w:rsidR="004D14A8" w:rsidRPr="00C706A5">
        <w:rPr>
          <w:rFonts w:ascii="Times New Roman" w:hAnsi="Times New Roman" w:cs="Times New Roman"/>
          <w:color w:val="000000" w:themeColor="text1"/>
        </w:rPr>
        <w:t xml:space="preserve"> solde d’opinion</w:t>
      </w:r>
      <w:r w:rsidRPr="00C706A5">
        <w:rPr>
          <w:rFonts w:ascii="Times New Roman" w:hAnsi="Times New Roman" w:cs="Times New Roman"/>
          <w:color w:val="000000" w:themeColor="text1"/>
        </w:rPr>
        <w:t xml:space="preserve"> des ménages </w:t>
      </w:r>
      <w:r w:rsidR="00E7109F" w:rsidRPr="00C706A5">
        <w:rPr>
          <w:rFonts w:ascii="Times New Roman" w:hAnsi="Times New Roman" w:cs="Times New Roman"/>
          <w:color w:val="000000" w:themeColor="text1"/>
        </w:rPr>
        <w:t>n’ont pas connu de changements par rapport au trimestre précédent</w:t>
      </w:r>
      <w:r w:rsidR="008F2722" w:rsidRPr="00C706A5">
        <w:rPr>
          <w:rFonts w:ascii="Times New Roman" w:hAnsi="Times New Roman" w:cs="Times New Roman"/>
          <w:color w:val="000000" w:themeColor="text1"/>
        </w:rPr>
        <w:t xml:space="preserve"> mais</w:t>
      </w:r>
      <w:r w:rsidRPr="00C706A5">
        <w:rPr>
          <w:rFonts w:ascii="Times New Roman" w:hAnsi="Times New Roman" w:cs="Times New Roman"/>
          <w:color w:val="000000" w:themeColor="text1"/>
        </w:rPr>
        <w:t xml:space="preserve"> se détériorent de </w:t>
      </w:r>
      <w:r w:rsidR="00E7109F" w:rsidRPr="00C706A5">
        <w:rPr>
          <w:rFonts w:ascii="Times New Roman" w:hAnsi="Times New Roman" w:cs="Times New Roman"/>
          <w:color w:val="000000" w:themeColor="text1"/>
        </w:rPr>
        <w:t>6</w:t>
      </w:r>
      <w:r w:rsidRPr="00C706A5">
        <w:rPr>
          <w:rFonts w:ascii="Times New Roman" w:hAnsi="Times New Roman" w:cs="Times New Roman"/>
          <w:color w:val="000000" w:themeColor="text1"/>
        </w:rPr>
        <w:t>,</w:t>
      </w:r>
      <w:r w:rsidR="004421E3"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points </w:t>
      </w:r>
      <w:r w:rsidR="008F2722" w:rsidRPr="00C706A5">
        <w:rPr>
          <w:rFonts w:ascii="Times New Roman" w:hAnsi="Times New Roman" w:cs="Times New Roman"/>
          <w:color w:val="000000" w:themeColor="text1"/>
        </w:rPr>
        <w:t xml:space="preserve">par rapport à la </w:t>
      </w:r>
      <w:r w:rsidR="008E6069" w:rsidRPr="00C706A5">
        <w:rPr>
          <w:rFonts w:ascii="Times New Roman" w:hAnsi="Times New Roman" w:cs="Times New Roman"/>
          <w:color w:val="000000" w:themeColor="text1"/>
        </w:rPr>
        <w:t xml:space="preserve">même </w:t>
      </w:r>
      <w:r w:rsidR="008F2722" w:rsidRPr="00C706A5">
        <w:rPr>
          <w:rFonts w:ascii="Times New Roman" w:hAnsi="Times New Roman" w:cs="Times New Roman"/>
          <w:color w:val="000000" w:themeColor="text1"/>
        </w:rPr>
        <w:t>période de 2012.</w:t>
      </w:r>
    </w:p>
    <w:p w:rsidR="00E7109F" w:rsidRPr="00C706A5" w:rsidRDefault="00E7109F" w:rsidP="00D46521">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Pour la première fois depuis le début de l’enquête, le solde relatif aux perspectives d’évolution de la situation financière des ménages atteint un niveau négatif se situant à -1,7 point</w:t>
      </w:r>
      <w:r w:rsidR="005234AF" w:rsidRPr="00C706A5">
        <w:rPr>
          <w:rFonts w:ascii="Times New Roman" w:hAnsi="Times New Roman" w:cs="Times New Roman"/>
          <w:color w:val="000000" w:themeColor="text1"/>
        </w:rPr>
        <w:t xml:space="preserve">. Ce solde enregistre une </w:t>
      </w:r>
      <w:r w:rsidRPr="00C706A5">
        <w:rPr>
          <w:rFonts w:ascii="Times New Roman" w:hAnsi="Times New Roman" w:cs="Times New Roman"/>
          <w:color w:val="000000" w:themeColor="text1"/>
        </w:rPr>
        <w:t>détérioration de 4,5 points par rapport au trimestre précédent et de 12,3 points par rapport au quatrième trimestre de 2012.</w:t>
      </w:r>
    </w:p>
    <w:p w:rsidR="00C51C29" w:rsidRPr="00C706A5" w:rsidRDefault="00C51C29" w:rsidP="00C049EB">
      <w:pPr>
        <w:widowControl/>
        <w:spacing w:line="276" w:lineRule="auto"/>
        <w:jc w:val="both"/>
        <w:rPr>
          <w:rFonts w:ascii="Times New Roman" w:hAnsi="Times New Roman" w:cs="Times New Roman"/>
          <w:color w:val="000000" w:themeColor="text1"/>
        </w:rPr>
      </w:pPr>
    </w:p>
    <w:p w:rsidR="00F06A6A" w:rsidRPr="00C706A5" w:rsidRDefault="00434700" w:rsidP="003A5245">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noProof/>
          <w:color w:val="000000" w:themeColor="text1"/>
        </w:rPr>
        <w:drawing>
          <wp:inline distT="0" distB="0" distL="0" distR="0">
            <wp:extent cx="6172200" cy="306705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5D2E" w:rsidRPr="00C706A5" w:rsidRDefault="00195D2E" w:rsidP="00195D2E">
      <w:pPr>
        <w:widowControl/>
        <w:spacing w:line="276" w:lineRule="auto"/>
        <w:jc w:val="both"/>
        <w:rPr>
          <w:rFonts w:ascii="Times New Roman" w:hAnsi="Times New Roman" w:cs="Times New Roman"/>
          <w:color w:val="000000" w:themeColor="text1"/>
        </w:rPr>
      </w:pPr>
    </w:p>
    <w:p w:rsidR="00C62F85" w:rsidRPr="00C706A5" w:rsidRDefault="00C62F85" w:rsidP="00531247">
      <w:pPr>
        <w:widowControl/>
        <w:spacing w:line="276" w:lineRule="auto"/>
        <w:jc w:val="both"/>
        <w:rPr>
          <w:rFonts w:ascii="Times New Roman" w:hAnsi="Times New Roman" w:cs="Times New Roman"/>
          <w:b/>
          <w:bCs/>
          <w:color w:val="000000" w:themeColor="text1"/>
          <w:rtl/>
        </w:rPr>
      </w:pPr>
    </w:p>
    <w:p w:rsidR="00A52030" w:rsidRPr="00C706A5" w:rsidRDefault="00A52030" w:rsidP="009264E7">
      <w:pPr>
        <w:pStyle w:val="Paragraphedeliste"/>
        <w:numPr>
          <w:ilvl w:val="0"/>
          <w:numId w:val="9"/>
        </w:numPr>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Evolution d’autres indicateurs trimestriels de </w:t>
      </w:r>
      <w:r w:rsidR="00F6021D">
        <w:rPr>
          <w:rFonts w:ascii="Times New Roman" w:hAnsi="Times New Roman" w:cs="Times New Roman"/>
          <w:b/>
          <w:bCs/>
          <w:color w:val="000000" w:themeColor="text1"/>
        </w:rPr>
        <w:t xml:space="preserve">la </w:t>
      </w:r>
      <w:r w:rsidRPr="00C706A5">
        <w:rPr>
          <w:rFonts w:ascii="Times New Roman" w:hAnsi="Times New Roman" w:cs="Times New Roman"/>
          <w:b/>
          <w:bCs/>
          <w:color w:val="000000" w:themeColor="text1"/>
        </w:rPr>
        <w:t xml:space="preserve">perception </w:t>
      </w:r>
      <w:r w:rsidR="009264E7" w:rsidRPr="00C706A5">
        <w:rPr>
          <w:rFonts w:ascii="Times New Roman" w:hAnsi="Times New Roman" w:cs="Times New Roman"/>
          <w:b/>
          <w:bCs/>
          <w:color w:val="000000" w:themeColor="text1"/>
        </w:rPr>
        <w:t>par les ménages de la conjoncture</w:t>
      </w:r>
    </w:p>
    <w:p w:rsidR="00A52030" w:rsidRPr="00C706A5" w:rsidRDefault="00A52030" w:rsidP="00A52030">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En plus des sept indicateurs composant l’ICM, l’enquête fournit des données trimestrielles sur les perceptions des ménages relatives à d’autres aspects de leurs conditions de vie. Il s’agit en particulier de la capacité d’épargne des ménages et de l’évolution des prix des produits alimentaires. </w:t>
      </w:r>
    </w:p>
    <w:p w:rsidR="00A52030" w:rsidRPr="00C706A5" w:rsidRDefault="00A52030" w:rsidP="00A52030">
      <w:pPr>
        <w:widowControl/>
        <w:spacing w:line="276" w:lineRule="auto"/>
        <w:jc w:val="both"/>
        <w:rPr>
          <w:rFonts w:ascii="Times New Roman" w:hAnsi="Times New Roman" w:cs="Times New Roman"/>
          <w:color w:val="000000" w:themeColor="text1"/>
        </w:rPr>
      </w:pPr>
    </w:p>
    <w:p w:rsidR="00812210" w:rsidRPr="00C706A5" w:rsidRDefault="00812210" w:rsidP="000518A6">
      <w:pPr>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w:t>
      </w:r>
      <w:r w:rsidR="00057E1A" w:rsidRPr="00C706A5">
        <w:rPr>
          <w:rFonts w:ascii="Times New Roman" w:hAnsi="Times New Roman" w:cs="Times New Roman"/>
          <w:b/>
          <w:bCs/>
          <w:color w:val="000000" w:themeColor="text1"/>
        </w:rPr>
        <w:t xml:space="preserve">Capacité </w:t>
      </w:r>
      <w:r w:rsidR="000518A6" w:rsidRPr="00C706A5">
        <w:rPr>
          <w:rFonts w:ascii="Times New Roman" w:hAnsi="Times New Roman" w:cs="Times New Roman"/>
          <w:b/>
          <w:bCs/>
          <w:color w:val="000000" w:themeColor="text1"/>
        </w:rPr>
        <w:t xml:space="preserve">des ménages  à </w:t>
      </w:r>
      <w:r w:rsidR="00057E1A" w:rsidRPr="00C706A5">
        <w:rPr>
          <w:rFonts w:ascii="Times New Roman" w:hAnsi="Times New Roman" w:cs="Times New Roman"/>
          <w:b/>
          <w:bCs/>
          <w:color w:val="000000" w:themeColor="text1"/>
        </w:rPr>
        <w:t>épargne</w:t>
      </w:r>
      <w:r w:rsidR="000518A6" w:rsidRPr="00C706A5">
        <w:rPr>
          <w:rFonts w:ascii="Times New Roman" w:hAnsi="Times New Roman" w:cs="Times New Roman"/>
          <w:b/>
          <w:bCs/>
          <w:color w:val="000000" w:themeColor="text1"/>
        </w:rPr>
        <w:t>r</w:t>
      </w:r>
      <w:r w:rsidR="00057E1A" w:rsidRPr="00C706A5">
        <w:rPr>
          <w:rFonts w:ascii="Times New Roman" w:hAnsi="Times New Roman" w:cs="Times New Roman"/>
          <w:b/>
          <w:bCs/>
          <w:color w:val="000000" w:themeColor="text1"/>
        </w:rPr>
        <w:t xml:space="preserve">: </w:t>
      </w:r>
      <w:r w:rsidR="000518A6" w:rsidRPr="00C706A5">
        <w:rPr>
          <w:rFonts w:ascii="Times New Roman" w:hAnsi="Times New Roman" w:cs="Times New Roman"/>
          <w:b/>
          <w:bCs/>
          <w:color w:val="000000" w:themeColor="text1"/>
        </w:rPr>
        <w:t xml:space="preserve">perception plutôt </w:t>
      </w:r>
      <w:r w:rsidR="006D0BD2" w:rsidRPr="00C706A5">
        <w:rPr>
          <w:rFonts w:ascii="Times New Roman" w:hAnsi="Times New Roman" w:cs="Times New Roman"/>
          <w:b/>
          <w:bCs/>
          <w:color w:val="000000" w:themeColor="text1"/>
        </w:rPr>
        <w:t>pessimiste</w:t>
      </w:r>
      <w:r w:rsidR="00C55103" w:rsidRPr="00C706A5">
        <w:rPr>
          <w:rFonts w:ascii="Times New Roman" w:hAnsi="Times New Roman" w:cs="Times New Roman"/>
          <w:b/>
          <w:bCs/>
          <w:color w:val="000000" w:themeColor="text1"/>
        </w:rPr>
        <w:t xml:space="preserve"> </w:t>
      </w:r>
    </w:p>
    <w:p w:rsidR="00735526" w:rsidRPr="00C706A5" w:rsidRDefault="000B09BA" w:rsidP="00A413F7">
      <w:pPr>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Les</w:t>
      </w:r>
      <w:r w:rsidR="007F3847" w:rsidRPr="00C706A5">
        <w:rPr>
          <w:rFonts w:ascii="Times New Roman" w:hAnsi="Times New Roman" w:cs="Times New Roman"/>
          <w:color w:val="000000" w:themeColor="text1"/>
        </w:rPr>
        <w:t xml:space="preserve"> ménages </w:t>
      </w:r>
      <w:r w:rsidR="00D268A1" w:rsidRPr="00C706A5">
        <w:rPr>
          <w:rFonts w:ascii="Times New Roman" w:hAnsi="Times New Roman" w:cs="Times New Roman"/>
          <w:color w:val="000000" w:themeColor="text1"/>
        </w:rPr>
        <w:t xml:space="preserve">sont </w:t>
      </w:r>
      <w:r w:rsidRPr="00C706A5">
        <w:rPr>
          <w:rFonts w:ascii="Times New Roman" w:hAnsi="Times New Roman" w:cs="Times New Roman"/>
          <w:color w:val="000000" w:themeColor="text1"/>
        </w:rPr>
        <w:t xml:space="preserve">toujours </w:t>
      </w:r>
      <w:r w:rsidR="00D268A1" w:rsidRPr="00C706A5">
        <w:rPr>
          <w:rFonts w:ascii="Times New Roman" w:hAnsi="Times New Roman" w:cs="Times New Roman"/>
          <w:color w:val="000000" w:themeColor="text1"/>
        </w:rPr>
        <w:t xml:space="preserve">pessimistes quant à </w:t>
      </w:r>
      <w:r w:rsidR="00057E1A" w:rsidRPr="00C706A5">
        <w:rPr>
          <w:rFonts w:ascii="Times New Roman" w:hAnsi="Times New Roman" w:cs="Times New Roman"/>
          <w:color w:val="000000" w:themeColor="text1"/>
        </w:rPr>
        <w:t>leur</w:t>
      </w:r>
      <w:r w:rsidR="00D268A1" w:rsidRPr="00C706A5">
        <w:rPr>
          <w:rFonts w:ascii="Times New Roman" w:hAnsi="Times New Roman" w:cs="Times New Roman"/>
          <w:color w:val="000000" w:themeColor="text1"/>
        </w:rPr>
        <w:t>s</w:t>
      </w:r>
      <w:r w:rsidR="00057E1A" w:rsidRPr="00C706A5">
        <w:rPr>
          <w:rFonts w:ascii="Times New Roman" w:hAnsi="Times New Roman" w:cs="Times New Roman"/>
          <w:color w:val="000000" w:themeColor="text1"/>
        </w:rPr>
        <w:t xml:space="preserve"> capacité</w:t>
      </w:r>
      <w:r w:rsidR="00D268A1" w:rsidRPr="00C706A5">
        <w:rPr>
          <w:rFonts w:ascii="Times New Roman" w:hAnsi="Times New Roman" w:cs="Times New Roman"/>
          <w:color w:val="000000" w:themeColor="text1"/>
        </w:rPr>
        <w:t>s</w:t>
      </w:r>
      <w:r w:rsidR="00057E1A" w:rsidRPr="00C706A5">
        <w:rPr>
          <w:rFonts w:ascii="Times New Roman" w:hAnsi="Times New Roman" w:cs="Times New Roman"/>
          <w:color w:val="000000" w:themeColor="text1"/>
        </w:rPr>
        <w:t xml:space="preserve"> à épargner dans les mois à venir</w:t>
      </w:r>
      <w:r w:rsidR="00812210"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quatrième trimestre</w:t>
      </w:r>
      <w:r w:rsidRPr="00C706A5">
        <w:rPr>
          <w:rFonts w:ascii="Times New Roman" w:hAnsi="Times New Roman" w:cs="Times New Roman"/>
          <w:color w:val="000000" w:themeColor="text1"/>
        </w:rPr>
        <w:t xml:space="preserve"> de 2013, </w:t>
      </w:r>
      <w:r w:rsidR="00A413F7" w:rsidRPr="00C706A5">
        <w:rPr>
          <w:rFonts w:ascii="Times New Roman" w:hAnsi="Times New Roman" w:cs="Times New Roman"/>
          <w:color w:val="000000" w:themeColor="text1"/>
        </w:rPr>
        <w:t>près</w:t>
      </w:r>
      <w:r w:rsidR="00511C57" w:rsidRPr="00C706A5">
        <w:rPr>
          <w:rFonts w:ascii="Times New Roman" w:hAnsi="Times New Roman" w:cs="Times New Roman"/>
          <w:color w:val="000000" w:themeColor="text1"/>
        </w:rPr>
        <w:t xml:space="preserve"> de huit ménages sur dix </w:t>
      </w:r>
      <w:r w:rsidR="007F3847" w:rsidRPr="00C706A5">
        <w:rPr>
          <w:rFonts w:ascii="Times New Roman" w:hAnsi="Times New Roman" w:cs="Times New Roman"/>
          <w:color w:val="000000" w:themeColor="text1"/>
        </w:rPr>
        <w:t>(8</w:t>
      </w:r>
      <w:r w:rsidR="00A413F7" w:rsidRPr="00C706A5">
        <w:rPr>
          <w:rFonts w:ascii="Times New Roman" w:hAnsi="Times New Roman" w:cs="Times New Roman"/>
          <w:color w:val="000000" w:themeColor="text1"/>
        </w:rPr>
        <w:t>3</w:t>
      </w:r>
      <w:r w:rsidR="007F3847" w:rsidRPr="00C706A5">
        <w:rPr>
          <w:rFonts w:ascii="Times New Roman" w:hAnsi="Times New Roman" w:cs="Times New Roman"/>
          <w:color w:val="000000" w:themeColor="text1"/>
        </w:rPr>
        <w:t>,</w:t>
      </w:r>
      <w:r w:rsidR="00A413F7" w:rsidRPr="00C706A5">
        <w:rPr>
          <w:rFonts w:ascii="Times New Roman" w:hAnsi="Times New Roman" w:cs="Times New Roman"/>
          <w:color w:val="000000" w:themeColor="text1"/>
        </w:rPr>
        <w:t>3</w:t>
      </w:r>
      <w:r w:rsidR="007F3847" w:rsidRPr="00C706A5">
        <w:rPr>
          <w:rFonts w:ascii="Times New Roman" w:hAnsi="Times New Roman" w:cs="Times New Roman"/>
          <w:color w:val="000000" w:themeColor="text1"/>
        </w:rPr>
        <w:t>%</w:t>
      </w:r>
      <w:r w:rsidR="00511C57" w:rsidRPr="00C706A5">
        <w:rPr>
          <w:rFonts w:ascii="Times New Roman" w:hAnsi="Times New Roman" w:cs="Times New Roman"/>
          <w:color w:val="000000" w:themeColor="text1"/>
        </w:rPr>
        <w:t>) pensent ne pas pouvoir épargner au cours des 12 prochains mois</w:t>
      </w:r>
      <w:r w:rsidR="007F3847" w:rsidRPr="00C706A5">
        <w:rPr>
          <w:rFonts w:ascii="Times New Roman" w:hAnsi="Times New Roman" w:cs="Times New Roman"/>
          <w:color w:val="000000" w:themeColor="text1"/>
        </w:rPr>
        <w:t xml:space="preserve"> contre </w:t>
      </w:r>
      <w:r w:rsidR="00735526" w:rsidRPr="00C706A5">
        <w:rPr>
          <w:rFonts w:ascii="Times New Roman" w:hAnsi="Times New Roman" w:cs="Times New Roman"/>
          <w:color w:val="000000" w:themeColor="text1"/>
        </w:rPr>
        <w:t>1</w:t>
      </w:r>
      <w:r w:rsidR="00A413F7" w:rsidRPr="00C706A5">
        <w:rPr>
          <w:rFonts w:ascii="Times New Roman" w:hAnsi="Times New Roman" w:cs="Times New Roman"/>
          <w:color w:val="000000" w:themeColor="text1"/>
        </w:rPr>
        <w:t>6</w:t>
      </w:r>
      <w:r w:rsidR="007F3847" w:rsidRPr="00C706A5">
        <w:rPr>
          <w:rFonts w:ascii="Times New Roman" w:hAnsi="Times New Roman" w:cs="Times New Roman"/>
          <w:color w:val="000000" w:themeColor="text1"/>
        </w:rPr>
        <w:t>,</w:t>
      </w:r>
      <w:r w:rsidR="00A413F7" w:rsidRPr="00C706A5">
        <w:rPr>
          <w:rFonts w:ascii="Times New Roman" w:hAnsi="Times New Roman" w:cs="Times New Roman"/>
          <w:color w:val="000000" w:themeColor="text1"/>
        </w:rPr>
        <w:t>6</w:t>
      </w:r>
      <w:r w:rsidR="007F3847" w:rsidRPr="00C706A5">
        <w:rPr>
          <w:rFonts w:ascii="Times New Roman" w:hAnsi="Times New Roman" w:cs="Times New Roman"/>
          <w:color w:val="000000" w:themeColor="text1"/>
        </w:rPr>
        <w:t>%</w:t>
      </w:r>
      <w:r w:rsidR="00735526" w:rsidRPr="00C706A5">
        <w:rPr>
          <w:rFonts w:ascii="Times New Roman" w:hAnsi="Times New Roman" w:cs="Times New Roman"/>
          <w:color w:val="000000" w:themeColor="text1"/>
        </w:rPr>
        <w:t xml:space="preserve"> qui pensent le contraire. le solde de cet indicateur se situe, ainsi,  à un niveau négatif de -</w:t>
      </w:r>
      <w:r w:rsidRPr="00C706A5">
        <w:rPr>
          <w:rFonts w:ascii="Times New Roman" w:hAnsi="Times New Roman" w:cs="Times New Roman"/>
          <w:color w:val="000000" w:themeColor="text1"/>
        </w:rPr>
        <w:t>6</w:t>
      </w:r>
      <w:r w:rsidR="00A413F7" w:rsidRPr="00C706A5">
        <w:rPr>
          <w:rFonts w:ascii="Times New Roman" w:hAnsi="Times New Roman" w:cs="Times New Roman"/>
          <w:color w:val="000000" w:themeColor="text1"/>
        </w:rPr>
        <w:t>6,7</w:t>
      </w:r>
      <w:r w:rsidR="00735526" w:rsidRPr="00C706A5">
        <w:rPr>
          <w:rFonts w:ascii="Times New Roman" w:hAnsi="Times New Roman" w:cs="Times New Roman"/>
          <w:color w:val="000000" w:themeColor="text1"/>
        </w:rPr>
        <w:t xml:space="preserve"> points en </w:t>
      </w:r>
      <w:r w:rsidR="00A27CEB" w:rsidRPr="00C706A5">
        <w:rPr>
          <w:rFonts w:ascii="Times New Roman" w:hAnsi="Times New Roman" w:cs="Times New Roman"/>
          <w:color w:val="000000" w:themeColor="text1"/>
        </w:rPr>
        <w:t>amélioration</w:t>
      </w:r>
      <w:r w:rsidRPr="00C706A5">
        <w:rPr>
          <w:rFonts w:ascii="Times New Roman" w:hAnsi="Times New Roman" w:cs="Times New Roman"/>
          <w:color w:val="000000" w:themeColor="text1"/>
        </w:rPr>
        <w:t xml:space="preserve"> </w:t>
      </w:r>
      <w:r w:rsidR="00735526" w:rsidRPr="00C706A5">
        <w:rPr>
          <w:rFonts w:ascii="Times New Roman" w:hAnsi="Times New Roman" w:cs="Times New Roman"/>
          <w:color w:val="000000" w:themeColor="text1"/>
        </w:rPr>
        <w:t xml:space="preserve">de </w:t>
      </w:r>
      <w:r w:rsidR="00A413F7" w:rsidRPr="00C706A5">
        <w:rPr>
          <w:rFonts w:ascii="Times New Roman" w:hAnsi="Times New Roman" w:cs="Times New Roman"/>
          <w:color w:val="000000" w:themeColor="text1"/>
        </w:rPr>
        <w:t>2</w:t>
      </w:r>
      <w:r w:rsidR="00735526" w:rsidRPr="00C706A5">
        <w:rPr>
          <w:rFonts w:ascii="Times New Roman" w:hAnsi="Times New Roman" w:cs="Times New Roman"/>
          <w:color w:val="000000" w:themeColor="text1"/>
        </w:rPr>
        <w:t>,</w:t>
      </w:r>
      <w:r w:rsidR="00A413F7" w:rsidRPr="00C706A5">
        <w:rPr>
          <w:rFonts w:ascii="Times New Roman" w:hAnsi="Times New Roman" w:cs="Times New Roman"/>
          <w:color w:val="000000" w:themeColor="text1"/>
        </w:rPr>
        <w:t>4</w:t>
      </w:r>
      <w:r w:rsidR="00735526" w:rsidRPr="00C706A5">
        <w:rPr>
          <w:rFonts w:ascii="Times New Roman" w:hAnsi="Times New Roman" w:cs="Times New Roman"/>
          <w:color w:val="000000" w:themeColor="text1"/>
        </w:rPr>
        <w:t xml:space="preserve"> point</w:t>
      </w:r>
      <w:r w:rsidR="00FF392F" w:rsidRPr="00C706A5">
        <w:rPr>
          <w:rFonts w:ascii="Times New Roman" w:hAnsi="Times New Roman" w:cs="Times New Roman"/>
          <w:color w:val="000000" w:themeColor="text1"/>
        </w:rPr>
        <w:t>s</w:t>
      </w:r>
      <w:r w:rsidR="00735526" w:rsidRPr="00C706A5">
        <w:rPr>
          <w:rFonts w:ascii="Times New Roman" w:hAnsi="Times New Roman" w:cs="Times New Roman"/>
          <w:color w:val="000000" w:themeColor="text1"/>
        </w:rPr>
        <w:t xml:space="preserve"> par rapport au trimestre précédent </w:t>
      </w:r>
      <w:r w:rsidRPr="00C706A5">
        <w:rPr>
          <w:rFonts w:ascii="Times New Roman" w:hAnsi="Times New Roman" w:cs="Times New Roman"/>
          <w:color w:val="000000" w:themeColor="text1"/>
        </w:rPr>
        <w:t xml:space="preserve">mais en </w:t>
      </w:r>
      <w:r w:rsidR="00A27CEB" w:rsidRPr="00C706A5">
        <w:rPr>
          <w:rFonts w:ascii="Times New Roman" w:hAnsi="Times New Roman" w:cs="Times New Roman"/>
          <w:color w:val="000000" w:themeColor="text1"/>
        </w:rPr>
        <w:t>détérioration</w:t>
      </w:r>
      <w:r w:rsidRPr="00C706A5">
        <w:rPr>
          <w:rFonts w:ascii="Times New Roman" w:hAnsi="Times New Roman" w:cs="Times New Roman"/>
          <w:color w:val="000000" w:themeColor="text1"/>
        </w:rPr>
        <w:t xml:space="preserve"> </w:t>
      </w:r>
      <w:r w:rsidR="00735526" w:rsidRPr="00C706A5">
        <w:rPr>
          <w:rFonts w:ascii="Times New Roman" w:hAnsi="Times New Roman" w:cs="Times New Roman"/>
          <w:color w:val="000000" w:themeColor="text1"/>
        </w:rPr>
        <w:t xml:space="preserve">de </w:t>
      </w:r>
      <w:r w:rsidR="00A413F7"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w:t>
      </w:r>
      <w:r w:rsidR="00A413F7" w:rsidRPr="00C706A5">
        <w:rPr>
          <w:rFonts w:ascii="Times New Roman" w:hAnsi="Times New Roman" w:cs="Times New Roman"/>
          <w:color w:val="000000" w:themeColor="text1"/>
        </w:rPr>
        <w:t>2</w:t>
      </w:r>
      <w:r w:rsidR="00735526" w:rsidRPr="00C706A5">
        <w:rPr>
          <w:rFonts w:ascii="Times New Roman" w:hAnsi="Times New Roman" w:cs="Times New Roman"/>
          <w:color w:val="000000" w:themeColor="text1"/>
        </w:rPr>
        <w:t xml:space="preserve"> points par rapport à la même période de 2012.</w:t>
      </w:r>
    </w:p>
    <w:p w:rsidR="007C52B7" w:rsidRPr="00C706A5" w:rsidRDefault="007C52B7" w:rsidP="00C60EE9">
      <w:pPr>
        <w:widowControl/>
        <w:spacing w:line="276" w:lineRule="auto"/>
        <w:jc w:val="both"/>
        <w:rPr>
          <w:rFonts w:ascii="Times New Roman" w:hAnsi="Times New Roman" w:cs="Times New Roman"/>
          <w:b/>
          <w:bCs/>
          <w:color w:val="000000" w:themeColor="text1"/>
        </w:rPr>
      </w:pPr>
    </w:p>
    <w:p w:rsidR="00D063DF" w:rsidRPr="00C706A5" w:rsidRDefault="00D063DF" w:rsidP="00C60EE9">
      <w:pPr>
        <w:widowControl/>
        <w:spacing w:line="276" w:lineRule="auto"/>
        <w:jc w:val="both"/>
        <w:rPr>
          <w:rFonts w:ascii="Times New Roman" w:hAnsi="Times New Roman" w:cs="Times New Roman"/>
          <w:b/>
          <w:bCs/>
          <w:color w:val="000000" w:themeColor="text1"/>
        </w:rPr>
      </w:pPr>
    </w:p>
    <w:p w:rsidR="00D063DF" w:rsidRPr="00C706A5" w:rsidRDefault="00D063DF" w:rsidP="00C60EE9">
      <w:pPr>
        <w:widowControl/>
        <w:spacing w:line="276" w:lineRule="auto"/>
        <w:jc w:val="both"/>
        <w:rPr>
          <w:rFonts w:ascii="Times New Roman" w:hAnsi="Times New Roman" w:cs="Times New Roman"/>
          <w:b/>
          <w:bCs/>
          <w:color w:val="000000" w:themeColor="text1"/>
        </w:rPr>
      </w:pPr>
    </w:p>
    <w:p w:rsidR="00D063DF" w:rsidRPr="00C706A5" w:rsidRDefault="00D063DF" w:rsidP="00C60EE9">
      <w:pPr>
        <w:widowControl/>
        <w:spacing w:line="276" w:lineRule="auto"/>
        <w:jc w:val="both"/>
        <w:rPr>
          <w:rFonts w:ascii="Times New Roman" w:hAnsi="Times New Roman" w:cs="Times New Roman"/>
          <w:b/>
          <w:bCs/>
          <w:color w:val="000000" w:themeColor="text1"/>
        </w:rPr>
      </w:pPr>
    </w:p>
    <w:p w:rsidR="00E92F9F" w:rsidRPr="00C706A5" w:rsidRDefault="00AE27A6" w:rsidP="00B607A0">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w:t>
      </w:r>
      <w:r w:rsidR="002C5954" w:rsidRPr="00C706A5">
        <w:rPr>
          <w:rFonts w:ascii="Times New Roman" w:hAnsi="Times New Roman" w:cs="Times New Roman"/>
          <w:b/>
          <w:bCs/>
          <w:color w:val="000000" w:themeColor="text1"/>
        </w:rPr>
        <w:t xml:space="preserve"> </w:t>
      </w:r>
      <w:r w:rsidR="00E0420B" w:rsidRPr="00C706A5">
        <w:rPr>
          <w:rFonts w:ascii="Times New Roman" w:hAnsi="Times New Roman" w:cs="Times New Roman"/>
          <w:b/>
          <w:bCs/>
          <w:color w:val="000000" w:themeColor="text1"/>
        </w:rPr>
        <w:t>Prix des produits alimentaires</w:t>
      </w:r>
      <w:r w:rsidR="00F752D4" w:rsidRPr="00C706A5">
        <w:rPr>
          <w:rFonts w:ascii="Times New Roman" w:hAnsi="Times New Roman" w:cs="Times New Roman"/>
          <w:b/>
          <w:bCs/>
          <w:color w:val="000000" w:themeColor="text1"/>
        </w:rPr>
        <w:t>:</w:t>
      </w:r>
      <w:r w:rsidR="00E0420B" w:rsidRPr="00C706A5">
        <w:rPr>
          <w:rFonts w:ascii="Times New Roman" w:hAnsi="Times New Roman" w:cs="Times New Roman"/>
          <w:b/>
          <w:bCs/>
          <w:color w:val="000000" w:themeColor="text1"/>
        </w:rPr>
        <w:t xml:space="preserve"> </w:t>
      </w:r>
      <w:r w:rsidR="00B607A0" w:rsidRPr="00C706A5">
        <w:rPr>
          <w:rFonts w:ascii="Times New Roman" w:hAnsi="Times New Roman" w:cs="Times New Roman"/>
          <w:b/>
          <w:bCs/>
          <w:color w:val="000000" w:themeColor="text1"/>
        </w:rPr>
        <w:t>attente</w:t>
      </w:r>
      <w:r w:rsidR="00097D75" w:rsidRPr="00C706A5">
        <w:rPr>
          <w:rFonts w:ascii="Times New Roman" w:hAnsi="Times New Roman" w:cs="Times New Roman"/>
          <w:b/>
          <w:bCs/>
          <w:color w:val="000000" w:themeColor="text1"/>
        </w:rPr>
        <w:t xml:space="preserve"> d’une hausse</w:t>
      </w:r>
    </w:p>
    <w:p w:rsidR="00A644C5" w:rsidRPr="00C706A5" w:rsidRDefault="00985AB3" w:rsidP="00E443E4">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quatrième trimestre</w:t>
      </w:r>
      <w:r w:rsidR="001B3707"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de 201</w:t>
      </w:r>
      <w:r w:rsidR="00474682"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 xml:space="preserve">, </w:t>
      </w:r>
      <w:r w:rsidR="00352D33" w:rsidRPr="00C706A5">
        <w:rPr>
          <w:rFonts w:ascii="Times New Roman" w:hAnsi="Times New Roman" w:cs="Times New Roman"/>
          <w:color w:val="000000" w:themeColor="text1"/>
        </w:rPr>
        <w:t>pr</w:t>
      </w:r>
      <w:r w:rsidR="00E443E4" w:rsidRPr="00C706A5">
        <w:rPr>
          <w:rFonts w:ascii="Times New Roman" w:hAnsi="Times New Roman" w:cs="Times New Roman"/>
          <w:color w:val="000000" w:themeColor="text1"/>
        </w:rPr>
        <w:t>è</w:t>
      </w:r>
      <w:r w:rsidR="00352D33" w:rsidRPr="00C706A5">
        <w:rPr>
          <w:rFonts w:ascii="Times New Roman" w:hAnsi="Times New Roman" w:cs="Times New Roman"/>
          <w:color w:val="000000" w:themeColor="text1"/>
        </w:rPr>
        <w:t xml:space="preserve">s </w:t>
      </w:r>
      <w:r w:rsidR="00742AC3" w:rsidRPr="00C706A5">
        <w:rPr>
          <w:rFonts w:ascii="Times New Roman" w:hAnsi="Times New Roman" w:cs="Times New Roman"/>
          <w:color w:val="000000" w:themeColor="text1"/>
        </w:rPr>
        <w:t xml:space="preserve">de </w:t>
      </w:r>
      <w:r w:rsidR="00987987" w:rsidRPr="00C706A5">
        <w:rPr>
          <w:rFonts w:ascii="Times New Roman" w:hAnsi="Times New Roman" w:cs="Times New Roman"/>
          <w:color w:val="000000" w:themeColor="text1"/>
        </w:rPr>
        <w:t>9</w:t>
      </w:r>
      <w:r w:rsidR="00352D33" w:rsidRPr="00C706A5">
        <w:rPr>
          <w:rFonts w:ascii="Times New Roman" w:hAnsi="Times New Roman" w:cs="Times New Roman"/>
          <w:color w:val="000000" w:themeColor="text1"/>
        </w:rPr>
        <w:t>2</w:t>
      </w:r>
      <w:r w:rsidR="00563170" w:rsidRPr="00C706A5">
        <w:rPr>
          <w:rFonts w:ascii="Times New Roman" w:hAnsi="Times New Roman" w:cs="Times New Roman"/>
          <w:color w:val="000000" w:themeColor="text1"/>
        </w:rPr>
        <w:t>%</w:t>
      </w:r>
      <w:r w:rsidR="00742AC3" w:rsidRPr="00C706A5">
        <w:rPr>
          <w:rFonts w:ascii="Times New Roman" w:hAnsi="Times New Roman" w:cs="Times New Roman"/>
          <w:color w:val="000000" w:themeColor="text1"/>
        </w:rPr>
        <w:t xml:space="preserve"> des ménages</w:t>
      </w:r>
      <w:r w:rsidR="00A644C5" w:rsidRPr="00C706A5">
        <w:rPr>
          <w:rFonts w:ascii="Times New Roman" w:hAnsi="Times New Roman" w:cs="Times New Roman"/>
          <w:color w:val="000000" w:themeColor="text1"/>
        </w:rPr>
        <w:t xml:space="preserve"> </w:t>
      </w:r>
      <w:r w:rsidRPr="00C706A5">
        <w:rPr>
          <w:rFonts w:ascii="Times New Roman" w:hAnsi="Times New Roman" w:cs="Times New Roman"/>
          <w:color w:val="000000" w:themeColor="text1"/>
        </w:rPr>
        <w:t xml:space="preserve"> </w:t>
      </w:r>
      <w:r w:rsidR="00A644C5" w:rsidRPr="00C706A5">
        <w:rPr>
          <w:rFonts w:ascii="Times New Roman" w:hAnsi="Times New Roman" w:cs="Times New Roman"/>
          <w:color w:val="000000" w:themeColor="text1"/>
        </w:rPr>
        <w:t xml:space="preserve">pensent que les prix des produits alimentaires ont augmenté dans le passé </w:t>
      </w:r>
      <w:r w:rsidRPr="00C706A5">
        <w:rPr>
          <w:rFonts w:ascii="Times New Roman" w:hAnsi="Times New Roman" w:cs="Times New Roman"/>
          <w:color w:val="000000" w:themeColor="text1"/>
        </w:rPr>
        <w:t xml:space="preserve">contre </w:t>
      </w:r>
      <w:r w:rsidR="00742AC3" w:rsidRPr="00C706A5">
        <w:rPr>
          <w:rFonts w:ascii="Times New Roman" w:hAnsi="Times New Roman" w:cs="Times New Roman"/>
          <w:color w:val="000000" w:themeColor="text1"/>
        </w:rPr>
        <w:t>9</w:t>
      </w:r>
      <w:r w:rsidR="00352D33" w:rsidRPr="00C706A5">
        <w:rPr>
          <w:rFonts w:ascii="Times New Roman" w:hAnsi="Times New Roman" w:cs="Times New Roman"/>
          <w:color w:val="000000" w:themeColor="text1"/>
        </w:rPr>
        <w:t>1,4</w:t>
      </w:r>
      <w:r w:rsidRPr="00C706A5">
        <w:rPr>
          <w:rFonts w:ascii="Times New Roman" w:hAnsi="Times New Roman" w:cs="Times New Roman"/>
          <w:color w:val="000000" w:themeColor="text1"/>
        </w:rPr>
        <w:t xml:space="preserve">% </w:t>
      </w:r>
      <w:r w:rsidR="00581D56" w:rsidRPr="00C706A5">
        <w:rPr>
          <w:rFonts w:ascii="Times New Roman" w:hAnsi="Times New Roman" w:cs="Times New Roman"/>
          <w:color w:val="000000" w:themeColor="text1"/>
        </w:rPr>
        <w:t>un</w:t>
      </w:r>
      <w:r w:rsidRPr="00C706A5">
        <w:rPr>
          <w:rFonts w:ascii="Times New Roman" w:hAnsi="Times New Roman" w:cs="Times New Roman"/>
          <w:color w:val="000000" w:themeColor="text1"/>
        </w:rPr>
        <w:t xml:space="preserve"> trimestre </w:t>
      </w:r>
      <w:r w:rsidR="00581D56" w:rsidRPr="00C706A5">
        <w:rPr>
          <w:rFonts w:ascii="Times New Roman" w:hAnsi="Times New Roman" w:cs="Times New Roman"/>
          <w:color w:val="000000" w:themeColor="text1"/>
        </w:rPr>
        <w:t>auparavant</w:t>
      </w:r>
      <w:r w:rsidRPr="00C706A5">
        <w:rPr>
          <w:rFonts w:ascii="Times New Roman" w:hAnsi="Times New Roman" w:cs="Times New Roman"/>
          <w:color w:val="000000" w:themeColor="text1"/>
        </w:rPr>
        <w:t xml:space="preserve"> et </w:t>
      </w:r>
      <w:r w:rsidR="008A184F" w:rsidRPr="00C706A5">
        <w:rPr>
          <w:rFonts w:ascii="Times New Roman" w:hAnsi="Times New Roman" w:cs="Times New Roman"/>
          <w:color w:val="000000" w:themeColor="text1"/>
        </w:rPr>
        <w:t>9</w:t>
      </w:r>
      <w:r w:rsidR="00352D33" w:rsidRPr="00C706A5">
        <w:rPr>
          <w:rFonts w:ascii="Times New Roman" w:hAnsi="Times New Roman" w:cs="Times New Roman"/>
          <w:color w:val="000000" w:themeColor="text1"/>
        </w:rPr>
        <w:t>1</w:t>
      </w:r>
      <w:r w:rsidRPr="00C706A5">
        <w:rPr>
          <w:rFonts w:ascii="Times New Roman" w:hAnsi="Times New Roman" w:cs="Times New Roman"/>
          <w:color w:val="000000" w:themeColor="text1"/>
        </w:rPr>
        <w:t>,</w:t>
      </w:r>
      <w:r w:rsidR="00352D33" w:rsidRPr="00C706A5">
        <w:rPr>
          <w:rFonts w:ascii="Times New Roman" w:hAnsi="Times New Roman" w:cs="Times New Roman"/>
          <w:color w:val="000000" w:themeColor="text1"/>
        </w:rPr>
        <w:t>8</w:t>
      </w:r>
      <w:r w:rsidRPr="00C706A5">
        <w:rPr>
          <w:rFonts w:ascii="Times New Roman" w:hAnsi="Times New Roman" w:cs="Times New Roman"/>
          <w:color w:val="000000" w:themeColor="text1"/>
        </w:rPr>
        <w:t>% un an auparavant</w:t>
      </w:r>
      <w:r w:rsidR="00A644C5" w:rsidRPr="00C706A5">
        <w:rPr>
          <w:rFonts w:ascii="Times New Roman" w:hAnsi="Times New Roman" w:cs="Times New Roman"/>
          <w:color w:val="000000" w:themeColor="text1"/>
        </w:rPr>
        <w:t>.</w:t>
      </w:r>
      <w:r w:rsidR="00563170" w:rsidRPr="00C706A5">
        <w:rPr>
          <w:rFonts w:ascii="Times New Roman" w:hAnsi="Times New Roman" w:cs="Times New Roman"/>
          <w:color w:val="000000" w:themeColor="text1"/>
        </w:rPr>
        <w:t xml:space="preserve"> </w:t>
      </w:r>
      <w:r w:rsidR="00A644C5" w:rsidRPr="00C706A5">
        <w:rPr>
          <w:rFonts w:ascii="Times New Roman" w:hAnsi="Times New Roman" w:cs="Times New Roman"/>
          <w:color w:val="000000" w:themeColor="text1"/>
        </w:rPr>
        <w:t xml:space="preserve"> </w:t>
      </w:r>
      <w:r w:rsidR="00352D33" w:rsidRPr="00C706A5">
        <w:rPr>
          <w:rFonts w:ascii="Times New Roman" w:hAnsi="Times New Roman" w:cs="Times New Roman"/>
          <w:color w:val="000000" w:themeColor="text1"/>
        </w:rPr>
        <w:t>Le</w:t>
      </w:r>
      <w:r w:rsidR="00C17A37" w:rsidRPr="00C706A5">
        <w:rPr>
          <w:rFonts w:ascii="Times New Roman" w:hAnsi="Times New Roman" w:cs="Times New Roman"/>
          <w:color w:val="000000" w:themeColor="text1"/>
        </w:rPr>
        <w:t xml:space="preserve"> solde d</w:t>
      </w:r>
      <w:r w:rsidR="00A644C5" w:rsidRPr="00C706A5">
        <w:rPr>
          <w:rFonts w:ascii="Times New Roman" w:hAnsi="Times New Roman" w:cs="Times New Roman"/>
          <w:color w:val="000000" w:themeColor="text1"/>
        </w:rPr>
        <w:t>e cet indicateur a connu</w:t>
      </w:r>
      <w:r w:rsidR="00EA205A" w:rsidRPr="00C706A5">
        <w:rPr>
          <w:rFonts w:ascii="Times New Roman" w:hAnsi="Times New Roman" w:cs="Times New Roman"/>
          <w:color w:val="000000" w:themeColor="text1"/>
        </w:rPr>
        <w:t xml:space="preserve"> </w:t>
      </w:r>
      <w:r w:rsidR="00A21054" w:rsidRPr="00C706A5">
        <w:rPr>
          <w:rFonts w:ascii="Times New Roman" w:hAnsi="Times New Roman" w:cs="Times New Roman"/>
          <w:color w:val="000000" w:themeColor="text1"/>
        </w:rPr>
        <w:t xml:space="preserve">une </w:t>
      </w:r>
      <w:r w:rsidR="00352D33" w:rsidRPr="00C706A5">
        <w:rPr>
          <w:rFonts w:ascii="Times New Roman" w:hAnsi="Times New Roman" w:cs="Times New Roman"/>
          <w:color w:val="000000" w:themeColor="text1"/>
        </w:rPr>
        <w:t xml:space="preserve">détérioration de 0,2 </w:t>
      </w:r>
      <w:r w:rsidR="00A21054" w:rsidRPr="00C706A5">
        <w:rPr>
          <w:rFonts w:ascii="Times New Roman" w:hAnsi="Times New Roman" w:cs="Times New Roman"/>
          <w:color w:val="000000" w:themeColor="text1"/>
        </w:rPr>
        <w:t>point</w:t>
      </w:r>
      <w:r w:rsidR="00352D33" w:rsidRPr="00C706A5">
        <w:rPr>
          <w:rFonts w:ascii="Times New Roman" w:hAnsi="Times New Roman" w:cs="Times New Roman"/>
          <w:color w:val="000000" w:themeColor="text1"/>
        </w:rPr>
        <w:t xml:space="preserve"> </w:t>
      </w:r>
      <w:r w:rsidR="00A21054" w:rsidRPr="00C706A5">
        <w:rPr>
          <w:rFonts w:ascii="Times New Roman" w:hAnsi="Times New Roman" w:cs="Times New Roman"/>
          <w:color w:val="000000" w:themeColor="text1"/>
        </w:rPr>
        <w:t>par rapport au même trimestre de 2012</w:t>
      </w:r>
      <w:r w:rsidR="00352D33" w:rsidRPr="00C706A5">
        <w:rPr>
          <w:rFonts w:ascii="Times New Roman" w:hAnsi="Times New Roman" w:cs="Times New Roman"/>
          <w:color w:val="000000" w:themeColor="text1"/>
        </w:rPr>
        <w:t xml:space="preserve"> et de 0,3 point </w:t>
      </w:r>
      <w:r w:rsidR="00A21054" w:rsidRPr="00C706A5">
        <w:rPr>
          <w:rFonts w:ascii="Times New Roman" w:hAnsi="Times New Roman" w:cs="Times New Roman"/>
          <w:color w:val="000000" w:themeColor="text1"/>
        </w:rPr>
        <w:t>par rapport au trimestre précédent.</w:t>
      </w:r>
    </w:p>
    <w:p w:rsidR="00D54358" w:rsidRPr="00C706A5" w:rsidRDefault="00700954" w:rsidP="007D6641">
      <w:pPr>
        <w:widowControl/>
        <w:spacing w:before="240"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Quant au</w:t>
      </w:r>
      <w:r w:rsidR="00C744C3" w:rsidRPr="00C706A5">
        <w:rPr>
          <w:rFonts w:ascii="Times New Roman" w:hAnsi="Times New Roman" w:cs="Times New Roman"/>
          <w:color w:val="000000" w:themeColor="text1"/>
        </w:rPr>
        <w:t>x</w:t>
      </w:r>
      <w:r w:rsidRPr="00C706A5">
        <w:rPr>
          <w:rFonts w:ascii="Times New Roman" w:hAnsi="Times New Roman" w:cs="Times New Roman"/>
          <w:color w:val="000000" w:themeColor="text1"/>
        </w:rPr>
        <w:t xml:space="preserve"> perspectives d’évolution des prix des produits alimentaires, p</w:t>
      </w:r>
      <w:r w:rsidR="00563170" w:rsidRPr="00C706A5">
        <w:rPr>
          <w:rFonts w:ascii="Times New Roman" w:hAnsi="Times New Roman" w:cs="Times New Roman"/>
          <w:color w:val="000000" w:themeColor="text1"/>
        </w:rPr>
        <w:t xml:space="preserve">lus de </w:t>
      </w:r>
      <w:r w:rsidR="002B2EC5" w:rsidRPr="00C706A5">
        <w:rPr>
          <w:rFonts w:ascii="Times New Roman" w:hAnsi="Times New Roman" w:cs="Times New Roman"/>
          <w:color w:val="000000" w:themeColor="text1"/>
        </w:rPr>
        <w:t>trois</w:t>
      </w:r>
      <w:r w:rsidR="00563170" w:rsidRPr="00C706A5">
        <w:rPr>
          <w:rFonts w:ascii="Times New Roman" w:hAnsi="Times New Roman" w:cs="Times New Roman"/>
          <w:color w:val="000000" w:themeColor="text1"/>
        </w:rPr>
        <w:t xml:space="preserve"> </w:t>
      </w:r>
      <w:r w:rsidR="00C374B5" w:rsidRPr="00C706A5">
        <w:rPr>
          <w:rFonts w:ascii="Times New Roman" w:hAnsi="Times New Roman" w:cs="Times New Roman"/>
          <w:color w:val="000000" w:themeColor="text1"/>
        </w:rPr>
        <w:t xml:space="preserve">ménages </w:t>
      </w:r>
      <w:r w:rsidR="00563170" w:rsidRPr="00C706A5">
        <w:rPr>
          <w:rFonts w:ascii="Times New Roman" w:hAnsi="Times New Roman" w:cs="Times New Roman"/>
          <w:color w:val="000000" w:themeColor="text1"/>
        </w:rPr>
        <w:t xml:space="preserve">sur </w:t>
      </w:r>
      <w:r w:rsidR="002B2EC5" w:rsidRPr="00C706A5">
        <w:rPr>
          <w:rFonts w:ascii="Times New Roman" w:hAnsi="Times New Roman" w:cs="Times New Roman"/>
          <w:color w:val="000000" w:themeColor="text1"/>
        </w:rPr>
        <w:t>quatre</w:t>
      </w:r>
      <w:r w:rsidR="00563170" w:rsidRPr="00C706A5">
        <w:rPr>
          <w:rFonts w:ascii="Times New Roman" w:hAnsi="Times New Roman" w:cs="Times New Roman"/>
          <w:color w:val="000000" w:themeColor="text1"/>
        </w:rPr>
        <w:t xml:space="preserve"> </w:t>
      </w:r>
      <w:r w:rsidR="002A1C56" w:rsidRPr="00C706A5">
        <w:rPr>
          <w:rFonts w:ascii="Times New Roman" w:hAnsi="Times New Roman" w:cs="Times New Roman"/>
          <w:color w:val="000000" w:themeColor="text1"/>
        </w:rPr>
        <w:t>(7</w:t>
      </w:r>
      <w:r w:rsidR="004D48A5" w:rsidRPr="00C706A5">
        <w:rPr>
          <w:rFonts w:ascii="Times New Roman" w:hAnsi="Times New Roman" w:cs="Times New Roman"/>
          <w:color w:val="000000" w:themeColor="text1"/>
        </w:rPr>
        <w:t>7</w:t>
      </w:r>
      <w:r w:rsidR="002A1C56" w:rsidRPr="00C706A5">
        <w:rPr>
          <w:rFonts w:ascii="Times New Roman" w:hAnsi="Times New Roman" w:cs="Times New Roman"/>
          <w:color w:val="000000" w:themeColor="text1"/>
        </w:rPr>
        <w:t xml:space="preserve">%) pensent que </w:t>
      </w:r>
      <w:r w:rsidR="00EA205A" w:rsidRPr="00C706A5">
        <w:rPr>
          <w:rFonts w:ascii="Times New Roman" w:hAnsi="Times New Roman" w:cs="Times New Roman"/>
          <w:color w:val="000000" w:themeColor="text1"/>
        </w:rPr>
        <w:t>c</w:t>
      </w:r>
      <w:r w:rsidR="002A1C56" w:rsidRPr="00C706A5">
        <w:rPr>
          <w:rFonts w:ascii="Times New Roman" w:hAnsi="Times New Roman" w:cs="Times New Roman"/>
          <w:color w:val="000000" w:themeColor="text1"/>
        </w:rPr>
        <w:t xml:space="preserve">es prix continueront à augmenter dans le futur </w:t>
      </w:r>
      <w:r w:rsidR="00985AB3" w:rsidRPr="00C706A5">
        <w:rPr>
          <w:rFonts w:ascii="Times New Roman" w:hAnsi="Times New Roman" w:cs="Times New Roman"/>
          <w:color w:val="000000" w:themeColor="text1"/>
        </w:rPr>
        <w:t xml:space="preserve">contre </w:t>
      </w:r>
      <w:r w:rsidR="00987987" w:rsidRPr="00C706A5">
        <w:rPr>
          <w:rFonts w:ascii="Times New Roman" w:hAnsi="Times New Roman" w:cs="Times New Roman"/>
          <w:color w:val="000000" w:themeColor="text1"/>
        </w:rPr>
        <w:t>7</w:t>
      </w:r>
      <w:r w:rsidR="007D6641" w:rsidRPr="00C706A5">
        <w:rPr>
          <w:rFonts w:ascii="Times New Roman" w:hAnsi="Times New Roman" w:cs="Times New Roman"/>
          <w:color w:val="000000" w:themeColor="text1"/>
        </w:rPr>
        <w:t>6</w:t>
      </w:r>
      <w:r w:rsidR="00C13086" w:rsidRPr="00C706A5">
        <w:rPr>
          <w:rFonts w:ascii="Times New Roman" w:hAnsi="Times New Roman" w:cs="Times New Roman"/>
          <w:color w:val="000000" w:themeColor="text1"/>
        </w:rPr>
        <w:t>,</w:t>
      </w:r>
      <w:r w:rsidR="007D6641" w:rsidRPr="00C706A5">
        <w:rPr>
          <w:rFonts w:ascii="Times New Roman" w:hAnsi="Times New Roman" w:cs="Times New Roman"/>
          <w:color w:val="000000" w:themeColor="text1"/>
        </w:rPr>
        <w:t>7</w:t>
      </w:r>
      <w:r w:rsidR="00985AB3" w:rsidRPr="00C706A5">
        <w:rPr>
          <w:rFonts w:ascii="Times New Roman" w:hAnsi="Times New Roman" w:cs="Times New Roman"/>
          <w:color w:val="000000" w:themeColor="text1"/>
        </w:rPr>
        <w:t xml:space="preserve">% </w:t>
      </w:r>
      <w:r w:rsidR="002A1C56"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troisième trimestre</w:t>
      </w:r>
      <w:r w:rsidR="002A1C56" w:rsidRPr="00C706A5">
        <w:rPr>
          <w:rFonts w:ascii="Times New Roman" w:hAnsi="Times New Roman" w:cs="Times New Roman"/>
          <w:color w:val="000000" w:themeColor="text1"/>
        </w:rPr>
        <w:t xml:space="preserve"> de 2013 </w:t>
      </w:r>
      <w:r w:rsidR="00985AB3" w:rsidRPr="00C706A5">
        <w:rPr>
          <w:rFonts w:ascii="Times New Roman" w:hAnsi="Times New Roman" w:cs="Times New Roman"/>
          <w:color w:val="000000" w:themeColor="text1"/>
        </w:rPr>
        <w:t xml:space="preserve">et </w:t>
      </w:r>
      <w:r w:rsidR="00987987" w:rsidRPr="00C706A5">
        <w:rPr>
          <w:rFonts w:ascii="Times New Roman" w:hAnsi="Times New Roman" w:cs="Times New Roman"/>
          <w:color w:val="000000" w:themeColor="text1"/>
        </w:rPr>
        <w:t>7</w:t>
      </w:r>
      <w:r w:rsidR="007D6641" w:rsidRPr="00C706A5">
        <w:rPr>
          <w:rFonts w:ascii="Times New Roman" w:hAnsi="Times New Roman" w:cs="Times New Roman"/>
          <w:color w:val="000000" w:themeColor="text1"/>
        </w:rPr>
        <w:t>2</w:t>
      </w:r>
      <w:r w:rsidR="00985AB3" w:rsidRPr="00C706A5">
        <w:rPr>
          <w:rFonts w:ascii="Times New Roman" w:hAnsi="Times New Roman" w:cs="Times New Roman"/>
          <w:color w:val="000000" w:themeColor="text1"/>
        </w:rPr>
        <w:t>,</w:t>
      </w:r>
      <w:r w:rsidR="007D6641" w:rsidRPr="00C706A5">
        <w:rPr>
          <w:rFonts w:ascii="Times New Roman" w:hAnsi="Times New Roman" w:cs="Times New Roman"/>
          <w:color w:val="000000" w:themeColor="text1"/>
        </w:rPr>
        <w:t>1</w:t>
      </w:r>
      <w:r w:rsidR="00985AB3" w:rsidRPr="00C706A5">
        <w:rPr>
          <w:rFonts w:ascii="Times New Roman" w:hAnsi="Times New Roman" w:cs="Times New Roman"/>
          <w:color w:val="000000" w:themeColor="text1"/>
        </w:rPr>
        <w:t xml:space="preserve">% </w:t>
      </w:r>
      <w:r w:rsidR="002A1C56" w:rsidRPr="00C706A5">
        <w:rPr>
          <w:rFonts w:ascii="Times New Roman" w:hAnsi="Times New Roman" w:cs="Times New Roman"/>
          <w:color w:val="000000" w:themeColor="text1"/>
        </w:rPr>
        <w:t xml:space="preserve">au </w:t>
      </w:r>
      <w:r w:rsidR="001A4203" w:rsidRPr="00C706A5">
        <w:rPr>
          <w:rFonts w:ascii="Times New Roman" w:hAnsi="Times New Roman" w:cs="Times New Roman"/>
          <w:color w:val="000000" w:themeColor="text1"/>
        </w:rPr>
        <w:t>quatrième trimestre</w:t>
      </w:r>
      <w:r w:rsidR="002A1C56" w:rsidRPr="00C706A5">
        <w:rPr>
          <w:rFonts w:ascii="Times New Roman" w:hAnsi="Times New Roman" w:cs="Times New Roman"/>
          <w:color w:val="000000" w:themeColor="text1"/>
        </w:rPr>
        <w:t xml:space="preserve"> de 2012.  Le solde </w:t>
      </w:r>
      <w:r w:rsidR="003A52E9" w:rsidRPr="00C706A5">
        <w:rPr>
          <w:rFonts w:ascii="Times New Roman" w:hAnsi="Times New Roman" w:cs="Times New Roman"/>
          <w:color w:val="000000" w:themeColor="text1"/>
        </w:rPr>
        <w:t xml:space="preserve"> relatif aux perspectives d’évolution </w:t>
      </w:r>
      <w:r w:rsidR="002A1C56" w:rsidRPr="00C706A5">
        <w:rPr>
          <w:rFonts w:ascii="Times New Roman" w:hAnsi="Times New Roman" w:cs="Times New Roman"/>
          <w:color w:val="000000" w:themeColor="text1"/>
        </w:rPr>
        <w:t xml:space="preserve">de ces prix </w:t>
      </w:r>
      <w:r w:rsidR="00C13086" w:rsidRPr="00C706A5">
        <w:rPr>
          <w:rFonts w:ascii="Times New Roman" w:hAnsi="Times New Roman" w:cs="Times New Roman"/>
          <w:color w:val="000000" w:themeColor="text1"/>
        </w:rPr>
        <w:t xml:space="preserve">s’est détérioré </w:t>
      </w:r>
      <w:r w:rsidR="003A52E9" w:rsidRPr="00C706A5">
        <w:rPr>
          <w:rFonts w:ascii="Times New Roman" w:hAnsi="Times New Roman" w:cs="Times New Roman"/>
          <w:color w:val="000000" w:themeColor="text1"/>
        </w:rPr>
        <w:t xml:space="preserve">de </w:t>
      </w:r>
      <w:r w:rsidR="007D6641" w:rsidRPr="00C706A5">
        <w:rPr>
          <w:rFonts w:ascii="Times New Roman" w:hAnsi="Times New Roman" w:cs="Times New Roman"/>
          <w:color w:val="000000" w:themeColor="text1"/>
        </w:rPr>
        <w:t>6</w:t>
      </w:r>
      <w:r w:rsidR="003A52E9" w:rsidRPr="00C706A5">
        <w:rPr>
          <w:rFonts w:ascii="Times New Roman" w:hAnsi="Times New Roman" w:cs="Times New Roman"/>
          <w:color w:val="000000" w:themeColor="text1"/>
        </w:rPr>
        <w:t xml:space="preserve"> points par rapport </w:t>
      </w:r>
      <w:r w:rsidR="007D6641" w:rsidRPr="00C706A5">
        <w:rPr>
          <w:rFonts w:ascii="Times New Roman" w:hAnsi="Times New Roman" w:cs="Times New Roman"/>
          <w:color w:val="000000" w:themeColor="text1"/>
        </w:rPr>
        <w:t>à la même période de 2012 tout en gardant le même niveau d</w:t>
      </w:r>
      <w:r w:rsidR="003A52E9" w:rsidRPr="00C706A5">
        <w:rPr>
          <w:rFonts w:ascii="Times New Roman" w:hAnsi="Times New Roman" w:cs="Times New Roman"/>
          <w:color w:val="000000" w:themeColor="text1"/>
        </w:rPr>
        <w:t xml:space="preserve">u </w:t>
      </w:r>
      <w:r w:rsidR="00C64827" w:rsidRPr="00C706A5">
        <w:rPr>
          <w:rFonts w:ascii="Times New Roman" w:hAnsi="Times New Roman" w:cs="Times New Roman"/>
          <w:color w:val="000000" w:themeColor="text1"/>
        </w:rPr>
        <w:t xml:space="preserve">trimestre </w:t>
      </w:r>
      <w:r w:rsidR="00307232" w:rsidRPr="00C706A5">
        <w:rPr>
          <w:rFonts w:ascii="Times New Roman" w:hAnsi="Times New Roman" w:cs="Times New Roman"/>
          <w:color w:val="000000" w:themeColor="text1"/>
        </w:rPr>
        <w:t>précédent</w:t>
      </w:r>
      <w:r w:rsidR="007D6641" w:rsidRPr="00C706A5">
        <w:rPr>
          <w:rFonts w:ascii="Times New Roman" w:hAnsi="Times New Roman" w:cs="Times New Roman"/>
          <w:color w:val="000000" w:themeColor="text1"/>
        </w:rPr>
        <w:t>.</w:t>
      </w:r>
    </w:p>
    <w:p w:rsidR="008D1AAF" w:rsidRPr="00C706A5" w:rsidRDefault="008D1AAF" w:rsidP="008D1AAF">
      <w:pPr>
        <w:widowControl/>
        <w:spacing w:line="276" w:lineRule="auto"/>
        <w:jc w:val="both"/>
        <w:rPr>
          <w:rFonts w:ascii="Times New Roman" w:hAnsi="Times New Roman" w:cs="Times New Roman"/>
          <w:color w:val="000000" w:themeColor="text1"/>
        </w:rPr>
      </w:pPr>
    </w:p>
    <w:p w:rsidR="00BC5D13" w:rsidRPr="00C706A5" w:rsidRDefault="00C0250F" w:rsidP="00C0250F">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noProof/>
          <w:color w:val="000000" w:themeColor="text1"/>
        </w:rPr>
        <w:t xml:space="preserve">  </w:t>
      </w:r>
      <w:r w:rsidR="00BC5D13" w:rsidRPr="00C706A5">
        <w:rPr>
          <w:rFonts w:ascii="Times New Roman" w:hAnsi="Times New Roman" w:cs="Times New Roman"/>
          <w:noProof/>
          <w:color w:val="000000" w:themeColor="text1"/>
        </w:rPr>
        <w:t xml:space="preserve">  </w:t>
      </w:r>
      <w:r w:rsidR="000F0DB1" w:rsidRPr="00C706A5">
        <w:rPr>
          <w:rFonts w:ascii="Times New Roman" w:hAnsi="Times New Roman" w:cs="Times New Roman"/>
          <w:noProof/>
          <w:color w:val="000000" w:themeColor="text1"/>
        </w:rPr>
        <w:drawing>
          <wp:inline distT="0" distB="0" distL="0" distR="0">
            <wp:extent cx="2943860" cy="3552825"/>
            <wp:effectExtent l="19050" t="0" r="2794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72318" w:rsidRPr="00C706A5">
        <w:rPr>
          <w:noProof/>
          <w:color w:val="000000" w:themeColor="text1"/>
        </w:rPr>
        <w:t xml:space="preserve"> </w:t>
      </w:r>
      <w:r w:rsidR="000F0DB1" w:rsidRPr="00C706A5">
        <w:rPr>
          <w:noProof/>
          <w:color w:val="000000" w:themeColor="text1"/>
        </w:rPr>
        <w:drawing>
          <wp:inline distT="0" distB="0" distL="0" distR="0">
            <wp:extent cx="3096260" cy="3552825"/>
            <wp:effectExtent l="19050" t="0" r="27940" b="0"/>
            <wp:docPr id="15"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3E2E" w:rsidRPr="00C706A5" w:rsidRDefault="00D03E2E" w:rsidP="009E2A58">
      <w:pPr>
        <w:widowControl/>
        <w:spacing w:line="360" w:lineRule="auto"/>
        <w:jc w:val="both"/>
        <w:rPr>
          <w:rFonts w:ascii="Times New Roman" w:hAnsi="Times New Roman" w:cs="Times New Roman"/>
          <w:b/>
          <w:bCs/>
          <w:color w:val="000000" w:themeColor="text1"/>
        </w:rPr>
      </w:pPr>
    </w:p>
    <w:p w:rsidR="004E4F5A" w:rsidRPr="00C706A5" w:rsidRDefault="004E4F5A" w:rsidP="00460BC9">
      <w:pPr>
        <w:pStyle w:val="Paragraphedeliste"/>
        <w:numPr>
          <w:ilvl w:val="0"/>
          <w:numId w:val="9"/>
        </w:numPr>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Evolution d</w:t>
      </w:r>
      <w:r w:rsidR="00460BC9">
        <w:rPr>
          <w:rFonts w:ascii="Times New Roman" w:hAnsi="Times New Roman" w:cs="Times New Roman"/>
          <w:b/>
          <w:bCs/>
          <w:color w:val="000000" w:themeColor="text1"/>
        </w:rPr>
        <w:t xml:space="preserve">es </w:t>
      </w:r>
      <w:r w:rsidRPr="00C706A5">
        <w:rPr>
          <w:rFonts w:ascii="Times New Roman" w:hAnsi="Times New Roman" w:cs="Times New Roman"/>
          <w:b/>
          <w:bCs/>
          <w:color w:val="000000" w:themeColor="text1"/>
        </w:rPr>
        <w:t xml:space="preserve">indicateurs </w:t>
      </w:r>
      <w:r w:rsidR="00460BC9">
        <w:rPr>
          <w:rFonts w:ascii="Times New Roman" w:hAnsi="Times New Roman" w:cs="Times New Roman"/>
          <w:b/>
          <w:bCs/>
          <w:color w:val="000000" w:themeColor="text1"/>
        </w:rPr>
        <w:t xml:space="preserve">annuels </w:t>
      </w:r>
      <w:r w:rsidRPr="00C706A5">
        <w:rPr>
          <w:rFonts w:ascii="Times New Roman" w:hAnsi="Times New Roman" w:cs="Times New Roman"/>
          <w:b/>
          <w:bCs/>
          <w:color w:val="000000" w:themeColor="text1"/>
        </w:rPr>
        <w:t xml:space="preserve">de la perception par les ménages de la conjoncture </w:t>
      </w:r>
    </w:p>
    <w:p w:rsidR="004E4F5A" w:rsidRPr="00C706A5" w:rsidRDefault="004E4F5A" w:rsidP="004E4F5A">
      <w:pPr>
        <w:widowControl/>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En plus des indicateurs trimestriels, le HCP calcule à la fin de chaque année le solde relatif à la perception par les ménages de certaines composantes de leur environnement dont la variabilité n’est pas significative d’un trimestre à l’autre.  Il s’agit de l'évolution, entre 2012 et 2013, de l'opinion des ménages concernant la situation des droits de l'Homme, la protection de l'environnement et la qualité de certains services publics. </w:t>
      </w:r>
    </w:p>
    <w:p w:rsidR="008B6246" w:rsidRPr="00C706A5" w:rsidRDefault="008B6246" w:rsidP="008B6246">
      <w:pPr>
        <w:widowControl/>
        <w:spacing w:line="276" w:lineRule="auto"/>
        <w:jc w:val="both"/>
        <w:rPr>
          <w:rFonts w:ascii="Times New Roman" w:hAnsi="Times New Roman" w:cs="Times New Roman"/>
          <w:b/>
          <w:bCs/>
          <w:color w:val="000000" w:themeColor="text1"/>
        </w:rPr>
      </w:pPr>
    </w:p>
    <w:p w:rsidR="00E11853" w:rsidRPr="00C706A5" w:rsidRDefault="008B6246" w:rsidP="00FC2218">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Situation des droits de l’Homme : </w:t>
      </w:r>
      <w:r w:rsidR="003F3656" w:rsidRPr="00C706A5">
        <w:rPr>
          <w:rFonts w:ascii="Times New Roman" w:hAnsi="Times New Roman" w:cs="Times New Roman"/>
          <w:b/>
          <w:bCs/>
          <w:color w:val="000000" w:themeColor="text1"/>
        </w:rPr>
        <w:t>opinion toujours positive</w:t>
      </w:r>
      <w:r w:rsidR="00912426" w:rsidRPr="00C706A5">
        <w:rPr>
          <w:rFonts w:ascii="Times New Roman" w:hAnsi="Times New Roman" w:cs="Times New Roman"/>
          <w:b/>
          <w:bCs/>
          <w:color w:val="000000" w:themeColor="text1"/>
        </w:rPr>
        <w:t xml:space="preserve"> </w:t>
      </w:r>
    </w:p>
    <w:p w:rsidR="008B6246" w:rsidRPr="00C706A5" w:rsidRDefault="008B6246" w:rsidP="009D430B">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En 201</w:t>
      </w:r>
      <w:r w:rsidR="009D430B"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 xml:space="preserve">, </w:t>
      </w:r>
      <w:r w:rsidR="00A861D2" w:rsidRPr="00C706A5">
        <w:rPr>
          <w:rFonts w:ascii="Times New Roman" w:hAnsi="Times New Roman" w:cs="Times New Roman"/>
          <w:color w:val="000000" w:themeColor="text1"/>
        </w:rPr>
        <w:t>60</w:t>
      </w:r>
      <w:r w:rsidRPr="00C706A5">
        <w:rPr>
          <w:rFonts w:ascii="Times New Roman" w:hAnsi="Times New Roman" w:cs="Times New Roman"/>
          <w:color w:val="000000" w:themeColor="text1"/>
        </w:rPr>
        <w:t>% des ménages  pensent que la situation des droits de l’Homme au Maroc s’est améliorée, 3</w:t>
      </w:r>
      <w:r w:rsidR="00A861D2" w:rsidRPr="00C706A5">
        <w:rPr>
          <w:rFonts w:ascii="Times New Roman" w:hAnsi="Times New Roman" w:cs="Times New Roman"/>
          <w:color w:val="000000" w:themeColor="text1"/>
        </w:rPr>
        <w:t>0</w:t>
      </w:r>
      <w:r w:rsidRPr="00C706A5">
        <w:rPr>
          <w:rFonts w:ascii="Times New Roman" w:hAnsi="Times New Roman" w:cs="Times New Roman"/>
          <w:color w:val="000000" w:themeColor="text1"/>
        </w:rPr>
        <w:t>,</w:t>
      </w:r>
      <w:r w:rsidR="00A861D2"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qu’elle a stagné et </w:t>
      </w:r>
      <w:r w:rsidR="00A861D2" w:rsidRPr="00C706A5">
        <w:rPr>
          <w:rFonts w:ascii="Times New Roman" w:hAnsi="Times New Roman" w:cs="Times New Roman"/>
          <w:color w:val="000000" w:themeColor="text1"/>
        </w:rPr>
        <w:t>9</w:t>
      </w:r>
      <w:r w:rsidRPr="00C706A5">
        <w:rPr>
          <w:rFonts w:ascii="Times New Roman" w:hAnsi="Times New Roman" w:cs="Times New Roman"/>
          <w:color w:val="000000" w:themeColor="text1"/>
        </w:rPr>
        <w:t>,</w:t>
      </w:r>
      <w:r w:rsidR="00A861D2" w:rsidRPr="00C706A5">
        <w:rPr>
          <w:rFonts w:ascii="Times New Roman" w:hAnsi="Times New Roman" w:cs="Times New Roman"/>
          <w:color w:val="000000" w:themeColor="text1"/>
        </w:rPr>
        <w:t>8</w:t>
      </w:r>
      <w:r w:rsidRPr="00C706A5">
        <w:rPr>
          <w:rFonts w:ascii="Times New Roman" w:hAnsi="Times New Roman" w:cs="Times New Roman"/>
          <w:color w:val="000000" w:themeColor="text1"/>
        </w:rPr>
        <w:t>% qu’elle s’est détériorée. Le solde relatif à cet indicateur</w:t>
      </w:r>
      <w:r w:rsidR="00EC04CA" w:rsidRPr="00C706A5">
        <w:rPr>
          <w:rFonts w:ascii="Times New Roman" w:hAnsi="Times New Roman" w:cs="Times New Roman"/>
          <w:color w:val="000000" w:themeColor="text1"/>
        </w:rPr>
        <w:t>,</w:t>
      </w:r>
      <w:r w:rsidRPr="00C706A5">
        <w:rPr>
          <w:rFonts w:ascii="Times New Roman" w:hAnsi="Times New Roman" w:cs="Times New Roman"/>
          <w:color w:val="000000" w:themeColor="text1"/>
        </w:rPr>
        <w:t xml:space="preserve"> enregistrant le niveau le plus élevé parmi tous les indicateurs de conjoncture (+50,</w:t>
      </w:r>
      <w:r w:rsidR="00A861D2"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points)</w:t>
      </w:r>
      <w:r w:rsidR="00EC04CA" w:rsidRPr="00C706A5">
        <w:rPr>
          <w:rFonts w:ascii="Times New Roman" w:hAnsi="Times New Roman" w:cs="Times New Roman"/>
          <w:color w:val="000000" w:themeColor="text1"/>
        </w:rPr>
        <w:t>,</w:t>
      </w:r>
      <w:r w:rsidRPr="00C706A5">
        <w:rPr>
          <w:rFonts w:ascii="Times New Roman" w:hAnsi="Times New Roman" w:cs="Times New Roman"/>
          <w:color w:val="000000" w:themeColor="text1"/>
        </w:rPr>
        <w:t xml:space="preserve"> connait une </w:t>
      </w:r>
      <w:r w:rsidR="00A861D2" w:rsidRPr="00C706A5">
        <w:rPr>
          <w:rFonts w:ascii="Times New Roman" w:hAnsi="Times New Roman" w:cs="Times New Roman"/>
          <w:color w:val="000000" w:themeColor="text1"/>
        </w:rPr>
        <w:t xml:space="preserve">amélioration </w:t>
      </w:r>
      <w:r w:rsidRPr="00C706A5">
        <w:rPr>
          <w:rFonts w:ascii="Times New Roman" w:hAnsi="Times New Roman" w:cs="Times New Roman"/>
          <w:color w:val="000000" w:themeColor="text1"/>
        </w:rPr>
        <w:t xml:space="preserve"> de 0,</w:t>
      </w:r>
      <w:r w:rsidR="00A861D2"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point par rapport à son niveau de 201</w:t>
      </w:r>
      <w:r w:rsidR="009D430B"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w:t>
      </w:r>
    </w:p>
    <w:p w:rsidR="008B6246" w:rsidRPr="00C706A5" w:rsidRDefault="008B6246" w:rsidP="008B6246">
      <w:pPr>
        <w:widowControl/>
        <w:spacing w:line="276" w:lineRule="auto"/>
        <w:jc w:val="both"/>
        <w:rPr>
          <w:rFonts w:ascii="Times New Roman" w:hAnsi="Times New Roman" w:cs="Times New Roman"/>
          <w:b/>
          <w:bCs/>
          <w:color w:val="000000" w:themeColor="text1"/>
        </w:rPr>
      </w:pPr>
    </w:p>
    <w:p w:rsidR="008B6246" w:rsidRPr="00C706A5" w:rsidRDefault="008B6246" w:rsidP="00AD3812">
      <w:pPr>
        <w:widowControl/>
        <w:spacing w:line="360"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Qualité des prestations administratives : </w:t>
      </w:r>
      <w:r w:rsidR="00157CA9" w:rsidRPr="00C706A5">
        <w:rPr>
          <w:rFonts w:ascii="Times New Roman" w:hAnsi="Times New Roman" w:cs="Times New Roman"/>
          <w:b/>
          <w:bCs/>
          <w:color w:val="000000" w:themeColor="text1"/>
        </w:rPr>
        <w:t>sentiment</w:t>
      </w:r>
      <w:r w:rsidR="00386E22" w:rsidRPr="00C706A5">
        <w:rPr>
          <w:rFonts w:ascii="Times New Roman" w:hAnsi="Times New Roman" w:cs="Times New Roman"/>
          <w:b/>
          <w:bCs/>
          <w:color w:val="000000" w:themeColor="text1"/>
        </w:rPr>
        <w:t xml:space="preserve"> d’une amélioration</w:t>
      </w:r>
      <w:r w:rsidR="00AD3812" w:rsidRPr="00C706A5">
        <w:rPr>
          <w:rFonts w:ascii="Times New Roman" w:hAnsi="Times New Roman" w:cs="Times New Roman"/>
          <w:b/>
          <w:bCs/>
          <w:color w:val="000000" w:themeColor="text1"/>
        </w:rPr>
        <w:t xml:space="preserve"> notable </w:t>
      </w:r>
      <w:r w:rsidR="00386E22" w:rsidRPr="00C706A5">
        <w:rPr>
          <w:rFonts w:ascii="Times New Roman" w:hAnsi="Times New Roman" w:cs="Times New Roman"/>
          <w:b/>
          <w:bCs/>
          <w:color w:val="000000" w:themeColor="text1"/>
        </w:rPr>
        <w:t xml:space="preserve"> </w:t>
      </w:r>
    </w:p>
    <w:p w:rsidR="008B6246" w:rsidRPr="00C706A5" w:rsidRDefault="008B6246" w:rsidP="008B1F2A">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En 201</w:t>
      </w:r>
      <w:r w:rsidR="005814AC"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 xml:space="preserve">, les ménages sont </w:t>
      </w:r>
      <w:r w:rsidR="005814AC" w:rsidRPr="00C706A5">
        <w:rPr>
          <w:rFonts w:ascii="Times New Roman" w:hAnsi="Times New Roman" w:cs="Times New Roman"/>
          <w:color w:val="000000" w:themeColor="text1"/>
        </w:rPr>
        <w:t>plus</w:t>
      </w:r>
      <w:r w:rsidRPr="00C706A5">
        <w:rPr>
          <w:rFonts w:ascii="Times New Roman" w:hAnsi="Times New Roman" w:cs="Times New Roman"/>
          <w:color w:val="000000" w:themeColor="text1"/>
        </w:rPr>
        <w:t xml:space="preserve"> nombreux qu’en 201</w:t>
      </w:r>
      <w:r w:rsidR="005814AC"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 xml:space="preserve">, à constater une </w:t>
      </w:r>
      <w:r w:rsidR="005814AC" w:rsidRPr="00C706A5">
        <w:rPr>
          <w:rFonts w:ascii="Times New Roman" w:hAnsi="Times New Roman" w:cs="Times New Roman"/>
          <w:color w:val="000000" w:themeColor="text1"/>
        </w:rPr>
        <w:t>amélioration</w:t>
      </w:r>
      <w:r w:rsidRPr="00C706A5">
        <w:rPr>
          <w:rFonts w:ascii="Times New Roman" w:hAnsi="Times New Roman" w:cs="Times New Roman"/>
          <w:color w:val="000000" w:themeColor="text1"/>
        </w:rPr>
        <w:t xml:space="preserve"> de la qualité des prestations administratives (</w:t>
      </w:r>
      <w:r w:rsidR="005814AC" w:rsidRPr="00C706A5">
        <w:rPr>
          <w:rFonts w:ascii="Times New Roman" w:hAnsi="Times New Roman" w:cs="Times New Roman"/>
          <w:color w:val="000000" w:themeColor="text1"/>
        </w:rPr>
        <w:t>55,7</w:t>
      </w:r>
      <w:r w:rsidRPr="00C706A5">
        <w:rPr>
          <w:rFonts w:ascii="Times New Roman" w:hAnsi="Times New Roman" w:cs="Times New Roman"/>
          <w:color w:val="000000" w:themeColor="text1"/>
        </w:rPr>
        <w:t xml:space="preserve">% contre </w:t>
      </w:r>
      <w:r w:rsidR="005814AC" w:rsidRPr="00C706A5">
        <w:rPr>
          <w:rFonts w:ascii="Times New Roman" w:hAnsi="Times New Roman" w:cs="Times New Roman"/>
          <w:color w:val="000000" w:themeColor="text1"/>
        </w:rPr>
        <w:t>51</w:t>
      </w:r>
      <w:r w:rsidRPr="00C706A5">
        <w:rPr>
          <w:rFonts w:ascii="Times New Roman" w:hAnsi="Times New Roman" w:cs="Times New Roman"/>
          <w:color w:val="000000" w:themeColor="text1"/>
        </w:rPr>
        <w:t xml:space="preserve">%). Le solde </w:t>
      </w:r>
      <w:r w:rsidR="008B1F2A" w:rsidRPr="00C706A5">
        <w:rPr>
          <w:rFonts w:ascii="Times New Roman" w:hAnsi="Times New Roman" w:cs="Times New Roman"/>
          <w:color w:val="000000" w:themeColor="text1"/>
        </w:rPr>
        <w:t xml:space="preserve">relatif à cet indicateur </w:t>
      </w:r>
      <w:r w:rsidRPr="00C706A5">
        <w:rPr>
          <w:rFonts w:ascii="Times New Roman" w:hAnsi="Times New Roman" w:cs="Times New Roman"/>
          <w:color w:val="000000" w:themeColor="text1"/>
        </w:rPr>
        <w:t xml:space="preserve">s’est amélioré de </w:t>
      </w:r>
      <w:r w:rsidR="008B1F2A" w:rsidRPr="00C706A5">
        <w:rPr>
          <w:rFonts w:ascii="Times New Roman" w:hAnsi="Times New Roman" w:cs="Times New Roman"/>
          <w:color w:val="000000" w:themeColor="text1"/>
        </w:rPr>
        <w:t>9</w:t>
      </w:r>
      <w:r w:rsidRPr="00C706A5">
        <w:rPr>
          <w:rFonts w:ascii="Times New Roman" w:hAnsi="Times New Roman" w:cs="Times New Roman"/>
          <w:color w:val="000000" w:themeColor="text1"/>
        </w:rPr>
        <w:t>,</w:t>
      </w:r>
      <w:r w:rsidR="008B1F2A" w:rsidRPr="00C706A5">
        <w:rPr>
          <w:rFonts w:ascii="Times New Roman" w:hAnsi="Times New Roman" w:cs="Times New Roman"/>
          <w:color w:val="000000" w:themeColor="text1"/>
        </w:rPr>
        <w:t>5</w:t>
      </w:r>
      <w:r w:rsidRPr="00C706A5">
        <w:rPr>
          <w:rFonts w:ascii="Times New Roman" w:hAnsi="Times New Roman" w:cs="Times New Roman"/>
          <w:color w:val="000000" w:themeColor="text1"/>
        </w:rPr>
        <w:t xml:space="preserve"> points durant cette période.</w:t>
      </w:r>
    </w:p>
    <w:p w:rsidR="004074DD" w:rsidRPr="00C706A5" w:rsidRDefault="004074DD" w:rsidP="008B6246">
      <w:pPr>
        <w:widowControl/>
        <w:spacing w:line="276" w:lineRule="auto"/>
        <w:jc w:val="both"/>
        <w:rPr>
          <w:rFonts w:ascii="Times New Roman" w:hAnsi="Times New Roman" w:cs="Times New Roman"/>
          <w:b/>
          <w:bCs/>
          <w:color w:val="000000" w:themeColor="text1"/>
        </w:rPr>
      </w:pPr>
    </w:p>
    <w:p w:rsidR="008B6246" w:rsidRPr="00C706A5" w:rsidRDefault="008B6246" w:rsidP="003713F9">
      <w:pPr>
        <w:widowControl/>
        <w:spacing w:line="276"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Protection de l’environnement : </w:t>
      </w:r>
      <w:r w:rsidR="003713F9" w:rsidRPr="00C706A5">
        <w:rPr>
          <w:rFonts w:ascii="Times New Roman" w:hAnsi="Times New Roman" w:cs="Times New Roman"/>
          <w:b/>
          <w:bCs/>
          <w:color w:val="000000" w:themeColor="text1"/>
        </w:rPr>
        <w:t>sentiment</w:t>
      </w:r>
      <w:r w:rsidRPr="00C706A5">
        <w:rPr>
          <w:rFonts w:ascii="Times New Roman" w:hAnsi="Times New Roman" w:cs="Times New Roman"/>
          <w:b/>
          <w:bCs/>
          <w:color w:val="000000" w:themeColor="text1"/>
        </w:rPr>
        <w:t xml:space="preserve"> d’une </w:t>
      </w:r>
      <w:r w:rsidR="003514ED" w:rsidRPr="00C706A5">
        <w:rPr>
          <w:rFonts w:ascii="Times New Roman" w:hAnsi="Times New Roman" w:cs="Times New Roman"/>
          <w:b/>
          <w:bCs/>
          <w:color w:val="000000" w:themeColor="text1"/>
        </w:rPr>
        <w:t xml:space="preserve">légère </w:t>
      </w:r>
      <w:r w:rsidRPr="00C706A5">
        <w:rPr>
          <w:rFonts w:ascii="Times New Roman" w:hAnsi="Times New Roman" w:cs="Times New Roman"/>
          <w:b/>
          <w:bCs/>
          <w:color w:val="000000" w:themeColor="text1"/>
        </w:rPr>
        <w:t xml:space="preserve">détérioration </w:t>
      </w:r>
    </w:p>
    <w:p w:rsidR="008B6246" w:rsidRPr="00C706A5" w:rsidRDefault="008B6246" w:rsidP="00FC370A">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L’opinion des ménages sur l’évolution de la qualité de la situation en matière de protection de l’environnement s’est </w:t>
      </w:r>
      <w:r w:rsidR="007D7FDE" w:rsidRPr="00C706A5">
        <w:rPr>
          <w:rFonts w:ascii="Times New Roman" w:hAnsi="Times New Roman" w:cs="Times New Roman"/>
          <w:color w:val="000000" w:themeColor="text1"/>
        </w:rPr>
        <w:t xml:space="preserve">un peu </w:t>
      </w:r>
      <w:r w:rsidR="00FC370A" w:rsidRPr="00C706A5">
        <w:rPr>
          <w:rFonts w:ascii="Times New Roman" w:hAnsi="Times New Roman" w:cs="Times New Roman"/>
          <w:color w:val="000000" w:themeColor="text1"/>
        </w:rPr>
        <w:t>détériorée</w:t>
      </w:r>
      <w:r w:rsidRPr="00C706A5">
        <w:rPr>
          <w:rFonts w:ascii="Times New Roman" w:hAnsi="Times New Roman" w:cs="Times New Roman"/>
          <w:color w:val="000000" w:themeColor="text1"/>
        </w:rPr>
        <w:t xml:space="preserve">. Le solde relatif à cet indicateur a baissé de </w:t>
      </w:r>
      <w:r w:rsidR="007D7FDE" w:rsidRPr="00C706A5">
        <w:rPr>
          <w:rFonts w:ascii="Times New Roman" w:hAnsi="Times New Roman" w:cs="Times New Roman"/>
          <w:color w:val="000000" w:themeColor="text1"/>
        </w:rPr>
        <w:t xml:space="preserve">1,2 </w:t>
      </w:r>
      <w:r w:rsidRPr="00C706A5">
        <w:rPr>
          <w:rFonts w:ascii="Times New Roman" w:hAnsi="Times New Roman" w:cs="Times New Roman"/>
          <w:color w:val="000000" w:themeColor="text1"/>
        </w:rPr>
        <w:t xml:space="preserve"> point </w:t>
      </w:r>
      <w:r w:rsidR="007D7FDE" w:rsidRPr="00C706A5">
        <w:rPr>
          <w:rFonts w:ascii="Times New Roman" w:hAnsi="Times New Roman" w:cs="Times New Roman"/>
          <w:color w:val="000000" w:themeColor="text1"/>
        </w:rPr>
        <w:t>entre 201</w:t>
      </w:r>
      <w:r w:rsidR="00773FE4" w:rsidRPr="00C706A5">
        <w:rPr>
          <w:rFonts w:ascii="Times New Roman" w:hAnsi="Times New Roman" w:cs="Times New Roman"/>
          <w:color w:val="000000" w:themeColor="text1"/>
        </w:rPr>
        <w:t>2</w:t>
      </w:r>
      <w:r w:rsidR="007D7FDE" w:rsidRPr="00C706A5">
        <w:rPr>
          <w:rFonts w:ascii="Times New Roman" w:hAnsi="Times New Roman" w:cs="Times New Roman"/>
          <w:color w:val="000000" w:themeColor="text1"/>
        </w:rPr>
        <w:t xml:space="preserve"> et 201</w:t>
      </w:r>
      <w:r w:rsidR="00773FE4"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w:t>
      </w:r>
    </w:p>
    <w:p w:rsidR="008B6246" w:rsidRPr="00C706A5" w:rsidRDefault="008B6246" w:rsidP="008B6246">
      <w:pPr>
        <w:widowControl/>
        <w:spacing w:line="360" w:lineRule="auto"/>
        <w:jc w:val="both"/>
        <w:rPr>
          <w:rFonts w:ascii="Times New Roman" w:hAnsi="Times New Roman" w:cs="Times New Roman"/>
          <w:b/>
          <w:bCs/>
          <w:color w:val="000000" w:themeColor="text1"/>
        </w:rPr>
      </w:pPr>
    </w:p>
    <w:p w:rsidR="008B6246" w:rsidRPr="00C706A5" w:rsidRDefault="008B6246" w:rsidP="00661A4E">
      <w:pPr>
        <w:widowControl/>
        <w:spacing w:line="360"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 Qualité des services d’éducation: </w:t>
      </w:r>
      <w:r w:rsidR="00386E22" w:rsidRPr="00C706A5">
        <w:rPr>
          <w:rFonts w:ascii="Times New Roman" w:hAnsi="Times New Roman" w:cs="Times New Roman"/>
          <w:b/>
          <w:bCs/>
          <w:color w:val="000000" w:themeColor="text1"/>
        </w:rPr>
        <w:t xml:space="preserve">satisfécit </w:t>
      </w:r>
      <w:r w:rsidR="00661A4E" w:rsidRPr="00C706A5">
        <w:rPr>
          <w:rFonts w:ascii="Times New Roman" w:hAnsi="Times New Roman" w:cs="Times New Roman"/>
          <w:b/>
          <w:bCs/>
          <w:color w:val="000000" w:themeColor="text1"/>
        </w:rPr>
        <w:t>en hausse</w:t>
      </w:r>
      <w:r w:rsidR="00386E22" w:rsidRPr="00C706A5">
        <w:rPr>
          <w:rFonts w:ascii="Times New Roman" w:hAnsi="Times New Roman" w:cs="Times New Roman"/>
          <w:b/>
          <w:bCs/>
          <w:color w:val="000000" w:themeColor="text1"/>
        </w:rPr>
        <w:t xml:space="preserve"> </w:t>
      </w:r>
    </w:p>
    <w:p w:rsidR="008B6246" w:rsidRPr="00C706A5" w:rsidRDefault="008B6246" w:rsidP="004F18F6">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En 201</w:t>
      </w:r>
      <w:r w:rsidR="005D466C" w:rsidRPr="00C706A5">
        <w:rPr>
          <w:rFonts w:ascii="Times New Roman" w:hAnsi="Times New Roman" w:cs="Times New Roman"/>
          <w:color w:val="000000" w:themeColor="text1"/>
        </w:rPr>
        <w:t>3</w:t>
      </w:r>
      <w:r w:rsidRPr="00C706A5">
        <w:rPr>
          <w:rFonts w:ascii="Times New Roman" w:hAnsi="Times New Roman" w:cs="Times New Roman"/>
          <w:color w:val="000000" w:themeColor="text1"/>
        </w:rPr>
        <w:t xml:space="preserve">, </w:t>
      </w:r>
      <w:r w:rsidR="005D466C" w:rsidRPr="00C706A5">
        <w:rPr>
          <w:rFonts w:ascii="Times New Roman" w:hAnsi="Times New Roman" w:cs="Times New Roman"/>
          <w:color w:val="000000" w:themeColor="text1"/>
        </w:rPr>
        <w:t>37</w:t>
      </w:r>
      <w:r w:rsidRPr="00C706A5">
        <w:rPr>
          <w:rFonts w:ascii="Times New Roman" w:hAnsi="Times New Roman" w:cs="Times New Roman"/>
          <w:color w:val="000000" w:themeColor="text1"/>
        </w:rPr>
        <w:t xml:space="preserve">% des ménages pensent que la qualité des services de  l’éducation s’est améliorée, </w:t>
      </w:r>
      <w:r w:rsidR="005D466C" w:rsidRPr="00C706A5">
        <w:rPr>
          <w:rFonts w:ascii="Times New Roman" w:hAnsi="Times New Roman" w:cs="Times New Roman"/>
          <w:color w:val="000000" w:themeColor="text1"/>
        </w:rPr>
        <w:t>35</w:t>
      </w:r>
      <w:r w:rsidRPr="00C706A5">
        <w:rPr>
          <w:rFonts w:ascii="Times New Roman" w:hAnsi="Times New Roman" w:cs="Times New Roman"/>
          <w:color w:val="000000" w:themeColor="text1"/>
        </w:rPr>
        <w:t xml:space="preserve">% qu’elle a stagné et </w:t>
      </w:r>
      <w:r w:rsidR="005D466C" w:rsidRPr="00C706A5">
        <w:rPr>
          <w:rFonts w:ascii="Times New Roman" w:hAnsi="Times New Roman" w:cs="Times New Roman"/>
          <w:color w:val="000000" w:themeColor="text1"/>
        </w:rPr>
        <w:t>28</w:t>
      </w:r>
      <w:r w:rsidRPr="00C706A5">
        <w:rPr>
          <w:rFonts w:ascii="Times New Roman" w:hAnsi="Times New Roman" w:cs="Times New Roman"/>
          <w:color w:val="000000" w:themeColor="text1"/>
        </w:rPr>
        <w:t xml:space="preserve">% pensent qu’elle s’est plutôt détériorée. Le solde </w:t>
      </w:r>
      <w:r w:rsidR="004F18F6" w:rsidRPr="00C706A5">
        <w:rPr>
          <w:rFonts w:ascii="Times New Roman" w:hAnsi="Times New Roman" w:cs="Times New Roman"/>
          <w:color w:val="000000" w:themeColor="text1"/>
        </w:rPr>
        <w:t xml:space="preserve">est </w:t>
      </w:r>
      <w:r w:rsidRPr="00C706A5">
        <w:rPr>
          <w:rFonts w:ascii="Times New Roman" w:hAnsi="Times New Roman" w:cs="Times New Roman"/>
          <w:color w:val="000000" w:themeColor="text1"/>
        </w:rPr>
        <w:t xml:space="preserve">en amélioration de </w:t>
      </w:r>
      <w:r w:rsidR="005D466C" w:rsidRPr="00C706A5">
        <w:rPr>
          <w:rFonts w:ascii="Times New Roman" w:hAnsi="Times New Roman" w:cs="Times New Roman"/>
          <w:color w:val="000000" w:themeColor="text1"/>
        </w:rPr>
        <w:t xml:space="preserve">15 </w:t>
      </w:r>
      <w:r w:rsidRPr="00C706A5">
        <w:rPr>
          <w:rFonts w:ascii="Times New Roman" w:hAnsi="Times New Roman" w:cs="Times New Roman"/>
          <w:color w:val="000000" w:themeColor="text1"/>
        </w:rPr>
        <w:t xml:space="preserve"> points </w:t>
      </w:r>
      <w:r w:rsidR="00014940" w:rsidRPr="00C706A5">
        <w:rPr>
          <w:rFonts w:ascii="Times New Roman" w:hAnsi="Times New Roman" w:cs="Times New Roman"/>
          <w:color w:val="000000" w:themeColor="text1"/>
        </w:rPr>
        <w:t>par rapport à l’année</w:t>
      </w:r>
      <w:r w:rsidRPr="00C706A5">
        <w:rPr>
          <w:rFonts w:ascii="Times New Roman" w:hAnsi="Times New Roman" w:cs="Times New Roman"/>
          <w:color w:val="000000" w:themeColor="text1"/>
        </w:rPr>
        <w:t xml:space="preserve"> 201</w:t>
      </w:r>
      <w:r w:rsidR="00014940" w:rsidRPr="00C706A5">
        <w:rPr>
          <w:rFonts w:ascii="Times New Roman" w:hAnsi="Times New Roman" w:cs="Times New Roman"/>
          <w:color w:val="000000" w:themeColor="text1"/>
        </w:rPr>
        <w:t>2</w:t>
      </w:r>
      <w:r w:rsidRPr="00C706A5">
        <w:rPr>
          <w:rFonts w:ascii="Times New Roman" w:hAnsi="Times New Roman" w:cs="Times New Roman"/>
          <w:color w:val="000000" w:themeColor="text1"/>
        </w:rPr>
        <w:t>.</w:t>
      </w:r>
      <w:r w:rsidR="004F18F6" w:rsidRPr="00C706A5">
        <w:rPr>
          <w:rFonts w:ascii="Times New Roman" w:hAnsi="Times New Roman" w:cs="Times New Roman"/>
          <w:color w:val="000000" w:themeColor="text1"/>
        </w:rPr>
        <w:t xml:space="preserve"> </w:t>
      </w:r>
    </w:p>
    <w:p w:rsidR="008B6246" w:rsidRPr="00C706A5" w:rsidRDefault="008B6246" w:rsidP="008B6246">
      <w:pPr>
        <w:spacing w:line="360" w:lineRule="auto"/>
        <w:jc w:val="both"/>
        <w:rPr>
          <w:rFonts w:ascii="Times New Roman" w:hAnsi="Times New Roman" w:cs="Times New Roman"/>
          <w:color w:val="000000" w:themeColor="text1"/>
        </w:rPr>
      </w:pPr>
    </w:p>
    <w:p w:rsidR="008B6246" w:rsidRPr="00C706A5" w:rsidRDefault="008B6246" w:rsidP="0094475D">
      <w:pPr>
        <w:spacing w:line="360" w:lineRule="auto"/>
        <w:jc w:val="both"/>
        <w:rPr>
          <w:rFonts w:ascii="Times New Roman" w:hAnsi="Times New Roman" w:cs="Times New Roman"/>
          <w:b/>
          <w:bCs/>
          <w:color w:val="000000" w:themeColor="text1"/>
        </w:rPr>
      </w:pPr>
      <w:r w:rsidRPr="00C706A5">
        <w:rPr>
          <w:rFonts w:ascii="Times New Roman" w:hAnsi="Times New Roman" w:cs="Times New Roman"/>
          <w:b/>
          <w:bCs/>
          <w:color w:val="000000" w:themeColor="text1"/>
        </w:rPr>
        <w:t xml:space="preserve">Qualité des services de santé : perception </w:t>
      </w:r>
      <w:r w:rsidR="0094475D" w:rsidRPr="00C706A5">
        <w:rPr>
          <w:rFonts w:ascii="Times New Roman" w:hAnsi="Times New Roman" w:cs="Times New Roman"/>
          <w:b/>
          <w:bCs/>
          <w:color w:val="000000" w:themeColor="text1"/>
        </w:rPr>
        <w:t>moins</w:t>
      </w:r>
      <w:r w:rsidRPr="00C706A5">
        <w:rPr>
          <w:rFonts w:ascii="Times New Roman" w:hAnsi="Times New Roman" w:cs="Times New Roman"/>
          <w:b/>
          <w:bCs/>
          <w:color w:val="000000" w:themeColor="text1"/>
        </w:rPr>
        <w:t xml:space="preserve"> négative  </w:t>
      </w:r>
    </w:p>
    <w:p w:rsidR="00BD79F2" w:rsidRPr="00C706A5" w:rsidRDefault="00BD79F2" w:rsidP="00D46521">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En 2013, 23,6% des ménages  pensent que la qualité des soins de santé s’est améliorée (contre 23% en 2012),  34,2% qu’elle a stagné (contre 28,3%) et 42,2% qu’elle s’est détériorée (contre 48,7%).</w:t>
      </w:r>
    </w:p>
    <w:p w:rsidR="008B6246" w:rsidRPr="00C706A5" w:rsidRDefault="000F70E8" w:rsidP="00E30F1C">
      <w:pPr>
        <w:spacing w:line="276"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 xml:space="preserve">Quoique que négatives, </w:t>
      </w:r>
      <w:r w:rsidR="00E30F1C" w:rsidRPr="00C706A5">
        <w:rPr>
          <w:rFonts w:ascii="Times New Roman" w:hAnsi="Times New Roman" w:cs="Times New Roman"/>
          <w:color w:val="000000" w:themeColor="text1"/>
        </w:rPr>
        <w:t>le solde d</w:t>
      </w:r>
      <w:r w:rsidRPr="00C706A5">
        <w:rPr>
          <w:rFonts w:ascii="Times New Roman" w:hAnsi="Times New Roman" w:cs="Times New Roman"/>
          <w:color w:val="000000" w:themeColor="text1"/>
        </w:rPr>
        <w:t>e</w:t>
      </w:r>
      <w:r w:rsidR="00E30F1C" w:rsidRPr="00C706A5">
        <w:rPr>
          <w:rFonts w:ascii="Times New Roman" w:hAnsi="Times New Roman" w:cs="Times New Roman"/>
          <w:color w:val="000000" w:themeColor="text1"/>
        </w:rPr>
        <w:t xml:space="preserve"> l’indicateur résumant ces</w:t>
      </w:r>
      <w:r w:rsidRPr="00C706A5">
        <w:rPr>
          <w:rFonts w:ascii="Times New Roman" w:hAnsi="Times New Roman" w:cs="Times New Roman"/>
          <w:color w:val="000000" w:themeColor="text1"/>
        </w:rPr>
        <w:t xml:space="preserve"> perceptions enregistre en 2013 une amélioration de 7,1 points par rapport à</w:t>
      </w:r>
      <w:r w:rsidR="008B6246" w:rsidRPr="00C706A5">
        <w:rPr>
          <w:rFonts w:ascii="Times New Roman" w:hAnsi="Times New Roman" w:cs="Times New Roman"/>
          <w:color w:val="000000" w:themeColor="text1"/>
        </w:rPr>
        <w:t xml:space="preserve"> 2012.  </w:t>
      </w:r>
    </w:p>
    <w:p w:rsidR="008B6246" w:rsidRPr="00C706A5" w:rsidRDefault="008B6246" w:rsidP="008B6246">
      <w:pPr>
        <w:spacing w:line="360" w:lineRule="auto"/>
        <w:jc w:val="both"/>
        <w:rPr>
          <w:rFonts w:ascii="Times New Roman" w:hAnsi="Times New Roman" w:cs="Times New Roman"/>
          <w:color w:val="000000" w:themeColor="text1"/>
        </w:rPr>
      </w:pPr>
    </w:p>
    <w:p w:rsidR="008B6246" w:rsidRPr="00C706A5" w:rsidRDefault="008B6246" w:rsidP="008B6246">
      <w:pPr>
        <w:widowControl/>
        <w:autoSpaceDE/>
        <w:autoSpaceDN/>
        <w:adjustRightInd/>
        <w:spacing w:before="100" w:after="240" w:line="276" w:lineRule="auto"/>
        <w:ind w:left="360"/>
        <w:jc w:val="center"/>
        <w:rPr>
          <w:rFonts w:ascii="Times New Roman" w:hAnsi="Times New Roman" w:cs="Times New Roman"/>
          <w:b/>
          <w:bCs/>
          <w:color w:val="000000" w:themeColor="text1"/>
        </w:rPr>
      </w:pPr>
      <w:r w:rsidRPr="00C706A5">
        <w:rPr>
          <w:rFonts w:ascii="Times New Roman" w:hAnsi="Times New Roman" w:cs="Times New Roman"/>
          <w:b/>
          <w:bCs/>
          <w:color w:val="000000" w:themeColor="text1"/>
        </w:rPr>
        <w:t>Appréciation de l'évolution de la qualité de certains services administratifs et sociaux, de la situation des droits de l'Homme et de l'environnement</w:t>
      </w:r>
    </w:p>
    <w:p w:rsidR="008B6246" w:rsidRPr="00C706A5" w:rsidRDefault="008B6246" w:rsidP="008B6246">
      <w:pPr>
        <w:spacing w:line="360" w:lineRule="auto"/>
        <w:jc w:val="both"/>
        <w:rPr>
          <w:rFonts w:ascii="Times New Roman" w:hAnsi="Times New Roman" w:cs="Times New Roman"/>
          <w:color w:val="000000" w:themeColor="text1"/>
        </w:rPr>
      </w:pPr>
    </w:p>
    <w:tbl>
      <w:tblPr>
        <w:tblW w:w="10397" w:type="dxa"/>
        <w:tblInd w:w="-214" w:type="dxa"/>
        <w:tblCellMar>
          <w:left w:w="70" w:type="dxa"/>
          <w:right w:w="70" w:type="dxa"/>
        </w:tblCellMar>
        <w:tblLook w:val="04A0"/>
      </w:tblPr>
      <w:tblGrid>
        <w:gridCol w:w="2400"/>
        <w:gridCol w:w="1326"/>
        <w:gridCol w:w="996"/>
        <w:gridCol w:w="1129"/>
        <w:gridCol w:w="607"/>
        <w:gridCol w:w="1207"/>
        <w:gridCol w:w="996"/>
        <w:gridCol w:w="1129"/>
        <w:gridCol w:w="607"/>
      </w:tblGrid>
      <w:tr w:rsidR="00F60885" w:rsidRPr="00C706A5" w:rsidTr="00AD1582">
        <w:trPr>
          <w:trHeight w:val="390"/>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885" w:rsidRPr="00C706A5" w:rsidRDefault="00F60885" w:rsidP="00AD1582">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Indicateur</w:t>
            </w:r>
          </w:p>
        </w:tc>
        <w:tc>
          <w:tcPr>
            <w:tcW w:w="4058" w:type="dxa"/>
            <w:gridSpan w:val="4"/>
            <w:tcBorders>
              <w:top w:val="single" w:sz="4" w:space="0" w:color="auto"/>
              <w:left w:val="nil"/>
              <w:bottom w:val="single" w:sz="4" w:space="0" w:color="auto"/>
              <w:right w:val="single" w:sz="4" w:space="0" w:color="auto"/>
            </w:tcBorders>
            <w:shd w:val="clear" w:color="auto" w:fill="auto"/>
            <w:vAlign w:val="bottom"/>
            <w:hideMark/>
          </w:tcPr>
          <w:p w:rsidR="00F60885" w:rsidRPr="00C706A5" w:rsidRDefault="00F60885" w:rsidP="0064120B">
            <w:pPr>
              <w:widowControl/>
              <w:autoSpaceDE/>
              <w:autoSpaceDN/>
              <w:adjustRightInd/>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2012</w:t>
            </w:r>
          </w:p>
        </w:tc>
        <w:tc>
          <w:tcPr>
            <w:tcW w:w="3939" w:type="dxa"/>
            <w:gridSpan w:val="4"/>
            <w:tcBorders>
              <w:top w:val="single" w:sz="4" w:space="0" w:color="auto"/>
              <w:left w:val="nil"/>
              <w:bottom w:val="single" w:sz="4" w:space="0" w:color="auto"/>
              <w:right w:val="single" w:sz="4" w:space="0" w:color="auto"/>
            </w:tcBorders>
            <w:shd w:val="clear" w:color="auto" w:fill="auto"/>
            <w:vAlign w:val="bottom"/>
            <w:hideMark/>
          </w:tcPr>
          <w:p w:rsidR="00F60885" w:rsidRPr="00C706A5" w:rsidRDefault="00F60885" w:rsidP="0064120B">
            <w:pPr>
              <w:widowControl/>
              <w:autoSpaceDE/>
              <w:autoSpaceDN/>
              <w:adjustRightInd/>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2013</w:t>
            </w:r>
          </w:p>
        </w:tc>
      </w:tr>
      <w:tr w:rsidR="00F60885" w:rsidRPr="00C706A5" w:rsidTr="0064120B">
        <w:trPr>
          <w:trHeight w:val="390"/>
        </w:trPr>
        <w:tc>
          <w:tcPr>
            <w:tcW w:w="2400" w:type="dxa"/>
            <w:vMerge/>
            <w:tcBorders>
              <w:top w:val="single" w:sz="4" w:space="0" w:color="auto"/>
              <w:left w:val="single" w:sz="4" w:space="0" w:color="auto"/>
              <w:bottom w:val="single" w:sz="4" w:space="0" w:color="auto"/>
              <w:right w:val="single" w:sz="4" w:space="0" w:color="auto"/>
            </w:tcBorders>
            <w:vAlign w:val="center"/>
            <w:hideMark/>
          </w:tcPr>
          <w:p w:rsidR="00F60885" w:rsidRPr="00C706A5" w:rsidRDefault="00F60885" w:rsidP="0064120B">
            <w:pPr>
              <w:widowControl/>
              <w:autoSpaceDE/>
              <w:autoSpaceDN/>
              <w:adjustRightInd/>
              <w:rPr>
                <w:rFonts w:ascii="Times New Roman" w:hAnsi="Times New Roman" w:cs="Times New Roman"/>
                <w:color w:val="000000" w:themeColor="text1"/>
                <w:sz w:val="20"/>
                <w:szCs w:val="20"/>
              </w:rPr>
            </w:pPr>
          </w:p>
        </w:tc>
        <w:tc>
          <w:tcPr>
            <w:tcW w:w="1326"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Amélioration</w:t>
            </w:r>
          </w:p>
        </w:tc>
        <w:tc>
          <w:tcPr>
            <w:tcW w:w="996"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Stagnation</w:t>
            </w:r>
          </w:p>
        </w:tc>
        <w:tc>
          <w:tcPr>
            <w:tcW w:w="1129"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Dégradation</w:t>
            </w:r>
          </w:p>
        </w:tc>
        <w:tc>
          <w:tcPr>
            <w:tcW w:w="607"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Solde</w:t>
            </w:r>
          </w:p>
        </w:tc>
        <w:tc>
          <w:tcPr>
            <w:tcW w:w="1207"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Amélioration</w:t>
            </w:r>
          </w:p>
        </w:tc>
        <w:tc>
          <w:tcPr>
            <w:tcW w:w="996"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Stagnation</w:t>
            </w:r>
          </w:p>
        </w:tc>
        <w:tc>
          <w:tcPr>
            <w:tcW w:w="1129"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Dégradation</w:t>
            </w:r>
          </w:p>
        </w:tc>
        <w:tc>
          <w:tcPr>
            <w:tcW w:w="607" w:type="dxa"/>
            <w:tcBorders>
              <w:top w:val="nil"/>
              <w:left w:val="nil"/>
              <w:bottom w:val="single" w:sz="4" w:space="0" w:color="auto"/>
              <w:right w:val="single" w:sz="4" w:space="0" w:color="auto"/>
            </w:tcBorders>
            <w:shd w:val="clear" w:color="auto" w:fill="auto"/>
            <w:noWrap/>
            <w:vAlign w:val="bottom"/>
            <w:hideMark/>
          </w:tcPr>
          <w:p w:rsidR="00F60885" w:rsidRPr="00C706A5" w:rsidRDefault="00F60885" w:rsidP="0064120B">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Solde</w:t>
            </w:r>
          </w:p>
        </w:tc>
      </w:tr>
      <w:tr w:rsidR="00695A2C" w:rsidRPr="00C706A5" w:rsidTr="00695A2C">
        <w:trPr>
          <w:trHeight w:val="3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3731B" w:rsidRPr="00C706A5" w:rsidRDefault="00C3731B" w:rsidP="0064120B">
            <w:pPr>
              <w:widowControl/>
              <w:autoSpaceDE/>
              <w:autoSpaceDN/>
              <w:adjustRightInd/>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de la situation des droits de l'Homme</w:t>
            </w:r>
          </w:p>
        </w:tc>
        <w:tc>
          <w:tcPr>
            <w:tcW w:w="132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58,2%</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33,5%</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8,2%</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b/>
                <w:bCs/>
                <w:color w:val="000000" w:themeColor="text1"/>
                <w:sz w:val="22"/>
                <w:szCs w:val="22"/>
              </w:rPr>
            </w:pPr>
            <w:r w:rsidRPr="00C706A5">
              <w:rPr>
                <w:rFonts w:asciiTheme="majorBidi" w:hAnsiTheme="majorBidi" w:cstheme="majorBidi"/>
                <w:b/>
                <w:bCs/>
                <w:color w:val="000000" w:themeColor="text1"/>
                <w:sz w:val="22"/>
                <w:szCs w:val="22"/>
              </w:rPr>
              <w:t>50,0</w:t>
            </w:r>
          </w:p>
        </w:tc>
        <w:tc>
          <w:tcPr>
            <w:tcW w:w="12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60,0%</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30,2%</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9,8%</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D05E8E">
            <w:pPr>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50,</w:t>
            </w:r>
            <w:r w:rsidR="00D05E8E" w:rsidRPr="00C706A5">
              <w:rPr>
                <w:rFonts w:ascii="Times New Roman" w:hAnsi="Times New Roman" w:cs="Times New Roman"/>
                <w:b/>
                <w:bCs/>
                <w:color w:val="000000" w:themeColor="text1"/>
                <w:sz w:val="22"/>
                <w:szCs w:val="22"/>
              </w:rPr>
              <w:t>2</w:t>
            </w:r>
          </w:p>
        </w:tc>
      </w:tr>
      <w:tr w:rsidR="00695A2C" w:rsidRPr="00C706A5" w:rsidTr="00695A2C">
        <w:trPr>
          <w:trHeight w:val="3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3731B" w:rsidRPr="00C706A5" w:rsidRDefault="00C3731B" w:rsidP="0064120B">
            <w:pPr>
              <w:widowControl/>
              <w:autoSpaceDE/>
              <w:autoSpaceDN/>
              <w:adjustRightInd/>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de la qualité des prestations administratives</w:t>
            </w:r>
          </w:p>
        </w:tc>
        <w:tc>
          <w:tcPr>
            <w:tcW w:w="132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51,0%</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28,3%</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20,7%</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b/>
                <w:bCs/>
                <w:color w:val="000000" w:themeColor="text1"/>
                <w:sz w:val="22"/>
                <w:szCs w:val="22"/>
              </w:rPr>
            </w:pPr>
            <w:r w:rsidRPr="00C706A5">
              <w:rPr>
                <w:rFonts w:asciiTheme="majorBidi" w:hAnsiTheme="majorBidi" w:cstheme="majorBidi"/>
                <w:b/>
                <w:bCs/>
                <w:color w:val="000000" w:themeColor="text1"/>
                <w:sz w:val="22"/>
                <w:szCs w:val="22"/>
              </w:rPr>
              <w:t>30,3</w:t>
            </w:r>
          </w:p>
        </w:tc>
        <w:tc>
          <w:tcPr>
            <w:tcW w:w="12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55,7%</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28,4%</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15,9%</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D05E8E">
            <w:pPr>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39,</w:t>
            </w:r>
            <w:r w:rsidR="00D05E8E" w:rsidRPr="00C706A5">
              <w:rPr>
                <w:rFonts w:ascii="Times New Roman" w:hAnsi="Times New Roman" w:cs="Times New Roman"/>
                <w:b/>
                <w:bCs/>
                <w:color w:val="000000" w:themeColor="text1"/>
                <w:sz w:val="22"/>
                <w:szCs w:val="22"/>
              </w:rPr>
              <w:t>8</w:t>
            </w:r>
          </w:p>
        </w:tc>
      </w:tr>
      <w:tr w:rsidR="00695A2C" w:rsidRPr="00C706A5" w:rsidTr="00695A2C">
        <w:trPr>
          <w:trHeight w:val="3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3731B" w:rsidRPr="00C706A5" w:rsidRDefault="00C3731B" w:rsidP="0064120B">
            <w:pPr>
              <w:widowControl/>
              <w:autoSpaceDE/>
              <w:autoSpaceDN/>
              <w:adjustRightInd/>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de la protection  de l'environnement</w:t>
            </w:r>
          </w:p>
        </w:tc>
        <w:tc>
          <w:tcPr>
            <w:tcW w:w="132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44,7%</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36,8%</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18,5%</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D05E8E">
            <w:pPr>
              <w:jc w:val="center"/>
              <w:rPr>
                <w:rFonts w:asciiTheme="majorBidi" w:hAnsiTheme="majorBidi" w:cstheme="majorBidi"/>
                <w:b/>
                <w:bCs/>
                <w:color w:val="000000" w:themeColor="text1"/>
                <w:sz w:val="22"/>
                <w:szCs w:val="22"/>
              </w:rPr>
            </w:pPr>
            <w:r w:rsidRPr="00C706A5">
              <w:rPr>
                <w:rFonts w:asciiTheme="majorBidi" w:hAnsiTheme="majorBidi" w:cstheme="majorBidi"/>
                <w:b/>
                <w:bCs/>
                <w:color w:val="000000" w:themeColor="text1"/>
                <w:sz w:val="22"/>
                <w:szCs w:val="22"/>
              </w:rPr>
              <w:t>26,</w:t>
            </w:r>
            <w:r w:rsidR="00D05E8E" w:rsidRPr="00C706A5">
              <w:rPr>
                <w:rFonts w:asciiTheme="majorBidi" w:hAnsiTheme="majorBidi" w:cstheme="majorBidi"/>
                <w:b/>
                <w:bCs/>
                <w:color w:val="000000" w:themeColor="text1"/>
                <w:sz w:val="22"/>
                <w:szCs w:val="22"/>
              </w:rPr>
              <w:t>2</w:t>
            </w:r>
          </w:p>
        </w:tc>
        <w:tc>
          <w:tcPr>
            <w:tcW w:w="12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43,3%</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40,7%</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15,9%</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27,4</w:t>
            </w:r>
          </w:p>
        </w:tc>
      </w:tr>
      <w:tr w:rsidR="00695A2C" w:rsidRPr="00C706A5" w:rsidTr="00695A2C">
        <w:trPr>
          <w:trHeight w:val="3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3731B" w:rsidRPr="00C706A5" w:rsidRDefault="00C3731B" w:rsidP="0064120B">
            <w:pPr>
              <w:widowControl/>
              <w:autoSpaceDE/>
              <w:autoSpaceDN/>
              <w:adjustRightInd/>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de la qualité des services d'éducation</w:t>
            </w:r>
          </w:p>
        </w:tc>
        <w:tc>
          <w:tcPr>
            <w:tcW w:w="132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29,6%</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34,8%</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35,6%</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D05E8E">
            <w:pPr>
              <w:jc w:val="center"/>
              <w:rPr>
                <w:rFonts w:asciiTheme="majorBidi" w:hAnsiTheme="majorBidi" w:cstheme="majorBidi"/>
                <w:b/>
                <w:bCs/>
                <w:color w:val="000000" w:themeColor="text1"/>
                <w:sz w:val="22"/>
                <w:szCs w:val="22"/>
              </w:rPr>
            </w:pPr>
            <w:r w:rsidRPr="00C706A5">
              <w:rPr>
                <w:rFonts w:asciiTheme="majorBidi" w:hAnsiTheme="majorBidi" w:cstheme="majorBidi"/>
                <w:b/>
                <w:bCs/>
                <w:color w:val="000000" w:themeColor="text1"/>
                <w:sz w:val="22"/>
                <w:szCs w:val="22"/>
              </w:rPr>
              <w:t>-</w:t>
            </w:r>
            <w:r w:rsidR="00D05E8E" w:rsidRPr="00C706A5">
              <w:rPr>
                <w:rFonts w:asciiTheme="majorBidi" w:hAnsiTheme="majorBidi" w:cstheme="majorBidi"/>
                <w:b/>
                <w:bCs/>
                <w:color w:val="000000" w:themeColor="text1"/>
                <w:sz w:val="22"/>
                <w:szCs w:val="22"/>
              </w:rPr>
              <w:t>6</w:t>
            </w:r>
          </w:p>
        </w:tc>
        <w:tc>
          <w:tcPr>
            <w:tcW w:w="12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37,0%</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35,0%</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28,0%</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D05E8E" w:rsidP="00695A2C">
            <w:pPr>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9</w:t>
            </w:r>
          </w:p>
        </w:tc>
      </w:tr>
      <w:tr w:rsidR="00695A2C" w:rsidRPr="00C706A5" w:rsidTr="00695A2C">
        <w:trPr>
          <w:trHeight w:val="3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3731B" w:rsidRPr="00C706A5" w:rsidRDefault="00C3731B" w:rsidP="0064120B">
            <w:pPr>
              <w:widowControl/>
              <w:autoSpaceDE/>
              <w:autoSpaceDN/>
              <w:adjustRightInd/>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de la qualité des services de santé</w:t>
            </w:r>
          </w:p>
        </w:tc>
        <w:tc>
          <w:tcPr>
            <w:tcW w:w="132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23,0%</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28,3%</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color w:val="000000" w:themeColor="text1"/>
                <w:sz w:val="22"/>
                <w:szCs w:val="22"/>
              </w:rPr>
            </w:pPr>
            <w:r w:rsidRPr="00C706A5">
              <w:rPr>
                <w:rFonts w:asciiTheme="majorBidi" w:hAnsiTheme="majorBidi" w:cstheme="majorBidi"/>
                <w:color w:val="000000" w:themeColor="text1"/>
                <w:sz w:val="22"/>
                <w:szCs w:val="22"/>
              </w:rPr>
              <w:t>48,7%</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heme="majorBidi" w:hAnsiTheme="majorBidi" w:cstheme="majorBidi"/>
                <w:b/>
                <w:bCs/>
                <w:color w:val="000000" w:themeColor="text1"/>
                <w:sz w:val="22"/>
                <w:szCs w:val="22"/>
              </w:rPr>
            </w:pPr>
            <w:r w:rsidRPr="00C706A5">
              <w:rPr>
                <w:rFonts w:asciiTheme="majorBidi" w:hAnsiTheme="majorBidi" w:cstheme="majorBidi"/>
                <w:b/>
                <w:bCs/>
                <w:color w:val="000000" w:themeColor="text1"/>
                <w:sz w:val="22"/>
                <w:szCs w:val="22"/>
              </w:rPr>
              <w:t>-25,7</w:t>
            </w:r>
          </w:p>
        </w:tc>
        <w:tc>
          <w:tcPr>
            <w:tcW w:w="12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23,6%</w:t>
            </w:r>
          </w:p>
        </w:tc>
        <w:tc>
          <w:tcPr>
            <w:tcW w:w="996"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34,2%</w:t>
            </w:r>
          </w:p>
        </w:tc>
        <w:tc>
          <w:tcPr>
            <w:tcW w:w="1129"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695A2C">
            <w:pPr>
              <w:jc w:val="center"/>
              <w:rPr>
                <w:rFonts w:ascii="Times New Roman" w:hAnsi="Times New Roman" w:cs="Times New Roman"/>
                <w:color w:val="000000" w:themeColor="text1"/>
                <w:sz w:val="22"/>
                <w:szCs w:val="22"/>
              </w:rPr>
            </w:pPr>
            <w:r w:rsidRPr="00C706A5">
              <w:rPr>
                <w:rFonts w:ascii="Times New Roman" w:hAnsi="Times New Roman" w:cs="Times New Roman"/>
                <w:color w:val="000000" w:themeColor="text1"/>
                <w:sz w:val="22"/>
                <w:szCs w:val="22"/>
              </w:rPr>
              <w:t>42,2%</w:t>
            </w:r>
          </w:p>
        </w:tc>
        <w:tc>
          <w:tcPr>
            <w:tcW w:w="607" w:type="dxa"/>
            <w:tcBorders>
              <w:top w:val="nil"/>
              <w:left w:val="nil"/>
              <w:bottom w:val="single" w:sz="4" w:space="0" w:color="auto"/>
              <w:right w:val="single" w:sz="4" w:space="0" w:color="auto"/>
            </w:tcBorders>
            <w:shd w:val="clear" w:color="auto" w:fill="auto"/>
            <w:noWrap/>
            <w:vAlign w:val="center"/>
            <w:hideMark/>
          </w:tcPr>
          <w:p w:rsidR="00C3731B" w:rsidRPr="00C706A5" w:rsidRDefault="00C3731B" w:rsidP="00D05E8E">
            <w:pPr>
              <w:jc w:val="center"/>
              <w:rPr>
                <w:rFonts w:ascii="Times New Roman" w:hAnsi="Times New Roman" w:cs="Times New Roman"/>
                <w:b/>
                <w:bCs/>
                <w:color w:val="000000" w:themeColor="text1"/>
                <w:sz w:val="22"/>
                <w:szCs w:val="22"/>
              </w:rPr>
            </w:pPr>
            <w:r w:rsidRPr="00C706A5">
              <w:rPr>
                <w:rFonts w:ascii="Times New Roman" w:hAnsi="Times New Roman" w:cs="Times New Roman"/>
                <w:b/>
                <w:bCs/>
                <w:color w:val="000000" w:themeColor="text1"/>
                <w:sz w:val="22"/>
                <w:szCs w:val="22"/>
              </w:rPr>
              <w:t>-18,</w:t>
            </w:r>
            <w:r w:rsidR="00D05E8E" w:rsidRPr="00C706A5">
              <w:rPr>
                <w:rFonts w:ascii="Times New Roman" w:hAnsi="Times New Roman" w:cs="Times New Roman"/>
                <w:b/>
                <w:bCs/>
                <w:color w:val="000000" w:themeColor="text1"/>
                <w:sz w:val="22"/>
                <w:szCs w:val="22"/>
              </w:rPr>
              <w:t>6</w:t>
            </w:r>
          </w:p>
        </w:tc>
      </w:tr>
    </w:tbl>
    <w:p w:rsidR="008B6246" w:rsidRPr="00C706A5" w:rsidRDefault="008B6246" w:rsidP="009E2A58">
      <w:pPr>
        <w:widowControl/>
        <w:spacing w:line="360" w:lineRule="auto"/>
        <w:jc w:val="both"/>
        <w:rPr>
          <w:rFonts w:ascii="Times New Roman" w:hAnsi="Times New Roman" w:cs="Times New Roman"/>
          <w:b/>
          <w:bCs/>
          <w:color w:val="000000" w:themeColor="text1"/>
        </w:rPr>
      </w:pPr>
    </w:p>
    <w:p w:rsidR="00C72318" w:rsidRPr="00C706A5" w:rsidRDefault="00C72318" w:rsidP="00C72318">
      <w:pPr>
        <w:spacing w:line="360" w:lineRule="auto"/>
        <w:jc w:val="both"/>
        <w:rPr>
          <w:rFonts w:ascii="Times New Roman" w:hAnsi="Times New Roman" w:cs="Times New Roman"/>
          <w:color w:val="000000" w:themeColor="text1"/>
        </w:rPr>
      </w:pPr>
    </w:p>
    <w:p w:rsidR="00C72318" w:rsidRPr="00C706A5" w:rsidRDefault="00C72318" w:rsidP="00C72318">
      <w:pPr>
        <w:spacing w:line="360" w:lineRule="auto"/>
        <w:jc w:val="both"/>
        <w:rPr>
          <w:rFonts w:ascii="Times New Roman" w:hAnsi="Times New Roman" w:cs="Times New Roman"/>
          <w:color w:val="000000" w:themeColor="text1"/>
        </w:rPr>
      </w:pPr>
      <w:r w:rsidRPr="00C706A5">
        <w:rPr>
          <w:rFonts w:ascii="Times New Roman" w:hAnsi="Times New Roman" w:cs="Times New Roman"/>
          <w:color w:val="000000" w:themeColor="text1"/>
        </w:rPr>
        <w:t>Ci-joint  les détails des différents indicateurs et un rappel des principaux concepts.</w:t>
      </w:r>
    </w:p>
    <w:p w:rsidR="009D209A" w:rsidRPr="00C706A5" w:rsidRDefault="009D209A" w:rsidP="009E682C">
      <w:pPr>
        <w:spacing w:line="360" w:lineRule="auto"/>
        <w:ind w:left="-142"/>
        <w:jc w:val="center"/>
        <w:rPr>
          <w:rFonts w:ascii="Times New Roman" w:hAnsi="Times New Roman" w:cs="Times New Roman"/>
          <w:b/>
          <w:color w:val="000000" w:themeColor="text1"/>
          <w:sz w:val="28"/>
          <w:szCs w:val="28"/>
        </w:rPr>
        <w:sectPr w:rsidR="009D209A" w:rsidRPr="00C706A5" w:rsidSect="005B1014">
          <w:footerReference w:type="default" r:id="rId15"/>
          <w:pgSz w:w="11906" w:h="16838" w:code="9"/>
          <w:pgMar w:top="1134" w:right="720" w:bottom="720" w:left="1077" w:header="709" w:footer="709" w:gutter="0"/>
          <w:cols w:space="708"/>
          <w:docGrid w:linePitch="360"/>
        </w:sectPr>
      </w:pPr>
    </w:p>
    <w:p w:rsidR="00B623D5" w:rsidRPr="00C706A5" w:rsidRDefault="00B623D5" w:rsidP="00C35BF2">
      <w:pPr>
        <w:spacing w:line="360" w:lineRule="auto"/>
        <w:ind w:left="-142"/>
        <w:jc w:val="center"/>
        <w:rPr>
          <w:rFonts w:ascii="Times New Roman" w:hAnsi="Times New Roman" w:cs="Times New Roman"/>
          <w:b/>
          <w:color w:val="000000" w:themeColor="text1"/>
          <w:sz w:val="28"/>
          <w:szCs w:val="28"/>
        </w:rPr>
      </w:pPr>
    </w:p>
    <w:p w:rsidR="00B10786" w:rsidRPr="00C706A5" w:rsidRDefault="005D5B33" w:rsidP="00C35BF2">
      <w:pPr>
        <w:spacing w:line="360" w:lineRule="auto"/>
        <w:ind w:left="-142"/>
        <w:jc w:val="center"/>
        <w:rPr>
          <w:rFonts w:ascii="Times New Roman" w:hAnsi="Times New Roman" w:cs="Times New Roman"/>
          <w:b/>
          <w:color w:val="000000" w:themeColor="text1"/>
          <w:sz w:val="28"/>
          <w:szCs w:val="28"/>
        </w:rPr>
      </w:pPr>
      <w:r w:rsidRPr="00C706A5">
        <w:rPr>
          <w:rFonts w:ascii="Times New Roman" w:hAnsi="Times New Roman" w:cs="Times New Roman"/>
          <w:b/>
          <w:color w:val="000000" w:themeColor="text1"/>
          <w:sz w:val="28"/>
          <w:szCs w:val="28"/>
        </w:rPr>
        <w:t>Evolution de l’I</w:t>
      </w:r>
      <w:r w:rsidR="00C35BF2" w:rsidRPr="00C706A5">
        <w:rPr>
          <w:rFonts w:ascii="Times New Roman" w:hAnsi="Times New Roman" w:cs="Times New Roman"/>
          <w:b/>
          <w:color w:val="000000" w:themeColor="text1"/>
          <w:sz w:val="28"/>
          <w:szCs w:val="28"/>
        </w:rPr>
        <w:t xml:space="preserve">ndice de </w:t>
      </w:r>
      <w:r w:rsidRPr="00C706A5">
        <w:rPr>
          <w:rFonts w:ascii="Times New Roman" w:hAnsi="Times New Roman" w:cs="Times New Roman"/>
          <w:b/>
          <w:color w:val="000000" w:themeColor="text1"/>
          <w:sz w:val="28"/>
          <w:szCs w:val="28"/>
        </w:rPr>
        <w:t>C</w:t>
      </w:r>
      <w:r w:rsidR="00C35BF2" w:rsidRPr="00C706A5">
        <w:rPr>
          <w:rFonts w:ascii="Times New Roman" w:hAnsi="Times New Roman" w:cs="Times New Roman"/>
          <w:b/>
          <w:color w:val="000000" w:themeColor="text1"/>
          <w:sz w:val="28"/>
          <w:szCs w:val="28"/>
        </w:rPr>
        <w:t xml:space="preserve">onfiance des </w:t>
      </w:r>
      <w:r w:rsidRPr="00C706A5">
        <w:rPr>
          <w:rFonts w:ascii="Times New Roman" w:hAnsi="Times New Roman" w:cs="Times New Roman"/>
          <w:b/>
          <w:color w:val="000000" w:themeColor="text1"/>
          <w:sz w:val="28"/>
          <w:szCs w:val="28"/>
        </w:rPr>
        <w:t>M</w:t>
      </w:r>
      <w:r w:rsidR="00C35BF2" w:rsidRPr="00C706A5">
        <w:rPr>
          <w:rFonts w:ascii="Times New Roman" w:hAnsi="Times New Roman" w:cs="Times New Roman"/>
          <w:b/>
          <w:color w:val="000000" w:themeColor="text1"/>
          <w:sz w:val="28"/>
          <w:szCs w:val="28"/>
        </w:rPr>
        <w:t xml:space="preserve">énages  (ICM) </w:t>
      </w:r>
      <w:r w:rsidRPr="00C706A5">
        <w:rPr>
          <w:rFonts w:ascii="Times New Roman" w:hAnsi="Times New Roman" w:cs="Times New Roman"/>
          <w:b/>
          <w:color w:val="000000" w:themeColor="text1"/>
          <w:sz w:val="28"/>
          <w:szCs w:val="28"/>
        </w:rPr>
        <w:t>et de ses composantes</w:t>
      </w:r>
    </w:p>
    <w:p w:rsidR="00CF6E6C" w:rsidRPr="00C706A5" w:rsidRDefault="00CF6E6C" w:rsidP="00C35BF2">
      <w:pPr>
        <w:spacing w:line="360" w:lineRule="auto"/>
        <w:ind w:left="-142"/>
        <w:jc w:val="center"/>
        <w:rPr>
          <w:rFonts w:ascii="Times New Roman" w:hAnsi="Times New Roman" w:cs="Times New Roman"/>
          <w:b/>
          <w:color w:val="000000" w:themeColor="text1"/>
          <w:sz w:val="28"/>
          <w:szCs w:val="28"/>
        </w:rPr>
      </w:pPr>
    </w:p>
    <w:tbl>
      <w:tblPr>
        <w:tblW w:w="15483" w:type="dxa"/>
        <w:tblInd w:w="55" w:type="dxa"/>
        <w:tblCellMar>
          <w:left w:w="70" w:type="dxa"/>
          <w:right w:w="70" w:type="dxa"/>
        </w:tblCellMar>
        <w:tblLook w:val="04A0"/>
      </w:tblPr>
      <w:tblGrid>
        <w:gridCol w:w="3603"/>
        <w:gridCol w:w="490"/>
        <w:gridCol w:w="494"/>
        <w:gridCol w:w="495"/>
        <w:gridCol w:w="495"/>
        <w:gridCol w:w="495"/>
        <w:gridCol w:w="495"/>
        <w:gridCol w:w="495"/>
        <w:gridCol w:w="495"/>
        <w:gridCol w:w="494"/>
        <w:gridCol w:w="494"/>
        <w:gridCol w:w="494"/>
        <w:gridCol w:w="494"/>
        <w:gridCol w:w="494"/>
        <w:gridCol w:w="494"/>
        <w:gridCol w:w="494"/>
        <w:gridCol w:w="494"/>
        <w:gridCol w:w="494"/>
        <w:gridCol w:w="494"/>
        <w:gridCol w:w="490"/>
        <w:gridCol w:w="490"/>
        <w:gridCol w:w="496"/>
        <w:gridCol w:w="496"/>
        <w:gridCol w:w="496"/>
        <w:gridCol w:w="504"/>
        <w:gridCol w:w="14"/>
      </w:tblGrid>
      <w:tr w:rsidR="0088505E" w:rsidRPr="00C706A5" w:rsidTr="0088505E">
        <w:trPr>
          <w:gridAfter w:val="1"/>
          <w:wAfter w:w="14" w:type="dxa"/>
          <w:trHeight w:val="226"/>
        </w:trPr>
        <w:tc>
          <w:tcPr>
            <w:tcW w:w="36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Indicateur</w:t>
            </w:r>
          </w:p>
        </w:tc>
        <w:tc>
          <w:tcPr>
            <w:tcW w:w="11866" w:type="dxa"/>
            <w:gridSpan w:val="24"/>
            <w:tcBorders>
              <w:top w:val="single" w:sz="4" w:space="0" w:color="auto"/>
              <w:left w:val="nil"/>
              <w:bottom w:val="single" w:sz="4" w:space="0" w:color="auto"/>
              <w:right w:val="single" w:sz="4" w:space="0" w:color="auto"/>
            </w:tcBorders>
            <w:shd w:val="clear" w:color="auto" w:fill="auto"/>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Trimestre</w:t>
            </w:r>
          </w:p>
        </w:tc>
      </w:tr>
      <w:tr w:rsidR="0088505E" w:rsidRPr="00C706A5" w:rsidTr="00F60885">
        <w:trPr>
          <w:trHeight w:val="374"/>
        </w:trPr>
        <w:tc>
          <w:tcPr>
            <w:tcW w:w="3603" w:type="dxa"/>
            <w:vMerge/>
            <w:tcBorders>
              <w:top w:val="single" w:sz="4" w:space="0" w:color="auto"/>
              <w:left w:val="single" w:sz="4" w:space="0" w:color="auto"/>
              <w:bottom w:val="single" w:sz="4" w:space="0" w:color="auto"/>
              <w:right w:val="single" w:sz="4" w:space="0" w:color="auto"/>
            </w:tcBorders>
            <w:vAlign w:val="center"/>
            <w:hideMark/>
          </w:tcPr>
          <w:p w:rsidR="0088505E" w:rsidRPr="00C706A5" w:rsidRDefault="0088505E" w:rsidP="00090FCF">
            <w:pPr>
              <w:widowControl/>
              <w:autoSpaceDE/>
              <w:autoSpaceDN/>
              <w:adjustRightInd/>
              <w:rPr>
                <w:rFonts w:ascii="Times New Roman" w:hAnsi="Times New Roman" w:cs="Times New Roman"/>
                <w:b/>
                <w:bCs/>
                <w:color w:val="000000" w:themeColor="text1"/>
                <w:sz w:val="20"/>
                <w:szCs w:val="20"/>
              </w:rPr>
            </w:pPr>
          </w:p>
        </w:tc>
        <w:tc>
          <w:tcPr>
            <w:tcW w:w="490" w:type="dxa"/>
            <w:tcBorders>
              <w:top w:val="nil"/>
              <w:left w:val="nil"/>
              <w:bottom w:val="single" w:sz="4" w:space="0" w:color="auto"/>
              <w:right w:val="single" w:sz="4" w:space="0" w:color="auto"/>
            </w:tcBorders>
            <w:shd w:val="clear" w:color="auto" w:fill="auto"/>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T1/08</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T2/08</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T3/08</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T4/08</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T1/09</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T2/09</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T3/09</w:t>
            </w:r>
          </w:p>
        </w:tc>
        <w:tc>
          <w:tcPr>
            <w:tcW w:w="495"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T4/09</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T1/10</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T2/10</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T3/10</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T4/10</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T1/11</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T2/11</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T3/11</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T4/11</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T1/12</w:t>
            </w:r>
          </w:p>
        </w:tc>
        <w:tc>
          <w:tcPr>
            <w:tcW w:w="494"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T2/12</w:t>
            </w:r>
          </w:p>
        </w:tc>
        <w:tc>
          <w:tcPr>
            <w:tcW w:w="490" w:type="dxa"/>
            <w:tcBorders>
              <w:top w:val="nil"/>
              <w:left w:val="nil"/>
              <w:bottom w:val="single" w:sz="4" w:space="0" w:color="auto"/>
              <w:right w:val="single" w:sz="4" w:space="0" w:color="auto"/>
            </w:tcBorders>
            <w:shd w:val="clear" w:color="auto" w:fill="auto"/>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T3/12</w:t>
            </w:r>
          </w:p>
        </w:tc>
        <w:tc>
          <w:tcPr>
            <w:tcW w:w="490" w:type="dxa"/>
            <w:tcBorders>
              <w:top w:val="nil"/>
              <w:left w:val="nil"/>
              <w:bottom w:val="single" w:sz="4" w:space="0" w:color="auto"/>
              <w:right w:val="single" w:sz="4" w:space="0" w:color="auto"/>
            </w:tcBorders>
            <w:shd w:val="clear" w:color="auto" w:fill="auto"/>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T4/12</w:t>
            </w:r>
          </w:p>
        </w:tc>
        <w:tc>
          <w:tcPr>
            <w:tcW w:w="496"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T1/13</w:t>
            </w:r>
          </w:p>
        </w:tc>
        <w:tc>
          <w:tcPr>
            <w:tcW w:w="496"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T2/13</w:t>
            </w:r>
          </w:p>
        </w:tc>
        <w:tc>
          <w:tcPr>
            <w:tcW w:w="496" w:type="dxa"/>
            <w:tcBorders>
              <w:top w:val="nil"/>
              <w:left w:val="nil"/>
              <w:bottom w:val="single" w:sz="4" w:space="0" w:color="auto"/>
              <w:right w:val="single" w:sz="4" w:space="0" w:color="auto"/>
            </w:tcBorders>
            <w:shd w:val="clear" w:color="auto" w:fill="auto"/>
            <w:noWrap/>
            <w:vAlign w:val="bottom"/>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T3/13</w:t>
            </w:r>
          </w:p>
        </w:tc>
        <w:tc>
          <w:tcPr>
            <w:tcW w:w="518" w:type="dxa"/>
            <w:gridSpan w:val="2"/>
            <w:tcBorders>
              <w:top w:val="nil"/>
              <w:left w:val="nil"/>
              <w:bottom w:val="single" w:sz="4" w:space="0" w:color="auto"/>
              <w:right w:val="single" w:sz="4" w:space="0" w:color="auto"/>
            </w:tcBorders>
            <w:vAlign w:val="bottom"/>
          </w:tcPr>
          <w:p w:rsidR="0088505E" w:rsidRPr="00C706A5" w:rsidRDefault="00F60885" w:rsidP="00F60885">
            <w:pPr>
              <w:widowControl/>
              <w:autoSpaceDE/>
              <w:autoSpaceDN/>
              <w:adjustRightInd/>
              <w:jc w:val="center"/>
              <w:rPr>
                <w:rFonts w:ascii="Times New Roman" w:hAnsi="Times New Roman" w:cs="Times New Roman"/>
                <w:b/>
                <w:bCs/>
                <w:color w:val="000000" w:themeColor="text1"/>
                <w:sz w:val="14"/>
                <w:szCs w:val="14"/>
              </w:rPr>
            </w:pPr>
            <w:r w:rsidRPr="00C706A5">
              <w:rPr>
                <w:rFonts w:ascii="Times New Roman" w:hAnsi="Times New Roman" w:cs="Times New Roman"/>
                <w:b/>
                <w:bCs/>
                <w:color w:val="000000" w:themeColor="text1"/>
                <w:sz w:val="14"/>
                <w:szCs w:val="14"/>
              </w:rPr>
              <w:t>T4/13</w:t>
            </w:r>
          </w:p>
        </w:tc>
      </w:tr>
      <w:tr w:rsidR="0088505E" w:rsidRPr="00C706A5" w:rsidTr="006F62E6">
        <w:trPr>
          <w:trHeight w:val="385"/>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Indicateur résumé ICM</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85,9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77,7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75,6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80,1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76,9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77,6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79,1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79,5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80,1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78,8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78,6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74,7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78,4</w:t>
            </w:r>
          </w:p>
        </w:tc>
        <w:tc>
          <w:tcPr>
            <w:tcW w:w="494" w:type="dxa"/>
            <w:tcBorders>
              <w:top w:val="nil"/>
              <w:left w:val="nil"/>
              <w:bottom w:val="single" w:sz="4" w:space="0" w:color="auto"/>
              <w:right w:val="single" w:sz="4" w:space="0" w:color="auto"/>
            </w:tcBorders>
            <w:shd w:val="clear" w:color="auto" w:fill="auto"/>
            <w:noWrap/>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85,8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86,5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84,5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82,9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80,7</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77,6</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20"/>
                <w:szCs w:val="20"/>
              </w:rPr>
            </w:pPr>
            <w:r w:rsidRPr="00C706A5">
              <w:rPr>
                <w:rFonts w:ascii="Times New Roman" w:hAnsi="Times New Roman" w:cs="Times New Roman"/>
                <w:b/>
                <w:bCs/>
                <w:color w:val="000000" w:themeColor="text1"/>
                <w:sz w:val="20"/>
                <w:szCs w:val="20"/>
              </w:rPr>
              <w:t>78,4</w:t>
            </w:r>
          </w:p>
        </w:tc>
        <w:tc>
          <w:tcPr>
            <w:tcW w:w="496" w:type="dxa"/>
            <w:tcBorders>
              <w:top w:val="nil"/>
              <w:left w:val="nil"/>
              <w:bottom w:val="single" w:sz="4" w:space="0" w:color="auto"/>
              <w:right w:val="single" w:sz="4" w:space="0" w:color="auto"/>
            </w:tcBorders>
            <w:shd w:val="clear" w:color="auto" w:fill="auto"/>
            <w:noWrap/>
            <w:vAlign w:val="center"/>
            <w:hideMark/>
          </w:tcPr>
          <w:p w:rsidR="0088505E" w:rsidRPr="00C706A5" w:rsidRDefault="0088505E" w:rsidP="00090FCF">
            <w:pPr>
              <w:widowControl/>
              <w:autoSpaceDE/>
              <w:autoSpaceDN/>
              <w:adjustRightInd/>
              <w:jc w:val="center"/>
              <w:rPr>
                <w:rFonts w:ascii="Calibri" w:hAnsi="Calibri" w:cs="Times New Roman"/>
                <w:b/>
                <w:bCs/>
                <w:color w:val="000000" w:themeColor="text1"/>
                <w:sz w:val="20"/>
                <w:szCs w:val="20"/>
              </w:rPr>
            </w:pPr>
            <w:r w:rsidRPr="00C706A5">
              <w:rPr>
                <w:rFonts w:ascii="Calibri" w:hAnsi="Calibri" w:cs="Times New Roman"/>
                <w:b/>
                <w:bCs/>
                <w:color w:val="000000" w:themeColor="text1"/>
                <w:sz w:val="20"/>
                <w:szCs w:val="20"/>
              </w:rPr>
              <w:t>75,8</w:t>
            </w:r>
          </w:p>
        </w:tc>
        <w:tc>
          <w:tcPr>
            <w:tcW w:w="496" w:type="dxa"/>
            <w:tcBorders>
              <w:top w:val="nil"/>
              <w:left w:val="nil"/>
              <w:bottom w:val="single" w:sz="4" w:space="0" w:color="auto"/>
              <w:right w:val="single" w:sz="4" w:space="0" w:color="auto"/>
            </w:tcBorders>
            <w:shd w:val="clear" w:color="auto" w:fill="auto"/>
            <w:noWrap/>
            <w:vAlign w:val="center"/>
            <w:hideMark/>
          </w:tcPr>
          <w:p w:rsidR="0088505E" w:rsidRPr="00C706A5" w:rsidRDefault="0088505E" w:rsidP="00976C98">
            <w:pPr>
              <w:widowControl/>
              <w:autoSpaceDE/>
              <w:autoSpaceDN/>
              <w:adjustRightInd/>
              <w:jc w:val="center"/>
              <w:rPr>
                <w:rFonts w:ascii="Calibri" w:hAnsi="Calibri" w:cs="Times New Roman"/>
                <w:b/>
                <w:bCs/>
                <w:color w:val="000000" w:themeColor="text1"/>
                <w:sz w:val="20"/>
                <w:szCs w:val="20"/>
              </w:rPr>
            </w:pPr>
            <w:r w:rsidRPr="00C706A5">
              <w:rPr>
                <w:rFonts w:ascii="Calibri" w:hAnsi="Calibri" w:cs="Times New Roman"/>
                <w:b/>
                <w:bCs/>
                <w:color w:val="000000" w:themeColor="text1"/>
                <w:sz w:val="20"/>
                <w:szCs w:val="20"/>
              </w:rPr>
              <w:t>74,2</w:t>
            </w:r>
          </w:p>
        </w:tc>
        <w:tc>
          <w:tcPr>
            <w:tcW w:w="496" w:type="dxa"/>
            <w:tcBorders>
              <w:top w:val="nil"/>
              <w:left w:val="nil"/>
              <w:bottom w:val="single" w:sz="4" w:space="0" w:color="auto"/>
              <w:right w:val="single" w:sz="4" w:space="0" w:color="auto"/>
            </w:tcBorders>
            <w:shd w:val="clear" w:color="auto" w:fill="auto"/>
            <w:noWrap/>
            <w:vAlign w:val="center"/>
            <w:hideMark/>
          </w:tcPr>
          <w:p w:rsidR="0088505E" w:rsidRPr="00C706A5" w:rsidRDefault="0088505E" w:rsidP="00BB3C65">
            <w:pPr>
              <w:widowControl/>
              <w:autoSpaceDE/>
              <w:autoSpaceDN/>
              <w:adjustRightInd/>
              <w:jc w:val="center"/>
              <w:rPr>
                <w:rFonts w:ascii="Calibri" w:hAnsi="Calibri" w:cs="Times New Roman"/>
                <w:b/>
                <w:bCs/>
                <w:color w:val="000000" w:themeColor="text1"/>
                <w:sz w:val="20"/>
                <w:szCs w:val="20"/>
              </w:rPr>
            </w:pPr>
            <w:r w:rsidRPr="00C706A5">
              <w:rPr>
                <w:rFonts w:ascii="Calibri" w:hAnsi="Calibri" w:cs="Times New Roman"/>
                <w:b/>
                <w:bCs/>
                <w:color w:val="000000" w:themeColor="text1"/>
                <w:sz w:val="20"/>
                <w:szCs w:val="20"/>
              </w:rPr>
              <w:t>75,4</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b/>
                <w:bCs/>
                <w:color w:val="000000" w:themeColor="text1"/>
                <w:sz w:val="18"/>
                <w:szCs w:val="18"/>
              </w:rPr>
            </w:pPr>
            <w:r w:rsidRPr="00C706A5">
              <w:rPr>
                <w:rFonts w:ascii="Calibri" w:hAnsi="Calibri" w:cs="Times New Roman"/>
                <w:b/>
                <w:bCs/>
                <w:color w:val="000000" w:themeColor="text1"/>
                <w:sz w:val="18"/>
                <w:szCs w:val="18"/>
              </w:rPr>
              <w:t>74,2</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Perspectives d'évolution du nombre de chômeurs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-52,1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-51,6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-51,1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-59,1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-57,9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-57,5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-59,2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-52,3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-52,4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-41,6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-44,1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-48,6</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-56,7</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-58,1</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-61,7</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-67,8</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-69,8</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-68,2</w:t>
            </w:r>
          </w:p>
        </w:tc>
      </w:tr>
      <w:tr w:rsidR="0088505E" w:rsidRPr="00C706A5" w:rsidTr="006F62E6">
        <w:trPr>
          <w:trHeight w:val="577"/>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passée du niveau de vie en général</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-10,4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-25,2</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-31,1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-36,7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-37,2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-13,4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-20,2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-21,8</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-27,9</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-28,1</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-29,2</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-23,1</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-21,2</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-19,9</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Perspectives d'évolution du niveau de vie en général</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14,4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-21,4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0,1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0,4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0,2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18,1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13,1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-3,2</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-1,2</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-5,1</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-4,2</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-3,1</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-7,9</w:t>
            </w:r>
          </w:p>
        </w:tc>
      </w:tr>
      <w:tr w:rsidR="0088505E" w:rsidRPr="00C706A5" w:rsidTr="006F62E6">
        <w:trPr>
          <w:trHeight w:val="385"/>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Opportunité d'achat</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-30</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-34,3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-37,5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-39,1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-41,8</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-46,5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-43,4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-42,6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-34,8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-37,5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-44,3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-39,9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-36,4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-38,5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-32,5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-37,4</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-29,5</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-29,3</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-28,3</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-31,7</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-29,5</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-31,8</w:t>
            </w:r>
          </w:p>
        </w:tc>
      </w:tr>
      <w:tr w:rsidR="0088505E" w:rsidRPr="00C706A5" w:rsidTr="006F62E6">
        <w:trPr>
          <w:trHeight w:val="577"/>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Situation financière actuelle des ménages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-32,9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-34,4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-33,1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-31,3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-30</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-30,6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-27,1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-24,3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-25,4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-31</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-30,8</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-29,4</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-29,8</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-30,2</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-29,5</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-29,5</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passée  de la situation financière des ménages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-18,4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-13,4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-10</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-12,8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-10,5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-14,1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-16,6</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-16,7</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-15,7</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-19,6</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-23,8</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-21,9</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-21,9</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future de la situation financière des ménages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23,9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15,6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16,6</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26,8</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22</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17,5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17,1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17,8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10,2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20,4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15,1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11,1</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7,7</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10,6</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4,5</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0,7</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2,8</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Calibri" w:hAnsi="Calibri" w:cs="Times New Roman"/>
                <w:color w:val="000000" w:themeColor="text1"/>
                <w:sz w:val="16"/>
                <w:szCs w:val="16"/>
              </w:rPr>
            </w:pPr>
            <w:r w:rsidRPr="00C706A5">
              <w:rPr>
                <w:rFonts w:ascii="Calibri" w:hAnsi="Calibri" w:cs="Times New Roman"/>
                <w:color w:val="000000" w:themeColor="text1"/>
                <w:sz w:val="16"/>
                <w:szCs w:val="16"/>
              </w:rPr>
              <w:t>-1,7</w:t>
            </w:r>
          </w:p>
        </w:tc>
      </w:tr>
      <w:tr w:rsidR="0088505E" w:rsidRPr="00C706A5" w:rsidTr="006F62E6">
        <w:trPr>
          <w:gridAfter w:val="1"/>
          <w:wAfter w:w="14" w:type="dxa"/>
          <w:trHeight w:val="226"/>
        </w:trPr>
        <w:tc>
          <w:tcPr>
            <w:tcW w:w="15469" w:type="dxa"/>
            <w:gridSpan w:val="25"/>
            <w:tcBorders>
              <w:top w:val="single" w:sz="4" w:space="0" w:color="auto"/>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b/>
                <w:bCs/>
                <w:color w:val="000000" w:themeColor="text1"/>
                <w:sz w:val="16"/>
                <w:szCs w:val="16"/>
              </w:rPr>
            </w:pPr>
            <w:r w:rsidRPr="00C706A5">
              <w:rPr>
                <w:rFonts w:ascii="Times New Roman" w:hAnsi="Times New Roman" w:cs="Times New Roman"/>
                <w:b/>
                <w:bCs/>
                <w:color w:val="000000" w:themeColor="text1"/>
                <w:sz w:val="20"/>
                <w:szCs w:val="20"/>
              </w:rPr>
              <w:t>Autres soldes</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future des prix des produits alimentaires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-74,1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-77,7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-78,9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-49,7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-34,9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-33,5</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-50,9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-47,9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-46,5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-62,2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-70,2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-73,4</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-58,8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-72,6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-69,8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-71,5</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-73,6</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-70</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-76,1</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-73,4</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-76,0</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-76,0</w:t>
            </w:r>
          </w:p>
        </w:tc>
      </w:tr>
      <w:tr w:rsidR="0088505E" w:rsidRPr="00C706A5" w:rsidTr="006F62E6">
        <w:trPr>
          <w:trHeight w:val="770"/>
        </w:trPr>
        <w:tc>
          <w:tcPr>
            <w:tcW w:w="3603" w:type="dxa"/>
            <w:tcBorders>
              <w:top w:val="nil"/>
              <w:left w:val="single" w:sz="4" w:space="0" w:color="auto"/>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Evolution  passée des prix des produits alimentaires</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-93,6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-95,9</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-98</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-96,2</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-94</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-87,2</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-85,7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-83,3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-79,5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-87,8</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-89,7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-90,9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-95,5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-87,2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-89,9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-92,5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-91,6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-91,1</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-91,7</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-90,6</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-91,6</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-88,9</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-90,5</w:t>
            </w: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-90,8</w:t>
            </w:r>
          </w:p>
        </w:tc>
      </w:tr>
      <w:tr w:rsidR="0088505E" w:rsidRPr="00C706A5" w:rsidTr="006F62E6">
        <w:trPr>
          <w:trHeight w:val="226"/>
        </w:trPr>
        <w:tc>
          <w:tcPr>
            <w:tcW w:w="3603" w:type="dxa"/>
            <w:tcBorders>
              <w:top w:val="nil"/>
              <w:left w:val="single" w:sz="4" w:space="0" w:color="auto"/>
              <w:bottom w:val="single" w:sz="4" w:space="0" w:color="auto"/>
              <w:right w:val="single" w:sz="4" w:space="0" w:color="auto"/>
            </w:tcBorders>
            <w:shd w:val="clear" w:color="auto" w:fill="auto"/>
            <w:noWrap/>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20"/>
                <w:szCs w:val="20"/>
              </w:rPr>
            </w:pPr>
            <w:r w:rsidRPr="00C706A5">
              <w:rPr>
                <w:rFonts w:ascii="Times New Roman" w:hAnsi="Times New Roman" w:cs="Times New Roman"/>
                <w:color w:val="000000" w:themeColor="text1"/>
                <w:sz w:val="20"/>
                <w:szCs w:val="20"/>
              </w:rPr>
              <w:t>Capacité à épargner des ménages dans les mois à venir</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-61,2</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-61,3</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-60,7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-56,7</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-56,8</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-57,1</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-57,8</w:t>
            </w:r>
          </w:p>
        </w:tc>
        <w:tc>
          <w:tcPr>
            <w:tcW w:w="495"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-58,5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-56,6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-61,1</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-67,6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-66,6</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-61,7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-63,3</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-64,9</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-64,7</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-62,5</w:t>
            </w:r>
          </w:p>
        </w:tc>
        <w:tc>
          <w:tcPr>
            <w:tcW w:w="494"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-63,5</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-65,3</w:t>
            </w:r>
          </w:p>
        </w:tc>
        <w:tc>
          <w:tcPr>
            <w:tcW w:w="490"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-64,5</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-67,0</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090FCF">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-70,3</w:t>
            </w:r>
          </w:p>
        </w:tc>
        <w:tc>
          <w:tcPr>
            <w:tcW w:w="496" w:type="dxa"/>
            <w:tcBorders>
              <w:top w:val="nil"/>
              <w:left w:val="nil"/>
              <w:bottom w:val="single" w:sz="4" w:space="0" w:color="auto"/>
              <w:right w:val="single" w:sz="4" w:space="0" w:color="auto"/>
            </w:tcBorders>
            <w:shd w:val="clear" w:color="auto" w:fill="auto"/>
            <w:vAlign w:val="center"/>
            <w:hideMark/>
          </w:tcPr>
          <w:p w:rsidR="0088505E" w:rsidRPr="00C706A5" w:rsidRDefault="0088505E" w:rsidP="0038490E">
            <w:pPr>
              <w:widowControl/>
              <w:autoSpaceDE/>
              <w:autoSpaceDN/>
              <w:adjustRightInd/>
              <w:rPr>
                <w:rFonts w:ascii="Times New Roman" w:hAnsi="Times New Roman" w:cs="Times New Roman"/>
                <w:color w:val="000000" w:themeColor="text1"/>
                <w:sz w:val="16"/>
                <w:szCs w:val="16"/>
              </w:rPr>
            </w:pPr>
          </w:p>
          <w:p w:rsidR="0088505E" w:rsidRPr="00C706A5" w:rsidRDefault="0088505E" w:rsidP="0038490E">
            <w:pPr>
              <w:widowControl/>
              <w:autoSpaceDE/>
              <w:autoSpaceDN/>
              <w:adjustRightInd/>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-69,1</w:t>
            </w:r>
          </w:p>
          <w:p w:rsidR="0088505E" w:rsidRPr="00C706A5" w:rsidRDefault="0088505E" w:rsidP="00EA4C22">
            <w:pPr>
              <w:widowControl/>
              <w:autoSpaceDE/>
              <w:autoSpaceDN/>
              <w:adjustRightInd/>
              <w:jc w:val="center"/>
              <w:rPr>
                <w:rFonts w:ascii="Times New Roman" w:hAnsi="Times New Roman" w:cs="Times New Roman"/>
                <w:color w:val="000000" w:themeColor="text1"/>
                <w:sz w:val="16"/>
                <w:szCs w:val="16"/>
              </w:rPr>
            </w:pPr>
          </w:p>
        </w:tc>
        <w:tc>
          <w:tcPr>
            <w:tcW w:w="518" w:type="dxa"/>
            <w:gridSpan w:val="2"/>
            <w:tcBorders>
              <w:top w:val="nil"/>
              <w:left w:val="nil"/>
              <w:bottom w:val="single" w:sz="4" w:space="0" w:color="auto"/>
              <w:right w:val="single" w:sz="4" w:space="0" w:color="auto"/>
            </w:tcBorders>
            <w:vAlign w:val="center"/>
          </w:tcPr>
          <w:p w:rsidR="0088505E" w:rsidRPr="00C706A5" w:rsidRDefault="0088505E" w:rsidP="0088505E">
            <w:pPr>
              <w:widowControl/>
              <w:autoSpaceDE/>
              <w:autoSpaceDN/>
              <w:adjustRightInd/>
              <w:jc w:val="center"/>
              <w:rPr>
                <w:rFonts w:ascii="Times New Roman" w:hAnsi="Times New Roman" w:cs="Times New Roman"/>
                <w:color w:val="000000" w:themeColor="text1"/>
                <w:sz w:val="16"/>
                <w:szCs w:val="16"/>
              </w:rPr>
            </w:pPr>
            <w:r w:rsidRPr="00C706A5">
              <w:rPr>
                <w:rFonts w:ascii="Times New Roman" w:hAnsi="Times New Roman" w:cs="Times New Roman"/>
                <w:color w:val="000000" w:themeColor="text1"/>
                <w:sz w:val="16"/>
                <w:szCs w:val="16"/>
              </w:rPr>
              <w:t>-66,7</w:t>
            </w:r>
          </w:p>
        </w:tc>
      </w:tr>
    </w:tbl>
    <w:p w:rsidR="00090FCF" w:rsidRPr="00C706A5" w:rsidRDefault="00090FCF" w:rsidP="00C35BF2">
      <w:pPr>
        <w:spacing w:line="360" w:lineRule="auto"/>
        <w:ind w:left="-142"/>
        <w:jc w:val="center"/>
        <w:rPr>
          <w:rFonts w:ascii="Times New Roman" w:hAnsi="Times New Roman" w:cs="Times New Roman"/>
          <w:b/>
          <w:color w:val="000000" w:themeColor="text1"/>
          <w:sz w:val="28"/>
          <w:szCs w:val="28"/>
        </w:rPr>
      </w:pPr>
    </w:p>
    <w:p w:rsidR="005D5B33" w:rsidRPr="00C706A5" w:rsidRDefault="005D5B33" w:rsidP="00F04758">
      <w:pPr>
        <w:rPr>
          <w:rFonts w:ascii="Calibri" w:hAnsi="Calibri" w:cs="Times New Roman"/>
          <w:color w:val="000000" w:themeColor="text1"/>
          <w:szCs w:val="22"/>
        </w:rPr>
        <w:sectPr w:rsidR="005D5B33" w:rsidRPr="00C706A5" w:rsidSect="005D5B33">
          <w:pgSz w:w="16838" w:h="11906" w:orient="landscape" w:code="9"/>
          <w:pgMar w:top="720" w:right="720" w:bottom="720" w:left="720" w:header="709" w:footer="709" w:gutter="0"/>
          <w:cols w:space="708"/>
          <w:docGrid w:linePitch="360"/>
        </w:sectPr>
      </w:pPr>
    </w:p>
    <w:tbl>
      <w:tblPr>
        <w:tblW w:w="14759" w:type="dxa"/>
        <w:tblInd w:w="53" w:type="dxa"/>
        <w:tblLayout w:type="fixed"/>
        <w:tblCellMar>
          <w:left w:w="70" w:type="dxa"/>
          <w:right w:w="70" w:type="dxa"/>
        </w:tblCellMar>
        <w:tblLook w:val="04A0"/>
      </w:tblPr>
      <w:tblGrid>
        <w:gridCol w:w="2687"/>
        <w:gridCol w:w="867"/>
        <w:gridCol w:w="715"/>
        <w:gridCol w:w="710"/>
        <w:gridCol w:w="708"/>
        <w:gridCol w:w="709"/>
        <w:gridCol w:w="709"/>
        <w:gridCol w:w="662"/>
        <w:gridCol w:w="570"/>
        <w:gridCol w:w="570"/>
        <w:gridCol w:w="570"/>
        <w:gridCol w:w="570"/>
        <w:gridCol w:w="570"/>
        <w:gridCol w:w="570"/>
        <w:gridCol w:w="570"/>
        <w:gridCol w:w="570"/>
        <w:gridCol w:w="570"/>
        <w:gridCol w:w="570"/>
        <w:gridCol w:w="624"/>
        <w:gridCol w:w="668"/>
      </w:tblGrid>
      <w:tr w:rsidR="004211F6" w:rsidRPr="00C706A5" w:rsidTr="005D5B33">
        <w:trPr>
          <w:trHeight w:val="300"/>
        </w:trPr>
        <w:tc>
          <w:tcPr>
            <w:tcW w:w="2687"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867"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15"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1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8"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9"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9"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662"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624"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668" w:type="dxa"/>
            <w:tcBorders>
              <w:top w:val="nil"/>
              <w:left w:val="nil"/>
              <w:bottom w:val="nil"/>
              <w:right w:val="nil"/>
            </w:tcBorders>
          </w:tcPr>
          <w:p w:rsidR="004211F6" w:rsidRPr="00C706A5" w:rsidRDefault="004211F6" w:rsidP="00F04758">
            <w:pPr>
              <w:rPr>
                <w:rFonts w:ascii="Calibri" w:hAnsi="Calibri" w:cs="Times New Roman"/>
                <w:color w:val="000000" w:themeColor="text1"/>
                <w:szCs w:val="22"/>
              </w:rPr>
            </w:pPr>
          </w:p>
        </w:tc>
      </w:tr>
      <w:tr w:rsidR="004211F6" w:rsidRPr="00C706A5" w:rsidTr="005D5B33">
        <w:trPr>
          <w:trHeight w:val="300"/>
        </w:trPr>
        <w:tc>
          <w:tcPr>
            <w:tcW w:w="2687"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867"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15"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1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8"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9"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709"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662"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center"/>
            <w:hideMark/>
          </w:tcPr>
          <w:p w:rsidR="004211F6" w:rsidRPr="00C706A5" w:rsidRDefault="004211F6" w:rsidP="00F04758">
            <w:pPr>
              <w:rPr>
                <w:rFonts w:ascii="Calibri" w:hAnsi="Calibri" w:cs="Times New Roman"/>
                <w:color w:val="000000" w:themeColor="text1"/>
                <w:szCs w:val="22"/>
              </w:rPr>
            </w:pPr>
          </w:p>
        </w:tc>
        <w:tc>
          <w:tcPr>
            <w:tcW w:w="570"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624" w:type="dxa"/>
            <w:tcBorders>
              <w:top w:val="nil"/>
              <w:left w:val="nil"/>
              <w:bottom w:val="nil"/>
              <w:right w:val="nil"/>
            </w:tcBorders>
            <w:shd w:val="clear" w:color="auto" w:fill="auto"/>
            <w:noWrap/>
            <w:vAlign w:val="bottom"/>
            <w:hideMark/>
          </w:tcPr>
          <w:p w:rsidR="004211F6" w:rsidRPr="00C706A5" w:rsidRDefault="004211F6" w:rsidP="00F04758">
            <w:pPr>
              <w:rPr>
                <w:rFonts w:ascii="Calibri" w:hAnsi="Calibri" w:cs="Times New Roman"/>
                <w:color w:val="000000" w:themeColor="text1"/>
                <w:szCs w:val="22"/>
              </w:rPr>
            </w:pPr>
          </w:p>
        </w:tc>
        <w:tc>
          <w:tcPr>
            <w:tcW w:w="668" w:type="dxa"/>
            <w:tcBorders>
              <w:top w:val="nil"/>
              <w:left w:val="nil"/>
              <w:bottom w:val="nil"/>
              <w:right w:val="nil"/>
            </w:tcBorders>
          </w:tcPr>
          <w:p w:rsidR="004211F6" w:rsidRPr="00C706A5" w:rsidRDefault="004211F6" w:rsidP="00F04758">
            <w:pPr>
              <w:rPr>
                <w:rFonts w:ascii="Calibri" w:hAnsi="Calibri" w:cs="Times New Roman"/>
                <w:color w:val="000000" w:themeColor="text1"/>
                <w:szCs w:val="22"/>
              </w:rPr>
            </w:pPr>
          </w:p>
        </w:tc>
      </w:tr>
    </w:tbl>
    <w:p w:rsidR="00B10786" w:rsidRPr="00C706A5" w:rsidRDefault="00B10786" w:rsidP="00DB06E9">
      <w:pPr>
        <w:spacing w:line="360" w:lineRule="auto"/>
        <w:jc w:val="both"/>
        <w:rPr>
          <w:rFonts w:ascii="Times New Roman" w:hAnsi="Times New Roman" w:cs="Times New Roman"/>
          <w:color w:val="000000" w:themeColor="text1"/>
        </w:rPr>
      </w:pPr>
    </w:p>
    <w:tbl>
      <w:tblPr>
        <w:tblpPr w:leftFromText="141" w:rightFromText="141" w:vertAnchor="text" w:horzAnchor="margin" w:tblpY="289"/>
        <w:tblW w:w="10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91"/>
      </w:tblGrid>
      <w:tr w:rsidR="008D7771" w:rsidRPr="00C706A5" w:rsidTr="00557C85">
        <w:trPr>
          <w:trHeight w:val="12405"/>
        </w:trPr>
        <w:tc>
          <w:tcPr>
            <w:tcW w:w="10791" w:type="dxa"/>
          </w:tcPr>
          <w:p w:rsidR="008D7771" w:rsidRPr="00C706A5" w:rsidRDefault="008D7771" w:rsidP="008D7771">
            <w:pPr>
              <w:spacing w:line="276" w:lineRule="auto"/>
              <w:jc w:val="both"/>
              <w:rPr>
                <w:rFonts w:ascii="Book Antiqua" w:hAnsi="Book Antiqua" w:cs="Times New Roman"/>
                <w:color w:val="000000" w:themeColor="text1"/>
                <w:sz w:val="20"/>
                <w:szCs w:val="20"/>
              </w:rPr>
            </w:pPr>
            <w:r w:rsidRPr="00C706A5">
              <w:rPr>
                <w:rFonts w:ascii="Times New Roman" w:hAnsi="Times New Roman" w:cs="Times New Roman"/>
                <w:color w:val="000000" w:themeColor="text1"/>
              </w:rPr>
              <w:br w:type="page"/>
            </w:r>
            <w:r w:rsidRPr="00C706A5">
              <w:rPr>
                <w:rFonts w:ascii="Book Antiqua" w:hAnsi="Book Antiqua" w:cs="Times New Roman"/>
                <w:color w:val="000000" w:themeColor="text1"/>
                <w:sz w:val="20"/>
                <w:szCs w:val="20"/>
              </w:rPr>
              <w:t xml:space="preserve"> Rappelons que :</w:t>
            </w:r>
          </w:p>
          <w:p w:rsidR="008D7771" w:rsidRPr="00C706A5" w:rsidRDefault="008D7771" w:rsidP="008D7771">
            <w:pPr>
              <w:pStyle w:val="Paragraphedeliste"/>
              <w:numPr>
                <w:ilvl w:val="0"/>
                <w:numId w:val="1"/>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 xml:space="preserve">les questions abordées sont qualitatives à 3 modalités (amélioration, stagnation, détérioration). Les  évolutions se réfèrent à une période de 12 mois. Les résultats sont présentés sous forme  de soldes (différence entre les pourcentages des réponses « amélioration » et  des réponses «détérioration»). Le niveau des soldes n’est pas directement interprétable, c’est leur évolution qui est analysée. </w:t>
            </w:r>
          </w:p>
          <w:p w:rsidR="008D7771" w:rsidRPr="00C706A5" w:rsidRDefault="008D7771" w:rsidP="008D7771">
            <w:pPr>
              <w:pStyle w:val="Paragraphedeliste"/>
              <w:numPr>
                <w:ilvl w:val="0"/>
                <w:numId w:val="1"/>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L’Indice de Confiance des Ménages (ICM) est calculé sur la base de sept indicateurs, quatre relatifs à la situation générale et trois à la situation propre du ménage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passée du niveau de vie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perspective d'évolution du niveau de vie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perspective d'évolution du nombre de chômeurs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opportunité d'achat de biens durables;</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situation financière actuelle des ménages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passée de la situation financière des ménages ;</w:t>
            </w:r>
          </w:p>
          <w:p w:rsidR="008D7771" w:rsidRPr="00C706A5" w:rsidRDefault="008D7771" w:rsidP="008D7771">
            <w:pPr>
              <w:pStyle w:val="Paragraphedeliste"/>
              <w:numPr>
                <w:ilvl w:val="0"/>
                <w:numId w:val="3"/>
              </w:numPr>
              <w:spacing w:after="0"/>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évolution  future de la situation financière des ménages.</w:t>
            </w:r>
          </w:p>
          <w:p w:rsidR="008D7771" w:rsidRPr="00C706A5" w:rsidRDefault="008D7771" w:rsidP="008D7771">
            <w:pPr>
              <w:pStyle w:val="Paragraphedeliste"/>
              <w:numPr>
                <w:ilvl w:val="0"/>
                <w:numId w:val="2"/>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L’ICM est la  moyenne arithmétique simple des  soldes des 7 indicateurs, augmentée de 100, sa valeur varie ainsi de 0 à 200.</w:t>
            </w:r>
          </w:p>
          <w:p w:rsidR="002C768B" w:rsidRPr="00C706A5" w:rsidRDefault="002C768B" w:rsidP="00DD2648">
            <w:pPr>
              <w:pStyle w:val="Paragraphedeliste"/>
              <w:numPr>
                <w:ilvl w:val="0"/>
                <w:numId w:val="2"/>
              </w:numPr>
              <w:jc w:val="both"/>
              <w:rPr>
                <w:rFonts w:ascii="Book Antiqua" w:hAnsi="Book Antiqua" w:cs="Times New Roman"/>
                <w:color w:val="000000" w:themeColor="text1"/>
                <w:sz w:val="20"/>
                <w:szCs w:val="20"/>
              </w:rPr>
            </w:pPr>
            <w:r w:rsidRPr="00C706A5">
              <w:rPr>
                <w:rFonts w:ascii="Book Antiqua" w:hAnsi="Book Antiqua" w:cs="Times New Roman"/>
                <w:color w:val="000000" w:themeColor="text1"/>
                <w:sz w:val="20"/>
                <w:szCs w:val="20"/>
              </w:rPr>
              <w:t>La série de l’indice de confiance des ménages se prête à une analyse comparative par rapport à la même période de l’année passée. Elle peut également faire l’objet d’une analyse comparative trimestrielle,  du fait de l’absence des fluctuations saisonnières marquant son profil au cours des six dernières années. Des tests statistiques de Fisher, ayant été établis sur la période allant de 2008 à 2013, avaient confirmé l’absence des variations saisonnières stables et mobiles sur la période d’étude. L</w:t>
            </w:r>
            <w:r w:rsidR="00651154">
              <w:rPr>
                <w:rFonts w:ascii="Book Antiqua" w:hAnsi="Book Antiqua" w:cs="Times New Roman"/>
                <w:color w:val="000000" w:themeColor="text1"/>
                <w:sz w:val="20"/>
                <w:szCs w:val="20"/>
              </w:rPr>
              <w:t xml:space="preserve">es </w:t>
            </w:r>
            <w:r w:rsidRPr="00C706A5">
              <w:rPr>
                <w:rFonts w:ascii="Book Antiqua" w:hAnsi="Book Antiqua" w:cs="Times New Roman"/>
                <w:color w:val="000000" w:themeColor="text1"/>
                <w:sz w:val="20"/>
                <w:szCs w:val="20"/>
              </w:rPr>
              <w:t>graphique</w:t>
            </w:r>
            <w:r w:rsidR="00651154">
              <w:rPr>
                <w:rFonts w:ascii="Book Antiqua" w:hAnsi="Book Antiqua" w:cs="Times New Roman"/>
                <w:color w:val="000000" w:themeColor="text1"/>
                <w:sz w:val="20"/>
                <w:szCs w:val="20"/>
              </w:rPr>
              <w:t>s</w:t>
            </w:r>
            <w:r w:rsidRPr="00C706A5">
              <w:rPr>
                <w:rFonts w:ascii="Book Antiqua" w:hAnsi="Book Antiqua" w:cs="Times New Roman"/>
                <w:color w:val="000000" w:themeColor="text1"/>
                <w:sz w:val="20"/>
                <w:szCs w:val="20"/>
              </w:rPr>
              <w:t xml:space="preserve"> de la série brute de l’indice de confiance des ménages et </w:t>
            </w:r>
            <w:r w:rsidR="00A82F5A" w:rsidRPr="00C706A5">
              <w:rPr>
                <w:rFonts w:ascii="Book Antiqua" w:hAnsi="Book Antiqua" w:cs="Times New Roman"/>
                <w:color w:val="000000" w:themeColor="text1"/>
                <w:sz w:val="20"/>
                <w:szCs w:val="20"/>
              </w:rPr>
              <w:t xml:space="preserve">la série désaisonnalisée </w:t>
            </w:r>
            <w:r w:rsidR="00196DF3">
              <w:rPr>
                <w:rFonts w:ascii="Book Antiqua" w:hAnsi="Book Antiqua" w:cs="Times New Roman"/>
                <w:color w:val="000000" w:themeColor="text1"/>
                <w:sz w:val="20"/>
                <w:szCs w:val="20"/>
              </w:rPr>
              <w:t>se regroupent avec</w:t>
            </w:r>
            <w:r w:rsidRPr="00C706A5">
              <w:rPr>
                <w:rFonts w:ascii="Book Antiqua" w:hAnsi="Book Antiqua" w:cs="Times New Roman"/>
                <w:color w:val="000000" w:themeColor="text1"/>
                <w:sz w:val="20"/>
                <w:szCs w:val="20"/>
              </w:rPr>
              <w:t xml:space="preserve"> une synchronisation</w:t>
            </w:r>
            <w:r w:rsidR="00A82F5A" w:rsidRPr="00C706A5">
              <w:rPr>
                <w:rFonts w:ascii="Book Antiqua" w:hAnsi="Book Antiqua" w:cs="Times New Roman"/>
                <w:color w:val="000000" w:themeColor="text1"/>
                <w:sz w:val="20"/>
                <w:szCs w:val="20"/>
              </w:rPr>
              <w:t xml:space="preserve"> voire</w:t>
            </w:r>
            <w:r w:rsidRPr="00C706A5">
              <w:rPr>
                <w:rFonts w:ascii="Book Antiqua" w:hAnsi="Book Antiqua" w:cs="Times New Roman"/>
                <w:color w:val="000000" w:themeColor="text1"/>
                <w:sz w:val="20"/>
                <w:szCs w:val="20"/>
              </w:rPr>
              <w:t xml:space="preserve"> </w:t>
            </w:r>
            <w:r w:rsidR="00A82F5A" w:rsidRPr="00C706A5">
              <w:rPr>
                <w:rFonts w:ascii="Book Antiqua" w:hAnsi="Book Antiqua" w:cs="Times New Roman"/>
                <w:color w:val="000000" w:themeColor="text1"/>
                <w:sz w:val="20"/>
                <w:szCs w:val="20"/>
              </w:rPr>
              <w:t>une similitude quasi parfaite</w:t>
            </w:r>
            <w:r w:rsidRPr="00C706A5">
              <w:rPr>
                <w:rFonts w:ascii="Book Antiqua" w:hAnsi="Book Antiqua" w:cs="Times New Roman"/>
                <w:color w:val="000000" w:themeColor="text1"/>
                <w:sz w:val="20"/>
                <w:szCs w:val="20"/>
              </w:rPr>
              <w:t xml:space="preserve">. </w:t>
            </w:r>
          </w:p>
          <w:p w:rsidR="002C768B" w:rsidRPr="00C706A5" w:rsidRDefault="002C768B" w:rsidP="002C768B">
            <w:pPr>
              <w:jc w:val="center"/>
              <w:rPr>
                <w:color w:val="000000" w:themeColor="text1"/>
              </w:rPr>
            </w:pPr>
            <w:r w:rsidRPr="00C706A5">
              <w:rPr>
                <w:noProof/>
                <w:color w:val="000000" w:themeColor="text1"/>
              </w:rPr>
              <w:drawing>
                <wp:inline distT="0" distB="0" distL="0" distR="0">
                  <wp:extent cx="4810125" cy="280987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812299" cy="2811145"/>
                          </a:xfrm>
                          <a:prstGeom prst="rect">
                            <a:avLst/>
                          </a:prstGeom>
                          <a:noFill/>
                          <a:ln w="9525">
                            <a:noFill/>
                            <a:miter lim="800000"/>
                            <a:headEnd/>
                            <a:tailEnd/>
                          </a:ln>
                        </pic:spPr>
                      </pic:pic>
                    </a:graphicData>
                  </a:graphic>
                </wp:inline>
              </w:drawing>
            </w:r>
          </w:p>
          <w:p w:rsidR="002C768B" w:rsidRPr="00C706A5" w:rsidRDefault="002C768B" w:rsidP="002C768B">
            <w:pPr>
              <w:jc w:val="both"/>
              <w:rPr>
                <w:rFonts w:ascii="Book Antiqua" w:hAnsi="Book Antiqua" w:cs="Times New Roman"/>
                <w:color w:val="000000" w:themeColor="text1"/>
                <w:sz w:val="20"/>
                <w:szCs w:val="20"/>
              </w:rPr>
            </w:pPr>
          </w:p>
          <w:p w:rsidR="008D7771" w:rsidRPr="00C706A5" w:rsidRDefault="008D7771" w:rsidP="008D7771">
            <w:pPr>
              <w:spacing w:line="276" w:lineRule="auto"/>
              <w:jc w:val="both"/>
              <w:rPr>
                <w:rFonts w:ascii="Book Antiqua" w:hAnsi="Book Antiqua" w:cs="Times New Roman"/>
                <w:b/>
                <w:bCs/>
                <w:color w:val="000000" w:themeColor="text1"/>
              </w:rPr>
            </w:pPr>
            <w:r w:rsidRPr="00C706A5">
              <w:rPr>
                <w:rFonts w:ascii="Book Antiqua" w:hAnsi="Book Antiqua" w:cs="Times New Roman"/>
                <w:color w:val="000000" w:themeColor="text1"/>
                <w:sz w:val="20"/>
                <w:szCs w:val="20"/>
              </w:rPr>
              <w:t xml:space="preserve">Pour plus d’informations sur les aspects méthodologiques de cette enquête, consulter le site web du HCP au  </w:t>
            </w:r>
            <w:hyperlink r:id="rId17" w:history="1">
              <w:r w:rsidRPr="00C706A5">
                <w:rPr>
                  <w:rStyle w:val="Lienhypertexte"/>
                  <w:rFonts w:ascii="Book Antiqua" w:hAnsi="Book Antiqua" w:cs="Times New Roman"/>
                  <w:color w:val="000000" w:themeColor="text1"/>
                  <w:sz w:val="20"/>
                  <w:szCs w:val="20"/>
                </w:rPr>
                <w:t>www.hcp.ma</w:t>
              </w:r>
            </w:hyperlink>
            <w:r w:rsidRPr="00C706A5">
              <w:rPr>
                <w:rFonts w:ascii="Book Antiqua" w:hAnsi="Book Antiqua" w:cs="Times New Roman"/>
                <w:color w:val="000000" w:themeColor="text1"/>
                <w:sz w:val="20"/>
                <w:szCs w:val="20"/>
              </w:rPr>
              <w:t xml:space="preserve"> </w:t>
            </w:r>
          </w:p>
        </w:tc>
      </w:tr>
    </w:tbl>
    <w:p w:rsidR="00B10786" w:rsidRPr="00C706A5" w:rsidRDefault="00B10786" w:rsidP="00DB06E9">
      <w:pPr>
        <w:spacing w:line="360" w:lineRule="auto"/>
        <w:jc w:val="both"/>
        <w:rPr>
          <w:rFonts w:ascii="Times New Roman" w:hAnsi="Times New Roman" w:cs="Times New Roman"/>
          <w:color w:val="000000" w:themeColor="text1"/>
        </w:rPr>
      </w:pPr>
    </w:p>
    <w:p w:rsidR="0068173C" w:rsidRPr="00C706A5" w:rsidRDefault="0068173C" w:rsidP="00DB06E9">
      <w:pPr>
        <w:spacing w:line="360" w:lineRule="auto"/>
        <w:jc w:val="both"/>
        <w:rPr>
          <w:rFonts w:ascii="Times New Roman" w:hAnsi="Times New Roman" w:cs="Times New Roman"/>
          <w:color w:val="000000" w:themeColor="text1"/>
        </w:rPr>
      </w:pPr>
    </w:p>
    <w:p w:rsidR="0068173C" w:rsidRPr="00C706A5" w:rsidRDefault="0068173C" w:rsidP="00DB06E9">
      <w:pPr>
        <w:spacing w:line="360" w:lineRule="auto"/>
        <w:jc w:val="both"/>
        <w:rPr>
          <w:rFonts w:ascii="Times New Roman" w:hAnsi="Times New Roman" w:cs="Times New Roman"/>
          <w:color w:val="000000" w:themeColor="text1"/>
        </w:rPr>
      </w:pPr>
    </w:p>
    <w:sectPr w:rsidR="0068173C" w:rsidRPr="00C706A5" w:rsidSect="00B8792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31B" w:rsidRDefault="002D531B" w:rsidP="00460705">
      <w:r>
        <w:separator/>
      </w:r>
    </w:p>
  </w:endnote>
  <w:endnote w:type="continuationSeparator" w:id="0">
    <w:p w:rsidR="002D531B" w:rsidRDefault="002D531B" w:rsidP="00460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20B" w:rsidRDefault="00E20BF5">
    <w:pPr>
      <w:pStyle w:val="Pieddepage"/>
      <w:jc w:val="right"/>
    </w:pPr>
    <w:fldSimple w:instr=" PAGE   \* MERGEFORMAT ">
      <w:r w:rsidR="002D531B">
        <w:rPr>
          <w:noProof/>
        </w:rPr>
        <w:t>1</w:t>
      </w:r>
    </w:fldSimple>
  </w:p>
  <w:p w:rsidR="0064120B" w:rsidRDefault="006412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31B" w:rsidRDefault="002D531B" w:rsidP="00460705">
      <w:r>
        <w:separator/>
      </w:r>
    </w:p>
  </w:footnote>
  <w:footnote w:type="continuationSeparator" w:id="0">
    <w:p w:rsidR="002D531B" w:rsidRDefault="002D531B" w:rsidP="004607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7A8E"/>
    <w:multiLevelType w:val="hybridMultilevel"/>
    <w:tmpl w:val="DEAAA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002827"/>
    <w:multiLevelType w:val="hybridMultilevel"/>
    <w:tmpl w:val="651C7EFE"/>
    <w:lvl w:ilvl="0" w:tplc="B100CA10">
      <w:start w:val="3"/>
      <w:numFmt w:val="bullet"/>
      <w:lvlText w:val=""/>
      <w:lvlJc w:val="left"/>
      <w:pPr>
        <w:ind w:left="420" w:hanging="360"/>
      </w:pPr>
      <w:rPr>
        <w:rFonts w:ascii="Symbol" w:eastAsia="Times New Roman" w:hAnsi="Symbol"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nsid w:val="10A122E6"/>
    <w:multiLevelType w:val="hybridMultilevel"/>
    <w:tmpl w:val="826865B6"/>
    <w:lvl w:ilvl="0" w:tplc="0616EC8E">
      <w:numFmt w:val="bullet"/>
      <w:lvlText w:val="-"/>
      <w:lvlJc w:val="left"/>
      <w:pPr>
        <w:ind w:left="1080" w:hanging="360"/>
      </w:pPr>
      <w:rPr>
        <w:rFonts w:ascii="Book Antiqua" w:eastAsia="Calibri" w:hAnsi="Book Antiqua"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CC54CD3"/>
    <w:multiLevelType w:val="hybridMultilevel"/>
    <w:tmpl w:val="0EF07944"/>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F9C3212"/>
    <w:multiLevelType w:val="hybridMultilevel"/>
    <w:tmpl w:val="30E2D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128527B"/>
    <w:multiLevelType w:val="multilevel"/>
    <w:tmpl w:val="615095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3E6100A"/>
    <w:multiLevelType w:val="hybridMultilevel"/>
    <w:tmpl w:val="F000AF92"/>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7">
    <w:nsid w:val="498D60E8"/>
    <w:multiLevelType w:val="hybridMultilevel"/>
    <w:tmpl w:val="E83A8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355FAE"/>
    <w:multiLevelType w:val="hybridMultilevel"/>
    <w:tmpl w:val="5A8C44D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52DB559E"/>
    <w:multiLevelType w:val="hybridMultilevel"/>
    <w:tmpl w:val="C6182B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2657841"/>
    <w:multiLevelType w:val="hybridMultilevel"/>
    <w:tmpl w:val="D1729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EBD7D01"/>
    <w:multiLevelType w:val="hybridMultilevel"/>
    <w:tmpl w:val="0E2043F8"/>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8"/>
  </w:num>
  <w:num w:numId="5">
    <w:abstractNumId w:val="5"/>
  </w:num>
  <w:num w:numId="6">
    <w:abstractNumId w:val="7"/>
  </w:num>
  <w:num w:numId="7">
    <w:abstractNumId w:val="0"/>
  </w:num>
  <w:num w:numId="8">
    <w:abstractNumId w:val="4"/>
  </w:num>
  <w:num w:numId="9">
    <w:abstractNumId w:val="10"/>
  </w:num>
  <w:num w:numId="10">
    <w:abstractNumId w:val="3"/>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rsids>
    <w:rsidRoot w:val="00912704"/>
    <w:rsid w:val="000016A1"/>
    <w:rsid w:val="000023E0"/>
    <w:rsid w:val="00002F9B"/>
    <w:rsid w:val="00003F54"/>
    <w:rsid w:val="000069AE"/>
    <w:rsid w:val="00011A0E"/>
    <w:rsid w:val="00011F4E"/>
    <w:rsid w:val="00014940"/>
    <w:rsid w:val="000174FE"/>
    <w:rsid w:val="0001754D"/>
    <w:rsid w:val="00022644"/>
    <w:rsid w:val="00024686"/>
    <w:rsid w:val="0002532B"/>
    <w:rsid w:val="00025F15"/>
    <w:rsid w:val="000315FD"/>
    <w:rsid w:val="00031CFB"/>
    <w:rsid w:val="000324B4"/>
    <w:rsid w:val="00032AF9"/>
    <w:rsid w:val="00032ECD"/>
    <w:rsid w:val="000370B6"/>
    <w:rsid w:val="00043430"/>
    <w:rsid w:val="00046C56"/>
    <w:rsid w:val="00047B2B"/>
    <w:rsid w:val="00051534"/>
    <w:rsid w:val="000518A6"/>
    <w:rsid w:val="00052C8E"/>
    <w:rsid w:val="0005628D"/>
    <w:rsid w:val="00056F4A"/>
    <w:rsid w:val="00057262"/>
    <w:rsid w:val="00057BC7"/>
    <w:rsid w:val="00057E1A"/>
    <w:rsid w:val="00061CA4"/>
    <w:rsid w:val="00064021"/>
    <w:rsid w:val="000646B0"/>
    <w:rsid w:val="00067D35"/>
    <w:rsid w:val="000706EE"/>
    <w:rsid w:val="000720FD"/>
    <w:rsid w:val="00072F7C"/>
    <w:rsid w:val="00073079"/>
    <w:rsid w:val="000779C2"/>
    <w:rsid w:val="00077CAA"/>
    <w:rsid w:val="0008224D"/>
    <w:rsid w:val="0008574A"/>
    <w:rsid w:val="000877E9"/>
    <w:rsid w:val="00087DA2"/>
    <w:rsid w:val="00090FCF"/>
    <w:rsid w:val="00090FEC"/>
    <w:rsid w:val="00091FB9"/>
    <w:rsid w:val="00097300"/>
    <w:rsid w:val="00097799"/>
    <w:rsid w:val="0009797C"/>
    <w:rsid w:val="00097D75"/>
    <w:rsid w:val="000A158A"/>
    <w:rsid w:val="000A20DC"/>
    <w:rsid w:val="000A40C3"/>
    <w:rsid w:val="000A62F9"/>
    <w:rsid w:val="000B0844"/>
    <w:rsid w:val="000B09BA"/>
    <w:rsid w:val="000B1487"/>
    <w:rsid w:val="000B16D1"/>
    <w:rsid w:val="000C0C01"/>
    <w:rsid w:val="000C439F"/>
    <w:rsid w:val="000C56EA"/>
    <w:rsid w:val="000C7F17"/>
    <w:rsid w:val="000D1CF5"/>
    <w:rsid w:val="000D24FA"/>
    <w:rsid w:val="000D341B"/>
    <w:rsid w:val="000D367A"/>
    <w:rsid w:val="000D4077"/>
    <w:rsid w:val="000D5638"/>
    <w:rsid w:val="000D5AB2"/>
    <w:rsid w:val="000D5B0A"/>
    <w:rsid w:val="000E10E0"/>
    <w:rsid w:val="000E17D9"/>
    <w:rsid w:val="000F0919"/>
    <w:rsid w:val="000F0DB1"/>
    <w:rsid w:val="000F2945"/>
    <w:rsid w:val="000F6CE8"/>
    <w:rsid w:val="000F70E8"/>
    <w:rsid w:val="000F74C5"/>
    <w:rsid w:val="000F7A57"/>
    <w:rsid w:val="000F7C4F"/>
    <w:rsid w:val="001037B3"/>
    <w:rsid w:val="00104438"/>
    <w:rsid w:val="00104463"/>
    <w:rsid w:val="001052BE"/>
    <w:rsid w:val="00105320"/>
    <w:rsid w:val="00106E19"/>
    <w:rsid w:val="00106EC0"/>
    <w:rsid w:val="00106FA4"/>
    <w:rsid w:val="00107534"/>
    <w:rsid w:val="001103D0"/>
    <w:rsid w:val="00110B90"/>
    <w:rsid w:val="001116C8"/>
    <w:rsid w:val="00113767"/>
    <w:rsid w:val="00115D48"/>
    <w:rsid w:val="001161C4"/>
    <w:rsid w:val="0011726A"/>
    <w:rsid w:val="00117A2F"/>
    <w:rsid w:val="00121CCC"/>
    <w:rsid w:val="00122941"/>
    <w:rsid w:val="00124827"/>
    <w:rsid w:val="00125161"/>
    <w:rsid w:val="00125543"/>
    <w:rsid w:val="00127D67"/>
    <w:rsid w:val="00131E2D"/>
    <w:rsid w:val="00133860"/>
    <w:rsid w:val="00137D7D"/>
    <w:rsid w:val="001404A9"/>
    <w:rsid w:val="001414F3"/>
    <w:rsid w:val="001438AB"/>
    <w:rsid w:val="0015212E"/>
    <w:rsid w:val="00152D59"/>
    <w:rsid w:val="00153ECF"/>
    <w:rsid w:val="001545AE"/>
    <w:rsid w:val="00156587"/>
    <w:rsid w:val="00157CA9"/>
    <w:rsid w:val="001648E6"/>
    <w:rsid w:val="0016596E"/>
    <w:rsid w:val="001672BD"/>
    <w:rsid w:val="00174542"/>
    <w:rsid w:val="00184023"/>
    <w:rsid w:val="00185207"/>
    <w:rsid w:val="00185ABC"/>
    <w:rsid w:val="00187EB7"/>
    <w:rsid w:val="00190672"/>
    <w:rsid w:val="00191E08"/>
    <w:rsid w:val="00191F62"/>
    <w:rsid w:val="00193B4D"/>
    <w:rsid w:val="0019435A"/>
    <w:rsid w:val="001956DC"/>
    <w:rsid w:val="00195D2E"/>
    <w:rsid w:val="001960E9"/>
    <w:rsid w:val="00196DF3"/>
    <w:rsid w:val="001975D4"/>
    <w:rsid w:val="00197D9A"/>
    <w:rsid w:val="00197F64"/>
    <w:rsid w:val="001A048A"/>
    <w:rsid w:val="001A0F65"/>
    <w:rsid w:val="001A4203"/>
    <w:rsid w:val="001A4BB7"/>
    <w:rsid w:val="001A648B"/>
    <w:rsid w:val="001A69DD"/>
    <w:rsid w:val="001A6BB6"/>
    <w:rsid w:val="001B1130"/>
    <w:rsid w:val="001B2334"/>
    <w:rsid w:val="001B3707"/>
    <w:rsid w:val="001B3CB2"/>
    <w:rsid w:val="001B50A1"/>
    <w:rsid w:val="001B561B"/>
    <w:rsid w:val="001B5B96"/>
    <w:rsid w:val="001B5F02"/>
    <w:rsid w:val="001B7322"/>
    <w:rsid w:val="001C0839"/>
    <w:rsid w:val="001C4D54"/>
    <w:rsid w:val="001C6846"/>
    <w:rsid w:val="001D0C73"/>
    <w:rsid w:val="001D709D"/>
    <w:rsid w:val="001E0D0B"/>
    <w:rsid w:val="001E36D5"/>
    <w:rsid w:val="001E42CC"/>
    <w:rsid w:val="001E4F55"/>
    <w:rsid w:val="001F062E"/>
    <w:rsid w:val="001F14B0"/>
    <w:rsid w:val="001F20AF"/>
    <w:rsid w:val="001F4A3E"/>
    <w:rsid w:val="001F4FE4"/>
    <w:rsid w:val="001F59E2"/>
    <w:rsid w:val="001F5D34"/>
    <w:rsid w:val="001F626D"/>
    <w:rsid w:val="001F7711"/>
    <w:rsid w:val="002021DE"/>
    <w:rsid w:val="002041E9"/>
    <w:rsid w:val="0020711A"/>
    <w:rsid w:val="0021180E"/>
    <w:rsid w:val="00213786"/>
    <w:rsid w:val="002163AF"/>
    <w:rsid w:val="002164DC"/>
    <w:rsid w:val="00221FC5"/>
    <w:rsid w:val="00222682"/>
    <w:rsid w:val="002226A1"/>
    <w:rsid w:val="00222815"/>
    <w:rsid w:val="00223178"/>
    <w:rsid w:val="00223808"/>
    <w:rsid w:val="0022467F"/>
    <w:rsid w:val="00226BE3"/>
    <w:rsid w:val="00227B1B"/>
    <w:rsid w:val="0023094A"/>
    <w:rsid w:val="00233531"/>
    <w:rsid w:val="0024028E"/>
    <w:rsid w:val="00243AE1"/>
    <w:rsid w:val="00245992"/>
    <w:rsid w:val="00246518"/>
    <w:rsid w:val="002478EF"/>
    <w:rsid w:val="00247A3B"/>
    <w:rsid w:val="00253166"/>
    <w:rsid w:val="00256FBC"/>
    <w:rsid w:val="00257385"/>
    <w:rsid w:val="00260D98"/>
    <w:rsid w:val="0026337D"/>
    <w:rsid w:val="00263D54"/>
    <w:rsid w:val="00264457"/>
    <w:rsid w:val="00265CFD"/>
    <w:rsid w:val="00267202"/>
    <w:rsid w:val="00267298"/>
    <w:rsid w:val="002672A0"/>
    <w:rsid w:val="00267B6E"/>
    <w:rsid w:val="00270AD9"/>
    <w:rsid w:val="0027263B"/>
    <w:rsid w:val="00272727"/>
    <w:rsid w:val="00272D28"/>
    <w:rsid w:val="002751C2"/>
    <w:rsid w:val="00275256"/>
    <w:rsid w:val="00276077"/>
    <w:rsid w:val="00280072"/>
    <w:rsid w:val="0028098C"/>
    <w:rsid w:val="00287EC1"/>
    <w:rsid w:val="00290113"/>
    <w:rsid w:val="002915B7"/>
    <w:rsid w:val="00291C4B"/>
    <w:rsid w:val="00292082"/>
    <w:rsid w:val="00293863"/>
    <w:rsid w:val="002941A3"/>
    <w:rsid w:val="00295DF0"/>
    <w:rsid w:val="00296645"/>
    <w:rsid w:val="002A1C56"/>
    <w:rsid w:val="002A29D2"/>
    <w:rsid w:val="002A2E36"/>
    <w:rsid w:val="002A321D"/>
    <w:rsid w:val="002A53E5"/>
    <w:rsid w:val="002A7486"/>
    <w:rsid w:val="002B15A7"/>
    <w:rsid w:val="002B15E6"/>
    <w:rsid w:val="002B2EC5"/>
    <w:rsid w:val="002B3D5B"/>
    <w:rsid w:val="002B51C3"/>
    <w:rsid w:val="002B799E"/>
    <w:rsid w:val="002C03DA"/>
    <w:rsid w:val="002C0BC4"/>
    <w:rsid w:val="002C0E6A"/>
    <w:rsid w:val="002C10D7"/>
    <w:rsid w:val="002C18A0"/>
    <w:rsid w:val="002C211A"/>
    <w:rsid w:val="002C3101"/>
    <w:rsid w:val="002C366D"/>
    <w:rsid w:val="002C5954"/>
    <w:rsid w:val="002C768B"/>
    <w:rsid w:val="002C7EF2"/>
    <w:rsid w:val="002D2970"/>
    <w:rsid w:val="002D3C52"/>
    <w:rsid w:val="002D531B"/>
    <w:rsid w:val="002D54C7"/>
    <w:rsid w:val="002D56C5"/>
    <w:rsid w:val="002D5AAA"/>
    <w:rsid w:val="002D6FC3"/>
    <w:rsid w:val="002E3AEC"/>
    <w:rsid w:val="002E5ABF"/>
    <w:rsid w:val="002E5BEC"/>
    <w:rsid w:val="002F08CD"/>
    <w:rsid w:val="002F56E4"/>
    <w:rsid w:val="002F5CBB"/>
    <w:rsid w:val="002F5E6A"/>
    <w:rsid w:val="002F61B2"/>
    <w:rsid w:val="002F7AAE"/>
    <w:rsid w:val="00302717"/>
    <w:rsid w:val="003043BE"/>
    <w:rsid w:val="00306F45"/>
    <w:rsid w:val="00307232"/>
    <w:rsid w:val="00311292"/>
    <w:rsid w:val="00312C75"/>
    <w:rsid w:val="00313590"/>
    <w:rsid w:val="00314363"/>
    <w:rsid w:val="0032393A"/>
    <w:rsid w:val="0032457C"/>
    <w:rsid w:val="00326439"/>
    <w:rsid w:val="003266B8"/>
    <w:rsid w:val="00326D4A"/>
    <w:rsid w:val="0033159D"/>
    <w:rsid w:val="003325C2"/>
    <w:rsid w:val="00333CD8"/>
    <w:rsid w:val="00335AA7"/>
    <w:rsid w:val="00342196"/>
    <w:rsid w:val="00344737"/>
    <w:rsid w:val="00346706"/>
    <w:rsid w:val="003514ED"/>
    <w:rsid w:val="00352106"/>
    <w:rsid w:val="0035217E"/>
    <w:rsid w:val="00352D33"/>
    <w:rsid w:val="00353CB2"/>
    <w:rsid w:val="00354A18"/>
    <w:rsid w:val="00354E92"/>
    <w:rsid w:val="003559FA"/>
    <w:rsid w:val="00360176"/>
    <w:rsid w:val="00360720"/>
    <w:rsid w:val="00362A0D"/>
    <w:rsid w:val="003670AA"/>
    <w:rsid w:val="00370A60"/>
    <w:rsid w:val="003713F9"/>
    <w:rsid w:val="003724EE"/>
    <w:rsid w:val="00373C93"/>
    <w:rsid w:val="003812CC"/>
    <w:rsid w:val="00381490"/>
    <w:rsid w:val="00381936"/>
    <w:rsid w:val="0038490E"/>
    <w:rsid w:val="00386E22"/>
    <w:rsid w:val="00391350"/>
    <w:rsid w:val="003937BF"/>
    <w:rsid w:val="003960C1"/>
    <w:rsid w:val="003A32A5"/>
    <w:rsid w:val="003A35D3"/>
    <w:rsid w:val="003A5110"/>
    <w:rsid w:val="003A5245"/>
    <w:rsid w:val="003A52E9"/>
    <w:rsid w:val="003A5304"/>
    <w:rsid w:val="003A5AEB"/>
    <w:rsid w:val="003A6EC4"/>
    <w:rsid w:val="003A7ECC"/>
    <w:rsid w:val="003B092A"/>
    <w:rsid w:val="003B0EDF"/>
    <w:rsid w:val="003B330D"/>
    <w:rsid w:val="003B6E43"/>
    <w:rsid w:val="003C0E95"/>
    <w:rsid w:val="003C1028"/>
    <w:rsid w:val="003C2208"/>
    <w:rsid w:val="003C2924"/>
    <w:rsid w:val="003C3114"/>
    <w:rsid w:val="003C4254"/>
    <w:rsid w:val="003C79A0"/>
    <w:rsid w:val="003D554F"/>
    <w:rsid w:val="003D6DF2"/>
    <w:rsid w:val="003E1044"/>
    <w:rsid w:val="003E22C4"/>
    <w:rsid w:val="003E4DD3"/>
    <w:rsid w:val="003F0597"/>
    <w:rsid w:val="003F18F7"/>
    <w:rsid w:val="003F362B"/>
    <w:rsid w:val="003F3656"/>
    <w:rsid w:val="003F3B02"/>
    <w:rsid w:val="003F3BF4"/>
    <w:rsid w:val="00400110"/>
    <w:rsid w:val="00400983"/>
    <w:rsid w:val="0040459B"/>
    <w:rsid w:val="00404C21"/>
    <w:rsid w:val="00405940"/>
    <w:rsid w:val="004074DD"/>
    <w:rsid w:val="004105E0"/>
    <w:rsid w:val="00412740"/>
    <w:rsid w:val="004158F0"/>
    <w:rsid w:val="00416870"/>
    <w:rsid w:val="0042017B"/>
    <w:rsid w:val="00420B43"/>
    <w:rsid w:val="00420D3C"/>
    <w:rsid w:val="004211F6"/>
    <w:rsid w:val="00424E25"/>
    <w:rsid w:val="0042529A"/>
    <w:rsid w:val="00426845"/>
    <w:rsid w:val="00427219"/>
    <w:rsid w:val="004274C1"/>
    <w:rsid w:val="00430234"/>
    <w:rsid w:val="0043296A"/>
    <w:rsid w:val="00434700"/>
    <w:rsid w:val="00434E44"/>
    <w:rsid w:val="00435631"/>
    <w:rsid w:val="0043688A"/>
    <w:rsid w:val="00440B2D"/>
    <w:rsid w:val="004421E3"/>
    <w:rsid w:val="004430BB"/>
    <w:rsid w:val="00445B5E"/>
    <w:rsid w:val="00446EA3"/>
    <w:rsid w:val="00450950"/>
    <w:rsid w:val="00451104"/>
    <w:rsid w:val="00451534"/>
    <w:rsid w:val="00452F6C"/>
    <w:rsid w:val="0045422F"/>
    <w:rsid w:val="0045433C"/>
    <w:rsid w:val="00457115"/>
    <w:rsid w:val="00460705"/>
    <w:rsid w:val="00460BC9"/>
    <w:rsid w:val="00464052"/>
    <w:rsid w:val="00465799"/>
    <w:rsid w:val="0046586B"/>
    <w:rsid w:val="004660F5"/>
    <w:rsid w:val="0046675F"/>
    <w:rsid w:val="004674F7"/>
    <w:rsid w:val="004708C0"/>
    <w:rsid w:val="00471447"/>
    <w:rsid w:val="00471B70"/>
    <w:rsid w:val="00471D1D"/>
    <w:rsid w:val="0047220A"/>
    <w:rsid w:val="0047271F"/>
    <w:rsid w:val="00472EDA"/>
    <w:rsid w:val="004744E1"/>
    <w:rsid w:val="00474682"/>
    <w:rsid w:val="00475F4B"/>
    <w:rsid w:val="00477B88"/>
    <w:rsid w:val="004825A3"/>
    <w:rsid w:val="00482DFE"/>
    <w:rsid w:val="00484AD3"/>
    <w:rsid w:val="0048573D"/>
    <w:rsid w:val="00486BF3"/>
    <w:rsid w:val="00487AE4"/>
    <w:rsid w:val="00490B11"/>
    <w:rsid w:val="00490E21"/>
    <w:rsid w:val="00491AFA"/>
    <w:rsid w:val="00493412"/>
    <w:rsid w:val="00495348"/>
    <w:rsid w:val="0049640D"/>
    <w:rsid w:val="00497168"/>
    <w:rsid w:val="00497732"/>
    <w:rsid w:val="004A33E9"/>
    <w:rsid w:val="004A3ECA"/>
    <w:rsid w:val="004A590B"/>
    <w:rsid w:val="004A69AD"/>
    <w:rsid w:val="004B04C6"/>
    <w:rsid w:val="004B35F7"/>
    <w:rsid w:val="004B4E32"/>
    <w:rsid w:val="004B5383"/>
    <w:rsid w:val="004B7076"/>
    <w:rsid w:val="004C26D2"/>
    <w:rsid w:val="004C7237"/>
    <w:rsid w:val="004D07E5"/>
    <w:rsid w:val="004D14A8"/>
    <w:rsid w:val="004D2992"/>
    <w:rsid w:val="004D3202"/>
    <w:rsid w:val="004D469E"/>
    <w:rsid w:val="004D48A5"/>
    <w:rsid w:val="004D7FEA"/>
    <w:rsid w:val="004E183B"/>
    <w:rsid w:val="004E2DFB"/>
    <w:rsid w:val="004E3D51"/>
    <w:rsid w:val="004E3F63"/>
    <w:rsid w:val="004E4F5A"/>
    <w:rsid w:val="004E5131"/>
    <w:rsid w:val="004E5520"/>
    <w:rsid w:val="004E55BA"/>
    <w:rsid w:val="004E67DD"/>
    <w:rsid w:val="004F07EF"/>
    <w:rsid w:val="004F0AE6"/>
    <w:rsid w:val="004F18F6"/>
    <w:rsid w:val="004F1AD1"/>
    <w:rsid w:val="004F3CFC"/>
    <w:rsid w:val="004F59BE"/>
    <w:rsid w:val="005016B0"/>
    <w:rsid w:val="00503F34"/>
    <w:rsid w:val="005041F1"/>
    <w:rsid w:val="00504C1B"/>
    <w:rsid w:val="0050642C"/>
    <w:rsid w:val="00507250"/>
    <w:rsid w:val="005076C2"/>
    <w:rsid w:val="00510671"/>
    <w:rsid w:val="00510B87"/>
    <w:rsid w:val="00511C57"/>
    <w:rsid w:val="005128B6"/>
    <w:rsid w:val="00515560"/>
    <w:rsid w:val="00517831"/>
    <w:rsid w:val="005216FD"/>
    <w:rsid w:val="00522383"/>
    <w:rsid w:val="005228C3"/>
    <w:rsid w:val="005231BF"/>
    <w:rsid w:val="005234AF"/>
    <w:rsid w:val="00525787"/>
    <w:rsid w:val="00530E86"/>
    <w:rsid w:val="00530E90"/>
    <w:rsid w:val="00531247"/>
    <w:rsid w:val="005314AC"/>
    <w:rsid w:val="00531A41"/>
    <w:rsid w:val="005325CC"/>
    <w:rsid w:val="0054064D"/>
    <w:rsid w:val="00545A36"/>
    <w:rsid w:val="005465E0"/>
    <w:rsid w:val="005467EB"/>
    <w:rsid w:val="00546AA5"/>
    <w:rsid w:val="00547601"/>
    <w:rsid w:val="0055058D"/>
    <w:rsid w:val="00551FFF"/>
    <w:rsid w:val="00557C85"/>
    <w:rsid w:val="00560C19"/>
    <w:rsid w:val="00562D36"/>
    <w:rsid w:val="00562E23"/>
    <w:rsid w:val="00563170"/>
    <w:rsid w:val="005665B1"/>
    <w:rsid w:val="0056722B"/>
    <w:rsid w:val="00567CDC"/>
    <w:rsid w:val="00570BDD"/>
    <w:rsid w:val="0057388C"/>
    <w:rsid w:val="00576614"/>
    <w:rsid w:val="00576E52"/>
    <w:rsid w:val="00577957"/>
    <w:rsid w:val="005814AC"/>
    <w:rsid w:val="00581D56"/>
    <w:rsid w:val="00582246"/>
    <w:rsid w:val="0058309C"/>
    <w:rsid w:val="00584093"/>
    <w:rsid w:val="00585AB6"/>
    <w:rsid w:val="00585AD7"/>
    <w:rsid w:val="00586FA1"/>
    <w:rsid w:val="005879B7"/>
    <w:rsid w:val="005926A9"/>
    <w:rsid w:val="005926FE"/>
    <w:rsid w:val="00593B3D"/>
    <w:rsid w:val="005950FE"/>
    <w:rsid w:val="00596CE0"/>
    <w:rsid w:val="005A3289"/>
    <w:rsid w:val="005A4BB0"/>
    <w:rsid w:val="005A5697"/>
    <w:rsid w:val="005A5FB6"/>
    <w:rsid w:val="005A60A1"/>
    <w:rsid w:val="005A6B2B"/>
    <w:rsid w:val="005A7C0B"/>
    <w:rsid w:val="005B0A27"/>
    <w:rsid w:val="005B1014"/>
    <w:rsid w:val="005B1521"/>
    <w:rsid w:val="005B325E"/>
    <w:rsid w:val="005B33EC"/>
    <w:rsid w:val="005B6912"/>
    <w:rsid w:val="005B77A5"/>
    <w:rsid w:val="005C01F5"/>
    <w:rsid w:val="005C1739"/>
    <w:rsid w:val="005C41EB"/>
    <w:rsid w:val="005C473B"/>
    <w:rsid w:val="005D0118"/>
    <w:rsid w:val="005D0483"/>
    <w:rsid w:val="005D07D9"/>
    <w:rsid w:val="005D238E"/>
    <w:rsid w:val="005D2895"/>
    <w:rsid w:val="005D3EA9"/>
    <w:rsid w:val="005D44DC"/>
    <w:rsid w:val="005D466C"/>
    <w:rsid w:val="005D5B33"/>
    <w:rsid w:val="005D63D7"/>
    <w:rsid w:val="005D6464"/>
    <w:rsid w:val="005D6C02"/>
    <w:rsid w:val="005D733B"/>
    <w:rsid w:val="005E180C"/>
    <w:rsid w:val="005E1D4B"/>
    <w:rsid w:val="005E2815"/>
    <w:rsid w:val="005E2EB3"/>
    <w:rsid w:val="005E3E9B"/>
    <w:rsid w:val="005E5415"/>
    <w:rsid w:val="005E6632"/>
    <w:rsid w:val="005F0D2E"/>
    <w:rsid w:val="005F2467"/>
    <w:rsid w:val="005F3E46"/>
    <w:rsid w:val="005F4616"/>
    <w:rsid w:val="00600D77"/>
    <w:rsid w:val="006078F5"/>
    <w:rsid w:val="00615041"/>
    <w:rsid w:val="00617A67"/>
    <w:rsid w:val="00617BEB"/>
    <w:rsid w:val="00622CF0"/>
    <w:rsid w:val="00625499"/>
    <w:rsid w:val="00626C37"/>
    <w:rsid w:val="00627948"/>
    <w:rsid w:val="006318E1"/>
    <w:rsid w:val="006332C7"/>
    <w:rsid w:val="00633DBA"/>
    <w:rsid w:val="00634856"/>
    <w:rsid w:val="00637056"/>
    <w:rsid w:val="0064120B"/>
    <w:rsid w:val="00642021"/>
    <w:rsid w:val="0064218D"/>
    <w:rsid w:val="0064322F"/>
    <w:rsid w:val="00645377"/>
    <w:rsid w:val="0064643D"/>
    <w:rsid w:val="00646954"/>
    <w:rsid w:val="006473DB"/>
    <w:rsid w:val="00647BE8"/>
    <w:rsid w:val="00651154"/>
    <w:rsid w:val="006551E0"/>
    <w:rsid w:val="00655B47"/>
    <w:rsid w:val="00655B8C"/>
    <w:rsid w:val="006575AC"/>
    <w:rsid w:val="00660A7D"/>
    <w:rsid w:val="0066108F"/>
    <w:rsid w:val="00661A4E"/>
    <w:rsid w:val="006620AD"/>
    <w:rsid w:val="00663FAD"/>
    <w:rsid w:val="00665ECF"/>
    <w:rsid w:val="0066619E"/>
    <w:rsid w:val="00667089"/>
    <w:rsid w:val="00671777"/>
    <w:rsid w:val="00671ECF"/>
    <w:rsid w:val="00672A2B"/>
    <w:rsid w:val="00672FEF"/>
    <w:rsid w:val="0068033A"/>
    <w:rsid w:val="0068173C"/>
    <w:rsid w:val="006817AF"/>
    <w:rsid w:val="006820FF"/>
    <w:rsid w:val="00683796"/>
    <w:rsid w:val="0068542B"/>
    <w:rsid w:val="006864D5"/>
    <w:rsid w:val="00686596"/>
    <w:rsid w:val="00686868"/>
    <w:rsid w:val="00687307"/>
    <w:rsid w:val="0069013E"/>
    <w:rsid w:val="00691370"/>
    <w:rsid w:val="0069195E"/>
    <w:rsid w:val="00692444"/>
    <w:rsid w:val="006945C1"/>
    <w:rsid w:val="00695A2C"/>
    <w:rsid w:val="006975E3"/>
    <w:rsid w:val="0069792B"/>
    <w:rsid w:val="00697E8F"/>
    <w:rsid w:val="006A0757"/>
    <w:rsid w:val="006A0913"/>
    <w:rsid w:val="006A230B"/>
    <w:rsid w:val="006A5708"/>
    <w:rsid w:val="006A7BD0"/>
    <w:rsid w:val="006B11E8"/>
    <w:rsid w:val="006B12D2"/>
    <w:rsid w:val="006B6E07"/>
    <w:rsid w:val="006C0438"/>
    <w:rsid w:val="006C0465"/>
    <w:rsid w:val="006C0877"/>
    <w:rsid w:val="006C09E5"/>
    <w:rsid w:val="006C1139"/>
    <w:rsid w:val="006C15D0"/>
    <w:rsid w:val="006C1ABB"/>
    <w:rsid w:val="006C2CF5"/>
    <w:rsid w:val="006C31B7"/>
    <w:rsid w:val="006C39DF"/>
    <w:rsid w:val="006C4C14"/>
    <w:rsid w:val="006C60A7"/>
    <w:rsid w:val="006C6BFF"/>
    <w:rsid w:val="006C7006"/>
    <w:rsid w:val="006D0BD2"/>
    <w:rsid w:val="006D3119"/>
    <w:rsid w:val="006D5C60"/>
    <w:rsid w:val="006D7C72"/>
    <w:rsid w:val="006E15E3"/>
    <w:rsid w:val="006E2F48"/>
    <w:rsid w:val="006E54CD"/>
    <w:rsid w:val="006E743A"/>
    <w:rsid w:val="006F0E4F"/>
    <w:rsid w:val="006F193E"/>
    <w:rsid w:val="006F1D72"/>
    <w:rsid w:val="006F62E6"/>
    <w:rsid w:val="006F6A79"/>
    <w:rsid w:val="006F794A"/>
    <w:rsid w:val="0070068D"/>
    <w:rsid w:val="00700954"/>
    <w:rsid w:val="007034D0"/>
    <w:rsid w:val="00705867"/>
    <w:rsid w:val="00706F3D"/>
    <w:rsid w:val="00707120"/>
    <w:rsid w:val="00707602"/>
    <w:rsid w:val="00710591"/>
    <w:rsid w:val="007122EA"/>
    <w:rsid w:val="007125AF"/>
    <w:rsid w:val="00714273"/>
    <w:rsid w:val="007143DA"/>
    <w:rsid w:val="00717305"/>
    <w:rsid w:val="00717A01"/>
    <w:rsid w:val="00720767"/>
    <w:rsid w:val="00722189"/>
    <w:rsid w:val="00724CEF"/>
    <w:rsid w:val="00725C97"/>
    <w:rsid w:val="007325A2"/>
    <w:rsid w:val="00732857"/>
    <w:rsid w:val="007328CF"/>
    <w:rsid w:val="00732D99"/>
    <w:rsid w:val="0073492C"/>
    <w:rsid w:val="00735526"/>
    <w:rsid w:val="007355D2"/>
    <w:rsid w:val="00740BD9"/>
    <w:rsid w:val="00742AC3"/>
    <w:rsid w:val="00742C5C"/>
    <w:rsid w:val="00743C10"/>
    <w:rsid w:val="00745483"/>
    <w:rsid w:val="00745AD8"/>
    <w:rsid w:val="00751D5F"/>
    <w:rsid w:val="007539E9"/>
    <w:rsid w:val="00753AB7"/>
    <w:rsid w:val="00754325"/>
    <w:rsid w:val="0075742A"/>
    <w:rsid w:val="00760F13"/>
    <w:rsid w:val="00761915"/>
    <w:rsid w:val="00761A82"/>
    <w:rsid w:val="00763124"/>
    <w:rsid w:val="007645FF"/>
    <w:rsid w:val="00766FB9"/>
    <w:rsid w:val="0076762A"/>
    <w:rsid w:val="0076780C"/>
    <w:rsid w:val="00772D6A"/>
    <w:rsid w:val="00773FE4"/>
    <w:rsid w:val="007745FE"/>
    <w:rsid w:val="00774BE8"/>
    <w:rsid w:val="00774E22"/>
    <w:rsid w:val="0077630F"/>
    <w:rsid w:val="00777AFE"/>
    <w:rsid w:val="00780E61"/>
    <w:rsid w:val="00781DEE"/>
    <w:rsid w:val="0078348A"/>
    <w:rsid w:val="00784FCF"/>
    <w:rsid w:val="0078567D"/>
    <w:rsid w:val="007909B3"/>
    <w:rsid w:val="007937C5"/>
    <w:rsid w:val="007A00D5"/>
    <w:rsid w:val="007A02DF"/>
    <w:rsid w:val="007A0429"/>
    <w:rsid w:val="007A106F"/>
    <w:rsid w:val="007A2498"/>
    <w:rsid w:val="007A3C20"/>
    <w:rsid w:val="007A4238"/>
    <w:rsid w:val="007A430C"/>
    <w:rsid w:val="007B4778"/>
    <w:rsid w:val="007C17FC"/>
    <w:rsid w:val="007C2155"/>
    <w:rsid w:val="007C2C4A"/>
    <w:rsid w:val="007C32BD"/>
    <w:rsid w:val="007C4CD5"/>
    <w:rsid w:val="007C52B7"/>
    <w:rsid w:val="007C58E4"/>
    <w:rsid w:val="007C7142"/>
    <w:rsid w:val="007C7AFB"/>
    <w:rsid w:val="007D01A0"/>
    <w:rsid w:val="007D04AD"/>
    <w:rsid w:val="007D4ED5"/>
    <w:rsid w:val="007D6641"/>
    <w:rsid w:val="007D7349"/>
    <w:rsid w:val="007D76C4"/>
    <w:rsid w:val="007D7FDE"/>
    <w:rsid w:val="007E0752"/>
    <w:rsid w:val="007E0D7B"/>
    <w:rsid w:val="007F2CA7"/>
    <w:rsid w:val="007F353D"/>
    <w:rsid w:val="007F3847"/>
    <w:rsid w:val="007F3975"/>
    <w:rsid w:val="007F5E32"/>
    <w:rsid w:val="007F722E"/>
    <w:rsid w:val="008004F5"/>
    <w:rsid w:val="00800D8F"/>
    <w:rsid w:val="00801956"/>
    <w:rsid w:val="00802183"/>
    <w:rsid w:val="00802F87"/>
    <w:rsid w:val="00803155"/>
    <w:rsid w:val="00811DBB"/>
    <w:rsid w:val="00812210"/>
    <w:rsid w:val="00813336"/>
    <w:rsid w:val="00815AFF"/>
    <w:rsid w:val="00816354"/>
    <w:rsid w:val="00816666"/>
    <w:rsid w:val="00817EBC"/>
    <w:rsid w:val="00820C60"/>
    <w:rsid w:val="00823DE5"/>
    <w:rsid w:val="00823EFA"/>
    <w:rsid w:val="0082604B"/>
    <w:rsid w:val="0082661B"/>
    <w:rsid w:val="00827634"/>
    <w:rsid w:val="00827916"/>
    <w:rsid w:val="00827C0D"/>
    <w:rsid w:val="00833A0C"/>
    <w:rsid w:val="00833A84"/>
    <w:rsid w:val="008344F7"/>
    <w:rsid w:val="00834D94"/>
    <w:rsid w:val="0083547E"/>
    <w:rsid w:val="00835BBC"/>
    <w:rsid w:val="008379F4"/>
    <w:rsid w:val="0084029C"/>
    <w:rsid w:val="008407EE"/>
    <w:rsid w:val="00842AB8"/>
    <w:rsid w:val="0084366E"/>
    <w:rsid w:val="00845B57"/>
    <w:rsid w:val="00846510"/>
    <w:rsid w:val="00846584"/>
    <w:rsid w:val="008473C5"/>
    <w:rsid w:val="00853079"/>
    <w:rsid w:val="00853CBC"/>
    <w:rsid w:val="00855149"/>
    <w:rsid w:val="00857F10"/>
    <w:rsid w:val="00860E74"/>
    <w:rsid w:val="00860E86"/>
    <w:rsid w:val="00862AF0"/>
    <w:rsid w:val="0086425D"/>
    <w:rsid w:val="008660BF"/>
    <w:rsid w:val="00866C9F"/>
    <w:rsid w:val="008704DD"/>
    <w:rsid w:val="008735A9"/>
    <w:rsid w:val="0087393D"/>
    <w:rsid w:val="008750A7"/>
    <w:rsid w:val="00876C88"/>
    <w:rsid w:val="008770F6"/>
    <w:rsid w:val="00881FD0"/>
    <w:rsid w:val="00882754"/>
    <w:rsid w:val="008840E8"/>
    <w:rsid w:val="00884DDB"/>
    <w:rsid w:val="0088505E"/>
    <w:rsid w:val="00885A0C"/>
    <w:rsid w:val="00886365"/>
    <w:rsid w:val="008870BF"/>
    <w:rsid w:val="00887F4C"/>
    <w:rsid w:val="00892EE4"/>
    <w:rsid w:val="00894425"/>
    <w:rsid w:val="008944F4"/>
    <w:rsid w:val="00894BC8"/>
    <w:rsid w:val="008A0C9C"/>
    <w:rsid w:val="008A184F"/>
    <w:rsid w:val="008A448E"/>
    <w:rsid w:val="008A4DF1"/>
    <w:rsid w:val="008A6651"/>
    <w:rsid w:val="008A6CD6"/>
    <w:rsid w:val="008B0864"/>
    <w:rsid w:val="008B1F2A"/>
    <w:rsid w:val="008B4AC5"/>
    <w:rsid w:val="008B4FD3"/>
    <w:rsid w:val="008B50A5"/>
    <w:rsid w:val="008B595A"/>
    <w:rsid w:val="008B6246"/>
    <w:rsid w:val="008C02D0"/>
    <w:rsid w:val="008C0A72"/>
    <w:rsid w:val="008C154C"/>
    <w:rsid w:val="008C2130"/>
    <w:rsid w:val="008C7124"/>
    <w:rsid w:val="008D1AAF"/>
    <w:rsid w:val="008D27B7"/>
    <w:rsid w:val="008D2E6F"/>
    <w:rsid w:val="008D37EC"/>
    <w:rsid w:val="008D3806"/>
    <w:rsid w:val="008D449D"/>
    <w:rsid w:val="008D51E7"/>
    <w:rsid w:val="008D7771"/>
    <w:rsid w:val="008E2CA1"/>
    <w:rsid w:val="008E2FF5"/>
    <w:rsid w:val="008E6069"/>
    <w:rsid w:val="008E6F7E"/>
    <w:rsid w:val="008F01C0"/>
    <w:rsid w:val="008F2722"/>
    <w:rsid w:val="008F3C1D"/>
    <w:rsid w:val="008F4F52"/>
    <w:rsid w:val="008F617D"/>
    <w:rsid w:val="00900152"/>
    <w:rsid w:val="00902061"/>
    <w:rsid w:val="009020FD"/>
    <w:rsid w:val="00902516"/>
    <w:rsid w:val="00902EFF"/>
    <w:rsid w:val="00904392"/>
    <w:rsid w:val="00905DCF"/>
    <w:rsid w:val="0090637D"/>
    <w:rsid w:val="0090769B"/>
    <w:rsid w:val="00907B6A"/>
    <w:rsid w:val="00911F1B"/>
    <w:rsid w:val="00912426"/>
    <w:rsid w:val="00912704"/>
    <w:rsid w:val="009130EC"/>
    <w:rsid w:val="00913D87"/>
    <w:rsid w:val="00917757"/>
    <w:rsid w:val="009208FB"/>
    <w:rsid w:val="009251D3"/>
    <w:rsid w:val="00925C4D"/>
    <w:rsid w:val="0092631F"/>
    <w:rsid w:val="009264E7"/>
    <w:rsid w:val="0092695A"/>
    <w:rsid w:val="00930FD8"/>
    <w:rsid w:val="009314EC"/>
    <w:rsid w:val="009407CD"/>
    <w:rsid w:val="00941491"/>
    <w:rsid w:val="00943EDF"/>
    <w:rsid w:val="0094475D"/>
    <w:rsid w:val="00945AD3"/>
    <w:rsid w:val="00946866"/>
    <w:rsid w:val="00947733"/>
    <w:rsid w:val="009508D9"/>
    <w:rsid w:val="00950B72"/>
    <w:rsid w:val="00950CC4"/>
    <w:rsid w:val="00951B74"/>
    <w:rsid w:val="0095365D"/>
    <w:rsid w:val="00953D66"/>
    <w:rsid w:val="00954235"/>
    <w:rsid w:val="00954845"/>
    <w:rsid w:val="009559E4"/>
    <w:rsid w:val="009576E4"/>
    <w:rsid w:val="00960BF0"/>
    <w:rsid w:val="0096486F"/>
    <w:rsid w:val="009716F2"/>
    <w:rsid w:val="00976C98"/>
    <w:rsid w:val="00985AB3"/>
    <w:rsid w:val="0098660E"/>
    <w:rsid w:val="009874E6"/>
    <w:rsid w:val="00987987"/>
    <w:rsid w:val="00991EC1"/>
    <w:rsid w:val="009921AC"/>
    <w:rsid w:val="00996593"/>
    <w:rsid w:val="00997F9E"/>
    <w:rsid w:val="009A19F3"/>
    <w:rsid w:val="009A2085"/>
    <w:rsid w:val="009A3696"/>
    <w:rsid w:val="009A4775"/>
    <w:rsid w:val="009A55CF"/>
    <w:rsid w:val="009B04AF"/>
    <w:rsid w:val="009B0755"/>
    <w:rsid w:val="009B20AD"/>
    <w:rsid w:val="009B31E6"/>
    <w:rsid w:val="009B4A71"/>
    <w:rsid w:val="009B4BFB"/>
    <w:rsid w:val="009B4C6F"/>
    <w:rsid w:val="009B5D6E"/>
    <w:rsid w:val="009B764C"/>
    <w:rsid w:val="009B7955"/>
    <w:rsid w:val="009B7B83"/>
    <w:rsid w:val="009C09FE"/>
    <w:rsid w:val="009C2B2F"/>
    <w:rsid w:val="009C5A25"/>
    <w:rsid w:val="009C6033"/>
    <w:rsid w:val="009C6D75"/>
    <w:rsid w:val="009C76E3"/>
    <w:rsid w:val="009D209A"/>
    <w:rsid w:val="009D40CA"/>
    <w:rsid w:val="009D430B"/>
    <w:rsid w:val="009D577D"/>
    <w:rsid w:val="009D5A45"/>
    <w:rsid w:val="009D5CA0"/>
    <w:rsid w:val="009D60C2"/>
    <w:rsid w:val="009D614B"/>
    <w:rsid w:val="009D68B9"/>
    <w:rsid w:val="009D7551"/>
    <w:rsid w:val="009D788B"/>
    <w:rsid w:val="009E2A58"/>
    <w:rsid w:val="009E3156"/>
    <w:rsid w:val="009E682C"/>
    <w:rsid w:val="00A00639"/>
    <w:rsid w:val="00A0221A"/>
    <w:rsid w:val="00A04837"/>
    <w:rsid w:val="00A104FC"/>
    <w:rsid w:val="00A124D9"/>
    <w:rsid w:val="00A129F3"/>
    <w:rsid w:val="00A13982"/>
    <w:rsid w:val="00A147DB"/>
    <w:rsid w:val="00A16EFD"/>
    <w:rsid w:val="00A20BC5"/>
    <w:rsid w:val="00A21054"/>
    <w:rsid w:val="00A22750"/>
    <w:rsid w:val="00A231DE"/>
    <w:rsid w:val="00A24DA0"/>
    <w:rsid w:val="00A26209"/>
    <w:rsid w:val="00A271B5"/>
    <w:rsid w:val="00A276D8"/>
    <w:rsid w:val="00A27CEB"/>
    <w:rsid w:val="00A3041C"/>
    <w:rsid w:val="00A400D9"/>
    <w:rsid w:val="00A413F7"/>
    <w:rsid w:val="00A41973"/>
    <w:rsid w:val="00A43410"/>
    <w:rsid w:val="00A44630"/>
    <w:rsid w:val="00A44E07"/>
    <w:rsid w:val="00A45128"/>
    <w:rsid w:val="00A502E5"/>
    <w:rsid w:val="00A51B13"/>
    <w:rsid w:val="00A51DC1"/>
    <w:rsid w:val="00A52030"/>
    <w:rsid w:val="00A521F4"/>
    <w:rsid w:val="00A5313B"/>
    <w:rsid w:val="00A53B08"/>
    <w:rsid w:val="00A547C5"/>
    <w:rsid w:val="00A604A4"/>
    <w:rsid w:val="00A6296B"/>
    <w:rsid w:val="00A644C5"/>
    <w:rsid w:val="00A654CA"/>
    <w:rsid w:val="00A67EC1"/>
    <w:rsid w:val="00A70962"/>
    <w:rsid w:val="00A70B4A"/>
    <w:rsid w:val="00A71977"/>
    <w:rsid w:val="00A71B9D"/>
    <w:rsid w:val="00A7325E"/>
    <w:rsid w:val="00A7345B"/>
    <w:rsid w:val="00A7352E"/>
    <w:rsid w:val="00A76613"/>
    <w:rsid w:val="00A77DC2"/>
    <w:rsid w:val="00A82F5A"/>
    <w:rsid w:val="00A83E10"/>
    <w:rsid w:val="00A84468"/>
    <w:rsid w:val="00A861D2"/>
    <w:rsid w:val="00A8649F"/>
    <w:rsid w:val="00A90165"/>
    <w:rsid w:val="00A90C4D"/>
    <w:rsid w:val="00A948E9"/>
    <w:rsid w:val="00A95F76"/>
    <w:rsid w:val="00A978EA"/>
    <w:rsid w:val="00AA2C91"/>
    <w:rsid w:val="00AA42D6"/>
    <w:rsid w:val="00AA4B9B"/>
    <w:rsid w:val="00AA7979"/>
    <w:rsid w:val="00AB33B7"/>
    <w:rsid w:val="00AB4418"/>
    <w:rsid w:val="00AB4E95"/>
    <w:rsid w:val="00AB5E04"/>
    <w:rsid w:val="00AB72BA"/>
    <w:rsid w:val="00AC18C7"/>
    <w:rsid w:val="00AC22CF"/>
    <w:rsid w:val="00AC3986"/>
    <w:rsid w:val="00AC66D2"/>
    <w:rsid w:val="00AD1582"/>
    <w:rsid w:val="00AD2999"/>
    <w:rsid w:val="00AD3812"/>
    <w:rsid w:val="00AD4377"/>
    <w:rsid w:val="00AD4F26"/>
    <w:rsid w:val="00AD5BB6"/>
    <w:rsid w:val="00AD6880"/>
    <w:rsid w:val="00AE068C"/>
    <w:rsid w:val="00AE0D89"/>
    <w:rsid w:val="00AE1C32"/>
    <w:rsid w:val="00AE27A6"/>
    <w:rsid w:val="00AE3F60"/>
    <w:rsid w:val="00AE553B"/>
    <w:rsid w:val="00AE5E67"/>
    <w:rsid w:val="00AE779F"/>
    <w:rsid w:val="00AF015F"/>
    <w:rsid w:val="00AF09F9"/>
    <w:rsid w:val="00AF162A"/>
    <w:rsid w:val="00AF3096"/>
    <w:rsid w:val="00AF4665"/>
    <w:rsid w:val="00AF5E0B"/>
    <w:rsid w:val="00AF6C57"/>
    <w:rsid w:val="00AF6EFE"/>
    <w:rsid w:val="00B01809"/>
    <w:rsid w:val="00B01E6B"/>
    <w:rsid w:val="00B0283E"/>
    <w:rsid w:val="00B02BDD"/>
    <w:rsid w:val="00B033F4"/>
    <w:rsid w:val="00B04FEC"/>
    <w:rsid w:val="00B0688B"/>
    <w:rsid w:val="00B10786"/>
    <w:rsid w:val="00B10909"/>
    <w:rsid w:val="00B10F10"/>
    <w:rsid w:val="00B11331"/>
    <w:rsid w:val="00B14433"/>
    <w:rsid w:val="00B16D1D"/>
    <w:rsid w:val="00B20494"/>
    <w:rsid w:val="00B226CD"/>
    <w:rsid w:val="00B2336A"/>
    <w:rsid w:val="00B234AD"/>
    <w:rsid w:val="00B36132"/>
    <w:rsid w:val="00B3617A"/>
    <w:rsid w:val="00B36214"/>
    <w:rsid w:val="00B36E89"/>
    <w:rsid w:val="00B44ADE"/>
    <w:rsid w:val="00B453A5"/>
    <w:rsid w:val="00B45A8F"/>
    <w:rsid w:val="00B50EDD"/>
    <w:rsid w:val="00B531DA"/>
    <w:rsid w:val="00B55B9F"/>
    <w:rsid w:val="00B570D1"/>
    <w:rsid w:val="00B607A0"/>
    <w:rsid w:val="00B61B79"/>
    <w:rsid w:val="00B61D96"/>
    <w:rsid w:val="00B61F69"/>
    <w:rsid w:val="00B623D5"/>
    <w:rsid w:val="00B62A94"/>
    <w:rsid w:val="00B62B0B"/>
    <w:rsid w:val="00B6354C"/>
    <w:rsid w:val="00B635C0"/>
    <w:rsid w:val="00B639AE"/>
    <w:rsid w:val="00B63BC5"/>
    <w:rsid w:val="00B70FEA"/>
    <w:rsid w:val="00B73F50"/>
    <w:rsid w:val="00B73F56"/>
    <w:rsid w:val="00B74770"/>
    <w:rsid w:val="00B7692B"/>
    <w:rsid w:val="00B772A4"/>
    <w:rsid w:val="00B80B06"/>
    <w:rsid w:val="00B82E10"/>
    <w:rsid w:val="00B85C21"/>
    <w:rsid w:val="00B85F87"/>
    <w:rsid w:val="00B86C71"/>
    <w:rsid w:val="00B87925"/>
    <w:rsid w:val="00B87C77"/>
    <w:rsid w:val="00BA1CE0"/>
    <w:rsid w:val="00BA20BF"/>
    <w:rsid w:val="00BA3DCF"/>
    <w:rsid w:val="00BA72B1"/>
    <w:rsid w:val="00BB1F54"/>
    <w:rsid w:val="00BB3C65"/>
    <w:rsid w:val="00BB47D6"/>
    <w:rsid w:val="00BB4BB2"/>
    <w:rsid w:val="00BC0290"/>
    <w:rsid w:val="00BC1675"/>
    <w:rsid w:val="00BC1AA8"/>
    <w:rsid w:val="00BC3558"/>
    <w:rsid w:val="00BC427A"/>
    <w:rsid w:val="00BC4D62"/>
    <w:rsid w:val="00BC5D13"/>
    <w:rsid w:val="00BC62BA"/>
    <w:rsid w:val="00BC7770"/>
    <w:rsid w:val="00BD2328"/>
    <w:rsid w:val="00BD275A"/>
    <w:rsid w:val="00BD2D08"/>
    <w:rsid w:val="00BD2DA1"/>
    <w:rsid w:val="00BD46C6"/>
    <w:rsid w:val="00BD4F67"/>
    <w:rsid w:val="00BD5B10"/>
    <w:rsid w:val="00BD6F03"/>
    <w:rsid w:val="00BD79F2"/>
    <w:rsid w:val="00BE052F"/>
    <w:rsid w:val="00BE0F84"/>
    <w:rsid w:val="00BE269D"/>
    <w:rsid w:val="00BE2C7E"/>
    <w:rsid w:val="00BE4D50"/>
    <w:rsid w:val="00BE681E"/>
    <w:rsid w:val="00BF011D"/>
    <w:rsid w:val="00BF0E04"/>
    <w:rsid w:val="00BF0F38"/>
    <w:rsid w:val="00BF14F4"/>
    <w:rsid w:val="00BF15FE"/>
    <w:rsid w:val="00BF1D74"/>
    <w:rsid w:val="00BF28A9"/>
    <w:rsid w:val="00BF332E"/>
    <w:rsid w:val="00BF3780"/>
    <w:rsid w:val="00BF3E41"/>
    <w:rsid w:val="00BF54EF"/>
    <w:rsid w:val="00BF7AFA"/>
    <w:rsid w:val="00C00EC9"/>
    <w:rsid w:val="00C016BD"/>
    <w:rsid w:val="00C02059"/>
    <w:rsid w:val="00C0250F"/>
    <w:rsid w:val="00C049EB"/>
    <w:rsid w:val="00C0692C"/>
    <w:rsid w:val="00C070B3"/>
    <w:rsid w:val="00C077F1"/>
    <w:rsid w:val="00C12EDB"/>
    <w:rsid w:val="00C13086"/>
    <w:rsid w:val="00C166F9"/>
    <w:rsid w:val="00C17A37"/>
    <w:rsid w:val="00C21058"/>
    <w:rsid w:val="00C21104"/>
    <w:rsid w:val="00C24351"/>
    <w:rsid w:val="00C2764E"/>
    <w:rsid w:val="00C30E83"/>
    <w:rsid w:val="00C334F9"/>
    <w:rsid w:val="00C35BF2"/>
    <w:rsid w:val="00C3731B"/>
    <w:rsid w:val="00C374B5"/>
    <w:rsid w:val="00C374C9"/>
    <w:rsid w:val="00C37D45"/>
    <w:rsid w:val="00C40D94"/>
    <w:rsid w:val="00C429E3"/>
    <w:rsid w:val="00C42A4D"/>
    <w:rsid w:val="00C476FD"/>
    <w:rsid w:val="00C51C29"/>
    <w:rsid w:val="00C5433E"/>
    <w:rsid w:val="00C54C3D"/>
    <w:rsid w:val="00C55103"/>
    <w:rsid w:val="00C553B5"/>
    <w:rsid w:val="00C60EE9"/>
    <w:rsid w:val="00C62F85"/>
    <w:rsid w:val="00C6435B"/>
    <w:rsid w:val="00C64827"/>
    <w:rsid w:val="00C65929"/>
    <w:rsid w:val="00C67698"/>
    <w:rsid w:val="00C701B3"/>
    <w:rsid w:val="00C706A5"/>
    <w:rsid w:val="00C71138"/>
    <w:rsid w:val="00C72080"/>
    <w:rsid w:val="00C72318"/>
    <w:rsid w:val="00C744C3"/>
    <w:rsid w:val="00C76249"/>
    <w:rsid w:val="00C77FF2"/>
    <w:rsid w:val="00C80E65"/>
    <w:rsid w:val="00C814E3"/>
    <w:rsid w:val="00C82FA2"/>
    <w:rsid w:val="00C85F79"/>
    <w:rsid w:val="00C91677"/>
    <w:rsid w:val="00C93FD8"/>
    <w:rsid w:val="00C94E38"/>
    <w:rsid w:val="00C94F63"/>
    <w:rsid w:val="00C976F1"/>
    <w:rsid w:val="00CA49CC"/>
    <w:rsid w:val="00CA6364"/>
    <w:rsid w:val="00CA6F5A"/>
    <w:rsid w:val="00CA71DA"/>
    <w:rsid w:val="00CB1696"/>
    <w:rsid w:val="00CB2C1A"/>
    <w:rsid w:val="00CB45B8"/>
    <w:rsid w:val="00CB592A"/>
    <w:rsid w:val="00CB6356"/>
    <w:rsid w:val="00CC30D7"/>
    <w:rsid w:val="00CC3DB6"/>
    <w:rsid w:val="00CC4490"/>
    <w:rsid w:val="00CC5917"/>
    <w:rsid w:val="00CC665B"/>
    <w:rsid w:val="00CC77E4"/>
    <w:rsid w:val="00CD00FA"/>
    <w:rsid w:val="00CD1E97"/>
    <w:rsid w:val="00CD259B"/>
    <w:rsid w:val="00CD7B38"/>
    <w:rsid w:val="00CE0A3F"/>
    <w:rsid w:val="00CE5396"/>
    <w:rsid w:val="00CE555C"/>
    <w:rsid w:val="00CF0163"/>
    <w:rsid w:val="00CF09A5"/>
    <w:rsid w:val="00CF3541"/>
    <w:rsid w:val="00CF38B5"/>
    <w:rsid w:val="00CF490A"/>
    <w:rsid w:val="00CF5E47"/>
    <w:rsid w:val="00CF6BB4"/>
    <w:rsid w:val="00CF6E6C"/>
    <w:rsid w:val="00CF7444"/>
    <w:rsid w:val="00D002B7"/>
    <w:rsid w:val="00D00FB0"/>
    <w:rsid w:val="00D035C0"/>
    <w:rsid w:val="00D039E6"/>
    <w:rsid w:val="00D03E2E"/>
    <w:rsid w:val="00D05527"/>
    <w:rsid w:val="00D05E8E"/>
    <w:rsid w:val="00D063DF"/>
    <w:rsid w:val="00D0784E"/>
    <w:rsid w:val="00D1034E"/>
    <w:rsid w:val="00D1059C"/>
    <w:rsid w:val="00D10EF1"/>
    <w:rsid w:val="00D1110F"/>
    <w:rsid w:val="00D113DE"/>
    <w:rsid w:val="00D11FA6"/>
    <w:rsid w:val="00D12F92"/>
    <w:rsid w:val="00D138F5"/>
    <w:rsid w:val="00D13B8F"/>
    <w:rsid w:val="00D17130"/>
    <w:rsid w:val="00D17758"/>
    <w:rsid w:val="00D21428"/>
    <w:rsid w:val="00D23F6C"/>
    <w:rsid w:val="00D25B22"/>
    <w:rsid w:val="00D268A1"/>
    <w:rsid w:val="00D26D39"/>
    <w:rsid w:val="00D302B4"/>
    <w:rsid w:val="00D31987"/>
    <w:rsid w:val="00D33B2C"/>
    <w:rsid w:val="00D33BC0"/>
    <w:rsid w:val="00D35B9B"/>
    <w:rsid w:val="00D37DFB"/>
    <w:rsid w:val="00D40078"/>
    <w:rsid w:val="00D4022D"/>
    <w:rsid w:val="00D414F5"/>
    <w:rsid w:val="00D454E7"/>
    <w:rsid w:val="00D46521"/>
    <w:rsid w:val="00D53275"/>
    <w:rsid w:val="00D54358"/>
    <w:rsid w:val="00D553C6"/>
    <w:rsid w:val="00D5577E"/>
    <w:rsid w:val="00D567AA"/>
    <w:rsid w:val="00D604DA"/>
    <w:rsid w:val="00D62B1A"/>
    <w:rsid w:val="00D6316F"/>
    <w:rsid w:val="00D63E9A"/>
    <w:rsid w:val="00D66AE3"/>
    <w:rsid w:val="00D67390"/>
    <w:rsid w:val="00D673AA"/>
    <w:rsid w:val="00D7152A"/>
    <w:rsid w:val="00D7233D"/>
    <w:rsid w:val="00D7524D"/>
    <w:rsid w:val="00D76CA5"/>
    <w:rsid w:val="00D77DC1"/>
    <w:rsid w:val="00D77E85"/>
    <w:rsid w:val="00D80A2B"/>
    <w:rsid w:val="00D84084"/>
    <w:rsid w:val="00D85054"/>
    <w:rsid w:val="00D851B0"/>
    <w:rsid w:val="00D90594"/>
    <w:rsid w:val="00D90AA2"/>
    <w:rsid w:val="00D93334"/>
    <w:rsid w:val="00D93A63"/>
    <w:rsid w:val="00D93D73"/>
    <w:rsid w:val="00D9452B"/>
    <w:rsid w:val="00D94ADC"/>
    <w:rsid w:val="00D977C8"/>
    <w:rsid w:val="00DA3198"/>
    <w:rsid w:val="00DA3E9A"/>
    <w:rsid w:val="00DA7137"/>
    <w:rsid w:val="00DA7D1B"/>
    <w:rsid w:val="00DB03ED"/>
    <w:rsid w:val="00DB06E9"/>
    <w:rsid w:val="00DB181D"/>
    <w:rsid w:val="00DB1B17"/>
    <w:rsid w:val="00DB1EDB"/>
    <w:rsid w:val="00DB210F"/>
    <w:rsid w:val="00DB220A"/>
    <w:rsid w:val="00DB5B40"/>
    <w:rsid w:val="00DC1302"/>
    <w:rsid w:val="00DC13E1"/>
    <w:rsid w:val="00DC2397"/>
    <w:rsid w:val="00DC4B35"/>
    <w:rsid w:val="00DC676B"/>
    <w:rsid w:val="00DD2648"/>
    <w:rsid w:val="00DD79E3"/>
    <w:rsid w:val="00DE215D"/>
    <w:rsid w:val="00DE5A78"/>
    <w:rsid w:val="00DE7FFC"/>
    <w:rsid w:val="00DF0119"/>
    <w:rsid w:val="00DF171F"/>
    <w:rsid w:val="00DF1AB3"/>
    <w:rsid w:val="00DF1AB5"/>
    <w:rsid w:val="00E00CDF"/>
    <w:rsid w:val="00E01521"/>
    <w:rsid w:val="00E016C4"/>
    <w:rsid w:val="00E0246A"/>
    <w:rsid w:val="00E02A34"/>
    <w:rsid w:val="00E040F3"/>
    <w:rsid w:val="00E0420B"/>
    <w:rsid w:val="00E0719F"/>
    <w:rsid w:val="00E11853"/>
    <w:rsid w:val="00E11BB7"/>
    <w:rsid w:val="00E11EBD"/>
    <w:rsid w:val="00E1447C"/>
    <w:rsid w:val="00E1484A"/>
    <w:rsid w:val="00E14DE9"/>
    <w:rsid w:val="00E16EEC"/>
    <w:rsid w:val="00E1715A"/>
    <w:rsid w:val="00E204D1"/>
    <w:rsid w:val="00E20BF5"/>
    <w:rsid w:val="00E234D4"/>
    <w:rsid w:val="00E25030"/>
    <w:rsid w:val="00E265E4"/>
    <w:rsid w:val="00E3029E"/>
    <w:rsid w:val="00E30F1C"/>
    <w:rsid w:val="00E32127"/>
    <w:rsid w:val="00E33A89"/>
    <w:rsid w:val="00E34506"/>
    <w:rsid w:val="00E345E9"/>
    <w:rsid w:val="00E36F48"/>
    <w:rsid w:val="00E41784"/>
    <w:rsid w:val="00E41E05"/>
    <w:rsid w:val="00E41E0C"/>
    <w:rsid w:val="00E42A8D"/>
    <w:rsid w:val="00E44128"/>
    <w:rsid w:val="00E443E4"/>
    <w:rsid w:val="00E45315"/>
    <w:rsid w:val="00E461FA"/>
    <w:rsid w:val="00E477A6"/>
    <w:rsid w:val="00E47D6F"/>
    <w:rsid w:val="00E50D58"/>
    <w:rsid w:val="00E5224B"/>
    <w:rsid w:val="00E55C95"/>
    <w:rsid w:val="00E56009"/>
    <w:rsid w:val="00E57400"/>
    <w:rsid w:val="00E60F25"/>
    <w:rsid w:val="00E61B27"/>
    <w:rsid w:val="00E640FA"/>
    <w:rsid w:val="00E6458A"/>
    <w:rsid w:val="00E66872"/>
    <w:rsid w:val="00E67EE4"/>
    <w:rsid w:val="00E7109F"/>
    <w:rsid w:val="00E729D8"/>
    <w:rsid w:val="00E85462"/>
    <w:rsid w:val="00E85929"/>
    <w:rsid w:val="00E870DB"/>
    <w:rsid w:val="00E87D24"/>
    <w:rsid w:val="00E905BD"/>
    <w:rsid w:val="00E9062C"/>
    <w:rsid w:val="00E92BE9"/>
    <w:rsid w:val="00E92F9F"/>
    <w:rsid w:val="00E9473C"/>
    <w:rsid w:val="00E94AC2"/>
    <w:rsid w:val="00E95525"/>
    <w:rsid w:val="00E96060"/>
    <w:rsid w:val="00E9702D"/>
    <w:rsid w:val="00E974FA"/>
    <w:rsid w:val="00EA1EEC"/>
    <w:rsid w:val="00EA205A"/>
    <w:rsid w:val="00EA3C3C"/>
    <w:rsid w:val="00EA4C22"/>
    <w:rsid w:val="00EA57D0"/>
    <w:rsid w:val="00EB078A"/>
    <w:rsid w:val="00EB284E"/>
    <w:rsid w:val="00EB2FF9"/>
    <w:rsid w:val="00EB41C4"/>
    <w:rsid w:val="00EB5E7C"/>
    <w:rsid w:val="00EB676E"/>
    <w:rsid w:val="00EB68B6"/>
    <w:rsid w:val="00EB6BE8"/>
    <w:rsid w:val="00EB6C77"/>
    <w:rsid w:val="00EC04CA"/>
    <w:rsid w:val="00EC42FA"/>
    <w:rsid w:val="00EC5534"/>
    <w:rsid w:val="00EC578A"/>
    <w:rsid w:val="00EC6555"/>
    <w:rsid w:val="00EC75B2"/>
    <w:rsid w:val="00EC7956"/>
    <w:rsid w:val="00ED0791"/>
    <w:rsid w:val="00ED0ED5"/>
    <w:rsid w:val="00ED2CEA"/>
    <w:rsid w:val="00ED3373"/>
    <w:rsid w:val="00ED602D"/>
    <w:rsid w:val="00EE0397"/>
    <w:rsid w:val="00EE0655"/>
    <w:rsid w:val="00EE1923"/>
    <w:rsid w:val="00EE3490"/>
    <w:rsid w:val="00EE571A"/>
    <w:rsid w:val="00EE7955"/>
    <w:rsid w:val="00EF0475"/>
    <w:rsid w:val="00EF1E54"/>
    <w:rsid w:val="00EF24E6"/>
    <w:rsid w:val="00EF3BCC"/>
    <w:rsid w:val="00EF4D2C"/>
    <w:rsid w:val="00EF772F"/>
    <w:rsid w:val="00F04758"/>
    <w:rsid w:val="00F06A6A"/>
    <w:rsid w:val="00F06B39"/>
    <w:rsid w:val="00F06F28"/>
    <w:rsid w:val="00F07166"/>
    <w:rsid w:val="00F078CD"/>
    <w:rsid w:val="00F10829"/>
    <w:rsid w:val="00F109BA"/>
    <w:rsid w:val="00F11462"/>
    <w:rsid w:val="00F119B5"/>
    <w:rsid w:val="00F20E5B"/>
    <w:rsid w:val="00F21FD0"/>
    <w:rsid w:val="00F23039"/>
    <w:rsid w:val="00F24E95"/>
    <w:rsid w:val="00F35575"/>
    <w:rsid w:val="00F35DBC"/>
    <w:rsid w:val="00F37422"/>
    <w:rsid w:val="00F409B1"/>
    <w:rsid w:val="00F40FCE"/>
    <w:rsid w:val="00F40FEE"/>
    <w:rsid w:val="00F44BD0"/>
    <w:rsid w:val="00F4574D"/>
    <w:rsid w:val="00F50003"/>
    <w:rsid w:val="00F5423D"/>
    <w:rsid w:val="00F6021D"/>
    <w:rsid w:val="00F60885"/>
    <w:rsid w:val="00F625E1"/>
    <w:rsid w:val="00F62B6E"/>
    <w:rsid w:val="00F65398"/>
    <w:rsid w:val="00F654BE"/>
    <w:rsid w:val="00F65FAF"/>
    <w:rsid w:val="00F66E42"/>
    <w:rsid w:val="00F71ED3"/>
    <w:rsid w:val="00F733C9"/>
    <w:rsid w:val="00F752D4"/>
    <w:rsid w:val="00F80F35"/>
    <w:rsid w:val="00F81337"/>
    <w:rsid w:val="00F83EC5"/>
    <w:rsid w:val="00F8477B"/>
    <w:rsid w:val="00F86A23"/>
    <w:rsid w:val="00F86EAC"/>
    <w:rsid w:val="00F86FF5"/>
    <w:rsid w:val="00F90C09"/>
    <w:rsid w:val="00F90E31"/>
    <w:rsid w:val="00F93158"/>
    <w:rsid w:val="00F9424E"/>
    <w:rsid w:val="00F95AB9"/>
    <w:rsid w:val="00F96227"/>
    <w:rsid w:val="00FA12E0"/>
    <w:rsid w:val="00FA1489"/>
    <w:rsid w:val="00FA174F"/>
    <w:rsid w:val="00FA2E00"/>
    <w:rsid w:val="00FA33E5"/>
    <w:rsid w:val="00FA37C6"/>
    <w:rsid w:val="00FA5F0F"/>
    <w:rsid w:val="00FB444E"/>
    <w:rsid w:val="00FB52FD"/>
    <w:rsid w:val="00FB5856"/>
    <w:rsid w:val="00FB7CD3"/>
    <w:rsid w:val="00FC12D6"/>
    <w:rsid w:val="00FC2160"/>
    <w:rsid w:val="00FC2218"/>
    <w:rsid w:val="00FC2BA0"/>
    <w:rsid w:val="00FC336F"/>
    <w:rsid w:val="00FC370A"/>
    <w:rsid w:val="00FC4BB0"/>
    <w:rsid w:val="00FC4E57"/>
    <w:rsid w:val="00FC7126"/>
    <w:rsid w:val="00FC7143"/>
    <w:rsid w:val="00FD2441"/>
    <w:rsid w:val="00FD3616"/>
    <w:rsid w:val="00FD44AB"/>
    <w:rsid w:val="00FD4A4B"/>
    <w:rsid w:val="00FD511B"/>
    <w:rsid w:val="00FD5C41"/>
    <w:rsid w:val="00FD5E2D"/>
    <w:rsid w:val="00FD7AD8"/>
    <w:rsid w:val="00FD7BFC"/>
    <w:rsid w:val="00FD7CAB"/>
    <w:rsid w:val="00FE0FCA"/>
    <w:rsid w:val="00FE1AEA"/>
    <w:rsid w:val="00FE20AE"/>
    <w:rsid w:val="00FE3CBE"/>
    <w:rsid w:val="00FE4BDD"/>
    <w:rsid w:val="00FE639A"/>
    <w:rsid w:val="00FE6B1B"/>
    <w:rsid w:val="00FF1F1D"/>
    <w:rsid w:val="00FF2FF6"/>
    <w:rsid w:val="00FF31FB"/>
    <w:rsid w:val="00FF39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EC5"/>
    <w:pPr>
      <w:widowControl w:val="0"/>
      <w:autoSpaceDE w:val="0"/>
      <w:autoSpaceDN w:val="0"/>
      <w:adjustRightInd w:val="0"/>
    </w:pPr>
    <w:rPr>
      <w:rFonts w:ascii="Courier New" w:hAnsi="Courier New" w:cs="Courier New"/>
      <w:sz w:val="24"/>
      <w:szCs w:val="24"/>
    </w:rPr>
  </w:style>
  <w:style w:type="paragraph" w:styleId="Titre1">
    <w:name w:val="heading 1"/>
    <w:basedOn w:val="Normal"/>
    <w:next w:val="Normal"/>
    <w:link w:val="Titre1Car"/>
    <w:uiPriority w:val="9"/>
    <w:qFormat/>
    <w:rsid w:val="00F83EC5"/>
    <w:pPr>
      <w:keepNext/>
      <w:spacing w:before="240" w:after="60"/>
      <w:outlineLvl w:val="0"/>
    </w:pPr>
    <w:rPr>
      <w:rFonts w:ascii="Times New Roman" w:hAnsi="Times New Roman" w:cs="Times New Roman"/>
      <w:b/>
      <w:bCs/>
      <w:kern w:val="32"/>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3EC5"/>
    <w:rPr>
      <w:b/>
      <w:bCs/>
      <w:kern w:val="32"/>
      <w:sz w:val="28"/>
      <w:szCs w:val="32"/>
    </w:rPr>
  </w:style>
  <w:style w:type="paragraph" w:styleId="TM1">
    <w:name w:val="toc 1"/>
    <w:basedOn w:val="Normal"/>
    <w:next w:val="Normal"/>
    <w:autoRedefine/>
    <w:uiPriority w:val="39"/>
    <w:qFormat/>
    <w:rsid w:val="00F83EC5"/>
    <w:pPr>
      <w:spacing w:before="120"/>
    </w:pPr>
    <w:rPr>
      <w:rFonts w:ascii="Calibri" w:hAnsi="Calibri" w:cs="Times New Roman"/>
      <w:b/>
      <w:bCs/>
      <w:i/>
      <w:iCs/>
      <w:szCs w:val="28"/>
    </w:rPr>
  </w:style>
  <w:style w:type="paragraph" w:styleId="TM2">
    <w:name w:val="toc 2"/>
    <w:basedOn w:val="Normal"/>
    <w:next w:val="Normal"/>
    <w:autoRedefine/>
    <w:uiPriority w:val="39"/>
    <w:semiHidden/>
    <w:qFormat/>
    <w:rsid w:val="00F83EC5"/>
    <w:pPr>
      <w:spacing w:before="120"/>
      <w:ind w:left="240"/>
    </w:pPr>
    <w:rPr>
      <w:rFonts w:ascii="Calibri" w:hAnsi="Calibri" w:cs="Times New Roman"/>
      <w:b/>
      <w:bCs/>
      <w:sz w:val="22"/>
      <w:szCs w:val="26"/>
    </w:rPr>
  </w:style>
  <w:style w:type="paragraph" w:styleId="TM3">
    <w:name w:val="toc 3"/>
    <w:basedOn w:val="Normal"/>
    <w:next w:val="Normal"/>
    <w:autoRedefine/>
    <w:uiPriority w:val="39"/>
    <w:semiHidden/>
    <w:qFormat/>
    <w:rsid w:val="00F83EC5"/>
    <w:pPr>
      <w:ind w:left="480"/>
    </w:pPr>
    <w:rPr>
      <w:rFonts w:ascii="Calibri" w:hAnsi="Calibri" w:cs="Times New Roman"/>
      <w:sz w:val="20"/>
    </w:rPr>
  </w:style>
  <w:style w:type="paragraph" w:styleId="Lgende">
    <w:name w:val="caption"/>
    <w:aliases w:val="Titre1+Rouge"/>
    <w:basedOn w:val="Normal"/>
    <w:next w:val="Normal"/>
    <w:qFormat/>
    <w:rsid w:val="00F83EC5"/>
    <w:rPr>
      <w:rFonts w:cs="Times New Roman"/>
    </w:rPr>
  </w:style>
  <w:style w:type="paragraph" w:styleId="Sansinterligne">
    <w:name w:val="No Spacing"/>
    <w:link w:val="SansinterligneCar"/>
    <w:uiPriority w:val="1"/>
    <w:qFormat/>
    <w:rsid w:val="00F83EC5"/>
    <w:rPr>
      <w:rFonts w:ascii="Calibri" w:hAnsi="Calibri" w:cs="Arial"/>
      <w:sz w:val="22"/>
      <w:szCs w:val="22"/>
      <w:lang w:eastAsia="en-US"/>
    </w:rPr>
  </w:style>
  <w:style w:type="character" w:customStyle="1" w:styleId="SansinterligneCar">
    <w:name w:val="Sans interligne Car"/>
    <w:basedOn w:val="Policepardfaut"/>
    <w:link w:val="Sansinterligne"/>
    <w:uiPriority w:val="1"/>
    <w:rsid w:val="00F83EC5"/>
    <w:rPr>
      <w:rFonts w:ascii="Calibri" w:hAnsi="Calibri" w:cs="Arial"/>
      <w:sz w:val="22"/>
      <w:szCs w:val="22"/>
      <w:lang w:val="fr-FR" w:eastAsia="en-US" w:bidi="ar-SA"/>
    </w:rPr>
  </w:style>
  <w:style w:type="paragraph" w:styleId="En-ttedetabledesmatires">
    <w:name w:val="TOC Heading"/>
    <w:basedOn w:val="Titre1"/>
    <w:next w:val="Normal"/>
    <w:uiPriority w:val="39"/>
    <w:semiHidden/>
    <w:unhideWhenUsed/>
    <w:qFormat/>
    <w:rsid w:val="00F83EC5"/>
    <w:pPr>
      <w:keepLines/>
      <w:widowControl/>
      <w:autoSpaceDE/>
      <w:autoSpaceDN/>
      <w:adjustRightInd/>
      <w:spacing w:before="480" w:after="0" w:line="276" w:lineRule="auto"/>
      <w:outlineLvl w:val="9"/>
    </w:pPr>
    <w:rPr>
      <w:rFonts w:ascii="Cambria" w:hAnsi="Cambria"/>
      <w:color w:val="365F91"/>
      <w:kern w:val="0"/>
      <w:szCs w:val="28"/>
      <w:lang w:eastAsia="en-US"/>
    </w:rPr>
  </w:style>
  <w:style w:type="paragraph" w:customStyle="1" w:styleId="titre2">
    <w:name w:val="titre2"/>
    <w:basedOn w:val="Normal"/>
    <w:qFormat/>
    <w:rsid w:val="00F83EC5"/>
    <w:pPr>
      <w:tabs>
        <w:tab w:val="left" w:pos="-720"/>
      </w:tabs>
      <w:spacing w:line="300" w:lineRule="atLeast"/>
      <w:jc w:val="both"/>
    </w:pPr>
    <w:rPr>
      <w:rFonts w:ascii="Univers" w:hAnsi="Univers" w:cs="Univers"/>
      <w:b/>
      <w:bCs/>
      <w:spacing w:val="-3"/>
    </w:rPr>
  </w:style>
  <w:style w:type="paragraph" w:customStyle="1" w:styleId="titre3">
    <w:name w:val="titre3"/>
    <w:basedOn w:val="Normal"/>
    <w:qFormat/>
    <w:rsid w:val="00F83EC5"/>
    <w:pPr>
      <w:tabs>
        <w:tab w:val="left" w:pos="-720"/>
      </w:tabs>
      <w:spacing w:line="300" w:lineRule="atLeast"/>
      <w:jc w:val="both"/>
    </w:pPr>
    <w:rPr>
      <w:rFonts w:ascii="Univers" w:hAnsi="Univers" w:cs="Univers"/>
      <w:b/>
      <w:bCs/>
      <w:spacing w:val="-3"/>
    </w:rPr>
  </w:style>
  <w:style w:type="paragraph" w:styleId="Textedebulles">
    <w:name w:val="Balloon Text"/>
    <w:basedOn w:val="Normal"/>
    <w:link w:val="TextedebullesCar"/>
    <w:uiPriority w:val="99"/>
    <w:semiHidden/>
    <w:unhideWhenUsed/>
    <w:rsid w:val="00D9452B"/>
    <w:rPr>
      <w:rFonts w:ascii="Tahoma" w:hAnsi="Tahoma" w:cs="Tahoma"/>
      <w:sz w:val="16"/>
      <w:szCs w:val="16"/>
    </w:rPr>
  </w:style>
  <w:style w:type="character" w:customStyle="1" w:styleId="TextedebullesCar">
    <w:name w:val="Texte de bulles Car"/>
    <w:basedOn w:val="Policepardfaut"/>
    <w:link w:val="Textedebulles"/>
    <w:uiPriority w:val="99"/>
    <w:semiHidden/>
    <w:rsid w:val="00D9452B"/>
    <w:rPr>
      <w:rFonts w:ascii="Tahoma" w:hAnsi="Tahoma" w:cs="Tahoma"/>
      <w:sz w:val="16"/>
      <w:szCs w:val="16"/>
    </w:rPr>
  </w:style>
  <w:style w:type="paragraph" w:styleId="Paragraphedeliste">
    <w:name w:val="List Paragraph"/>
    <w:basedOn w:val="Normal"/>
    <w:uiPriority w:val="34"/>
    <w:qFormat/>
    <w:rsid w:val="005D6C02"/>
    <w:pPr>
      <w:widowControl/>
      <w:autoSpaceDE/>
      <w:autoSpaceDN/>
      <w:adjustRightInd/>
      <w:spacing w:after="200" w:line="276" w:lineRule="auto"/>
      <w:ind w:left="720"/>
      <w:contextualSpacing/>
    </w:pPr>
    <w:rPr>
      <w:rFonts w:ascii="Calibri" w:eastAsia="Calibri" w:hAnsi="Calibri" w:cs="Arial"/>
      <w:sz w:val="22"/>
      <w:szCs w:val="22"/>
      <w:lang w:eastAsia="en-US"/>
    </w:rPr>
  </w:style>
  <w:style w:type="character" w:styleId="Lienhypertexte">
    <w:name w:val="Hyperlink"/>
    <w:basedOn w:val="Policepardfaut"/>
    <w:uiPriority w:val="99"/>
    <w:unhideWhenUsed/>
    <w:rsid w:val="005D6C02"/>
    <w:rPr>
      <w:color w:val="0000FF"/>
      <w:u w:val="single"/>
    </w:rPr>
  </w:style>
  <w:style w:type="table" w:styleId="Grilledutableau">
    <w:name w:val="Table Grid"/>
    <w:basedOn w:val="TableauNormal"/>
    <w:uiPriority w:val="59"/>
    <w:rsid w:val="005D6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centuation">
    <w:name w:val="Emphasis"/>
    <w:basedOn w:val="Policepardfaut"/>
    <w:uiPriority w:val="20"/>
    <w:qFormat/>
    <w:rsid w:val="00E9062C"/>
    <w:rPr>
      <w:i/>
      <w:iCs/>
    </w:rPr>
  </w:style>
  <w:style w:type="paragraph" w:styleId="En-tte">
    <w:name w:val="header"/>
    <w:basedOn w:val="Normal"/>
    <w:link w:val="En-tteCar"/>
    <w:uiPriority w:val="99"/>
    <w:semiHidden/>
    <w:unhideWhenUsed/>
    <w:rsid w:val="00460705"/>
    <w:pPr>
      <w:tabs>
        <w:tab w:val="center" w:pos="4536"/>
        <w:tab w:val="right" w:pos="9072"/>
      </w:tabs>
    </w:pPr>
  </w:style>
  <w:style w:type="character" w:customStyle="1" w:styleId="En-tteCar">
    <w:name w:val="En-tête Car"/>
    <w:basedOn w:val="Policepardfaut"/>
    <w:link w:val="En-tte"/>
    <w:uiPriority w:val="99"/>
    <w:semiHidden/>
    <w:rsid w:val="00460705"/>
    <w:rPr>
      <w:rFonts w:ascii="Courier New" w:hAnsi="Courier New" w:cs="Courier New"/>
      <w:sz w:val="24"/>
      <w:szCs w:val="24"/>
    </w:rPr>
  </w:style>
  <w:style w:type="paragraph" w:styleId="Pieddepage">
    <w:name w:val="footer"/>
    <w:basedOn w:val="Normal"/>
    <w:link w:val="PieddepageCar"/>
    <w:uiPriority w:val="99"/>
    <w:unhideWhenUsed/>
    <w:rsid w:val="00460705"/>
    <w:pPr>
      <w:tabs>
        <w:tab w:val="center" w:pos="4536"/>
        <w:tab w:val="right" w:pos="9072"/>
      </w:tabs>
    </w:pPr>
  </w:style>
  <w:style w:type="character" w:customStyle="1" w:styleId="PieddepageCar">
    <w:name w:val="Pied de page Car"/>
    <w:basedOn w:val="Policepardfaut"/>
    <w:link w:val="Pieddepage"/>
    <w:uiPriority w:val="99"/>
    <w:rsid w:val="00460705"/>
    <w:rPr>
      <w:rFonts w:ascii="Courier New" w:hAnsi="Courier New" w:cs="Courier New"/>
      <w:sz w:val="24"/>
      <w:szCs w:val="24"/>
    </w:rPr>
  </w:style>
  <w:style w:type="character" w:styleId="Marquedecommentaire">
    <w:name w:val="annotation reference"/>
    <w:basedOn w:val="Policepardfaut"/>
    <w:uiPriority w:val="99"/>
    <w:semiHidden/>
    <w:unhideWhenUsed/>
    <w:rsid w:val="00E265E4"/>
    <w:rPr>
      <w:sz w:val="16"/>
      <w:szCs w:val="16"/>
    </w:rPr>
  </w:style>
  <w:style w:type="paragraph" w:styleId="Commentaire">
    <w:name w:val="annotation text"/>
    <w:basedOn w:val="Normal"/>
    <w:link w:val="CommentaireCar"/>
    <w:uiPriority w:val="99"/>
    <w:semiHidden/>
    <w:unhideWhenUsed/>
    <w:rsid w:val="00E265E4"/>
    <w:rPr>
      <w:sz w:val="20"/>
      <w:szCs w:val="20"/>
    </w:rPr>
  </w:style>
  <w:style w:type="character" w:customStyle="1" w:styleId="CommentaireCar">
    <w:name w:val="Commentaire Car"/>
    <w:basedOn w:val="Policepardfaut"/>
    <w:link w:val="Commentaire"/>
    <w:uiPriority w:val="99"/>
    <w:semiHidden/>
    <w:rsid w:val="00E265E4"/>
    <w:rPr>
      <w:rFonts w:ascii="Courier New" w:hAnsi="Courier New" w:cs="Courier New"/>
    </w:rPr>
  </w:style>
  <w:style w:type="paragraph" w:styleId="Objetducommentaire">
    <w:name w:val="annotation subject"/>
    <w:basedOn w:val="Commentaire"/>
    <w:next w:val="Commentaire"/>
    <w:link w:val="ObjetducommentaireCar"/>
    <w:uiPriority w:val="99"/>
    <w:semiHidden/>
    <w:unhideWhenUsed/>
    <w:rsid w:val="00E265E4"/>
    <w:rPr>
      <w:b/>
      <w:bCs/>
    </w:rPr>
  </w:style>
  <w:style w:type="character" w:customStyle="1" w:styleId="ObjetducommentaireCar">
    <w:name w:val="Objet du commentaire Car"/>
    <w:basedOn w:val="CommentaireCar"/>
    <w:link w:val="Objetducommentaire"/>
    <w:uiPriority w:val="99"/>
    <w:semiHidden/>
    <w:rsid w:val="00E265E4"/>
    <w:rPr>
      <w:b/>
      <w:bCs/>
    </w:rPr>
  </w:style>
</w:styles>
</file>

<file path=word/webSettings.xml><?xml version="1.0" encoding="utf-8"?>
<w:webSettings xmlns:r="http://schemas.openxmlformats.org/officeDocument/2006/relationships" xmlns:w="http://schemas.openxmlformats.org/wordprocessingml/2006/main">
  <w:divs>
    <w:div w:id="37435841">
      <w:bodyDiv w:val="1"/>
      <w:marLeft w:val="0"/>
      <w:marRight w:val="0"/>
      <w:marTop w:val="0"/>
      <w:marBottom w:val="0"/>
      <w:divBdr>
        <w:top w:val="none" w:sz="0" w:space="0" w:color="auto"/>
        <w:left w:val="none" w:sz="0" w:space="0" w:color="auto"/>
        <w:bottom w:val="none" w:sz="0" w:space="0" w:color="auto"/>
        <w:right w:val="none" w:sz="0" w:space="0" w:color="auto"/>
      </w:divBdr>
    </w:div>
    <w:div w:id="90929103">
      <w:bodyDiv w:val="1"/>
      <w:marLeft w:val="0"/>
      <w:marRight w:val="0"/>
      <w:marTop w:val="0"/>
      <w:marBottom w:val="0"/>
      <w:divBdr>
        <w:top w:val="none" w:sz="0" w:space="0" w:color="auto"/>
        <w:left w:val="none" w:sz="0" w:space="0" w:color="auto"/>
        <w:bottom w:val="none" w:sz="0" w:space="0" w:color="auto"/>
        <w:right w:val="none" w:sz="0" w:space="0" w:color="auto"/>
      </w:divBdr>
    </w:div>
    <w:div w:id="161429817">
      <w:bodyDiv w:val="1"/>
      <w:marLeft w:val="0"/>
      <w:marRight w:val="0"/>
      <w:marTop w:val="0"/>
      <w:marBottom w:val="0"/>
      <w:divBdr>
        <w:top w:val="none" w:sz="0" w:space="0" w:color="auto"/>
        <w:left w:val="none" w:sz="0" w:space="0" w:color="auto"/>
        <w:bottom w:val="none" w:sz="0" w:space="0" w:color="auto"/>
        <w:right w:val="none" w:sz="0" w:space="0" w:color="auto"/>
      </w:divBdr>
    </w:div>
    <w:div w:id="255401508">
      <w:bodyDiv w:val="1"/>
      <w:marLeft w:val="0"/>
      <w:marRight w:val="0"/>
      <w:marTop w:val="0"/>
      <w:marBottom w:val="0"/>
      <w:divBdr>
        <w:top w:val="none" w:sz="0" w:space="0" w:color="auto"/>
        <w:left w:val="none" w:sz="0" w:space="0" w:color="auto"/>
        <w:bottom w:val="none" w:sz="0" w:space="0" w:color="auto"/>
        <w:right w:val="none" w:sz="0" w:space="0" w:color="auto"/>
      </w:divBdr>
    </w:div>
    <w:div w:id="558787349">
      <w:bodyDiv w:val="1"/>
      <w:marLeft w:val="0"/>
      <w:marRight w:val="0"/>
      <w:marTop w:val="0"/>
      <w:marBottom w:val="0"/>
      <w:divBdr>
        <w:top w:val="none" w:sz="0" w:space="0" w:color="auto"/>
        <w:left w:val="none" w:sz="0" w:space="0" w:color="auto"/>
        <w:bottom w:val="none" w:sz="0" w:space="0" w:color="auto"/>
        <w:right w:val="none" w:sz="0" w:space="0" w:color="auto"/>
      </w:divBdr>
    </w:div>
    <w:div w:id="730276122">
      <w:bodyDiv w:val="1"/>
      <w:marLeft w:val="0"/>
      <w:marRight w:val="0"/>
      <w:marTop w:val="0"/>
      <w:marBottom w:val="0"/>
      <w:divBdr>
        <w:top w:val="none" w:sz="0" w:space="0" w:color="auto"/>
        <w:left w:val="none" w:sz="0" w:space="0" w:color="auto"/>
        <w:bottom w:val="none" w:sz="0" w:space="0" w:color="auto"/>
        <w:right w:val="none" w:sz="0" w:space="0" w:color="auto"/>
      </w:divBdr>
    </w:div>
    <w:div w:id="920676434">
      <w:bodyDiv w:val="1"/>
      <w:marLeft w:val="0"/>
      <w:marRight w:val="0"/>
      <w:marTop w:val="0"/>
      <w:marBottom w:val="0"/>
      <w:divBdr>
        <w:top w:val="none" w:sz="0" w:space="0" w:color="auto"/>
        <w:left w:val="none" w:sz="0" w:space="0" w:color="auto"/>
        <w:bottom w:val="none" w:sz="0" w:space="0" w:color="auto"/>
        <w:right w:val="none" w:sz="0" w:space="0" w:color="auto"/>
      </w:divBdr>
    </w:div>
    <w:div w:id="1062751446">
      <w:bodyDiv w:val="1"/>
      <w:marLeft w:val="0"/>
      <w:marRight w:val="0"/>
      <w:marTop w:val="0"/>
      <w:marBottom w:val="0"/>
      <w:divBdr>
        <w:top w:val="none" w:sz="0" w:space="0" w:color="auto"/>
        <w:left w:val="none" w:sz="0" w:space="0" w:color="auto"/>
        <w:bottom w:val="none" w:sz="0" w:space="0" w:color="auto"/>
        <w:right w:val="none" w:sz="0" w:space="0" w:color="auto"/>
      </w:divBdr>
    </w:div>
    <w:div w:id="1091967136">
      <w:bodyDiv w:val="1"/>
      <w:marLeft w:val="0"/>
      <w:marRight w:val="0"/>
      <w:marTop w:val="0"/>
      <w:marBottom w:val="0"/>
      <w:divBdr>
        <w:top w:val="none" w:sz="0" w:space="0" w:color="auto"/>
        <w:left w:val="none" w:sz="0" w:space="0" w:color="auto"/>
        <w:bottom w:val="none" w:sz="0" w:space="0" w:color="auto"/>
        <w:right w:val="none" w:sz="0" w:space="0" w:color="auto"/>
      </w:divBdr>
    </w:div>
    <w:div w:id="1132866564">
      <w:bodyDiv w:val="1"/>
      <w:marLeft w:val="0"/>
      <w:marRight w:val="0"/>
      <w:marTop w:val="0"/>
      <w:marBottom w:val="0"/>
      <w:divBdr>
        <w:top w:val="none" w:sz="0" w:space="0" w:color="auto"/>
        <w:left w:val="none" w:sz="0" w:space="0" w:color="auto"/>
        <w:bottom w:val="none" w:sz="0" w:space="0" w:color="auto"/>
        <w:right w:val="none" w:sz="0" w:space="0" w:color="auto"/>
      </w:divBdr>
    </w:div>
    <w:div w:id="1146895147">
      <w:bodyDiv w:val="1"/>
      <w:marLeft w:val="0"/>
      <w:marRight w:val="0"/>
      <w:marTop w:val="0"/>
      <w:marBottom w:val="0"/>
      <w:divBdr>
        <w:top w:val="none" w:sz="0" w:space="0" w:color="auto"/>
        <w:left w:val="none" w:sz="0" w:space="0" w:color="auto"/>
        <w:bottom w:val="none" w:sz="0" w:space="0" w:color="auto"/>
        <w:right w:val="none" w:sz="0" w:space="0" w:color="auto"/>
      </w:divBdr>
    </w:div>
    <w:div w:id="1155879858">
      <w:bodyDiv w:val="1"/>
      <w:marLeft w:val="0"/>
      <w:marRight w:val="0"/>
      <w:marTop w:val="0"/>
      <w:marBottom w:val="0"/>
      <w:divBdr>
        <w:top w:val="none" w:sz="0" w:space="0" w:color="auto"/>
        <w:left w:val="none" w:sz="0" w:space="0" w:color="auto"/>
        <w:bottom w:val="none" w:sz="0" w:space="0" w:color="auto"/>
        <w:right w:val="none" w:sz="0" w:space="0" w:color="auto"/>
      </w:divBdr>
    </w:div>
    <w:div w:id="1157184555">
      <w:bodyDiv w:val="1"/>
      <w:marLeft w:val="0"/>
      <w:marRight w:val="0"/>
      <w:marTop w:val="0"/>
      <w:marBottom w:val="0"/>
      <w:divBdr>
        <w:top w:val="none" w:sz="0" w:space="0" w:color="auto"/>
        <w:left w:val="none" w:sz="0" w:space="0" w:color="auto"/>
        <w:bottom w:val="none" w:sz="0" w:space="0" w:color="auto"/>
        <w:right w:val="none" w:sz="0" w:space="0" w:color="auto"/>
      </w:divBdr>
    </w:div>
    <w:div w:id="1158228969">
      <w:bodyDiv w:val="1"/>
      <w:marLeft w:val="0"/>
      <w:marRight w:val="0"/>
      <w:marTop w:val="0"/>
      <w:marBottom w:val="0"/>
      <w:divBdr>
        <w:top w:val="none" w:sz="0" w:space="0" w:color="auto"/>
        <w:left w:val="none" w:sz="0" w:space="0" w:color="auto"/>
        <w:bottom w:val="none" w:sz="0" w:space="0" w:color="auto"/>
        <w:right w:val="none" w:sz="0" w:space="0" w:color="auto"/>
      </w:divBdr>
    </w:div>
    <w:div w:id="1194684007">
      <w:bodyDiv w:val="1"/>
      <w:marLeft w:val="0"/>
      <w:marRight w:val="0"/>
      <w:marTop w:val="0"/>
      <w:marBottom w:val="0"/>
      <w:divBdr>
        <w:top w:val="none" w:sz="0" w:space="0" w:color="auto"/>
        <w:left w:val="none" w:sz="0" w:space="0" w:color="auto"/>
        <w:bottom w:val="none" w:sz="0" w:space="0" w:color="auto"/>
        <w:right w:val="none" w:sz="0" w:space="0" w:color="auto"/>
      </w:divBdr>
    </w:div>
    <w:div w:id="1199245394">
      <w:bodyDiv w:val="1"/>
      <w:marLeft w:val="0"/>
      <w:marRight w:val="0"/>
      <w:marTop w:val="0"/>
      <w:marBottom w:val="0"/>
      <w:divBdr>
        <w:top w:val="none" w:sz="0" w:space="0" w:color="auto"/>
        <w:left w:val="none" w:sz="0" w:space="0" w:color="auto"/>
        <w:bottom w:val="none" w:sz="0" w:space="0" w:color="auto"/>
        <w:right w:val="none" w:sz="0" w:space="0" w:color="auto"/>
      </w:divBdr>
    </w:div>
    <w:div w:id="1201623719">
      <w:bodyDiv w:val="1"/>
      <w:marLeft w:val="0"/>
      <w:marRight w:val="0"/>
      <w:marTop w:val="0"/>
      <w:marBottom w:val="0"/>
      <w:divBdr>
        <w:top w:val="none" w:sz="0" w:space="0" w:color="auto"/>
        <w:left w:val="none" w:sz="0" w:space="0" w:color="auto"/>
        <w:bottom w:val="none" w:sz="0" w:space="0" w:color="auto"/>
        <w:right w:val="none" w:sz="0" w:space="0" w:color="auto"/>
      </w:divBdr>
    </w:div>
    <w:div w:id="1291131926">
      <w:bodyDiv w:val="1"/>
      <w:marLeft w:val="0"/>
      <w:marRight w:val="0"/>
      <w:marTop w:val="0"/>
      <w:marBottom w:val="0"/>
      <w:divBdr>
        <w:top w:val="none" w:sz="0" w:space="0" w:color="auto"/>
        <w:left w:val="none" w:sz="0" w:space="0" w:color="auto"/>
        <w:bottom w:val="none" w:sz="0" w:space="0" w:color="auto"/>
        <w:right w:val="none" w:sz="0" w:space="0" w:color="auto"/>
      </w:divBdr>
    </w:div>
    <w:div w:id="1307902412">
      <w:bodyDiv w:val="1"/>
      <w:marLeft w:val="0"/>
      <w:marRight w:val="0"/>
      <w:marTop w:val="0"/>
      <w:marBottom w:val="0"/>
      <w:divBdr>
        <w:top w:val="none" w:sz="0" w:space="0" w:color="auto"/>
        <w:left w:val="none" w:sz="0" w:space="0" w:color="auto"/>
        <w:bottom w:val="none" w:sz="0" w:space="0" w:color="auto"/>
        <w:right w:val="none" w:sz="0" w:space="0" w:color="auto"/>
      </w:divBdr>
    </w:div>
    <w:div w:id="1397626565">
      <w:bodyDiv w:val="1"/>
      <w:marLeft w:val="0"/>
      <w:marRight w:val="0"/>
      <w:marTop w:val="0"/>
      <w:marBottom w:val="0"/>
      <w:divBdr>
        <w:top w:val="none" w:sz="0" w:space="0" w:color="auto"/>
        <w:left w:val="none" w:sz="0" w:space="0" w:color="auto"/>
        <w:bottom w:val="none" w:sz="0" w:space="0" w:color="auto"/>
        <w:right w:val="none" w:sz="0" w:space="0" w:color="auto"/>
      </w:divBdr>
    </w:div>
    <w:div w:id="1455637099">
      <w:bodyDiv w:val="1"/>
      <w:marLeft w:val="0"/>
      <w:marRight w:val="0"/>
      <w:marTop w:val="0"/>
      <w:marBottom w:val="0"/>
      <w:divBdr>
        <w:top w:val="none" w:sz="0" w:space="0" w:color="auto"/>
        <w:left w:val="none" w:sz="0" w:space="0" w:color="auto"/>
        <w:bottom w:val="none" w:sz="0" w:space="0" w:color="auto"/>
        <w:right w:val="none" w:sz="0" w:space="0" w:color="auto"/>
      </w:divBdr>
    </w:div>
    <w:div w:id="1474910954">
      <w:bodyDiv w:val="1"/>
      <w:marLeft w:val="0"/>
      <w:marRight w:val="0"/>
      <w:marTop w:val="0"/>
      <w:marBottom w:val="0"/>
      <w:divBdr>
        <w:top w:val="none" w:sz="0" w:space="0" w:color="auto"/>
        <w:left w:val="none" w:sz="0" w:space="0" w:color="auto"/>
        <w:bottom w:val="none" w:sz="0" w:space="0" w:color="auto"/>
        <w:right w:val="none" w:sz="0" w:space="0" w:color="auto"/>
      </w:divBdr>
    </w:div>
    <w:div w:id="1516383395">
      <w:bodyDiv w:val="1"/>
      <w:marLeft w:val="0"/>
      <w:marRight w:val="0"/>
      <w:marTop w:val="0"/>
      <w:marBottom w:val="0"/>
      <w:divBdr>
        <w:top w:val="none" w:sz="0" w:space="0" w:color="auto"/>
        <w:left w:val="none" w:sz="0" w:space="0" w:color="auto"/>
        <w:bottom w:val="none" w:sz="0" w:space="0" w:color="auto"/>
        <w:right w:val="none" w:sz="0" w:space="0" w:color="auto"/>
      </w:divBdr>
    </w:div>
    <w:div w:id="1555578816">
      <w:bodyDiv w:val="1"/>
      <w:marLeft w:val="0"/>
      <w:marRight w:val="0"/>
      <w:marTop w:val="0"/>
      <w:marBottom w:val="0"/>
      <w:divBdr>
        <w:top w:val="none" w:sz="0" w:space="0" w:color="auto"/>
        <w:left w:val="none" w:sz="0" w:space="0" w:color="auto"/>
        <w:bottom w:val="none" w:sz="0" w:space="0" w:color="auto"/>
        <w:right w:val="none" w:sz="0" w:space="0" w:color="auto"/>
      </w:divBdr>
    </w:div>
    <w:div w:id="1617984574">
      <w:bodyDiv w:val="1"/>
      <w:marLeft w:val="0"/>
      <w:marRight w:val="0"/>
      <w:marTop w:val="0"/>
      <w:marBottom w:val="0"/>
      <w:divBdr>
        <w:top w:val="none" w:sz="0" w:space="0" w:color="auto"/>
        <w:left w:val="none" w:sz="0" w:space="0" w:color="auto"/>
        <w:bottom w:val="none" w:sz="0" w:space="0" w:color="auto"/>
        <w:right w:val="none" w:sz="0" w:space="0" w:color="auto"/>
      </w:divBdr>
    </w:div>
    <w:div w:id="1713728167">
      <w:bodyDiv w:val="1"/>
      <w:marLeft w:val="0"/>
      <w:marRight w:val="0"/>
      <w:marTop w:val="0"/>
      <w:marBottom w:val="0"/>
      <w:divBdr>
        <w:top w:val="none" w:sz="0" w:space="0" w:color="auto"/>
        <w:left w:val="none" w:sz="0" w:space="0" w:color="auto"/>
        <w:bottom w:val="none" w:sz="0" w:space="0" w:color="auto"/>
        <w:right w:val="none" w:sz="0" w:space="0" w:color="auto"/>
      </w:divBdr>
    </w:div>
    <w:div w:id="1756630943">
      <w:bodyDiv w:val="1"/>
      <w:marLeft w:val="0"/>
      <w:marRight w:val="0"/>
      <w:marTop w:val="0"/>
      <w:marBottom w:val="0"/>
      <w:divBdr>
        <w:top w:val="none" w:sz="0" w:space="0" w:color="auto"/>
        <w:left w:val="none" w:sz="0" w:space="0" w:color="auto"/>
        <w:bottom w:val="none" w:sz="0" w:space="0" w:color="auto"/>
        <w:right w:val="none" w:sz="0" w:space="0" w:color="auto"/>
      </w:divBdr>
    </w:div>
    <w:div w:id="1943301245">
      <w:bodyDiv w:val="1"/>
      <w:marLeft w:val="0"/>
      <w:marRight w:val="0"/>
      <w:marTop w:val="0"/>
      <w:marBottom w:val="0"/>
      <w:divBdr>
        <w:top w:val="none" w:sz="0" w:space="0" w:color="auto"/>
        <w:left w:val="none" w:sz="0" w:space="0" w:color="auto"/>
        <w:bottom w:val="none" w:sz="0" w:space="0" w:color="auto"/>
        <w:right w:val="none" w:sz="0" w:space="0" w:color="auto"/>
      </w:divBdr>
    </w:div>
    <w:div w:id="212010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sdrissi\Bureau\Enquete%20de%20conjoncture%20menages\2013\resultats\resultatseECM(trim1-08-trim4-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600"/>
            </a:pPr>
            <a:r>
              <a:rPr lang="en-US" sz="1600" b="1" i="0" baseline="0"/>
              <a:t>Evolution de l'Indice de Confiance des Ménages</a:t>
            </a:r>
            <a:endParaRPr lang="fr-FR" sz="1600" b="1" i="0" baseline="0"/>
          </a:p>
        </c:rich>
      </c:tx>
      <c:layout>
        <c:manualLayout>
          <c:xMode val="edge"/>
          <c:yMode val="edge"/>
          <c:x val="0.22469564807393089"/>
          <c:y val="1.6016016016016023E-2"/>
        </c:manualLayout>
      </c:layout>
    </c:title>
    <c:plotArea>
      <c:layout/>
      <c:barChart>
        <c:barDir val="col"/>
        <c:grouping val="clustered"/>
        <c:ser>
          <c:idx val="0"/>
          <c:order val="0"/>
          <c:dLbls>
            <c:txPr>
              <a:bodyPr/>
              <a:lstStyle/>
              <a:p>
                <a:pPr>
                  <a:defRPr b="1"/>
                </a:pPr>
                <a:endParaRPr lang="fr-FR"/>
              </a:p>
            </c:txPr>
            <c:showVal val="1"/>
          </c:dLbls>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fr'!$B$18:$Y$18</c:f>
              <c:numCache>
                <c:formatCode>#,##0.0</c:formatCode>
                <c:ptCount val="24"/>
                <c:pt idx="0">
                  <c:v>85.866502294191648</c:v>
                </c:pt>
                <c:pt idx="1">
                  <c:v>77.678707955852616</c:v>
                </c:pt>
                <c:pt idx="2">
                  <c:v>75.552480635756069</c:v>
                </c:pt>
                <c:pt idx="3">
                  <c:v>80.136884034904199</c:v>
                </c:pt>
                <c:pt idx="4">
                  <c:v>76.902419880745626</c:v>
                </c:pt>
                <c:pt idx="5">
                  <c:v>77.636131881705708</c:v>
                </c:pt>
                <c:pt idx="6">
                  <c:v>79.135624759962667</c:v>
                </c:pt>
                <c:pt idx="7">
                  <c:v>79.463913413558046</c:v>
                </c:pt>
                <c:pt idx="8">
                  <c:v>80.1360860936189</c:v>
                </c:pt>
                <c:pt idx="9">
                  <c:v>78.833388330573683</c:v>
                </c:pt>
                <c:pt idx="10">
                  <c:v>78.629956901853419</c:v>
                </c:pt>
                <c:pt idx="11">
                  <c:v>74.744893710814793</c:v>
                </c:pt>
                <c:pt idx="12">
                  <c:v>78.406406130604395</c:v>
                </c:pt>
                <c:pt idx="13">
                  <c:v>85.789532632532314</c:v>
                </c:pt>
                <c:pt idx="14">
                  <c:v>86.506225251482533</c:v>
                </c:pt>
                <c:pt idx="15">
                  <c:v>84.477214694877631</c:v>
                </c:pt>
                <c:pt idx="16">
                  <c:v>82.880478542820981</c:v>
                </c:pt>
                <c:pt idx="17">
                  <c:v>80.673652783725359</c:v>
                </c:pt>
                <c:pt idx="18">
                  <c:v>77.553867036568946</c:v>
                </c:pt>
                <c:pt idx="19">
                  <c:v>78.403353681350026</c:v>
                </c:pt>
                <c:pt idx="20">
                  <c:v>75.830193123476278</c:v>
                </c:pt>
                <c:pt idx="21">
                  <c:v>74.26831493920966</c:v>
                </c:pt>
                <c:pt idx="22">
                  <c:v>75.40113716912164</c:v>
                </c:pt>
                <c:pt idx="23">
                  <c:v>74.15325435026638</c:v>
                </c:pt>
              </c:numCache>
            </c:numRef>
          </c:val>
        </c:ser>
        <c:gapWidth val="75"/>
        <c:overlap val="-25"/>
        <c:axId val="103419904"/>
        <c:axId val="103421440"/>
      </c:barChart>
      <c:catAx>
        <c:axId val="103419904"/>
        <c:scaling>
          <c:orientation val="minMax"/>
        </c:scaling>
        <c:axPos val="b"/>
        <c:majorTickMark val="none"/>
        <c:tickLblPos val="nextTo"/>
        <c:crossAx val="103421440"/>
        <c:crosses val="autoZero"/>
        <c:auto val="1"/>
        <c:lblAlgn val="ctr"/>
        <c:lblOffset val="100"/>
      </c:catAx>
      <c:valAx>
        <c:axId val="103421440"/>
        <c:scaling>
          <c:orientation val="minMax"/>
        </c:scaling>
        <c:delete val="1"/>
        <c:axPos val="l"/>
        <c:numFmt formatCode="#,##0.0" sourceLinked="1"/>
        <c:majorTickMark val="none"/>
        <c:tickLblPos val="none"/>
        <c:crossAx val="10341990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600"/>
              <a:t>Evolutions passée et future  du niveau de vie</a:t>
            </a:r>
          </a:p>
          <a:p>
            <a:pPr>
              <a:defRPr/>
            </a:pPr>
            <a:r>
              <a:rPr lang="fr-FR" sz="1600"/>
              <a:t>(soldes d'opinion) </a:t>
            </a:r>
          </a:p>
        </c:rich>
      </c:tx>
    </c:title>
    <c:plotArea>
      <c:layout/>
      <c:lineChart>
        <c:grouping val="standard"/>
        <c:ser>
          <c:idx val="0"/>
          <c:order val="0"/>
          <c:tx>
            <c:strRef>
              <c:f>'graphe fr'!$A$11</c:f>
              <c:strCache>
                <c:ptCount val="1"/>
                <c:pt idx="0">
                  <c:v>Evolution  passée du niveau de vie</c:v>
                </c:pt>
              </c:strCache>
            </c:strRef>
          </c:tx>
          <c:marker>
            <c:symbol val="triangle"/>
            <c:size val="5"/>
          </c:marker>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fr'!$B$11:$Y$11</c:f>
              <c:numCache>
                <c:formatCode>#,##0.0</c:formatCode>
                <c:ptCount val="24"/>
                <c:pt idx="0">
                  <c:v>-10.399945582052929</c:v>
                </c:pt>
                <c:pt idx="1">
                  <c:v>-25.15337945599229</c:v>
                </c:pt>
                <c:pt idx="2">
                  <c:v>-31.141291421499801</c:v>
                </c:pt>
                <c:pt idx="3">
                  <c:v>-29.393844818665286</c:v>
                </c:pt>
                <c:pt idx="4">
                  <c:v>-36.652789359955584</c:v>
                </c:pt>
                <c:pt idx="5">
                  <c:v>-29.108394514506987</c:v>
                </c:pt>
                <c:pt idx="6">
                  <c:v>-25.702364309825629</c:v>
                </c:pt>
                <c:pt idx="7">
                  <c:v>-26.546435956901789</c:v>
                </c:pt>
                <c:pt idx="8">
                  <c:v>-25.723634629572945</c:v>
                </c:pt>
                <c:pt idx="9">
                  <c:v>-28.56499551903989</c:v>
                </c:pt>
                <c:pt idx="10">
                  <c:v>-27.930454212484364</c:v>
                </c:pt>
                <c:pt idx="11">
                  <c:v>-37.23676034498353</c:v>
                </c:pt>
                <c:pt idx="12">
                  <c:v>-26.050959167650177</c:v>
                </c:pt>
                <c:pt idx="13">
                  <c:v>-16.961438303130809</c:v>
                </c:pt>
                <c:pt idx="14">
                  <c:v>-13.439142519852046</c:v>
                </c:pt>
                <c:pt idx="15">
                  <c:v>-20.224270151200944</c:v>
                </c:pt>
                <c:pt idx="16">
                  <c:v>-26.170201326733839</c:v>
                </c:pt>
                <c:pt idx="17">
                  <c:v>-21.816848529134631</c:v>
                </c:pt>
                <c:pt idx="18">
                  <c:v>-27.85707555673623</c:v>
                </c:pt>
                <c:pt idx="19">
                  <c:v>-28.088708351168602</c:v>
                </c:pt>
                <c:pt idx="20">
                  <c:v>-29.212341127418195</c:v>
                </c:pt>
                <c:pt idx="21">
                  <c:v>-23.102864483982128</c:v>
                </c:pt>
                <c:pt idx="22">
                  <c:v>-21.158266803557588</c:v>
                </c:pt>
                <c:pt idx="23">
                  <c:v>-19.887264929132375</c:v>
                </c:pt>
              </c:numCache>
            </c:numRef>
          </c:val>
        </c:ser>
        <c:ser>
          <c:idx val="1"/>
          <c:order val="1"/>
          <c:tx>
            <c:strRef>
              <c:f>'graphe fr'!$A$12</c:f>
              <c:strCache>
                <c:ptCount val="1"/>
                <c:pt idx="0">
                  <c:v>Perspective d'évolution du niveau de vie</c:v>
                </c:pt>
              </c:strCache>
            </c:strRef>
          </c:tx>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fr'!$B$12:$Y$12</c:f>
              <c:numCache>
                <c:formatCode>#,##0.0</c:formatCode>
                <c:ptCount val="24"/>
                <c:pt idx="0">
                  <c:v>14.440493946063453</c:v>
                </c:pt>
                <c:pt idx="1">
                  <c:v>-11.52673084245559</c:v>
                </c:pt>
                <c:pt idx="2">
                  <c:v>-21.380291437825413</c:v>
                </c:pt>
                <c:pt idx="3">
                  <c:v>-3.4692228168248267</c:v>
                </c:pt>
                <c:pt idx="4">
                  <c:v>-9.3118753956095954</c:v>
                </c:pt>
                <c:pt idx="5">
                  <c:v>-3.5223109272796771</c:v>
                </c:pt>
                <c:pt idx="6">
                  <c:v>8.4334302751113352E-2</c:v>
                </c:pt>
                <c:pt idx="7">
                  <c:v>2.1853913991610052</c:v>
                </c:pt>
                <c:pt idx="8">
                  <c:v>0.39154986438085893</c:v>
                </c:pt>
                <c:pt idx="9">
                  <c:v>2.7314646872285109</c:v>
                </c:pt>
                <c:pt idx="10">
                  <c:v>0.19418325799955066</c:v>
                </c:pt>
                <c:pt idx="11">
                  <c:v>-11.371112777150765</c:v>
                </c:pt>
                <c:pt idx="12">
                  <c:v>-1.8875512037963609</c:v>
                </c:pt>
                <c:pt idx="13">
                  <c:v>18.132139936578742</c:v>
                </c:pt>
                <c:pt idx="14">
                  <c:v>11.870106120928327</c:v>
                </c:pt>
                <c:pt idx="15">
                  <c:v>13.146309479543481</c:v>
                </c:pt>
                <c:pt idx="16">
                  <c:v>11.211772002164619</c:v>
                </c:pt>
                <c:pt idx="17">
                  <c:v>8.9776180181468028</c:v>
                </c:pt>
                <c:pt idx="18">
                  <c:v>-3.2327838268829292</c:v>
                </c:pt>
                <c:pt idx="19">
                  <c:v>-1.2159862376115478</c:v>
                </c:pt>
                <c:pt idx="20">
                  <c:v>-5.0957647237932591</c:v>
                </c:pt>
                <c:pt idx="21">
                  <c:v>-4.2068608448306524</c:v>
                </c:pt>
                <c:pt idx="22">
                  <c:v>-3.0973555754801207</c:v>
                </c:pt>
                <c:pt idx="23">
                  <c:v>-7.9340099346010531</c:v>
                </c:pt>
              </c:numCache>
            </c:numRef>
          </c:val>
        </c:ser>
        <c:marker val="1"/>
        <c:axId val="103450496"/>
        <c:axId val="103452032"/>
      </c:lineChart>
      <c:catAx>
        <c:axId val="103450496"/>
        <c:scaling>
          <c:orientation val="minMax"/>
        </c:scaling>
        <c:axPos val="b"/>
        <c:majorTickMark val="none"/>
        <c:tickLblPos val="nextTo"/>
        <c:crossAx val="103452032"/>
        <c:crosses val="autoZero"/>
        <c:auto val="1"/>
        <c:lblAlgn val="ctr"/>
        <c:lblOffset val="100"/>
      </c:catAx>
      <c:valAx>
        <c:axId val="103452032"/>
        <c:scaling>
          <c:orientation val="minMax"/>
        </c:scaling>
        <c:axPos val="l"/>
        <c:majorGridlines/>
        <c:numFmt formatCode="#,##0.0" sourceLinked="1"/>
        <c:majorTickMark val="none"/>
        <c:tickLblPos val="nextTo"/>
        <c:crossAx val="103450496"/>
        <c:crosses val="autoZero"/>
        <c:crossBetween val="between"/>
      </c:valAx>
    </c:plotArea>
    <c:legend>
      <c:legendPos val="b"/>
      <c:txPr>
        <a:bodyPr/>
        <a:lstStyle/>
        <a:p>
          <a:pPr>
            <a:defRPr b="1"/>
          </a:pPr>
          <a:endParaRPr lang="fr-F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r>
              <a:rPr lang="en-US"/>
              <a:t>Perspective d'évolution du nombre de chômeur</a:t>
            </a:r>
          </a:p>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r>
              <a:rPr lang="fr-FR" sz="1600" b="0" i="0" baseline="0"/>
              <a:t>(soldes d'opinion) </a:t>
            </a:r>
          </a:p>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fr-FR" sz="1600" b="1" i="0" baseline="0"/>
          </a:p>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solidFill>
                <a:latin typeface="+mn-lt"/>
                <a:ea typeface="+mn-ea"/>
                <a:cs typeface="+mn-cs"/>
              </a:defRPr>
            </a:pPr>
            <a:endParaRPr lang="en-US"/>
          </a:p>
        </c:rich>
      </c:tx>
    </c:title>
    <c:plotArea>
      <c:layout>
        <c:manualLayout>
          <c:layoutTarget val="inner"/>
          <c:xMode val="edge"/>
          <c:yMode val="edge"/>
          <c:x val="7.4150454270139304E-2"/>
          <c:y val="0.20937238493723917"/>
          <c:w val="0.9032854431657581"/>
          <c:h val="0.64557880055788475"/>
        </c:manualLayout>
      </c:layout>
      <c:lineChart>
        <c:grouping val="standard"/>
        <c:ser>
          <c:idx val="0"/>
          <c:order val="0"/>
          <c:tx>
            <c:strRef>
              <c:f>'graphe fr'!$A$10</c:f>
              <c:strCache>
                <c:ptCount val="1"/>
                <c:pt idx="0">
                  <c:v>Perspective d'évolution du nombre de chômeur</c:v>
                </c:pt>
              </c:strCache>
            </c:strRef>
          </c:tx>
          <c:marker>
            <c:symbol val="none"/>
          </c:marker>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fr'!$B$10:$Y$10</c:f>
              <c:numCache>
                <c:formatCode>#,##0.0</c:formatCode>
                <c:ptCount val="24"/>
                <c:pt idx="0">
                  <c:v>-52.095692279179367</c:v>
                </c:pt>
                <c:pt idx="1">
                  <c:v>-56.601297669292983</c:v>
                </c:pt>
                <c:pt idx="2">
                  <c:v>-51.593765595534528</c:v>
                </c:pt>
                <c:pt idx="3">
                  <c:v>-51.137343653505525</c:v>
                </c:pt>
                <c:pt idx="4">
                  <c:v>-50.999102607130283</c:v>
                </c:pt>
                <c:pt idx="5">
                  <c:v>-59.135165785990033</c:v>
                </c:pt>
                <c:pt idx="6">
                  <c:v>-57.93060045856835</c:v>
                </c:pt>
                <c:pt idx="7">
                  <c:v>-57.517749523976377</c:v>
                </c:pt>
                <c:pt idx="8">
                  <c:v>-59.239397454073007</c:v>
                </c:pt>
                <c:pt idx="9">
                  <c:v>-61.048152851769579</c:v>
                </c:pt>
                <c:pt idx="10">
                  <c:v>-56.106436371502731</c:v>
                </c:pt>
                <c:pt idx="11">
                  <c:v>-52.335316844022579</c:v>
                </c:pt>
                <c:pt idx="12">
                  <c:v>-52.408437207990296</c:v>
                </c:pt>
                <c:pt idx="13">
                  <c:v>-45.982278486233319</c:v>
                </c:pt>
                <c:pt idx="14">
                  <c:v>-40.986479794930496</c:v>
                </c:pt>
                <c:pt idx="15">
                  <c:v>-41.619683700101234</c:v>
                </c:pt>
                <c:pt idx="16">
                  <c:v>-44.058495214148614</c:v>
                </c:pt>
                <c:pt idx="17">
                  <c:v>-48.557155794606146</c:v>
                </c:pt>
                <c:pt idx="18">
                  <c:v>-56.657119953107134</c:v>
                </c:pt>
                <c:pt idx="19">
                  <c:v>-58.054676707354794</c:v>
                </c:pt>
                <c:pt idx="20">
                  <c:v>-61.683132655398175</c:v>
                </c:pt>
                <c:pt idx="21">
                  <c:v>-67.848891093145681</c:v>
                </c:pt>
                <c:pt idx="22">
                  <c:v>-69.816287861188869</c:v>
                </c:pt>
                <c:pt idx="23">
                  <c:v>-68.20001271186625</c:v>
                </c:pt>
              </c:numCache>
            </c:numRef>
          </c:val>
        </c:ser>
        <c:marker val="1"/>
        <c:axId val="103475456"/>
        <c:axId val="85655552"/>
      </c:lineChart>
      <c:catAx>
        <c:axId val="103475456"/>
        <c:scaling>
          <c:orientation val="minMax"/>
        </c:scaling>
        <c:axPos val="b"/>
        <c:numFmt formatCode="#,##0" sourceLinked="1"/>
        <c:tickLblPos val="nextTo"/>
        <c:txPr>
          <a:bodyPr/>
          <a:lstStyle/>
          <a:p>
            <a:pPr>
              <a:defRPr sz="800"/>
            </a:pPr>
            <a:endParaRPr lang="fr-FR"/>
          </a:p>
        </c:txPr>
        <c:crossAx val="85655552"/>
        <c:crosses val="autoZero"/>
        <c:auto val="1"/>
        <c:lblAlgn val="ctr"/>
        <c:lblOffset val="100"/>
      </c:catAx>
      <c:valAx>
        <c:axId val="85655552"/>
        <c:scaling>
          <c:orientation val="minMax"/>
        </c:scaling>
        <c:axPos val="l"/>
        <c:majorGridlines/>
        <c:numFmt formatCode="#,##0.0" sourceLinked="1"/>
        <c:tickLblPos val="nextTo"/>
        <c:txPr>
          <a:bodyPr/>
          <a:lstStyle/>
          <a:p>
            <a:pPr>
              <a:defRPr sz="800"/>
            </a:pPr>
            <a:endParaRPr lang="fr-FR"/>
          </a:p>
        </c:txPr>
        <c:crossAx val="10347545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a:pPr>
            <a:r>
              <a:rPr lang="en-US" sz="1600" b="1" i="0" baseline="0"/>
              <a:t>Opportunité d'achat des biens durables</a:t>
            </a:r>
            <a:endParaRPr lang="fr-FR" sz="1600" b="1" i="0" baseline="0"/>
          </a:p>
          <a:p>
            <a:pPr algn="ctr">
              <a:defRPr/>
            </a:pPr>
            <a:r>
              <a:rPr lang="fr-FR" sz="1600" b="0" i="0" baseline="0"/>
              <a:t>(soldes d'opinion) </a:t>
            </a:r>
            <a:endParaRPr lang="fr-FR" sz="1600" b="1" i="0" baseline="0"/>
          </a:p>
        </c:rich>
      </c:tx>
    </c:title>
    <c:plotArea>
      <c:layout>
        <c:manualLayout>
          <c:layoutTarget val="inner"/>
          <c:xMode val="edge"/>
          <c:yMode val="edge"/>
          <c:x val="7.2153728531681324E-2"/>
          <c:y val="0.26174386564668739"/>
          <c:w val="0.9158342594563067"/>
          <c:h val="0.68557513940650661"/>
        </c:manualLayout>
      </c:layout>
      <c:lineChart>
        <c:grouping val="standard"/>
        <c:ser>
          <c:idx val="0"/>
          <c:order val="0"/>
          <c:tx>
            <c:strRef>
              <c:f>'graphe fr'!$A$13</c:f>
              <c:strCache>
                <c:ptCount val="1"/>
                <c:pt idx="0">
                  <c:v>Opportunité d'achat</c:v>
                </c:pt>
              </c:strCache>
            </c:strRef>
          </c:tx>
          <c:marker>
            <c:symbol val="none"/>
          </c:marker>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fr'!$B$13:$Y$13</c:f>
              <c:numCache>
                <c:formatCode>#,##0.0</c:formatCode>
                <c:ptCount val="24"/>
                <c:pt idx="0">
                  <c:v>-30.018449770831708</c:v>
                </c:pt>
                <c:pt idx="1">
                  <c:v>-34.254528080670752</c:v>
                </c:pt>
                <c:pt idx="2">
                  <c:v>-37.471777984571169</c:v>
                </c:pt>
                <c:pt idx="3">
                  <c:v>-39.103064640682895</c:v>
                </c:pt>
                <c:pt idx="4">
                  <c:v>-41.765350509034057</c:v>
                </c:pt>
                <c:pt idx="5">
                  <c:v>-46.542730671354157</c:v>
                </c:pt>
                <c:pt idx="6">
                  <c:v>-43.408027388108131</c:v>
                </c:pt>
                <c:pt idx="7">
                  <c:v>-42.642623532569331</c:v>
                </c:pt>
                <c:pt idx="8">
                  <c:v>-34.756506471721544</c:v>
                </c:pt>
                <c:pt idx="9">
                  <c:v>-37.532519098272012</c:v>
                </c:pt>
                <c:pt idx="10">
                  <c:v>-36.012077907569903</c:v>
                </c:pt>
                <c:pt idx="11">
                  <c:v>-44.335673139521013</c:v>
                </c:pt>
                <c:pt idx="12">
                  <c:v>-39.860076277616514</c:v>
                </c:pt>
                <c:pt idx="13">
                  <c:v>-39.017818744674372</c:v>
                </c:pt>
                <c:pt idx="14">
                  <c:v>-36.350911088685244</c:v>
                </c:pt>
                <c:pt idx="15">
                  <c:v>-38.491211120248494</c:v>
                </c:pt>
                <c:pt idx="16">
                  <c:v>-32.485234146306901</c:v>
                </c:pt>
                <c:pt idx="17">
                  <c:v>-37.388587169100333</c:v>
                </c:pt>
                <c:pt idx="18">
                  <c:v>-29.521996232881474</c:v>
                </c:pt>
                <c:pt idx="19">
                  <c:v>-29.332441443088875</c:v>
                </c:pt>
                <c:pt idx="20">
                  <c:v>-28.348240299081631</c:v>
                </c:pt>
                <c:pt idx="21">
                  <c:v>-31.722199742496027</c:v>
                </c:pt>
                <c:pt idx="22">
                  <c:v>-29.53704552622213</c:v>
                </c:pt>
                <c:pt idx="23">
                  <c:v>-31.849081241594892</c:v>
                </c:pt>
              </c:numCache>
            </c:numRef>
          </c:val>
        </c:ser>
        <c:marker val="1"/>
        <c:axId val="85695488"/>
        <c:axId val="85701376"/>
      </c:lineChart>
      <c:catAx>
        <c:axId val="85695488"/>
        <c:scaling>
          <c:orientation val="minMax"/>
        </c:scaling>
        <c:axPos val="b"/>
        <c:tickLblPos val="nextTo"/>
        <c:txPr>
          <a:bodyPr/>
          <a:lstStyle/>
          <a:p>
            <a:pPr>
              <a:defRPr sz="900"/>
            </a:pPr>
            <a:endParaRPr lang="fr-FR"/>
          </a:p>
        </c:txPr>
        <c:crossAx val="85701376"/>
        <c:crosses val="autoZero"/>
        <c:auto val="1"/>
        <c:lblAlgn val="ctr"/>
        <c:lblOffset val="100"/>
      </c:catAx>
      <c:valAx>
        <c:axId val="85701376"/>
        <c:scaling>
          <c:orientation val="minMax"/>
        </c:scaling>
        <c:axPos val="l"/>
        <c:majorGridlines/>
        <c:numFmt formatCode="#,##0.0" sourceLinked="1"/>
        <c:tickLblPos val="nextTo"/>
        <c:crossAx val="8569548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a:pPr>
            <a:r>
              <a:rPr lang="fr-FR" sz="1600" b="1" i="0" baseline="0"/>
              <a:t>Perception des ménages de leurs situations financières</a:t>
            </a:r>
            <a:endParaRPr lang="fr-FR" sz="1600"/>
          </a:p>
          <a:p>
            <a:pPr algn="ctr">
              <a:defRPr/>
            </a:pPr>
            <a:r>
              <a:rPr lang="fr-FR" sz="1600" b="1" i="0" baseline="0"/>
              <a:t>(soldes d'opinion) </a:t>
            </a:r>
            <a:endParaRPr lang="fr-FR" sz="1600"/>
          </a:p>
        </c:rich>
      </c:tx>
    </c:title>
    <c:plotArea>
      <c:layout/>
      <c:lineChart>
        <c:grouping val="standard"/>
        <c:ser>
          <c:idx val="0"/>
          <c:order val="0"/>
          <c:tx>
            <c:strRef>
              <c:f>'graphe fr'!$A$14</c:f>
              <c:strCache>
                <c:ptCount val="1"/>
                <c:pt idx="0">
                  <c:v>Situation  actuelle</c:v>
                </c:pt>
              </c:strCache>
            </c:strRef>
          </c:tx>
          <c:marker>
            <c:symbol val="none"/>
          </c:marker>
          <c:dLbls>
            <c:dLbl>
              <c:idx val="23"/>
              <c:layout>
                <c:manualLayout>
                  <c:x val="0"/>
                  <c:y val="6.4864849088900597E-2"/>
                </c:manualLayout>
              </c:layout>
              <c:tx>
                <c:rich>
                  <a:bodyPr/>
                  <a:lstStyle/>
                  <a:p>
                    <a:r>
                      <a:rPr lang="en-US" sz="1050" b="1"/>
                      <a:t>Situation  actuelle</a:t>
                    </a:r>
                  </a:p>
                </c:rich>
              </c:tx>
              <c:dLblPos val="r"/>
              <c:showVal val="1"/>
              <c:showSerName val="1"/>
            </c:dLbl>
            <c:delete val="1"/>
          </c:dLbls>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fr'!$B$14:$Y$14</c:f>
              <c:numCache>
                <c:formatCode>#,##0.0</c:formatCode>
                <c:ptCount val="24"/>
                <c:pt idx="0">
                  <c:v>-33.000396349797541</c:v>
                </c:pt>
                <c:pt idx="1">
                  <c:v>-32.92085732825101</c:v>
                </c:pt>
                <c:pt idx="2">
                  <c:v>-34.418326375664194</c:v>
                </c:pt>
                <c:pt idx="3">
                  <c:v>-33.119220631579381</c:v>
                </c:pt>
                <c:pt idx="4">
                  <c:v>-31.284887127595891</c:v>
                </c:pt>
                <c:pt idx="5">
                  <c:v>-26.871936633729426</c:v>
                </c:pt>
                <c:pt idx="6">
                  <c:v>-28.286909450889887</c:v>
                </c:pt>
                <c:pt idx="7">
                  <c:v>-25.297554133135563</c:v>
                </c:pt>
                <c:pt idx="8">
                  <c:v>-27.535808431365773</c:v>
                </c:pt>
                <c:pt idx="9">
                  <c:v>-27.628417792744592</c:v>
                </c:pt>
                <c:pt idx="10">
                  <c:v>-29.997502753451052</c:v>
                </c:pt>
                <c:pt idx="11">
                  <c:v>-28.06262489249626</c:v>
                </c:pt>
                <c:pt idx="12">
                  <c:v>-30.645498931903678</c:v>
                </c:pt>
                <c:pt idx="13">
                  <c:v>-27.092549889444228</c:v>
                </c:pt>
                <c:pt idx="14">
                  <c:v>-24.28899054728441</c:v>
                </c:pt>
                <c:pt idx="15">
                  <c:v>-25.669712181349674</c:v>
                </c:pt>
                <c:pt idx="16">
                  <c:v>-25.435462945688826</c:v>
                </c:pt>
                <c:pt idx="17">
                  <c:v>-31.040689498948886</c:v>
                </c:pt>
                <c:pt idx="18">
                  <c:v>-30.846093343724149</c:v>
                </c:pt>
                <c:pt idx="19">
                  <c:v>-29.426966691861214</c:v>
                </c:pt>
                <c:pt idx="20">
                  <c:v>-29.764200665198015</c:v>
                </c:pt>
                <c:pt idx="21">
                  <c:v>-30.168616451396016</c:v>
                </c:pt>
                <c:pt idx="22">
                  <c:v>-29.484131282651159</c:v>
                </c:pt>
                <c:pt idx="23">
                  <c:v>-29.485585569479884</c:v>
                </c:pt>
              </c:numCache>
            </c:numRef>
          </c:val>
        </c:ser>
        <c:ser>
          <c:idx val="1"/>
          <c:order val="1"/>
          <c:tx>
            <c:strRef>
              <c:f>'graphe fr'!$A$15</c:f>
              <c:strCache>
                <c:ptCount val="1"/>
                <c:pt idx="0">
                  <c:v>Evolution  passée </c:v>
                </c:pt>
              </c:strCache>
            </c:strRef>
          </c:tx>
          <c:marker>
            <c:symbol val="none"/>
          </c:marker>
          <c:dLbls>
            <c:dLbl>
              <c:idx val="23"/>
              <c:layout>
                <c:manualLayout>
                  <c:x val="0"/>
                  <c:y val="-2.2964412057188504E-2"/>
                </c:manualLayout>
              </c:layout>
              <c:tx>
                <c:rich>
                  <a:bodyPr/>
                  <a:lstStyle/>
                  <a:p>
                    <a:r>
                      <a:rPr lang="en-US" sz="1050" b="1"/>
                      <a:t>Evolution  passée</a:t>
                    </a:r>
                  </a:p>
                </c:rich>
              </c:tx>
              <c:dLblPos val="r"/>
              <c:showVal val="1"/>
              <c:showSerName val="1"/>
            </c:dLbl>
            <c:delete val="1"/>
          </c:dLbls>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fr'!$B$15:$Y$15</c:f>
              <c:numCache>
                <c:formatCode>#,##0.0</c:formatCode>
                <c:ptCount val="24"/>
                <c:pt idx="0">
                  <c:v>-11.760493904860514</c:v>
                </c:pt>
                <c:pt idx="1">
                  <c:v>-11.376439540974218</c:v>
                </c:pt>
                <c:pt idx="2">
                  <c:v>-11.707546774199256</c:v>
                </c:pt>
                <c:pt idx="3">
                  <c:v>-9.5250570435126427</c:v>
                </c:pt>
                <c:pt idx="4">
                  <c:v>-18.438210074457299</c:v>
                </c:pt>
                <c:pt idx="5">
                  <c:v>-13.353492384896791</c:v>
                </c:pt>
                <c:pt idx="6">
                  <c:v>-8.3398771422969418</c:v>
                </c:pt>
                <c:pt idx="7">
                  <c:v>-11.02764060888175</c:v>
                </c:pt>
                <c:pt idx="8">
                  <c:v>-9.9712946623485852</c:v>
                </c:pt>
                <c:pt idx="9">
                  <c:v>-7.900036816111526</c:v>
                </c:pt>
                <c:pt idx="10">
                  <c:v>-7.5448517126855705</c:v>
                </c:pt>
                <c:pt idx="11">
                  <c:v>-12.80990794833837</c:v>
                </c:pt>
                <c:pt idx="12">
                  <c:v>-10.526395373972909</c:v>
                </c:pt>
                <c:pt idx="13">
                  <c:v>-8.9058745431594577</c:v>
                </c:pt>
                <c:pt idx="14">
                  <c:v>-6.3663328535796895</c:v>
                </c:pt>
                <c:pt idx="15">
                  <c:v>-9.800434969018438</c:v>
                </c:pt>
                <c:pt idx="16">
                  <c:v>-14.12986220998387</c:v>
                </c:pt>
                <c:pt idx="17">
                  <c:v>-16.595107957258964</c:v>
                </c:pt>
                <c:pt idx="18">
                  <c:v>-16.673706990082124</c:v>
                </c:pt>
                <c:pt idx="19">
                  <c:v>-15.707035536653336</c:v>
                </c:pt>
                <c:pt idx="20">
                  <c:v>-19.633449783694058</c:v>
                </c:pt>
                <c:pt idx="21">
                  <c:v>-23.788807201688929</c:v>
                </c:pt>
                <c:pt idx="22">
                  <c:v>-21.891965579068561</c:v>
                </c:pt>
                <c:pt idx="23">
                  <c:v>-21.870867995539985</c:v>
                </c:pt>
              </c:numCache>
            </c:numRef>
          </c:val>
        </c:ser>
        <c:ser>
          <c:idx val="2"/>
          <c:order val="2"/>
          <c:tx>
            <c:strRef>
              <c:f>'graphe fr'!$A$16</c:f>
              <c:strCache>
                <c:ptCount val="1"/>
                <c:pt idx="0">
                  <c:v>Evolution  future</c:v>
                </c:pt>
              </c:strCache>
            </c:strRef>
          </c:tx>
          <c:marker>
            <c:symbol val="none"/>
          </c:marker>
          <c:dLbls>
            <c:dLbl>
              <c:idx val="23"/>
              <c:layout>
                <c:manualLayout>
                  <c:x val="0"/>
                  <c:y val="-0.13899610519050232"/>
                </c:manualLayout>
              </c:layout>
              <c:tx>
                <c:rich>
                  <a:bodyPr/>
                  <a:lstStyle/>
                  <a:p>
                    <a:r>
                      <a:rPr lang="en-US" sz="1050" b="1"/>
                      <a:t>Evolution  future</a:t>
                    </a:r>
                  </a:p>
                </c:rich>
              </c:tx>
              <c:dLblPos val="r"/>
              <c:showVal val="1"/>
              <c:showSerName val="1"/>
            </c:dLbl>
            <c:delete val="1"/>
          </c:dLbls>
          <c:cat>
            <c:strRef>
              <c:f>'graphe fr'!$B$9:$Y$9</c:f>
              <c:strCache>
                <c:ptCount val="24"/>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strCache>
            </c:strRef>
          </c:cat>
          <c:val>
            <c:numRef>
              <c:f>'graphe fr'!$B$16:$Y$16</c:f>
              <c:numCache>
                <c:formatCode>#,##0.0</c:formatCode>
                <c:ptCount val="24"/>
                <c:pt idx="0">
                  <c:v>23.9</c:v>
                </c:pt>
                <c:pt idx="1">
                  <c:v>15.58418860861071</c:v>
                </c:pt>
                <c:pt idx="2">
                  <c:v>16.580364039590329</c:v>
                </c:pt>
                <c:pt idx="3">
                  <c:v>26.70594184910312</c:v>
                </c:pt>
                <c:pt idx="4">
                  <c:v>26.769154239001889</c:v>
                </c:pt>
                <c:pt idx="5">
                  <c:v>21.986954089697061</c:v>
                </c:pt>
                <c:pt idx="6">
                  <c:v>17.532817766676558</c:v>
                </c:pt>
                <c:pt idx="7">
                  <c:v>17.09400625121032</c:v>
                </c:pt>
                <c:pt idx="8">
                  <c:v>17.787694440036187</c:v>
                </c:pt>
                <c:pt idx="9">
                  <c:v>11.776375704730455</c:v>
                </c:pt>
                <c:pt idx="10">
                  <c:v>7.8068380126684715</c:v>
                </c:pt>
                <c:pt idx="11">
                  <c:v>9.3656519222157506</c:v>
                </c:pt>
                <c:pt idx="12">
                  <c:v>10.223761077165181</c:v>
                </c:pt>
                <c:pt idx="13">
                  <c:v>20.354548457792731</c:v>
                </c:pt>
                <c:pt idx="14">
                  <c:v>15.105327443781253</c:v>
                </c:pt>
                <c:pt idx="15">
                  <c:v>13.999505506513676</c:v>
                </c:pt>
                <c:pt idx="16">
                  <c:v>11.230833640450301</c:v>
                </c:pt>
                <c:pt idx="17">
                  <c:v>11.136340416980383</c:v>
                </c:pt>
                <c:pt idx="18">
                  <c:v>7.6658451594012798</c:v>
                </c:pt>
                <c:pt idx="19">
                  <c:v>10.649290737183625</c:v>
                </c:pt>
                <c:pt idx="20">
                  <c:v>4.5484811189173895</c:v>
                </c:pt>
                <c:pt idx="21">
                  <c:v>0.71644439200690369</c:v>
                </c:pt>
                <c:pt idx="22">
                  <c:v>2.7930128120198785</c:v>
                </c:pt>
                <c:pt idx="23">
                  <c:v>-1.7003971659207235</c:v>
                </c:pt>
              </c:numCache>
            </c:numRef>
          </c:val>
        </c:ser>
        <c:marker val="1"/>
        <c:axId val="101358976"/>
        <c:axId val="101610624"/>
      </c:lineChart>
      <c:catAx>
        <c:axId val="101358976"/>
        <c:scaling>
          <c:orientation val="minMax"/>
        </c:scaling>
        <c:axPos val="b"/>
        <c:majorTickMark val="none"/>
        <c:tickLblPos val="nextTo"/>
        <c:txPr>
          <a:bodyPr/>
          <a:lstStyle/>
          <a:p>
            <a:pPr>
              <a:defRPr sz="800" b="1"/>
            </a:pPr>
            <a:endParaRPr lang="fr-FR"/>
          </a:p>
        </c:txPr>
        <c:crossAx val="101610624"/>
        <c:crosses val="autoZero"/>
        <c:auto val="1"/>
        <c:lblAlgn val="ctr"/>
        <c:lblOffset val="100"/>
      </c:catAx>
      <c:valAx>
        <c:axId val="101610624"/>
        <c:scaling>
          <c:orientation val="minMax"/>
        </c:scaling>
        <c:axPos val="l"/>
        <c:majorGridlines/>
        <c:numFmt formatCode="#,##0.0" sourceLinked="1"/>
        <c:majorTickMark val="none"/>
        <c:tickLblPos val="nextTo"/>
        <c:txPr>
          <a:bodyPr/>
          <a:lstStyle/>
          <a:p>
            <a:pPr>
              <a:defRPr b="1"/>
            </a:pPr>
            <a:endParaRPr lang="fr-FR"/>
          </a:p>
        </c:txPr>
        <c:crossAx val="10135897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200"/>
            </a:pPr>
            <a:r>
              <a:rPr lang="fr-FR" sz="1200"/>
              <a:t>Perception  </a:t>
            </a:r>
            <a:r>
              <a:rPr lang="fr-FR" sz="1200" b="1" i="0" u="none" strike="noStrike" baseline="0"/>
              <a:t>des perspectives d'évolution des prix des produits alimentaires (en %)</a:t>
            </a:r>
            <a:endParaRPr lang="fr-FR" sz="1200"/>
          </a:p>
        </c:rich>
      </c:tx>
      <c:layout>
        <c:manualLayout>
          <c:xMode val="edge"/>
          <c:yMode val="edge"/>
          <c:x val="0.12182633420822422"/>
          <c:y val="2.782609203717348E-2"/>
        </c:manualLayout>
      </c:layout>
    </c:title>
    <c:plotArea>
      <c:layout>
        <c:manualLayout>
          <c:layoutTarget val="inner"/>
          <c:xMode val="edge"/>
          <c:yMode val="edge"/>
          <c:x val="3.2381869082774517E-2"/>
          <c:y val="0.23271895037550674"/>
          <c:w val="0.93888888888889688"/>
          <c:h val="0.56580142977865633"/>
        </c:manualLayout>
      </c:layout>
      <c:barChart>
        <c:barDir val="col"/>
        <c:grouping val="clustered"/>
        <c:ser>
          <c:idx val="0"/>
          <c:order val="0"/>
          <c:tx>
            <c:strRef>
              <c:f>'graphe fr'!$Q$110</c:f>
              <c:strCache>
                <c:ptCount val="1"/>
                <c:pt idx="0">
                  <c:v>augmentation</c:v>
                </c:pt>
              </c:strCache>
            </c:strRef>
          </c:tx>
          <c:dLbls>
            <c:showVal val="1"/>
          </c:dLbls>
          <c:cat>
            <c:strRef>
              <c:f>'graphe fr'!$R$109:$T$109</c:f>
              <c:strCache>
                <c:ptCount val="3"/>
                <c:pt idx="0">
                  <c:v>T4/12</c:v>
                </c:pt>
                <c:pt idx="1">
                  <c:v>T3/13</c:v>
                </c:pt>
                <c:pt idx="2">
                  <c:v>T4/13</c:v>
                </c:pt>
              </c:strCache>
            </c:strRef>
          </c:cat>
          <c:val>
            <c:numRef>
              <c:f>'graphe fr'!$R$110:$T$110</c:f>
              <c:numCache>
                <c:formatCode>#,##0.0%</c:formatCode>
                <c:ptCount val="3"/>
                <c:pt idx="0">
                  <c:v>0.72106883431187496</c:v>
                </c:pt>
                <c:pt idx="1">
                  <c:v>0.76683781813050311</c:v>
                </c:pt>
                <c:pt idx="2">
                  <c:v>0.77030286543735127</c:v>
                </c:pt>
              </c:numCache>
            </c:numRef>
          </c:val>
        </c:ser>
        <c:ser>
          <c:idx val="1"/>
          <c:order val="1"/>
          <c:tx>
            <c:strRef>
              <c:f>'graphe fr'!$Q$111</c:f>
              <c:strCache>
                <c:ptCount val="1"/>
                <c:pt idx="0">
                  <c:v>stagnation</c:v>
                </c:pt>
              </c:strCache>
            </c:strRef>
          </c:tx>
          <c:dLbls>
            <c:showVal val="1"/>
          </c:dLbls>
          <c:cat>
            <c:strRef>
              <c:f>'graphe fr'!$R$109:$T$109</c:f>
              <c:strCache>
                <c:ptCount val="3"/>
                <c:pt idx="0">
                  <c:v>T4/12</c:v>
                </c:pt>
                <c:pt idx="1">
                  <c:v>T3/13</c:v>
                </c:pt>
                <c:pt idx="2">
                  <c:v>T4/13</c:v>
                </c:pt>
              </c:strCache>
            </c:strRef>
          </c:cat>
          <c:val>
            <c:numRef>
              <c:f>'graphe fr'!$R$111:$T$111</c:f>
              <c:numCache>
                <c:formatCode>#,##0.0%</c:formatCode>
                <c:ptCount val="3"/>
                <c:pt idx="0">
                  <c:v>0.25835931383151728</c:v>
                </c:pt>
                <c:pt idx="1">
                  <c:v>0.22639892300025333</c:v>
                </c:pt>
                <c:pt idx="2">
                  <c:v>0.21987982755154489</c:v>
                </c:pt>
              </c:numCache>
            </c:numRef>
          </c:val>
        </c:ser>
        <c:ser>
          <c:idx val="2"/>
          <c:order val="2"/>
          <c:tx>
            <c:strRef>
              <c:f>'graphe fr'!$Q$112</c:f>
              <c:strCache>
                <c:ptCount val="1"/>
                <c:pt idx="0">
                  <c:v>diminution</c:v>
                </c:pt>
              </c:strCache>
            </c:strRef>
          </c:tx>
          <c:dLbls>
            <c:showVal val="1"/>
          </c:dLbls>
          <c:cat>
            <c:strRef>
              <c:f>'graphe fr'!$R$109:$T$109</c:f>
              <c:strCache>
                <c:ptCount val="3"/>
                <c:pt idx="0">
                  <c:v>T4/12</c:v>
                </c:pt>
                <c:pt idx="1">
                  <c:v>T3/13</c:v>
                </c:pt>
                <c:pt idx="2">
                  <c:v>T4/13</c:v>
                </c:pt>
              </c:strCache>
            </c:strRef>
          </c:cat>
          <c:val>
            <c:numRef>
              <c:f>'graphe fr'!$R$112:$T$112</c:f>
              <c:numCache>
                <c:formatCode>#,##0.0%</c:formatCode>
                <c:ptCount val="3"/>
                <c:pt idx="0">
                  <c:v>2.0571851856611895E-2</c:v>
                </c:pt>
                <c:pt idx="1">
                  <c:v>6.7632588692425931E-3</c:v>
                </c:pt>
                <c:pt idx="2">
                  <c:v>9.8173070111037767E-3</c:v>
                </c:pt>
              </c:numCache>
            </c:numRef>
          </c:val>
        </c:ser>
        <c:gapWidth val="75"/>
        <c:overlap val="-25"/>
        <c:axId val="85807872"/>
        <c:axId val="85809408"/>
      </c:barChart>
      <c:catAx>
        <c:axId val="85807872"/>
        <c:scaling>
          <c:orientation val="minMax"/>
        </c:scaling>
        <c:axPos val="b"/>
        <c:majorTickMark val="none"/>
        <c:tickLblPos val="nextTo"/>
        <c:crossAx val="85809408"/>
        <c:crosses val="autoZero"/>
        <c:auto val="1"/>
        <c:lblAlgn val="ctr"/>
        <c:lblOffset val="100"/>
      </c:catAx>
      <c:valAx>
        <c:axId val="85809408"/>
        <c:scaling>
          <c:orientation val="minMax"/>
        </c:scaling>
        <c:delete val="1"/>
        <c:axPos val="l"/>
        <c:numFmt formatCode="#,##0.0%" sourceLinked="1"/>
        <c:majorTickMark val="none"/>
        <c:tickLblPos val="none"/>
        <c:crossAx val="85807872"/>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fr-FR" sz="1200"/>
              <a:t>Perception </a:t>
            </a:r>
            <a:r>
              <a:rPr lang="fr-FR" sz="1200" b="1" i="0" baseline="0"/>
              <a:t>de l'évolution passée des prix des produits alimentaires (en %)</a:t>
            </a:r>
            <a:endParaRPr lang="fr-FR" sz="1200"/>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fr-FR" sz="1200"/>
              <a:t> </a:t>
            </a:r>
          </a:p>
        </c:rich>
      </c:tx>
    </c:title>
    <c:plotArea>
      <c:layout/>
      <c:barChart>
        <c:barDir val="col"/>
        <c:grouping val="clustered"/>
        <c:ser>
          <c:idx val="0"/>
          <c:order val="0"/>
          <c:tx>
            <c:strRef>
              <c:f>'graphe fr'!$Q$114</c:f>
              <c:strCache>
                <c:ptCount val="1"/>
                <c:pt idx="0">
                  <c:v>augmentation</c:v>
                </c:pt>
              </c:strCache>
            </c:strRef>
          </c:tx>
          <c:dLbls>
            <c:showVal val="1"/>
          </c:dLbls>
          <c:cat>
            <c:strRef>
              <c:f>'graphe fr'!$R$109:$T$109</c:f>
              <c:strCache>
                <c:ptCount val="3"/>
                <c:pt idx="0">
                  <c:v>T4/12</c:v>
                </c:pt>
                <c:pt idx="1">
                  <c:v>T3/13</c:v>
                </c:pt>
                <c:pt idx="2">
                  <c:v>T4/13</c:v>
                </c:pt>
              </c:strCache>
            </c:strRef>
          </c:cat>
          <c:val>
            <c:numRef>
              <c:f>'graphe fr'!$R$114:$T$114</c:f>
              <c:numCache>
                <c:formatCode>#,##0.0%</c:formatCode>
                <c:ptCount val="3"/>
                <c:pt idx="0">
                  <c:v>0.91822759954692856</c:v>
                </c:pt>
                <c:pt idx="1">
                  <c:v>0.91438433149499432</c:v>
                </c:pt>
                <c:pt idx="2">
                  <c:v>0.91900352935980567</c:v>
                </c:pt>
              </c:numCache>
            </c:numRef>
          </c:val>
        </c:ser>
        <c:ser>
          <c:idx val="1"/>
          <c:order val="1"/>
          <c:tx>
            <c:strRef>
              <c:f>'graphe fr'!$Q$115</c:f>
              <c:strCache>
                <c:ptCount val="1"/>
                <c:pt idx="0">
                  <c:v>stagnation</c:v>
                </c:pt>
              </c:strCache>
            </c:strRef>
          </c:tx>
          <c:dLbls>
            <c:showVal val="1"/>
          </c:dLbls>
          <c:cat>
            <c:strRef>
              <c:f>'graphe fr'!$R$109:$T$109</c:f>
              <c:strCache>
                <c:ptCount val="3"/>
                <c:pt idx="0">
                  <c:v>T4/12</c:v>
                </c:pt>
                <c:pt idx="1">
                  <c:v>T3/13</c:v>
                </c:pt>
                <c:pt idx="2">
                  <c:v>T4/13</c:v>
                </c:pt>
              </c:strCache>
            </c:strRef>
          </c:cat>
          <c:val>
            <c:numRef>
              <c:f>'graphe fr'!$R$115:$T$115</c:f>
              <c:numCache>
                <c:formatCode>#,##0.0%</c:formatCode>
                <c:ptCount val="3"/>
                <c:pt idx="0">
                  <c:v>6.9567536305170832E-2</c:v>
                </c:pt>
                <c:pt idx="1">
                  <c:v>7.6999999999999999E-2</c:v>
                </c:pt>
                <c:pt idx="2">
                  <c:v>7.0416966997420449E-2</c:v>
                </c:pt>
              </c:numCache>
            </c:numRef>
          </c:val>
        </c:ser>
        <c:ser>
          <c:idx val="2"/>
          <c:order val="2"/>
          <c:tx>
            <c:strRef>
              <c:f>'graphe fr'!$Q$116</c:f>
              <c:strCache>
                <c:ptCount val="1"/>
                <c:pt idx="0">
                  <c:v>diminution</c:v>
                </c:pt>
              </c:strCache>
            </c:strRef>
          </c:tx>
          <c:dLbls>
            <c:showVal val="1"/>
          </c:dLbls>
          <c:cat>
            <c:strRef>
              <c:f>'graphe fr'!$R$109:$T$109</c:f>
              <c:strCache>
                <c:ptCount val="3"/>
                <c:pt idx="0">
                  <c:v>T4/12</c:v>
                </c:pt>
                <c:pt idx="1">
                  <c:v>T3/13</c:v>
                </c:pt>
                <c:pt idx="2">
                  <c:v>T4/13</c:v>
                </c:pt>
              </c:strCache>
            </c:strRef>
          </c:cat>
          <c:val>
            <c:numRef>
              <c:f>'graphe fr'!$R$116:$T$116</c:f>
              <c:numCache>
                <c:formatCode>#,##0.0%</c:formatCode>
                <c:ptCount val="3"/>
                <c:pt idx="0">
                  <c:v>1.2204864147900313E-2</c:v>
                </c:pt>
                <c:pt idx="1">
                  <c:v>9.3045185762115797E-3</c:v>
                </c:pt>
                <c:pt idx="2">
                  <c:v>1.0579503642774421E-2</c:v>
                </c:pt>
              </c:numCache>
            </c:numRef>
          </c:val>
        </c:ser>
        <c:gapWidth val="75"/>
        <c:overlap val="-25"/>
        <c:axId val="59851520"/>
        <c:axId val="59853056"/>
      </c:barChart>
      <c:catAx>
        <c:axId val="59851520"/>
        <c:scaling>
          <c:orientation val="minMax"/>
        </c:scaling>
        <c:axPos val="b"/>
        <c:majorTickMark val="none"/>
        <c:tickLblPos val="nextTo"/>
        <c:crossAx val="59853056"/>
        <c:crosses val="autoZero"/>
        <c:auto val="1"/>
        <c:lblAlgn val="ctr"/>
        <c:lblOffset val="100"/>
      </c:catAx>
      <c:valAx>
        <c:axId val="59853056"/>
        <c:scaling>
          <c:orientation val="minMax"/>
        </c:scaling>
        <c:delete val="1"/>
        <c:axPos val="l"/>
        <c:numFmt formatCode="#,##0.0%" sourceLinked="1"/>
        <c:majorTickMark val="none"/>
        <c:tickLblPos val="none"/>
        <c:crossAx val="59851520"/>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B489-5246-455B-BDBA-65F34410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1939</Words>
  <Characters>10668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12582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user</cp:lastModifiedBy>
  <cp:revision>2</cp:revision>
  <cp:lastPrinted>2014-02-06T13:11:00Z</cp:lastPrinted>
  <dcterms:created xsi:type="dcterms:W3CDTF">2014-02-07T19:59:00Z</dcterms:created>
  <dcterms:modified xsi:type="dcterms:W3CDTF">2014-02-07T19:59:00Z</dcterms:modified>
</cp:coreProperties>
</file>