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B04B39">
      <w:pPr>
        <w:autoSpaceDE w:val="0"/>
        <w:autoSpaceDN w:val="0"/>
        <w:bidi w:val="0"/>
        <w:adjustRightInd w:val="0"/>
        <w:jc w:val="center"/>
        <w:rPr>
          <w:rFonts w:ascii="Garamond" w:hAnsi="Garamond" w:cs="Times New Roman"/>
          <w:b/>
          <w:bCs/>
          <w:noProof w:val="0"/>
          <w:color w:val="0000FF"/>
          <w:sz w:val="26"/>
          <w:szCs w:val="26"/>
          <w:rtl/>
        </w:rPr>
      </w:pPr>
      <w:r>
        <w:rPr>
          <w:rFonts w:ascii="Garamond" w:hAnsi="Garamond" w:cs="Times New Roman"/>
          <w:b/>
          <w:bCs/>
          <w:noProof w:val="0"/>
          <w:color w:val="0000FF"/>
          <w:sz w:val="26"/>
          <w:szCs w:val="26"/>
        </w:rPr>
        <w:t xml:space="preserve">      </w:t>
      </w:r>
    </w:p>
    <w:p w:rsidR="002D5AE8" w:rsidRDefault="002D5AE8">
      <w:pPr>
        <w:autoSpaceDE w:val="0"/>
        <w:autoSpaceDN w:val="0"/>
        <w:bidi w:val="0"/>
        <w:adjustRightInd w:val="0"/>
        <w:jc w:val="center"/>
        <w:rPr>
          <w:rFonts w:ascii="Garamond" w:hAnsi="Garamond" w:cs="Times New Roman"/>
          <w:b/>
          <w:bCs/>
          <w:noProof w:val="0"/>
          <w:color w:val="0000FF"/>
          <w:sz w:val="26"/>
          <w:szCs w:val="26"/>
          <w:rtl/>
        </w:rPr>
      </w:pPr>
    </w:p>
    <w:p w:rsidR="002D5AE8" w:rsidRDefault="002D5AE8">
      <w:pPr>
        <w:autoSpaceDE w:val="0"/>
        <w:autoSpaceDN w:val="0"/>
        <w:bidi w:val="0"/>
        <w:adjustRightInd w:val="0"/>
        <w:jc w:val="center"/>
        <w:rPr>
          <w:rFonts w:ascii="Garamond" w:hAnsi="Garamond" w:cs="Times New Roman"/>
          <w:b/>
          <w:bCs/>
          <w:noProof w:val="0"/>
          <w:color w:val="0000FF"/>
          <w:sz w:val="26"/>
          <w:szCs w:val="26"/>
        </w:rPr>
      </w:pPr>
    </w:p>
    <w:p w:rsidR="002D5AE8" w:rsidRDefault="002D5AE8">
      <w:pPr>
        <w:autoSpaceDE w:val="0"/>
        <w:autoSpaceDN w:val="0"/>
        <w:bidi w:val="0"/>
        <w:adjustRightInd w:val="0"/>
        <w:jc w:val="center"/>
        <w:rPr>
          <w:rFonts w:ascii="Goudy Old Style" w:hAnsi="Goudy Old Style" w:cs="Times New Roman"/>
          <w:b/>
          <w:bCs/>
          <w:noProof w:val="0"/>
          <w:color w:val="00B050"/>
          <w:sz w:val="26"/>
          <w:szCs w:val="26"/>
        </w:rPr>
      </w:pPr>
      <w:r>
        <w:rPr>
          <w:rFonts w:ascii="Goudy Old Style" w:hAnsi="Goudy Old Style" w:cs="Times New Roman"/>
          <w:b/>
          <w:bCs/>
          <w:noProof w:val="0"/>
          <w:color w:val="00B050"/>
          <w:sz w:val="26"/>
          <w:szCs w:val="26"/>
        </w:rPr>
        <w:t>NOTE D’INFORMATION DU HAUT COMMISSARIAT AU PLAN</w:t>
      </w:r>
    </w:p>
    <w:p w:rsidR="002D5AE8" w:rsidRDefault="002D5AE8">
      <w:pPr>
        <w:autoSpaceDE w:val="0"/>
        <w:autoSpaceDN w:val="0"/>
        <w:bidi w:val="0"/>
        <w:adjustRightInd w:val="0"/>
        <w:jc w:val="center"/>
        <w:rPr>
          <w:rFonts w:ascii="Goudy Old Style" w:hAnsi="Goudy Old Style" w:cs="Times New Roman"/>
          <w:b/>
          <w:bCs/>
          <w:noProof w:val="0"/>
          <w:color w:val="00B050"/>
          <w:sz w:val="26"/>
          <w:szCs w:val="26"/>
        </w:rPr>
      </w:pPr>
      <w:r>
        <w:rPr>
          <w:rFonts w:ascii="Goudy Old Style" w:hAnsi="Goudy Old Style" w:cs="Times New Roman"/>
          <w:b/>
          <w:bCs/>
          <w:noProof w:val="0"/>
          <w:color w:val="00B050"/>
          <w:sz w:val="26"/>
          <w:szCs w:val="26"/>
        </w:rPr>
        <w:t>AU SUJET DE LA SITUATION DU MARCHE DU TRAVAIL EN 2013</w:t>
      </w:r>
    </w:p>
    <w:p w:rsidR="002D5AE8" w:rsidRDefault="002D5AE8">
      <w:pPr>
        <w:autoSpaceDE w:val="0"/>
        <w:autoSpaceDN w:val="0"/>
        <w:bidi w:val="0"/>
        <w:adjustRightInd w:val="0"/>
        <w:rPr>
          <w:rFonts w:ascii="Garamond" w:hAnsi="Garamond" w:cs="Times New Roman"/>
          <w:noProof w:val="0"/>
          <w:color w:val="0000FF"/>
          <w:sz w:val="26"/>
          <w:szCs w:val="26"/>
        </w:rPr>
      </w:pPr>
    </w:p>
    <w:p w:rsidR="002D5AE8" w:rsidRDefault="002D5AE8">
      <w:pPr>
        <w:autoSpaceDE w:val="0"/>
        <w:autoSpaceDN w:val="0"/>
        <w:bidi w:val="0"/>
        <w:adjustRightInd w:val="0"/>
        <w:jc w:val="both"/>
        <w:rPr>
          <w:rFonts w:ascii="Garamond" w:hAnsi="Garamond" w:cs="Times New Roman"/>
          <w:b/>
          <w:bCs/>
          <w:noProof w:val="0"/>
          <w:color w:val="0000FF"/>
          <w:sz w:val="26"/>
          <w:szCs w:val="26"/>
        </w:rPr>
      </w:pPr>
    </w:p>
    <w:p w:rsidR="002D5AE8" w:rsidRDefault="002D5AE8">
      <w:pPr>
        <w:autoSpaceDE w:val="0"/>
        <w:autoSpaceDN w:val="0"/>
        <w:bidi w:val="0"/>
        <w:adjustRightInd w:val="0"/>
        <w:spacing w:before="240" w:line="276" w:lineRule="auto"/>
        <w:jc w:val="both"/>
        <w:rPr>
          <w:rFonts w:ascii="Garamond" w:hAnsi="Garamond" w:cs="Times New Roman"/>
          <w:b/>
          <w:bCs/>
          <w:noProof w:val="0"/>
          <w:color w:val="0070C0"/>
          <w:sz w:val="26"/>
          <w:szCs w:val="26"/>
        </w:rPr>
      </w:pPr>
    </w:p>
    <w:p w:rsidR="002D5AE8" w:rsidRDefault="002D5AE8" w:rsidP="009E41F8">
      <w:pPr>
        <w:autoSpaceDE w:val="0"/>
        <w:autoSpaceDN w:val="0"/>
        <w:bidi w:val="0"/>
        <w:adjustRightInd w:val="0"/>
        <w:spacing w:before="240" w:line="360" w:lineRule="auto"/>
        <w:jc w:val="both"/>
        <w:rPr>
          <w:rFonts w:ascii="Garamond" w:hAnsi="Garamond" w:cs="Times New Roman"/>
          <w:b/>
          <w:bCs/>
          <w:noProof w:val="0"/>
          <w:color w:val="0070C0"/>
          <w:sz w:val="26"/>
          <w:szCs w:val="26"/>
        </w:rPr>
      </w:pPr>
      <w:r>
        <w:rPr>
          <w:rFonts w:ascii="Garamond" w:hAnsi="Garamond" w:cs="Times New Roman"/>
          <w:b/>
          <w:bCs/>
          <w:noProof w:val="0"/>
          <w:color w:val="0070C0"/>
          <w:sz w:val="26"/>
          <w:szCs w:val="26"/>
        </w:rPr>
        <w:t xml:space="preserve">Entre les années 2012 et 2013, 114.000 postes d’emploi ont été créés, 26.000 en milieu urbain et 88.000 en milieu rural. Ces nouveaux emplois ont </w:t>
      </w:r>
      <w:r w:rsidR="00024BAD">
        <w:rPr>
          <w:rFonts w:ascii="Garamond" w:hAnsi="Garamond" w:cs="Times New Roman"/>
          <w:b/>
          <w:bCs/>
          <w:noProof w:val="0"/>
          <w:color w:val="0070C0"/>
          <w:sz w:val="26"/>
          <w:szCs w:val="26"/>
        </w:rPr>
        <w:t>profité  aux secteurs des</w:t>
      </w:r>
      <w:r>
        <w:rPr>
          <w:rFonts w:ascii="Garamond" w:hAnsi="Garamond" w:cs="Times New Roman"/>
          <w:b/>
          <w:bCs/>
          <w:noProof w:val="0"/>
          <w:color w:val="0070C0"/>
          <w:sz w:val="26"/>
          <w:szCs w:val="26"/>
        </w:rPr>
        <w:t xml:space="preserve">  </w:t>
      </w:r>
      <w:r w:rsidR="00024BAD">
        <w:rPr>
          <w:rFonts w:ascii="Garamond" w:hAnsi="Garamond" w:cs="Times New Roman"/>
          <w:b/>
          <w:bCs/>
          <w:noProof w:val="0"/>
          <w:color w:val="0070C0"/>
          <w:sz w:val="26"/>
          <w:szCs w:val="26"/>
        </w:rPr>
        <w:t xml:space="preserve">"services" avec </w:t>
      </w:r>
      <w:r>
        <w:rPr>
          <w:rFonts w:ascii="Garamond" w:hAnsi="Garamond" w:cs="Times New Roman"/>
          <w:b/>
          <w:bCs/>
          <w:noProof w:val="0"/>
          <w:color w:val="0070C0"/>
          <w:sz w:val="26"/>
          <w:szCs w:val="26"/>
        </w:rPr>
        <w:t>101.000 postes</w:t>
      </w:r>
      <w:r w:rsidR="00024BAD">
        <w:rPr>
          <w:rFonts w:ascii="Garamond" w:hAnsi="Garamond" w:cs="Times New Roman"/>
          <w:b/>
          <w:bCs/>
          <w:noProof w:val="0"/>
          <w:color w:val="0070C0"/>
          <w:sz w:val="26"/>
          <w:szCs w:val="26"/>
        </w:rPr>
        <w:t xml:space="preserve">, de l’"agriculture, forêt et pêche" avec </w:t>
      </w:r>
      <w:r>
        <w:rPr>
          <w:rFonts w:ascii="Garamond" w:hAnsi="Garamond" w:cs="Times New Roman"/>
          <w:b/>
          <w:bCs/>
          <w:noProof w:val="0"/>
          <w:color w:val="0070C0"/>
          <w:sz w:val="26"/>
          <w:szCs w:val="26"/>
        </w:rPr>
        <w:t>58.000 et de l’"industrie</w:t>
      </w:r>
      <w:r w:rsidR="009E41F8">
        <w:rPr>
          <w:rFonts w:ascii="Garamond" w:hAnsi="Garamond" w:cs="Times New Roman"/>
          <w:b/>
          <w:bCs/>
          <w:noProof w:val="0"/>
          <w:color w:val="0070C0"/>
          <w:sz w:val="26"/>
          <w:szCs w:val="26"/>
        </w:rPr>
        <w:t xml:space="preserve"> </w:t>
      </w:r>
      <w:r w:rsidR="009E41F8" w:rsidRPr="00C72633">
        <w:rPr>
          <w:rFonts w:ascii="Garamond" w:hAnsi="Garamond" w:cs="Times New Roman"/>
          <w:b/>
          <w:bCs/>
          <w:noProof w:val="0"/>
          <w:color w:val="0070C0"/>
          <w:sz w:val="26"/>
          <w:szCs w:val="26"/>
        </w:rPr>
        <w:t>y compris l'artisanat</w:t>
      </w:r>
      <w:r>
        <w:rPr>
          <w:rFonts w:ascii="Garamond" w:hAnsi="Garamond" w:cs="Times New Roman"/>
          <w:b/>
          <w:bCs/>
          <w:noProof w:val="0"/>
          <w:color w:val="0070C0"/>
          <w:sz w:val="26"/>
          <w:szCs w:val="26"/>
        </w:rPr>
        <w:t>"</w:t>
      </w:r>
      <w:r w:rsidR="00024BAD">
        <w:rPr>
          <w:rFonts w:ascii="Garamond" w:hAnsi="Garamond" w:cs="Times New Roman"/>
          <w:b/>
          <w:bCs/>
          <w:noProof w:val="0"/>
          <w:color w:val="0070C0"/>
          <w:sz w:val="26"/>
          <w:szCs w:val="26"/>
        </w:rPr>
        <w:t xml:space="preserve"> avec 5.000</w:t>
      </w:r>
      <w:r>
        <w:rPr>
          <w:rFonts w:ascii="Garamond" w:hAnsi="Garamond" w:cs="Times New Roman"/>
          <w:b/>
          <w:bCs/>
          <w:noProof w:val="0"/>
          <w:color w:val="0070C0"/>
          <w:sz w:val="26"/>
          <w:szCs w:val="26"/>
        </w:rPr>
        <w:t xml:space="preserve">. Le secteur des BTP a, quant à lui,  perdu 50.000 postes d’emploi. </w:t>
      </w:r>
    </w:p>
    <w:p w:rsidR="002D5AE8" w:rsidRDefault="002D5AE8" w:rsidP="00024BAD">
      <w:pPr>
        <w:autoSpaceDE w:val="0"/>
        <w:autoSpaceDN w:val="0"/>
        <w:bidi w:val="0"/>
        <w:adjustRightInd w:val="0"/>
        <w:spacing w:before="240" w:line="360" w:lineRule="auto"/>
        <w:jc w:val="both"/>
        <w:rPr>
          <w:rFonts w:ascii="Garamond" w:hAnsi="Garamond" w:cs="Times New Roman"/>
          <w:b/>
          <w:bCs/>
          <w:noProof w:val="0"/>
          <w:color w:val="0070C0"/>
          <w:sz w:val="26"/>
          <w:szCs w:val="26"/>
        </w:rPr>
      </w:pPr>
      <w:r>
        <w:rPr>
          <w:rFonts w:ascii="Garamond" w:hAnsi="Garamond" w:cs="Times New Roman"/>
          <w:b/>
          <w:bCs/>
          <w:noProof w:val="0"/>
          <w:color w:val="0070C0"/>
          <w:sz w:val="26"/>
          <w:szCs w:val="26"/>
        </w:rPr>
        <w:t xml:space="preserve">Dans ces conditions, le volume global du chômage a augmenté de 43.000 personnes au niveau national, résultat d’une hausse de 47.000 chômeurs en milieu urbain et d’une baisse de 4.000 en milieu rural. Le taux de chômage est passé de 13,4% à 14% en milieu urbain et a baissé de 4% à 3,8% en milieu rural. Au niveau national, il a connu une légère hausse de 0,2 point, passant de 9% à 9,2%. </w:t>
      </w:r>
      <w:r w:rsidR="003C135A">
        <w:rPr>
          <w:rFonts w:ascii="Garamond" w:hAnsi="Garamond" w:cs="Times New Roman"/>
          <w:b/>
          <w:bCs/>
          <w:noProof w:val="0"/>
          <w:color w:val="0070C0"/>
          <w:sz w:val="26"/>
          <w:szCs w:val="26"/>
        </w:rPr>
        <w:t>Le taux de chômage d</w:t>
      </w:r>
      <w:r>
        <w:rPr>
          <w:rFonts w:ascii="Garamond" w:hAnsi="Garamond" w:cs="Times New Roman"/>
          <w:b/>
          <w:bCs/>
          <w:noProof w:val="0"/>
          <w:color w:val="0070C0"/>
          <w:sz w:val="26"/>
          <w:szCs w:val="26"/>
        </w:rPr>
        <w:t>es jeunes âgés de 15 à 24 ans est passé de 18,6% à 19,3%</w:t>
      </w:r>
      <w:r w:rsidR="00522152">
        <w:rPr>
          <w:rFonts w:ascii="Garamond" w:hAnsi="Garamond" w:cs="Times New Roman"/>
          <w:b/>
          <w:bCs/>
          <w:noProof w:val="0"/>
          <w:color w:val="0070C0"/>
          <w:sz w:val="26"/>
          <w:szCs w:val="26"/>
        </w:rPr>
        <w:t xml:space="preserve"> et celui </w:t>
      </w:r>
      <w:r w:rsidR="00907210">
        <w:rPr>
          <w:rFonts w:ascii="Garamond" w:hAnsi="Garamond" w:cs="Times New Roman"/>
          <w:b/>
          <w:bCs/>
          <w:noProof w:val="0"/>
          <w:color w:val="0070C0"/>
          <w:sz w:val="26"/>
          <w:szCs w:val="26"/>
        </w:rPr>
        <w:t>de</w:t>
      </w:r>
      <w:r>
        <w:rPr>
          <w:rFonts w:ascii="Garamond" w:hAnsi="Garamond" w:cs="Times New Roman"/>
          <w:b/>
          <w:bCs/>
          <w:noProof w:val="0"/>
          <w:color w:val="0070C0"/>
          <w:sz w:val="26"/>
          <w:szCs w:val="26"/>
        </w:rPr>
        <w:t xml:space="preserve">s sans diplôme de 4% à 4,6%. </w:t>
      </w:r>
      <w:r w:rsidR="00522152">
        <w:rPr>
          <w:rFonts w:ascii="Garamond" w:hAnsi="Garamond" w:cs="Times New Roman"/>
          <w:b/>
          <w:bCs/>
          <w:noProof w:val="0"/>
          <w:color w:val="0070C0"/>
          <w:sz w:val="26"/>
          <w:szCs w:val="26"/>
        </w:rPr>
        <w:t>Par ailleurs, l</w:t>
      </w:r>
      <w:r>
        <w:rPr>
          <w:rFonts w:ascii="Garamond" w:hAnsi="Garamond" w:cs="Times New Roman"/>
          <w:b/>
          <w:bCs/>
          <w:noProof w:val="0"/>
          <w:color w:val="0070C0"/>
          <w:sz w:val="26"/>
          <w:szCs w:val="26"/>
        </w:rPr>
        <w:t>e taux de sous-emploi s’est maintenu à 9,2% au niveau national</w:t>
      </w:r>
      <w:r w:rsidR="00B05891">
        <w:rPr>
          <w:rFonts w:ascii="Garamond" w:hAnsi="Garamond" w:cs="Times New Roman"/>
          <w:b/>
          <w:bCs/>
          <w:noProof w:val="0"/>
          <w:color w:val="0070C0"/>
          <w:sz w:val="26"/>
          <w:szCs w:val="26"/>
        </w:rPr>
        <w:t xml:space="preserve"> </w:t>
      </w:r>
      <w:r>
        <w:rPr>
          <w:rFonts w:ascii="Garamond" w:hAnsi="Garamond" w:cs="Times New Roman"/>
          <w:b/>
          <w:bCs/>
          <w:noProof w:val="0"/>
          <w:color w:val="0070C0"/>
          <w:sz w:val="26"/>
          <w:szCs w:val="26"/>
        </w:rPr>
        <w:t xml:space="preserve">; il a baissé de 8,6% à 8,4% en milieu urbain et </w:t>
      </w:r>
      <w:r w:rsidR="00024BAD">
        <w:rPr>
          <w:rFonts w:ascii="Garamond" w:hAnsi="Garamond" w:cs="Times New Roman"/>
          <w:b/>
          <w:bCs/>
          <w:noProof w:val="0"/>
          <w:color w:val="0070C0"/>
          <w:sz w:val="26"/>
          <w:szCs w:val="26"/>
        </w:rPr>
        <w:t>progressé</w:t>
      </w:r>
      <w:r>
        <w:rPr>
          <w:rFonts w:ascii="Garamond" w:hAnsi="Garamond" w:cs="Times New Roman"/>
          <w:b/>
          <w:bCs/>
          <w:noProof w:val="0"/>
          <w:color w:val="0070C0"/>
          <w:sz w:val="26"/>
          <w:szCs w:val="26"/>
        </w:rPr>
        <w:t xml:space="preserve"> de 9,8% à 10,1% en milieu rural.</w:t>
      </w:r>
    </w:p>
    <w:p w:rsidR="002D5AE8" w:rsidRDefault="002D5AE8">
      <w:pPr>
        <w:autoSpaceDE w:val="0"/>
        <w:autoSpaceDN w:val="0"/>
        <w:bidi w:val="0"/>
        <w:adjustRightInd w:val="0"/>
        <w:spacing w:before="240" w:line="276" w:lineRule="auto"/>
        <w:jc w:val="both"/>
        <w:rPr>
          <w:rFonts w:ascii="Garamond" w:hAnsi="Garamond" w:cs="Times New Roman"/>
          <w:b/>
          <w:bCs/>
          <w:noProof w:val="0"/>
          <w:color w:val="0070C0"/>
          <w:sz w:val="26"/>
          <w:szCs w:val="26"/>
        </w:rPr>
      </w:pPr>
    </w:p>
    <w:p w:rsidR="002D5AE8" w:rsidRDefault="002D5AE8">
      <w:pPr>
        <w:bidi w:val="0"/>
        <w:rPr>
          <w:rFonts w:cs="Times New Roman"/>
          <w:noProof w:val="0"/>
          <w:sz w:val="24"/>
          <w:szCs w:val="24"/>
        </w:rPr>
      </w:pPr>
    </w:p>
    <w:p w:rsidR="002D5AE8" w:rsidRDefault="002D5AE8">
      <w:pPr>
        <w:jc w:val="right"/>
        <w:rPr>
          <w:rFonts w:ascii="Garamond" w:hAnsi="Garamond" w:cs="Times New Roman"/>
          <w:b/>
          <w:bCs/>
          <w:noProof w:val="0"/>
          <w:color w:val="0000FF"/>
          <w:sz w:val="26"/>
          <w:szCs w:val="26"/>
        </w:rPr>
      </w:pPr>
    </w:p>
    <w:p w:rsidR="004B0E02" w:rsidRDefault="002D5AE8" w:rsidP="004B0E02">
      <w:pPr>
        <w:bidi w:val="0"/>
        <w:rPr>
          <w:rFonts w:ascii="Garamond" w:hAnsi="Garamond" w:cs="Times New Roman"/>
          <w:b/>
          <w:bCs/>
          <w:noProof w:val="0"/>
          <w:color w:val="0000FF"/>
          <w:sz w:val="26"/>
          <w:szCs w:val="26"/>
        </w:rPr>
      </w:pPr>
      <w:r>
        <w:rPr>
          <w:rFonts w:ascii="Garamond" w:hAnsi="Garamond" w:cs="Times New Roman"/>
          <w:b/>
          <w:bCs/>
          <w:noProof w:val="0"/>
          <w:color w:val="0000FF"/>
          <w:sz w:val="26"/>
          <w:szCs w:val="26"/>
          <w:rtl/>
        </w:rPr>
        <w:br w:type="page"/>
      </w:r>
    </w:p>
    <w:p w:rsidR="002D5AE8" w:rsidRDefault="002D5AE8" w:rsidP="00B70B2F">
      <w:pPr>
        <w:bidi w:val="0"/>
        <w:rPr>
          <w:rFonts w:ascii="Garamond" w:hAnsi="Garamond" w:cs="Times New Roman"/>
          <w:b/>
          <w:bCs/>
          <w:noProof w:val="0"/>
          <w:color w:val="0070C0"/>
          <w:sz w:val="28"/>
          <w:szCs w:val="28"/>
        </w:rPr>
      </w:pPr>
      <w:r>
        <w:rPr>
          <w:rFonts w:ascii="Garamond" w:hAnsi="Garamond" w:cs="Times New Roman"/>
          <w:b/>
          <w:bCs/>
          <w:noProof w:val="0"/>
          <w:color w:val="0070C0"/>
          <w:sz w:val="28"/>
          <w:szCs w:val="28"/>
        </w:rPr>
        <w:lastRenderedPageBreak/>
        <w:t>Légère baisse des taux d’activité et d’emploi</w:t>
      </w:r>
    </w:p>
    <w:p w:rsidR="002D5AE8" w:rsidRDefault="002D5AE8">
      <w:pPr>
        <w:jc w:val="right"/>
        <w:rPr>
          <w:rFonts w:ascii="Garamond" w:hAnsi="Garamond" w:cs="Times New Roman"/>
          <w:b/>
          <w:bCs/>
          <w:noProof w:val="0"/>
          <w:color w:val="0000FF"/>
          <w:sz w:val="26"/>
          <w:szCs w:val="26"/>
        </w:rPr>
      </w:pPr>
    </w:p>
    <w:p w:rsidR="002D5AE8" w:rsidRDefault="002D5AE8" w:rsidP="00B70B2F">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Entre les années 2012 et 2013, la population active âgée de 15 ans et plus est passée de 11.549.000 à 11.706.000 personnes, ce qui correspond à une hausse de 1,4%. Cet accroissement reste en deçà de la hausse enregistrée par la population en âge d’activité (population âgée de 15 ans et plus), estimée à 1,6%. En conséquence, le taux d’activité a connu une baisse de 0,1 point au niveau national, passant de 48,4% en 2012 à 48,3% en 2013.</w:t>
      </w: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rsidP="00ED3C32">
      <w:pPr>
        <w:autoSpaceDE w:val="0"/>
        <w:autoSpaceDN w:val="0"/>
        <w:bidi w:val="0"/>
        <w:adjustRightInd w:val="0"/>
        <w:jc w:val="both"/>
        <w:rPr>
          <w:rFonts w:ascii="Garamond" w:hAnsi="Garamond" w:cs="Times New Roman"/>
          <w:sz w:val="26"/>
          <w:szCs w:val="26"/>
        </w:rPr>
      </w:pPr>
      <w:r>
        <w:rPr>
          <w:rFonts w:ascii="Garamond" w:hAnsi="Garamond" w:cs="Times New Roman"/>
          <w:noProof w:val="0"/>
          <w:sz w:val="26"/>
          <w:szCs w:val="26"/>
        </w:rPr>
        <w:t>En matière d’emploi, 90.000 postes d’emplois rémun</w:t>
      </w:r>
      <w:r w:rsidR="00024BAD">
        <w:rPr>
          <w:rFonts w:ascii="Garamond" w:hAnsi="Garamond" w:cs="Times New Roman"/>
          <w:noProof w:val="0"/>
          <w:sz w:val="26"/>
          <w:szCs w:val="26"/>
        </w:rPr>
        <w:t>érés ont été créés au cours de cette</w:t>
      </w:r>
      <w:r>
        <w:rPr>
          <w:rFonts w:ascii="Garamond" w:hAnsi="Garamond" w:cs="Times New Roman"/>
          <w:noProof w:val="0"/>
          <w:sz w:val="26"/>
          <w:szCs w:val="26"/>
        </w:rPr>
        <w:t xml:space="preserve"> période,</w:t>
      </w:r>
      <w:r w:rsidR="00024BAD">
        <w:rPr>
          <w:rFonts w:ascii="Garamond" w:hAnsi="Garamond" w:cs="Times New Roman"/>
          <w:noProof w:val="0"/>
          <w:sz w:val="26"/>
          <w:szCs w:val="26"/>
        </w:rPr>
        <w:t xml:space="preserve"> </w:t>
      </w:r>
      <w:r>
        <w:rPr>
          <w:rFonts w:ascii="Garamond" w:hAnsi="Garamond" w:cs="Times New Roman"/>
          <w:noProof w:val="0"/>
          <w:sz w:val="26"/>
          <w:szCs w:val="26"/>
        </w:rPr>
        <w:t xml:space="preserve">résultat d’une création de 23.000 postes en milieu urbain et de 67.000 en milieu rural. L’emploi non rémunéré a, </w:t>
      </w:r>
      <w:r w:rsidR="00522152">
        <w:rPr>
          <w:rFonts w:ascii="Garamond" w:hAnsi="Garamond" w:cs="Times New Roman"/>
          <w:noProof w:val="0"/>
          <w:sz w:val="26"/>
          <w:szCs w:val="26"/>
        </w:rPr>
        <w:t>également</w:t>
      </w:r>
      <w:r>
        <w:rPr>
          <w:rFonts w:ascii="Garamond" w:hAnsi="Garamond" w:cs="Times New Roman"/>
          <w:noProof w:val="0"/>
          <w:sz w:val="26"/>
          <w:szCs w:val="26"/>
        </w:rPr>
        <w:t xml:space="preserve">, enregistré une hausse de 21.000 postes en zones rurales et de 3.000 postes en zones urbaines, soit, au total, 24.000 postes créés. Les nouveaux emplois non rémunérés ont </w:t>
      </w:r>
      <w:r w:rsidR="00024BAD">
        <w:rPr>
          <w:rFonts w:ascii="Garamond" w:hAnsi="Garamond" w:cs="Times New Roman"/>
          <w:noProof w:val="0"/>
          <w:sz w:val="26"/>
          <w:szCs w:val="26"/>
        </w:rPr>
        <w:t xml:space="preserve">concerné principalement </w:t>
      </w:r>
      <w:r>
        <w:rPr>
          <w:rFonts w:ascii="Garamond" w:hAnsi="Garamond" w:cs="Times New Roman"/>
          <w:noProof w:val="0"/>
          <w:sz w:val="26"/>
          <w:szCs w:val="26"/>
        </w:rPr>
        <w:t xml:space="preserve">le secteur de l’"agriculture, forêt et pêche" (+26.000 postes contre un recul de 2.000 au niveau des autres secteurs) et </w:t>
      </w:r>
      <w:r w:rsidR="00522152">
        <w:rPr>
          <w:rFonts w:ascii="Garamond" w:hAnsi="Garamond" w:cs="Times New Roman"/>
          <w:noProof w:val="0"/>
          <w:sz w:val="26"/>
          <w:szCs w:val="26"/>
        </w:rPr>
        <w:t xml:space="preserve">bénéficié exclusivement </w:t>
      </w:r>
      <w:r>
        <w:rPr>
          <w:rFonts w:ascii="Garamond" w:hAnsi="Garamond" w:cs="Times New Roman"/>
          <w:noProof w:val="0"/>
          <w:sz w:val="26"/>
          <w:szCs w:val="26"/>
        </w:rPr>
        <w:t xml:space="preserve">aux femmes et ce, aussi bien en milieu urbain qu’en milieu rural.   </w:t>
      </w:r>
    </w:p>
    <w:p w:rsidR="002D5AE8" w:rsidRDefault="002D5AE8">
      <w:pPr>
        <w:autoSpaceDE w:val="0"/>
        <w:autoSpaceDN w:val="0"/>
        <w:adjustRightInd w:val="0"/>
        <w:spacing w:line="160" w:lineRule="exact"/>
        <w:jc w:val="right"/>
        <w:rPr>
          <w:rFonts w:ascii="Garamond" w:hAnsi="Garamond" w:cs="Times New Roman"/>
          <w:sz w:val="26"/>
          <w:szCs w:val="26"/>
        </w:rPr>
      </w:pPr>
    </w:p>
    <w:p w:rsidR="002D5AE8" w:rsidRDefault="002D5AE8">
      <w:pPr>
        <w:autoSpaceDE w:val="0"/>
        <w:autoSpaceDN w:val="0"/>
        <w:adjustRightInd w:val="0"/>
        <w:jc w:val="center"/>
        <w:rPr>
          <w:rFonts w:ascii="Garamond" w:hAnsi="Garamond" w:cs="Times New Roman"/>
          <w:b/>
          <w:bCs/>
          <w:noProof w:val="0"/>
          <w:sz w:val="26"/>
          <w:szCs w:val="26"/>
        </w:rPr>
      </w:pPr>
    </w:p>
    <w:p w:rsidR="002D5AE8" w:rsidRDefault="002D5AE8">
      <w:pPr>
        <w:autoSpaceDE w:val="0"/>
        <w:autoSpaceDN w:val="0"/>
        <w:adjustRightInd w:val="0"/>
        <w:jc w:val="center"/>
        <w:rPr>
          <w:rFonts w:ascii="Garamond" w:hAnsi="Garamond" w:cs="Times New Roman"/>
          <w:b/>
          <w:bCs/>
          <w:noProof w:val="0"/>
          <w:sz w:val="26"/>
          <w:szCs w:val="26"/>
        </w:rPr>
      </w:pPr>
      <w:r>
        <w:rPr>
          <w:rFonts w:ascii="Garamond" w:hAnsi="Garamond" w:cs="Times New Roman"/>
          <w:b/>
          <w:bCs/>
          <w:noProof w:val="0"/>
          <w:sz w:val="26"/>
          <w:szCs w:val="26"/>
        </w:rPr>
        <w:t>Figure 1 : Créations d’emplois entre 2012 et 2013 selon le milieu de résidence</w:t>
      </w:r>
    </w:p>
    <w:p w:rsidR="002D5AE8" w:rsidRDefault="002D5AE8">
      <w:pPr>
        <w:autoSpaceDE w:val="0"/>
        <w:autoSpaceDN w:val="0"/>
        <w:adjustRightInd w:val="0"/>
        <w:spacing w:line="160" w:lineRule="exact"/>
        <w:jc w:val="right"/>
        <w:rPr>
          <w:rFonts w:ascii="Garamond" w:hAnsi="Garamond" w:cs="Times New Roman"/>
          <w:sz w:val="26"/>
          <w:szCs w:val="26"/>
        </w:rPr>
      </w:pPr>
    </w:p>
    <w:p w:rsidR="002D5AE8" w:rsidRDefault="00B04B39">
      <w:pPr>
        <w:autoSpaceDE w:val="0"/>
        <w:autoSpaceDN w:val="0"/>
        <w:adjustRightInd w:val="0"/>
        <w:jc w:val="center"/>
        <w:rPr>
          <w:rFonts w:ascii="Garamond" w:hAnsi="Garamond" w:cs="Times New Roman"/>
          <w:b/>
          <w:bCs/>
          <w:sz w:val="26"/>
          <w:szCs w:val="26"/>
        </w:rPr>
      </w:pPr>
      <w:r>
        <w:rPr>
          <w:rFonts w:ascii="Garamond" w:hAnsi="Garamond" w:cs="Times New Roman"/>
          <w:b/>
          <w:bCs/>
          <w:sz w:val="26"/>
          <w:szCs w:val="26"/>
        </w:rPr>
        <w:drawing>
          <wp:inline distT="0" distB="0" distL="0" distR="0">
            <wp:extent cx="4565422" cy="2013202"/>
            <wp:effectExtent l="12180" t="6098" r="7098"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D5AE8" w:rsidRDefault="002D5AE8">
      <w:pPr>
        <w:autoSpaceDE w:val="0"/>
        <w:autoSpaceDN w:val="0"/>
        <w:bidi w:val="0"/>
        <w:adjustRightInd w:val="0"/>
        <w:rPr>
          <w:rFonts w:ascii="Garamond" w:hAnsi="Garamond" w:cs="Times New Roman"/>
          <w:noProof w:val="0"/>
          <w:sz w:val="26"/>
          <w:szCs w:val="26"/>
          <w:highlight w:val="yellow"/>
        </w:rPr>
      </w:pPr>
    </w:p>
    <w:p w:rsidR="002D5AE8" w:rsidRDefault="002D5AE8">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En conséquence, le volume global de l’emploi est passé de 10.511.000 en 2012 à 10.625.000 en 2013, soit une création nette de 114.000 postes d’emploi, résultat d’une création de 26.000 postes en zones urbaines et de 88.000 en zones rurales. Le taux d’emploi est passé, au cours de la même période,  de 44,1% à 43,8%. Il a baissé de 0,6 point en milieu urbain (de 37% à 36,4%) et s’est accru de 0,5 point en milieu rural (de 54,7% à 55,2%).</w:t>
      </w:r>
    </w:p>
    <w:p w:rsidR="002D5AE8" w:rsidRDefault="002D5AE8">
      <w:pPr>
        <w:jc w:val="right"/>
        <w:rPr>
          <w:rFonts w:ascii="Garamond" w:hAnsi="Garamond" w:cs="Times New Roman"/>
          <w:b/>
          <w:bCs/>
          <w:noProof w:val="0"/>
          <w:color w:val="0000FF"/>
          <w:sz w:val="26"/>
          <w:szCs w:val="26"/>
        </w:rPr>
      </w:pPr>
    </w:p>
    <w:p w:rsidR="002D5AE8" w:rsidRDefault="002D5AE8">
      <w:pPr>
        <w:pStyle w:val="Titre2"/>
        <w:rPr>
          <w:sz w:val="27"/>
          <w:szCs w:val="27"/>
        </w:rPr>
      </w:pPr>
      <w:r>
        <w:rPr>
          <w:sz w:val="27"/>
          <w:szCs w:val="27"/>
        </w:rPr>
        <w:t>Le secteur des BTP est le seul secteur ayant perdu des emplois au niveau national</w:t>
      </w:r>
    </w:p>
    <w:p w:rsidR="002D5AE8" w:rsidRDefault="002D5AE8">
      <w:pPr>
        <w:spacing w:line="266" w:lineRule="exact"/>
        <w:jc w:val="both"/>
        <w:rPr>
          <w:rFonts w:ascii="Garamond" w:hAnsi="Garamond" w:cs="Times New Roman"/>
          <w:sz w:val="26"/>
          <w:szCs w:val="26"/>
          <w:highlight w:val="yellow"/>
        </w:rPr>
      </w:pPr>
    </w:p>
    <w:p w:rsidR="002D5AE8" w:rsidRDefault="002D5AE8" w:rsidP="001F53B5">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Au niveau sectoriel, le secteur des BTP qui était l’un des principaux secteurs créateurs d’emplois au cours des dernières années (+55.000 emplois comme moyenne annuelle durant la période 2008-2011), a, depuis 2012, entamé une période de récession qui s’est traduite par une perte de 21.000 emplois en 2012 et de 50.000 en 2013. Les pertes d’emploi enregistrées en 2013 correspondent à une baisse de 4,8% du volume d'emploi dans ce secteur. En revanche, tous les autres secteurs ont vu leur volume d’emploi augmenter : </w:t>
      </w:r>
    </w:p>
    <w:p w:rsidR="002D5AE8" w:rsidRDefault="002D5AE8">
      <w:pPr>
        <w:autoSpaceDE w:val="0"/>
        <w:autoSpaceDN w:val="0"/>
        <w:bidi w:val="0"/>
        <w:adjustRightInd w:val="0"/>
        <w:rPr>
          <w:rFonts w:ascii="Garamond" w:hAnsi="Garamond" w:cs="Times New Roman"/>
          <w:noProof w:val="0"/>
          <w:sz w:val="26"/>
          <w:szCs w:val="26"/>
        </w:rPr>
      </w:pPr>
    </w:p>
    <w:p w:rsidR="002D5AE8" w:rsidRDefault="002D5AE8" w:rsidP="00024BAD">
      <w:pPr>
        <w:numPr>
          <w:ilvl w:val="0"/>
          <w:numId w:val="4"/>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les "services" avec 101.000 emplois </w:t>
      </w:r>
      <w:r w:rsidR="00B67802">
        <w:rPr>
          <w:rFonts w:ascii="Garamond" w:hAnsi="Garamond" w:cs="Times New Roman"/>
          <w:noProof w:val="0"/>
          <w:sz w:val="26"/>
          <w:szCs w:val="26"/>
        </w:rPr>
        <w:t>supplémentaires</w:t>
      </w:r>
      <w:r>
        <w:rPr>
          <w:rFonts w:ascii="Garamond" w:hAnsi="Garamond" w:cs="Times New Roman"/>
          <w:noProof w:val="0"/>
          <w:sz w:val="26"/>
          <w:szCs w:val="26"/>
        </w:rPr>
        <w:t xml:space="preserve"> (+2,4% du volume d’emploi du secteur), contre une création moyenne annuelle de 85.000 postes au cours de la période 2009-2012. Au niveau de ce secteur, les principales branches ayant contribué le plus à la création d’emploi</w:t>
      </w:r>
      <w:r w:rsidR="00B70B2F">
        <w:rPr>
          <w:rFonts w:ascii="Garamond" w:hAnsi="Garamond" w:cs="Times New Roman"/>
          <w:noProof w:val="0"/>
          <w:sz w:val="26"/>
          <w:szCs w:val="26"/>
        </w:rPr>
        <w:t>s</w:t>
      </w:r>
      <w:r>
        <w:rPr>
          <w:rFonts w:ascii="Garamond" w:hAnsi="Garamond" w:cs="Times New Roman"/>
          <w:noProof w:val="0"/>
          <w:sz w:val="26"/>
          <w:szCs w:val="26"/>
        </w:rPr>
        <w:t>, sont les "services personnels" (26.000 postes), le "commerce de détail et réparation d’articles domestiques" (25.000 postes dont 22.000 hors magasin) et les "services fournis principalement aux entreprises" (24.000 postes). En revanche, le</w:t>
      </w:r>
      <w:r w:rsidR="00024BAD">
        <w:rPr>
          <w:rFonts w:ascii="Garamond" w:hAnsi="Garamond" w:cs="Times New Roman"/>
          <w:noProof w:val="0"/>
          <w:sz w:val="26"/>
          <w:szCs w:val="26"/>
        </w:rPr>
        <w:t>s principales branches</w:t>
      </w:r>
      <w:r>
        <w:rPr>
          <w:rFonts w:ascii="Garamond" w:hAnsi="Garamond" w:cs="Times New Roman"/>
          <w:noProof w:val="0"/>
          <w:sz w:val="26"/>
          <w:szCs w:val="26"/>
        </w:rPr>
        <w:t xml:space="preserve"> </w:t>
      </w:r>
      <w:r w:rsidR="00024BAD">
        <w:rPr>
          <w:rFonts w:ascii="Garamond" w:hAnsi="Garamond" w:cs="Times New Roman"/>
          <w:noProof w:val="0"/>
          <w:sz w:val="26"/>
          <w:szCs w:val="26"/>
        </w:rPr>
        <w:t xml:space="preserve">ayant enregistré des pertes d’emplois au niveau de ce secteur sont  le </w:t>
      </w:r>
      <w:r>
        <w:rPr>
          <w:rFonts w:ascii="Garamond" w:hAnsi="Garamond" w:cs="Times New Roman"/>
          <w:noProof w:val="0"/>
          <w:sz w:val="26"/>
          <w:szCs w:val="26"/>
        </w:rPr>
        <w:t>"transport terrestre"</w:t>
      </w:r>
      <w:r w:rsidR="00024BAD">
        <w:rPr>
          <w:rFonts w:ascii="Garamond" w:hAnsi="Garamond" w:cs="Times New Roman"/>
          <w:noProof w:val="0"/>
          <w:sz w:val="26"/>
          <w:szCs w:val="26"/>
        </w:rPr>
        <w:t xml:space="preserve"> (-21.000</w:t>
      </w:r>
      <w:r w:rsidR="001F6125">
        <w:rPr>
          <w:rFonts w:ascii="Garamond" w:hAnsi="Garamond" w:cs="Times New Roman"/>
          <w:noProof w:val="0"/>
          <w:sz w:val="26"/>
          <w:szCs w:val="26"/>
        </w:rPr>
        <w:t xml:space="preserve"> postes</w:t>
      </w:r>
      <w:r w:rsidR="00024BAD">
        <w:rPr>
          <w:rFonts w:ascii="Garamond" w:hAnsi="Garamond" w:cs="Times New Roman"/>
          <w:noProof w:val="0"/>
          <w:sz w:val="26"/>
          <w:szCs w:val="26"/>
        </w:rPr>
        <w:t>)</w:t>
      </w:r>
      <w:r>
        <w:rPr>
          <w:rFonts w:ascii="Garamond" w:hAnsi="Garamond" w:cs="Times New Roman"/>
          <w:noProof w:val="0"/>
          <w:sz w:val="26"/>
          <w:szCs w:val="26"/>
        </w:rPr>
        <w:t xml:space="preserve"> et les "services auxiliaires des transports" </w:t>
      </w:r>
      <w:r w:rsidR="00024BAD">
        <w:rPr>
          <w:rFonts w:ascii="Garamond" w:hAnsi="Garamond" w:cs="Times New Roman"/>
          <w:noProof w:val="0"/>
          <w:sz w:val="26"/>
          <w:szCs w:val="26"/>
        </w:rPr>
        <w:t>(-11.000</w:t>
      </w:r>
      <w:r w:rsidR="001F6125">
        <w:rPr>
          <w:rFonts w:ascii="Garamond" w:hAnsi="Garamond" w:cs="Times New Roman"/>
          <w:noProof w:val="0"/>
          <w:sz w:val="26"/>
          <w:szCs w:val="26"/>
        </w:rPr>
        <w:t xml:space="preserve"> postes)</w:t>
      </w:r>
      <w:r>
        <w:rPr>
          <w:rFonts w:ascii="Garamond" w:hAnsi="Garamond" w:cs="Times New Roman"/>
          <w:noProof w:val="0"/>
          <w:sz w:val="26"/>
          <w:szCs w:val="26"/>
        </w:rPr>
        <w:t>.</w:t>
      </w: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numPr>
          <w:ilvl w:val="0"/>
          <w:numId w:val="4"/>
        </w:numPr>
        <w:autoSpaceDE w:val="0"/>
        <w:autoSpaceDN w:val="0"/>
        <w:bidi w:val="0"/>
        <w:adjustRightInd w:val="0"/>
        <w:rPr>
          <w:rFonts w:ascii="Garamond" w:hAnsi="Garamond" w:cs="Times New Roman"/>
          <w:noProof w:val="0"/>
          <w:sz w:val="26"/>
          <w:szCs w:val="26"/>
        </w:rPr>
      </w:pPr>
      <w:r>
        <w:rPr>
          <w:rFonts w:ascii="Garamond" w:hAnsi="Garamond" w:cs="Times New Roman"/>
          <w:noProof w:val="0"/>
          <w:sz w:val="26"/>
          <w:szCs w:val="26"/>
        </w:rPr>
        <w:t>l’"agriculture, forêt et pêche" avec 58.000 postes d’emploi nouveaux (+1,4%), contre une réduction moyenne annuelle de 12.000 au cours de la période 2009-2012 ;</w:t>
      </w:r>
    </w:p>
    <w:p w:rsidR="002D5AE8" w:rsidRDefault="002D5AE8">
      <w:pPr>
        <w:numPr>
          <w:ilvl w:val="0"/>
          <w:numId w:val="4"/>
        </w:numPr>
        <w:autoSpaceDE w:val="0"/>
        <w:autoSpaceDN w:val="0"/>
        <w:bidi w:val="0"/>
        <w:adjustRightInd w:val="0"/>
        <w:rPr>
          <w:rFonts w:ascii="Garamond" w:hAnsi="Garamond" w:cs="Times New Roman"/>
          <w:noProof w:val="0"/>
          <w:sz w:val="26"/>
          <w:szCs w:val="26"/>
        </w:rPr>
      </w:pPr>
      <w:r>
        <w:rPr>
          <w:rFonts w:ascii="Garamond" w:hAnsi="Garamond" w:cs="Times New Roman"/>
          <w:noProof w:val="0"/>
          <w:sz w:val="26"/>
          <w:szCs w:val="26"/>
        </w:rPr>
        <w:t>l’"industrie y compris l'artisanat" avec 5.000 postes d’emploi créés (+0,4%),  contre une baisse moyenne annuelle de 25.000 au cours de la période 2009-2012.</w:t>
      </w:r>
    </w:p>
    <w:p w:rsidR="002D5AE8" w:rsidRDefault="002D5AE8">
      <w:pPr>
        <w:spacing w:line="266" w:lineRule="exact"/>
        <w:jc w:val="both"/>
        <w:rPr>
          <w:rFonts w:ascii="Garamond" w:hAnsi="Garamond" w:cs="Times New Roman"/>
          <w:sz w:val="26"/>
          <w:szCs w:val="26"/>
        </w:rPr>
      </w:pPr>
    </w:p>
    <w:p w:rsidR="002D5AE8" w:rsidRDefault="002D5AE8">
      <w:pPr>
        <w:autoSpaceDE w:val="0"/>
        <w:autoSpaceDN w:val="0"/>
        <w:bidi w:val="0"/>
        <w:adjustRightInd w:val="0"/>
        <w:rPr>
          <w:rFonts w:ascii="Garamond" w:hAnsi="Garamond" w:cs="Times New Roman"/>
          <w:b/>
          <w:bCs/>
          <w:noProof w:val="0"/>
          <w:sz w:val="26"/>
          <w:szCs w:val="26"/>
        </w:rPr>
      </w:pPr>
      <w:r>
        <w:rPr>
          <w:rFonts w:ascii="Garamond" w:hAnsi="Garamond" w:cs="Times New Roman"/>
          <w:b/>
          <w:bCs/>
          <w:noProof w:val="0"/>
          <w:sz w:val="26"/>
          <w:szCs w:val="26"/>
        </w:rPr>
        <w:t>Figure 2. Créations nettes d’emplois par secteur d’activité économique et milieu de résidence</w:t>
      </w:r>
    </w:p>
    <w:p w:rsidR="002D5AE8" w:rsidRDefault="002D5AE8">
      <w:pPr>
        <w:autoSpaceDE w:val="0"/>
        <w:autoSpaceDN w:val="0"/>
        <w:bidi w:val="0"/>
        <w:adjustRightInd w:val="0"/>
        <w:rPr>
          <w:rFonts w:ascii="Garamond" w:hAnsi="Garamond" w:cs="Times New Roman"/>
          <w:b/>
          <w:bCs/>
          <w:noProof w:val="0"/>
          <w:sz w:val="26"/>
          <w:szCs w:val="26"/>
        </w:rPr>
      </w:pPr>
    </w:p>
    <w:p w:rsidR="002D5AE8" w:rsidRDefault="00B04B39">
      <w:pPr>
        <w:autoSpaceDE w:val="0"/>
        <w:autoSpaceDN w:val="0"/>
        <w:adjustRightInd w:val="0"/>
        <w:jc w:val="right"/>
        <w:rPr>
          <w:rFonts w:ascii="Garamond" w:hAnsi="Garamond" w:cs="Times New Roman"/>
          <w:sz w:val="26"/>
          <w:szCs w:val="26"/>
        </w:rPr>
      </w:pPr>
      <w:r>
        <w:rPr>
          <w:rFonts w:ascii="Garamond" w:hAnsi="Garamond" w:cs="Times New Roman"/>
          <w:sz w:val="26"/>
          <w:szCs w:val="26"/>
        </w:rPr>
        <w:drawing>
          <wp:inline distT="0" distB="0" distL="0" distR="0">
            <wp:extent cx="5977372" cy="2190988"/>
            <wp:effectExtent l="12189" t="6112" r="4839" b="0"/>
            <wp:docPr id="2"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5AE8" w:rsidRDefault="002D5AE8">
      <w:pPr>
        <w:autoSpaceDE w:val="0"/>
        <w:autoSpaceDN w:val="0"/>
        <w:adjustRightInd w:val="0"/>
        <w:jc w:val="right"/>
        <w:rPr>
          <w:rFonts w:ascii="Garamond" w:hAnsi="Garamond" w:cs="Times New Roman"/>
          <w:sz w:val="26"/>
          <w:szCs w:val="26"/>
        </w:rPr>
      </w:pPr>
    </w:p>
    <w:p w:rsidR="002D5AE8" w:rsidRDefault="002D5AE8" w:rsidP="00B67802">
      <w:p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b/>
          <w:bCs/>
          <w:noProof w:val="0"/>
          <w:sz w:val="26"/>
          <w:szCs w:val="26"/>
        </w:rPr>
        <w:t>En milieu urbain</w:t>
      </w:r>
      <w:r>
        <w:rPr>
          <w:rFonts w:ascii="Garamond" w:hAnsi="Garamond" w:cs="Times New Roman"/>
          <w:noProof w:val="0"/>
          <w:sz w:val="26"/>
          <w:szCs w:val="26"/>
        </w:rPr>
        <w:t>, à l’exception du secteur des "services" qui a créé 100.000 postes d’emploi (+2,9% du volume de l’emploi du secteur), tous les autres secteurs ont connu des pertes d’emploi</w:t>
      </w:r>
      <w:r w:rsidR="00B67802">
        <w:rPr>
          <w:rFonts w:ascii="Garamond" w:hAnsi="Garamond" w:cs="Times New Roman"/>
          <w:noProof w:val="0"/>
          <w:sz w:val="26"/>
          <w:szCs w:val="26"/>
        </w:rPr>
        <w:t> ; c’est ainsi que :</w:t>
      </w:r>
    </w:p>
    <w:p w:rsidR="002D5AE8" w:rsidRDefault="002D5AE8" w:rsidP="00B67802">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 xml:space="preserve">le secteur des BTP a perdu 53.000 postes d’emploi (-8,3% du volume de l’emploi du secteur) ; </w:t>
      </w:r>
    </w:p>
    <w:p w:rsidR="002D5AE8" w:rsidRDefault="002D5AE8" w:rsidP="00024BAD">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celui de l’"industrie y compris l'artisanat"</w:t>
      </w:r>
      <w:r w:rsidR="00B67802">
        <w:rPr>
          <w:rFonts w:ascii="Garamond" w:hAnsi="Garamond" w:cs="Times New Roman"/>
          <w:noProof w:val="0"/>
          <w:sz w:val="26"/>
          <w:szCs w:val="26"/>
        </w:rPr>
        <w:t xml:space="preserve">, </w:t>
      </w:r>
      <w:r>
        <w:rPr>
          <w:rFonts w:ascii="Garamond" w:hAnsi="Garamond" w:cs="Times New Roman"/>
          <w:noProof w:val="0"/>
          <w:sz w:val="26"/>
          <w:szCs w:val="26"/>
        </w:rPr>
        <w:t>11.000 postes (-1,2%) ;</w:t>
      </w:r>
    </w:p>
    <w:p w:rsidR="002D5AE8" w:rsidRDefault="002D5AE8" w:rsidP="00024BAD">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celui de l’"agriculture, forêt et pêche", 9.000 postes (-3,5%) ;</w:t>
      </w:r>
    </w:p>
    <w:p w:rsidR="002D5AE8" w:rsidRDefault="002D5AE8" w:rsidP="00024BAD">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les "activit</w:t>
      </w:r>
      <w:r w:rsidR="00B67802">
        <w:rPr>
          <w:rFonts w:ascii="Garamond" w:hAnsi="Garamond" w:cs="Times New Roman"/>
          <w:noProof w:val="0"/>
          <w:sz w:val="26"/>
          <w:szCs w:val="26"/>
        </w:rPr>
        <w:t>és mal désignées", 1.000 postes</w:t>
      </w:r>
      <w:r>
        <w:rPr>
          <w:rFonts w:ascii="Garamond" w:hAnsi="Garamond" w:cs="Times New Roman"/>
          <w:noProof w:val="0"/>
          <w:sz w:val="26"/>
          <w:szCs w:val="26"/>
        </w:rPr>
        <w:t>.</w:t>
      </w:r>
    </w:p>
    <w:p w:rsidR="002D5AE8" w:rsidRDefault="002D5AE8">
      <w:pPr>
        <w:autoSpaceDE w:val="0"/>
        <w:autoSpaceDN w:val="0"/>
        <w:bidi w:val="0"/>
        <w:adjustRightInd w:val="0"/>
        <w:spacing w:line="276" w:lineRule="auto"/>
        <w:rPr>
          <w:rFonts w:ascii="Garamond" w:hAnsi="Garamond" w:cs="Times New Roman"/>
          <w:noProof w:val="0"/>
          <w:sz w:val="26"/>
          <w:szCs w:val="26"/>
        </w:rPr>
      </w:pPr>
    </w:p>
    <w:p w:rsidR="002D5AE8" w:rsidRDefault="002D5AE8">
      <w:p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b/>
          <w:bCs/>
          <w:noProof w:val="0"/>
          <w:sz w:val="26"/>
          <w:szCs w:val="26"/>
        </w:rPr>
        <w:t>En milieu rural</w:t>
      </w:r>
      <w:r>
        <w:rPr>
          <w:rFonts w:ascii="Garamond" w:hAnsi="Garamond" w:cs="Times New Roman"/>
          <w:noProof w:val="0"/>
          <w:sz w:val="26"/>
          <w:szCs w:val="26"/>
        </w:rPr>
        <w:t xml:space="preserve">, quoique à des degrés différents, tous les secteurs d’activité ont contribué à la création d’emplois : </w:t>
      </w:r>
    </w:p>
    <w:p w:rsidR="002D5AE8" w:rsidRDefault="002D5AE8">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 xml:space="preserve">l’"agriculture, forêt et pêche" avec 67.000 nouveaux postes d’emploi (+1,7% du volume de l’emploi du secteur) ; </w:t>
      </w:r>
    </w:p>
    <w:p w:rsidR="002D5AE8" w:rsidRDefault="002D5AE8" w:rsidP="00024BAD">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 xml:space="preserve">l’"industrie y compris l'artisanat" avec 16.000 (+7,7%) ; </w:t>
      </w:r>
    </w:p>
    <w:p w:rsidR="002D5AE8" w:rsidRDefault="002D5AE8" w:rsidP="00024BAD">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 xml:space="preserve">le secteur des BTP avec 3.000 (+0,7%) ; </w:t>
      </w:r>
    </w:p>
    <w:p w:rsidR="002D5AE8" w:rsidRDefault="002D5AE8" w:rsidP="003B73DF">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les "services" avec 1.000 (+0,1%) ;</w:t>
      </w:r>
    </w:p>
    <w:p w:rsidR="002D5AE8" w:rsidRDefault="002D5AE8" w:rsidP="003B73DF">
      <w:pPr>
        <w:numPr>
          <w:ilvl w:val="0"/>
          <w:numId w:val="6"/>
        </w:numPr>
        <w:autoSpaceDE w:val="0"/>
        <w:autoSpaceDN w:val="0"/>
        <w:bidi w:val="0"/>
        <w:adjustRightInd w:val="0"/>
        <w:spacing w:line="276" w:lineRule="auto"/>
        <w:rPr>
          <w:rFonts w:ascii="Garamond" w:hAnsi="Garamond" w:cs="Times New Roman"/>
          <w:noProof w:val="0"/>
          <w:sz w:val="26"/>
          <w:szCs w:val="26"/>
        </w:rPr>
      </w:pPr>
      <w:r>
        <w:rPr>
          <w:rFonts w:ascii="Garamond" w:hAnsi="Garamond" w:cs="Times New Roman"/>
          <w:noProof w:val="0"/>
          <w:sz w:val="26"/>
          <w:szCs w:val="26"/>
        </w:rPr>
        <w:t xml:space="preserve">les "activités mal désignées" </w:t>
      </w:r>
      <w:r w:rsidR="003B73DF">
        <w:rPr>
          <w:rFonts w:ascii="Garamond" w:hAnsi="Garamond" w:cs="Times New Roman"/>
          <w:noProof w:val="0"/>
          <w:sz w:val="26"/>
          <w:szCs w:val="26"/>
        </w:rPr>
        <w:t xml:space="preserve">avec </w:t>
      </w:r>
      <w:r>
        <w:rPr>
          <w:rFonts w:ascii="Garamond" w:hAnsi="Garamond" w:cs="Times New Roman"/>
          <w:noProof w:val="0"/>
          <w:sz w:val="26"/>
          <w:szCs w:val="26"/>
        </w:rPr>
        <w:t>1.000.</w:t>
      </w:r>
    </w:p>
    <w:p w:rsidR="002D5AE8" w:rsidRDefault="002D5AE8">
      <w:pPr>
        <w:spacing w:before="240"/>
        <w:jc w:val="right"/>
        <w:rPr>
          <w:rFonts w:ascii="Garamond" w:hAnsi="Garamond" w:cs="Times New Roman"/>
          <w:b/>
          <w:bCs/>
          <w:noProof w:val="0"/>
          <w:color w:val="0070C0"/>
          <w:sz w:val="28"/>
          <w:szCs w:val="28"/>
        </w:rPr>
      </w:pPr>
      <w:r>
        <w:rPr>
          <w:rFonts w:ascii="Garamond" w:hAnsi="Garamond" w:cs="Times New Roman"/>
          <w:b/>
          <w:bCs/>
          <w:noProof w:val="0"/>
          <w:color w:val="0070C0"/>
          <w:sz w:val="28"/>
          <w:szCs w:val="28"/>
        </w:rPr>
        <w:t>Légère hausse du taux de chômag</w:t>
      </w:r>
      <w:r w:rsidR="00B70B2F">
        <w:rPr>
          <w:rFonts w:ascii="Garamond" w:hAnsi="Garamond" w:cs="Times New Roman"/>
          <w:b/>
          <w:bCs/>
          <w:noProof w:val="0"/>
          <w:color w:val="0070C0"/>
          <w:sz w:val="28"/>
          <w:szCs w:val="28"/>
        </w:rPr>
        <w:t>e et stagnation du taux de sous-</w:t>
      </w:r>
      <w:r>
        <w:rPr>
          <w:rFonts w:ascii="Garamond" w:hAnsi="Garamond" w:cs="Times New Roman"/>
          <w:b/>
          <w:bCs/>
          <w:noProof w:val="0"/>
          <w:color w:val="0070C0"/>
          <w:sz w:val="28"/>
          <w:szCs w:val="28"/>
        </w:rPr>
        <w:t>emploi</w:t>
      </w:r>
    </w:p>
    <w:p w:rsidR="002D5AE8" w:rsidRDefault="002D5AE8">
      <w:pPr>
        <w:autoSpaceDE w:val="0"/>
        <w:autoSpaceDN w:val="0"/>
        <w:bidi w:val="0"/>
        <w:adjustRightInd w:val="0"/>
        <w:spacing w:before="240"/>
        <w:jc w:val="both"/>
        <w:rPr>
          <w:rFonts w:ascii="Garamond" w:hAnsi="Garamond" w:cs="Times New Roman"/>
          <w:noProof w:val="0"/>
          <w:sz w:val="26"/>
          <w:szCs w:val="26"/>
        </w:rPr>
      </w:pPr>
      <w:r>
        <w:rPr>
          <w:rFonts w:ascii="Garamond" w:hAnsi="Garamond" w:cs="Times New Roman"/>
          <w:noProof w:val="0"/>
          <w:sz w:val="26"/>
          <w:szCs w:val="26"/>
        </w:rPr>
        <w:t>La population active en chômage s’est accrue de 4,1%</w:t>
      </w:r>
      <w:r>
        <w:rPr>
          <w:rFonts w:ascii="Garamond" w:hAnsi="Garamond" w:cs="Times New Roman"/>
          <w:noProof w:val="0"/>
          <w:color w:val="0000FF"/>
          <w:sz w:val="26"/>
          <w:szCs w:val="26"/>
        </w:rPr>
        <w:t xml:space="preserve"> </w:t>
      </w:r>
      <w:r>
        <w:rPr>
          <w:rFonts w:ascii="Garamond" w:hAnsi="Garamond" w:cs="Times New Roman"/>
          <w:noProof w:val="0"/>
          <w:sz w:val="26"/>
          <w:szCs w:val="26"/>
        </w:rPr>
        <w:t xml:space="preserve">au niveau national, passant de 1.038.000 en 2012 à 1.081.000 chômeurs en 2013, soit 43.000 chômeurs en plus (+47.000 en milieu urbain contre -4.000 en milieu rural). </w:t>
      </w: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En conséquence, le taux de chômage a connu, au niveau national, une légère hausse de 0,2 point, passant de 9% en 2012 à 9,2% en 2013. Selon le milieu de résidence, il s’est accru de 13,4% à 14% en milieu urbain et a baissé de 4% à 3,8% en milieu rural. Les hausses les plus importantes du taux de chômage ont été enregistrées en milieu urbain parmi les jeunes âgés de 15 à 24 ans (+2,5 points) et les sans diplôme (+1,2 point). En revanche, dans ces mêmes zones urbaines, le taux de chômage a régressé parmi les femmes (-0,2 point).</w:t>
      </w:r>
    </w:p>
    <w:p w:rsidR="002D5AE8" w:rsidRDefault="002D5AE8">
      <w:pPr>
        <w:autoSpaceDE w:val="0"/>
        <w:autoSpaceDN w:val="0"/>
        <w:bidi w:val="0"/>
        <w:adjustRightInd w:val="0"/>
        <w:jc w:val="both"/>
        <w:rPr>
          <w:rFonts w:ascii="Garamond" w:hAnsi="Garamond" w:cs="Times New Roman"/>
          <w:noProof w:val="0"/>
          <w:sz w:val="26"/>
          <w:szCs w:val="26"/>
        </w:rPr>
      </w:pPr>
    </w:p>
    <w:p w:rsidR="00216D98" w:rsidRDefault="002D5AE8">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Par ailleurs, il y a lieu de souligner, que le chômage demeure élevé chez certaines catégories de la population, notamment les diplômés et les jeunes âgés de 15 à 24 ans.                    </w:t>
      </w:r>
    </w:p>
    <w:p w:rsidR="00216D98" w:rsidRDefault="00216D98" w:rsidP="00216D98">
      <w:pPr>
        <w:autoSpaceDE w:val="0"/>
        <w:autoSpaceDN w:val="0"/>
        <w:bidi w:val="0"/>
        <w:adjustRightInd w:val="0"/>
        <w:jc w:val="both"/>
        <w:rPr>
          <w:rFonts w:ascii="Garamond" w:hAnsi="Garamond" w:cs="Times New Roman"/>
          <w:noProof w:val="0"/>
          <w:sz w:val="26"/>
          <w:szCs w:val="26"/>
        </w:rPr>
      </w:pPr>
    </w:p>
    <w:p w:rsidR="002D5AE8" w:rsidRDefault="002D5AE8" w:rsidP="00ED3C32">
      <w:pPr>
        <w:autoSpaceDE w:val="0"/>
        <w:autoSpaceDN w:val="0"/>
        <w:bidi w:val="0"/>
        <w:adjustRightInd w:val="0"/>
        <w:jc w:val="both"/>
        <w:rPr>
          <w:rFonts w:ascii="Garamond" w:hAnsi="Garamond" w:cs="Times New Roman"/>
          <w:noProof w:val="0"/>
          <w:sz w:val="26"/>
          <w:szCs w:val="26"/>
        </w:rPr>
      </w:pPr>
      <w:r w:rsidRPr="00216D98">
        <w:rPr>
          <w:rFonts w:ascii="Garamond" w:hAnsi="Garamond" w:cs="Times New Roman"/>
          <w:noProof w:val="0"/>
          <w:sz w:val="26"/>
          <w:szCs w:val="26"/>
        </w:rPr>
        <w:t>Selon le diplôme</w:t>
      </w:r>
      <w:r>
        <w:rPr>
          <w:rFonts w:ascii="Garamond" w:hAnsi="Garamond" w:cs="Times New Roman"/>
          <w:noProof w:val="0"/>
          <w:sz w:val="26"/>
          <w:szCs w:val="26"/>
        </w:rPr>
        <w:t xml:space="preserve">, si le taux de chômage des non diplômés n’excède généralement pas les 5%, </w:t>
      </w:r>
      <w:r w:rsidR="00ED3C32">
        <w:rPr>
          <w:rFonts w:ascii="Garamond" w:hAnsi="Garamond" w:cs="Times New Roman"/>
          <w:noProof w:val="0"/>
          <w:sz w:val="26"/>
          <w:szCs w:val="26"/>
        </w:rPr>
        <w:t>il reste élevé parmi les</w:t>
      </w:r>
      <w:r w:rsidR="00065C72">
        <w:rPr>
          <w:rFonts w:ascii="Garamond" w:hAnsi="Garamond" w:cs="Times New Roman"/>
          <w:noProof w:val="0"/>
          <w:sz w:val="26"/>
          <w:szCs w:val="26"/>
        </w:rPr>
        <w:t xml:space="preserve"> diplômés</w:t>
      </w:r>
      <w:r>
        <w:rPr>
          <w:rFonts w:ascii="Garamond" w:hAnsi="Garamond" w:cs="Times New Roman"/>
          <w:noProof w:val="0"/>
          <w:sz w:val="26"/>
          <w:szCs w:val="26"/>
        </w:rPr>
        <w:t>:</w:t>
      </w:r>
    </w:p>
    <w:p w:rsidR="002D5AE8" w:rsidRDefault="002D5AE8" w:rsidP="003B73DF">
      <w:pPr>
        <w:numPr>
          <w:ilvl w:val="1"/>
          <w:numId w:val="8"/>
        </w:numPr>
        <w:overflowPunct w:val="0"/>
        <w:autoSpaceDE w:val="0"/>
        <w:autoSpaceDN w:val="0"/>
        <w:bidi w:val="0"/>
        <w:adjustRightInd w:val="0"/>
        <w:ind w:left="1068" w:right="357"/>
        <w:jc w:val="lowKashida"/>
        <w:textAlignment w:val="baseline"/>
        <w:rPr>
          <w:rFonts w:ascii="Garamond" w:hAnsi="Garamond" w:cs="Times New Roman"/>
          <w:b/>
          <w:bCs/>
          <w:sz w:val="26"/>
          <w:szCs w:val="26"/>
        </w:rPr>
      </w:pPr>
      <w:r>
        <w:rPr>
          <w:rFonts w:ascii="Garamond" w:hAnsi="Garamond" w:cs="Times New Roman"/>
          <w:sz w:val="26"/>
          <w:szCs w:val="26"/>
        </w:rPr>
        <w:t xml:space="preserve">de niveau supérieur </w:t>
      </w:r>
      <w:r w:rsidR="003B73DF">
        <w:rPr>
          <w:rFonts w:ascii="Garamond" w:hAnsi="Garamond" w:cs="Times New Roman"/>
          <w:sz w:val="26"/>
          <w:szCs w:val="26"/>
        </w:rPr>
        <w:t xml:space="preserve">avec </w:t>
      </w:r>
      <w:r>
        <w:rPr>
          <w:rFonts w:ascii="Garamond" w:hAnsi="Garamond" w:cs="Times New Roman"/>
          <w:sz w:val="26"/>
          <w:szCs w:val="26"/>
        </w:rPr>
        <w:t>18,8%, particulirement les diplômés de facultés (22,1%) et les techniciens supérieurs (25,1%) ;</w:t>
      </w:r>
    </w:p>
    <w:p w:rsidR="002D5AE8" w:rsidRDefault="002D5AE8" w:rsidP="003B73DF">
      <w:pPr>
        <w:numPr>
          <w:ilvl w:val="1"/>
          <w:numId w:val="8"/>
        </w:numPr>
        <w:overflowPunct w:val="0"/>
        <w:autoSpaceDE w:val="0"/>
        <w:autoSpaceDN w:val="0"/>
        <w:bidi w:val="0"/>
        <w:adjustRightInd w:val="0"/>
        <w:ind w:left="1068" w:right="357"/>
        <w:jc w:val="lowKashida"/>
        <w:textAlignment w:val="baseline"/>
        <w:rPr>
          <w:rFonts w:ascii="Garamond" w:hAnsi="Garamond" w:cs="Times New Roman"/>
          <w:b/>
          <w:bCs/>
          <w:sz w:val="26"/>
          <w:szCs w:val="26"/>
        </w:rPr>
      </w:pPr>
      <w:r>
        <w:rPr>
          <w:rFonts w:ascii="Garamond" w:hAnsi="Garamond" w:cs="Times New Roman"/>
          <w:sz w:val="26"/>
          <w:szCs w:val="26"/>
        </w:rPr>
        <w:t xml:space="preserve">de niveau moyen </w:t>
      </w:r>
      <w:r w:rsidR="003B73DF">
        <w:rPr>
          <w:rFonts w:ascii="Garamond" w:hAnsi="Garamond" w:cs="Times New Roman"/>
          <w:sz w:val="26"/>
          <w:szCs w:val="26"/>
        </w:rPr>
        <w:t>avec 15,1%</w:t>
      </w:r>
      <w:r>
        <w:rPr>
          <w:rFonts w:ascii="Garamond" w:hAnsi="Garamond" w:cs="Times New Roman"/>
          <w:sz w:val="26"/>
          <w:szCs w:val="26"/>
        </w:rPr>
        <w:t>, notamment ceux de la qualification professionnelle (21,4%) et les diplômés de spécialisation professionnelle (22,1%).</w:t>
      </w:r>
    </w:p>
    <w:p w:rsidR="002D5AE8" w:rsidRDefault="003D70E6" w:rsidP="003D70E6">
      <w:pPr>
        <w:overflowPunct w:val="0"/>
        <w:autoSpaceDE w:val="0"/>
        <w:autoSpaceDN w:val="0"/>
        <w:bidi w:val="0"/>
        <w:adjustRightInd w:val="0"/>
        <w:ind w:right="357"/>
        <w:jc w:val="lowKashida"/>
        <w:textAlignment w:val="baseline"/>
        <w:rPr>
          <w:rFonts w:ascii="Garamond" w:hAnsi="Garamond" w:cs="Times New Roman"/>
          <w:sz w:val="26"/>
          <w:szCs w:val="26"/>
        </w:rPr>
      </w:pPr>
      <w:r>
        <w:rPr>
          <w:rFonts w:ascii="Garamond" w:hAnsi="Garamond" w:cs="Times New Roman"/>
          <w:sz w:val="26"/>
          <w:szCs w:val="26"/>
        </w:rPr>
        <w:t>Parmi</w:t>
      </w:r>
      <w:r w:rsidR="00216D98" w:rsidRPr="00216D98">
        <w:rPr>
          <w:rFonts w:ascii="Garamond" w:hAnsi="Garamond" w:cs="Times New Roman"/>
          <w:sz w:val="26"/>
          <w:szCs w:val="26"/>
        </w:rPr>
        <w:t xml:space="preserve"> les jeunes </w:t>
      </w:r>
      <w:r>
        <w:rPr>
          <w:rFonts w:ascii="Garamond" w:hAnsi="Garamond" w:cs="Times New Roman"/>
          <w:sz w:val="26"/>
          <w:szCs w:val="26"/>
        </w:rPr>
        <w:t>citadins âgés de 15 à 24 ans</w:t>
      </w:r>
      <w:r w:rsidR="002D5AE8">
        <w:rPr>
          <w:rFonts w:ascii="Garamond" w:hAnsi="Garamond" w:cs="Times New Roman"/>
          <w:sz w:val="26"/>
          <w:szCs w:val="26"/>
        </w:rPr>
        <w:t xml:space="preserve">, il est de 33,2% </w:t>
      </w:r>
      <w:r>
        <w:rPr>
          <w:rFonts w:ascii="Garamond" w:hAnsi="Garamond" w:cs="Times New Roman"/>
          <w:sz w:val="26"/>
          <w:szCs w:val="26"/>
        </w:rPr>
        <w:t>pour</w:t>
      </w:r>
      <w:r w:rsidR="002D5AE8">
        <w:rPr>
          <w:rFonts w:ascii="Garamond" w:hAnsi="Garamond" w:cs="Times New Roman"/>
          <w:sz w:val="26"/>
          <w:szCs w:val="26"/>
        </w:rPr>
        <w:t xml:space="preserve"> les </w:t>
      </w:r>
      <w:r w:rsidR="00216D98">
        <w:rPr>
          <w:rFonts w:ascii="Garamond" w:hAnsi="Garamond" w:cs="Times New Roman"/>
          <w:sz w:val="26"/>
          <w:szCs w:val="26"/>
        </w:rPr>
        <w:t>hommes</w:t>
      </w:r>
      <w:r w:rsidR="002D5AE8">
        <w:rPr>
          <w:rFonts w:ascii="Garamond" w:hAnsi="Garamond" w:cs="Times New Roman"/>
          <w:sz w:val="26"/>
          <w:szCs w:val="26"/>
        </w:rPr>
        <w:t xml:space="preserve"> et de 44,9% </w:t>
      </w:r>
      <w:r>
        <w:rPr>
          <w:rFonts w:ascii="Garamond" w:hAnsi="Garamond" w:cs="Times New Roman"/>
          <w:sz w:val="26"/>
          <w:szCs w:val="26"/>
        </w:rPr>
        <w:t>pour</w:t>
      </w:r>
      <w:r w:rsidR="002D5AE8">
        <w:rPr>
          <w:rFonts w:ascii="Garamond" w:hAnsi="Garamond" w:cs="Times New Roman"/>
          <w:sz w:val="26"/>
          <w:szCs w:val="26"/>
        </w:rPr>
        <w:t xml:space="preserve"> les </w:t>
      </w:r>
      <w:r w:rsidR="00216D98">
        <w:rPr>
          <w:rFonts w:ascii="Garamond" w:hAnsi="Garamond" w:cs="Times New Roman"/>
          <w:sz w:val="26"/>
          <w:szCs w:val="26"/>
        </w:rPr>
        <w:t>femmes</w:t>
      </w:r>
      <w:r w:rsidR="002D5AE8">
        <w:rPr>
          <w:rFonts w:ascii="Garamond" w:hAnsi="Garamond" w:cs="Times New Roman"/>
          <w:sz w:val="26"/>
          <w:szCs w:val="26"/>
        </w:rPr>
        <w:t xml:space="preserve">. </w:t>
      </w:r>
    </w:p>
    <w:p w:rsidR="00216D98" w:rsidRDefault="002D5AE8" w:rsidP="00216D98">
      <w:pPr>
        <w:autoSpaceDE w:val="0"/>
        <w:autoSpaceDN w:val="0"/>
        <w:bidi w:val="0"/>
        <w:adjustRightInd w:val="0"/>
        <w:spacing w:before="240"/>
        <w:jc w:val="both"/>
        <w:rPr>
          <w:rFonts w:ascii="Garamond" w:hAnsi="Garamond" w:cs="Times New Roman"/>
          <w:noProof w:val="0"/>
          <w:sz w:val="26"/>
          <w:szCs w:val="26"/>
        </w:rPr>
      </w:pPr>
      <w:r>
        <w:rPr>
          <w:rFonts w:ascii="Garamond" w:hAnsi="Garamond" w:cs="Times New Roman"/>
          <w:noProof w:val="0"/>
          <w:sz w:val="26"/>
          <w:szCs w:val="26"/>
        </w:rPr>
        <w:t>En outre, l’analyse des principales caractéristiques de la population active en chômage révèle que</w:t>
      </w:r>
      <w:r w:rsidR="00216D98">
        <w:rPr>
          <w:rFonts w:ascii="Garamond" w:hAnsi="Garamond" w:cs="Times New Roman"/>
          <w:noProof w:val="0"/>
          <w:sz w:val="26"/>
          <w:szCs w:val="26"/>
        </w:rPr>
        <w:t xml:space="preserve"> : </w:t>
      </w:r>
    </w:p>
    <w:p w:rsidR="00216D98" w:rsidRDefault="002D5AE8" w:rsidP="00216D98">
      <w:pPr>
        <w:numPr>
          <w:ilvl w:val="0"/>
          <w:numId w:val="9"/>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quatre chômeurs sur cinq (80,6%) sont cita</w:t>
      </w:r>
      <w:r w:rsidR="00216D98">
        <w:rPr>
          <w:rFonts w:ascii="Garamond" w:hAnsi="Garamond" w:cs="Times New Roman"/>
          <w:noProof w:val="0"/>
          <w:sz w:val="26"/>
          <w:szCs w:val="26"/>
        </w:rPr>
        <w:t>dins ;</w:t>
      </w:r>
    </w:p>
    <w:p w:rsidR="00216D98" w:rsidRDefault="002D5AE8" w:rsidP="00216D98">
      <w:pPr>
        <w:numPr>
          <w:ilvl w:val="0"/>
          <w:numId w:val="9"/>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près de deux sur trois </w:t>
      </w:r>
      <w:r w:rsidR="00216D98">
        <w:rPr>
          <w:rFonts w:ascii="Garamond" w:hAnsi="Garamond" w:cs="Times New Roman"/>
          <w:noProof w:val="0"/>
          <w:sz w:val="26"/>
          <w:szCs w:val="26"/>
        </w:rPr>
        <w:t>(64%) sont âgés de 15 à 29 ans ;</w:t>
      </w:r>
    </w:p>
    <w:p w:rsidR="00065C72" w:rsidRDefault="002D5AE8" w:rsidP="00065C72">
      <w:pPr>
        <w:numPr>
          <w:ilvl w:val="0"/>
          <w:numId w:val="9"/>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un sur quatre (26,0%) est diplômé de niveau supérieur</w:t>
      </w:r>
      <w:r w:rsidR="00065C72">
        <w:rPr>
          <w:rFonts w:ascii="Garamond" w:hAnsi="Garamond" w:cs="Times New Roman"/>
          <w:noProof w:val="0"/>
          <w:sz w:val="26"/>
          <w:szCs w:val="26"/>
        </w:rPr>
        <w:t> ;</w:t>
      </w:r>
      <w:r>
        <w:rPr>
          <w:rFonts w:ascii="Garamond" w:hAnsi="Garamond" w:cs="Times New Roman"/>
          <w:noProof w:val="0"/>
          <w:sz w:val="26"/>
          <w:szCs w:val="26"/>
        </w:rPr>
        <w:t xml:space="preserve"> </w:t>
      </w:r>
    </w:p>
    <w:p w:rsidR="00216D98" w:rsidRDefault="002D5AE8" w:rsidP="00065C72">
      <w:pPr>
        <w:numPr>
          <w:ilvl w:val="0"/>
          <w:numId w:val="9"/>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un sur deux (50,4%) est primo-demandeur d’emploi</w:t>
      </w:r>
      <w:r w:rsidR="00216D98">
        <w:rPr>
          <w:rFonts w:ascii="Garamond" w:hAnsi="Garamond" w:cs="Times New Roman"/>
          <w:noProof w:val="0"/>
          <w:sz w:val="26"/>
          <w:szCs w:val="26"/>
        </w:rPr>
        <w:t> ;</w:t>
      </w:r>
      <w:r>
        <w:rPr>
          <w:rFonts w:ascii="Garamond" w:hAnsi="Garamond" w:cs="Times New Roman"/>
          <w:noProof w:val="0"/>
          <w:sz w:val="26"/>
          <w:szCs w:val="26"/>
        </w:rPr>
        <w:t xml:space="preserve"> </w:t>
      </w:r>
    </w:p>
    <w:p w:rsidR="002D5AE8" w:rsidRDefault="002D5AE8" w:rsidP="00216D98">
      <w:pPr>
        <w:numPr>
          <w:ilvl w:val="0"/>
          <w:numId w:val="9"/>
        </w:num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et près de deux sur trois (64%) chôment depuis plus d’une année. </w:t>
      </w:r>
    </w:p>
    <w:p w:rsidR="002D5AE8" w:rsidRDefault="002D5AE8">
      <w:pPr>
        <w:autoSpaceDE w:val="0"/>
        <w:autoSpaceDN w:val="0"/>
        <w:bidi w:val="0"/>
        <w:adjustRightInd w:val="0"/>
        <w:spacing w:before="240" w:line="276" w:lineRule="auto"/>
        <w:jc w:val="both"/>
        <w:rPr>
          <w:rFonts w:ascii="Garamond" w:hAnsi="Garamond" w:cs="Times New Roman"/>
          <w:noProof w:val="0"/>
          <w:sz w:val="26"/>
          <w:szCs w:val="26"/>
        </w:rPr>
      </w:pPr>
      <w:r>
        <w:rPr>
          <w:rFonts w:ascii="Garamond" w:hAnsi="Garamond" w:cs="Times New Roman"/>
          <w:noProof w:val="0"/>
          <w:sz w:val="26"/>
          <w:szCs w:val="26"/>
        </w:rPr>
        <w:t>Par ailleurs, les principales circonstances suite auxquelles les personnes concernées sont en situation de chômage sont :</w:t>
      </w:r>
    </w:p>
    <w:p w:rsidR="002D5AE8" w:rsidRDefault="002D5AE8">
      <w:pPr>
        <w:numPr>
          <w:ilvl w:val="0"/>
          <w:numId w:val="7"/>
        </w:numPr>
        <w:autoSpaceDE w:val="0"/>
        <w:autoSpaceDN w:val="0"/>
        <w:bidi w:val="0"/>
        <w:adjustRightInd w:val="0"/>
        <w:spacing w:line="276" w:lineRule="auto"/>
        <w:jc w:val="both"/>
        <w:rPr>
          <w:rFonts w:ascii="Garamond" w:hAnsi="Garamond" w:cs="Times New Roman"/>
          <w:noProof w:val="0"/>
          <w:sz w:val="26"/>
          <w:szCs w:val="26"/>
        </w:rPr>
      </w:pPr>
      <w:r>
        <w:rPr>
          <w:rFonts w:ascii="Garamond" w:hAnsi="Garamond" w:cs="Times New Roman"/>
          <w:noProof w:val="0"/>
          <w:sz w:val="26"/>
          <w:szCs w:val="26"/>
        </w:rPr>
        <w:t xml:space="preserve">l’"arrêt de l’activité de l’établissement employeur ou licenciement " (26,5%) ; </w:t>
      </w:r>
    </w:p>
    <w:p w:rsidR="002D5AE8" w:rsidRDefault="002D5AE8">
      <w:pPr>
        <w:numPr>
          <w:ilvl w:val="0"/>
          <w:numId w:val="7"/>
        </w:numPr>
        <w:autoSpaceDE w:val="0"/>
        <w:autoSpaceDN w:val="0"/>
        <w:bidi w:val="0"/>
        <w:adjustRightInd w:val="0"/>
        <w:spacing w:line="276" w:lineRule="auto"/>
        <w:jc w:val="both"/>
        <w:rPr>
          <w:rFonts w:ascii="Garamond" w:hAnsi="Garamond" w:cs="Times New Roman"/>
          <w:noProof w:val="0"/>
          <w:sz w:val="26"/>
          <w:szCs w:val="26"/>
        </w:rPr>
      </w:pPr>
      <w:r>
        <w:rPr>
          <w:rFonts w:ascii="Garamond" w:hAnsi="Garamond" w:cs="Times New Roman"/>
          <w:noProof w:val="0"/>
          <w:sz w:val="26"/>
          <w:szCs w:val="26"/>
        </w:rPr>
        <w:t xml:space="preserve">l’"arrêt des études après obtention d’un diplôme" (20,7%) ; </w:t>
      </w:r>
    </w:p>
    <w:p w:rsidR="002D5AE8" w:rsidRDefault="002D5AE8">
      <w:pPr>
        <w:numPr>
          <w:ilvl w:val="0"/>
          <w:numId w:val="7"/>
        </w:numPr>
        <w:autoSpaceDE w:val="0"/>
        <w:autoSpaceDN w:val="0"/>
        <w:bidi w:val="0"/>
        <w:adjustRightInd w:val="0"/>
        <w:spacing w:line="276" w:lineRule="auto"/>
        <w:jc w:val="both"/>
        <w:rPr>
          <w:rFonts w:ascii="Garamond" w:hAnsi="Garamond" w:cs="Times New Roman"/>
          <w:noProof w:val="0"/>
          <w:sz w:val="26"/>
          <w:szCs w:val="26"/>
        </w:rPr>
      </w:pPr>
      <w:r>
        <w:rPr>
          <w:rFonts w:ascii="Garamond" w:hAnsi="Garamond" w:cs="Times New Roman"/>
          <w:noProof w:val="0"/>
          <w:sz w:val="26"/>
          <w:szCs w:val="26"/>
        </w:rPr>
        <w:t>l’"arrêt des études sans diplôme" (14,8%).</w:t>
      </w:r>
    </w:p>
    <w:p w:rsidR="002D5AE8" w:rsidRDefault="002D5AE8">
      <w:pPr>
        <w:autoSpaceDE w:val="0"/>
        <w:autoSpaceDN w:val="0"/>
        <w:bidi w:val="0"/>
        <w:adjustRightInd w:val="0"/>
        <w:jc w:val="center"/>
        <w:rPr>
          <w:rFonts w:ascii="Garamond" w:hAnsi="Garamond" w:cs="Times New Roman"/>
          <w:b/>
          <w:bCs/>
          <w:noProof w:val="0"/>
          <w:sz w:val="26"/>
          <w:szCs w:val="26"/>
        </w:rPr>
      </w:pPr>
    </w:p>
    <w:p w:rsidR="002D5AE8" w:rsidRDefault="002D5AE8">
      <w:pPr>
        <w:autoSpaceDE w:val="0"/>
        <w:autoSpaceDN w:val="0"/>
        <w:bidi w:val="0"/>
        <w:adjustRightInd w:val="0"/>
        <w:spacing w:after="120"/>
        <w:jc w:val="center"/>
        <w:rPr>
          <w:rFonts w:ascii="Garamond" w:hAnsi="Garamond" w:cs="Times New Roman"/>
          <w:b/>
          <w:bCs/>
          <w:noProof w:val="0"/>
          <w:sz w:val="26"/>
          <w:szCs w:val="26"/>
        </w:rPr>
      </w:pPr>
      <w:r>
        <w:rPr>
          <w:rFonts w:ascii="Garamond" w:hAnsi="Garamond" w:cs="Times New Roman"/>
          <w:b/>
          <w:bCs/>
          <w:noProof w:val="0"/>
          <w:sz w:val="26"/>
          <w:szCs w:val="26"/>
        </w:rPr>
        <w:br w:type="page"/>
        <w:t>Figure 3 : Evolution du taux de chômage par milieu de résidence (en%)</w:t>
      </w:r>
    </w:p>
    <w:p w:rsidR="002D5AE8" w:rsidRDefault="00B04B39">
      <w:pPr>
        <w:autoSpaceDE w:val="0"/>
        <w:autoSpaceDN w:val="0"/>
        <w:bidi w:val="0"/>
        <w:adjustRightInd w:val="0"/>
        <w:jc w:val="center"/>
        <w:rPr>
          <w:rFonts w:ascii="Garamond" w:hAnsi="Garamond" w:cs="Times New Roman"/>
          <w:sz w:val="26"/>
          <w:szCs w:val="26"/>
        </w:rPr>
      </w:pPr>
      <w:r>
        <w:rPr>
          <w:rFonts w:ascii="Garamond" w:hAnsi="Garamond" w:cs="Times New Roman"/>
          <w:sz w:val="26"/>
          <w:szCs w:val="26"/>
        </w:rPr>
        <w:drawing>
          <wp:inline distT="0" distB="0" distL="0" distR="0">
            <wp:extent cx="5330798" cy="2483092"/>
            <wp:effectExtent l="12188" t="6108" r="3714" b="0"/>
            <wp:docPr id="3"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5AE8" w:rsidRDefault="002D5AE8">
      <w:pPr>
        <w:autoSpaceDE w:val="0"/>
        <w:autoSpaceDN w:val="0"/>
        <w:bidi w:val="0"/>
        <w:adjustRightInd w:val="0"/>
        <w:spacing w:before="240"/>
        <w:jc w:val="both"/>
        <w:rPr>
          <w:rFonts w:ascii="Garamond" w:hAnsi="Garamond" w:cs="Times New Roman"/>
          <w:noProof w:val="0"/>
          <w:sz w:val="26"/>
          <w:szCs w:val="26"/>
        </w:rPr>
      </w:pPr>
      <w:r>
        <w:rPr>
          <w:rFonts w:ascii="Garamond" w:hAnsi="Garamond" w:cs="Times New Roman"/>
          <w:noProof w:val="0"/>
          <w:sz w:val="26"/>
          <w:szCs w:val="26"/>
        </w:rPr>
        <w:t>Concernant le sous emploi des actifs occupés âgés de 15 ans et plus, son volume s’est accru de 966.000 en 2012 à 978.000 personnes en 2013 (de 457.000 à 448.000 personnes dans les villes et de 509.000 à 530.000 dans les campagnes) et le taux de sous emploi s’est maintenu à  9,2% ; il a régressé de 8,6% à 8,4% dans les villes et a augmenté de 9,8% à 10,1% dans les campagnes.</w:t>
      </w:r>
    </w:p>
    <w:p w:rsidR="002D5AE8" w:rsidRDefault="002D5AE8">
      <w:pPr>
        <w:autoSpaceDE w:val="0"/>
        <w:autoSpaceDN w:val="0"/>
        <w:bidi w:val="0"/>
        <w:adjustRightInd w:val="0"/>
        <w:jc w:val="center"/>
        <w:rPr>
          <w:rFonts w:ascii="Garamond" w:hAnsi="Garamond" w:cs="Times New Roman"/>
          <w:b/>
          <w:bCs/>
          <w:noProof w:val="0"/>
          <w:sz w:val="26"/>
          <w:szCs w:val="26"/>
        </w:rPr>
      </w:pPr>
    </w:p>
    <w:p w:rsidR="002D5AE8" w:rsidRDefault="002D5AE8">
      <w:pPr>
        <w:autoSpaceDE w:val="0"/>
        <w:autoSpaceDN w:val="0"/>
        <w:bidi w:val="0"/>
        <w:adjustRightInd w:val="0"/>
        <w:jc w:val="center"/>
        <w:rPr>
          <w:rFonts w:ascii="Garamond" w:hAnsi="Garamond" w:cs="Times New Roman"/>
          <w:b/>
          <w:bCs/>
          <w:noProof w:val="0"/>
          <w:sz w:val="26"/>
          <w:szCs w:val="26"/>
        </w:rPr>
      </w:pPr>
      <w:r>
        <w:rPr>
          <w:rFonts w:ascii="Garamond" w:hAnsi="Garamond" w:cs="Times New Roman"/>
          <w:b/>
          <w:bCs/>
          <w:noProof w:val="0"/>
          <w:sz w:val="26"/>
          <w:szCs w:val="26"/>
        </w:rPr>
        <w:t>Figure 4 : Evolution du taux de sous-emploi par milieu de résidence (en%)</w:t>
      </w:r>
    </w:p>
    <w:p w:rsidR="002D5AE8" w:rsidRDefault="002D5AE8">
      <w:pPr>
        <w:autoSpaceDE w:val="0"/>
        <w:autoSpaceDN w:val="0"/>
        <w:bidi w:val="0"/>
        <w:adjustRightInd w:val="0"/>
        <w:rPr>
          <w:rFonts w:ascii="Garamond" w:hAnsi="Garamond" w:cs="Times New Roman"/>
          <w:sz w:val="26"/>
          <w:szCs w:val="26"/>
        </w:rPr>
      </w:pPr>
    </w:p>
    <w:p w:rsidR="002D5AE8" w:rsidRDefault="00B04B39">
      <w:pPr>
        <w:autoSpaceDE w:val="0"/>
        <w:autoSpaceDN w:val="0"/>
        <w:bidi w:val="0"/>
        <w:adjustRightInd w:val="0"/>
        <w:jc w:val="center"/>
        <w:rPr>
          <w:rFonts w:ascii="Garamond" w:hAnsi="Garamond" w:cs="Times New Roman"/>
          <w:noProof w:val="0"/>
          <w:color w:val="0000FF"/>
          <w:sz w:val="26"/>
          <w:szCs w:val="26"/>
        </w:rPr>
      </w:pPr>
      <w:r>
        <w:rPr>
          <w:rFonts w:ascii="Garamond" w:hAnsi="Garamond" w:cs="Times New Roman"/>
          <w:color w:val="0000FF"/>
          <w:sz w:val="26"/>
          <w:szCs w:val="26"/>
        </w:rPr>
        <w:drawing>
          <wp:inline distT="0" distB="0" distL="0" distR="0">
            <wp:extent cx="5213004" cy="2734840"/>
            <wp:effectExtent l="12204" t="6096" r="7192" b="2264"/>
            <wp:docPr id="4"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5AE8" w:rsidRDefault="002D5AE8">
      <w:pPr>
        <w:jc w:val="right"/>
        <w:rPr>
          <w:rFonts w:ascii="Garamond" w:hAnsi="Garamond" w:cs="Times New Roman"/>
          <w:b/>
          <w:bCs/>
          <w:noProof w:val="0"/>
          <w:color w:val="0070C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pPr>
        <w:autoSpaceDE w:val="0"/>
        <w:autoSpaceDN w:val="0"/>
        <w:bidi w:val="0"/>
        <w:adjustRightInd w:val="0"/>
        <w:jc w:val="both"/>
        <w:rPr>
          <w:rFonts w:ascii="Garamond" w:hAnsi="Garamond" w:cs="Times New Roman"/>
          <w:noProof w:val="0"/>
          <w:sz w:val="26"/>
          <w:szCs w:val="26"/>
        </w:rPr>
      </w:pPr>
    </w:p>
    <w:p w:rsidR="002D5AE8" w:rsidRDefault="002D5AE8" w:rsidP="00216D98">
      <w:pPr>
        <w:autoSpaceDE w:val="0"/>
        <w:autoSpaceDN w:val="0"/>
        <w:bidi w:val="0"/>
        <w:adjustRightInd w:val="0"/>
        <w:jc w:val="both"/>
        <w:rPr>
          <w:rFonts w:ascii="Garamond" w:hAnsi="Garamond" w:cs="Times New Roman"/>
          <w:noProof w:val="0"/>
          <w:sz w:val="26"/>
          <w:szCs w:val="26"/>
        </w:rPr>
      </w:pPr>
      <w:r>
        <w:rPr>
          <w:rFonts w:ascii="Garamond" w:hAnsi="Garamond" w:cs="Times New Roman"/>
          <w:noProof w:val="0"/>
          <w:sz w:val="26"/>
          <w:szCs w:val="26"/>
        </w:rPr>
        <w:t xml:space="preserve">Selon le secteur d’activité économique, les personnes exerçant dans les BTP sont les plus touchées par le sous emploi et ce, aussi bien en milieu urbain qu’en milieu rural (avec </w:t>
      </w:r>
      <w:r w:rsidR="00216D98">
        <w:rPr>
          <w:rFonts w:ascii="Garamond" w:hAnsi="Garamond" w:cs="Times New Roman"/>
          <w:noProof w:val="0"/>
          <w:sz w:val="26"/>
          <w:szCs w:val="26"/>
        </w:rPr>
        <w:t xml:space="preserve">un taux de </w:t>
      </w:r>
      <w:r>
        <w:rPr>
          <w:rFonts w:ascii="Garamond" w:hAnsi="Garamond" w:cs="Times New Roman"/>
          <w:noProof w:val="0"/>
          <w:sz w:val="26"/>
          <w:szCs w:val="26"/>
        </w:rPr>
        <w:t xml:space="preserve">16,5%), suivies par celles travaillant dans le secteur de l’"agriculture, forêt et pêche" (9,2%).   </w:t>
      </w:r>
    </w:p>
    <w:p w:rsidR="002D5AE8" w:rsidRDefault="002D5AE8">
      <w:pPr>
        <w:autoSpaceDE w:val="0"/>
        <w:autoSpaceDN w:val="0"/>
        <w:bidi w:val="0"/>
        <w:adjustRightInd w:val="0"/>
        <w:jc w:val="center"/>
        <w:rPr>
          <w:rFonts w:ascii="Garamond" w:hAnsi="Garamond" w:cs="Times New Roman"/>
          <w:b/>
          <w:bCs/>
          <w:noProof w:val="0"/>
          <w:sz w:val="26"/>
          <w:szCs w:val="26"/>
        </w:rPr>
      </w:pPr>
    </w:p>
    <w:p w:rsidR="002D5AE8" w:rsidRDefault="002D5AE8">
      <w:pPr>
        <w:autoSpaceDE w:val="0"/>
        <w:autoSpaceDN w:val="0"/>
        <w:bidi w:val="0"/>
        <w:adjustRightInd w:val="0"/>
        <w:jc w:val="center"/>
        <w:rPr>
          <w:rFonts w:ascii="Garamond" w:hAnsi="Garamond" w:cs="Times New Roman"/>
          <w:b/>
          <w:bCs/>
          <w:noProof w:val="0"/>
          <w:sz w:val="26"/>
          <w:szCs w:val="26"/>
        </w:rPr>
      </w:pPr>
      <w:r>
        <w:rPr>
          <w:rFonts w:ascii="Garamond" w:hAnsi="Garamond" w:cs="Times New Roman"/>
          <w:b/>
          <w:bCs/>
          <w:noProof w:val="0"/>
          <w:sz w:val="26"/>
          <w:szCs w:val="26"/>
        </w:rPr>
        <w:t>Figure 5 : Evolution du taux de sous-emploi par secteur d’activité (en%)</w:t>
      </w:r>
    </w:p>
    <w:p w:rsidR="002D5AE8" w:rsidRDefault="002D5AE8">
      <w:pPr>
        <w:autoSpaceDE w:val="0"/>
        <w:autoSpaceDN w:val="0"/>
        <w:bidi w:val="0"/>
        <w:adjustRightInd w:val="0"/>
        <w:jc w:val="center"/>
        <w:rPr>
          <w:rFonts w:ascii="Garamond" w:hAnsi="Garamond" w:cs="Times New Roman"/>
          <w:b/>
          <w:bCs/>
          <w:noProof w:val="0"/>
          <w:sz w:val="26"/>
          <w:szCs w:val="26"/>
        </w:rPr>
      </w:pPr>
    </w:p>
    <w:p w:rsidR="002D5AE8" w:rsidRDefault="00B04B39">
      <w:pPr>
        <w:jc w:val="center"/>
        <w:rPr>
          <w:rFonts w:ascii="Garamond" w:hAnsi="Garamond" w:cs="Times New Roman"/>
          <w:b/>
          <w:bCs/>
          <w:noProof w:val="0"/>
          <w:color w:val="0070C0"/>
          <w:sz w:val="26"/>
          <w:szCs w:val="26"/>
        </w:rPr>
      </w:pPr>
      <w:r>
        <w:rPr>
          <w:rFonts w:ascii="Garamond" w:hAnsi="Garamond" w:cs="Times New Roman"/>
          <w:b/>
          <w:bCs/>
          <w:color w:val="0070C0"/>
          <w:sz w:val="26"/>
          <w:szCs w:val="26"/>
        </w:rPr>
        <w:drawing>
          <wp:inline distT="0" distB="0" distL="0" distR="0">
            <wp:extent cx="4857617" cy="2378556"/>
            <wp:effectExtent l="12200" t="6114" r="6983" b="2930"/>
            <wp:docPr id="5"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5AE8" w:rsidRDefault="002D5AE8">
      <w:pPr>
        <w:jc w:val="right"/>
        <w:rPr>
          <w:rFonts w:ascii="Garamond" w:hAnsi="Garamond" w:cs="Times New Roman"/>
          <w:b/>
          <w:bCs/>
          <w:noProof w:val="0"/>
          <w:color w:val="0070C0"/>
          <w:sz w:val="26"/>
          <w:szCs w:val="26"/>
        </w:rPr>
      </w:pPr>
    </w:p>
    <w:p w:rsidR="002D5AE8" w:rsidRDefault="002D5AE8">
      <w:pPr>
        <w:jc w:val="right"/>
        <w:rPr>
          <w:rFonts w:ascii="Garamond" w:hAnsi="Garamond" w:cs="Times New Roman"/>
          <w:b/>
          <w:bCs/>
          <w:noProof w:val="0"/>
          <w:color w:val="0070C0"/>
          <w:sz w:val="26"/>
          <w:szCs w:val="26"/>
        </w:rPr>
      </w:pPr>
    </w:p>
    <w:p w:rsidR="002D5AE8" w:rsidRDefault="002D5AE8">
      <w:pPr>
        <w:jc w:val="right"/>
        <w:rPr>
          <w:rFonts w:ascii="Garamond" w:hAnsi="Garamond" w:cs="Times New Roman"/>
          <w:b/>
          <w:bCs/>
          <w:noProof w:val="0"/>
          <w:color w:val="0070C0"/>
          <w:sz w:val="28"/>
          <w:szCs w:val="28"/>
        </w:rPr>
      </w:pPr>
      <w:r>
        <w:rPr>
          <w:rFonts w:ascii="Garamond" w:hAnsi="Garamond" w:cs="Times New Roman"/>
          <w:b/>
          <w:bCs/>
          <w:noProof w:val="0"/>
          <w:color w:val="0070C0"/>
          <w:sz w:val="28"/>
          <w:szCs w:val="28"/>
        </w:rPr>
        <w:t>Rappel des chiffres trimestriels de l’année 2013</w:t>
      </w:r>
    </w:p>
    <w:p w:rsidR="002D5AE8" w:rsidRDefault="002D5AE8">
      <w:pPr>
        <w:jc w:val="right"/>
        <w:rPr>
          <w:rFonts w:ascii="Garamond" w:hAnsi="Garamond" w:cs="Times New Roman"/>
          <w:b/>
          <w:bCs/>
          <w:noProof w:val="0"/>
          <w:color w:val="0070C0"/>
          <w:sz w:val="26"/>
          <w:szCs w:val="26"/>
        </w:rPr>
      </w:pPr>
    </w:p>
    <w:p w:rsidR="002D5AE8" w:rsidRDefault="002D5AE8">
      <w:pPr>
        <w:autoSpaceDE w:val="0"/>
        <w:autoSpaceDN w:val="0"/>
        <w:bidi w:val="0"/>
        <w:adjustRightInd w:val="0"/>
        <w:rPr>
          <w:rFonts w:ascii="Garamond" w:hAnsi="Garamond" w:cs="Times New Roman"/>
          <w:noProof w:val="0"/>
          <w:sz w:val="26"/>
          <w:szCs w:val="26"/>
        </w:rPr>
      </w:pPr>
      <w:r>
        <w:rPr>
          <w:rFonts w:ascii="Garamond" w:hAnsi="Garamond" w:cs="Times New Roman"/>
          <w:noProof w:val="0"/>
          <w:sz w:val="26"/>
          <w:szCs w:val="26"/>
        </w:rPr>
        <w:t>L’évolution trimestrielle du taux de chômage au cours de l’année 2013, en comparaison avec 2012, est récapitulée dans le tableau ci-après.</w:t>
      </w:r>
    </w:p>
    <w:p w:rsidR="002D5AE8" w:rsidRDefault="002D5AE8">
      <w:pPr>
        <w:autoSpaceDE w:val="0"/>
        <w:autoSpaceDN w:val="0"/>
        <w:bidi w:val="0"/>
        <w:adjustRightInd w:val="0"/>
        <w:rPr>
          <w:rFonts w:ascii="Garamond" w:hAnsi="Garamond" w:cs="Times New Roman"/>
          <w:noProof w:val="0"/>
          <w:sz w:val="26"/>
          <w:szCs w:val="26"/>
        </w:rPr>
      </w:pPr>
    </w:p>
    <w:p w:rsidR="002D5AE8" w:rsidRDefault="002D5AE8">
      <w:pPr>
        <w:autoSpaceDE w:val="0"/>
        <w:autoSpaceDN w:val="0"/>
        <w:bidi w:val="0"/>
        <w:adjustRightInd w:val="0"/>
        <w:rPr>
          <w:rFonts w:ascii="Garamond" w:hAnsi="Garamond" w:cs="Times New Roman"/>
          <w:noProof w:val="0"/>
          <w:color w:val="0070C0"/>
          <w:sz w:val="26"/>
          <w:szCs w:val="26"/>
        </w:rPr>
      </w:pPr>
      <w:r>
        <w:rPr>
          <w:rFonts w:ascii="Garamond" w:hAnsi="Garamond" w:cs="Times New Roman"/>
          <w:noProof w:val="0"/>
          <w:sz w:val="26"/>
          <w:szCs w:val="26"/>
        </w:rPr>
        <w:t>Les informations détaillées relatives à chaque trimestre de l’année 2013, ainsi que les définitions des concepts utilisés peuvent être consultées sur le site internet du HCP (</w:t>
      </w:r>
      <w:r>
        <w:rPr>
          <w:rFonts w:ascii="Garamond" w:hAnsi="Garamond" w:cs="Times New Roman"/>
          <w:b/>
          <w:bCs/>
          <w:noProof w:val="0"/>
          <w:color w:val="0070C0"/>
          <w:sz w:val="26"/>
          <w:szCs w:val="26"/>
        </w:rPr>
        <w:t>www.hcp.ma).</w:t>
      </w:r>
    </w:p>
    <w:p w:rsidR="002D5AE8" w:rsidRDefault="002D5AE8">
      <w:pPr>
        <w:autoSpaceDE w:val="0"/>
        <w:autoSpaceDN w:val="0"/>
        <w:bidi w:val="0"/>
        <w:adjustRightInd w:val="0"/>
        <w:rPr>
          <w:rFonts w:ascii="Garamond" w:hAnsi="Garamond" w:cs="Times New Roman"/>
          <w:noProof w:val="0"/>
          <w:sz w:val="26"/>
          <w:szCs w:val="26"/>
        </w:rPr>
      </w:pPr>
    </w:p>
    <w:p w:rsidR="002D5AE8" w:rsidRDefault="002D5AE8">
      <w:pPr>
        <w:autoSpaceDE w:val="0"/>
        <w:autoSpaceDN w:val="0"/>
        <w:bidi w:val="0"/>
        <w:adjustRightInd w:val="0"/>
        <w:jc w:val="center"/>
        <w:rPr>
          <w:rFonts w:ascii="Garamond" w:hAnsi="Garamond" w:cs="Times New Roman"/>
          <w:b/>
          <w:bCs/>
          <w:noProof w:val="0"/>
          <w:color w:val="0070C0"/>
          <w:sz w:val="28"/>
          <w:szCs w:val="28"/>
        </w:rPr>
      </w:pPr>
      <w:r>
        <w:rPr>
          <w:rFonts w:ascii="Garamond" w:hAnsi="Garamond" w:cs="Times New Roman"/>
          <w:b/>
          <w:bCs/>
          <w:noProof w:val="0"/>
          <w:color w:val="0070C0"/>
          <w:sz w:val="28"/>
          <w:szCs w:val="28"/>
        </w:rPr>
        <w:t>Evolution trimestrielle du taux de chômage (en%)</w:t>
      </w:r>
    </w:p>
    <w:p w:rsidR="002D5AE8" w:rsidRDefault="002D5AE8">
      <w:pPr>
        <w:autoSpaceDE w:val="0"/>
        <w:autoSpaceDN w:val="0"/>
        <w:bidi w:val="0"/>
        <w:adjustRightInd w:val="0"/>
        <w:jc w:val="center"/>
        <w:rPr>
          <w:rFonts w:ascii="Garamond" w:hAnsi="Garamond" w:cs="Times New Roman"/>
          <w:noProof w:val="0"/>
          <w:color w:val="0070C0"/>
          <w:sz w:val="28"/>
          <w:szCs w:val="28"/>
        </w:rPr>
      </w:pPr>
    </w:p>
    <w:tbl>
      <w:tblPr>
        <w:tblW w:w="9660" w:type="dxa"/>
        <w:tblBorders>
          <w:top w:val="single" w:sz="8" w:space="0" w:color="4BACC6"/>
          <w:left w:val="single" w:sz="8" w:space="0" w:color="4BACC6"/>
          <w:bottom w:val="single" w:sz="8" w:space="0" w:color="4BACC6"/>
          <w:right w:val="single" w:sz="8" w:space="0" w:color="4BACC6"/>
        </w:tblBorders>
        <w:tblLook w:val="0000"/>
      </w:tblPr>
      <w:tblGrid>
        <w:gridCol w:w="1771"/>
        <w:gridCol w:w="1323"/>
        <w:gridCol w:w="1323"/>
        <w:gridCol w:w="1323"/>
        <w:gridCol w:w="1306"/>
        <w:gridCol w:w="1307"/>
        <w:gridCol w:w="1307"/>
      </w:tblGrid>
      <w:tr w:rsidR="002D5AE8">
        <w:trPr>
          <w:cantSplit/>
          <w:trHeight w:val="333"/>
        </w:trPr>
        <w:tc>
          <w:tcPr>
            <w:tcW w:w="1771" w:type="dxa"/>
            <w:vMerge w:val="restart"/>
            <w:tcBorders>
              <w:top w:val="single" w:sz="8" w:space="0" w:color="4BACC6"/>
              <w:left w:val="single" w:sz="8" w:space="0" w:color="4BACC6"/>
              <w:bottom w:val="single" w:sz="8" w:space="0" w:color="4BACC6"/>
              <w:right w:val="single" w:sz="8" w:space="0" w:color="4BACC6"/>
            </w:tcBorders>
          </w:tcPr>
          <w:p w:rsidR="002D5AE8" w:rsidRDefault="002D5AE8">
            <w:pPr>
              <w:bidi w:val="0"/>
              <w:jc w:val="center"/>
              <w:rPr>
                <w:rFonts w:ascii="Garamond" w:hAnsi="Garamond" w:cs="Times New Roman"/>
                <w:noProof w:val="0"/>
                <w:sz w:val="24"/>
                <w:szCs w:val="24"/>
              </w:rPr>
            </w:pPr>
          </w:p>
        </w:tc>
        <w:tc>
          <w:tcPr>
            <w:tcW w:w="3969" w:type="dxa"/>
            <w:gridSpan w:val="3"/>
            <w:tcBorders>
              <w:top w:val="single" w:sz="8" w:space="0" w:color="4BACC6"/>
              <w:bottom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2 012</w:t>
            </w:r>
          </w:p>
        </w:tc>
        <w:tc>
          <w:tcPr>
            <w:tcW w:w="3920" w:type="dxa"/>
            <w:gridSpan w:val="3"/>
            <w:tcBorders>
              <w:top w:val="single" w:sz="8" w:space="0" w:color="4BACC6"/>
              <w:left w:val="single" w:sz="8" w:space="0" w:color="4BACC6"/>
              <w:bottom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2 013</w:t>
            </w:r>
          </w:p>
        </w:tc>
      </w:tr>
      <w:tr w:rsidR="002D5AE8">
        <w:trPr>
          <w:cantSplit/>
          <w:trHeight w:val="270"/>
        </w:trPr>
        <w:tc>
          <w:tcPr>
            <w:tcW w:w="1771" w:type="dxa"/>
            <w:vMerge/>
            <w:tcBorders>
              <w:left w:val="single" w:sz="8" w:space="0" w:color="4BACC6"/>
              <w:right w:val="single" w:sz="8" w:space="0" w:color="4BACC6"/>
            </w:tcBorders>
          </w:tcPr>
          <w:p w:rsidR="002D5AE8" w:rsidRDefault="002D5AE8">
            <w:pPr>
              <w:bidi w:val="0"/>
              <w:rPr>
                <w:rFonts w:ascii="Garamond" w:hAnsi="Garamond" w:cs="Times New Roman"/>
                <w:noProof w:val="0"/>
                <w:sz w:val="24"/>
                <w:szCs w:val="24"/>
              </w:rPr>
            </w:pPr>
          </w:p>
        </w:tc>
        <w:tc>
          <w:tcPr>
            <w:tcW w:w="1323" w:type="dxa"/>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Urbain</w:t>
            </w:r>
          </w:p>
        </w:tc>
        <w:tc>
          <w:tcPr>
            <w:tcW w:w="1323" w:type="dxa"/>
            <w:tcBorders>
              <w:left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Rural</w:t>
            </w:r>
          </w:p>
        </w:tc>
        <w:tc>
          <w:tcPr>
            <w:tcW w:w="1323" w:type="dxa"/>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National</w:t>
            </w:r>
          </w:p>
        </w:tc>
        <w:tc>
          <w:tcPr>
            <w:tcW w:w="1306" w:type="dxa"/>
            <w:tcBorders>
              <w:left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Urbain</w:t>
            </w:r>
          </w:p>
        </w:tc>
        <w:tc>
          <w:tcPr>
            <w:tcW w:w="1307" w:type="dxa"/>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Rural</w:t>
            </w:r>
          </w:p>
        </w:tc>
        <w:tc>
          <w:tcPr>
            <w:tcW w:w="1307" w:type="dxa"/>
            <w:tcBorders>
              <w:left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National</w:t>
            </w:r>
          </w:p>
        </w:tc>
      </w:tr>
      <w:tr w:rsidR="002D5AE8">
        <w:trPr>
          <w:trHeight w:val="360"/>
        </w:trPr>
        <w:tc>
          <w:tcPr>
            <w:tcW w:w="1771" w:type="dxa"/>
            <w:tcBorders>
              <w:top w:val="single" w:sz="8" w:space="0" w:color="4BACC6"/>
              <w:left w:val="single" w:sz="8" w:space="0" w:color="4BACC6"/>
              <w:bottom w:val="single" w:sz="8" w:space="0" w:color="4BACC6"/>
              <w:right w:val="single" w:sz="8" w:space="0" w:color="4BACC6"/>
            </w:tcBorders>
          </w:tcPr>
          <w:p w:rsidR="002D5AE8" w:rsidRDefault="002D5AE8">
            <w:pPr>
              <w:bidi w:val="0"/>
              <w:rPr>
                <w:rFonts w:ascii="Garamond" w:hAnsi="Garamond" w:cs="Times New Roman"/>
                <w:b/>
                <w:bCs/>
                <w:noProof w:val="0"/>
                <w:sz w:val="24"/>
                <w:szCs w:val="24"/>
              </w:rPr>
            </w:pPr>
            <w:r>
              <w:rPr>
                <w:rFonts w:ascii="Garamond" w:hAnsi="Garamond" w:cs="Times New Roman"/>
                <w:b/>
                <w:bCs/>
                <w:noProof w:val="0"/>
                <w:sz w:val="24"/>
                <w:szCs w:val="24"/>
              </w:rPr>
              <w:t>1</w:t>
            </w:r>
            <w:r>
              <w:rPr>
                <w:rFonts w:ascii="Garamond" w:hAnsi="Garamond" w:cs="Times New Roman"/>
                <w:b/>
                <w:bCs/>
                <w:noProof w:val="0"/>
                <w:sz w:val="24"/>
                <w:szCs w:val="24"/>
                <w:vertAlign w:val="superscript"/>
              </w:rPr>
              <w:t>er</w:t>
            </w:r>
            <w:r>
              <w:rPr>
                <w:rFonts w:ascii="Garamond" w:hAnsi="Garamond" w:cs="Times New Roman"/>
                <w:b/>
                <w:bCs/>
                <w:noProof w:val="0"/>
                <w:sz w:val="24"/>
                <w:szCs w:val="24"/>
              </w:rPr>
              <w:t xml:space="preserve">    trimestre </w:t>
            </w:r>
          </w:p>
        </w:tc>
        <w:tc>
          <w:tcPr>
            <w:tcW w:w="1323"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14,4</w:t>
            </w:r>
          </w:p>
        </w:tc>
        <w:tc>
          <w:tcPr>
            <w:tcW w:w="1323"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4,8</w:t>
            </w:r>
          </w:p>
        </w:tc>
        <w:tc>
          <w:tcPr>
            <w:tcW w:w="1323"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9,9</w:t>
            </w:r>
          </w:p>
        </w:tc>
        <w:tc>
          <w:tcPr>
            <w:tcW w:w="1306"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13,7</w:t>
            </w:r>
          </w:p>
        </w:tc>
        <w:tc>
          <w:tcPr>
            <w:tcW w:w="1307"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4,4</w:t>
            </w:r>
          </w:p>
        </w:tc>
        <w:tc>
          <w:tcPr>
            <w:tcW w:w="1307"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9,4</w:t>
            </w:r>
          </w:p>
        </w:tc>
      </w:tr>
      <w:tr w:rsidR="002D5AE8">
        <w:trPr>
          <w:trHeight w:val="360"/>
        </w:trPr>
        <w:tc>
          <w:tcPr>
            <w:tcW w:w="1771" w:type="dxa"/>
            <w:tcBorders>
              <w:left w:val="single" w:sz="8" w:space="0" w:color="4BACC6"/>
              <w:right w:val="single" w:sz="8" w:space="0" w:color="4BACC6"/>
            </w:tcBorders>
          </w:tcPr>
          <w:p w:rsidR="002D5AE8" w:rsidRDefault="002D5AE8">
            <w:pPr>
              <w:bidi w:val="0"/>
              <w:rPr>
                <w:rFonts w:ascii="Garamond" w:hAnsi="Garamond" w:cs="Times New Roman"/>
                <w:b/>
                <w:bCs/>
                <w:noProof w:val="0"/>
                <w:sz w:val="24"/>
                <w:szCs w:val="24"/>
              </w:rPr>
            </w:pPr>
            <w:r>
              <w:rPr>
                <w:rFonts w:ascii="Garamond" w:hAnsi="Garamond" w:cs="Times New Roman"/>
                <w:b/>
                <w:bCs/>
                <w:noProof w:val="0"/>
                <w:sz w:val="24"/>
                <w:szCs w:val="24"/>
              </w:rPr>
              <w:t>2</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w:t>
            </w:r>
          </w:p>
        </w:tc>
        <w:tc>
          <w:tcPr>
            <w:tcW w:w="1323"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12,3</w:t>
            </w:r>
          </w:p>
        </w:tc>
        <w:tc>
          <w:tcPr>
            <w:tcW w:w="1323"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3,5</w:t>
            </w:r>
          </w:p>
        </w:tc>
        <w:tc>
          <w:tcPr>
            <w:tcW w:w="1323"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8,1</w:t>
            </w:r>
          </w:p>
        </w:tc>
        <w:tc>
          <w:tcPr>
            <w:tcW w:w="1306"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13,8</w:t>
            </w:r>
          </w:p>
        </w:tc>
        <w:tc>
          <w:tcPr>
            <w:tcW w:w="1307"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3,2</w:t>
            </w:r>
          </w:p>
        </w:tc>
        <w:tc>
          <w:tcPr>
            <w:tcW w:w="1307"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8,8</w:t>
            </w:r>
          </w:p>
        </w:tc>
      </w:tr>
      <w:tr w:rsidR="002D5AE8">
        <w:trPr>
          <w:trHeight w:val="360"/>
        </w:trPr>
        <w:tc>
          <w:tcPr>
            <w:tcW w:w="1771" w:type="dxa"/>
            <w:tcBorders>
              <w:top w:val="single" w:sz="8" w:space="0" w:color="4BACC6"/>
              <w:left w:val="single" w:sz="8" w:space="0" w:color="4BACC6"/>
              <w:bottom w:val="single" w:sz="8" w:space="0" w:color="4BACC6"/>
              <w:right w:val="single" w:sz="8" w:space="0" w:color="4BACC6"/>
            </w:tcBorders>
          </w:tcPr>
          <w:p w:rsidR="002D5AE8" w:rsidRDefault="002D5AE8">
            <w:pPr>
              <w:bidi w:val="0"/>
              <w:rPr>
                <w:rFonts w:ascii="Garamond" w:hAnsi="Garamond" w:cs="Times New Roman"/>
                <w:b/>
                <w:bCs/>
                <w:noProof w:val="0"/>
                <w:sz w:val="24"/>
                <w:szCs w:val="24"/>
              </w:rPr>
            </w:pPr>
            <w:r>
              <w:rPr>
                <w:rFonts w:ascii="Garamond" w:hAnsi="Garamond" w:cs="Times New Roman"/>
                <w:b/>
                <w:bCs/>
                <w:noProof w:val="0"/>
                <w:sz w:val="24"/>
                <w:szCs w:val="24"/>
              </w:rPr>
              <w:t>3</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w:t>
            </w:r>
          </w:p>
        </w:tc>
        <w:tc>
          <w:tcPr>
            <w:tcW w:w="1323"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14,0</w:t>
            </w:r>
          </w:p>
        </w:tc>
        <w:tc>
          <w:tcPr>
            <w:tcW w:w="1323"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4,2</w:t>
            </w:r>
          </w:p>
        </w:tc>
        <w:tc>
          <w:tcPr>
            <w:tcW w:w="1323"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9,4</w:t>
            </w:r>
          </w:p>
        </w:tc>
        <w:tc>
          <w:tcPr>
            <w:tcW w:w="1306"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14,0</w:t>
            </w:r>
          </w:p>
        </w:tc>
        <w:tc>
          <w:tcPr>
            <w:tcW w:w="1307" w:type="dxa"/>
            <w:tcBorders>
              <w:top w:val="single" w:sz="8" w:space="0" w:color="4BACC6"/>
              <w:bottom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3,7</w:t>
            </w:r>
          </w:p>
        </w:tc>
        <w:tc>
          <w:tcPr>
            <w:tcW w:w="1307" w:type="dxa"/>
            <w:tcBorders>
              <w:top w:val="single" w:sz="8" w:space="0" w:color="4BACC6"/>
              <w:left w:val="single" w:sz="8" w:space="0" w:color="4BACC6"/>
              <w:bottom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9,1</w:t>
            </w:r>
          </w:p>
        </w:tc>
      </w:tr>
      <w:tr w:rsidR="002D5AE8">
        <w:trPr>
          <w:trHeight w:val="360"/>
        </w:trPr>
        <w:tc>
          <w:tcPr>
            <w:tcW w:w="1771" w:type="dxa"/>
            <w:tcBorders>
              <w:left w:val="single" w:sz="8" w:space="0" w:color="4BACC6"/>
              <w:right w:val="single" w:sz="8" w:space="0" w:color="4BACC6"/>
            </w:tcBorders>
          </w:tcPr>
          <w:p w:rsidR="002D5AE8" w:rsidRDefault="002D5AE8">
            <w:pPr>
              <w:bidi w:val="0"/>
              <w:rPr>
                <w:rFonts w:ascii="Garamond" w:hAnsi="Garamond" w:cs="Times New Roman"/>
                <w:b/>
                <w:bCs/>
                <w:noProof w:val="0"/>
                <w:sz w:val="24"/>
                <w:szCs w:val="24"/>
              </w:rPr>
            </w:pPr>
            <w:r>
              <w:rPr>
                <w:rFonts w:ascii="Garamond" w:hAnsi="Garamond" w:cs="Times New Roman"/>
                <w:b/>
                <w:bCs/>
                <w:noProof w:val="0"/>
                <w:sz w:val="24"/>
                <w:szCs w:val="24"/>
              </w:rPr>
              <w:t>4</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w:t>
            </w:r>
          </w:p>
        </w:tc>
        <w:tc>
          <w:tcPr>
            <w:tcW w:w="1323"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13,2</w:t>
            </w:r>
          </w:p>
        </w:tc>
        <w:tc>
          <w:tcPr>
            <w:tcW w:w="1323"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3,6</w:t>
            </w:r>
          </w:p>
        </w:tc>
        <w:tc>
          <w:tcPr>
            <w:tcW w:w="1323"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8,7</w:t>
            </w:r>
          </w:p>
        </w:tc>
        <w:tc>
          <w:tcPr>
            <w:tcW w:w="1306"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14,4</w:t>
            </w:r>
          </w:p>
        </w:tc>
        <w:tc>
          <w:tcPr>
            <w:tcW w:w="1307" w:type="dxa"/>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4</w:t>
            </w:r>
            <w:r w:rsidR="003D70E6">
              <w:rPr>
                <w:rFonts w:ascii="Garamond" w:hAnsi="Garamond" w:cs="Times New Roman"/>
                <w:noProof w:val="0"/>
                <w:sz w:val="24"/>
                <w:szCs w:val="24"/>
              </w:rPr>
              <w:t>,0</w:t>
            </w:r>
          </w:p>
        </w:tc>
        <w:tc>
          <w:tcPr>
            <w:tcW w:w="1307" w:type="dxa"/>
            <w:tcBorders>
              <w:left w:val="single" w:sz="8" w:space="0" w:color="4BACC6"/>
              <w:right w:val="single" w:sz="8" w:space="0" w:color="4BACC6"/>
            </w:tcBorders>
          </w:tcPr>
          <w:p w:rsidR="002D5AE8" w:rsidRDefault="002D5AE8">
            <w:pPr>
              <w:jc w:val="center"/>
              <w:rPr>
                <w:rFonts w:ascii="Garamond" w:hAnsi="Garamond" w:cs="Times New Roman"/>
                <w:noProof w:val="0"/>
                <w:sz w:val="24"/>
                <w:szCs w:val="24"/>
              </w:rPr>
            </w:pPr>
            <w:r>
              <w:rPr>
                <w:rFonts w:ascii="Garamond" w:hAnsi="Garamond" w:cs="Times New Roman"/>
                <w:noProof w:val="0"/>
                <w:sz w:val="24"/>
                <w:szCs w:val="24"/>
              </w:rPr>
              <w:t>10</w:t>
            </w:r>
            <w:r w:rsidR="003D70E6">
              <w:rPr>
                <w:rFonts w:ascii="Garamond" w:hAnsi="Garamond" w:cs="Times New Roman"/>
                <w:noProof w:val="0"/>
                <w:sz w:val="24"/>
                <w:szCs w:val="24"/>
              </w:rPr>
              <w:t>,0</w:t>
            </w:r>
          </w:p>
        </w:tc>
      </w:tr>
      <w:tr w:rsidR="002D5AE8">
        <w:trPr>
          <w:trHeight w:val="345"/>
        </w:trPr>
        <w:tc>
          <w:tcPr>
            <w:tcW w:w="1771" w:type="dxa"/>
            <w:tcBorders>
              <w:top w:val="single" w:sz="8" w:space="0" w:color="4BACC6"/>
              <w:left w:val="single" w:sz="8" w:space="0" w:color="4BACC6"/>
              <w:bottom w:val="single" w:sz="8" w:space="0" w:color="4BACC6"/>
              <w:right w:val="single" w:sz="8" w:space="0" w:color="4BACC6"/>
            </w:tcBorders>
          </w:tcPr>
          <w:p w:rsidR="002D5AE8" w:rsidRDefault="002D5AE8">
            <w:pPr>
              <w:bidi w:val="0"/>
              <w:rPr>
                <w:rFonts w:ascii="Garamond" w:hAnsi="Garamond" w:cs="Times New Roman"/>
                <w:b/>
                <w:bCs/>
                <w:noProof w:val="0"/>
                <w:sz w:val="24"/>
                <w:szCs w:val="24"/>
              </w:rPr>
            </w:pPr>
            <w:r>
              <w:rPr>
                <w:rFonts w:ascii="Garamond" w:hAnsi="Garamond" w:cs="Times New Roman"/>
                <w:b/>
                <w:bCs/>
                <w:noProof w:val="0"/>
                <w:sz w:val="24"/>
                <w:szCs w:val="24"/>
              </w:rPr>
              <w:t>Année</w:t>
            </w:r>
          </w:p>
        </w:tc>
        <w:tc>
          <w:tcPr>
            <w:tcW w:w="1323" w:type="dxa"/>
            <w:tcBorders>
              <w:top w:val="single" w:sz="8" w:space="0" w:color="4BACC6"/>
              <w:bottom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13,4</w:t>
            </w:r>
          </w:p>
        </w:tc>
        <w:tc>
          <w:tcPr>
            <w:tcW w:w="1323" w:type="dxa"/>
            <w:tcBorders>
              <w:top w:val="single" w:sz="8" w:space="0" w:color="4BACC6"/>
              <w:left w:val="single" w:sz="8" w:space="0" w:color="4BACC6"/>
              <w:bottom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4,0</w:t>
            </w:r>
          </w:p>
        </w:tc>
        <w:tc>
          <w:tcPr>
            <w:tcW w:w="1323" w:type="dxa"/>
            <w:tcBorders>
              <w:top w:val="single" w:sz="8" w:space="0" w:color="4BACC6"/>
              <w:bottom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9,0</w:t>
            </w:r>
          </w:p>
        </w:tc>
        <w:tc>
          <w:tcPr>
            <w:tcW w:w="1306" w:type="dxa"/>
            <w:tcBorders>
              <w:top w:val="single" w:sz="8" w:space="0" w:color="4BACC6"/>
              <w:left w:val="single" w:sz="8" w:space="0" w:color="4BACC6"/>
              <w:bottom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14,0</w:t>
            </w:r>
          </w:p>
        </w:tc>
        <w:tc>
          <w:tcPr>
            <w:tcW w:w="1307" w:type="dxa"/>
            <w:tcBorders>
              <w:top w:val="single" w:sz="8" w:space="0" w:color="4BACC6"/>
              <w:bottom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3,8</w:t>
            </w:r>
          </w:p>
        </w:tc>
        <w:tc>
          <w:tcPr>
            <w:tcW w:w="1307" w:type="dxa"/>
            <w:tcBorders>
              <w:top w:val="single" w:sz="8" w:space="0" w:color="4BACC6"/>
              <w:left w:val="single" w:sz="8" w:space="0" w:color="4BACC6"/>
              <w:bottom w:val="single" w:sz="8" w:space="0" w:color="4BACC6"/>
              <w:right w:val="single" w:sz="8" w:space="0" w:color="4BACC6"/>
            </w:tcBorders>
          </w:tcPr>
          <w:p w:rsidR="002D5AE8" w:rsidRDefault="002D5AE8">
            <w:pPr>
              <w:bidi w:val="0"/>
              <w:jc w:val="center"/>
              <w:rPr>
                <w:rFonts w:ascii="Garamond" w:hAnsi="Garamond" w:cs="Times New Roman"/>
                <w:b/>
                <w:bCs/>
                <w:noProof w:val="0"/>
                <w:sz w:val="24"/>
                <w:szCs w:val="24"/>
              </w:rPr>
            </w:pPr>
            <w:r>
              <w:rPr>
                <w:rFonts w:ascii="Garamond" w:hAnsi="Garamond" w:cs="Times New Roman"/>
                <w:b/>
                <w:bCs/>
                <w:noProof w:val="0"/>
                <w:sz w:val="24"/>
                <w:szCs w:val="24"/>
              </w:rPr>
              <w:t>9,2</w:t>
            </w:r>
          </w:p>
        </w:tc>
      </w:tr>
    </w:tbl>
    <w:p w:rsidR="002D5AE8" w:rsidRDefault="002D5AE8">
      <w:pPr>
        <w:bidi w:val="0"/>
        <w:rPr>
          <w:rFonts w:ascii="Garamond" w:hAnsi="Garamond" w:cs="Times New Roman"/>
          <w:noProof w:val="0"/>
          <w:color w:val="FF9900"/>
          <w:sz w:val="26"/>
          <w:szCs w:val="26"/>
        </w:rPr>
      </w:pPr>
    </w:p>
    <w:p w:rsidR="002D5AE8" w:rsidRDefault="002D5AE8">
      <w:pPr>
        <w:bidi w:val="0"/>
        <w:rPr>
          <w:rFonts w:ascii="Garamond" w:hAnsi="Garamond" w:cs="Times New Roman"/>
          <w:noProof w:val="0"/>
          <w:color w:val="FF9900"/>
          <w:sz w:val="26"/>
          <w:szCs w:val="26"/>
        </w:rPr>
      </w:pPr>
    </w:p>
    <w:p w:rsidR="002D5AE8" w:rsidRDefault="002D5AE8">
      <w:pPr>
        <w:bidi w:val="0"/>
        <w:rPr>
          <w:rFonts w:ascii="Garamond" w:hAnsi="Garamond" w:cs="Times New Roman"/>
          <w:noProof w:val="0"/>
          <w:color w:val="FF9900"/>
          <w:sz w:val="26"/>
          <w:szCs w:val="26"/>
        </w:rPr>
      </w:pPr>
    </w:p>
    <w:p w:rsidR="002D5AE8" w:rsidRDefault="002D5AE8">
      <w:pPr>
        <w:bidi w:val="0"/>
        <w:rPr>
          <w:rFonts w:ascii="Garamond" w:hAnsi="Garamond" w:cs="Times New Roman"/>
          <w:noProof w:val="0"/>
          <w:color w:val="FF9900"/>
          <w:sz w:val="26"/>
          <w:szCs w:val="26"/>
        </w:rPr>
      </w:pPr>
    </w:p>
    <w:p w:rsidR="002D5AE8" w:rsidRDefault="002D5AE8">
      <w:pPr>
        <w:bidi w:val="0"/>
        <w:rPr>
          <w:rFonts w:ascii="Garamond" w:hAnsi="Garamond" w:cs="Times New Roman"/>
          <w:noProof w:val="0"/>
          <w:color w:val="FF9900"/>
          <w:sz w:val="26"/>
          <w:szCs w:val="26"/>
        </w:rPr>
      </w:pPr>
    </w:p>
    <w:p w:rsidR="002D5AE8" w:rsidRDefault="002D5AE8">
      <w:pPr>
        <w:bidi w:val="0"/>
        <w:rPr>
          <w:rFonts w:ascii="Garamond" w:hAnsi="Garamond" w:cs="Times New Roman"/>
          <w:noProof w:val="0"/>
          <w:color w:val="FF9900"/>
          <w:sz w:val="26"/>
          <w:szCs w:val="26"/>
        </w:rPr>
      </w:pPr>
    </w:p>
    <w:p w:rsidR="002D5AE8" w:rsidRDefault="002D5AE8">
      <w:pPr>
        <w:jc w:val="right"/>
        <w:rPr>
          <w:rFonts w:ascii="Garamond" w:hAnsi="Garamond" w:cs="Times New Roman"/>
          <w:b/>
          <w:bCs/>
          <w:noProof w:val="0"/>
          <w:color w:val="0070C0"/>
          <w:sz w:val="27"/>
          <w:szCs w:val="27"/>
        </w:rPr>
      </w:pPr>
      <w:r>
        <w:rPr>
          <w:rFonts w:ascii="Garamond" w:hAnsi="Garamond" w:cs="Times New Roman"/>
          <w:b/>
          <w:bCs/>
          <w:noProof w:val="0"/>
          <w:color w:val="0070C0"/>
          <w:sz w:val="27"/>
          <w:szCs w:val="27"/>
        </w:rPr>
        <w:t xml:space="preserve">Indicateurs annuels d'activité, d’emploi et de chômage par milieu de résidence </w:t>
      </w:r>
      <w:r>
        <w:rPr>
          <w:rFonts w:ascii="Garamond" w:hAnsi="Garamond" w:cs="Times New Roman"/>
          <w:b/>
          <w:bCs/>
          <w:noProof w:val="0"/>
          <w:color w:val="0070C0"/>
          <w:sz w:val="27"/>
          <w:szCs w:val="27"/>
          <w:vertAlign w:val="superscript"/>
        </w:rPr>
        <w:t>(1)</w:t>
      </w:r>
    </w:p>
    <w:p w:rsidR="002D5AE8" w:rsidRDefault="002D5AE8">
      <w:pPr>
        <w:pStyle w:val="Corpsdetexte2"/>
        <w:jc w:val="both"/>
        <w:rPr>
          <w:rFonts w:ascii="Times New Roman" w:hAnsi="Times New Roman" w:cs="Times New Roman"/>
          <w:sz w:val="18"/>
          <w:szCs w:val="18"/>
        </w:rPr>
      </w:pPr>
      <w:r>
        <w:rPr>
          <w:rFonts w:ascii="Times New Roman" w:hAnsi="Times New Roman" w:cs="Times New Roman"/>
          <w:sz w:val="18"/>
          <w:szCs w:val="18"/>
        </w:rPr>
        <w:t xml:space="preserve">                                                                                                    (Effectifs en milliers et taux en %) </w:t>
      </w:r>
    </w:p>
    <w:tbl>
      <w:tblPr>
        <w:tblW w:w="10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886"/>
        <w:gridCol w:w="849"/>
        <w:gridCol w:w="952"/>
        <w:gridCol w:w="1123"/>
        <w:gridCol w:w="1124"/>
        <w:gridCol w:w="1122"/>
        <w:gridCol w:w="1123"/>
      </w:tblGrid>
      <w:tr w:rsidR="002D5AE8">
        <w:trPr>
          <w:cantSplit/>
          <w:jc w:val="center"/>
        </w:trPr>
        <w:tc>
          <w:tcPr>
            <w:tcW w:w="3886" w:type="dxa"/>
            <w:vMerge w:val="restart"/>
            <w:tcBorders>
              <w:top w:val="single" w:sz="6" w:space="0" w:color="auto"/>
              <w:left w:val="single" w:sz="6" w:space="0" w:color="auto"/>
              <w:bottom w:val="single" w:sz="6" w:space="0" w:color="auto"/>
              <w:right w:val="single" w:sz="6" w:space="0" w:color="auto"/>
            </w:tcBorders>
            <w:vAlign w:val="center"/>
          </w:tcPr>
          <w:p w:rsidR="002D5AE8" w:rsidRDefault="002D5AE8">
            <w:pPr>
              <w:tabs>
                <w:tab w:val="left" w:pos="-720"/>
              </w:tabs>
              <w:suppressAutoHyphens/>
              <w:spacing w:before="20" w:after="20"/>
              <w:jc w:val="center"/>
              <w:rPr>
                <w:rFonts w:ascii="Garamond" w:hAnsi="Garamond" w:cs="Times New Roman"/>
                <w:b/>
                <w:spacing w:val="-2"/>
              </w:rPr>
            </w:pPr>
            <w:r>
              <w:rPr>
                <w:rFonts w:ascii="Garamond" w:hAnsi="Garamond" w:cs="Times New Roman"/>
                <w:b/>
                <w:spacing w:val="-2"/>
              </w:rPr>
              <w:t>Indicateurs</w:t>
            </w:r>
          </w:p>
        </w:tc>
        <w:tc>
          <w:tcPr>
            <w:tcW w:w="2924" w:type="dxa"/>
            <w:gridSpan w:val="3"/>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Année 2012</w:t>
            </w:r>
          </w:p>
        </w:tc>
        <w:tc>
          <w:tcPr>
            <w:tcW w:w="3369" w:type="dxa"/>
            <w:gridSpan w:val="3"/>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Année 2013</w:t>
            </w:r>
          </w:p>
        </w:tc>
      </w:tr>
      <w:tr w:rsidR="002D5AE8">
        <w:trPr>
          <w:cantSplit/>
          <w:jc w:val="center"/>
        </w:trPr>
        <w:tc>
          <w:tcPr>
            <w:tcW w:w="3886" w:type="dxa"/>
            <w:vMerge/>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rPr>
            </w:pPr>
          </w:p>
        </w:tc>
        <w:tc>
          <w:tcPr>
            <w:tcW w:w="849"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Urbain</w:t>
            </w:r>
          </w:p>
        </w:tc>
        <w:tc>
          <w:tcPr>
            <w:tcW w:w="952"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Rural</w:t>
            </w:r>
          </w:p>
        </w:tc>
        <w:tc>
          <w:tcPr>
            <w:tcW w:w="1123"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Ensemble</w:t>
            </w:r>
          </w:p>
        </w:tc>
        <w:tc>
          <w:tcPr>
            <w:tcW w:w="1124"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Urbain</w:t>
            </w:r>
          </w:p>
        </w:tc>
        <w:tc>
          <w:tcPr>
            <w:tcW w:w="1122"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lang w:val="en-GB"/>
              </w:rPr>
            </w:pPr>
            <w:r>
              <w:rPr>
                <w:rFonts w:ascii="Garamond" w:hAnsi="Garamond" w:cs="Times New Roman"/>
                <w:b/>
                <w:spacing w:val="-2"/>
                <w:sz w:val="22"/>
                <w:szCs w:val="22"/>
                <w:lang w:val="en-GB"/>
              </w:rPr>
              <w:t>Rural</w:t>
            </w:r>
          </w:p>
        </w:tc>
        <w:tc>
          <w:tcPr>
            <w:tcW w:w="1123"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
                <w:spacing w:val="-2"/>
                <w:sz w:val="22"/>
                <w:szCs w:val="22"/>
              </w:rPr>
            </w:pPr>
            <w:r>
              <w:rPr>
                <w:rFonts w:ascii="Garamond" w:hAnsi="Garamond" w:cs="Times New Roman"/>
                <w:b/>
                <w:spacing w:val="-2"/>
                <w:sz w:val="22"/>
                <w:szCs w:val="22"/>
              </w:rPr>
              <w:t>Ensemble</w:t>
            </w:r>
          </w:p>
        </w:tc>
      </w:tr>
      <w:tr w:rsidR="002D5AE8">
        <w:trPr>
          <w:jc w:val="center"/>
        </w:trPr>
        <w:tc>
          <w:tcPr>
            <w:tcW w:w="3886"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w:t>
            </w:r>
            <w:r>
              <w:rPr>
                <w:rFonts w:ascii="Garamond" w:hAnsi="Garamond" w:cs="Times New Roman"/>
                <w:b/>
                <w:i/>
                <w:spacing w:val="-2"/>
              </w:rPr>
              <w:t xml:space="preserve"> Activité et emploi ( 15 ans et plus )</w:t>
            </w:r>
          </w:p>
        </w:tc>
        <w:tc>
          <w:tcPr>
            <w:tcW w:w="849"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c>
          <w:tcPr>
            <w:tcW w:w="952"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c>
          <w:tcPr>
            <w:tcW w:w="1123"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c>
          <w:tcPr>
            <w:tcW w:w="1124"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c>
          <w:tcPr>
            <w:tcW w:w="1122"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c>
          <w:tcPr>
            <w:tcW w:w="1123"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center"/>
              <w:rPr>
                <w:rFonts w:ascii="Garamond" w:hAnsi="Garamond" w:cs="Times New Roman"/>
                <w:bCs/>
                <w:color w:val="E36C0A"/>
                <w:spacing w:val="-2"/>
                <w:sz w:val="22"/>
                <w:szCs w:val="22"/>
              </w:rPr>
            </w:pPr>
          </w:p>
        </w:tc>
      </w:tr>
      <w:tr w:rsidR="002D5AE8">
        <w:trPr>
          <w:jc w:val="center"/>
        </w:trPr>
        <w:tc>
          <w:tcPr>
            <w:tcW w:w="3886"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Population en âge d’activité</w:t>
            </w:r>
            <w:r>
              <w:rPr>
                <w:rFonts w:ascii="Garamond" w:hAnsi="Garamond" w:cs="Times New Roman"/>
                <w:b/>
                <w:spacing w:val="-2"/>
                <w:vertAlign w:val="superscript"/>
              </w:rPr>
              <w:t>2</w:t>
            </w:r>
            <w:r>
              <w:rPr>
                <w:rFonts w:ascii="Garamond" w:hAnsi="Garamond" w:cs="Times New Roman"/>
                <w:b/>
                <w:spacing w:val="-2"/>
              </w:rPr>
              <w:t xml:space="preserve"> </w:t>
            </w:r>
          </w:p>
        </w:tc>
        <w:tc>
          <w:tcPr>
            <w:tcW w:w="849"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14 370</w:t>
            </w:r>
          </w:p>
        </w:tc>
        <w:tc>
          <w:tcPr>
            <w:tcW w:w="952"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9 484</w:t>
            </w:r>
          </w:p>
        </w:tc>
        <w:tc>
          <w:tcPr>
            <w:tcW w:w="1123"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23 854</w:t>
            </w:r>
          </w:p>
        </w:tc>
        <w:tc>
          <w:tcPr>
            <w:tcW w:w="1124"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14 672</w:t>
            </w:r>
          </w:p>
        </w:tc>
        <w:tc>
          <w:tcPr>
            <w:tcW w:w="1122"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9 558</w:t>
            </w:r>
          </w:p>
        </w:tc>
        <w:tc>
          <w:tcPr>
            <w:tcW w:w="1123" w:type="dxa"/>
            <w:tcBorders>
              <w:top w:val="single" w:sz="6" w:space="0" w:color="auto"/>
              <w:left w:val="single" w:sz="6" w:space="0" w:color="auto"/>
              <w:bottom w:val="single" w:sz="6" w:space="0" w:color="auto"/>
              <w:right w:val="single" w:sz="6" w:space="0" w:color="auto"/>
            </w:tcBorders>
            <w:vAlign w:val="center"/>
          </w:tcPr>
          <w:p w:rsidR="002D5AE8" w:rsidRPr="00E875E0" w:rsidRDefault="002D5AE8">
            <w:pPr>
              <w:jc w:val="center"/>
              <w:rPr>
                <w:rFonts w:ascii="Garamond" w:hAnsi="Garamond" w:cs="Times New Roman"/>
                <w:b/>
                <w:bCs/>
                <w:color w:val="948A54"/>
                <w:sz w:val="22"/>
                <w:szCs w:val="22"/>
              </w:rPr>
            </w:pPr>
            <w:r w:rsidRPr="00E875E0">
              <w:rPr>
                <w:rFonts w:ascii="Garamond" w:hAnsi="Garamond" w:cs="Times New Roman"/>
                <w:b/>
                <w:bCs/>
                <w:color w:val="948A54"/>
                <w:sz w:val="22"/>
                <w:szCs w:val="22"/>
              </w:rPr>
              <w:t>24 230</w:t>
            </w:r>
          </w:p>
        </w:tc>
      </w:tr>
      <w:tr w:rsidR="002D5AE8">
        <w:trPr>
          <w:jc w:val="center"/>
        </w:trPr>
        <w:tc>
          <w:tcPr>
            <w:tcW w:w="3886" w:type="dxa"/>
            <w:tcBorders>
              <w:top w:val="single" w:sz="6" w:space="0" w:color="auto"/>
              <w:left w:val="single" w:sz="6" w:space="0" w:color="auto"/>
              <w:bottom w:val="single" w:sz="6" w:space="0" w:color="auto"/>
              <w:right w:val="single" w:sz="6"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Population active </w:t>
            </w:r>
          </w:p>
        </w:tc>
        <w:tc>
          <w:tcPr>
            <w:tcW w:w="849"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6 145</w:t>
            </w:r>
          </w:p>
        </w:tc>
        <w:tc>
          <w:tcPr>
            <w:tcW w:w="952"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5 404</w:t>
            </w:r>
          </w:p>
        </w:tc>
        <w:tc>
          <w:tcPr>
            <w:tcW w:w="1123"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11 549</w:t>
            </w:r>
          </w:p>
        </w:tc>
        <w:tc>
          <w:tcPr>
            <w:tcW w:w="1124"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6 218</w:t>
            </w:r>
          </w:p>
        </w:tc>
        <w:tc>
          <w:tcPr>
            <w:tcW w:w="1122"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5 488</w:t>
            </w:r>
          </w:p>
        </w:tc>
        <w:tc>
          <w:tcPr>
            <w:tcW w:w="1123" w:type="dxa"/>
            <w:tcBorders>
              <w:top w:val="single" w:sz="6" w:space="0" w:color="auto"/>
              <w:left w:val="single" w:sz="6" w:space="0" w:color="auto"/>
              <w:bottom w:val="single" w:sz="4" w:space="0" w:color="auto"/>
              <w:right w:val="single" w:sz="6"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11 706</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 féminisation de la population</w:t>
            </w:r>
          </w:p>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active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21,3</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32,1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26,3</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21,3</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33,1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26,8</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d'activité</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42,8</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57,0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48,4</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42,4</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57,4</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48,3</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sexe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Hommes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69,6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79,7</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73,6</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69,0</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79,3</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73,0</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Femmes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17,6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35,6</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24,7</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17,5</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36,8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25,1</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l’âge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rsidP="004B0E02">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15 - 24 ans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24,5</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44,1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33,5</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23,1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43,0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32,2</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25 - 34 ans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58,4</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64,1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60,7</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59,1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65,3</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61,6</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35 - 44 ans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56,9</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69,6</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61,4</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56,7</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69,8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61,4</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45 ans et plus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36,8</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57,8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44,6</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36,1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59,0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44,4</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Sans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37,6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58,8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48,6</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37,1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60,0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48,9</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Ayant un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47,5</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50,6</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48,1</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47,2</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48,7</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47,5</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i/>
                <w:spacing w:val="-2"/>
              </w:rPr>
              <w:t xml:space="preserve">- </w:t>
            </w:r>
            <w:r>
              <w:rPr>
                <w:rFonts w:ascii="Garamond" w:hAnsi="Garamond" w:cs="Times New Roman"/>
                <w:b/>
                <w:spacing w:val="-2"/>
              </w:rPr>
              <w:t xml:space="preserve">Population active occupée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5 321</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5 190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10 511</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5 347</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5 278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10 625</w:t>
            </w:r>
          </w:p>
        </w:tc>
      </w:tr>
      <w:tr w:rsidR="002D5AE8">
        <w:trPr>
          <w:jc w:val="center"/>
        </w:trPr>
        <w:tc>
          <w:tcPr>
            <w:tcW w:w="3886" w:type="dxa"/>
            <w:tcBorders>
              <w:top w:val="single" w:sz="6" w:space="0" w:color="auto"/>
              <w:left w:val="single" w:sz="6" w:space="0" w:color="auto"/>
              <w:bottom w:val="single" w:sz="4"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d’emploi</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37,0</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54,7</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44,1</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36,4</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55,2</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43,8</w:t>
            </w:r>
          </w:p>
        </w:tc>
      </w:tr>
      <w:tr w:rsidR="002D5AE8">
        <w:trPr>
          <w:jc w:val="center"/>
        </w:trPr>
        <w:tc>
          <w:tcPr>
            <w:tcW w:w="3886" w:type="dxa"/>
            <w:tcBorders>
              <w:top w:val="single" w:sz="4" w:space="0" w:color="auto"/>
              <w:left w:val="single" w:sz="4" w:space="0" w:color="auto"/>
              <w:bottom w:val="single" w:sz="4"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Part de l’emploi  rémunéré dans </w:t>
            </w:r>
          </w:p>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l’emploi total. Dont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96,0</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59,3</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77,9</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95,9</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59,6</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77,9</w:t>
            </w:r>
          </w:p>
        </w:tc>
      </w:tr>
      <w:tr w:rsidR="002D5AE8">
        <w:trPr>
          <w:jc w:val="center"/>
        </w:trPr>
        <w:tc>
          <w:tcPr>
            <w:tcW w:w="3886" w:type="dxa"/>
            <w:tcBorders>
              <w:top w:val="single" w:sz="4"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Salariés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66,4</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39,0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56,1</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68,1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40,2</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57,5</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Auto-employés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33,6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61,0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43,9</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31,9</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59,8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42,5</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pStyle w:val="Paragraphedeliste2"/>
              <w:numPr>
                <w:ilvl w:val="0"/>
                <w:numId w:val="1"/>
              </w:numPr>
              <w:tabs>
                <w:tab w:val="left" w:pos="-720"/>
              </w:tabs>
              <w:suppressAutoHyphens/>
              <w:spacing w:before="20" w:after="20"/>
              <w:ind w:left="0"/>
              <w:rPr>
                <w:rFonts w:ascii="Garamond" w:hAnsi="Garamond"/>
                <w:b/>
                <w:spacing w:val="-2"/>
                <w:sz w:val="20"/>
                <w:szCs w:val="20"/>
              </w:rPr>
            </w:pPr>
            <w:r>
              <w:rPr>
                <w:rFonts w:ascii="Garamond" w:hAnsi="Garamond"/>
                <w:b/>
                <w:spacing w:val="-2"/>
                <w:sz w:val="20"/>
                <w:szCs w:val="20"/>
              </w:rPr>
              <w:t>- Population active occupée sous employée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Pr>
              <w:t>457</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Pr>
              <w:t>509</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Pr>
              <w:t>966</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tl/>
              </w:rPr>
              <w:t>448</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Pr>
              <w:t>530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948A54"/>
                <w:sz w:val="22"/>
                <w:szCs w:val="22"/>
              </w:rPr>
            </w:pPr>
            <w:r>
              <w:rPr>
                <w:rFonts w:ascii="Garamond" w:hAnsi="Garamond" w:cs="Times New Roman"/>
                <w:b/>
                <w:bCs/>
                <w:color w:val="948A54"/>
                <w:sz w:val="22"/>
                <w:szCs w:val="22"/>
                <w:rtl/>
              </w:rPr>
              <w:t>978</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Taux de sous emploi</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8,6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9,8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9,2</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8,4</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10,1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9,2</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i/>
                <w:spacing w:val="-2"/>
              </w:rPr>
              <w:t xml:space="preserve">  Chômage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Population active en chômage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824</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214</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Pr>
              <w:t>1 038</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tl/>
              </w:rPr>
              <w:t>871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tl/>
              </w:rPr>
              <w:t>210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b/>
                <w:bCs/>
                <w:color w:val="000000"/>
                <w:sz w:val="22"/>
                <w:szCs w:val="22"/>
              </w:rPr>
            </w:pPr>
            <w:r>
              <w:rPr>
                <w:rFonts w:ascii="Garamond" w:hAnsi="Garamond" w:cs="Times New Roman"/>
                <w:b/>
                <w:bCs/>
                <w:color w:val="000000"/>
                <w:sz w:val="22"/>
                <w:szCs w:val="22"/>
                <w:rtl/>
              </w:rPr>
              <w:t>1081</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Taux de féminisation de la population </w:t>
            </w:r>
          </w:p>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active en chômage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32,6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15,7</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29,1</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31,1</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14,2</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27,8</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Taux de chômage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13,4</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9,0</w:t>
            </w: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14,0</w:t>
            </w: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3,8</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9,2</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sexe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Hommes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11,5</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4,9</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8,7</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12,3</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4,9</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9,1</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Femmes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20,6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1,9</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9,9</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20,4</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1,6</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9,6</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l'âge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15-24 ans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33,5</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8,9</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18,6</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36,0</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8,4</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19,3</w:t>
            </w:r>
          </w:p>
        </w:tc>
      </w:tr>
      <w:tr w:rsidR="002D5AE8">
        <w:trPr>
          <w:trHeight w:val="91"/>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25-34 ans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19,6</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4,3</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13,2</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19,8</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4,2</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13,2</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35-44 ans </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7,0</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2,1</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5,0</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7,9</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2,3</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5,6</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45 ans et plus</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2,7</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1,0</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1,9</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3,5</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1,1</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2,3</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 Selon le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 </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Sans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6,9</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2,4</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4,0</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8,1</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2,4</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4,5</w:t>
            </w:r>
          </w:p>
        </w:tc>
      </w:tr>
      <w:tr w:rsidR="002D5AE8">
        <w:trPr>
          <w:jc w:val="center"/>
        </w:trPr>
        <w:tc>
          <w:tcPr>
            <w:tcW w:w="3886" w:type="dxa"/>
            <w:tcBorders>
              <w:top w:val="single" w:sz="6" w:space="0" w:color="auto"/>
              <w:left w:val="single" w:sz="6" w:space="0" w:color="auto"/>
              <w:bottom w:val="single" w:sz="6" w:space="0" w:color="auto"/>
              <w:right w:val="single" w:sz="4" w:space="0" w:color="auto"/>
            </w:tcBorders>
          </w:tcPr>
          <w:p w:rsidR="002D5AE8" w:rsidRDefault="002D5AE8">
            <w:pPr>
              <w:tabs>
                <w:tab w:val="left" w:pos="-720"/>
              </w:tabs>
              <w:suppressAutoHyphens/>
              <w:spacing w:before="20" w:after="20"/>
              <w:jc w:val="right"/>
              <w:rPr>
                <w:rFonts w:ascii="Garamond" w:hAnsi="Garamond" w:cs="Times New Roman"/>
                <w:b/>
                <w:spacing w:val="-2"/>
              </w:rPr>
            </w:pPr>
            <w:r>
              <w:rPr>
                <w:rFonts w:ascii="Garamond" w:hAnsi="Garamond" w:cs="Times New Roman"/>
                <w:b/>
                <w:spacing w:val="-2"/>
              </w:rPr>
              <w:t xml:space="preserve">      Ayant un diplôme</w:t>
            </w:r>
          </w:p>
        </w:tc>
        <w:tc>
          <w:tcPr>
            <w:tcW w:w="849"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18,2</w:t>
            </w:r>
          </w:p>
        </w:tc>
        <w:tc>
          <w:tcPr>
            <w:tcW w:w="952"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10,6</w:t>
            </w:r>
          </w:p>
        </w:tc>
        <w:tc>
          <w:tcPr>
            <w:tcW w:w="1123" w:type="dxa"/>
            <w:tcBorders>
              <w:top w:val="single" w:sz="4" w:space="0" w:color="auto"/>
              <w:left w:val="single" w:sz="4" w:space="0" w:color="auto"/>
              <w:bottom w:val="single" w:sz="4" w:space="0" w:color="auto"/>
              <w:right w:val="single" w:sz="4" w:space="0" w:color="auto"/>
            </w:tcBorders>
            <w:vAlign w:val="center"/>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Pr>
              <w:t>16,4</w:t>
            </w:r>
          </w:p>
        </w:tc>
        <w:tc>
          <w:tcPr>
            <w:tcW w:w="1124"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18,2</w:t>
            </w:r>
          </w:p>
        </w:tc>
        <w:tc>
          <w:tcPr>
            <w:tcW w:w="1122"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9,8</w:t>
            </w:r>
          </w:p>
        </w:tc>
        <w:tc>
          <w:tcPr>
            <w:tcW w:w="1123" w:type="dxa"/>
            <w:tcBorders>
              <w:top w:val="single" w:sz="4" w:space="0" w:color="auto"/>
              <w:left w:val="single" w:sz="4" w:space="0" w:color="auto"/>
              <w:bottom w:val="single" w:sz="4" w:space="0" w:color="auto"/>
              <w:right w:val="single" w:sz="4" w:space="0" w:color="auto"/>
            </w:tcBorders>
            <w:vAlign w:val="bottom"/>
          </w:tcPr>
          <w:p w:rsidR="002D5AE8" w:rsidRDefault="002D5AE8">
            <w:pPr>
              <w:jc w:val="center"/>
              <w:rPr>
                <w:rFonts w:ascii="Garamond" w:hAnsi="Garamond" w:cs="Times New Roman"/>
                <w:color w:val="000000"/>
                <w:sz w:val="22"/>
                <w:szCs w:val="22"/>
              </w:rPr>
            </w:pPr>
            <w:r>
              <w:rPr>
                <w:rFonts w:ascii="Garamond" w:hAnsi="Garamond" w:cs="Times New Roman"/>
                <w:color w:val="000000"/>
                <w:sz w:val="22"/>
                <w:szCs w:val="22"/>
                <w:rtl/>
              </w:rPr>
              <w:t>16,3</w:t>
            </w:r>
          </w:p>
        </w:tc>
      </w:tr>
    </w:tbl>
    <w:p w:rsidR="002D5AE8" w:rsidRDefault="002D5AE8">
      <w:pPr>
        <w:tabs>
          <w:tab w:val="left" w:pos="-720"/>
        </w:tabs>
        <w:suppressAutoHyphens/>
        <w:jc w:val="right"/>
        <w:rPr>
          <w:rFonts w:cs="Times New Roman"/>
          <w:bCs/>
          <w:spacing w:val="-2"/>
          <w:sz w:val="18"/>
          <w:szCs w:val="18"/>
        </w:rPr>
      </w:pPr>
      <w:r>
        <w:rPr>
          <w:rFonts w:cs="Times New Roman"/>
          <w:bCs/>
          <w:spacing w:val="-2"/>
          <w:sz w:val="18"/>
          <w:szCs w:val="18"/>
          <w:u w:val="single"/>
        </w:rPr>
        <w:t>Source</w:t>
      </w:r>
      <w:r>
        <w:rPr>
          <w:rFonts w:cs="Times New Roman"/>
          <w:bCs/>
          <w:spacing w:val="-2"/>
          <w:sz w:val="18"/>
          <w:szCs w:val="18"/>
        </w:rPr>
        <w:t xml:space="preserve"> : Enquête nationale sur l'emploi, Haut Commissariat au Plan (Direction de la Statistique).</w:t>
      </w:r>
    </w:p>
    <w:p w:rsidR="002D5AE8" w:rsidRDefault="002D5AE8">
      <w:pPr>
        <w:tabs>
          <w:tab w:val="left" w:pos="-720"/>
        </w:tabs>
        <w:suppressAutoHyphens/>
        <w:jc w:val="right"/>
        <w:rPr>
          <w:rFonts w:cs="Times New Roman"/>
        </w:rPr>
      </w:pPr>
      <w:r>
        <w:rPr>
          <w:rFonts w:cs="Times New Roman"/>
          <w:bCs/>
          <w:sz w:val="18"/>
          <w:szCs w:val="18"/>
          <w:vertAlign w:val="superscript"/>
        </w:rPr>
        <w:t xml:space="preserve"> (1) </w:t>
      </w:r>
      <w:r>
        <w:rPr>
          <w:rFonts w:cs="Times New Roman"/>
          <w:bCs/>
          <w:sz w:val="18"/>
          <w:szCs w:val="18"/>
        </w:rPr>
        <w:t>Pour les définitions des concepts et indicateurs utilisés, se référer au glossaire disponible sur le site web du HCP (</w:t>
      </w:r>
      <w:r>
        <w:rPr>
          <w:rFonts w:cs="Times New Roman"/>
          <w:bCs/>
          <w:color w:val="4F81BD"/>
          <w:sz w:val="18"/>
          <w:szCs w:val="18"/>
        </w:rPr>
        <w:t>www.hcp.ma)</w:t>
      </w:r>
      <w:r>
        <w:rPr>
          <w:rFonts w:cs="Times New Roman"/>
          <w:color w:val="4F81BD"/>
        </w:rPr>
        <w:t xml:space="preserve">  </w:t>
      </w:r>
    </w:p>
    <w:p w:rsidR="002D5AE8" w:rsidRDefault="002D5AE8">
      <w:pPr>
        <w:tabs>
          <w:tab w:val="left" w:pos="-720"/>
        </w:tabs>
        <w:suppressAutoHyphens/>
        <w:jc w:val="right"/>
        <w:rPr>
          <w:rFonts w:cs="Times New Roman"/>
          <w:bCs/>
          <w:spacing w:val="-2"/>
          <w:sz w:val="18"/>
          <w:szCs w:val="18"/>
        </w:rPr>
      </w:pPr>
      <w:r>
        <w:rPr>
          <w:rFonts w:cs="Times New Roman"/>
          <w:vertAlign w:val="superscript"/>
        </w:rPr>
        <w:t>(2)</w:t>
      </w:r>
      <w:r>
        <w:rPr>
          <w:rFonts w:cs="Times New Roman"/>
          <w:bCs/>
          <w:spacing w:val="-2"/>
          <w:sz w:val="18"/>
          <w:szCs w:val="18"/>
        </w:rPr>
        <w:t xml:space="preserve"> Population âgée de 15 ans et plus.</w:t>
      </w:r>
    </w:p>
    <w:sectPr w:rsidR="002D5AE8" w:rsidSect="0012759B">
      <w:footerReference w:type="default" r:id="rId12"/>
      <w:pgSz w:w="12240" w:h="15840"/>
      <w:pgMar w:top="851" w:right="1418" w:bottom="993"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A31" w:rsidRDefault="00B56A31">
      <w:r>
        <w:separator/>
      </w:r>
    </w:p>
  </w:endnote>
  <w:endnote w:type="continuationSeparator" w:id="0">
    <w:p w:rsidR="00B56A31" w:rsidRDefault="00B56A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E8" w:rsidRDefault="00821D1D">
    <w:pPr>
      <w:pStyle w:val="Pieddepage"/>
      <w:jc w:val="center"/>
    </w:pPr>
    <w:fldSimple w:instr=" PAGE   \* MERGEFORMAT ">
      <w:r w:rsidR="00B56A31">
        <w:rPr>
          <w:rtl/>
        </w:rPr>
        <w:t>1</w:t>
      </w:r>
    </w:fldSimple>
  </w:p>
  <w:p w:rsidR="002D5AE8" w:rsidRDefault="002D5A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A31" w:rsidRDefault="00B56A31">
      <w:r>
        <w:separator/>
      </w:r>
    </w:p>
  </w:footnote>
  <w:footnote w:type="continuationSeparator" w:id="0">
    <w:p w:rsidR="00B56A31" w:rsidRDefault="00B56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30598"/>
    <w:multiLevelType w:val="hybridMultilevel"/>
    <w:tmpl w:val="A7E6B44C"/>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503F73"/>
    <w:multiLevelType w:val="hybridMultilevel"/>
    <w:tmpl w:val="C22A6324"/>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907210"/>
    <w:rsid w:val="00024BAD"/>
    <w:rsid w:val="00065C72"/>
    <w:rsid w:val="0012759B"/>
    <w:rsid w:val="00142DF6"/>
    <w:rsid w:val="001F53B5"/>
    <w:rsid w:val="001F6125"/>
    <w:rsid w:val="00216D98"/>
    <w:rsid w:val="002D5AE8"/>
    <w:rsid w:val="003B73DF"/>
    <w:rsid w:val="003C135A"/>
    <w:rsid w:val="003C4BCA"/>
    <w:rsid w:val="003D1984"/>
    <w:rsid w:val="003D70E6"/>
    <w:rsid w:val="00470B55"/>
    <w:rsid w:val="004B0E02"/>
    <w:rsid w:val="00522152"/>
    <w:rsid w:val="00701810"/>
    <w:rsid w:val="007121F0"/>
    <w:rsid w:val="00821D1D"/>
    <w:rsid w:val="00831616"/>
    <w:rsid w:val="008A77FE"/>
    <w:rsid w:val="008C591D"/>
    <w:rsid w:val="008F231F"/>
    <w:rsid w:val="00907210"/>
    <w:rsid w:val="009C0CC8"/>
    <w:rsid w:val="009E41F8"/>
    <w:rsid w:val="00A92CC1"/>
    <w:rsid w:val="00AC468D"/>
    <w:rsid w:val="00B04B39"/>
    <w:rsid w:val="00B05891"/>
    <w:rsid w:val="00B51B84"/>
    <w:rsid w:val="00B56A31"/>
    <w:rsid w:val="00B65A24"/>
    <w:rsid w:val="00B67802"/>
    <w:rsid w:val="00B70B2F"/>
    <w:rsid w:val="00C710C8"/>
    <w:rsid w:val="00C72633"/>
    <w:rsid w:val="00C74266"/>
    <w:rsid w:val="00E21FA8"/>
    <w:rsid w:val="00E875E0"/>
    <w:rsid w:val="00ED3C32"/>
    <w:rsid w:val="00FB54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B"/>
    <w:pPr>
      <w:bidi/>
    </w:pPr>
    <w:rPr>
      <w:rFonts w:cs="Traditional Arabic"/>
      <w:noProof/>
    </w:rPr>
  </w:style>
  <w:style w:type="paragraph" w:styleId="Titre1">
    <w:name w:val="heading 1"/>
    <w:basedOn w:val="Normal"/>
    <w:next w:val="Normal"/>
    <w:qFormat/>
    <w:rsid w:val="0012759B"/>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12759B"/>
    <w:pPr>
      <w:keepNext/>
      <w:jc w:val="right"/>
      <w:outlineLvl w:val="1"/>
    </w:pPr>
    <w:rPr>
      <w:rFonts w:ascii="Garamond" w:hAnsi="Garamond" w:cs="Times New Roman"/>
      <w:b/>
      <w:bCs/>
      <w:noProof w:val="0"/>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rsid w:val="0012759B"/>
    <w:pPr>
      <w:jc w:val="center"/>
    </w:pPr>
    <w:rPr>
      <w:rFonts w:ascii="Univers" w:hAnsi="Univers" w:cs="Simplified Arabic"/>
      <w:noProof w:val="0"/>
      <w:sz w:val="22"/>
    </w:rPr>
  </w:style>
  <w:style w:type="character" w:styleId="Lienhypertexte">
    <w:name w:val="Hyperlink"/>
    <w:basedOn w:val="Policepardfaut"/>
    <w:semiHidden/>
    <w:rsid w:val="0012759B"/>
    <w:rPr>
      <w:rFonts w:cs="Times New Roman"/>
      <w:color w:val="0000FF"/>
      <w:u w:val="single"/>
    </w:rPr>
  </w:style>
  <w:style w:type="paragraph" w:customStyle="1" w:styleId="Paragraphedeliste1">
    <w:name w:val="Paragraphe de liste1"/>
    <w:basedOn w:val="Normal"/>
    <w:rsid w:val="0012759B"/>
    <w:pPr>
      <w:bidi w:val="0"/>
      <w:ind w:left="720"/>
    </w:pPr>
    <w:rPr>
      <w:rFonts w:cs="Times New Roman"/>
      <w:noProof w:val="0"/>
      <w:sz w:val="24"/>
      <w:szCs w:val="24"/>
    </w:rPr>
  </w:style>
  <w:style w:type="paragraph" w:styleId="Pieddepage">
    <w:name w:val="footer"/>
    <w:basedOn w:val="Normal"/>
    <w:semiHidden/>
    <w:rsid w:val="0012759B"/>
    <w:pPr>
      <w:tabs>
        <w:tab w:val="center" w:pos="4153"/>
        <w:tab w:val="right" w:pos="8306"/>
      </w:tabs>
    </w:pPr>
  </w:style>
  <w:style w:type="character" w:customStyle="1" w:styleId="PieddepageCar">
    <w:name w:val="Pied de page Car"/>
    <w:basedOn w:val="Policepardfaut"/>
    <w:locked/>
    <w:rsid w:val="0012759B"/>
    <w:rPr>
      <w:rFonts w:cs="Traditional Arabic"/>
      <w:noProof/>
      <w:lang w:val="fr-FR" w:eastAsia="fr-FR" w:bidi="ar-SA"/>
    </w:rPr>
  </w:style>
  <w:style w:type="paragraph" w:styleId="En-tte">
    <w:name w:val="header"/>
    <w:basedOn w:val="Normal"/>
    <w:semiHidden/>
    <w:rsid w:val="0012759B"/>
    <w:pPr>
      <w:tabs>
        <w:tab w:val="center" w:pos="4536"/>
        <w:tab w:val="right" w:pos="9072"/>
      </w:tabs>
    </w:pPr>
  </w:style>
  <w:style w:type="character" w:customStyle="1" w:styleId="En-tteCar">
    <w:name w:val="En-tête Car"/>
    <w:basedOn w:val="Policepardfaut"/>
    <w:rsid w:val="0012759B"/>
    <w:rPr>
      <w:rFonts w:cs="Traditional Arabic"/>
      <w:noProof/>
    </w:rPr>
  </w:style>
  <w:style w:type="paragraph" w:styleId="Paragraphedeliste">
    <w:name w:val="List Paragraph"/>
    <w:basedOn w:val="Normal"/>
    <w:qFormat/>
    <w:rsid w:val="0012759B"/>
    <w:pPr>
      <w:ind w:left="708"/>
    </w:pPr>
  </w:style>
  <w:style w:type="paragraph" w:customStyle="1" w:styleId="Paragraphedeliste2">
    <w:name w:val="Paragraphe de liste2"/>
    <w:basedOn w:val="Normal"/>
    <w:rsid w:val="0012759B"/>
    <w:pPr>
      <w:bidi w:val="0"/>
      <w:ind w:left="720"/>
    </w:pPr>
    <w:rPr>
      <w:rFonts w:cs="Times New Roman"/>
      <w:noProof w:val="0"/>
      <w:sz w:val="24"/>
      <w:szCs w:val="24"/>
    </w:rPr>
  </w:style>
  <w:style w:type="paragraph" w:styleId="Textedebulles">
    <w:name w:val="Balloon Text"/>
    <w:basedOn w:val="Normal"/>
    <w:semiHidden/>
    <w:unhideWhenUsed/>
    <w:rsid w:val="0012759B"/>
    <w:rPr>
      <w:rFonts w:ascii="Tahoma" w:hAnsi="Tahoma" w:cs="Tahoma"/>
      <w:sz w:val="16"/>
      <w:szCs w:val="16"/>
    </w:rPr>
  </w:style>
  <w:style w:type="character" w:customStyle="1" w:styleId="TextedebullesCar">
    <w:name w:val="Texte de bulles Car"/>
    <w:basedOn w:val="Policepardfaut"/>
    <w:semiHidden/>
    <w:rsid w:val="0012759B"/>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trim__4__2013\ANNEE%202013\Traitement\Traitement-sit-1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eur\Bureau\trim__4__2013\ANNEE%202013\Traitement\traitement__branches-6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trim__4__2013\ANNEE%202013\Traitement_taux%20de%20ch&#244;mage_taux%20du%20sous%20emplo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eur\Bureau\trim__4__2013\ANNEE%202013\Traitement_taux%20de%20ch&#244;mage_taux%20du%20sous%20emploi.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eur\Bureau\trim__4__2013\ANNEE%202013\Traitement\Copie%20de%20Traitement_taux%20de%20ch&#244;mage_taux%20du%20sous%20emplo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autoTitleDeleted val="1"/>
    <c:plotArea>
      <c:layout>
        <c:manualLayout>
          <c:layoutTarget val="inner"/>
          <c:xMode val="edge"/>
          <c:yMode val="edge"/>
          <c:x val="8.5432742873261358E-2"/>
          <c:y val="3.9652974412681292E-2"/>
          <c:w val="0.8229004811898516"/>
          <c:h val="0.7284118795495429"/>
        </c:manualLayout>
      </c:layout>
      <c:barChart>
        <c:barDir val="col"/>
        <c:grouping val="clustered"/>
        <c:ser>
          <c:idx val="0"/>
          <c:order val="0"/>
          <c:tx>
            <c:strRef>
              <c:f>Feuil2!$C$2</c:f>
              <c:strCache>
                <c:ptCount val="1"/>
                <c:pt idx="0">
                  <c:v>Emploi rémunéré</c:v>
                </c:pt>
              </c:strCache>
            </c:strRef>
          </c:tx>
          <c:dLbls>
            <c:showVal val="1"/>
          </c:dLbls>
          <c:cat>
            <c:strRef>
              <c:f>Feuil2!$D$1:$F$1</c:f>
              <c:strCache>
                <c:ptCount val="3"/>
                <c:pt idx="0">
                  <c:v>Urbain</c:v>
                </c:pt>
                <c:pt idx="1">
                  <c:v>Rural</c:v>
                </c:pt>
                <c:pt idx="2">
                  <c:v>National</c:v>
                </c:pt>
              </c:strCache>
            </c:strRef>
          </c:cat>
          <c:val>
            <c:numRef>
              <c:f>Feuil2!$D$2:$F$2</c:f>
              <c:numCache>
                <c:formatCode>General</c:formatCode>
                <c:ptCount val="3"/>
                <c:pt idx="0">
                  <c:v>23000</c:v>
                </c:pt>
                <c:pt idx="1">
                  <c:v>67000</c:v>
                </c:pt>
                <c:pt idx="2">
                  <c:v>90000</c:v>
                </c:pt>
              </c:numCache>
            </c:numRef>
          </c:val>
        </c:ser>
        <c:ser>
          <c:idx val="1"/>
          <c:order val="1"/>
          <c:tx>
            <c:strRef>
              <c:f>Feuil2!$C$3</c:f>
              <c:strCache>
                <c:ptCount val="1"/>
                <c:pt idx="0">
                  <c:v>Emploi non rémunéré</c:v>
                </c:pt>
              </c:strCache>
            </c:strRef>
          </c:tx>
          <c:dLbls>
            <c:showVal val="1"/>
          </c:dLbls>
          <c:cat>
            <c:strRef>
              <c:f>Feuil2!$D$1:$F$1</c:f>
              <c:strCache>
                <c:ptCount val="3"/>
                <c:pt idx="0">
                  <c:v>Urbain</c:v>
                </c:pt>
                <c:pt idx="1">
                  <c:v>Rural</c:v>
                </c:pt>
                <c:pt idx="2">
                  <c:v>National</c:v>
                </c:pt>
              </c:strCache>
            </c:strRef>
          </c:cat>
          <c:val>
            <c:numRef>
              <c:f>Feuil2!$D$3:$F$3</c:f>
              <c:numCache>
                <c:formatCode>_(* #,##0_);_(* \(#,##0\);_(* "-"??_);_(@_)</c:formatCode>
                <c:ptCount val="3"/>
                <c:pt idx="0">
                  <c:v>3000</c:v>
                </c:pt>
                <c:pt idx="1">
                  <c:v>21000</c:v>
                </c:pt>
                <c:pt idx="2">
                  <c:v>24000</c:v>
                </c:pt>
              </c:numCache>
            </c:numRef>
          </c:val>
        </c:ser>
        <c:ser>
          <c:idx val="2"/>
          <c:order val="2"/>
          <c:tx>
            <c:strRef>
              <c:f>Feuil2!$C$4</c:f>
              <c:strCache>
                <c:ptCount val="1"/>
                <c:pt idx="0">
                  <c:v>Emploi total</c:v>
                </c:pt>
              </c:strCache>
            </c:strRef>
          </c:tx>
          <c:dLbls>
            <c:showVal val="1"/>
          </c:dLbls>
          <c:cat>
            <c:strRef>
              <c:f>Feuil2!$D$1:$F$1</c:f>
              <c:strCache>
                <c:ptCount val="3"/>
                <c:pt idx="0">
                  <c:v>Urbain</c:v>
                </c:pt>
                <c:pt idx="1">
                  <c:v>Rural</c:v>
                </c:pt>
                <c:pt idx="2">
                  <c:v>National</c:v>
                </c:pt>
              </c:strCache>
            </c:strRef>
          </c:cat>
          <c:val>
            <c:numRef>
              <c:f>Feuil2!$D$4:$F$4</c:f>
              <c:numCache>
                <c:formatCode>General</c:formatCode>
                <c:ptCount val="3"/>
                <c:pt idx="0">
                  <c:v>26000</c:v>
                </c:pt>
                <c:pt idx="1">
                  <c:v>88000</c:v>
                </c:pt>
                <c:pt idx="2">
                  <c:v>114000</c:v>
                </c:pt>
              </c:numCache>
            </c:numRef>
          </c:val>
        </c:ser>
        <c:gapWidth val="75"/>
        <c:axId val="56543104"/>
        <c:axId val="56544640"/>
      </c:barChart>
      <c:catAx>
        <c:axId val="56543104"/>
        <c:scaling>
          <c:orientation val="minMax"/>
        </c:scaling>
        <c:axPos val="b"/>
        <c:majorTickMark val="none"/>
        <c:tickLblPos val="nextTo"/>
        <c:crossAx val="56544640"/>
        <c:crosses val="autoZero"/>
        <c:auto val="1"/>
        <c:lblAlgn val="ctr"/>
        <c:lblOffset val="100"/>
      </c:catAx>
      <c:valAx>
        <c:axId val="56544640"/>
        <c:scaling>
          <c:orientation val="minMax"/>
        </c:scaling>
        <c:delete val="1"/>
        <c:axPos val="l"/>
        <c:numFmt formatCode="General" sourceLinked="1"/>
        <c:majorTickMark val="none"/>
        <c:tickLblPos val="none"/>
        <c:crossAx val="56543104"/>
        <c:crosses val="autoZero"/>
        <c:crossBetween val="between"/>
      </c:valAx>
      <c:spPr>
        <a:noFill/>
        <a:ln w="25400">
          <a:noFill/>
        </a:ln>
      </c:spPr>
    </c:plotArea>
    <c:legend>
      <c:legendPos val="b"/>
      <c:layout>
        <c:manualLayout>
          <c:xMode val="edge"/>
          <c:yMode val="edge"/>
          <c:x val="9.7422631946069232E-2"/>
          <c:y val="0.9322198763009516"/>
          <c:w val="0.8051547361078617"/>
          <c:h val="6.6226032090816414E-2"/>
        </c:manualLayout>
      </c:layout>
    </c:legend>
    <c:plotVisOnly val="1"/>
  </c:chart>
  <c:txPr>
    <a:bodyPr/>
    <a:lstStyle/>
    <a:p>
      <a:pPr>
        <a:defRPr>
          <a:latin typeface="Garamond"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2718600953895052E-2"/>
          <c:y val="5.6809466613283496E-2"/>
          <c:w val="0.95336512983571342"/>
          <c:h val="0.69955276776843556"/>
        </c:manualLayout>
      </c:layout>
      <c:barChart>
        <c:barDir val="col"/>
        <c:grouping val="clustered"/>
        <c:ser>
          <c:idx val="0"/>
          <c:order val="0"/>
          <c:tx>
            <c:strRef>
              <c:f>Feuil2!$C$5</c:f>
              <c:strCache>
                <c:ptCount val="1"/>
                <c:pt idx="0">
                  <c:v>Urbain</c:v>
                </c:pt>
              </c:strCache>
            </c:strRef>
          </c:tx>
          <c:dLbls>
            <c:dLbl>
              <c:idx val="1"/>
              <c:layout>
                <c:manualLayout>
                  <c:x val="-2.3304203079483946E-2"/>
                  <c:y val="7.532956685499111E-3"/>
                </c:manualLayout>
              </c:layout>
              <c:dLblPos val="outEnd"/>
              <c:showVal val="1"/>
            </c:dLbl>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Feuil2!$D$5:$H$5</c:f>
              <c:numCache>
                <c:formatCode>#,##0</c:formatCode>
                <c:ptCount val="5"/>
                <c:pt idx="0">
                  <c:v>-9000</c:v>
                </c:pt>
                <c:pt idx="1">
                  <c:v>-11000</c:v>
                </c:pt>
                <c:pt idx="2">
                  <c:v>-53000</c:v>
                </c:pt>
                <c:pt idx="3">
                  <c:v>100000</c:v>
                </c:pt>
                <c:pt idx="4">
                  <c:v>-1000</c:v>
                </c:pt>
              </c:numCache>
            </c:numRef>
          </c:val>
        </c:ser>
        <c:ser>
          <c:idx val="1"/>
          <c:order val="1"/>
          <c:tx>
            <c:strRef>
              <c:f>Feuil2!$C$6</c:f>
              <c:strCache>
                <c:ptCount val="1"/>
                <c:pt idx="0">
                  <c:v>Rural</c:v>
                </c:pt>
              </c:strCache>
            </c:strRef>
          </c:tx>
          <c:dLbls>
            <c:dLbl>
              <c:idx val="0"/>
              <c:layout>
                <c:manualLayout>
                  <c:x val="-9.9875156054931528E-3"/>
                  <c:y val="0"/>
                </c:manualLayout>
              </c:layout>
              <c:dLblPos val="outEnd"/>
              <c:showVal val="1"/>
            </c:dLbl>
            <c:dLbl>
              <c:idx val="1"/>
              <c:layout>
                <c:manualLayout>
                  <c:x val="-3.051705625892534E-17"/>
                  <c:y val="-4.5197740112994364E-2"/>
                </c:manualLayout>
              </c:layout>
              <c:dLblPos val="outEnd"/>
              <c:showVal val="1"/>
            </c:dLbl>
            <c:dLbl>
              <c:idx val="2"/>
              <c:layout>
                <c:manualLayout>
                  <c:x val="1.664585934248885E-3"/>
                  <c:y val="-1.5065913370998179E-2"/>
                </c:manualLayout>
              </c:layout>
              <c:dLblPos val="outEnd"/>
              <c:showVal val="1"/>
            </c:dLbl>
            <c:dLbl>
              <c:idx val="4"/>
              <c:layout>
                <c:manualLayout>
                  <c:x val="-9.9875156054931528E-3"/>
                  <c:y val="-1.5065913370998179E-2"/>
                </c:manualLayout>
              </c:layout>
              <c:dLblPos val="outEnd"/>
              <c:showVal val="1"/>
            </c:dLbl>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Feuil2!$D$6:$H$6</c:f>
              <c:numCache>
                <c:formatCode>#,##0</c:formatCode>
                <c:ptCount val="5"/>
                <c:pt idx="0">
                  <c:v>67000</c:v>
                </c:pt>
                <c:pt idx="1">
                  <c:v>16000</c:v>
                </c:pt>
                <c:pt idx="2">
                  <c:v>3000</c:v>
                </c:pt>
                <c:pt idx="3">
                  <c:v>1000</c:v>
                </c:pt>
                <c:pt idx="4">
                  <c:v>1000</c:v>
                </c:pt>
              </c:numCache>
            </c:numRef>
          </c:val>
        </c:ser>
        <c:ser>
          <c:idx val="2"/>
          <c:order val="2"/>
          <c:tx>
            <c:strRef>
              <c:f>Feuil2!$C$7</c:f>
              <c:strCache>
                <c:ptCount val="1"/>
                <c:pt idx="0">
                  <c:v>National</c:v>
                </c:pt>
              </c:strCache>
            </c:strRef>
          </c:tx>
          <c:dLbls>
            <c:dLbl>
              <c:idx val="0"/>
              <c:layout>
                <c:manualLayout>
                  <c:x val="3.8285476487724117E-2"/>
                  <c:y val="1.1862923914171864E-6"/>
                </c:manualLayout>
              </c:layout>
              <c:dLblPos val="outEnd"/>
              <c:showVal val="1"/>
            </c:dLbl>
            <c:dLbl>
              <c:idx val="1"/>
              <c:layout>
                <c:manualLayout>
                  <c:x val="2.6633374947981691E-2"/>
                  <c:y val="3.766478342749588E-3"/>
                </c:manualLayout>
              </c:layout>
              <c:dLblPos val="outEnd"/>
              <c:showVal val="1"/>
            </c:dLbl>
            <c:dLbl>
              <c:idx val="4"/>
              <c:layout>
                <c:manualLayout>
                  <c:x val="1.2206822503570109E-16"/>
                  <c:y val="-4.519774011299442E-2"/>
                </c:manualLayout>
              </c:layout>
              <c:dLblPos val="outEnd"/>
              <c:showVal val="1"/>
            </c:dLbl>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Feuil2!$D$7:$H$7</c:f>
              <c:numCache>
                <c:formatCode>#,##0</c:formatCode>
                <c:ptCount val="5"/>
                <c:pt idx="0">
                  <c:v>58000</c:v>
                </c:pt>
                <c:pt idx="1">
                  <c:v>5000</c:v>
                </c:pt>
                <c:pt idx="2">
                  <c:v>-50000</c:v>
                </c:pt>
                <c:pt idx="3">
                  <c:v>101000</c:v>
                </c:pt>
                <c:pt idx="4">
                  <c:v>0</c:v>
                </c:pt>
              </c:numCache>
            </c:numRef>
          </c:val>
        </c:ser>
        <c:dLbls>
          <c:showVal val="1"/>
        </c:dLbls>
        <c:axId val="65783296"/>
        <c:axId val="65784832"/>
      </c:barChart>
      <c:catAx>
        <c:axId val="65783296"/>
        <c:scaling>
          <c:orientation val="minMax"/>
        </c:scaling>
        <c:axPos val="b"/>
        <c:numFmt formatCode="General" sourceLinked="1"/>
        <c:majorTickMark val="none"/>
        <c:tickLblPos val="low"/>
        <c:txPr>
          <a:bodyPr rot="0" vert="horz"/>
          <a:lstStyle/>
          <a:p>
            <a:pPr>
              <a:defRPr/>
            </a:pPr>
            <a:endParaRPr lang="fr-FR"/>
          </a:p>
        </c:txPr>
        <c:crossAx val="65784832"/>
        <c:crosses val="autoZero"/>
        <c:auto val="1"/>
        <c:lblAlgn val="ctr"/>
        <c:lblOffset val="100"/>
      </c:catAx>
      <c:valAx>
        <c:axId val="65784832"/>
        <c:scaling>
          <c:orientation val="minMax"/>
        </c:scaling>
        <c:delete val="1"/>
        <c:axPos val="l"/>
        <c:numFmt formatCode="#,##0" sourceLinked="1"/>
        <c:tickLblPos val="none"/>
        <c:crossAx val="65783296"/>
        <c:crosses val="autoZero"/>
        <c:crossBetween val="between"/>
      </c:valAx>
    </c:plotArea>
    <c:legend>
      <c:legendPos val="t"/>
      <c:layout>
        <c:manualLayout>
          <c:xMode val="edge"/>
          <c:yMode val="edge"/>
          <c:x val="0.32888154898241179"/>
          <c:y val="0.93032015065913465"/>
          <c:w val="0.29560201978498263"/>
          <c:h val="6.8108901641532091E-2"/>
        </c:manualLayout>
      </c:layout>
    </c:legend>
    <c:plotVisOnly val="1"/>
    <c:dispBlanksAs val="gap"/>
  </c:chart>
  <c:txPr>
    <a:bodyPr/>
    <a:lstStyle/>
    <a:p>
      <a:pPr>
        <a:defRPr sz="1000" b="0" i="0" u="none" strike="noStrike" baseline="0">
          <a:solidFill>
            <a:srgbClr val="000000"/>
          </a:solidFill>
          <a:latin typeface="Garamond" pitchFamily="18" charset="0"/>
          <a:ea typeface="Calibri"/>
          <a:cs typeface="Calibri"/>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5.5798826746274732E-2"/>
          <c:y val="7.8636275728691821E-2"/>
          <c:w val="0.86394225721785223"/>
          <c:h val="0.68673009623797165"/>
        </c:manualLayout>
      </c:layout>
      <c:lineChart>
        <c:grouping val="standard"/>
        <c:ser>
          <c:idx val="0"/>
          <c:order val="0"/>
          <c:tx>
            <c:strRef>
              <c:f>T_chômage!$B$3</c:f>
              <c:strCache>
                <c:ptCount val="1"/>
                <c:pt idx="0">
                  <c:v>Urbain</c:v>
                </c:pt>
              </c:strCache>
            </c:strRef>
          </c:tx>
          <c:dLbls>
            <c:dLbl>
              <c:idx val="0"/>
              <c:layout>
                <c:manualLayout>
                  <c:x val="-1.6666885389326504E-2"/>
                  <c:y val="-5.5555555555555455E-2"/>
                </c:manualLayout>
              </c:layout>
              <c:dLblPos val="r"/>
              <c:showVal val="1"/>
            </c:dLbl>
            <c:dLbl>
              <c:idx val="1"/>
              <c:layout>
                <c:manualLayout>
                  <c:x val="-1.6666666666666701E-2"/>
                  <c:y val="-4.6296296296296523E-2"/>
                </c:manualLayout>
              </c:layout>
              <c:dLblPos val="r"/>
              <c:showVal val="1"/>
            </c:dLbl>
            <c:dLbl>
              <c:idx val="2"/>
              <c:layout>
                <c:manualLayout>
                  <c:x val="-1.388888888888903E-2"/>
                  <c:y val="-6.0185185185185147E-2"/>
                </c:manualLayout>
              </c:layout>
              <c:dLblPos val="r"/>
              <c:showVal val="1"/>
            </c:dLbl>
            <c:dLbl>
              <c:idx val="3"/>
              <c:layout>
                <c:manualLayout>
                  <c:x val="-1.388888888888903E-2"/>
                  <c:y val="-5.0926290463692035E-2"/>
                </c:manualLayout>
              </c:layout>
              <c:dLblPos val="r"/>
              <c:showVal val="1"/>
            </c:dLbl>
            <c:dLbl>
              <c:idx val="4"/>
              <c:layout>
                <c:manualLayout>
                  <c:x val="-2.7777777777778273E-3"/>
                  <c:y val="-4.1666666666666692E-2"/>
                </c:manualLayout>
              </c:layout>
              <c:dLblPos val="r"/>
              <c:showVal val="1"/>
            </c:dLbl>
            <c:showVal val="1"/>
          </c:dLbls>
          <c:cat>
            <c:numRef>
              <c:f>T_chômage!$C$2:$G$2</c:f>
              <c:numCache>
                <c:formatCode>General</c:formatCode>
                <c:ptCount val="5"/>
                <c:pt idx="0">
                  <c:v>2009</c:v>
                </c:pt>
                <c:pt idx="1">
                  <c:v>2010</c:v>
                </c:pt>
                <c:pt idx="2">
                  <c:v>2011</c:v>
                </c:pt>
                <c:pt idx="3">
                  <c:v>2012</c:v>
                </c:pt>
                <c:pt idx="4">
                  <c:v>2013</c:v>
                </c:pt>
              </c:numCache>
            </c:numRef>
          </c:cat>
          <c:val>
            <c:numRef>
              <c:f>T_chômage!$C$3:$G$3</c:f>
              <c:numCache>
                <c:formatCode>#,##0.0</c:formatCode>
                <c:ptCount val="5"/>
                <c:pt idx="0">
                  <c:v>13.786731086678655</c:v>
                </c:pt>
                <c:pt idx="1">
                  <c:v>13.740448971350668</c:v>
                </c:pt>
                <c:pt idx="2">
                  <c:v>13.416026015153626</c:v>
                </c:pt>
                <c:pt idx="3">
                  <c:v>13.41206813860577</c:v>
                </c:pt>
                <c:pt idx="4">
                  <c:v>14</c:v>
                </c:pt>
              </c:numCache>
            </c:numRef>
          </c:val>
        </c:ser>
        <c:ser>
          <c:idx val="1"/>
          <c:order val="1"/>
          <c:tx>
            <c:strRef>
              <c:f>T_chômage!$B$4</c:f>
              <c:strCache>
                <c:ptCount val="1"/>
                <c:pt idx="0">
                  <c:v>Rural</c:v>
                </c:pt>
              </c:strCache>
            </c:strRef>
          </c:tx>
          <c:dLbls>
            <c:dLbl>
              <c:idx val="0"/>
              <c:layout>
                <c:manualLayout>
                  <c:x val="-5.5555555555555775E-3"/>
                  <c:y val="-5.5555555555555455E-2"/>
                </c:manualLayout>
              </c:layout>
              <c:dLblPos val="r"/>
              <c:showVal val="1"/>
            </c:dLbl>
            <c:dLbl>
              <c:idx val="1"/>
              <c:layout>
                <c:manualLayout>
                  <c:x val="-5.5555555555555558E-3"/>
                  <c:y val="-5.5555555555555455E-2"/>
                </c:manualLayout>
              </c:layout>
              <c:dLblPos val="r"/>
              <c:showVal val="1"/>
            </c:dLbl>
            <c:dLbl>
              <c:idx val="2"/>
              <c:layout>
                <c:manualLayout>
                  <c:x val="0"/>
                  <c:y val="-4.1666666666666671E-2"/>
                </c:manualLayout>
              </c:layout>
              <c:dLblPos val="r"/>
              <c:showVal val="1"/>
            </c:dLbl>
            <c:dLbl>
              <c:idx val="3"/>
              <c:layout>
                <c:manualLayout>
                  <c:x val="0"/>
                  <c:y val="-4.6296296296296523E-2"/>
                </c:manualLayout>
              </c:layout>
              <c:dLblPos val="r"/>
              <c:showVal val="1"/>
            </c:dLbl>
            <c:dLbl>
              <c:idx val="4"/>
              <c:layout>
                <c:manualLayout>
                  <c:x val="-1.1111111111111125E-2"/>
                  <c:y val="-3.7037037037037056E-2"/>
                </c:manualLayout>
              </c:layout>
              <c:dLblPos val="r"/>
              <c:showVal val="1"/>
            </c:dLbl>
            <c:showVal val="1"/>
          </c:dLbls>
          <c:cat>
            <c:numRef>
              <c:f>T_chômage!$C$2:$G$2</c:f>
              <c:numCache>
                <c:formatCode>General</c:formatCode>
                <c:ptCount val="5"/>
                <c:pt idx="0">
                  <c:v>2009</c:v>
                </c:pt>
                <c:pt idx="1">
                  <c:v>2010</c:v>
                </c:pt>
                <c:pt idx="2">
                  <c:v>2011</c:v>
                </c:pt>
                <c:pt idx="3">
                  <c:v>2012</c:v>
                </c:pt>
                <c:pt idx="4">
                  <c:v>2013</c:v>
                </c:pt>
              </c:numCache>
            </c:numRef>
          </c:cat>
          <c:val>
            <c:numRef>
              <c:f>T_chômage!$C$4:$G$4</c:f>
              <c:numCache>
                <c:formatCode>#,##0.0</c:formatCode>
                <c:ptCount val="5"/>
                <c:pt idx="0">
                  <c:v>3.9593634960658326</c:v>
                </c:pt>
                <c:pt idx="1">
                  <c:v>3.9210562054271105</c:v>
                </c:pt>
                <c:pt idx="2">
                  <c:v>3.8783219573652201</c:v>
                </c:pt>
                <c:pt idx="3">
                  <c:v>3.9615026412299832</c:v>
                </c:pt>
                <c:pt idx="4">
                  <c:v>3.8</c:v>
                </c:pt>
              </c:numCache>
            </c:numRef>
          </c:val>
        </c:ser>
        <c:ser>
          <c:idx val="2"/>
          <c:order val="2"/>
          <c:tx>
            <c:strRef>
              <c:f>T_chômage!$B$5</c:f>
              <c:strCache>
                <c:ptCount val="1"/>
                <c:pt idx="0">
                  <c:v>National</c:v>
                </c:pt>
              </c:strCache>
            </c:strRef>
          </c:tx>
          <c:dLbls>
            <c:dLbl>
              <c:idx val="0"/>
              <c:layout>
                <c:manualLayout>
                  <c:x val="-8.3333333333333766E-3"/>
                  <c:y val="-5.0925925925925902E-2"/>
                </c:manualLayout>
              </c:layout>
              <c:dLblPos val="r"/>
              <c:showVal val="1"/>
            </c:dLbl>
            <c:dLbl>
              <c:idx val="1"/>
              <c:layout>
                <c:manualLayout>
                  <c:x val="0"/>
                  <c:y val="-5.092592592592593E-2"/>
                </c:manualLayout>
              </c:layout>
              <c:dLblPos val="r"/>
              <c:showVal val="1"/>
            </c:dLbl>
            <c:dLbl>
              <c:idx val="2"/>
              <c:layout>
                <c:manualLayout>
                  <c:x val="-8.3333333333333506E-3"/>
                  <c:y val="-4.1666666666666671E-2"/>
                </c:manualLayout>
              </c:layout>
              <c:dLblPos val="r"/>
              <c:showVal val="1"/>
            </c:dLbl>
            <c:dLbl>
              <c:idx val="3"/>
              <c:layout>
                <c:manualLayout>
                  <c:x val="0"/>
                  <c:y val="-3.7037037037037056E-2"/>
                </c:manualLayout>
              </c:layout>
              <c:dLblPos val="r"/>
              <c:showVal val="1"/>
            </c:dLbl>
            <c:dLbl>
              <c:idx val="4"/>
              <c:layout>
                <c:manualLayout>
                  <c:x val="-2.7777777777778273E-3"/>
                  <c:y val="-4.1666666666666713E-2"/>
                </c:manualLayout>
              </c:layout>
              <c:dLblPos val="r"/>
              <c:showVal val="1"/>
            </c:dLbl>
            <c:showVal val="1"/>
          </c:dLbls>
          <c:cat>
            <c:numRef>
              <c:f>T_chômage!$C$2:$G$2</c:f>
              <c:numCache>
                <c:formatCode>General</c:formatCode>
                <c:ptCount val="5"/>
                <c:pt idx="0">
                  <c:v>2009</c:v>
                </c:pt>
                <c:pt idx="1">
                  <c:v>2010</c:v>
                </c:pt>
                <c:pt idx="2">
                  <c:v>2011</c:v>
                </c:pt>
                <c:pt idx="3">
                  <c:v>2012</c:v>
                </c:pt>
                <c:pt idx="4">
                  <c:v>2013</c:v>
                </c:pt>
              </c:numCache>
            </c:numRef>
          </c:cat>
          <c:val>
            <c:numRef>
              <c:f>T_chômage!$C$5:$G$5</c:f>
              <c:numCache>
                <c:formatCode>#,##0.0</c:formatCode>
                <c:ptCount val="5"/>
                <c:pt idx="0">
                  <c:v>9.0982645594082747</c:v>
                </c:pt>
                <c:pt idx="1">
                  <c:v>9.0641291760438687</c:v>
                </c:pt>
                <c:pt idx="2">
                  <c:v>8.912200201862527</c:v>
                </c:pt>
                <c:pt idx="3">
                  <c:v>8.9897619680961611</c:v>
                </c:pt>
                <c:pt idx="4">
                  <c:v>9.2276463917063527</c:v>
                </c:pt>
              </c:numCache>
            </c:numRef>
          </c:val>
        </c:ser>
        <c:marker val="1"/>
        <c:axId val="65680512"/>
        <c:axId val="65682048"/>
      </c:lineChart>
      <c:catAx>
        <c:axId val="65680512"/>
        <c:scaling>
          <c:orientation val="minMax"/>
        </c:scaling>
        <c:axPos val="b"/>
        <c:numFmt formatCode="General" sourceLinked="1"/>
        <c:tickLblPos val="nextTo"/>
        <c:crossAx val="65682048"/>
        <c:crosses val="autoZero"/>
        <c:auto val="1"/>
        <c:lblAlgn val="ctr"/>
        <c:lblOffset val="100"/>
      </c:catAx>
      <c:valAx>
        <c:axId val="65682048"/>
        <c:scaling>
          <c:orientation val="minMax"/>
        </c:scaling>
        <c:delete val="1"/>
        <c:axPos val="l"/>
        <c:numFmt formatCode="#,##0.0" sourceLinked="1"/>
        <c:tickLblPos val="none"/>
        <c:crossAx val="65680512"/>
        <c:crosses val="autoZero"/>
        <c:crossBetween val="between"/>
      </c:valAx>
    </c:plotArea>
    <c:legend>
      <c:legendPos val="b"/>
      <c:layout>
        <c:manualLayout>
          <c:xMode val="edge"/>
          <c:yMode val="edge"/>
          <c:x val="0.27758462605448492"/>
          <c:y val="0.88373667197884598"/>
          <c:w val="0.44483055988849191"/>
          <c:h val="0.11017079248056399"/>
        </c:manualLayout>
      </c:layout>
    </c:legend>
    <c:plotVisOnly val="1"/>
    <c:dispBlanksAs val="gap"/>
  </c:chart>
  <c:txPr>
    <a:bodyPr/>
    <a:lstStyle/>
    <a:p>
      <a:pPr>
        <a:defRPr sz="1000">
          <a:latin typeface="Garamond"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8.0510663048540765E-2"/>
          <c:y val="0.10795910373982"/>
          <c:w val="0.86394225721785223"/>
          <c:h val="0.59067543658243826"/>
        </c:manualLayout>
      </c:layout>
      <c:lineChart>
        <c:grouping val="standard"/>
        <c:ser>
          <c:idx val="0"/>
          <c:order val="0"/>
          <c:tx>
            <c:strRef>
              <c:f>T_sous_emploi!$B$3</c:f>
              <c:strCache>
                <c:ptCount val="1"/>
                <c:pt idx="0">
                  <c:v>Urbain</c:v>
                </c:pt>
              </c:strCache>
            </c:strRef>
          </c:tx>
          <c:dLbls>
            <c:dLbl>
              <c:idx val="0"/>
              <c:layout>
                <c:manualLayout>
                  <c:x val="-0.10277777777777777"/>
                  <c:y val="1.8518518518518583E-2"/>
                </c:manualLayout>
              </c:layout>
              <c:dLblPos val="r"/>
              <c:showVal val="1"/>
            </c:dLbl>
            <c:dLbl>
              <c:idx val="1"/>
              <c:layout>
                <c:manualLayout>
                  <c:x val="-4.7222222222222332E-2"/>
                  <c:y val="7.5464436914426947E-2"/>
                </c:manualLayout>
              </c:layout>
              <c:dLblPos val="r"/>
              <c:showVal val="1"/>
            </c:dLbl>
            <c:dLbl>
              <c:idx val="2"/>
              <c:layout>
                <c:manualLayout>
                  <c:x val="-5.5555555555555558E-3"/>
                  <c:y val="5.5555555555555455E-2"/>
                </c:manualLayout>
              </c:layout>
              <c:dLblPos val="r"/>
              <c:showVal val="1"/>
            </c:dLbl>
            <c:dLbl>
              <c:idx val="3"/>
              <c:layout>
                <c:manualLayout>
                  <c:x val="-0.05"/>
                  <c:y val="6.4929345132168081E-2"/>
                </c:manualLayout>
              </c:layout>
              <c:dLblPos val="r"/>
              <c:showVal val="1"/>
            </c:dLbl>
            <c:dLbl>
              <c:idx val="4"/>
              <c:layout>
                <c:manualLayout>
                  <c:x val="-1.9439044709802841E-2"/>
                  <c:y val="5.9602649006622523E-2"/>
                </c:manualLayout>
              </c:layout>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T_sous_emploi!$C$3:$G$3</c:f>
              <c:numCache>
                <c:formatCode>#,##0.0</c:formatCode>
                <c:ptCount val="5"/>
                <c:pt idx="0">
                  <c:v>8.7423515256364439</c:v>
                </c:pt>
                <c:pt idx="1">
                  <c:v>9.9693753843552688</c:v>
                </c:pt>
                <c:pt idx="2">
                  <c:v>9.2956709459144182</c:v>
                </c:pt>
                <c:pt idx="3">
                  <c:v>8.5878030461936117</c:v>
                </c:pt>
                <c:pt idx="4">
                  <c:v>8.3778449642825148</c:v>
                </c:pt>
              </c:numCache>
            </c:numRef>
          </c:val>
        </c:ser>
        <c:ser>
          <c:idx val="1"/>
          <c:order val="1"/>
          <c:tx>
            <c:strRef>
              <c:f>T_sous_emploi!$B$4</c:f>
              <c:strCache>
                <c:ptCount val="1"/>
                <c:pt idx="0">
                  <c:v>Rural</c:v>
                </c:pt>
              </c:strCache>
            </c:strRef>
          </c:tx>
          <c:dLbls>
            <c:dLbl>
              <c:idx val="0"/>
              <c:layout>
                <c:manualLayout>
                  <c:x val="-0.11111132983377058"/>
                  <c:y val="-2.3148148148148147E-2"/>
                </c:manualLayout>
              </c:layout>
              <c:dLblPos val="r"/>
              <c:showVal val="1"/>
            </c:dLbl>
            <c:dLbl>
              <c:idx val="1"/>
              <c:layout>
                <c:manualLayout>
                  <c:x val="-2.7777777777778206E-2"/>
                  <c:y val="-7.407407407407407E-2"/>
                </c:manualLayout>
              </c:layout>
              <c:dLblPos val="r"/>
              <c:showVal val="1"/>
            </c:dLbl>
            <c:dLbl>
              <c:idx val="3"/>
              <c:layout>
                <c:manualLayout>
                  <c:x val="-3.6111111111111212E-2"/>
                  <c:y val="-7.3687135857244013E-2"/>
                </c:manualLayout>
              </c:layout>
              <c:dLblPos val="r"/>
              <c:showVal val="1"/>
            </c:dLbl>
            <c:dLbl>
              <c:idx val="4"/>
              <c:layout>
                <c:manualLayout>
                  <c:x val="-1.9439044709802841E-2"/>
                  <c:y val="-5.2980132450331133E-2"/>
                </c:manualLayout>
              </c:layout>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T_sous_emploi!$C$4:$G$4</c:f>
              <c:numCache>
                <c:formatCode>#,##0.0</c:formatCode>
                <c:ptCount val="5"/>
                <c:pt idx="0">
                  <c:v>11.333689178743731</c:v>
                </c:pt>
                <c:pt idx="1">
                  <c:v>13.241325589977432</c:v>
                </c:pt>
                <c:pt idx="2">
                  <c:v>11.768336241233568</c:v>
                </c:pt>
                <c:pt idx="3">
                  <c:v>9.8076368388836155</c:v>
                </c:pt>
                <c:pt idx="4">
                  <c:v>10.050635769905076</c:v>
                </c:pt>
              </c:numCache>
            </c:numRef>
          </c:val>
        </c:ser>
        <c:ser>
          <c:idx val="2"/>
          <c:order val="2"/>
          <c:tx>
            <c:strRef>
              <c:f>T_sous_emploi!$B$5</c:f>
              <c:strCache>
                <c:ptCount val="1"/>
                <c:pt idx="0">
                  <c:v>National</c:v>
                </c:pt>
              </c:strCache>
            </c:strRef>
          </c:tx>
          <c:dLbls>
            <c:dLbl>
              <c:idx val="0"/>
              <c:layout>
                <c:manualLayout>
                  <c:x val="-0.10555555555555562"/>
                  <c:y val="4.6296296296296719E-3"/>
                </c:manualLayout>
              </c:layout>
              <c:dLblPos val="r"/>
              <c:showVal val="1"/>
            </c:dLbl>
            <c:dLbl>
              <c:idx val="3"/>
              <c:layout>
                <c:manualLayout>
                  <c:x val="-1.3888888888889027E-2"/>
                  <c:y val="-2.8895768833849342E-2"/>
                </c:manualLayout>
              </c:layout>
              <c:dLblPos val="r"/>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T_sous_emploi!$C$5:$G$5</c:f>
              <c:numCache>
                <c:formatCode>#,##0.0</c:formatCode>
                <c:ptCount val="5"/>
                <c:pt idx="0">
                  <c:v>10.048523855390663</c:v>
                </c:pt>
                <c:pt idx="1">
                  <c:v>11.615714312488091</c:v>
                </c:pt>
                <c:pt idx="2">
                  <c:v>10.527822724718698</c:v>
                </c:pt>
                <c:pt idx="3">
                  <c:v>9.190150081304381</c:v>
                </c:pt>
                <c:pt idx="4">
                  <c:v>9.2089266064553019</c:v>
                </c:pt>
              </c:numCache>
            </c:numRef>
          </c:val>
        </c:ser>
        <c:marker val="1"/>
        <c:axId val="65827584"/>
        <c:axId val="65829120"/>
      </c:lineChart>
      <c:catAx>
        <c:axId val="65827584"/>
        <c:scaling>
          <c:orientation val="minMax"/>
        </c:scaling>
        <c:axPos val="b"/>
        <c:numFmt formatCode="General" sourceLinked="1"/>
        <c:majorTickMark val="cross"/>
        <c:tickLblPos val="nextTo"/>
        <c:txPr>
          <a:bodyPr rot="0" vert="horz"/>
          <a:lstStyle/>
          <a:p>
            <a:pPr>
              <a:defRPr/>
            </a:pPr>
            <a:endParaRPr lang="fr-FR"/>
          </a:p>
        </c:txPr>
        <c:crossAx val="65829120"/>
        <c:crosses val="autoZero"/>
        <c:auto val="1"/>
        <c:lblAlgn val="ctr"/>
        <c:lblOffset val="100"/>
      </c:catAx>
      <c:valAx>
        <c:axId val="65829120"/>
        <c:scaling>
          <c:orientation val="minMax"/>
          <c:min val="3"/>
        </c:scaling>
        <c:delete val="1"/>
        <c:axPos val="l"/>
        <c:numFmt formatCode="#,##0.0" sourceLinked="1"/>
        <c:tickLblPos val="none"/>
        <c:crossAx val="65827584"/>
        <c:crosses val="autoZero"/>
        <c:crossBetween val="between"/>
      </c:valAx>
      <c:spPr>
        <a:noFill/>
        <a:ln w="25400">
          <a:noFill/>
        </a:ln>
      </c:spPr>
    </c:plotArea>
    <c:legend>
      <c:legendPos val="b"/>
      <c:layout>
        <c:manualLayout>
          <c:xMode val="edge"/>
          <c:yMode val="edge"/>
          <c:x val="0.23090786242666644"/>
          <c:y val="0.85827273183208752"/>
          <c:w val="0.53818405648474765"/>
          <c:h val="0.11624956116154271"/>
        </c:manualLayout>
      </c:layout>
    </c:legend>
    <c:plotVisOnly val="1"/>
    <c:dispBlanksAs val="gap"/>
  </c:chart>
  <c:txPr>
    <a:bodyPr/>
    <a:lstStyle/>
    <a:p>
      <a:pPr>
        <a:defRPr sz="1000" b="0" i="0" u="none" strike="noStrike" baseline="0">
          <a:solidFill>
            <a:srgbClr val="000000"/>
          </a:solidFill>
          <a:latin typeface="Garamond" pitchFamily="18" charset="0"/>
          <a:ea typeface="Calibri"/>
          <a:cs typeface="Calibri"/>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4390228436108087E-2"/>
          <c:y val="5.4853723570722365E-2"/>
          <c:w val="0.86394225721785223"/>
          <c:h val="0.68673009623797332"/>
        </c:manualLayout>
      </c:layout>
      <c:lineChart>
        <c:grouping val="standard"/>
        <c:ser>
          <c:idx val="0"/>
          <c:order val="0"/>
          <c:tx>
            <c:strRef>
              <c:f>T_sous_emploi!$B$3</c:f>
              <c:strCache>
                <c:ptCount val="1"/>
                <c:pt idx="0">
                  <c:v>Agriculture</c:v>
                </c:pt>
              </c:strCache>
            </c:strRef>
          </c:tx>
          <c:dLbls>
            <c:dLbl>
              <c:idx val="0"/>
              <c:layout>
                <c:manualLayout>
                  <c:x val="-0.10277777777777777"/>
                  <c:y val="1.8518518518518642E-2"/>
                </c:manualLayout>
              </c:layout>
              <c:dLblPos val="r"/>
              <c:showVal val="1"/>
            </c:dLbl>
            <c:dLbl>
              <c:idx val="1"/>
              <c:layout>
                <c:manualLayout>
                  <c:x val="-5.0000000000000114E-2"/>
                  <c:y val="-4.8374572373499666E-2"/>
                </c:manualLayout>
              </c:layout>
              <c:dLblPos val="r"/>
              <c:showVal val="1"/>
            </c:dLbl>
            <c:dLbl>
              <c:idx val="2"/>
              <c:layout>
                <c:manualLayout>
                  <c:x val="-3.888888888888889E-2"/>
                  <c:y val="-5.177153165451856E-2"/>
                </c:manualLayout>
              </c:layout>
              <c:dLblPos val="r"/>
              <c:showVal val="1"/>
            </c:dLbl>
            <c:dLbl>
              <c:idx val="3"/>
              <c:layout>
                <c:manualLayout>
                  <c:x val="-6.1111111111111255E-2"/>
                  <c:y val="-7.1293565084550176E-2"/>
                </c:manualLayout>
              </c:layout>
              <c:dLblPos val="r"/>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T_sous_emploi!$C$3:$G$3</c:f>
              <c:numCache>
                <c:formatCode>#,##0.0</c:formatCode>
                <c:ptCount val="5"/>
                <c:pt idx="0">
                  <c:v>11.122144651473977</c:v>
                </c:pt>
                <c:pt idx="1">
                  <c:v>12.720541024671798</c:v>
                </c:pt>
                <c:pt idx="2">
                  <c:v>11.207626398733847</c:v>
                </c:pt>
                <c:pt idx="3">
                  <c:v>9.0669932879520054</c:v>
                </c:pt>
                <c:pt idx="4">
                  <c:v>9.161707750271681</c:v>
                </c:pt>
              </c:numCache>
            </c:numRef>
          </c:val>
        </c:ser>
        <c:ser>
          <c:idx val="1"/>
          <c:order val="1"/>
          <c:tx>
            <c:strRef>
              <c:f>T_sous_emploi!$B$4</c:f>
              <c:strCache>
                <c:ptCount val="1"/>
                <c:pt idx="0">
                  <c:v>Industrie</c:v>
                </c:pt>
              </c:strCache>
            </c:strRef>
          </c:tx>
          <c:dLbls>
            <c:dLbl>
              <c:idx val="0"/>
              <c:layout>
                <c:manualLayout>
                  <c:x val="-7.5938234993353532E-2"/>
                  <c:y val="2.4899860490411773E-2"/>
                </c:manualLayout>
              </c:layout>
              <c:dLblPos val="r"/>
              <c:showVal val="1"/>
            </c:dLbl>
            <c:dLbl>
              <c:idx val="1"/>
              <c:layout>
                <c:manualLayout>
                  <c:x val="-2.777777777777822E-2"/>
                  <c:y val="4.9765079674638536E-2"/>
                </c:manualLayout>
              </c:layout>
              <c:dLblPos val="r"/>
              <c:showVal val="1"/>
            </c:dLbl>
            <c:dLbl>
              <c:idx val="3"/>
              <c:layout>
                <c:manualLayout>
                  <c:x val="-3.888888888888889E-2"/>
                  <c:y val="6.2535774359474494E-2"/>
                </c:manualLayout>
              </c:layout>
              <c:dLblPos val="r"/>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T_sous_emploi!$C$4:$G$4</c:f>
              <c:numCache>
                <c:formatCode>#,##0.0</c:formatCode>
                <c:ptCount val="5"/>
                <c:pt idx="0">
                  <c:v>6.5468019779172355</c:v>
                </c:pt>
                <c:pt idx="1">
                  <c:v>7.9533144661878605</c:v>
                </c:pt>
                <c:pt idx="2">
                  <c:v>7.0199796433212125</c:v>
                </c:pt>
                <c:pt idx="3">
                  <c:v>6.4108686170833504</c:v>
                </c:pt>
                <c:pt idx="4">
                  <c:v>6.3442664565537754</c:v>
                </c:pt>
              </c:numCache>
            </c:numRef>
          </c:val>
        </c:ser>
        <c:ser>
          <c:idx val="2"/>
          <c:order val="2"/>
          <c:tx>
            <c:strRef>
              <c:f>T_sous_emploi!$B$5</c:f>
              <c:strCache>
                <c:ptCount val="1"/>
                <c:pt idx="0">
                  <c:v>BTP</c:v>
                </c:pt>
              </c:strCache>
            </c:strRef>
          </c:tx>
          <c:dLbls>
            <c:dLbl>
              <c:idx val="0"/>
              <c:layout>
                <c:manualLayout>
                  <c:x val="-0.10555555555555562"/>
                  <c:y val="4.6296296296296771E-3"/>
                </c:manualLayout>
              </c:layout>
              <c:dLblPos val="r"/>
              <c:showVal val="1"/>
            </c:dLbl>
            <c:dLbl>
              <c:idx val="1"/>
              <c:layout>
                <c:manualLayout>
                  <c:x val="-1.3888888888889032E-2"/>
                  <c:y val="-2.4767801857585141E-2"/>
                </c:manualLayout>
              </c:layout>
              <c:showVal val="1"/>
            </c:dLbl>
            <c:dLbl>
              <c:idx val="2"/>
              <c:layout>
                <c:manualLayout>
                  <c:x val="-1.6666666666666746E-2"/>
                  <c:y val="-3.7151702786378096E-2"/>
                </c:manualLayout>
              </c:layout>
              <c:showVal val="1"/>
            </c:dLbl>
            <c:dLbl>
              <c:idx val="3"/>
              <c:layout>
                <c:manualLayout>
                  <c:x val="-1.3888888888888926E-2"/>
                  <c:y val="-5.3663570691434466E-2"/>
                </c:manualLayout>
              </c:layout>
              <c:dLblPos val="r"/>
              <c:showVal val="1"/>
            </c:dLbl>
            <c:showVal val="1"/>
          </c:dLbls>
          <c:cat>
            <c:numRef>
              <c:f>T_sous_emploi!$C$2:$G$2</c:f>
              <c:numCache>
                <c:formatCode>General</c:formatCode>
                <c:ptCount val="5"/>
                <c:pt idx="0">
                  <c:v>2009</c:v>
                </c:pt>
                <c:pt idx="1">
                  <c:v>2010</c:v>
                </c:pt>
                <c:pt idx="2">
                  <c:v>2011</c:v>
                </c:pt>
                <c:pt idx="3">
                  <c:v>2012</c:v>
                </c:pt>
                <c:pt idx="4">
                  <c:v>2013</c:v>
                </c:pt>
              </c:numCache>
            </c:numRef>
          </c:cat>
          <c:val>
            <c:numRef>
              <c:f>T_sous_emploi!$C$5:$G$5</c:f>
              <c:numCache>
                <c:formatCode>#,##0.0</c:formatCode>
                <c:ptCount val="5"/>
                <c:pt idx="0">
                  <c:v>17.176202098060678</c:v>
                </c:pt>
                <c:pt idx="1">
                  <c:v>18.365006966968586</c:v>
                </c:pt>
                <c:pt idx="2">
                  <c:v>17.674898654295397</c:v>
                </c:pt>
                <c:pt idx="3">
                  <c:v>16.431388491246231</c:v>
                </c:pt>
                <c:pt idx="4">
                  <c:v>16.539023422956795</c:v>
                </c:pt>
              </c:numCache>
            </c:numRef>
          </c:val>
        </c:ser>
        <c:ser>
          <c:idx val="3"/>
          <c:order val="3"/>
          <c:tx>
            <c:strRef>
              <c:f>T_sous_emploi!$B$6</c:f>
              <c:strCache>
                <c:ptCount val="1"/>
                <c:pt idx="0">
                  <c:v>Services</c:v>
                </c:pt>
              </c:strCache>
            </c:strRef>
          </c:tx>
          <c:dLbls>
            <c:dLbl>
              <c:idx val="0"/>
              <c:layout>
                <c:manualLayout>
                  <c:x val="-5.4112554112554397E-3"/>
                  <c:y val="-3.6036036036036001E-2"/>
                </c:manualLayout>
              </c:layout>
              <c:showVal val="1"/>
            </c:dLbl>
            <c:dLbl>
              <c:idx val="1"/>
              <c:layout>
                <c:manualLayout>
                  <c:x val="4.9602601589689614E-17"/>
                  <c:y val="-1.8018018018018028E-2"/>
                </c:manualLayout>
              </c:layout>
              <c:showVal val="1"/>
            </c:dLbl>
            <c:dLbl>
              <c:idx val="2"/>
              <c:layout>
                <c:manualLayout>
                  <c:x val="0"/>
                  <c:y val="-2.4024024024024041E-2"/>
                </c:manualLayout>
              </c:layout>
              <c:showVal val="1"/>
            </c:dLbl>
            <c:dLbl>
              <c:idx val="3"/>
              <c:layout>
                <c:manualLayout>
                  <c:x val="-2.7777777777778278E-3"/>
                  <c:y val="3.3023735810113766E-2"/>
                </c:manualLayout>
              </c:layout>
              <c:showVal val="1"/>
            </c:dLbl>
            <c:dLbl>
              <c:idx val="4"/>
              <c:layout>
                <c:manualLayout>
                  <c:x val="0"/>
                  <c:y val="2.0639834881321237E-2"/>
                </c:manualLayout>
              </c:layout>
              <c:showVal val="1"/>
            </c:dLbl>
            <c:txPr>
              <a:bodyPr/>
              <a:lstStyle/>
              <a:p>
                <a:pPr algn="ctr" rtl="0">
                  <a:defRPr/>
                </a:pPr>
                <a:endParaRPr lang="fr-FR"/>
              </a:p>
            </c:txPr>
            <c:showVal val="1"/>
          </c:dLbls>
          <c:cat>
            <c:numRef>
              <c:f>T_sous_emploi!$C$2:$G$2</c:f>
              <c:numCache>
                <c:formatCode>General</c:formatCode>
                <c:ptCount val="5"/>
                <c:pt idx="0">
                  <c:v>2009</c:v>
                </c:pt>
                <c:pt idx="1">
                  <c:v>2010</c:v>
                </c:pt>
                <c:pt idx="2">
                  <c:v>2011</c:v>
                </c:pt>
                <c:pt idx="3">
                  <c:v>2012</c:v>
                </c:pt>
                <c:pt idx="4">
                  <c:v>2013</c:v>
                </c:pt>
              </c:numCache>
            </c:numRef>
          </c:cat>
          <c:val>
            <c:numRef>
              <c:f>T_sous_emploi!$C$6:$G$6</c:f>
              <c:numCache>
                <c:formatCode>#,##0.0</c:formatCode>
                <c:ptCount val="5"/>
                <c:pt idx="0">
                  <c:v>8.2656155981978028</c:v>
                </c:pt>
                <c:pt idx="1">
                  <c:v>9.8446525779694767</c:v>
                </c:pt>
                <c:pt idx="2">
                  <c:v>9.0381104461722419</c:v>
                </c:pt>
                <c:pt idx="3">
                  <c:v>8.3044182056873161</c:v>
                </c:pt>
                <c:pt idx="4">
                  <c:v>8.3642252265917421</c:v>
                </c:pt>
              </c:numCache>
            </c:numRef>
          </c:val>
        </c:ser>
        <c:marker val="1"/>
        <c:axId val="65574784"/>
        <c:axId val="65576320"/>
      </c:lineChart>
      <c:catAx>
        <c:axId val="65574784"/>
        <c:scaling>
          <c:orientation val="minMax"/>
        </c:scaling>
        <c:axPos val="b"/>
        <c:numFmt formatCode="General" sourceLinked="1"/>
        <c:majorTickMark val="cross"/>
        <c:tickLblPos val="nextTo"/>
        <c:txPr>
          <a:bodyPr rot="0" vert="horz"/>
          <a:lstStyle/>
          <a:p>
            <a:pPr>
              <a:defRPr/>
            </a:pPr>
            <a:endParaRPr lang="fr-FR"/>
          </a:p>
        </c:txPr>
        <c:crossAx val="65576320"/>
        <c:crosses val="autoZero"/>
        <c:auto val="1"/>
        <c:lblAlgn val="ctr"/>
        <c:lblOffset val="100"/>
      </c:catAx>
      <c:valAx>
        <c:axId val="65576320"/>
        <c:scaling>
          <c:orientation val="minMax"/>
          <c:min val="3"/>
        </c:scaling>
        <c:delete val="1"/>
        <c:axPos val="l"/>
        <c:numFmt formatCode="#,##0.0" sourceLinked="1"/>
        <c:tickLblPos val="none"/>
        <c:crossAx val="65574784"/>
        <c:crosses val="autoZero"/>
        <c:crossBetween val="between"/>
      </c:valAx>
      <c:spPr>
        <a:noFill/>
        <a:ln w="25400">
          <a:noFill/>
        </a:ln>
      </c:spPr>
    </c:plotArea>
    <c:legend>
      <c:legendPos val="b"/>
      <c:layout>
        <c:manualLayout>
          <c:xMode val="edge"/>
          <c:yMode val="edge"/>
          <c:x val="0.11220770699117169"/>
          <c:y val="0.88445707011174457"/>
          <c:w val="0.7755845860176549"/>
          <c:h val="0.11554292988825525"/>
        </c:manualLayout>
      </c:layout>
    </c:legend>
    <c:plotVisOnly val="1"/>
    <c:dispBlanksAs val="gap"/>
  </c:chart>
  <c:txPr>
    <a:bodyPr/>
    <a:lstStyle/>
    <a:p>
      <a:pPr>
        <a:defRPr sz="1000" b="0" i="0" u="none" strike="noStrike" baseline="0">
          <a:solidFill>
            <a:srgbClr val="000000"/>
          </a:solidFill>
          <a:latin typeface="Garamond" pitchFamily="18" charset="0"/>
          <a:ea typeface="Calibri"/>
          <a:cs typeface="Calibri"/>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1797</Words>
  <Characters>9886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GUENOUNI</dc:creator>
  <cp:lastModifiedBy>user</cp:lastModifiedBy>
  <cp:revision>2</cp:revision>
  <cp:lastPrinted>2014-01-27T12:04:00Z</cp:lastPrinted>
  <dcterms:created xsi:type="dcterms:W3CDTF">2014-02-02T10:25:00Z</dcterms:created>
  <dcterms:modified xsi:type="dcterms:W3CDTF">2014-02-02T10:25:00Z</dcterms:modified>
</cp:coreProperties>
</file>