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8D2" w:rsidRDefault="00216079">
      <w:r>
        <w:rPr>
          <w:noProof/>
        </w:rPr>
        <w:drawing>
          <wp:anchor distT="0" distB="0" distL="114300" distR="114300" simplePos="0" relativeHeight="251657216" behindDoc="0" locked="0" layoutInCell="1" allowOverlap="1">
            <wp:simplePos x="0" y="0"/>
            <wp:positionH relativeFrom="page">
              <wp:posOffset>100330</wp:posOffset>
            </wp:positionH>
            <wp:positionV relativeFrom="page">
              <wp:posOffset>151765</wp:posOffset>
            </wp:positionV>
            <wp:extent cx="7562850" cy="10077450"/>
            <wp:effectExtent l="1905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5" cstate="print"/>
                    <a:srcRect/>
                    <a:stretch>
                      <a:fillRect/>
                    </a:stretch>
                  </pic:blipFill>
                  <pic:spPr bwMode="auto">
                    <a:xfrm>
                      <a:off x="0" y="0"/>
                      <a:ext cx="7562850" cy="10077450"/>
                    </a:xfrm>
                    <a:prstGeom prst="rect">
                      <a:avLst/>
                    </a:prstGeom>
                    <a:noFill/>
                    <a:ln w="9525">
                      <a:noFill/>
                      <a:miter lim="800000"/>
                      <a:headEnd/>
                      <a:tailEnd/>
                    </a:ln>
                  </pic:spPr>
                </pic:pic>
              </a:graphicData>
            </a:graphic>
          </wp:anchor>
        </w:drawing>
      </w:r>
    </w:p>
    <w:p w:rsidR="009278D2" w:rsidRDefault="009278D2"/>
    <w:p w:rsidR="009278D2" w:rsidRDefault="009278D2"/>
    <w:p w:rsidR="009278D2" w:rsidRDefault="009278D2"/>
    <w:p w:rsidR="009278D2" w:rsidRDefault="009278D2"/>
    <w:p w:rsidR="009278D2" w:rsidRDefault="009278D2"/>
    <w:p w:rsidR="009278D2" w:rsidRDefault="009278D2">
      <w:r>
        <w:rPr>
          <w:noProof/>
        </w:rPr>
        <w:pict>
          <v:shapetype id="_x0000_t202" coordsize="21600,21600" o:spt="202" path="m,l,21600r21600,l21600,xe">
            <v:stroke joinstyle="miter"/>
            <v:path gradientshapeok="t" o:connecttype="rect"/>
          </v:shapetype>
          <v:shape id="_x0000_s1028" type="#_x0000_t202" style="position:absolute;margin-left:-9pt;margin-top:16.2pt;width:477pt;height:585pt;z-index:251658240" filled="f" stroked="f">
            <v:textbox>
              <w:txbxContent>
                <w:p w:rsidR="00AC76F5" w:rsidRDefault="00AC76F5" w:rsidP="009278D2">
                  <w:pPr>
                    <w:bidi/>
                    <w:jc w:val="center"/>
                    <w:rPr>
                      <w:rFonts w:cs="Simplified Arabic"/>
                      <w:b/>
                      <w:bCs/>
                      <w:shadow/>
                      <w:sz w:val="32"/>
                      <w:szCs w:val="32"/>
                    </w:rPr>
                  </w:pPr>
                </w:p>
                <w:p w:rsidR="00AC76F5" w:rsidRDefault="0079211C" w:rsidP="00AC76F5">
                  <w:pPr>
                    <w:bidi/>
                    <w:jc w:val="center"/>
                    <w:rPr>
                      <w:rFonts w:cs="Simplified Arabic"/>
                      <w:b/>
                      <w:bCs/>
                      <w:shadow/>
                      <w:sz w:val="32"/>
                      <w:szCs w:val="32"/>
                    </w:rPr>
                  </w:pPr>
                  <w:r>
                    <w:rPr>
                      <w:rFonts w:cs="Simplified Arabic"/>
                      <w:b/>
                      <w:bCs/>
                      <w:shadow/>
                      <w:sz w:val="32"/>
                      <w:szCs w:val="32"/>
                    </w:rPr>
                    <w:t xml:space="preserve"> </w:t>
                  </w:r>
                </w:p>
                <w:p w:rsidR="00AC76F5" w:rsidRDefault="009278D2" w:rsidP="00AC76F5">
                  <w:pPr>
                    <w:bidi/>
                    <w:jc w:val="center"/>
                    <w:rPr>
                      <w:rFonts w:cs="Simplified Arabic"/>
                      <w:b/>
                      <w:bCs/>
                      <w:shadow/>
                      <w:sz w:val="32"/>
                      <w:szCs w:val="32"/>
                    </w:rPr>
                  </w:pPr>
                  <w:r w:rsidRPr="00AC76F5">
                    <w:rPr>
                      <w:rFonts w:cs="Simplified Arabic" w:hint="cs"/>
                      <w:b/>
                      <w:bCs/>
                      <w:shadow/>
                      <w:sz w:val="32"/>
                      <w:szCs w:val="32"/>
                      <w:rtl/>
                    </w:rPr>
                    <w:t xml:space="preserve">مذكرة إخبارية حول </w:t>
                  </w:r>
                </w:p>
                <w:p w:rsidR="009278D2" w:rsidRDefault="00AC76F5" w:rsidP="00AC76F5">
                  <w:pPr>
                    <w:bidi/>
                    <w:jc w:val="center"/>
                    <w:rPr>
                      <w:rFonts w:cs="Simplified Arabic"/>
                      <w:b/>
                      <w:bCs/>
                      <w:shadow/>
                      <w:sz w:val="32"/>
                      <w:szCs w:val="32"/>
                    </w:rPr>
                  </w:pPr>
                  <w:r>
                    <w:rPr>
                      <w:rFonts w:cs="Simplified Arabic" w:hint="cs"/>
                      <w:b/>
                      <w:bCs/>
                      <w:shadow/>
                      <w:sz w:val="32"/>
                      <w:szCs w:val="32"/>
                      <w:rtl/>
                    </w:rPr>
                    <w:t>نتائج حسابات</w:t>
                  </w:r>
                  <w:r w:rsidR="009278D2" w:rsidRPr="00AC76F5">
                    <w:rPr>
                      <w:rFonts w:cs="Simplified Arabic" w:hint="cs"/>
                      <w:b/>
                      <w:bCs/>
                      <w:shadow/>
                      <w:sz w:val="32"/>
                      <w:szCs w:val="32"/>
                      <w:rtl/>
                    </w:rPr>
                    <w:t xml:space="preserve"> السياحة لسنة 2012</w:t>
                  </w:r>
                </w:p>
                <w:p w:rsidR="00AC76F5" w:rsidRDefault="00AC76F5" w:rsidP="00AC76F5">
                  <w:pPr>
                    <w:bidi/>
                    <w:jc w:val="center"/>
                    <w:rPr>
                      <w:rFonts w:cs="Simplified Arabic"/>
                      <w:b/>
                      <w:bCs/>
                      <w:shadow/>
                      <w:sz w:val="32"/>
                      <w:szCs w:val="32"/>
                    </w:rPr>
                  </w:pPr>
                </w:p>
                <w:p w:rsidR="009278D2" w:rsidRPr="00AC76F5" w:rsidRDefault="009278D2" w:rsidP="009278D2">
                  <w:pPr>
                    <w:bidi/>
                    <w:ind w:left="705"/>
                    <w:jc w:val="both"/>
                    <w:rPr>
                      <w:rFonts w:cs="Simplified Arabic"/>
                      <w:b/>
                      <w:bCs/>
                      <w:shadow/>
                      <w:sz w:val="32"/>
                      <w:szCs w:val="32"/>
                    </w:rPr>
                  </w:pPr>
                </w:p>
                <w:p w:rsidR="009278D2" w:rsidRPr="00AC76F5" w:rsidRDefault="009278D2" w:rsidP="009278D2">
                  <w:pPr>
                    <w:numPr>
                      <w:ilvl w:val="0"/>
                      <w:numId w:val="1"/>
                    </w:numPr>
                    <w:bidi/>
                    <w:jc w:val="both"/>
                    <w:rPr>
                      <w:rFonts w:cs="Simplified Arabic"/>
                      <w:b/>
                      <w:bCs/>
                      <w:sz w:val="28"/>
                      <w:szCs w:val="28"/>
                      <w:rtl/>
                    </w:rPr>
                  </w:pPr>
                  <w:r w:rsidRPr="00AC76F5">
                    <w:rPr>
                      <w:rFonts w:cs="Simplified Arabic" w:hint="cs"/>
                      <w:b/>
                      <w:bCs/>
                      <w:sz w:val="28"/>
                      <w:szCs w:val="28"/>
                      <w:rtl/>
                    </w:rPr>
                    <w:t>استمرارية التراجع في مساهمة قطاع السياحة في الناتج الداخلي الإجمالي: من 7</w:t>
                  </w:r>
                  <w:proofErr w:type="gramStart"/>
                  <w:r w:rsidRPr="00AC76F5">
                    <w:rPr>
                      <w:rFonts w:cs="Simplified Arabic" w:hint="cs"/>
                      <w:b/>
                      <w:bCs/>
                      <w:sz w:val="28"/>
                      <w:szCs w:val="28"/>
                      <w:rtl/>
                    </w:rPr>
                    <w:t>,3</w:t>
                  </w:r>
                  <w:r w:rsidRPr="00AC76F5">
                    <w:rPr>
                      <w:rFonts w:cs="Simplified Arabic"/>
                      <w:b/>
                      <w:bCs/>
                      <w:sz w:val="28"/>
                      <w:szCs w:val="28"/>
                    </w:rPr>
                    <w:t>%</w:t>
                  </w:r>
                  <w:proofErr w:type="gramEnd"/>
                  <w:r w:rsidRPr="00AC76F5">
                    <w:rPr>
                      <w:rFonts w:cs="Simplified Arabic" w:hint="cs"/>
                      <w:b/>
                      <w:bCs/>
                      <w:sz w:val="28"/>
                      <w:szCs w:val="28"/>
                      <w:rtl/>
                    </w:rPr>
                    <w:t xml:space="preserve"> سنة 2010 إلى 7,1 </w:t>
                  </w:r>
                  <w:r w:rsidRPr="00AC76F5">
                    <w:rPr>
                      <w:rFonts w:cs="Simplified Arabic"/>
                      <w:b/>
                      <w:bCs/>
                      <w:sz w:val="28"/>
                      <w:szCs w:val="28"/>
                    </w:rPr>
                    <w:t>%</w:t>
                  </w:r>
                  <w:r w:rsidRPr="00AC76F5">
                    <w:rPr>
                      <w:rFonts w:cs="Simplified Arabic" w:hint="cs"/>
                      <w:b/>
                      <w:bCs/>
                      <w:sz w:val="28"/>
                      <w:szCs w:val="28"/>
                      <w:rtl/>
                    </w:rPr>
                    <w:t xml:space="preserve"> سنة 2011 و 6,9 </w:t>
                  </w:r>
                  <w:r w:rsidRPr="00AC76F5">
                    <w:rPr>
                      <w:rFonts w:cs="Simplified Arabic"/>
                      <w:b/>
                      <w:bCs/>
                      <w:sz w:val="28"/>
                      <w:szCs w:val="28"/>
                    </w:rPr>
                    <w:t>%</w:t>
                  </w:r>
                  <w:r w:rsidRPr="00AC76F5">
                    <w:rPr>
                      <w:rFonts w:cs="Simplified Arabic" w:hint="cs"/>
                      <w:b/>
                      <w:bCs/>
                      <w:sz w:val="28"/>
                      <w:szCs w:val="28"/>
                      <w:rtl/>
                    </w:rPr>
                    <w:t xml:space="preserve"> سنة 2012؛</w:t>
                  </w:r>
                </w:p>
                <w:p w:rsidR="009278D2" w:rsidRPr="00AC76F5" w:rsidRDefault="009278D2" w:rsidP="009278D2">
                  <w:pPr>
                    <w:numPr>
                      <w:ilvl w:val="0"/>
                      <w:numId w:val="1"/>
                    </w:numPr>
                    <w:bidi/>
                    <w:jc w:val="both"/>
                    <w:rPr>
                      <w:rFonts w:cs="Simplified Arabic"/>
                      <w:b/>
                      <w:bCs/>
                      <w:sz w:val="28"/>
                      <w:szCs w:val="28"/>
                    </w:rPr>
                  </w:pPr>
                  <w:proofErr w:type="gramStart"/>
                  <w:r w:rsidRPr="00AC76F5">
                    <w:rPr>
                      <w:rFonts w:cs="Simplified Arabic" w:hint="cs"/>
                      <w:b/>
                      <w:bCs/>
                      <w:sz w:val="28"/>
                      <w:szCs w:val="28"/>
                      <w:rtl/>
                    </w:rPr>
                    <w:t>تباطؤ</w:t>
                  </w:r>
                  <w:proofErr w:type="gramEnd"/>
                  <w:r w:rsidRPr="00AC76F5">
                    <w:rPr>
                      <w:rFonts w:cs="Simplified Arabic" w:hint="cs"/>
                      <w:b/>
                      <w:bCs/>
                      <w:sz w:val="28"/>
                      <w:szCs w:val="28"/>
                      <w:rtl/>
                    </w:rPr>
                    <w:t xml:space="preserve"> </w:t>
                  </w:r>
                  <w:r w:rsidRPr="00AC76F5">
                    <w:rPr>
                      <w:rFonts w:cs="Simplified Arabic" w:hint="cs"/>
                      <w:b/>
                      <w:bCs/>
                      <w:sz w:val="28"/>
                      <w:szCs w:val="28"/>
                      <w:rtl/>
                      <w:lang w:bidi="ar-MA"/>
                    </w:rPr>
                    <w:t xml:space="preserve">تطور </w:t>
                  </w:r>
                  <w:r w:rsidRPr="00AC76F5">
                    <w:rPr>
                      <w:rFonts w:cs="Simplified Arabic" w:hint="cs"/>
                      <w:b/>
                      <w:bCs/>
                      <w:sz w:val="28"/>
                      <w:szCs w:val="28"/>
                      <w:rtl/>
                    </w:rPr>
                    <w:t xml:space="preserve">استهلاك الداخلي للسياحة: </w:t>
                  </w:r>
                </w:p>
                <w:p w:rsidR="009278D2" w:rsidRPr="00AC76F5" w:rsidRDefault="009278D2" w:rsidP="009278D2">
                  <w:pPr>
                    <w:numPr>
                      <w:ilvl w:val="0"/>
                      <w:numId w:val="2"/>
                    </w:numPr>
                    <w:bidi/>
                    <w:jc w:val="both"/>
                    <w:rPr>
                      <w:rFonts w:cs="Simplified Arabic" w:hint="cs"/>
                      <w:b/>
                      <w:bCs/>
                      <w:sz w:val="28"/>
                      <w:szCs w:val="28"/>
                    </w:rPr>
                  </w:pPr>
                  <w:r w:rsidRPr="00AC76F5">
                    <w:rPr>
                      <w:rFonts w:cs="Simplified Arabic" w:hint="cs"/>
                      <w:b/>
                      <w:bCs/>
                      <w:sz w:val="28"/>
                      <w:szCs w:val="28"/>
                      <w:rtl/>
                    </w:rPr>
                    <w:t>السياحة المستقبلة: من 4</w:t>
                  </w:r>
                  <w:proofErr w:type="gramStart"/>
                  <w:r w:rsidRPr="00AC76F5">
                    <w:rPr>
                      <w:rFonts w:cs="Simplified Arabic" w:hint="cs"/>
                      <w:b/>
                      <w:bCs/>
                      <w:sz w:val="28"/>
                      <w:szCs w:val="28"/>
                      <w:rtl/>
                    </w:rPr>
                    <w:t>,5</w:t>
                  </w:r>
                  <w:r w:rsidRPr="00AC76F5">
                    <w:rPr>
                      <w:rFonts w:cs="Simplified Arabic"/>
                      <w:b/>
                      <w:bCs/>
                      <w:sz w:val="28"/>
                      <w:szCs w:val="28"/>
                    </w:rPr>
                    <w:t>%</w:t>
                  </w:r>
                  <w:proofErr w:type="gramEnd"/>
                  <w:r w:rsidRPr="00AC76F5">
                    <w:rPr>
                      <w:rFonts w:cs="Simplified Arabic" w:hint="cs"/>
                      <w:b/>
                      <w:bCs/>
                      <w:sz w:val="28"/>
                      <w:szCs w:val="28"/>
                      <w:rtl/>
                    </w:rPr>
                    <w:t xml:space="preserve"> سنة 2011 إلى 1,1 </w:t>
                  </w:r>
                  <w:r w:rsidRPr="00AC76F5">
                    <w:rPr>
                      <w:rFonts w:cs="Simplified Arabic"/>
                      <w:b/>
                      <w:bCs/>
                      <w:sz w:val="28"/>
                      <w:szCs w:val="28"/>
                    </w:rPr>
                    <w:t>%</w:t>
                  </w:r>
                  <w:r w:rsidRPr="00AC76F5">
                    <w:rPr>
                      <w:rFonts w:cs="Simplified Arabic" w:hint="cs"/>
                      <w:b/>
                      <w:bCs/>
                      <w:sz w:val="28"/>
                      <w:szCs w:val="28"/>
                      <w:rtl/>
                    </w:rPr>
                    <w:t xml:space="preserve"> سنة 2012؛</w:t>
                  </w:r>
                </w:p>
                <w:p w:rsidR="009278D2" w:rsidRDefault="009278D2" w:rsidP="009278D2">
                  <w:pPr>
                    <w:numPr>
                      <w:ilvl w:val="0"/>
                      <w:numId w:val="2"/>
                    </w:numPr>
                    <w:bidi/>
                    <w:jc w:val="both"/>
                    <w:rPr>
                      <w:rFonts w:cs="Simplified Arabic"/>
                      <w:b/>
                      <w:bCs/>
                      <w:sz w:val="28"/>
                      <w:szCs w:val="28"/>
                    </w:rPr>
                  </w:pPr>
                  <w:r w:rsidRPr="00AC76F5">
                    <w:rPr>
                      <w:rFonts w:cs="Simplified Arabic" w:hint="cs"/>
                      <w:b/>
                      <w:bCs/>
                      <w:sz w:val="28"/>
                      <w:szCs w:val="28"/>
                      <w:rtl/>
                    </w:rPr>
                    <w:t>السياحة الداخلية والمصدرة: من 9</w:t>
                  </w:r>
                  <w:proofErr w:type="gramStart"/>
                  <w:r w:rsidRPr="00AC76F5">
                    <w:rPr>
                      <w:rFonts w:cs="Simplified Arabic" w:hint="cs"/>
                      <w:b/>
                      <w:bCs/>
                      <w:sz w:val="28"/>
                      <w:szCs w:val="28"/>
                      <w:rtl/>
                    </w:rPr>
                    <w:t>,2</w:t>
                  </w:r>
                  <w:r w:rsidRPr="00AC76F5">
                    <w:rPr>
                      <w:rFonts w:cs="Simplified Arabic"/>
                      <w:b/>
                      <w:bCs/>
                      <w:sz w:val="28"/>
                      <w:szCs w:val="28"/>
                    </w:rPr>
                    <w:t>%</w:t>
                  </w:r>
                  <w:proofErr w:type="gramEnd"/>
                  <w:r w:rsidRPr="00AC76F5">
                    <w:rPr>
                      <w:rFonts w:cs="Simplified Arabic" w:hint="cs"/>
                      <w:b/>
                      <w:bCs/>
                      <w:sz w:val="28"/>
                      <w:szCs w:val="28"/>
                      <w:rtl/>
                    </w:rPr>
                    <w:t xml:space="preserve"> سنة 2011 إلى 7,9</w:t>
                  </w:r>
                  <w:r w:rsidRPr="00AC76F5">
                    <w:rPr>
                      <w:rFonts w:cs="Simplified Arabic"/>
                      <w:b/>
                      <w:bCs/>
                      <w:sz w:val="28"/>
                      <w:szCs w:val="28"/>
                    </w:rPr>
                    <w:t>%</w:t>
                  </w:r>
                  <w:r w:rsidRPr="00AC76F5">
                    <w:rPr>
                      <w:rFonts w:cs="Simplified Arabic" w:hint="cs"/>
                      <w:b/>
                      <w:bCs/>
                      <w:sz w:val="28"/>
                      <w:szCs w:val="28"/>
                      <w:rtl/>
                    </w:rPr>
                    <w:t xml:space="preserve"> سنة 2012.</w:t>
                  </w:r>
                </w:p>
                <w:p w:rsidR="00AC76F5" w:rsidRPr="00AC76F5" w:rsidRDefault="00AC76F5" w:rsidP="00AC76F5">
                  <w:pPr>
                    <w:bidi/>
                    <w:ind w:left="1725"/>
                    <w:jc w:val="both"/>
                    <w:rPr>
                      <w:rFonts w:cs="Simplified Arabic"/>
                      <w:b/>
                      <w:bCs/>
                      <w:sz w:val="28"/>
                      <w:szCs w:val="28"/>
                    </w:rPr>
                  </w:pPr>
                </w:p>
                <w:p w:rsidR="009278D2" w:rsidRPr="00AC76F5" w:rsidRDefault="009278D2" w:rsidP="009278D2">
                  <w:pPr>
                    <w:bidi/>
                    <w:spacing w:before="120" w:after="240"/>
                    <w:jc w:val="both"/>
                    <w:rPr>
                      <w:rFonts w:cs="Simplified Arabic"/>
                      <w:sz w:val="28"/>
                      <w:szCs w:val="28"/>
                      <w:rtl/>
                    </w:rPr>
                  </w:pPr>
                  <w:r w:rsidRPr="00AC76F5">
                    <w:rPr>
                      <w:rFonts w:cs="Simplified Arabic" w:hint="cs"/>
                      <w:b/>
                      <w:bCs/>
                      <w:sz w:val="28"/>
                      <w:szCs w:val="28"/>
                      <w:rtl/>
                    </w:rPr>
                    <w:t>أ</w:t>
                  </w:r>
                  <w:r w:rsidRPr="00AC76F5">
                    <w:rPr>
                      <w:rFonts w:cs="Simplified Arabic" w:hint="cs"/>
                      <w:sz w:val="28"/>
                      <w:szCs w:val="28"/>
                      <w:rtl/>
                    </w:rPr>
                    <w:t xml:space="preserve">ظهرت نتائج حسابات السياحة </w:t>
                  </w:r>
                  <w:proofErr w:type="gramStart"/>
                  <w:r w:rsidRPr="00AC76F5">
                    <w:rPr>
                      <w:rFonts w:cs="Simplified Arabic" w:hint="cs"/>
                      <w:sz w:val="28"/>
                      <w:szCs w:val="28"/>
                      <w:rtl/>
                    </w:rPr>
                    <w:t>لسنة</w:t>
                  </w:r>
                  <w:proofErr w:type="gramEnd"/>
                  <w:r w:rsidRPr="00AC76F5">
                    <w:rPr>
                      <w:rFonts w:cs="Simplified Arabic" w:hint="cs"/>
                      <w:sz w:val="28"/>
                      <w:szCs w:val="28"/>
                      <w:rtl/>
                    </w:rPr>
                    <w:t xml:space="preserve"> 2012 تطورات أقل أهمية مقارنة مع سنة 2011. وقد عرفت مساهمة السياحة في الناتج الداخلي الإجمالي تباطؤا طفيفا نتيجة ظرفية عالمية صعبة على مستوى أهم الأسواق التقليدية المصدرة للسياح في اتجاه المغرب.</w:t>
                  </w:r>
                </w:p>
                <w:p w:rsidR="009278D2" w:rsidRPr="00AC76F5" w:rsidRDefault="009278D2" w:rsidP="009278D2">
                  <w:pPr>
                    <w:bidi/>
                    <w:spacing w:before="120" w:after="240"/>
                    <w:jc w:val="both"/>
                    <w:rPr>
                      <w:rFonts w:cs="Simplified Arabic"/>
                      <w:sz w:val="28"/>
                      <w:szCs w:val="28"/>
                      <w:rtl/>
                      <w:lang w:bidi="ar-MA"/>
                    </w:rPr>
                  </w:pPr>
                  <w:r w:rsidRPr="00AC76F5">
                    <w:rPr>
                      <w:rFonts w:cs="Simplified Arabic" w:hint="cs"/>
                      <w:sz w:val="28"/>
                      <w:szCs w:val="28"/>
                      <w:rtl/>
                    </w:rPr>
                    <w:t>وهكذا ارتفع الاستهلاك الداخلي للسياحة المستقبلة، السياح غير المقيمين الأجانب والمغاربة المقيمين بالخارج الزائرين للمغرب، بنسبة 1,1</w:t>
                  </w:r>
                  <w:r w:rsidRPr="00AC76F5">
                    <w:rPr>
                      <w:rFonts w:cs="Simplified Arabic"/>
                      <w:sz w:val="28"/>
                      <w:szCs w:val="28"/>
                    </w:rPr>
                    <w:t>%</w:t>
                  </w:r>
                  <w:r w:rsidRPr="00AC76F5">
                    <w:rPr>
                      <w:rFonts w:cs="Simplified Arabic" w:hint="cs"/>
                      <w:sz w:val="28"/>
                      <w:szCs w:val="28"/>
                      <w:rtl/>
                    </w:rPr>
                    <w:t xml:space="preserve"> سنة 2012 بعد ارتفاع بنسبة 4,5 </w:t>
                  </w:r>
                  <w:r w:rsidRPr="00AC76F5">
                    <w:rPr>
                      <w:rFonts w:cs="Simplified Arabic"/>
                      <w:sz w:val="28"/>
                      <w:szCs w:val="28"/>
                    </w:rPr>
                    <w:t>%</w:t>
                  </w:r>
                  <w:r w:rsidRPr="00AC76F5">
                    <w:rPr>
                      <w:rFonts w:cs="Simplified Arabic" w:hint="cs"/>
                      <w:sz w:val="28"/>
                      <w:szCs w:val="28"/>
                      <w:rtl/>
                    </w:rPr>
                    <w:t xml:space="preserve"> سنة 2011 ليبلغ 69,5 مليار درهم.</w:t>
                  </w:r>
                </w:p>
                <w:p w:rsidR="009278D2" w:rsidRPr="00AC76F5" w:rsidRDefault="009278D2" w:rsidP="009278D2">
                  <w:pPr>
                    <w:bidi/>
                    <w:spacing w:before="120" w:after="240"/>
                    <w:jc w:val="both"/>
                    <w:rPr>
                      <w:rFonts w:cs="Simplified Arabic" w:hint="cs"/>
                      <w:sz w:val="28"/>
                      <w:szCs w:val="28"/>
                      <w:rtl/>
                      <w:lang w:bidi="ar-MA"/>
                    </w:rPr>
                  </w:pPr>
                  <w:r w:rsidRPr="00AC76F5">
                    <w:rPr>
                      <w:rFonts w:cs="Simplified Arabic" w:hint="cs"/>
                      <w:sz w:val="28"/>
                      <w:szCs w:val="28"/>
                      <w:rtl/>
                      <w:lang w:bidi="ar-MA"/>
                    </w:rPr>
                    <w:t xml:space="preserve">ومن </w:t>
                  </w:r>
                  <w:proofErr w:type="spellStart"/>
                  <w:r w:rsidRPr="00AC76F5">
                    <w:rPr>
                      <w:rFonts w:cs="Simplified Arabic" w:hint="cs"/>
                      <w:sz w:val="28"/>
                      <w:szCs w:val="28"/>
                      <w:rtl/>
                      <w:lang w:bidi="ar-MA"/>
                    </w:rPr>
                    <w:t>جهته،</w:t>
                  </w:r>
                  <w:proofErr w:type="spellEnd"/>
                  <w:r w:rsidRPr="00AC76F5">
                    <w:rPr>
                      <w:rFonts w:cs="Simplified Arabic" w:hint="cs"/>
                      <w:sz w:val="28"/>
                      <w:szCs w:val="28"/>
                      <w:rtl/>
                      <w:lang w:bidi="ar-MA"/>
                    </w:rPr>
                    <w:t xml:space="preserve"> سجل</w:t>
                  </w:r>
                  <w:r w:rsidRPr="00AC76F5">
                    <w:rPr>
                      <w:rFonts w:cs="Simplified Arabic"/>
                      <w:sz w:val="28"/>
                      <w:szCs w:val="28"/>
                      <w:lang w:bidi="ar-MA"/>
                    </w:rPr>
                    <w:t xml:space="preserve"> </w:t>
                  </w:r>
                  <w:r w:rsidRPr="00AC76F5">
                    <w:rPr>
                      <w:rFonts w:cs="Simplified Arabic" w:hint="cs"/>
                      <w:sz w:val="28"/>
                      <w:szCs w:val="28"/>
                      <w:rtl/>
                    </w:rPr>
                    <w:t>استهلاك السياحة الداخلية والمصدرة ارتفاعا قدره 7,9</w:t>
                  </w:r>
                  <w:r w:rsidRPr="00AC76F5">
                    <w:rPr>
                      <w:rFonts w:cs="Simplified Arabic"/>
                      <w:sz w:val="28"/>
                      <w:szCs w:val="28"/>
                    </w:rPr>
                    <w:t>%</w:t>
                  </w:r>
                  <w:r w:rsidRPr="00AC76F5">
                    <w:rPr>
                      <w:rFonts w:cs="Simplified Arabic" w:hint="cs"/>
                      <w:sz w:val="28"/>
                      <w:szCs w:val="28"/>
                      <w:rtl/>
                    </w:rPr>
                    <w:t xml:space="preserve"> </w:t>
                  </w:r>
                  <w:r w:rsidRPr="00AC76F5">
                    <w:rPr>
                      <w:rFonts w:cs="Simplified Arabic" w:hint="cs"/>
                      <w:sz w:val="28"/>
                      <w:szCs w:val="28"/>
                      <w:rtl/>
                      <w:lang w:bidi="ar-MA"/>
                    </w:rPr>
                    <w:t>ليستقر في 2</w:t>
                  </w:r>
                  <w:r w:rsidRPr="00AC76F5">
                    <w:rPr>
                      <w:rFonts w:cs="Simplified Arabic" w:hint="cs"/>
                      <w:sz w:val="28"/>
                      <w:szCs w:val="28"/>
                      <w:rtl/>
                    </w:rPr>
                    <w:t>8,1</w:t>
                  </w:r>
                  <w:r w:rsidRPr="00AC76F5">
                    <w:rPr>
                      <w:rFonts w:cs="Simplified Arabic" w:hint="cs"/>
                      <w:sz w:val="28"/>
                      <w:szCs w:val="28"/>
                      <w:rtl/>
                      <w:lang w:bidi="ar-MA"/>
                    </w:rPr>
                    <w:t xml:space="preserve"> مليار درهم سنة 2012 بعد ارتفاع بنسبة </w:t>
                  </w:r>
                  <w:r w:rsidRPr="00AC76F5">
                    <w:rPr>
                      <w:rFonts w:cs="Simplified Arabic" w:hint="cs"/>
                      <w:sz w:val="28"/>
                      <w:szCs w:val="28"/>
                      <w:rtl/>
                    </w:rPr>
                    <w:t>9,2</w:t>
                  </w:r>
                  <w:r w:rsidRPr="00AC76F5">
                    <w:rPr>
                      <w:rFonts w:cs="Simplified Arabic"/>
                      <w:sz w:val="28"/>
                      <w:szCs w:val="28"/>
                    </w:rPr>
                    <w:t>%</w:t>
                  </w:r>
                  <w:r w:rsidRPr="00AC76F5">
                    <w:rPr>
                      <w:rFonts w:cs="Simplified Arabic" w:hint="cs"/>
                      <w:sz w:val="28"/>
                      <w:szCs w:val="28"/>
                      <w:rtl/>
                      <w:lang w:bidi="ar-MA"/>
                    </w:rPr>
                    <w:t xml:space="preserve"> سنة 2011.</w:t>
                  </w:r>
                </w:p>
                <w:p w:rsidR="009278D2" w:rsidRPr="00AC76F5" w:rsidRDefault="009278D2" w:rsidP="00AC76F5">
                  <w:pPr>
                    <w:bidi/>
                    <w:spacing w:before="120" w:after="240"/>
                    <w:jc w:val="both"/>
                    <w:rPr>
                      <w:rFonts w:cs="Simplified Arabic" w:hint="cs"/>
                      <w:sz w:val="28"/>
                      <w:szCs w:val="28"/>
                      <w:rtl/>
                    </w:rPr>
                  </w:pPr>
                  <w:proofErr w:type="spellStart"/>
                  <w:r w:rsidRPr="00AC76F5">
                    <w:rPr>
                      <w:rFonts w:cs="Simplified Arabic" w:hint="cs"/>
                      <w:sz w:val="28"/>
                      <w:szCs w:val="28"/>
                      <w:rtl/>
                    </w:rPr>
                    <w:t>وعموم</w:t>
                  </w:r>
                  <w:r w:rsidR="00AC76F5">
                    <w:rPr>
                      <w:rFonts w:cs="Simplified Arabic" w:hint="cs"/>
                      <w:sz w:val="28"/>
                      <w:szCs w:val="28"/>
                      <w:rtl/>
                    </w:rPr>
                    <w:t>ا</w:t>
                  </w:r>
                  <w:r w:rsidRPr="00AC76F5">
                    <w:rPr>
                      <w:rFonts w:cs="Simplified Arabic" w:hint="cs"/>
                      <w:sz w:val="28"/>
                      <w:szCs w:val="28"/>
                      <w:rtl/>
                    </w:rPr>
                    <w:t>،</w:t>
                  </w:r>
                  <w:proofErr w:type="spellEnd"/>
                  <w:r w:rsidRPr="00AC76F5">
                    <w:rPr>
                      <w:rFonts w:cs="Simplified Arabic" w:hint="cs"/>
                      <w:sz w:val="28"/>
                      <w:szCs w:val="28"/>
                      <w:rtl/>
                    </w:rPr>
                    <w:t xml:space="preserve"> انتقل الاستهلاك الداخلي للسياحة من 94,8 مليار درهم سنة 2011 إلى 97,7 مليار درهم سنة 2012 محققا بذلك ارتفاعا بالقيمة بنسبة 3 </w:t>
                  </w:r>
                  <w:r w:rsidRPr="00AC76F5">
                    <w:rPr>
                      <w:rFonts w:cs="Simplified Arabic"/>
                      <w:sz w:val="28"/>
                      <w:szCs w:val="28"/>
                    </w:rPr>
                    <w:t>%</w:t>
                  </w:r>
                  <w:r w:rsidRPr="00AC76F5">
                    <w:rPr>
                      <w:rFonts w:cs="Simplified Arabic" w:hint="cs"/>
                      <w:sz w:val="28"/>
                      <w:szCs w:val="28"/>
                      <w:rtl/>
                    </w:rPr>
                    <w:t xml:space="preserve"> مقابل 5,7</w:t>
                  </w:r>
                  <w:r w:rsidRPr="00AC76F5">
                    <w:rPr>
                      <w:rFonts w:cs="Simplified Arabic"/>
                      <w:sz w:val="28"/>
                      <w:szCs w:val="28"/>
                    </w:rPr>
                    <w:t>%</w:t>
                  </w:r>
                  <w:r w:rsidRPr="00AC76F5">
                    <w:rPr>
                      <w:rFonts w:cs="Simplified Arabic" w:hint="cs"/>
                      <w:sz w:val="28"/>
                      <w:szCs w:val="28"/>
                      <w:rtl/>
                    </w:rPr>
                    <w:t xml:space="preserve"> سنة 2011.</w:t>
                  </w:r>
                </w:p>
                <w:p w:rsidR="009278D2" w:rsidRDefault="009278D2" w:rsidP="009278D2">
                  <w:pPr>
                    <w:bidi/>
                    <w:spacing w:before="120" w:after="240"/>
                    <w:jc w:val="both"/>
                    <w:rPr>
                      <w:rFonts w:cs="Simplified Arabic" w:hint="cs"/>
                      <w:sz w:val="32"/>
                      <w:szCs w:val="32"/>
                      <w:rtl/>
                    </w:rPr>
                  </w:pPr>
                </w:p>
                <w:p w:rsidR="009278D2" w:rsidRDefault="009278D2">
                  <w:pPr>
                    <w:rPr>
                      <w:lang w:bidi="ar-MA"/>
                    </w:rPr>
                  </w:pPr>
                </w:p>
              </w:txbxContent>
            </v:textbox>
            <w10:wrap type="square"/>
          </v:shape>
        </w:pict>
      </w:r>
    </w:p>
    <w:p w:rsidR="009278D2" w:rsidRDefault="009278D2"/>
    <w:p w:rsidR="009278D2" w:rsidRPr="00216079" w:rsidRDefault="009278D2" w:rsidP="00216079">
      <w:pPr>
        <w:bidi/>
        <w:spacing w:before="120" w:after="240"/>
        <w:rPr>
          <w:rFonts w:ascii="Simplified Arabic" w:hAnsi="Simplified Arabic" w:cs="Simplified Arabic"/>
          <w:sz w:val="28"/>
          <w:szCs w:val="28"/>
          <w:rtl/>
        </w:rPr>
      </w:pPr>
      <w:r>
        <w:br w:type="page"/>
      </w:r>
      <w:r w:rsidRPr="00216079">
        <w:rPr>
          <w:rFonts w:ascii="Simplified Arabic" w:hAnsi="Simplified Arabic" w:cs="Simplified Arabic"/>
          <w:sz w:val="28"/>
          <w:szCs w:val="28"/>
          <w:rtl/>
        </w:rPr>
        <w:lastRenderedPageBreak/>
        <w:t xml:space="preserve">و ضمن هذا </w:t>
      </w:r>
      <w:proofErr w:type="spellStart"/>
      <w:r w:rsidRPr="00216079">
        <w:rPr>
          <w:rFonts w:ascii="Simplified Arabic" w:hAnsi="Simplified Arabic" w:cs="Simplified Arabic"/>
          <w:sz w:val="28"/>
          <w:szCs w:val="28"/>
          <w:rtl/>
        </w:rPr>
        <w:t>الاستهلاك،</w:t>
      </w:r>
      <w:proofErr w:type="spellEnd"/>
      <w:r w:rsidRPr="00216079">
        <w:rPr>
          <w:rFonts w:ascii="Simplified Arabic" w:hAnsi="Simplified Arabic" w:cs="Simplified Arabic"/>
          <w:sz w:val="28"/>
          <w:szCs w:val="28"/>
          <w:rtl/>
        </w:rPr>
        <w:t xml:space="preserve"> فقدت حصة السياحة المصدرة 1</w:t>
      </w:r>
      <w:proofErr w:type="gramStart"/>
      <w:r w:rsidRPr="00216079">
        <w:rPr>
          <w:rFonts w:ascii="Simplified Arabic" w:hAnsi="Simplified Arabic" w:cs="Simplified Arabic"/>
          <w:sz w:val="28"/>
          <w:szCs w:val="28"/>
          <w:rtl/>
        </w:rPr>
        <w:t>,3</w:t>
      </w:r>
      <w:proofErr w:type="gramEnd"/>
      <w:r w:rsidRPr="00216079">
        <w:rPr>
          <w:rFonts w:ascii="Simplified Arabic" w:hAnsi="Simplified Arabic" w:cs="Simplified Arabic"/>
          <w:sz w:val="28"/>
          <w:szCs w:val="28"/>
          <w:rtl/>
        </w:rPr>
        <w:t xml:space="preserve"> نقطة منتقلة من 72,5 </w:t>
      </w:r>
      <w:r w:rsidRPr="00216079">
        <w:rPr>
          <w:rFonts w:ascii="Simplified Arabic" w:hAnsi="Simplified Arabic" w:cs="Simplified Arabic"/>
          <w:sz w:val="28"/>
          <w:szCs w:val="28"/>
        </w:rPr>
        <w:t>%</w:t>
      </w:r>
      <w:r w:rsidRPr="00216079">
        <w:rPr>
          <w:rFonts w:ascii="Simplified Arabic" w:hAnsi="Simplified Arabic" w:cs="Simplified Arabic"/>
          <w:sz w:val="28"/>
          <w:szCs w:val="28"/>
          <w:rtl/>
        </w:rPr>
        <w:t xml:space="preserve"> سنة 2011 إلى 71,2 </w:t>
      </w:r>
      <w:r w:rsidRPr="00216079">
        <w:rPr>
          <w:rFonts w:ascii="Simplified Arabic" w:hAnsi="Simplified Arabic" w:cs="Simplified Arabic"/>
          <w:sz w:val="28"/>
          <w:szCs w:val="28"/>
        </w:rPr>
        <w:t>%</w:t>
      </w:r>
      <w:r w:rsidRPr="00216079">
        <w:rPr>
          <w:rFonts w:ascii="Simplified Arabic" w:hAnsi="Simplified Arabic" w:cs="Simplified Arabic"/>
          <w:sz w:val="28"/>
          <w:szCs w:val="28"/>
          <w:rtl/>
        </w:rPr>
        <w:t xml:space="preserve"> سنة 2012، بينما انتقلت السياحة الداخلية والمصدرة من 27,5 </w:t>
      </w:r>
      <w:r w:rsidRPr="00216079">
        <w:rPr>
          <w:rFonts w:ascii="Simplified Arabic" w:hAnsi="Simplified Arabic" w:cs="Simplified Arabic"/>
          <w:sz w:val="28"/>
          <w:szCs w:val="28"/>
        </w:rPr>
        <w:t>%</w:t>
      </w:r>
      <w:r w:rsidRPr="00216079">
        <w:rPr>
          <w:rFonts w:ascii="Simplified Arabic" w:hAnsi="Simplified Arabic" w:cs="Simplified Arabic"/>
          <w:sz w:val="28"/>
          <w:szCs w:val="28"/>
          <w:rtl/>
        </w:rPr>
        <w:t xml:space="preserve"> سنة 2011 إلى 28,8 </w:t>
      </w:r>
      <w:r w:rsidRPr="00216079">
        <w:rPr>
          <w:rFonts w:ascii="Simplified Arabic" w:hAnsi="Simplified Arabic" w:cs="Simplified Arabic"/>
          <w:sz w:val="28"/>
          <w:szCs w:val="28"/>
        </w:rPr>
        <w:t>%</w:t>
      </w:r>
      <w:r w:rsidRPr="00216079">
        <w:rPr>
          <w:rFonts w:ascii="Simplified Arabic" w:hAnsi="Simplified Arabic" w:cs="Simplified Arabic"/>
          <w:sz w:val="28"/>
          <w:szCs w:val="28"/>
          <w:rtl/>
        </w:rPr>
        <w:t xml:space="preserve"> سنة 2012. </w:t>
      </w:r>
    </w:p>
    <w:p w:rsidR="009278D2" w:rsidRPr="00216079" w:rsidRDefault="009278D2" w:rsidP="00216079">
      <w:pPr>
        <w:bidi/>
        <w:spacing w:before="120" w:after="240"/>
        <w:jc w:val="both"/>
        <w:rPr>
          <w:rFonts w:ascii="Simplified Arabic" w:hAnsi="Simplified Arabic" w:cs="Simplified Arabic"/>
          <w:sz w:val="28"/>
          <w:szCs w:val="28"/>
          <w:rtl/>
        </w:rPr>
      </w:pPr>
      <w:r w:rsidRPr="00216079">
        <w:rPr>
          <w:rFonts w:ascii="Simplified Arabic" w:hAnsi="Simplified Arabic" w:cs="Simplified Arabic"/>
          <w:sz w:val="28"/>
          <w:szCs w:val="28"/>
          <w:rtl/>
        </w:rPr>
        <w:t>وفي هذا السياق، بلغت القيمة المضافة لقطاع السياحة  46,6 مليار درهم سنة 201</w:t>
      </w:r>
      <w:proofErr w:type="gramStart"/>
      <w:r w:rsidRPr="00216079">
        <w:rPr>
          <w:rFonts w:ascii="Simplified Arabic" w:hAnsi="Simplified Arabic" w:cs="Simplified Arabic"/>
          <w:sz w:val="28"/>
          <w:szCs w:val="28"/>
          <w:rtl/>
        </w:rPr>
        <w:t xml:space="preserve">2 </w:t>
      </w:r>
      <w:proofErr w:type="gramEnd"/>
      <w:r w:rsidRPr="00216079">
        <w:rPr>
          <w:rFonts w:ascii="Simplified Arabic" w:hAnsi="Simplified Arabic" w:cs="Simplified Arabic"/>
          <w:sz w:val="28"/>
          <w:szCs w:val="28"/>
          <w:rtl/>
        </w:rPr>
        <w:t xml:space="preserve">مسجلة بذلك شبه استقرار مقارنة مع سنة 2011. ومن جهة أخرى، ارتفع صافي الضرائب من الإعانات على المنتجات السياحية بنسبة 3,6 </w:t>
      </w:r>
      <w:r w:rsidRPr="00216079">
        <w:rPr>
          <w:rFonts w:ascii="Simplified Arabic" w:hAnsi="Simplified Arabic" w:cs="Simplified Arabic"/>
          <w:sz w:val="28"/>
          <w:szCs w:val="28"/>
        </w:rPr>
        <w:t>%</w:t>
      </w:r>
      <w:r w:rsidRPr="00216079">
        <w:rPr>
          <w:rFonts w:ascii="Simplified Arabic" w:hAnsi="Simplified Arabic" w:cs="Simplified Arabic"/>
          <w:sz w:val="28"/>
          <w:szCs w:val="28"/>
          <w:rtl/>
        </w:rPr>
        <w:t xml:space="preserve">. </w:t>
      </w:r>
    </w:p>
    <w:p w:rsidR="009278D2" w:rsidRPr="00216079" w:rsidRDefault="009278D2" w:rsidP="00216079">
      <w:pPr>
        <w:bidi/>
        <w:spacing w:before="120" w:after="240"/>
        <w:jc w:val="both"/>
        <w:rPr>
          <w:rFonts w:ascii="Simplified Arabic" w:hAnsi="Simplified Arabic" w:cs="Simplified Arabic"/>
          <w:sz w:val="28"/>
          <w:szCs w:val="28"/>
          <w:rtl/>
        </w:rPr>
      </w:pPr>
      <w:r w:rsidRPr="00216079">
        <w:rPr>
          <w:rFonts w:ascii="Simplified Arabic" w:hAnsi="Simplified Arabic" w:cs="Simplified Arabic"/>
          <w:sz w:val="28"/>
          <w:szCs w:val="28"/>
          <w:rtl/>
        </w:rPr>
        <w:t xml:space="preserve">وهكذا بلغ الناتج الداخلي الإجمالي للسياحة 57 مليار درهم سنة 2012 محققا ارتفاعا طفيفا مقارنة مع سنة 2011. ونسبة إلى الناتج الداخلي الإجمالي انتقلت مساهمة قطاع السياحة من 7,1 </w:t>
      </w:r>
      <w:r w:rsidRPr="00216079">
        <w:rPr>
          <w:rFonts w:ascii="Simplified Arabic" w:hAnsi="Simplified Arabic" w:cs="Simplified Arabic"/>
          <w:sz w:val="28"/>
          <w:szCs w:val="28"/>
        </w:rPr>
        <w:t>%</w:t>
      </w:r>
      <w:r w:rsidRPr="00216079">
        <w:rPr>
          <w:rFonts w:ascii="Simplified Arabic" w:hAnsi="Simplified Arabic" w:cs="Simplified Arabic"/>
          <w:sz w:val="28"/>
          <w:szCs w:val="28"/>
          <w:rtl/>
        </w:rPr>
        <w:t xml:space="preserve"> سنة 2011 إلى 6,9 </w:t>
      </w:r>
      <w:r w:rsidRPr="00216079">
        <w:rPr>
          <w:rFonts w:ascii="Simplified Arabic" w:hAnsi="Simplified Arabic" w:cs="Simplified Arabic"/>
          <w:sz w:val="28"/>
          <w:szCs w:val="28"/>
        </w:rPr>
        <w:t>%</w:t>
      </w:r>
      <w:r w:rsidRPr="00216079">
        <w:rPr>
          <w:rFonts w:ascii="Simplified Arabic" w:hAnsi="Simplified Arabic" w:cs="Simplified Arabic"/>
          <w:sz w:val="28"/>
          <w:szCs w:val="28"/>
          <w:rtl/>
        </w:rPr>
        <w:t xml:space="preserve"> سنة 2012 . </w:t>
      </w:r>
    </w:p>
    <w:p w:rsidR="009278D2" w:rsidRDefault="009278D2" w:rsidP="009278D2">
      <w:pPr>
        <w:bidi/>
        <w:jc w:val="center"/>
        <w:rPr>
          <w:rFonts w:cs="Simplified Arabic"/>
          <w:b/>
          <w:bCs/>
          <w:sz w:val="32"/>
          <w:szCs w:val="32"/>
        </w:rPr>
      </w:pPr>
    </w:p>
    <w:p w:rsidR="009278D2" w:rsidRPr="00D51D0B" w:rsidRDefault="009278D2" w:rsidP="009278D2">
      <w:pPr>
        <w:jc w:val="center"/>
        <w:rPr>
          <w:rFonts w:cs="Simplified Arabic"/>
          <w:bCs/>
          <w:sz w:val="28"/>
          <w:szCs w:val="28"/>
          <w:rtl/>
        </w:rPr>
      </w:pPr>
      <w:r w:rsidRPr="00D51D0B">
        <w:rPr>
          <w:rFonts w:cs="Simplified Arabic" w:hint="cs"/>
          <w:bCs/>
          <w:sz w:val="28"/>
          <w:szCs w:val="28"/>
          <w:rtl/>
        </w:rPr>
        <w:t>الاستهلاك الداخلي للسياحة</w:t>
      </w:r>
    </w:p>
    <w:p w:rsidR="009278D2" w:rsidRPr="001E14CF" w:rsidRDefault="009278D2" w:rsidP="009278D2">
      <w:pPr>
        <w:jc w:val="right"/>
        <w:rPr>
          <w:b/>
          <w:bCs/>
        </w:rPr>
      </w:pPr>
      <w:proofErr w:type="gramStart"/>
      <w:r w:rsidRPr="001E14CF">
        <w:rPr>
          <w:rFonts w:hint="cs"/>
          <w:b/>
          <w:bCs/>
          <w:rtl/>
        </w:rPr>
        <w:t>بملايين</w:t>
      </w:r>
      <w:proofErr w:type="gramEnd"/>
      <w:r w:rsidRPr="001E14CF">
        <w:rPr>
          <w:rFonts w:hint="cs"/>
          <w:b/>
          <w:bCs/>
          <w:rtl/>
        </w:rPr>
        <w:t xml:space="preserve"> الدراهم</w:t>
      </w:r>
    </w:p>
    <w:p w:rsidR="009278D2" w:rsidRDefault="009278D2" w:rsidP="009278D2">
      <w:pPr>
        <w:bidi/>
        <w:jc w:val="both"/>
        <w:rPr>
          <w:rFonts w:cs="Simplified Arabic"/>
          <w:b/>
          <w:bCs/>
          <w:lang w:bidi="ar-MA"/>
        </w:rPr>
      </w:pPr>
    </w:p>
    <w:tbl>
      <w:tblPr>
        <w:bidiVisual/>
        <w:tblW w:w="9432" w:type="dxa"/>
        <w:jc w:val="center"/>
        <w:tblInd w:w="-6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2344"/>
        <w:gridCol w:w="1276"/>
        <w:gridCol w:w="1276"/>
        <w:gridCol w:w="1276"/>
        <w:gridCol w:w="1559"/>
        <w:gridCol w:w="1701"/>
      </w:tblGrid>
      <w:tr w:rsidR="009278D2" w:rsidRPr="009278D2" w:rsidTr="00E61921">
        <w:trPr>
          <w:trHeight w:val="255"/>
          <w:jc w:val="center"/>
        </w:trPr>
        <w:tc>
          <w:tcPr>
            <w:tcW w:w="2344" w:type="dxa"/>
            <w:vMerge w:val="restart"/>
            <w:tcBorders>
              <w:top w:val="single" w:sz="12" w:space="0" w:color="000000"/>
              <w:tl2br w:val="nil"/>
            </w:tcBorders>
            <w:shd w:val="clear" w:color="auto" w:fill="E6E6E6"/>
            <w:vAlign w:val="center"/>
          </w:tcPr>
          <w:p w:rsidR="009278D2" w:rsidRPr="009278D2" w:rsidRDefault="009278D2" w:rsidP="00E61921">
            <w:pPr>
              <w:jc w:val="right"/>
              <w:rPr>
                <w:b/>
                <w:bCs/>
              </w:rPr>
            </w:pPr>
            <w:proofErr w:type="gramStart"/>
            <w:r w:rsidRPr="009278D2">
              <w:rPr>
                <w:rFonts w:cs="Simplified Arabic" w:hint="cs"/>
                <w:b/>
                <w:bCs/>
                <w:rtl/>
                <w:lang w:bidi="ar-MA"/>
              </w:rPr>
              <w:t>بملايين</w:t>
            </w:r>
            <w:proofErr w:type="gramEnd"/>
            <w:r w:rsidRPr="009278D2">
              <w:rPr>
                <w:rFonts w:cs="Simplified Arabic" w:hint="cs"/>
                <w:b/>
                <w:bCs/>
                <w:rtl/>
                <w:lang w:bidi="ar-MA"/>
              </w:rPr>
              <w:t xml:space="preserve"> الدراهم</w:t>
            </w:r>
          </w:p>
        </w:tc>
        <w:tc>
          <w:tcPr>
            <w:tcW w:w="1276" w:type="dxa"/>
            <w:vMerge w:val="restart"/>
            <w:shd w:val="clear" w:color="auto" w:fill="E6E6E6"/>
            <w:vAlign w:val="center"/>
          </w:tcPr>
          <w:p w:rsidR="009278D2" w:rsidRPr="00E61921" w:rsidRDefault="009278D2" w:rsidP="009278D2">
            <w:pPr>
              <w:spacing w:before="120" w:after="120"/>
              <w:jc w:val="center"/>
              <w:rPr>
                <w:rFonts w:ascii="Arial Narrow" w:hAnsi="Arial Narrow"/>
                <w:b/>
                <w:bCs/>
                <w:lang w:bidi="ar-MA"/>
              </w:rPr>
            </w:pPr>
            <w:r w:rsidRPr="00E61921">
              <w:rPr>
                <w:rFonts w:ascii="Arial Narrow" w:hAnsi="Arial Narrow"/>
                <w:b/>
                <w:bCs/>
                <w:lang w:bidi="ar-MA"/>
              </w:rPr>
              <w:t>201</w:t>
            </w:r>
            <w:r w:rsidRPr="00E61921">
              <w:rPr>
                <w:rFonts w:ascii="Arial Narrow" w:hAnsi="Arial Narrow" w:hint="cs"/>
                <w:b/>
                <w:bCs/>
                <w:rtl/>
                <w:lang w:bidi="ar-MA"/>
              </w:rPr>
              <w:t>0</w:t>
            </w:r>
          </w:p>
        </w:tc>
        <w:tc>
          <w:tcPr>
            <w:tcW w:w="1276" w:type="dxa"/>
            <w:vMerge w:val="restart"/>
            <w:shd w:val="clear" w:color="auto" w:fill="E6E6E6"/>
            <w:vAlign w:val="center"/>
          </w:tcPr>
          <w:p w:rsidR="009278D2" w:rsidRPr="00E61921" w:rsidRDefault="009278D2" w:rsidP="009278D2">
            <w:pPr>
              <w:spacing w:before="120" w:after="120"/>
              <w:jc w:val="center"/>
              <w:rPr>
                <w:rFonts w:ascii="Arial Narrow" w:hAnsi="Arial Narrow"/>
                <w:b/>
                <w:bCs/>
                <w:lang w:bidi="ar-MA"/>
              </w:rPr>
            </w:pPr>
            <w:r w:rsidRPr="00E61921">
              <w:rPr>
                <w:rFonts w:ascii="Arial Narrow" w:hAnsi="Arial Narrow" w:hint="cs"/>
                <w:b/>
                <w:bCs/>
                <w:rtl/>
                <w:lang w:bidi="ar-MA"/>
              </w:rPr>
              <w:t>2011</w:t>
            </w:r>
          </w:p>
        </w:tc>
        <w:tc>
          <w:tcPr>
            <w:tcW w:w="1276" w:type="dxa"/>
            <w:vMerge w:val="restart"/>
            <w:shd w:val="clear" w:color="auto" w:fill="E6E6E6"/>
            <w:vAlign w:val="center"/>
          </w:tcPr>
          <w:p w:rsidR="009278D2" w:rsidRPr="00E61921" w:rsidRDefault="009278D2" w:rsidP="009278D2">
            <w:pPr>
              <w:spacing w:before="120" w:after="120"/>
              <w:jc w:val="center"/>
              <w:rPr>
                <w:rFonts w:ascii="Arial Narrow" w:hAnsi="Arial Narrow"/>
                <w:b/>
                <w:bCs/>
              </w:rPr>
            </w:pPr>
            <w:r w:rsidRPr="00E61921">
              <w:rPr>
                <w:rFonts w:ascii="Arial Narrow" w:hAnsi="Arial Narrow"/>
                <w:b/>
                <w:bCs/>
                <w:rtl/>
              </w:rPr>
              <w:t>2</w:t>
            </w:r>
            <w:r w:rsidRPr="00E61921">
              <w:rPr>
                <w:rFonts w:ascii="Arial Narrow" w:hAnsi="Arial Narrow" w:hint="cs"/>
                <w:b/>
                <w:bCs/>
                <w:rtl/>
              </w:rPr>
              <w:t>012</w:t>
            </w:r>
          </w:p>
        </w:tc>
        <w:tc>
          <w:tcPr>
            <w:tcW w:w="3260" w:type="dxa"/>
            <w:gridSpan w:val="2"/>
            <w:tcBorders>
              <w:bottom w:val="single" w:sz="4" w:space="0" w:color="auto"/>
            </w:tcBorders>
            <w:shd w:val="clear" w:color="auto" w:fill="E6E6E6"/>
            <w:vAlign w:val="center"/>
          </w:tcPr>
          <w:p w:rsidR="009278D2" w:rsidRPr="009278D2" w:rsidRDefault="009278D2" w:rsidP="007E211E">
            <w:pPr>
              <w:jc w:val="center"/>
              <w:rPr>
                <w:b/>
                <w:bCs/>
                <w:sz w:val="22"/>
                <w:szCs w:val="22"/>
              </w:rPr>
            </w:pPr>
            <w:r w:rsidRPr="009278D2">
              <w:rPr>
                <w:b/>
                <w:bCs/>
              </w:rPr>
              <w:t>%</w:t>
            </w:r>
            <w:r w:rsidRPr="009278D2">
              <w:rPr>
                <w:rFonts w:hint="cs"/>
                <w:b/>
                <w:bCs/>
                <w:rtl/>
              </w:rPr>
              <w:t>التغيرات ب</w:t>
            </w:r>
          </w:p>
        </w:tc>
      </w:tr>
      <w:tr w:rsidR="009278D2" w:rsidRPr="009278D2" w:rsidTr="00E61921">
        <w:trPr>
          <w:trHeight w:val="240"/>
          <w:jc w:val="center"/>
        </w:trPr>
        <w:tc>
          <w:tcPr>
            <w:tcW w:w="2344" w:type="dxa"/>
            <w:vMerge/>
            <w:tcBorders>
              <w:bottom w:val="single" w:sz="12" w:space="0" w:color="000000"/>
              <w:tl2br w:val="nil"/>
            </w:tcBorders>
            <w:shd w:val="clear" w:color="auto" w:fill="E6E6E6"/>
            <w:vAlign w:val="center"/>
          </w:tcPr>
          <w:p w:rsidR="009278D2" w:rsidRPr="009278D2" w:rsidRDefault="009278D2" w:rsidP="00E61921">
            <w:pPr>
              <w:jc w:val="right"/>
              <w:rPr>
                <w:rFonts w:cs="Simplified Arabic" w:hint="cs"/>
                <w:b/>
                <w:bCs/>
                <w:rtl/>
                <w:lang w:bidi="ar-MA"/>
              </w:rPr>
            </w:pPr>
          </w:p>
        </w:tc>
        <w:tc>
          <w:tcPr>
            <w:tcW w:w="1276" w:type="dxa"/>
            <w:vMerge/>
            <w:tcBorders>
              <w:bottom w:val="single" w:sz="12" w:space="0" w:color="000000"/>
            </w:tcBorders>
            <w:shd w:val="clear" w:color="auto" w:fill="E6E6E6"/>
            <w:vAlign w:val="center"/>
          </w:tcPr>
          <w:p w:rsidR="009278D2" w:rsidRPr="009278D2" w:rsidRDefault="009278D2" w:rsidP="009278D2">
            <w:pPr>
              <w:spacing w:before="120" w:after="120"/>
              <w:jc w:val="center"/>
              <w:rPr>
                <w:rFonts w:ascii="Arial Narrow" w:hAnsi="Arial Narrow" w:hint="cs"/>
                <w:b/>
                <w:bCs/>
                <w:sz w:val="22"/>
                <w:szCs w:val="22"/>
                <w:rtl/>
              </w:rPr>
            </w:pPr>
          </w:p>
        </w:tc>
        <w:tc>
          <w:tcPr>
            <w:tcW w:w="1276" w:type="dxa"/>
            <w:vMerge/>
            <w:tcBorders>
              <w:bottom w:val="single" w:sz="12" w:space="0" w:color="000000"/>
            </w:tcBorders>
            <w:shd w:val="clear" w:color="auto" w:fill="E6E6E6"/>
            <w:vAlign w:val="center"/>
          </w:tcPr>
          <w:p w:rsidR="009278D2" w:rsidRPr="009278D2" w:rsidRDefault="009278D2" w:rsidP="009278D2">
            <w:pPr>
              <w:spacing w:before="120"/>
              <w:jc w:val="center"/>
              <w:rPr>
                <w:rFonts w:ascii="Arial" w:hAnsi="Arial" w:cs="Arial"/>
                <w:b/>
                <w:bCs/>
                <w:rtl/>
              </w:rPr>
            </w:pPr>
          </w:p>
        </w:tc>
        <w:tc>
          <w:tcPr>
            <w:tcW w:w="1276" w:type="dxa"/>
            <w:vMerge/>
            <w:tcBorders>
              <w:bottom w:val="single" w:sz="12" w:space="0" w:color="000000"/>
            </w:tcBorders>
            <w:shd w:val="clear" w:color="auto" w:fill="E6E6E6"/>
            <w:vAlign w:val="center"/>
          </w:tcPr>
          <w:p w:rsidR="009278D2" w:rsidRPr="009278D2" w:rsidRDefault="009278D2" w:rsidP="009278D2">
            <w:pPr>
              <w:spacing w:before="120" w:after="120"/>
              <w:jc w:val="center"/>
              <w:rPr>
                <w:rFonts w:ascii="Arial Narrow" w:hAnsi="Arial Narrow"/>
                <w:b/>
                <w:bCs/>
                <w:sz w:val="22"/>
                <w:szCs w:val="22"/>
              </w:rPr>
            </w:pPr>
          </w:p>
        </w:tc>
        <w:tc>
          <w:tcPr>
            <w:tcW w:w="1559" w:type="dxa"/>
            <w:tcBorders>
              <w:top w:val="single" w:sz="4" w:space="0" w:color="auto"/>
              <w:bottom w:val="single" w:sz="12" w:space="0" w:color="000000"/>
            </w:tcBorders>
            <w:shd w:val="clear" w:color="auto" w:fill="E6E6E6"/>
            <w:vAlign w:val="center"/>
          </w:tcPr>
          <w:p w:rsidR="009278D2" w:rsidRPr="009278D2" w:rsidRDefault="009278D2" w:rsidP="009278D2">
            <w:pPr>
              <w:jc w:val="center"/>
              <w:rPr>
                <w:rFonts w:ascii="Arial" w:hAnsi="Arial" w:cs="Arial"/>
                <w:b/>
                <w:bCs/>
              </w:rPr>
            </w:pPr>
            <w:r w:rsidRPr="009278D2">
              <w:rPr>
                <w:rFonts w:ascii="Arial" w:hAnsi="Arial" w:cs="Arial"/>
                <w:b/>
                <w:bCs/>
              </w:rPr>
              <w:t>2011/2010</w:t>
            </w:r>
          </w:p>
        </w:tc>
        <w:tc>
          <w:tcPr>
            <w:tcW w:w="1701" w:type="dxa"/>
            <w:tcBorders>
              <w:top w:val="single" w:sz="4" w:space="0" w:color="auto"/>
              <w:left w:val="single" w:sz="4" w:space="0" w:color="auto"/>
              <w:bottom w:val="single" w:sz="12" w:space="0" w:color="000000"/>
            </w:tcBorders>
            <w:shd w:val="clear" w:color="auto" w:fill="E6E6E6"/>
            <w:vAlign w:val="center"/>
          </w:tcPr>
          <w:p w:rsidR="009278D2" w:rsidRPr="009278D2" w:rsidRDefault="009278D2" w:rsidP="00E61921">
            <w:pPr>
              <w:jc w:val="center"/>
              <w:rPr>
                <w:rFonts w:ascii="Arial" w:hAnsi="Arial" w:cs="Arial"/>
                <w:b/>
                <w:bCs/>
              </w:rPr>
            </w:pPr>
            <w:r w:rsidRPr="009278D2">
              <w:rPr>
                <w:rFonts w:ascii="Arial" w:hAnsi="Arial" w:cs="Arial"/>
                <w:b/>
                <w:bCs/>
              </w:rPr>
              <w:t>2012/2011</w:t>
            </w:r>
          </w:p>
        </w:tc>
      </w:tr>
      <w:tr w:rsidR="009278D2" w:rsidRPr="009278D2" w:rsidTr="00E61921">
        <w:trPr>
          <w:trHeight w:val="415"/>
          <w:jc w:val="center"/>
        </w:trPr>
        <w:tc>
          <w:tcPr>
            <w:tcW w:w="2344" w:type="dxa"/>
            <w:shd w:val="clear" w:color="auto" w:fill="auto"/>
            <w:vAlign w:val="center"/>
          </w:tcPr>
          <w:p w:rsidR="009278D2" w:rsidRPr="009278D2" w:rsidRDefault="009278D2" w:rsidP="00E61921">
            <w:pPr>
              <w:jc w:val="right"/>
              <w:rPr>
                <w:b/>
                <w:bCs/>
              </w:rPr>
            </w:pPr>
            <w:r w:rsidRPr="009278D2">
              <w:rPr>
                <w:rFonts w:hint="cs"/>
                <w:b/>
                <w:bCs/>
                <w:rtl/>
              </w:rPr>
              <w:t>الاستهلاك الداخلي للسياحة</w:t>
            </w:r>
          </w:p>
        </w:tc>
        <w:tc>
          <w:tcPr>
            <w:tcW w:w="1276" w:type="dxa"/>
            <w:vAlign w:val="center"/>
          </w:tcPr>
          <w:p w:rsidR="009278D2" w:rsidRPr="009278D2" w:rsidRDefault="009278D2" w:rsidP="00E61921">
            <w:pPr>
              <w:spacing w:before="120" w:after="120"/>
              <w:jc w:val="center"/>
              <w:rPr>
                <w:rFonts w:ascii="Arial" w:hAnsi="Arial" w:cs="Arial"/>
              </w:rPr>
            </w:pPr>
            <w:r w:rsidRPr="009278D2">
              <w:rPr>
                <w:rFonts w:ascii="Arial" w:hAnsi="Arial" w:cs="Arial"/>
                <w:rtl/>
              </w:rPr>
              <w:t>89689</w:t>
            </w:r>
          </w:p>
        </w:tc>
        <w:tc>
          <w:tcPr>
            <w:tcW w:w="1276" w:type="dxa"/>
            <w:vAlign w:val="center"/>
          </w:tcPr>
          <w:p w:rsidR="009278D2" w:rsidRPr="009278D2" w:rsidRDefault="009278D2" w:rsidP="00E61921">
            <w:pPr>
              <w:spacing w:before="120" w:after="120"/>
              <w:jc w:val="center"/>
              <w:rPr>
                <w:rFonts w:ascii="Arial" w:hAnsi="Arial" w:cs="Arial"/>
              </w:rPr>
            </w:pPr>
            <w:r w:rsidRPr="009278D2">
              <w:rPr>
                <w:rFonts w:ascii="Arial" w:hAnsi="Arial" w:cs="Arial" w:hint="cs"/>
                <w:rtl/>
              </w:rPr>
              <w:t>94836</w:t>
            </w:r>
          </w:p>
        </w:tc>
        <w:tc>
          <w:tcPr>
            <w:tcW w:w="1276" w:type="dxa"/>
            <w:vAlign w:val="center"/>
          </w:tcPr>
          <w:p w:rsidR="009278D2" w:rsidRPr="009278D2" w:rsidRDefault="009278D2" w:rsidP="00E61921">
            <w:pPr>
              <w:spacing w:before="120" w:after="120"/>
              <w:jc w:val="center"/>
              <w:rPr>
                <w:rFonts w:ascii="Arial" w:hAnsi="Arial" w:cs="Arial"/>
              </w:rPr>
            </w:pPr>
            <w:r w:rsidRPr="009278D2">
              <w:rPr>
                <w:rFonts w:ascii="Arial" w:hAnsi="Arial" w:cs="Arial"/>
              </w:rPr>
              <w:t>97666</w:t>
            </w:r>
          </w:p>
        </w:tc>
        <w:tc>
          <w:tcPr>
            <w:tcW w:w="1559" w:type="dxa"/>
            <w:shd w:val="clear" w:color="auto" w:fill="auto"/>
            <w:vAlign w:val="center"/>
          </w:tcPr>
          <w:p w:rsidR="009278D2" w:rsidRPr="009278D2" w:rsidRDefault="009278D2" w:rsidP="00E61921">
            <w:pPr>
              <w:spacing w:before="120" w:after="120"/>
              <w:jc w:val="center"/>
              <w:rPr>
                <w:rFonts w:ascii="Arial" w:hAnsi="Arial" w:cs="Arial"/>
              </w:rPr>
            </w:pPr>
            <w:r w:rsidRPr="009278D2">
              <w:rPr>
                <w:rFonts w:ascii="Arial" w:hAnsi="Arial" w:cs="Arial" w:hint="cs"/>
                <w:rtl/>
              </w:rPr>
              <w:t>5</w:t>
            </w:r>
            <w:r w:rsidRPr="009278D2">
              <w:rPr>
                <w:rFonts w:ascii="Arial" w:hAnsi="Arial" w:cs="Arial"/>
                <w:rtl/>
              </w:rPr>
              <w:t>,</w:t>
            </w:r>
            <w:r w:rsidRPr="009278D2">
              <w:rPr>
                <w:rFonts w:ascii="Arial" w:hAnsi="Arial" w:cs="Arial" w:hint="cs"/>
                <w:rtl/>
              </w:rPr>
              <w:t>7</w:t>
            </w:r>
          </w:p>
        </w:tc>
        <w:tc>
          <w:tcPr>
            <w:tcW w:w="1701" w:type="dxa"/>
            <w:tcBorders>
              <w:left w:val="single" w:sz="4" w:space="0" w:color="auto"/>
            </w:tcBorders>
            <w:shd w:val="clear" w:color="auto" w:fill="auto"/>
            <w:vAlign w:val="center"/>
          </w:tcPr>
          <w:p w:rsidR="009278D2" w:rsidRPr="009278D2" w:rsidRDefault="009278D2" w:rsidP="00E61921">
            <w:pPr>
              <w:spacing w:before="120" w:after="120"/>
              <w:jc w:val="center"/>
              <w:rPr>
                <w:rFonts w:ascii="Arial" w:hAnsi="Arial" w:cs="Arial"/>
              </w:rPr>
            </w:pPr>
            <w:r w:rsidRPr="009278D2">
              <w:rPr>
                <w:rFonts w:ascii="Arial" w:hAnsi="Arial" w:cs="Arial" w:hint="cs"/>
                <w:rtl/>
              </w:rPr>
              <w:t>3,0</w:t>
            </w:r>
          </w:p>
        </w:tc>
      </w:tr>
      <w:tr w:rsidR="009278D2" w:rsidRPr="009278D2" w:rsidTr="00E61921">
        <w:trPr>
          <w:trHeight w:val="342"/>
          <w:jc w:val="center"/>
        </w:trPr>
        <w:tc>
          <w:tcPr>
            <w:tcW w:w="2344" w:type="dxa"/>
            <w:shd w:val="clear" w:color="auto" w:fill="auto"/>
            <w:vAlign w:val="center"/>
          </w:tcPr>
          <w:p w:rsidR="009278D2" w:rsidRPr="009278D2" w:rsidRDefault="009278D2" w:rsidP="00E61921">
            <w:pPr>
              <w:jc w:val="right"/>
              <w:rPr>
                <w:b/>
                <w:bCs/>
              </w:rPr>
            </w:pPr>
            <w:proofErr w:type="gramStart"/>
            <w:r w:rsidRPr="009278D2">
              <w:rPr>
                <w:rFonts w:hint="cs"/>
                <w:b/>
                <w:bCs/>
                <w:rtl/>
              </w:rPr>
              <w:t>السياحة</w:t>
            </w:r>
            <w:proofErr w:type="gramEnd"/>
            <w:r w:rsidRPr="009278D2">
              <w:rPr>
                <w:rFonts w:hint="cs"/>
                <w:b/>
                <w:bCs/>
                <w:rtl/>
              </w:rPr>
              <w:t xml:space="preserve"> المستقبلة</w:t>
            </w:r>
          </w:p>
        </w:tc>
        <w:tc>
          <w:tcPr>
            <w:tcW w:w="1276" w:type="dxa"/>
            <w:vAlign w:val="center"/>
          </w:tcPr>
          <w:p w:rsidR="009278D2" w:rsidRPr="009278D2" w:rsidRDefault="009278D2" w:rsidP="00E61921">
            <w:pPr>
              <w:spacing w:before="120" w:after="120"/>
              <w:jc w:val="center"/>
              <w:rPr>
                <w:rFonts w:ascii="Arial" w:hAnsi="Arial" w:cs="Arial"/>
              </w:rPr>
            </w:pPr>
            <w:r w:rsidRPr="009278D2">
              <w:rPr>
                <w:rFonts w:ascii="Arial" w:hAnsi="Arial" w:cs="Arial"/>
                <w:rtl/>
              </w:rPr>
              <w:t>65801</w:t>
            </w:r>
          </w:p>
        </w:tc>
        <w:tc>
          <w:tcPr>
            <w:tcW w:w="1276" w:type="dxa"/>
            <w:vAlign w:val="center"/>
          </w:tcPr>
          <w:p w:rsidR="009278D2" w:rsidRPr="009278D2" w:rsidRDefault="009278D2" w:rsidP="00E61921">
            <w:pPr>
              <w:spacing w:before="120" w:after="120"/>
              <w:jc w:val="center"/>
              <w:rPr>
                <w:rFonts w:ascii="Arial" w:hAnsi="Arial" w:cs="Arial"/>
              </w:rPr>
            </w:pPr>
            <w:r w:rsidRPr="009278D2">
              <w:rPr>
                <w:rFonts w:ascii="Arial" w:hAnsi="Arial" w:cs="Arial" w:hint="cs"/>
                <w:rtl/>
              </w:rPr>
              <w:t>68762</w:t>
            </w:r>
          </w:p>
        </w:tc>
        <w:tc>
          <w:tcPr>
            <w:tcW w:w="1276" w:type="dxa"/>
            <w:vAlign w:val="center"/>
          </w:tcPr>
          <w:p w:rsidR="009278D2" w:rsidRPr="009278D2" w:rsidRDefault="009278D2" w:rsidP="00E61921">
            <w:pPr>
              <w:spacing w:before="120" w:after="120"/>
              <w:jc w:val="center"/>
              <w:rPr>
                <w:rFonts w:ascii="Arial" w:hAnsi="Arial" w:cs="Arial"/>
              </w:rPr>
            </w:pPr>
            <w:r w:rsidRPr="009278D2">
              <w:rPr>
                <w:rFonts w:ascii="Arial" w:hAnsi="Arial" w:cs="Arial"/>
              </w:rPr>
              <w:t>69545</w:t>
            </w:r>
          </w:p>
        </w:tc>
        <w:tc>
          <w:tcPr>
            <w:tcW w:w="1559" w:type="dxa"/>
            <w:shd w:val="clear" w:color="auto" w:fill="auto"/>
            <w:vAlign w:val="center"/>
          </w:tcPr>
          <w:p w:rsidR="009278D2" w:rsidRPr="009278D2" w:rsidRDefault="009278D2" w:rsidP="00E61921">
            <w:pPr>
              <w:spacing w:before="120" w:after="120"/>
              <w:jc w:val="center"/>
              <w:rPr>
                <w:rFonts w:ascii="Arial" w:hAnsi="Arial" w:cs="Arial"/>
              </w:rPr>
            </w:pPr>
            <w:r w:rsidRPr="009278D2">
              <w:rPr>
                <w:rFonts w:ascii="Arial" w:hAnsi="Arial" w:cs="Arial" w:hint="cs"/>
                <w:rtl/>
              </w:rPr>
              <w:t>4</w:t>
            </w:r>
            <w:r w:rsidRPr="009278D2">
              <w:rPr>
                <w:rFonts w:ascii="Arial" w:hAnsi="Arial" w:cs="Arial"/>
                <w:rtl/>
              </w:rPr>
              <w:t>,</w:t>
            </w:r>
            <w:r w:rsidRPr="009278D2">
              <w:rPr>
                <w:rFonts w:ascii="Arial" w:hAnsi="Arial" w:cs="Arial" w:hint="cs"/>
                <w:rtl/>
              </w:rPr>
              <w:t>5</w:t>
            </w:r>
          </w:p>
        </w:tc>
        <w:tc>
          <w:tcPr>
            <w:tcW w:w="1701" w:type="dxa"/>
            <w:tcBorders>
              <w:left w:val="single" w:sz="4" w:space="0" w:color="auto"/>
            </w:tcBorders>
            <w:shd w:val="clear" w:color="auto" w:fill="auto"/>
            <w:vAlign w:val="center"/>
          </w:tcPr>
          <w:p w:rsidR="009278D2" w:rsidRPr="009278D2" w:rsidRDefault="009278D2" w:rsidP="00E61921">
            <w:pPr>
              <w:spacing w:before="120" w:after="120"/>
              <w:jc w:val="center"/>
              <w:rPr>
                <w:rFonts w:ascii="Arial" w:hAnsi="Arial" w:cs="Arial"/>
              </w:rPr>
            </w:pPr>
            <w:r w:rsidRPr="009278D2">
              <w:rPr>
                <w:rFonts w:ascii="Arial" w:hAnsi="Arial" w:cs="Arial" w:hint="cs"/>
                <w:rtl/>
              </w:rPr>
              <w:t>1,1</w:t>
            </w:r>
          </w:p>
        </w:tc>
      </w:tr>
      <w:tr w:rsidR="009278D2" w:rsidRPr="009278D2" w:rsidTr="00E61921">
        <w:trPr>
          <w:trHeight w:val="352"/>
          <w:jc w:val="center"/>
        </w:trPr>
        <w:tc>
          <w:tcPr>
            <w:tcW w:w="2344" w:type="dxa"/>
            <w:shd w:val="clear" w:color="auto" w:fill="auto"/>
            <w:vAlign w:val="center"/>
          </w:tcPr>
          <w:p w:rsidR="009278D2" w:rsidRPr="009278D2" w:rsidRDefault="009278D2" w:rsidP="00E61921">
            <w:pPr>
              <w:jc w:val="right"/>
              <w:rPr>
                <w:b/>
                <w:bCs/>
              </w:rPr>
            </w:pPr>
            <w:proofErr w:type="gramStart"/>
            <w:r w:rsidRPr="009278D2">
              <w:rPr>
                <w:rFonts w:hint="cs"/>
                <w:b/>
                <w:bCs/>
                <w:rtl/>
              </w:rPr>
              <w:t>السياحة</w:t>
            </w:r>
            <w:proofErr w:type="gramEnd"/>
            <w:r w:rsidRPr="009278D2">
              <w:rPr>
                <w:rFonts w:hint="cs"/>
                <w:b/>
                <w:bCs/>
                <w:rtl/>
              </w:rPr>
              <w:t xml:space="preserve"> الداخلية و المصدرة</w:t>
            </w:r>
            <w:r w:rsidRPr="00E61921">
              <w:rPr>
                <w:rFonts w:cs="Simplified Arabic" w:hint="cs"/>
                <w:b/>
                <w:bCs/>
                <w:sz w:val="28"/>
                <w:szCs w:val="28"/>
                <w:rtl/>
                <w:lang w:bidi="ar-MA"/>
              </w:rPr>
              <w:t xml:space="preserve"> </w:t>
            </w:r>
            <w:r w:rsidRPr="00E61921">
              <w:rPr>
                <w:rFonts w:cs="Simplified Arabic" w:hint="cs"/>
                <w:b/>
                <w:bCs/>
                <w:rtl/>
                <w:lang w:bidi="ar-MA"/>
              </w:rPr>
              <w:t>(*)</w:t>
            </w:r>
          </w:p>
        </w:tc>
        <w:tc>
          <w:tcPr>
            <w:tcW w:w="1276" w:type="dxa"/>
            <w:vAlign w:val="center"/>
          </w:tcPr>
          <w:p w:rsidR="009278D2" w:rsidRPr="009278D2" w:rsidRDefault="009278D2" w:rsidP="00E61921">
            <w:pPr>
              <w:spacing w:before="120" w:after="120"/>
              <w:jc w:val="center"/>
              <w:rPr>
                <w:rFonts w:ascii="Arial" w:hAnsi="Arial" w:cs="Arial"/>
              </w:rPr>
            </w:pPr>
            <w:r w:rsidRPr="009278D2">
              <w:rPr>
                <w:rFonts w:ascii="Arial" w:hAnsi="Arial" w:cs="Arial"/>
                <w:rtl/>
              </w:rPr>
              <w:t>23888</w:t>
            </w:r>
          </w:p>
        </w:tc>
        <w:tc>
          <w:tcPr>
            <w:tcW w:w="1276" w:type="dxa"/>
            <w:vAlign w:val="center"/>
          </w:tcPr>
          <w:p w:rsidR="009278D2" w:rsidRPr="009278D2" w:rsidRDefault="009278D2" w:rsidP="00E61921">
            <w:pPr>
              <w:spacing w:before="120" w:after="120"/>
              <w:jc w:val="center"/>
              <w:rPr>
                <w:rFonts w:ascii="Arial" w:hAnsi="Arial" w:cs="Arial"/>
              </w:rPr>
            </w:pPr>
            <w:r w:rsidRPr="009278D2">
              <w:rPr>
                <w:rFonts w:ascii="Arial" w:hAnsi="Arial" w:cs="Arial" w:hint="cs"/>
                <w:rtl/>
              </w:rPr>
              <w:t>26074</w:t>
            </w:r>
          </w:p>
        </w:tc>
        <w:tc>
          <w:tcPr>
            <w:tcW w:w="1276" w:type="dxa"/>
            <w:vAlign w:val="center"/>
          </w:tcPr>
          <w:p w:rsidR="009278D2" w:rsidRPr="009278D2" w:rsidRDefault="009278D2" w:rsidP="00E61921">
            <w:pPr>
              <w:spacing w:before="120" w:after="120"/>
              <w:jc w:val="center"/>
              <w:rPr>
                <w:rFonts w:ascii="Arial" w:hAnsi="Arial" w:cs="Arial"/>
              </w:rPr>
            </w:pPr>
            <w:r w:rsidRPr="009278D2">
              <w:rPr>
                <w:rFonts w:ascii="Arial" w:hAnsi="Arial" w:cs="Arial"/>
              </w:rPr>
              <w:t>28121</w:t>
            </w:r>
          </w:p>
        </w:tc>
        <w:tc>
          <w:tcPr>
            <w:tcW w:w="1559" w:type="dxa"/>
            <w:shd w:val="clear" w:color="auto" w:fill="auto"/>
            <w:vAlign w:val="center"/>
          </w:tcPr>
          <w:p w:rsidR="009278D2" w:rsidRPr="009278D2" w:rsidRDefault="009278D2" w:rsidP="00E61921">
            <w:pPr>
              <w:spacing w:before="120" w:after="120"/>
              <w:jc w:val="center"/>
              <w:rPr>
                <w:rFonts w:ascii="Arial" w:hAnsi="Arial" w:cs="Arial"/>
              </w:rPr>
            </w:pPr>
            <w:r w:rsidRPr="009278D2">
              <w:rPr>
                <w:rFonts w:ascii="Arial" w:hAnsi="Arial" w:cs="Arial" w:hint="cs"/>
                <w:rtl/>
              </w:rPr>
              <w:t>9</w:t>
            </w:r>
            <w:r w:rsidRPr="009278D2">
              <w:rPr>
                <w:rFonts w:ascii="Arial" w:hAnsi="Arial" w:cs="Arial"/>
                <w:rtl/>
              </w:rPr>
              <w:t>,</w:t>
            </w:r>
            <w:r w:rsidRPr="009278D2">
              <w:rPr>
                <w:rFonts w:ascii="Arial" w:hAnsi="Arial" w:cs="Arial" w:hint="cs"/>
                <w:rtl/>
              </w:rPr>
              <w:t>2</w:t>
            </w:r>
          </w:p>
        </w:tc>
        <w:tc>
          <w:tcPr>
            <w:tcW w:w="1701" w:type="dxa"/>
            <w:tcBorders>
              <w:left w:val="single" w:sz="4" w:space="0" w:color="auto"/>
            </w:tcBorders>
            <w:shd w:val="clear" w:color="auto" w:fill="auto"/>
            <w:vAlign w:val="center"/>
          </w:tcPr>
          <w:p w:rsidR="009278D2" w:rsidRPr="009278D2" w:rsidRDefault="009278D2" w:rsidP="00E61921">
            <w:pPr>
              <w:spacing w:before="120" w:after="120"/>
              <w:jc w:val="center"/>
              <w:rPr>
                <w:rFonts w:ascii="Arial" w:hAnsi="Arial" w:cs="Arial"/>
              </w:rPr>
            </w:pPr>
            <w:r w:rsidRPr="009278D2">
              <w:rPr>
                <w:rFonts w:ascii="Arial" w:hAnsi="Arial" w:cs="Arial" w:hint="cs"/>
                <w:rtl/>
              </w:rPr>
              <w:t>7,9</w:t>
            </w:r>
          </w:p>
        </w:tc>
      </w:tr>
    </w:tbl>
    <w:p w:rsidR="009278D2" w:rsidRPr="00830245" w:rsidRDefault="009278D2" w:rsidP="009278D2">
      <w:pPr>
        <w:jc w:val="right"/>
        <w:rPr>
          <w:rFonts w:cs="Simplified Arabic"/>
          <w:rtl/>
          <w:lang w:bidi="ar-MA"/>
        </w:rPr>
      </w:pPr>
      <w:proofErr w:type="spellStart"/>
      <w:r>
        <w:rPr>
          <w:rFonts w:cs="Simplified Arabic" w:hint="cs"/>
          <w:rtl/>
        </w:rPr>
        <w:t>(</w:t>
      </w:r>
      <w:r w:rsidRPr="00830245">
        <w:rPr>
          <w:rFonts w:cs="Simplified Arabic" w:hint="cs"/>
          <w:rtl/>
        </w:rPr>
        <w:t>*</w:t>
      </w:r>
      <w:r>
        <w:rPr>
          <w:rFonts w:cs="Simplified Arabic" w:hint="cs"/>
          <w:rtl/>
        </w:rPr>
        <w:t>)</w:t>
      </w:r>
      <w:proofErr w:type="spellEnd"/>
      <w:r w:rsidRPr="00830245">
        <w:rPr>
          <w:rFonts w:cs="Simplified Arabic" w:hint="cs"/>
          <w:rtl/>
        </w:rPr>
        <w:t xml:space="preserve"> استهلاك </w:t>
      </w:r>
      <w:r w:rsidRPr="00830245">
        <w:rPr>
          <w:rFonts w:cs="Simplified Arabic" w:hint="cs"/>
          <w:i/>
          <w:iCs/>
          <w:rtl/>
        </w:rPr>
        <w:t>السياحة ا</w:t>
      </w:r>
      <w:r w:rsidRPr="00830245">
        <w:rPr>
          <w:rFonts w:cs="Simplified Arabic" w:hint="cs"/>
          <w:rtl/>
        </w:rPr>
        <w:t>لداخلية والمصدرة:</w:t>
      </w:r>
      <w:r w:rsidRPr="00830245">
        <w:rPr>
          <w:rFonts w:cs="Simplified Arabic" w:hint="cs"/>
          <w:rtl/>
          <w:lang w:bidi="ar-MA"/>
        </w:rPr>
        <w:t xml:space="preserve"> يشتمل هذا الاستهلاك على الاستهلاك الداخلي للسياحة المستقبلة (السياح غير المقيمين : الأجانب والمغاربة المقيمين بالخارج في زيارة  للمغرب) واستهلاك السياحة الداخلية والمصدرة (السياح المقيمين– مغاربة وأجانب متجولون في المغرب خارج محيطهم العادي والمقيمين الذين هم في سفر خارج المغرب: النفقات المقصودة هنا هي التي صرفت داخل المغرب).</w:t>
      </w:r>
    </w:p>
    <w:p w:rsidR="009278D2" w:rsidRPr="00DE3B9B" w:rsidRDefault="009278D2" w:rsidP="009278D2">
      <w:pPr>
        <w:bidi/>
        <w:rPr>
          <w:rtl/>
        </w:rPr>
      </w:pPr>
    </w:p>
    <w:p w:rsidR="009278D2" w:rsidRPr="00D51D0B" w:rsidRDefault="009278D2" w:rsidP="009278D2">
      <w:pPr>
        <w:pStyle w:val="Titre1"/>
        <w:bidi/>
        <w:rPr>
          <w:rFonts w:ascii="Times New Roman" w:hAnsi="Times New Roman"/>
          <w:bCs/>
          <w:sz w:val="28"/>
          <w:szCs w:val="28"/>
          <w:rtl/>
        </w:rPr>
      </w:pPr>
      <w:r>
        <w:rPr>
          <w:rFonts w:ascii="Times New Roman" w:hAnsi="Times New Roman"/>
          <w:bCs/>
          <w:sz w:val="28"/>
          <w:szCs w:val="28"/>
          <w:rtl/>
        </w:rPr>
        <w:br w:type="page"/>
      </w:r>
      <w:proofErr w:type="gramStart"/>
      <w:r w:rsidRPr="00D51D0B">
        <w:rPr>
          <w:rFonts w:ascii="Times New Roman" w:hAnsi="Times New Roman" w:hint="cs"/>
          <w:bCs/>
          <w:sz w:val="28"/>
          <w:szCs w:val="28"/>
          <w:rtl/>
        </w:rPr>
        <w:t>القيمة</w:t>
      </w:r>
      <w:proofErr w:type="gramEnd"/>
      <w:r w:rsidRPr="00D51D0B">
        <w:rPr>
          <w:rFonts w:ascii="Times New Roman" w:hAnsi="Times New Roman" w:hint="cs"/>
          <w:bCs/>
          <w:sz w:val="28"/>
          <w:szCs w:val="28"/>
          <w:rtl/>
        </w:rPr>
        <w:t xml:space="preserve"> المضافة والناتج الداخلي الإجمالي للسياحة</w:t>
      </w:r>
    </w:p>
    <w:p w:rsidR="009278D2" w:rsidRPr="009278D2" w:rsidRDefault="009278D2" w:rsidP="009278D2">
      <w:pPr>
        <w:bidi/>
        <w:jc w:val="both"/>
        <w:rPr>
          <w:rFonts w:cs="Simplified Arabic"/>
          <w:b/>
          <w:bCs/>
          <w:sz w:val="6"/>
          <w:szCs w:val="6"/>
          <w:lang w:bidi="ar-MA"/>
        </w:rPr>
      </w:pPr>
    </w:p>
    <w:tbl>
      <w:tblPr>
        <w:bidiVisual/>
        <w:tblW w:w="10154" w:type="dxa"/>
        <w:tblInd w:w="-6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3066"/>
        <w:gridCol w:w="1276"/>
        <w:gridCol w:w="1276"/>
        <w:gridCol w:w="1276"/>
        <w:gridCol w:w="1559"/>
        <w:gridCol w:w="1701"/>
      </w:tblGrid>
      <w:tr w:rsidR="009278D2" w:rsidRPr="001710A5">
        <w:trPr>
          <w:trHeight w:val="255"/>
        </w:trPr>
        <w:tc>
          <w:tcPr>
            <w:tcW w:w="3066" w:type="dxa"/>
            <w:vMerge w:val="restart"/>
            <w:tcBorders>
              <w:top w:val="single" w:sz="18" w:space="0" w:color="auto"/>
              <w:left w:val="single" w:sz="18" w:space="0" w:color="auto"/>
              <w:tl2br w:val="nil"/>
            </w:tcBorders>
            <w:shd w:val="clear" w:color="auto" w:fill="E6E6E6"/>
            <w:vAlign w:val="center"/>
          </w:tcPr>
          <w:p w:rsidR="009278D2" w:rsidRPr="001E14CF" w:rsidRDefault="009278D2" w:rsidP="009278D2">
            <w:pPr>
              <w:jc w:val="center"/>
              <w:rPr>
                <w:b/>
                <w:bCs/>
              </w:rPr>
            </w:pPr>
            <w:proofErr w:type="gramStart"/>
            <w:r w:rsidRPr="001E14CF">
              <w:rPr>
                <w:rFonts w:cs="Simplified Arabic" w:hint="cs"/>
                <w:b/>
                <w:bCs/>
                <w:rtl/>
                <w:lang w:bidi="ar-MA"/>
              </w:rPr>
              <w:t>بملايين</w:t>
            </w:r>
            <w:proofErr w:type="gramEnd"/>
            <w:r w:rsidRPr="001E14CF">
              <w:rPr>
                <w:rFonts w:cs="Simplified Arabic" w:hint="cs"/>
                <w:b/>
                <w:bCs/>
                <w:rtl/>
                <w:lang w:bidi="ar-MA"/>
              </w:rPr>
              <w:t xml:space="preserve"> الدراهم</w:t>
            </w:r>
          </w:p>
        </w:tc>
        <w:tc>
          <w:tcPr>
            <w:tcW w:w="1276" w:type="dxa"/>
            <w:vMerge w:val="restart"/>
            <w:tcBorders>
              <w:top w:val="single" w:sz="18" w:space="0" w:color="auto"/>
            </w:tcBorders>
            <w:shd w:val="clear" w:color="auto" w:fill="E6E6E6"/>
            <w:vAlign w:val="center"/>
          </w:tcPr>
          <w:p w:rsidR="009278D2" w:rsidRPr="00544494" w:rsidRDefault="009278D2" w:rsidP="009278D2">
            <w:pPr>
              <w:spacing w:before="120" w:after="120"/>
              <w:jc w:val="center"/>
              <w:rPr>
                <w:rFonts w:ascii="Arial Narrow" w:hAnsi="Arial Narrow"/>
                <w:b/>
                <w:bCs/>
                <w:lang w:bidi="ar-MA"/>
              </w:rPr>
            </w:pPr>
            <w:r w:rsidRPr="00544494">
              <w:rPr>
                <w:rFonts w:ascii="Arial Narrow" w:hAnsi="Arial Narrow"/>
                <w:b/>
                <w:bCs/>
                <w:lang w:bidi="ar-MA"/>
              </w:rPr>
              <w:t>201</w:t>
            </w:r>
            <w:r w:rsidRPr="00544494">
              <w:rPr>
                <w:rFonts w:ascii="Arial Narrow" w:hAnsi="Arial Narrow" w:hint="cs"/>
                <w:b/>
                <w:bCs/>
                <w:rtl/>
                <w:lang w:bidi="ar-MA"/>
              </w:rPr>
              <w:t>0</w:t>
            </w:r>
          </w:p>
        </w:tc>
        <w:tc>
          <w:tcPr>
            <w:tcW w:w="1276" w:type="dxa"/>
            <w:vMerge w:val="restart"/>
            <w:tcBorders>
              <w:top w:val="single" w:sz="18" w:space="0" w:color="auto"/>
            </w:tcBorders>
            <w:shd w:val="clear" w:color="auto" w:fill="E6E6E6"/>
            <w:vAlign w:val="center"/>
          </w:tcPr>
          <w:p w:rsidR="009278D2" w:rsidRPr="00544494" w:rsidRDefault="009278D2" w:rsidP="009278D2">
            <w:pPr>
              <w:spacing w:before="120" w:after="120"/>
              <w:jc w:val="center"/>
              <w:rPr>
                <w:rFonts w:ascii="Arial Narrow" w:hAnsi="Arial Narrow"/>
                <w:b/>
                <w:bCs/>
                <w:lang w:bidi="ar-MA"/>
              </w:rPr>
            </w:pPr>
            <w:r w:rsidRPr="00544494">
              <w:rPr>
                <w:rFonts w:ascii="Arial Narrow" w:hAnsi="Arial Narrow" w:hint="cs"/>
                <w:b/>
                <w:bCs/>
                <w:rtl/>
                <w:lang w:bidi="ar-MA"/>
              </w:rPr>
              <w:t>2011</w:t>
            </w:r>
          </w:p>
        </w:tc>
        <w:tc>
          <w:tcPr>
            <w:tcW w:w="1276" w:type="dxa"/>
            <w:vMerge w:val="restart"/>
            <w:tcBorders>
              <w:top w:val="single" w:sz="18" w:space="0" w:color="auto"/>
            </w:tcBorders>
            <w:shd w:val="clear" w:color="auto" w:fill="E6E6E6"/>
            <w:vAlign w:val="center"/>
          </w:tcPr>
          <w:p w:rsidR="009278D2" w:rsidRPr="00544494" w:rsidRDefault="009278D2" w:rsidP="009278D2">
            <w:pPr>
              <w:spacing w:before="120" w:after="120"/>
              <w:jc w:val="center"/>
              <w:rPr>
                <w:rFonts w:ascii="Arial Narrow" w:hAnsi="Arial Narrow"/>
                <w:b/>
                <w:bCs/>
              </w:rPr>
            </w:pPr>
            <w:r w:rsidRPr="00544494">
              <w:rPr>
                <w:rFonts w:ascii="Arial Narrow" w:hAnsi="Arial Narrow"/>
                <w:b/>
                <w:bCs/>
                <w:rtl/>
              </w:rPr>
              <w:t>2</w:t>
            </w:r>
            <w:r w:rsidRPr="00544494">
              <w:rPr>
                <w:rFonts w:ascii="Arial Narrow" w:hAnsi="Arial Narrow" w:hint="cs"/>
                <w:b/>
                <w:bCs/>
                <w:rtl/>
              </w:rPr>
              <w:t>012</w:t>
            </w:r>
          </w:p>
        </w:tc>
        <w:tc>
          <w:tcPr>
            <w:tcW w:w="3260" w:type="dxa"/>
            <w:gridSpan w:val="2"/>
            <w:tcBorders>
              <w:top w:val="single" w:sz="18" w:space="0" w:color="auto"/>
              <w:bottom w:val="single" w:sz="4" w:space="0" w:color="auto"/>
              <w:right w:val="single" w:sz="18" w:space="0" w:color="auto"/>
            </w:tcBorders>
            <w:shd w:val="clear" w:color="auto" w:fill="E6E6E6"/>
            <w:vAlign w:val="center"/>
          </w:tcPr>
          <w:p w:rsidR="009278D2" w:rsidRPr="001710A5" w:rsidRDefault="009278D2" w:rsidP="00544494">
            <w:pPr>
              <w:jc w:val="center"/>
              <w:rPr>
                <w:b/>
                <w:bCs/>
                <w:sz w:val="22"/>
                <w:szCs w:val="22"/>
              </w:rPr>
            </w:pPr>
            <w:r w:rsidRPr="006900E1">
              <w:rPr>
                <w:b/>
                <w:bCs/>
              </w:rPr>
              <w:t>%</w:t>
            </w:r>
            <w:r>
              <w:rPr>
                <w:rFonts w:hint="cs"/>
                <w:b/>
                <w:bCs/>
                <w:rtl/>
              </w:rPr>
              <w:t>التغيرات ب</w:t>
            </w:r>
          </w:p>
        </w:tc>
      </w:tr>
      <w:tr w:rsidR="009278D2" w:rsidRPr="001710A5">
        <w:trPr>
          <w:trHeight w:val="240"/>
        </w:trPr>
        <w:tc>
          <w:tcPr>
            <w:tcW w:w="3066" w:type="dxa"/>
            <w:vMerge/>
            <w:tcBorders>
              <w:left w:val="single" w:sz="18" w:space="0" w:color="auto"/>
              <w:bottom w:val="single" w:sz="12" w:space="0" w:color="000000"/>
              <w:tl2br w:val="nil"/>
            </w:tcBorders>
            <w:shd w:val="clear" w:color="auto" w:fill="E6E6E6"/>
            <w:vAlign w:val="center"/>
          </w:tcPr>
          <w:p w:rsidR="009278D2" w:rsidRDefault="009278D2" w:rsidP="009278D2">
            <w:pPr>
              <w:jc w:val="center"/>
              <w:rPr>
                <w:rFonts w:cs="Simplified Arabic" w:hint="cs"/>
                <w:b/>
                <w:bCs/>
                <w:rtl/>
                <w:lang w:bidi="ar-MA"/>
              </w:rPr>
            </w:pPr>
          </w:p>
        </w:tc>
        <w:tc>
          <w:tcPr>
            <w:tcW w:w="1276" w:type="dxa"/>
            <w:vMerge/>
            <w:tcBorders>
              <w:bottom w:val="single" w:sz="12" w:space="0" w:color="000000"/>
            </w:tcBorders>
            <w:shd w:val="clear" w:color="auto" w:fill="E6E6E6"/>
            <w:vAlign w:val="center"/>
          </w:tcPr>
          <w:p w:rsidR="009278D2" w:rsidRDefault="009278D2" w:rsidP="009278D2">
            <w:pPr>
              <w:spacing w:before="120" w:after="120"/>
              <w:jc w:val="center"/>
              <w:rPr>
                <w:rFonts w:ascii="Arial Narrow" w:hAnsi="Arial Narrow" w:hint="cs"/>
                <w:b/>
                <w:bCs/>
                <w:sz w:val="22"/>
                <w:szCs w:val="22"/>
                <w:rtl/>
              </w:rPr>
            </w:pPr>
          </w:p>
        </w:tc>
        <w:tc>
          <w:tcPr>
            <w:tcW w:w="1276" w:type="dxa"/>
            <w:vMerge/>
            <w:tcBorders>
              <w:bottom w:val="single" w:sz="12" w:space="0" w:color="000000"/>
            </w:tcBorders>
            <w:shd w:val="clear" w:color="auto" w:fill="E6E6E6"/>
            <w:vAlign w:val="center"/>
          </w:tcPr>
          <w:p w:rsidR="009278D2" w:rsidRPr="00A9107F" w:rsidRDefault="009278D2" w:rsidP="009278D2">
            <w:pPr>
              <w:spacing w:before="120"/>
              <w:jc w:val="center"/>
              <w:rPr>
                <w:rFonts w:ascii="Arial" w:hAnsi="Arial" w:cs="Arial"/>
                <w:b/>
                <w:bCs/>
                <w:rtl/>
              </w:rPr>
            </w:pPr>
          </w:p>
        </w:tc>
        <w:tc>
          <w:tcPr>
            <w:tcW w:w="1276" w:type="dxa"/>
            <w:vMerge/>
            <w:tcBorders>
              <w:bottom w:val="single" w:sz="12" w:space="0" w:color="000000"/>
            </w:tcBorders>
            <w:shd w:val="clear" w:color="auto" w:fill="E6E6E6"/>
            <w:vAlign w:val="center"/>
          </w:tcPr>
          <w:p w:rsidR="009278D2" w:rsidRDefault="009278D2" w:rsidP="009278D2">
            <w:pPr>
              <w:spacing w:before="120" w:after="120"/>
              <w:jc w:val="center"/>
              <w:rPr>
                <w:rFonts w:ascii="Arial Narrow" w:hAnsi="Arial Narrow"/>
                <w:b/>
                <w:bCs/>
                <w:sz w:val="22"/>
                <w:szCs w:val="22"/>
              </w:rPr>
            </w:pPr>
          </w:p>
        </w:tc>
        <w:tc>
          <w:tcPr>
            <w:tcW w:w="1559" w:type="dxa"/>
            <w:tcBorders>
              <w:top w:val="single" w:sz="4" w:space="0" w:color="auto"/>
              <w:bottom w:val="single" w:sz="12" w:space="0" w:color="000000"/>
            </w:tcBorders>
            <w:shd w:val="clear" w:color="auto" w:fill="E6E6E6"/>
            <w:vAlign w:val="center"/>
          </w:tcPr>
          <w:p w:rsidR="009278D2" w:rsidRPr="006B695C" w:rsidRDefault="009278D2" w:rsidP="009278D2">
            <w:pPr>
              <w:jc w:val="center"/>
              <w:rPr>
                <w:rFonts w:ascii="Arial" w:hAnsi="Arial" w:cs="Arial"/>
                <w:b/>
                <w:bCs/>
              </w:rPr>
            </w:pPr>
            <w:r w:rsidRPr="006B695C">
              <w:rPr>
                <w:rFonts w:ascii="Arial" w:hAnsi="Arial" w:cs="Arial"/>
                <w:b/>
                <w:bCs/>
              </w:rPr>
              <w:t>2011/2010</w:t>
            </w:r>
          </w:p>
        </w:tc>
        <w:tc>
          <w:tcPr>
            <w:tcW w:w="1701" w:type="dxa"/>
            <w:tcBorders>
              <w:top w:val="single" w:sz="4" w:space="0" w:color="auto"/>
              <w:left w:val="single" w:sz="4" w:space="0" w:color="auto"/>
              <w:bottom w:val="single" w:sz="12" w:space="0" w:color="000000"/>
              <w:right w:val="single" w:sz="18" w:space="0" w:color="auto"/>
            </w:tcBorders>
            <w:shd w:val="clear" w:color="auto" w:fill="E6E6E6"/>
            <w:vAlign w:val="center"/>
          </w:tcPr>
          <w:p w:rsidR="009278D2" w:rsidRPr="006B695C" w:rsidRDefault="009278D2" w:rsidP="00544494">
            <w:pPr>
              <w:jc w:val="center"/>
              <w:rPr>
                <w:rFonts w:ascii="Arial" w:hAnsi="Arial" w:cs="Arial"/>
                <w:b/>
                <w:bCs/>
              </w:rPr>
            </w:pPr>
            <w:r w:rsidRPr="006B695C">
              <w:rPr>
                <w:rFonts w:ascii="Arial" w:hAnsi="Arial" w:cs="Arial"/>
                <w:b/>
                <w:bCs/>
              </w:rPr>
              <w:t>2012/2011</w:t>
            </w:r>
          </w:p>
        </w:tc>
      </w:tr>
      <w:tr w:rsidR="009278D2" w:rsidRPr="001710A5">
        <w:trPr>
          <w:trHeight w:val="415"/>
        </w:trPr>
        <w:tc>
          <w:tcPr>
            <w:tcW w:w="3066" w:type="dxa"/>
            <w:tcBorders>
              <w:left w:val="single" w:sz="18" w:space="0" w:color="auto"/>
            </w:tcBorders>
            <w:shd w:val="clear" w:color="auto" w:fill="auto"/>
            <w:vAlign w:val="center"/>
          </w:tcPr>
          <w:p w:rsidR="009278D2" w:rsidRPr="001710A5" w:rsidRDefault="009278D2" w:rsidP="00976A3D">
            <w:pPr>
              <w:jc w:val="right"/>
              <w:rPr>
                <w:b/>
                <w:bCs/>
              </w:rPr>
            </w:pPr>
            <w:r w:rsidRPr="001710A5">
              <w:rPr>
                <w:b/>
                <w:bCs/>
                <w:rtl/>
              </w:rPr>
              <w:t>القيمة المضافة للسياحة</w:t>
            </w:r>
          </w:p>
        </w:tc>
        <w:tc>
          <w:tcPr>
            <w:tcW w:w="1276" w:type="dxa"/>
            <w:vAlign w:val="center"/>
          </w:tcPr>
          <w:p w:rsidR="009278D2" w:rsidRPr="00592A52" w:rsidRDefault="009278D2" w:rsidP="00976A3D">
            <w:pPr>
              <w:jc w:val="center"/>
              <w:rPr>
                <w:rFonts w:ascii="Arial" w:hAnsi="Arial" w:cs="Arial"/>
                <w:b/>
                <w:bCs/>
              </w:rPr>
            </w:pPr>
            <w:r w:rsidRPr="00592A52">
              <w:rPr>
                <w:rFonts w:ascii="Arial" w:hAnsi="Arial" w:cs="Arial"/>
                <w:b/>
                <w:bCs/>
                <w:rtl/>
              </w:rPr>
              <w:t>46271</w:t>
            </w:r>
          </w:p>
        </w:tc>
        <w:tc>
          <w:tcPr>
            <w:tcW w:w="1276" w:type="dxa"/>
            <w:vAlign w:val="center"/>
          </w:tcPr>
          <w:p w:rsidR="009278D2" w:rsidRPr="00592A52" w:rsidRDefault="009278D2" w:rsidP="00976A3D">
            <w:pPr>
              <w:jc w:val="center"/>
              <w:rPr>
                <w:rFonts w:ascii="Arial" w:hAnsi="Arial" w:cs="Arial"/>
                <w:b/>
                <w:bCs/>
              </w:rPr>
            </w:pPr>
            <w:r>
              <w:rPr>
                <w:rFonts w:ascii="Arial" w:hAnsi="Arial" w:cs="Arial" w:hint="cs"/>
                <w:b/>
                <w:bCs/>
                <w:rtl/>
              </w:rPr>
              <w:t>46610</w:t>
            </w:r>
          </w:p>
        </w:tc>
        <w:tc>
          <w:tcPr>
            <w:tcW w:w="1276" w:type="dxa"/>
            <w:vAlign w:val="center"/>
          </w:tcPr>
          <w:p w:rsidR="009278D2" w:rsidRPr="00592A52" w:rsidRDefault="009278D2" w:rsidP="00976A3D">
            <w:pPr>
              <w:jc w:val="center"/>
              <w:rPr>
                <w:rFonts w:ascii="Arial" w:hAnsi="Arial" w:cs="Arial"/>
                <w:b/>
                <w:bCs/>
              </w:rPr>
            </w:pPr>
            <w:r>
              <w:rPr>
                <w:rFonts w:ascii="Arial" w:hAnsi="Arial" w:cs="Arial"/>
                <w:b/>
                <w:bCs/>
              </w:rPr>
              <w:t>46555</w:t>
            </w:r>
          </w:p>
        </w:tc>
        <w:tc>
          <w:tcPr>
            <w:tcW w:w="1559" w:type="dxa"/>
            <w:shd w:val="clear" w:color="auto" w:fill="auto"/>
            <w:vAlign w:val="center"/>
          </w:tcPr>
          <w:p w:rsidR="009278D2" w:rsidRPr="00592A52" w:rsidRDefault="009278D2" w:rsidP="00976A3D">
            <w:pPr>
              <w:jc w:val="center"/>
              <w:rPr>
                <w:rFonts w:ascii="Arial" w:hAnsi="Arial" w:cs="Arial"/>
                <w:b/>
                <w:bCs/>
              </w:rPr>
            </w:pPr>
            <w:r>
              <w:rPr>
                <w:rFonts w:ascii="Arial" w:hAnsi="Arial" w:cs="Arial" w:hint="cs"/>
                <w:b/>
                <w:bCs/>
                <w:rtl/>
              </w:rPr>
              <w:t>0,7</w:t>
            </w:r>
          </w:p>
        </w:tc>
        <w:tc>
          <w:tcPr>
            <w:tcW w:w="1701" w:type="dxa"/>
            <w:tcBorders>
              <w:left w:val="single" w:sz="4" w:space="0" w:color="auto"/>
              <w:right w:val="single" w:sz="18" w:space="0" w:color="auto"/>
            </w:tcBorders>
            <w:shd w:val="clear" w:color="auto" w:fill="auto"/>
            <w:vAlign w:val="center"/>
          </w:tcPr>
          <w:p w:rsidR="009278D2" w:rsidRPr="00592A52" w:rsidRDefault="009278D2" w:rsidP="00976A3D">
            <w:pPr>
              <w:jc w:val="center"/>
              <w:rPr>
                <w:rFonts w:ascii="Arial" w:hAnsi="Arial" w:cs="Arial"/>
                <w:b/>
                <w:bCs/>
              </w:rPr>
            </w:pPr>
            <w:r>
              <w:rPr>
                <w:rFonts w:ascii="Arial" w:hAnsi="Arial" w:cs="Arial"/>
                <w:b/>
                <w:bCs/>
              </w:rPr>
              <w:t>-0</w:t>
            </w:r>
            <w:r>
              <w:rPr>
                <w:rFonts w:ascii="Arial" w:hAnsi="Arial" w:cs="Arial" w:hint="cs"/>
                <w:b/>
                <w:bCs/>
                <w:rtl/>
              </w:rPr>
              <w:t>,</w:t>
            </w:r>
            <w:r>
              <w:rPr>
                <w:rFonts w:ascii="Arial" w:hAnsi="Arial" w:cs="Arial"/>
                <w:b/>
                <w:bCs/>
              </w:rPr>
              <w:t>1</w:t>
            </w:r>
          </w:p>
        </w:tc>
      </w:tr>
      <w:tr w:rsidR="009278D2" w:rsidRPr="001710A5">
        <w:trPr>
          <w:trHeight w:val="342"/>
        </w:trPr>
        <w:tc>
          <w:tcPr>
            <w:tcW w:w="3066" w:type="dxa"/>
            <w:tcBorders>
              <w:left w:val="single" w:sz="18" w:space="0" w:color="auto"/>
            </w:tcBorders>
            <w:shd w:val="clear" w:color="auto" w:fill="auto"/>
          </w:tcPr>
          <w:p w:rsidR="009278D2" w:rsidRPr="001710A5" w:rsidRDefault="009278D2" w:rsidP="00976A3D">
            <w:pPr>
              <w:jc w:val="right"/>
              <w:rPr>
                <w:b/>
                <w:bCs/>
              </w:rPr>
            </w:pPr>
            <w:r w:rsidRPr="001710A5">
              <w:rPr>
                <w:b/>
                <w:bCs/>
                <w:rtl/>
              </w:rPr>
              <w:t>صافي</w:t>
            </w:r>
            <w:r>
              <w:rPr>
                <w:rFonts w:hint="cs"/>
                <w:b/>
                <w:bCs/>
                <w:rtl/>
              </w:rPr>
              <w:t xml:space="preserve"> ال</w:t>
            </w:r>
            <w:r w:rsidRPr="001710A5">
              <w:rPr>
                <w:b/>
                <w:bCs/>
                <w:rtl/>
              </w:rPr>
              <w:t xml:space="preserve">ضرائب من الإعانات على </w:t>
            </w:r>
            <w:proofErr w:type="spellStart"/>
            <w:r w:rsidRPr="001710A5">
              <w:rPr>
                <w:b/>
                <w:bCs/>
                <w:rtl/>
              </w:rPr>
              <w:t>المنتوجات</w:t>
            </w:r>
            <w:proofErr w:type="spellEnd"/>
          </w:p>
        </w:tc>
        <w:tc>
          <w:tcPr>
            <w:tcW w:w="1276" w:type="dxa"/>
            <w:vAlign w:val="center"/>
          </w:tcPr>
          <w:p w:rsidR="009278D2" w:rsidRPr="00592A52" w:rsidRDefault="009278D2" w:rsidP="00976A3D">
            <w:pPr>
              <w:jc w:val="center"/>
              <w:rPr>
                <w:rFonts w:ascii="Arial" w:hAnsi="Arial" w:cs="Arial"/>
                <w:b/>
                <w:bCs/>
              </w:rPr>
            </w:pPr>
            <w:r w:rsidRPr="00592A52">
              <w:rPr>
                <w:rFonts w:ascii="Arial" w:hAnsi="Arial" w:cs="Arial"/>
                <w:b/>
                <w:bCs/>
                <w:rtl/>
              </w:rPr>
              <w:t>9649</w:t>
            </w:r>
          </w:p>
        </w:tc>
        <w:tc>
          <w:tcPr>
            <w:tcW w:w="1276" w:type="dxa"/>
            <w:vAlign w:val="center"/>
          </w:tcPr>
          <w:p w:rsidR="009278D2" w:rsidRPr="00592A52" w:rsidRDefault="009278D2" w:rsidP="00976A3D">
            <w:pPr>
              <w:jc w:val="center"/>
              <w:rPr>
                <w:rFonts w:ascii="Arial" w:hAnsi="Arial" w:cs="Arial"/>
                <w:b/>
                <w:bCs/>
              </w:rPr>
            </w:pPr>
            <w:r>
              <w:rPr>
                <w:rFonts w:ascii="Arial" w:hAnsi="Arial" w:cs="Arial" w:hint="cs"/>
                <w:b/>
                <w:bCs/>
                <w:rtl/>
              </w:rPr>
              <w:t>10114</w:t>
            </w:r>
          </w:p>
        </w:tc>
        <w:tc>
          <w:tcPr>
            <w:tcW w:w="1276" w:type="dxa"/>
            <w:vAlign w:val="center"/>
          </w:tcPr>
          <w:p w:rsidR="009278D2" w:rsidRPr="00592A52" w:rsidRDefault="009278D2" w:rsidP="00976A3D">
            <w:pPr>
              <w:jc w:val="center"/>
              <w:rPr>
                <w:rFonts w:ascii="Arial" w:hAnsi="Arial" w:cs="Arial"/>
                <w:b/>
                <w:bCs/>
              </w:rPr>
            </w:pPr>
            <w:r>
              <w:rPr>
                <w:rFonts w:ascii="Arial" w:hAnsi="Arial" w:cs="Arial"/>
                <w:b/>
                <w:bCs/>
              </w:rPr>
              <w:t>10478</w:t>
            </w:r>
          </w:p>
        </w:tc>
        <w:tc>
          <w:tcPr>
            <w:tcW w:w="1559" w:type="dxa"/>
            <w:shd w:val="clear" w:color="auto" w:fill="auto"/>
            <w:vAlign w:val="center"/>
          </w:tcPr>
          <w:p w:rsidR="009278D2" w:rsidRPr="00592A52" w:rsidRDefault="009278D2" w:rsidP="00976A3D">
            <w:pPr>
              <w:jc w:val="center"/>
              <w:rPr>
                <w:rFonts w:ascii="Arial" w:hAnsi="Arial" w:cs="Arial"/>
                <w:b/>
                <w:bCs/>
              </w:rPr>
            </w:pPr>
            <w:r>
              <w:rPr>
                <w:rFonts w:ascii="Arial" w:hAnsi="Arial" w:cs="Arial"/>
                <w:b/>
                <w:bCs/>
              </w:rPr>
              <w:t>4</w:t>
            </w:r>
            <w:r>
              <w:rPr>
                <w:rFonts w:ascii="Arial" w:hAnsi="Arial" w:cs="Arial" w:hint="cs"/>
                <w:b/>
                <w:bCs/>
                <w:rtl/>
              </w:rPr>
              <w:t>,</w:t>
            </w:r>
            <w:r>
              <w:rPr>
                <w:rFonts w:ascii="Arial" w:hAnsi="Arial" w:cs="Arial"/>
                <w:b/>
                <w:bCs/>
              </w:rPr>
              <w:t>8</w:t>
            </w:r>
          </w:p>
        </w:tc>
        <w:tc>
          <w:tcPr>
            <w:tcW w:w="1701" w:type="dxa"/>
            <w:tcBorders>
              <w:left w:val="single" w:sz="4" w:space="0" w:color="auto"/>
              <w:right w:val="single" w:sz="18" w:space="0" w:color="auto"/>
            </w:tcBorders>
            <w:shd w:val="clear" w:color="auto" w:fill="auto"/>
            <w:vAlign w:val="center"/>
          </w:tcPr>
          <w:p w:rsidR="009278D2" w:rsidRPr="00592A52" w:rsidRDefault="009278D2" w:rsidP="00976A3D">
            <w:pPr>
              <w:jc w:val="center"/>
              <w:rPr>
                <w:rFonts w:ascii="Arial" w:hAnsi="Arial" w:cs="Arial"/>
                <w:b/>
                <w:bCs/>
              </w:rPr>
            </w:pPr>
            <w:r>
              <w:rPr>
                <w:rFonts w:ascii="Arial" w:hAnsi="Arial" w:cs="Arial"/>
                <w:b/>
                <w:bCs/>
              </w:rPr>
              <w:t>3</w:t>
            </w:r>
            <w:r>
              <w:rPr>
                <w:rFonts w:ascii="Arial" w:hAnsi="Arial" w:cs="Arial" w:hint="cs"/>
                <w:b/>
                <w:bCs/>
                <w:rtl/>
              </w:rPr>
              <w:t>,</w:t>
            </w:r>
            <w:r>
              <w:rPr>
                <w:rFonts w:ascii="Arial" w:hAnsi="Arial" w:cs="Arial"/>
                <w:b/>
                <w:bCs/>
              </w:rPr>
              <w:t>6</w:t>
            </w:r>
          </w:p>
        </w:tc>
      </w:tr>
      <w:tr w:rsidR="009278D2" w:rsidRPr="001710A5" w:rsidTr="00930996">
        <w:trPr>
          <w:trHeight w:val="493"/>
        </w:trPr>
        <w:tc>
          <w:tcPr>
            <w:tcW w:w="3066" w:type="dxa"/>
            <w:tcBorders>
              <w:left w:val="single" w:sz="18" w:space="0" w:color="auto"/>
              <w:bottom w:val="single" w:sz="18" w:space="0" w:color="auto"/>
            </w:tcBorders>
            <w:shd w:val="clear" w:color="auto" w:fill="auto"/>
            <w:vAlign w:val="center"/>
          </w:tcPr>
          <w:p w:rsidR="009278D2" w:rsidRPr="001710A5" w:rsidRDefault="009278D2" w:rsidP="00930996">
            <w:pPr>
              <w:jc w:val="right"/>
              <w:rPr>
                <w:b/>
                <w:bCs/>
              </w:rPr>
            </w:pPr>
            <w:r w:rsidRPr="001710A5">
              <w:rPr>
                <w:b/>
                <w:bCs/>
                <w:rtl/>
              </w:rPr>
              <w:t xml:space="preserve"> الناتج الداخلي </w:t>
            </w:r>
            <w:r>
              <w:rPr>
                <w:rFonts w:hint="cs"/>
                <w:b/>
                <w:bCs/>
                <w:rtl/>
              </w:rPr>
              <w:t>الإجمالي ل</w:t>
            </w:r>
            <w:r w:rsidRPr="001710A5">
              <w:rPr>
                <w:b/>
                <w:bCs/>
                <w:rtl/>
              </w:rPr>
              <w:t>لسياح</w:t>
            </w:r>
            <w:r>
              <w:rPr>
                <w:rFonts w:hint="cs"/>
                <w:b/>
                <w:bCs/>
                <w:rtl/>
              </w:rPr>
              <w:t>ة</w:t>
            </w:r>
          </w:p>
        </w:tc>
        <w:tc>
          <w:tcPr>
            <w:tcW w:w="1276" w:type="dxa"/>
            <w:tcBorders>
              <w:bottom w:val="single" w:sz="18" w:space="0" w:color="auto"/>
            </w:tcBorders>
            <w:vAlign w:val="center"/>
          </w:tcPr>
          <w:p w:rsidR="009278D2" w:rsidRPr="00592A52" w:rsidRDefault="009278D2" w:rsidP="00976A3D">
            <w:pPr>
              <w:jc w:val="center"/>
              <w:rPr>
                <w:rFonts w:ascii="Arial" w:hAnsi="Arial" w:cs="Arial"/>
                <w:b/>
                <w:bCs/>
              </w:rPr>
            </w:pPr>
            <w:r w:rsidRPr="00592A52">
              <w:rPr>
                <w:rFonts w:ascii="Arial" w:hAnsi="Arial" w:cs="Arial"/>
                <w:b/>
                <w:bCs/>
                <w:rtl/>
              </w:rPr>
              <w:t>55920</w:t>
            </w:r>
          </w:p>
        </w:tc>
        <w:tc>
          <w:tcPr>
            <w:tcW w:w="1276" w:type="dxa"/>
            <w:tcBorders>
              <w:bottom w:val="single" w:sz="18" w:space="0" w:color="auto"/>
            </w:tcBorders>
            <w:vAlign w:val="center"/>
          </w:tcPr>
          <w:p w:rsidR="009278D2" w:rsidRPr="00592A52" w:rsidRDefault="009278D2" w:rsidP="00976A3D">
            <w:pPr>
              <w:jc w:val="center"/>
              <w:rPr>
                <w:rFonts w:ascii="Arial" w:hAnsi="Arial" w:cs="Arial"/>
                <w:b/>
                <w:bCs/>
              </w:rPr>
            </w:pPr>
            <w:r>
              <w:rPr>
                <w:rFonts w:ascii="Arial" w:hAnsi="Arial" w:cs="Arial" w:hint="cs"/>
                <w:b/>
                <w:bCs/>
                <w:rtl/>
              </w:rPr>
              <w:t>56724</w:t>
            </w:r>
          </w:p>
        </w:tc>
        <w:tc>
          <w:tcPr>
            <w:tcW w:w="1276" w:type="dxa"/>
            <w:tcBorders>
              <w:bottom w:val="single" w:sz="18" w:space="0" w:color="auto"/>
            </w:tcBorders>
            <w:vAlign w:val="center"/>
          </w:tcPr>
          <w:p w:rsidR="009278D2" w:rsidRPr="00592A52" w:rsidRDefault="009278D2" w:rsidP="00976A3D">
            <w:pPr>
              <w:jc w:val="center"/>
              <w:rPr>
                <w:rFonts w:ascii="Arial" w:hAnsi="Arial" w:cs="Arial"/>
                <w:b/>
                <w:bCs/>
              </w:rPr>
            </w:pPr>
            <w:r>
              <w:rPr>
                <w:rFonts w:ascii="Arial" w:hAnsi="Arial" w:cs="Arial"/>
                <w:b/>
                <w:bCs/>
              </w:rPr>
              <w:t>57033</w:t>
            </w:r>
          </w:p>
        </w:tc>
        <w:tc>
          <w:tcPr>
            <w:tcW w:w="1559" w:type="dxa"/>
            <w:tcBorders>
              <w:bottom w:val="single" w:sz="18" w:space="0" w:color="auto"/>
            </w:tcBorders>
            <w:shd w:val="clear" w:color="auto" w:fill="auto"/>
            <w:vAlign w:val="center"/>
          </w:tcPr>
          <w:p w:rsidR="009278D2" w:rsidRPr="00592A52" w:rsidRDefault="009278D2" w:rsidP="00976A3D">
            <w:pPr>
              <w:jc w:val="center"/>
              <w:rPr>
                <w:rFonts w:ascii="Arial" w:hAnsi="Arial" w:cs="Arial"/>
                <w:b/>
                <w:bCs/>
              </w:rPr>
            </w:pPr>
            <w:r>
              <w:rPr>
                <w:rFonts w:ascii="Arial" w:hAnsi="Arial" w:cs="Arial" w:hint="cs"/>
                <w:b/>
                <w:bCs/>
                <w:rtl/>
              </w:rPr>
              <w:t>1</w:t>
            </w:r>
            <w:r w:rsidRPr="00592A52">
              <w:rPr>
                <w:rFonts w:ascii="Arial" w:hAnsi="Arial" w:cs="Arial"/>
                <w:b/>
                <w:bCs/>
                <w:rtl/>
              </w:rPr>
              <w:t>,</w:t>
            </w:r>
            <w:r>
              <w:rPr>
                <w:rFonts w:ascii="Arial" w:hAnsi="Arial" w:cs="Arial"/>
                <w:b/>
                <w:bCs/>
                <w:rtl/>
              </w:rPr>
              <w:t>3</w:t>
            </w:r>
          </w:p>
        </w:tc>
        <w:tc>
          <w:tcPr>
            <w:tcW w:w="1701" w:type="dxa"/>
            <w:tcBorders>
              <w:left w:val="single" w:sz="4" w:space="0" w:color="auto"/>
              <w:bottom w:val="single" w:sz="18" w:space="0" w:color="auto"/>
              <w:right w:val="single" w:sz="18" w:space="0" w:color="auto"/>
            </w:tcBorders>
            <w:shd w:val="clear" w:color="auto" w:fill="auto"/>
            <w:vAlign w:val="center"/>
          </w:tcPr>
          <w:p w:rsidR="009278D2" w:rsidRPr="00592A52" w:rsidRDefault="009278D2" w:rsidP="00976A3D">
            <w:pPr>
              <w:jc w:val="center"/>
              <w:rPr>
                <w:rFonts w:ascii="Arial" w:hAnsi="Arial" w:cs="Arial"/>
                <w:b/>
                <w:bCs/>
              </w:rPr>
            </w:pPr>
            <w:r>
              <w:rPr>
                <w:rFonts w:ascii="Arial" w:hAnsi="Arial" w:cs="Arial"/>
                <w:b/>
                <w:bCs/>
              </w:rPr>
              <w:t>0</w:t>
            </w:r>
            <w:r>
              <w:rPr>
                <w:rFonts w:ascii="Arial" w:hAnsi="Arial" w:cs="Arial" w:hint="cs"/>
                <w:b/>
                <w:bCs/>
                <w:rtl/>
              </w:rPr>
              <w:t>,</w:t>
            </w:r>
            <w:r>
              <w:rPr>
                <w:rFonts w:ascii="Arial" w:hAnsi="Arial" w:cs="Arial"/>
                <w:b/>
                <w:bCs/>
              </w:rPr>
              <w:t>5</w:t>
            </w:r>
          </w:p>
        </w:tc>
      </w:tr>
    </w:tbl>
    <w:p w:rsidR="009278D2" w:rsidRDefault="009278D2" w:rsidP="009278D2">
      <w:pPr>
        <w:spacing w:line="360" w:lineRule="auto"/>
        <w:jc w:val="center"/>
        <w:rPr>
          <w:b/>
          <w:bCs/>
          <w:sz w:val="28"/>
          <w:szCs w:val="28"/>
        </w:rPr>
      </w:pPr>
    </w:p>
    <w:p w:rsidR="009278D2" w:rsidRPr="00D51D0B" w:rsidRDefault="009278D2" w:rsidP="009278D2">
      <w:pPr>
        <w:spacing w:line="360" w:lineRule="auto"/>
        <w:jc w:val="center"/>
        <w:rPr>
          <w:b/>
          <w:bCs/>
          <w:sz w:val="28"/>
          <w:szCs w:val="28"/>
          <w:rtl/>
        </w:rPr>
      </w:pPr>
    </w:p>
    <w:p w:rsidR="009278D2" w:rsidRDefault="009278D2" w:rsidP="009278D2">
      <w:pPr>
        <w:spacing w:line="360" w:lineRule="auto"/>
        <w:jc w:val="center"/>
        <w:rPr>
          <w:b/>
          <w:bCs/>
          <w:sz w:val="28"/>
          <w:szCs w:val="28"/>
          <w:rtl/>
        </w:rPr>
      </w:pPr>
      <w:r w:rsidRPr="00D51D0B">
        <w:rPr>
          <w:rFonts w:hint="cs"/>
          <w:b/>
          <w:bCs/>
          <w:sz w:val="28"/>
          <w:szCs w:val="28"/>
          <w:rtl/>
        </w:rPr>
        <w:t xml:space="preserve">مساهمة السياحة في الناتج الداخلي الإجمالي </w:t>
      </w:r>
    </w:p>
    <w:tbl>
      <w:tblPr>
        <w:bidiVisual/>
        <w:tblW w:w="1011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2"/>
        <w:gridCol w:w="2126"/>
        <w:gridCol w:w="1843"/>
        <w:gridCol w:w="1919"/>
      </w:tblGrid>
      <w:tr w:rsidR="009278D2" w:rsidRPr="002A0AC3">
        <w:tc>
          <w:tcPr>
            <w:tcW w:w="4222" w:type="dxa"/>
            <w:tcBorders>
              <w:top w:val="single" w:sz="18" w:space="0" w:color="auto"/>
              <w:left w:val="single" w:sz="18" w:space="0" w:color="auto"/>
              <w:bottom w:val="single" w:sz="4" w:space="0" w:color="auto"/>
              <w:right w:val="inset" w:sz="12" w:space="0" w:color="auto"/>
            </w:tcBorders>
            <w:shd w:val="clear" w:color="auto" w:fill="E6E6E6"/>
            <w:vAlign w:val="center"/>
          </w:tcPr>
          <w:p w:rsidR="009278D2" w:rsidRPr="001E14CF" w:rsidRDefault="009278D2" w:rsidP="009278D2">
            <w:pPr>
              <w:bidi/>
              <w:spacing w:line="360" w:lineRule="auto"/>
              <w:jc w:val="center"/>
              <w:rPr>
                <w:b/>
                <w:bCs/>
                <w:sz w:val="28"/>
                <w:szCs w:val="28"/>
              </w:rPr>
            </w:pPr>
            <w:r w:rsidRPr="001E14CF">
              <w:rPr>
                <w:rFonts w:hint="cs"/>
                <w:b/>
                <w:bCs/>
                <w:sz w:val="28"/>
                <w:szCs w:val="28"/>
                <w:rtl/>
              </w:rPr>
              <w:t xml:space="preserve">ب </w:t>
            </w:r>
            <w:r w:rsidRPr="001E14CF">
              <w:rPr>
                <w:b/>
                <w:bCs/>
                <w:sz w:val="28"/>
                <w:szCs w:val="28"/>
              </w:rPr>
              <w:t>%</w:t>
            </w:r>
          </w:p>
        </w:tc>
        <w:tc>
          <w:tcPr>
            <w:tcW w:w="2126" w:type="dxa"/>
            <w:tcBorders>
              <w:top w:val="single" w:sz="18" w:space="0" w:color="auto"/>
              <w:left w:val="inset" w:sz="12" w:space="0" w:color="auto"/>
              <w:bottom w:val="single" w:sz="4" w:space="0" w:color="auto"/>
              <w:right w:val="inset" w:sz="12" w:space="0" w:color="auto"/>
            </w:tcBorders>
            <w:shd w:val="clear" w:color="auto" w:fill="E6E6E6"/>
            <w:vAlign w:val="center"/>
          </w:tcPr>
          <w:p w:rsidR="009278D2" w:rsidRPr="00544494" w:rsidRDefault="009278D2" w:rsidP="009278D2">
            <w:pPr>
              <w:spacing w:before="120" w:after="120"/>
              <w:jc w:val="center"/>
              <w:rPr>
                <w:rFonts w:ascii="Arial Narrow" w:hAnsi="Arial Narrow"/>
                <w:b/>
                <w:bCs/>
              </w:rPr>
            </w:pPr>
            <w:r w:rsidRPr="00544494">
              <w:rPr>
                <w:rFonts w:ascii="Arial Narrow" w:hAnsi="Arial Narrow" w:hint="cs"/>
                <w:b/>
                <w:bCs/>
                <w:rtl/>
              </w:rPr>
              <w:t>2010</w:t>
            </w:r>
          </w:p>
        </w:tc>
        <w:tc>
          <w:tcPr>
            <w:tcW w:w="1843" w:type="dxa"/>
            <w:tcBorders>
              <w:top w:val="single" w:sz="18" w:space="0" w:color="auto"/>
              <w:left w:val="inset" w:sz="12" w:space="0" w:color="auto"/>
              <w:bottom w:val="single" w:sz="4" w:space="0" w:color="auto"/>
              <w:right w:val="single" w:sz="4" w:space="0" w:color="auto"/>
            </w:tcBorders>
            <w:shd w:val="clear" w:color="auto" w:fill="E6E6E6"/>
            <w:vAlign w:val="center"/>
          </w:tcPr>
          <w:p w:rsidR="009278D2" w:rsidRPr="00544494" w:rsidRDefault="009278D2" w:rsidP="009278D2">
            <w:pPr>
              <w:spacing w:before="120" w:after="120"/>
              <w:jc w:val="center"/>
              <w:rPr>
                <w:rFonts w:ascii="Arial Narrow" w:hAnsi="Arial Narrow"/>
                <w:b/>
                <w:bCs/>
              </w:rPr>
            </w:pPr>
            <w:r w:rsidRPr="00544494">
              <w:rPr>
                <w:rFonts w:ascii="Arial Narrow" w:hAnsi="Arial Narrow" w:hint="cs"/>
                <w:b/>
                <w:bCs/>
                <w:rtl/>
              </w:rPr>
              <w:t>2011</w:t>
            </w:r>
          </w:p>
        </w:tc>
        <w:tc>
          <w:tcPr>
            <w:tcW w:w="1919" w:type="dxa"/>
            <w:tcBorders>
              <w:top w:val="single" w:sz="18" w:space="0" w:color="auto"/>
              <w:left w:val="single" w:sz="4" w:space="0" w:color="auto"/>
              <w:bottom w:val="single" w:sz="4" w:space="0" w:color="auto"/>
              <w:right w:val="single" w:sz="18" w:space="0" w:color="auto"/>
            </w:tcBorders>
            <w:shd w:val="clear" w:color="auto" w:fill="E6E6E6"/>
            <w:vAlign w:val="center"/>
          </w:tcPr>
          <w:p w:rsidR="009278D2" w:rsidRPr="00544494" w:rsidRDefault="009278D2" w:rsidP="009278D2">
            <w:pPr>
              <w:spacing w:before="120" w:after="120"/>
              <w:jc w:val="center"/>
              <w:rPr>
                <w:rFonts w:ascii="Arial Narrow" w:hAnsi="Arial Narrow"/>
                <w:b/>
                <w:bCs/>
              </w:rPr>
            </w:pPr>
            <w:r w:rsidRPr="00544494">
              <w:rPr>
                <w:rFonts w:ascii="Arial Narrow" w:hAnsi="Arial Narrow" w:hint="cs"/>
                <w:b/>
                <w:bCs/>
                <w:rtl/>
              </w:rPr>
              <w:t>201</w:t>
            </w:r>
            <w:r w:rsidRPr="00544494">
              <w:rPr>
                <w:rFonts w:ascii="Arial Narrow" w:hAnsi="Arial Narrow"/>
                <w:b/>
                <w:bCs/>
              </w:rPr>
              <w:t>2</w:t>
            </w:r>
          </w:p>
        </w:tc>
      </w:tr>
      <w:tr w:rsidR="009278D2" w:rsidRPr="00847D91">
        <w:trPr>
          <w:trHeight w:val="727"/>
        </w:trPr>
        <w:tc>
          <w:tcPr>
            <w:tcW w:w="4222" w:type="dxa"/>
            <w:tcBorders>
              <w:top w:val="single" w:sz="12" w:space="0" w:color="auto"/>
              <w:left w:val="single" w:sz="18" w:space="0" w:color="auto"/>
              <w:right w:val="inset" w:sz="12" w:space="0" w:color="auto"/>
            </w:tcBorders>
            <w:vAlign w:val="center"/>
          </w:tcPr>
          <w:p w:rsidR="009278D2" w:rsidRPr="001710A5" w:rsidRDefault="009278D2" w:rsidP="00976A3D">
            <w:pPr>
              <w:jc w:val="right"/>
              <w:rPr>
                <w:b/>
                <w:bCs/>
                <w:rtl/>
              </w:rPr>
            </w:pPr>
            <w:r w:rsidRPr="001710A5">
              <w:rPr>
                <w:rFonts w:hint="cs"/>
                <w:b/>
                <w:bCs/>
                <w:rtl/>
              </w:rPr>
              <w:t>القيمة المضافة  للسياحة/ القيمة المضافة</w:t>
            </w:r>
            <w:r>
              <w:rPr>
                <w:rFonts w:hint="cs"/>
                <w:b/>
                <w:bCs/>
                <w:rtl/>
              </w:rPr>
              <w:t xml:space="preserve"> الإجمالية للاقتصاد </w:t>
            </w:r>
          </w:p>
        </w:tc>
        <w:tc>
          <w:tcPr>
            <w:tcW w:w="2126" w:type="dxa"/>
            <w:tcBorders>
              <w:top w:val="single" w:sz="12" w:space="0" w:color="auto"/>
              <w:left w:val="inset" w:sz="12" w:space="0" w:color="auto"/>
              <w:right w:val="inset" w:sz="12" w:space="0" w:color="auto"/>
            </w:tcBorders>
            <w:vAlign w:val="center"/>
          </w:tcPr>
          <w:p w:rsidR="009278D2" w:rsidRPr="00592A52" w:rsidRDefault="009278D2" w:rsidP="00976A3D">
            <w:pPr>
              <w:jc w:val="center"/>
              <w:rPr>
                <w:rFonts w:ascii="Arial" w:hAnsi="Arial" w:cs="Arial"/>
                <w:b/>
                <w:bCs/>
                <w:rtl/>
              </w:rPr>
            </w:pPr>
            <w:r>
              <w:rPr>
                <w:rFonts w:ascii="Arial" w:hAnsi="Arial" w:cs="Arial" w:hint="cs"/>
                <w:b/>
                <w:bCs/>
                <w:rtl/>
              </w:rPr>
              <w:t>6,7</w:t>
            </w:r>
          </w:p>
        </w:tc>
        <w:tc>
          <w:tcPr>
            <w:tcW w:w="1843" w:type="dxa"/>
            <w:tcBorders>
              <w:top w:val="single" w:sz="12" w:space="0" w:color="auto"/>
              <w:left w:val="inset" w:sz="12" w:space="0" w:color="auto"/>
              <w:right w:val="single" w:sz="4" w:space="0" w:color="auto"/>
            </w:tcBorders>
            <w:vAlign w:val="center"/>
          </w:tcPr>
          <w:p w:rsidR="009278D2" w:rsidRPr="00592A52" w:rsidRDefault="009278D2" w:rsidP="00976A3D">
            <w:pPr>
              <w:jc w:val="center"/>
              <w:rPr>
                <w:rFonts w:ascii="Arial" w:hAnsi="Arial" w:cs="Arial"/>
                <w:b/>
                <w:bCs/>
                <w:rtl/>
              </w:rPr>
            </w:pPr>
            <w:r>
              <w:rPr>
                <w:rFonts w:ascii="Arial" w:hAnsi="Arial" w:cs="Arial" w:hint="cs"/>
                <w:b/>
                <w:bCs/>
                <w:rtl/>
              </w:rPr>
              <w:t>6,3</w:t>
            </w:r>
          </w:p>
        </w:tc>
        <w:tc>
          <w:tcPr>
            <w:tcW w:w="1919" w:type="dxa"/>
            <w:tcBorders>
              <w:top w:val="single" w:sz="12" w:space="0" w:color="auto"/>
              <w:left w:val="single" w:sz="4" w:space="0" w:color="auto"/>
              <w:right w:val="single" w:sz="18" w:space="0" w:color="auto"/>
            </w:tcBorders>
            <w:vAlign w:val="center"/>
          </w:tcPr>
          <w:p w:rsidR="009278D2" w:rsidRPr="00592A52" w:rsidRDefault="009278D2" w:rsidP="00976A3D">
            <w:pPr>
              <w:jc w:val="center"/>
              <w:rPr>
                <w:rFonts w:ascii="Arial" w:hAnsi="Arial" w:cs="Arial"/>
                <w:b/>
                <w:bCs/>
                <w:rtl/>
              </w:rPr>
            </w:pPr>
            <w:r>
              <w:rPr>
                <w:rFonts w:ascii="Arial" w:hAnsi="Arial" w:cs="Arial"/>
                <w:b/>
                <w:bCs/>
              </w:rPr>
              <w:t>6</w:t>
            </w:r>
            <w:r>
              <w:rPr>
                <w:rFonts w:ascii="Arial" w:hAnsi="Arial" w:cs="Arial" w:hint="cs"/>
                <w:b/>
                <w:bCs/>
                <w:rtl/>
              </w:rPr>
              <w:t>,</w:t>
            </w:r>
            <w:r>
              <w:rPr>
                <w:rFonts w:ascii="Arial" w:hAnsi="Arial" w:cs="Arial"/>
                <w:b/>
                <w:bCs/>
              </w:rPr>
              <w:t>1</w:t>
            </w:r>
          </w:p>
        </w:tc>
      </w:tr>
      <w:tr w:rsidR="009278D2" w:rsidRPr="00847D91">
        <w:trPr>
          <w:trHeight w:val="712"/>
        </w:trPr>
        <w:tc>
          <w:tcPr>
            <w:tcW w:w="4222" w:type="dxa"/>
            <w:tcBorders>
              <w:left w:val="single" w:sz="18" w:space="0" w:color="auto"/>
              <w:right w:val="inset" w:sz="12" w:space="0" w:color="auto"/>
            </w:tcBorders>
            <w:vAlign w:val="center"/>
          </w:tcPr>
          <w:p w:rsidR="009278D2" w:rsidRPr="001710A5" w:rsidRDefault="009278D2" w:rsidP="00976A3D">
            <w:pPr>
              <w:jc w:val="right"/>
              <w:rPr>
                <w:b/>
                <w:bCs/>
                <w:rtl/>
              </w:rPr>
            </w:pPr>
            <w:r w:rsidRPr="001710A5">
              <w:rPr>
                <w:rFonts w:hint="cs"/>
                <w:b/>
                <w:bCs/>
                <w:rtl/>
              </w:rPr>
              <w:t>القيمة المضافة للسياحة/ الناتج الداخلي الإجمالي</w:t>
            </w:r>
          </w:p>
        </w:tc>
        <w:tc>
          <w:tcPr>
            <w:tcW w:w="2126" w:type="dxa"/>
            <w:tcBorders>
              <w:left w:val="inset" w:sz="12" w:space="0" w:color="auto"/>
              <w:right w:val="inset" w:sz="12" w:space="0" w:color="auto"/>
            </w:tcBorders>
            <w:vAlign w:val="center"/>
          </w:tcPr>
          <w:p w:rsidR="009278D2" w:rsidRPr="00592A52" w:rsidRDefault="009278D2" w:rsidP="00976A3D">
            <w:pPr>
              <w:bidi/>
              <w:jc w:val="center"/>
              <w:rPr>
                <w:rFonts w:ascii="Arial" w:hAnsi="Arial" w:cs="Arial"/>
                <w:b/>
                <w:bCs/>
                <w:rtl/>
              </w:rPr>
            </w:pPr>
            <w:r w:rsidRPr="00592A52">
              <w:rPr>
                <w:rFonts w:ascii="Arial" w:hAnsi="Arial" w:cs="Arial"/>
                <w:b/>
                <w:bCs/>
                <w:rtl/>
              </w:rPr>
              <w:t>6,1</w:t>
            </w:r>
          </w:p>
        </w:tc>
        <w:tc>
          <w:tcPr>
            <w:tcW w:w="1843" w:type="dxa"/>
            <w:tcBorders>
              <w:left w:val="inset" w:sz="12" w:space="0" w:color="auto"/>
              <w:right w:val="single" w:sz="4" w:space="0" w:color="auto"/>
            </w:tcBorders>
            <w:vAlign w:val="center"/>
          </w:tcPr>
          <w:p w:rsidR="009278D2" w:rsidRPr="00592A52" w:rsidRDefault="009278D2" w:rsidP="00976A3D">
            <w:pPr>
              <w:bidi/>
              <w:jc w:val="center"/>
              <w:rPr>
                <w:rFonts w:ascii="Arial" w:hAnsi="Arial" w:cs="Arial"/>
                <w:b/>
                <w:bCs/>
                <w:rtl/>
              </w:rPr>
            </w:pPr>
            <w:r>
              <w:rPr>
                <w:rFonts w:ascii="Arial" w:hAnsi="Arial" w:cs="Arial" w:hint="cs"/>
                <w:b/>
                <w:bCs/>
                <w:rtl/>
              </w:rPr>
              <w:t>5,8</w:t>
            </w:r>
          </w:p>
        </w:tc>
        <w:tc>
          <w:tcPr>
            <w:tcW w:w="1919" w:type="dxa"/>
            <w:tcBorders>
              <w:left w:val="single" w:sz="4" w:space="0" w:color="auto"/>
              <w:right w:val="single" w:sz="18" w:space="0" w:color="auto"/>
            </w:tcBorders>
            <w:vAlign w:val="center"/>
          </w:tcPr>
          <w:p w:rsidR="009278D2" w:rsidRPr="00592A52" w:rsidRDefault="009278D2" w:rsidP="00976A3D">
            <w:pPr>
              <w:bidi/>
              <w:jc w:val="center"/>
              <w:rPr>
                <w:rFonts w:ascii="Arial" w:hAnsi="Arial" w:cs="Arial"/>
                <w:b/>
                <w:bCs/>
                <w:rtl/>
              </w:rPr>
            </w:pPr>
            <w:r>
              <w:rPr>
                <w:rFonts w:ascii="Arial" w:hAnsi="Arial" w:cs="Arial" w:hint="cs"/>
                <w:b/>
                <w:bCs/>
                <w:rtl/>
              </w:rPr>
              <w:t>5,6</w:t>
            </w:r>
          </w:p>
        </w:tc>
      </w:tr>
      <w:tr w:rsidR="009278D2" w:rsidRPr="00847D91" w:rsidTr="00930996">
        <w:trPr>
          <w:trHeight w:val="710"/>
        </w:trPr>
        <w:tc>
          <w:tcPr>
            <w:tcW w:w="4222" w:type="dxa"/>
            <w:tcBorders>
              <w:left w:val="single" w:sz="18" w:space="0" w:color="auto"/>
              <w:bottom w:val="single" w:sz="18" w:space="0" w:color="auto"/>
              <w:right w:val="inset" w:sz="12" w:space="0" w:color="auto"/>
            </w:tcBorders>
            <w:vAlign w:val="center"/>
          </w:tcPr>
          <w:p w:rsidR="009278D2" w:rsidRPr="00CC37F9" w:rsidRDefault="009278D2" w:rsidP="00930996">
            <w:pPr>
              <w:jc w:val="right"/>
              <w:rPr>
                <w:b/>
                <w:bCs/>
                <w:sz w:val="16"/>
                <w:szCs w:val="16"/>
                <w:rtl/>
              </w:rPr>
            </w:pPr>
            <w:r w:rsidRPr="001710A5">
              <w:rPr>
                <w:rFonts w:hint="cs"/>
                <w:b/>
                <w:bCs/>
                <w:rtl/>
              </w:rPr>
              <w:t>الناتج الداخلي</w:t>
            </w:r>
            <w:r>
              <w:rPr>
                <w:rFonts w:hint="cs"/>
                <w:b/>
                <w:bCs/>
                <w:rtl/>
              </w:rPr>
              <w:t xml:space="preserve"> الإ</w:t>
            </w:r>
            <w:r w:rsidRPr="001710A5">
              <w:rPr>
                <w:rFonts w:hint="cs"/>
                <w:b/>
                <w:bCs/>
                <w:rtl/>
              </w:rPr>
              <w:t>جمالي</w:t>
            </w:r>
            <w:r>
              <w:rPr>
                <w:rFonts w:hint="cs"/>
                <w:b/>
                <w:bCs/>
                <w:rtl/>
              </w:rPr>
              <w:t xml:space="preserve"> ل</w:t>
            </w:r>
            <w:r w:rsidRPr="001710A5">
              <w:rPr>
                <w:rFonts w:hint="cs"/>
                <w:b/>
                <w:bCs/>
                <w:rtl/>
              </w:rPr>
              <w:t>لسياح</w:t>
            </w:r>
            <w:r>
              <w:rPr>
                <w:rFonts w:hint="cs"/>
                <w:b/>
                <w:bCs/>
                <w:rtl/>
              </w:rPr>
              <w:t>ة</w:t>
            </w:r>
            <w:r w:rsidRPr="001710A5">
              <w:rPr>
                <w:rFonts w:hint="cs"/>
                <w:b/>
                <w:bCs/>
                <w:rtl/>
              </w:rPr>
              <w:t xml:space="preserve"> / الناتج الداخلي الإجمالي</w:t>
            </w:r>
          </w:p>
        </w:tc>
        <w:tc>
          <w:tcPr>
            <w:tcW w:w="2126" w:type="dxa"/>
            <w:tcBorders>
              <w:left w:val="inset" w:sz="12" w:space="0" w:color="auto"/>
              <w:bottom w:val="single" w:sz="18" w:space="0" w:color="auto"/>
              <w:right w:val="inset" w:sz="12" w:space="0" w:color="auto"/>
            </w:tcBorders>
            <w:vAlign w:val="center"/>
          </w:tcPr>
          <w:p w:rsidR="009278D2" w:rsidRPr="00592A52" w:rsidRDefault="009278D2" w:rsidP="00976A3D">
            <w:pPr>
              <w:bidi/>
              <w:jc w:val="center"/>
              <w:rPr>
                <w:rFonts w:ascii="Arial" w:hAnsi="Arial" w:cs="Arial"/>
                <w:b/>
                <w:bCs/>
                <w:rtl/>
              </w:rPr>
            </w:pPr>
            <w:r w:rsidRPr="00592A52">
              <w:rPr>
                <w:rFonts w:ascii="Arial" w:hAnsi="Arial" w:cs="Arial"/>
                <w:b/>
                <w:bCs/>
                <w:rtl/>
              </w:rPr>
              <w:t>7,3</w:t>
            </w:r>
          </w:p>
        </w:tc>
        <w:tc>
          <w:tcPr>
            <w:tcW w:w="1843" w:type="dxa"/>
            <w:tcBorders>
              <w:left w:val="inset" w:sz="12" w:space="0" w:color="auto"/>
              <w:bottom w:val="single" w:sz="18" w:space="0" w:color="auto"/>
              <w:right w:val="single" w:sz="4" w:space="0" w:color="auto"/>
            </w:tcBorders>
            <w:vAlign w:val="center"/>
          </w:tcPr>
          <w:p w:rsidR="009278D2" w:rsidRPr="00592A52" w:rsidRDefault="009278D2" w:rsidP="00976A3D">
            <w:pPr>
              <w:bidi/>
              <w:jc w:val="center"/>
              <w:rPr>
                <w:rFonts w:ascii="Arial" w:hAnsi="Arial" w:cs="Arial"/>
                <w:b/>
                <w:bCs/>
                <w:rtl/>
              </w:rPr>
            </w:pPr>
            <w:r>
              <w:rPr>
                <w:rFonts w:ascii="Arial" w:hAnsi="Arial" w:cs="Arial" w:hint="cs"/>
                <w:b/>
                <w:bCs/>
                <w:rtl/>
              </w:rPr>
              <w:t>7,1</w:t>
            </w:r>
          </w:p>
        </w:tc>
        <w:tc>
          <w:tcPr>
            <w:tcW w:w="1919" w:type="dxa"/>
            <w:tcBorders>
              <w:left w:val="single" w:sz="4" w:space="0" w:color="auto"/>
              <w:bottom w:val="single" w:sz="18" w:space="0" w:color="auto"/>
              <w:right w:val="single" w:sz="18" w:space="0" w:color="auto"/>
            </w:tcBorders>
            <w:vAlign w:val="center"/>
          </w:tcPr>
          <w:p w:rsidR="009278D2" w:rsidRPr="00592A52" w:rsidRDefault="009278D2" w:rsidP="00976A3D">
            <w:pPr>
              <w:bidi/>
              <w:jc w:val="center"/>
              <w:rPr>
                <w:rFonts w:ascii="Arial" w:hAnsi="Arial" w:cs="Arial"/>
                <w:b/>
                <w:bCs/>
                <w:rtl/>
              </w:rPr>
            </w:pPr>
            <w:r>
              <w:rPr>
                <w:rFonts w:ascii="Arial" w:hAnsi="Arial" w:cs="Arial" w:hint="cs"/>
                <w:b/>
                <w:bCs/>
                <w:rtl/>
              </w:rPr>
              <w:t>6,9</w:t>
            </w:r>
          </w:p>
        </w:tc>
      </w:tr>
    </w:tbl>
    <w:p w:rsidR="009278D2" w:rsidRDefault="009278D2" w:rsidP="009278D2">
      <w:pPr>
        <w:spacing w:line="240" w:lineRule="exact"/>
        <w:jc w:val="center"/>
        <w:rPr>
          <w:rFonts w:hint="cs"/>
          <w:rtl/>
        </w:rPr>
      </w:pPr>
    </w:p>
    <w:p w:rsidR="009278D2" w:rsidRDefault="009278D2" w:rsidP="009278D2">
      <w:pPr>
        <w:spacing w:line="240" w:lineRule="exact"/>
        <w:jc w:val="center"/>
        <w:rPr>
          <w:rFonts w:hint="cs"/>
          <w:rtl/>
        </w:rPr>
      </w:pPr>
    </w:p>
    <w:p w:rsidR="009278D2" w:rsidRDefault="009278D2" w:rsidP="009278D2">
      <w:pPr>
        <w:bidi/>
        <w:jc w:val="center"/>
        <w:rPr>
          <w:rFonts w:cs="Simplified Arabic" w:hint="cs"/>
          <w:b/>
          <w:bCs/>
          <w:sz w:val="32"/>
          <w:szCs w:val="32"/>
          <w:rtl/>
        </w:rPr>
      </w:pPr>
    </w:p>
    <w:p w:rsidR="009278D2" w:rsidRDefault="009278D2" w:rsidP="009278D2">
      <w:pPr>
        <w:bidi/>
        <w:jc w:val="center"/>
        <w:rPr>
          <w:rFonts w:cs="Simplified Arabic" w:hint="cs"/>
          <w:b/>
          <w:bCs/>
          <w:sz w:val="32"/>
          <w:szCs w:val="32"/>
          <w:rtl/>
        </w:rPr>
      </w:pPr>
    </w:p>
    <w:p w:rsidR="009278D2" w:rsidRDefault="009278D2" w:rsidP="009278D2">
      <w:pPr>
        <w:bidi/>
        <w:jc w:val="center"/>
        <w:rPr>
          <w:rFonts w:cs="Simplified Arabic" w:hint="cs"/>
          <w:b/>
          <w:bCs/>
          <w:sz w:val="32"/>
          <w:szCs w:val="32"/>
          <w:rtl/>
        </w:rPr>
      </w:pPr>
    </w:p>
    <w:p w:rsidR="009278D2" w:rsidRDefault="009278D2" w:rsidP="009278D2">
      <w:pPr>
        <w:bidi/>
        <w:jc w:val="center"/>
        <w:rPr>
          <w:rFonts w:cs="Simplified Arabic" w:hint="cs"/>
          <w:b/>
          <w:bCs/>
          <w:sz w:val="32"/>
          <w:szCs w:val="32"/>
          <w:rtl/>
        </w:rPr>
      </w:pPr>
    </w:p>
    <w:p w:rsidR="009278D2" w:rsidRDefault="009278D2" w:rsidP="009278D2">
      <w:pPr>
        <w:bidi/>
        <w:jc w:val="center"/>
        <w:rPr>
          <w:rFonts w:cs="Simplified Arabic" w:hint="cs"/>
          <w:b/>
          <w:bCs/>
          <w:sz w:val="32"/>
          <w:szCs w:val="32"/>
          <w:rtl/>
        </w:rPr>
      </w:pPr>
    </w:p>
    <w:p w:rsidR="009278D2" w:rsidRDefault="009278D2" w:rsidP="009278D2">
      <w:pPr>
        <w:bidi/>
        <w:jc w:val="center"/>
        <w:rPr>
          <w:rFonts w:cs="Simplified Arabic" w:hint="cs"/>
          <w:b/>
          <w:bCs/>
          <w:sz w:val="32"/>
          <w:szCs w:val="32"/>
          <w:rtl/>
        </w:rPr>
      </w:pPr>
    </w:p>
    <w:p w:rsidR="009278D2" w:rsidRDefault="009278D2" w:rsidP="009278D2">
      <w:pPr>
        <w:bidi/>
        <w:jc w:val="center"/>
        <w:rPr>
          <w:rFonts w:cs="Simplified Arabic" w:hint="cs"/>
          <w:b/>
          <w:bCs/>
          <w:sz w:val="32"/>
          <w:szCs w:val="32"/>
          <w:rtl/>
        </w:rPr>
      </w:pPr>
    </w:p>
    <w:p w:rsidR="009278D2" w:rsidRDefault="009278D2" w:rsidP="009278D2">
      <w:pPr>
        <w:bidi/>
        <w:jc w:val="center"/>
        <w:rPr>
          <w:rFonts w:cs="Simplified Arabic" w:hint="cs"/>
          <w:b/>
          <w:bCs/>
          <w:sz w:val="32"/>
          <w:szCs w:val="32"/>
          <w:rtl/>
        </w:rPr>
      </w:pPr>
    </w:p>
    <w:p w:rsidR="009278D2" w:rsidRDefault="009278D2" w:rsidP="009278D2">
      <w:pPr>
        <w:bidi/>
        <w:jc w:val="center"/>
        <w:rPr>
          <w:rFonts w:cs="Simplified Arabic"/>
          <w:b/>
          <w:bCs/>
          <w:sz w:val="32"/>
          <w:szCs w:val="32"/>
        </w:rPr>
      </w:pPr>
    </w:p>
    <w:p w:rsidR="009278D2" w:rsidRDefault="009278D2"/>
    <w:sectPr w:rsidR="009278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11B"/>
    <w:multiLevelType w:val="hybridMultilevel"/>
    <w:tmpl w:val="6FA2FCC2"/>
    <w:lvl w:ilvl="0" w:tplc="03426030">
      <w:numFmt w:val="bullet"/>
      <w:lvlText w:val=""/>
      <w:lvlJc w:val="left"/>
      <w:pPr>
        <w:tabs>
          <w:tab w:val="num" w:pos="1065"/>
        </w:tabs>
        <w:ind w:left="1065" w:hanging="360"/>
      </w:pPr>
      <w:rPr>
        <w:rFonts w:ascii="Symbol" w:eastAsia="Times New Roman" w:hAnsi="Symbol" w:cs="Simplified Arabic"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6FA2592D"/>
    <w:multiLevelType w:val="hybridMultilevel"/>
    <w:tmpl w:val="B2D66B72"/>
    <w:lvl w:ilvl="0" w:tplc="040C000D">
      <w:start w:val="1"/>
      <w:numFmt w:val="bullet"/>
      <w:lvlText w:val=""/>
      <w:lvlJc w:val="left"/>
      <w:pPr>
        <w:ind w:left="2085" w:hanging="360"/>
      </w:pPr>
      <w:rPr>
        <w:rFonts w:ascii="Wingdings" w:hAnsi="Wingdings" w:hint="default"/>
      </w:rPr>
    </w:lvl>
    <w:lvl w:ilvl="1" w:tplc="040C0003" w:tentative="1">
      <w:start w:val="1"/>
      <w:numFmt w:val="bullet"/>
      <w:lvlText w:val="o"/>
      <w:lvlJc w:val="left"/>
      <w:pPr>
        <w:ind w:left="2805" w:hanging="360"/>
      </w:pPr>
      <w:rPr>
        <w:rFonts w:ascii="Courier New" w:hAnsi="Courier New" w:cs="Courier New" w:hint="default"/>
      </w:rPr>
    </w:lvl>
    <w:lvl w:ilvl="2" w:tplc="040C0005" w:tentative="1">
      <w:start w:val="1"/>
      <w:numFmt w:val="bullet"/>
      <w:lvlText w:val=""/>
      <w:lvlJc w:val="left"/>
      <w:pPr>
        <w:ind w:left="3525" w:hanging="360"/>
      </w:pPr>
      <w:rPr>
        <w:rFonts w:ascii="Wingdings" w:hAnsi="Wingdings" w:hint="default"/>
      </w:rPr>
    </w:lvl>
    <w:lvl w:ilvl="3" w:tplc="040C0001" w:tentative="1">
      <w:start w:val="1"/>
      <w:numFmt w:val="bullet"/>
      <w:lvlText w:val=""/>
      <w:lvlJc w:val="left"/>
      <w:pPr>
        <w:ind w:left="4245" w:hanging="360"/>
      </w:pPr>
      <w:rPr>
        <w:rFonts w:ascii="Symbol" w:hAnsi="Symbol" w:hint="default"/>
      </w:rPr>
    </w:lvl>
    <w:lvl w:ilvl="4" w:tplc="040C0003" w:tentative="1">
      <w:start w:val="1"/>
      <w:numFmt w:val="bullet"/>
      <w:lvlText w:val="o"/>
      <w:lvlJc w:val="left"/>
      <w:pPr>
        <w:ind w:left="4965" w:hanging="360"/>
      </w:pPr>
      <w:rPr>
        <w:rFonts w:ascii="Courier New" w:hAnsi="Courier New" w:cs="Courier New" w:hint="default"/>
      </w:rPr>
    </w:lvl>
    <w:lvl w:ilvl="5" w:tplc="040C0005" w:tentative="1">
      <w:start w:val="1"/>
      <w:numFmt w:val="bullet"/>
      <w:lvlText w:val=""/>
      <w:lvlJc w:val="left"/>
      <w:pPr>
        <w:ind w:left="5685" w:hanging="360"/>
      </w:pPr>
      <w:rPr>
        <w:rFonts w:ascii="Wingdings" w:hAnsi="Wingdings" w:hint="default"/>
      </w:rPr>
    </w:lvl>
    <w:lvl w:ilvl="6" w:tplc="040C0001" w:tentative="1">
      <w:start w:val="1"/>
      <w:numFmt w:val="bullet"/>
      <w:lvlText w:val=""/>
      <w:lvlJc w:val="left"/>
      <w:pPr>
        <w:ind w:left="6405" w:hanging="360"/>
      </w:pPr>
      <w:rPr>
        <w:rFonts w:ascii="Symbol" w:hAnsi="Symbol" w:hint="default"/>
      </w:rPr>
    </w:lvl>
    <w:lvl w:ilvl="7" w:tplc="040C0003" w:tentative="1">
      <w:start w:val="1"/>
      <w:numFmt w:val="bullet"/>
      <w:lvlText w:val="o"/>
      <w:lvlJc w:val="left"/>
      <w:pPr>
        <w:ind w:left="7125" w:hanging="360"/>
      </w:pPr>
      <w:rPr>
        <w:rFonts w:ascii="Courier New" w:hAnsi="Courier New" w:cs="Courier New" w:hint="default"/>
      </w:rPr>
    </w:lvl>
    <w:lvl w:ilvl="8" w:tplc="040C0005" w:tentative="1">
      <w:start w:val="1"/>
      <w:numFmt w:val="bullet"/>
      <w:lvlText w:val=""/>
      <w:lvlJc w:val="left"/>
      <w:pPr>
        <w:ind w:left="784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compat/>
  <w:rsids>
    <w:rsidRoot w:val="009278D2"/>
    <w:rsid w:val="00216079"/>
    <w:rsid w:val="003161D1"/>
    <w:rsid w:val="00544494"/>
    <w:rsid w:val="0079211C"/>
    <w:rsid w:val="007E211E"/>
    <w:rsid w:val="008D6D48"/>
    <w:rsid w:val="009278D2"/>
    <w:rsid w:val="00930996"/>
    <w:rsid w:val="00955DAD"/>
    <w:rsid w:val="00976A3D"/>
    <w:rsid w:val="00A37A14"/>
    <w:rsid w:val="00AC76F5"/>
    <w:rsid w:val="00B044B4"/>
    <w:rsid w:val="00C27A80"/>
    <w:rsid w:val="00C95256"/>
    <w:rsid w:val="00CA0580"/>
    <w:rsid w:val="00CE4A25"/>
    <w:rsid w:val="00E61921"/>
    <w:rsid w:val="00F5730D"/>
    <w:rsid w:val="00F9327D"/>
    <w:rsid w:val="00FA34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rsid w:val="009278D2"/>
    <w:pPr>
      <w:keepNext/>
      <w:spacing w:line="360" w:lineRule="auto"/>
      <w:jc w:val="center"/>
      <w:outlineLvl w:val="0"/>
    </w:pPr>
    <w:rPr>
      <w:rFonts w:ascii="Arial" w:hAnsi="Arial"/>
      <w:szCs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1Car">
    <w:name w:val="Titre 1 Car"/>
    <w:basedOn w:val="Policepardfaut"/>
    <w:link w:val="Titre1"/>
    <w:rsid w:val="009278D2"/>
    <w:rPr>
      <w:rFonts w:ascii="Arial" w:hAnsi="Arial"/>
      <w:sz w:val="24"/>
      <w:lang w:val="fr-FR" w:eastAsia="fr-FR" w:bidi="ar-SA"/>
    </w:rPr>
  </w:style>
  <w:style w:type="paragraph" w:styleId="Notedebasdepage">
    <w:name w:val="footnote text"/>
    <w:basedOn w:val="Normal"/>
    <w:link w:val="NotedebasdepageCar"/>
    <w:rsid w:val="009278D2"/>
    <w:rPr>
      <w:sz w:val="20"/>
      <w:szCs w:val="20"/>
    </w:rPr>
  </w:style>
  <w:style w:type="character" w:customStyle="1" w:styleId="NotedebasdepageCar">
    <w:name w:val="Note de bas de page Car"/>
    <w:basedOn w:val="Policepardfaut"/>
    <w:link w:val="Notedebasdepage"/>
    <w:rsid w:val="009278D2"/>
    <w:rPr>
      <w:lang w:val="fr-FR" w:eastAsia="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278</Words>
  <Characters>1534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2013-12-03T21:45:00Z</dcterms:created>
  <dcterms:modified xsi:type="dcterms:W3CDTF">2013-12-03T21:57:00Z</dcterms:modified>
</cp:coreProperties>
</file>