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D98" w:rsidRDefault="0001799D">
      <w:pPr>
        <w:autoSpaceDE w:val="0"/>
        <w:autoSpaceDN w:val="0"/>
        <w:bidi w:val="0"/>
        <w:adjustRightInd w:val="0"/>
        <w:jc w:val="center"/>
        <w:rPr>
          <w:rFonts w:ascii="Book Antiqua" w:hAnsi="Book Antiqua" w:cs="Times New Roman"/>
          <w:b/>
          <w:bCs/>
          <w:noProof w:val="0"/>
          <w:color w:val="00B050"/>
          <w:sz w:val="22"/>
          <w:szCs w:val="22"/>
        </w:rPr>
      </w:pPr>
      <w:r>
        <w:rPr>
          <w:rFonts w:ascii="Book Antiqua" w:hAnsi="Book Antiqua" w:cs="Times New Roman"/>
          <w:b/>
          <w:bCs/>
          <w:noProof w:val="0"/>
          <w:color w:val="00B050"/>
          <w:sz w:val="22"/>
          <w:szCs w:val="22"/>
        </w:rPr>
        <w:t xml:space="preserve">    </w:t>
      </w: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r>
        <w:rPr>
          <w:rFonts w:ascii="Book Antiqua" w:hAnsi="Book Antiqua" w:cs="Times New Roman"/>
          <w:b/>
          <w:bCs/>
          <w:noProof w:val="0"/>
          <w:color w:val="00B050"/>
          <w:sz w:val="22"/>
          <w:szCs w:val="22"/>
        </w:rPr>
        <w:t xml:space="preserve">NOTE D’INFORMATION DU HAUT COMMISSARIAT AU PLAN AU SUJET DE LA </w:t>
      </w:r>
    </w:p>
    <w:p w:rsidR="005E1D98" w:rsidRDefault="005E1D98">
      <w:pPr>
        <w:autoSpaceDE w:val="0"/>
        <w:autoSpaceDN w:val="0"/>
        <w:bidi w:val="0"/>
        <w:adjustRightInd w:val="0"/>
        <w:jc w:val="center"/>
        <w:rPr>
          <w:rFonts w:ascii="Book Antiqua" w:hAnsi="Book Antiqua" w:cs="Times New Roman"/>
          <w:b/>
          <w:bCs/>
          <w:noProof w:val="0"/>
          <w:color w:val="00B050"/>
          <w:sz w:val="22"/>
          <w:szCs w:val="22"/>
        </w:rPr>
      </w:pPr>
      <w:r>
        <w:rPr>
          <w:rFonts w:ascii="Book Antiqua" w:hAnsi="Book Antiqua" w:cs="Times New Roman"/>
          <w:b/>
          <w:bCs/>
          <w:noProof w:val="0"/>
          <w:color w:val="00B050"/>
          <w:sz w:val="22"/>
          <w:szCs w:val="22"/>
        </w:rPr>
        <w:t>SITUATION DU MARCHE DU TRAVAIL AU TROISIÈME TRIMESTRE DE L’ANNEE 2013</w:t>
      </w:r>
    </w:p>
    <w:p w:rsidR="005E1D98" w:rsidRDefault="005E1D98">
      <w:pPr>
        <w:autoSpaceDE w:val="0"/>
        <w:autoSpaceDN w:val="0"/>
        <w:bidi w:val="0"/>
        <w:adjustRightInd w:val="0"/>
        <w:rPr>
          <w:rFonts w:ascii="Book Antiqua" w:hAnsi="Book Antiqua" w:cs="Times New Roman"/>
          <w:noProof w:val="0"/>
          <w:color w:val="0000FF"/>
          <w:sz w:val="24"/>
          <w:szCs w:val="24"/>
        </w:rPr>
      </w:pPr>
    </w:p>
    <w:p w:rsidR="005E1D98" w:rsidRDefault="005E1D98">
      <w:pPr>
        <w:autoSpaceDE w:val="0"/>
        <w:autoSpaceDN w:val="0"/>
        <w:bidi w:val="0"/>
        <w:adjustRightInd w:val="0"/>
        <w:spacing w:line="276" w:lineRule="auto"/>
        <w:jc w:val="both"/>
        <w:rPr>
          <w:rFonts w:ascii="Garamond" w:hAnsi="Garamond" w:cs="Times New Roman"/>
          <w:b/>
          <w:bCs/>
          <w:noProof w:val="0"/>
          <w:color w:val="0070C0"/>
          <w:sz w:val="24"/>
          <w:szCs w:val="24"/>
        </w:rPr>
      </w:pPr>
      <w:r>
        <w:rPr>
          <w:rFonts w:ascii="Garamond" w:hAnsi="Garamond" w:cs="Times New Roman"/>
          <w:b/>
          <w:bCs/>
          <w:noProof w:val="0"/>
          <w:color w:val="0070C0"/>
          <w:sz w:val="24"/>
          <w:szCs w:val="24"/>
        </w:rPr>
        <w:t>Entre le troisième</w:t>
      </w:r>
      <w:r>
        <w:rPr>
          <w:rFonts w:ascii="Book Antiqua" w:hAnsi="Book Antiqua" w:cs="Times New Roman"/>
          <w:noProof w:val="0"/>
          <w:color w:val="00B050"/>
          <w:sz w:val="24"/>
          <w:szCs w:val="24"/>
        </w:rPr>
        <w:t xml:space="preserve"> </w:t>
      </w:r>
      <w:r>
        <w:rPr>
          <w:rFonts w:ascii="Garamond" w:hAnsi="Garamond" w:cs="Times New Roman"/>
          <w:b/>
          <w:bCs/>
          <w:noProof w:val="0"/>
          <w:color w:val="0070C0"/>
          <w:sz w:val="24"/>
          <w:szCs w:val="24"/>
        </w:rPr>
        <w:t xml:space="preserve">trimestre de l’année 2012 et la même période de 2013, l’économie nationale a créé 139.000 postes d’emploi, 136.000 en milieu rural et 3.000 en milieu urbain. Les emplois  créés ont été en totalité fournis par le secteur des "services" en milieu urbain et en quasi-totalité par le secteur de l’"agriculture, forêt et pêche" en milieu rural. Les trois quarts de ces emplois sont de type non rémunéré et en quasi-totalité occupés par une main d’œuvre féminine. </w:t>
      </w:r>
    </w:p>
    <w:p w:rsidR="005E1D98" w:rsidRDefault="005E1D98">
      <w:pPr>
        <w:autoSpaceDE w:val="0"/>
        <w:autoSpaceDN w:val="0"/>
        <w:bidi w:val="0"/>
        <w:adjustRightInd w:val="0"/>
        <w:spacing w:before="240" w:line="276" w:lineRule="auto"/>
        <w:jc w:val="both"/>
        <w:rPr>
          <w:rFonts w:ascii="Garamond" w:hAnsi="Garamond" w:cs="Times New Roman"/>
          <w:b/>
          <w:bCs/>
          <w:noProof w:val="0"/>
          <w:color w:val="0070C0"/>
          <w:sz w:val="24"/>
          <w:szCs w:val="24"/>
        </w:rPr>
      </w:pPr>
      <w:r>
        <w:rPr>
          <w:rFonts w:ascii="Garamond" w:hAnsi="Garamond" w:cs="Times New Roman"/>
          <w:b/>
          <w:bCs/>
          <w:noProof w:val="0"/>
          <w:color w:val="0070C0"/>
          <w:sz w:val="24"/>
          <w:szCs w:val="24"/>
        </w:rPr>
        <w:t xml:space="preserve">C’est dans ces conditions qu’au cours de la même période considérée, le taux de chômage s’est maintenu à 14% en milieu urbain et a baissé de 4,2% à 3,7% en milieu rural. Au niveau national, il a ainsi connu une baisse de 0,3 point, passant de 9,4% à 9,1%. Les baisses les plus importantes ont concerné le chômage des jeunes âgés de 15 à 24 ans, dont le taux est passé de 20,2% à 19,1% et celui des diplômés </w:t>
      </w:r>
      <w:r w:rsidR="00542B52">
        <w:rPr>
          <w:rFonts w:ascii="Garamond" w:hAnsi="Garamond" w:cs="Times New Roman"/>
          <w:b/>
          <w:bCs/>
          <w:noProof w:val="0"/>
          <w:color w:val="0070C0"/>
          <w:sz w:val="24"/>
          <w:szCs w:val="24"/>
        </w:rPr>
        <w:t>dont le taux</w:t>
      </w:r>
      <w:r>
        <w:rPr>
          <w:rFonts w:ascii="Garamond" w:hAnsi="Garamond" w:cs="Times New Roman"/>
          <w:b/>
          <w:bCs/>
          <w:noProof w:val="0"/>
          <w:color w:val="0070C0"/>
          <w:sz w:val="24"/>
          <w:szCs w:val="24"/>
        </w:rPr>
        <w:t xml:space="preserve"> est passé de </w:t>
      </w:r>
      <w:bookmarkStart w:id="0" w:name="_GoBack"/>
      <w:bookmarkEnd w:id="0"/>
      <w:r>
        <w:rPr>
          <w:rFonts w:ascii="Garamond" w:hAnsi="Garamond" w:cs="Times New Roman"/>
          <w:b/>
          <w:bCs/>
          <w:noProof w:val="0"/>
          <w:color w:val="0070C0"/>
          <w:sz w:val="24"/>
          <w:szCs w:val="24"/>
        </w:rPr>
        <w:t>17,2% à 16,5%. Le taux de sous-emploi, en revanche, est passé entre les deux périodes de 9% à 9,4% au niveau national, de 8,4% à 8,6% en milieu urbain et de 9,6% à 10,3% en milieu rural.</w:t>
      </w:r>
    </w:p>
    <w:p w:rsidR="005E1D98" w:rsidRDefault="005E1D98">
      <w:pPr>
        <w:autoSpaceDE w:val="0"/>
        <w:autoSpaceDN w:val="0"/>
        <w:bidi w:val="0"/>
        <w:adjustRightInd w:val="0"/>
        <w:spacing w:line="276" w:lineRule="auto"/>
        <w:jc w:val="both"/>
        <w:rPr>
          <w:rFonts w:ascii="Garamond" w:hAnsi="Garamond" w:cs="Times New Roman"/>
          <w:noProof w:val="0"/>
          <w:sz w:val="24"/>
          <w:szCs w:val="24"/>
        </w:rPr>
      </w:pPr>
    </w:p>
    <w:p w:rsidR="005E1D98" w:rsidRDefault="005E1D98">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Avec 11.763.000 personnes, au troisième trimestre de l’année 2013, la population active âgée de 15 ans et plus, a connu un accroissement de 1% par rapport au même trimestre de l'année 2012 (+2,1% en milieu rural contre une quasi-stagnation en milieu urbain). Le taux d’activité a reculé, entre les deux périodes, de 0,2 point, passant de 48,7% à 48,5%.</w:t>
      </w: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Au cours de la même période, 34.000 postes d’emploi rémunérés ont été créés, 17.000 en milieu urbain et autant en milieu rural. L’emploi non rémunéré, avec une hausse de 119.000 postes en zones rurales et un recul de 14.000 en zones urbaines, a gagné 105.000 postes nouveaux au plan national. La totalité de ces nouveaux emplois non rémunérés ont été relevés dans le secteur primaire incluant l’agriculture, les forêts et la pêche et exclusivement au profit des femmes.  </w:t>
      </w:r>
    </w:p>
    <w:p w:rsidR="005E1D98" w:rsidRDefault="005E1D98">
      <w:pPr>
        <w:autoSpaceDE w:val="0"/>
        <w:autoSpaceDN w:val="0"/>
        <w:bidi w:val="0"/>
        <w:adjustRightInd w:val="0"/>
        <w:spacing w:line="276" w:lineRule="auto"/>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jc w:val="both"/>
        <w:rPr>
          <w:rFonts w:ascii="Garamond" w:hAnsi="Garamond" w:cs="Times New Roman"/>
          <w:noProof w:val="0"/>
          <w:sz w:val="24"/>
          <w:szCs w:val="24"/>
        </w:rPr>
      </w:pPr>
    </w:p>
    <w:p w:rsidR="005E1D98" w:rsidRDefault="005E1D98">
      <w:pPr>
        <w:autoSpaceDE w:val="0"/>
        <w:autoSpaceDN w:val="0"/>
        <w:bidi w:val="0"/>
        <w:adjustRightInd w:val="0"/>
        <w:ind w:left="851" w:right="473"/>
        <w:jc w:val="center"/>
        <w:rPr>
          <w:rFonts w:ascii="Book Antiqua" w:hAnsi="Book Antiqua" w:cs="Times New Roman"/>
          <w:b/>
          <w:bCs/>
          <w:noProof w:val="0"/>
        </w:rPr>
      </w:pPr>
      <w:r>
        <w:rPr>
          <w:rFonts w:ascii="Book Antiqua" w:hAnsi="Book Antiqua" w:cs="Times New Roman"/>
          <w:b/>
          <w:bCs/>
          <w:noProof w:val="0"/>
        </w:rPr>
        <w:lastRenderedPageBreak/>
        <w:t>Figure 1 : Créations nettes d’emploi entre les troisièmes trimestres de  2012 et de 2013 selon le milieu de résidence</w:t>
      </w:r>
    </w:p>
    <w:p w:rsidR="005E1D98" w:rsidRDefault="0001799D">
      <w:pPr>
        <w:autoSpaceDE w:val="0"/>
        <w:autoSpaceDN w:val="0"/>
        <w:adjustRightInd w:val="0"/>
        <w:rPr>
          <w:rFonts w:ascii="Book Antiqua" w:hAnsi="Book Antiqua" w:cs="Times New Roman"/>
          <w:b/>
          <w:bCs/>
          <w:noProof w:val="0"/>
          <w:sz w:val="24"/>
          <w:szCs w:val="24"/>
        </w:rPr>
      </w:pPr>
      <w:r>
        <w:rPr>
          <w:rFonts w:ascii="Book Antiqua" w:hAnsi="Book Antiqua" w:cs="Times New Roman"/>
          <w:b/>
          <w:bCs/>
          <w:sz w:val="24"/>
          <w:szCs w:val="24"/>
        </w:rPr>
        <w:drawing>
          <wp:inline distT="0" distB="0" distL="0" distR="0">
            <wp:extent cx="5591330" cy="2027167"/>
            <wp:effectExtent l="13848" t="4296" r="8222" b="537"/>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E1D98" w:rsidRDefault="005E1D98">
      <w:pPr>
        <w:autoSpaceDE w:val="0"/>
        <w:autoSpaceDN w:val="0"/>
        <w:bidi w:val="0"/>
        <w:adjustRightInd w:val="0"/>
        <w:spacing w:line="276" w:lineRule="auto"/>
        <w:jc w:val="both"/>
        <w:rPr>
          <w:rFonts w:ascii="Garamond" w:hAnsi="Garamond" w:cs="Times New Roman"/>
          <w:noProof w:val="0"/>
          <w:sz w:val="24"/>
          <w:szCs w:val="24"/>
        </w:rPr>
      </w:pPr>
    </w:p>
    <w:p w:rsidR="005E1D98" w:rsidRDefault="005E1D98">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Le volume global de l’emploi est ainsi passé, entre les deux périodes, de 10.548.000 à 10.687.000, ce qui correspond à une création nette de 139.000 postes d’emploi, 136.000 en zones rurales et 3.000 en zones urbaines. Les emplois créés ont profité quasi-exclusivement aux femmes et ce, aussi bien en milieu urbain qu’en milieu rural. Le taux d’emploi est ainsi passé de 44,1% à 44% au niveau national, de 37% à 36,3% en milieu urbain et de 55% à 55,9% en milieu rural.</w:t>
      </w:r>
    </w:p>
    <w:p w:rsidR="005E1D98" w:rsidRDefault="005E1D98">
      <w:pPr>
        <w:autoSpaceDE w:val="0"/>
        <w:autoSpaceDN w:val="0"/>
        <w:bidi w:val="0"/>
        <w:adjustRightInd w:val="0"/>
        <w:jc w:val="right"/>
        <w:rPr>
          <w:rFonts w:ascii="Book Antiqua" w:hAnsi="Book Antiqua" w:cs="Times New Roman"/>
          <w:b/>
          <w:bCs/>
          <w:sz w:val="24"/>
          <w:szCs w:val="24"/>
        </w:rPr>
      </w:pPr>
    </w:p>
    <w:p w:rsidR="005E1D98" w:rsidRDefault="005E1D98">
      <w:pPr>
        <w:autoSpaceDE w:val="0"/>
        <w:autoSpaceDN w:val="0"/>
        <w:bidi w:val="0"/>
        <w:adjustRightInd w:val="0"/>
        <w:jc w:val="both"/>
        <w:rPr>
          <w:rFonts w:ascii="Book Antiqua" w:hAnsi="Book Antiqua" w:cs="Times New Roman"/>
          <w:b/>
          <w:bCs/>
          <w:noProof w:val="0"/>
          <w:color w:val="0000FF"/>
          <w:sz w:val="22"/>
          <w:szCs w:val="22"/>
        </w:rPr>
      </w:pPr>
      <w:r>
        <w:rPr>
          <w:rFonts w:ascii="Book Antiqua" w:hAnsi="Book Antiqua" w:cs="Times New Roman"/>
          <w:b/>
          <w:bCs/>
          <w:noProof w:val="0"/>
          <w:color w:val="0000FF"/>
          <w:sz w:val="22"/>
          <w:szCs w:val="22"/>
        </w:rPr>
        <w:t xml:space="preserve">Les secteurs de l’"agriculture, forêt et pêche" et des "services" à l’origine des emplois créés  </w:t>
      </w:r>
    </w:p>
    <w:p w:rsidR="005E1D98" w:rsidRDefault="005E1D98">
      <w:pPr>
        <w:spacing w:line="266" w:lineRule="exact"/>
        <w:jc w:val="both"/>
        <w:rPr>
          <w:rFonts w:ascii="Book Antiqua" w:hAnsi="Book Antiqua" w:cs="Times New Roman"/>
          <w:b/>
          <w:bCs/>
          <w:noProof w:val="0"/>
          <w:color w:val="0000FF"/>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Les nouveaux postes d’emploi créés portent dans:</w:t>
      </w:r>
    </w:p>
    <w:p w:rsidR="005E1D98" w:rsidRDefault="005E1D98">
      <w:pPr>
        <w:numPr>
          <w:ilvl w:val="0"/>
          <w:numId w:val="7"/>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l’"agriculture, forêt et pêche", sur 156.000 postes d’emploi représentant 3,8% du volume de l’emploi du secteur ;</w:t>
      </w:r>
    </w:p>
    <w:p w:rsidR="005E1D98" w:rsidRDefault="005E1D98">
      <w:pPr>
        <w:numPr>
          <w:ilvl w:val="0"/>
          <w:numId w:val="7"/>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le secteur des "services", sur 64.000 postes correspondant à 1,5% du volume de l’emploi du secteur, contre une création annuelle moyenne de 106.000 postes au cours des cinq dernières années. Ce recul dans le rythme de création d’emploi dans ce secteur est le résultat de la baisse de l’emploi dans certaines branches notamment le "commerce et réparation automobile" (-19.000), les " services personnels" (-18.000) et les "transports terrestres" (-16.000).</w:t>
      </w:r>
    </w:p>
    <w:p w:rsidR="005E1D98" w:rsidRDefault="005E1D98">
      <w:pPr>
        <w:autoSpaceDE w:val="0"/>
        <w:autoSpaceDN w:val="0"/>
        <w:bidi w:val="0"/>
        <w:adjustRightInd w:val="0"/>
        <w:spacing w:line="276" w:lineRule="auto"/>
        <w:rPr>
          <w:rFonts w:cs="Times New Roman"/>
          <w:noProof w:val="0"/>
          <w:sz w:val="24"/>
          <w:szCs w:val="24"/>
          <w:highlight w:val="lightGray"/>
        </w:rPr>
      </w:pPr>
    </w:p>
    <w:p w:rsidR="005E1D98" w:rsidRDefault="005E1D98">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En revanche, des pertes d’emploi ont été relevés dans :</w:t>
      </w:r>
    </w:p>
    <w:p w:rsidR="005E1D98" w:rsidRDefault="005E1D98">
      <w:pPr>
        <w:numPr>
          <w:ilvl w:val="0"/>
          <w:numId w:val="7"/>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Le secteur du BTP, avec 54.000 postes d’emploi en moins (-5,6% du volume de l’emploi du secteur), enregistrant ainsi, la diminution la plus importante depuis qu’il a commencé à connaitre un essoufflement il y a deux ans ;</w:t>
      </w:r>
    </w:p>
    <w:p w:rsidR="005E1D98" w:rsidRDefault="005E1D98">
      <w:pPr>
        <w:numPr>
          <w:ilvl w:val="0"/>
          <w:numId w:val="7"/>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Le secteur de l’"industrie y compris l’artisanat",  avec 27.000 postes d’emploi perdus        (-2,2%), confirmant la tendance baissière entamée depuis cinq ans.</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ind w:left="709" w:right="615"/>
        <w:jc w:val="center"/>
        <w:rPr>
          <w:rFonts w:ascii="Garamond" w:hAnsi="Garamond" w:cs="Times New Roman"/>
          <w:b/>
          <w:bCs/>
          <w:noProof w:val="0"/>
          <w:sz w:val="23"/>
          <w:szCs w:val="23"/>
        </w:rPr>
      </w:pPr>
      <w:r>
        <w:rPr>
          <w:rFonts w:ascii="Garamond" w:hAnsi="Garamond" w:cs="Times New Roman"/>
          <w:b/>
          <w:bCs/>
          <w:noProof w:val="0"/>
          <w:sz w:val="23"/>
          <w:szCs w:val="23"/>
        </w:rPr>
        <w:t>Figure 2 : Créations nettes d’emploi par secteur d’activité économique et milieu de résidence</w:t>
      </w:r>
    </w:p>
    <w:p w:rsidR="005E1D98" w:rsidRDefault="0001799D">
      <w:pPr>
        <w:autoSpaceDE w:val="0"/>
        <w:autoSpaceDN w:val="0"/>
        <w:bidi w:val="0"/>
        <w:adjustRightInd w:val="0"/>
        <w:ind w:left="709" w:right="615"/>
        <w:rPr>
          <w:rFonts w:ascii="Book Antiqua" w:hAnsi="Book Antiqua" w:cs="Times New Roman"/>
          <w:b/>
          <w:bCs/>
          <w:noProof w:val="0"/>
          <w:sz w:val="23"/>
          <w:szCs w:val="23"/>
        </w:rPr>
      </w:pPr>
      <w:r>
        <w:rPr>
          <w:rFonts w:ascii="Book Antiqua" w:hAnsi="Book Antiqua" w:cs="Times New Roman"/>
          <w:b/>
          <w:bCs/>
          <w:sz w:val="23"/>
          <w:szCs w:val="23"/>
        </w:rPr>
        <w:drawing>
          <wp:inline distT="0" distB="0" distL="0" distR="0">
            <wp:extent cx="4797587" cy="1710553"/>
            <wp:effectExtent l="9795" t="3947" r="5918" b="0"/>
            <wp:docPr id="2"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E1D98" w:rsidRDefault="005E1D98">
      <w:pPr>
        <w:autoSpaceDE w:val="0"/>
        <w:autoSpaceDN w:val="0"/>
        <w:bidi w:val="0"/>
        <w:adjustRightInd w:val="0"/>
        <w:jc w:val="center"/>
        <w:rPr>
          <w:rFonts w:ascii="Book Antiqua" w:hAnsi="Book Antiqua" w:cs="Times New Roman"/>
          <w:b/>
          <w:bCs/>
          <w:noProof w:val="0"/>
          <w:sz w:val="23"/>
          <w:szCs w:val="23"/>
        </w:rPr>
      </w:pPr>
    </w:p>
    <w:p w:rsidR="005E1D98" w:rsidRDefault="005E1D98">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b/>
          <w:bCs/>
          <w:noProof w:val="0"/>
          <w:sz w:val="24"/>
          <w:szCs w:val="24"/>
        </w:rPr>
        <w:t>En milieu urbain</w:t>
      </w:r>
      <w:r>
        <w:rPr>
          <w:rFonts w:ascii="Garamond" w:hAnsi="Garamond" w:cs="Times New Roman"/>
          <w:noProof w:val="0"/>
          <w:sz w:val="24"/>
          <w:szCs w:val="24"/>
        </w:rPr>
        <w:t>, à l’exception du secteur des "services" qui a créé 93.000 postes d’emploi (+2,6% du volume de l’emploi du secteur) et les "activités mal désignées" (1.000 postes), tous les autres secteurs ont connu des pertes d’emploi :</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le secteur de l’"industrie y compris l'artisanat" a ainsi perdu 44.000 postes d’emploi (-4,4% du volume de l’emploi du secteur) ; </w:t>
      </w: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celui du BTP a perdu 39.000 postes (-6,9%) ;</w:t>
      </w: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celui de l’"agriculture, forêt et pêche" a, de son côté, perdu 8.000 postes (-3,3%).</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b/>
          <w:bCs/>
          <w:noProof w:val="0"/>
          <w:sz w:val="24"/>
          <w:szCs w:val="24"/>
        </w:rPr>
        <w:t>En milieu rural</w:t>
      </w:r>
      <w:r>
        <w:rPr>
          <w:rFonts w:ascii="Garamond" w:hAnsi="Garamond" w:cs="Times New Roman"/>
          <w:noProof w:val="0"/>
          <w:sz w:val="24"/>
          <w:szCs w:val="24"/>
        </w:rPr>
        <w:t>, le secteur de l’"agriculture, forêt et pêche" a, par contre, connu une forte création d’emplois avec 164.000 postes de plus, correspondant à un accroissement de 4,2% du volume de l’emploi du secteur. Le secteur de l’"industrie y compris l'artisanat" a également connu la création de 17.000 postes d’emploi (+7,6%).</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En revanche, tous les autres secteurs ont perdu des emplois dans le milieu rural avec une perte de :</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29.000 postes d’emploi dans le secteur des "services" (-4,1% du volume de l’emploi du secteur) ; </w:t>
      </w: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15.000 emplois dans celui du BTP (-3,7%);</w:t>
      </w:r>
    </w:p>
    <w:p w:rsidR="005E1D98" w:rsidRDefault="005E1D98">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1.000 postes dans les "activités mal désignées".</w:t>
      </w:r>
    </w:p>
    <w:p w:rsidR="005E1D98" w:rsidRDefault="005E1D98">
      <w:pPr>
        <w:autoSpaceDE w:val="0"/>
        <w:autoSpaceDN w:val="0"/>
        <w:bidi w:val="0"/>
        <w:adjustRightInd w:val="0"/>
        <w:spacing w:line="276" w:lineRule="auto"/>
        <w:rPr>
          <w:rFonts w:ascii="Garamond" w:hAnsi="Garamond" w:cs="Times New Roman"/>
          <w:noProof w:val="0"/>
          <w:sz w:val="24"/>
          <w:szCs w:val="24"/>
        </w:rPr>
      </w:pPr>
    </w:p>
    <w:p w:rsidR="005E1D98" w:rsidRDefault="005E1D98">
      <w:pPr>
        <w:autoSpaceDE w:val="0"/>
        <w:autoSpaceDN w:val="0"/>
        <w:bidi w:val="0"/>
        <w:adjustRightInd w:val="0"/>
        <w:jc w:val="both"/>
        <w:rPr>
          <w:rFonts w:ascii="Book Antiqua" w:hAnsi="Book Antiqua" w:cs="Times New Roman"/>
          <w:b/>
          <w:bCs/>
          <w:noProof w:val="0"/>
          <w:color w:val="0000FF"/>
          <w:sz w:val="24"/>
          <w:szCs w:val="24"/>
        </w:rPr>
      </w:pPr>
      <w:r>
        <w:rPr>
          <w:rFonts w:ascii="Book Antiqua" w:hAnsi="Book Antiqua" w:cs="Times New Roman"/>
          <w:b/>
          <w:bCs/>
          <w:noProof w:val="0"/>
          <w:color w:val="0000FF"/>
          <w:sz w:val="24"/>
          <w:szCs w:val="24"/>
        </w:rPr>
        <w:t>Recul</w:t>
      </w:r>
      <w:r>
        <w:rPr>
          <w:rFonts w:ascii="Book Antiqua" w:hAnsi="Book Antiqua" w:cs="Times New Roman"/>
          <w:b/>
          <w:bCs/>
          <w:noProof w:val="0"/>
          <w:color w:val="008000"/>
          <w:sz w:val="24"/>
          <w:szCs w:val="24"/>
        </w:rPr>
        <w:t xml:space="preserve">  </w:t>
      </w:r>
      <w:r>
        <w:rPr>
          <w:rFonts w:ascii="Book Antiqua" w:hAnsi="Book Antiqua" w:cs="Times New Roman"/>
          <w:b/>
          <w:bCs/>
          <w:noProof w:val="0"/>
          <w:color w:val="0000FF"/>
          <w:sz w:val="24"/>
          <w:szCs w:val="24"/>
        </w:rPr>
        <w:t>du</w:t>
      </w:r>
      <w:r>
        <w:rPr>
          <w:rFonts w:ascii="Book Antiqua" w:hAnsi="Book Antiqua" w:cs="Times New Roman"/>
          <w:b/>
          <w:bCs/>
          <w:noProof w:val="0"/>
          <w:color w:val="008000"/>
          <w:sz w:val="24"/>
          <w:szCs w:val="24"/>
        </w:rPr>
        <w:t xml:space="preserve"> </w:t>
      </w:r>
      <w:r>
        <w:rPr>
          <w:rFonts w:ascii="Book Antiqua" w:hAnsi="Book Antiqua" w:cs="Times New Roman"/>
          <w:b/>
          <w:bCs/>
          <w:noProof w:val="0"/>
          <w:color w:val="0000FF"/>
          <w:sz w:val="24"/>
          <w:szCs w:val="24"/>
        </w:rPr>
        <w:t>chômage accompagné d’une hausse du sous emploi</w:t>
      </w:r>
    </w:p>
    <w:p w:rsidR="005E1D98" w:rsidRDefault="005E1D98">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Le volume du chômage a diminué au niveau national de 22.000 personnes, passant de 1.098..000 au troisième trimestre de l’année 2012 à 1.076.000 chômeurs au même trimestre de l’année 2013. Cette  diminution a concerné exclusivement les zones rurales où il a baissé de 228.000 à 206.000 alors qu’en milieu urbain il s’est établi à 870.000 chômeurs. En conséquence, le taux de chômage est passé, entre les deux périodes, de 9,4% à 9,1% au niveau national, il s’est maintenu à 14% en milieu urbain et il est passé de 4,2% à 3,7% en milieu rural. Les baisses les plus importantes ont été relevées en milieu rural notamment parmi les jeunes âgés de 15 à 24 ans (-2,3 points) et les diplômés (-1,7 point). Les hausses les plus importantes, en revanche, ont été enregistrées en milieu urbain notamment parmi les jeunes âgés de 15 à 24 ans (+2,6 points) et les adultes âgés de 35 à 44 ans (+1 point).</w:t>
      </w:r>
    </w:p>
    <w:p w:rsidR="005E1D98" w:rsidRDefault="005E1D98">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 xml:space="preserve">A noter que les taux de chômage les plus élevés sont enregistrés parmi les jeunes âgés de 15 à 24 ans (19,1%) et les diplômés (16,5%).  </w:t>
      </w:r>
    </w:p>
    <w:p w:rsidR="005E1D98" w:rsidRDefault="005E1D98">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 xml:space="preserve">L’analyse des principales caractéristiques de la population active en chômage révèle que quatre chômeurs sur cinq (80,9%) sont citadins, près de deux sur trois (62,7%) sont âgés de 15 à 29 ans, un sur quatre (26,5%) est diplômé de niveau supérieur, un sur deux (49,4%) est primo-demandeur d’emploi et près de deux sur trois (62,5%) chôment depuis plus d’une année. </w:t>
      </w:r>
    </w:p>
    <w:p w:rsidR="005E1D98" w:rsidRDefault="005E1D98">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Par ailleurs, les principales circonstances qui sont à l’origine du chômage des personnes concernées relèvent de :</w:t>
      </w:r>
    </w:p>
    <w:p w:rsidR="005E1D98" w:rsidRDefault="005E1D98">
      <w:pPr>
        <w:numPr>
          <w:ilvl w:val="0"/>
          <w:numId w:val="10"/>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l’"arrêt de l’activité de l’établissement employeur ou licenciement " (25,4%) ; </w:t>
      </w:r>
    </w:p>
    <w:p w:rsidR="005E1D98" w:rsidRDefault="005E1D98">
      <w:pPr>
        <w:numPr>
          <w:ilvl w:val="0"/>
          <w:numId w:val="10"/>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l’"arrêt des études après obtention d’un diplôme" (19,8%) ; </w:t>
      </w:r>
    </w:p>
    <w:p w:rsidR="005E1D98" w:rsidRDefault="005E1D98">
      <w:pPr>
        <w:numPr>
          <w:ilvl w:val="0"/>
          <w:numId w:val="10"/>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l"arrêt des études sans diplôme" (15,6%).</w:t>
      </w:r>
    </w:p>
    <w:p w:rsidR="005E1D98" w:rsidRDefault="005E1D98">
      <w:pPr>
        <w:autoSpaceDE w:val="0"/>
        <w:autoSpaceDN w:val="0"/>
        <w:bidi w:val="0"/>
        <w:adjustRightInd w:val="0"/>
        <w:jc w:val="center"/>
        <w:rPr>
          <w:rFonts w:ascii="Garamond" w:hAnsi="Garamond" w:cs="Times New Roman"/>
          <w:b/>
          <w:bCs/>
          <w:noProof w:val="0"/>
          <w:sz w:val="24"/>
          <w:szCs w:val="24"/>
        </w:rPr>
      </w:pPr>
    </w:p>
    <w:p w:rsidR="005E1D98" w:rsidRDefault="005E1D98">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t>Figure 3 : Evolution du taux de chômage au 3</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par milieu de résidence (en %)</w:t>
      </w:r>
    </w:p>
    <w:p w:rsidR="005E1D98" w:rsidRDefault="005E1D98">
      <w:pPr>
        <w:autoSpaceDE w:val="0"/>
        <w:autoSpaceDN w:val="0"/>
        <w:bidi w:val="0"/>
        <w:adjustRightInd w:val="0"/>
        <w:ind w:left="851" w:right="473"/>
        <w:jc w:val="center"/>
        <w:rPr>
          <w:rFonts w:ascii="Garamond" w:hAnsi="Garamond" w:cs="Times New Roman"/>
          <w:noProof w:val="0"/>
          <w:sz w:val="24"/>
          <w:szCs w:val="24"/>
        </w:rPr>
      </w:pPr>
    </w:p>
    <w:p w:rsidR="005E1D98" w:rsidRDefault="0001799D">
      <w:pPr>
        <w:autoSpaceDE w:val="0"/>
        <w:autoSpaceDN w:val="0"/>
        <w:bidi w:val="0"/>
        <w:adjustRightInd w:val="0"/>
        <w:jc w:val="center"/>
        <w:rPr>
          <w:rFonts w:ascii="Book Antiqua" w:hAnsi="Book Antiqua" w:cs="Times New Roman"/>
          <w:noProof w:val="0"/>
          <w:sz w:val="24"/>
          <w:szCs w:val="24"/>
        </w:rPr>
      </w:pPr>
      <w:r>
        <w:rPr>
          <w:rFonts w:ascii="Book Antiqua" w:hAnsi="Book Antiqua" w:cs="Times New Roman"/>
          <w:sz w:val="24"/>
          <w:szCs w:val="24"/>
        </w:rPr>
        <w:drawing>
          <wp:inline distT="0" distB="0" distL="0" distR="0">
            <wp:extent cx="5606270" cy="1950764"/>
            <wp:effectExtent l="12203" t="5036" r="7627" b="0"/>
            <wp:docPr id="3"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1D98" w:rsidRDefault="005E1D98">
      <w:pPr>
        <w:autoSpaceDE w:val="0"/>
        <w:autoSpaceDN w:val="0"/>
        <w:bidi w:val="0"/>
        <w:adjustRightInd w:val="0"/>
        <w:jc w:val="both"/>
        <w:rPr>
          <w:rFonts w:ascii="Book Antiqua" w:hAnsi="Book Antiqua" w:cs="Times New Roman"/>
          <w:noProof w:val="0"/>
          <w:sz w:val="24"/>
          <w:szCs w:val="24"/>
        </w:rPr>
      </w:pPr>
    </w:p>
    <w:p w:rsidR="005E1D98" w:rsidRDefault="005E1D98">
      <w:pPr>
        <w:autoSpaceDE w:val="0"/>
        <w:autoSpaceDN w:val="0"/>
        <w:bidi w:val="0"/>
        <w:adjustRightInd w:val="0"/>
        <w:spacing w:line="276" w:lineRule="auto"/>
        <w:jc w:val="both"/>
        <w:rPr>
          <w:rFonts w:ascii="Garamond" w:hAnsi="Garamond" w:cs="Times New Roman"/>
          <w:noProof w:val="0"/>
          <w:sz w:val="24"/>
          <w:szCs w:val="24"/>
          <w:rtl/>
        </w:rPr>
      </w:pPr>
      <w:r>
        <w:rPr>
          <w:rFonts w:ascii="Garamond" w:hAnsi="Garamond" w:cs="Times New Roman"/>
          <w:noProof w:val="0"/>
          <w:sz w:val="24"/>
          <w:szCs w:val="24"/>
        </w:rPr>
        <w:t>Par ailleurs, de son côté, le volume du sous emploi des actifs occupés âgés de 15 ans et plus a augmenté, entre les deux périodes, de 446.000 à 458.000 personnes dans les villes et de 502.000 à 551.000 dans les campagnes passant globalement, au niveau national, de 948.000 à 1.009.000 personnes. Le taux de sous emploi est ainsi passé de 9% à 9,4% au niveau national, de 8,4% à 8,6% dans les villes et de 9,6% à 10,3% dans les campagnes.</w:t>
      </w:r>
    </w:p>
    <w:p w:rsidR="005E1D98" w:rsidRDefault="005E1D98">
      <w:pPr>
        <w:autoSpaceDE w:val="0"/>
        <w:autoSpaceDN w:val="0"/>
        <w:bidi w:val="0"/>
        <w:adjustRightInd w:val="0"/>
        <w:jc w:val="center"/>
        <w:rPr>
          <w:rFonts w:ascii="Garamond" w:hAnsi="Garamond" w:cs="Times New Roman"/>
          <w:b/>
          <w:bCs/>
          <w:noProof w:val="0"/>
          <w:sz w:val="24"/>
          <w:szCs w:val="24"/>
        </w:rPr>
      </w:pPr>
    </w:p>
    <w:p w:rsidR="005E1D98" w:rsidRDefault="005E1D98">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t>Figure 4 : Evolution du taux de sous-emploi au 3</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par milieu de résidence (en %)</w:t>
      </w:r>
    </w:p>
    <w:p w:rsidR="005E1D98" w:rsidRDefault="005E1D98">
      <w:pPr>
        <w:autoSpaceDE w:val="0"/>
        <w:autoSpaceDN w:val="0"/>
        <w:bidi w:val="0"/>
        <w:adjustRightInd w:val="0"/>
        <w:rPr>
          <w:rFonts w:ascii="Book Antiqua" w:hAnsi="Book Antiqua"/>
        </w:rPr>
      </w:pPr>
    </w:p>
    <w:p w:rsidR="005E1D98" w:rsidRDefault="0001799D">
      <w:pPr>
        <w:autoSpaceDE w:val="0"/>
        <w:autoSpaceDN w:val="0"/>
        <w:bidi w:val="0"/>
        <w:adjustRightInd w:val="0"/>
        <w:jc w:val="center"/>
        <w:rPr>
          <w:rFonts w:ascii="Book Antiqua" w:hAnsi="Book Antiqua"/>
        </w:rPr>
      </w:pPr>
      <w:r>
        <w:rPr>
          <w:rFonts w:ascii="Book Antiqua" w:hAnsi="Book Antiqua"/>
        </w:rPr>
        <w:drawing>
          <wp:inline distT="0" distB="0" distL="0" distR="0">
            <wp:extent cx="5300094" cy="1951463"/>
            <wp:effectExtent l="14137" t="4337" r="7069" b="0"/>
            <wp:docPr id="4"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1D98" w:rsidRDefault="005E1D98">
      <w:pPr>
        <w:autoSpaceDE w:val="0"/>
        <w:autoSpaceDN w:val="0"/>
        <w:bidi w:val="0"/>
        <w:adjustRightInd w:val="0"/>
        <w:rPr>
          <w:rFonts w:ascii="Book Antiqua" w:hAnsi="Book Antiqua"/>
        </w:rPr>
      </w:pPr>
    </w:p>
    <w:p w:rsidR="005E1D98" w:rsidRDefault="005E1D98">
      <w:pPr>
        <w:pStyle w:val="Titre1"/>
        <w:bidi w:val="0"/>
        <w:spacing w:before="0" w:after="0"/>
        <w:jc w:val="center"/>
        <w:rPr>
          <w:rFonts w:ascii="Garamond" w:hAnsi="Garamond" w:cs="Times New Roman"/>
          <w:noProof w:val="0"/>
          <w:color w:val="0070C0"/>
          <w:kern w:val="0"/>
          <w:sz w:val="24"/>
          <w:szCs w:val="24"/>
        </w:rPr>
      </w:pPr>
      <w:bookmarkStart w:id="1" w:name="_Toc370378662"/>
      <w:r>
        <w:rPr>
          <w:rFonts w:ascii="Garamond" w:hAnsi="Garamond" w:cs="Times New Roman"/>
          <w:noProof w:val="0"/>
          <w:color w:val="0070C0"/>
          <w:kern w:val="0"/>
          <w:sz w:val="24"/>
          <w:szCs w:val="24"/>
        </w:rPr>
        <w:t xml:space="preserve">Indicateurs trimestriels d'activité et de chômage par milieu de résidence </w:t>
      </w:r>
      <w:r>
        <w:rPr>
          <w:rFonts w:ascii="Garamond" w:hAnsi="Garamond" w:cs="Times New Roman"/>
          <w:noProof w:val="0"/>
          <w:color w:val="0070C0"/>
          <w:kern w:val="0"/>
          <w:sz w:val="24"/>
          <w:szCs w:val="24"/>
          <w:vertAlign w:val="superscript"/>
        </w:rPr>
        <w:t>(1)</w:t>
      </w:r>
      <w:bookmarkEnd w:id="1"/>
    </w:p>
    <w:p w:rsidR="005E1D98" w:rsidRDefault="005E1D98">
      <w:pPr>
        <w:bidi w:val="0"/>
      </w:pPr>
    </w:p>
    <w:p w:rsidR="005E1D98" w:rsidRDefault="005E1D98">
      <w:pPr>
        <w:pStyle w:val="Corpsdetexte2"/>
        <w:bidi w:val="0"/>
        <w:jc w:val="both"/>
        <w:rPr>
          <w:rFonts w:ascii="Garamond" w:hAnsi="Garamond" w:cs="Times New Roman"/>
          <w:b/>
          <w:bCs/>
          <w:i/>
          <w:iCs/>
          <w:sz w:val="20"/>
          <w:szCs w:val="24"/>
        </w:rPr>
      </w:pPr>
      <w:r>
        <w:rPr>
          <w:rFonts w:ascii="Garamond" w:hAnsi="Garamond" w:cs="Times New Roman"/>
          <w:b/>
          <w:bCs/>
          <w:i/>
          <w:iCs/>
          <w:sz w:val="20"/>
          <w:szCs w:val="24"/>
        </w:rPr>
        <w:t xml:space="preserve">                                                                                                                           (Effectifs en milliers et taux en %)  </w:t>
      </w:r>
    </w:p>
    <w:tbl>
      <w:tblPr>
        <w:tblW w:w="10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886"/>
        <w:gridCol w:w="849"/>
        <w:gridCol w:w="952"/>
        <w:gridCol w:w="1123"/>
        <w:gridCol w:w="1124"/>
        <w:gridCol w:w="1122"/>
        <w:gridCol w:w="1123"/>
      </w:tblGrid>
      <w:tr w:rsidR="005E1D98">
        <w:trPr>
          <w:cantSplit/>
          <w:jc w:val="center"/>
        </w:trPr>
        <w:tc>
          <w:tcPr>
            <w:tcW w:w="3886" w:type="dxa"/>
            <w:vMerge w:val="restart"/>
            <w:vAlign w:val="center"/>
          </w:tcPr>
          <w:p w:rsidR="005E1D98" w:rsidRDefault="005E1D98">
            <w:pPr>
              <w:tabs>
                <w:tab w:val="left" w:pos="-720"/>
              </w:tabs>
              <w:suppressAutoHyphens/>
              <w:spacing w:before="20" w:after="20"/>
              <w:jc w:val="center"/>
              <w:rPr>
                <w:rFonts w:ascii="Garamond" w:hAnsi="Garamond"/>
                <w:b/>
                <w:spacing w:val="-2"/>
              </w:rPr>
            </w:pPr>
            <w:r>
              <w:rPr>
                <w:rFonts w:ascii="Garamond" w:hAnsi="Garamond"/>
                <w:b/>
                <w:spacing w:val="-2"/>
              </w:rPr>
              <w:t>Indicateurs</w:t>
            </w:r>
          </w:p>
        </w:tc>
        <w:tc>
          <w:tcPr>
            <w:tcW w:w="2924" w:type="dxa"/>
            <w:gridSpan w:val="3"/>
          </w:tcPr>
          <w:p w:rsidR="005E1D98" w:rsidRDefault="005E1D98">
            <w:pPr>
              <w:tabs>
                <w:tab w:val="left" w:pos="-720"/>
              </w:tabs>
              <w:suppressAutoHyphens/>
              <w:spacing w:before="20" w:after="20"/>
              <w:rPr>
                <w:rFonts w:ascii="Garamond" w:hAnsi="Garamond"/>
                <w:b/>
                <w:spacing w:val="-2"/>
                <w:sz w:val="18"/>
              </w:rPr>
            </w:pPr>
            <w:r>
              <w:rPr>
                <w:rFonts w:ascii="Garamond" w:hAnsi="Garamond"/>
                <w:b/>
                <w:spacing w:val="-2"/>
                <w:sz w:val="18"/>
              </w:rPr>
              <w:t>3</w:t>
            </w:r>
            <w:r>
              <w:rPr>
                <w:rFonts w:ascii="Garamond" w:hAnsi="Garamond"/>
                <w:b/>
                <w:spacing w:val="-2"/>
                <w:sz w:val="18"/>
                <w:vertAlign w:val="superscript"/>
              </w:rPr>
              <w:t>ème</w:t>
            </w:r>
            <w:r>
              <w:rPr>
                <w:rFonts w:ascii="Garamond" w:hAnsi="Garamond"/>
                <w:b/>
                <w:spacing w:val="-2"/>
                <w:sz w:val="18"/>
              </w:rPr>
              <w:t xml:space="preserve"> trimestre 2012                      </w:t>
            </w:r>
          </w:p>
        </w:tc>
        <w:tc>
          <w:tcPr>
            <w:tcW w:w="3369" w:type="dxa"/>
            <w:gridSpan w:val="3"/>
          </w:tcPr>
          <w:p w:rsidR="005E1D98" w:rsidRDefault="005E1D98">
            <w:pPr>
              <w:tabs>
                <w:tab w:val="left" w:pos="-720"/>
              </w:tabs>
              <w:suppressAutoHyphens/>
              <w:spacing w:before="20" w:after="20"/>
              <w:rPr>
                <w:rFonts w:ascii="Garamond" w:hAnsi="Garamond"/>
                <w:b/>
                <w:spacing w:val="-2"/>
                <w:sz w:val="18"/>
              </w:rPr>
            </w:pPr>
            <w:r>
              <w:rPr>
                <w:rFonts w:ascii="Garamond" w:hAnsi="Garamond"/>
                <w:b/>
                <w:spacing w:val="-2"/>
                <w:sz w:val="18"/>
              </w:rPr>
              <w:t>3</w:t>
            </w:r>
            <w:r>
              <w:rPr>
                <w:rFonts w:ascii="Garamond" w:hAnsi="Garamond"/>
                <w:b/>
                <w:spacing w:val="-2"/>
                <w:sz w:val="18"/>
                <w:vertAlign w:val="superscript"/>
              </w:rPr>
              <w:t>ème</w:t>
            </w:r>
            <w:r>
              <w:rPr>
                <w:rFonts w:ascii="Garamond" w:hAnsi="Garamond"/>
                <w:b/>
                <w:spacing w:val="-2"/>
                <w:sz w:val="18"/>
              </w:rPr>
              <w:t xml:space="preserve"> trimestre 2013                      </w:t>
            </w:r>
          </w:p>
        </w:tc>
      </w:tr>
      <w:tr w:rsidR="005E1D98">
        <w:trPr>
          <w:cantSplit/>
          <w:jc w:val="center"/>
        </w:trPr>
        <w:tc>
          <w:tcPr>
            <w:tcW w:w="3886" w:type="dxa"/>
            <w:vMerge/>
          </w:tcPr>
          <w:p w:rsidR="005E1D98" w:rsidRDefault="005E1D98">
            <w:pPr>
              <w:tabs>
                <w:tab w:val="left" w:pos="-720"/>
              </w:tabs>
              <w:suppressAutoHyphens/>
              <w:spacing w:before="20" w:after="20"/>
              <w:jc w:val="center"/>
              <w:rPr>
                <w:b/>
                <w:spacing w:val="-2"/>
                <w:sz w:val="18"/>
              </w:rPr>
            </w:pPr>
          </w:p>
        </w:tc>
        <w:tc>
          <w:tcPr>
            <w:tcW w:w="849"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Urbain</w:t>
            </w:r>
          </w:p>
        </w:tc>
        <w:tc>
          <w:tcPr>
            <w:tcW w:w="952"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Rural</w:t>
            </w:r>
          </w:p>
        </w:tc>
        <w:tc>
          <w:tcPr>
            <w:tcW w:w="1123"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Ensemble</w:t>
            </w:r>
          </w:p>
        </w:tc>
        <w:tc>
          <w:tcPr>
            <w:tcW w:w="1124"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Urbain</w:t>
            </w:r>
          </w:p>
        </w:tc>
        <w:tc>
          <w:tcPr>
            <w:tcW w:w="1122"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Rural</w:t>
            </w:r>
          </w:p>
        </w:tc>
        <w:tc>
          <w:tcPr>
            <w:tcW w:w="1123" w:type="dxa"/>
          </w:tcPr>
          <w:p w:rsidR="005E1D98" w:rsidRDefault="005E1D98">
            <w:pPr>
              <w:tabs>
                <w:tab w:val="left" w:pos="-720"/>
              </w:tabs>
              <w:suppressAutoHyphens/>
              <w:spacing w:before="20" w:after="20"/>
              <w:jc w:val="center"/>
              <w:rPr>
                <w:rFonts w:ascii="Garamond" w:hAnsi="Garamond"/>
                <w:b/>
                <w:spacing w:val="-2"/>
                <w:sz w:val="18"/>
              </w:rPr>
            </w:pPr>
            <w:r>
              <w:rPr>
                <w:rFonts w:ascii="Garamond" w:hAnsi="Garamond"/>
                <w:b/>
                <w:spacing w:val="-2"/>
                <w:sz w:val="18"/>
              </w:rPr>
              <w:t>Ensemble</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w:t>
            </w:r>
            <w:r>
              <w:rPr>
                <w:rFonts w:ascii="Garamond" w:hAnsi="Garamond"/>
                <w:b/>
                <w:i/>
                <w:spacing w:val="-2"/>
                <w:sz w:val="18"/>
              </w:rPr>
              <w:t xml:space="preserve"> Activité et emploi ( 15 ans et plus )</w:t>
            </w:r>
          </w:p>
        </w:tc>
        <w:tc>
          <w:tcPr>
            <w:tcW w:w="849" w:type="dxa"/>
          </w:tcPr>
          <w:p w:rsidR="005E1D98" w:rsidRDefault="005E1D98">
            <w:pPr>
              <w:tabs>
                <w:tab w:val="left" w:pos="-720"/>
              </w:tabs>
              <w:suppressAutoHyphens/>
              <w:spacing w:before="20" w:after="20"/>
              <w:jc w:val="center"/>
              <w:rPr>
                <w:b/>
                <w:spacing w:val="-2"/>
                <w:sz w:val="18"/>
              </w:rPr>
            </w:pPr>
          </w:p>
        </w:tc>
        <w:tc>
          <w:tcPr>
            <w:tcW w:w="952" w:type="dxa"/>
          </w:tcPr>
          <w:p w:rsidR="005E1D98" w:rsidRDefault="005E1D98">
            <w:pPr>
              <w:tabs>
                <w:tab w:val="left" w:pos="-720"/>
              </w:tabs>
              <w:suppressAutoHyphens/>
              <w:spacing w:before="20" w:after="20"/>
              <w:jc w:val="center"/>
              <w:rPr>
                <w:b/>
                <w:spacing w:val="-2"/>
                <w:sz w:val="18"/>
              </w:rPr>
            </w:pPr>
          </w:p>
        </w:tc>
        <w:tc>
          <w:tcPr>
            <w:tcW w:w="1123" w:type="dxa"/>
          </w:tcPr>
          <w:p w:rsidR="005E1D98" w:rsidRDefault="005E1D98">
            <w:pPr>
              <w:tabs>
                <w:tab w:val="left" w:pos="-720"/>
              </w:tabs>
              <w:suppressAutoHyphens/>
              <w:spacing w:before="20" w:after="20"/>
              <w:jc w:val="center"/>
              <w:rPr>
                <w:b/>
                <w:spacing w:val="-2"/>
                <w:sz w:val="18"/>
              </w:rPr>
            </w:pPr>
          </w:p>
        </w:tc>
        <w:tc>
          <w:tcPr>
            <w:tcW w:w="1124" w:type="dxa"/>
          </w:tcPr>
          <w:p w:rsidR="005E1D98" w:rsidRDefault="005E1D98">
            <w:pPr>
              <w:tabs>
                <w:tab w:val="left" w:pos="-720"/>
              </w:tabs>
              <w:suppressAutoHyphens/>
              <w:spacing w:before="20" w:after="20"/>
              <w:jc w:val="center"/>
              <w:rPr>
                <w:b/>
                <w:spacing w:val="-2"/>
                <w:sz w:val="18"/>
              </w:rPr>
            </w:pPr>
          </w:p>
        </w:tc>
        <w:tc>
          <w:tcPr>
            <w:tcW w:w="1122" w:type="dxa"/>
          </w:tcPr>
          <w:p w:rsidR="005E1D98" w:rsidRDefault="005E1D98">
            <w:pPr>
              <w:tabs>
                <w:tab w:val="left" w:pos="-720"/>
              </w:tabs>
              <w:suppressAutoHyphens/>
              <w:spacing w:before="20" w:after="20"/>
              <w:jc w:val="center"/>
              <w:rPr>
                <w:b/>
                <w:spacing w:val="-2"/>
                <w:sz w:val="18"/>
              </w:rPr>
            </w:pPr>
          </w:p>
        </w:tc>
        <w:tc>
          <w:tcPr>
            <w:tcW w:w="1123" w:type="dxa"/>
          </w:tcPr>
          <w:p w:rsidR="005E1D98" w:rsidRDefault="005E1D98">
            <w:pPr>
              <w:tabs>
                <w:tab w:val="left" w:pos="-720"/>
              </w:tabs>
              <w:suppressAutoHyphens/>
              <w:spacing w:before="20" w:after="20"/>
              <w:jc w:val="center"/>
              <w:rPr>
                <w:b/>
                <w:spacing w:val="-2"/>
                <w:sz w:val="18"/>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Population active </w:t>
            </w:r>
          </w:p>
        </w:tc>
        <w:tc>
          <w:tcPr>
            <w:tcW w:w="849" w:type="dxa"/>
            <w:vAlign w:val="center"/>
          </w:tcPr>
          <w:p w:rsidR="005E1D98" w:rsidRDefault="005E1D98">
            <w:pPr>
              <w:jc w:val="center"/>
              <w:rPr>
                <w:rFonts w:ascii="Garamond" w:hAnsi="Garamond"/>
                <w:b/>
                <w:bCs/>
                <w:color w:val="000000"/>
              </w:rPr>
            </w:pPr>
            <w:r>
              <w:rPr>
                <w:rFonts w:ascii="Garamond" w:hAnsi="Garamond"/>
                <w:b/>
                <w:bCs/>
                <w:color w:val="000000"/>
              </w:rPr>
              <w:t>6 202</w:t>
            </w:r>
          </w:p>
        </w:tc>
        <w:tc>
          <w:tcPr>
            <w:tcW w:w="952" w:type="dxa"/>
            <w:vAlign w:val="center"/>
          </w:tcPr>
          <w:p w:rsidR="005E1D98" w:rsidRDefault="005E1D98">
            <w:pPr>
              <w:jc w:val="center"/>
              <w:rPr>
                <w:rFonts w:ascii="Garamond" w:hAnsi="Garamond"/>
                <w:b/>
                <w:bCs/>
                <w:color w:val="000000"/>
              </w:rPr>
            </w:pPr>
            <w:r>
              <w:rPr>
                <w:rFonts w:ascii="Garamond" w:hAnsi="Garamond"/>
                <w:b/>
                <w:bCs/>
                <w:color w:val="000000"/>
              </w:rPr>
              <w:t>5 445</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11 647</w:t>
            </w:r>
          </w:p>
        </w:tc>
        <w:tc>
          <w:tcPr>
            <w:tcW w:w="1124" w:type="dxa"/>
            <w:vAlign w:val="center"/>
          </w:tcPr>
          <w:p w:rsidR="005E1D98" w:rsidRDefault="005E1D98">
            <w:pPr>
              <w:jc w:val="center"/>
              <w:rPr>
                <w:rFonts w:ascii="Garamond" w:hAnsi="Garamond"/>
                <w:b/>
                <w:bCs/>
                <w:color w:val="000000"/>
              </w:rPr>
            </w:pPr>
            <w:r>
              <w:rPr>
                <w:rFonts w:ascii="Garamond" w:hAnsi="Garamond"/>
                <w:b/>
                <w:bCs/>
                <w:color w:val="000000"/>
              </w:rPr>
              <w:t>6 205</w:t>
            </w:r>
          </w:p>
        </w:tc>
        <w:tc>
          <w:tcPr>
            <w:tcW w:w="1122" w:type="dxa"/>
            <w:vAlign w:val="center"/>
          </w:tcPr>
          <w:p w:rsidR="005E1D98" w:rsidRDefault="005E1D98">
            <w:pPr>
              <w:jc w:val="center"/>
              <w:rPr>
                <w:rFonts w:ascii="Garamond" w:hAnsi="Garamond"/>
                <w:b/>
                <w:bCs/>
                <w:color w:val="000000"/>
              </w:rPr>
            </w:pPr>
            <w:r>
              <w:rPr>
                <w:rFonts w:ascii="Garamond" w:hAnsi="Garamond"/>
                <w:b/>
                <w:bCs/>
                <w:color w:val="000000"/>
              </w:rPr>
              <w:t>5 558</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11 763</w:t>
            </w:r>
          </w:p>
        </w:tc>
      </w:tr>
      <w:tr w:rsidR="005E1D98">
        <w:trPr>
          <w:jc w:val="center"/>
        </w:trPr>
        <w:tc>
          <w:tcPr>
            <w:tcW w:w="3886" w:type="dxa"/>
          </w:tcPr>
          <w:p w:rsidR="005E1D98" w:rsidRDefault="005E1D98">
            <w:pPr>
              <w:tabs>
                <w:tab w:val="left" w:pos="-720"/>
              </w:tabs>
              <w:suppressAutoHyphens/>
              <w:spacing w:before="20" w:after="20"/>
              <w:ind w:left="360"/>
              <w:jc w:val="right"/>
              <w:rPr>
                <w:rFonts w:ascii="Garamond" w:hAnsi="Garamond"/>
                <w:b/>
                <w:spacing w:val="-2"/>
                <w:sz w:val="18"/>
              </w:rPr>
            </w:pPr>
            <w:r>
              <w:rPr>
                <w:rFonts w:ascii="Garamond" w:hAnsi="Garamond"/>
                <w:b/>
                <w:spacing w:val="-2"/>
                <w:sz w:val="18"/>
              </w:rPr>
              <w:t>Taux de féminisation de la population</w:t>
            </w:r>
          </w:p>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active</w:t>
            </w:r>
          </w:p>
        </w:tc>
        <w:tc>
          <w:tcPr>
            <w:tcW w:w="849" w:type="dxa"/>
            <w:vAlign w:val="center"/>
          </w:tcPr>
          <w:p w:rsidR="005E1D98" w:rsidRDefault="005E1D98">
            <w:pPr>
              <w:jc w:val="center"/>
              <w:rPr>
                <w:rFonts w:ascii="Garamond" w:hAnsi="Garamond"/>
                <w:color w:val="000000"/>
              </w:rPr>
            </w:pPr>
            <w:r>
              <w:rPr>
                <w:rFonts w:ascii="Garamond" w:hAnsi="Garamond"/>
                <w:color w:val="000000"/>
              </w:rPr>
              <w:t>21,8</w:t>
            </w:r>
          </w:p>
        </w:tc>
        <w:tc>
          <w:tcPr>
            <w:tcW w:w="952" w:type="dxa"/>
            <w:vAlign w:val="center"/>
          </w:tcPr>
          <w:p w:rsidR="005E1D98" w:rsidRDefault="005E1D98">
            <w:pPr>
              <w:jc w:val="center"/>
              <w:rPr>
                <w:rFonts w:ascii="Garamond" w:hAnsi="Garamond"/>
                <w:color w:val="000000"/>
              </w:rPr>
            </w:pPr>
            <w:r>
              <w:rPr>
                <w:rFonts w:ascii="Garamond" w:hAnsi="Garamond"/>
                <w:color w:val="000000"/>
              </w:rPr>
              <w:t>32,5</w:t>
            </w:r>
          </w:p>
        </w:tc>
        <w:tc>
          <w:tcPr>
            <w:tcW w:w="1123" w:type="dxa"/>
            <w:vAlign w:val="center"/>
          </w:tcPr>
          <w:p w:rsidR="005E1D98" w:rsidRDefault="005E1D98">
            <w:pPr>
              <w:jc w:val="center"/>
              <w:rPr>
                <w:rFonts w:ascii="Garamond" w:hAnsi="Garamond"/>
                <w:color w:val="000000"/>
              </w:rPr>
            </w:pPr>
            <w:r>
              <w:rPr>
                <w:rFonts w:ascii="Garamond" w:hAnsi="Garamond"/>
                <w:color w:val="000000"/>
              </w:rPr>
              <w:t>26,8</w:t>
            </w:r>
          </w:p>
        </w:tc>
        <w:tc>
          <w:tcPr>
            <w:tcW w:w="1124" w:type="dxa"/>
            <w:vAlign w:val="center"/>
          </w:tcPr>
          <w:p w:rsidR="005E1D98" w:rsidRDefault="005E1D98">
            <w:pPr>
              <w:jc w:val="center"/>
              <w:rPr>
                <w:rFonts w:ascii="Garamond" w:hAnsi="Garamond"/>
                <w:color w:val="000000"/>
              </w:rPr>
            </w:pPr>
            <w:r>
              <w:rPr>
                <w:rFonts w:ascii="Garamond" w:hAnsi="Garamond"/>
                <w:color w:val="000000"/>
              </w:rPr>
              <w:t>22,2</w:t>
            </w:r>
          </w:p>
        </w:tc>
        <w:tc>
          <w:tcPr>
            <w:tcW w:w="1122" w:type="dxa"/>
            <w:vAlign w:val="center"/>
          </w:tcPr>
          <w:p w:rsidR="005E1D98" w:rsidRDefault="005E1D98">
            <w:pPr>
              <w:jc w:val="center"/>
              <w:rPr>
                <w:rFonts w:ascii="Garamond" w:hAnsi="Garamond"/>
                <w:color w:val="000000"/>
              </w:rPr>
            </w:pPr>
            <w:r>
              <w:rPr>
                <w:rFonts w:ascii="Garamond" w:hAnsi="Garamond"/>
                <w:color w:val="000000"/>
              </w:rPr>
              <w:t>34,3</w:t>
            </w:r>
          </w:p>
        </w:tc>
        <w:tc>
          <w:tcPr>
            <w:tcW w:w="1123" w:type="dxa"/>
            <w:vAlign w:val="center"/>
          </w:tcPr>
          <w:p w:rsidR="005E1D98" w:rsidRDefault="005E1D98">
            <w:pPr>
              <w:jc w:val="center"/>
              <w:rPr>
                <w:rFonts w:ascii="Garamond" w:hAnsi="Garamond"/>
                <w:color w:val="000000"/>
              </w:rPr>
            </w:pPr>
            <w:r>
              <w:rPr>
                <w:rFonts w:ascii="Garamond" w:hAnsi="Garamond"/>
                <w:color w:val="000000"/>
              </w:rPr>
              <w:t>27,9</w:t>
            </w:r>
          </w:p>
        </w:tc>
      </w:tr>
      <w:tr w:rsidR="005E1D98">
        <w:trPr>
          <w:jc w:val="center"/>
        </w:trPr>
        <w:tc>
          <w:tcPr>
            <w:tcW w:w="3886" w:type="dxa"/>
          </w:tcPr>
          <w:p w:rsidR="005E1D98" w:rsidRDefault="005E1D98">
            <w:pPr>
              <w:tabs>
                <w:tab w:val="left" w:pos="-720"/>
              </w:tabs>
              <w:suppressAutoHyphens/>
              <w:spacing w:before="20" w:after="20"/>
              <w:ind w:left="360"/>
              <w:jc w:val="right"/>
              <w:rPr>
                <w:rFonts w:ascii="Garamond" w:hAnsi="Garamond"/>
                <w:b/>
                <w:spacing w:val="-2"/>
                <w:sz w:val="18"/>
              </w:rPr>
            </w:pPr>
            <w:r>
              <w:rPr>
                <w:rFonts w:ascii="Garamond" w:hAnsi="Garamond"/>
                <w:b/>
                <w:spacing w:val="-2"/>
                <w:sz w:val="18"/>
              </w:rPr>
              <w:t>Taux d'activité</w:t>
            </w:r>
          </w:p>
        </w:tc>
        <w:tc>
          <w:tcPr>
            <w:tcW w:w="849" w:type="dxa"/>
            <w:vAlign w:val="center"/>
          </w:tcPr>
          <w:p w:rsidR="005E1D98" w:rsidRDefault="005E1D98">
            <w:pPr>
              <w:jc w:val="center"/>
              <w:rPr>
                <w:rFonts w:ascii="Garamond" w:hAnsi="Garamond"/>
                <w:color w:val="000000"/>
              </w:rPr>
            </w:pPr>
            <w:r>
              <w:rPr>
                <w:rFonts w:ascii="Garamond" w:hAnsi="Garamond"/>
                <w:color w:val="000000"/>
              </w:rPr>
              <w:t>43,1</w:t>
            </w:r>
          </w:p>
        </w:tc>
        <w:tc>
          <w:tcPr>
            <w:tcW w:w="952" w:type="dxa"/>
            <w:vAlign w:val="center"/>
          </w:tcPr>
          <w:p w:rsidR="005E1D98" w:rsidRDefault="005E1D98">
            <w:pPr>
              <w:jc w:val="center"/>
              <w:rPr>
                <w:rFonts w:ascii="Garamond" w:hAnsi="Garamond"/>
                <w:color w:val="000000"/>
              </w:rPr>
            </w:pPr>
            <w:r>
              <w:rPr>
                <w:rFonts w:ascii="Garamond" w:hAnsi="Garamond"/>
                <w:color w:val="000000"/>
              </w:rPr>
              <w:t>57,4</w:t>
            </w:r>
          </w:p>
        </w:tc>
        <w:tc>
          <w:tcPr>
            <w:tcW w:w="1123" w:type="dxa"/>
            <w:vAlign w:val="center"/>
          </w:tcPr>
          <w:p w:rsidR="005E1D98" w:rsidRDefault="005E1D98">
            <w:pPr>
              <w:jc w:val="center"/>
              <w:rPr>
                <w:rFonts w:ascii="Garamond" w:hAnsi="Garamond"/>
                <w:color w:val="000000"/>
              </w:rPr>
            </w:pPr>
            <w:r>
              <w:rPr>
                <w:rFonts w:ascii="Garamond" w:hAnsi="Garamond"/>
                <w:color w:val="000000"/>
              </w:rPr>
              <w:t>48,7</w:t>
            </w:r>
          </w:p>
        </w:tc>
        <w:tc>
          <w:tcPr>
            <w:tcW w:w="1124" w:type="dxa"/>
            <w:vAlign w:val="center"/>
          </w:tcPr>
          <w:p w:rsidR="005E1D98" w:rsidRDefault="005E1D98">
            <w:pPr>
              <w:jc w:val="center"/>
              <w:rPr>
                <w:rFonts w:ascii="Garamond" w:hAnsi="Garamond"/>
                <w:color w:val="000000"/>
              </w:rPr>
            </w:pPr>
            <w:r>
              <w:rPr>
                <w:rFonts w:ascii="Garamond" w:hAnsi="Garamond"/>
                <w:color w:val="000000"/>
              </w:rPr>
              <w:t>42,2</w:t>
            </w:r>
          </w:p>
        </w:tc>
        <w:tc>
          <w:tcPr>
            <w:tcW w:w="1122" w:type="dxa"/>
            <w:vAlign w:val="center"/>
          </w:tcPr>
          <w:p w:rsidR="005E1D98" w:rsidRDefault="005E1D98">
            <w:pPr>
              <w:jc w:val="center"/>
              <w:rPr>
                <w:rFonts w:ascii="Garamond" w:hAnsi="Garamond"/>
                <w:color w:val="000000"/>
              </w:rPr>
            </w:pPr>
            <w:r>
              <w:rPr>
                <w:rFonts w:ascii="Garamond" w:hAnsi="Garamond"/>
                <w:color w:val="000000"/>
              </w:rPr>
              <w:t>58,1</w:t>
            </w:r>
          </w:p>
        </w:tc>
        <w:tc>
          <w:tcPr>
            <w:tcW w:w="1123" w:type="dxa"/>
            <w:vAlign w:val="center"/>
          </w:tcPr>
          <w:p w:rsidR="005E1D98" w:rsidRDefault="005E1D98">
            <w:pPr>
              <w:jc w:val="center"/>
              <w:rPr>
                <w:rFonts w:ascii="Garamond" w:hAnsi="Garamond"/>
                <w:color w:val="000000"/>
              </w:rPr>
            </w:pPr>
            <w:r>
              <w:rPr>
                <w:rFonts w:ascii="Garamond" w:hAnsi="Garamond"/>
                <w:color w:val="000000"/>
              </w:rPr>
              <w:t>48,5</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le sexe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Hommes</w:t>
            </w:r>
          </w:p>
        </w:tc>
        <w:tc>
          <w:tcPr>
            <w:tcW w:w="849" w:type="dxa"/>
            <w:vAlign w:val="center"/>
          </w:tcPr>
          <w:p w:rsidR="005E1D98" w:rsidRDefault="005E1D98">
            <w:pPr>
              <w:jc w:val="center"/>
              <w:rPr>
                <w:rFonts w:ascii="Garamond" w:hAnsi="Garamond"/>
                <w:color w:val="000000"/>
              </w:rPr>
            </w:pPr>
            <w:r>
              <w:rPr>
                <w:rFonts w:ascii="Garamond" w:hAnsi="Garamond"/>
                <w:color w:val="000000"/>
              </w:rPr>
              <w:t>69,6</w:t>
            </w:r>
          </w:p>
        </w:tc>
        <w:tc>
          <w:tcPr>
            <w:tcW w:w="952" w:type="dxa"/>
            <w:vAlign w:val="center"/>
          </w:tcPr>
          <w:p w:rsidR="005E1D98" w:rsidRDefault="005E1D98">
            <w:pPr>
              <w:jc w:val="center"/>
              <w:rPr>
                <w:rFonts w:ascii="Garamond" w:hAnsi="Garamond"/>
                <w:color w:val="000000"/>
              </w:rPr>
            </w:pPr>
            <w:r>
              <w:rPr>
                <w:rFonts w:ascii="Garamond" w:hAnsi="Garamond"/>
                <w:color w:val="000000"/>
              </w:rPr>
              <w:t>79,7</w:t>
            </w:r>
          </w:p>
        </w:tc>
        <w:tc>
          <w:tcPr>
            <w:tcW w:w="1123" w:type="dxa"/>
            <w:vAlign w:val="center"/>
          </w:tcPr>
          <w:p w:rsidR="005E1D98" w:rsidRDefault="005E1D98">
            <w:pPr>
              <w:jc w:val="center"/>
              <w:rPr>
                <w:rFonts w:ascii="Garamond" w:hAnsi="Garamond"/>
                <w:color w:val="000000"/>
              </w:rPr>
            </w:pPr>
            <w:r>
              <w:rPr>
                <w:rFonts w:ascii="Garamond" w:hAnsi="Garamond"/>
                <w:color w:val="000000"/>
              </w:rPr>
              <w:t>73,6</w:t>
            </w:r>
          </w:p>
        </w:tc>
        <w:tc>
          <w:tcPr>
            <w:tcW w:w="1124" w:type="dxa"/>
            <w:vAlign w:val="center"/>
          </w:tcPr>
          <w:p w:rsidR="005E1D98" w:rsidRDefault="005E1D98">
            <w:pPr>
              <w:jc w:val="center"/>
              <w:rPr>
                <w:rFonts w:ascii="Garamond" w:hAnsi="Garamond"/>
                <w:color w:val="000000"/>
              </w:rPr>
            </w:pPr>
            <w:r>
              <w:rPr>
                <w:rFonts w:ascii="Garamond" w:hAnsi="Garamond"/>
                <w:color w:val="000000"/>
              </w:rPr>
              <w:t>67,9</w:t>
            </w:r>
          </w:p>
        </w:tc>
        <w:tc>
          <w:tcPr>
            <w:tcW w:w="1122" w:type="dxa"/>
            <w:vAlign w:val="center"/>
          </w:tcPr>
          <w:p w:rsidR="005E1D98" w:rsidRDefault="005E1D98">
            <w:pPr>
              <w:jc w:val="center"/>
              <w:rPr>
                <w:rFonts w:ascii="Garamond" w:hAnsi="Garamond"/>
                <w:color w:val="000000"/>
              </w:rPr>
            </w:pPr>
            <w:r>
              <w:rPr>
                <w:rFonts w:ascii="Garamond" w:hAnsi="Garamond"/>
                <w:color w:val="000000"/>
              </w:rPr>
              <w:t>78,7</w:t>
            </w:r>
          </w:p>
        </w:tc>
        <w:tc>
          <w:tcPr>
            <w:tcW w:w="1123" w:type="dxa"/>
            <w:vAlign w:val="center"/>
          </w:tcPr>
          <w:p w:rsidR="005E1D98" w:rsidRDefault="005E1D98">
            <w:pPr>
              <w:jc w:val="center"/>
              <w:rPr>
                <w:rFonts w:ascii="Garamond" w:hAnsi="Garamond"/>
                <w:color w:val="000000"/>
              </w:rPr>
            </w:pPr>
            <w:r>
              <w:rPr>
                <w:rFonts w:ascii="Garamond" w:hAnsi="Garamond"/>
                <w:color w:val="000000"/>
              </w:rPr>
              <w:t>72,2</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Femmes</w:t>
            </w:r>
          </w:p>
        </w:tc>
        <w:tc>
          <w:tcPr>
            <w:tcW w:w="849" w:type="dxa"/>
            <w:vAlign w:val="center"/>
          </w:tcPr>
          <w:p w:rsidR="005E1D98" w:rsidRDefault="005E1D98">
            <w:pPr>
              <w:jc w:val="center"/>
              <w:rPr>
                <w:rFonts w:ascii="Garamond" w:hAnsi="Garamond"/>
                <w:color w:val="000000"/>
              </w:rPr>
            </w:pPr>
            <w:r>
              <w:rPr>
                <w:rFonts w:ascii="Garamond" w:hAnsi="Garamond"/>
                <w:color w:val="000000"/>
              </w:rPr>
              <w:t>18,2</w:t>
            </w:r>
          </w:p>
        </w:tc>
        <w:tc>
          <w:tcPr>
            <w:tcW w:w="952" w:type="dxa"/>
            <w:vAlign w:val="center"/>
          </w:tcPr>
          <w:p w:rsidR="005E1D98" w:rsidRDefault="005E1D98">
            <w:pPr>
              <w:jc w:val="center"/>
              <w:rPr>
                <w:rFonts w:ascii="Garamond" w:hAnsi="Garamond"/>
                <w:color w:val="000000"/>
              </w:rPr>
            </w:pPr>
            <w:r>
              <w:rPr>
                <w:rFonts w:ascii="Garamond" w:hAnsi="Garamond"/>
                <w:color w:val="000000"/>
              </w:rPr>
              <w:t>36,3</w:t>
            </w:r>
          </w:p>
        </w:tc>
        <w:tc>
          <w:tcPr>
            <w:tcW w:w="1123" w:type="dxa"/>
            <w:vAlign w:val="center"/>
          </w:tcPr>
          <w:p w:rsidR="005E1D98" w:rsidRDefault="005E1D98">
            <w:pPr>
              <w:jc w:val="center"/>
              <w:rPr>
                <w:rFonts w:ascii="Garamond" w:hAnsi="Garamond"/>
                <w:color w:val="000000"/>
              </w:rPr>
            </w:pPr>
            <w:r>
              <w:rPr>
                <w:rFonts w:ascii="Garamond" w:hAnsi="Garamond"/>
                <w:color w:val="000000"/>
              </w:rPr>
              <w:t>25,4</w:t>
            </w:r>
          </w:p>
        </w:tc>
        <w:tc>
          <w:tcPr>
            <w:tcW w:w="1124" w:type="dxa"/>
            <w:vAlign w:val="center"/>
          </w:tcPr>
          <w:p w:rsidR="005E1D98" w:rsidRDefault="005E1D98">
            <w:pPr>
              <w:jc w:val="center"/>
              <w:rPr>
                <w:rFonts w:ascii="Garamond" w:hAnsi="Garamond"/>
                <w:color w:val="000000"/>
              </w:rPr>
            </w:pPr>
            <w:r>
              <w:rPr>
                <w:rFonts w:ascii="Garamond" w:hAnsi="Garamond"/>
                <w:color w:val="000000"/>
              </w:rPr>
              <w:t>18,2</w:t>
            </w:r>
          </w:p>
        </w:tc>
        <w:tc>
          <w:tcPr>
            <w:tcW w:w="1122" w:type="dxa"/>
            <w:vAlign w:val="center"/>
          </w:tcPr>
          <w:p w:rsidR="005E1D98" w:rsidRDefault="005E1D98">
            <w:pPr>
              <w:jc w:val="center"/>
              <w:rPr>
                <w:rFonts w:ascii="Garamond" w:hAnsi="Garamond"/>
                <w:color w:val="000000"/>
              </w:rPr>
            </w:pPr>
            <w:r>
              <w:rPr>
                <w:rFonts w:ascii="Garamond" w:hAnsi="Garamond"/>
                <w:color w:val="000000"/>
              </w:rPr>
              <w:t>38,7</w:t>
            </w:r>
          </w:p>
        </w:tc>
        <w:tc>
          <w:tcPr>
            <w:tcW w:w="1123" w:type="dxa"/>
            <w:vAlign w:val="center"/>
          </w:tcPr>
          <w:p w:rsidR="005E1D98" w:rsidRDefault="005E1D98">
            <w:pPr>
              <w:jc w:val="center"/>
              <w:rPr>
                <w:rFonts w:ascii="Garamond" w:hAnsi="Garamond"/>
                <w:color w:val="000000"/>
              </w:rPr>
            </w:pPr>
            <w:r>
              <w:rPr>
                <w:rFonts w:ascii="Garamond" w:hAnsi="Garamond"/>
                <w:color w:val="000000"/>
              </w:rPr>
              <w:t>26,2</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l’âge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15 - 24 ans</w:t>
            </w:r>
          </w:p>
        </w:tc>
        <w:tc>
          <w:tcPr>
            <w:tcW w:w="849" w:type="dxa"/>
            <w:vAlign w:val="center"/>
          </w:tcPr>
          <w:p w:rsidR="005E1D98" w:rsidRDefault="005E1D98">
            <w:pPr>
              <w:jc w:val="center"/>
              <w:rPr>
                <w:rFonts w:ascii="Garamond" w:hAnsi="Garamond"/>
                <w:color w:val="000000"/>
              </w:rPr>
            </w:pPr>
            <w:r>
              <w:rPr>
                <w:rFonts w:ascii="Garamond" w:hAnsi="Garamond"/>
                <w:color w:val="000000"/>
              </w:rPr>
              <w:t>25,9</w:t>
            </w:r>
          </w:p>
        </w:tc>
        <w:tc>
          <w:tcPr>
            <w:tcW w:w="952" w:type="dxa"/>
            <w:vAlign w:val="center"/>
          </w:tcPr>
          <w:p w:rsidR="005E1D98" w:rsidRDefault="005E1D98">
            <w:pPr>
              <w:jc w:val="center"/>
              <w:rPr>
                <w:rFonts w:ascii="Garamond" w:hAnsi="Garamond"/>
                <w:color w:val="000000"/>
              </w:rPr>
            </w:pPr>
            <w:r>
              <w:rPr>
                <w:rFonts w:ascii="Garamond" w:hAnsi="Garamond"/>
                <w:color w:val="000000"/>
              </w:rPr>
              <w:t>43,2</w:t>
            </w:r>
          </w:p>
        </w:tc>
        <w:tc>
          <w:tcPr>
            <w:tcW w:w="1123" w:type="dxa"/>
            <w:vAlign w:val="center"/>
          </w:tcPr>
          <w:p w:rsidR="005E1D98" w:rsidRDefault="005E1D98">
            <w:pPr>
              <w:jc w:val="center"/>
              <w:rPr>
                <w:rFonts w:ascii="Garamond" w:hAnsi="Garamond"/>
                <w:color w:val="000000"/>
              </w:rPr>
            </w:pPr>
            <w:r>
              <w:rPr>
                <w:rFonts w:ascii="Garamond" w:hAnsi="Garamond"/>
                <w:color w:val="000000"/>
              </w:rPr>
              <w:t>33,8</w:t>
            </w:r>
          </w:p>
        </w:tc>
        <w:tc>
          <w:tcPr>
            <w:tcW w:w="1124" w:type="dxa"/>
            <w:vAlign w:val="center"/>
          </w:tcPr>
          <w:p w:rsidR="005E1D98" w:rsidRDefault="005E1D98">
            <w:pPr>
              <w:jc w:val="center"/>
              <w:rPr>
                <w:rFonts w:ascii="Garamond" w:hAnsi="Garamond"/>
                <w:color w:val="000000"/>
              </w:rPr>
            </w:pPr>
            <w:r>
              <w:rPr>
                <w:rFonts w:ascii="Garamond" w:hAnsi="Garamond"/>
                <w:color w:val="000000"/>
              </w:rPr>
              <w:t>22,8</w:t>
            </w:r>
          </w:p>
        </w:tc>
        <w:tc>
          <w:tcPr>
            <w:tcW w:w="1122" w:type="dxa"/>
            <w:vAlign w:val="center"/>
          </w:tcPr>
          <w:p w:rsidR="005E1D98" w:rsidRDefault="005E1D98">
            <w:pPr>
              <w:jc w:val="center"/>
              <w:rPr>
                <w:rFonts w:ascii="Garamond" w:hAnsi="Garamond"/>
                <w:color w:val="000000"/>
              </w:rPr>
            </w:pPr>
            <w:r>
              <w:rPr>
                <w:rFonts w:ascii="Garamond" w:hAnsi="Garamond"/>
                <w:color w:val="000000"/>
              </w:rPr>
              <w:t>42,9</w:t>
            </w:r>
          </w:p>
        </w:tc>
        <w:tc>
          <w:tcPr>
            <w:tcW w:w="1123" w:type="dxa"/>
            <w:vAlign w:val="center"/>
          </w:tcPr>
          <w:p w:rsidR="005E1D98" w:rsidRDefault="005E1D98">
            <w:pPr>
              <w:jc w:val="center"/>
              <w:rPr>
                <w:rFonts w:ascii="Garamond" w:hAnsi="Garamond"/>
                <w:color w:val="000000"/>
              </w:rPr>
            </w:pPr>
            <w:r>
              <w:rPr>
                <w:rFonts w:ascii="Garamond" w:hAnsi="Garamond"/>
                <w:color w:val="000000"/>
              </w:rPr>
              <w:t>32,0</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25 - 34 ans</w:t>
            </w:r>
          </w:p>
        </w:tc>
        <w:tc>
          <w:tcPr>
            <w:tcW w:w="849" w:type="dxa"/>
            <w:vAlign w:val="center"/>
          </w:tcPr>
          <w:p w:rsidR="005E1D98" w:rsidRDefault="005E1D98">
            <w:pPr>
              <w:jc w:val="center"/>
              <w:rPr>
                <w:rFonts w:ascii="Garamond" w:hAnsi="Garamond"/>
                <w:color w:val="000000"/>
              </w:rPr>
            </w:pPr>
            <w:r>
              <w:rPr>
                <w:rFonts w:ascii="Garamond" w:hAnsi="Garamond"/>
                <w:color w:val="000000"/>
              </w:rPr>
              <w:t>59,0</w:t>
            </w:r>
          </w:p>
        </w:tc>
        <w:tc>
          <w:tcPr>
            <w:tcW w:w="952" w:type="dxa"/>
            <w:vAlign w:val="center"/>
          </w:tcPr>
          <w:p w:rsidR="005E1D98" w:rsidRDefault="005E1D98">
            <w:pPr>
              <w:jc w:val="center"/>
              <w:rPr>
                <w:rFonts w:ascii="Garamond" w:hAnsi="Garamond"/>
                <w:color w:val="000000"/>
              </w:rPr>
            </w:pPr>
            <w:r>
              <w:rPr>
                <w:rFonts w:ascii="Garamond" w:hAnsi="Garamond"/>
                <w:color w:val="000000"/>
              </w:rPr>
              <w:t>65,4</w:t>
            </w:r>
          </w:p>
        </w:tc>
        <w:tc>
          <w:tcPr>
            <w:tcW w:w="1123" w:type="dxa"/>
            <w:vAlign w:val="center"/>
          </w:tcPr>
          <w:p w:rsidR="005E1D98" w:rsidRDefault="005E1D98">
            <w:pPr>
              <w:jc w:val="center"/>
              <w:rPr>
                <w:rFonts w:ascii="Garamond" w:hAnsi="Garamond"/>
                <w:color w:val="000000"/>
              </w:rPr>
            </w:pPr>
            <w:r>
              <w:rPr>
                <w:rFonts w:ascii="Garamond" w:hAnsi="Garamond"/>
                <w:color w:val="000000"/>
              </w:rPr>
              <w:t>61,5</w:t>
            </w:r>
          </w:p>
        </w:tc>
        <w:tc>
          <w:tcPr>
            <w:tcW w:w="1124" w:type="dxa"/>
            <w:vAlign w:val="center"/>
          </w:tcPr>
          <w:p w:rsidR="005E1D98" w:rsidRDefault="005E1D98">
            <w:pPr>
              <w:jc w:val="center"/>
              <w:rPr>
                <w:rFonts w:ascii="Garamond" w:hAnsi="Garamond"/>
                <w:color w:val="000000"/>
              </w:rPr>
            </w:pPr>
            <w:r>
              <w:rPr>
                <w:rFonts w:ascii="Garamond" w:hAnsi="Garamond"/>
                <w:color w:val="000000"/>
              </w:rPr>
              <w:t>59,1</w:t>
            </w:r>
          </w:p>
        </w:tc>
        <w:tc>
          <w:tcPr>
            <w:tcW w:w="1122" w:type="dxa"/>
            <w:vAlign w:val="center"/>
          </w:tcPr>
          <w:p w:rsidR="005E1D98" w:rsidRDefault="005E1D98">
            <w:pPr>
              <w:jc w:val="center"/>
              <w:rPr>
                <w:rFonts w:ascii="Garamond" w:hAnsi="Garamond"/>
                <w:color w:val="000000"/>
              </w:rPr>
            </w:pPr>
            <w:r>
              <w:rPr>
                <w:rFonts w:ascii="Garamond" w:hAnsi="Garamond"/>
                <w:color w:val="000000"/>
              </w:rPr>
              <w:t>65,8</w:t>
            </w:r>
          </w:p>
        </w:tc>
        <w:tc>
          <w:tcPr>
            <w:tcW w:w="1123" w:type="dxa"/>
            <w:vAlign w:val="center"/>
          </w:tcPr>
          <w:p w:rsidR="005E1D98" w:rsidRDefault="005E1D98">
            <w:pPr>
              <w:jc w:val="center"/>
              <w:rPr>
                <w:rFonts w:ascii="Garamond" w:hAnsi="Garamond"/>
                <w:color w:val="000000"/>
              </w:rPr>
            </w:pPr>
            <w:r>
              <w:rPr>
                <w:rFonts w:ascii="Garamond" w:hAnsi="Garamond"/>
                <w:color w:val="000000"/>
              </w:rPr>
              <w:t>61,8</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35 - 44 ans</w:t>
            </w:r>
          </w:p>
        </w:tc>
        <w:tc>
          <w:tcPr>
            <w:tcW w:w="849" w:type="dxa"/>
            <w:vAlign w:val="center"/>
          </w:tcPr>
          <w:p w:rsidR="005E1D98" w:rsidRDefault="005E1D98">
            <w:pPr>
              <w:jc w:val="center"/>
              <w:rPr>
                <w:rFonts w:ascii="Garamond" w:hAnsi="Garamond"/>
                <w:color w:val="000000"/>
              </w:rPr>
            </w:pPr>
            <w:r>
              <w:rPr>
                <w:rFonts w:ascii="Garamond" w:hAnsi="Garamond"/>
                <w:color w:val="000000"/>
              </w:rPr>
              <w:t>56,8</w:t>
            </w:r>
          </w:p>
        </w:tc>
        <w:tc>
          <w:tcPr>
            <w:tcW w:w="952" w:type="dxa"/>
            <w:vAlign w:val="center"/>
          </w:tcPr>
          <w:p w:rsidR="005E1D98" w:rsidRDefault="005E1D98">
            <w:pPr>
              <w:jc w:val="center"/>
              <w:rPr>
                <w:rFonts w:ascii="Garamond" w:hAnsi="Garamond"/>
                <w:color w:val="000000"/>
              </w:rPr>
            </w:pPr>
            <w:r>
              <w:rPr>
                <w:rFonts w:ascii="Garamond" w:hAnsi="Garamond"/>
                <w:color w:val="000000"/>
              </w:rPr>
              <w:t>70,8</w:t>
            </w:r>
          </w:p>
        </w:tc>
        <w:tc>
          <w:tcPr>
            <w:tcW w:w="1123" w:type="dxa"/>
            <w:vAlign w:val="center"/>
          </w:tcPr>
          <w:p w:rsidR="005E1D98" w:rsidRDefault="005E1D98">
            <w:pPr>
              <w:jc w:val="center"/>
              <w:rPr>
                <w:rFonts w:ascii="Garamond" w:hAnsi="Garamond"/>
                <w:color w:val="000000"/>
              </w:rPr>
            </w:pPr>
            <w:r>
              <w:rPr>
                <w:rFonts w:ascii="Garamond" w:hAnsi="Garamond"/>
                <w:color w:val="000000"/>
              </w:rPr>
              <w:t>61,8</w:t>
            </w:r>
          </w:p>
        </w:tc>
        <w:tc>
          <w:tcPr>
            <w:tcW w:w="1124" w:type="dxa"/>
            <w:vAlign w:val="center"/>
          </w:tcPr>
          <w:p w:rsidR="005E1D98" w:rsidRDefault="005E1D98">
            <w:pPr>
              <w:jc w:val="center"/>
              <w:rPr>
                <w:rFonts w:ascii="Garamond" w:hAnsi="Garamond"/>
                <w:color w:val="000000"/>
              </w:rPr>
            </w:pPr>
            <w:r>
              <w:rPr>
                <w:rFonts w:ascii="Garamond" w:hAnsi="Garamond"/>
                <w:color w:val="000000"/>
              </w:rPr>
              <w:t>57,2</w:t>
            </w:r>
          </w:p>
        </w:tc>
        <w:tc>
          <w:tcPr>
            <w:tcW w:w="1122" w:type="dxa"/>
            <w:vAlign w:val="center"/>
          </w:tcPr>
          <w:p w:rsidR="005E1D98" w:rsidRDefault="005E1D98">
            <w:pPr>
              <w:jc w:val="center"/>
              <w:rPr>
                <w:rFonts w:ascii="Garamond" w:hAnsi="Garamond"/>
                <w:color w:val="000000"/>
              </w:rPr>
            </w:pPr>
            <w:r>
              <w:rPr>
                <w:rFonts w:ascii="Garamond" w:hAnsi="Garamond"/>
                <w:color w:val="000000"/>
              </w:rPr>
              <w:t>71,7</w:t>
            </w:r>
          </w:p>
        </w:tc>
        <w:tc>
          <w:tcPr>
            <w:tcW w:w="1123" w:type="dxa"/>
            <w:vAlign w:val="center"/>
          </w:tcPr>
          <w:p w:rsidR="005E1D98" w:rsidRDefault="005E1D98">
            <w:pPr>
              <w:jc w:val="center"/>
              <w:rPr>
                <w:rFonts w:ascii="Garamond" w:hAnsi="Garamond"/>
                <w:color w:val="000000"/>
              </w:rPr>
            </w:pPr>
            <w:r>
              <w:rPr>
                <w:rFonts w:ascii="Garamond" w:hAnsi="Garamond"/>
                <w:color w:val="000000"/>
              </w:rPr>
              <w:t>62,4</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45 ans et plus</w:t>
            </w:r>
          </w:p>
        </w:tc>
        <w:tc>
          <w:tcPr>
            <w:tcW w:w="849" w:type="dxa"/>
            <w:vAlign w:val="center"/>
          </w:tcPr>
          <w:p w:rsidR="005E1D98" w:rsidRDefault="005E1D98">
            <w:pPr>
              <w:jc w:val="center"/>
              <w:rPr>
                <w:rFonts w:ascii="Garamond" w:hAnsi="Garamond"/>
                <w:color w:val="000000"/>
              </w:rPr>
            </w:pPr>
            <w:r>
              <w:rPr>
                <w:rFonts w:ascii="Garamond" w:hAnsi="Garamond"/>
                <w:color w:val="000000"/>
              </w:rPr>
              <w:t>36,3</w:t>
            </w:r>
          </w:p>
        </w:tc>
        <w:tc>
          <w:tcPr>
            <w:tcW w:w="952" w:type="dxa"/>
            <w:vAlign w:val="center"/>
          </w:tcPr>
          <w:p w:rsidR="005E1D98" w:rsidRDefault="005E1D98">
            <w:pPr>
              <w:jc w:val="center"/>
              <w:rPr>
                <w:rFonts w:ascii="Garamond" w:hAnsi="Garamond"/>
                <w:color w:val="000000"/>
              </w:rPr>
            </w:pPr>
            <w:r>
              <w:rPr>
                <w:rFonts w:ascii="Garamond" w:hAnsi="Garamond"/>
                <w:color w:val="000000"/>
              </w:rPr>
              <w:t>58,4</w:t>
            </w:r>
          </w:p>
        </w:tc>
        <w:tc>
          <w:tcPr>
            <w:tcW w:w="1123" w:type="dxa"/>
            <w:vAlign w:val="center"/>
          </w:tcPr>
          <w:p w:rsidR="005E1D98" w:rsidRDefault="005E1D98">
            <w:pPr>
              <w:jc w:val="center"/>
              <w:rPr>
                <w:rFonts w:ascii="Garamond" w:hAnsi="Garamond"/>
                <w:color w:val="000000"/>
              </w:rPr>
            </w:pPr>
            <w:r>
              <w:rPr>
                <w:rFonts w:ascii="Garamond" w:hAnsi="Garamond"/>
                <w:color w:val="000000"/>
              </w:rPr>
              <w:t>44,4</w:t>
            </w:r>
          </w:p>
        </w:tc>
        <w:tc>
          <w:tcPr>
            <w:tcW w:w="1124" w:type="dxa"/>
            <w:vAlign w:val="center"/>
          </w:tcPr>
          <w:p w:rsidR="005E1D98" w:rsidRDefault="005E1D98">
            <w:pPr>
              <w:jc w:val="center"/>
              <w:rPr>
                <w:rFonts w:ascii="Garamond" w:hAnsi="Garamond"/>
                <w:color w:val="000000"/>
              </w:rPr>
            </w:pPr>
            <w:r>
              <w:rPr>
                <w:rFonts w:ascii="Garamond" w:hAnsi="Garamond"/>
                <w:color w:val="000000"/>
              </w:rPr>
              <w:t>35,5</w:t>
            </w:r>
          </w:p>
        </w:tc>
        <w:tc>
          <w:tcPr>
            <w:tcW w:w="1122" w:type="dxa"/>
            <w:vAlign w:val="center"/>
          </w:tcPr>
          <w:p w:rsidR="005E1D98" w:rsidRDefault="005E1D98">
            <w:pPr>
              <w:jc w:val="center"/>
              <w:rPr>
                <w:rFonts w:ascii="Garamond" w:hAnsi="Garamond"/>
                <w:color w:val="000000"/>
              </w:rPr>
            </w:pPr>
            <w:r>
              <w:rPr>
                <w:rFonts w:ascii="Garamond" w:hAnsi="Garamond"/>
                <w:color w:val="000000"/>
              </w:rPr>
              <w:t>59,8</w:t>
            </w:r>
          </w:p>
        </w:tc>
        <w:tc>
          <w:tcPr>
            <w:tcW w:w="1123" w:type="dxa"/>
            <w:vAlign w:val="center"/>
          </w:tcPr>
          <w:p w:rsidR="005E1D98" w:rsidRDefault="005E1D98">
            <w:pPr>
              <w:jc w:val="center"/>
              <w:rPr>
                <w:rFonts w:ascii="Garamond" w:hAnsi="Garamond"/>
                <w:color w:val="000000"/>
              </w:rPr>
            </w:pPr>
            <w:r>
              <w:rPr>
                <w:rFonts w:ascii="Garamond" w:hAnsi="Garamond"/>
                <w:color w:val="000000"/>
              </w:rPr>
              <w:t>44,3</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le diplôme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Sans diplôme</w:t>
            </w:r>
          </w:p>
        </w:tc>
        <w:tc>
          <w:tcPr>
            <w:tcW w:w="849" w:type="dxa"/>
            <w:vAlign w:val="center"/>
          </w:tcPr>
          <w:p w:rsidR="005E1D98" w:rsidRDefault="005E1D98">
            <w:pPr>
              <w:jc w:val="center"/>
              <w:rPr>
                <w:rFonts w:ascii="Garamond" w:hAnsi="Garamond"/>
                <w:color w:val="000000"/>
              </w:rPr>
            </w:pPr>
            <w:r>
              <w:rPr>
                <w:rFonts w:ascii="Garamond" w:hAnsi="Garamond"/>
                <w:color w:val="000000"/>
              </w:rPr>
              <w:t>37,1</w:t>
            </w:r>
          </w:p>
        </w:tc>
        <w:tc>
          <w:tcPr>
            <w:tcW w:w="952" w:type="dxa"/>
            <w:vAlign w:val="center"/>
          </w:tcPr>
          <w:p w:rsidR="005E1D98" w:rsidRDefault="005E1D98">
            <w:pPr>
              <w:jc w:val="center"/>
              <w:rPr>
                <w:rFonts w:ascii="Garamond" w:hAnsi="Garamond"/>
                <w:color w:val="000000"/>
              </w:rPr>
            </w:pPr>
            <w:r>
              <w:rPr>
                <w:rFonts w:ascii="Garamond" w:hAnsi="Garamond"/>
                <w:color w:val="000000"/>
              </w:rPr>
              <w:t>59,8</w:t>
            </w:r>
          </w:p>
        </w:tc>
        <w:tc>
          <w:tcPr>
            <w:tcW w:w="1123" w:type="dxa"/>
            <w:vAlign w:val="center"/>
          </w:tcPr>
          <w:p w:rsidR="005E1D98" w:rsidRDefault="005E1D98">
            <w:pPr>
              <w:jc w:val="center"/>
              <w:rPr>
                <w:rFonts w:ascii="Garamond" w:hAnsi="Garamond"/>
                <w:color w:val="000000"/>
              </w:rPr>
            </w:pPr>
            <w:r>
              <w:rPr>
                <w:rFonts w:ascii="Garamond" w:hAnsi="Garamond"/>
                <w:color w:val="000000"/>
              </w:rPr>
              <w:t>48,9</w:t>
            </w:r>
          </w:p>
        </w:tc>
        <w:tc>
          <w:tcPr>
            <w:tcW w:w="1124" w:type="dxa"/>
            <w:vAlign w:val="center"/>
          </w:tcPr>
          <w:p w:rsidR="005E1D98" w:rsidRDefault="005E1D98">
            <w:pPr>
              <w:jc w:val="center"/>
              <w:rPr>
                <w:rFonts w:ascii="Garamond" w:hAnsi="Garamond"/>
                <w:color w:val="000000"/>
              </w:rPr>
            </w:pPr>
            <w:r>
              <w:rPr>
                <w:rFonts w:ascii="Garamond" w:hAnsi="Garamond"/>
                <w:color w:val="000000"/>
              </w:rPr>
              <w:t>36,6</w:t>
            </w:r>
          </w:p>
        </w:tc>
        <w:tc>
          <w:tcPr>
            <w:tcW w:w="1122" w:type="dxa"/>
            <w:vAlign w:val="center"/>
          </w:tcPr>
          <w:p w:rsidR="005E1D98" w:rsidRDefault="005E1D98">
            <w:pPr>
              <w:jc w:val="center"/>
              <w:rPr>
                <w:rFonts w:ascii="Garamond" w:hAnsi="Garamond"/>
                <w:color w:val="000000"/>
              </w:rPr>
            </w:pPr>
            <w:r>
              <w:rPr>
                <w:rFonts w:ascii="Garamond" w:hAnsi="Garamond"/>
                <w:color w:val="000000"/>
              </w:rPr>
              <w:t>61,4</w:t>
            </w:r>
          </w:p>
        </w:tc>
        <w:tc>
          <w:tcPr>
            <w:tcW w:w="1123" w:type="dxa"/>
            <w:vAlign w:val="center"/>
          </w:tcPr>
          <w:p w:rsidR="005E1D98" w:rsidRDefault="005E1D98">
            <w:pPr>
              <w:jc w:val="center"/>
              <w:rPr>
                <w:rFonts w:ascii="Garamond" w:hAnsi="Garamond"/>
                <w:color w:val="000000"/>
              </w:rPr>
            </w:pPr>
            <w:r>
              <w:rPr>
                <w:rFonts w:ascii="Garamond" w:hAnsi="Garamond"/>
                <w:color w:val="000000"/>
              </w:rPr>
              <w:t>49,4</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Ayant un diplôme</w:t>
            </w:r>
          </w:p>
        </w:tc>
        <w:tc>
          <w:tcPr>
            <w:tcW w:w="849" w:type="dxa"/>
            <w:vAlign w:val="center"/>
          </w:tcPr>
          <w:p w:rsidR="005E1D98" w:rsidRDefault="005E1D98">
            <w:pPr>
              <w:jc w:val="center"/>
              <w:rPr>
                <w:rFonts w:ascii="Garamond" w:hAnsi="Garamond"/>
                <w:color w:val="000000"/>
              </w:rPr>
            </w:pPr>
            <w:r>
              <w:rPr>
                <w:rFonts w:ascii="Garamond" w:hAnsi="Garamond"/>
                <w:color w:val="000000"/>
              </w:rPr>
              <w:t>48,4</w:t>
            </w:r>
          </w:p>
        </w:tc>
        <w:tc>
          <w:tcPr>
            <w:tcW w:w="952" w:type="dxa"/>
            <w:vAlign w:val="center"/>
          </w:tcPr>
          <w:p w:rsidR="005E1D98" w:rsidRDefault="005E1D98">
            <w:pPr>
              <w:jc w:val="center"/>
              <w:rPr>
                <w:rFonts w:ascii="Garamond" w:hAnsi="Garamond"/>
                <w:color w:val="000000"/>
              </w:rPr>
            </w:pPr>
            <w:r>
              <w:rPr>
                <w:rFonts w:ascii="Garamond" w:hAnsi="Garamond"/>
                <w:color w:val="000000"/>
              </w:rPr>
              <w:t>49,1</w:t>
            </w:r>
          </w:p>
        </w:tc>
        <w:tc>
          <w:tcPr>
            <w:tcW w:w="1123" w:type="dxa"/>
            <w:vAlign w:val="center"/>
          </w:tcPr>
          <w:p w:rsidR="005E1D98" w:rsidRDefault="005E1D98">
            <w:pPr>
              <w:jc w:val="center"/>
              <w:rPr>
                <w:rFonts w:ascii="Garamond" w:hAnsi="Garamond"/>
                <w:color w:val="000000"/>
              </w:rPr>
            </w:pPr>
            <w:r>
              <w:rPr>
                <w:rFonts w:ascii="Garamond" w:hAnsi="Garamond"/>
                <w:color w:val="000000"/>
              </w:rPr>
              <w:t>48,6</w:t>
            </w:r>
          </w:p>
        </w:tc>
        <w:tc>
          <w:tcPr>
            <w:tcW w:w="1124" w:type="dxa"/>
            <w:vAlign w:val="center"/>
          </w:tcPr>
          <w:p w:rsidR="005E1D98" w:rsidRDefault="005E1D98">
            <w:pPr>
              <w:jc w:val="center"/>
              <w:rPr>
                <w:rFonts w:ascii="Garamond" w:hAnsi="Garamond"/>
                <w:color w:val="000000"/>
              </w:rPr>
            </w:pPr>
            <w:r>
              <w:rPr>
                <w:rFonts w:ascii="Garamond" w:hAnsi="Garamond"/>
                <w:color w:val="000000"/>
              </w:rPr>
              <w:t>47,1</w:t>
            </w:r>
          </w:p>
        </w:tc>
        <w:tc>
          <w:tcPr>
            <w:tcW w:w="1122" w:type="dxa"/>
            <w:vAlign w:val="center"/>
          </w:tcPr>
          <w:p w:rsidR="005E1D98" w:rsidRDefault="005E1D98">
            <w:pPr>
              <w:jc w:val="center"/>
              <w:rPr>
                <w:rFonts w:ascii="Garamond" w:hAnsi="Garamond"/>
                <w:color w:val="000000"/>
              </w:rPr>
            </w:pPr>
            <w:r>
              <w:rPr>
                <w:rFonts w:ascii="Garamond" w:hAnsi="Garamond"/>
                <w:color w:val="000000"/>
              </w:rPr>
              <w:t>46,8</w:t>
            </w:r>
          </w:p>
        </w:tc>
        <w:tc>
          <w:tcPr>
            <w:tcW w:w="1123" w:type="dxa"/>
            <w:vAlign w:val="center"/>
          </w:tcPr>
          <w:p w:rsidR="005E1D98" w:rsidRDefault="005E1D98">
            <w:pPr>
              <w:jc w:val="center"/>
              <w:rPr>
                <w:rFonts w:ascii="Garamond" w:hAnsi="Garamond"/>
                <w:color w:val="000000"/>
              </w:rPr>
            </w:pPr>
            <w:r>
              <w:rPr>
                <w:rFonts w:ascii="Garamond" w:hAnsi="Garamond"/>
                <w:color w:val="000000"/>
              </w:rPr>
              <w:t>47,0</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Population active occupée </w:t>
            </w:r>
          </w:p>
        </w:tc>
        <w:tc>
          <w:tcPr>
            <w:tcW w:w="849" w:type="dxa"/>
            <w:vAlign w:val="center"/>
          </w:tcPr>
          <w:p w:rsidR="005E1D98" w:rsidRDefault="005E1D98">
            <w:pPr>
              <w:jc w:val="center"/>
              <w:rPr>
                <w:rFonts w:ascii="Garamond" w:hAnsi="Garamond"/>
                <w:b/>
                <w:bCs/>
                <w:color w:val="000000"/>
              </w:rPr>
            </w:pPr>
            <w:r>
              <w:rPr>
                <w:rFonts w:ascii="Garamond" w:hAnsi="Garamond"/>
                <w:b/>
                <w:bCs/>
                <w:color w:val="000000"/>
              </w:rPr>
              <w:t>5 332</w:t>
            </w:r>
          </w:p>
        </w:tc>
        <w:tc>
          <w:tcPr>
            <w:tcW w:w="952" w:type="dxa"/>
            <w:vAlign w:val="center"/>
          </w:tcPr>
          <w:p w:rsidR="005E1D98" w:rsidRDefault="005E1D98">
            <w:pPr>
              <w:jc w:val="center"/>
              <w:rPr>
                <w:rFonts w:ascii="Garamond" w:hAnsi="Garamond"/>
                <w:b/>
                <w:bCs/>
                <w:color w:val="000000"/>
              </w:rPr>
            </w:pPr>
            <w:r>
              <w:rPr>
                <w:rFonts w:ascii="Garamond" w:hAnsi="Garamond"/>
                <w:b/>
                <w:bCs/>
                <w:color w:val="000000"/>
              </w:rPr>
              <w:t>5 217</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10 548</w:t>
            </w:r>
          </w:p>
        </w:tc>
        <w:tc>
          <w:tcPr>
            <w:tcW w:w="1124" w:type="dxa"/>
            <w:vAlign w:val="center"/>
          </w:tcPr>
          <w:p w:rsidR="005E1D98" w:rsidRDefault="005E1D98">
            <w:pPr>
              <w:jc w:val="center"/>
              <w:rPr>
                <w:rFonts w:ascii="Garamond" w:hAnsi="Garamond"/>
                <w:b/>
                <w:bCs/>
                <w:color w:val="000000"/>
              </w:rPr>
            </w:pPr>
            <w:r>
              <w:rPr>
                <w:rFonts w:ascii="Garamond" w:hAnsi="Garamond"/>
                <w:b/>
                <w:bCs/>
                <w:color w:val="000000"/>
              </w:rPr>
              <w:t>5 335</w:t>
            </w:r>
          </w:p>
        </w:tc>
        <w:tc>
          <w:tcPr>
            <w:tcW w:w="1122" w:type="dxa"/>
            <w:vAlign w:val="center"/>
          </w:tcPr>
          <w:p w:rsidR="005E1D98" w:rsidRDefault="005E1D98">
            <w:pPr>
              <w:jc w:val="center"/>
              <w:rPr>
                <w:rFonts w:ascii="Garamond" w:hAnsi="Garamond"/>
                <w:b/>
                <w:bCs/>
                <w:color w:val="000000"/>
              </w:rPr>
            </w:pPr>
            <w:r>
              <w:rPr>
                <w:rFonts w:ascii="Garamond" w:hAnsi="Garamond"/>
                <w:b/>
                <w:bCs/>
                <w:color w:val="000000"/>
              </w:rPr>
              <w:t>5 352</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10 687</w:t>
            </w:r>
          </w:p>
        </w:tc>
      </w:tr>
      <w:tr w:rsidR="005E1D98">
        <w:trPr>
          <w:jc w:val="center"/>
        </w:trPr>
        <w:tc>
          <w:tcPr>
            <w:tcW w:w="3886" w:type="dxa"/>
            <w:tcBorders>
              <w:bottom w:val="single" w:sz="4" w:space="0" w:color="auto"/>
            </w:tcBorders>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Taux d’emploi</w:t>
            </w:r>
          </w:p>
        </w:tc>
        <w:tc>
          <w:tcPr>
            <w:tcW w:w="849"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37,0</w:t>
            </w:r>
          </w:p>
        </w:tc>
        <w:tc>
          <w:tcPr>
            <w:tcW w:w="952"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55,0</w:t>
            </w:r>
          </w:p>
        </w:tc>
        <w:tc>
          <w:tcPr>
            <w:tcW w:w="1123"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44,1</w:t>
            </w:r>
          </w:p>
        </w:tc>
        <w:tc>
          <w:tcPr>
            <w:tcW w:w="1124"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36,3</w:t>
            </w:r>
          </w:p>
        </w:tc>
        <w:tc>
          <w:tcPr>
            <w:tcW w:w="1122"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55,9</w:t>
            </w:r>
          </w:p>
        </w:tc>
        <w:tc>
          <w:tcPr>
            <w:tcW w:w="1123" w:type="dxa"/>
            <w:tcBorders>
              <w:bottom w:val="single" w:sz="4" w:space="0" w:color="auto"/>
            </w:tcBorders>
            <w:vAlign w:val="center"/>
          </w:tcPr>
          <w:p w:rsidR="005E1D98" w:rsidRDefault="005E1D98">
            <w:pPr>
              <w:jc w:val="center"/>
              <w:rPr>
                <w:rFonts w:ascii="Garamond" w:hAnsi="Garamond"/>
                <w:color w:val="000000"/>
              </w:rPr>
            </w:pPr>
            <w:r>
              <w:rPr>
                <w:rFonts w:ascii="Garamond" w:hAnsi="Garamond"/>
                <w:color w:val="000000"/>
              </w:rPr>
              <w:t>44,0</w:t>
            </w:r>
          </w:p>
        </w:tc>
      </w:tr>
      <w:tr w:rsidR="005E1D98">
        <w:trPr>
          <w:trHeight w:val="309"/>
          <w:jc w:val="center"/>
        </w:trPr>
        <w:tc>
          <w:tcPr>
            <w:tcW w:w="3886" w:type="dxa"/>
            <w:tcBorders>
              <w:top w:val="single" w:sz="4" w:space="0" w:color="auto"/>
              <w:left w:val="single" w:sz="4" w:space="0" w:color="auto"/>
              <w:bottom w:val="single" w:sz="4" w:space="0" w:color="auto"/>
              <w:right w:val="single" w:sz="4" w:space="0" w:color="auto"/>
            </w:tcBorders>
          </w:tcPr>
          <w:p w:rsidR="005E1D98" w:rsidRDefault="005E1D98">
            <w:pPr>
              <w:tabs>
                <w:tab w:val="left" w:pos="-720"/>
              </w:tabs>
              <w:suppressAutoHyphens/>
              <w:jc w:val="right"/>
              <w:rPr>
                <w:rFonts w:ascii="Garamond" w:hAnsi="Garamond"/>
                <w:b/>
                <w:spacing w:val="-2"/>
                <w:sz w:val="18"/>
              </w:rPr>
            </w:pPr>
            <w:r>
              <w:rPr>
                <w:rFonts w:ascii="Garamond" w:hAnsi="Garamond"/>
                <w:b/>
                <w:spacing w:val="-2"/>
                <w:sz w:val="18"/>
              </w:rPr>
              <w:t>- Part de l’emploi  rémunéré dans l’emploi total. Dont : </w:t>
            </w:r>
          </w:p>
        </w:tc>
        <w:tc>
          <w:tcPr>
            <w:tcW w:w="849"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95,4</w:t>
            </w:r>
          </w:p>
        </w:tc>
        <w:tc>
          <w:tcPr>
            <w:tcW w:w="952"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59,2</w:t>
            </w:r>
          </w:p>
        </w:tc>
        <w:tc>
          <w:tcPr>
            <w:tcW w:w="1123"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77,5</w:t>
            </w:r>
          </w:p>
        </w:tc>
        <w:tc>
          <w:tcPr>
            <w:tcW w:w="1124"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95,7</w:t>
            </w:r>
          </w:p>
        </w:tc>
        <w:tc>
          <w:tcPr>
            <w:tcW w:w="1122"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58,0</w:t>
            </w:r>
          </w:p>
        </w:tc>
        <w:tc>
          <w:tcPr>
            <w:tcW w:w="1123" w:type="dxa"/>
            <w:tcBorders>
              <w:top w:val="single" w:sz="4" w:space="0" w:color="auto"/>
              <w:left w:val="single" w:sz="4" w:space="0" w:color="auto"/>
              <w:bottom w:val="single" w:sz="4" w:space="0" w:color="auto"/>
              <w:right w:val="single" w:sz="4" w:space="0" w:color="auto"/>
            </w:tcBorders>
            <w:vAlign w:val="center"/>
          </w:tcPr>
          <w:p w:rsidR="005E1D98" w:rsidRDefault="005E1D98">
            <w:pPr>
              <w:jc w:val="center"/>
              <w:rPr>
                <w:rFonts w:ascii="Garamond" w:hAnsi="Garamond"/>
                <w:color w:val="000000"/>
              </w:rPr>
            </w:pPr>
            <w:r>
              <w:rPr>
                <w:rFonts w:ascii="Garamond" w:hAnsi="Garamond"/>
                <w:color w:val="000000"/>
              </w:rPr>
              <w:t>76,8</w:t>
            </w:r>
          </w:p>
        </w:tc>
      </w:tr>
      <w:tr w:rsidR="005E1D98">
        <w:trPr>
          <w:jc w:val="center"/>
        </w:trPr>
        <w:tc>
          <w:tcPr>
            <w:tcW w:w="3886" w:type="dxa"/>
            <w:tcBorders>
              <w:top w:val="single" w:sz="4" w:space="0" w:color="auto"/>
            </w:tcBorders>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Salariés   </w:t>
            </w:r>
          </w:p>
        </w:tc>
        <w:tc>
          <w:tcPr>
            <w:tcW w:w="849" w:type="dxa"/>
            <w:tcBorders>
              <w:top w:val="single" w:sz="4" w:space="0" w:color="auto"/>
            </w:tcBorders>
            <w:vAlign w:val="center"/>
          </w:tcPr>
          <w:p w:rsidR="005E1D98" w:rsidRDefault="005E1D98">
            <w:pPr>
              <w:jc w:val="center"/>
              <w:rPr>
                <w:rFonts w:ascii="Garamond" w:hAnsi="Garamond"/>
              </w:rPr>
            </w:pPr>
            <w:r>
              <w:rPr>
                <w:rFonts w:ascii="Garamond" w:hAnsi="Garamond"/>
              </w:rPr>
              <w:t>66,1</w:t>
            </w:r>
          </w:p>
        </w:tc>
        <w:tc>
          <w:tcPr>
            <w:tcW w:w="952" w:type="dxa"/>
            <w:tcBorders>
              <w:top w:val="single" w:sz="4" w:space="0" w:color="auto"/>
            </w:tcBorders>
            <w:vAlign w:val="center"/>
          </w:tcPr>
          <w:p w:rsidR="005E1D98" w:rsidRDefault="005E1D98">
            <w:pPr>
              <w:jc w:val="center"/>
              <w:rPr>
                <w:rFonts w:ascii="Garamond" w:hAnsi="Garamond"/>
              </w:rPr>
            </w:pPr>
            <w:r>
              <w:rPr>
                <w:rFonts w:ascii="Garamond" w:hAnsi="Garamond"/>
              </w:rPr>
              <w:t>38,4</w:t>
            </w:r>
          </w:p>
        </w:tc>
        <w:tc>
          <w:tcPr>
            <w:tcW w:w="1123" w:type="dxa"/>
            <w:tcBorders>
              <w:top w:val="single" w:sz="4" w:space="0" w:color="auto"/>
            </w:tcBorders>
            <w:vAlign w:val="center"/>
          </w:tcPr>
          <w:p w:rsidR="005E1D98" w:rsidRDefault="005E1D98">
            <w:pPr>
              <w:jc w:val="center"/>
              <w:rPr>
                <w:rFonts w:ascii="Garamond" w:hAnsi="Garamond"/>
              </w:rPr>
            </w:pPr>
            <w:r>
              <w:rPr>
                <w:rFonts w:ascii="Garamond" w:hAnsi="Garamond"/>
              </w:rPr>
              <w:t>55,6</w:t>
            </w:r>
          </w:p>
        </w:tc>
        <w:tc>
          <w:tcPr>
            <w:tcW w:w="1124" w:type="dxa"/>
            <w:tcBorders>
              <w:top w:val="single" w:sz="4" w:space="0" w:color="auto"/>
            </w:tcBorders>
            <w:vAlign w:val="center"/>
          </w:tcPr>
          <w:p w:rsidR="005E1D98" w:rsidRDefault="005E1D98">
            <w:pPr>
              <w:jc w:val="center"/>
              <w:rPr>
                <w:rFonts w:ascii="Garamond" w:hAnsi="Garamond"/>
              </w:rPr>
            </w:pPr>
            <w:r>
              <w:rPr>
                <w:rFonts w:ascii="Garamond" w:hAnsi="Garamond"/>
              </w:rPr>
              <w:t>68,6</w:t>
            </w:r>
          </w:p>
        </w:tc>
        <w:tc>
          <w:tcPr>
            <w:tcW w:w="1122" w:type="dxa"/>
            <w:tcBorders>
              <w:top w:val="single" w:sz="4" w:space="0" w:color="auto"/>
            </w:tcBorders>
            <w:vAlign w:val="center"/>
          </w:tcPr>
          <w:p w:rsidR="005E1D98" w:rsidRDefault="005E1D98">
            <w:pPr>
              <w:jc w:val="center"/>
              <w:rPr>
                <w:rFonts w:ascii="Garamond" w:hAnsi="Garamond"/>
              </w:rPr>
            </w:pPr>
            <w:r>
              <w:rPr>
                <w:rFonts w:ascii="Garamond" w:hAnsi="Garamond"/>
              </w:rPr>
              <w:t>38,4</w:t>
            </w:r>
          </w:p>
        </w:tc>
        <w:tc>
          <w:tcPr>
            <w:tcW w:w="1123" w:type="dxa"/>
            <w:tcBorders>
              <w:top w:val="single" w:sz="4" w:space="0" w:color="auto"/>
            </w:tcBorders>
            <w:vAlign w:val="center"/>
          </w:tcPr>
          <w:p w:rsidR="005E1D98" w:rsidRDefault="005E1D98">
            <w:pPr>
              <w:jc w:val="center"/>
              <w:rPr>
                <w:rFonts w:ascii="Garamond" w:hAnsi="Garamond"/>
              </w:rPr>
            </w:pPr>
            <w:r>
              <w:rPr>
                <w:rFonts w:ascii="Garamond" w:hAnsi="Garamond"/>
              </w:rPr>
              <w:t>57,2</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Auto-employés    </w:t>
            </w:r>
          </w:p>
        </w:tc>
        <w:tc>
          <w:tcPr>
            <w:tcW w:w="849" w:type="dxa"/>
            <w:vAlign w:val="center"/>
          </w:tcPr>
          <w:p w:rsidR="005E1D98" w:rsidRDefault="005E1D98">
            <w:pPr>
              <w:jc w:val="center"/>
              <w:rPr>
                <w:rFonts w:ascii="Garamond" w:hAnsi="Garamond"/>
              </w:rPr>
            </w:pPr>
            <w:r>
              <w:rPr>
                <w:rFonts w:ascii="Garamond" w:hAnsi="Garamond"/>
              </w:rPr>
              <w:t>33,9</w:t>
            </w:r>
          </w:p>
        </w:tc>
        <w:tc>
          <w:tcPr>
            <w:tcW w:w="952" w:type="dxa"/>
            <w:vAlign w:val="center"/>
          </w:tcPr>
          <w:p w:rsidR="005E1D98" w:rsidRDefault="005E1D98">
            <w:pPr>
              <w:jc w:val="center"/>
              <w:rPr>
                <w:rFonts w:ascii="Garamond" w:hAnsi="Garamond"/>
              </w:rPr>
            </w:pPr>
            <w:r>
              <w:rPr>
                <w:rFonts w:ascii="Garamond" w:hAnsi="Garamond"/>
              </w:rPr>
              <w:t>61,6</w:t>
            </w:r>
          </w:p>
        </w:tc>
        <w:tc>
          <w:tcPr>
            <w:tcW w:w="1123" w:type="dxa"/>
            <w:vAlign w:val="center"/>
          </w:tcPr>
          <w:p w:rsidR="005E1D98" w:rsidRDefault="005E1D98">
            <w:pPr>
              <w:jc w:val="center"/>
              <w:rPr>
                <w:rFonts w:ascii="Garamond" w:hAnsi="Garamond"/>
              </w:rPr>
            </w:pPr>
            <w:r>
              <w:rPr>
                <w:rFonts w:ascii="Garamond" w:hAnsi="Garamond"/>
              </w:rPr>
              <w:t>44,4</w:t>
            </w:r>
          </w:p>
        </w:tc>
        <w:tc>
          <w:tcPr>
            <w:tcW w:w="1124" w:type="dxa"/>
            <w:vAlign w:val="center"/>
          </w:tcPr>
          <w:p w:rsidR="005E1D98" w:rsidRDefault="005E1D98">
            <w:pPr>
              <w:jc w:val="center"/>
              <w:rPr>
                <w:rFonts w:ascii="Garamond" w:hAnsi="Garamond"/>
              </w:rPr>
            </w:pPr>
            <w:r>
              <w:rPr>
                <w:rFonts w:ascii="Garamond" w:hAnsi="Garamond"/>
              </w:rPr>
              <w:t>31,4</w:t>
            </w:r>
          </w:p>
        </w:tc>
        <w:tc>
          <w:tcPr>
            <w:tcW w:w="1122" w:type="dxa"/>
            <w:vAlign w:val="center"/>
          </w:tcPr>
          <w:p w:rsidR="005E1D98" w:rsidRDefault="005E1D98">
            <w:pPr>
              <w:jc w:val="center"/>
              <w:rPr>
                <w:rFonts w:ascii="Garamond" w:hAnsi="Garamond"/>
              </w:rPr>
            </w:pPr>
            <w:r>
              <w:rPr>
                <w:rFonts w:ascii="Garamond" w:hAnsi="Garamond"/>
              </w:rPr>
              <w:t>61,6</w:t>
            </w:r>
          </w:p>
        </w:tc>
        <w:tc>
          <w:tcPr>
            <w:tcW w:w="1123" w:type="dxa"/>
            <w:vAlign w:val="center"/>
          </w:tcPr>
          <w:p w:rsidR="005E1D98" w:rsidRDefault="005E1D98">
            <w:pPr>
              <w:jc w:val="center"/>
              <w:rPr>
                <w:rFonts w:ascii="Garamond" w:hAnsi="Garamond"/>
              </w:rPr>
            </w:pPr>
            <w:r>
              <w:rPr>
                <w:rFonts w:ascii="Garamond" w:hAnsi="Garamond"/>
              </w:rPr>
              <w:t>42,8</w:t>
            </w:r>
          </w:p>
        </w:tc>
      </w:tr>
      <w:tr w:rsidR="005E1D98">
        <w:trPr>
          <w:jc w:val="center"/>
        </w:trPr>
        <w:tc>
          <w:tcPr>
            <w:tcW w:w="3886" w:type="dxa"/>
          </w:tcPr>
          <w:p w:rsidR="005E1D98" w:rsidRDefault="005E1D98">
            <w:pPr>
              <w:pStyle w:val="Paragraphedeliste"/>
              <w:numPr>
                <w:ilvl w:val="0"/>
                <w:numId w:val="1"/>
              </w:numPr>
              <w:tabs>
                <w:tab w:val="left" w:pos="-720"/>
              </w:tabs>
              <w:suppressAutoHyphens/>
              <w:bidi w:val="0"/>
              <w:spacing w:before="20" w:after="20"/>
              <w:ind w:left="0"/>
              <w:rPr>
                <w:rFonts w:ascii="Garamond" w:hAnsi="Garamond"/>
                <w:b/>
                <w:spacing w:val="-2"/>
                <w:sz w:val="18"/>
              </w:rPr>
            </w:pPr>
            <w:r>
              <w:rPr>
                <w:rFonts w:ascii="Garamond" w:hAnsi="Garamond"/>
                <w:b/>
                <w:spacing w:val="-2"/>
                <w:sz w:val="18"/>
              </w:rPr>
              <w:t>Population active occupée sous employée</w:t>
            </w:r>
          </w:p>
        </w:tc>
        <w:tc>
          <w:tcPr>
            <w:tcW w:w="849" w:type="dxa"/>
            <w:vAlign w:val="center"/>
          </w:tcPr>
          <w:p w:rsidR="005E1D98" w:rsidRDefault="005E1D98">
            <w:pPr>
              <w:jc w:val="center"/>
              <w:rPr>
                <w:rFonts w:ascii="Garamond" w:hAnsi="Garamond"/>
                <w:b/>
                <w:bCs/>
                <w:color w:val="000000"/>
              </w:rPr>
            </w:pPr>
            <w:r>
              <w:rPr>
                <w:rFonts w:ascii="Garamond" w:hAnsi="Garamond"/>
                <w:b/>
                <w:bCs/>
                <w:color w:val="000000"/>
              </w:rPr>
              <w:t>446</w:t>
            </w:r>
          </w:p>
        </w:tc>
        <w:tc>
          <w:tcPr>
            <w:tcW w:w="952" w:type="dxa"/>
            <w:vAlign w:val="center"/>
          </w:tcPr>
          <w:p w:rsidR="005E1D98" w:rsidRDefault="005E1D98">
            <w:pPr>
              <w:jc w:val="center"/>
              <w:rPr>
                <w:rFonts w:ascii="Garamond" w:hAnsi="Garamond"/>
                <w:b/>
                <w:bCs/>
                <w:color w:val="000000"/>
              </w:rPr>
            </w:pPr>
            <w:r>
              <w:rPr>
                <w:rFonts w:ascii="Garamond" w:hAnsi="Garamond"/>
                <w:b/>
                <w:bCs/>
                <w:color w:val="000000"/>
              </w:rPr>
              <w:t>502</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948</w:t>
            </w:r>
          </w:p>
        </w:tc>
        <w:tc>
          <w:tcPr>
            <w:tcW w:w="1124" w:type="dxa"/>
            <w:vAlign w:val="center"/>
          </w:tcPr>
          <w:p w:rsidR="005E1D98" w:rsidRDefault="005E1D98">
            <w:pPr>
              <w:jc w:val="center"/>
              <w:rPr>
                <w:rFonts w:ascii="Garamond" w:hAnsi="Garamond"/>
                <w:b/>
                <w:bCs/>
                <w:color w:val="000000"/>
              </w:rPr>
            </w:pPr>
            <w:r>
              <w:rPr>
                <w:rFonts w:ascii="Garamond" w:hAnsi="Garamond"/>
                <w:b/>
                <w:bCs/>
                <w:color w:val="000000"/>
              </w:rPr>
              <w:t>458</w:t>
            </w:r>
          </w:p>
        </w:tc>
        <w:tc>
          <w:tcPr>
            <w:tcW w:w="1122" w:type="dxa"/>
            <w:vAlign w:val="center"/>
          </w:tcPr>
          <w:p w:rsidR="005E1D98" w:rsidRDefault="005E1D98">
            <w:pPr>
              <w:jc w:val="center"/>
              <w:rPr>
                <w:rFonts w:ascii="Garamond" w:hAnsi="Garamond"/>
                <w:b/>
                <w:bCs/>
                <w:color w:val="000000"/>
              </w:rPr>
            </w:pPr>
            <w:r>
              <w:rPr>
                <w:rFonts w:ascii="Garamond" w:hAnsi="Garamond"/>
                <w:b/>
                <w:bCs/>
                <w:color w:val="000000"/>
              </w:rPr>
              <w:t>551</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1 009</w:t>
            </w:r>
          </w:p>
        </w:tc>
      </w:tr>
      <w:tr w:rsidR="005E1D98">
        <w:trPr>
          <w:jc w:val="center"/>
        </w:trPr>
        <w:tc>
          <w:tcPr>
            <w:tcW w:w="3886" w:type="dxa"/>
          </w:tcPr>
          <w:p w:rsidR="005E1D98" w:rsidRDefault="005E1D98">
            <w:pPr>
              <w:tabs>
                <w:tab w:val="left" w:pos="-720"/>
              </w:tabs>
              <w:suppressAutoHyphens/>
              <w:spacing w:before="20" w:after="20"/>
              <w:ind w:left="360"/>
              <w:jc w:val="right"/>
              <w:rPr>
                <w:rFonts w:ascii="Garamond" w:hAnsi="Garamond"/>
                <w:b/>
                <w:spacing w:val="-2"/>
                <w:sz w:val="18"/>
              </w:rPr>
            </w:pPr>
            <w:r>
              <w:rPr>
                <w:rFonts w:ascii="Garamond" w:hAnsi="Garamond"/>
                <w:b/>
                <w:spacing w:val="-2"/>
                <w:sz w:val="18"/>
              </w:rPr>
              <w:t>- Taux de sous emploi</w:t>
            </w:r>
          </w:p>
        </w:tc>
        <w:tc>
          <w:tcPr>
            <w:tcW w:w="849" w:type="dxa"/>
            <w:vAlign w:val="center"/>
          </w:tcPr>
          <w:p w:rsidR="005E1D98" w:rsidRDefault="005E1D98">
            <w:pPr>
              <w:jc w:val="center"/>
              <w:rPr>
                <w:rFonts w:ascii="Garamond" w:hAnsi="Garamond"/>
                <w:color w:val="000000"/>
              </w:rPr>
            </w:pPr>
            <w:r>
              <w:rPr>
                <w:rFonts w:ascii="Garamond" w:hAnsi="Garamond"/>
                <w:color w:val="000000"/>
              </w:rPr>
              <w:t>8,4</w:t>
            </w:r>
          </w:p>
        </w:tc>
        <w:tc>
          <w:tcPr>
            <w:tcW w:w="952" w:type="dxa"/>
            <w:vAlign w:val="center"/>
          </w:tcPr>
          <w:p w:rsidR="005E1D98" w:rsidRDefault="005E1D98">
            <w:pPr>
              <w:jc w:val="center"/>
              <w:rPr>
                <w:rFonts w:ascii="Garamond" w:hAnsi="Garamond"/>
                <w:color w:val="000000"/>
              </w:rPr>
            </w:pPr>
            <w:r>
              <w:rPr>
                <w:rFonts w:ascii="Garamond" w:hAnsi="Garamond"/>
                <w:color w:val="000000"/>
              </w:rPr>
              <w:t>9,6</w:t>
            </w:r>
          </w:p>
        </w:tc>
        <w:tc>
          <w:tcPr>
            <w:tcW w:w="1123" w:type="dxa"/>
            <w:vAlign w:val="center"/>
          </w:tcPr>
          <w:p w:rsidR="005E1D98" w:rsidRDefault="005E1D98">
            <w:pPr>
              <w:jc w:val="center"/>
              <w:rPr>
                <w:rFonts w:ascii="Garamond" w:hAnsi="Garamond"/>
                <w:color w:val="000000"/>
              </w:rPr>
            </w:pPr>
            <w:r>
              <w:rPr>
                <w:rFonts w:ascii="Garamond" w:hAnsi="Garamond"/>
                <w:color w:val="000000"/>
              </w:rPr>
              <w:t>9,0</w:t>
            </w:r>
          </w:p>
        </w:tc>
        <w:tc>
          <w:tcPr>
            <w:tcW w:w="1124" w:type="dxa"/>
            <w:vAlign w:val="center"/>
          </w:tcPr>
          <w:p w:rsidR="005E1D98" w:rsidRDefault="005E1D98">
            <w:pPr>
              <w:jc w:val="center"/>
              <w:rPr>
                <w:rFonts w:ascii="Garamond" w:hAnsi="Garamond"/>
                <w:color w:val="000000"/>
              </w:rPr>
            </w:pPr>
            <w:r>
              <w:rPr>
                <w:rFonts w:ascii="Garamond" w:hAnsi="Garamond"/>
                <w:color w:val="000000"/>
              </w:rPr>
              <w:t>8,6</w:t>
            </w:r>
          </w:p>
        </w:tc>
        <w:tc>
          <w:tcPr>
            <w:tcW w:w="1122" w:type="dxa"/>
            <w:vAlign w:val="center"/>
          </w:tcPr>
          <w:p w:rsidR="005E1D98" w:rsidRDefault="005E1D98">
            <w:pPr>
              <w:jc w:val="center"/>
              <w:rPr>
                <w:rFonts w:ascii="Garamond" w:hAnsi="Garamond"/>
                <w:color w:val="000000"/>
              </w:rPr>
            </w:pPr>
            <w:r>
              <w:rPr>
                <w:rFonts w:ascii="Garamond" w:hAnsi="Garamond"/>
                <w:color w:val="000000"/>
              </w:rPr>
              <w:t>10,3</w:t>
            </w:r>
          </w:p>
        </w:tc>
        <w:tc>
          <w:tcPr>
            <w:tcW w:w="1123" w:type="dxa"/>
            <w:vAlign w:val="center"/>
          </w:tcPr>
          <w:p w:rsidR="005E1D98" w:rsidRDefault="005E1D98">
            <w:pPr>
              <w:jc w:val="center"/>
              <w:rPr>
                <w:rFonts w:ascii="Garamond" w:hAnsi="Garamond"/>
                <w:color w:val="000000"/>
              </w:rPr>
            </w:pPr>
            <w:r>
              <w:rPr>
                <w:rFonts w:ascii="Garamond" w:hAnsi="Garamond"/>
                <w:color w:val="000000"/>
              </w:rPr>
              <w:t>9,4</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i/>
                <w:spacing w:val="-2"/>
                <w:sz w:val="18"/>
              </w:rPr>
              <w:t xml:space="preserve">  Chômage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Population active en chômage   </w:t>
            </w:r>
          </w:p>
        </w:tc>
        <w:tc>
          <w:tcPr>
            <w:tcW w:w="849" w:type="dxa"/>
            <w:vAlign w:val="center"/>
          </w:tcPr>
          <w:p w:rsidR="005E1D98" w:rsidRDefault="005E1D98">
            <w:pPr>
              <w:jc w:val="center"/>
              <w:rPr>
                <w:rFonts w:ascii="Garamond" w:hAnsi="Garamond"/>
                <w:b/>
                <w:bCs/>
                <w:color w:val="000000"/>
              </w:rPr>
            </w:pPr>
            <w:r>
              <w:rPr>
                <w:rFonts w:ascii="Garamond" w:hAnsi="Garamond"/>
                <w:b/>
                <w:bCs/>
                <w:color w:val="000000"/>
              </w:rPr>
              <w:t>870</w:t>
            </w:r>
          </w:p>
        </w:tc>
        <w:tc>
          <w:tcPr>
            <w:tcW w:w="952" w:type="dxa"/>
            <w:vAlign w:val="center"/>
          </w:tcPr>
          <w:p w:rsidR="005E1D98" w:rsidRDefault="005E1D98">
            <w:pPr>
              <w:jc w:val="center"/>
              <w:rPr>
                <w:rFonts w:ascii="Garamond" w:hAnsi="Garamond"/>
                <w:b/>
                <w:bCs/>
                <w:color w:val="000000"/>
              </w:rPr>
            </w:pPr>
            <w:r>
              <w:rPr>
                <w:rFonts w:ascii="Garamond" w:hAnsi="Garamond"/>
                <w:b/>
                <w:bCs/>
                <w:color w:val="000000"/>
              </w:rPr>
              <w:t>228</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1 098</w:t>
            </w:r>
          </w:p>
        </w:tc>
        <w:tc>
          <w:tcPr>
            <w:tcW w:w="1124" w:type="dxa"/>
            <w:vAlign w:val="center"/>
          </w:tcPr>
          <w:p w:rsidR="005E1D98" w:rsidRDefault="005E1D98">
            <w:pPr>
              <w:jc w:val="center"/>
              <w:rPr>
                <w:rFonts w:ascii="Garamond" w:hAnsi="Garamond"/>
                <w:b/>
                <w:bCs/>
                <w:color w:val="000000"/>
              </w:rPr>
            </w:pPr>
            <w:r>
              <w:rPr>
                <w:rFonts w:ascii="Garamond" w:hAnsi="Garamond"/>
                <w:b/>
                <w:bCs/>
                <w:color w:val="000000"/>
              </w:rPr>
              <w:t>870</w:t>
            </w:r>
          </w:p>
        </w:tc>
        <w:tc>
          <w:tcPr>
            <w:tcW w:w="1122" w:type="dxa"/>
            <w:vAlign w:val="center"/>
          </w:tcPr>
          <w:p w:rsidR="005E1D98" w:rsidRDefault="005E1D98">
            <w:pPr>
              <w:jc w:val="center"/>
              <w:rPr>
                <w:rFonts w:ascii="Garamond" w:hAnsi="Garamond"/>
                <w:b/>
                <w:bCs/>
                <w:color w:val="000000"/>
              </w:rPr>
            </w:pPr>
            <w:r>
              <w:rPr>
                <w:rFonts w:ascii="Garamond" w:hAnsi="Garamond"/>
                <w:b/>
                <w:bCs/>
                <w:color w:val="000000"/>
              </w:rPr>
              <w:t>206</w:t>
            </w:r>
          </w:p>
        </w:tc>
        <w:tc>
          <w:tcPr>
            <w:tcW w:w="1123" w:type="dxa"/>
            <w:vAlign w:val="center"/>
          </w:tcPr>
          <w:p w:rsidR="005E1D98" w:rsidRDefault="005E1D98">
            <w:pPr>
              <w:jc w:val="center"/>
              <w:rPr>
                <w:rFonts w:ascii="Garamond" w:hAnsi="Garamond"/>
                <w:b/>
                <w:bCs/>
                <w:color w:val="000000"/>
              </w:rPr>
            </w:pPr>
            <w:r>
              <w:rPr>
                <w:rFonts w:ascii="Garamond" w:hAnsi="Garamond"/>
                <w:b/>
                <w:bCs/>
                <w:color w:val="000000"/>
              </w:rPr>
              <w:t>1 076</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Taux de féminisation de la population </w:t>
            </w:r>
          </w:p>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active en chômage</w:t>
            </w:r>
          </w:p>
        </w:tc>
        <w:tc>
          <w:tcPr>
            <w:tcW w:w="849" w:type="dxa"/>
            <w:vAlign w:val="center"/>
          </w:tcPr>
          <w:p w:rsidR="005E1D98" w:rsidRDefault="005E1D98">
            <w:pPr>
              <w:jc w:val="center"/>
              <w:rPr>
                <w:rFonts w:ascii="Garamond" w:hAnsi="Garamond"/>
                <w:color w:val="000000"/>
              </w:rPr>
            </w:pPr>
            <w:r>
              <w:rPr>
                <w:rFonts w:ascii="Garamond" w:hAnsi="Garamond"/>
                <w:color w:val="000000"/>
              </w:rPr>
              <w:t>31,5</w:t>
            </w:r>
          </w:p>
        </w:tc>
        <w:tc>
          <w:tcPr>
            <w:tcW w:w="952" w:type="dxa"/>
            <w:vAlign w:val="center"/>
          </w:tcPr>
          <w:p w:rsidR="005E1D98" w:rsidRDefault="005E1D98">
            <w:pPr>
              <w:jc w:val="center"/>
              <w:rPr>
                <w:rFonts w:ascii="Garamond" w:hAnsi="Garamond"/>
                <w:color w:val="000000"/>
              </w:rPr>
            </w:pPr>
            <w:r>
              <w:rPr>
                <w:rFonts w:ascii="Garamond" w:hAnsi="Garamond"/>
                <w:color w:val="000000"/>
              </w:rPr>
              <w:t>16,6</w:t>
            </w:r>
          </w:p>
        </w:tc>
        <w:tc>
          <w:tcPr>
            <w:tcW w:w="1123" w:type="dxa"/>
            <w:vAlign w:val="center"/>
          </w:tcPr>
          <w:p w:rsidR="005E1D98" w:rsidRDefault="005E1D98">
            <w:pPr>
              <w:jc w:val="center"/>
              <w:rPr>
                <w:rFonts w:ascii="Garamond" w:hAnsi="Garamond"/>
                <w:color w:val="000000"/>
              </w:rPr>
            </w:pPr>
            <w:r>
              <w:rPr>
                <w:rFonts w:ascii="Garamond" w:hAnsi="Garamond"/>
                <w:color w:val="000000"/>
              </w:rPr>
              <w:t>28,4</w:t>
            </w:r>
          </w:p>
        </w:tc>
        <w:tc>
          <w:tcPr>
            <w:tcW w:w="1124" w:type="dxa"/>
            <w:vAlign w:val="center"/>
          </w:tcPr>
          <w:p w:rsidR="005E1D98" w:rsidRDefault="005E1D98">
            <w:pPr>
              <w:jc w:val="center"/>
              <w:rPr>
                <w:rFonts w:ascii="Garamond" w:hAnsi="Garamond"/>
                <w:color w:val="000000"/>
              </w:rPr>
            </w:pPr>
            <w:r>
              <w:rPr>
                <w:rFonts w:ascii="Garamond" w:hAnsi="Garamond"/>
                <w:color w:val="000000"/>
              </w:rPr>
              <w:t>32,4</w:t>
            </w:r>
          </w:p>
        </w:tc>
        <w:tc>
          <w:tcPr>
            <w:tcW w:w="1122" w:type="dxa"/>
            <w:vAlign w:val="center"/>
          </w:tcPr>
          <w:p w:rsidR="005E1D98" w:rsidRDefault="005E1D98">
            <w:pPr>
              <w:jc w:val="center"/>
              <w:rPr>
                <w:rFonts w:ascii="Garamond" w:hAnsi="Garamond"/>
                <w:color w:val="000000"/>
              </w:rPr>
            </w:pPr>
            <w:r>
              <w:rPr>
                <w:rFonts w:ascii="Garamond" w:hAnsi="Garamond"/>
                <w:color w:val="000000"/>
              </w:rPr>
              <w:t>16,3</w:t>
            </w:r>
          </w:p>
        </w:tc>
        <w:tc>
          <w:tcPr>
            <w:tcW w:w="1123" w:type="dxa"/>
            <w:vAlign w:val="center"/>
          </w:tcPr>
          <w:p w:rsidR="005E1D98" w:rsidRDefault="005E1D98">
            <w:pPr>
              <w:jc w:val="center"/>
              <w:rPr>
                <w:rFonts w:ascii="Garamond" w:hAnsi="Garamond"/>
                <w:color w:val="000000"/>
              </w:rPr>
            </w:pPr>
            <w:r>
              <w:rPr>
                <w:rFonts w:ascii="Garamond" w:hAnsi="Garamond"/>
                <w:color w:val="000000"/>
              </w:rPr>
              <w:t>29,3</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Taux de chômage</w:t>
            </w:r>
          </w:p>
        </w:tc>
        <w:tc>
          <w:tcPr>
            <w:tcW w:w="849" w:type="dxa"/>
            <w:vAlign w:val="center"/>
          </w:tcPr>
          <w:p w:rsidR="005E1D98" w:rsidRDefault="005E1D98">
            <w:pPr>
              <w:jc w:val="center"/>
              <w:rPr>
                <w:rFonts w:ascii="Garamond" w:hAnsi="Garamond"/>
                <w:color w:val="000000"/>
              </w:rPr>
            </w:pPr>
            <w:r>
              <w:rPr>
                <w:rFonts w:ascii="Garamond" w:hAnsi="Garamond"/>
                <w:color w:val="000000"/>
              </w:rPr>
              <w:t>14,0</w:t>
            </w:r>
          </w:p>
        </w:tc>
        <w:tc>
          <w:tcPr>
            <w:tcW w:w="952" w:type="dxa"/>
            <w:vAlign w:val="center"/>
          </w:tcPr>
          <w:p w:rsidR="005E1D98" w:rsidRDefault="005E1D98">
            <w:pPr>
              <w:jc w:val="center"/>
              <w:rPr>
                <w:rFonts w:ascii="Garamond" w:hAnsi="Garamond"/>
                <w:color w:val="000000"/>
              </w:rPr>
            </w:pPr>
            <w:r>
              <w:rPr>
                <w:rFonts w:ascii="Garamond" w:hAnsi="Garamond"/>
                <w:color w:val="000000"/>
              </w:rPr>
              <w:t>4,2</w:t>
            </w:r>
          </w:p>
        </w:tc>
        <w:tc>
          <w:tcPr>
            <w:tcW w:w="1123" w:type="dxa"/>
            <w:vAlign w:val="center"/>
          </w:tcPr>
          <w:p w:rsidR="005E1D98" w:rsidRDefault="005E1D98">
            <w:pPr>
              <w:jc w:val="center"/>
              <w:rPr>
                <w:rFonts w:ascii="Garamond" w:hAnsi="Garamond"/>
                <w:color w:val="000000"/>
              </w:rPr>
            </w:pPr>
            <w:r>
              <w:rPr>
                <w:rFonts w:ascii="Garamond" w:hAnsi="Garamond"/>
                <w:color w:val="000000"/>
              </w:rPr>
              <w:t>9,4</w:t>
            </w:r>
          </w:p>
        </w:tc>
        <w:tc>
          <w:tcPr>
            <w:tcW w:w="1124" w:type="dxa"/>
            <w:vAlign w:val="center"/>
          </w:tcPr>
          <w:p w:rsidR="005E1D98" w:rsidRDefault="005E1D98">
            <w:pPr>
              <w:jc w:val="center"/>
              <w:rPr>
                <w:rFonts w:ascii="Garamond" w:hAnsi="Garamond"/>
                <w:color w:val="000000"/>
              </w:rPr>
            </w:pPr>
            <w:r>
              <w:rPr>
                <w:rFonts w:ascii="Garamond" w:hAnsi="Garamond"/>
                <w:color w:val="000000"/>
              </w:rPr>
              <w:t>14,0</w:t>
            </w:r>
          </w:p>
        </w:tc>
        <w:tc>
          <w:tcPr>
            <w:tcW w:w="1122" w:type="dxa"/>
            <w:vAlign w:val="center"/>
          </w:tcPr>
          <w:p w:rsidR="005E1D98" w:rsidRDefault="005E1D98">
            <w:pPr>
              <w:jc w:val="center"/>
              <w:rPr>
                <w:rFonts w:ascii="Garamond" w:hAnsi="Garamond"/>
                <w:color w:val="000000"/>
              </w:rPr>
            </w:pPr>
            <w:r>
              <w:rPr>
                <w:rFonts w:ascii="Garamond" w:hAnsi="Garamond"/>
                <w:color w:val="000000"/>
              </w:rPr>
              <w:t>3,7</w:t>
            </w:r>
          </w:p>
        </w:tc>
        <w:tc>
          <w:tcPr>
            <w:tcW w:w="1123" w:type="dxa"/>
            <w:vAlign w:val="center"/>
          </w:tcPr>
          <w:p w:rsidR="005E1D98" w:rsidRDefault="005E1D98">
            <w:pPr>
              <w:jc w:val="center"/>
              <w:rPr>
                <w:rFonts w:ascii="Garamond" w:hAnsi="Garamond"/>
                <w:color w:val="000000"/>
              </w:rPr>
            </w:pPr>
            <w:r>
              <w:rPr>
                <w:rFonts w:ascii="Garamond" w:hAnsi="Garamond"/>
                <w:color w:val="000000"/>
              </w:rPr>
              <w:t>9,1</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le sexe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Hommes</w:t>
            </w:r>
          </w:p>
        </w:tc>
        <w:tc>
          <w:tcPr>
            <w:tcW w:w="849" w:type="dxa"/>
            <w:vAlign w:val="center"/>
          </w:tcPr>
          <w:p w:rsidR="005E1D98" w:rsidRDefault="005E1D98">
            <w:pPr>
              <w:jc w:val="center"/>
              <w:rPr>
                <w:rFonts w:ascii="Garamond" w:hAnsi="Garamond"/>
                <w:color w:val="000000"/>
              </w:rPr>
            </w:pPr>
            <w:r>
              <w:rPr>
                <w:rFonts w:ascii="Garamond" w:hAnsi="Garamond"/>
                <w:color w:val="000000"/>
              </w:rPr>
              <w:t>12,3</w:t>
            </w:r>
          </w:p>
        </w:tc>
        <w:tc>
          <w:tcPr>
            <w:tcW w:w="952" w:type="dxa"/>
            <w:vAlign w:val="center"/>
          </w:tcPr>
          <w:p w:rsidR="005E1D98" w:rsidRDefault="005E1D98">
            <w:pPr>
              <w:jc w:val="center"/>
              <w:rPr>
                <w:rFonts w:ascii="Garamond" w:hAnsi="Garamond"/>
                <w:color w:val="000000"/>
              </w:rPr>
            </w:pPr>
            <w:r>
              <w:rPr>
                <w:rFonts w:ascii="Garamond" w:hAnsi="Garamond"/>
                <w:color w:val="000000"/>
              </w:rPr>
              <w:t>5,2</w:t>
            </w:r>
          </w:p>
        </w:tc>
        <w:tc>
          <w:tcPr>
            <w:tcW w:w="1123" w:type="dxa"/>
            <w:vAlign w:val="center"/>
          </w:tcPr>
          <w:p w:rsidR="005E1D98" w:rsidRDefault="005E1D98">
            <w:pPr>
              <w:jc w:val="center"/>
              <w:rPr>
                <w:rFonts w:ascii="Garamond" w:hAnsi="Garamond"/>
                <w:color w:val="000000"/>
              </w:rPr>
            </w:pPr>
            <w:r>
              <w:rPr>
                <w:rFonts w:ascii="Garamond" w:hAnsi="Garamond"/>
                <w:color w:val="000000"/>
              </w:rPr>
              <w:t>9,2</w:t>
            </w:r>
          </w:p>
        </w:tc>
        <w:tc>
          <w:tcPr>
            <w:tcW w:w="1124" w:type="dxa"/>
            <w:vAlign w:val="center"/>
          </w:tcPr>
          <w:p w:rsidR="005E1D98" w:rsidRDefault="005E1D98">
            <w:pPr>
              <w:jc w:val="center"/>
              <w:rPr>
                <w:rFonts w:ascii="Garamond" w:hAnsi="Garamond"/>
                <w:color w:val="000000"/>
              </w:rPr>
            </w:pPr>
            <w:r>
              <w:rPr>
                <w:rFonts w:ascii="Garamond" w:hAnsi="Garamond"/>
                <w:color w:val="000000"/>
              </w:rPr>
              <w:t>12,2</w:t>
            </w:r>
          </w:p>
        </w:tc>
        <w:tc>
          <w:tcPr>
            <w:tcW w:w="1122" w:type="dxa"/>
            <w:vAlign w:val="center"/>
          </w:tcPr>
          <w:p w:rsidR="005E1D98" w:rsidRDefault="005E1D98">
            <w:pPr>
              <w:jc w:val="center"/>
              <w:rPr>
                <w:rFonts w:ascii="Garamond" w:hAnsi="Garamond"/>
                <w:color w:val="000000"/>
              </w:rPr>
            </w:pPr>
            <w:r>
              <w:rPr>
                <w:rFonts w:ascii="Garamond" w:hAnsi="Garamond"/>
                <w:color w:val="000000"/>
              </w:rPr>
              <w:t>4,7</w:t>
            </w:r>
          </w:p>
        </w:tc>
        <w:tc>
          <w:tcPr>
            <w:tcW w:w="1123" w:type="dxa"/>
            <w:vAlign w:val="center"/>
          </w:tcPr>
          <w:p w:rsidR="005E1D98" w:rsidRDefault="005E1D98">
            <w:pPr>
              <w:jc w:val="center"/>
              <w:rPr>
                <w:rFonts w:ascii="Garamond" w:hAnsi="Garamond"/>
                <w:color w:val="000000"/>
              </w:rPr>
            </w:pPr>
            <w:r>
              <w:rPr>
                <w:rFonts w:ascii="Garamond" w:hAnsi="Garamond"/>
                <w:color w:val="000000"/>
              </w:rPr>
              <w:t>9,0</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Femmes</w:t>
            </w:r>
          </w:p>
        </w:tc>
        <w:tc>
          <w:tcPr>
            <w:tcW w:w="849" w:type="dxa"/>
            <w:vAlign w:val="center"/>
          </w:tcPr>
          <w:p w:rsidR="005E1D98" w:rsidRDefault="005E1D98">
            <w:pPr>
              <w:jc w:val="center"/>
              <w:rPr>
                <w:rFonts w:ascii="Garamond" w:hAnsi="Garamond"/>
                <w:color w:val="000000"/>
              </w:rPr>
            </w:pPr>
            <w:r>
              <w:rPr>
                <w:rFonts w:ascii="Garamond" w:hAnsi="Garamond"/>
                <w:color w:val="000000"/>
              </w:rPr>
              <w:t>20,3</w:t>
            </w:r>
          </w:p>
        </w:tc>
        <w:tc>
          <w:tcPr>
            <w:tcW w:w="952" w:type="dxa"/>
            <w:vAlign w:val="center"/>
          </w:tcPr>
          <w:p w:rsidR="005E1D98" w:rsidRDefault="005E1D98">
            <w:pPr>
              <w:jc w:val="center"/>
              <w:rPr>
                <w:rFonts w:ascii="Garamond" w:hAnsi="Garamond"/>
                <w:color w:val="000000"/>
              </w:rPr>
            </w:pPr>
            <w:r>
              <w:rPr>
                <w:rFonts w:ascii="Garamond" w:hAnsi="Garamond"/>
                <w:color w:val="000000"/>
              </w:rPr>
              <w:t>2,1</w:t>
            </w:r>
          </w:p>
        </w:tc>
        <w:tc>
          <w:tcPr>
            <w:tcW w:w="1123" w:type="dxa"/>
            <w:vAlign w:val="center"/>
          </w:tcPr>
          <w:p w:rsidR="005E1D98" w:rsidRDefault="005E1D98">
            <w:pPr>
              <w:jc w:val="center"/>
              <w:rPr>
                <w:rFonts w:ascii="Garamond" w:hAnsi="Garamond"/>
                <w:color w:val="000000"/>
              </w:rPr>
            </w:pPr>
            <w:r>
              <w:rPr>
                <w:rFonts w:ascii="Garamond" w:hAnsi="Garamond"/>
                <w:color w:val="000000"/>
              </w:rPr>
              <w:t>10,0</w:t>
            </w:r>
          </w:p>
        </w:tc>
        <w:tc>
          <w:tcPr>
            <w:tcW w:w="1124" w:type="dxa"/>
            <w:vAlign w:val="center"/>
          </w:tcPr>
          <w:p w:rsidR="005E1D98" w:rsidRDefault="005E1D98">
            <w:pPr>
              <w:jc w:val="center"/>
              <w:rPr>
                <w:rFonts w:ascii="Garamond" w:hAnsi="Garamond"/>
                <w:color w:val="000000"/>
              </w:rPr>
            </w:pPr>
            <w:r>
              <w:rPr>
                <w:rFonts w:ascii="Garamond" w:hAnsi="Garamond"/>
                <w:color w:val="000000"/>
              </w:rPr>
              <w:t>20,4</w:t>
            </w:r>
          </w:p>
        </w:tc>
        <w:tc>
          <w:tcPr>
            <w:tcW w:w="1122" w:type="dxa"/>
            <w:vAlign w:val="center"/>
          </w:tcPr>
          <w:p w:rsidR="005E1D98" w:rsidRDefault="005E1D98">
            <w:pPr>
              <w:jc w:val="center"/>
              <w:rPr>
                <w:rFonts w:ascii="Garamond" w:hAnsi="Garamond"/>
                <w:color w:val="000000"/>
              </w:rPr>
            </w:pPr>
            <w:r>
              <w:rPr>
                <w:rFonts w:ascii="Garamond" w:hAnsi="Garamond"/>
                <w:color w:val="000000"/>
              </w:rPr>
              <w:t>1,8</w:t>
            </w:r>
          </w:p>
        </w:tc>
        <w:tc>
          <w:tcPr>
            <w:tcW w:w="1123" w:type="dxa"/>
            <w:vAlign w:val="center"/>
          </w:tcPr>
          <w:p w:rsidR="005E1D98" w:rsidRDefault="005E1D98">
            <w:pPr>
              <w:jc w:val="center"/>
              <w:rPr>
                <w:rFonts w:ascii="Garamond" w:hAnsi="Garamond"/>
                <w:color w:val="000000"/>
              </w:rPr>
            </w:pPr>
            <w:r>
              <w:rPr>
                <w:rFonts w:ascii="Garamond" w:hAnsi="Garamond"/>
                <w:color w:val="000000"/>
              </w:rPr>
              <w:t>9,6</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l'âge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15-24 ans </w:t>
            </w:r>
          </w:p>
        </w:tc>
        <w:tc>
          <w:tcPr>
            <w:tcW w:w="849" w:type="dxa"/>
            <w:vAlign w:val="center"/>
          </w:tcPr>
          <w:p w:rsidR="005E1D98" w:rsidRDefault="005E1D98">
            <w:pPr>
              <w:jc w:val="center"/>
              <w:rPr>
                <w:rFonts w:ascii="Garamond" w:hAnsi="Garamond"/>
                <w:color w:val="000000"/>
              </w:rPr>
            </w:pPr>
            <w:r>
              <w:rPr>
                <w:rFonts w:ascii="Garamond" w:hAnsi="Garamond"/>
                <w:color w:val="000000"/>
              </w:rPr>
              <w:t>35,2</w:t>
            </w:r>
          </w:p>
        </w:tc>
        <w:tc>
          <w:tcPr>
            <w:tcW w:w="952" w:type="dxa"/>
            <w:vAlign w:val="center"/>
          </w:tcPr>
          <w:p w:rsidR="005E1D98" w:rsidRDefault="005E1D98">
            <w:pPr>
              <w:jc w:val="center"/>
              <w:rPr>
                <w:rFonts w:ascii="Garamond" w:hAnsi="Garamond"/>
                <w:color w:val="000000"/>
              </w:rPr>
            </w:pPr>
            <w:r>
              <w:rPr>
                <w:rFonts w:ascii="Garamond" w:hAnsi="Garamond"/>
                <w:color w:val="000000"/>
              </w:rPr>
              <w:t>9,6</w:t>
            </w:r>
          </w:p>
        </w:tc>
        <w:tc>
          <w:tcPr>
            <w:tcW w:w="1123" w:type="dxa"/>
            <w:vAlign w:val="center"/>
          </w:tcPr>
          <w:p w:rsidR="005E1D98" w:rsidRDefault="005E1D98">
            <w:pPr>
              <w:jc w:val="center"/>
              <w:rPr>
                <w:rFonts w:ascii="Garamond" w:hAnsi="Garamond"/>
                <w:color w:val="000000"/>
              </w:rPr>
            </w:pPr>
            <w:r>
              <w:rPr>
                <w:rFonts w:ascii="Garamond" w:hAnsi="Garamond"/>
                <w:color w:val="000000"/>
              </w:rPr>
              <w:t>20,2</w:t>
            </w:r>
          </w:p>
        </w:tc>
        <w:tc>
          <w:tcPr>
            <w:tcW w:w="1124" w:type="dxa"/>
            <w:vAlign w:val="center"/>
          </w:tcPr>
          <w:p w:rsidR="005E1D98" w:rsidRDefault="005E1D98">
            <w:pPr>
              <w:jc w:val="center"/>
              <w:rPr>
                <w:rFonts w:ascii="Garamond" w:hAnsi="Garamond"/>
                <w:color w:val="000000"/>
              </w:rPr>
            </w:pPr>
            <w:r>
              <w:rPr>
                <w:rFonts w:ascii="Garamond" w:hAnsi="Garamond"/>
                <w:color w:val="000000"/>
              </w:rPr>
              <w:t>37,8</w:t>
            </w:r>
          </w:p>
        </w:tc>
        <w:tc>
          <w:tcPr>
            <w:tcW w:w="1122" w:type="dxa"/>
            <w:vAlign w:val="center"/>
          </w:tcPr>
          <w:p w:rsidR="005E1D98" w:rsidRDefault="005E1D98">
            <w:pPr>
              <w:jc w:val="center"/>
              <w:rPr>
                <w:rFonts w:ascii="Garamond" w:hAnsi="Garamond"/>
                <w:color w:val="000000"/>
              </w:rPr>
            </w:pPr>
            <w:r>
              <w:rPr>
                <w:rFonts w:ascii="Garamond" w:hAnsi="Garamond"/>
                <w:color w:val="000000"/>
              </w:rPr>
              <w:t>7,3</w:t>
            </w:r>
          </w:p>
        </w:tc>
        <w:tc>
          <w:tcPr>
            <w:tcW w:w="1123" w:type="dxa"/>
            <w:vAlign w:val="center"/>
          </w:tcPr>
          <w:p w:rsidR="005E1D98" w:rsidRDefault="005E1D98">
            <w:pPr>
              <w:jc w:val="center"/>
              <w:rPr>
                <w:rFonts w:ascii="Garamond" w:hAnsi="Garamond"/>
                <w:color w:val="000000"/>
              </w:rPr>
            </w:pPr>
            <w:r>
              <w:rPr>
                <w:rFonts w:ascii="Garamond" w:hAnsi="Garamond"/>
                <w:color w:val="000000"/>
              </w:rPr>
              <w:t>19,1</w:t>
            </w:r>
          </w:p>
        </w:tc>
      </w:tr>
      <w:tr w:rsidR="005E1D98">
        <w:trPr>
          <w:trHeight w:val="91"/>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25-34 ans </w:t>
            </w:r>
          </w:p>
        </w:tc>
        <w:tc>
          <w:tcPr>
            <w:tcW w:w="849" w:type="dxa"/>
            <w:vAlign w:val="center"/>
          </w:tcPr>
          <w:p w:rsidR="005E1D98" w:rsidRDefault="005E1D98">
            <w:pPr>
              <w:jc w:val="center"/>
              <w:rPr>
                <w:rFonts w:ascii="Garamond" w:hAnsi="Garamond"/>
                <w:color w:val="000000"/>
              </w:rPr>
            </w:pPr>
            <w:r>
              <w:rPr>
                <w:rFonts w:ascii="Garamond" w:hAnsi="Garamond"/>
                <w:color w:val="000000"/>
              </w:rPr>
              <w:t>20,4</w:t>
            </w:r>
          </w:p>
        </w:tc>
        <w:tc>
          <w:tcPr>
            <w:tcW w:w="952" w:type="dxa"/>
            <w:vAlign w:val="center"/>
          </w:tcPr>
          <w:p w:rsidR="005E1D98" w:rsidRDefault="005E1D98">
            <w:pPr>
              <w:jc w:val="center"/>
              <w:rPr>
                <w:rFonts w:ascii="Garamond" w:hAnsi="Garamond"/>
                <w:color w:val="000000"/>
              </w:rPr>
            </w:pPr>
            <w:r>
              <w:rPr>
                <w:rFonts w:ascii="Garamond" w:hAnsi="Garamond"/>
                <w:color w:val="000000"/>
              </w:rPr>
              <w:t>4,5</w:t>
            </w:r>
          </w:p>
        </w:tc>
        <w:tc>
          <w:tcPr>
            <w:tcW w:w="1123" w:type="dxa"/>
            <w:vAlign w:val="center"/>
          </w:tcPr>
          <w:p w:rsidR="005E1D98" w:rsidRDefault="005E1D98">
            <w:pPr>
              <w:jc w:val="center"/>
              <w:rPr>
                <w:rFonts w:ascii="Garamond" w:hAnsi="Garamond"/>
                <w:color w:val="000000"/>
              </w:rPr>
            </w:pPr>
            <w:r>
              <w:rPr>
                <w:rFonts w:ascii="Garamond" w:hAnsi="Garamond"/>
                <w:color w:val="000000"/>
              </w:rPr>
              <w:t>13,7</w:t>
            </w:r>
          </w:p>
        </w:tc>
        <w:tc>
          <w:tcPr>
            <w:tcW w:w="1124" w:type="dxa"/>
            <w:vAlign w:val="center"/>
          </w:tcPr>
          <w:p w:rsidR="005E1D98" w:rsidRDefault="005E1D98">
            <w:pPr>
              <w:jc w:val="center"/>
              <w:rPr>
                <w:rFonts w:ascii="Garamond" w:hAnsi="Garamond"/>
                <w:color w:val="000000"/>
              </w:rPr>
            </w:pPr>
            <w:r>
              <w:rPr>
                <w:rFonts w:ascii="Garamond" w:hAnsi="Garamond"/>
                <w:color w:val="000000"/>
              </w:rPr>
              <w:t>19,3</w:t>
            </w:r>
          </w:p>
        </w:tc>
        <w:tc>
          <w:tcPr>
            <w:tcW w:w="1122" w:type="dxa"/>
            <w:vAlign w:val="center"/>
          </w:tcPr>
          <w:p w:rsidR="005E1D98" w:rsidRDefault="005E1D98">
            <w:pPr>
              <w:jc w:val="center"/>
              <w:rPr>
                <w:rFonts w:ascii="Garamond" w:hAnsi="Garamond"/>
                <w:color w:val="000000"/>
              </w:rPr>
            </w:pPr>
            <w:r>
              <w:rPr>
                <w:rFonts w:ascii="Garamond" w:hAnsi="Garamond"/>
                <w:color w:val="000000"/>
              </w:rPr>
              <w:t>3,9</w:t>
            </w:r>
          </w:p>
        </w:tc>
        <w:tc>
          <w:tcPr>
            <w:tcW w:w="1123" w:type="dxa"/>
            <w:vAlign w:val="center"/>
          </w:tcPr>
          <w:p w:rsidR="005E1D98" w:rsidRDefault="005E1D98">
            <w:pPr>
              <w:jc w:val="center"/>
              <w:rPr>
                <w:rFonts w:ascii="Garamond" w:hAnsi="Garamond"/>
                <w:color w:val="000000"/>
              </w:rPr>
            </w:pPr>
            <w:r>
              <w:rPr>
                <w:rFonts w:ascii="Garamond" w:hAnsi="Garamond"/>
                <w:color w:val="000000"/>
              </w:rPr>
              <w:t>12,8</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35-44 ans </w:t>
            </w:r>
          </w:p>
        </w:tc>
        <w:tc>
          <w:tcPr>
            <w:tcW w:w="849" w:type="dxa"/>
            <w:vAlign w:val="center"/>
          </w:tcPr>
          <w:p w:rsidR="005E1D98" w:rsidRDefault="005E1D98">
            <w:pPr>
              <w:jc w:val="center"/>
              <w:rPr>
                <w:rFonts w:ascii="Garamond" w:hAnsi="Garamond"/>
                <w:color w:val="000000"/>
              </w:rPr>
            </w:pPr>
            <w:r>
              <w:rPr>
                <w:rFonts w:ascii="Garamond" w:hAnsi="Garamond"/>
                <w:color w:val="000000"/>
              </w:rPr>
              <w:t>7,1</w:t>
            </w:r>
          </w:p>
        </w:tc>
        <w:tc>
          <w:tcPr>
            <w:tcW w:w="952" w:type="dxa"/>
            <w:vAlign w:val="center"/>
          </w:tcPr>
          <w:p w:rsidR="005E1D98" w:rsidRDefault="005E1D98">
            <w:pPr>
              <w:jc w:val="center"/>
              <w:rPr>
                <w:rFonts w:ascii="Garamond" w:hAnsi="Garamond"/>
                <w:color w:val="000000"/>
              </w:rPr>
            </w:pPr>
            <w:r>
              <w:rPr>
                <w:rFonts w:ascii="Garamond" w:hAnsi="Garamond"/>
                <w:color w:val="000000"/>
              </w:rPr>
              <w:t>2,3</w:t>
            </w:r>
          </w:p>
        </w:tc>
        <w:tc>
          <w:tcPr>
            <w:tcW w:w="1123" w:type="dxa"/>
            <w:vAlign w:val="center"/>
          </w:tcPr>
          <w:p w:rsidR="005E1D98" w:rsidRDefault="005E1D98">
            <w:pPr>
              <w:jc w:val="center"/>
              <w:rPr>
                <w:rFonts w:ascii="Garamond" w:hAnsi="Garamond"/>
                <w:color w:val="000000"/>
              </w:rPr>
            </w:pPr>
            <w:r>
              <w:rPr>
                <w:rFonts w:ascii="Garamond" w:hAnsi="Garamond"/>
                <w:color w:val="000000"/>
              </w:rPr>
              <w:t>5,1</w:t>
            </w:r>
          </w:p>
        </w:tc>
        <w:tc>
          <w:tcPr>
            <w:tcW w:w="1124" w:type="dxa"/>
            <w:vAlign w:val="center"/>
          </w:tcPr>
          <w:p w:rsidR="005E1D98" w:rsidRDefault="005E1D98">
            <w:pPr>
              <w:jc w:val="center"/>
              <w:rPr>
                <w:rFonts w:ascii="Garamond" w:hAnsi="Garamond"/>
                <w:color w:val="000000"/>
              </w:rPr>
            </w:pPr>
            <w:r>
              <w:rPr>
                <w:rFonts w:ascii="Garamond" w:hAnsi="Garamond"/>
                <w:color w:val="000000"/>
              </w:rPr>
              <w:t>8,1</w:t>
            </w:r>
          </w:p>
        </w:tc>
        <w:tc>
          <w:tcPr>
            <w:tcW w:w="1122" w:type="dxa"/>
            <w:vAlign w:val="center"/>
          </w:tcPr>
          <w:p w:rsidR="005E1D98" w:rsidRDefault="005E1D98">
            <w:pPr>
              <w:jc w:val="center"/>
              <w:rPr>
                <w:rFonts w:ascii="Garamond" w:hAnsi="Garamond"/>
                <w:color w:val="000000"/>
              </w:rPr>
            </w:pPr>
            <w:r>
              <w:rPr>
                <w:rFonts w:ascii="Garamond" w:hAnsi="Garamond"/>
                <w:color w:val="000000"/>
              </w:rPr>
              <w:t>3,2</w:t>
            </w:r>
          </w:p>
        </w:tc>
        <w:tc>
          <w:tcPr>
            <w:tcW w:w="1123" w:type="dxa"/>
            <w:vAlign w:val="center"/>
          </w:tcPr>
          <w:p w:rsidR="005E1D98" w:rsidRDefault="005E1D98">
            <w:pPr>
              <w:jc w:val="center"/>
              <w:rPr>
                <w:rFonts w:ascii="Garamond" w:hAnsi="Garamond"/>
                <w:color w:val="000000"/>
              </w:rPr>
            </w:pPr>
            <w:r>
              <w:rPr>
                <w:rFonts w:ascii="Garamond" w:hAnsi="Garamond"/>
                <w:color w:val="000000"/>
              </w:rPr>
              <w:t>6,1</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45 ans et plus</w:t>
            </w:r>
          </w:p>
        </w:tc>
        <w:tc>
          <w:tcPr>
            <w:tcW w:w="849" w:type="dxa"/>
            <w:vAlign w:val="center"/>
          </w:tcPr>
          <w:p w:rsidR="005E1D98" w:rsidRDefault="005E1D98">
            <w:pPr>
              <w:jc w:val="center"/>
              <w:rPr>
                <w:rFonts w:ascii="Garamond" w:hAnsi="Garamond"/>
                <w:color w:val="000000"/>
              </w:rPr>
            </w:pPr>
            <w:r>
              <w:rPr>
                <w:rFonts w:ascii="Garamond" w:hAnsi="Garamond"/>
                <w:color w:val="000000"/>
              </w:rPr>
              <w:t>2,4</w:t>
            </w:r>
          </w:p>
        </w:tc>
        <w:tc>
          <w:tcPr>
            <w:tcW w:w="952" w:type="dxa"/>
            <w:vAlign w:val="center"/>
          </w:tcPr>
          <w:p w:rsidR="005E1D98" w:rsidRDefault="005E1D98">
            <w:pPr>
              <w:jc w:val="center"/>
              <w:rPr>
                <w:rFonts w:ascii="Garamond" w:hAnsi="Garamond"/>
                <w:color w:val="000000"/>
              </w:rPr>
            </w:pPr>
            <w:r>
              <w:rPr>
                <w:rFonts w:ascii="Garamond" w:hAnsi="Garamond"/>
                <w:color w:val="000000"/>
              </w:rPr>
              <w:t>1,1</w:t>
            </w:r>
          </w:p>
        </w:tc>
        <w:tc>
          <w:tcPr>
            <w:tcW w:w="1123" w:type="dxa"/>
            <w:vAlign w:val="center"/>
          </w:tcPr>
          <w:p w:rsidR="005E1D98" w:rsidRDefault="005E1D98">
            <w:pPr>
              <w:jc w:val="center"/>
              <w:rPr>
                <w:rFonts w:ascii="Garamond" w:hAnsi="Garamond"/>
                <w:color w:val="000000"/>
              </w:rPr>
            </w:pPr>
            <w:r>
              <w:rPr>
                <w:rFonts w:ascii="Garamond" w:hAnsi="Garamond"/>
                <w:color w:val="000000"/>
              </w:rPr>
              <w:t>1,8</w:t>
            </w:r>
          </w:p>
        </w:tc>
        <w:tc>
          <w:tcPr>
            <w:tcW w:w="1124" w:type="dxa"/>
            <w:vAlign w:val="center"/>
          </w:tcPr>
          <w:p w:rsidR="005E1D98" w:rsidRDefault="005E1D98">
            <w:pPr>
              <w:jc w:val="center"/>
              <w:rPr>
                <w:rFonts w:ascii="Garamond" w:hAnsi="Garamond"/>
                <w:color w:val="000000"/>
              </w:rPr>
            </w:pPr>
            <w:r>
              <w:rPr>
                <w:rFonts w:ascii="Garamond" w:hAnsi="Garamond"/>
                <w:color w:val="000000"/>
              </w:rPr>
              <w:t>3,1</w:t>
            </w:r>
          </w:p>
        </w:tc>
        <w:tc>
          <w:tcPr>
            <w:tcW w:w="1122" w:type="dxa"/>
            <w:vAlign w:val="center"/>
          </w:tcPr>
          <w:p w:rsidR="005E1D98" w:rsidRDefault="005E1D98">
            <w:pPr>
              <w:jc w:val="center"/>
              <w:rPr>
                <w:rFonts w:ascii="Garamond" w:hAnsi="Garamond"/>
                <w:color w:val="000000"/>
              </w:rPr>
            </w:pPr>
            <w:r>
              <w:rPr>
                <w:rFonts w:ascii="Garamond" w:hAnsi="Garamond"/>
                <w:color w:val="000000"/>
              </w:rPr>
              <w:t>1,2</w:t>
            </w:r>
          </w:p>
        </w:tc>
        <w:tc>
          <w:tcPr>
            <w:tcW w:w="1123" w:type="dxa"/>
            <w:vAlign w:val="center"/>
          </w:tcPr>
          <w:p w:rsidR="005E1D98" w:rsidRDefault="005E1D98">
            <w:pPr>
              <w:jc w:val="center"/>
              <w:rPr>
                <w:rFonts w:ascii="Garamond" w:hAnsi="Garamond"/>
                <w:color w:val="000000"/>
              </w:rPr>
            </w:pPr>
            <w:r>
              <w:rPr>
                <w:rFonts w:ascii="Garamond" w:hAnsi="Garamond"/>
                <w:color w:val="000000"/>
              </w:rPr>
              <w:t>2,2</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 Selon le diplôme</w:t>
            </w:r>
          </w:p>
        </w:tc>
        <w:tc>
          <w:tcPr>
            <w:tcW w:w="849" w:type="dxa"/>
            <w:vAlign w:val="center"/>
          </w:tcPr>
          <w:p w:rsidR="005E1D98" w:rsidRDefault="005E1D98">
            <w:pPr>
              <w:jc w:val="center"/>
              <w:rPr>
                <w:rFonts w:ascii="Garamond" w:hAnsi="Garamond"/>
                <w:color w:val="000000"/>
              </w:rPr>
            </w:pPr>
          </w:p>
        </w:tc>
        <w:tc>
          <w:tcPr>
            <w:tcW w:w="95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c>
          <w:tcPr>
            <w:tcW w:w="1124" w:type="dxa"/>
            <w:vAlign w:val="center"/>
          </w:tcPr>
          <w:p w:rsidR="005E1D98" w:rsidRDefault="005E1D98">
            <w:pPr>
              <w:jc w:val="center"/>
              <w:rPr>
                <w:rFonts w:ascii="Garamond" w:hAnsi="Garamond"/>
                <w:color w:val="000000"/>
              </w:rPr>
            </w:pPr>
          </w:p>
        </w:tc>
        <w:tc>
          <w:tcPr>
            <w:tcW w:w="1122" w:type="dxa"/>
            <w:vAlign w:val="center"/>
          </w:tcPr>
          <w:p w:rsidR="005E1D98" w:rsidRDefault="005E1D98">
            <w:pPr>
              <w:jc w:val="center"/>
              <w:rPr>
                <w:rFonts w:ascii="Garamond" w:hAnsi="Garamond"/>
                <w:color w:val="000000"/>
              </w:rPr>
            </w:pPr>
          </w:p>
        </w:tc>
        <w:tc>
          <w:tcPr>
            <w:tcW w:w="1123" w:type="dxa"/>
            <w:vAlign w:val="center"/>
          </w:tcPr>
          <w:p w:rsidR="005E1D98" w:rsidRDefault="005E1D98">
            <w:pPr>
              <w:jc w:val="center"/>
              <w:rPr>
                <w:rFonts w:ascii="Garamond" w:hAnsi="Garamond"/>
                <w:color w:val="000000"/>
              </w:rPr>
            </w:pP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Sans diplôme</w:t>
            </w:r>
          </w:p>
        </w:tc>
        <w:tc>
          <w:tcPr>
            <w:tcW w:w="849" w:type="dxa"/>
            <w:vAlign w:val="center"/>
          </w:tcPr>
          <w:p w:rsidR="005E1D98" w:rsidRDefault="005E1D98">
            <w:pPr>
              <w:jc w:val="center"/>
              <w:rPr>
                <w:rFonts w:ascii="Garamond" w:hAnsi="Garamond"/>
                <w:color w:val="000000"/>
              </w:rPr>
            </w:pPr>
            <w:r>
              <w:rPr>
                <w:rFonts w:ascii="Garamond" w:hAnsi="Garamond"/>
                <w:color w:val="000000"/>
              </w:rPr>
              <w:t>7,1</w:t>
            </w:r>
          </w:p>
        </w:tc>
        <w:tc>
          <w:tcPr>
            <w:tcW w:w="952" w:type="dxa"/>
            <w:vAlign w:val="center"/>
          </w:tcPr>
          <w:p w:rsidR="005E1D98" w:rsidRDefault="005E1D98">
            <w:pPr>
              <w:jc w:val="center"/>
              <w:rPr>
                <w:rFonts w:ascii="Garamond" w:hAnsi="Garamond"/>
                <w:color w:val="000000"/>
              </w:rPr>
            </w:pPr>
            <w:r>
              <w:rPr>
                <w:rFonts w:ascii="Garamond" w:hAnsi="Garamond"/>
                <w:color w:val="000000"/>
              </w:rPr>
              <w:t>2,4</w:t>
            </w:r>
          </w:p>
        </w:tc>
        <w:tc>
          <w:tcPr>
            <w:tcW w:w="1123" w:type="dxa"/>
            <w:vAlign w:val="center"/>
          </w:tcPr>
          <w:p w:rsidR="005E1D98" w:rsidRDefault="005E1D98">
            <w:pPr>
              <w:jc w:val="center"/>
              <w:rPr>
                <w:rFonts w:ascii="Garamond" w:hAnsi="Garamond"/>
                <w:color w:val="000000"/>
              </w:rPr>
            </w:pPr>
            <w:r>
              <w:rPr>
                <w:rFonts w:ascii="Garamond" w:hAnsi="Garamond"/>
                <w:color w:val="000000"/>
              </w:rPr>
              <w:t>4,1</w:t>
            </w:r>
          </w:p>
        </w:tc>
        <w:tc>
          <w:tcPr>
            <w:tcW w:w="1124" w:type="dxa"/>
            <w:vAlign w:val="center"/>
          </w:tcPr>
          <w:p w:rsidR="005E1D98" w:rsidRDefault="005E1D98">
            <w:pPr>
              <w:jc w:val="center"/>
              <w:rPr>
                <w:rFonts w:ascii="Garamond" w:hAnsi="Garamond"/>
                <w:color w:val="000000"/>
              </w:rPr>
            </w:pPr>
            <w:r>
              <w:rPr>
                <w:rFonts w:ascii="Garamond" w:hAnsi="Garamond"/>
                <w:color w:val="000000"/>
              </w:rPr>
              <w:t>7,6</w:t>
            </w:r>
          </w:p>
        </w:tc>
        <w:tc>
          <w:tcPr>
            <w:tcW w:w="1122" w:type="dxa"/>
            <w:vAlign w:val="center"/>
          </w:tcPr>
          <w:p w:rsidR="005E1D98" w:rsidRDefault="005E1D98">
            <w:pPr>
              <w:jc w:val="center"/>
              <w:rPr>
                <w:rFonts w:ascii="Garamond" w:hAnsi="Garamond"/>
                <w:color w:val="000000"/>
              </w:rPr>
            </w:pPr>
            <w:r>
              <w:rPr>
                <w:rFonts w:ascii="Garamond" w:hAnsi="Garamond"/>
                <w:color w:val="000000"/>
              </w:rPr>
              <w:t>2,3</w:t>
            </w:r>
          </w:p>
        </w:tc>
        <w:tc>
          <w:tcPr>
            <w:tcW w:w="1123" w:type="dxa"/>
            <w:vAlign w:val="center"/>
          </w:tcPr>
          <w:p w:rsidR="005E1D98" w:rsidRDefault="005E1D98">
            <w:pPr>
              <w:jc w:val="center"/>
              <w:rPr>
                <w:rFonts w:ascii="Garamond" w:hAnsi="Garamond"/>
                <w:color w:val="000000"/>
              </w:rPr>
            </w:pPr>
            <w:r>
              <w:rPr>
                <w:rFonts w:ascii="Garamond" w:hAnsi="Garamond"/>
                <w:color w:val="000000"/>
              </w:rPr>
              <w:t>4,2</w:t>
            </w:r>
          </w:p>
        </w:tc>
      </w:tr>
      <w:tr w:rsidR="005E1D98">
        <w:trPr>
          <w:jc w:val="center"/>
        </w:trPr>
        <w:tc>
          <w:tcPr>
            <w:tcW w:w="3886" w:type="dxa"/>
          </w:tcPr>
          <w:p w:rsidR="005E1D98" w:rsidRDefault="005E1D98">
            <w:pPr>
              <w:tabs>
                <w:tab w:val="left" w:pos="-720"/>
              </w:tabs>
              <w:suppressAutoHyphens/>
              <w:spacing w:before="20" w:after="20"/>
              <w:jc w:val="right"/>
              <w:rPr>
                <w:rFonts w:ascii="Garamond" w:hAnsi="Garamond"/>
                <w:b/>
                <w:spacing w:val="-2"/>
                <w:sz w:val="18"/>
              </w:rPr>
            </w:pPr>
            <w:r>
              <w:rPr>
                <w:rFonts w:ascii="Garamond" w:hAnsi="Garamond"/>
                <w:b/>
                <w:spacing w:val="-2"/>
                <w:sz w:val="18"/>
              </w:rPr>
              <w:t xml:space="preserve">      Ayant un diplôme</w:t>
            </w:r>
          </w:p>
        </w:tc>
        <w:tc>
          <w:tcPr>
            <w:tcW w:w="849" w:type="dxa"/>
            <w:vAlign w:val="center"/>
          </w:tcPr>
          <w:p w:rsidR="005E1D98" w:rsidRDefault="005E1D98">
            <w:pPr>
              <w:jc w:val="center"/>
              <w:rPr>
                <w:rFonts w:ascii="Garamond" w:hAnsi="Garamond"/>
                <w:color w:val="000000"/>
              </w:rPr>
            </w:pPr>
            <w:r>
              <w:rPr>
                <w:rFonts w:ascii="Garamond" w:hAnsi="Garamond"/>
                <w:color w:val="000000"/>
              </w:rPr>
              <w:t>18,8</w:t>
            </w:r>
          </w:p>
        </w:tc>
        <w:tc>
          <w:tcPr>
            <w:tcW w:w="952" w:type="dxa"/>
            <w:vAlign w:val="center"/>
          </w:tcPr>
          <w:p w:rsidR="005E1D98" w:rsidRDefault="005E1D98">
            <w:pPr>
              <w:jc w:val="center"/>
              <w:rPr>
                <w:rFonts w:ascii="Garamond" w:hAnsi="Garamond"/>
                <w:color w:val="000000"/>
              </w:rPr>
            </w:pPr>
            <w:r>
              <w:rPr>
                <w:rFonts w:ascii="Garamond" w:hAnsi="Garamond"/>
                <w:color w:val="000000"/>
              </w:rPr>
              <w:t>11,5</w:t>
            </w:r>
          </w:p>
        </w:tc>
        <w:tc>
          <w:tcPr>
            <w:tcW w:w="1123" w:type="dxa"/>
            <w:vAlign w:val="center"/>
          </w:tcPr>
          <w:p w:rsidR="005E1D98" w:rsidRDefault="005E1D98">
            <w:pPr>
              <w:jc w:val="center"/>
              <w:rPr>
                <w:rFonts w:ascii="Garamond" w:hAnsi="Garamond"/>
                <w:color w:val="000000"/>
              </w:rPr>
            </w:pPr>
            <w:r>
              <w:rPr>
                <w:rFonts w:ascii="Garamond" w:hAnsi="Garamond"/>
                <w:color w:val="000000"/>
              </w:rPr>
              <w:t>17,2</w:t>
            </w:r>
          </w:p>
        </w:tc>
        <w:tc>
          <w:tcPr>
            <w:tcW w:w="1124" w:type="dxa"/>
            <w:vAlign w:val="center"/>
          </w:tcPr>
          <w:p w:rsidR="005E1D98" w:rsidRDefault="005E1D98">
            <w:pPr>
              <w:jc w:val="center"/>
              <w:rPr>
                <w:rFonts w:ascii="Garamond" w:hAnsi="Garamond"/>
                <w:color w:val="000000"/>
              </w:rPr>
            </w:pPr>
            <w:r>
              <w:rPr>
                <w:rFonts w:ascii="Garamond" w:hAnsi="Garamond"/>
                <w:color w:val="000000"/>
              </w:rPr>
              <w:t>18,4</w:t>
            </w:r>
          </w:p>
        </w:tc>
        <w:tc>
          <w:tcPr>
            <w:tcW w:w="1122" w:type="dxa"/>
            <w:vAlign w:val="center"/>
          </w:tcPr>
          <w:p w:rsidR="005E1D98" w:rsidRDefault="005E1D98">
            <w:pPr>
              <w:jc w:val="center"/>
              <w:rPr>
                <w:rFonts w:ascii="Garamond" w:hAnsi="Garamond"/>
                <w:color w:val="000000"/>
              </w:rPr>
            </w:pPr>
            <w:r>
              <w:rPr>
                <w:rFonts w:ascii="Garamond" w:hAnsi="Garamond"/>
                <w:color w:val="000000"/>
              </w:rPr>
              <w:t>9,8</w:t>
            </w:r>
          </w:p>
        </w:tc>
        <w:tc>
          <w:tcPr>
            <w:tcW w:w="1123" w:type="dxa"/>
            <w:vAlign w:val="center"/>
          </w:tcPr>
          <w:p w:rsidR="005E1D98" w:rsidRDefault="005E1D98">
            <w:pPr>
              <w:jc w:val="center"/>
              <w:rPr>
                <w:rFonts w:ascii="Garamond" w:hAnsi="Garamond"/>
                <w:color w:val="000000"/>
              </w:rPr>
            </w:pPr>
            <w:r>
              <w:rPr>
                <w:rFonts w:ascii="Garamond" w:hAnsi="Garamond"/>
                <w:color w:val="000000"/>
              </w:rPr>
              <w:t>16,5</w:t>
            </w:r>
          </w:p>
        </w:tc>
      </w:tr>
    </w:tbl>
    <w:p w:rsidR="005E1D98" w:rsidRDefault="005E1D98">
      <w:pPr>
        <w:pStyle w:val="Corpsdetexte2"/>
        <w:bidi w:val="0"/>
        <w:jc w:val="both"/>
        <w:rPr>
          <w:rFonts w:ascii="Garamond" w:hAnsi="Garamond" w:cs="Times New Roman"/>
          <w:b/>
          <w:spacing w:val="-2"/>
        </w:rPr>
      </w:pPr>
      <w:r>
        <w:rPr>
          <w:rFonts w:ascii="Book Antiqua" w:hAnsi="Book Antiqua" w:cs="Times New Roman"/>
          <w:b/>
          <w:bCs/>
          <w:i/>
          <w:iCs/>
          <w:sz w:val="20"/>
        </w:rPr>
        <w:t xml:space="preserve"> </w:t>
      </w:r>
      <w:r>
        <w:rPr>
          <w:rFonts w:ascii="Garamond" w:hAnsi="Garamond" w:cs="Times New Roman"/>
          <w:b/>
          <w:spacing w:val="-2"/>
        </w:rPr>
        <w:t>Source : Enquête nationale sur l'emploi, Haut Commissariat au Plan  (Direction de la Statistique).</w:t>
      </w:r>
    </w:p>
    <w:p w:rsidR="005E1D98" w:rsidRDefault="005E1D98">
      <w:pPr>
        <w:tabs>
          <w:tab w:val="left" w:pos="-720"/>
        </w:tabs>
        <w:suppressAutoHyphens/>
        <w:jc w:val="both"/>
        <w:rPr>
          <w:rFonts w:ascii="Garamond" w:hAnsi="Garamond"/>
          <w:b/>
          <w:spacing w:val="-2"/>
        </w:rPr>
      </w:pPr>
    </w:p>
    <w:p w:rsidR="005E1D98" w:rsidRDefault="005E1D98">
      <w:pPr>
        <w:pStyle w:val="Notedebasdepage"/>
        <w:rPr>
          <w:rFonts w:ascii="Garamond" w:hAnsi="Garamond"/>
          <w:b/>
        </w:rPr>
      </w:pPr>
      <w:r>
        <w:rPr>
          <w:rFonts w:ascii="Garamond" w:hAnsi="Garamond"/>
          <w:b/>
          <w:vertAlign w:val="superscript"/>
        </w:rPr>
        <w:t>(1)</w:t>
      </w:r>
      <w:r>
        <w:rPr>
          <w:rFonts w:ascii="Garamond" w:hAnsi="Garamond"/>
          <w:b/>
        </w:rPr>
        <w:t xml:space="preserve"> Pour les définitions des concepts et indicateurs utilisés, se référer au glossaire disponible sur le site web du HCP : </w:t>
      </w:r>
      <w:r>
        <w:rPr>
          <w:rFonts w:ascii="Garamond" w:hAnsi="Garamond"/>
          <w:b/>
          <w:color w:val="0070C0"/>
        </w:rPr>
        <w:t>http://www.hcp.ma</w:t>
      </w:r>
    </w:p>
    <w:sectPr w:rsidR="005E1D98">
      <w:footerReference w:type="even" r:id="rId11"/>
      <w:footerReference w:type="default" r:id="rId12"/>
      <w:pgSz w:w="12240" w:h="15840"/>
      <w:pgMar w:top="851" w:right="1418" w:bottom="107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8FE" w:rsidRDefault="009158FE">
      <w:r>
        <w:separator/>
      </w:r>
    </w:p>
  </w:endnote>
  <w:endnote w:type="continuationSeparator" w:id="0">
    <w:p w:rsidR="009158FE" w:rsidRDefault="009158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00000007" w:usb1="00000000" w:usb2="00000000" w:usb3="00000000" w:csb0="0000009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98" w:rsidRDefault="005E1D98">
    <w:pPr>
      <w:pStyle w:val="Pieddepage"/>
      <w:framePr w:wrap="around" w:vAnchor="text" w:hAnchor="margin"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5E1D98" w:rsidRDefault="005E1D9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D98" w:rsidRDefault="005E1D98">
    <w:pPr>
      <w:pStyle w:val="Pieddepage"/>
      <w:framePr w:wrap="around" w:vAnchor="text" w:hAnchor="margin" w:xAlign="center" w:y="1"/>
      <w:rPr>
        <w:rStyle w:val="Numrodepage"/>
      </w:rPr>
    </w:pPr>
    <w:r>
      <w:rPr>
        <w:rStyle w:val="Numrodepage"/>
        <w:rtl/>
      </w:rPr>
      <w:fldChar w:fldCharType="begin"/>
    </w:r>
    <w:r>
      <w:rPr>
        <w:rStyle w:val="Numrodepage"/>
      </w:rPr>
      <w:instrText xml:space="preserve">PAGE  </w:instrText>
    </w:r>
    <w:r>
      <w:rPr>
        <w:rStyle w:val="Numrodepage"/>
        <w:rtl/>
      </w:rPr>
      <w:fldChar w:fldCharType="separate"/>
    </w:r>
    <w:r w:rsidR="009158FE">
      <w:rPr>
        <w:rStyle w:val="Numrodepage"/>
        <w:rtl/>
      </w:rPr>
      <w:t>1</w:t>
    </w:r>
    <w:r>
      <w:rPr>
        <w:rStyle w:val="Numrodepage"/>
        <w:rtl/>
      </w:rPr>
      <w:fldChar w:fldCharType="end"/>
    </w:r>
  </w:p>
  <w:p w:rsidR="005E1D98" w:rsidRDefault="005E1D9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8FE" w:rsidRDefault="009158FE">
      <w:r>
        <w:separator/>
      </w:r>
    </w:p>
  </w:footnote>
  <w:footnote w:type="continuationSeparator" w:id="0">
    <w:p w:rsidR="009158FE" w:rsidRDefault="00915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3">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106A6CFE"/>
    <w:multiLevelType w:val="hybridMultilevel"/>
    <w:tmpl w:val="29ECBA10"/>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5">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6648368A"/>
    <w:multiLevelType w:val="hybridMultilevel"/>
    <w:tmpl w:val="9048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6618B"/>
    <w:multiLevelType w:val="hybridMultilevel"/>
    <w:tmpl w:val="E6644104"/>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8">
    <w:nsid w:val="70025097"/>
    <w:multiLevelType w:val="hybridMultilevel"/>
    <w:tmpl w:val="1444FC56"/>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1"/>
  </w:num>
  <w:num w:numId="5">
    <w:abstractNumId w:val="7"/>
  </w:num>
  <w:num w:numId="6">
    <w:abstractNumId w:val="6"/>
  </w:num>
  <w:num w:numId="7">
    <w:abstractNumId w:val="2"/>
  </w:num>
  <w:num w:numId="8">
    <w:abstractNumId w:val="5"/>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footnotePr>
    <w:footnote w:id="-1"/>
    <w:footnote w:id="0"/>
  </w:footnotePr>
  <w:endnotePr>
    <w:endnote w:id="-1"/>
    <w:endnote w:id="0"/>
  </w:endnotePr>
  <w:compat/>
  <w:rsids>
    <w:rsidRoot w:val="00542B52"/>
    <w:rsid w:val="0001799D"/>
    <w:rsid w:val="00542B52"/>
    <w:rsid w:val="005E1D98"/>
    <w:rsid w:val="009158F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bidi/>
    </w:pPr>
    <w:rPr>
      <w:rFonts w:cs="Traditional Arabic"/>
      <w:noProof/>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pPr>
      <w:jc w:val="center"/>
    </w:pPr>
    <w:rPr>
      <w:rFonts w:ascii="Univers" w:hAnsi="Univers" w:cs="Simplified Arabic"/>
      <w:noProof w:val="0"/>
      <w:sz w:val="22"/>
    </w:rPr>
  </w:style>
  <w:style w:type="character" w:styleId="Lienhypertexte">
    <w:name w:val="Hyperlink"/>
    <w:semiHidden/>
    <w:rPr>
      <w:rFonts w:cs="Times New Roman"/>
      <w:color w:val="0000FF"/>
      <w:u w:val="single"/>
    </w:rPr>
  </w:style>
  <w:style w:type="paragraph" w:styleId="Notedebasdepage">
    <w:name w:val="footnote text"/>
    <w:basedOn w:val="Normal"/>
    <w:semiHidden/>
    <w:pPr>
      <w:bidi w:val="0"/>
    </w:pPr>
    <w:rPr>
      <w:rFonts w:cs="Times New Roman"/>
      <w:noProof w:val="0"/>
    </w:rPr>
  </w:style>
  <w:style w:type="paragraph" w:customStyle="1" w:styleId="ListParagraph1">
    <w:name w:val="List Paragraph1"/>
    <w:basedOn w:val="Normal"/>
    <w:pPr>
      <w:bidi w:val="0"/>
      <w:ind w:left="720"/>
    </w:pPr>
    <w:rPr>
      <w:rFonts w:cs="Times New Roman"/>
      <w:noProof w:val="0"/>
      <w:sz w:val="24"/>
      <w:szCs w:val="24"/>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Default">
    <w:name w:val="Default"/>
    <w:pPr>
      <w:autoSpaceDE w:val="0"/>
      <w:autoSpaceDN w:val="0"/>
      <w:adjustRightInd w:val="0"/>
    </w:pPr>
    <w:rPr>
      <w:color w:val="000000"/>
      <w:sz w:val="24"/>
      <w:szCs w:val="24"/>
    </w:rPr>
  </w:style>
  <w:style w:type="paragraph" w:styleId="Titre">
    <w:name w:val="Title"/>
    <w:basedOn w:val="Normal"/>
    <w:qFormat/>
    <w:pPr>
      <w:bidi w:val="0"/>
      <w:jc w:val="center"/>
    </w:pPr>
    <w:rPr>
      <w:rFonts w:cs="Times New Roman"/>
      <w:b/>
      <w:bCs/>
      <w:noProof w:val="0"/>
      <w:sz w:val="28"/>
      <w:szCs w:val="28"/>
    </w:rPr>
  </w:style>
  <w:style w:type="character" w:customStyle="1" w:styleId="TitreCar">
    <w:name w:val="Titre Car"/>
    <w:rPr>
      <w:b/>
      <w:bCs/>
      <w:sz w:val="28"/>
      <w:szCs w:val="28"/>
    </w:rPr>
  </w:style>
  <w:style w:type="paragraph" w:styleId="En-ttedetabledesmatires">
    <w:name w:val="TOC Heading"/>
    <w:basedOn w:val="Titre1"/>
    <w:next w:val="Normal"/>
    <w:qFormat/>
    <w:pPr>
      <w:keepLines/>
      <w:bidi w:val="0"/>
      <w:spacing w:before="480" w:after="0" w:line="276" w:lineRule="auto"/>
      <w:outlineLvl w:val="9"/>
    </w:pPr>
    <w:rPr>
      <w:rFonts w:ascii="Cambria" w:hAnsi="Cambria" w:cs="Times New Roman"/>
      <w:noProof w:val="0"/>
      <w:color w:val="365F91"/>
      <w:kern w:val="0"/>
      <w:sz w:val="28"/>
      <w:szCs w:val="28"/>
      <w:lang w:eastAsia="en-US"/>
    </w:rPr>
  </w:style>
  <w:style w:type="paragraph" w:styleId="TM1">
    <w:name w:val="toc 1"/>
    <w:basedOn w:val="Normal"/>
    <w:next w:val="Normal"/>
    <w:autoRedefine/>
    <w:semiHidden/>
  </w:style>
  <w:style w:type="paragraph" w:styleId="Paragraphedeliste">
    <w:name w:val="List Paragraph"/>
    <w:basedOn w:val="Normal"/>
    <w:qFormat/>
    <w:pPr>
      <w:ind w:left="708"/>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trim__3__2013\Traitement\Traitement-sit-1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eur\Bureau\trim__3__2013\Traitement\traitement__branches-6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trim__3__2013\SI%20Mustapha%20Ziroili\Graphiques%203T201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eur\Bureau\trim__3__2013\SI%20Mustapha%20Ziroili\Graphiques%203T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9842113546251611E-2"/>
          <c:y val="3.8923363056439154E-2"/>
          <c:w val="0.93888888888888944"/>
          <c:h val="0.7866531787693205"/>
        </c:manualLayout>
      </c:layout>
      <c:barChart>
        <c:barDir val="col"/>
        <c:grouping val="clustered"/>
        <c:ser>
          <c:idx val="0"/>
          <c:order val="0"/>
          <c:tx>
            <c:strRef>
              <c:f>Feuil2!$C$2</c:f>
              <c:strCache>
                <c:ptCount val="1"/>
                <c:pt idx="0">
                  <c:v>Emploi non rémunéré</c:v>
                </c:pt>
              </c:strCache>
            </c:strRef>
          </c:tx>
          <c:dLbls>
            <c:txPr>
              <a:bodyPr/>
              <a:lstStyle/>
              <a:p>
                <a:pPr>
                  <a:defRPr sz="1000" b="0" i="0" u="none" strike="noStrike" baseline="0">
                    <a:solidFill>
                      <a:srgbClr val="000000"/>
                    </a:solidFill>
                    <a:latin typeface="Calibri"/>
                    <a:ea typeface="Calibri"/>
                    <a:cs typeface="Calibri"/>
                  </a:defRPr>
                </a:pPr>
                <a:endParaRPr lang="fr-FR"/>
              </a:p>
            </c:txPr>
            <c:showVal val="1"/>
          </c:dLbls>
          <c:cat>
            <c:strRef>
              <c:f>Feuil2!$D$1:$F$1</c:f>
              <c:strCache>
                <c:ptCount val="3"/>
                <c:pt idx="0">
                  <c:v>Urbain</c:v>
                </c:pt>
                <c:pt idx="1">
                  <c:v>Rural</c:v>
                </c:pt>
                <c:pt idx="2">
                  <c:v>National</c:v>
                </c:pt>
              </c:strCache>
            </c:strRef>
          </c:cat>
          <c:val>
            <c:numRef>
              <c:f>Feuil2!$D$2:$F$2</c:f>
              <c:numCache>
                <c:formatCode>General</c:formatCode>
                <c:ptCount val="3"/>
                <c:pt idx="0">
                  <c:v>-14000</c:v>
                </c:pt>
                <c:pt idx="1">
                  <c:v>119000</c:v>
                </c:pt>
                <c:pt idx="2">
                  <c:v>105000</c:v>
                </c:pt>
              </c:numCache>
            </c:numRef>
          </c:val>
        </c:ser>
        <c:ser>
          <c:idx val="1"/>
          <c:order val="1"/>
          <c:tx>
            <c:strRef>
              <c:f>Feuil2!$C$3</c:f>
              <c:strCache>
                <c:ptCount val="1"/>
                <c:pt idx="0">
                  <c:v>Emploi rémunéré</c:v>
                </c:pt>
              </c:strCache>
            </c:strRef>
          </c:tx>
          <c:dLbls>
            <c:txPr>
              <a:bodyPr/>
              <a:lstStyle/>
              <a:p>
                <a:pPr>
                  <a:defRPr sz="1000" b="0" i="0" u="none" strike="noStrike" baseline="0">
                    <a:solidFill>
                      <a:srgbClr val="000000"/>
                    </a:solidFill>
                    <a:latin typeface="Calibri"/>
                    <a:ea typeface="Calibri"/>
                    <a:cs typeface="Calibri"/>
                  </a:defRPr>
                </a:pPr>
                <a:endParaRPr lang="fr-FR"/>
              </a:p>
            </c:txPr>
            <c:showVal val="1"/>
          </c:dLbls>
          <c:cat>
            <c:strRef>
              <c:f>Feuil2!$D$1:$F$1</c:f>
              <c:strCache>
                <c:ptCount val="3"/>
                <c:pt idx="0">
                  <c:v>Urbain</c:v>
                </c:pt>
                <c:pt idx="1">
                  <c:v>Rural</c:v>
                </c:pt>
                <c:pt idx="2">
                  <c:v>National</c:v>
                </c:pt>
              </c:strCache>
            </c:strRef>
          </c:cat>
          <c:val>
            <c:numRef>
              <c:f>Feuil2!$D$3:$F$3</c:f>
              <c:numCache>
                <c:formatCode>General</c:formatCode>
                <c:ptCount val="3"/>
                <c:pt idx="0">
                  <c:v>17000</c:v>
                </c:pt>
                <c:pt idx="1">
                  <c:v>17000</c:v>
                </c:pt>
                <c:pt idx="2">
                  <c:v>34000</c:v>
                </c:pt>
              </c:numCache>
            </c:numRef>
          </c:val>
        </c:ser>
        <c:ser>
          <c:idx val="2"/>
          <c:order val="2"/>
          <c:tx>
            <c:strRef>
              <c:f>Feuil2!$C$4</c:f>
              <c:strCache>
                <c:ptCount val="1"/>
                <c:pt idx="0">
                  <c:v>Emploi total</c:v>
                </c:pt>
              </c:strCache>
            </c:strRef>
          </c:tx>
          <c:dLbls>
            <c:txPr>
              <a:bodyPr/>
              <a:lstStyle/>
              <a:p>
                <a:pPr>
                  <a:defRPr sz="1000" b="0" i="0" u="none" strike="noStrike" baseline="0">
                    <a:solidFill>
                      <a:srgbClr val="000000"/>
                    </a:solidFill>
                    <a:latin typeface="Calibri"/>
                    <a:ea typeface="Calibri"/>
                    <a:cs typeface="Calibri"/>
                  </a:defRPr>
                </a:pPr>
                <a:endParaRPr lang="fr-FR"/>
              </a:p>
            </c:txPr>
            <c:showVal val="1"/>
          </c:dLbls>
          <c:cat>
            <c:strRef>
              <c:f>Feuil2!$D$1:$F$1</c:f>
              <c:strCache>
                <c:ptCount val="3"/>
                <c:pt idx="0">
                  <c:v>Urbain</c:v>
                </c:pt>
                <c:pt idx="1">
                  <c:v>Rural</c:v>
                </c:pt>
                <c:pt idx="2">
                  <c:v>National</c:v>
                </c:pt>
              </c:strCache>
            </c:strRef>
          </c:cat>
          <c:val>
            <c:numRef>
              <c:f>Feuil2!$D$4:$F$4</c:f>
              <c:numCache>
                <c:formatCode>General</c:formatCode>
                <c:ptCount val="3"/>
                <c:pt idx="0">
                  <c:v>3000</c:v>
                </c:pt>
                <c:pt idx="1">
                  <c:v>136000</c:v>
                </c:pt>
                <c:pt idx="2">
                  <c:v>139000</c:v>
                </c:pt>
              </c:numCache>
            </c:numRef>
          </c:val>
        </c:ser>
        <c:dLbls>
          <c:showVal val="1"/>
        </c:dLbls>
        <c:overlap val="-25"/>
        <c:axId val="102892288"/>
        <c:axId val="102893824"/>
      </c:barChart>
      <c:catAx>
        <c:axId val="102892288"/>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fr-FR"/>
          </a:p>
        </c:txPr>
        <c:crossAx val="102893824"/>
        <c:crosses val="autoZero"/>
        <c:auto val="1"/>
        <c:lblAlgn val="ctr"/>
        <c:lblOffset val="100"/>
      </c:catAx>
      <c:valAx>
        <c:axId val="102893824"/>
        <c:scaling>
          <c:orientation val="minMax"/>
        </c:scaling>
        <c:delete val="1"/>
        <c:axPos val="l"/>
        <c:numFmt formatCode="General" sourceLinked="1"/>
        <c:tickLblPos val="none"/>
        <c:crossAx val="102892288"/>
        <c:crosses val="autoZero"/>
        <c:crossBetween val="between"/>
      </c:valAx>
    </c:plotArea>
    <c:legend>
      <c:legendPos val="t"/>
      <c:layout>
        <c:manualLayout>
          <c:xMode val="edge"/>
          <c:yMode val="edge"/>
          <c:x val="0.1284519512430384"/>
          <c:y val="0.86788687837861389"/>
          <c:w val="0.74774009148276244"/>
          <c:h val="7.9836262189080756E-2"/>
        </c:manualLayout>
      </c:layout>
      <c:txPr>
        <a:bodyPr/>
        <a:lstStyle/>
        <a:p>
          <a:pPr>
            <a:defRPr sz="920" b="0" i="0" u="none" strike="noStrike" baseline="0">
              <a:solidFill>
                <a:srgbClr val="000000"/>
              </a:solidFill>
              <a:latin typeface="Calibri"/>
              <a:ea typeface="Calibri"/>
              <a:cs typeface="Calibri"/>
            </a:defRPr>
          </a:pPr>
          <a:endParaRPr lang="fr-FR"/>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style val="26"/>
  <c:chart>
    <c:plotArea>
      <c:layout>
        <c:manualLayout>
          <c:layoutTarget val="inner"/>
          <c:xMode val="edge"/>
          <c:yMode val="edge"/>
          <c:x val="1.2718600953895062E-2"/>
          <c:y val="5.6809466613283496E-2"/>
          <c:w val="0.95336512983571742"/>
          <c:h val="0.69955276776843556"/>
        </c:manualLayout>
      </c:layout>
      <c:barChart>
        <c:barDir val="col"/>
        <c:grouping val="clustered"/>
        <c:ser>
          <c:idx val="0"/>
          <c:order val="0"/>
          <c:tx>
            <c:strRef>
              <c:f>Feuil2!$C$5</c:f>
              <c:strCache>
                <c:ptCount val="1"/>
                <c:pt idx="0">
                  <c:v>Urbain</c:v>
                </c:pt>
              </c:strCache>
            </c:strRef>
          </c:tx>
          <c:dLbls>
            <c:dLbl>
              <c:idx val="1"/>
              <c:layout>
                <c:manualLayout>
                  <c:x val="-2.3304203079483946E-2"/>
                  <c:y val="7.5329566854990633E-3"/>
                </c:manualLayout>
              </c:layout>
              <c:dLblPos val="outEnd"/>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Feuil2!$D$5:$H$5</c:f>
              <c:numCache>
                <c:formatCode>#,##0</c:formatCode>
                <c:ptCount val="5"/>
                <c:pt idx="0">
                  <c:v>-8000</c:v>
                </c:pt>
                <c:pt idx="1">
                  <c:v>-44000</c:v>
                </c:pt>
                <c:pt idx="2">
                  <c:v>-39000</c:v>
                </c:pt>
                <c:pt idx="3">
                  <c:v>93000</c:v>
                </c:pt>
                <c:pt idx="4">
                  <c:v>1000</c:v>
                </c:pt>
              </c:numCache>
            </c:numRef>
          </c:val>
        </c:ser>
        <c:ser>
          <c:idx val="1"/>
          <c:order val="1"/>
          <c:tx>
            <c:strRef>
              <c:f>Feuil2!$C$6</c:f>
              <c:strCache>
                <c:ptCount val="1"/>
                <c:pt idx="0">
                  <c:v>Rural</c:v>
                </c:pt>
              </c:strCache>
            </c:strRef>
          </c:tx>
          <c:dLbls>
            <c:dLbl>
              <c:idx val="0"/>
              <c:layout>
                <c:manualLayout>
                  <c:x val="-9.9875156054931441E-3"/>
                  <c:y val="0"/>
                </c:manualLayout>
              </c:layout>
              <c:dLblPos val="outEnd"/>
              <c:showVal val="1"/>
            </c:dLbl>
            <c:dLbl>
              <c:idx val="1"/>
              <c:layout>
                <c:manualLayout>
                  <c:x val="-3.0517056258924464E-17"/>
                  <c:y val="-4.5197740112994364E-2"/>
                </c:manualLayout>
              </c:layout>
              <c:dLblPos val="outEnd"/>
              <c:showVal val="1"/>
            </c:dLbl>
            <c:dLbl>
              <c:idx val="2"/>
              <c:layout>
                <c:manualLayout>
                  <c:x val="1.6645859342488596E-3"/>
                  <c:y val="-1.5065913370998179E-2"/>
                </c:manualLayout>
              </c:layout>
              <c:showVal val="1"/>
            </c:dLbl>
            <c:dLbl>
              <c:idx val="4"/>
              <c:layout>
                <c:manualLayout>
                  <c:x val="-9.9875156054931441E-3"/>
                  <c:y val="-1.5065913370998179E-2"/>
                </c:manualLayout>
              </c:layout>
              <c:dLblPos val="outEnd"/>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Feuil2!$D$6:$H$6</c:f>
              <c:numCache>
                <c:formatCode>#,##0</c:formatCode>
                <c:ptCount val="5"/>
                <c:pt idx="0">
                  <c:v>164000</c:v>
                </c:pt>
                <c:pt idx="1">
                  <c:v>17000</c:v>
                </c:pt>
                <c:pt idx="2">
                  <c:v>-15000</c:v>
                </c:pt>
                <c:pt idx="3">
                  <c:v>-29000</c:v>
                </c:pt>
                <c:pt idx="4">
                  <c:v>-1000</c:v>
                </c:pt>
              </c:numCache>
            </c:numRef>
          </c:val>
        </c:ser>
        <c:ser>
          <c:idx val="2"/>
          <c:order val="2"/>
          <c:tx>
            <c:strRef>
              <c:f>Feuil2!$C$7</c:f>
              <c:strCache>
                <c:ptCount val="1"/>
                <c:pt idx="0">
                  <c:v>National</c:v>
                </c:pt>
              </c:strCache>
            </c:strRef>
          </c:tx>
          <c:dLbls>
            <c:dLbl>
              <c:idx val="0"/>
              <c:layout>
                <c:manualLayout>
                  <c:x val="3.8285476487723742E-2"/>
                  <c:y val="1.1862923914171762E-6"/>
                </c:manualLayout>
              </c:layout>
              <c:dLblPos val="outEnd"/>
              <c:showVal val="1"/>
            </c:dLbl>
            <c:dLbl>
              <c:idx val="1"/>
              <c:layout>
                <c:manualLayout>
                  <c:x val="2.6633374947981691E-2"/>
                  <c:y val="3.7664783427495663E-3"/>
                </c:manualLayout>
              </c:layout>
              <c:dLblPos val="outEnd"/>
              <c:showVal val="1"/>
            </c:dLbl>
            <c:dLbl>
              <c:idx val="4"/>
              <c:layout>
                <c:manualLayout>
                  <c:x val="1.2206822503569788E-16"/>
                  <c:y val="-4.519774011299442E-2"/>
                </c:manualLayout>
              </c:layout>
              <c:dLblPos val="outEnd"/>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Feuil2!$D$7:$H$7</c:f>
              <c:numCache>
                <c:formatCode>#,##0</c:formatCode>
                <c:ptCount val="5"/>
                <c:pt idx="0">
                  <c:v>156000</c:v>
                </c:pt>
                <c:pt idx="1">
                  <c:v>-27000</c:v>
                </c:pt>
                <c:pt idx="2">
                  <c:v>-54000</c:v>
                </c:pt>
                <c:pt idx="3">
                  <c:v>64000</c:v>
                </c:pt>
                <c:pt idx="4">
                  <c:v>0</c:v>
                </c:pt>
              </c:numCache>
            </c:numRef>
          </c:val>
        </c:ser>
        <c:dLbls>
          <c:showVal val="1"/>
        </c:dLbls>
        <c:axId val="102941056"/>
        <c:axId val="102942592"/>
      </c:barChart>
      <c:catAx>
        <c:axId val="102941056"/>
        <c:scaling>
          <c:orientation val="minMax"/>
        </c:scaling>
        <c:axPos val="b"/>
        <c:numFmt formatCode="General" sourceLinked="1"/>
        <c:majorTickMark val="none"/>
        <c:tickLblPos val="low"/>
        <c:txPr>
          <a:bodyPr/>
          <a:lstStyle/>
          <a:p>
            <a:pPr>
              <a:defRPr sz="1000">
                <a:latin typeface="Garamond" pitchFamily="18" charset="0"/>
              </a:defRPr>
            </a:pPr>
            <a:endParaRPr lang="fr-FR"/>
          </a:p>
        </c:txPr>
        <c:crossAx val="102942592"/>
        <c:crosses val="autoZero"/>
        <c:auto val="1"/>
        <c:lblAlgn val="ctr"/>
        <c:lblOffset val="100"/>
      </c:catAx>
      <c:valAx>
        <c:axId val="102942592"/>
        <c:scaling>
          <c:orientation val="minMax"/>
        </c:scaling>
        <c:delete val="1"/>
        <c:axPos val="l"/>
        <c:numFmt formatCode="#,##0" sourceLinked="1"/>
        <c:tickLblPos val="none"/>
        <c:crossAx val="102941056"/>
        <c:crosses val="autoZero"/>
        <c:crossBetween val="between"/>
      </c:valAx>
    </c:plotArea>
    <c:legend>
      <c:legendPos val="t"/>
      <c:layout>
        <c:manualLayout>
          <c:xMode val="edge"/>
          <c:yMode val="edge"/>
          <c:x val="0.32888154898240779"/>
          <c:y val="0.93032015065913432"/>
          <c:w val="0.29560201978498041"/>
          <c:h val="6.8108901641532091E-2"/>
        </c:manualLayout>
      </c:layout>
      <c:txPr>
        <a:bodyPr/>
        <a:lstStyle/>
        <a:p>
          <a:pPr>
            <a:defRPr sz="1000">
              <a:latin typeface="Garamond" pitchFamily="18" charset="0"/>
            </a:defRPr>
          </a:pPr>
          <a:endParaRPr lang="fr-FR"/>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style val="34"/>
  <c:chart>
    <c:plotArea>
      <c:layout/>
      <c:lineChart>
        <c:grouping val="standard"/>
        <c:ser>
          <c:idx val="0"/>
          <c:order val="0"/>
          <c:tx>
            <c:strRef>
              <c:f>'tx de chôm'!$A$4</c:f>
              <c:strCache>
                <c:ptCount val="1"/>
                <c:pt idx="0">
                  <c:v>Urbain</c:v>
                </c:pt>
              </c:strCache>
            </c:strRef>
          </c:tx>
          <c:spPr>
            <a:ln w="25400"/>
          </c:spPr>
          <c:dLbls>
            <c:txPr>
              <a:bodyPr/>
              <a:lstStyle/>
              <a:p>
                <a:pPr>
                  <a:defRPr lang="en-US" sz="1000">
                    <a:latin typeface="Garamond" pitchFamily="18" charset="0"/>
                  </a:defRPr>
                </a:pPr>
                <a:endParaRPr lang="fr-FR"/>
              </a:p>
            </c:txPr>
            <c:dLblPos val="t"/>
            <c:showVal val="1"/>
          </c:dLbls>
          <c:cat>
            <c:numRef>
              <c:f>'tx de chôm'!$B$3:$F$3</c:f>
              <c:numCache>
                <c:formatCode>General</c:formatCode>
                <c:ptCount val="5"/>
                <c:pt idx="0">
                  <c:v>2009</c:v>
                </c:pt>
                <c:pt idx="1">
                  <c:v>2010</c:v>
                </c:pt>
                <c:pt idx="2">
                  <c:v>2011</c:v>
                </c:pt>
                <c:pt idx="3">
                  <c:v>2012</c:v>
                </c:pt>
                <c:pt idx="4">
                  <c:v>2013</c:v>
                </c:pt>
              </c:numCache>
            </c:numRef>
          </c:cat>
          <c:val>
            <c:numRef>
              <c:f>'tx de chôm'!$B$4:$F$4</c:f>
              <c:numCache>
                <c:formatCode>0.0</c:formatCode>
                <c:ptCount val="5"/>
                <c:pt idx="0">
                  <c:v>14.8</c:v>
                </c:pt>
                <c:pt idx="1">
                  <c:v>13.8</c:v>
                </c:pt>
                <c:pt idx="2">
                  <c:v>13.5</c:v>
                </c:pt>
                <c:pt idx="3">
                  <c:v>14</c:v>
                </c:pt>
                <c:pt idx="4">
                  <c:v>14</c:v>
                </c:pt>
              </c:numCache>
            </c:numRef>
          </c:val>
        </c:ser>
        <c:ser>
          <c:idx val="1"/>
          <c:order val="1"/>
          <c:tx>
            <c:strRef>
              <c:f>'tx de chôm'!$A$5</c:f>
              <c:strCache>
                <c:ptCount val="1"/>
                <c:pt idx="0">
                  <c:v>Rural</c:v>
                </c:pt>
              </c:strCache>
            </c:strRef>
          </c:tx>
          <c:spPr>
            <a:ln w="25400"/>
          </c:spPr>
          <c:dLbls>
            <c:txPr>
              <a:bodyPr/>
              <a:lstStyle/>
              <a:p>
                <a:pPr>
                  <a:defRPr lang="en-US" sz="1000">
                    <a:latin typeface="Garamond" pitchFamily="18" charset="0"/>
                  </a:defRPr>
                </a:pPr>
                <a:endParaRPr lang="fr-FR"/>
              </a:p>
            </c:txPr>
            <c:dLblPos val="t"/>
            <c:showVal val="1"/>
          </c:dLbls>
          <c:cat>
            <c:numRef>
              <c:f>'tx de chôm'!$B$3:$F$3</c:f>
              <c:numCache>
                <c:formatCode>General</c:formatCode>
                <c:ptCount val="5"/>
                <c:pt idx="0">
                  <c:v>2009</c:v>
                </c:pt>
                <c:pt idx="1">
                  <c:v>2010</c:v>
                </c:pt>
                <c:pt idx="2">
                  <c:v>2011</c:v>
                </c:pt>
                <c:pt idx="3">
                  <c:v>2012</c:v>
                </c:pt>
                <c:pt idx="4">
                  <c:v>2013</c:v>
                </c:pt>
              </c:numCache>
            </c:numRef>
          </c:cat>
          <c:val>
            <c:numRef>
              <c:f>'tx de chôm'!$B$5:$F$5</c:f>
              <c:numCache>
                <c:formatCode>0.0</c:formatCode>
                <c:ptCount val="5"/>
                <c:pt idx="0">
                  <c:v>4.3</c:v>
                </c:pt>
                <c:pt idx="1">
                  <c:v>3.8</c:v>
                </c:pt>
                <c:pt idx="2">
                  <c:v>4.0999999999999996</c:v>
                </c:pt>
                <c:pt idx="3">
                  <c:v>4.2</c:v>
                </c:pt>
                <c:pt idx="4">
                  <c:v>3.7</c:v>
                </c:pt>
              </c:numCache>
            </c:numRef>
          </c:val>
        </c:ser>
        <c:ser>
          <c:idx val="2"/>
          <c:order val="2"/>
          <c:tx>
            <c:strRef>
              <c:f>'tx de chôm'!$A$6</c:f>
              <c:strCache>
                <c:ptCount val="1"/>
                <c:pt idx="0">
                  <c:v>National</c:v>
                </c:pt>
              </c:strCache>
            </c:strRef>
          </c:tx>
          <c:spPr>
            <a:ln w="25400"/>
          </c:spPr>
          <c:dLbls>
            <c:txPr>
              <a:bodyPr/>
              <a:lstStyle/>
              <a:p>
                <a:pPr>
                  <a:defRPr lang="en-US" sz="1000">
                    <a:latin typeface="Garamond" pitchFamily="18" charset="0"/>
                  </a:defRPr>
                </a:pPr>
                <a:endParaRPr lang="fr-FR"/>
              </a:p>
            </c:txPr>
            <c:dLblPos val="t"/>
            <c:showVal val="1"/>
          </c:dLbls>
          <c:cat>
            <c:numRef>
              <c:f>'tx de chôm'!$B$3:$F$3</c:f>
              <c:numCache>
                <c:formatCode>General</c:formatCode>
                <c:ptCount val="5"/>
                <c:pt idx="0">
                  <c:v>2009</c:v>
                </c:pt>
                <c:pt idx="1">
                  <c:v>2010</c:v>
                </c:pt>
                <c:pt idx="2">
                  <c:v>2011</c:v>
                </c:pt>
                <c:pt idx="3">
                  <c:v>2012</c:v>
                </c:pt>
                <c:pt idx="4">
                  <c:v>2013</c:v>
                </c:pt>
              </c:numCache>
            </c:numRef>
          </c:cat>
          <c:val>
            <c:numRef>
              <c:f>'tx de chôm'!$B$6:$F$6</c:f>
              <c:numCache>
                <c:formatCode>0.0</c:formatCode>
                <c:ptCount val="5"/>
                <c:pt idx="0">
                  <c:v>9.8000000000000007</c:v>
                </c:pt>
                <c:pt idx="1">
                  <c:v>9</c:v>
                </c:pt>
                <c:pt idx="2">
                  <c:v>9.1</c:v>
                </c:pt>
                <c:pt idx="3">
                  <c:v>9.4</c:v>
                </c:pt>
                <c:pt idx="4">
                  <c:v>9.1</c:v>
                </c:pt>
              </c:numCache>
            </c:numRef>
          </c:val>
        </c:ser>
        <c:marker val="1"/>
        <c:axId val="102993920"/>
        <c:axId val="102995456"/>
      </c:lineChart>
      <c:catAx>
        <c:axId val="102993920"/>
        <c:scaling>
          <c:orientation val="minMax"/>
        </c:scaling>
        <c:axPos val="b"/>
        <c:numFmt formatCode="General" sourceLinked="1"/>
        <c:majorTickMark val="none"/>
        <c:minorTickMark val="cross"/>
        <c:tickLblPos val="nextTo"/>
        <c:txPr>
          <a:bodyPr/>
          <a:lstStyle/>
          <a:p>
            <a:pPr>
              <a:defRPr lang="en-US" sz="1000">
                <a:latin typeface="Garamond" pitchFamily="18" charset="0"/>
              </a:defRPr>
            </a:pPr>
            <a:endParaRPr lang="fr-FR"/>
          </a:p>
        </c:txPr>
        <c:crossAx val="102995456"/>
        <c:crosses val="autoZero"/>
        <c:auto val="1"/>
        <c:lblAlgn val="ctr"/>
        <c:lblOffset val="100"/>
      </c:catAx>
      <c:valAx>
        <c:axId val="102995456"/>
        <c:scaling>
          <c:orientation val="minMax"/>
        </c:scaling>
        <c:delete val="1"/>
        <c:axPos val="l"/>
        <c:numFmt formatCode="0.0" sourceLinked="1"/>
        <c:tickLblPos val="none"/>
        <c:crossAx val="102993920"/>
        <c:crosses val="autoZero"/>
        <c:crossBetween val="between"/>
      </c:valAx>
      <c:spPr>
        <a:noFill/>
      </c:spPr>
    </c:plotArea>
    <c:legend>
      <c:legendPos val="b"/>
      <c:txPr>
        <a:bodyPr/>
        <a:lstStyle/>
        <a:p>
          <a:pPr>
            <a:defRPr lang="en-US" sz="1000">
              <a:latin typeface="Garamond" pitchFamily="18" charset="0"/>
            </a:defRPr>
          </a:pPr>
          <a:endParaRPr lang="fr-FR"/>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lineChart>
        <c:grouping val="standard"/>
        <c:ser>
          <c:idx val="0"/>
          <c:order val="0"/>
          <c:tx>
            <c:strRef>
              <c:f>'tx de sous-emp'!$B$5</c:f>
              <c:strCache>
                <c:ptCount val="1"/>
                <c:pt idx="0">
                  <c:v>Urbain</c:v>
                </c:pt>
              </c:strCache>
            </c:strRef>
          </c:tx>
          <c:dLbls>
            <c:txPr>
              <a:bodyPr/>
              <a:lstStyle/>
              <a:p>
                <a:pPr>
                  <a:defRPr>
                    <a:latin typeface="Garamond" pitchFamily="18" charset="0"/>
                  </a:defRPr>
                </a:pPr>
                <a:endParaRPr lang="fr-FR"/>
              </a:p>
            </c:txPr>
            <c:dLblPos val="b"/>
            <c:showVal val="1"/>
          </c:dLbls>
          <c:cat>
            <c:numRef>
              <c:f>'tx de sous-emp'!$C$4:$G$4</c:f>
              <c:numCache>
                <c:formatCode>General</c:formatCode>
                <c:ptCount val="5"/>
                <c:pt idx="0">
                  <c:v>2009</c:v>
                </c:pt>
                <c:pt idx="1">
                  <c:v>2010</c:v>
                </c:pt>
                <c:pt idx="2">
                  <c:v>2011</c:v>
                </c:pt>
                <c:pt idx="3">
                  <c:v>2012</c:v>
                </c:pt>
                <c:pt idx="4">
                  <c:v>2013</c:v>
                </c:pt>
              </c:numCache>
            </c:numRef>
          </c:cat>
          <c:val>
            <c:numRef>
              <c:f>'tx de sous-emp'!$C$5:$G$5</c:f>
              <c:numCache>
                <c:formatCode>0.0</c:formatCode>
                <c:ptCount val="5"/>
                <c:pt idx="0">
                  <c:v>8.5</c:v>
                </c:pt>
                <c:pt idx="1">
                  <c:v>9.7000000000000011</c:v>
                </c:pt>
                <c:pt idx="2">
                  <c:v>8.9</c:v>
                </c:pt>
                <c:pt idx="3">
                  <c:v>8.4</c:v>
                </c:pt>
                <c:pt idx="4" formatCode="General">
                  <c:v>8.6</c:v>
                </c:pt>
              </c:numCache>
            </c:numRef>
          </c:val>
        </c:ser>
        <c:ser>
          <c:idx val="1"/>
          <c:order val="1"/>
          <c:tx>
            <c:strRef>
              <c:f>'tx de sous-emp'!$B$6</c:f>
              <c:strCache>
                <c:ptCount val="1"/>
                <c:pt idx="0">
                  <c:v>Rural</c:v>
                </c:pt>
              </c:strCache>
            </c:strRef>
          </c:tx>
          <c:dLbls>
            <c:txPr>
              <a:bodyPr/>
              <a:lstStyle/>
              <a:p>
                <a:pPr>
                  <a:defRPr>
                    <a:latin typeface="Garamond" pitchFamily="18" charset="0"/>
                  </a:defRPr>
                </a:pPr>
                <a:endParaRPr lang="fr-FR"/>
              </a:p>
            </c:txPr>
            <c:dLblPos val="t"/>
            <c:showVal val="1"/>
          </c:dLbls>
          <c:cat>
            <c:numRef>
              <c:f>'tx de sous-emp'!$C$4:$G$4</c:f>
              <c:numCache>
                <c:formatCode>General</c:formatCode>
                <c:ptCount val="5"/>
                <c:pt idx="0">
                  <c:v>2009</c:v>
                </c:pt>
                <c:pt idx="1">
                  <c:v>2010</c:v>
                </c:pt>
                <c:pt idx="2">
                  <c:v>2011</c:v>
                </c:pt>
                <c:pt idx="3">
                  <c:v>2012</c:v>
                </c:pt>
                <c:pt idx="4">
                  <c:v>2013</c:v>
                </c:pt>
              </c:numCache>
            </c:numRef>
          </c:cat>
          <c:val>
            <c:numRef>
              <c:f>'tx de sous-emp'!$C$6:$G$6</c:f>
              <c:numCache>
                <c:formatCode>0.0</c:formatCode>
                <c:ptCount val="5"/>
                <c:pt idx="0">
                  <c:v>12</c:v>
                </c:pt>
                <c:pt idx="1">
                  <c:v>13.3</c:v>
                </c:pt>
                <c:pt idx="2">
                  <c:v>11.6</c:v>
                </c:pt>
                <c:pt idx="3">
                  <c:v>9.6</c:v>
                </c:pt>
                <c:pt idx="4" formatCode="General">
                  <c:v>10.3</c:v>
                </c:pt>
              </c:numCache>
            </c:numRef>
          </c:val>
        </c:ser>
        <c:ser>
          <c:idx val="2"/>
          <c:order val="2"/>
          <c:tx>
            <c:strRef>
              <c:f>'tx de sous-emp'!$B$7</c:f>
              <c:strCache>
                <c:ptCount val="1"/>
                <c:pt idx="0">
                  <c:v>National</c:v>
                </c:pt>
              </c:strCache>
            </c:strRef>
          </c:tx>
          <c:dLbls>
            <c:txPr>
              <a:bodyPr/>
              <a:lstStyle/>
              <a:p>
                <a:pPr>
                  <a:defRPr>
                    <a:latin typeface="Garamond" pitchFamily="18" charset="0"/>
                  </a:defRPr>
                </a:pPr>
                <a:endParaRPr lang="fr-FR"/>
              </a:p>
            </c:txPr>
            <c:dLblPos val="r"/>
            <c:showVal val="1"/>
          </c:dLbls>
          <c:cat>
            <c:numRef>
              <c:f>'tx de sous-emp'!$C$4:$G$4</c:f>
              <c:numCache>
                <c:formatCode>General</c:formatCode>
                <c:ptCount val="5"/>
                <c:pt idx="0">
                  <c:v>2009</c:v>
                </c:pt>
                <c:pt idx="1">
                  <c:v>2010</c:v>
                </c:pt>
                <c:pt idx="2">
                  <c:v>2011</c:v>
                </c:pt>
                <c:pt idx="3">
                  <c:v>2012</c:v>
                </c:pt>
                <c:pt idx="4">
                  <c:v>2013</c:v>
                </c:pt>
              </c:numCache>
            </c:numRef>
          </c:cat>
          <c:val>
            <c:numRef>
              <c:f>'tx de sous-emp'!$C$7:$G$7</c:f>
              <c:numCache>
                <c:formatCode>0.0</c:formatCode>
                <c:ptCount val="5"/>
                <c:pt idx="0">
                  <c:v>10.200000000000001</c:v>
                </c:pt>
                <c:pt idx="1">
                  <c:v>11.5</c:v>
                </c:pt>
                <c:pt idx="2">
                  <c:v>10.3</c:v>
                </c:pt>
                <c:pt idx="3">
                  <c:v>9</c:v>
                </c:pt>
                <c:pt idx="4" formatCode="General">
                  <c:v>9.4</c:v>
                </c:pt>
              </c:numCache>
            </c:numRef>
          </c:val>
        </c:ser>
        <c:marker val="1"/>
        <c:axId val="103107968"/>
        <c:axId val="103117952"/>
      </c:lineChart>
      <c:catAx>
        <c:axId val="103107968"/>
        <c:scaling>
          <c:orientation val="minMax"/>
        </c:scaling>
        <c:axPos val="b"/>
        <c:numFmt formatCode="General" sourceLinked="1"/>
        <c:majorTickMark val="none"/>
        <c:minorTickMark val="cross"/>
        <c:tickLblPos val="nextTo"/>
        <c:txPr>
          <a:bodyPr/>
          <a:lstStyle/>
          <a:p>
            <a:pPr>
              <a:defRPr>
                <a:latin typeface="Garamond" pitchFamily="18" charset="0"/>
              </a:defRPr>
            </a:pPr>
            <a:endParaRPr lang="fr-FR"/>
          </a:p>
        </c:txPr>
        <c:crossAx val="103117952"/>
        <c:crosses val="autoZero"/>
        <c:auto val="1"/>
        <c:lblAlgn val="ctr"/>
        <c:lblOffset val="100"/>
      </c:catAx>
      <c:valAx>
        <c:axId val="103117952"/>
        <c:scaling>
          <c:orientation val="minMax"/>
          <c:min val="7"/>
        </c:scaling>
        <c:delete val="1"/>
        <c:axPos val="l"/>
        <c:numFmt formatCode="0.0" sourceLinked="1"/>
        <c:tickLblPos val="none"/>
        <c:crossAx val="103107968"/>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1512</Words>
  <Characters>8319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NOTE D’INFORMATION DU HAUT COMMISSARIAT AU PLAN AU SUJET DE LA </vt:lpstr>
    </vt:vector>
  </TitlesOfParts>
  <Company>HCP</Company>
  <LinksUpToDate>false</LinksUpToDate>
  <CharactersWithSpaces>9812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DU HAUT COMMISSARIAT AU PLAN AU SUJET DE LA</dc:title>
  <cp:lastModifiedBy>user</cp:lastModifiedBy>
  <cp:revision>2</cp:revision>
  <cp:lastPrinted>2013-11-03T17:43:00Z</cp:lastPrinted>
  <dcterms:created xsi:type="dcterms:W3CDTF">2013-11-03T22:13:00Z</dcterms:created>
  <dcterms:modified xsi:type="dcterms:W3CDTF">2013-11-03T22:13:00Z</dcterms:modified>
</cp:coreProperties>
</file>