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p>
    <w:p w:rsidR="006A6240" w:rsidRDefault="006A6240">
      <w:pPr>
        <w:autoSpaceDE w:val="0"/>
        <w:autoSpaceDN w:val="0"/>
        <w:bidi w:val="0"/>
        <w:adjustRightInd w:val="0"/>
        <w:jc w:val="center"/>
        <w:rPr>
          <w:rFonts w:cs="Times New Roman"/>
          <w:b/>
          <w:bCs/>
          <w:noProof w:val="0"/>
          <w:color w:val="008000"/>
          <w:sz w:val="22"/>
          <w:szCs w:val="22"/>
        </w:rPr>
      </w:pPr>
      <w:r>
        <w:rPr>
          <w:rFonts w:cs="Times New Roman"/>
          <w:b/>
          <w:bCs/>
          <w:noProof w:val="0"/>
          <w:color w:val="008000"/>
          <w:sz w:val="22"/>
          <w:szCs w:val="22"/>
        </w:rPr>
        <w:t xml:space="preserve">NOTE D’INFORMATION DU HAUT COMMISSARIAT AU PLAN AU SUJET DE LA </w:t>
      </w:r>
    </w:p>
    <w:p w:rsidR="006A6240" w:rsidRDefault="006A6240">
      <w:pPr>
        <w:autoSpaceDE w:val="0"/>
        <w:autoSpaceDN w:val="0"/>
        <w:bidi w:val="0"/>
        <w:adjustRightInd w:val="0"/>
        <w:jc w:val="center"/>
        <w:rPr>
          <w:rFonts w:cs="Times New Roman"/>
          <w:b/>
          <w:bCs/>
          <w:noProof w:val="0"/>
          <w:color w:val="008000"/>
          <w:sz w:val="22"/>
          <w:szCs w:val="22"/>
        </w:rPr>
      </w:pPr>
      <w:r>
        <w:rPr>
          <w:rFonts w:cs="Times New Roman"/>
          <w:b/>
          <w:bCs/>
          <w:noProof w:val="0"/>
          <w:color w:val="008000"/>
          <w:sz w:val="22"/>
          <w:szCs w:val="22"/>
        </w:rPr>
        <w:t>SITUATION DU MARCHE DU TRAVAIL AU DEUXIEME  TRIMESTRE DE L’ANNEE 2013</w:t>
      </w:r>
    </w:p>
    <w:p w:rsidR="006A6240" w:rsidRDefault="006A6240">
      <w:pPr>
        <w:autoSpaceDE w:val="0"/>
        <w:autoSpaceDN w:val="0"/>
        <w:bidi w:val="0"/>
        <w:adjustRightInd w:val="0"/>
        <w:rPr>
          <w:rFonts w:cs="Times New Roman"/>
          <w:noProof w:val="0"/>
          <w:color w:val="0000FF"/>
          <w:sz w:val="14"/>
          <w:szCs w:val="14"/>
        </w:rPr>
      </w:pPr>
    </w:p>
    <w:p w:rsidR="006A6240" w:rsidRDefault="006A6240">
      <w:pPr>
        <w:jc w:val="right"/>
        <w:rPr>
          <w:rFonts w:cs="Times New Roman"/>
          <w:sz w:val="24"/>
          <w:szCs w:val="24"/>
        </w:rPr>
      </w:pPr>
    </w:p>
    <w:p w:rsidR="006A6240" w:rsidRDefault="006A6240">
      <w:pPr>
        <w:jc w:val="right"/>
        <w:rPr>
          <w:rFonts w:cs="Times New Roman"/>
          <w:sz w:val="24"/>
          <w:szCs w:val="24"/>
        </w:rPr>
      </w:pPr>
    </w:p>
    <w:p w:rsidR="006A6240" w:rsidRDefault="006A6240" w:rsidP="00ED55E8">
      <w:pPr>
        <w:autoSpaceDE w:val="0"/>
        <w:autoSpaceDN w:val="0"/>
        <w:bidi w:val="0"/>
        <w:adjustRightInd w:val="0"/>
        <w:spacing w:line="276" w:lineRule="auto"/>
        <w:jc w:val="both"/>
        <w:rPr>
          <w:rFonts w:ascii="Garamond" w:hAnsi="Garamond" w:cs="Times New Roman"/>
          <w:b/>
          <w:bCs/>
          <w:noProof w:val="0"/>
          <w:color w:val="0070C0"/>
          <w:sz w:val="24"/>
          <w:szCs w:val="24"/>
        </w:rPr>
      </w:pPr>
      <w:r>
        <w:rPr>
          <w:rFonts w:ascii="Garamond" w:hAnsi="Garamond" w:cs="Times New Roman"/>
          <w:b/>
          <w:bCs/>
          <w:noProof w:val="0"/>
          <w:color w:val="0070C0"/>
          <w:sz w:val="24"/>
          <w:szCs w:val="24"/>
        </w:rPr>
        <w:t>Entre le deuxième trimestre de l’année 2012 et la même période de 2013, l’économie nationale a créé 144.000 postes d’emploi, 63.000 en milieu urbain et 81.000 en milieu rural. 136.000 postes ont été créés dans le secteur de l’"agriculture, forêt et pèche"</w:t>
      </w:r>
      <w:r w:rsidR="006B73A8">
        <w:rPr>
          <w:rFonts w:ascii="Garamond" w:hAnsi="Garamond" w:cs="Times New Roman"/>
          <w:b/>
          <w:bCs/>
          <w:noProof w:val="0"/>
          <w:color w:val="0070C0"/>
          <w:sz w:val="24"/>
          <w:szCs w:val="24"/>
        </w:rPr>
        <w:t xml:space="preserve"> et</w:t>
      </w:r>
      <w:r>
        <w:rPr>
          <w:rFonts w:ascii="Garamond" w:hAnsi="Garamond" w:cs="Times New Roman"/>
          <w:b/>
          <w:bCs/>
          <w:noProof w:val="0"/>
          <w:color w:val="0070C0"/>
          <w:sz w:val="24"/>
          <w:szCs w:val="24"/>
        </w:rPr>
        <w:t xml:space="preserve"> 37.000 dans l’"industrie"</w:t>
      </w:r>
      <w:r w:rsidR="006B73A8">
        <w:rPr>
          <w:rFonts w:ascii="Garamond" w:hAnsi="Garamond" w:cs="Times New Roman"/>
          <w:b/>
          <w:bCs/>
          <w:noProof w:val="0"/>
          <w:color w:val="0070C0"/>
          <w:sz w:val="24"/>
          <w:szCs w:val="24"/>
        </w:rPr>
        <w:t>. Le secteur du</w:t>
      </w:r>
      <w:r>
        <w:rPr>
          <w:rFonts w:ascii="Garamond" w:hAnsi="Garamond" w:cs="Times New Roman"/>
          <w:b/>
          <w:bCs/>
          <w:noProof w:val="0"/>
          <w:color w:val="0070C0"/>
          <w:sz w:val="24"/>
          <w:szCs w:val="24"/>
        </w:rPr>
        <w:t xml:space="preserve"> BTP </w:t>
      </w:r>
      <w:r w:rsidR="006B73A8">
        <w:rPr>
          <w:rFonts w:ascii="Garamond" w:hAnsi="Garamond" w:cs="Times New Roman"/>
          <w:b/>
          <w:bCs/>
          <w:noProof w:val="0"/>
          <w:color w:val="0070C0"/>
          <w:sz w:val="24"/>
          <w:szCs w:val="24"/>
        </w:rPr>
        <w:t>en a, en revanche,</w:t>
      </w:r>
      <w:r>
        <w:rPr>
          <w:rFonts w:ascii="Garamond" w:hAnsi="Garamond" w:cs="Times New Roman"/>
          <w:b/>
          <w:bCs/>
          <w:noProof w:val="0"/>
          <w:color w:val="0070C0"/>
          <w:sz w:val="24"/>
          <w:szCs w:val="24"/>
        </w:rPr>
        <w:t xml:space="preserve"> perdu 38.000 et </w:t>
      </w:r>
      <w:r w:rsidR="006B73A8">
        <w:rPr>
          <w:rFonts w:ascii="Garamond" w:hAnsi="Garamond" w:cs="Times New Roman"/>
          <w:b/>
          <w:bCs/>
          <w:noProof w:val="0"/>
          <w:color w:val="0070C0"/>
          <w:sz w:val="24"/>
          <w:szCs w:val="24"/>
        </w:rPr>
        <w:t>celui des</w:t>
      </w:r>
      <w:r>
        <w:rPr>
          <w:rFonts w:ascii="Garamond" w:hAnsi="Garamond" w:cs="Times New Roman"/>
          <w:b/>
          <w:bCs/>
          <w:noProof w:val="0"/>
          <w:color w:val="0070C0"/>
          <w:sz w:val="24"/>
          <w:szCs w:val="24"/>
        </w:rPr>
        <w:t xml:space="preserve"> "services" n’</w:t>
      </w:r>
      <w:r w:rsidR="006B73A8">
        <w:rPr>
          <w:rFonts w:ascii="Garamond" w:hAnsi="Garamond" w:cs="Times New Roman"/>
          <w:b/>
          <w:bCs/>
          <w:noProof w:val="0"/>
          <w:color w:val="0070C0"/>
          <w:sz w:val="24"/>
          <w:szCs w:val="24"/>
        </w:rPr>
        <w:t>en</w:t>
      </w:r>
      <w:r>
        <w:rPr>
          <w:rFonts w:ascii="Garamond" w:hAnsi="Garamond" w:cs="Times New Roman"/>
          <w:b/>
          <w:bCs/>
          <w:noProof w:val="0"/>
          <w:color w:val="0070C0"/>
          <w:sz w:val="24"/>
          <w:szCs w:val="24"/>
        </w:rPr>
        <w:t xml:space="preserve"> </w:t>
      </w:r>
      <w:r w:rsidR="006B73A8">
        <w:rPr>
          <w:rFonts w:ascii="Garamond" w:hAnsi="Garamond" w:cs="Times New Roman"/>
          <w:b/>
          <w:bCs/>
          <w:noProof w:val="0"/>
          <w:color w:val="0070C0"/>
          <w:sz w:val="24"/>
          <w:szCs w:val="24"/>
        </w:rPr>
        <w:t xml:space="preserve">a </w:t>
      </w:r>
      <w:r>
        <w:rPr>
          <w:rFonts w:ascii="Garamond" w:hAnsi="Garamond" w:cs="Times New Roman"/>
          <w:b/>
          <w:bCs/>
          <w:noProof w:val="0"/>
          <w:color w:val="0070C0"/>
          <w:sz w:val="24"/>
          <w:szCs w:val="24"/>
        </w:rPr>
        <w:t>créé que 5.000 postes</w:t>
      </w:r>
      <w:r w:rsidR="006B73A8">
        <w:rPr>
          <w:rFonts w:ascii="Garamond" w:hAnsi="Garamond" w:cs="Times New Roman"/>
          <w:b/>
          <w:bCs/>
          <w:noProof w:val="0"/>
          <w:color w:val="0070C0"/>
          <w:sz w:val="24"/>
          <w:szCs w:val="24"/>
        </w:rPr>
        <w:t xml:space="preserve"> alors qu’il en créait 85.000 en moyenne annuelle au cours </w:t>
      </w:r>
      <w:r>
        <w:rPr>
          <w:rFonts w:ascii="Garamond" w:hAnsi="Garamond" w:cs="Times New Roman"/>
          <w:b/>
          <w:bCs/>
          <w:noProof w:val="0"/>
          <w:color w:val="0070C0"/>
          <w:sz w:val="24"/>
          <w:szCs w:val="24"/>
        </w:rPr>
        <w:t>des cinq dernières années</w:t>
      </w:r>
      <w:r w:rsidR="00ED55E8">
        <w:rPr>
          <w:rFonts w:ascii="Garamond" w:hAnsi="Garamond" w:cs="Times New Roman"/>
          <w:b/>
          <w:bCs/>
          <w:noProof w:val="0"/>
          <w:color w:val="0070C0"/>
          <w:sz w:val="24"/>
          <w:szCs w:val="24"/>
        </w:rPr>
        <w:t xml:space="preserve"> et ce, en raison de la baisse </w:t>
      </w:r>
      <w:r w:rsidR="001C1F2B">
        <w:rPr>
          <w:rFonts w:ascii="Garamond" w:hAnsi="Garamond" w:cs="Times New Roman"/>
          <w:b/>
          <w:bCs/>
          <w:noProof w:val="0"/>
          <w:color w:val="0070C0"/>
          <w:sz w:val="24"/>
          <w:szCs w:val="24"/>
        </w:rPr>
        <w:t xml:space="preserve">de l’emploi </w:t>
      </w:r>
      <w:r>
        <w:rPr>
          <w:rFonts w:ascii="Garamond" w:hAnsi="Garamond" w:cs="Times New Roman"/>
          <w:b/>
          <w:bCs/>
          <w:noProof w:val="0"/>
          <w:color w:val="0070C0"/>
          <w:sz w:val="24"/>
          <w:szCs w:val="24"/>
        </w:rPr>
        <w:t xml:space="preserve">dans </w:t>
      </w:r>
      <w:r w:rsidR="001C1F2B">
        <w:rPr>
          <w:rFonts w:ascii="Garamond" w:hAnsi="Garamond" w:cs="Times New Roman"/>
          <w:b/>
          <w:bCs/>
          <w:noProof w:val="0"/>
          <w:color w:val="0070C0"/>
          <w:sz w:val="24"/>
          <w:szCs w:val="24"/>
        </w:rPr>
        <w:t xml:space="preserve">certaines </w:t>
      </w:r>
      <w:r>
        <w:rPr>
          <w:rFonts w:ascii="Garamond" w:hAnsi="Garamond" w:cs="Times New Roman"/>
          <w:b/>
          <w:bCs/>
          <w:noProof w:val="0"/>
          <w:color w:val="0070C0"/>
          <w:sz w:val="24"/>
          <w:szCs w:val="24"/>
        </w:rPr>
        <w:t>branches notamment le "transport entrepôts et communication" et les "banques, assurances et activités immobilières"</w:t>
      </w:r>
      <w:r w:rsidR="00ED55E8">
        <w:rPr>
          <w:rFonts w:ascii="Garamond" w:hAnsi="Garamond" w:cs="Times New Roman"/>
          <w:b/>
          <w:bCs/>
          <w:noProof w:val="0"/>
          <w:color w:val="0070C0"/>
          <w:sz w:val="24"/>
          <w:szCs w:val="24"/>
        </w:rPr>
        <w:t>. Ces branches ont ainsi</w:t>
      </w:r>
      <w:r w:rsidR="001C1F2B">
        <w:rPr>
          <w:rFonts w:ascii="Garamond" w:hAnsi="Garamond" w:cs="Times New Roman"/>
          <w:b/>
          <w:bCs/>
          <w:noProof w:val="0"/>
          <w:color w:val="0070C0"/>
          <w:sz w:val="24"/>
          <w:szCs w:val="24"/>
        </w:rPr>
        <w:t xml:space="preserve"> perdu respectivement 20.000 et </w:t>
      </w:r>
      <w:r>
        <w:rPr>
          <w:rFonts w:ascii="Garamond" w:hAnsi="Garamond" w:cs="Times New Roman"/>
          <w:b/>
          <w:bCs/>
          <w:noProof w:val="0"/>
          <w:color w:val="0070C0"/>
          <w:sz w:val="24"/>
          <w:szCs w:val="24"/>
        </w:rPr>
        <w:t xml:space="preserve">18.000 postes. </w:t>
      </w:r>
    </w:p>
    <w:p w:rsidR="006A6240" w:rsidRDefault="00ED55E8" w:rsidP="00235D07">
      <w:pPr>
        <w:autoSpaceDE w:val="0"/>
        <w:autoSpaceDN w:val="0"/>
        <w:bidi w:val="0"/>
        <w:adjustRightInd w:val="0"/>
        <w:spacing w:before="240" w:line="276" w:lineRule="auto"/>
        <w:jc w:val="both"/>
        <w:rPr>
          <w:rFonts w:ascii="Garamond" w:hAnsi="Garamond" w:cs="Times New Roman"/>
          <w:b/>
          <w:bCs/>
          <w:noProof w:val="0"/>
          <w:color w:val="0070C0"/>
          <w:sz w:val="24"/>
          <w:szCs w:val="24"/>
        </w:rPr>
      </w:pPr>
      <w:r>
        <w:rPr>
          <w:rFonts w:ascii="Garamond" w:hAnsi="Garamond" w:cs="Times New Roman"/>
          <w:b/>
          <w:bCs/>
          <w:noProof w:val="0"/>
          <w:color w:val="0070C0"/>
          <w:sz w:val="24"/>
          <w:szCs w:val="24"/>
        </w:rPr>
        <w:t>Au total,</w:t>
      </w:r>
      <w:r w:rsidR="006A6240">
        <w:rPr>
          <w:rFonts w:ascii="Garamond" w:hAnsi="Garamond" w:cs="Times New Roman"/>
          <w:b/>
          <w:bCs/>
          <w:noProof w:val="0"/>
          <w:color w:val="0070C0"/>
          <w:sz w:val="24"/>
          <w:szCs w:val="24"/>
        </w:rPr>
        <w:t xml:space="preserve"> le nombre de chômeurs a</w:t>
      </w:r>
      <w:r>
        <w:rPr>
          <w:rFonts w:ascii="Garamond" w:hAnsi="Garamond" w:cs="Times New Roman"/>
          <w:b/>
          <w:bCs/>
          <w:noProof w:val="0"/>
          <w:color w:val="0070C0"/>
          <w:sz w:val="24"/>
          <w:szCs w:val="24"/>
        </w:rPr>
        <w:t xml:space="preserve"> ainsi</w:t>
      </w:r>
      <w:r w:rsidR="006A6240">
        <w:rPr>
          <w:rFonts w:ascii="Garamond" w:hAnsi="Garamond" w:cs="Times New Roman"/>
          <w:b/>
          <w:bCs/>
          <w:noProof w:val="0"/>
          <w:color w:val="0070C0"/>
          <w:sz w:val="24"/>
          <w:szCs w:val="24"/>
        </w:rPr>
        <w:t xml:space="preserve"> augmenté de 100.000 personnes et le taux de chômage s’est établi à 8,8%, au niveau national, après 8,1% une année auparavant. </w:t>
      </w:r>
      <w:r>
        <w:rPr>
          <w:rFonts w:ascii="Garamond" w:hAnsi="Garamond" w:cs="Times New Roman"/>
          <w:b/>
          <w:bCs/>
          <w:noProof w:val="0"/>
          <w:color w:val="0070C0"/>
          <w:sz w:val="24"/>
          <w:szCs w:val="24"/>
        </w:rPr>
        <w:t>C</w:t>
      </w:r>
      <w:r w:rsidR="006A6240">
        <w:rPr>
          <w:rFonts w:ascii="Garamond" w:hAnsi="Garamond" w:cs="Times New Roman"/>
          <w:b/>
          <w:bCs/>
          <w:noProof w:val="0"/>
          <w:color w:val="0070C0"/>
          <w:sz w:val="24"/>
          <w:szCs w:val="24"/>
        </w:rPr>
        <w:t>e</w:t>
      </w:r>
      <w:r>
        <w:rPr>
          <w:rFonts w:ascii="Garamond" w:hAnsi="Garamond" w:cs="Times New Roman"/>
          <w:b/>
          <w:bCs/>
          <w:noProof w:val="0"/>
          <w:color w:val="0070C0"/>
          <w:sz w:val="24"/>
          <w:szCs w:val="24"/>
        </w:rPr>
        <w:t xml:space="preserve"> </w:t>
      </w:r>
      <w:r w:rsidR="006A6240">
        <w:rPr>
          <w:rFonts w:ascii="Garamond" w:hAnsi="Garamond" w:cs="Times New Roman"/>
          <w:b/>
          <w:bCs/>
          <w:noProof w:val="0"/>
          <w:color w:val="0070C0"/>
          <w:sz w:val="24"/>
          <w:szCs w:val="24"/>
        </w:rPr>
        <w:t xml:space="preserve">taux est passé de 12,3% à 13,8% en milieu urbain et de 3,5% à 3,2% en milieu rural. Les hausses les plus importantes </w:t>
      </w:r>
      <w:r>
        <w:rPr>
          <w:rFonts w:ascii="Garamond" w:hAnsi="Garamond" w:cs="Times New Roman"/>
          <w:b/>
          <w:bCs/>
          <w:noProof w:val="0"/>
          <w:color w:val="0070C0"/>
          <w:sz w:val="24"/>
          <w:szCs w:val="24"/>
        </w:rPr>
        <w:t xml:space="preserve">du chômage </w:t>
      </w:r>
      <w:r w:rsidR="006A6240">
        <w:rPr>
          <w:rFonts w:ascii="Garamond" w:hAnsi="Garamond" w:cs="Times New Roman"/>
          <w:b/>
          <w:bCs/>
          <w:noProof w:val="0"/>
          <w:color w:val="0070C0"/>
          <w:sz w:val="24"/>
          <w:szCs w:val="24"/>
        </w:rPr>
        <w:t xml:space="preserve">ont </w:t>
      </w:r>
      <w:r>
        <w:rPr>
          <w:rFonts w:ascii="Garamond" w:hAnsi="Garamond" w:cs="Times New Roman"/>
          <w:b/>
          <w:bCs/>
          <w:noProof w:val="0"/>
          <w:color w:val="0070C0"/>
          <w:sz w:val="24"/>
          <w:szCs w:val="24"/>
        </w:rPr>
        <w:t>affecté</w:t>
      </w:r>
      <w:r w:rsidR="006A6240">
        <w:rPr>
          <w:rFonts w:ascii="Garamond" w:hAnsi="Garamond" w:cs="Times New Roman"/>
          <w:b/>
          <w:bCs/>
          <w:noProof w:val="0"/>
          <w:color w:val="0070C0"/>
          <w:sz w:val="24"/>
          <w:szCs w:val="24"/>
        </w:rPr>
        <w:t xml:space="preserve"> les jeunes âgés de 15 à 24 ans </w:t>
      </w:r>
      <w:r w:rsidR="00365FC8">
        <w:rPr>
          <w:rFonts w:ascii="Garamond" w:hAnsi="Garamond" w:cs="Times New Roman"/>
          <w:b/>
          <w:bCs/>
          <w:noProof w:val="0"/>
          <w:color w:val="0070C0"/>
          <w:sz w:val="24"/>
          <w:szCs w:val="24"/>
        </w:rPr>
        <w:t>avec un</w:t>
      </w:r>
      <w:r>
        <w:rPr>
          <w:rFonts w:ascii="Garamond" w:hAnsi="Garamond" w:cs="Times New Roman"/>
          <w:b/>
          <w:bCs/>
          <w:noProof w:val="0"/>
          <w:color w:val="0070C0"/>
          <w:sz w:val="24"/>
          <w:szCs w:val="24"/>
        </w:rPr>
        <w:t xml:space="preserve"> taux </w:t>
      </w:r>
      <w:r w:rsidR="006A6240">
        <w:rPr>
          <w:rFonts w:ascii="Garamond" w:hAnsi="Garamond" w:cs="Times New Roman"/>
          <w:b/>
          <w:bCs/>
          <w:noProof w:val="0"/>
          <w:color w:val="0070C0"/>
          <w:sz w:val="24"/>
          <w:szCs w:val="24"/>
        </w:rPr>
        <w:t>pass</w:t>
      </w:r>
      <w:r w:rsidR="00365FC8">
        <w:rPr>
          <w:rFonts w:ascii="Garamond" w:hAnsi="Garamond" w:cs="Times New Roman"/>
          <w:b/>
          <w:bCs/>
          <w:noProof w:val="0"/>
          <w:color w:val="0070C0"/>
          <w:sz w:val="24"/>
          <w:szCs w:val="24"/>
        </w:rPr>
        <w:t>ant</w:t>
      </w:r>
      <w:r w:rsidR="006A6240">
        <w:rPr>
          <w:rFonts w:ascii="Garamond" w:hAnsi="Garamond" w:cs="Times New Roman"/>
          <w:b/>
          <w:bCs/>
          <w:noProof w:val="0"/>
          <w:color w:val="0070C0"/>
          <w:sz w:val="24"/>
          <w:szCs w:val="24"/>
        </w:rPr>
        <w:t xml:space="preserve"> de 17,1% à 18,4% et les</w:t>
      </w:r>
      <w:r>
        <w:rPr>
          <w:rFonts w:ascii="Garamond" w:hAnsi="Garamond" w:cs="Times New Roman"/>
          <w:b/>
          <w:bCs/>
          <w:noProof w:val="0"/>
          <w:color w:val="0070C0"/>
          <w:sz w:val="24"/>
          <w:szCs w:val="24"/>
        </w:rPr>
        <w:t xml:space="preserve"> </w:t>
      </w:r>
      <w:r w:rsidR="00365FC8">
        <w:rPr>
          <w:rFonts w:ascii="Garamond" w:hAnsi="Garamond" w:cs="Times New Roman"/>
          <w:b/>
          <w:bCs/>
          <w:noProof w:val="0"/>
          <w:color w:val="0070C0"/>
          <w:sz w:val="24"/>
          <w:szCs w:val="24"/>
        </w:rPr>
        <w:t xml:space="preserve">personnes </w:t>
      </w:r>
      <w:r w:rsidR="006A6240">
        <w:rPr>
          <w:rFonts w:ascii="Garamond" w:hAnsi="Garamond" w:cs="Times New Roman"/>
          <w:b/>
          <w:bCs/>
          <w:noProof w:val="0"/>
          <w:color w:val="0070C0"/>
          <w:sz w:val="24"/>
          <w:szCs w:val="24"/>
        </w:rPr>
        <w:t>sans diplôme</w:t>
      </w:r>
      <w:r>
        <w:rPr>
          <w:rFonts w:ascii="Garamond" w:hAnsi="Garamond" w:cs="Times New Roman"/>
          <w:b/>
          <w:bCs/>
          <w:noProof w:val="0"/>
          <w:color w:val="0070C0"/>
          <w:sz w:val="24"/>
          <w:szCs w:val="24"/>
        </w:rPr>
        <w:t xml:space="preserve"> </w:t>
      </w:r>
      <w:r w:rsidR="00365FC8">
        <w:rPr>
          <w:rFonts w:ascii="Garamond" w:hAnsi="Garamond" w:cs="Times New Roman"/>
          <w:b/>
          <w:bCs/>
          <w:noProof w:val="0"/>
          <w:color w:val="0070C0"/>
          <w:sz w:val="24"/>
          <w:szCs w:val="24"/>
        </w:rPr>
        <w:t>avec un</w:t>
      </w:r>
      <w:r>
        <w:rPr>
          <w:rFonts w:ascii="Garamond" w:hAnsi="Garamond" w:cs="Times New Roman"/>
          <w:b/>
          <w:bCs/>
          <w:noProof w:val="0"/>
          <w:color w:val="0070C0"/>
          <w:sz w:val="24"/>
          <w:szCs w:val="24"/>
        </w:rPr>
        <w:t xml:space="preserve"> taux </w:t>
      </w:r>
      <w:r w:rsidR="006A6240">
        <w:rPr>
          <w:rFonts w:ascii="Garamond" w:hAnsi="Garamond" w:cs="Times New Roman"/>
          <w:b/>
          <w:bCs/>
          <w:noProof w:val="0"/>
          <w:color w:val="0070C0"/>
          <w:sz w:val="24"/>
          <w:szCs w:val="24"/>
        </w:rPr>
        <w:t xml:space="preserve">de </w:t>
      </w:r>
      <w:bookmarkStart w:id="0" w:name="_GoBack"/>
      <w:bookmarkEnd w:id="0"/>
      <w:r w:rsidR="00365FC8">
        <w:rPr>
          <w:rFonts w:ascii="Garamond" w:hAnsi="Garamond" w:cs="Times New Roman"/>
          <w:b/>
          <w:bCs/>
          <w:noProof w:val="0"/>
          <w:color w:val="0070C0"/>
          <w:sz w:val="24"/>
          <w:szCs w:val="24"/>
        </w:rPr>
        <w:t xml:space="preserve">4,3% après </w:t>
      </w:r>
      <w:r w:rsidR="006A6240">
        <w:rPr>
          <w:rFonts w:ascii="Garamond" w:hAnsi="Garamond" w:cs="Times New Roman"/>
          <w:b/>
          <w:bCs/>
          <w:noProof w:val="0"/>
          <w:color w:val="0070C0"/>
          <w:sz w:val="24"/>
          <w:szCs w:val="24"/>
        </w:rPr>
        <w:t>3,5%</w:t>
      </w:r>
      <w:r w:rsidR="00365FC8">
        <w:rPr>
          <w:rFonts w:ascii="Garamond" w:hAnsi="Garamond" w:cs="Times New Roman"/>
          <w:b/>
          <w:bCs/>
          <w:noProof w:val="0"/>
          <w:color w:val="0070C0"/>
          <w:sz w:val="24"/>
          <w:szCs w:val="24"/>
        </w:rPr>
        <w:t xml:space="preserve">. </w:t>
      </w:r>
      <w:r w:rsidR="006A6240">
        <w:rPr>
          <w:rFonts w:ascii="Garamond" w:hAnsi="Garamond" w:cs="Times New Roman"/>
          <w:b/>
          <w:bCs/>
          <w:noProof w:val="0"/>
          <w:color w:val="0070C0"/>
          <w:sz w:val="24"/>
          <w:szCs w:val="24"/>
        </w:rPr>
        <w:t>De son côté, le taux de sous-emploi a reculé de 9,6% à 8,9% au niveau national, de 8,8% à 7,9% en milieu urbain et de 10,4% à 9,9% en milieu rural.</w:t>
      </w:r>
    </w:p>
    <w:p w:rsidR="006A6240" w:rsidRDefault="006A6240">
      <w:pPr>
        <w:autoSpaceDE w:val="0"/>
        <w:autoSpaceDN w:val="0"/>
        <w:bidi w:val="0"/>
        <w:adjustRightInd w:val="0"/>
        <w:spacing w:line="276" w:lineRule="auto"/>
        <w:jc w:val="both"/>
        <w:rPr>
          <w:rFonts w:cs="Times New Roman"/>
          <w:b/>
          <w:bCs/>
          <w:noProof w:val="0"/>
          <w:color w:val="0000FF"/>
          <w:sz w:val="24"/>
          <w:szCs w:val="24"/>
        </w:rPr>
      </w:pPr>
    </w:p>
    <w:p w:rsidR="006A6240" w:rsidRDefault="006A6240">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Avec 11.900.000 personnes, au deuxième trimestre de l’année 2013, la population active âgée de 15 ans et plus a connu un accroissement de 2,1% par rapport au même trimestre de l'année 2012 (+2,9% en milieu urbain et +1,2% en milieu rural). Le taux d’activité a augmenté, entre les deux périodes, de 0,2 point, passant respectivement de 49,0% à 49,2%.</w:t>
      </w:r>
    </w:p>
    <w:p w:rsidR="006A6240" w:rsidRDefault="006A6240">
      <w:pPr>
        <w:autoSpaceDE w:val="0"/>
        <w:autoSpaceDN w:val="0"/>
        <w:bidi w:val="0"/>
        <w:adjustRightInd w:val="0"/>
        <w:spacing w:line="276" w:lineRule="auto"/>
        <w:jc w:val="both"/>
        <w:rPr>
          <w:rFonts w:cs="Times New Roman"/>
          <w:noProof w:val="0"/>
          <w:sz w:val="24"/>
          <w:szCs w:val="24"/>
        </w:rPr>
      </w:pPr>
    </w:p>
    <w:p w:rsidR="006A6240" w:rsidRDefault="006A6240">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En matière d’emploi, 165.000 postes d’emploi rémunérés ont été créés au cours de la période, 49.000 en milieu urbain et 116.000  en milieu rural. En revanche, l’emploi non rémunéré, avec un recul de 35.000 postes en zones rurales et une hausse de 14.000 postes en zones urbaines, a enregistré une baisse de 21.000 postes au niveau national. </w:t>
      </w:r>
    </w:p>
    <w:p w:rsidR="006A6240" w:rsidRDefault="006A6240">
      <w:pPr>
        <w:autoSpaceDE w:val="0"/>
        <w:autoSpaceDN w:val="0"/>
        <w:bidi w:val="0"/>
        <w:adjustRightInd w:val="0"/>
        <w:spacing w:line="276" w:lineRule="auto"/>
        <w:jc w:val="both"/>
        <w:rPr>
          <w:rFonts w:ascii="Garamond" w:hAnsi="Garamond" w:cs="Times New Roman"/>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4D7647" w:rsidRDefault="004D7647" w:rsidP="004D7647">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lastRenderedPageBreak/>
        <w:t>Figure 1 : Créations nettes d’emploi entre les deuxièmes trimestres de  2012 et de 2013 selon le milieu de résidence</w:t>
      </w:r>
    </w:p>
    <w:p w:rsidR="006A6240" w:rsidRDefault="00ED55E8">
      <w:pPr>
        <w:autoSpaceDE w:val="0"/>
        <w:autoSpaceDN w:val="0"/>
        <w:adjustRightInd w:val="0"/>
        <w:jc w:val="center"/>
        <w:rPr>
          <w:rFonts w:cs="Times New Roman"/>
          <w:b/>
          <w:bCs/>
          <w:noProof w:val="0"/>
          <w:sz w:val="24"/>
          <w:szCs w:val="24"/>
        </w:rPr>
      </w:pPr>
      <w:r>
        <w:rPr>
          <w:rFonts w:cs="Times New Roman"/>
          <w:b/>
          <w:bCs/>
          <w:sz w:val="24"/>
          <w:szCs w:val="24"/>
        </w:rPr>
        <w:drawing>
          <wp:inline distT="0" distB="0" distL="0" distR="0">
            <wp:extent cx="5121499" cy="1956054"/>
            <wp:effectExtent l="12192" t="6096" r="3459"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A6240" w:rsidRDefault="006A6240">
      <w:pPr>
        <w:autoSpaceDE w:val="0"/>
        <w:autoSpaceDN w:val="0"/>
        <w:bidi w:val="0"/>
        <w:adjustRightInd w:val="0"/>
        <w:spacing w:line="276" w:lineRule="auto"/>
        <w:jc w:val="both"/>
        <w:rPr>
          <w:rFonts w:ascii="Garamond" w:hAnsi="Garamond" w:cs="Times New Roman"/>
          <w:noProof w:val="0"/>
          <w:sz w:val="24"/>
          <w:szCs w:val="24"/>
        </w:rPr>
      </w:pPr>
    </w:p>
    <w:p w:rsidR="006A6240" w:rsidRDefault="006A6240">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Le volume global de l’emploi est ainsi passé, entre les deux périodes, de 10.707.000 à 10.851.000, ce qui correspond à une création nette de 144.000 postes d’emploi, 63.000 en zones urbaines et 81.000 en zones rurales. Selon le genre, plus de la moitié des emplois créés ont profités aux hommes. Par milieu de résidence, ces créations ont profité exclusivement aux hommes en milieu urbain et principalement aux femmes en milieu rural. Dans ce contexte, le taux d’emploi est passé de 45% à 44,9% au niveau national, de 37,7% à 37,3% en milieu urbain et de 56% à 56,4% en milieu rural.</w:t>
      </w:r>
    </w:p>
    <w:p w:rsidR="006A6240" w:rsidRDefault="006A6240">
      <w:pPr>
        <w:autoSpaceDE w:val="0"/>
        <w:autoSpaceDN w:val="0"/>
        <w:bidi w:val="0"/>
        <w:adjustRightInd w:val="0"/>
        <w:spacing w:line="276" w:lineRule="auto"/>
        <w:jc w:val="both"/>
        <w:rPr>
          <w:rFonts w:cs="Times New Roman"/>
          <w:noProof w:val="0"/>
          <w:sz w:val="24"/>
          <w:szCs w:val="24"/>
        </w:rPr>
      </w:pPr>
    </w:p>
    <w:p w:rsidR="006A6240" w:rsidRDefault="006A6240">
      <w:pPr>
        <w:autoSpaceDE w:val="0"/>
        <w:autoSpaceDN w:val="0"/>
        <w:bidi w:val="0"/>
        <w:adjustRightInd w:val="0"/>
        <w:spacing w:line="276" w:lineRule="auto"/>
        <w:rPr>
          <w:rFonts w:ascii="Garamond" w:hAnsi="Garamond" w:cs="Times New Roman"/>
          <w:b/>
          <w:bCs/>
          <w:noProof w:val="0"/>
          <w:color w:val="0000FF"/>
          <w:sz w:val="24"/>
          <w:szCs w:val="24"/>
        </w:rPr>
      </w:pPr>
      <w:r>
        <w:rPr>
          <w:rFonts w:ascii="Garamond" w:hAnsi="Garamond" w:cs="Times New Roman"/>
          <w:b/>
          <w:bCs/>
          <w:noProof w:val="0"/>
          <w:color w:val="0000FF"/>
          <w:sz w:val="24"/>
          <w:szCs w:val="24"/>
        </w:rPr>
        <w:t xml:space="preserve">Les secteurs de l ’"Agriculture, forêt et pêche" et de l’"Industrie" à l’origine de la quasi-totalité des emplois créés </w:t>
      </w:r>
    </w:p>
    <w:p w:rsidR="006A6240" w:rsidRDefault="006A6240">
      <w:pPr>
        <w:autoSpaceDE w:val="0"/>
        <w:autoSpaceDN w:val="0"/>
        <w:bidi w:val="0"/>
        <w:adjustRightInd w:val="0"/>
        <w:spacing w:line="276" w:lineRule="auto"/>
        <w:rPr>
          <w:rFonts w:cs="Times New Roman"/>
          <w:b/>
          <w:bCs/>
          <w:noProof w:val="0"/>
          <w:color w:val="0000FF"/>
          <w:sz w:val="24"/>
          <w:szCs w:val="24"/>
        </w:rPr>
      </w:pPr>
    </w:p>
    <w:p w:rsidR="006A6240" w:rsidRDefault="006A6240">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Au niveau sectoriel, les créations d’emplois ont concerné :</w:t>
      </w:r>
    </w:p>
    <w:p w:rsidR="006A6240" w:rsidRDefault="006A6240">
      <w:pPr>
        <w:autoSpaceDE w:val="0"/>
        <w:autoSpaceDN w:val="0"/>
        <w:bidi w:val="0"/>
        <w:adjustRightInd w:val="0"/>
        <w:spacing w:line="276" w:lineRule="auto"/>
        <w:rPr>
          <w:rFonts w:ascii="Garamond" w:hAnsi="Garamond" w:cs="Times New Roman"/>
          <w:noProof w:val="0"/>
          <w:sz w:val="24"/>
          <w:szCs w:val="24"/>
        </w:rPr>
      </w:pPr>
    </w:p>
    <w:p w:rsidR="006A6240" w:rsidRDefault="006A6240">
      <w:pPr>
        <w:numPr>
          <w:ilvl w:val="0"/>
          <w:numId w:val="11"/>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l’"agriculture, forêt et pêche" qui a créé 136.000 postes nouveaux (+3,2% du volume d’emploi du secteur) ;</w:t>
      </w:r>
    </w:p>
    <w:p w:rsidR="006A6240" w:rsidRDefault="006A6240">
      <w:pPr>
        <w:numPr>
          <w:ilvl w:val="0"/>
          <w:numId w:val="11"/>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l’"industrie y compris l'artisanat", 37.000 postes (+3%) ;</w:t>
      </w:r>
    </w:p>
    <w:p w:rsidR="006A6240" w:rsidRPr="001E2E6E" w:rsidRDefault="006A6240" w:rsidP="00E06640">
      <w:pPr>
        <w:numPr>
          <w:ilvl w:val="0"/>
          <w:numId w:val="11"/>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les "services", 5.000 postes </w:t>
      </w:r>
      <w:r w:rsidR="001E2E6E">
        <w:rPr>
          <w:rFonts w:ascii="Garamond" w:hAnsi="Garamond" w:cs="Times New Roman"/>
          <w:noProof w:val="0"/>
          <w:sz w:val="24"/>
          <w:szCs w:val="24"/>
        </w:rPr>
        <w:t>(+0,1%</w:t>
      </w:r>
      <w:r w:rsidR="00696275">
        <w:rPr>
          <w:rFonts w:ascii="Garamond" w:hAnsi="Garamond" w:cs="Times New Roman"/>
          <w:noProof w:val="0"/>
          <w:sz w:val="24"/>
          <w:szCs w:val="24"/>
        </w:rPr>
        <w:t>)</w:t>
      </w:r>
      <w:r w:rsidR="001E2E6E">
        <w:rPr>
          <w:rFonts w:ascii="Garamond" w:hAnsi="Garamond" w:cs="Times New Roman"/>
          <w:noProof w:val="0"/>
          <w:sz w:val="24"/>
          <w:szCs w:val="24"/>
        </w:rPr>
        <w:t xml:space="preserve"> </w:t>
      </w:r>
      <w:r w:rsidR="001E2E6E" w:rsidRPr="001E2E6E">
        <w:rPr>
          <w:rFonts w:ascii="Garamond" w:hAnsi="Garamond" w:cs="Times New Roman"/>
          <w:noProof w:val="0"/>
          <w:sz w:val="24"/>
          <w:szCs w:val="24"/>
        </w:rPr>
        <w:t xml:space="preserve">contre une création annuelle moyenne de 85.000 postes au cours des cinq dernières années. Ce recul dans le rythme de création d’emploi dans </w:t>
      </w:r>
      <w:r w:rsidR="00E06640">
        <w:rPr>
          <w:rFonts w:ascii="Garamond" w:hAnsi="Garamond" w:cs="Times New Roman"/>
          <w:noProof w:val="0"/>
          <w:sz w:val="24"/>
          <w:szCs w:val="24"/>
        </w:rPr>
        <w:t>c</w:t>
      </w:r>
      <w:r w:rsidR="001E2E6E" w:rsidRPr="001E2E6E">
        <w:rPr>
          <w:rFonts w:ascii="Garamond" w:hAnsi="Garamond" w:cs="Times New Roman"/>
          <w:noProof w:val="0"/>
          <w:sz w:val="24"/>
          <w:szCs w:val="24"/>
        </w:rPr>
        <w:t>e secteur est le résultat de la baisse de l’emploi dans certaines branches notamment le "transport entrepôts et communication" et les "banques, assurances et activités immobilières" qui ont perdu respectivement 20.000 et 18.000 postes</w:t>
      </w:r>
      <w:r w:rsidRPr="001E2E6E">
        <w:rPr>
          <w:rFonts w:ascii="Garamond" w:hAnsi="Garamond" w:cs="Times New Roman"/>
          <w:noProof w:val="0"/>
          <w:sz w:val="24"/>
          <w:szCs w:val="24"/>
        </w:rPr>
        <w:t> ;</w:t>
      </w:r>
    </w:p>
    <w:p w:rsidR="006A6240" w:rsidRDefault="006A6240">
      <w:pPr>
        <w:numPr>
          <w:ilvl w:val="0"/>
          <w:numId w:val="11"/>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les "activités mal désignées", 4.000 postes. </w:t>
      </w:r>
    </w:p>
    <w:p w:rsidR="006A6240" w:rsidRDefault="006A6240">
      <w:pPr>
        <w:autoSpaceDE w:val="0"/>
        <w:autoSpaceDN w:val="0"/>
        <w:bidi w:val="0"/>
        <w:adjustRightInd w:val="0"/>
        <w:spacing w:line="276" w:lineRule="auto"/>
        <w:rPr>
          <w:rFonts w:cs="Times New Roman"/>
          <w:noProof w:val="0"/>
          <w:sz w:val="24"/>
          <w:szCs w:val="24"/>
          <w:highlight w:val="lightGray"/>
        </w:rPr>
      </w:pPr>
    </w:p>
    <w:p w:rsidR="006A6240" w:rsidRDefault="006A6240">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En revanche, le secteur des BTP a connu une perte de 38.000 postes d’emploi (-3,7% du volume d’emploi du secteur).</w:t>
      </w: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t>Figure 2 : Créations nettes d’emploi par secteur d’activité économique et milieu de résidence</w:t>
      </w:r>
    </w:p>
    <w:p w:rsidR="006A6240" w:rsidRDefault="006A6240">
      <w:pPr>
        <w:autoSpaceDE w:val="0"/>
        <w:autoSpaceDN w:val="0"/>
        <w:bidi w:val="0"/>
        <w:adjustRightInd w:val="0"/>
        <w:jc w:val="center"/>
        <w:rPr>
          <w:rFonts w:cs="Times New Roman"/>
          <w:b/>
          <w:bCs/>
          <w:noProof w:val="0"/>
          <w:sz w:val="23"/>
          <w:szCs w:val="23"/>
        </w:rPr>
      </w:pPr>
    </w:p>
    <w:p w:rsidR="006A6240" w:rsidRDefault="00ED55E8">
      <w:pPr>
        <w:autoSpaceDE w:val="0"/>
        <w:autoSpaceDN w:val="0"/>
        <w:bidi w:val="0"/>
        <w:adjustRightInd w:val="0"/>
        <w:jc w:val="center"/>
        <w:rPr>
          <w:rFonts w:cs="Times New Roman"/>
          <w:b/>
          <w:bCs/>
          <w:sz w:val="23"/>
          <w:szCs w:val="23"/>
        </w:rPr>
      </w:pPr>
      <w:r>
        <w:rPr>
          <w:rFonts w:cs="Times New Roman"/>
          <w:b/>
          <w:bCs/>
          <w:sz w:val="23"/>
          <w:szCs w:val="23"/>
        </w:rPr>
        <w:drawing>
          <wp:inline distT="0" distB="0" distL="0" distR="0">
            <wp:extent cx="5679642" cy="2108454"/>
            <wp:effectExtent l="12192" t="6096" r="4116" b="0"/>
            <wp:docPr id="2"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6240" w:rsidRDefault="006A6240">
      <w:pPr>
        <w:autoSpaceDE w:val="0"/>
        <w:autoSpaceDN w:val="0"/>
        <w:bidi w:val="0"/>
        <w:adjustRightInd w:val="0"/>
        <w:jc w:val="center"/>
        <w:rPr>
          <w:rFonts w:cs="Times New Roman"/>
          <w:b/>
          <w:bCs/>
          <w:sz w:val="23"/>
          <w:szCs w:val="23"/>
        </w:rPr>
      </w:pPr>
    </w:p>
    <w:p w:rsidR="006A6240" w:rsidRDefault="006A6240">
      <w:pPr>
        <w:autoSpaceDE w:val="0"/>
        <w:autoSpaceDN w:val="0"/>
        <w:bidi w:val="0"/>
        <w:adjustRightInd w:val="0"/>
        <w:jc w:val="center"/>
        <w:rPr>
          <w:rFonts w:cs="Times New Roman"/>
          <w:b/>
          <w:bCs/>
          <w:noProof w:val="0"/>
          <w:sz w:val="23"/>
          <w:szCs w:val="23"/>
        </w:rPr>
      </w:pPr>
    </w:p>
    <w:p w:rsidR="006A6240" w:rsidRDefault="006A6240">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b/>
          <w:bCs/>
          <w:noProof w:val="0"/>
          <w:sz w:val="24"/>
          <w:szCs w:val="24"/>
        </w:rPr>
        <w:t>En milieu urbain</w:t>
      </w:r>
      <w:r>
        <w:rPr>
          <w:rFonts w:ascii="Garamond" w:hAnsi="Garamond" w:cs="Times New Roman"/>
          <w:noProof w:val="0"/>
          <w:sz w:val="24"/>
          <w:szCs w:val="24"/>
        </w:rPr>
        <w:t>, à l’exception du secteur des BTP qui a perdu 49.000 postes (-7,3% du volume d’emploi du secteur), tous les autres secteurs ont contribué à la création d’emplois :</w:t>
      </w:r>
    </w:p>
    <w:p w:rsidR="006A6240" w:rsidRDefault="006A6240">
      <w:pPr>
        <w:autoSpaceDE w:val="0"/>
        <w:autoSpaceDN w:val="0"/>
        <w:bidi w:val="0"/>
        <w:adjustRightInd w:val="0"/>
        <w:spacing w:line="276" w:lineRule="auto"/>
        <w:rPr>
          <w:rFonts w:ascii="Garamond" w:hAnsi="Garamond" w:cs="Times New Roman"/>
          <w:noProof w:val="0"/>
          <w:sz w:val="24"/>
          <w:szCs w:val="24"/>
        </w:rPr>
      </w:pPr>
    </w:p>
    <w:p w:rsidR="006A6240" w:rsidRDefault="006A6240">
      <w:pPr>
        <w:numPr>
          <w:ilvl w:val="0"/>
          <w:numId w:val="10"/>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les "services", 53.000 emplois créés (+1,5% du volume d’emploi du secteur) ;</w:t>
      </w:r>
    </w:p>
    <w:p w:rsidR="006A6240" w:rsidRDefault="006A6240">
      <w:pPr>
        <w:numPr>
          <w:ilvl w:val="0"/>
          <w:numId w:val="10"/>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l’"agriculture, forêt et pêche", 29.000 postes d’emplois (+11%) ;</w:t>
      </w:r>
    </w:p>
    <w:p w:rsidR="006A6240" w:rsidRDefault="006A6240">
      <w:pPr>
        <w:numPr>
          <w:ilvl w:val="0"/>
          <w:numId w:val="10"/>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l’"industrie y compris l'artisanat", 26.000 postes d’emploi (+2,6%) ; </w:t>
      </w:r>
    </w:p>
    <w:p w:rsidR="006A6240" w:rsidRDefault="006A6240">
      <w:pPr>
        <w:numPr>
          <w:ilvl w:val="0"/>
          <w:numId w:val="10"/>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les "activités mal désignées", 4.000 postes. </w:t>
      </w:r>
    </w:p>
    <w:p w:rsidR="006A6240" w:rsidRDefault="006A6240">
      <w:pPr>
        <w:spacing w:line="276" w:lineRule="auto"/>
        <w:jc w:val="both"/>
        <w:rPr>
          <w:rFonts w:ascii="Garamond" w:hAnsi="Garamond" w:cs="Times New Roman"/>
          <w:color w:val="008000"/>
          <w:sz w:val="24"/>
          <w:szCs w:val="24"/>
          <w:highlight w:val="yellow"/>
        </w:rPr>
      </w:pPr>
    </w:p>
    <w:p w:rsidR="006A6240" w:rsidRDefault="006A6240">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b/>
          <w:bCs/>
          <w:noProof w:val="0"/>
          <w:sz w:val="24"/>
          <w:szCs w:val="24"/>
        </w:rPr>
        <w:t>En milieu rural</w:t>
      </w:r>
      <w:r>
        <w:rPr>
          <w:rFonts w:ascii="Garamond" w:hAnsi="Garamond" w:cs="Times New Roman"/>
          <w:noProof w:val="0"/>
          <w:sz w:val="24"/>
          <w:szCs w:val="24"/>
        </w:rPr>
        <w:t>, hormis le secteur des "services" qui a perdu 48.000 postes (soit -7,3%), tous les autres secteurs ont vu leurs volumes d’emploi s’accroître :</w:t>
      </w:r>
    </w:p>
    <w:p w:rsidR="006A6240" w:rsidRDefault="006A6240">
      <w:pPr>
        <w:autoSpaceDE w:val="0"/>
        <w:autoSpaceDN w:val="0"/>
        <w:bidi w:val="0"/>
        <w:adjustRightInd w:val="0"/>
        <w:spacing w:line="276" w:lineRule="auto"/>
        <w:rPr>
          <w:rFonts w:ascii="Garamond" w:hAnsi="Garamond" w:cs="Times New Roman"/>
          <w:noProof w:val="0"/>
          <w:sz w:val="24"/>
          <w:szCs w:val="24"/>
        </w:rPr>
      </w:pPr>
    </w:p>
    <w:p w:rsidR="006A6240" w:rsidRDefault="006A6240">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l’"agriculture, forêt et pêche", 107.000 emplois créés (+2,7% du volume d’emploi du secteur) ;</w:t>
      </w:r>
    </w:p>
    <w:p w:rsidR="006A6240" w:rsidRDefault="006A6240">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l’"industrie y compris l'artisanat", 11.000 postes créés (+5,4%) ;</w:t>
      </w:r>
    </w:p>
    <w:p w:rsidR="006A6240" w:rsidRDefault="006A6240">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les BTP, 11.000 postes créés (+3,1%). </w:t>
      </w:r>
    </w:p>
    <w:p w:rsidR="006A6240" w:rsidRDefault="006A6240">
      <w:pPr>
        <w:autoSpaceDE w:val="0"/>
        <w:autoSpaceDN w:val="0"/>
        <w:bidi w:val="0"/>
        <w:adjustRightInd w:val="0"/>
        <w:spacing w:line="276" w:lineRule="auto"/>
        <w:jc w:val="both"/>
        <w:rPr>
          <w:rFonts w:ascii="Garamond" w:hAnsi="Garamond" w:cs="Times New Roman"/>
          <w:noProof w:val="0"/>
          <w:sz w:val="26"/>
          <w:szCs w:val="26"/>
        </w:rPr>
      </w:pPr>
    </w:p>
    <w:p w:rsidR="006A6240" w:rsidRDefault="006A6240">
      <w:pPr>
        <w:autoSpaceDE w:val="0"/>
        <w:autoSpaceDN w:val="0"/>
        <w:bidi w:val="0"/>
        <w:adjustRightInd w:val="0"/>
        <w:spacing w:line="276" w:lineRule="auto"/>
        <w:rPr>
          <w:rFonts w:ascii="Garamond" w:hAnsi="Garamond" w:cs="Times New Roman"/>
          <w:b/>
          <w:bCs/>
          <w:noProof w:val="0"/>
          <w:color w:val="0000FF"/>
          <w:sz w:val="24"/>
          <w:szCs w:val="24"/>
        </w:rPr>
      </w:pPr>
      <w:r>
        <w:rPr>
          <w:rFonts w:ascii="Garamond" w:hAnsi="Garamond" w:cs="Times New Roman"/>
          <w:b/>
          <w:bCs/>
          <w:noProof w:val="0"/>
          <w:color w:val="0000FF"/>
          <w:sz w:val="24"/>
          <w:szCs w:val="24"/>
        </w:rPr>
        <w:t>Hausse du</w:t>
      </w:r>
      <w:r>
        <w:rPr>
          <w:rFonts w:ascii="Garamond" w:hAnsi="Garamond" w:cs="Times New Roman"/>
          <w:b/>
          <w:bCs/>
          <w:noProof w:val="0"/>
          <w:color w:val="008000"/>
          <w:sz w:val="24"/>
          <w:szCs w:val="24"/>
        </w:rPr>
        <w:t xml:space="preserve"> </w:t>
      </w:r>
      <w:r>
        <w:rPr>
          <w:rFonts w:ascii="Garamond" w:hAnsi="Garamond" w:cs="Times New Roman"/>
          <w:b/>
          <w:bCs/>
          <w:noProof w:val="0"/>
          <w:color w:val="0000FF"/>
          <w:sz w:val="24"/>
          <w:szCs w:val="24"/>
        </w:rPr>
        <w:t xml:space="preserve">chômage et baisse du sous emploi </w:t>
      </w:r>
    </w:p>
    <w:p w:rsidR="006A6240" w:rsidRDefault="006A6240">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 xml:space="preserve">Le volume du chômage a augmenté au niveau national de 100.000 personnes passant de 949.000 au deuxième trimestre de l’année 2012 à 1.049.000 chômeurs au même trimestre de l’année 2013 (+114.000 en milieu urbain et -14.000 en milieu rural). En conséquence, le taux de chômage est passé, entre les deux périodes, de 8,1% à 8,8% au niveau national, de 12,3% à 13,8% en milieu urbain et de 3,5% à 3,2% en milieu rural. Les hausses les plus importantes de ce taux ont été relevées en milieu urbain notamment parmi les jeunes âgés de 15 à 24 ans (+2,4 points), les hommes (+1,9 point) et les sans diplôme (+1,8 point). </w:t>
      </w:r>
    </w:p>
    <w:p w:rsidR="006A6240" w:rsidRDefault="006A6240">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A noter que les taux de chômage les plus élevés sont enregistrés chez les jeunes âgés de 15 à 24 ans (18,4%) et chez les diplômés (15,8%).</w:t>
      </w:r>
    </w:p>
    <w:p w:rsidR="006A6240" w:rsidRDefault="006A6240">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 xml:space="preserve">L’analyse des principales caractéristiques de la population active en chômage révèle que, quatre chômeurs sur cinq (83,2%) sont des citadins, deux sur trois (67,9%) des jeunes âgés de 15 à 29 ans, un sur quatre est diplômé de niveau supérieur (24,6%), un sur deux (51,3%) est primo-demandeur d’emploi et près de deux sur trois (66,2%) chôment depuis plus d’une année. </w:t>
      </w:r>
    </w:p>
    <w:p w:rsidR="006A6240" w:rsidRDefault="006A6240">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Par ailleurs, les principales circonstances suite auxquelles les chômeurs se sont retrouvés en situation de chômage sont :</w:t>
      </w:r>
    </w:p>
    <w:p w:rsidR="006A6240" w:rsidRDefault="006A6240">
      <w:pPr>
        <w:numPr>
          <w:ilvl w:val="0"/>
          <w:numId w:val="7"/>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"arrêt de l’activité de l’établissement employeur ou licenciement " (26,7%) ; </w:t>
      </w:r>
    </w:p>
    <w:p w:rsidR="006A6240" w:rsidRDefault="006A6240">
      <w:pPr>
        <w:numPr>
          <w:ilvl w:val="0"/>
          <w:numId w:val="7"/>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"arrêt d’étude suite à l’obtention d’un diplôme" (20,9%) ; </w:t>
      </w:r>
    </w:p>
    <w:p w:rsidR="006A6240" w:rsidRDefault="006A6240">
      <w:pPr>
        <w:numPr>
          <w:ilvl w:val="0"/>
          <w:numId w:val="7"/>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"arrêt d’étude sans l’obtention de diplôme" (16,5%).</w:t>
      </w:r>
    </w:p>
    <w:p w:rsidR="006A6240" w:rsidRDefault="006A6240">
      <w:pPr>
        <w:autoSpaceDE w:val="0"/>
        <w:autoSpaceDN w:val="0"/>
        <w:bidi w:val="0"/>
        <w:adjustRightInd w:val="0"/>
        <w:jc w:val="both"/>
        <w:rPr>
          <w:rFonts w:ascii="Garamond" w:hAnsi="Garamond" w:cs="Times New Roman"/>
          <w:noProof w:val="0"/>
          <w:sz w:val="26"/>
          <w:szCs w:val="26"/>
        </w:rPr>
      </w:pPr>
    </w:p>
    <w:p w:rsidR="006A6240" w:rsidRDefault="006A6240">
      <w:pPr>
        <w:autoSpaceDE w:val="0"/>
        <w:autoSpaceDN w:val="0"/>
        <w:bidi w:val="0"/>
        <w:adjustRightInd w:val="0"/>
        <w:jc w:val="center"/>
        <w:rPr>
          <w:rFonts w:ascii="Garamond" w:hAnsi="Garamond" w:cs="Times New Roman"/>
          <w:b/>
          <w:bCs/>
          <w:noProof w:val="0"/>
          <w:sz w:val="24"/>
          <w:szCs w:val="24"/>
          <w:rtl/>
        </w:rPr>
      </w:pPr>
      <w:r>
        <w:rPr>
          <w:rFonts w:ascii="Garamond" w:hAnsi="Garamond" w:cs="Times New Roman"/>
          <w:b/>
          <w:bCs/>
          <w:noProof w:val="0"/>
          <w:sz w:val="24"/>
          <w:szCs w:val="24"/>
        </w:rPr>
        <w:t>Figure 3 : Evolution du taux de chômage au 2</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w:t>
      </w:r>
    </w:p>
    <w:p w:rsidR="006A6240" w:rsidRDefault="006A6240">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t>par milieu de résidence (en %)</w:t>
      </w:r>
    </w:p>
    <w:p w:rsidR="006A6240" w:rsidRDefault="006A6240">
      <w:pPr>
        <w:autoSpaceDE w:val="0"/>
        <w:autoSpaceDN w:val="0"/>
        <w:bidi w:val="0"/>
        <w:adjustRightInd w:val="0"/>
        <w:jc w:val="both"/>
        <w:rPr>
          <w:rFonts w:cs="Times New Roman"/>
          <w:sz w:val="24"/>
          <w:szCs w:val="24"/>
        </w:rPr>
      </w:pPr>
    </w:p>
    <w:p w:rsidR="006A6240" w:rsidRDefault="00ED55E8">
      <w:pPr>
        <w:autoSpaceDE w:val="0"/>
        <w:autoSpaceDN w:val="0"/>
        <w:bidi w:val="0"/>
        <w:adjustRightInd w:val="0"/>
        <w:jc w:val="both"/>
        <w:rPr>
          <w:rFonts w:cs="Times New Roman"/>
          <w:sz w:val="24"/>
          <w:szCs w:val="24"/>
        </w:rPr>
      </w:pPr>
      <w:r>
        <w:rPr>
          <w:rFonts w:cs="Times New Roman"/>
          <w:sz w:val="24"/>
          <w:szCs w:val="24"/>
        </w:rPr>
        <w:drawing>
          <wp:inline distT="0" distB="0" distL="0" distR="0">
            <wp:extent cx="5853655" cy="1665407"/>
            <wp:effectExtent l="12192" t="4516" r="7903" b="127"/>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6240" w:rsidRDefault="006A6240">
      <w:pPr>
        <w:autoSpaceDE w:val="0"/>
        <w:autoSpaceDN w:val="0"/>
        <w:bidi w:val="0"/>
        <w:adjustRightInd w:val="0"/>
        <w:jc w:val="both"/>
        <w:rPr>
          <w:rFonts w:cs="Times New Roman"/>
          <w:noProof w:val="0"/>
          <w:sz w:val="24"/>
          <w:szCs w:val="24"/>
        </w:rPr>
      </w:pPr>
    </w:p>
    <w:p w:rsidR="006A6240" w:rsidRDefault="006A6240">
      <w:pPr>
        <w:autoSpaceDE w:val="0"/>
        <w:autoSpaceDN w:val="0"/>
        <w:bidi w:val="0"/>
        <w:adjustRightInd w:val="0"/>
        <w:spacing w:line="276" w:lineRule="auto"/>
        <w:jc w:val="both"/>
        <w:rPr>
          <w:rFonts w:ascii="Garamond" w:hAnsi="Garamond" w:cs="Times New Roman"/>
          <w:noProof w:val="0"/>
          <w:sz w:val="24"/>
          <w:szCs w:val="24"/>
          <w:rtl/>
        </w:rPr>
      </w:pPr>
      <w:r>
        <w:rPr>
          <w:rFonts w:ascii="Garamond" w:hAnsi="Garamond" w:cs="Times New Roman"/>
          <w:noProof w:val="0"/>
          <w:sz w:val="24"/>
          <w:szCs w:val="24"/>
        </w:rPr>
        <w:t>Concernant le sous emploi des actifs occupés âgés de 15 ans et plus, son volume a régressé, entre les deux périodes, de 1.027.000 à 965.000 personnes au niveau national, de 475.000 à 431.000 personnes dans les villes et de 552.000 à 534.000 dans les campagnes. Le taux de sous emploi est passé de 9,6% à 8,9% au niveau national, de 8,8% à 7,9% dans les villes et de 10,4% à 9,9% dans les campagnes.</w:t>
      </w: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6A6240">
      <w:pPr>
        <w:autoSpaceDE w:val="0"/>
        <w:autoSpaceDN w:val="0"/>
        <w:bidi w:val="0"/>
        <w:adjustRightInd w:val="0"/>
        <w:jc w:val="center"/>
        <w:rPr>
          <w:rFonts w:ascii="Garamond" w:hAnsi="Garamond" w:cs="Times New Roman"/>
          <w:b/>
          <w:bCs/>
          <w:noProof w:val="0"/>
          <w:sz w:val="24"/>
          <w:szCs w:val="24"/>
          <w:rtl/>
        </w:rPr>
      </w:pPr>
      <w:r>
        <w:rPr>
          <w:rFonts w:ascii="Garamond" w:hAnsi="Garamond" w:cs="Times New Roman"/>
          <w:b/>
          <w:bCs/>
          <w:noProof w:val="0"/>
          <w:sz w:val="24"/>
          <w:szCs w:val="24"/>
        </w:rPr>
        <w:t>Figure 4 : Evolution du taux de sous-emploi au 2</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w:t>
      </w:r>
    </w:p>
    <w:p w:rsidR="006A6240" w:rsidRDefault="006A6240">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t>par milieu de résidence (en %)</w:t>
      </w:r>
    </w:p>
    <w:p w:rsidR="006A6240" w:rsidRDefault="006A6240">
      <w:pPr>
        <w:autoSpaceDE w:val="0"/>
        <w:autoSpaceDN w:val="0"/>
        <w:bidi w:val="0"/>
        <w:adjustRightInd w:val="0"/>
        <w:jc w:val="center"/>
        <w:rPr>
          <w:rFonts w:ascii="Garamond" w:hAnsi="Garamond" w:cs="Times New Roman"/>
          <w:b/>
          <w:bCs/>
          <w:noProof w:val="0"/>
          <w:sz w:val="24"/>
          <w:szCs w:val="24"/>
        </w:rPr>
      </w:pPr>
    </w:p>
    <w:p w:rsidR="006A6240" w:rsidRDefault="00ED55E8">
      <w:pPr>
        <w:autoSpaceDE w:val="0"/>
        <w:autoSpaceDN w:val="0"/>
        <w:bidi w:val="0"/>
        <w:adjustRightInd w:val="0"/>
        <w:jc w:val="center"/>
        <w:rPr>
          <w:rFonts w:ascii="Garamond" w:hAnsi="Garamond" w:cs="Times New Roman"/>
          <w:b/>
          <w:bCs/>
          <w:noProof w:val="0"/>
          <w:sz w:val="26"/>
          <w:szCs w:val="26"/>
        </w:rPr>
      </w:pPr>
      <w:r>
        <w:rPr>
          <w:rFonts w:ascii="Garamond" w:hAnsi="Garamond" w:cs="Times New Roman"/>
          <w:b/>
          <w:bCs/>
          <w:sz w:val="26"/>
          <w:szCs w:val="26"/>
        </w:rPr>
        <w:drawing>
          <wp:inline distT="0" distB="0" distL="0" distR="0">
            <wp:extent cx="5610013" cy="2179938"/>
            <wp:effectExtent l="14958" t="4462" r="7479" b="0"/>
            <wp:docPr id="4"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6240" w:rsidRDefault="006A6240">
      <w:pPr>
        <w:pStyle w:val="Titre1"/>
        <w:spacing w:after="0"/>
        <w:jc w:val="center"/>
      </w:pPr>
      <w:r>
        <w:rPr>
          <w:rFonts w:ascii="Times New Roman" w:hAnsi="Times New Roman" w:cs="Times New Roman"/>
          <w:color w:val="0070C0"/>
          <w:sz w:val="24"/>
          <w:szCs w:val="24"/>
        </w:rPr>
        <w:t xml:space="preserve">Indicateurs trimestriels d'activité, d’emploi et de chômage par milieu de résidence </w:t>
      </w:r>
      <w:r>
        <w:rPr>
          <w:rFonts w:ascii="Times New Roman" w:hAnsi="Times New Roman" w:cs="Times New Roman"/>
          <w:color w:val="0070C0"/>
          <w:sz w:val="24"/>
          <w:szCs w:val="24"/>
          <w:vertAlign w:val="superscript"/>
        </w:rPr>
        <w:t>(1)</w:t>
      </w:r>
    </w:p>
    <w:p w:rsidR="006A6240" w:rsidRDefault="006A6240">
      <w:pPr>
        <w:pStyle w:val="Corpsdetexte2"/>
        <w:spacing w:before="2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Cs w:val="22"/>
        </w:rPr>
        <w:t>(Effectifs en milliers et taux en %)</w:t>
      </w:r>
      <w:r>
        <w:rPr>
          <w:rFonts w:ascii="Times New Roman" w:hAnsi="Times New Roman" w:cs="Times New Roman"/>
          <w:sz w:val="24"/>
          <w:szCs w:val="24"/>
        </w:rPr>
        <w:t xml:space="preserve"> </w:t>
      </w:r>
    </w:p>
    <w:tbl>
      <w:tblPr>
        <w:tblW w:w="101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886"/>
        <w:gridCol w:w="849"/>
        <w:gridCol w:w="952"/>
        <w:gridCol w:w="1123"/>
        <w:gridCol w:w="1124"/>
        <w:gridCol w:w="1122"/>
        <w:gridCol w:w="1123"/>
      </w:tblGrid>
      <w:tr w:rsidR="006A6240">
        <w:trPr>
          <w:cantSplit/>
          <w:jc w:val="center"/>
        </w:trPr>
        <w:tc>
          <w:tcPr>
            <w:tcW w:w="3886" w:type="dxa"/>
            <w:vMerge w:val="restart"/>
            <w:vAlign w:val="center"/>
          </w:tcPr>
          <w:p w:rsidR="006A6240" w:rsidRDefault="006A6240">
            <w:pPr>
              <w:tabs>
                <w:tab w:val="left" w:pos="-720"/>
              </w:tabs>
              <w:suppressAutoHyphens/>
              <w:spacing w:before="20" w:after="20"/>
              <w:jc w:val="center"/>
              <w:rPr>
                <w:b/>
                <w:spacing w:val="-2"/>
                <w:sz w:val="18"/>
              </w:rPr>
            </w:pPr>
            <w:r>
              <w:rPr>
                <w:b/>
                <w:spacing w:val="-2"/>
                <w:sz w:val="18"/>
              </w:rPr>
              <w:t>Indicateurs</w:t>
            </w:r>
          </w:p>
        </w:tc>
        <w:tc>
          <w:tcPr>
            <w:tcW w:w="2924" w:type="dxa"/>
            <w:gridSpan w:val="3"/>
          </w:tcPr>
          <w:p w:rsidR="006A6240" w:rsidRDefault="006A6240">
            <w:pPr>
              <w:tabs>
                <w:tab w:val="left" w:pos="-720"/>
              </w:tabs>
              <w:suppressAutoHyphens/>
              <w:spacing w:before="20" w:after="20"/>
              <w:rPr>
                <w:b/>
                <w:spacing w:val="-2"/>
                <w:sz w:val="18"/>
              </w:rPr>
            </w:pPr>
            <w:r>
              <w:rPr>
                <w:b/>
                <w:spacing w:val="-2"/>
                <w:sz w:val="18"/>
              </w:rPr>
              <w:t>2</w:t>
            </w:r>
            <w:r>
              <w:rPr>
                <w:b/>
                <w:spacing w:val="-2"/>
                <w:sz w:val="18"/>
                <w:vertAlign w:val="superscript"/>
              </w:rPr>
              <w:t>ème</w:t>
            </w:r>
            <w:r>
              <w:rPr>
                <w:b/>
                <w:spacing w:val="-2"/>
                <w:sz w:val="18"/>
              </w:rPr>
              <w:t xml:space="preserve"> trimestre 2012                      </w:t>
            </w:r>
          </w:p>
        </w:tc>
        <w:tc>
          <w:tcPr>
            <w:tcW w:w="3369" w:type="dxa"/>
            <w:gridSpan w:val="3"/>
          </w:tcPr>
          <w:p w:rsidR="006A6240" w:rsidRDefault="006A6240">
            <w:pPr>
              <w:tabs>
                <w:tab w:val="left" w:pos="-720"/>
              </w:tabs>
              <w:suppressAutoHyphens/>
              <w:spacing w:before="20" w:after="20"/>
              <w:rPr>
                <w:b/>
                <w:spacing w:val="-2"/>
                <w:sz w:val="18"/>
              </w:rPr>
            </w:pPr>
            <w:r>
              <w:rPr>
                <w:b/>
                <w:spacing w:val="-2"/>
                <w:sz w:val="18"/>
              </w:rPr>
              <w:t>2</w:t>
            </w:r>
            <w:r>
              <w:rPr>
                <w:b/>
                <w:spacing w:val="-2"/>
                <w:sz w:val="18"/>
                <w:vertAlign w:val="superscript"/>
              </w:rPr>
              <w:t>ème</w:t>
            </w:r>
            <w:r>
              <w:rPr>
                <w:b/>
                <w:spacing w:val="-2"/>
                <w:sz w:val="18"/>
              </w:rPr>
              <w:t xml:space="preserve"> trimestre 2013                      </w:t>
            </w:r>
          </w:p>
        </w:tc>
      </w:tr>
      <w:tr w:rsidR="006A6240">
        <w:trPr>
          <w:cantSplit/>
          <w:jc w:val="center"/>
        </w:trPr>
        <w:tc>
          <w:tcPr>
            <w:tcW w:w="3886" w:type="dxa"/>
            <w:vMerge/>
          </w:tcPr>
          <w:p w:rsidR="006A6240" w:rsidRDefault="006A6240">
            <w:pPr>
              <w:tabs>
                <w:tab w:val="left" w:pos="-720"/>
              </w:tabs>
              <w:suppressAutoHyphens/>
              <w:spacing w:before="20" w:after="20"/>
              <w:jc w:val="center"/>
              <w:rPr>
                <w:b/>
                <w:spacing w:val="-2"/>
                <w:sz w:val="18"/>
              </w:rPr>
            </w:pPr>
          </w:p>
        </w:tc>
        <w:tc>
          <w:tcPr>
            <w:tcW w:w="849" w:type="dxa"/>
          </w:tcPr>
          <w:p w:rsidR="006A6240" w:rsidRDefault="006A6240">
            <w:pPr>
              <w:tabs>
                <w:tab w:val="left" w:pos="-720"/>
              </w:tabs>
              <w:suppressAutoHyphens/>
              <w:spacing w:before="20" w:after="20"/>
              <w:jc w:val="center"/>
              <w:rPr>
                <w:b/>
                <w:spacing w:val="-2"/>
                <w:sz w:val="18"/>
              </w:rPr>
            </w:pPr>
            <w:r>
              <w:rPr>
                <w:b/>
                <w:spacing w:val="-2"/>
                <w:sz w:val="18"/>
              </w:rPr>
              <w:t>Urbain</w:t>
            </w:r>
          </w:p>
        </w:tc>
        <w:tc>
          <w:tcPr>
            <w:tcW w:w="952" w:type="dxa"/>
          </w:tcPr>
          <w:p w:rsidR="006A6240" w:rsidRDefault="006A6240">
            <w:pPr>
              <w:tabs>
                <w:tab w:val="left" w:pos="-720"/>
              </w:tabs>
              <w:suppressAutoHyphens/>
              <w:spacing w:before="20" w:after="20"/>
              <w:jc w:val="center"/>
              <w:rPr>
                <w:b/>
                <w:spacing w:val="-2"/>
                <w:sz w:val="18"/>
              </w:rPr>
            </w:pPr>
            <w:r>
              <w:rPr>
                <w:b/>
                <w:spacing w:val="-2"/>
                <w:sz w:val="18"/>
              </w:rPr>
              <w:t>Rural</w:t>
            </w:r>
          </w:p>
        </w:tc>
        <w:tc>
          <w:tcPr>
            <w:tcW w:w="1123" w:type="dxa"/>
          </w:tcPr>
          <w:p w:rsidR="006A6240" w:rsidRDefault="006A6240">
            <w:pPr>
              <w:tabs>
                <w:tab w:val="left" w:pos="-720"/>
              </w:tabs>
              <w:suppressAutoHyphens/>
              <w:spacing w:before="20" w:after="20"/>
              <w:jc w:val="center"/>
              <w:rPr>
                <w:b/>
                <w:spacing w:val="-2"/>
                <w:sz w:val="18"/>
              </w:rPr>
            </w:pPr>
            <w:r>
              <w:rPr>
                <w:b/>
                <w:spacing w:val="-2"/>
                <w:sz w:val="18"/>
              </w:rPr>
              <w:t>Ensemble</w:t>
            </w:r>
          </w:p>
        </w:tc>
        <w:tc>
          <w:tcPr>
            <w:tcW w:w="1124" w:type="dxa"/>
          </w:tcPr>
          <w:p w:rsidR="006A6240" w:rsidRDefault="006A6240">
            <w:pPr>
              <w:tabs>
                <w:tab w:val="left" w:pos="-720"/>
              </w:tabs>
              <w:suppressAutoHyphens/>
              <w:spacing w:before="20" w:after="20"/>
              <w:jc w:val="center"/>
              <w:rPr>
                <w:b/>
                <w:spacing w:val="-2"/>
                <w:sz w:val="18"/>
              </w:rPr>
            </w:pPr>
            <w:r>
              <w:rPr>
                <w:b/>
                <w:spacing w:val="-2"/>
                <w:sz w:val="18"/>
              </w:rPr>
              <w:t>Urbain</w:t>
            </w:r>
          </w:p>
        </w:tc>
        <w:tc>
          <w:tcPr>
            <w:tcW w:w="1122" w:type="dxa"/>
          </w:tcPr>
          <w:p w:rsidR="006A6240" w:rsidRDefault="006A6240">
            <w:pPr>
              <w:tabs>
                <w:tab w:val="left" w:pos="-720"/>
              </w:tabs>
              <w:suppressAutoHyphens/>
              <w:spacing w:before="20" w:after="20"/>
              <w:jc w:val="center"/>
              <w:rPr>
                <w:b/>
                <w:spacing w:val="-2"/>
                <w:sz w:val="18"/>
              </w:rPr>
            </w:pPr>
            <w:r>
              <w:rPr>
                <w:b/>
                <w:spacing w:val="-2"/>
                <w:sz w:val="18"/>
              </w:rPr>
              <w:t>Rural</w:t>
            </w:r>
          </w:p>
        </w:tc>
        <w:tc>
          <w:tcPr>
            <w:tcW w:w="1123" w:type="dxa"/>
          </w:tcPr>
          <w:p w:rsidR="006A6240" w:rsidRDefault="006A6240">
            <w:pPr>
              <w:tabs>
                <w:tab w:val="left" w:pos="-720"/>
              </w:tabs>
              <w:suppressAutoHyphens/>
              <w:spacing w:before="20" w:after="20"/>
              <w:jc w:val="center"/>
              <w:rPr>
                <w:b/>
                <w:spacing w:val="-2"/>
                <w:sz w:val="18"/>
              </w:rPr>
            </w:pPr>
            <w:r>
              <w:rPr>
                <w:b/>
                <w:spacing w:val="-2"/>
                <w:sz w:val="18"/>
              </w:rPr>
              <w:t>Ensemble</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w:t>
            </w:r>
            <w:r>
              <w:rPr>
                <w:b/>
                <w:i/>
                <w:spacing w:val="-2"/>
                <w:sz w:val="18"/>
              </w:rPr>
              <w:t xml:space="preserve"> Activité et emploi ( 15 ans et plus )</w:t>
            </w:r>
          </w:p>
        </w:tc>
        <w:tc>
          <w:tcPr>
            <w:tcW w:w="849" w:type="dxa"/>
          </w:tcPr>
          <w:p w:rsidR="006A6240" w:rsidRDefault="006A6240">
            <w:pPr>
              <w:tabs>
                <w:tab w:val="left" w:pos="-720"/>
              </w:tabs>
              <w:suppressAutoHyphens/>
              <w:spacing w:before="20" w:after="20"/>
              <w:jc w:val="center"/>
              <w:rPr>
                <w:b/>
                <w:spacing w:val="-2"/>
                <w:sz w:val="18"/>
              </w:rPr>
            </w:pPr>
          </w:p>
        </w:tc>
        <w:tc>
          <w:tcPr>
            <w:tcW w:w="952" w:type="dxa"/>
          </w:tcPr>
          <w:p w:rsidR="006A6240" w:rsidRDefault="006A6240">
            <w:pPr>
              <w:tabs>
                <w:tab w:val="left" w:pos="-720"/>
              </w:tabs>
              <w:suppressAutoHyphens/>
              <w:spacing w:before="20" w:after="20"/>
              <w:jc w:val="center"/>
              <w:rPr>
                <w:b/>
                <w:spacing w:val="-2"/>
                <w:sz w:val="18"/>
              </w:rPr>
            </w:pPr>
          </w:p>
        </w:tc>
        <w:tc>
          <w:tcPr>
            <w:tcW w:w="1123" w:type="dxa"/>
          </w:tcPr>
          <w:p w:rsidR="006A6240" w:rsidRDefault="006A6240">
            <w:pPr>
              <w:tabs>
                <w:tab w:val="left" w:pos="-720"/>
              </w:tabs>
              <w:suppressAutoHyphens/>
              <w:spacing w:before="20" w:after="20"/>
              <w:jc w:val="center"/>
              <w:rPr>
                <w:b/>
                <w:spacing w:val="-2"/>
                <w:sz w:val="18"/>
              </w:rPr>
            </w:pPr>
          </w:p>
        </w:tc>
        <w:tc>
          <w:tcPr>
            <w:tcW w:w="1124" w:type="dxa"/>
          </w:tcPr>
          <w:p w:rsidR="006A6240" w:rsidRDefault="006A6240">
            <w:pPr>
              <w:tabs>
                <w:tab w:val="left" w:pos="-720"/>
              </w:tabs>
              <w:suppressAutoHyphens/>
              <w:spacing w:before="20" w:after="20"/>
              <w:jc w:val="center"/>
              <w:rPr>
                <w:b/>
                <w:spacing w:val="-2"/>
                <w:sz w:val="18"/>
              </w:rPr>
            </w:pPr>
          </w:p>
        </w:tc>
        <w:tc>
          <w:tcPr>
            <w:tcW w:w="1122" w:type="dxa"/>
          </w:tcPr>
          <w:p w:rsidR="006A6240" w:rsidRDefault="006A6240">
            <w:pPr>
              <w:tabs>
                <w:tab w:val="left" w:pos="-720"/>
              </w:tabs>
              <w:suppressAutoHyphens/>
              <w:spacing w:before="20" w:after="20"/>
              <w:jc w:val="center"/>
              <w:rPr>
                <w:b/>
                <w:spacing w:val="-2"/>
                <w:sz w:val="18"/>
              </w:rPr>
            </w:pPr>
          </w:p>
        </w:tc>
        <w:tc>
          <w:tcPr>
            <w:tcW w:w="1123" w:type="dxa"/>
          </w:tcPr>
          <w:p w:rsidR="006A6240" w:rsidRDefault="006A6240">
            <w:pPr>
              <w:tabs>
                <w:tab w:val="left" w:pos="-720"/>
              </w:tabs>
              <w:suppressAutoHyphens/>
              <w:spacing w:before="20" w:after="20"/>
              <w:jc w:val="center"/>
              <w:rPr>
                <w:b/>
                <w:spacing w:val="-2"/>
                <w:sz w:val="18"/>
              </w:rP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Population active </w:t>
            </w:r>
          </w:p>
        </w:tc>
        <w:tc>
          <w:tcPr>
            <w:tcW w:w="849" w:type="dxa"/>
            <w:vAlign w:val="center"/>
          </w:tcPr>
          <w:p w:rsidR="006A6240" w:rsidRDefault="006A6240">
            <w:pPr>
              <w:jc w:val="center"/>
              <w:rPr>
                <w:b/>
                <w:bCs/>
              </w:rPr>
            </w:pPr>
            <w:r>
              <w:rPr>
                <w:b/>
                <w:bCs/>
              </w:rPr>
              <w:t>6 162</w:t>
            </w:r>
          </w:p>
        </w:tc>
        <w:tc>
          <w:tcPr>
            <w:tcW w:w="952" w:type="dxa"/>
            <w:vAlign w:val="center"/>
          </w:tcPr>
          <w:p w:rsidR="006A6240" w:rsidRDefault="006A6240">
            <w:pPr>
              <w:jc w:val="center"/>
              <w:rPr>
                <w:b/>
                <w:bCs/>
              </w:rPr>
            </w:pPr>
            <w:r>
              <w:rPr>
                <w:b/>
                <w:bCs/>
              </w:rPr>
              <w:t>5 494</w:t>
            </w:r>
          </w:p>
        </w:tc>
        <w:tc>
          <w:tcPr>
            <w:tcW w:w="1123" w:type="dxa"/>
            <w:vAlign w:val="center"/>
          </w:tcPr>
          <w:p w:rsidR="006A6240" w:rsidRDefault="006A6240">
            <w:pPr>
              <w:jc w:val="center"/>
              <w:rPr>
                <w:b/>
                <w:bCs/>
              </w:rPr>
            </w:pPr>
            <w:r>
              <w:rPr>
                <w:b/>
                <w:bCs/>
              </w:rPr>
              <w:t>11 656</w:t>
            </w:r>
          </w:p>
        </w:tc>
        <w:tc>
          <w:tcPr>
            <w:tcW w:w="1124" w:type="dxa"/>
            <w:vAlign w:val="center"/>
          </w:tcPr>
          <w:p w:rsidR="006A6240" w:rsidRDefault="006A6240">
            <w:pPr>
              <w:bidi w:val="0"/>
              <w:jc w:val="center"/>
              <w:rPr>
                <w:b/>
                <w:bCs/>
                <w:color w:val="000000"/>
              </w:rPr>
            </w:pPr>
            <w:r>
              <w:rPr>
                <w:b/>
                <w:bCs/>
                <w:color w:val="000000"/>
              </w:rPr>
              <w:t>6 339</w:t>
            </w:r>
          </w:p>
        </w:tc>
        <w:tc>
          <w:tcPr>
            <w:tcW w:w="1122" w:type="dxa"/>
            <w:vAlign w:val="center"/>
          </w:tcPr>
          <w:p w:rsidR="006A6240" w:rsidRDefault="006A6240">
            <w:pPr>
              <w:bidi w:val="0"/>
              <w:jc w:val="center"/>
              <w:rPr>
                <w:b/>
                <w:bCs/>
                <w:color w:val="000000"/>
              </w:rPr>
            </w:pPr>
            <w:r>
              <w:rPr>
                <w:b/>
                <w:bCs/>
                <w:color w:val="000000"/>
              </w:rPr>
              <w:t>5 561</w:t>
            </w:r>
          </w:p>
        </w:tc>
        <w:tc>
          <w:tcPr>
            <w:tcW w:w="1123" w:type="dxa"/>
            <w:vAlign w:val="center"/>
          </w:tcPr>
          <w:p w:rsidR="006A6240" w:rsidRDefault="006A6240">
            <w:pPr>
              <w:bidi w:val="0"/>
              <w:jc w:val="center"/>
              <w:rPr>
                <w:b/>
                <w:bCs/>
                <w:color w:val="000000"/>
              </w:rPr>
            </w:pPr>
            <w:r>
              <w:rPr>
                <w:b/>
                <w:bCs/>
                <w:color w:val="000000"/>
              </w:rPr>
              <w:t>11 900</w:t>
            </w:r>
          </w:p>
        </w:tc>
      </w:tr>
      <w:tr w:rsidR="006A6240">
        <w:trPr>
          <w:jc w:val="center"/>
        </w:trPr>
        <w:tc>
          <w:tcPr>
            <w:tcW w:w="3886" w:type="dxa"/>
          </w:tcPr>
          <w:p w:rsidR="006A6240" w:rsidRDefault="006A6240">
            <w:pPr>
              <w:tabs>
                <w:tab w:val="left" w:pos="-720"/>
              </w:tabs>
              <w:suppressAutoHyphens/>
              <w:spacing w:before="20" w:after="20"/>
              <w:ind w:left="360"/>
              <w:jc w:val="right"/>
              <w:rPr>
                <w:b/>
                <w:spacing w:val="-2"/>
                <w:sz w:val="18"/>
              </w:rPr>
            </w:pPr>
            <w:r>
              <w:rPr>
                <w:b/>
                <w:spacing w:val="-2"/>
                <w:sz w:val="18"/>
              </w:rPr>
              <w:t>Taux de féminisation de la population</w:t>
            </w:r>
          </w:p>
          <w:p w:rsidR="006A6240" w:rsidRDefault="006A6240">
            <w:pPr>
              <w:tabs>
                <w:tab w:val="left" w:pos="-720"/>
              </w:tabs>
              <w:suppressAutoHyphens/>
              <w:spacing w:before="20" w:after="20"/>
              <w:jc w:val="right"/>
              <w:rPr>
                <w:b/>
                <w:spacing w:val="-2"/>
                <w:sz w:val="18"/>
              </w:rPr>
            </w:pPr>
            <w:r>
              <w:rPr>
                <w:b/>
                <w:spacing w:val="-2"/>
                <w:sz w:val="18"/>
              </w:rPr>
              <w:t xml:space="preserve">   active</w:t>
            </w:r>
          </w:p>
        </w:tc>
        <w:tc>
          <w:tcPr>
            <w:tcW w:w="849" w:type="dxa"/>
            <w:vAlign w:val="center"/>
          </w:tcPr>
          <w:p w:rsidR="006A6240" w:rsidRDefault="006A6240">
            <w:pPr>
              <w:jc w:val="center"/>
            </w:pPr>
            <w:r>
              <w:t>21,3</w:t>
            </w:r>
          </w:p>
        </w:tc>
        <w:tc>
          <w:tcPr>
            <w:tcW w:w="952" w:type="dxa"/>
            <w:vAlign w:val="center"/>
          </w:tcPr>
          <w:p w:rsidR="006A6240" w:rsidRDefault="006A6240">
            <w:pPr>
              <w:jc w:val="center"/>
            </w:pPr>
            <w:r>
              <w:t>33,4</w:t>
            </w:r>
          </w:p>
        </w:tc>
        <w:tc>
          <w:tcPr>
            <w:tcW w:w="1123" w:type="dxa"/>
            <w:vAlign w:val="center"/>
          </w:tcPr>
          <w:p w:rsidR="006A6240" w:rsidRDefault="006A6240">
            <w:pPr>
              <w:jc w:val="center"/>
            </w:pPr>
            <w:r>
              <w:t>27,0</w:t>
            </w:r>
          </w:p>
        </w:tc>
        <w:tc>
          <w:tcPr>
            <w:tcW w:w="1124" w:type="dxa"/>
            <w:vAlign w:val="center"/>
          </w:tcPr>
          <w:p w:rsidR="006A6240" w:rsidRDefault="006A6240">
            <w:pPr>
              <w:jc w:val="center"/>
            </w:pPr>
            <w:r>
              <w:rPr>
                <w:noProof w:val="0"/>
                <w:rtl/>
              </w:rPr>
              <w:t>20,4</w:t>
            </w:r>
          </w:p>
        </w:tc>
        <w:tc>
          <w:tcPr>
            <w:tcW w:w="1122" w:type="dxa"/>
            <w:vAlign w:val="center"/>
          </w:tcPr>
          <w:p w:rsidR="006A6240" w:rsidRDefault="006A6240">
            <w:pPr>
              <w:jc w:val="center"/>
            </w:pPr>
            <w:r>
              <w:rPr>
                <w:noProof w:val="0"/>
                <w:rtl/>
              </w:rPr>
              <w:t>34,2</w:t>
            </w:r>
          </w:p>
        </w:tc>
        <w:tc>
          <w:tcPr>
            <w:tcW w:w="1123" w:type="dxa"/>
            <w:vAlign w:val="center"/>
          </w:tcPr>
          <w:p w:rsidR="006A6240" w:rsidRDefault="006A6240">
            <w:pPr>
              <w:jc w:val="center"/>
            </w:pPr>
            <w:r>
              <w:rPr>
                <w:noProof w:val="0"/>
                <w:rtl/>
              </w:rPr>
              <w:t>26,8</w:t>
            </w:r>
          </w:p>
        </w:tc>
      </w:tr>
      <w:tr w:rsidR="006A6240">
        <w:trPr>
          <w:jc w:val="center"/>
        </w:trPr>
        <w:tc>
          <w:tcPr>
            <w:tcW w:w="3886" w:type="dxa"/>
          </w:tcPr>
          <w:p w:rsidR="006A6240" w:rsidRDefault="006A6240">
            <w:pPr>
              <w:tabs>
                <w:tab w:val="left" w:pos="-720"/>
              </w:tabs>
              <w:suppressAutoHyphens/>
              <w:spacing w:before="20" w:after="20"/>
              <w:ind w:left="360"/>
              <w:jc w:val="right"/>
              <w:rPr>
                <w:b/>
                <w:spacing w:val="-2"/>
                <w:sz w:val="18"/>
              </w:rPr>
            </w:pPr>
            <w:r>
              <w:rPr>
                <w:b/>
                <w:spacing w:val="-2"/>
                <w:sz w:val="18"/>
              </w:rPr>
              <w:t>Taux d'activité</w:t>
            </w:r>
          </w:p>
        </w:tc>
        <w:tc>
          <w:tcPr>
            <w:tcW w:w="849" w:type="dxa"/>
            <w:vAlign w:val="center"/>
          </w:tcPr>
          <w:p w:rsidR="006A6240" w:rsidRDefault="006A6240">
            <w:pPr>
              <w:jc w:val="center"/>
            </w:pPr>
            <w:r>
              <w:t>43,0</w:t>
            </w:r>
          </w:p>
        </w:tc>
        <w:tc>
          <w:tcPr>
            <w:tcW w:w="952" w:type="dxa"/>
            <w:vAlign w:val="center"/>
          </w:tcPr>
          <w:p w:rsidR="006A6240" w:rsidRDefault="006A6240">
            <w:pPr>
              <w:jc w:val="center"/>
            </w:pPr>
            <w:r>
              <w:t>58,0</w:t>
            </w:r>
          </w:p>
        </w:tc>
        <w:tc>
          <w:tcPr>
            <w:tcW w:w="1123" w:type="dxa"/>
            <w:vAlign w:val="center"/>
          </w:tcPr>
          <w:p w:rsidR="006A6240" w:rsidRDefault="006A6240">
            <w:pPr>
              <w:jc w:val="center"/>
            </w:pPr>
            <w:r>
              <w:t>49,0</w:t>
            </w:r>
          </w:p>
        </w:tc>
        <w:tc>
          <w:tcPr>
            <w:tcW w:w="1124" w:type="dxa"/>
            <w:vAlign w:val="center"/>
          </w:tcPr>
          <w:p w:rsidR="006A6240" w:rsidRDefault="006A6240">
            <w:pPr>
              <w:jc w:val="center"/>
            </w:pPr>
            <w:r>
              <w:rPr>
                <w:noProof w:val="0"/>
                <w:rtl/>
              </w:rPr>
              <w:t>43,3</w:t>
            </w:r>
          </w:p>
        </w:tc>
        <w:tc>
          <w:tcPr>
            <w:tcW w:w="1122" w:type="dxa"/>
            <w:vAlign w:val="center"/>
          </w:tcPr>
          <w:p w:rsidR="006A6240" w:rsidRDefault="006A6240">
            <w:pPr>
              <w:jc w:val="center"/>
            </w:pPr>
            <w:r>
              <w:rPr>
                <w:noProof w:val="0"/>
                <w:rtl/>
              </w:rPr>
              <w:t>58,3</w:t>
            </w:r>
          </w:p>
        </w:tc>
        <w:tc>
          <w:tcPr>
            <w:tcW w:w="1123" w:type="dxa"/>
            <w:vAlign w:val="center"/>
          </w:tcPr>
          <w:p w:rsidR="006A6240" w:rsidRDefault="006A6240">
            <w:pPr>
              <w:jc w:val="center"/>
            </w:pPr>
            <w:r>
              <w:rPr>
                <w:noProof w:val="0"/>
                <w:rtl/>
              </w:rPr>
              <w:t>49,2</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le sexe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jc w:val="center"/>
            </w:pPr>
          </w:p>
        </w:tc>
        <w:tc>
          <w:tcPr>
            <w:tcW w:w="1122" w:type="dxa"/>
            <w:vAlign w:val="center"/>
          </w:tcPr>
          <w:p w:rsidR="006A6240" w:rsidRDefault="006A6240">
            <w:pPr>
              <w:jc w:val="center"/>
            </w:pPr>
          </w:p>
        </w:tc>
        <w:tc>
          <w:tcPr>
            <w:tcW w:w="1123" w:type="dxa"/>
            <w:vAlign w:val="center"/>
          </w:tcPr>
          <w:p w:rsidR="006A6240" w:rsidRDefault="006A6240">
            <w:pPr>
              <w:jc w:val="cente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Hommes</w:t>
            </w:r>
          </w:p>
        </w:tc>
        <w:tc>
          <w:tcPr>
            <w:tcW w:w="849" w:type="dxa"/>
            <w:vAlign w:val="center"/>
          </w:tcPr>
          <w:p w:rsidR="006A6240" w:rsidRDefault="006A6240">
            <w:pPr>
              <w:jc w:val="center"/>
            </w:pPr>
            <w:r>
              <w:t>69,9</w:t>
            </w:r>
          </w:p>
        </w:tc>
        <w:tc>
          <w:tcPr>
            <w:tcW w:w="952" w:type="dxa"/>
            <w:vAlign w:val="center"/>
          </w:tcPr>
          <w:p w:rsidR="006A6240" w:rsidRDefault="006A6240">
            <w:pPr>
              <w:jc w:val="center"/>
            </w:pPr>
            <w:r>
              <w:t>79,6</w:t>
            </w:r>
          </w:p>
        </w:tc>
        <w:tc>
          <w:tcPr>
            <w:tcW w:w="1123" w:type="dxa"/>
            <w:vAlign w:val="center"/>
          </w:tcPr>
          <w:p w:rsidR="006A6240" w:rsidRDefault="006A6240">
            <w:pPr>
              <w:jc w:val="center"/>
            </w:pPr>
            <w:r>
              <w:t>73,8</w:t>
            </w:r>
          </w:p>
        </w:tc>
        <w:tc>
          <w:tcPr>
            <w:tcW w:w="1124" w:type="dxa"/>
            <w:vAlign w:val="center"/>
          </w:tcPr>
          <w:p w:rsidR="006A6240" w:rsidRDefault="006A6240">
            <w:pPr>
              <w:jc w:val="center"/>
            </w:pPr>
            <w:r>
              <w:rPr>
                <w:noProof w:val="0"/>
                <w:rtl/>
              </w:rPr>
              <w:t>71,3</w:t>
            </w:r>
          </w:p>
        </w:tc>
        <w:tc>
          <w:tcPr>
            <w:tcW w:w="1122" w:type="dxa"/>
            <w:vAlign w:val="center"/>
          </w:tcPr>
          <w:p w:rsidR="006A6240" w:rsidRDefault="006A6240">
            <w:pPr>
              <w:jc w:val="center"/>
            </w:pPr>
            <w:r>
              <w:rPr>
                <w:noProof w:val="0"/>
                <w:rtl/>
              </w:rPr>
              <w:t>79,1</w:t>
            </w:r>
          </w:p>
        </w:tc>
        <w:tc>
          <w:tcPr>
            <w:tcW w:w="1123" w:type="dxa"/>
            <w:vAlign w:val="center"/>
          </w:tcPr>
          <w:p w:rsidR="006A6240" w:rsidRDefault="006A6240">
            <w:pPr>
              <w:jc w:val="center"/>
            </w:pPr>
            <w:r>
              <w:rPr>
                <w:noProof w:val="0"/>
                <w:rtl/>
              </w:rPr>
              <w:t>74,4</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Femmes</w:t>
            </w:r>
          </w:p>
        </w:tc>
        <w:tc>
          <w:tcPr>
            <w:tcW w:w="849" w:type="dxa"/>
            <w:vAlign w:val="center"/>
          </w:tcPr>
          <w:p w:rsidR="006A6240" w:rsidRDefault="006A6240">
            <w:pPr>
              <w:jc w:val="center"/>
            </w:pPr>
            <w:r>
              <w:t>17,8</w:t>
            </w:r>
          </w:p>
        </w:tc>
        <w:tc>
          <w:tcPr>
            <w:tcW w:w="952" w:type="dxa"/>
            <w:vAlign w:val="center"/>
          </w:tcPr>
          <w:p w:rsidR="006A6240" w:rsidRDefault="006A6240">
            <w:pPr>
              <w:jc w:val="center"/>
            </w:pPr>
            <w:r>
              <w:t>37,6</w:t>
            </w:r>
          </w:p>
        </w:tc>
        <w:tc>
          <w:tcPr>
            <w:tcW w:w="1123" w:type="dxa"/>
            <w:vAlign w:val="center"/>
          </w:tcPr>
          <w:p w:rsidR="006A6240" w:rsidRDefault="006A6240">
            <w:pPr>
              <w:jc w:val="center"/>
            </w:pPr>
            <w:r>
              <w:t>25,7</w:t>
            </w:r>
          </w:p>
        </w:tc>
        <w:tc>
          <w:tcPr>
            <w:tcW w:w="1124" w:type="dxa"/>
            <w:vAlign w:val="center"/>
          </w:tcPr>
          <w:p w:rsidR="006A6240" w:rsidRDefault="006A6240">
            <w:pPr>
              <w:jc w:val="center"/>
            </w:pPr>
            <w:r>
              <w:rPr>
                <w:noProof w:val="0"/>
                <w:rtl/>
              </w:rPr>
              <w:t>17,1</w:t>
            </w:r>
          </w:p>
        </w:tc>
        <w:tc>
          <w:tcPr>
            <w:tcW w:w="1122" w:type="dxa"/>
            <w:vAlign w:val="center"/>
          </w:tcPr>
          <w:p w:rsidR="006A6240" w:rsidRDefault="006A6240">
            <w:pPr>
              <w:jc w:val="center"/>
            </w:pPr>
            <w:r>
              <w:rPr>
                <w:noProof w:val="0"/>
                <w:rtl/>
              </w:rPr>
              <w:t>38,6</w:t>
            </w:r>
          </w:p>
        </w:tc>
        <w:tc>
          <w:tcPr>
            <w:tcW w:w="1123" w:type="dxa"/>
            <w:vAlign w:val="center"/>
          </w:tcPr>
          <w:p w:rsidR="006A6240" w:rsidRDefault="006A6240">
            <w:pPr>
              <w:jc w:val="center"/>
            </w:pPr>
            <w:r>
              <w:rPr>
                <w:noProof w:val="0"/>
                <w:rtl/>
              </w:rPr>
              <w:t>25,6</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l’âge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jc w:val="center"/>
            </w:pPr>
          </w:p>
        </w:tc>
        <w:tc>
          <w:tcPr>
            <w:tcW w:w="1122" w:type="dxa"/>
            <w:vAlign w:val="center"/>
          </w:tcPr>
          <w:p w:rsidR="006A6240" w:rsidRDefault="006A6240">
            <w:pPr>
              <w:jc w:val="center"/>
            </w:pPr>
          </w:p>
        </w:tc>
        <w:tc>
          <w:tcPr>
            <w:tcW w:w="1123" w:type="dxa"/>
            <w:vAlign w:val="center"/>
          </w:tcPr>
          <w:p w:rsidR="006A6240" w:rsidRDefault="006A6240">
            <w:pPr>
              <w:jc w:val="cente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15 - 24 ans</w:t>
            </w:r>
          </w:p>
        </w:tc>
        <w:tc>
          <w:tcPr>
            <w:tcW w:w="849" w:type="dxa"/>
            <w:vAlign w:val="center"/>
          </w:tcPr>
          <w:p w:rsidR="006A6240" w:rsidRDefault="006A6240">
            <w:pPr>
              <w:jc w:val="center"/>
            </w:pPr>
            <w:r>
              <w:t>23,9</w:t>
            </w:r>
          </w:p>
        </w:tc>
        <w:tc>
          <w:tcPr>
            <w:tcW w:w="952" w:type="dxa"/>
            <w:vAlign w:val="center"/>
          </w:tcPr>
          <w:p w:rsidR="006A6240" w:rsidRDefault="006A6240">
            <w:pPr>
              <w:jc w:val="center"/>
            </w:pPr>
            <w:r>
              <w:t>45,4</w:t>
            </w:r>
          </w:p>
        </w:tc>
        <w:tc>
          <w:tcPr>
            <w:tcW w:w="1123" w:type="dxa"/>
            <w:vAlign w:val="center"/>
          </w:tcPr>
          <w:p w:rsidR="006A6240" w:rsidRDefault="006A6240">
            <w:pPr>
              <w:jc w:val="center"/>
            </w:pPr>
            <w:r>
              <w:t>33,8</w:t>
            </w:r>
          </w:p>
        </w:tc>
        <w:tc>
          <w:tcPr>
            <w:tcW w:w="1124" w:type="dxa"/>
            <w:vAlign w:val="bottom"/>
          </w:tcPr>
          <w:p w:rsidR="006A6240" w:rsidRDefault="006A6240">
            <w:pPr>
              <w:jc w:val="center"/>
            </w:pPr>
            <w:r>
              <w:rPr>
                <w:noProof w:val="0"/>
                <w:rtl/>
              </w:rPr>
              <w:t>24,0</w:t>
            </w:r>
          </w:p>
        </w:tc>
        <w:tc>
          <w:tcPr>
            <w:tcW w:w="1122" w:type="dxa"/>
            <w:vAlign w:val="bottom"/>
          </w:tcPr>
          <w:p w:rsidR="006A6240" w:rsidRDefault="006A6240">
            <w:pPr>
              <w:jc w:val="center"/>
            </w:pPr>
            <w:r>
              <w:rPr>
                <w:noProof w:val="0"/>
                <w:rtl/>
              </w:rPr>
              <w:t>43,7</w:t>
            </w:r>
          </w:p>
        </w:tc>
        <w:tc>
          <w:tcPr>
            <w:tcW w:w="1123" w:type="dxa"/>
            <w:vAlign w:val="bottom"/>
          </w:tcPr>
          <w:p w:rsidR="006A6240" w:rsidRDefault="006A6240">
            <w:pPr>
              <w:jc w:val="center"/>
            </w:pPr>
            <w:r>
              <w:rPr>
                <w:noProof w:val="0"/>
                <w:rtl/>
              </w:rPr>
              <w:t>33,0</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25 - 34 ans</w:t>
            </w:r>
          </w:p>
        </w:tc>
        <w:tc>
          <w:tcPr>
            <w:tcW w:w="849" w:type="dxa"/>
            <w:vAlign w:val="center"/>
          </w:tcPr>
          <w:p w:rsidR="006A6240" w:rsidRDefault="006A6240">
            <w:pPr>
              <w:jc w:val="center"/>
            </w:pPr>
            <w:r>
              <w:t>58,3</w:t>
            </w:r>
          </w:p>
        </w:tc>
        <w:tc>
          <w:tcPr>
            <w:tcW w:w="952" w:type="dxa"/>
            <w:vAlign w:val="center"/>
          </w:tcPr>
          <w:p w:rsidR="006A6240" w:rsidRDefault="006A6240">
            <w:pPr>
              <w:jc w:val="center"/>
            </w:pPr>
            <w:r>
              <w:t>65,7</w:t>
            </w:r>
          </w:p>
        </w:tc>
        <w:tc>
          <w:tcPr>
            <w:tcW w:w="1123" w:type="dxa"/>
            <w:vAlign w:val="center"/>
          </w:tcPr>
          <w:p w:rsidR="006A6240" w:rsidRDefault="006A6240">
            <w:pPr>
              <w:jc w:val="center"/>
            </w:pPr>
            <w:r>
              <w:t>61,2</w:t>
            </w:r>
          </w:p>
        </w:tc>
        <w:tc>
          <w:tcPr>
            <w:tcW w:w="1124" w:type="dxa"/>
            <w:vAlign w:val="bottom"/>
          </w:tcPr>
          <w:p w:rsidR="006A6240" w:rsidRDefault="006A6240">
            <w:pPr>
              <w:jc w:val="center"/>
            </w:pPr>
            <w:r>
              <w:rPr>
                <w:noProof w:val="0"/>
                <w:rtl/>
              </w:rPr>
              <w:t>59,7</w:t>
            </w:r>
          </w:p>
        </w:tc>
        <w:tc>
          <w:tcPr>
            <w:tcW w:w="1122" w:type="dxa"/>
            <w:vAlign w:val="bottom"/>
          </w:tcPr>
          <w:p w:rsidR="006A6240" w:rsidRDefault="006A6240">
            <w:pPr>
              <w:jc w:val="center"/>
            </w:pPr>
            <w:r>
              <w:rPr>
                <w:noProof w:val="0"/>
                <w:rtl/>
              </w:rPr>
              <w:t>65,8</w:t>
            </w:r>
          </w:p>
        </w:tc>
        <w:tc>
          <w:tcPr>
            <w:tcW w:w="1123" w:type="dxa"/>
            <w:vAlign w:val="bottom"/>
          </w:tcPr>
          <w:p w:rsidR="006A6240" w:rsidRDefault="006A6240">
            <w:pPr>
              <w:jc w:val="center"/>
            </w:pPr>
            <w:r>
              <w:rPr>
                <w:noProof w:val="0"/>
                <w:rtl/>
              </w:rPr>
              <w:t>62,1</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35 - 44 ans</w:t>
            </w:r>
          </w:p>
        </w:tc>
        <w:tc>
          <w:tcPr>
            <w:tcW w:w="849" w:type="dxa"/>
            <w:vAlign w:val="center"/>
          </w:tcPr>
          <w:p w:rsidR="006A6240" w:rsidRDefault="006A6240">
            <w:pPr>
              <w:jc w:val="center"/>
            </w:pPr>
            <w:r>
              <w:t>56,8</w:t>
            </w:r>
          </w:p>
        </w:tc>
        <w:tc>
          <w:tcPr>
            <w:tcW w:w="952" w:type="dxa"/>
            <w:vAlign w:val="center"/>
          </w:tcPr>
          <w:p w:rsidR="006A6240" w:rsidRDefault="006A6240">
            <w:pPr>
              <w:jc w:val="center"/>
            </w:pPr>
            <w:r>
              <w:t>71,3</w:t>
            </w:r>
          </w:p>
        </w:tc>
        <w:tc>
          <w:tcPr>
            <w:tcW w:w="1123" w:type="dxa"/>
            <w:vAlign w:val="center"/>
          </w:tcPr>
          <w:p w:rsidR="006A6240" w:rsidRDefault="006A6240">
            <w:pPr>
              <w:jc w:val="center"/>
            </w:pPr>
            <w:r>
              <w:t>62,0</w:t>
            </w:r>
          </w:p>
        </w:tc>
        <w:tc>
          <w:tcPr>
            <w:tcW w:w="1124" w:type="dxa"/>
            <w:vAlign w:val="bottom"/>
          </w:tcPr>
          <w:p w:rsidR="006A6240" w:rsidRDefault="006A6240">
            <w:pPr>
              <w:jc w:val="center"/>
            </w:pPr>
            <w:r>
              <w:rPr>
                <w:noProof w:val="0"/>
                <w:rtl/>
              </w:rPr>
              <w:t>57,4</w:t>
            </w:r>
          </w:p>
        </w:tc>
        <w:tc>
          <w:tcPr>
            <w:tcW w:w="1122" w:type="dxa"/>
            <w:vAlign w:val="bottom"/>
          </w:tcPr>
          <w:p w:rsidR="006A6240" w:rsidRDefault="006A6240">
            <w:pPr>
              <w:jc w:val="center"/>
            </w:pPr>
            <w:r>
              <w:rPr>
                <w:noProof w:val="0"/>
                <w:rtl/>
              </w:rPr>
              <w:t>71,0</w:t>
            </w:r>
          </w:p>
        </w:tc>
        <w:tc>
          <w:tcPr>
            <w:tcW w:w="1123" w:type="dxa"/>
            <w:vAlign w:val="bottom"/>
          </w:tcPr>
          <w:p w:rsidR="006A6240" w:rsidRDefault="006A6240">
            <w:pPr>
              <w:jc w:val="center"/>
            </w:pPr>
            <w:r>
              <w:rPr>
                <w:noProof w:val="0"/>
                <w:rtl/>
              </w:rPr>
              <w:t>62,2</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45 ans et plus</w:t>
            </w:r>
          </w:p>
        </w:tc>
        <w:tc>
          <w:tcPr>
            <w:tcW w:w="849" w:type="dxa"/>
            <w:vAlign w:val="center"/>
          </w:tcPr>
          <w:p w:rsidR="006A6240" w:rsidRDefault="006A6240">
            <w:pPr>
              <w:jc w:val="center"/>
            </w:pPr>
            <w:r>
              <w:t>38,1</w:t>
            </w:r>
          </w:p>
        </w:tc>
        <w:tc>
          <w:tcPr>
            <w:tcW w:w="952" w:type="dxa"/>
            <w:vAlign w:val="center"/>
          </w:tcPr>
          <w:p w:rsidR="006A6240" w:rsidRDefault="006A6240">
            <w:pPr>
              <w:jc w:val="center"/>
            </w:pPr>
            <w:r>
              <w:t>57,9</w:t>
            </w:r>
          </w:p>
        </w:tc>
        <w:tc>
          <w:tcPr>
            <w:tcW w:w="1123" w:type="dxa"/>
            <w:vAlign w:val="center"/>
          </w:tcPr>
          <w:p w:rsidR="006A6240" w:rsidRDefault="006A6240">
            <w:pPr>
              <w:jc w:val="center"/>
            </w:pPr>
            <w:r>
              <w:t>45,4</w:t>
            </w:r>
          </w:p>
        </w:tc>
        <w:tc>
          <w:tcPr>
            <w:tcW w:w="1124" w:type="dxa"/>
            <w:vAlign w:val="bottom"/>
          </w:tcPr>
          <w:p w:rsidR="006A6240" w:rsidRDefault="006A6240">
            <w:pPr>
              <w:jc w:val="center"/>
            </w:pPr>
            <w:r>
              <w:rPr>
                <w:noProof w:val="0"/>
                <w:rtl/>
              </w:rPr>
              <w:t>37,4</w:t>
            </w:r>
          </w:p>
        </w:tc>
        <w:tc>
          <w:tcPr>
            <w:tcW w:w="1122" w:type="dxa"/>
            <w:vAlign w:val="bottom"/>
          </w:tcPr>
          <w:p w:rsidR="006A6240" w:rsidRDefault="006A6240">
            <w:pPr>
              <w:jc w:val="center"/>
            </w:pPr>
            <w:r>
              <w:rPr>
                <w:noProof w:val="0"/>
                <w:rtl/>
              </w:rPr>
              <w:t>60,1</w:t>
            </w:r>
          </w:p>
        </w:tc>
        <w:tc>
          <w:tcPr>
            <w:tcW w:w="1123" w:type="dxa"/>
            <w:vAlign w:val="bottom"/>
          </w:tcPr>
          <w:p w:rsidR="006A6240" w:rsidRDefault="006A6240">
            <w:pPr>
              <w:jc w:val="center"/>
            </w:pPr>
            <w:r>
              <w:rPr>
                <w:noProof w:val="0"/>
                <w:rtl/>
              </w:rPr>
              <w:t>45,6</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le diplôme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jc w:val="center"/>
            </w:pPr>
          </w:p>
        </w:tc>
        <w:tc>
          <w:tcPr>
            <w:tcW w:w="1122" w:type="dxa"/>
            <w:vAlign w:val="center"/>
          </w:tcPr>
          <w:p w:rsidR="006A6240" w:rsidRDefault="006A6240">
            <w:pPr>
              <w:jc w:val="center"/>
            </w:pPr>
          </w:p>
        </w:tc>
        <w:tc>
          <w:tcPr>
            <w:tcW w:w="1123" w:type="dxa"/>
            <w:vAlign w:val="center"/>
          </w:tcPr>
          <w:p w:rsidR="006A6240" w:rsidRDefault="006A6240">
            <w:pPr>
              <w:jc w:val="cente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Sans diplôme</w:t>
            </w:r>
          </w:p>
        </w:tc>
        <w:tc>
          <w:tcPr>
            <w:tcW w:w="849" w:type="dxa"/>
            <w:vAlign w:val="center"/>
          </w:tcPr>
          <w:p w:rsidR="006A6240" w:rsidRDefault="006A6240">
            <w:pPr>
              <w:jc w:val="center"/>
            </w:pPr>
            <w:r>
              <w:t>38,3</w:t>
            </w:r>
          </w:p>
        </w:tc>
        <w:tc>
          <w:tcPr>
            <w:tcW w:w="952" w:type="dxa"/>
            <w:vAlign w:val="center"/>
          </w:tcPr>
          <w:p w:rsidR="006A6240" w:rsidRDefault="006A6240">
            <w:pPr>
              <w:jc w:val="center"/>
            </w:pPr>
            <w:r>
              <w:t>60,2</w:t>
            </w:r>
          </w:p>
        </w:tc>
        <w:tc>
          <w:tcPr>
            <w:tcW w:w="1123" w:type="dxa"/>
            <w:vAlign w:val="center"/>
          </w:tcPr>
          <w:p w:rsidR="006A6240" w:rsidRDefault="006A6240">
            <w:pPr>
              <w:jc w:val="center"/>
            </w:pPr>
            <w:r>
              <w:t>49,8</w:t>
            </w:r>
          </w:p>
        </w:tc>
        <w:tc>
          <w:tcPr>
            <w:tcW w:w="1124" w:type="dxa"/>
            <w:vAlign w:val="center"/>
          </w:tcPr>
          <w:p w:rsidR="006A6240" w:rsidRDefault="006A6240">
            <w:pPr>
              <w:jc w:val="center"/>
            </w:pPr>
            <w:r>
              <w:rPr>
                <w:noProof w:val="0"/>
                <w:rtl/>
              </w:rPr>
              <w:t>38,1</w:t>
            </w:r>
          </w:p>
        </w:tc>
        <w:tc>
          <w:tcPr>
            <w:tcW w:w="1122" w:type="dxa"/>
            <w:vAlign w:val="center"/>
          </w:tcPr>
          <w:p w:rsidR="006A6240" w:rsidRDefault="006A6240">
            <w:pPr>
              <w:jc w:val="center"/>
            </w:pPr>
            <w:r>
              <w:rPr>
                <w:noProof w:val="0"/>
                <w:rtl/>
              </w:rPr>
              <w:t>60,8</w:t>
            </w:r>
          </w:p>
        </w:tc>
        <w:tc>
          <w:tcPr>
            <w:tcW w:w="1123" w:type="dxa"/>
            <w:vAlign w:val="center"/>
          </w:tcPr>
          <w:p w:rsidR="006A6240" w:rsidRDefault="006A6240">
            <w:pPr>
              <w:jc w:val="center"/>
            </w:pPr>
            <w:r>
              <w:rPr>
                <w:noProof w:val="0"/>
                <w:rtl/>
              </w:rPr>
              <w:t>49,7</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Ayant un diplôme</w:t>
            </w:r>
          </w:p>
        </w:tc>
        <w:tc>
          <w:tcPr>
            <w:tcW w:w="849" w:type="dxa"/>
            <w:vAlign w:val="center"/>
          </w:tcPr>
          <w:p w:rsidR="006A6240" w:rsidRDefault="006A6240">
            <w:pPr>
              <w:jc w:val="center"/>
            </w:pPr>
            <w:r>
              <w:t>47,2</w:t>
            </w:r>
          </w:p>
        </w:tc>
        <w:tc>
          <w:tcPr>
            <w:tcW w:w="952" w:type="dxa"/>
            <w:vAlign w:val="center"/>
          </w:tcPr>
          <w:p w:rsidR="006A6240" w:rsidRDefault="006A6240">
            <w:pPr>
              <w:jc w:val="center"/>
            </w:pPr>
            <w:r>
              <w:t>49,9</w:t>
            </w:r>
          </w:p>
        </w:tc>
        <w:tc>
          <w:tcPr>
            <w:tcW w:w="1123" w:type="dxa"/>
            <w:vAlign w:val="center"/>
          </w:tcPr>
          <w:p w:rsidR="006A6240" w:rsidRDefault="006A6240">
            <w:pPr>
              <w:jc w:val="center"/>
            </w:pPr>
            <w:r>
              <w:t>47,8</w:t>
            </w:r>
          </w:p>
        </w:tc>
        <w:tc>
          <w:tcPr>
            <w:tcW w:w="1124" w:type="dxa"/>
            <w:vAlign w:val="center"/>
          </w:tcPr>
          <w:p w:rsidR="006A6240" w:rsidRDefault="006A6240">
            <w:pPr>
              <w:jc w:val="center"/>
            </w:pPr>
            <w:r>
              <w:rPr>
                <w:noProof w:val="0"/>
                <w:rtl/>
              </w:rPr>
              <w:t>48,2</w:t>
            </w:r>
          </w:p>
        </w:tc>
        <w:tc>
          <w:tcPr>
            <w:tcW w:w="1122" w:type="dxa"/>
            <w:vAlign w:val="center"/>
          </w:tcPr>
          <w:p w:rsidR="006A6240" w:rsidRDefault="006A6240">
            <w:pPr>
              <w:jc w:val="center"/>
            </w:pPr>
            <w:r>
              <w:rPr>
                <w:noProof w:val="0"/>
                <w:rtl/>
              </w:rPr>
              <w:t>49,4</w:t>
            </w:r>
          </w:p>
        </w:tc>
        <w:tc>
          <w:tcPr>
            <w:tcW w:w="1123" w:type="dxa"/>
            <w:vAlign w:val="center"/>
          </w:tcPr>
          <w:p w:rsidR="006A6240" w:rsidRDefault="006A6240">
            <w:pPr>
              <w:jc w:val="center"/>
            </w:pPr>
            <w:r>
              <w:rPr>
                <w:noProof w:val="0"/>
                <w:rtl/>
              </w:rPr>
              <w:t>48,5</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Population active occupée </w:t>
            </w:r>
          </w:p>
        </w:tc>
        <w:tc>
          <w:tcPr>
            <w:tcW w:w="849" w:type="dxa"/>
            <w:vAlign w:val="center"/>
          </w:tcPr>
          <w:p w:rsidR="006A6240" w:rsidRDefault="006A6240">
            <w:pPr>
              <w:jc w:val="center"/>
              <w:rPr>
                <w:b/>
                <w:bCs/>
              </w:rPr>
            </w:pPr>
            <w:r>
              <w:rPr>
                <w:b/>
                <w:bCs/>
              </w:rPr>
              <w:t>5 403</w:t>
            </w:r>
          </w:p>
        </w:tc>
        <w:tc>
          <w:tcPr>
            <w:tcW w:w="952" w:type="dxa"/>
            <w:vAlign w:val="center"/>
          </w:tcPr>
          <w:p w:rsidR="006A6240" w:rsidRDefault="006A6240">
            <w:pPr>
              <w:jc w:val="center"/>
              <w:rPr>
                <w:b/>
                <w:bCs/>
              </w:rPr>
            </w:pPr>
            <w:r>
              <w:rPr>
                <w:b/>
                <w:bCs/>
              </w:rPr>
              <w:t>5 304</w:t>
            </w:r>
          </w:p>
        </w:tc>
        <w:tc>
          <w:tcPr>
            <w:tcW w:w="1123" w:type="dxa"/>
            <w:vAlign w:val="center"/>
          </w:tcPr>
          <w:p w:rsidR="006A6240" w:rsidRDefault="006A6240">
            <w:pPr>
              <w:jc w:val="center"/>
              <w:rPr>
                <w:b/>
                <w:bCs/>
              </w:rPr>
            </w:pPr>
            <w:r>
              <w:rPr>
                <w:b/>
                <w:bCs/>
              </w:rPr>
              <w:t>10 707</w:t>
            </w:r>
          </w:p>
        </w:tc>
        <w:tc>
          <w:tcPr>
            <w:tcW w:w="1124" w:type="dxa"/>
            <w:vAlign w:val="center"/>
          </w:tcPr>
          <w:p w:rsidR="006A6240" w:rsidRDefault="006A6240">
            <w:pPr>
              <w:bidi w:val="0"/>
              <w:jc w:val="center"/>
              <w:rPr>
                <w:b/>
                <w:bCs/>
                <w:color w:val="000000"/>
              </w:rPr>
            </w:pPr>
            <w:r>
              <w:rPr>
                <w:b/>
                <w:bCs/>
                <w:color w:val="000000"/>
              </w:rPr>
              <w:t>5 466</w:t>
            </w:r>
          </w:p>
        </w:tc>
        <w:tc>
          <w:tcPr>
            <w:tcW w:w="1122" w:type="dxa"/>
            <w:vAlign w:val="center"/>
          </w:tcPr>
          <w:p w:rsidR="006A6240" w:rsidRDefault="006A6240">
            <w:pPr>
              <w:bidi w:val="0"/>
              <w:jc w:val="center"/>
              <w:rPr>
                <w:b/>
                <w:bCs/>
                <w:color w:val="000000"/>
              </w:rPr>
            </w:pPr>
            <w:r>
              <w:rPr>
                <w:b/>
                <w:bCs/>
                <w:color w:val="000000"/>
              </w:rPr>
              <w:t>5 385</w:t>
            </w:r>
          </w:p>
        </w:tc>
        <w:tc>
          <w:tcPr>
            <w:tcW w:w="1123" w:type="dxa"/>
            <w:vAlign w:val="center"/>
          </w:tcPr>
          <w:p w:rsidR="006A6240" w:rsidRDefault="006A6240">
            <w:pPr>
              <w:bidi w:val="0"/>
              <w:jc w:val="center"/>
              <w:rPr>
                <w:b/>
                <w:bCs/>
                <w:color w:val="000000"/>
              </w:rPr>
            </w:pPr>
            <w:r>
              <w:rPr>
                <w:b/>
                <w:bCs/>
                <w:color w:val="000000"/>
              </w:rPr>
              <w:t>10 851</w:t>
            </w:r>
          </w:p>
        </w:tc>
      </w:tr>
      <w:tr w:rsidR="006A6240">
        <w:trPr>
          <w:jc w:val="center"/>
        </w:trPr>
        <w:tc>
          <w:tcPr>
            <w:tcW w:w="3886" w:type="dxa"/>
            <w:tcBorders>
              <w:bottom w:val="single" w:sz="4" w:space="0" w:color="auto"/>
            </w:tcBorders>
          </w:tcPr>
          <w:p w:rsidR="006A6240" w:rsidRDefault="006A6240">
            <w:pPr>
              <w:tabs>
                <w:tab w:val="left" w:pos="-720"/>
              </w:tabs>
              <w:suppressAutoHyphens/>
              <w:spacing w:before="20" w:after="20"/>
              <w:jc w:val="right"/>
              <w:rPr>
                <w:b/>
                <w:spacing w:val="-2"/>
                <w:sz w:val="18"/>
              </w:rPr>
            </w:pPr>
            <w:r>
              <w:rPr>
                <w:b/>
                <w:spacing w:val="-2"/>
                <w:sz w:val="18"/>
              </w:rPr>
              <w:t>- Taux d’emploi</w:t>
            </w:r>
          </w:p>
        </w:tc>
        <w:tc>
          <w:tcPr>
            <w:tcW w:w="849" w:type="dxa"/>
            <w:tcBorders>
              <w:bottom w:val="single" w:sz="4" w:space="0" w:color="auto"/>
            </w:tcBorders>
            <w:vAlign w:val="center"/>
          </w:tcPr>
          <w:p w:rsidR="006A6240" w:rsidRDefault="006A6240">
            <w:pPr>
              <w:jc w:val="center"/>
            </w:pPr>
            <w:r>
              <w:t>37,7</w:t>
            </w:r>
          </w:p>
        </w:tc>
        <w:tc>
          <w:tcPr>
            <w:tcW w:w="952" w:type="dxa"/>
            <w:tcBorders>
              <w:bottom w:val="single" w:sz="4" w:space="0" w:color="auto"/>
            </w:tcBorders>
            <w:vAlign w:val="center"/>
          </w:tcPr>
          <w:p w:rsidR="006A6240" w:rsidRDefault="006A6240">
            <w:pPr>
              <w:jc w:val="center"/>
            </w:pPr>
            <w:r>
              <w:t>56,0</w:t>
            </w:r>
          </w:p>
        </w:tc>
        <w:tc>
          <w:tcPr>
            <w:tcW w:w="1123" w:type="dxa"/>
            <w:tcBorders>
              <w:bottom w:val="single" w:sz="4" w:space="0" w:color="auto"/>
            </w:tcBorders>
            <w:vAlign w:val="center"/>
          </w:tcPr>
          <w:p w:rsidR="006A6240" w:rsidRDefault="006A6240">
            <w:pPr>
              <w:jc w:val="center"/>
            </w:pPr>
            <w:r>
              <w:t>45,0</w:t>
            </w:r>
          </w:p>
        </w:tc>
        <w:tc>
          <w:tcPr>
            <w:tcW w:w="1124" w:type="dxa"/>
            <w:tcBorders>
              <w:bottom w:val="single" w:sz="4" w:space="0" w:color="auto"/>
            </w:tcBorders>
            <w:vAlign w:val="center"/>
          </w:tcPr>
          <w:p w:rsidR="006A6240" w:rsidRDefault="006A6240">
            <w:pPr>
              <w:jc w:val="center"/>
            </w:pPr>
            <w:r>
              <w:rPr>
                <w:noProof w:val="0"/>
                <w:rtl/>
              </w:rPr>
              <w:t>37,3</w:t>
            </w:r>
          </w:p>
        </w:tc>
        <w:tc>
          <w:tcPr>
            <w:tcW w:w="1122" w:type="dxa"/>
            <w:tcBorders>
              <w:bottom w:val="single" w:sz="4" w:space="0" w:color="auto"/>
            </w:tcBorders>
            <w:vAlign w:val="center"/>
          </w:tcPr>
          <w:p w:rsidR="006A6240" w:rsidRDefault="006A6240">
            <w:pPr>
              <w:jc w:val="center"/>
            </w:pPr>
            <w:r>
              <w:rPr>
                <w:noProof w:val="0"/>
                <w:rtl/>
              </w:rPr>
              <w:t>56,4</w:t>
            </w:r>
          </w:p>
        </w:tc>
        <w:tc>
          <w:tcPr>
            <w:tcW w:w="1123" w:type="dxa"/>
            <w:tcBorders>
              <w:bottom w:val="single" w:sz="4" w:space="0" w:color="auto"/>
            </w:tcBorders>
            <w:vAlign w:val="center"/>
          </w:tcPr>
          <w:p w:rsidR="006A6240" w:rsidRDefault="006A6240">
            <w:pPr>
              <w:jc w:val="center"/>
            </w:pPr>
            <w:r>
              <w:rPr>
                <w:noProof w:val="0"/>
                <w:rtl/>
              </w:rPr>
              <w:t>44,9</w:t>
            </w:r>
          </w:p>
        </w:tc>
      </w:tr>
      <w:tr w:rsidR="006A6240">
        <w:trPr>
          <w:trHeight w:val="309"/>
          <w:jc w:val="center"/>
        </w:trPr>
        <w:tc>
          <w:tcPr>
            <w:tcW w:w="3886" w:type="dxa"/>
            <w:tcBorders>
              <w:top w:val="single" w:sz="4" w:space="0" w:color="auto"/>
              <w:left w:val="single" w:sz="4" w:space="0" w:color="auto"/>
              <w:bottom w:val="single" w:sz="4" w:space="0" w:color="auto"/>
              <w:right w:val="single" w:sz="4" w:space="0" w:color="auto"/>
            </w:tcBorders>
          </w:tcPr>
          <w:p w:rsidR="006A6240" w:rsidRDefault="006A6240">
            <w:pPr>
              <w:tabs>
                <w:tab w:val="left" w:pos="-720"/>
              </w:tabs>
              <w:suppressAutoHyphens/>
              <w:jc w:val="right"/>
              <w:rPr>
                <w:b/>
                <w:spacing w:val="-2"/>
                <w:sz w:val="18"/>
              </w:rPr>
            </w:pPr>
            <w:r>
              <w:rPr>
                <w:b/>
                <w:spacing w:val="-2"/>
                <w:sz w:val="18"/>
              </w:rPr>
              <w:t>- Part de l’emploi  rémunéré dans l’emploi total. Dont : </w:t>
            </w:r>
          </w:p>
        </w:tc>
        <w:tc>
          <w:tcPr>
            <w:tcW w:w="849"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t>96,4</w:t>
            </w:r>
          </w:p>
        </w:tc>
        <w:tc>
          <w:tcPr>
            <w:tcW w:w="952"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t>57,3</w:t>
            </w:r>
          </w:p>
        </w:tc>
        <w:tc>
          <w:tcPr>
            <w:tcW w:w="1123"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t>77,1</w:t>
            </w:r>
          </w:p>
        </w:tc>
        <w:tc>
          <w:tcPr>
            <w:tcW w:w="1124"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rPr>
                <w:noProof w:val="0"/>
                <w:rtl/>
              </w:rPr>
              <w:t>96,2</w:t>
            </w:r>
          </w:p>
        </w:tc>
        <w:tc>
          <w:tcPr>
            <w:tcW w:w="1122"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rPr>
                <w:noProof w:val="0"/>
                <w:rtl/>
              </w:rPr>
              <w:t>58,6</w:t>
            </w:r>
          </w:p>
        </w:tc>
        <w:tc>
          <w:tcPr>
            <w:tcW w:w="1123" w:type="dxa"/>
            <w:tcBorders>
              <w:top w:val="single" w:sz="4" w:space="0" w:color="auto"/>
              <w:left w:val="single" w:sz="4" w:space="0" w:color="auto"/>
              <w:bottom w:val="single" w:sz="4" w:space="0" w:color="auto"/>
              <w:right w:val="single" w:sz="4" w:space="0" w:color="auto"/>
            </w:tcBorders>
            <w:vAlign w:val="center"/>
          </w:tcPr>
          <w:p w:rsidR="006A6240" w:rsidRDefault="006A6240">
            <w:pPr>
              <w:jc w:val="center"/>
            </w:pPr>
            <w:r>
              <w:rPr>
                <w:noProof w:val="0"/>
                <w:rtl/>
              </w:rPr>
              <w:t>77,5</w:t>
            </w:r>
          </w:p>
        </w:tc>
      </w:tr>
      <w:tr w:rsidR="006A6240">
        <w:trPr>
          <w:jc w:val="center"/>
        </w:trPr>
        <w:tc>
          <w:tcPr>
            <w:tcW w:w="3886" w:type="dxa"/>
            <w:tcBorders>
              <w:top w:val="single" w:sz="4" w:space="0" w:color="auto"/>
            </w:tcBorders>
          </w:tcPr>
          <w:p w:rsidR="006A6240" w:rsidRDefault="006A6240">
            <w:pPr>
              <w:tabs>
                <w:tab w:val="left" w:pos="-720"/>
              </w:tabs>
              <w:suppressAutoHyphens/>
              <w:spacing w:before="20" w:after="20"/>
              <w:jc w:val="right"/>
              <w:rPr>
                <w:b/>
                <w:spacing w:val="-2"/>
                <w:sz w:val="18"/>
              </w:rPr>
            </w:pPr>
            <w:r>
              <w:rPr>
                <w:b/>
                <w:spacing w:val="-2"/>
                <w:sz w:val="18"/>
              </w:rPr>
              <w:t xml:space="preserve">- Salariés   </w:t>
            </w:r>
          </w:p>
        </w:tc>
        <w:tc>
          <w:tcPr>
            <w:tcW w:w="849" w:type="dxa"/>
            <w:tcBorders>
              <w:top w:val="single" w:sz="4" w:space="0" w:color="auto"/>
            </w:tcBorders>
            <w:vAlign w:val="center"/>
          </w:tcPr>
          <w:p w:rsidR="006A6240" w:rsidRDefault="006A6240">
            <w:pPr>
              <w:jc w:val="center"/>
            </w:pPr>
            <w:r>
              <w:t>67,5</w:t>
            </w:r>
          </w:p>
        </w:tc>
        <w:tc>
          <w:tcPr>
            <w:tcW w:w="952" w:type="dxa"/>
            <w:tcBorders>
              <w:top w:val="single" w:sz="4" w:space="0" w:color="auto"/>
            </w:tcBorders>
            <w:vAlign w:val="center"/>
          </w:tcPr>
          <w:p w:rsidR="006A6240" w:rsidRDefault="006A6240">
            <w:pPr>
              <w:jc w:val="center"/>
            </w:pPr>
            <w:r>
              <w:t>39,3</w:t>
            </w:r>
          </w:p>
        </w:tc>
        <w:tc>
          <w:tcPr>
            <w:tcW w:w="1123" w:type="dxa"/>
            <w:tcBorders>
              <w:top w:val="single" w:sz="4" w:space="0" w:color="auto"/>
            </w:tcBorders>
            <w:vAlign w:val="center"/>
          </w:tcPr>
          <w:p w:rsidR="006A6240" w:rsidRDefault="006A6240">
            <w:pPr>
              <w:jc w:val="center"/>
            </w:pPr>
            <w:r>
              <w:t>57,1</w:t>
            </w:r>
          </w:p>
        </w:tc>
        <w:tc>
          <w:tcPr>
            <w:tcW w:w="1124" w:type="dxa"/>
            <w:tcBorders>
              <w:top w:val="single" w:sz="4" w:space="0" w:color="auto"/>
            </w:tcBorders>
            <w:vAlign w:val="center"/>
          </w:tcPr>
          <w:p w:rsidR="006A6240" w:rsidRDefault="006A6240">
            <w:pPr>
              <w:jc w:val="center"/>
            </w:pPr>
            <w:r>
              <w:rPr>
                <w:noProof w:val="0"/>
                <w:rtl/>
              </w:rPr>
              <w:t>67,3</w:t>
            </w:r>
          </w:p>
        </w:tc>
        <w:tc>
          <w:tcPr>
            <w:tcW w:w="1122" w:type="dxa"/>
            <w:tcBorders>
              <w:top w:val="single" w:sz="4" w:space="0" w:color="auto"/>
            </w:tcBorders>
            <w:vAlign w:val="center"/>
          </w:tcPr>
          <w:p w:rsidR="006A6240" w:rsidRDefault="006A6240">
            <w:pPr>
              <w:jc w:val="center"/>
            </w:pPr>
            <w:r>
              <w:rPr>
                <w:noProof w:val="0"/>
                <w:rtl/>
              </w:rPr>
              <w:t>40,5</w:t>
            </w:r>
          </w:p>
        </w:tc>
        <w:tc>
          <w:tcPr>
            <w:tcW w:w="1123" w:type="dxa"/>
            <w:tcBorders>
              <w:top w:val="single" w:sz="4" w:space="0" w:color="auto"/>
            </w:tcBorders>
            <w:vAlign w:val="center"/>
          </w:tcPr>
          <w:p w:rsidR="006A6240" w:rsidRDefault="006A6240">
            <w:pPr>
              <w:jc w:val="center"/>
            </w:pPr>
            <w:r>
              <w:rPr>
                <w:noProof w:val="0"/>
                <w:rtl/>
              </w:rPr>
              <w:t>57,3</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Auto-employés    </w:t>
            </w:r>
          </w:p>
        </w:tc>
        <w:tc>
          <w:tcPr>
            <w:tcW w:w="849" w:type="dxa"/>
            <w:vAlign w:val="center"/>
          </w:tcPr>
          <w:p w:rsidR="006A6240" w:rsidRDefault="006A6240">
            <w:pPr>
              <w:jc w:val="center"/>
            </w:pPr>
            <w:r>
              <w:t>32,5</w:t>
            </w:r>
          </w:p>
        </w:tc>
        <w:tc>
          <w:tcPr>
            <w:tcW w:w="952" w:type="dxa"/>
            <w:vAlign w:val="center"/>
          </w:tcPr>
          <w:p w:rsidR="006A6240" w:rsidRDefault="006A6240">
            <w:pPr>
              <w:jc w:val="center"/>
            </w:pPr>
            <w:r>
              <w:t>60,7</w:t>
            </w:r>
          </w:p>
        </w:tc>
        <w:tc>
          <w:tcPr>
            <w:tcW w:w="1123" w:type="dxa"/>
            <w:vAlign w:val="center"/>
          </w:tcPr>
          <w:p w:rsidR="006A6240" w:rsidRDefault="006A6240">
            <w:pPr>
              <w:jc w:val="center"/>
            </w:pPr>
            <w:r>
              <w:t>42,9</w:t>
            </w:r>
          </w:p>
        </w:tc>
        <w:tc>
          <w:tcPr>
            <w:tcW w:w="1124" w:type="dxa"/>
            <w:vAlign w:val="center"/>
          </w:tcPr>
          <w:p w:rsidR="006A6240" w:rsidRDefault="006A6240">
            <w:pPr>
              <w:jc w:val="center"/>
            </w:pPr>
            <w:r>
              <w:rPr>
                <w:noProof w:val="0"/>
                <w:rtl/>
              </w:rPr>
              <w:t>32,7</w:t>
            </w:r>
          </w:p>
        </w:tc>
        <w:tc>
          <w:tcPr>
            <w:tcW w:w="1122" w:type="dxa"/>
            <w:vAlign w:val="center"/>
          </w:tcPr>
          <w:p w:rsidR="006A6240" w:rsidRDefault="006A6240">
            <w:pPr>
              <w:jc w:val="center"/>
            </w:pPr>
            <w:r>
              <w:rPr>
                <w:noProof w:val="0"/>
                <w:rtl/>
              </w:rPr>
              <w:t>59,5</w:t>
            </w:r>
          </w:p>
        </w:tc>
        <w:tc>
          <w:tcPr>
            <w:tcW w:w="1123" w:type="dxa"/>
            <w:vAlign w:val="center"/>
          </w:tcPr>
          <w:p w:rsidR="006A6240" w:rsidRDefault="006A6240">
            <w:pPr>
              <w:jc w:val="center"/>
            </w:pPr>
            <w:r>
              <w:rPr>
                <w:noProof w:val="0"/>
                <w:rtl/>
              </w:rPr>
              <w:t>42,7</w:t>
            </w:r>
          </w:p>
        </w:tc>
      </w:tr>
      <w:tr w:rsidR="006A6240">
        <w:trPr>
          <w:jc w:val="center"/>
        </w:trPr>
        <w:tc>
          <w:tcPr>
            <w:tcW w:w="3886" w:type="dxa"/>
          </w:tcPr>
          <w:p w:rsidR="006A6240" w:rsidRDefault="006A6240">
            <w:pPr>
              <w:pStyle w:val="Paragraphedeliste"/>
              <w:numPr>
                <w:ilvl w:val="0"/>
                <w:numId w:val="1"/>
              </w:numPr>
              <w:tabs>
                <w:tab w:val="left" w:pos="-720"/>
              </w:tabs>
              <w:suppressAutoHyphens/>
              <w:spacing w:before="20" w:after="20"/>
              <w:ind w:left="0"/>
              <w:rPr>
                <w:b/>
                <w:spacing w:val="-2"/>
                <w:sz w:val="18"/>
              </w:rPr>
            </w:pPr>
            <w:r>
              <w:rPr>
                <w:b/>
                <w:spacing w:val="-2"/>
                <w:sz w:val="18"/>
              </w:rPr>
              <w:t>Population active occupée sous employée</w:t>
            </w:r>
          </w:p>
        </w:tc>
        <w:tc>
          <w:tcPr>
            <w:tcW w:w="849" w:type="dxa"/>
            <w:vAlign w:val="center"/>
          </w:tcPr>
          <w:p w:rsidR="006A6240" w:rsidRDefault="006A6240">
            <w:pPr>
              <w:jc w:val="center"/>
              <w:rPr>
                <w:b/>
                <w:bCs/>
              </w:rPr>
            </w:pPr>
            <w:r>
              <w:rPr>
                <w:b/>
                <w:bCs/>
              </w:rPr>
              <w:t>475</w:t>
            </w:r>
          </w:p>
        </w:tc>
        <w:tc>
          <w:tcPr>
            <w:tcW w:w="952" w:type="dxa"/>
            <w:vAlign w:val="center"/>
          </w:tcPr>
          <w:p w:rsidR="006A6240" w:rsidRDefault="006A6240">
            <w:pPr>
              <w:jc w:val="center"/>
              <w:rPr>
                <w:b/>
                <w:bCs/>
              </w:rPr>
            </w:pPr>
            <w:r>
              <w:rPr>
                <w:b/>
                <w:bCs/>
              </w:rPr>
              <w:t>552</w:t>
            </w:r>
          </w:p>
        </w:tc>
        <w:tc>
          <w:tcPr>
            <w:tcW w:w="1123" w:type="dxa"/>
            <w:vAlign w:val="center"/>
          </w:tcPr>
          <w:p w:rsidR="006A6240" w:rsidRDefault="006A6240">
            <w:pPr>
              <w:jc w:val="center"/>
              <w:rPr>
                <w:b/>
                <w:bCs/>
              </w:rPr>
            </w:pPr>
            <w:r>
              <w:rPr>
                <w:b/>
                <w:bCs/>
              </w:rPr>
              <w:t>1 027</w:t>
            </w:r>
          </w:p>
        </w:tc>
        <w:tc>
          <w:tcPr>
            <w:tcW w:w="1124" w:type="dxa"/>
            <w:vAlign w:val="center"/>
          </w:tcPr>
          <w:p w:rsidR="006A6240" w:rsidRDefault="006A6240">
            <w:pPr>
              <w:bidi w:val="0"/>
              <w:jc w:val="center"/>
              <w:rPr>
                <w:b/>
                <w:bCs/>
                <w:color w:val="000000"/>
              </w:rPr>
            </w:pPr>
            <w:r>
              <w:rPr>
                <w:b/>
                <w:bCs/>
                <w:color w:val="000000"/>
              </w:rPr>
              <w:t>431</w:t>
            </w:r>
          </w:p>
        </w:tc>
        <w:tc>
          <w:tcPr>
            <w:tcW w:w="1122" w:type="dxa"/>
            <w:vAlign w:val="center"/>
          </w:tcPr>
          <w:p w:rsidR="006A6240" w:rsidRDefault="006A6240">
            <w:pPr>
              <w:bidi w:val="0"/>
              <w:jc w:val="center"/>
              <w:rPr>
                <w:b/>
                <w:bCs/>
                <w:color w:val="000000"/>
              </w:rPr>
            </w:pPr>
            <w:r>
              <w:rPr>
                <w:b/>
                <w:bCs/>
                <w:color w:val="000000"/>
              </w:rPr>
              <w:t>534</w:t>
            </w:r>
          </w:p>
        </w:tc>
        <w:tc>
          <w:tcPr>
            <w:tcW w:w="1123" w:type="dxa"/>
            <w:vAlign w:val="center"/>
          </w:tcPr>
          <w:p w:rsidR="006A6240" w:rsidRDefault="006A6240">
            <w:pPr>
              <w:bidi w:val="0"/>
              <w:jc w:val="center"/>
              <w:rPr>
                <w:b/>
                <w:bCs/>
                <w:color w:val="000000"/>
              </w:rPr>
            </w:pPr>
            <w:r>
              <w:rPr>
                <w:b/>
                <w:bCs/>
                <w:color w:val="000000"/>
              </w:rPr>
              <w:t>965</w:t>
            </w:r>
          </w:p>
        </w:tc>
      </w:tr>
      <w:tr w:rsidR="006A6240">
        <w:trPr>
          <w:jc w:val="center"/>
        </w:trPr>
        <w:tc>
          <w:tcPr>
            <w:tcW w:w="3886" w:type="dxa"/>
          </w:tcPr>
          <w:p w:rsidR="006A6240" w:rsidRDefault="006A6240">
            <w:pPr>
              <w:tabs>
                <w:tab w:val="left" w:pos="-720"/>
              </w:tabs>
              <w:suppressAutoHyphens/>
              <w:spacing w:before="20" w:after="20"/>
              <w:ind w:left="360"/>
              <w:jc w:val="right"/>
              <w:rPr>
                <w:b/>
                <w:spacing w:val="-2"/>
                <w:sz w:val="18"/>
              </w:rPr>
            </w:pPr>
            <w:r>
              <w:rPr>
                <w:b/>
                <w:spacing w:val="-2"/>
                <w:sz w:val="18"/>
              </w:rPr>
              <w:t>- Taux de sous emploi</w:t>
            </w:r>
          </w:p>
        </w:tc>
        <w:tc>
          <w:tcPr>
            <w:tcW w:w="849" w:type="dxa"/>
            <w:vAlign w:val="center"/>
          </w:tcPr>
          <w:p w:rsidR="006A6240" w:rsidRDefault="006A6240">
            <w:pPr>
              <w:jc w:val="center"/>
            </w:pPr>
            <w:r>
              <w:t>8,8</w:t>
            </w:r>
          </w:p>
        </w:tc>
        <w:tc>
          <w:tcPr>
            <w:tcW w:w="952" w:type="dxa"/>
            <w:vAlign w:val="center"/>
          </w:tcPr>
          <w:p w:rsidR="006A6240" w:rsidRDefault="006A6240">
            <w:pPr>
              <w:jc w:val="center"/>
            </w:pPr>
            <w:r>
              <w:t>10,4</w:t>
            </w:r>
          </w:p>
        </w:tc>
        <w:tc>
          <w:tcPr>
            <w:tcW w:w="1123" w:type="dxa"/>
            <w:vAlign w:val="center"/>
          </w:tcPr>
          <w:p w:rsidR="006A6240" w:rsidRDefault="006A6240">
            <w:pPr>
              <w:jc w:val="center"/>
            </w:pPr>
            <w:r>
              <w:t>9,6</w:t>
            </w:r>
          </w:p>
        </w:tc>
        <w:tc>
          <w:tcPr>
            <w:tcW w:w="1124" w:type="dxa"/>
            <w:vAlign w:val="center"/>
          </w:tcPr>
          <w:p w:rsidR="006A6240" w:rsidRDefault="006A6240">
            <w:pPr>
              <w:jc w:val="center"/>
            </w:pPr>
            <w:r>
              <w:rPr>
                <w:noProof w:val="0"/>
                <w:rtl/>
              </w:rPr>
              <w:t>7,9</w:t>
            </w:r>
          </w:p>
        </w:tc>
        <w:tc>
          <w:tcPr>
            <w:tcW w:w="1122" w:type="dxa"/>
            <w:vAlign w:val="center"/>
          </w:tcPr>
          <w:p w:rsidR="006A6240" w:rsidRDefault="006A6240">
            <w:pPr>
              <w:jc w:val="center"/>
            </w:pPr>
            <w:r>
              <w:rPr>
                <w:noProof w:val="0"/>
                <w:rtl/>
              </w:rPr>
              <w:t>9,9</w:t>
            </w:r>
          </w:p>
        </w:tc>
        <w:tc>
          <w:tcPr>
            <w:tcW w:w="1123" w:type="dxa"/>
            <w:vAlign w:val="center"/>
          </w:tcPr>
          <w:p w:rsidR="006A6240" w:rsidRDefault="006A6240">
            <w:pPr>
              <w:jc w:val="center"/>
            </w:pPr>
            <w:r>
              <w:rPr>
                <w:noProof w:val="0"/>
                <w:rtl/>
              </w:rPr>
              <w:t>8,9</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i/>
                <w:spacing w:val="-2"/>
                <w:sz w:val="18"/>
              </w:rPr>
              <w:t xml:space="preserve">  Chômage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bidi w:val="0"/>
              <w:jc w:val="center"/>
              <w:rPr>
                <w:color w:val="000000"/>
              </w:rPr>
            </w:pPr>
          </w:p>
        </w:tc>
        <w:tc>
          <w:tcPr>
            <w:tcW w:w="1122" w:type="dxa"/>
            <w:vAlign w:val="center"/>
          </w:tcPr>
          <w:p w:rsidR="006A6240" w:rsidRDefault="006A6240">
            <w:pPr>
              <w:bidi w:val="0"/>
              <w:jc w:val="center"/>
              <w:rPr>
                <w:color w:val="000000"/>
              </w:rPr>
            </w:pPr>
          </w:p>
        </w:tc>
        <w:tc>
          <w:tcPr>
            <w:tcW w:w="1123" w:type="dxa"/>
            <w:vAlign w:val="center"/>
          </w:tcPr>
          <w:p w:rsidR="006A6240" w:rsidRDefault="006A6240">
            <w:pPr>
              <w:bidi w:val="0"/>
              <w:jc w:val="center"/>
              <w:rPr>
                <w:color w:val="000000"/>
              </w:rP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Population active en chômage   </w:t>
            </w:r>
          </w:p>
        </w:tc>
        <w:tc>
          <w:tcPr>
            <w:tcW w:w="849" w:type="dxa"/>
            <w:vAlign w:val="center"/>
          </w:tcPr>
          <w:p w:rsidR="006A6240" w:rsidRDefault="006A6240">
            <w:pPr>
              <w:jc w:val="center"/>
              <w:rPr>
                <w:b/>
                <w:bCs/>
              </w:rPr>
            </w:pPr>
            <w:r>
              <w:rPr>
                <w:b/>
                <w:bCs/>
              </w:rPr>
              <w:t>759</w:t>
            </w:r>
          </w:p>
        </w:tc>
        <w:tc>
          <w:tcPr>
            <w:tcW w:w="952" w:type="dxa"/>
            <w:vAlign w:val="center"/>
          </w:tcPr>
          <w:p w:rsidR="006A6240" w:rsidRDefault="006A6240">
            <w:pPr>
              <w:jc w:val="center"/>
              <w:rPr>
                <w:b/>
                <w:bCs/>
              </w:rPr>
            </w:pPr>
            <w:r>
              <w:rPr>
                <w:b/>
                <w:bCs/>
              </w:rPr>
              <w:t>190</w:t>
            </w:r>
          </w:p>
        </w:tc>
        <w:tc>
          <w:tcPr>
            <w:tcW w:w="1123" w:type="dxa"/>
            <w:vAlign w:val="center"/>
          </w:tcPr>
          <w:p w:rsidR="006A6240" w:rsidRDefault="006A6240">
            <w:pPr>
              <w:jc w:val="center"/>
              <w:rPr>
                <w:b/>
                <w:bCs/>
              </w:rPr>
            </w:pPr>
            <w:r>
              <w:rPr>
                <w:b/>
                <w:bCs/>
              </w:rPr>
              <w:t>949</w:t>
            </w:r>
          </w:p>
        </w:tc>
        <w:tc>
          <w:tcPr>
            <w:tcW w:w="1124" w:type="dxa"/>
            <w:vAlign w:val="center"/>
          </w:tcPr>
          <w:p w:rsidR="006A6240" w:rsidRDefault="006A6240">
            <w:pPr>
              <w:bidi w:val="0"/>
              <w:jc w:val="center"/>
              <w:rPr>
                <w:b/>
                <w:bCs/>
                <w:color w:val="000000"/>
              </w:rPr>
            </w:pPr>
            <w:r>
              <w:rPr>
                <w:b/>
                <w:bCs/>
                <w:color w:val="000000"/>
              </w:rPr>
              <w:t>873</w:t>
            </w:r>
          </w:p>
        </w:tc>
        <w:tc>
          <w:tcPr>
            <w:tcW w:w="1122" w:type="dxa"/>
            <w:vAlign w:val="center"/>
          </w:tcPr>
          <w:p w:rsidR="006A6240" w:rsidRDefault="006A6240">
            <w:pPr>
              <w:bidi w:val="0"/>
              <w:jc w:val="center"/>
              <w:rPr>
                <w:b/>
                <w:bCs/>
                <w:color w:val="000000"/>
              </w:rPr>
            </w:pPr>
            <w:r>
              <w:rPr>
                <w:b/>
                <w:bCs/>
                <w:color w:val="000000"/>
              </w:rPr>
              <w:t>176</w:t>
            </w:r>
          </w:p>
        </w:tc>
        <w:tc>
          <w:tcPr>
            <w:tcW w:w="1123" w:type="dxa"/>
            <w:vAlign w:val="center"/>
          </w:tcPr>
          <w:p w:rsidR="006A6240" w:rsidRDefault="006A6240">
            <w:pPr>
              <w:bidi w:val="0"/>
              <w:jc w:val="center"/>
              <w:rPr>
                <w:b/>
                <w:bCs/>
                <w:color w:val="000000"/>
              </w:rPr>
            </w:pPr>
            <w:r>
              <w:rPr>
                <w:b/>
                <w:bCs/>
                <w:color w:val="000000"/>
              </w:rPr>
              <w:t>1 049</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Taux de féminisation de la population </w:t>
            </w:r>
          </w:p>
          <w:p w:rsidR="006A6240" w:rsidRDefault="006A6240">
            <w:pPr>
              <w:tabs>
                <w:tab w:val="left" w:pos="-720"/>
              </w:tabs>
              <w:suppressAutoHyphens/>
              <w:spacing w:before="20" w:after="20"/>
              <w:jc w:val="right"/>
              <w:rPr>
                <w:b/>
                <w:spacing w:val="-2"/>
                <w:sz w:val="18"/>
              </w:rPr>
            </w:pPr>
            <w:r>
              <w:rPr>
                <w:b/>
                <w:spacing w:val="-2"/>
                <w:sz w:val="18"/>
              </w:rPr>
              <w:t xml:space="preserve">   active en chômage</w:t>
            </w:r>
          </w:p>
        </w:tc>
        <w:tc>
          <w:tcPr>
            <w:tcW w:w="849" w:type="dxa"/>
            <w:vAlign w:val="center"/>
          </w:tcPr>
          <w:p w:rsidR="006A6240" w:rsidRDefault="006A6240">
            <w:pPr>
              <w:jc w:val="center"/>
            </w:pPr>
            <w:r>
              <w:t>33,1</w:t>
            </w:r>
          </w:p>
        </w:tc>
        <w:tc>
          <w:tcPr>
            <w:tcW w:w="952" w:type="dxa"/>
            <w:vAlign w:val="center"/>
          </w:tcPr>
          <w:p w:rsidR="006A6240" w:rsidRDefault="006A6240">
            <w:pPr>
              <w:jc w:val="center"/>
            </w:pPr>
            <w:r>
              <w:t>16,6</w:t>
            </w:r>
          </w:p>
        </w:tc>
        <w:tc>
          <w:tcPr>
            <w:tcW w:w="1123" w:type="dxa"/>
            <w:vAlign w:val="center"/>
          </w:tcPr>
          <w:p w:rsidR="006A6240" w:rsidRDefault="006A6240">
            <w:pPr>
              <w:jc w:val="center"/>
            </w:pPr>
            <w:r>
              <w:t>29,8</w:t>
            </w:r>
          </w:p>
        </w:tc>
        <w:tc>
          <w:tcPr>
            <w:tcW w:w="1124" w:type="dxa"/>
            <w:vAlign w:val="center"/>
          </w:tcPr>
          <w:p w:rsidR="006A6240" w:rsidRDefault="006A6240">
            <w:pPr>
              <w:jc w:val="center"/>
            </w:pPr>
            <w:r>
              <w:rPr>
                <w:noProof w:val="0"/>
                <w:rtl/>
              </w:rPr>
              <w:t>28,0</w:t>
            </w:r>
          </w:p>
        </w:tc>
        <w:tc>
          <w:tcPr>
            <w:tcW w:w="1122" w:type="dxa"/>
            <w:vAlign w:val="center"/>
          </w:tcPr>
          <w:p w:rsidR="006A6240" w:rsidRDefault="006A6240">
            <w:pPr>
              <w:jc w:val="center"/>
            </w:pPr>
            <w:r>
              <w:rPr>
                <w:noProof w:val="0"/>
                <w:rtl/>
              </w:rPr>
              <w:t>10,6</w:t>
            </w:r>
          </w:p>
        </w:tc>
        <w:tc>
          <w:tcPr>
            <w:tcW w:w="1123" w:type="dxa"/>
            <w:vAlign w:val="center"/>
          </w:tcPr>
          <w:p w:rsidR="006A6240" w:rsidRDefault="006A6240">
            <w:pPr>
              <w:jc w:val="center"/>
            </w:pPr>
            <w:r>
              <w:rPr>
                <w:noProof w:val="0"/>
                <w:rtl/>
              </w:rPr>
              <w:t>25,1</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Taux de chômage</w:t>
            </w:r>
          </w:p>
        </w:tc>
        <w:tc>
          <w:tcPr>
            <w:tcW w:w="849" w:type="dxa"/>
            <w:vAlign w:val="center"/>
          </w:tcPr>
          <w:p w:rsidR="006A6240" w:rsidRDefault="006A6240">
            <w:pPr>
              <w:jc w:val="center"/>
            </w:pPr>
            <w:r>
              <w:t>12,3</w:t>
            </w:r>
          </w:p>
        </w:tc>
        <w:tc>
          <w:tcPr>
            <w:tcW w:w="952" w:type="dxa"/>
            <w:vAlign w:val="center"/>
          </w:tcPr>
          <w:p w:rsidR="006A6240" w:rsidRDefault="006A6240">
            <w:pPr>
              <w:jc w:val="center"/>
            </w:pPr>
            <w:r>
              <w:t>3,5</w:t>
            </w:r>
          </w:p>
        </w:tc>
        <w:tc>
          <w:tcPr>
            <w:tcW w:w="1123" w:type="dxa"/>
            <w:vAlign w:val="center"/>
          </w:tcPr>
          <w:p w:rsidR="006A6240" w:rsidRDefault="006A6240">
            <w:pPr>
              <w:jc w:val="center"/>
            </w:pPr>
            <w:r>
              <w:t>8,1</w:t>
            </w:r>
          </w:p>
        </w:tc>
        <w:tc>
          <w:tcPr>
            <w:tcW w:w="1124" w:type="dxa"/>
            <w:vAlign w:val="center"/>
          </w:tcPr>
          <w:p w:rsidR="006A6240" w:rsidRDefault="006A6240">
            <w:pPr>
              <w:jc w:val="center"/>
            </w:pPr>
            <w:r>
              <w:rPr>
                <w:noProof w:val="0"/>
                <w:rtl/>
              </w:rPr>
              <w:t>13,8</w:t>
            </w:r>
          </w:p>
        </w:tc>
        <w:tc>
          <w:tcPr>
            <w:tcW w:w="1122" w:type="dxa"/>
            <w:vAlign w:val="center"/>
          </w:tcPr>
          <w:p w:rsidR="006A6240" w:rsidRDefault="006A6240">
            <w:pPr>
              <w:jc w:val="center"/>
            </w:pPr>
            <w:r>
              <w:rPr>
                <w:noProof w:val="0"/>
                <w:rtl/>
              </w:rPr>
              <w:t>3,2</w:t>
            </w:r>
          </w:p>
        </w:tc>
        <w:tc>
          <w:tcPr>
            <w:tcW w:w="1123" w:type="dxa"/>
            <w:vAlign w:val="center"/>
          </w:tcPr>
          <w:p w:rsidR="006A6240" w:rsidRDefault="006A6240">
            <w:pPr>
              <w:jc w:val="center"/>
            </w:pPr>
            <w:r>
              <w:rPr>
                <w:noProof w:val="0"/>
                <w:rtl/>
              </w:rPr>
              <w:t>8,8</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le sexe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bidi w:val="0"/>
              <w:jc w:val="center"/>
              <w:rPr>
                <w:color w:val="000000"/>
              </w:rPr>
            </w:pPr>
          </w:p>
        </w:tc>
        <w:tc>
          <w:tcPr>
            <w:tcW w:w="1122" w:type="dxa"/>
            <w:vAlign w:val="center"/>
          </w:tcPr>
          <w:p w:rsidR="006A6240" w:rsidRDefault="006A6240">
            <w:pPr>
              <w:bidi w:val="0"/>
              <w:jc w:val="center"/>
              <w:rPr>
                <w:color w:val="000000"/>
              </w:rPr>
            </w:pPr>
          </w:p>
        </w:tc>
        <w:tc>
          <w:tcPr>
            <w:tcW w:w="1123" w:type="dxa"/>
            <w:vAlign w:val="center"/>
          </w:tcPr>
          <w:p w:rsidR="006A6240" w:rsidRDefault="006A6240">
            <w:pPr>
              <w:bidi w:val="0"/>
              <w:jc w:val="center"/>
              <w:rPr>
                <w:color w:val="000000"/>
              </w:rP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Hommes</w:t>
            </w:r>
          </w:p>
        </w:tc>
        <w:tc>
          <w:tcPr>
            <w:tcW w:w="849" w:type="dxa"/>
            <w:vAlign w:val="center"/>
          </w:tcPr>
          <w:p w:rsidR="006A6240" w:rsidRDefault="006A6240">
            <w:pPr>
              <w:jc w:val="center"/>
            </w:pPr>
            <w:r>
              <w:t>10,5</w:t>
            </w:r>
          </w:p>
        </w:tc>
        <w:tc>
          <w:tcPr>
            <w:tcW w:w="952" w:type="dxa"/>
            <w:vAlign w:val="center"/>
          </w:tcPr>
          <w:p w:rsidR="006A6240" w:rsidRDefault="006A6240">
            <w:pPr>
              <w:jc w:val="center"/>
            </w:pPr>
            <w:r>
              <w:t>4,3</w:t>
            </w:r>
          </w:p>
        </w:tc>
        <w:tc>
          <w:tcPr>
            <w:tcW w:w="1123" w:type="dxa"/>
            <w:vAlign w:val="center"/>
          </w:tcPr>
          <w:p w:rsidR="006A6240" w:rsidRDefault="006A6240">
            <w:pPr>
              <w:jc w:val="center"/>
            </w:pPr>
            <w:r>
              <w:t>7,8</w:t>
            </w:r>
          </w:p>
        </w:tc>
        <w:tc>
          <w:tcPr>
            <w:tcW w:w="1124" w:type="dxa"/>
            <w:vAlign w:val="center"/>
          </w:tcPr>
          <w:p w:rsidR="006A6240" w:rsidRDefault="006A6240">
            <w:pPr>
              <w:jc w:val="center"/>
            </w:pPr>
            <w:r>
              <w:rPr>
                <w:noProof w:val="0"/>
                <w:rtl/>
              </w:rPr>
              <w:t>12,4</w:t>
            </w:r>
          </w:p>
        </w:tc>
        <w:tc>
          <w:tcPr>
            <w:tcW w:w="1122" w:type="dxa"/>
            <w:vAlign w:val="center"/>
          </w:tcPr>
          <w:p w:rsidR="006A6240" w:rsidRDefault="006A6240">
            <w:pPr>
              <w:jc w:val="center"/>
            </w:pPr>
            <w:r>
              <w:rPr>
                <w:noProof w:val="0"/>
                <w:rtl/>
              </w:rPr>
              <w:t>4,3</w:t>
            </w:r>
          </w:p>
        </w:tc>
        <w:tc>
          <w:tcPr>
            <w:tcW w:w="1123" w:type="dxa"/>
            <w:vAlign w:val="center"/>
          </w:tcPr>
          <w:p w:rsidR="006A6240" w:rsidRDefault="006A6240">
            <w:pPr>
              <w:jc w:val="center"/>
            </w:pPr>
            <w:r>
              <w:rPr>
                <w:noProof w:val="0"/>
                <w:rtl/>
              </w:rPr>
              <w:t>9,0</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Femmes</w:t>
            </w:r>
          </w:p>
        </w:tc>
        <w:tc>
          <w:tcPr>
            <w:tcW w:w="849" w:type="dxa"/>
            <w:vAlign w:val="center"/>
          </w:tcPr>
          <w:p w:rsidR="006A6240" w:rsidRDefault="006A6240">
            <w:pPr>
              <w:jc w:val="center"/>
            </w:pPr>
            <w:r>
              <w:t>19,2</w:t>
            </w:r>
          </w:p>
        </w:tc>
        <w:tc>
          <w:tcPr>
            <w:tcW w:w="952" w:type="dxa"/>
            <w:vAlign w:val="center"/>
          </w:tcPr>
          <w:p w:rsidR="006A6240" w:rsidRDefault="006A6240">
            <w:pPr>
              <w:jc w:val="center"/>
            </w:pPr>
            <w:r>
              <w:t>1,7</w:t>
            </w:r>
          </w:p>
        </w:tc>
        <w:tc>
          <w:tcPr>
            <w:tcW w:w="1123" w:type="dxa"/>
            <w:vAlign w:val="center"/>
          </w:tcPr>
          <w:p w:rsidR="006A6240" w:rsidRDefault="006A6240">
            <w:pPr>
              <w:jc w:val="center"/>
            </w:pPr>
            <w:r>
              <w:t>9,0</w:t>
            </w:r>
          </w:p>
        </w:tc>
        <w:tc>
          <w:tcPr>
            <w:tcW w:w="1124" w:type="dxa"/>
            <w:vAlign w:val="center"/>
          </w:tcPr>
          <w:p w:rsidR="006A6240" w:rsidRDefault="006A6240">
            <w:pPr>
              <w:jc w:val="center"/>
            </w:pPr>
            <w:r>
              <w:rPr>
                <w:noProof w:val="0"/>
                <w:rtl/>
              </w:rPr>
              <w:t>18,9</w:t>
            </w:r>
          </w:p>
        </w:tc>
        <w:tc>
          <w:tcPr>
            <w:tcW w:w="1122" w:type="dxa"/>
            <w:vAlign w:val="center"/>
          </w:tcPr>
          <w:p w:rsidR="006A6240" w:rsidRDefault="006A6240">
            <w:pPr>
              <w:jc w:val="center"/>
            </w:pPr>
            <w:r>
              <w:rPr>
                <w:noProof w:val="0"/>
                <w:rtl/>
              </w:rPr>
              <w:t>1,0</w:t>
            </w:r>
          </w:p>
        </w:tc>
        <w:tc>
          <w:tcPr>
            <w:tcW w:w="1123" w:type="dxa"/>
            <w:vAlign w:val="center"/>
          </w:tcPr>
          <w:p w:rsidR="006A6240" w:rsidRDefault="006A6240">
            <w:pPr>
              <w:jc w:val="center"/>
            </w:pPr>
            <w:r>
              <w:rPr>
                <w:noProof w:val="0"/>
                <w:rtl/>
              </w:rPr>
              <w:t>8,2</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l'âge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jc w:val="center"/>
            </w:pPr>
          </w:p>
        </w:tc>
        <w:tc>
          <w:tcPr>
            <w:tcW w:w="1122" w:type="dxa"/>
            <w:vAlign w:val="center"/>
          </w:tcPr>
          <w:p w:rsidR="006A6240" w:rsidRDefault="006A6240">
            <w:pPr>
              <w:jc w:val="center"/>
            </w:pPr>
          </w:p>
        </w:tc>
        <w:tc>
          <w:tcPr>
            <w:tcW w:w="1123" w:type="dxa"/>
            <w:vAlign w:val="center"/>
          </w:tcPr>
          <w:p w:rsidR="006A6240" w:rsidRDefault="006A6240">
            <w:pPr>
              <w:jc w:val="cente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15-24 ans </w:t>
            </w:r>
          </w:p>
        </w:tc>
        <w:tc>
          <w:tcPr>
            <w:tcW w:w="849" w:type="dxa"/>
            <w:vAlign w:val="center"/>
          </w:tcPr>
          <w:p w:rsidR="006A6240" w:rsidRDefault="006A6240">
            <w:pPr>
              <w:jc w:val="center"/>
            </w:pPr>
            <w:r>
              <w:t>32,8</w:t>
            </w:r>
          </w:p>
        </w:tc>
        <w:tc>
          <w:tcPr>
            <w:tcW w:w="952" w:type="dxa"/>
            <w:vAlign w:val="center"/>
          </w:tcPr>
          <w:p w:rsidR="006A6240" w:rsidRDefault="006A6240">
            <w:pPr>
              <w:jc w:val="center"/>
            </w:pPr>
            <w:r>
              <w:t>7,5</w:t>
            </w:r>
          </w:p>
        </w:tc>
        <w:tc>
          <w:tcPr>
            <w:tcW w:w="1123" w:type="dxa"/>
            <w:vAlign w:val="center"/>
          </w:tcPr>
          <w:p w:rsidR="006A6240" w:rsidRDefault="006A6240">
            <w:pPr>
              <w:jc w:val="center"/>
            </w:pPr>
            <w:r>
              <w:t>17,1</w:t>
            </w:r>
          </w:p>
        </w:tc>
        <w:tc>
          <w:tcPr>
            <w:tcW w:w="1124" w:type="dxa"/>
            <w:vAlign w:val="bottom"/>
          </w:tcPr>
          <w:p w:rsidR="006A6240" w:rsidRDefault="006A6240">
            <w:pPr>
              <w:jc w:val="center"/>
            </w:pPr>
            <w:r>
              <w:rPr>
                <w:noProof w:val="0"/>
                <w:rtl/>
              </w:rPr>
              <w:t>35,2</w:t>
            </w:r>
          </w:p>
        </w:tc>
        <w:tc>
          <w:tcPr>
            <w:tcW w:w="1122" w:type="dxa"/>
            <w:vAlign w:val="bottom"/>
          </w:tcPr>
          <w:p w:rsidR="006A6240" w:rsidRDefault="006A6240">
            <w:pPr>
              <w:jc w:val="center"/>
            </w:pPr>
            <w:r>
              <w:rPr>
                <w:noProof w:val="0"/>
                <w:rtl/>
              </w:rPr>
              <w:t>7,4</w:t>
            </w:r>
          </w:p>
        </w:tc>
        <w:tc>
          <w:tcPr>
            <w:tcW w:w="1123" w:type="dxa"/>
            <w:vAlign w:val="bottom"/>
          </w:tcPr>
          <w:p w:rsidR="006A6240" w:rsidRDefault="006A6240">
            <w:pPr>
              <w:jc w:val="center"/>
            </w:pPr>
            <w:r>
              <w:rPr>
                <w:noProof w:val="0"/>
                <w:rtl/>
              </w:rPr>
              <w:t>18,4</w:t>
            </w:r>
          </w:p>
        </w:tc>
      </w:tr>
      <w:tr w:rsidR="006A6240">
        <w:trPr>
          <w:trHeight w:val="91"/>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25-34 ans </w:t>
            </w:r>
          </w:p>
        </w:tc>
        <w:tc>
          <w:tcPr>
            <w:tcW w:w="849" w:type="dxa"/>
            <w:vAlign w:val="center"/>
          </w:tcPr>
          <w:p w:rsidR="006A6240" w:rsidRDefault="006A6240">
            <w:pPr>
              <w:jc w:val="center"/>
            </w:pPr>
            <w:r>
              <w:t>18,4</w:t>
            </w:r>
          </w:p>
        </w:tc>
        <w:tc>
          <w:tcPr>
            <w:tcW w:w="952" w:type="dxa"/>
            <w:vAlign w:val="center"/>
          </w:tcPr>
          <w:p w:rsidR="006A6240" w:rsidRDefault="006A6240">
            <w:pPr>
              <w:jc w:val="center"/>
            </w:pPr>
            <w:r>
              <w:t>4,1</w:t>
            </w:r>
          </w:p>
        </w:tc>
        <w:tc>
          <w:tcPr>
            <w:tcW w:w="1123" w:type="dxa"/>
            <w:vAlign w:val="center"/>
          </w:tcPr>
          <w:p w:rsidR="006A6240" w:rsidRDefault="006A6240">
            <w:pPr>
              <w:jc w:val="center"/>
            </w:pPr>
            <w:r>
              <w:t>12,3</w:t>
            </w:r>
          </w:p>
        </w:tc>
        <w:tc>
          <w:tcPr>
            <w:tcW w:w="1124" w:type="dxa"/>
            <w:vAlign w:val="bottom"/>
          </w:tcPr>
          <w:p w:rsidR="006A6240" w:rsidRDefault="006A6240">
            <w:pPr>
              <w:jc w:val="center"/>
            </w:pPr>
            <w:r>
              <w:rPr>
                <w:noProof w:val="0"/>
                <w:rtl/>
              </w:rPr>
              <w:t>20,2</w:t>
            </w:r>
          </w:p>
        </w:tc>
        <w:tc>
          <w:tcPr>
            <w:tcW w:w="1122" w:type="dxa"/>
            <w:vAlign w:val="bottom"/>
          </w:tcPr>
          <w:p w:rsidR="006A6240" w:rsidRDefault="006A6240">
            <w:pPr>
              <w:jc w:val="center"/>
            </w:pPr>
            <w:r>
              <w:rPr>
                <w:noProof w:val="0"/>
                <w:rtl/>
              </w:rPr>
              <w:t>3,7</w:t>
            </w:r>
          </w:p>
        </w:tc>
        <w:tc>
          <w:tcPr>
            <w:tcW w:w="1123" w:type="dxa"/>
            <w:vAlign w:val="bottom"/>
          </w:tcPr>
          <w:p w:rsidR="006A6240" w:rsidRDefault="006A6240">
            <w:pPr>
              <w:jc w:val="center"/>
            </w:pPr>
            <w:r>
              <w:rPr>
                <w:noProof w:val="0"/>
                <w:rtl/>
              </w:rPr>
              <w:t>13,2</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35-44 ans </w:t>
            </w:r>
          </w:p>
        </w:tc>
        <w:tc>
          <w:tcPr>
            <w:tcW w:w="849" w:type="dxa"/>
            <w:vAlign w:val="center"/>
          </w:tcPr>
          <w:p w:rsidR="006A6240" w:rsidRDefault="006A6240">
            <w:pPr>
              <w:jc w:val="center"/>
            </w:pPr>
            <w:r>
              <w:t>5,8</w:t>
            </w:r>
          </w:p>
        </w:tc>
        <w:tc>
          <w:tcPr>
            <w:tcW w:w="952" w:type="dxa"/>
            <w:vAlign w:val="center"/>
          </w:tcPr>
          <w:p w:rsidR="006A6240" w:rsidRDefault="006A6240">
            <w:pPr>
              <w:jc w:val="center"/>
            </w:pPr>
            <w:r>
              <w:t>1,7</w:t>
            </w:r>
          </w:p>
        </w:tc>
        <w:tc>
          <w:tcPr>
            <w:tcW w:w="1123" w:type="dxa"/>
            <w:vAlign w:val="center"/>
          </w:tcPr>
          <w:p w:rsidR="006A6240" w:rsidRDefault="006A6240">
            <w:pPr>
              <w:jc w:val="center"/>
            </w:pPr>
            <w:r>
              <w:t>4,1</w:t>
            </w:r>
          </w:p>
        </w:tc>
        <w:tc>
          <w:tcPr>
            <w:tcW w:w="1124" w:type="dxa"/>
            <w:vAlign w:val="bottom"/>
          </w:tcPr>
          <w:p w:rsidR="006A6240" w:rsidRDefault="006A6240">
            <w:pPr>
              <w:jc w:val="center"/>
            </w:pPr>
            <w:r>
              <w:rPr>
                <w:noProof w:val="0"/>
                <w:rtl/>
              </w:rPr>
              <w:t>7,4</w:t>
            </w:r>
          </w:p>
        </w:tc>
        <w:tc>
          <w:tcPr>
            <w:tcW w:w="1122" w:type="dxa"/>
            <w:vAlign w:val="bottom"/>
          </w:tcPr>
          <w:p w:rsidR="006A6240" w:rsidRDefault="006A6240">
            <w:pPr>
              <w:jc w:val="center"/>
            </w:pPr>
            <w:r>
              <w:rPr>
                <w:noProof w:val="0"/>
                <w:rtl/>
              </w:rPr>
              <w:t>1,5</w:t>
            </w:r>
          </w:p>
        </w:tc>
        <w:tc>
          <w:tcPr>
            <w:tcW w:w="1123" w:type="dxa"/>
            <w:vAlign w:val="bottom"/>
          </w:tcPr>
          <w:p w:rsidR="006A6240" w:rsidRDefault="006A6240">
            <w:pPr>
              <w:jc w:val="center"/>
            </w:pPr>
            <w:r>
              <w:rPr>
                <w:noProof w:val="0"/>
                <w:rtl/>
              </w:rPr>
              <w:t>5,0</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45 ans et plus</w:t>
            </w:r>
          </w:p>
        </w:tc>
        <w:tc>
          <w:tcPr>
            <w:tcW w:w="849" w:type="dxa"/>
            <w:vAlign w:val="center"/>
          </w:tcPr>
          <w:p w:rsidR="006A6240" w:rsidRDefault="006A6240">
            <w:pPr>
              <w:jc w:val="center"/>
            </w:pPr>
            <w:r>
              <w:t>2,3</w:t>
            </w:r>
          </w:p>
        </w:tc>
        <w:tc>
          <w:tcPr>
            <w:tcW w:w="952" w:type="dxa"/>
            <w:vAlign w:val="center"/>
          </w:tcPr>
          <w:p w:rsidR="006A6240" w:rsidRDefault="006A6240">
            <w:pPr>
              <w:jc w:val="center"/>
            </w:pPr>
            <w:r>
              <w:t>0,8</w:t>
            </w:r>
          </w:p>
        </w:tc>
        <w:tc>
          <w:tcPr>
            <w:tcW w:w="1123" w:type="dxa"/>
            <w:vAlign w:val="center"/>
          </w:tcPr>
          <w:p w:rsidR="006A6240" w:rsidRDefault="006A6240">
            <w:pPr>
              <w:jc w:val="center"/>
            </w:pPr>
            <w:r>
              <w:t>1,6</w:t>
            </w:r>
          </w:p>
        </w:tc>
        <w:tc>
          <w:tcPr>
            <w:tcW w:w="1124" w:type="dxa"/>
            <w:vAlign w:val="bottom"/>
          </w:tcPr>
          <w:p w:rsidR="006A6240" w:rsidRDefault="006A6240">
            <w:pPr>
              <w:jc w:val="center"/>
            </w:pPr>
            <w:r>
              <w:rPr>
                <w:noProof w:val="0"/>
                <w:rtl/>
              </w:rPr>
              <w:t>2,7</w:t>
            </w:r>
          </w:p>
        </w:tc>
        <w:tc>
          <w:tcPr>
            <w:tcW w:w="1122" w:type="dxa"/>
            <w:vAlign w:val="bottom"/>
          </w:tcPr>
          <w:p w:rsidR="006A6240" w:rsidRDefault="006A6240">
            <w:pPr>
              <w:jc w:val="center"/>
            </w:pPr>
            <w:r>
              <w:rPr>
                <w:noProof w:val="0"/>
                <w:rtl/>
              </w:rPr>
              <w:t>0,7</w:t>
            </w:r>
          </w:p>
        </w:tc>
        <w:tc>
          <w:tcPr>
            <w:tcW w:w="1123" w:type="dxa"/>
            <w:vAlign w:val="bottom"/>
          </w:tcPr>
          <w:p w:rsidR="006A6240" w:rsidRDefault="006A6240">
            <w:pPr>
              <w:jc w:val="center"/>
            </w:pPr>
            <w:r>
              <w:rPr>
                <w:noProof w:val="0"/>
                <w:rtl/>
              </w:rPr>
              <w:t>1,8</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 Selon le diplôme</w:t>
            </w:r>
          </w:p>
        </w:tc>
        <w:tc>
          <w:tcPr>
            <w:tcW w:w="849" w:type="dxa"/>
            <w:vAlign w:val="center"/>
          </w:tcPr>
          <w:p w:rsidR="006A6240" w:rsidRDefault="006A6240">
            <w:pPr>
              <w:jc w:val="center"/>
            </w:pPr>
          </w:p>
        </w:tc>
        <w:tc>
          <w:tcPr>
            <w:tcW w:w="952" w:type="dxa"/>
            <w:vAlign w:val="center"/>
          </w:tcPr>
          <w:p w:rsidR="006A6240" w:rsidRDefault="006A6240">
            <w:pPr>
              <w:jc w:val="center"/>
            </w:pPr>
          </w:p>
        </w:tc>
        <w:tc>
          <w:tcPr>
            <w:tcW w:w="1123" w:type="dxa"/>
            <w:vAlign w:val="center"/>
          </w:tcPr>
          <w:p w:rsidR="006A6240" w:rsidRDefault="006A6240">
            <w:pPr>
              <w:jc w:val="center"/>
            </w:pPr>
          </w:p>
        </w:tc>
        <w:tc>
          <w:tcPr>
            <w:tcW w:w="1124" w:type="dxa"/>
            <w:vAlign w:val="center"/>
          </w:tcPr>
          <w:p w:rsidR="006A6240" w:rsidRDefault="006A6240">
            <w:pPr>
              <w:jc w:val="center"/>
            </w:pPr>
          </w:p>
        </w:tc>
        <w:tc>
          <w:tcPr>
            <w:tcW w:w="1122" w:type="dxa"/>
            <w:vAlign w:val="center"/>
          </w:tcPr>
          <w:p w:rsidR="006A6240" w:rsidRDefault="006A6240">
            <w:pPr>
              <w:jc w:val="center"/>
            </w:pPr>
          </w:p>
        </w:tc>
        <w:tc>
          <w:tcPr>
            <w:tcW w:w="1123" w:type="dxa"/>
            <w:vAlign w:val="center"/>
          </w:tcPr>
          <w:p w:rsidR="006A6240" w:rsidRDefault="006A6240">
            <w:pPr>
              <w:jc w:val="center"/>
            </w:pP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Sans diplôme</w:t>
            </w:r>
          </w:p>
        </w:tc>
        <w:tc>
          <w:tcPr>
            <w:tcW w:w="849" w:type="dxa"/>
            <w:vAlign w:val="center"/>
          </w:tcPr>
          <w:p w:rsidR="006A6240" w:rsidRDefault="006A6240">
            <w:pPr>
              <w:jc w:val="center"/>
            </w:pPr>
            <w:r>
              <w:t>6,4</w:t>
            </w:r>
          </w:p>
        </w:tc>
        <w:tc>
          <w:tcPr>
            <w:tcW w:w="952" w:type="dxa"/>
            <w:vAlign w:val="center"/>
          </w:tcPr>
          <w:p w:rsidR="006A6240" w:rsidRDefault="006A6240">
            <w:pPr>
              <w:jc w:val="center"/>
            </w:pPr>
            <w:r>
              <w:t>1,8</w:t>
            </w:r>
          </w:p>
        </w:tc>
        <w:tc>
          <w:tcPr>
            <w:tcW w:w="1123" w:type="dxa"/>
            <w:vAlign w:val="center"/>
          </w:tcPr>
          <w:p w:rsidR="006A6240" w:rsidRDefault="006A6240">
            <w:pPr>
              <w:jc w:val="center"/>
            </w:pPr>
            <w:r>
              <w:t>3,5</w:t>
            </w:r>
          </w:p>
        </w:tc>
        <w:tc>
          <w:tcPr>
            <w:tcW w:w="1124" w:type="dxa"/>
            <w:vAlign w:val="center"/>
          </w:tcPr>
          <w:p w:rsidR="006A6240" w:rsidRDefault="006A6240">
            <w:pPr>
              <w:jc w:val="center"/>
            </w:pPr>
            <w:r>
              <w:rPr>
                <w:noProof w:val="0"/>
                <w:rtl/>
              </w:rPr>
              <w:t>8,2</w:t>
            </w:r>
          </w:p>
        </w:tc>
        <w:tc>
          <w:tcPr>
            <w:tcW w:w="1122" w:type="dxa"/>
            <w:vAlign w:val="center"/>
          </w:tcPr>
          <w:p w:rsidR="006A6240" w:rsidRDefault="006A6240">
            <w:pPr>
              <w:jc w:val="center"/>
            </w:pPr>
            <w:r>
              <w:rPr>
                <w:noProof w:val="0"/>
                <w:rtl/>
              </w:rPr>
              <w:t>1,9</w:t>
            </w:r>
          </w:p>
        </w:tc>
        <w:tc>
          <w:tcPr>
            <w:tcW w:w="1123" w:type="dxa"/>
            <w:vAlign w:val="center"/>
          </w:tcPr>
          <w:p w:rsidR="006A6240" w:rsidRDefault="006A6240">
            <w:pPr>
              <w:jc w:val="center"/>
            </w:pPr>
            <w:r>
              <w:rPr>
                <w:noProof w:val="0"/>
                <w:rtl/>
              </w:rPr>
              <w:t>4,3</w:t>
            </w:r>
          </w:p>
        </w:tc>
      </w:tr>
      <w:tr w:rsidR="006A6240">
        <w:trPr>
          <w:jc w:val="center"/>
        </w:trPr>
        <w:tc>
          <w:tcPr>
            <w:tcW w:w="3886" w:type="dxa"/>
          </w:tcPr>
          <w:p w:rsidR="006A6240" w:rsidRDefault="006A6240">
            <w:pPr>
              <w:tabs>
                <w:tab w:val="left" w:pos="-720"/>
              </w:tabs>
              <w:suppressAutoHyphens/>
              <w:spacing w:before="20" w:after="20"/>
              <w:jc w:val="right"/>
              <w:rPr>
                <w:b/>
                <w:spacing w:val="-2"/>
                <w:sz w:val="18"/>
              </w:rPr>
            </w:pPr>
            <w:r>
              <w:rPr>
                <w:b/>
                <w:spacing w:val="-2"/>
                <w:sz w:val="18"/>
              </w:rPr>
              <w:t xml:space="preserve">      Ayant un diplôme</w:t>
            </w:r>
          </w:p>
        </w:tc>
        <w:tc>
          <w:tcPr>
            <w:tcW w:w="849" w:type="dxa"/>
            <w:vAlign w:val="center"/>
          </w:tcPr>
          <w:p w:rsidR="006A6240" w:rsidRDefault="006A6240">
            <w:pPr>
              <w:jc w:val="center"/>
            </w:pPr>
            <w:r>
              <w:t>16,7</w:t>
            </w:r>
          </w:p>
        </w:tc>
        <w:tc>
          <w:tcPr>
            <w:tcW w:w="952" w:type="dxa"/>
            <w:vAlign w:val="center"/>
          </w:tcPr>
          <w:p w:rsidR="006A6240" w:rsidRDefault="006A6240">
            <w:pPr>
              <w:jc w:val="center"/>
            </w:pPr>
            <w:r>
              <w:t>10,9</w:t>
            </w:r>
          </w:p>
        </w:tc>
        <w:tc>
          <w:tcPr>
            <w:tcW w:w="1123" w:type="dxa"/>
            <w:vAlign w:val="center"/>
          </w:tcPr>
          <w:p w:rsidR="006A6240" w:rsidRDefault="006A6240">
            <w:pPr>
              <w:jc w:val="center"/>
            </w:pPr>
            <w:r>
              <w:t>15,4</w:t>
            </w:r>
          </w:p>
        </w:tc>
        <w:tc>
          <w:tcPr>
            <w:tcW w:w="1124" w:type="dxa"/>
            <w:vAlign w:val="center"/>
          </w:tcPr>
          <w:p w:rsidR="006A6240" w:rsidRDefault="006A6240">
            <w:pPr>
              <w:jc w:val="center"/>
            </w:pPr>
            <w:r>
              <w:rPr>
                <w:noProof w:val="0"/>
                <w:rtl/>
              </w:rPr>
              <w:t>17,9</w:t>
            </w:r>
          </w:p>
        </w:tc>
        <w:tc>
          <w:tcPr>
            <w:tcW w:w="1122" w:type="dxa"/>
            <w:vAlign w:val="center"/>
          </w:tcPr>
          <w:p w:rsidR="006A6240" w:rsidRDefault="006A6240">
            <w:pPr>
              <w:jc w:val="center"/>
            </w:pPr>
            <w:r>
              <w:rPr>
                <w:noProof w:val="0"/>
                <w:rtl/>
              </w:rPr>
              <w:t>8,6</w:t>
            </w:r>
          </w:p>
        </w:tc>
        <w:tc>
          <w:tcPr>
            <w:tcW w:w="1123" w:type="dxa"/>
            <w:vAlign w:val="center"/>
          </w:tcPr>
          <w:p w:rsidR="006A6240" w:rsidRDefault="006A6240">
            <w:pPr>
              <w:jc w:val="center"/>
            </w:pPr>
            <w:r>
              <w:rPr>
                <w:noProof w:val="0"/>
                <w:rtl/>
              </w:rPr>
              <w:t>15,8</w:t>
            </w:r>
          </w:p>
        </w:tc>
      </w:tr>
    </w:tbl>
    <w:p w:rsidR="006A6240" w:rsidRDefault="006A6240">
      <w:pPr>
        <w:tabs>
          <w:tab w:val="left" w:pos="-720"/>
        </w:tabs>
        <w:suppressAutoHyphens/>
        <w:jc w:val="right"/>
        <w:rPr>
          <w:rFonts w:cs="Times New Roman"/>
          <w:b/>
          <w:spacing w:val="-2"/>
          <w:u w:val="single"/>
        </w:rPr>
      </w:pPr>
    </w:p>
    <w:p w:rsidR="006A6240" w:rsidRDefault="006A6240">
      <w:pPr>
        <w:tabs>
          <w:tab w:val="left" w:pos="-720"/>
        </w:tabs>
        <w:suppressAutoHyphens/>
        <w:jc w:val="right"/>
        <w:rPr>
          <w:rFonts w:cs="Times New Roman"/>
          <w:b/>
          <w:spacing w:val="-2"/>
        </w:rPr>
      </w:pPr>
      <w:r>
        <w:rPr>
          <w:rFonts w:cs="Times New Roman"/>
          <w:b/>
          <w:spacing w:val="-2"/>
          <w:u w:val="single"/>
        </w:rPr>
        <w:t>Source</w:t>
      </w:r>
      <w:r>
        <w:rPr>
          <w:rFonts w:cs="Times New Roman"/>
          <w:b/>
          <w:spacing w:val="-2"/>
        </w:rPr>
        <w:t xml:space="preserve"> :</w:t>
      </w:r>
      <w:r>
        <w:rPr>
          <w:rFonts w:cs="Times New Roman"/>
          <w:spacing w:val="-2"/>
        </w:rPr>
        <w:t xml:space="preserve"> </w:t>
      </w:r>
      <w:r>
        <w:rPr>
          <w:rFonts w:cs="Times New Roman"/>
          <w:b/>
          <w:spacing w:val="-2"/>
        </w:rPr>
        <w:t>Enquête nationale sur l'emploi, Haut Commissariat au Plan</w:t>
      </w:r>
      <w:r>
        <w:rPr>
          <w:rFonts w:cs="Times New Roman"/>
          <w:spacing w:val="-2"/>
        </w:rPr>
        <w:t xml:space="preserve">  (</w:t>
      </w:r>
      <w:r>
        <w:rPr>
          <w:rFonts w:cs="Times New Roman"/>
          <w:b/>
          <w:spacing w:val="-2"/>
        </w:rPr>
        <w:t>Direction de la Statistique).</w:t>
      </w:r>
    </w:p>
    <w:p w:rsidR="006A6240" w:rsidRDefault="006A6240">
      <w:pPr>
        <w:tabs>
          <w:tab w:val="left" w:pos="-720"/>
        </w:tabs>
        <w:suppressAutoHyphens/>
        <w:jc w:val="right"/>
      </w:pPr>
      <w:r>
        <w:rPr>
          <w:rFonts w:cs="Times New Roman"/>
          <w:b/>
        </w:rPr>
        <w:t xml:space="preserve">(1) Pour les définitions des concepts et indicateurs utilisés, se référer au glossaire disponible sur le site web du HCP :  </w:t>
      </w:r>
      <w:hyperlink r:id="rId11" w:history="1">
        <w:r>
          <w:rPr>
            <w:rStyle w:val="Lienhypertexte"/>
            <w:b/>
          </w:rPr>
          <w:t>http://www.hcp.ma</w:t>
        </w:r>
      </w:hyperlink>
    </w:p>
    <w:p w:rsidR="006A6240" w:rsidRDefault="006A6240">
      <w:pPr>
        <w:tabs>
          <w:tab w:val="left" w:pos="-720"/>
        </w:tabs>
        <w:suppressAutoHyphens/>
        <w:jc w:val="right"/>
        <w:rPr>
          <w:rFonts w:cs="Times New Roman"/>
          <w:b/>
        </w:rPr>
      </w:pPr>
      <w:r>
        <w:t xml:space="preserve"> </w:t>
      </w:r>
    </w:p>
    <w:sectPr w:rsidR="006A6240" w:rsidSect="00A57A3F">
      <w:footerReference w:type="default" r:id="rId12"/>
      <w:pgSz w:w="12240" w:h="15840"/>
      <w:pgMar w:top="851" w:right="1418" w:bottom="1077"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362" w:rsidRDefault="007D5362">
      <w:r>
        <w:separator/>
      </w:r>
    </w:p>
  </w:endnote>
  <w:endnote w:type="continuationSeparator" w:id="0">
    <w:p w:rsidR="007D5362" w:rsidRDefault="007D53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240" w:rsidRDefault="00E40B1B">
    <w:pPr>
      <w:pStyle w:val="Pieddepage"/>
      <w:framePr w:wrap="auto" w:vAnchor="text" w:hAnchor="margin" w:xAlign="center" w:y="1"/>
      <w:rPr>
        <w:rStyle w:val="Numrodepage"/>
        <w:rFonts w:cs="Traditional Arabic"/>
      </w:rPr>
    </w:pPr>
    <w:r>
      <w:rPr>
        <w:rStyle w:val="Numrodepage"/>
        <w:rFonts w:cs="Traditional Arabic"/>
      </w:rPr>
      <w:fldChar w:fldCharType="begin"/>
    </w:r>
    <w:r w:rsidR="006A6240">
      <w:rPr>
        <w:rStyle w:val="Numrodepage"/>
        <w:rFonts w:cs="Traditional Arabic"/>
      </w:rPr>
      <w:instrText xml:space="preserve">PAGE  </w:instrText>
    </w:r>
    <w:r>
      <w:rPr>
        <w:rStyle w:val="Numrodepage"/>
        <w:rFonts w:cs="Traditional Arabic"/>
      </w:rPr>
      <w:fldChar w:fldCharType="separate"/>
    </w:r>
    <w:r w:rsidR="007D5362">
      <w:rPr>
        <w:rStyle w:val="Numrodepage"/>
        <w:rFonts w:cs="Traditional Arabic"/>
        <w:rtl/>
      </w:rPr>
      <w:t>1</w:t>
    </w:r>
    <w:r>
      <w:rPr>
        <w:rStyle w:val="Numrodepage"/>
        <w:rFonts w:cs="Traditional Arabic"/>
      </w:rPr>
      <w:fldChar w:fldCharType="end"/>
    </w:r>
  </w:p>
  <w:p w:rsidR="006A6240" w:rsidRDefault="006A62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362" w:rsidRDefault="007D5362">
      <w:r>
        <w:separator/>
      </w:r>
    </w:p>
  </w:footnote>
  <w:footnote w:type="continuationSeparator" w:id="0">
    <w:p w:rsidR="007D5362" w:rsidRDefault="007D53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106A6CFE"/>
    <w:multiLevelType w:val="hybridMultilevel"/>
    <w:tmpl w:val="29ECBA10"/>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5">
    <w:nsid w:val="37463316"/>
    <w:multiLevelType w:val="hybridMultilevel"/>
    <w:tmpl w:val="0E760A6E"/>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51E44B70"/>
    <w:multiLevelType w:val="hybridMultilevel"/>
    <w:tmpl w:val="12CC9132"/>
    <w:lvl w:ilvl="0" w:tplc="87CC37FC">
      <w:start w:val="11"/>
      <w:numFmt w:val="bullet"/>
      <w:lvlText w:val="-"/>
      <w:lvlJc w:val="left"/>
      <w:pPr>
        <w:ind w:left="3240" w:hanging="288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16618B"/>
    <w:multiLevelType w:val="hybridMultilevel"/>
    <w:tmpl w:val="E6644104"/>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9">
    <w:nsid w:val="70025097"/>
    <w:multiLevelType w:val="hybridMultilevel"/>
    <w:tmpl w:val="F89291E8"/>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1"/>
  </w:num>
  <w:num w:numId="5">
    <w:abstractNumId w:val="8"/>
  </w:num>
  <w:num w:numId="6">
    <w:abstractNumId w:val="7"/>
  </w:num>
  <w:num w:numId="7">
    <w:abstractNumId w:val="0"/>
  </w:num>
  <w:num w:numId="8">
    <w:abstractNumId w:val="4"/>
  </w:num>
  <w:num w:numId="9">
    <w:abstractNumId w:val="5"/>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oNotHyphenateCaps/>
  <w:characterSpacingControl w:val="doNotCompress"/>
  <w:savePreviewPicture/>
  <w:footnotePr>
    <w:footnote w:id="-1"/>
    <w:footnote w:id="0"/>
  </w:footnotePr>
  <w:endnotePr>
    <w:endnote w:id="-1"/>
    <w:endnote w:id="0"/>
  </w:endnotePr>
  <w:compat/>
  <w:rsids>
    <w:rsidRoot w:val="00AF7FE8"/>
    <w:rsid w:val="00035A3C"/>
    <w:rsid w:val="001C1F2B"/>
    <w:rsid w:val="001E2E6E"/>
    <w:rsid w:val="00235D07"/>
    <w:rsid w:val="00365FC8"/>
    <w:rsid w:val="003971B6"/>
    <w:rsid w:val="00452F79"/>
    <w:rsid w:val="004D7647"/>
    <w:rsid w:val="006839B1"/>
    <w:rsid w:val="00696275"/>
    <w:rsid w:val="006A6240"/>
    <w:rsid w:val="006B41AE"/>
    <w:rsid w:val="006B73A8"/>
    <w:rsid w:val="00783B6F"/>
    <w:rsid w:val="007D5362"/>
    <w:rsid w:val="008B32D4"/>
    <w:rsid w:val="00A57A3F"/>
    <w:rsid w:val="00A81E42"/>
    <w:rsid w:val="00AF7FE8"/>
    <w:rsid w:val="00D16055"/>
    <w:rsid w:val="00DF4BA7"/>
    <w:rsid w:val="00E06640"/>
    <w:rsid w:val="00E40B1B"/>
    <w:rsid w:val="00EC6487"/>
    <w:rsid w:val="00ED55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A3F"/>
    <w:pPr>
      <w:bidi/>
    </w:pPr>
    <w:rPr>
      <w:rFonts w:cs="Traditional Arabic"/>
      <w:noProof/>
    </w:rPr>
  </w:style>
  <w:style w:type="paragraph" w:styleId="Titre1">
    <w:name w:val="heading 1"/>
    <w:basedOn w:val="Normal"/>
    <w:next w:val="Normal"/>
    <w:qFormat/>
    <w:rsid w:val="00A57A3F"/>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ocked/>
    <w:rsid w:val="00A57A3F"/>
    <w:rPr>
      <w:rFonts w:ascii="Cambria" w:hAnsi="Cambria" w:cs="Times New Roman"/>
      <w:b/>
      <w:bCs/>
      <w:noProof/>
      <w:kern w:val="32"/>
      <w:sz w:val="32"/>
      <w:szCs w:val="32"/>
    </w:rPr>
  </w:style>
  <w:style w:type="paragraph" w:styleId="Corpsdetexte2">
    <w:name w:val="Body Text 2"/>
    <w:basedOn w:val="Normal"/>
    <w:semiHidden/>
    <w:rsid w:val="00A57A3F"/>
    <w:pPr>
      <w:jc w:val="center"/>
    </w:pPr>
    <w:rPr>
      <w:rFonts w:ascii="Univers" w:hAnsi="Univers" w:cs="Simplified Arabic"/>
      <w:noProof w:val="0"/>
      <w:sz w:val="22"/>
    </w:rPr>
  </w:style>
  <w:style w:type="character" w:customStyle="1" w:styleId="Corpsdetexte2Car">
    <w:name w:val="Corps de texte 2 Car"/>
    <w:basedOn w:val="Policepardfaut"/>
    <w:semiHidden/>
    <w:locked/>
    <w:rsid w:val="00A57A3F"/>
    <w:rPr>
      <w:rFonts w:cs="Traditional Arabic"/>
      <w:noProof/>
      <w:sz w:val="20"/>
      <w:szCs w:val="20"/>
      <w:lang w:bidi="ar-SA"/>
    </w:rPr>
  </w:style>
  <w:style w:type="character" w:styleId="Lienhypertexte">
    <w:name w:val="Hyperlink"/>
    <w:basedOn w:val="Policepardfaut"/>
    <w:semiHidden/>
    <w:rsid w:val="00A57A3F"/>
    <w:rPr>
      <w:rFonts w:cs="Times New Roman"/>
      <w:color w:val="0000FF"/>
      <w:u w:val="single"/>
    </w:rPr>
  </w:style>
  <w:style w:type="paragraph" w:styleId="Notedebasdepage">
    <w:name w:val="footnote text"/>
    <w:basedOn w:val="Normal"/>
    <w:semiHidden/>
    <w:rsid w:val="00A57A3F"/>
    <w:pPr>
      <w:bidi w:val="0"/>
    </w:pPr>
    <w:rPr>
      <w:rFonts w:cs="Times New Roman"/>
      <w:noProof w:val="0"/>
    </w:rPr>
  </w:style>
  <w:style w:type="character" w:customStyle="1" w:styleId="NotedebasdepageCar">
    <w:name w:val="Note de bas de page Car"/>
    <w:basedOn w:val="Policepardfaut"/>
    <w:semiHidden/>
    <w:locked/>
    <w:rsid w:val="00A57A3F"/>
    <w:rPr>
      <w:rFonts w:cs="Traditional Arabic"/>
      <w:noProof/>
      <w:sz w:val="20"/>
      <w:szCs w:val="20"/>
      <w:lang w:bidi="ar-SA"/>
    </w:rPr>
  </w:style>
  <w:style w:type="paragraph" w:customStyle="1" w:styleId="ListParagraph1">
    <w:name w:val="List Paragraph1"/>
    <w:basedOn w:val="Normal"/>
    <w:rsid w:val="00A57A3F"/>
    <w:pPr>
      <w:bidi w:val="0"/>
      <w:ind w:left="720"/>
    </w:pPr>
    <w:rPr>
      <w:rFonts w:cs="Times New Roman"/>
      <w:noProof w:val="0"/>
      <w:sz w:val="24"/>
      <w:szCs w:val="24"/>
    </w:rPr>
  </w:style>
  <w:style w:type="paragraph" w:styleId="Pieddepage">
    <w:name w:val="footer"/>
    <w:basedOn w:val="Normal"/>
    <w:semiHidden/>
    <w:rsid w:val="00A57A3F"/>
    <w:pPr>
      <w:tabs>
        <w:tab w:val="center" w:pos="4536"/>
        <w:tab w:val="right" w:pos="9072"/>
      </w:tabs>
    </w:pPr>
  </w:style>
  <w:style w:type="character" w:customStyle="1" w:styleId="PieddepageCar">
    <w:name w:val="Pied de page Car"/>
    <w:basedOn w:val="Policepardfaut"/>
    <w:semiHidden/>
    <w:locked/>
    <w:rsid w:val="00A57A3F"/>
    <w:rPr>
      <w:rFonts w:cs="Traditional Arabic"/>
      <w:noProof/>
      <w:sz w:val="20"/>
      <w:szCs w:val="20"/>
      <w:lang w:bidi="ar-SA"/>
    </w:rPr>
  </w:style>
  <w:style w:type="character" w:styleId="Numrodepage">
    <w:name w:val="page number"/>
    <w:basedOn w:val="Policepardfaut"/>
    <w:semiHidden/>
    <w:rsid w:val="00A57A3F"/>
    <w:rPr>
      <w:rFonts w:cs="Times New Roman"/>
    </w:rPr>
  </w:style>
  <w:style w:type="paragraph" w:styleId="Paragraphedeliste">
    <w:name w:val="List Paragraph"/>
    <w:basedOn w:val="Normal"/>
    <w:qFormat/>
    <w:rsid w:val="00A57A3F"/>
    <w:pPr>
      <w:bidi w:val="0"/>
      <w:ind w:left="720"/>
    </w:pPr>
    <w:rPr>
      <w:rFonts w:cs="Times New Roman"/>
      <w:noProof w:val="0"/>
      <w:sz w:val="24"/>
      <w:szCs w:val="24"/>
    </w:rPr>
  </w:style>
  <w:style w:type="paragraph" w:styleId="Textedebulles">
    <w:name w:val="Balloon Text"/>
    <w:basedOn w:val="Normal"/>
    <w:semiHidden/>
    <w:unhideWhenUsed/>
    <w:rsid w:val="00A57A3F"/>
    <w:rPr>
      <w:rFonts w:ascii="Tahoma" w:hAnsi="Tahoma" w:cs="Tahoma"/>
      <w:sz w:val="16"/>
      <w:szCs w:val="16"/>
    </w:rPr>
  </w:style>
  <w:style w:type="character" w:customStyle="1" w:styleId="TextedebullesCar">
    <w:name w:val="Texte de bulles Car"/>
    <w:basedOn w:val="Policepardfaut"/>
    <w:semiHidden/>
    <w:rsid w:val="00A57A3F"/>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A3F"/>
    <w:pPr>
      <w:bidi/>
    </w:pPr>
    <w:rPr>
      <w:rFonts w:cs="Traditional Arabic"/>
      <w:noProof/>
    </w:rPr>
  </w:style>
  <w:style w:type="paragraph" w:styleId="Titre1">
    <w:name w:val="heading 1"/>
    <w:basedOn w:val="Normal"/>
    <w:next w:val="Normal"/>
    <w:qFormat/>
    <w:rsid w:val="00A57A3F"/>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ocked/>
    <w:rsid w:val="00A57A3F"/>
    <w:rPr>
      <w:rFonts w:ascii="Cambria" w:hAnsi="Cambria" w:cs="Times New Roman"/>
      <w:b/>
      <w:bCs/>
      <w:noProof/>
      <w:kern w:val="32"/>
      <w:sz w:val="32"/>
      <w:szCs w:val="32"/>
    </w:rPr>
  </w:style>
  <w:style w:type="paragraph" w:styleId="Corpsdetexte2">
    <w:name w:val="Body Text 2"/>
    <w:basedOn w:val="Normal"/>
    <w:semiHidden/>
    <w:rsid w:val="00A57A3F"/>
    <w:pPr>
      <w:jc w:val="center"/>
    </w:pPr>
    <w:rPr>
      <w:rFonts w:ascii="Univers" w:hAnsi="Univers" w:cs="Simplified Arabic"/>
      <w:noProof w:val="0"/>
      <w:sz w:val="22"/>
    </w:rPr>
  </w:style>
  <w:style w:type="character" w:customStyle="1" w:styleId="Corpsdetexte2Car">
    <w:name w:val="Corps de texte 2 Car"/>
    <w:basedOn w:val="Policepardfaut"/>
    <w:semiHidden/>
    <w:locked/>
    <w:rsid w:val="00A57A3F"/>
    <w:rPr>
      <w:rFonts w:cs="Traditional Arabic"/>
      <w:noProof/>
      <w:sz w:val="20"/>
      <w:szCs w:val="20"/>
      <w:lang w:bidi="ar-SA"/>
    </w:rPr>
  </w:style>
  <w:style w:type="character" w:styleId="Lienhypertexte">
    <w:name w:val="Hyperlink"/>
    <w:basedOn w:val="Policepardfaut"/>
    <w:semiHidden/>
    <w:rsid w:val="00A57A3F"/>
    <w:rPr>
      <w:rFonts w:cs="Times New Roman"/>
      <w:color w:val="0000FF"/>
      <w:u w:val="single"/>
    </w:rPr>
  </w:style>
  <w:style w:type="paragraph" w:styleId="Notedebasdepage">
    <w:name w:val="footnote text"/>
    <w:basedOn w:val="Normal"/>
    <w:semiHidden/>
    <w:rsid w:val="00A57A3F"/>
    <w:pPr>
      <w:bidi w:val="0"/>
    </w:pPr>
    <w:rPr>
      <w:rFonts w:cs="Times New Roman"/>
      <w:noProof w:val="0"/>
    </w:rPr>
  </w:style>
  <w:style w:type="character" w:customStyle="1" w:styleId="NotedebasdepageCar">
    <w:name w:val="Note de bas de page Car"/>
    <w:basedOn w:val="Policepardfaut"/>
    <w:semiHidden/>
    <w:locked/>
    <w:rsid w:val="00A57A3F"/>
    <w:rPr>
      <w:rFonts w:cs="Traditional Arabic"/>
      <w:noProof/>
      <w:sz w:val="20"/>
      <w:szCs w:val="20"/>
      <w:lang w:bidi="ar-SA"/>
    </w:rPr>
  </w:style>
  <w:style w:type="paragraph" w:customStyle="1" w:styleId="ListParagraph1">
    <w:name w:val="List Paragraph1"/>
    <w:basedOn w:val="Normal"/>
    <w:rsid w:val="00A57A3F"/>
    <w:pPr>
      <w:bidi w:val="0"/>
      <w:ind w:left="720"/>
    </w:pPr>
    <w:rPr>
      <w:rFonts w:cs="Times New Roman"/>
      <w:noProof w:val="0"/>
      <w:sz w:val="24"/>
      <w:szCs w:val="24"/>
    </w:rPr>
  </w:style>
  <w:style w:type="paragraph" w:styleId="Pieddepage">
    <w:name w:val="footer"/>
    <w:basedOn w:val="Normal"/>
    <w:semiHidden/>
    <w:rsid w:val="00A57A3F"/>
    <w:pPr>
      <w:tabs>
        <w:tab w:val="center" w:pos="4536"/>
        <w:tab w:val="right" w:pos="9072"/>
      </w:tabs>
    </w:pPr>
  </w:style>
  <w:style w:type="character" w:customStyle="1" w:styleId="PieddepageCar">
    <w:name w:val="Pied de page Car"/>
    <w:basedOn w:val="Policepardfaut"/>
    <w:semiHidden/>
    <w:locked/>
    <w:rsid w:val="00A57A3F"/>
    <w:rPr>
      <w:rFonts w:cs="Traditional Arabic"/>
      <w:noProof/>
      <w:sz w:val="20"/>
      <w:szCs w:val="20"/>
      <w:lang w:bidi="ar-SA"/>
    </w:rPr>
  </w:style>
  <w:style w:type="character" w:styleId="Numrodepage">
    <w:name w:val="page number"/>
    <w:basedOn w:val="Policepardfaut"/>
    <w:semiHidden/>
    <w:rsid w:val="00A57A3F"/>
    <w:rPr>
      <w:rFonts w:cs="Times New Roman"/>
    </w:rPr>
  </w:style>
  <w:style w:type="paragraph" w:styleId="Paragraphedeliste">
    <w:name w:val="List Paragraph"/>
    <w:basedOn w:val="Normal"/>
    <w:qFormat/>
    <w:rsid w:val="00A57A3F"/>
    <w:pPr>
      <w:bidi w:val="0"/>
      <w:ind w:left="720"/>
    </w:pPr>
    <w:rPr>
      <w:rFonts w:cs="Times New Roman"/>
      <w:noProof w:val="0"/>
      <w:sz w:val="24"/>
      <w:szCs w:val="24"/>
    </w:rPr>
  </w:style>
  <w:style w:type="paragraph" w:styleId="Textedebulles">
    <w:name w:val="Balloon Text"/>
    <w:basedOn w:val="Normal"/>
    <w:semiHidden/>
    <w:unhideWhenUsed/>
    <w:rsid w:val="00A57A3F"/>
    <w:rPr>
      <w:rFonts w:ascii="Tahoma" w:hAnsi="Tahoma" w:cs="Tahoma"/>
      <w:sz w:val="16"/>
      <w:szCs w:val="16"/>
    </w:rPr>
  </w:style>
  <w:style w:type="character" w:customStyle="1" w:styleId="TextedebullesCar">
    <w:name w:val="Texte de bulles Car"/>
    <w:basedOn w:val="Policepardfaut"/>
    <w:semiHidden/>
    <w:rsid w:val="00A57A3F"/>
    <w:rPr>
      <w:rFonts w:ascii="Tahoma" w:hAnsi="Tahoma" w:cs="Tahoma"/>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cp.ma"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trim__2__2013\Traitement\Traitement-sit-1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eur\Bureau\trim__2__2013\Traitement\traitement__branches-6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trim__2__2013\Trimestre%201%202013\Traitement\Traitement_taux%20de%20ch&#244;mage_taux%20du%20sous%20emplo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eur\Bureau\trim__2__2013\Trimestre%201%202013\Traitement\Traitement_taux%20de%20ch&#244;mage_taux%20du%20sous%20emplo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9842113546251643E-2"/>
          <c:y val="3.8923363056439196E-2"/>
          <c:w val="0.93888888888889044"/>
          <c:h val="0.7866531787693205"/>
        </c:manualLayout>
      </c:layout>
      <c:barChart>
        <c:barDir val="col"/>
        <c:grouping val="clustered"/>
        <c:ser>
          <c:idx val="0"/>
          <c:order val="0"/>
          <c:tx>
            <c:strRef>
              <c:f>Feuil2!$C$2</c:f>
              <c:strCache>
                <c:ptCount val="1"/>
                <c:pt idx="0">
                  <c:v>Emploi non rémunéré</c:v>
                </c:pt>
              </c:strCache>
            </c:strRef>
          </c:tx>
          <c:cat>
            <c:strRef>
              <c:f>Feuil2!$D$1:$F$1</c:f>
              <c:strCache>
                <c:ptCount val="3"/>
                <c:pt idx="0">
                  <c:v>Urbain</c:v>
                </c:pt>
                <c:pt idx="1">
                  <c:v>Rural</c:v>
                </c:pt>
                <c:pt idx="2">
                  <c:v>National</c:v>
                </c:pt>
              </c:strCache>
            </c:strRef>
          </c:cat>
          <c:val>
            <c:numRef>
              <c:f>Feuil2!$D$2:$F$2</c:f>
              <c:numCache>
                <c:formatCode>General</c:formatCode>
                <c:ptCount val="3"/>
                <c:pt idx="0">
                  <c:v>14000</c:v>
                </c:pt>
                <c:pt idx="1">
                  <c:v>-35000</c:v>
                </c:pt>
                <c:pt idx="2">
                  <c:v>-21000</c:v>
                </c:pt>
              </c:numCache>
            </c:numRef>
          </c:val>
        </c:ser>
        <c:ser>
          <c:idx val="1"/>
          <c:order val="1"/>
          <c:tx>
            <c:strRef>
              <c:f>Feuil2!$C$3</c:f>
              <c:strCache>
                <c:ptCount val="1"/>
                <c:pt idx="0">
                  <c:v>Emploi rémunéré</c:v>
                </c:pt>
              </c:strCache>
            </c:strRef>
          </c:tx>
          <c:cat>
            <c:strRef>
              <c:f>Feuil2!$D$1:$F$1</c:f>
              <c:strCache>
                <c:ptCount val="3"/>
                <c:pt idx="0">
                  <c:v>Urbain</c:v>
                </c:pt>
                <c:pt idx="1">
                  <c:v>Rural</c:v>
                </c:pt>
                <c:pt idx="2">
                  <c:v>National</c:v>
                </c:pt>
              </c:strCache>
            </c:strRef>
          </c:cat>
          <c:val>
            <c:numRef>
              <c:f>Feuil2!$D$3:$F$3</c:f>
              <c:numCache>
                <c:formatCode>General</c:formatCode>
                <c:ptCount val="3"/>
                <c:pt idx="0">
                  <c:v>49000</c:v>
                </c:pt>
                <c:pt idx="1">
                  <c:v>116000</c:v>
                </c:pt>
                <c:pt idx="2">
                  <c:v>165000</c:v>
                </c:pt>
              </c:numCache>
            </c:numRef>
          </c:val>
        </c:ser>
        <c:ser>
          <c:idx val="2"/>
          <c:order val="2"/>
          <c:tx>
            <c:strRef>
              <c:f>Feuil2!$C$4</c:f>
              <c:strCache>
                <c:ptCount val="1"/>
                <c:pt idx="0">
                  <c:v>Emploi total</c:v>
                </c:pt>
              </c:strCache>
            </c:strRef>
          </c:tx>
          <c:cat>
            <c:strRef>
              <c:f>Feuil2!$D$1:$F$1</c:f>
              <c:strCache>
                <c:ptCount val="3"/>
                <c:pt idx="0">
                  <c:v>Urbain</c:v>
                </c:pt>
                <c:pt idx="1">
                  <c:v>Rural</c:v>
                </c:pt>
                <c:pt idx="2">
                  <c:v>National</c:v>
                </c:pt>
              </c:strCache>
            </c:strRef>
          </c:cat>
          <c:val>
            <c:numRef>
              <c:f>Feuil2!$D$4:$F$4</c:f>
              <c:numCache>
                <c:formatCode>General</c:formatCode>
                <c:ptCount val="3"/>
                <c:pt idx="0">
                  <c:v>63000</c:v>
                </c:pt>
                <c:pt idx="1">
                  <c:v>81000</c:v>
                </c:pt>
                <c:pt idx="2">
                  <c:v>144000</c:v>
                </c:pt>
              </c:numCache>
            </c:numRef>
          </c:val>
        </c:ser>
        <c:dLbls>
          <c:showVal val="1"/>
        </c:dLbls>
        <c:overlap val="-25"/>
        <c:axId val="64617472"/>
        <c:axId val="67322624"/>
      </c:barChart>
      <c:catAx>
        <c:axId val="64617472"/>
        <c:scaling>
          <c:orientation val="minMax"/>
        </c:scaling>
        <c:axPos val="b"/>
        <c:numFmt formatCode="General" sourceLinked="1"/>
        <c:majorTickMark val="none"/>
        <c:tickLblPos val="nextTo"/>
        <c:crossAx val="67322624"/>
        <c:crosses val="autoZero"/>
        <c:auto val="1"/>
        <c:lblAlgn val="ctr"/>
        <c:lblOffset val="100"/>
      </c:catAx>
      <c:valAx>
        <c:axId val="67322624"/>
        <c:scaling>
          <c:orientation val="minMax"/>
        </c:scaling>
        <c:delete val="1"/>
        <c:axPos val="l"/>
        <c:numFmt formatCode="General" sourceLinked="1"/>
        <c:tickLblPos val="none"/>
        <c:crossAx val="64617472"/>
        <c:crosses val="autoZero"/>
        <c:crossBetween val="between"/>
      </c:valAx>
    </c:plotArea>
    <c:legend>
      <c:legendPos val="t"/>
      <c:layout>
        <c:manualLayout>
          <c:xMode val="edge"/>
          <c:yMode val="edge"/>
          <c:x val="0.12845195124303838"/>
          <c:y val="0.867886878378615"/>
          <c:w val="0.74774009148276344"/>
          <c:h val="7.9836262189080909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style val="26"/>
  <c:chart>
    <c:plotArea>
      <c:layout>
        <c:manualLayout>
          <c:layoutTarget val="inner"/>
          <c:xMode val="edge"/>
          <c:yMode val="edge"/>
          <c:x val="1.2718600953895052E-2"/>
          <c:y val="5.6809466613283496E-2"/>
          <c:w val="0.95336512983571631"/>
          <c:h val="0.69955276776843556"/>
        </c:manualLayout>
      </c:layout>
      <c:barChart>
        <c:barDir val="col"/>
        <c:grouping val="clustered"/>
        <c:ser>
          <c:idx val="0"/>
          <c:order val="0"/>
          <c:tx>
            <c:strRef>
              <c:f>Feuil2!$C$5</c:f>
              <c:strCache>
                <c:ptCount val="1"/>
                <c:pt idx="0">
                  <c:v>Urbain</c:v>
                </c:pt>
              </c:strCache>
            </c:strRef>
          </c:tx>
          <c:dLbls>
            <c:dLbl>
              <c:idx val="1"/>
              <c:layout>
                <c:manualLayout>
                  <c:x val="-2.3304203079483946E-2"/>
                  <c:y val="7.5329566854990806E-3"/>
                </c:manualLayout>
              </c:layout>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Feuil2!$D$5:$H$5</c:f>
              <c:numCache>
                <c:formatCode>_(* #,##0_);_(* \(#,##0\);_(* "-"??_);_(@_)</c:formatCode>
                <c:ptCount val="5"/>
                <c:pt idx="0">
                  <c:v>29000</c:v>
                </c:pt>
                <c:pt idx="1">
                  <c:v>26000</c:v>
                </c:pt>
                <c:pt idx="2" formatCode="General">
                  <c:v>-49000</c:v>
                </c:pt>
                <c:pt idx="3">
                  <c:v>53000</c:v>
                </c:pt>
                <c:pt idx="4">
                  <c:v>4000</c:v>
                </c:pt>
              </c:numCache>
            </c:numRef>
          </c:val>
        </c:ser>
        <c:ser>
          <c:idx val="1"/>
          <c:order val="1"/>
          <c:tx>
            <c:strRef>
              <c:f>Feuil2!$C$6</c:f>
              <c:strCache>
                <c:ptCount val="1"/>
                <c:pt idx="0">
                  <c:v>Rural</c:v>
                </c:pt>
              </c:strCache>
            </c:strRef>
          </c:tx>
          <c:dLbls>
            <c:dLbl>
              <c:idx val="0"/>
              <c:layout>
                <c:manualLayout>
                  <c:x val="-9.9875156054931528E-3"/>
                  <c:y val="0"/>
                </c:manualLayout>
              </c:layout>
              <c:dLblPos val="outEnd"/>
              <c:showVal val="1"/>
            </c:dLbl>
            <c:dLbl>
              <c:idx val="1"/>
              <c:layout>
                <c:manualLayout>
                  <c:x val="-3.0517056258924705E-17"/>
                  <c:y val="-4.5197740112994364E-2"/>
                </c:manualLayout>
              </c:layout>
              <c:showVal val="1"/>
            </c:dLbl>
            <c:dLbl>
              <c:idx val="4"/>
              <c:layout>
                <c:manualLayout>
                  <c:x val="-9.9875156054931528E-3"/>
                  <c:y val="-1.5065913370998179E-2"/>
                </c:manualLayout>
              </c:layout>
              <c:dLblPos val="outEnd"/>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Feuil2!$D$6:$H$6</c:f>
              <c:numCache>
                <c:formatCode>_(* #,##0_);_(* \(#,##0\);_(* "-"??_);_(@_)</c:formatCode>
                <c:ptCount val="5"/>
                <c:pt idx="0">
                  <c:v>107000</c:v>
                </c:pt>
                <c:pt idx="1">
                  <c:v>11000</c:v>
                </c:pt>
                <c:pt idx="2">
                  <c:v>11000</c:v>
                </c:pt>
                <c:pt idx="3" formatCode="General">
                  <c:v>-48000</c:v>
                </c:pt>
                <c:pt idx="4">
                  <c:v>0</c:v>
                </c:pt>
              </c:numCache>
            </c:numRef>
          </c:val>
        </c:ser>
        <c:ser>
          <c:idx val="2"/>
          <c:order val="2"/>
          <c:tx>
            <c:strRef>
              <c:f>Feuil2!$C$7</c:f>
              <c:strCache>
                <c:ptCount val="1"/>
                <c:pt idx="0">
                  <c:v>National</c:v>
                </c:pt>
              </c:strCache>
            </c:strRef>
          </c:tx>
          <c:dLbls>
            <c:dLbl>
              <c:idx val="0"/>
              <c:layout>
                <c:manualLayout>
                  <c:x val="3.8285476487723839E-2"/>
                  <c:y val="1.186292391417179E-6"/>
                </c:manualLayout>
              </c:layout>
              <c:dLblPos val="outEnd"/>
              <c:showVal val="1"/>
            </c:dLbl>
            <c:dLbl>
              <c:idx val="1"/>
              <c:layout>
                <c:manualLayout>
                  <c:x val="2.6633374947981691E-2"/>
                  <c:y val="3.766478342749572E-3"/>
                </c:manualLayout>
              </c:layout>
              <c:showVal val="1"/>
            </c:dLbl>
            <c:dLbl>
              <c:idx val="4"/>
              <c:layout>
                <c:manualLayout>
                  <c:x val="1.2206822503569879E-16"/>
                  <c:y val="-4.519774011299442E-2"/>
                </c:manualLayout>
              </c:layout>
              <c:dLblPos val="outEnd"/>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Feuil2!$D$7:$H$7</c:f>
              <c:numCache>
                <c:formatCode>_(* #,##0_);_(* \(#,##0\);_(* "-"??_);_(@_)</c:formatCode>
                <c:ptCount val="5"/>
                <c:pt idx="0">
                  <c:v>136000</c:v>
                </c:pt>
                <c:pt idx="1">
                  <c:v>37000</c:v>
                </c:pt>
                <c:pt idx="2" formatCode="General">
                  <c:v>-38000</c:v>
                </c:pt>
                <c:pt idx="3">
                  <c:v>5000</c:v>
                </c:pt>
                <c:pt idx="4">
                  <c:v>4000</c:v>
                </c:pt>
              </c:numCache>
            </c:numRef>
          </c:val>
        </c:ser>
        <c:dLbls>
          <c:showVal val="1"/>
        </c:dLbls>
        <c:axId val="98594816"/>
        <c:axId val="98596352"/>
      </c:barChart>
      <c:catAx>
        <c:axId val="98594816"/>
        <c:scaling>
          <c:orientation val="minMax"/>
        </c:scaling>
        <c:axPos val="b"/>
        <c:numFmt formatCode="General" sourceLinked="1"/>
        <c:majorTickMark val="none"/>
        <c:tickLblPos val="low"/>
        <c:txPr>
          <a:bodyPr/>
          <a:lstStyle/>
          <a:p>
            <a:pPr>
              <a:defRPr sz="1000">
                <a:latin typeface="Garamond" pitchFamily="18" charset="0"/>
              </a:defRPr>
            </a:pPr>
            <a:endParaRPr lang="fr-FR"/>
          </a:p>
        </c:txPr>
        <c:crossAx val="98596352"/>
        <c:crosses val="autoZero"/>
        <c:auto val="1"/>
        <c:lblAlgn val="ctr"/>
        <c:lblOffset val="100"/>
      </c:catAx>
      <c:valAx>
        <c:axId val="98596352"/>
        <c:scaling>
          <c:orientation val="minMax"/>
        </c:scaling>
        <c:delete val="1"/>
        <c:axPos val="l"/>
        <c:numFmt formatCode="_(* #,##0_);_(* \(#,##0\);_(* &quot;-&quot;??_);_(@_)" sourceLinked="1"/>
        <c:tickLblPos val="none"/>
        <c:crossAx val="98594816"/>
        <c:crosses val="autoZero"/>
        <c:crossBetween val="between"/>
      </c:valAx>
    </c:plotArea>
    <c:legend>
      <c:legendPos val="t"/>
      <c:layout>
        <c:manualLayout>
          <c:xMode val="edge"/>
          <c:yMode val="edge"/>
          <c:x val="0.32888154898240896"/>
          <c:y val="0.93032015065913465"/>
          <c:w val="0.29560201978498102"/>
          <c:h val="6.8108901641532091E-2"/>
        </c:manualLayout>
      </c:layout>
      <c:txPr>
        <a:bodyPr/>
        <a:lstStyle/>
        <a:p>
          <a:pPr>
            <a:defRPr sz="1000">
              <a:latin typeface="Garamond" pitchFamily="18" charset="0"/>
            </a:defRPr>
          </a:pPr>
          <a:endParaRPr lang="fr-FR"/>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plotArea>
      <c:layout/>
      <c:lineChart>
        <c:grouping val="standard"/>
        <c:ser>
          <c:idx val="0"/>
          <c:order val="0"/>
          <c:tx>
            <c:strRef>
              <c:f>Feuil2!$A$2</c:f>
              <c:strCache>
                <c:ptCount val="1"/>
                <c:pt idx="0">
                  <c:v>Urbain</c:v>
                </c:pt>
              </c:strCache>
            </c:strRef>
          </c:tx>
          <c:dLbls>
            <c:txPr>
              <a:bodyPr/>
              <a:lstStyle/>
              <a:p>
                <a:pPr>
                  <a:defRPr>
                    <a:latin typeface="Garamond" pitchFamily="18" charset="0"/>
                  </a:defRPr>
                </a:pPr>
                <a:endParaRPr lang="fr-FR"/>
              </a:p>
            </c:txPr>
            <c:dLblPos val="t"/>
            <c:showVal val="1"/>
          </c:dLbls>
          <c:cat>
            <c:numRef>
              <c:f>Feuil2!$B$1:$E$1</c:f>
              <c:numCache>
                <c:formatCode>General</c:formatCode>
                <c:ptCount val="4"/>
                <c:pt idx="0">
                  <c:v>2010</c:v>
                </c:pt>
                <c:pt idx="1">
                  <c:v>2011</c:v>
                </c:pt>
                <c:pt idx="2">
                  <c:v>2012</c:v>
                </c:pt>
                <c:pt idx="3">
                  <c:v>2013</c:v>
                </c:pt>
              </c:numCache>
            </c:numRef>
          </c:cat>
          <c:val>
            <c:numRef>
              <c:f>Feuil2!$B$2:$E$2</c:f>
              <c:numCache>
                <c:formatCode>#,##0.0</c:formatCode>
                <c:ptCount val="4"/>
                <c:pt idx="0">
                  <c:v>12.658333893220062</c:v>
                </c:pt>
                <c:pt idx="1">
                  <c:v>13.476589887949482</c:v>
                </c:pt>
                <c:pt idx="2">
                  <c:v>12.317658473133568</c:v>
                </c:pt>
                <c:pt idx="3">
                  <c:v>13.762495196278964</c:v>
                </c:pt>
              </c:numCache>
            </c:numRef>
          </c:val>
        </c:ser>
        <c:ser>
          <c:idx val="1"/>
          <c:order val="1"/>
          <c:tx>
            <c:strRef>
              <c:f>Feuil2!$A$3</c:f>
              <c:strCache>
                <c:ptCount val="1"/>
                <c:pt idx="0">
                  <c:v>Rural</c:v>
                </c:pt>
              </c:strCache>
            </c:strRef>
          </c:tx>
          <c:dLbls>
            <c:txPr>
              <a:bodyPr/>
              <a:lstStyle/>
              <a:p>
                <a:pPr>
                  <a:defRPr>
                    <a:latin typeface="Garamond" pitchFamily="18" charset="0"/>
                  </a:defRPr>
                </a:pPr>
                <a:endParaRPr lang="fr-FR"/>
              </a:p>
            </c:txPr>
            <c:dLblPos val="t"/>
            <c:showVal val="1"/>
          </c:dLbls>
          <c:cat>
            <c:numRef>
              <c:f>Feuil2!$B$1:$E$1</c:f>
              <c:numCache>
                <c:formatCode>General</c:formatCode>
                <c:ptCount val="4"/>
                <c:pt idx="0">
                  <c:v>2010</c:v>
                </c:pt>
                <c:pt idx="1">
                  <c:v>2011</c:v>
                </c:pt>
                <c:pt idx="2">
                  <c:v>2012</c:v>
                </c:pt>
                <c:pt idx="3">
                  <c:v>2013</c:v>
                </c:pt>
              </c:numCache>
            </c:numRef>
          </c:cat>
          <c:val>
            <c:numRef>
              <c:f>Feuil2!$B$3:$E$3</c:f>
              <c:numCache>
                <c:formatCode>#,##0.0</c:formatCode>
                <c:ptCount val="4"/>
                <c:pt idx="0">
                  <c:v>3.3211151223353959</c:v>
                </c:pt>
                <c:pt idx="1">
                  <c:v>3.5846207683135529</c:v>
                </c:pt>
                <c:pt idx="2">
                  <c:v>3.4563773476788109</c:v>
                </c:pt>
                <c:pt idx="3">
                  <c:v>3.1687612046845297</c:v>
                </c:pt>
              </c:numCache>
            </c:numRef>
          </c:val>
        </c:ser>
        <c:ser>
          <c:idx val="2"/>
          <c:order val="2"/>
          <c:tx>
            <c:strRef>
              <c:f>Feuil2!$A$4</c:f>
              <c:strCache>
                <c:ptCount val="1"/>
                <c:pt idx="0">
                  <c:v>National</c:v>
                </c:pt>
              </c:strCache>
            </c:strRef>
          </c:tx>
          <c:dLbls>
            <c:txPr>
              <a:bodyPr/>
              <a:lstStyle/>
              <a:p>
                <a:pPr>
                  <a:defRPr>
                    <a:latin typeface="Garamond" pitchFamily="18" charset="0"/>
                  </a:defRPr>
                </a:pPr>
                <a:endParaRPr lang="fr-FR"/>
              </a:p>
            </c:txPr>
            <c:dLblPos val="t"/>
            <c:showVal val="1"/>
          </c:dLbls>
          <c:cat>
            <c:numRef>
              <c:f>Feuil2!$B$1:$E$1</c:f>
              <c:numCache>
                <c:formatCode>General</c:formatCode>
                <c:ptCount val="4"/>
                <c:pt idx="0">
                  <c:v>2010</c:v>
                </c:pt>
                <c:pt idx="1">
                  <c:v>2011</c:v>
                </c:pt>
                <c:pt idx="2">
                  <c:v>2012</c:v>
                </c:pt>
                <c:pt idx="3">
                  <c:v>2013</c:v>
                </c:pt>
              </c:numCache>
            </c:numRef>
          </c:cat>
          <c:val>
            <c:numRef>
              <c:f>Feuil2!$B$4:$E$4</c:f>
              <c:numCache>
                <c:formatCode>#,##0.0</c:formatCode>
                <c:ptCount val="4"/>
                <c:pt idx="0">
                  <c:v>8.1617483274665279</c:v>
                </c:pt>
                <c:pt idx="1">
                  <c:v>8.7433033547461179</c:v>
                </c:pt>
                <c:pt idx="2">
                  <c:v>8.141262677572648</c:v>
                </c:pt>
                <c:pt idx="3">
                  <c:v>8.8117218254663854</c:v>
                </c:pt>
              </c:numCache>
            </c:numRef>
          </c:val>
        </c:ser>
        <c:marker val="1"/>
        <c:axId val="101081472"/>
        <c:axId val="101083008"/>
      </c:lineChart>
      <c:catAx>
        <c:axId val="101081472"/>
        <c:scaling>
          <c:orientation val="minMax"/>
        </c:scaling>
        <c:axPos val="b"/>
        <c:numFmt formatCode="General" sourceLinked="1"/>
        <c:tickLblPos val="nextTo"/>
        <c:crossAx val="101083008"/>
        <c:crosses val="autoZero"/>
        <c:auto val="1"/>
        <c:lblAlgn val="ctr"/>
        <c:lblOffset val="100"/>
      </c:catAx>
      <c:valAx>
        <c:axId val="101083008"/>
        <c:scaling>
          <c:orientation val="minMax"/>
        </c:scaling>
        <c:delete val="1"/>
        <c:axPos val="l"/>
        <c:numFmt formatCode="#,##0.0" sourceLinked="1"/>
        <c:tickLblPos val="none"/>
        <c:crossAx val="101081472"/>
        <c:crosses val="autoZero"/>
        <c:crossBetween val="between"/>
      </c:valAx>
    </c:plotArea>
    <c:legend>
      <c:legendPos val="b"/>
      <c:txPr>
        <a:bodyPr/>
        <a:lstStyle/>
        <a:p>
          <a:pPr>
            <a:defRPr>
              <a:latin typeface="Garamond" pitchFamily="18" charset="0"/>
            </a:defRPr>
          </a:pPr>
          <a:endParaRPr lang="fr-FR"/>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2.7777777777777877E-2"/>
          <c:y val="9.7222222222222238E-2"/>
          <c:w val="0.93888888888888988"/>
          <c:h val="0.69786708953047571"/>
        </c:manualLayout>
      </c:layout>
      <c:lineChart>
        <c:grouping val="standard"/>
        <c:ser>
          <c:idx val="0"/>
          <c:order val="0"/>
          <c:tx>
            <c:strRef>
              <c:f>T_chômage!$B$3</c:f>
              <c:strCache>
                <c:ptCount val="1"/>
                <c:pt idx="0">
                  <c:v>Urbain</c:v>
                </c:pt>
              </c:strCache>
            </c:strRef>
          </c:tx>
          <c:dLbls>
            <c:txPr>
              <a:bodyPr/>
              <a:lstStyle/>
              <a:p>
                <a:pPr>
                  <a:defRPr sz="1000">
                    <a:latin typeface="Garamond" pitchFamily="18" charset="0"/>
                  </a:defRPr>
                </a:pPr>
                <a:endParaRPr lang="fr-FR"/>
              </a:p>
            </c:txPr>
            <c:dLblPos val="b"/>
            <c:showVal val="1"/>
          </c:dLbls>
          <c:cat>
            <c:numRef>
              <c:f>T_chômage!$C$2:$F$2</c:f>
              <c:numCache>
                <c:formatCode>General</c:formatCode>
                <c:ptCount val="4"/>
                <c:pt idx="0">
                  <c:v>2010</c:v>
                </c:pt>
                <c:pt idx="1">
                  <c:v>2011</c:v>
                </c:pt>
                <c:pt idx="2">
                  <c:v>2012</c:v>
                </c:pt>
                <c:pt idx="3">
                  <c:v>2013</c:v>
                </c:pt>
              </c:numCache>
            </c:numRef>
          </c:cat>
          <c:val>
            <c:numRef>
              <c:f>T_chômage!$C$3:$F$3</c:f>
              <c:numCache>
                <c:formatCode>#,##0.0</c:formatCode>
                <c:ptCount val="4"/>
                <c:pt idx="0">
                  <c:v>9.6257331489697968</c:v>
                </c:pt>
                <c:pt idx="1">
                  <c:v>9.7327337536906615</c:v>
                </c:pt>
                <c:pt idx="2">
                  <c:v>8.7960274357439729</c:v>
                </c:pt>
                <c:pt idx="3">
                  <c:v>7.8839225574750946</c:v>
                </c:pt>
              </c:numCache>
            </c:numRef>
          </c:val>
        </c:ser>
        <c:ser>
          <c:idx val="1"/>
          <c:order val="1"/>
          <c:tx>
            <c:strRef>
              <c:f>T_chômage!$B$4</c:f>
              <c:strCache>
                <c:ptCount val="1"/>
                <c:pt idx="0">
                  <c:v>Rural</c:v>
                </c:pt>
              </c:strCache>
            </c:strRef>
          </c:tx>
          <c:dLbls>
            <c:txPr>
              <a:bodyPr/>
              <a:lstStyle/>
              <a:p>
                <a:pPr>
                  <a:defRPr sz="1000">
                    <a:latin typeface="Garamond" pitchFamily="18" charset="0"/>
                  </a:defRPr>
                </a:pPr>
                <a:endParaRPr lang="fr-FR"/>
              </a:p>
            </c:txPr>
            <c:dLblPos val="t"/>
            <c:showVal val="1"/>
          </c:dLbls>
          <c:cat>
            <c:numRef>
              <c:f>T_chômage!$C$2:$F$2</c:f>
              <c:numCache>
                <c:formatCode>General</c:formatCode>
                <c:ptCount val="4"/>
                <c:pt idx="0">
                  <c:v>2010</c:v>
                </c:pt>
                <c:pt idx="1">
                  <c:v>2011</c:v>
                </c:pt>
                <c:pt idx="2">
                  <c:v>2012</c:v>
                </c:pt>
                <c:pt idx="3">
                  <c:v>2013</c:v>
                </c:pt>
              </c:numCache>
            </c:numRef>
          </c:cat>
          <c:val>
            <c:numRef>
              <c:f>T_chômage!$C$4:$F$4</c:f>
              <c:numCache>
                <c:formatCode>#,##0.0</c:formatCode>
                <c:ptCount val="4"/>
                <c:pt idx="0">
                  <c:v>12.807067094207422</c:v>
                </c:pt>
                <c:pt idx="1">
                  <c:v>11.738993573306526</c:v>
                </c:pt>
                <c:pt idx="2">
                  <c:v>10.404203485470463</c:v>
                </c:pt>
                <c:pt idx="3">
                  <c:v>9.9120419322623068</c:v>
                </c:pt>
              </c:numCache>
            </c:numRef>
          </c:val>
        </c:ser>
        <c:ser>
          <c:idx val="2"/>
          <c:order val="2"/>
          <c:tx>
            <c:strRef>
              <c:f>T_chômage!$B$5</c:f>
              <c:strCache>
                <c:ptCount val="1"/>
                <c:pt idx="0">
                  <c:v>National</c:v>
                </c:pt>
              </c:strCache>
            </c:strRef>
          </c:tx>
          <c:dLbls>
            <c:dLbl>
              <c:idx val="1"/>
              <c:layout>
                <c:manualLayout>
                  <c:x val="-2.77777777777779E-3"/>
                  <c:y val="-2.3148148148148147E-2"/>
                </c:manualLayout>
              </c:layout>
              <c:dLblPos val="r"/>
              <c:showVal val="1"/>
            </c:dLbl>
            <c:dLbl>
              <c:idx val="2"/>
              <c:layout>
                <c:manualLayout>
                  <c:x val="0"/>
                  <c:y val="-2.7777777777777877E-2"/>
                </c:manualLayout>
              </c:layout>
              <c:dLblPos val="r"/>
              <c:showVal val="1"/>
            </c:dLbl>
            <c:dLbl>
              <c:idx val="3"/>
              <c:layout>
                <c:manualLayout>
                  <c:x val="-2.7777777777776898E-3"/>
                  <c:y val="-2.7777777777777877E-2"/>
                </c:manualLayout>
              </c:layout>
              <c:dLblPos val="r"/>
              <c:showVal val="1"/>
            </c:dLbl>
            <c:txPr>
              <a:bodyPr/>
              <a:lstStyle/>
              <a:p>
                <a:pPr>
                  <a:defRPr sz="1000">
                    <a:latin typeface="Garamond" pitchFamily="18" charset="0"/>
                  </a:defRPr>
                </a:pPr>
                <a:endParaRPr lang="fr-FR"/>
              </a:p>
            </c:txPr>
            <c:dLblPos val="b"/>
            <c:showVal val="1"/>
          </c:dLbls>
          <c:cat>
            <c:numRef>
              <c:f>T_chômage!$C$2:$F$2</c:f>
              <c:numCache>
                <c:formatCode>General</c:formatCode>
                <c:ptCount val="4"/>
                <c:pt idx="0">
                  <c:v>2010</c:v>
                </c:pt>
                <c:pt idx="1">
                  <c:v>2011</c:v>
                </c:pt>
                <c:pt idx="2">
                  <c:v>2012</c:v>
                </c:pt>
                <c:pt idx="3">
                  <c:v>2013</c:v>
                </c:pt>
              </c:numCache>
            </c:numRef>
          </c:cat>
          <c:val>
            <c:numRef>
              <c:f>T_chômage!$C$5:$F$5</c:f>
              <c:numCache>
                <c:formatCode>#,##0.0</c:formatCode>
                <c:ptCount val="4"/>
                <c:pt idx="0">
                  <c:v>11.238540937694108</c:v>
                </c:pt>
                <c:pt idx="1">
                  <c:v>10.75</c:v>
                </c:pt>
                <c:pt idx="2">
                  <c:v>9.5926302652286957</c:v>
                </c:pt>
                <c:pt idx="3">
                  <c:v>8.8903766476954385</c:v>
                </c:pt>
              </c:numCache>
            </c:numRef>
          </c:val>
        </c:ser>
        <c:dLbls>
          <c:showVal val="1"/>
        </c:dLbls>
        <c:marker val="1"/>
        <c:axId val="108351488"/>
        <c:axId val="108353024"/>
      </c:lineChart>
      <c:catAx>
        <c:axId val="108351488"/>
        <c:scaling>
          <c:orientation val="minMax"/>
        </c:scaling>
        <c:axPos val="b"/>
        <c:numFmt formatCode="General" sourceLinked="1"/>
        <c:majorTickMark val="none"/>
        <c:tickLblPos val="nextTo"/>
        <c:txPr>
          <a:bodyPr/>
          <a:lstStyle/>
          <a:p>
            <a:pPr>
              <a:defRPr sz="1000">
                <a:latin typeface="Garamond" pitchFamily="18" charset="0"/>
              </a:defRPr>
            </a:pPr>
            <a:endParaRPr lang="fr-FR"/>
          </a:p>
        </c:txPr>
        <c:crossAx val="108353024"/>
        <c:crosses val="autoZero"/>
        <c:auto val="1"/>
        <c:lblAlgn val="ctr"/>
        <c:lblOffset val="100"/>
      </c:catAx>
      <c:valAx>
        <c:axId val="108353024"/>
        <c:scaling>
          <c:orientation val="minMax"/>
          <c:min val="6"/>
        </c:scaling>
        <c:delete val="1"/>
        <c:axPos val="l"/>
        <c:numFmt formatCode="#,##0.0" sourceLinked="1"/>
        <c:tickLblPos val="none"/>
        <c:crossAx val="108351488"/>
        <c:crosses val="autoZero"/>
        <c:crossBetween val="between"/>
      </c:valAx>
    </c:plotArea>
    <c:legend>
      <c:legendPos val="b"/>
      <c:txPr>
        <a:bodyPr/>
        <a:lstStyle/>
        <a:p>
          <a:pPr>
            <a:defRPr sz="1000">
              <a:latin typeface="Garamond" pitchFamily="18" charset="0"/>
            </a:defRPr>
          </a:pPr>
          <a:endParaRPr lang="fr-FR"/>
        </a:p>
      </c:txPr>
    </c:legend>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1411</Words>
  <Characters>7763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9156</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GUENOUNI</dc:creator>
  <cp:lastModifiedBy>user</cp:lastModifiedBy>
  <cp:revision>2</cp:revision>
  <cp:lastPrinted>2013-08-03T13:27:00Z</cp:lastPrinted>
  <dcterms:created xsi:type="dcterms:W3CDTF">2013-08-04T14:40:00Z</dcterms:created>
  <dcterms:modified xsi:type="dcterms:W3CDTF">2013-08-04T14:40:00Z</dcterms:modified>
</cp:coreProperties>
</file>