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9F" w:rsidRDefault="00F73D9F"/>
    <w:p w:rsidR="00EE4476" w:rsidRDefault="00EE4476"/>
    <w:p w:rsidR="00EE4476" w:rsidRDefault="00EE4476"/>
    <w:p w:rsidR="00EE4476" w:rsidRDefault="00EE4476"/>
    <w:p w:rsidR="00EE4476" w:rsidRDefault="00EE4476"/>
    <w:p w:rsidR="00EE4476" w:rsidRDefault="00EE4476"/>
    <w:p w:rsidR="00EE4476" w:rsidRDefault="00EE4476" w:rsidP="00EE4476">
      <w:pPr>
        <w:rPr>
          <w:lang w:bidi="ar-MA"/>
        </w:rPr>
      </w:pPr>
    </w:p>
    <w:p w:rsidR="00EE4476" w:rsidRDefault="00EE4476" w:rsidP="00EE4476">
      <w:pPr>
        <w:rPr>
          <w:lang w:bidi="ar-MA"/>
        </w:rPr>
      </w:pPr>
    </w:p>
    <w:p w:rsidR="00EE4476" w:rsidRPr="004671FE" w:rsidRDefault="00EE4476" w:rsidP="00EE447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EE4476" w:rsidRPr="004671FE" w:rsidRDefault="00EE4476" w:rsidP="00EE447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EE4476" w:rsidRDefault="00EE4476" w:rsidP="00EE447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EE4476" w:rsidRPr="004671FE" w:rsidRDefault="00EE4476" w:rsidP="00EE447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MAI 2013</w:t>
      </w:r>
    </w:p>
    <w:p w:rsidR="00EE4476" w:rsidRPr="004671FE" w:rsidRDefault="00EE4476" w:rsidP="00EE4476">
      <w:pPr>
        <w:jc w:val="right"/>
        <w:rPr>
          <w:rFonts w:ascii="Arial" w:hAnsi="Arial" w:cs="Arial"/>
          <w:lang w:bidi="ar-MA"/>
        </w:rPr>
      </w:pPr>
    </w:p>
    <w:p w:rsidR="00EE4476" w:rsidRPr="004671FE" w:rsidRDefault="00EE4476" w:rsidP="00EE4476">
      <w:pPr>
        <w:jc w:val="right"/>
        <w:rPr>
          <w:rFonts w:ascii="Arial" w:hAnsi="Arial" w:cs="Arial"/>
          <w:lang w:bidi="ar-MA"/>
        </w:rPr>
      </w:pPr>
    </w:p>
    <w:p w:rsidR="00EE4476" w:rsidRPr="004E2AF0" w:rsidRDefault="00EE4476" w:rsidP="00EE4476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 </w:t>
      </w:r>
      <w:r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 de 0,5% au cours du mois de mai 2013 par rapport au mois précédent, résultant notamment de la</w:t>
      </w:r>
      <w:r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des prix des légumes de 6,6%, des fruits de 2,8% et des poissons et fruits de mer de 2,2%. </w:t>
      </w:r>
      <w:r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 0,1% </w:t>
      </w:r>
      <w:r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sur une année. </w:t>
      </w:r>
    </w:p>
    <w:p w:rsidR="00EE4476" w:rsidRPr="004E2AF0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E4476" w:rsidRPr="00C954F8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>
        <w:rPr>
          <w:rFonts w:ascii="Arial" w:hAnsi="Arial" w:cs="Arial"/>
          <w:sz w:val="24"/>
          <w:szCs w:val="24"/>
        </w:rPr>
        <w:t>de mai 2013</w:t>
      </w:r>
      <w:r w:rsidRPr="004671FE">
        <w:rPr>
          <w:rFonts w:ascii="Arial" w:hAnsi="Arial" w:cs="Arial"/>
          <w:sz w:val="24"/>
          <w:szCs w:val="24"/>
        </w:rPr>
        <w:t xml:space="preserve">, une </w:t>
      </w:r>
      <w:r>
        <w:rPr>
          <w:rFonts w:ascii="Arial" w:hAnsi="Arial" w:cs="Arial"/>
          <w:sz w:val="24"/>
          <w:szCs w:val="24"/>
        </w:rPr>
        <w:t xml:space="preserve">hausse de 0,5% par rapport </w:t>
      </w:r>
      <w:r w:rsidRPr="004671FE">
        <w:rPr>
          <w:rFonts w:ascii="Arial" w:hAnsi="Arial" w:cs="Arial"/>
          <w:sz w:val="24"/>
          <w:szCs w:val="24"/>
        </w:rPr>
        <w:t>au mois précédent. Ce</w:t>
      </w:r>
      <w:r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d</w:t>
      </w:r>
      <w:r>
        <w:rPr>
          <w:rFonts w:ascii="Arial" w:hAnsi="Arial" w:cs="Arial"/>
          <w:sz w:val="24"/>
          <w:szCs w:val="24"/>
        </w:rPr>
        <w:t>e la hausse de 0,9</w:t>
      </w:r>
      <w:r w:rsidRPr="005662A0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de 0,1% de </w:t>
      </w:r>
      <w:r w:rsidRPr="00C954F8">
        <w:rPr>
          <w:rFonts w:ascii="Arial" w:hAnsi="Arial" w:cs="Arial"/>
          <w:sz w:val="24"/>
          <w:szCs w:val="24"/>
        </w:rPr>
        <w:t>l’indice des produits non alimentaires</w:t>
      </w:r>
      <w:r>
        <w:rPr>
          <w:rFonts w:ascii="Arial" w:hAnsi="Arial" w:cs="Arial"/>
          <w:sz w:val="24"/>
          <w:szCs w:val="24"/>
        </w:rPr>
        <w:t>.</w:t>
      </w:r>
    </w:p>
    <w:p w:rsidR="00EE4476" w:rsidRPr="004671FE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EE4476" w:rsidRPr="00166D20" w:rsidRDefault="00EE4476" w:rsidP="00EE4476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La hausse des prix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 entre </w:t>
      </w:r>
      <w:r>
        <w:rPr>
          <w:rFonts w:ascii="Arial" w:hAnsi="Arial" w:cs="Arial"/>
          <w:sz w:val="24"/>
          <w:szCs w:val="24"/>
        </w:rPr>
        <w:t>avril et mai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2013</w:t>
      </w:r>
      <w:r w:rsidRPr="004671FE">
        <w:rPr>
          <w:rFonts w:ascii="Arial" w:hAnsi="Arial" w:cs="Arial"/>
          <w:sz w:val="24"/>
          <w:szCs w:val="24"/>
        </w:rPr>
        <w:t xml:space="preserve"> concerne </w:t>
      </w:r>
      <w:r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0E3762">
        <w:rPr>
          <w:rFonts w:ascii="Arial" w:hAnsi="Arial" w:cs="Arial"/>
          <w:sz w:val="24"/>
          <w:szCs w:val="24"/>
        </w:rPr>
        <w:t>les «</w:t>
      </w:r>
      <w:r>
        <w:rPr>
          <w:rFonts w:ascii="Arial" w:hAnsi="Arial" w:cs="Arial"/>
          <w:sz w:val="24"/>
          <w:szCs w:val="24"/>
        </w:rPr>
        <w:t>légumes</w:t>
      </w:r>
      <w:r w:rsidRPr="000E3762">
        <w:rPr>
          <w:rFonts w:ascii="Arial" w:hAnsi="Arial" w:cs="Arial"/>
          <w:sz w:val="24"/>
          <w:szCs w:val="24"/>
        </w:rPr>
        <w:t xml:space="preserve">» avec </w:t>
      </w:r>
      <w:r>
        <w:rPr>
          <w:rFonts w:ascii="Arial" w:hAnsi="Arial" w:cs="Arial"/>
          <w:sz w:val="24"/>
          <w:szCs w:val="24"/>
        </w:rPr>
        <w:t>6,6</w:t>
      </w:r>
      <w:r w:rsidRPr="000E3762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 les «fruits» avec 2,8% et les «poissons et fruits de mer» avec 2,2%. En revanche, les prix ont baissé de 0,5% pour les «viandes» et le «lait, fromage et œufs</w:t>
      </w:r>
      <w:proofErr w:type="gramStart"/>
      <w:r>
        <w:rPr>
          <w:rFonts w:ascii="Arial" w:hAnsi="Arial" w:cs="Arial"/>
          <w:sz w:val="24"/>
          <w:szCs w:val="24"/>
        </w:rPr>
        <w:t>» .</w:t>
      </w:r>
      <w:proofErr w:type="gramEnd"/>
    </w:p>
    <w:p w:rsidR="00EE4476" w:rsidRPr="004671FE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0B6C75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 xml:space="preserve">hausses </w:t>
      </w:r>
      <w:r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>
        <w:rPr>
          <w:rFonts w:ascii="Arial" w:hAnsi="Arial" w:cs="Arial"/>
          <w:sz w:val="24"/>
          <w:szCs w:val="24"/>
        </w:rPr>
        <w:t xml:space="preserve">Safi avec 1,5%, à  Al-Hoceima avec 1,0% et à Tétouan, Meknès et Settat avec 0,8%. En revanche, des baisses ont été enregistrées à </w:t>
      </w:r>
      <w:proofErr w:type="spellStart"/>
      <w:r>
        <w:rPr>
          <w:rFonts w:ascii="Arial" w:hAnsi="Arial" w:cs="Arial"/>
          <w:sz w:val="24"/>
          <w:szCs w:val="24"/>
        </w:rPr>
        <w:t>Guelmim</w:t>
      </w:r>
      <w:proofErr w:type="spellEnd"/>
      <w:r>
        <w:rPr>
          <w:rFonts w:ascii="Arial" w:hAnsi="Arial" w:cs="Arial"/>
          <w:sz w:val="24"/>
          <w:szCs w:val="24"/>
        </w:rPr>
        <w:t xml:space="preserve"> et </w:t>
      </w:r>
      <w:proofErr w:type="spellStart"/>
      <w:r>
        <w:rPr>
          <w:rFonts w:ascii="Arial" w:hAnsi="Arial" w:cs="Arial"/>
          <w:sz w:val="24"/>
          <w:szCs w:val="24"/>
        </w:rPr>
        <w:t>Beni</w:t>
      </w:r>
      <w:proofErr w:type="spellEnd"/>
      <w:r>
        <w:rPr>
          <w:rFonts w:ascii="Arial" w:hAnsi="Arial" w:cs="Arial"/>
          <w:sz w:val="24"/>
          <w:szCs w:val="24"/>
        </w:rPr>
        <w:t xml:space="preserve">-Mellal avec 0,2%. </w:t>
      </w:r>
    </w:p>
    <w:p w:rsidR="00EE4476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</w:rPr>
        <w:t>même mois de l’année précédente,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enregistré</w:t>
      </w:r>
      <w:r>
        <w:rPr>
          <w:rFonts w:ascii="Arial" w:hAnsi="Arial" w:cs="Arial"/>
          <w:sz w:val="24"/>
          <w:szCs w:val="24"/>
        </w:rPr>
        <w:t xml:space="preserve"> une hausse de 2,8%</w:t>
      </w:r>
      <w:r w:rsidRPr="00684F8E">
        <w:rPr>
          <w:rFonts w:ascii="Arial" w:hAnsi="Arial" w:cs="Arial"/>
          <w:sz w:val="24"/>
          <w:szCs w:val="24"/>
        </w:rPr>
        <w:t xml:space="preserve"> au cours du mois </w:t>
      </w:r>
      <w:r>
        <w:rPr>
          <w:rFonts w:ascii="Arial" w:hAnsi="Arial" w:cs="Arial"/>
          <w:sz w:val="24"/>
          <w:szCs w:val="24"/>
        </w:rPr>
        <w:t>de mai</w:t>
      </w:r>
      <w:r w:rsidRPr="00166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2013.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Cette variation résulte de la </w:t>
      </w:r>
      <w:r>
        <w:rPr>
          <w:rFonts w:ascii="Arial" w:hAnsi="Arial" w:cs="Arial"/>
          <w:sz w:val="24"/>
          <w:szCs w:val="24"/>
        </w:rPr>
        <w:t>hausse</w:t>
      </w:r>
      <w:r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>
        <w:rPr>
          <w:rFonts w:ascii="Arial" w:hAnsi="Arial" w:cs="Arial"/>
          <w:sz w:val="24"/>
          <w:szCs w:val="24"/>
        </w:rPr>
        <w:t>3,4</w:t>
      </w:r>
      <w:r w:rsidRPr="008D538D">
        <w:rPr>
          <w:rFonts w:ascii="Arial" w:hAnsi="Arial" w:cs="Arial"/>
          <w:sz w:val="24"/>
          <w:szCs w:val="24"/>
        </w:rPr>
        <w:t>% et</w:t>
      </w:r>
      <w:r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>
        <w:rPr>
          <w:rFonts w:ascii="Arial" w:hAnsi="Arial" w:cs="Arial"/>
          <w:sz w:val="24"/>
          <w:szCs w:val="24"/>
        </w:rPr>
        <w:t>2,4</w:t>
      </w:r>
      <w:r w:rsidRPr="008D538D">
        <w:rPr>
          <w:rFonts w:ascii="Arial" w:hAnsi="Arial" w:cs="Arial"/>
          <w:sz w:val="24"/>
          <w:szCs w:val="24"/>
        </w:rPr>
        <w:t>%.</w:t>
      </w:r>
      <w:r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>
        <w:rPr>
          <w:rFonts w:ascii="Arial" w:hAnsi="Arial" w:cs="Arial"/>
          <w:spacing w:val="-2"/>
          <w:sz w:val="24"/>
          <w:szCs w:val="24"/>
        </w:rPr>
        <w:t>0,3</w:t>
      </w:r>
      <w:r w:rsidRPr="006637DA">
        <w:rPr>
          <w:rFonts w:ascii="Arial" w:hAnsi="Arial" w:cs="Arial"/>
          <w:spacing w:val="-2"/>
          <w:sz w:val="24"/>
          <w:szCs w:val="24"/>
        </w:rPr>
        <w:t>% pour les «</w:t>
      </w:r>
      <w:r>
        <w:rPr>
          <w:rFonts w:ascii="Arial" w:hAnsi="Arial" w:cs="Arial"/>
          <w:spacing w:val="-2"/>
          <w:sz w:val="24"/>
          <w:szCs w:val="24"/>
        </w:rPr>
        <w:t>communications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>
        <w:rPr>
          <w:rFonts w:ascii="Arial" w:hAnsi="Arial" w:cs="Arial"/>
          <w:spacing w:val="-2"/>
          <w:sz w:val="24"/>
          <w:szCs w:val="24"/>
        </w:rPr>
        <w:t>6</w:t>
      </w:r>
      <w:r w:rsidRPr="006637DA">
        <w:rPr>
          <w:rFonts w:ascii="Arial" w:hAnsi="Arial" w:cs="Arial"/>
          <w:spacing w:val="-2"/>
          <w:sz w:val="24"/>
          <w:szCs w:val="24"/>
        </w:rPr>
        <w:t>,</w:t>
      </w:r>
      <w:r>
        <w:rPr>
          <w:rFonts w:ascii="Arial" w:hAnsi="Arial" w:cs="Arial"/>
          <w:spacing w:val="-2"/>
          <w:sz w:val="24"/>
          <w:szCs w:val="24"/>
        </w:rPr>
        <w:t>1</w:t>
      </w:r>
      <w:r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EE4476" w:rsidRPr="004671FE" w:rsidRDefault="00EE4476" w:rsidP="00EE447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EE4476" w:rsidRPr="00194996" w:rsidRDefault="00EE4476" w:rsidP="00EE447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194996">
        <w:rPr>
          <w:rFonts w:ascii="Arial" w:hAnsi="Arial" w:cs="Arial"/>
          <w:sz w:val="24"/>
          <w:szCs w:val="24"/>
        </w:rPr>
        <w:t>Dans ces conditions, l’indicateur d’inflation sous-jacente, qui exclut les produits à prix volatiles et les produits à tarifs publics, aurait connu au cours du mois d</w:t>
      </w:r>
      <w:r>
        <w:rPr>
          <w:rFonts w:ascii="Arial" w:hAnsi="Arial" w:cs="Arial"/>
          <w:sz w:val="24"/>
          <w:szCs w:val="24"/>
        </w:rPr>
        <w:t>e mai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3</w:t>
      </w:r>
      <w:r w:rsidRPr="00194996">
        <w:rPr>
          <w:rFonts w:ascii="Arial" w:hAnsi="Arial" w:cs="Arial"/>
          <w:sz w:val="24"/>
          <w:szCs w:val="24"/>
        </w:rPr>
        <w:t xml:space="preserve"> une </w:t>
      </w:r>
      <w:r>
        <w:rPr>
          <w:rFonts w:ascii="Arial" w:hAnsi="Arial" w:cs="Arial"/>
          <w:sz w:val="24"/>
          <w:szCs w:val="24"/>
        </w:rPr>
        <w:t xml:space="preserve">hausse de 0,1% </w:t>
      </w:r>
      <w:r w:rsidRPr="00194996">
        <w:rPr>
          <w:rFonts w:ascii="Arial" w:hAnsi="Arial" w:cs="Arial"/>
          <w:sz w:val="24"/>
          <w:szCs w:val="24"/>
        </w:rPr>
        <w:t>par rapport au mois d</w:t>
      </w:r>
      <w:r>
        <w:rPr>
          <w:rFonts w:ascii="Arial" w:hAnsi="Arial" w:cs="Arial"/>
          <w:sz w:val="24"/>
          <w:szCs w:val="24"/>
        </w:rPr>
        <w:t>’avril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3</w:t>
      </w:r>
      <w:r w:rsidRPr="00194996">
        <w:rPr>
          <w:rFonts w:ascii="Arial" w:hAnsi="Arial" w:cs="Arial"/>
          <w:sz w:val="24"/>
          <w:szCs w:val="24"/>
        </w:rPr>
        <w:t xml:space="preserve"> et de </w:t>
      </w:r>
      <w:r>
        <w:rPr>
          <w:rFonts w:ascii="Arial" w:hAnsi="Arial" w:cs="Arial"/>
          <w:sz w:val="24"/>
          <w:szCs w:val="24"/>
        </w:rPr>
        <w:t>2</w:t>
      </w:r>
      <w:r w:rsidRPr="0019499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 w:rsidRPr="00194996">
        <w:rPr>
          <w:rFonts w:ascii="Arial" w:hAnsi="Arial" w:cs="Arial"/>
          <w:sz w:val="24"/>
          <w:szCs w:val="24"/>
        </w:rPr>
        <w:t>% par rapport au mois d</w:t>
      </w:r>
      <w:r>
        <w:rPr>
          <w:rFonts w:ascii="Arial" w:hAnsi="Arial" w:cs="Arial"/>
          <w:sz w:val="24"/>
          <w:szCs w:val="24"/>
        </w:rPr>
        <w:t>e mai</w:t>
      </w:r>
      <w:r w:rsidRPr="00194996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2</w:t>
      </w:r>
      <w:r w:rsidRPr="00194996">
        <w:rPr>
          <w:rFonts w:ascii="Arial" w:hAnsi="Arial" w:cs="Arial"/>
          <w:sz w:val="24"/>
          <w:szCs w:val="24"/>
        </w:rPr>
        <w:t>.</w:t>
      </w:r>
    </w:p>
    <w:p w:rsidR="00EE4476" w:rsidRPr="004671FE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4476" w:rsidRPr="004671FE" w:rsidRDefault="00EE4476" w:rsidP="00EE447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EE4476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E4476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E4476" w:rsidRPr="004671FE" w:rsidRDefault="00EE4476" w:rsidP="00EE447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EE4476" w:rsidRPr="004671FE" w:rsidRDefault="00EE4476" w:rsidP="00EE447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E4476" w:rsidRDefault="00EE4476" w:rsidP="00EE447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E4476" w:rsidRDefault="00EE4476" w:rsidP="00EE447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E4476" w:rsidRPr="00402008" w:rsidRDefault="00EE4476" w:rsidP="00EE4476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EE4476" w:rsidRPr="00402008" w:rsidRDefault="00EE4476" w:rsidP="00EE447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EE4476" w:rsidRPr="00402008" w:rsidRDefault="00EE4476" w:rsidP="00EE447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EE4476" w:rsidRPr="00402008" w:rsidRDefault="00EE4476" w:rsidP="00EE447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EE4476" w:rsidRPr="00402008" w:rsidRDefault="00EE4476" w:rsidP="00EE447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EE4476" w:rsidRPr="00402008" w:rsidTr="00D331EB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402008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EE4476" w:rsidRPr="00402008" w:rsidTr="00D331EB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 2013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 2013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E4476" w:rsidRPr="00402008" w:rsidTr="00D331EB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4476" w:rsidRPr="00402008" w:rsidTr="00D331EB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E4476" w:rsidRPr="00402008" w:rsidTr="00D331EB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E4476" w:rsidRPr="00402008" w:rsidTr="00D331EB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EE4476" w:rsidRPr="00DB00D9" w:rsidRDefault="00EE4476" w:rsidP="00EE447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E4476" w:rsidRPr="00703CB8" w:rsidRDefault="00EE4476" w:rsidP="00EE4476">
      <w:pPr>
        <w:jc w:val="right"/>
        <w:rPr>
          <w:rFonts w:cs="Times New Roman"/>
          <w:b/>
          <w:i/>
          <w:spacing w:val="-2"/>
        </w:rPr>
      </w:pPr>
    </w:p>
    <w:p w:rsidR="00EE4476" w:rsidRPr="00402008" w:rsidRDefault="00EE4476" w:rsidP="00EE4476">
      <w:pPr>
        <w:jc w:val="right"/>
        <w:rPr>
          <w:rFonts w:cs="Times New Roman"/>
          <w:b/>
          <w:i/>
          <w:spacing w:val="-2"/>
        </w:rPr>
      </w:pPr>
    </w:p>
    <w:p w:rsidR="00EE4476" w:rsidRPr="00402008" w:rsidRDefault="00EE4476" w:rsidP="00EE4476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EE4476" w:rsidRPr="00402008" w:rsidTr="00D331EB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402008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>
              <w:rPr>
                <w:rFonts w:cs="Times New Roman"/>
                <w:b/>
                <w:bCs/>
              </w:rPr>
              <w:t xml:space="preserve">cinq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EE4476" w:rsidRPr="00402008" w:rsidTr="00D331EB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 2012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324B4E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 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793709" w:rsidRDefault="00EE4476" w:rsidP="00D331E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E4476" w:rsidRPr="00402008" w:rsidTr="00D331E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-10,4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EE4476" w:rsidRPr="00402008" w:rsidTr="00D331E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E4476" w:rsidRPr="00402008" w:rsidTr="00D331E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E4476" w:rsidRPr="00402008" w:rsidTr="00D331EB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EE4476" w:rsidRPr="00DB00D9" w:rsidRDefault="00EE4476" w:rsidP="00EE447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E4476" w:rsidRPr="004671FE" w:rsidRDefault="00EE4476" w:rsidP="00EE4476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Pr="004671FE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EE4476" w:rsidRPr="00402008" w:rsidRDefault="00EE4476" w:rsidP="00EE447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EE4476" w:rsidRPr="00402008" w:rsidRDefault="00EE4476" w:rsidP="00EE4476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EE4476" w:rsidRPr="00402008" w:rsidTr="00D331EB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4476" w:rsidRPr="00402008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23C2D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cinq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EE4476" w:rsidRPr="00402008" w:rsidTr="00D331EB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  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  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DB00D9" w:rsidRDefault="00EE4476" w:rsidP="00D331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E4476" w:rsidRPr="00B0316A" w:rsidTr="00D331EB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E4476" w:rsidRPr="00B0316A" w:rsidTr="00D331EB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E4476" w:rsidRPr="00B0316A" w:rsidTr="00D331EB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E4476" w:rsidRPr="00B0316A" w:rsidTr="00D331EB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Pr="00402008" w:rsidRDefault="00EE4476" w:rsidP="00D331EB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4476" w:rsidRDefault="00EE4476" w:rsidP="00D331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EE4476" w:rsidRPr="00DB00D9" w:rsidRDefault="00EE4476" w:rsidP="00EE447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E4476" w:rsidRPr="00EE4476" w:rsidRDefault="00EE4476"/>
    <w:sectPr w:rsidR="00EE4476" w:rsidRPr="00EE4476" w:rsidSect="00EE4476">
      <w:pgSz w:w="11906" w:h="16838"/>
      <w:pgMar w:top="720" w:right="1418" w:bottom="539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EE4476"/>
    <w:rsid w:val="00EE4476"/>
    <w:rsid w:val="00F7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7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EE4476"/>
    <w:pPr>
      <w:keepNext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EE4476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EE4476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EE4476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776</Words>
  <Characters>4271</Characters>
  <Application>Microsoft Office Word</Application>
  <DocSecurity>0</DocSecurity>
  <Lines>35</Lines>
  <Paragraphs>10</Paragraphs>
  <ScaleCrop>false</ScaleCrop>
  <Company>HP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2013-06-19T21:10:00Z</dcterms:created>
  <dcterms:modified xsi:type="dcterms:W3CDTF">2013-06-19T21:16:00Z</dcterms:modified>
</cp:coreProperties>
</file>