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 xml:space="preserve">          </w:t>
      </w: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0D4077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9E682C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5D63D7" w:rsidRPr="005D63D7" w:rsidRDefault="005D63D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  <w:sz w:val="36"/>
          <w:szCs w:val="36"/>
        </w:rPr>
      </w:pPr>
    </w:p>
    <w:p w:rsidR="005041F1" w:rsidRDefault="005041F1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</w:p>
    <w:p w:rsidR="00912704" w:rsidRPr="00BD2D08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 w:rsidRPr="00BD2D08">
        <w:rPr>
          <w:rFonts w:ascii="Book Antiqua" w:hAnsi="Book Antiqua" w:cs="Times New Roman"/>
          <w:b/>
          <w:bCs/>
          <w:color w:val="9A3366"/>
        </w:rPr>
        <w:t>Note d’information</w:t>
      </w:r>
      <w:r w:rsidR="0069792B">
        <w:rPr>
          <w:rFonts w:ascii="Book Antiqua" w:hAnsi="Book Antiqua" w:cs="Times New Roman"/>
          <w:b/>
          <w:bCs/>
          <w:color w:val="9A3366"/>
        </w:rPr>
        <w:t xml:space="preserve"> du Haut-commissariat au Plan</w:t>
      </w:r>
    </w:p>
    <w:p w:rsidR="00912704" w:rsidRPr="00BD2D08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>R</w:t>
      </w:r>
      <w:r w:rsidR="00912704" w:rsidRPr="00BD2D08">
        <w:rPr>
          <w:rFonts w:ascii="Book Antiqua" w:hAnsi="Book Antiqua" w:cs="Times New Roman"/>
          <w:b/>
          <w:bCs/>
          <w:color w:val="9A3366"/>
        </w:rPr>
        <w:t xml:space="preserve">ésultats de l’enquête de conjoncture auprès des ménages </w:t>
      </w:r>
    </w:p>
    <w:p w:rsidR="00912704" w:rsidRPr="00BD2D08" w:rsidRDefault="00D66AE3" w:rsidP="003724EE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9A3366"/>
        </w:rPr>
      </w:pPr>
      <w:r>
        <w:rPr>
          <w:rFonts w:ascii="Book Antiqua" w:hAnsi="Book Antiqua" w:cs="Times New Roman"/>
          <w:b/>
          <w:bCs/>
          <w:color w:val="9A3366"/>
        </w:rPr>
        <w:t>Deuxième</w:t>
      </w:r>
      <w:r w:rsidR="003724EE">
        <w:rPr>
          <w:rFonts w:ascii="Book Antiqua" w:hAnsi="Book Antiqua" w:cs="Times New Roman"/>
          <w:b/>
          <w:bCs/>
          <w:color w:val="9A3366"/>
        </w:rPr>
        <w:t xml:space="preserve"> trimestre 2012</w:t>
      </w:r>
    </w:p>
    <w:p w:rsidR="004105E0" w:rsidRPr="005D63D7" w:rsidRDefault="004105E0" w:rsidP="00CF7444">
      <w:pPr>
        <w:widowControl/>
        <w:spacing w:line="276" w:lineRule="auto"/>
        <w:jc w:val="both"/>
        <w:rPr>
          <w:rFonts w:ascii="Book Antiqua" w:hAnsi="Book Antiqua" w:cs="Times New Roman"/>
          <w:color w:val="000000"/>
          <w:sz w:val="36"/>
          <w:szCs w:val="36"/>
        </w:rPr>
      </w:pPr>
    </w:p>
    <w:p w:rsidR="00860E86" w:rsidRDefault="00800D8F" w:rsidP="00D53275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</w:t>
      </w:r>
      <w:r w:rsidRPr="00860E86">
        <w:rPr>
          <w:rFonts w:ascii="Times New Roman" w:hAnsi="Times New Roman" w:cs="Times New Roman"/>
          <w:b/>
          <w:bCs/>
          <w:color w:val="000000"/>
        </w:rPr>
        <w:t xml:space="preserve">u cours du </w:t>
      </w:r>
      <w:r w:rsidR="00D66AE3">
        <w:rPr>
          <w:rFonts w:ascii="Times New Roman" w:hAnsi="Times New Roman" w:cs="Times New Roman"/>
          <w:b/>
          <w:bCs/>
          <w:color w:val="000000"/>
        </w:rPr>
        <w:t>deuxième</w:t>
      </w:r>
      <w:r w:rsidRPr="00860E86">
        <w:rPr>
          <w:rFonts w:ascii="Times New Roman" w:hAnsi="Times New Roman" w:cs="Times New Roman"/>
          <w:b/>
          <w:bCs/>
          <w:color w:val="000000"/>
        </w:rPr>
        <w:t xml:space="preserve"> trimestre de 201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860E86">
        <w:rPr>
          <w:rFonts w:ascii="Times New Roman" w:hAnsi="Times New Roman" w:cs="Times New Roman"/>
          <w:b/>
          <w:bCs/>
          <w:color w:val="000000"/>
        </w:rPr>
        <w:t>,</w:t>
      </w:r>
      <w:r w:rsidR="00860E86" w:rsidRPr="00860E86">
        <w:rPr>
          <w:rFonts w:ascii="Times New Roman" w:hAnsi="Times New Roman" w:cs="Times New Roman"/>
          <w:b/>
          <w:color w:val="000000"/>
        </w:rPr>
        <w:t xml:space="preserve"> l’Indice de Confiance</w:t>
      </w:r>
      <w:r w:rsidR="003A7ECC">
        <w:rPr>
          <w:rFonts w:ascii="Times New Roman" w:hAnsi="Times New Roman" w:cs="Times New Roman"/>
          <w:b/>
          <w:color w:val="000000"/>
        </w:rPr>
        <w:t xml:space="preserve"> des Ménages (ICM)</w:t>
      </w:r>
      <w:r w:rsidR="00860E86" w:rsidRPr="00860E86">
        <w:rPr>
          <w:rFonts w:ascii="Times New Roman" w:hAnsi="Times New Roman" w:cs="Times New Roman"/>
          <w:b/>
          <w:color w:val="000000"/>
        </w:rPr>
        <w:t xml:space="preserve"> </w:t>
      </w:r>
      <w:r w:rsidR="007A4238">
        <w:rPr>
          <w:rFonts w:ascii="Times New Roman" w:hAnsi="Times New Roman" w:cs="Times New Roman"/>
          <w:b/>
          <w:bCs/>
          <w:color w:val="000000"/>
        </w:rPr>
        <w:t>a</w:t>
      </w:r>
      <w:r w:rsidR="00860E86" w:rsidRPr="00860E86">
        <w:rPr>
          <w:rFonts w:ascii="Times New Roman" w:hAnsi="Times New Roman" w:cs="Times New Roman"/>
          <w:b/>
          <w:bCs/>
          <w:color w:val="000000"/>
        </w:rPr>
        <w:t xml:space="preserve"> enregistré une </w:t>
      </w:r>
      <w:r w:rsidR="003C0E95">
        <w:rPr>
          <w:rFonts w:ascii="Times New Roman" w:hAnsi="Times New Roman" w:cs="Times New Roman"/>
          <w:b/>
          <w:bCs/>
          <w:color w:val="000000"/>
        </w:rPr>
        <w:t xml:space="preserve">baisse de </w:t>
      </w:r>
      <w:r w:rsidR="00D53275">
        <w:rPr>
          <w:rFonts w:ascii="Times New Roman" w:hAnsi="Times New Roman" w:cs="Times New Roman"/>
          <w:b/>
          <w:bCs/>
          <w:color w:val="000000"/>
        </w:rPr>
        <w:t>5,1</w:t>
      </w:r>
      <w:r w:rsidR="003C0E95">
        <w:rPr>
          <w:rFonts w:ascii="Times New Roman" w:hAnsi="Times New Roman" w:cs="Times New Roman"/>
          <w:b/>
          <w:bCs/>
          <w:color w:val="000000"/>
        </w:rPr>
        <w:t xml:space="preserve"> point</w:t>
      </w:r>
      <w:r w:rsidR="00D66AE3">
        <w:rPr>
          <w:rFonts w:ascii="Times New Roman" w:hAnsi="Times New Roman" w:cs="Times New Roman"/>
          <w:b/>
          <w:bCs/>
          <w:color w:val="000000"/>
        </w:rPr>
        <w:t>s</w:t>
      </w:r>
      <w:r w:rsidR="003C0E95" w:rsidRPr="00860E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C0E95">
        <w:rPr>
          <w:rFonts w:ascii="Times New Roman" w:hAnsi="Times New Roman" w:cs="Times New Roman"/>
          <w:b/>
          <w:bCs/>
          <w:color w:val="000000"/>
        </w:rPr>
        <w:t xml:space="preserve">par rapport </w:t>
      </w:r>
      <w:r w:rsidR="003C0E95" w:rsidRPr="00860E86">
        <w:rPr>
          <w:rFonts w:ascii="Times New Roman" w:hAnsi="Times New Roman" w:cs="Times New Roman"/>
          <w:b/>
          <w:bCs/>
          <w:color w:val="000000"/>
        </w:rPr>
        <w:t xml:space="preserve">à son niveau </w:t>
      </w:r>
      <w:r w:rsidR="00D53275" w:rsidRPr="00860E86">
        <w:rPr>
          <w:rFonts w:ascii="Times New Roman" w:hAnsi="Times New Roman" w:cs="Times New Roman"/>
          <w:b/>
          <w:bCs/>
          <w:color w:val="000000"/>
        </w:rPr>
        <w:t>au même trimestre de l’année 201</w:t>
      </w:r>
      <w:r w:rsidR="00D53275">
        <w:rPr>
          <w:rFonts w:ascii="Times New Roman" w:hAnsi="Times New Roman" w:cs="Times New Roman"/>
          <w:b/>
          <w:bCs/>
          <w:color w:val="000000"/>
        </w:rPr>
        <w:t>1 et de 2,2 points par rapport au</w:t>
      </w:r>
      <w:r w:rsidR="003C0E95" w:rsidRPr="00860E8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66AE3">
        <w:rPr>
          <w:rFonts w:ascii="Times New Roman" w:hAnsi="Times New Roman" w:cs="Times New Roman"/>
          <w:b/>
          <w:bCs/>
          <w:color w:val="000000"/>
        </w:rPr>
        <w:t>premier</w:t>
      </w:r>
      <w:r w:rsidR="003C0E95" w:rsidRPr="00860E86">
        <w:rPr>
          <w:rFonts w:ascii="Times New Roman" w:hAnsi="Times New Roman" w:cs="Times New Roman"/>
          <w:b/>
          <w:bCs/>
          <w:color w:val="000000"/>
        </w:rPr>
        <w:t xml:space="preserve"> trimestre</w:t>
      </w:r>
      <w:r w:rsidR="00E11BB7">
        <w:rPr>
          <w:rFonts w:ascii="Times New Roman" w:hAnsi="Times New Roman" w:cs="Times New Roman"/>
          <w:b/>
          <w:bCs/>
          <w:color w:val="000000"/>
        </w:rPr>
        <w:t xml:space="preserve"> de </w:t>
      </w:r>
      <w:r w:rsidR="003C0E95" w:rsidRPr="00860E86">
        <w:rPr>
          <w:rFonts w:ascii="Times New Roman" w:hAnsi="Times New Roman" w:cs="Times New Roman"/>
          <w:b/>
          <w:bCs/>
          <w:color w:val="000000"/>
        </w:rPr>
        <w:t>201</w:t>
      </w:r>
      <w:r w:rsidR="00D53275">
        <w:rPr>
          <w:rFonts w:ascii="Times New Roman" w:hAnsi="Times New Roman" w:cs="Times New Roman"/>
          <w:b/>
          <w:bCs/>
          <w:color w:val="000000"/>
        </w:rPr>
        <w:t>2</w:t>
      </w:r>
      <w:r w:rsidR="003C0E95">
        <w:rPr>
          <w:rFonts w:ascii="Times New Roman" w:hAnsi="Times New Roman" w:cs="Times New Roman"/>
          <w:b/>
          <w:bCs/>
          <w:color w:val="000000"/>
        </w:rPr>
        <w:t>.</w:t>
      </w:r>
    </w:p>
    <w:p w:rsidR="00267298" w:rsidRPr="00860E86" w:rsidRDefault="00267298" w:rsidP="003A7ECC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2695A" w:rsidRDefault="00267298" w:rsidP="00B36132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F65398">
        <w:rPr>
          <w:rFonts w:ascii="Times New Roman" w:hAnsi="Times New Roman" w:cs="Times New Roman"/>
          <w:color w:val="000000"/>
        </w:rPr>
        <w:t xml:space="preserve">Au </w:t>
      </w:r>
      <w:r w:rsidR="009E3156">
        <w:rPr>
          <w:rFonts w:ascii="Times New Roman" w:hAnsi="Times New Roman" w:cs="Times New Roman"/>
          <w:color w:val="000000"/>
        </w:rPr>
        <w:t>deuxième</w:t>
      </w:r>
      <w:r w:rsidRPr="00DB06E9">
        <w:rPr>
          <w:rFonts w:ascii="Times New Roman" w:hAnsi="Times New Roman" w:cs="Times New Roman"/>
          <w:color w:val="000000"/>
        </w:rPr>
        <w:t xml:space="preserve"> trimestre de 201</w:t>
      </w:r>
      <w:r w:rsidR="00F65398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, </w:t>
      </w:r>
      <w:r w:rsidR="00E345E9" w:rsidRPr="00DB06E9">
        <w:rPr>
          <w:rFonts w:ascii="Times New Roman" w:hAnsi="Times New Roman" w:cs="Times New Roman"/>
          <w:color w:val="000000"/>
        </w:rPr>
        <w:t>l'ICM (non corrigé des variations saisonnières)</w:t>
      </w:r>
      <w:r w:rsidR="009E3156">
        <w:rPr>
          <w:rFonts w:ascii="Times New Roman" w:hAnsi="Times New Roman" w:cs="Times New Roman"/>
          <w:color w:val="000000"/>
        </w:rPr>
        <w:t xml:space="preserve"> </w:t>
      </w:r>
      <w:r w:rsidR="00B36132">
        <w:rPr>
          <w:rFonts w:ascii="Times New Roman" w:hAnsi="Times New Roman" w:cs="Times New Roman"/>
          <w:color w:val="000000"/>
        </w:rPr>
        <w:t xml:space="preserve">a </w:t>
      </w:r>
      <w:r w:rsidR="009E3156">
        <w:rPr>
          <w:rFonts w:ascii="Times New Roman" w:hAnsi="Times New Roman" w:cs="Times New Roman"/>
          <w:color w:val="000000"/>
        </w:rPr>
        <w:t>continu</w:t>
      </w:r>
      <w:r w:rsidR="00B36132">
        <w:rPr>
          <w:rFonts w:ascii="Times New Roman" w:hAnsi="Times New Roman" w:cs="Times New Roman"/>
          <w:color w:val="000000"/>
        </w:rPr>
        <w:t>é</w:t>
      </w:r>
      <w:r w:rsidR="009E3156">
        <w:rPr>
          <w:rFonts w:ascii="Times New Roman" w:hAnsi="Times New Roman" w:cs="Times New Roman"/>
          <w:color w:val="000000"/>
        </w:rPr>
        <w:t xml:space="preserve"> </w:t>
      </w:r>
      <w:r w:rsidR="00D53275">
        <w:rPr>
          <w:rFonts w:ascii="Times New Roman" w:hAnsi="Times New Roman" w:cs="Times New Roman"/>
          <w:color w:val="000000"/>
        </w:rPr>
        <w:t xml:space="preserve">sur </w:t>
      </w:r>
      <w:r w:rsidR="009E3156">
        <w:rPr>
          <w:rFonts w:ascii="Times New Roman" w:hAnsi="Times New Roman" w:cs="Times New Roman"/>
          <w:color w:val="000000"/>
        </w:rPr>
        <w:t xml:space="preserve">sa tendance baissière entamée depuis le </w:t>
      </w:r>
      <w:r w:rsidR="00D53275">
        <w:rPr>
          <w:rFonts w:ascii="Times New Roman" w:hAnsi="Times New Roman" w:cs="Times New Roman"/>
          <w:color w:val="000000"/>
        </w:rPr>
        <w:t xml:space="preserve">quatrième trimestre </w:t>
      </w:r>
      <w:r w:rsidR="009E3156">
        <w:rPr>
          <w:rFonts w:ascii="Times New Roman" w:hAnsi="Times New Roman" w:cs="Times New Roman"/>
          <w:color w:val="000000"/>
        </w:rPr>
        <w:t>de 2011</w:t>
      </w:r>
      <w:r w:rsidR="00B36132">
        <w:rPr>
          <w:rFonts w:ascii="Times New Roman" w:hAnsi="Times New Roman" w:cs="Times New Roman"/>
          <w:color w:val="000000"/>
        </w:rPr>
        <w:t>,</w:t>
      </w:r>
      <w:r w:rsidR="009E3156">
        <w:rPr>
          <w:rFonts w:ascii="Times New Roman" w:hAnsi="Times New Roman" w:cs="Times New Roman"/>
          <w:color w:val="000000"/>
        </w:rPr>
        <w:t xml:space="preserve"> </w:t>
      </w:r>
      <w:r w:rsidR="00D53275">
        <w:rPr>
          <w:rFonts w:ascii="Times New Roman" w:hAnsi="Times New Roman" w:cs="Times New Roman"/>
          <w:color w:val="000000"/>
        </w:rPr>
        <w:t xml:space="preserve">enregistrant ainsi la troisième baisse consécutive. Il </w:t>
      </w:r>
      <w:r w:rsidR="002D5AAA" w:rsidRPr="00DB06E9">
        <w:rPr>
          <w:rFonts w:ascii="Times New Roman" w:hAnsi="Times New Roman" w:cs="Times New Roman"/>
          <w:color w:val="000000"/>
        </w:rPr>
        <w:t>s’</w:t>
      </w:r>
      <w:r w:rsidR="00D53275">
        <w:rPr>
          <w:rFonts w:ascii="Times New Roman" w:hAnsi="Times New Roman" w:cs="Times New Roman"/>
          <w:color w:val="000000"/>
        </w:rPr>
        <w:t xml:space="preserve">est </w:t>
      </w:r>
      <w:r w:rsidR="002D5AAA">
        <w:rPr>
          <w:rFonts w:ascii="Times New Roman" w:hAnsi="Times New Roman" w:cs="Times New Roman"/>
          <w:color w:val="000000"/>
        </w:rPr>
        <w:t>établi</w:t>
      </w:r>
      <w:r w:rsidR="00E345E9" w:rsidRPr="00DB06E9">
        <w:rPr>
          <w:rFonts w:ascii="Times New Roman" w:hAnsi="Times New Roman" w:cs="Times New Roman"/>
          <w:color w:val="000000"/>
        </w:rPr>
        <w:t xml:space="preserve"> à 8</w:t>
      </w:r>
      <w:r w:rsidR="007B4778">
        <w:rPr>
          <w:rFonts w:ascii="Times New Roman" w:hAnsi="Times New Roman" w:cs="Times New Roman"/>
          <w:color w:val="000000"/>
        </w:rPr>
        <w:t>0</w:t>
      </w:r>
      <w:r w:rsidR="00E345E9" w:rsidRPr="00DB06E9">
        <w:rPr>
          <w:rFonts w:ascii="Times New Roman" w:hAnsi="Times New Roman" w:cs="Times New Roman"/>
          <w:color w:val="000000"/>
        </w:rPr>
        <w:t>,</w:t>
      </w:r>
      <w:r w:rsidR="007B4778">
        <w:rPr>
          <w:rFonts w:ascii="Times New Roman" w:hAnsi="Times New Roman" w:cs="Times New Roman"/>
          <w:color w:val="000000"/>
        </w:rPr>
        <w:t>7</w:t>
      </w:r>
      <w:r w:rsidR="00E345E9" w:rsidRPr="00DB06E9">
        <w:rPr>
          <w:rFonts w:ascii="Times New Roman" w:hAnsi="Times New Roman" w:cs="Times New Roman"/>
          <w:color w:val="000000"/>
        </w:rPr>
        <w:t xml:space="preserve"> points </w:t>
      </w:r>
      <w:r w:rsidR="001037B3">
        <w:rPr>
          <w:rFonts w:ascii="Times New Roman" w:hAnsi="Times New Roman" w:cs="Times New Roman"/>
          <w:color w:val="000000"/>
        </w:rPr>
        <w:t xml:space="preserve">contre </w:t>
      </w:r>
      <w:r w:rsidR="007B4778">
        <w:rPr>
          <w:rFonts w:ascii="Times New Roman" w:hAnsi="Times New Roman" w:cs="Times New Roman"/>
          <w:color w:val="000000"/>
        </w:rPr>
        <w:t>82</w:t>
      </w:r>
      <w:r w:rsidR="00AF5E0B">
        <w:rPr>
          <w:rFonts w:ascii="Times New Roman" w:hAnsi="Times New Roman" w:cs="Times New Roman"/>
          <w:color w:val="000000"/>
        </w:rPr>
        <w:t>,</w:t>
      </w:r>
      <w:r w:rsidR="007B4778">
        <w:rPr>
          <w:rFonts w:ascii="Times New Roman" w:hAnsi="Times New Roman" w:cs="Times New Roman"/>
          <w:color w:val="000000"/>
        </w:rPr>
        <w:t>9</w:t>
      </w:r>
      <w:r w:rsidR="00692444">
        <w:rPr>
          <w:rFonts w:ascii="Times New Roman" w:hAnsi="Times New Roman" w:cs="Times New Roman"/>
          <w:color w:val="000000"/>
        </w:rPr>
        <w:t xml:space="preserve"> points </w:t>
      </w:r>
      <w:r w:rsidR="00D53275">
        <w:rPr>
          <w:rFonts w:ascii="Times New Roman" w:hAnsi="Times New Roman" w:cs="Times New Roman"/>
          <w:color w:val="000000"/>
        </w:rPr>
        <w:t>au</w:t>
      </w:r>
      <w:r w:rsidR="00AF5E0B">
        <w:rPr>
          <w:rFonts w:ascii="Times New Roman" w:hAnsi="Times New Roman" w:cs="Times New Roman"/>
          <w:color w:val="000000"/>
        </w:rPr>
        <w:t xml:space="preserve"> trimestre </w:t>
      </w:r>
      <w:r w:rsidR="00D53275">
        <w:rPr>
          <w:rFonts w:ascii="Times New Roman" w:hAnsi="Times New Roman" w:cs="Times New Roman"/>
          <w:color w:val="000000"/>
        </w:rPr>
        <w:t>précédent</w:t>
      </w:r>
      <w:r w:rsidR="00692444">
        <w:rPr>
          <w:rFonts w:ascii="Times New Roman" w:hAnsi="Times New Roman" w:cs="Times New Roman"/>
          <w:color w:val="000000"/>
        </w:rPr>
        <w:t xml:space="preserve"> </w:t>
      </w:r>
      <w:r w:rsidR="0092695A">
        <w:rPr>
          <w:rFonts w:ascii="Times New Roman" w:hAnsi="Times New Roman" w:cs="Times New Roman"/>
          <w:color w:val="000000"/>
        </w:rPr>
        <w:t xml:space="preserve">et 85,8 points un an </w:t>
      </w:r>
      <w:r w:rsidR="00D53275">
        <w:rPr>
          <w:rFonts w:ascii="Times New Roman" w:hAnsi="Times New Roman" w:cs="Times New Roman"/>
          <w:color w:val="000000"/>
        </w:rPr>
        <w:t>auparavant, soient des</w:t>
      </w:r>
      <w:r w:rsidR="00AF5E0B">
        <w:rPr>
          <w:rFonts w:ascii="Times New Roman" w:hAnsi="Times New Roman" w:cs="Times New Roman"/>
          <w:color w:val="000000"/>
        </w:rPr>
        <w:t xml:space="preserve"> baisse</w:t>
      </w:r>
      <w:r w:rsidR="00D53275">
        <w:rPr>
          <w:rFonts w:ascii="Times New Roman" w:hAnsi="Times New Roman" w:cs="Times New Roman"/>
          <w:color w:val="000000"/>
        </w:rPr>
        <w:t>s</w:t>
      </w:r>
      <w:r w:rsidR="00AF5E0B">
        <w:rPr>
          <w:rFonts w:ascii="Times New Roman" w:hAnsi="Times New Roman" w:cs="Times New Roman"/>
          <w:color w:val="000000"/>
        </w:rPr>
        <w:t xml:space="preserve"> </w:t>
      </w:r>
      <w:r w:rsidR="00D53275">
        <w:rPr>
          <w:rFonts w:ascii="Times New Roman" w:hAnsi="Times New Roman" w:cs="Times New Roman"/>
          <w:color w:val="000000"/>
        </w:rPr>
        <w:t xml:space="preserve">respectives de </w:t>
      </w:r>
      <w:r w:rsidR="007B4778">
        <w:rPr>
          <w:rFonts w:ascii="Times New Roman" w:hAnsi="Times New Roman" w:cs="Times New Roman"/>
          <w:color w:val="000000"/>
        </w:rPr>
        <w:t>2,2</w:t>
      </w:r>
      <w:r w:rsidR="003F3BF4">
        <w:rPr>
          <w:rFonts w:ascii="Times New Roman" w:hAnsi="Times New Roman" w:cs="Times New Roman"/>
          <w:color w:val="000000"/>
        </w:rPr>
        <w:t xml:space="preserve"> </w:t>
      </w:r>
      <w:r w:rsidR="0092695A">
        <w:rPr>
          <w:rFonts w:ascii="Times New Roman" w:hAnsi="Times New Roman" w:cs="Times New Roman"/>
          <w:color w:val="000000"/>
        </w:rPr>
        <w:t>et de 5,1 points.</w:t>
      </w:r>
    </w:p>
    <w:p w:rsidR="00912704" w:rsidRPr="00BD2D08" w:rsidRDefault="00912704" w:rsidP="00CF7444">
      <w:pPr>
        <w:widowControl/>
        <w:spacing w:line="276" w:lineRule="auto"/>
        <w:jc w:val="both"/>
        <w:rPr>
          <w:rFonts w:ascii="Book Antiqua" w:hAnsi="Book Antiqua" w:cs="Times New Roman"/>
          <w:color w:val="000000"/>
        </w:rPr>
      </w:pPr>
    </w:p>
    <w:p w:rsidR="00E5224B" w:rsidRPr="00BD2D08" w:rsidRDefault="00A51B13" w:rsidP="008C02D0">
      <w:pPr>
        <w:widowControl/>
        <w:spacing w:line="276" w:lineRule="auto"/>
        <w:jc w:val="center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noProof/>
          <w:color w:val="000000"/>
        </w:rPr>
        <w:drawing>
          <wp:inline distT="0" distB="0" distL="0" distR="0">
            <wp:extent cx="6295112" cy="3204350"/>
            <wp:effectExtent l="12840" t="5665" r="7758" b="118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4BFB" w:rsidRDefault="009B4BFB" w:rsidP="001B50A1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6F1D72" w:rsidRDefault="009D614B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1</w:t>
      </w:r>
      <w:r w:rsidR="00912704" w:rsidRPr="00DB06E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6F1D72" w:rsidRPr="00DB06E9">
        <w:rPr>
          <w:rFonts w:ascii="Times New Roman" w:hAnsi="Times New Roman" w:cs="Times New Roman"/>
          <w:b/>
          <w:bCs/>
          <w:color w:val="000000"/>
        </w:rPr>
        <w:t xml:space="preserve">Evolution des </w:t>
      </w:r>
      <w:r w:rsidR="00860E86">
        <w:rPr>
          <w:rFonts w:ascii="Times New Roman" w:hAnsi="Times New Roman" w:cs="Times New Roman"/>
          <w:b/>
          <w:bCs/>
          <w:color w:val="000000"/>
        </w:rPr>
        <w:t>composantes de</w:t>
      </w:r>
      <w:r w:rsidR="006F1D72" w:rsidRPr="00DB06E9">
        <w:rPr>
          <w:rFonts w:ascii="Times New Roman" w:hAnsi="Times New Roman" w:cs="Times New Roman"/>
          <w:b/>
          <w:bCs/>
          <w:color w:val="000000"/>
        </w:rPr>
        <w:t xml:space="preserve"> l'ICM</w:t>
      </w:r>
    </w:p>
    <w:p w:rsidR="00435631" w:rsidRPr="002C0E6A" w:rsidRDefault="002C0E6A" w:rsidP="007E0D7B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2C0E6A">
        <w:rPr>
          <w:rFonts w:ascii="Times New Roman" w:hAnsi="Times New Roman" w:cs="Times New Roman"/>
          <w:color w:val="000000"/>
        </w:rPr>
        <w:t xml:space="preserve">Cette évolution de l’ICM est le résultat </w:t>
      </w:r>
      <w:r w:rsidR="007E0D7B">
        <w:rPr>
          <w:rFonts w:ascii="Times New Roman" w:hAnsi="Times New Roman" w:cs="Times New Roman"/>
          <w:color w:val="000000"/>
        </w:rPr>
        <w:t xml:space="preserve">d’une baisse quasi généralisée de ses différentes </w:t>
      </w:r>
      <w:r w:rsidRPr="002C0E6A">
        <w:rPr>
          <w:rFonts w:ascii="Times New Roman" w:hAnsi="Times New Roman" w:cs="Times New Roman"/>
          <w:color w:val="000000"/>
        </w:rPr>
        <w:t xml:space="preserve">composantes. </w:t>
      </w:r>
    </w:p>
    <w:p w:rsidR="00912704" w:rsidRPr="00DB06E9" w:rsidRDefault="00912704" w:rsidP="000D24F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>•</w:t>
      </w:r>
      <w:r w:rsidR="002C5954">
        <w:rPr>
          <w:rFonts w:ascii="Times New Roman" w:hAnsi="Times New Roman" w:cs="Times New Roman"/>
          <w:b/>
          <w:bCs/>
          <w:color w:val="000000"/>
        </w:rPr>
        <w:t>N</w:t>
      </w:r>
      <w:r w:rsidR="00E265E4" w:rsidRPr="00DB06E9">
        <w:rPr>
          <w:rFonts w:ascii="Times New Roman" w:hAnsi="Times New Roman" w:cs="Times New Roman"/>
          <w:b/>
          <w:bCs/>
          <w:color w:val="000000"/>
        </w:rPr>
        <w:t>iveau de vie</w:t>
      </w:r>
      <w:r w:rsidR="00FE3CBE" w:rsidRPr="00DB06E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C5954">
        <w:rPr>
          <w:rFonts w:ascii="Times New Roman" w:hAnsi="Times New Roman" w:cs="Times New Roman"/>
          <w:b/>
          <w:bCs/>
          <w:color w:val="000000"/>
        </w:rPr>
        <w:t xml:space="preserve">au Maroc : </w:t>
      </w:r>
      <w:r w:rsidR="00754325">
        <w:rPr>
          <w:rFonts w:ascii="Times New Roman" w:hAnsi="Times New Roman" w:cs="Times New Roman"/>
          <w:b/>
          <w:bCs/>
          <w:color w:val="000000"/>
        </w:rPr>
        <w:t xml:space="preserve">les ménages </w:t>
      </w:r>
      <w:r w:rsidR="000D24FA">
        <w:rPr>
          <w:rFonts w:ascii="Times New Roman" w:hAnsi="Times New Roman" w:cs="Times New Roman"/>
          <w:b/>
          <w:bCs/>
          <w:color w:val="000000"/>
        </w:rPr>
        <w:t>s’attendent à une détérioration</w:t>
      </w:r>
    </w:p>
    <w:p w:rsidR="00754325" w:rsidRDefault="00754325" w:rsidP="00BE681E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L’opinion des ménages concernant les perspectives d’évolution du niveau de vie en général s’est détériorée au deuxième trimestre de 2012</w:t>
      </w:r>
      <w:r w:rsidR="00A26209">
        <w:rPr>
          <w:rFonts w:ascii="Times New Roman" w:hAnsi="Times New Roman" w:cs="Times New Roman"/>
          <w:color w:val="000000"/>
        </w:rPr>
        <w:t xml:space="preserve"> et ce, </w:t>
      </w:r>
      <w:r w:rsidRPr="00DB06E9">
        <w:rPr>
          <w:rFonts w:ascii="Times New Roman" w:hAnsi="Times New Roman" w:cs="Times New Roman"/>
          <w:color w:val="000000"/>
        </w:rPr>
        <w:t>aussi bien en comparaison avec le trimestre précédent</w:t>
      </w:r>
      <w:r>
        <w:rPr>
          <w:rFonts w:ascii="Times New Roman" w:hAnsi="Times New Roman" w:cs="Times New Roman"/>
          <w:color w:val="000000"/>
        </w:rPr>
        <w:t xml:space="preserve"> qu’avec </w:t>
      </w:r>
      <w:r w:rsidRPr="00DB06E9">
        <w:rPr>
          <w:rFonts w:ascii="Times New Roman" w:hAnsi="Times New Roman" w:cs="Times New Roman"/>
          <w:color w:val="000000"/>
        </w:rPr>
        <w:t>le même trimestre de 201</w:t>
      </w:r>
      <w:r>
        <w:rPr>
          <w:rFonts w:ascii="Times New Roman" w:hAnsi="Times New Roman" w:cs="Times New Roman"/>
          <w:color w:val="000000"/>
        </w:rPr>
        <w:t>1</w:t>
      </w:r>
      <w:r w:rsidRPr="00DB06E9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Le solde de cet indicateur s’est dégradé de 2,2 et 9,</w:t>
      </w:r>
      <w:r w:rsidR="00BE681E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 points respectivement.</w:t>
      </w:r>
    </w:p>
    <w:p w:rsidR="00754325" w:rsidRDefault="00754325" w:rsidP="00B36132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Pour ce qui est </w:t>
      </w:r>
      <w:r w:rsidR="003F3BF4">
        <w:rPr>
          <w:rFonts w:ascii="Times New Roman" w:hAnsi="Times New Roman" w:cs="Times New Roman"/>
          <w:color w:val="000000"/>
        </w:rPr>
        <w:t>de</w:t>
      </w:r>
      <w:r w:rsidR="00BF0F38">
        <w:rPr>
          <w:rFonts w:ascii="Times New Roman" w:hAnsi="Times New Roman" w:cs="Times New Roman"/>
          <w:color w:val="000000"/>
        </w:rPr>
        <w:t xml:space="preserve"> l’évolution passée du niveau de vie</w:t>
      </w:r>
      <w:r>
        <w:rPr>
          <w:rFonts w:ascii="Times New Roman" w:hAnsi="Times New Roman" w:cs="Times New Roman"/>
          <w:color w:val="000000"/>
        </w:rPr>
        <w:t xml:space="preserve">, </w:t>
      </w:r>
      <w:r w:rsidR="00A26209">
        <w:rPr>
          <w:rFonts w:ascii="Times New Roman" w:hAnsi="Times New Roman" w:cs="Times New Roman"/>
          <w:color w:val="000000"/>
        </w:rPr>
        <w:t xml:space="preserve">l’appréciation des ménages </w:t>
      </w:r>
      <w:r>
        <w:rPr>
          <w:rFonts w:ascii="Times New Roman" w:hAnsi="Times New Roman" w:cs="Times New Roman"/>
          <w:color w:val="000000"/>
        </w:rPr>
        <w:t>s’est améliorée par rapport au trimestre précédent (solde en hausse de 4,4 points)</w:t>
      </w:r>
      <w:r w:rsidR="00BF0F3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mais reste en détérioration par rapport a</w:t>
      </w:r>
      <w:r w:rsidR="00FA5F0F">
        <w:rPr>
          <w:rFonts w:ascii="Times New Roman" w:hAnsi="Times New Roman" w:cs="Times New Roman"/>
          <w:color w:val="000000"/>
        </w:rPr>
        <w:t>u même trimestre d</w:t>
      </w:r>
      <w:r w:rsidR="009E3156">
        <w:rPr>
          <w:rFonts w:ascii="Times New Roman" w:hAnsi="Times New Roman" w:cs="Times New Roman"/>
          <w:color w:val="000000"/>
        </w:rPr>
        <w:t xml:space="preserve">e </w:t>
      </w:r>
      <w:r w:rsidR="00B36132">
        <w:rPr>
          <w:rFonts w:ascii="Times New Roman" w:hAnsi="Times New Roman" w:cs="Times New Roman"/>
          <w:color w:val="000000"/>
        </w:rPr>
        <w:t>2011</w:t>
      </w:r>
      <w:r w:rsidR="00A26209">
        <w:rPr>
          <w:rFonts w:ascii="Times New Roman" w:hAnsi="Times New Roman" w:cs="Times New Roman"/>
          <w:color w:val="000000"/>
        </w:rPr>
        <w:t xml:space="preserve"> </w:t>
      </w:r>
      <w:r w:rsidR="00A26209" w:rsidRPr="000D24FA">
        <w:rPr>
          <w:rFonts w:ascii="Times New Roman" w:hAnsi="Times New Roman" w:cs="Times New Roman"/>
          <w:color w:val="000000"/>
        </w:rPr>
        <w:t>(-4,</w:t>
      </w:r>
      <w:r w:rsidR="000D24FA">
        <w:rPr>
          <w:rFonts w:ascii="Times New Roman" w:hAnsi="Times New Roman" w:cs="Times New Roman"/>
          <w:color w:val="000000"/>
        </w:rPr>
        <w:t>8</w:t>
      </w:r>
      <w:r w:rsidR="00A26209">
        <w:rPr>
          <w:rFonts w:ascii="Times New Roman" w:hAnsi="Times New Roman" w:cs="Times New Roman"/>
          <w:color w:val="000000"/>
        </w:rPr>
        <w:t xml:space="preserve"> points)</w:t>
      </w:r>
      <w:r>
        <w:rPr>
          <w:rFonts w:ascii="Times New Roman" w:hAnsi="Times New Roman" w:cs="Times New Roman"/>
          <w:color w:val="000000"/>
        </w:rPr>
        <w:t>.</w:t>
      </w:r>
    </w:p>
    <w:p w:rsidR="00FC4BB0" w:rsidRDefault="00FC4BB0" w:rsidP="00D63E9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C4BB0" w:rsidRDefault="00FC4BB0" w:rsidP="00FC4BB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2695A" w:rsidRDefault="00A51B13" w:rsidP="004660F5">
      <w:pPr>
        <w:widowControl/>
        <w:spacing w:line="276" w:lineRule="auto"/>
        <w:jc w:val="center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noProof/>
          <w:color w:val="000000"/>
        </w:rPr>
        <w:drawing>
          <wp:inline distT="0" distB="0" distL="0" distR="0">
            <wp:extent cx="5977382" cy="2832988"/>
            <wp:effectExtent l="12192" t="6097" r="7366" b="0"/>
            <wp:docPr id="2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457C" w:rsidRDefault="0032457C" w:rsidP="00222682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2C5954" w:rsidRPr="00DB06E9" w:rsidRDefault="002C5954" w:rsidP="001C4D54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6620AD">
        <w:rPr>
          <w:rFonts w:ascii="Times New Roman" w:hAnsi="Times New Roman" w:cs="Times New Roman"/>
          <w:b/>
          <w:bCs/>
          <w:color w:val="000000"/>
        </w:rPr>
        <w:t>Evolution</w:t>
      </w:r>
      <w:r w:rsidR="00A271B5">
        <w:rPr>
          <w:rFonts w:ascii="Times New Roman" w:hAnsi="Times New Roman" w:cs="Times New Roman"/>
          <w:b/>
          <w:bCs/>
          <w:color w:val="000000"/>
        </w:rPr>
        <w:t xml:space="preserve"> du c</w:t>
      </w:r>
      <w:r w:rsidR="000A40C3">
        <w:rPr>
          <w:rFonts w:ascii="Times New Roman" w:hAnsi="Times New Roman" w:cs="Times New Roman"/>
          <w:b/>
          <w:bCs/>
          <w:color w:val="000000"/>
        </w:rPr>
        <w:t xml:space="preserve">hômage : </w:t>
      </w:r>
      <w:r w:rsidR="001C4D54">
        <w:rPr>
          <w:rFonts w:ascii="Times New Roman" w:hAnsi="Times New Roman" w:cs="Times New Roman"/>
          <w:b/>
          <w:bCs/>
          <w:color w:val="000000"/>
        </w:rPr>
        <w:t>opinion toujours pessimiste</w:t>
      </w:r>
      <w:r w:rsidR="000A40C3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4C26D2" w:rsidRDefault="00745483" w:rsidP="00B36132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DB06E9">
        <w:rPr>
          <w:rFonts w:ascii="Times New Roman" w:hAnsi="Times New Roman" w:cs="Times New Roman"/>
          <w:color w:val="000000"/>
        </w:rPr>
        <w:t xml:space="preserve">u </w:t>
      </w:r>
      <w:r>
        <w:rPr>
          <w:rFonts w:ascii="Times New Roman" w:hAnsi="Times New Roman" w:cs="Times New Roman"/>
          <w:color w:val="000000"/>
        </w:rPr>
        <w:t>deuxième</w:t>
      </w:r>
      <w:r w:rsidRPr="00DB06E9">
        <w:rPr>
          <w:rFonts w:ascii="Times New Roman" w:hAnsi="Times New Roman" w:cs="Times New Roman"/>
          <w:color w:val="000000"/>
        </w:rPr>
        <w:t xml:space="preserve"> trimestre de 201</w:t>
      </w:r>
      <w:r>
        <w:rPr>
          <w:rFonts w:ascii="Times New Roman" w:hAnsi="Times New Roman" w:cs="Times New Roman"/>
          <w:color w:val="000000"/>
        </w:rPr>
        <w:t>2, 64,4% des ménages anticipent une hausse du nombre de chômeurs pour les 12 mois à venir. Avec 15,8% qui anticipent plutôt une baisse, l</w:t>
      </w:r>
      <w:r w:rsidR="00C429E3">
        <w:rPr>
          <w:rFonts w:ascii="Times New Roman" w:hAnsi="Times New Roman" w:cs="Times New Roman"/>
          <w:color w:val="000000"/>
        </w:rPr>
        <w:t>e</w:t>
      </w:r>
      <w:r w:rsidR="00D7152A">
        <w:rPr>
          <w:rFonts w:ascii="Times New Roman" w:hAnsi="Times New Roman" w:cs="Times New Roman"/>
          <w:color w:val="000000"/>
        </w:rPr>
        <w:t xml:space="preserve"> solde de cet indicateur s'établit</w:t>
      </w:r>
      <w:r w:rsidR="00C429E3">
        <w:rPr>
          <w:rFonts w:ascii="Times New Roman" w:hAnsi="Times New Roman" w:cs="Times New Roman"/>
          <w:color w:val="000000"/>
        </w:rPr>
        <w:t xml:space="preserve"> ainsi </w:t>
      </w:r>
      <w:r w:rsidR="00D7152A">
        <w:rPr>
          <w:rFonts w:ascii="Times New Roman" w:hAnsi="Times New Roman" w:cs="Times New Roman"/>
          <w:color w:val="000000"/>
        </w:rPr>
        <w:t xml:space="preserve"> à un niveau négatif de</w:t>
      </w:r>
      <w:r>
        <w:rPr>
          <w:rFonts w:ascii="Times New Roman" w:hAnsi="Times New Roman" w:cs="Times New Roman"/>
          <w:color w:val="000000"/>
        </w:rPr>
        <w:t xml:space="preserve"> </w:t>
      </w:r>
      <w:r w:rsidR="00D7152A">
        <w:rPr>
          <w:rFonts w:ascii="Times New Roman" w:hAnsi="Times New Roman" w:cs="Times New Roman"/>
          <w:color w:val="000000"/>
        </w:rPr>
        <w:t>-4</w:t>
      </w:r>
      <w:r w:rsidR="001A0F65">
        <w:rPr>
          <w:rFonts w:ascii="Times New Roman" w:hAnsi="Times New Roman" w:cs="Times New Roman"/>
          <w:color w:val="000000"/>
        </w:rPr>
        <w:t>8</w:t>
      </w:r>
      <w:r w:rsidR="00D7152A">
        <w:rPr>
          <w:rFonts w:ascii="Times New Roman" w:hAnsi="Times New Roman" w:cs="Times New Roman"/>
          <w:color w:val="000000"/>
        </w:rPr>
        <w:t>,</w:t>
      </w:r>
      <w:r w:rsidR="001A0F65">
        <w:rPr>
          <w:rFonts w:ascii="Times New Roman" w:hAnsi="Times New Roman" w:cs="Times New Roman"/>
          <w:color w:val="000000"/>
        </w:rPr>
        <w:t>6</w:t>
      </w:r>
      <w:r w:rsidR="00D7152A">
        <w:rPr>
          <w:rFonts w:ascii="Times New Roman" w:hAnsi="Times New Roman" w:cs="Times New Roman"/>
          <w:color w:val="000000"/>
        </w:rPr>
        <w:t xml:space="preserve"> points</w:t>
      </w:r>
      <w:r w:rsidR="00B36132">
        <w:rPr>
          <w:rFonts w:ascii="Times New Roman" w:hAnsi="Times New Roman" w:cs="Times New Roman"/>
          <w:color w:val="000000"/>
        </w:rPr>
        <w:t>,</w:t>
      </w:r>
      <w:r w:rsidR="001438AB">
        <w:rPr>
          <w:rFonts w:ascii="Times New Roman" w:hAnsi="Times New Roman" w:cs="Times New Roman"/>
          <w:color w:val="000000"/>
        </w:rPr>
        <w:t xml:space="preserve"> </w:t>
      </w:r>
      <w:r w:rsidR="00B36132">
        <w:rPr>
          <w:rFonts w:ascii="Times New Roman" w:hAnsi="Times New Roman" w:cs="Times New Roman"/>
          <w:color w:val="000000"/>
        </w:rPr>
        <w:t>soit</w:t>
      </w:r>
      <w:r w:rsidR="00D7152A">
        <w:rPr>
          <w:rFonts w:ascii="Times New Roman" w:hAnsi="Times New Roman" w:cs="Times New Roman"/>
          <w:color w:val="000000"/>
        </w:rPr>
        <w:t xml:space="preserve"> une détérioration de </w:t>
      </w:r>
      <w:r w:rsidR="001A0F65">
        <w:rPr>
          <w:rFonts w:ascii="Times New Roman" w:hAnsi="Times New Roman" w:cs="Times New Roman"/>
          <w:color w:val="000000"/>
        </w:rPr>
        <w:t>4</w:t>
      </w:r>
      <w:r w:rsidR="00D7152A">
        <w:rPr>
          <w:rFonts w:ascii="Times New Roman" w:hAnsi="Times New Roman" w:cs="Times New Roman"/>
          <w:color w:val="000000"/>
        </w:rPr>
        <w:t xml:space="preserve">,5 points par rapport à son niveau un trimestre auparavant </w:t>
      </w:r>
      <w:r w:rsidR="001A0F65">
        <w:rPr>
          <w:rFonts w:ascii="Times New Roman" w:hAnsi="Times New Roman" w:cs="Times New Roman"/>
          <w:color w:val="000000"/>
        </w:rPr>
        <w:t>et de 2,6 points</w:t>
      </w:r>
      <w:r w:rsidR="00D7152A">
        <w:rPr>
          <w:rFonts w:ascii="Times New Roman" w:hAnsi="Times New Roman" w:cs="Times New Roman"/>
          <w:color w:val="000000"/>
        </w:rPr>
        <w:t xml:space="preserve"> par rapport au </w:t>
      </w:r>
      <w:r w:rsidR="00C93FD8">
        <w:rPr>
          <w:rFonts w:ascii="Times New Roman" w:hAnsi="Times New Roman" w:cs="Times New Roman"/>
          <w:color w:val="000000"/>
        </w:rPr>
        <w:t>même</w:t>
      </w:r>
      <w:r w:rsidR="00D7152A">
        <w:rPr>
          <w:rFonts w:ascii="Times New Roman" w:hAnsi="Times New Roman" w:cs="Times New Roman"/>
          <w:color w:val="000000"/>
        </w:rPr>
        <w:t xml:space="preserve"> trimestre de 2011</w:t>
      </w:r>
      <w:r w:rsidR="001A0F65">
        <w:rPr>
          <w:rFonts w:ascii="Times New Roman" w:hAnsi="Times New Roman" w:cs="Times New Roman"/>
          <w:color w:val="000000"/>
        </w:rPr>
        <w:t>.</w:t>
      </w:r>
    </w:p>
    <w:p w:rsidR="00D7152A" w:rsidRDefault="00D7152A" w:rsidP="00531247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5D733B" w:rsidRPr="00DB06E9" w:rsidRDefault="005D733B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DB1EDB">
        <w:rPr>
          <w:rFonts w:ascii="Times New Roman" w:hAnsi="Times New Roman" w:cs="Times New Roman"/>
          <w:b/>
          <w:bCs/>
          <w:color w:val="000000"/>
        </w:rPr>
        <w:t>A</w:t>
      </w:r>
      <w:r w:rsidR="00400110">
        <w:rPr>
          <w:rFonts w:ascii="Times New Roman" w:hAnsi="Times New Roman" w:cs="Times New Roman"/>
          <w:b/>
          <w:bCs/>
          <w:color w:val="000000"/>
        </w:rPr>
        <w:t xml:space="preserve">chat de biens </w:t>
      </w:r>
      <w:r w:rsidRPr="00DB06E9">
        <w:rPr>
          <w:rFonts w:ascii="Times New Roman" w:hAnsi="Times New Roman" w:cs="Times New Roman"/>
          <w:b/>
          <w:bCs/>
          <w:color w:val="000000"/>
        </w:rPr>
        <w:t>durables</w:t>
      </w:r>
      <w:r w:rsidR="00400110">
        <w:rPr>
          <w:rFonts w:ascii="Times New Roman" w:hAnsi="Times New Roman" w:cs="Times New Roman"/>
          <w:b/>
          <w:bCs/>
          <w:color w:val="000000"/>
        </w:rPr>
        <w:t xml:space="preserve"> : </w:t>
      </w:r>
      <w:r w:rsidR="00DB1EDB">
        <w:rPr>
          <w:rFonts w:ascii="Times New Roman" w:hAnsi="Times New Roman" w:cs="Times New Roman"/>
          <w:b/>
          <w:bCs/>
          <w:color w:val="000000"/>
        </w:rPr>
        <w:t>le moment reste inopportun pour la majorité des ménages</w:t>
      </w:r>
    </w:p>
    <w:p w:rsidR="00586FA1" w:rsidRPr="00DB06E9" w:rsidRDefault="0069792B" w:rsidP="00B36132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 xml:space="preserve">Au </w:t>
      </w:r>
      <w:r w:rsidR="003A35D3">
        <w:rPr>
          <w:rFonts w:ascii="Times New Roman" w:hAnsi="Times New Roman" w:cs="Times New Roman"/>
          <w:color w:val="000000"/>
        </w:rPr>
        <w:t xml:space="preserve">deuxième </w:t>
      </w:r>
      <w:r w:rsidRPr="00DB06E9">
        <w:rPr>
          <w:rFonts w:ascii="Times New Roman" w:hAnsi="Times New Roman" w:cs="Times New Roman"/>
          <w:color w:val="000000"/>
        </w:rPr>
        <w:t>trimestre de 201</w:t>
      </w:r>
      <w:r w:rsidR="00C334F9">
        <w:rPr>
          <w:rFonts w:ascii="Times New Roman" w:hAnsi="Times New Roman" w:cs="Times New Roman"/>
          <w:color w:val="000000"/>
        </w:rPr>
        <w:t>2</w:t>
      </w:r>
      <w:r w:rsidRPr="00DB06E9">
        <w:rPr>
          <w:rFonts w:ascii="Times New Roman" w:hAnsi="Times New Roman" w:cs="Times New Roman"/>
          <w:color w:val="000000"/>
        </w:rPr>
        <w:t xml:space="preserve">, </w:t>
      </w:r>
      <w:r w:rsidR="00634856" w:rsidRPr="000D24FA">
        <w:rPr>
          <w:rFonts w:ascii="Times New Roman" w:hAnsi="Times New Roman" w:cs="Times New Roman"/>
          <w:color w:val="000000"/>
        </w:rPr>
        <w:t>57</w:t>
      </w:r>
      <w:r w:rsidR="00DA3198" w:rsidRPr="000D24FA">
        <w:rPr>
          <w:rFonts w:ascii="Times New Roman" w:hAnsi="Times New Roman" w:cs="Times New Roman"/>
          <w:color w:val="000000"/>
        </w:rPr>
        <w:t>,8</w:t>
      </w:r>
      <w:r w:rsidR="00E265E4" w:rsidRPr="000D24FA">
        <w:rPr>
          <w:rFonts w:ascii="Times New Roman" w:hAnsi="Times New Roman" w:cs="Times New Roman"/>
          <w:color w:val="000000"/>
        </w:rPr>
        <w:t>%</w:t>
      </w:r>
      <w:r w:rsidR="00634856">
        <w:rPr>
          <w:rFonts w:ascii="Times New Roman" w:hAnsi="Times New Roman" w:cs="Times New Roman"/>
          <w:color w:val="000000"/>
        </w:rPr>
        <w:t xml:space="preserve"> des ménages</w:t>
      </w:r>
      <w:r w:rsidR="005D733B" w:rsidRPr="00DB06E9">
        <w:rPr>
          <w:rFonts w:ascii="Times New Roman" w:hAnsi="Times New Roman" w:cs="Times New Roman"/>
          <w:color w:val="000000"/>
        </w:rPr>
        <w:t xml:space="preserve"> </w:t>
      </w:r>
      <w:r w:rsidR="00E265E4" w:rsidRPr="00DB06E9">
        <w:rPr>
          <w:rFonts w:ascii="Times New Roman" w:hAnsi="Times New Roman" w:cs="Times New Roman"/>
          <w:color w:val="000000"/>
        </w:rPr>
        <w:t xml:space="preserve">considèrent </w:t>
      </w:r>
      <w:r w:rsidR="000F6CE8" w:rsidRPr="00DB06E9">
        <w:rPr>
          <w:rFonts w:ascii="Times New Roman" w:hAnsi="Times New Roman" w:cs="Times New Roman"/>
          <w:color w:val="000000"/>
        </w:rPr>
        <w:t xml:space="preserve">que </w:t>
      </w:r>
      <w:r w:rsidR="0019435A" w:rsidRPr="00DB06E9">
        <w:rPr>
          <w:rFonts w:ascii="Times New Roman" w:hAnsi="Times New Roman" w:cs="Times New Roman"/>
          <w:color w:val="000000"/>
        </w:rPr>
        <w:t xml:space="preserve">le moment </w:t>
      </w:r>
      <w:r w:rsidR="00E265E4" w:rsidRPr="00DB06E9">
        <w:rPr>
          <w:rFonts w:ascii="Times New Roman" w:hAnsi="Times New Roman" w:cs="Times New Roman"/>
          <w:color w:val="000000"/>
        </w:rPr>
        <w:t xml:space="preserve">n’est pas </w:t>
      </w:r>
      <w:r w:rsidR="00E9062C" w:rsidRPr="00DB06E9">
        <w:rPr>
          <w:rFonts w:ascii="Times New Roman" w:hAnsi="Times New Roman" w:cs="Times New Roman"/>
          <w:color w:val="000000"/>
        </w:rPr>
        <w:t xml:space="preserve">opportun </w:t>
      </w:r>
      <w:r w:rsidR="00A7325E" w:rsidRPr="00DB06E9">
        <w:rPr>
          <w:rFonts w:ascii="Times New Roman" w:hAnsi="Times New Roman" w:cs="Times New Roman"/>
          <w:color w:val="000000"/>
        </w:rPr>
        <w:t>pour</w:t>
      </w:r>
      <w:r w:rsidR="00E9062C" w:rsidRPr="00DB06E9">
        <w:rPr>
          <w:rFonts w:ascii="Times New Roman" w:hAnsi="Times New Roman" w:cs="Times New Roman"/>
          <w:color w:val="000000"/>
        </w:rPr>
        <w:t xml:space="preserve"> faire des achats </w:t>
      </w:r>
      <w:r w:rsidR="0019435A" w:rsidRPr="00DB06E9">
        <w:rPr>
          <w:rFonts w:ascii="Times New Roman" w:hAnsi="Times New Roman" w:cs="Times New Roman"/>
          <w:color w:val="000000"/>
        </w:rPr>
        <w:t>de biens durables</w:t>
      </w:r>
      <w:r w:rsidR="00097300">
        <w:rPr>
          <w:rFonts w:ascii="Times New Roman" w:hAnsi="Times New Roman" w:cs="Times New Roman"/>
          <w:color w:val="000000"/>
        </w:rPr>
        <w:t xml:space="preserve"> </w:t>
      </w:r>
      <w:r w:rsidR="009A2085">
        <w:rPr>
          <w:rFonts w:ascii="Times New Roman" w:hAnsi="Times New Roman" w:cs="Times New Roman"/>
          <w:color w:val="000000"/>
        </w:rPr>
        <w:t>alors que</w:t>
      </w:r>
      <w:r w:rsidR="00381490">
        <w:rPr>
          <w:rFonts w:ascii="Times New Roman" w:hAnsi="Times New Roman" w:cs="Times New Roman"/>
          <w:color w:val="000000"/>
        </w:rPr>
        <w:t xml:space="preserve"> </w:t>
      </w:r>
      <w:r w:rsidR="00C334F9">
        <w:rPr>
          <w:rFonts w:ascii="Times New Roman" w:hAnsi="Times New Roman" w:cs="Times New Roman"/>
          <w:color w:val="000000"/>
        </w:rPr>
        <w:t>2</w:t>
      </w:r>
      <w:r w:rsidR="00634856">
        <w:rPr>
          <w:rFonts w:ascii="Times New Roman" w:hAnsi="Times New Roman" w:cs="Times New Roman"/>
          <w:color w:val="000000"/>
        </w:rPr>
        <w:t>0</w:t>
      </w:r>
      <w:r w:rsidR="00C334F9">
        <w:rPr>
          <w:rFonts w:ascii="Times New Roman" w:hAnsi="Times New Roman" w:cs="Times New Roman"/>
          <w:color w:val="000000"/>
        </w:rPr>
        <w:t>,</w:t>
      </w:r>
      <w:r w:rsidR="00634856">
        <w:rPr>
          <w:rFonts w:ascii="Times New Roman" w:hAnsi="Times New Roman" w:cs="Times New Roman"/>
          <w:color w:val="000000"/>
        </w:rPr>
        <w:t>4</w:t>
      </w:r>
      <w:r w:rsidR="00381490">
        <w:rPr>
          <w:rFonts w:ascii="Times New Roman" w:hAnsi="Times New Roman" w:cs="Times New Roman"/>
          <w:color w:val="000000"/>
        </w:rPr>
        <w:t xml:space="preserve">% </w:t>
      </w:r>
      <w:r w:rsidR="00097300">
        <w:rPr>
          <w:rFonts w:ascii="Times New Roman" w:hAnsi="Times New Roman" w:cs="Times New Roman"/>
          <w:color w:val="000000"/>
        </w:rPr>
        <w:t>pens</w:t>
      </w:r>
      <w:r w:rsidR="00381490">
        <w:rPr>
          <w:rFonts w:ascii="Times New Roman" w:hAnsi="Times New Roman" w:cs="Times New Roman"/>
          <w:color w:val="000000"/>
        </w:rPr>
        <w:t>ent le contraire</w:t>
      </w:r>
      <w:r w:rsidR="00C334F9">
        <w:rPr>
          <w:rFonts w:ascii="Times New Roman" w:hAnsi="Times New Roman" w:cs="Times New Roman"/>
          <w:color w:val="000000"/>
        </w:rPr>
        <w:t xml:space="preserve">. </w:t>
      </w:r>
      <w:r w:rsidR="00381490">
        <w:rPr>
          <w:rFonts w:ascii="Times New Roman" w:hAnsi="Times New Roman" w:cs="Times New Roman"/>
          <w:color w:val="000000"/>
        </w:rPr>
        <w:t>Le solde relatif à cet indicateur s'établit ainsi à -3</w:t>
      </w:r>
      <w:r w:rsidR="00634856">
        <w:rPr>
          <w:rFonts w:ascii="Times New Roman" w:hAnsi="Times New Roman" w:cs="Times New Roman"/>
          <w:color w:val="000000"/>
        </w:rPr>
        <w:t>7</w:t>
      </w:r>
      <w:r w:rsidR="00381490">
        <w:rPr>
          <w:rFonts w:ascii="Times New Roman" w:hAnsi="Times New Roman" w:cs="Times New Roman"/>
          <w:color w:val="000000"/>
        </w:rPr>
        <w:t>,</w:t>
      </w:r>
      <w:r w:rsidR="00634856">
        <w:rPr>
          <w:rFonts w:ascii="Times New Roman" w:hAnsi="Times New Roman" w:cs="Times New Roman"/>
          <w:color w:val="000000"/>
        </w:rPr>
        <w:t>4</w:t>
      </w:r>
      <w:r w:rsidR="001438AB">
        <w:rPr>
          <w:rFonts w:ascii="Times New Roman" w:hAnsi="Times New Roman" w:cs="Times New Roman"/>
          <w:color w:val="000000"/>
        </w:rPr>
        <w:t xml:space="preserve"> points</w:t>
      </w:r>
      <w:r w:rsidR="00381490">
        <w:rPr>
          <w:rFonts w:ascii="Times New Roman" w:hAnsi="Times New Roman" w:cs="Times New Roman"/>
          <w:color w:val="000000"/>
        </w:rPr>
        <w:t xml:space="preserve">. </w:t>
      </w:r>
      <w:r w:rsidR="00586FA1">
        <w:rPr>
          <w:rFonts w:ascii="Times New Roman" w:hAnsi="Times New Roman" w:cs="Times New Roman"/>
          <w:color w:val="000000"/>
        </w:rPr>
        <w:t>Il s'inscrit en</w:t>
      </w:r>
      <w:r w:rsidR="00586FA1" w:rsidRPr="00DB06E9">
        <w:rPr>
          <w:rFonts w:ascii="Times New Roman" w:hAnsi="Times New Roman" w:cs="Times New Roman"/>
          <w:color w:val="000000"/>
        </w:rPr>
        <w:t xml:space="preserve"> baisse de </w:t>
      </w:r>
      <w:r w:rsidR="00586FA1">
        <w:rPr>
          <w:rFonts w:ascii="Times New Roman" w:hAnsi="Times New Roman" w:cs="Times New Roman"/>
          <w:color w:val="000000"/>
        </w:rPr>
        <w:t>4,9</w:t>
      </w:r>
      <w:r w:rsidR="00586FA1" w:rsidRPr="00DB06E9">
        <w:rPr>
          <w:rFonts w:ascii="Times New Roman" w:hAnsi="Times New Roman" w:cs="Times New Roman"/>
          <w:color w:val="000000"/>
        </w:rPr>
        <w:t xml:space="preserve"> points par rapport au trimestre précédent </w:t>
      </w:r>
      <w:r w:rsidR="00586FA1">
        <w:rPr>
          <w:rFonts w:ascii="Times New Roman" w:hAnsi="Times New Roman" w:cs="Times New Roman"/>
          <w:color w:val="000000"/>
        </w:rPr>
        <w:t xml:space="preserve">mais reste </w:t>
      </w:r>
      <w:r w:rsidR="00FF1F1D">
        <w:rPr>
          <w:rFonts w:ascii="Times New Roman" w:hAnsi="Times New Roman" w:cs="Times New Roman"/>
          <w:color w:val="000000"/>
        </w:rPr>
        <w:t xml:space="preserve">en </w:t>
      </w:r>
      <w:r w:rsidR="00DA3198">
        <w:rPr>
          <w:rFonts w:ascii="Times New Roman" w:hAnsi="Times New Roman" w:cs="Times New Roman"/>
          <w:color w:val="000000"/>
        </w:rPr>
        <w:t xml:space="preserve">légère </w:t>
      </w:r>
      <w:r w:rsidR="00586FA1">
        <w:rPr>
          <w:rFonts w:ascii="Times New Roman" w:hAnsi="Times New Roman" w:cs="Times New Roman"/>
          <w:color w:val="000000"/>
        </w:rPr>
        <w:t xml:space="preserve">hausse </w:t>
      </w:r>
      <w:r w:rsidR="00586FA1" w:rsidRPr="00DB06E9">
        <w:rPr>
          <w:rFonts w:ascii="Times New Roman" w:hAnsi="Times New Roman" w:cs="Times New Roman"/>
          <w:color w:val="000000"/>
        </w:rPr>
        <w:t xml:space="preserve">de </w:t>
      </w:r>
      <w:r w:rsidR="00586FA1">
        <w:rPr>
          <w:rFonts w:ascii="Times New Roman" w:hAnsi="Times New Roman" w:cs="Times New Roman"/>
          <w:color w:val="000000"/>
        </w:rPr>
        <w:t xml:space="preserve">1,6 </w:t>
      </w:r>
      <w:r w:rsidR="00586FA1" w:rsidRPr="00DB06E9">
        <w:rPr>
          <w:rFonts w:ascii="Times New Roman" w:hAnsi="Times New Roman" w:cs="Times New Roman"/>
          <w:color w:val="000000"/>
        </w:rPr>
        <w:t xml:space="preserve"> point par rapport </w:t>
      </w:r>
      <w:r w:rsidR="00586FA1">
        <w:rPr>
          <w:rFonts w:ascii="Times New Roman" w:hAnsi="Times New Roman" w:cs="Times New Roman"/>
          <w:color w:val="000000"/>
        </w:rPr>
        <w:t xml:space="preserve">à la même période </w:t>
      </w:r>
      <w:r w:rsidR="00586FA1" w:rsidRPr="00DB06E9">
        <w:rPr>
          <w:rFonts w:ascii="Times New Roman" w:hAnsi="Times New Roman" w:cs="Times New Roman"/>
          <w:color w:val="000000"/>
        </w:rPr>
        <w:t xml:space="preserve">de </w:t>
      </w:r>
      <w:r w:rsidR="00B36132">
        <w:rPr>
          <w:rFonts w:ascii="Times New Roman" w:hAnsi="Times New Roman" w:cs="Times New Roman"/>
          <w:color w:val="000000"/>
        </w:rPr>
        <w:t>2011</w:t>
      </w:r>
      <w:r w:rsidR="00586FA1" w:rsidRPr="00DB06E9">
        <w:rPr>
          <w:rFonts w:ascii="Times New Roman" w:hAnsi="Times New Roman" w:cs="Times New Roman"/>
          <w:color w:val="000000"/>
        </w:rPr>
        <w:t>.</w:t>
      </w:r>
      <w:r w:rsidR="00586FA1">
        <w:rPr>
          <w:rFonts w:ascii="Times New Roman" w:hAnsi="Times New Roman" w:cs="Times New Roman"/>
          <w:color w:val="000000"/>
        </w:rPr>
        <w:t xml:space="preserve"> </w:t>
      </w:r>
    </w:p>
    <w:p w:rsidR="00586FA1" w:rsidRDefault="00586FA1" w:rsidP="00586FA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1672BD" w:rsidRDefault="001672BD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5C473B" w:rsidRDefault="00A51B13" w:rsidP="00547601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221060" cy="2302330"/>
            <wp:effectExtent l="12689" t="4625" r="7666" b="0"/>
            <wp:docPr id="3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5B9F" w:rsidRPr="00DB06E9" w:rsidRDefault="00B55B9F" w:rsidP="009E682C">
      <w:pPr>
        <w:widowControl/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:rsidR="00E9062C" w:rsidRDefault="00E9062C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A5245" w:rsidRDefault="003A5245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62E23" w:rsidRPr="00DB06E9" w:rsidRDefault="00562E23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22682" w:rsidRPr="00DB06E9" w:rsidRDefault="00222682" w:rsidP="000D24F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•</w:t>
      </w:r>
      <w:r w:rsidR="008F01C0" w:rsidRPr="00DB06E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F01C0">
        <w:rPr>
          <w:rFonts w:ascii="Times New Roman" w:hAnsi="Times New Roman" w:cs="Times New Roman"/>
          <w:b/>
          <w:bCs/>
          <w:color w:val="000000"/>
        </w:rPr>
        <w:t>S</w:t>
      </w:r>
      <w:r w:rsidRPr="00DB06E9">
        <w:rPr>
          <w:rFonts w:ascii="Times New Roman" w:hAnsi="Times New Roman" w:cs="Times New Roman"/>
          <w:b/>
          <w:bCs/>
          <w:color w:val="000000"/>
        </w:rPr>
        <w:t>ituation financière</w:t>
      </w:r>
      <w:r w:rsidR="008F01C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D24FA">
        <w:rPr>
          <w:rFonts w:ascii="Times New Roman" w:hAnsi="Times New Roman" w:cs="Times New Roman"/>
          <w:b/>
          <w:bCs/>
          <w:color w:val="000000"/>
        </w:rPr>
        <w:t>propre</w:t>
      </w:r>
      <w:r w:rsidR="008F01C0">
        <w:rPr>
          <w:rFonts w:ascii="Times New Roman" w:hAnsi="Times New Roman" w:cs="Times New Roman"/>
          <w:b/>
          <w:bCs/>
          <w:color w:val="000000"/>
        </w:rPr>
        <w:t xml:space="preserve"> : </w:t>
      </w:r>
      <w:r w:rsidR="000D24FA">
        <w:rPr>
          <w:rFonts w:ascii="Times New Roman" w:hAnsi="Times New Roman" w:cs="Times New Roman"/>
          <w:b/>
          <w:bCs/>
          <w:color w:val="000000"/>
        </w:rPr>
        <w:t>l’</w:t>
      </w:r>
      <w:r w:rsidR="00E0420B">
        <w:rPr>
          <w:rFonts w:ascii="Times New Roman" w:hAnsi="Times New Roman" w:cs="Times New Roman"/>
          <w:b/>
          <w:bCs/>
          <w:color w:val="000000"/>
        </w:rPr>
        <w:t>opinion</w:t>
      </w:r>
      <w:r w:rsidR="00EC75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57262">
        <w:rPr>
          <w:rFonts w:ascii="Times New Roman" w:hAnsi="Times New Roman" w:cs="Times New Roman"/>
          <w:b/>
          <w:bCs/>
          <w:color w:val="000000"/>
        </w:rPr>
        <w:t>des ménages se dégrade</w:t>
      </w:r>
    </w:p>
    <w:p w:rsidR="00195D2E" w:rsidRDefault="00195D2E" w:rsidP="00881FD0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 deuxième trimestre de 2012,</w:t>
      </w:r>
      <w:r w:rsidR="00B3617A">
        <w:rPr>
          <w:rFonts w:ascii="Times New Roman" w:hAnsi="Times New Roman" w:cs="Times New Roman"/>
          <w:color w:val="000000"/>
        </w:rPr>
        <w:t xml:space="preserve"> l’opinion des ménages sur leur situation</w:t>
      </w:r>
      <w:r>
        <w:rPr>
          <w:rFonts w:ascii="Times New Roman" w:hAnsi="Times New Roman" w:cs="Times New Roman"/>
          <w:color w:val="000000"/>
        </w:rPr>
        <w:t xml:space="preserve"> financière actuelle</w:t>
      </w:r>
      <w:r w:rsidR="00057262">
        <w:rPr>
          <w:rFonts w:ascii="Times New Roman" w:hAnsi="Times New Roman" w:cs="Times New Roman"/>
          <w:color w:val="000000"/>
        </w:rPr>
        <w:t xml:space="preserve"> et sur </w:t>
      </w:r>
      <w:r w:rsidR="000779C2">
        <w:rPr>
          <w:rFonts w:ascii="Times New Roman" w:hAnsi="Times New Roman" w:cs="Times New Roman"/>
          <w:color w:val="000000"/>
        </w:rPr>
        <w:t>ses</w:t>
      </w:r>
      <w:r>
        <w:rPr>
          <w:rFonts w:ascii="Times New Roman" w:hAnsi="Times New Roman" w:cs="Times New Roman"/>
          <w:color w:val="000000"/>
        </w:rPr>
        <w:t xml:space="preserve"> évolution</w:t>
      </w:r>
      <w:r w:rsidR="000779C2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passée </w:t>
      </w:r>
      <w:r w:rsidR="00057262">
        <w:rPr>
          <w:rFonts w:ascii="Times New Roman" w:hAnsi="Times New Roman" w:cs="Times New Roman"/>
          <w:color w:val="000000"/>
        </w:rPr>
        <w:t>et</w:t>
      </w:r>
      <w:r>
        <w:rPr>
          <w:rFonts w:ascii="Times New Roman" w:hAnsi="Times New Roman" w:cs="Times New Roman"/>
          <w:color w:val="000000"/>
        </w:rPr>
        <w:t xml:space="preserve"> future se détériore aussi bien par rapport au trimestre précédent qu</w:t>
      </w:r>
      <w:r w:rsidR="003A5245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 w:rsidR="00335AA7">
        <w:rPr>
          <w:rFonts w:ascii="Times New Roman" w:hAnsi="Times New Roman" w:cs="Times New Roman"/>
          <w:color w:val="000000"/>
        </w:rPr>
        <w:t xml:space="preserve">par rapport au </w:t>
      </w:r>
      <w:r>
        <w:rPr>
          <w:rFonts w:ascii="Times New Roman" w:hAnsi="Times New Roman" w:cs="Times New Roman"/>
          <w:color w:val="000000"/>
        </w:rPr>
        <w:t xml:space="preserve">même trimestre de </w:t>
      </w:r>
      <w:r w:rsidR="00881FD0">
        <w:rPr>
          <w:rFonts w:ascii="Times New Roman" w:hAnsi="Times New Roman" w:cs="Times New Roman"/>
          <w:color w:val="000000"/>
        </w:rPr>
        <w:t>2011</w:t>
      </w:r>
      <w:r>
        <w:rPr>
          <w:rFonts w:ascii="Times New Roman" w:hAnsi="Times New Roman" w:cs="Times New Roman"/>
          <w:color w:val="000000"/>
        </w:rPr>
        <w:t>.</w:t>
      </w:r>
    </w:p>
    <w:p w:rsidR="004D3202" w:rsidRDefault="004D3202" w:rsidP="000D24F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Concernant leur situation financière actuelle, 57,9% déclarent </w:t>
      </w:r>
      <w:r w:rsidR="000D24FA">
        <w:rPr>
          <w:rFonts w:ascii="Times New Roman" w:hAnsi="Times New Roman" w:cs="Times New Roman"/>
          <w:color w:val="000000"/>
        </w:rPr>
        <w:t>ajuster leurs dépenses à leur revenu</w:t>
      </w:r>
      <w:r>
        <w:rPr>
          <w:rFonts w:ascii="Times New Roman" w:hAnsi="Times New Roman" w:cs="Times New Roman"/>
          <w:color w:val="000000"/>
        </w:rPr>
        <w:t xml:space="preserve">, 36,6% s’endetter </w:t>
      </w:r>
      <w:r w:rsidR="000D24FA">
        <w:rPr>
          <w:rFonts w:ascii="Times New Roman" w:hAnsi="Times New Roman" w:cs="Times New Roman"/>
          <w:color w:val="000000"/>
        </w:rPr>
        <w:t xml:space="preserve">ou puiser dans leur épargne </w:t>
      </w:r>
      <w:r>
        <w:rPr>
          <w:rFonts w:ascii="Times New Roman" w:hAnsi="Times New Roman" w:cs="Times New Roman"/>
          <w:color w:val="000000"/>
        </w:rPr>
        <w:t>et seuls 5,5% déclarent épargner. Le solde de cet indicateur s’établit ainsi à un niveau négatif de 31 points, en baisse de 5,6 points par rapport au trimestre précédent et de 3,9 points par rapport au même trimestre de 2011.</w:t>
      </w:r>
    </w:p>
    <w:p w:rsidR="00106FA4" w:rsidRDefault="00C51C29" w:rsidP="00950CC4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Pour ce qui est de</w:t>
      </w:r>
      <w:r w:rsidR="004D3202"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</w:rPr>
        <w:t>évolution</w:t>
      </w:r>
      <w:r w:rsidR="004D3202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passée et future de l</w:t>
      </w:r>
      <w:r w:rsidR="004D3202">
        <w:rPr>
          <w:rFonts w:ascii="Times New Roman" w:hAnsi="Times New Roman" w:cs="Times New Roman"/>
          <w:color w:val="000000"/>
        </w:rPr>
        <w:t xml:space="preserve">eur </w:t>
      </w:r>
      <w:r>
        <w:rPr>
          <w:rFonts w:ascii="Times New Roman" w:hAnsi="Times New Roman" w:cs="Times New Roman"/>
          <w:color w:val="000000"/>
        </w:rPr>
        <w:t xml:space="preserve">situation financière, </w:t>
      </w:r>
      <w:r w:rsidR="00950CC4">
        <w:rPr>
          <w:rFonts w:ascii="Times New Roman" w:hAnsi="Times New Roman" w:cs="Times New Roman"/>
          <w:color w:val="000000"/>
        </w:rPr>
        <w:t>l</w:t>
      </w:r>
      <w:r w:rsidR="000D5B0A">
        <w:rPr>
          <w:rFonts w:ascii="Times New Roman" w:hAnsi="Times New Roman" w:cs="Times New Roman"/>
          <w:color w:val="000000"/>
        </w:rPr>
        <w:t xml:space="preserve">es soldes relatifs à ces deux indicateurs </w:t>
      </w:r>
      <w:r w:rsidR="00950CC4">
        <w:rPr>
          <w:rFonts w:ascii="Times New Roman" w:hAnsi="Times New Roman" w:cs="Times New Roman"/>
          <w:color w:val="000000"/>
        </w:rPr>
        <w:t>enregistrent des b</w:t>
      </w:r>
      <w:r>
        <w:rPr>
          <w:rFonts w:ascii="Times New Roman" w:hAnsi="Times New Roman" w:cs="Times New Roman"/>
          <w:color w:val="000000"/>
        </w:rPr>
        <w:t>aisse</w:t>
      </w:r>
      <w:r w:rsidR="00950CC4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de </w:t>
      </w:r>
      <w:r w:rsidR="00950CC4">
        <w:rPr>
          <w:rFonts w:ascii="Times New Roman" w:hAnsi="Times New Roman" w:cs="Times New Roman"/>
          <w:color w:val="000000"/>
        </w:rPr>
        <w:t xml:space="preserve">2,5 points et 0,1 point respectivement par rapport au trimestre précédent et de </w:t>
      </w:r>
      <w:r>
        <w:rPr>
          <w:rFonts w:ascii="Times New Roman" w:hAnsi="Times New Roman" w:cs="Times New Roman"/>
          <w:color w:val="000000"/>
        </w:rPr>
        <w:t xml:space="preserve">7,7 et 9,2 points respectivement </w:t>
      </w:r>
      <w:r w:rsidR="00950CC4">
        <w:rPr>
          <w:rFonts w:ascii="Times New Roman" w:hAnsi="Times New Roman" w:cs="Times New Roman"/>
          <w:color w:val="000000"/>
        </w:rPr>
        <w:t>par rapport au même trimestre de 2011.</w:t>
      </w:r>
      <w:r w:rsidR="00106FA4">
        <w:rPr>
          <w:rFonts w:ascii="Times New Roman" w:hAnsi="Times New Roman" w:cs="Times New Roman"/>
          <w:color w:val="000000"/>
        </w:rPr>
        <w:t xml:space="preserve"> </w:t>
      </w:r>
    </w:p>
    <w:p w:rsidR="00C51C29" w:rsidRDefault="00C51C29" w:rsidP="00C049EB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06A6A" w:rsidRDefault="00F06A6A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F06A6A" w:rsidRDefault="00A51B13" w:rsidP="003A5245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5977382" cy="3863412"/>
            <wp:effectExtent l="12192" t="6913" r="7366" b="0"/>
            <wp:docPr id="4" name="Graphiqu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5D2E" w:rsidRDefault="00195D2E" w:rsidP="00195D2E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73079" w:rsidRPr="00DB06E9" w:rsidRDefault="00073079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2. Evolution d’autres indicateurs d’opinion </w:t>
      </w:r>
      <w:r w:rsidR="00DF1AB5">
        <w:rPr>
          <w:rFonts w:ascii="Times New Roman" w:hAnsi="Times New Roman" w:cs="Times New Roman"/>
          <w:b/>
          <w:bCs/>
          <w:color w:val="000000"/>
        </w:rPr>
        <w:t>des ménages</w:t>
      </w:r>
    </w:p>
    <w:p w:rsidR="000F6CE8" w:rsidRDefault="00073079" w:rsidP="007A4238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>En plus des sept indicateurs composant l’ICM, l’enquête fournit des données sur les perceptions des ménages relatives à d’autres aspects</w:t>
      </w:r>
      <w:r w:rsidR="00DB1EDB">
        <w:rPr>
          <w:rFonts w:ascii="Times New Roman" w:hAnsi="Times New Roman" w:cs="Times New Roman"/>
          <w:color w:val="000000"/>
        </w:rPr>
        <w:t xml:space="preserve"> notamment </w:t>
      </w:r>
      <w:r w:rsidRPr="00DB06E9">
        <w:rPr>
          <w:rFonts w:ascii="Times New Roman" w:hAnsi="Times New Roman" w:cs="Times New Roman"/>
          <w:color w:val="000000"/>
        </w:rPr>
        <w:t xml:space="preserve">l’évolution des prix </w:t>
      </w:r>
      <w:r w:rsidR="00B63BC5">
        <w:rPr>
          <w:rFonts w:ascii="Times New Roman" w:hAnsi="Times New Roman" w:cs="Times New Roman"/>
          <w:color w:val="000000"/>
        </w:rPr>
        <w:t xml:space="preserve">et </w:t>
      </w:r>
      <w:r w:rsidRPr="00DB06E9">
        <w:rPr>
          <w:rFonts w:ascii="Times New Roman" w:hAnsi="Times New Roman" w:cs="Times New Roman"/>
          <w:color w:val="000000"/>
        </w:rPr>
        <w:t>la capacité des ménages à épargner</w:t>
      </w:r>
      <w:r w:rsidR="00FA1489">
        <w:rPr>
          <w:rFonts w:ascii="Times New Roman" w:hAnsi="Times New Roman" w:cs="Times New Roman"/>
          <w:color w:val="000000"/>
        </w:rPr>
        <w:t>.</w:t>
      </w:r>
      <w:r w:rsidR="00FA12E0" w:rsidRPr="00DB06E9">
        <w:rPr>
          <w:rFonts w:ascii="Times New Roman" w:hAnsi="Times New Roman" w:cs="Times New Roman"/>
          <w:color w:val="000000"/>
        </w:rPr>
        <w:t xml:space="preserve"> </w:t>
      </w:r>
    </w:p>
    <w:p w:rsidR="00E36F48" w:rsidRDefault="00E36F48" w:rsidP="007A4238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27A6" w:rsidRPr="00DB06E9" w:rsidRDefault="00AE27A6" w:rsidP="00E0420B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>•</w:t>
      </w:r>
      <w:r w:rsidR="002C595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0420B">
        <w:rPr>
          <w:rFonts w:ascii="Times New Roman" w:hAnsi="Times New Roman" w:cs="Times New Roman"/>
          <w:b/>
          <w:bCs/>
          <w:color w:val="000000"/>
        </w:rPr>
        <w:t xml:space="preserve">Prix des produits alimentaires : </w:t>
      </w:r>
      <w:r w:rsidR="00827634">
        <w:rPr>
          <w:rFonts w:ascii="Times New Roman" w:hAnsi="Times New Roman" w:cs="Times New Roman"/>
          <w:b/>
          <w:bCs/>
          <w:color w:val="000000"/>
        </w:rPr>
        <w:t>forte a</w:t>
      </w:r>
      <w:r w:rsidR="00816354" w:rsidRPr="00DB06E9">
        <w:rPr>
          <w:rFonts w:ascii="Times New Roman" w:hAnsi="Times New Roman" w:cs="Times New Roman"/>
          <w:b/>
          <w:bCs/>
          <w:color w:val="000000"/>
        </w:rPr>
        <w:t xml:space="preserve">nticipation d'une hausse </w:t>
      </w:r>
    </w:p>
    <w:p w:rsidR="00985AB3" w:rsidRDefault="00AE27A6" w:rsidP="00985AB3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>Les ménages ont le sentiment que les prix des produits alimentaires ont augmenté et qu'ils augmenter</w:t>
      </w:r>
      <w:r w:rsidR="006A0757">
        <w:rPr>
          <w:rFonts w:ascii="Times New Roman" w:hAnsi="Times New Roman" w:cs="Times New Roman"/>
          <w:color w:val="000000"/>
        </w:rPr>
        <w:t>ont</w:t>
      </w:r>
      <w:r w:rsidRPr="00DB06E9">
        <w:rPr>
          <w:rFonts w:ascii="Times New Roman" w:hAnsi="Times New Roman" w:cs="Times New Roman"/>
          <w:color w:val="000000"/>
        </w:rPr>
        <w:t xml:space="preserve"> davantage </w:t>
      </w:r>
      <w:r w:rsidR="00985AB3">
        <w:rPr>
          <w:rFonts w:ascii="Times New Roman" w:hAnsi="Times New Roman" w:cs="Times New Roman"/>
          <w:color w:val="000000"/>
        </w:rPr>
        <w:t>au cours d</w:t>
      </w:r>
      <w:r w:rsidRPr="00DB06E9">
        <w:rPr>
          <w:rFonts w:ascii="Times New Roman" w:hAnsi="Times New Roman" w:cs="Times New Roman"/>
          <w:color w:val="000000"/>
        </w:rPr>
        <w:t>es 12 prochains mois.</w:t>
      </w:r>
      <w:r w:rsidR="00097300">
        <w:rPr>
          <w:rFonts w:ascii="Times New Roman" w:hAnsi="Times New Roman" w:cs="Times New Roman"/>
          <w:color w:val="000000"/>
        </w:rPr>
        <w:t xml:space="preserve"> </w:t>
      </w:r>
      <w:r w:rsidR="00985AB3">
        <w:rPr>
          <w:rFonts w:ascii="Times New Roman" w:hAnsi="Times New Roman" w:cs="Times New Roman"/>
          <w:color w:val="000000"/>
        </w:rPr>
        <w:t>Au deuxième trimestre de 2012, p</w:t>
      </w:r>
      <w:r w:rsidR="00563170">
        <w:rPr>
          <w:rFonts w:ascii="Times New Roman" w:hAnsi="Times New Roman" w:cs="Times New Roman"/>
          <w:color w:val="000000"/>
        </w:rPr>
        <w:t>lus de 9 ménages sur dix (9</w:t>
      </w:r>
      <w:r w:rsidR="003C3114">
        <w:rPr>
          <w:rFonts w:ascii="Times New Roman" w:hAnsi="Times New Roman" w:cs="Times New Roman"/>
          <w:color w:val="000000"/>
        </w:rPr>
        <w:t>1</w:t>
      </w:r>
      <w:r w:rsidR="00563170">
        <w:rPr>
          <w:rFonts w:ascii="Times New Roman" w:hAnsi="Times New Roman" w:cs="Times New Roman"/>
          <w:color w:val="000000"/>
        </w:rPr>
        <w:t>,</w:t>
      </w:r>
      <w:r w:rsidR="003C3114">
        <w:rPr>
          <w:rFonts w:ascii="Times New Roman" w:hAnsi="Times New Roman" w:cs="Times New Roman"/>
          <w:color w:val="000000"/>
        </w:rPr>
        <w:t>6</w:t>
      </w:r>
      <w:r w:rsidR="00563170">
        <w:rPr>
          <w:rFonts w:ascii="Times New Roman" w:hAnsi="Times New Roman" w:cs="Times New Roman"/>
          <w:color w:val="000000"/>
        </w:rPr>
        <w:t>%</w:t>
      </w:r>
      <w:r w:rsidR="00985AB3">
        <w:rPr>
          <w:rFonts w:ascii="Times New Roman" w:hAnsi="Times New Roman" w:cs="Times New Roman"/>
          <w:color w:val="000000"/>
        </w:rPr>
        <w:t xml:space="preserve"> contre 92,4% au trimestre précédent et 89,4% un an auparavant</w:t>
      </w:r>
      <w:r w:rsidR="00563170">
        <w:rPr>
          <w:rFonts w:ascii="Times New Roman" w:hAnsi="Times New Roman" w:cs="Times New Roman"/>
          <w:color w:val="000000"/>
        </w:rPr>
        <w:t>) pensent que les prix des produits alimentaires ont augmenté dans le passé et plus de sept sur dix (7</w:t>
      </w:r>
      <w:r w:rsidR="003C3114">
        <w:rPr>
          <w:rFonts w:ascii="Times New Roman" w:hAnsi="Times New Roman" w:cs="Times New Roman"/>
          <w:color w:val="000000"/>
        </w:rPr>
        <w:t>3</w:t>
      </w:r>
      <w:r w:rsidR="00563170">
        <w:rPr>
          <w:rFonts w:ascii="Times New Roman" w:hAnsi="Times New Roman" w:cs="Times New Roman"/>
          <w:color w:val="000000"/>
        </w:rPr>
        <w:t>,</w:t>
      </w:r>
      <w:r w:rsidR="003C3114">
        <w:rPr>
          <w:rFonts w:ascii="Times New Roman" w:hAnsi="Times New Roman" w:cs="Times New Roman"/>
          <w:color w:val="000000"/>
        </w:rPr>
        <w:t>4</w:t>
      </w:r>
      <w:r w:rsidR="00563170">
        <w:rPr>
          <w:rFonts w:ascii="Times New Roman" w:hAnsi="Times New Roman" w:cs="Times New Roman"/>
          <w:color w:val="000000"/>
        </w:rPr>
        <w:t>%</w:t>
      </w:r>
      <w:r w:rsidR="00985AB3">
        <w:rPr>
          <w:rFonts w:ascii="Times New Roman" w:hAnsi="Times New Roman" w:cs="Times New Roman"/>
          <w:color w:val="000000"/>
        </w:rPr>
        <w:t xml:space="preserve"> contre 72,3% et 66,6% respectivement</w:t>
      </w:r>
      <w:r w:rsidR="00563170">
        <w:rPr>
          <w:rFonts w:ascii="Times New Roman" w:hAnsi="Times New Roman" w:cs="Times New Roman"/>
          <w:color w:val="000000"/>
        </w:rPr>
        <w:t xml:space="preserve">) pensent qu'ils </w:t>
      </w:r>
      <w:r w:rsidR="00985AB3">
        <w:rPr>
          <w:rFonts w:ascii="Times New Roman" w:hAnsi="Times New Roman" w:cs="Times New Roman"/>
          <w:color w:val="000000"/>
        </w:rPr>
        <w:t xml:space="preserve">continueront à </w:t>
      </w:r>
      <w:r w:rsidR="00563170">
        <w:rPr>
          <w:rFonts w:ascii="Times New Roman" w:hAnsi="Times New Roman" w:cs="Times New Roman"/>
          <w:color w:val="000000"/>
        </w:rPr>
        <w:t>augmenter</w:t>
      </w:r>
      <w:r w:rsidR="009A2085">
        <w:rPr>
          <w:rFonts w:ascii="Times New Roman" w:hAnsi="Times New Roman" w:cs="Times New Roman"/>
          <w:color w:val="000000"/>
        </w:rPr>
        <w:t xml:space="preserve"> dans le futur</w:t>
      </w:r>
      <w:r w:rsidR="00563170">
        <w:rPr>
          <w:rFonts w:ascii="Times New Roman" w:hAnsi="Times New Roman" w:cs="Times New Roman"/>
          <w:color w:val="000000"/>
        </w:rPr>
        <w:t xml:space="preserve">. </w:t>
      </w:r>
    </w:p>
    <w:p w:rsidR="0001754D" w:rsidRDefault="0001754D" w:rsidP="00E36F48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FC336F" w:rsidRDefault="00FC336F" w:rsidP="00FC336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C5D13" w:rsidRDefault="00A51B13" w:rsidP="00C0250F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3095880" cy="3513074"/>
            <wp:effectExtent l="12192" t="6096" r="7238" b="0"/>
            <wp:docPr id="5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0250F">
        <w:rPr>
          <w:rFonts w:ascii="Times New Roman" w:hAnsi="Times New Roman" w:cs="Times New Roman"/>
          <w:noProof/>
          <w:color w:val="000000"/>
        </w:rPr>
        <w:t xml:space="preserve">  </w:t>
      </w:r>
      <w:r w:rsidR="00BC5D13">
        <w:rPr>
          <w:rFonts w:ascii="Times New Roman" w:hAnsi="Times New Roman" w:cs="Times New Roman"/>
          <w:noProof/>
          <w:color w:val="000000"/>
        </w:rPr>
        <w:t xml:space="preserve"> 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3132922" cy="3489635"/>
            <wp:effectExtent l="11103" t="5780" r="3035" b="2800"/>
            <wp:docPr id="6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03E2E" w:rsidRPr="00DB06E9" w:rsidRDefault="00D03E2E" w:rsidP="009E2A58">
      <w:pPr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3492C" w:rsidRPr="00DB06E9" w:rsidRDefault="00AE27A6" w:rsidP="0053124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B06E9">
        <w:rPr>
          <w:rFonts w:ascii="Times New Roman" w:hAnsi="Times New Roman" w:cs="Times New Roman"/>
          <w:b/>
          <w:bCs/>
          <w:color w:val="000000"/>
        </w:rPr>
        <w:t xml:space="preserve">• </w:t>
      </w:r>
      <w:r w:rsidR="00827634">
        <w:rPr>
          <w:rFonts w:ascii="Times New Roman" w:hAnsi="Times New Roman" w:cs="Times New Roman"/>
          <w:b/>
          <w:bCs/>
          <w:color w:val="000000"/>
        </w:rPr>
        <w:t>Capacité d’épargne : l</w:t>
      </w:r>
      <w:r w:rsidR="00697E8F">
        <w:rPr>
          <w:rFonts w:ascii="Times New Roman" w:hAnsi="Times New Roman" w:cs="Times New Roman"/>
          <w:b/>
          <w:bCs/>
          <w:color w:val="000000"/>
        </w:rPr>
        <w:t>es ménages toujours pessimistes</w:t>
      </w:r>
      <w:r w:rsidR="00C21104" w:rsidRPr="00DB06E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E42A8D" w:rsidRDefault="00E42A8D" w:rsidP="00BE681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Les ménages sont toujours pessimistes quant à leur capacité à épargner dans les mois à venir</w:t>
      </w:r>
      <w:r w:rsidR="00022644">
        <w:rPr>
          <w:rFonts w:ascii="Times New Roman" w:hAnsi="Times New Roman" w:cs="Times New Roman"/>
          <w:color w:val="000000"/>
        </w:rPr>
        <w:t>, 81,8% d’entre eux pensent ne pas pouvoir épargner au cours des 12 prochains</w:t>
      </w:r>
      <w:r w:rsidR="000D24FA">
        <w:rPr>
          <w:rFonts w:ascii="Times New Roman" w:hAnsi="Times New Roman" w:cs="Times New Roman"/>
          <w:color w:val="000000"/>
        </w:rPr>
        <w:t xml:space="preserve"> mois</w:t>
      </w:r>
      <w:r w:rsidR="00022644">
        <w:rPr>
          <w:rFonts w:ascii="Times New Roman" w:hAnsi="Times New Roman" w:cs="Times New Roman"/>
          <w:color w:val="000000"/>
        </w:rPr>
        <w:t>. Cette proportion est restée quasi stable au cours des derniers mois (81,3% au premier trimestre de 201</w:t>
      </w:r>
      <w:r w:rsidR="00BE681E">
        <w:rPr>
          <w:rFonts w:ascii="Times New Roman" w:hAnsi="Times New Roman" w:cs="Times New Roman"/>
          <w:color w:val="000000"/>
        </w:rPr>
        <w:t>2</w:t>
      </w:r>
      <w:r w:rsidR="00022644">
        <w:rPr>
          <w:rFonts w:ascii="Times New Roman" w:hAnsi="Times New Roman" w:cs="Times New Roman"/>
          <w:color w:val="000000"/>
        </w:rPr>
        <w:t xml:space="preserve"> et 81,7% au cours du deuxième trimestre de 2011)</w:t>
      </w:r>
      <w:r>
        <w:rPr>
          <w:rFonts w:ascii="Times New Roman" w:hAnsi="Times New Roman" w:cs="Times New Roman"/>
          <w:color w:val="000000"/>
        </w:rPr>
        <w:t>.</w:t>
      </w:r>
    </w:p>
    <w:p w:rsidR="009E682C" w:rsidRDefault="009E682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C17FC" w:rsidRDefault="007C17F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C17FC" w:rsidRDefault="007C17F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4C26D2" w:rsidRDefault="00BB1F54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B06E9">
        <w:rPr>
          <w:rFonts w:ascii="Times New Roman" w:hAnsi="Times New Roman" w:cs="Times New Roman"/>
          <w:color w:val="000000"/>
        </w:rPr>
        <w:t xml:space="preserve">Ci-joint </w:t>
      </w:r>
      <w:r w:rsidR="00B04FEC" w:rsidRPr="00DB06E9">
        <w:rPr>
          <w:rFonts w:ascii="Times New Roman" w:hAnsi="Times New Roman" w:cs="Times New Roman"/>
          <w:color w:val="000000"/>
        </w:rPr>
        <w:t xml:space="preserve"> </w:t>
      </w:r>
      <w:r w:rsidRPr="00DB06E9">
        <w:rPr>
          <w:rFonts w:ascii="Times New Roman" w:hAnsi="Times New Roman" w:cs="Times New Roman"/>
          <w:color w:val="000000"/>
        </w:rPr>
        <w:t>les détails des différents indicateurs et un rappel des principaux concepts.</w:t>
      </w: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0786" w:rsidRDefault="00B10786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1370" w:rsidRDefault="006913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691370" w:rsidSect="00B87925">
          <w:foot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7"/>
        <w:gridCol w:w="867"/>
        <w:gridCol w:w="715"/>
        <w:gridCol w:w="82"/>
        <w:gridCol w:w="567"/>
        <w:gridCol w:w="61"/>
        <w:gridCol w:w="508"/>
        <w:gridCol w:w="200"/>
        <w:gridCol w:w="370"/>
        <w:gridCol w:w="339"/>
        <w:gridCol w:w="231"/>
        <w:gridCol w:w="478"/>
        <w:gridCol w:w="92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624"/>
      </w:tblGrid>
      <w:tr w:rsidR="00691370" w:rsidRPr="00114522" w:rsidTr="00F04758">
        <w:trPr>
          <w:trHeight w:val="300"/>
        </w:trPr>
        <w:tc>
          <w:tcPr>
            <w:tcW w:w="140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4708C0" w:rsidRDefault="00691370" w:rsidP="00F04758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8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Evolution de l’ICM et de ses composantes</w:t>
            </w:r>
          </w:p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  <w:tr w:rsidR="00691370" w:rsidRPr="00114522" w:rsidTr="00F04758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  <w:tr w:rsidR="00691370" w:rsidRPr="00114522" w:rsidTr="00F04758">
        <w:trPr>
          <w:trHeight w:val="315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Indicateur</w:t>
            </w:r>
          </w:p>
        </w:tc>
        <w:tc>
          <w:tcPr>
            <w:tcW w:w="1140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Trimestre</w:t>
            </w:r>
          </w:p>
        </w:tc>
      </w:tr>
      <w:tr w:rsidR="00691370" w:rsidRPr="00114522" w:rsidTr="00F04758">
        <w:trPr>
          <w:trHeight w:val="480"/>
        </w:trPr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T2/08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T3/08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T4/08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T2/09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T3/09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T4/09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T3/10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T4/10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T3/11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T4/11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T1/12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T2/12</w:t>
            </w:r>
          </w:p>
        </w:tc>
      </w:tr>
      <w:tr w:rsidR="00691370" w:rsidRPr="00114522" w:rsidTr="00F04758">
        <w:trPr>
          <w:trHeight w:val="558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Indicateur résumé ICM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77,6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80,7</w:t>
            </w:r>
          </w:p>
        </w:tc>
      </w:tr>
      <w:tr w:rsidR="00691370" w:rsidRPr="00114522" w:rsidTr="00F04758">
        <w:trPr>
          <w:trHeight w:val="501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Perspectives d'évolution du nombre de chômeurs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-52,1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-51,6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-59,2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-52,3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-52,4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-46,0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-41,6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-44,1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-48,6</w:t>
            </w:r>
          </w:p>
        </w:tc>
      </w:tr>
      <w:tr w:rsidR="00691370" w:rsidRPr="00114522" w:rsidTr="00F04758">
        <w:trPr>
          <w:trHeight w:val="601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passée du niveau de vie en général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-10,4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-25,2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-31,1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-29,4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-29,1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-26,5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-28,6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-37,2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-26,1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-17,0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-13,4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-26,2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-21,8</w:t>
            </w:r>
          </w:p>
        </w:tc>
      </w:tr>
      <w:tr w:rsidR="00691370" w:rsidRPr="00114522" w:rsidTr="00F04758">
        <w:trPr>
          <w:trHeight w:val="567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Perspectives d'évolution du niveau de vie en général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-11,5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-3,5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</w:tr>
      <w:tr w:rsidR="00691370" w:rsidRPr="00114522" w:rsidTr="00F04758">
        <w:trPr>
          <w:trHeight w:val="408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Opportunité d'achat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-34,3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-41,8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-46,5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-43,4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-42,6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-36,0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-44,3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-39,9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-39,0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-36,4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-38,5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-32,5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-37,4</w:t>
            </w:r>
          </w:p>
        </w:tc>
      </w:tr>
      <w:tr w:rsidR="00691370" w:rsidRPr="00114522" w:rsidTr="00F04758">
        <w:trPr>
          <w:trHeight w:val="55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Situation financière actuelle des ménages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-33,0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-32,9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-34,4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-26,9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-27,6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-28,1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-27,1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-24,3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-25,4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-31,0</w:t>
            </w:r>
          </w:p>
        </w:tc>
      </w:tr>
      <w:tr w:rsidR="00691370" w:rsidRPr="00114522" w:rsidTr="00F04758">
        <w:trPr>
          <w:trHeight w:val="70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passée  de la situation financière des ménages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-18,4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-13,4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-11,0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-12,8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-10,5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-14,1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</w:tr>
      <w:tr w:rsidR="00691370" w:rsidRPr="00114522" w:rsidTr="00F04758">
        <w:trPr>
          <w:trHeight w:val="557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future de la situation financière des ménages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</w:tr>
      <w:tr w:rsidR="00691370" w:rsidRPr="00114522" w:rsidTr="00F04758">
        <w:trPr>
          <w:trHeight w:val="300"/>
        </w:trPr>
        <w:tc>
          <w:tcPr>
            <w:tcW w:w="140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Autres soldes</w:t>
            </w:r>
          </w:p>
        </w:tc>
      </w:tr>
      <w:tr w:rsidR="00691370" w:rsidRPr="00114522" w:rsidTr="00F04758">
        <w:trPr>
          <w:trHeight w:val="626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future des prix des produits alimentaires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-74,1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-78,9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-49,7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-34,9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-33,5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-50,9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-47,9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-46,5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-62,2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-58,8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-72,6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-73,0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-71,5</w:t>
            </w:r>
          </w:p>
        </w:tc>
      </w:tr>
      <w:tr w:rsidR="00691370" w:rsidRPr="00114522" w:rsidTr="00F04758">
        <w:trPr>
          <w:trHeight w:val="576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Evolution  passée des prix des produits alimentaires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-93,6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-95,9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-98,0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-96,2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-85,7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-83,3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-79,5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-89,7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-90,9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-95,5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-89,9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-92,5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-91,1</w:t>
            </w:r>
          </w:p>
        </w:tc>
      </w:tr>
      <w:tr w:rsidR="00691370" w:rsidRPr="00114522" w:rsidTr="00F04758">
        <w:trPr>
          <w:trHeight w:val="682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Capacité à épargner des ménages dans les mois à venir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-61,3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-60,7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-57,1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-57,8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-58,5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-56,6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-67,6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-63,3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-64,7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-62,5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70" w:rsidRPr="00114522" w:rsidRDefault="00691370" w:rsidP="00F04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522">
              <w:rPr>
                <w:rFonts w:ascii="Times New Roman" w:hAnsi="Times New Roman" w:cs="Times New Roman"/>
                <w:sz w:val="18"/>
                <w:szCs w:val="18"/>
              </w:rPr>
              <w:t>-63,5</w:t>
            </w:r>
          </w:p>
        </w:tc>
      </w:tr>
      <w:tr w:rsidR="00691370" w:rsidRPr="00114522" w:rsidTr="00F04758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  <w:tr w:rsidR="00691370" w:rsidRPr="00114522" w:rsidTr="00F04758">
        <w:trPr>
          <w:trHeight w:val="30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370" w:rsidRPr="00114522" w:rsidRDefault="00691370" w:rsidP="00F04758">
            <w:pPr>
              <w:rPr>
                <w:rFonts w:ascii="Calibri" w:hAnsi="Calibri" w:cs="Times New Roman"/>
                <w:color w:val="000000"/>
                <w:szCs w:val="22"/>
              </w:rPr>
            </w:pPr>
          </w:p>
        </w:tc>
      </w:tr>
    </w:tbl>
    <w:p w:rsidR="00691370" w:rsidRDefault="00691370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  <w:sectPr w:rsidR="00691370" w:rsidSect="00691370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B10786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B10786" w:rsidRDefault="00B10786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pPr w:leftFromText="141" w:rightFromText="141" w:vertAnchor="text" w:horzAnchor="margin" w:tblpXSpec="center" w:tblpY="6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5C473B" w:rsidRPr="00BD2D08" w:rsidTr="005C473B">
        <w:tc>
          <w:tcPr>
            <w:tcW w:w="9889" w:type="dxa"/>
          </w:tcPr>
          <w:p w:rsidR="005C473B" w:rsidRPr="00EC7956" w:rsidRDefault="005C473B" w:rsidP="005C473B">
            <w:pPr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B68B6">
              <w:rPr>
                <w:rFonts w:ascii="Times New Roman" w:hAnsi="Times New Roman" w:cs="Times New Roman"/>
              </w:rPr>
              <w:br w:type="page"/>
            </w: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Rappelons que :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passée du niveau de vie ;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perspective d'évolution du niveau de vie ;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perspective d'évolution du nombre de chômeurs ;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opportunité d'achat de biens durables;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situation financière actuelle des ménages ;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passée de la situation financière des ménages ;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évolution  future de la situation financière des ménages.</w:t>
            </w:r>
          </w:p>
          <w:p w:rsidR="005C473B" w:rsidRPr="00EC7956" w:rsidRDefault="005C473B" w:rsidP="005C473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5C473B" w:rsidRPr="00EC7956" w:rsidRDefault="005C473B" w:rsidP="005C473B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Pour plus d’informations sur les aspects méthodologiques de cette enquête, consulter 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le site web du HCP au </w:t>
            </w:r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hyperlink r:id="rId15" w:history="1">
              <w:r w:rsidRPr="00EC7956">
                <w:rPr>
                  <w:rStyle w:val="Lienhypertexte"/>
                  <w:rFonts w:ascii="Book Antiqua" w:hAnsi="Book Antiqua" w:cs="Times New Roman"/>
                  <w:sz w:val="20"/>
                  <w:szCs w:val="20"/>
                </w:rPr>
                <w:t>www.hcp.ma</w:t>
              </w:r>
            </w:hyperlink>
            <w:r w:rsidRPr="00EC7956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</w:tr>
    </w:tbl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8173C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547C5" w:rsidRDefault="00A547C5" w:rsidP="00C476FD">
      <w:pPr>
        <w:widowControl/>
        <w:autoSpaceDE/>
        <w:autoSpaceDN/>
        <w:adjustRightInd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5D6C02" w:rsidRPr="00BD2D08" w:rsidRDefault="005D6C02" w:rsidP="00CF7444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:rsidR="005D6C02" w:rsidRPr="00BD2D08" w:rsidRDefault="005D6C02" w:rsidP="00CF7444">
      <w:pPr>
        <w:widowControl/>
        <w:spacing w:line="276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sectPr w:rsidR="005D6C02" w:rsidRPr="00BD2D08" w:rsidSect="00B87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40D" w:rsidRDefault="0049640D" w:rsidP="00460705">
      <w:r>
        <w:separator/>
      </w:r>
    </w:p>
  </w:endnote>
  <w:endnote w:type="continuationSeparator" w:id="0">
    <w:p w:rsidR="0049640D" w:rsidRDefault="0049640D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300" w:rsidRDefault="001B5F02">
    <w:pPr>
      <w:pStyle w:val="Pieddepage"/>
      <w:jc w:val="right"/>
    </w:pPr>
    <w:fldSimple w:instr=" PAGE   \* MERGEFORMAT ">
      <w:r w:rsidR="00F078CD">
        <w:rPr>
          <w:noProof/>
        </w:rPr>
        <w:t>6</w:t>
      </w:r>
    </w:fldSimple>
  </w:p>
  <w:p w:rsidR="00097300" w:rsidRDefault="000973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40D" w:rsidRDefault="0049640D" w:rsidP="00460705">
      <w:r>
        <w:separator/>
      </w:r>
    </w:p>
  </w:footnote>
  <w:footnote w:type="continuationSeparator" w:id="0">
    <w:p w:rsidR="0049640D" w:rsidRDefault="0049640D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69AE"/>
    <w:rsid w:val="00011A0E"/>
    <w:rsid w:val="0001754D"/>
    <w:rsid w:val="00022644"/>
    <w:rsid w:val="000315FD"/>
    <w:rsid w:val="00031CFB"/>
    <w:rsid w:val="000324B4"/>
    <w:rsid w:val="000370B6"/>
    <w:rsid w:val="00047B2B"/>
    <w:rsid w:val="00051534"/>
    <w:rsid w:val="00057262"/>
    <w:rsid w:val="00061CA4"/>
    <w:rsid w:val="000646B0"/>
    <w:rsid w:val="000706EE"/>
    <w:rsid w:val="000720FD"/>
    <w:rsid w:val="00072F7C"/>
    <w:rsid w:val="00073079"/>
    <w:rsid w:val="000779C2"/>
    <w:rsid w:val="000877E9"/>
    <w:rsid w:val="00087DA2"/>
    <w:rsid w:val="00091FB9"/>
    <w:rsid w:val="00097300"/>
    <w:rsid w:val="00097799"/>
    <w:rsid w:val="000A158A"/>
    <w:rsid w:val="000A40C3"/>
    <w:rsid w:val="000B0844"/>
    <w:rsid w:val="000C56EA"/>
    <w:rsid w:val="000C7F17"/>
    <w:rsid w:val="000D24FA"/>
    <w:rsid w:val="000D4077"/>
    <w:rsid w:val="000D5B0A"/>
    <w:rsid w:val="000E17D9"/>
    <w:rsid w:val="000F0919"/>
    <w:rsid w:val="000F6CE8"/>
    <w:rsid w:val="000F7A57"/>
    <w:rsid w:val="001037B3"/>
    <w:rsid w:val="00104438"/>
    <w:rsid w:val="00106FA4"/>
    <w:rsid w:val="001116C8"/>
    <w:rsid w:val="001161C4"/>
    <w:rsid w:val="0011726A"/>
    <w:rsid w:val="00117A2F"/>
    <w:rsid w:val="00121CCC"/>
    <w:rsid w:val="00124827"/>
    <w:rsid w:val="00125161"/>
    <w:rsid w:val="00125543"/>
    <w:rsid w:val="00133860"/>
    <w:rsid w:val="001438AB"/>
    <w:rsid w:val="001545AE"/>
    <w:rsid w:val="0016596E"/>
    <w:rsid w:val="001672BD"/>
    <w:rsid w:val="00174542"/>
    <w:rsid w:val="00187EB7"/>
    <w:rsid w:val="00191E08"/>
    <w:rsid w:val="00191F62"/>
    <w:rsid w:val="00193B4D"/>
    <w:rsid w:val="0019435A"/>
    <w:rsid w:val="00195D2E"/>
    <w:rsid w:val="00197D9A"/>
    <w:rsid w:val="001A0F65"/>
    <w:rsid w:val="001A648B"/>
    <w:rsid w:val="001A69DD"/>
    <w:rsid w:val="001B50A1"/>
    <w:rsid w:val="001B5B96"/>
    <w:rsid w:val="001B5F02"/>
    <w:rsid w:val="001B7322"/>
    <w:rsid w:val="001C4D54"/>
    <w:rsid w:val="001C6846"/>
    <w:rsid w:val="001E42CC"/>
    <w:rsid w:val="001E4F55"/>
    <w:rsid w:val="001F062E"/>
    <w:rsid w:val="001F4A3E"/>
    <w:rsid w:val="001F4FE4"/>
    <w:rsid w:val="001F59E2"/>
    <w:rsid w:val="001F626D"/>
    <w:rsid w:val="002021DE"/>
    <w:rsid w:val="002041E9"/>
    <w:rsid w:val="0020711A"/>
    <w:rsid w:val="0021180E"/>
    <w:rsid w:val="002163AF"/>
    <w:rsid w:val="00221FC5"/>
    <w:rsid w:val="00222682"/>
    <w:rsid w:val="00222815"/>
    <w:rsid w:val="00223178"/>
    <w:rsid w:val="00226BE3"/>
    <w:rsid w:val="00227B1B"/>
    <w:rsid w:val="0024028E"/>
    <w:rsid w:val="00246518"/>
    <w:rsid w:val="00256FBC"/>
    <w:rsid w:val="00257385"/>
    <w:rsid w:val="0026337D"/>
    <w:rsid w:val="00265CFD"/>
    <w:rsid w:val="00267298"/>
    <w:rsid w:val="002672A0"/>
    <w:rsid w:val="00270AD9"/>
    <w:rsid w:val="0027263B"/>
    <w:rsid w:val="002751C2"/>
    <w:rsid w:val="00275256"/>
    <w:rsid w:val="00280072"/>
    <w:rsid w:val="00287EC1"/>
    <w:rsid w:val="002915B7"/>
    <w:rsid w:val="00293863"/>
    <w:rsid w:val="002A2E36"/>
    <w:rsid w:val="002A321D"/>
    <w:rsid w:val="002B15A7"/>
    <w:rsid w:val="002B3D5B"/>
    <w:rsid w:val="002B799E"/>
    <w:rsid w:val="002C03DA"/>
    <w:rsid w:val="002C0E6A"/>
    <w:rsid w:val="002C10D7"/>
    <w:rsid w:val="002C3101"/>
    <w:rsid w:val="002C5954"/>
    <w:rsid w:val="002D3C52"/>
    <w:rsid w:val="002D54C7"/>
    <w:rsid w:val="002D56C5"/>
    <w:rsid w:val="002D5AAA"/>
    <w:rsid w:val="002F08CD"/>
    <w:rsid w:val="002F56E4"/>
    <w:rsid w:val="00302717"/>
    <w:rsid w:val="00312C75"/>
    <w:rsid w:val="00313590"/>
    <w:rsid w:val="0032393A"/>
    <w:rsid w:val="0032457C"/>
    <w:rsid w:val="00326439"/>
    <w:rsid w:val="0033159D"/>
    <w:rsid w:val="00333CD8"/>
    <w:rsid w:val="00335AA7"/>
    <w:rsid w:val="00344737"/>
    <w:rsid w:val="00352106"/>
    <w:rsid w:val="0035217E"/>
    <w:rsid w:val="00353CB2"/>
    <w:rsid w:val="00360720"/>
    <w:rsid w:val="00362A0D"/>
    <w:rsid w:val="003724EE"/>
    <w:rsid w:val="00373C93"/>
    <w:rsid w:val="00381490"/>
    <w:rsid w:val="003960C1"/>
    <w:rsid w:val="003A32A5"/>
    <w:rsid w:val="003A35D3"/>
    <w:rsid w:val="003A5110"/>
    <w:rsid w:val="003A5245"/>
    <w:rsid w:val="003A5AEB"/>
    <w:rsid w:val="003A6EC4"/>
    <w:rsid w:val="003A7ECC"/>
    <w:rsid w:val="003B330D"/>
    <w:rsid w:val="003B6E43"/>
    <w:rsid w:val="003C0E95"/>
    <w:rsid w:val="003C1028"/>
    <w:rsid w:val="003C3114"/>
    <w:rsid w:val="003C79A0"/>
    <w:rsid w:val="003E1044"/>
    <w:rsid w:val="003E22C4"/>
    <w:rsid w:val="003E4DD3"/>
    <w:rsid w:val="003F362B"/>
    <w:rsid w:val="003F3B02"/>
    <w:rsid w:val="003F3BF4"/>
    <w:rsid w:val="00400110"/>
    <w:rsid w:val="00400983"/>
    <w:rsid w:val="00404C21"/>
    <w:rsid w:val="00405940"/>
    <w:rsid w:val="004105E0"/>
    <w:rsid w:val="00412740"/>
    <w:rsid w:val="004158F0"/>
    <w:rsid w:val="00420B43"/>
    <w:rsid w:val="0042529A"/>
    <w:rsid w:val="00426845"/>
    <w:rsid w:val="00427219"/>
    <w:rsid w:val="0043296A"/>
    <w:rsid w:val="00434E44"/>
    <w:rsid w:val="00435631"/>
    <w:rsid w:val="0043688A"/>
    <w:rsid w:val="00440B2D"/>
    <w:rsid w:val="00445B5E"/>
    <w:rsid w:val="00450950"/>
    <w:rsid w:val="00452F6C"/>
    <w:rsid w:val="0045422F"/>
    <w:rsid w:val="0045433C"/>
    <w:rsid w:val="00460705"/>
    <w:rsid w:val="0046586B"/>
    <w:rsid w:val="004660F5"/>
    <w:rsid w:val="0046675F"/>
    <w:rsid w:val="004708C0"/>
    <w:rsid w:val="0047220A"/>
    <w:rsid w:val="0047271F"/>
    <w:rsid w:val="00472EDA"/>
    <w:rsid w:val="004744E1"/>
    <w:rsid w:val="00475F4B"/>
    <w:rsid w:val="00477B88"/>
    <w:rsid w:val="004825A3"/>
    <w:rsid w:val="0048573D"/>
    <w:rsid w:val="00493412"/>
    <w:rsid w:val="0049640D"/>
    <w:rsid w:val="004B5383"/>
    <w:rsid w:val="004B7076"/>
    <w:rsid w:val="004C26D2"/>
    <w:rsid w:val="004D07E5"/>
    <w:rsid w:val="004D2992"/>
    <w:rsid w:val="004D3202"/>
    <w:rsid w:val="004D469E"/>
    <w:rsid w:val="004D7FEA"/>
    <w:rsid w:val="004E3D51"/>
    <w:rsid w:val="004E5131"/>
    <w:rsid w:val="004F59BE"/>
    <w:rsid w:val="005016B0"/>
    <w:rsid w:val="005041F1"/>
    <w:rsid w:val="00504C1B"/>
    <w:rsid w:val="0050642C"/>
    <w:rsid w:val="005076C2"/>
    <w:rsid w:val="005128B6"/>
    <w:rsid w:val="00517831"/>
    <w:rsid w:val="00522383"/>
    <w:rsid w:val="00525787"/>
    <w:rsid w:val="00531247"/>
    <w:rsid w:val="005314AC"/>
    <w:rsid w:val="0054064D"/>
    <w:rsid w:val="00545A36"/>
    <w:rsid w:val="005465E0"/>
    <w:rsid w:val="005467EB"/>
    <w:rsid w:val="00547601"/>
    <w:rsid w:val="0055058D"/>
    <w:rsid w:val="00562D36"/>
    <w:rsid w:val="00562E23"/>
    <w:rsid w:val="00563170"/>
    <w:rsid w:val="0056722B"/>
    <w:rsid w:val="00567CDC"/>
    <w:rsid w:val="00576E52"/>
    <w:rsid w:val="00577957"/>
    <w:rsid w:val="00582246"/>
    <w:rsid w:val="0058309C"/>
    <w:rsid w:val="00584093"/>
    <w:rsid w:val="00586FA1"/>
    <w:rsid w:val="005926A9"/>
    <w:rsid w:val="00596CE0"/>
    <w:rsid w:val="005A3289"/>
    <w:rsid w:val="005A6B2B"/>
    <w:rsid w:val="005B6912"/>
    <w:rsid w:val="005B77A5"/>
    <w:rsid w:val="005C41EB"/>
    <w:rsid w:val="005C473B"/>
    <w:rsid w:val="005D0118"/>
    <w:rsid w:val="005D0483"/>
    <w:rsid w:val="005D238E"/>
    <w:rsid w:val="005D2895"/>
    <w:rsid w:val="005D63D7"/>
    <w:rsid w:val="005D6C02"/>
    <w:rsid w:val="005D733B"/>
    <w:rsid w:val="005E1D4B"/>
    <w:rsid w:val="005E3E9B"/>
    <w:rsid w:val="005F2467"/>
    <w:rsid w:val="005F3E46"/>
    <w:rsid w:val="00600D77"/>
    <w:rsid w:val="006078F5"/>
    <w:rsid w:val="00617A67"/>
    <w:rsid w:val="00622CF0"/>
    <w:rsid w:val="00626C37"/>
    <w:rsid w:val="00627948"/>
    <w:rsid w:val="006332C7"/>
    <w:rsid w:val="00634856"/>
    <w:rsid w:val="0064322F"/>
    <w:rsid w:val="0064643D"/>
    <w:rsid w:val="006473DB"/>
    <w:rsid w:val="00655B8C"/>
    <w:rsid w:val="006575AC"/>
    <w:rsid w:val="0066108F"/>
    <w:rsid w:val="006620AD"/>
    <w:rsid w:val="00665ECF"/>
    <w:rsid w:val="00672A2B"/>
    <w:rsid w:val="0068173C"/>
    <w:rsid w:val="006817AF"/>
    <w:rsid w:val="006820FF"/>
    <w:rsid w:val="00686868"/>
    <w:rsid w:val="00687307"/>
    <w:rsid w:val="00691370"/>
    <w:rsid w:val="00692444"/>
    <w:rsid w:val="006975E3"/>
    <w:rsid w:val="0069792B"/>
    <w:rsid w:val="00697E8F"/>
    <w:rsid w:val="006A0757"/>
    <w:rsid w:val="006A5708"/>
    <w:rsid w:val="006C2CF5"/>
    <w:rsid w:val="006C31B7"/>
    <w:rsid w:val="006C39DF"/>
    <w:rsid w:val="006C4C14"/>
    <w:rsid w:val="006C7006"/>
    <w:rsid w:val="006D3119"/>
    <w:rsid w:val="006D5C60"/>
    <w:rsid w:val="006E15E3"/>
    <w:rsid w:val="006E54CD"/>
    <w:rsid w:val="006F1D72"/>
    <w:rsid w:val="006F794A"/>
    <w:rsid w:val="00706F3D"/>
    <w:rsid w:val="007122EA"/>
    <w:rsid w:val="007125AF"/>
    <w:rsid w:val="00714273"/>
    <w:rsid w:val="007143DA"/>
    <w:rsid w:val="00717305"/>
    <w:rsid w:val="00722189"/>
    <w:rsid w:val="00724CEF"/>
    <w:rsid w:val="0073492C"/>
    <w:rsid w:val="00742C5C"/>
    <w:rsid w:val="00743C10"/>
    <w:rsid w:val="00745483"/>
    <w:rsid w:val="00745AD8"/>
    <w:rsid w:val="00751D5F"/>
    <w:rsid w:val="00754325"/>
    <w:rsid w:val="0075742A"/>
    <w:rsid w:val="00761915"/>
    <w:rsid w:val="00763124"/>
    <w:rsid w:val="007645FF"/>
    <w:rsid w:val="0076762A"/>
    <w:rsid w:val="00772D6A"/>
    <w:rsid w:val="00774BE8"/>
    <w:rsid w:val="00774E22"/>
    <w:rsid w:val="00780E61"/>
    <w:rsid w:val="007909B3"/>
    <w:rsid w:val="007A00D5"/>
    <w:rsid w:val="007A02DF"/>
    <w:rsid w:val="007A4238"/>
    <w:rsid w:val="007A430C"/>
    <w:rsid w:val="007B4778"/>
    <w:rsid w:val="007C17FC"/>
    <w:rsid w:val="007C2155"/>
    <w:rsid w:val="007C2C4A"/>
    <w:rsid w:val="007C58E4"/>
    <w:rsid w:val="007C7AFB"/>
    <w:rsid w:val="007D4ED5"/>
    <w:rsid w:val="007D76C4"/>
    <w:rsid w:val="007E0752"/>
    <w:rsid w:val="007E0D7B"/>
    <w:rsid w:val="007F353D"/>
    <w:rsid w:val="007F722E"/>
    <w:rsid w:val="00800D8F"/>
    <w:rsid w:val="00801956"/>
    <w:rsid w:val="00802F87"/>
    <w:rsid w:val="00813336"/>
    <w:rsid w:val="00816354"/>
    <w:rsid w:val="00820C60"/>
    <w:rsid w:val="0082661B"/>
    <w:rsid w:val="00827634"/>
    <w:rsid w:val="00827916"/>
    <w:rsid w:val="00827C0D"/>
    <w:rsid w:val="00833A84"/>
    <w:rsid w:val="0083547E"/>
    <w:rsid w:val="0084366E"/>
    <w:rsid w:val="00845B57"/>
    <w:rsid w:val="00846510"/>
    <w:rsid w:val="008473C5"/>
    <w:rsid w:val="00853079"/>
    <w:rsid w:val="00853CBC"/>
    <w:rsid w:val="00860E86"/>
    <w:rsid w:val="0086425D"/>
    <w:rsid w:val="008660BF"/>
    <w:rsid w:val="008704DD"/>
    <w:rsid w:val="008750A7"/>
    <w:rsid w:val="00876C88"/>
    <w:rsid w:val="00881FD0"/>
    <w:rsid w:val="00882754"/>
    <w:rsid w:val="008840E8"/>
    <w:rsid w:val="00887F4C"/>
    <w:rsid w:val="00892EE4"/>
    <w:rsid w:val="00894425"/>
    <w:rsid w:val="008A448E"/>
    <w:rsid w:val="008A6651"/>
    <w:rsid w:val="008B4AC5"/>
    <w:rsid w:val="008B595A"/>
    <w:rsid w:val="008C02D0"/>
    <w:rsid w:val="008C0A72"/>
    <w:rsid w:val="008C154C"/>
    <w:rsid w:val="008C2130"/>
    <w:rsid w:val="008D27B7"/>
    <w:rsid w:val="008D2E6F"/>
    <w:rsid w:val="008D37EC"/>
    <w:rsid w:val="008E2CA1"/>
    <w:rsid w:val="008F01C0"/>
    <w:rsid w:val="008F3C1D"/>
    <w:rsid w:val="00902516"/>
    <w:rsid w:val="00905DCF"/>
    <w:rsid w:val="0090637D"/>
    <w:rsid w:val="00907B6A"/>
    <w:rsid w:val="00912704"/>
    <w:rsid w:val="009130EC"/>
    <w:rsid w:val="009251D3"/>
    <w:rsid w:val="00925C4D"/>
    <w:rsid w:val="0092695A"/>
    <w:rsid w:val="009314EC"/>
    <w:rsid w:val="00950CC4"/>
    <w:rsid w:val="00954235"/>
    <w:rsid w:val="009559E4"/>
    <w:rsid w:val="00960BF0"/>
    <w:rsid w:val="0096486F"/>
    <w:rsid w:val="00985AB3"/>
    <w:rsid w:val="0098660E"/>
    <w:rsid w:val="009874E6"/>
    <w:rsid w:val="009921AC"/>
    <w:rsid w:val="00997F9E"/>
    <w:rsid w:val="009A2085"/>
    <w:rsid w:val="009B04AF"/>
    <w:rsid w:val="009B4A71"/>
    <w:rsid w:val="009B4BFB"/>
    <w:rsid w:val="009B5D6E"/>
    <w:rsid w:val="009B764C"/>
    <w:rsid w:val="009C5A25"/>
    <w:rsid w:val="009C6033"/>
    <w:rsid w:val="009D40CA"/>
    <w:rsid w:val="009D5CA0"/>
    <w:rsid w:val="009D614B"/>
    <w:rsid w:val="009D68B9"/>
    <w:rsid w:val="009D7551"/>
    <w:rsid w:val="009D788B"/>
    <w:rsid w:val="009E2A58"/>
    <w:rsid w:val="009E3156"/>
    <w:rsid w:val="009E682C"/>
    <w:rsid w:val="00A04837"/>
    <w:rsid w:val="00A104FC"/>
    <w:rsid w:val="00A124D9"/>
    <w:rsid w:val="00A16EFD"/>
    <w:rsid w:val="00A20BC5"/>
    <w:rsid w:val="00A26209"/>
    <w:rsid w:val="00A271B5"/>
    <w:rsid w:val="00A3041C"/>
    <w:rsid w:val="00A44630"/>
    <w:rsid w:val="00A44E07"/>
    <w:rsid w:val="00A51B13"/>
    <w:rsid w:val="00A521F4"/>
    <w:rsid w:val="00A5313B"/>
    <w:rsid w:val="00A53B08"/>
    <w:rsid w:val="00A547C5"/>
    <w:rsid w:val="00A604A4"/>
    <w:rsid w:val="00A6296B"/>
    <w:rsid w:val="00A70962"/>
    <w:rsid w:val="00A7325E"/>
    <w:rsid w:val="00A7345B"/>
    <w:rsid w:val="00A76613"/>
    <w:rsid w:val="00A77DC2"/>
    <w:rsid w:val="00A8649F"/>
    <w:rsid w:val="00A948E9"/>
    <w:rsid w:val="00AA42D6"/>
    <w:rsid w:val="00AA4B9B"/>
    <w:rsid w:val="00AA7979"/>
    <w:rsid w:val="00AB4E95"/>
    <w:rsid w:val="00AB5E04"/>
    <w:rsid w:val="00AC3986"/>
    <w:rsid w:val="00AC66D2"/>
    <w:rsid w:val="00AD5BB6"/>
    <w:rsid w:val="00AE1C32"/>
    <w:rsid w:val="00AE27A6"/>
    <w:rsid w:val="00AE553B"/>
    <w:rsid w:val="00AE5E67"/>
    <w:rsid w:val="00AE779F"/>
    <w:rsid w:val="00AF162A"/>
    <w:rsid w:val="00AF3096"/>
    <w:rsid w:val="00AF5E0B"/>
    <w:rsid w:val="00AF6C57"/>
    <w:rsid w:val="00B033F4"/>
    <w:rsid w:val="00B04FEC"/>
    <w:rsid w:val="00B0688B"/>
    <w:rsid w:val="00B10786"/>
    <w:rsid w:val="00B11331"/>
    <w:rsid w:val="00B16D1D"/>
    <w:rsid w:val="00B20494"/>
    <w:rsid w:val="00B226CD"/>
    <w:rsid w:val="00B2336A"/>
    <w:rsid w:val="00B36132"/>
    <w:rsid w:val="00B3617A"/>
    <w:rsid w:val="00B36E89"/>
    <w:rsid w:val="00B44ADE"/>
    <w:rsid w:val="00B45A8F"/>
    <w:rsid w:val="00B55B9F"/>
    <w:rsid w:val="00B61B79"/>
    <w:rsid w:val="00B61D96"/>
    <w:rsid w:val="00B61F69"/>
    <w:rsid w:val="00B635C0"/>
    <w:rsid w:val="00B63BC5"/>
    <w:rsid w:val="00B70FEA"/>
    <w:rsid w:val="00B7692B"/>
    <w:rsid w:val="00B772A4"/>
    <w:rsid w:val="00B85F87"/>
    <w:rsid w:val="00B86C71"/>
    <w:rsid w:val="00B87925"/>
    <w:rsid w:val="00BB1F54"/>
    <w:rsid w:val="00BB47D6"/>
    <w:rsid w:val="00BB4BB2"/>
    <w:rsid w:val="00BC427A"/>
    <w:rsid w:val="00BC4D62"/>
    <w:rsid w:val="00BC5D13"/>
    <w:rsid w:val="00BC7770"/>
    <w:rsid w:val="00BD2328"/>
    <w:rsid w:val="00BD2D08"/>
    <w:rsid w:val="00BD4F67"/>
    <w:rsid w:val="00BD5B10"/>
    <w:rsid w:val="00BD6F03"/>
    <w:rsid w:val="00BE681E"/>
    <w:rsid w:val="00BF0E04"/>
    <w:rsid w:val="00BF0F38"/>
    <w:rsid w:val="00BF1D74"/>
    <w:rsid w:val="00BF3780"/>
    <w:rsid w:val="00BF54EF"/>
    <w:rsid w:val="00C00EC9"/>
    <w:rsid w:val="00C0250F"/>
    <w:rsid w:val="00C049EB"/>
    <w:rsid w:val="00C070B3"/>
    <w:rsid w:val="00C166F9"/>
    <w:rsid w:val="00C21104"/>
    <w:rsid w:val="00C30E83"/>
    <w:rsid w:val="00C334F9"/>
    <w:rsid w:val="00C374C9"/>
    <w:rsid w:val="00C37D45"/>
    <w:rsid w:val="00C429E3"/>
    <w:rsid w:val="00C476FD"/>
    <w:rsid w:val="00C51C29"/>
    <w:rsid w:val="00C5433E"/>
    <w:rsid w:val="00C54C3D"/>
    <w:rsid w:val="00C6435B"/>
    <w:rsid w:val="00C67698"/>
    <w:rsid w:val="00C71138"/>
    <w:rsid w:val="00C76249"/>
    <w:rsid w:val="00C80E65"/>
    <w:rsid w:val="00C93FD8"/>
    <w:rsid w:val="00CA49CC"/>
    <w:rsid w:val="00CB1696"/>
    <w:rsid w:val="00CB45B8"/>
    <w:rsid w:val="00CC30D7"/>
    <w:rsid w:val="00CC4490"/>
    <w:rsid w:val="00CD00FA"/>
    <w:rsid w:val="00CD1E97"/>
    <w:rsid w:val="00CD259B"/>
    <w:rsid w:val="00CD7B38"/>
    <w:rsid w:val="00CE0A3F"/>
    <w:rsid w:val="00CF0163"/>
    <w:rsid w:val="00CF3541"/>
    <w:rsid w:val="00CF490A"/>
    <w:rsid w:val="00CF5E47"/>
    <w:rsid w:val="00CF6BB4"/>
    <w:rsid w:val="00CF7444"/>
    <w:rsid w:val="00D002B7"/>
    <w:rsid w:val="00D035C0"/>
    <w:rsid w:val="00D03E2E"/>
    <w:rsid w:val="00D1034E"/>
    <w:rsid w:val="00D113DE"/>
    <w:rsid w:val="00D21428"/>
    <w:rsid w:val="00D33B2C"/>
    <w:rsid w:val="00D35B9B"/>
    <w:rsid w:val="00D37DFB"/>
    <w:rsid w:val="00D414F5"/>
    <w:rsid w:val="00D53275"/>
    <w:rsid w:val="00D5577E"/>
    <w:rsid w:val="00D63E9A"/>
    <w:rsid w:val="00D66AE3"/>
    <w:rsid w:val="00D7152A"/>
    <w:rsid w:val="00D7233D"/>
    <w:rsid w:val="00D7524D"/>
    <w:rsid w:val="00D76CA5"/>
    <w:rsid w:val="00D77DC1"/>
    <w:rsid w:val="00D84084"/>
    <w:rsid w:val="00D851B0"/>
    <w:rsid w:val="00D90AA2"/>
    <w:rsid w:val="00D93334"/>
    <w:rsid w:val="00D9452B"/>
    <w:rsid w:val="00DA3198"/>
    <w:rsid w:val="00DA7D1B"/>
    <w:rsid w:val="00DB03ED"/>
    <w:rsid w:val="00DB06E9"/>
    <w:rsid w:val="00DB181D"/>
    <w:rsid w:val="00DB1B17"/>
    <w:rsid w:val="00DB1EDB"/>
    <w:rsid w:val="00DB220A"/>
    <w:rsid w:val="00DC1302"/>
    <w:rsid w:val="00DC13E1"/>
    <w:rsid w:val="00DD79E3"/>
    <w:rsid w:val="00DE5A78"/>
    <w:rsid w:val="00DE7FFC"/>
    <w:rsid w:val="00DF171F"/>
    <w:rsid w:val="00DF1AB3"/>
    <w:rsid w:val="00DF1AB5"/>
    <w:rsid w:val="00E00CDF"/>
    <w:rsid w:val="00E01521"/>
    <w:rsid w:val="00E016C4"/>
    <w:rsid w:val="00E02A34"/>
    <w:rsid w:val="00E0420B"/>
    <w:rsid w:val="00E11BB7"/>
    <w:rsid w:val="00E1484A"/>
    <w:rsid w:val="00E14DE9"/>
    <w:rsid w:val="00E1715A"/>
    <w:rsid w:val="00E265E4"/>
    <w:rsid w:val="00E33A89"/>
    <w:rsid w:val="00E34506"/>
    <w:rsid w:val="00E345E9"/>
    <w:rsid w:val="00E36F48"/>
    <w:rsid w:val="00E41784"/>
    <w:rsid w:val="00E41E0C"/>
    <w:rsid w:val="00E42A8D"/>
    <w:rsid w:val="00E44128"/>
    <w:rsid w:val="00E45315"/>
    <w:rsid w:val="00E50D58"/>
    <w:rsid w:val="00E5224B"/>
    <w:rsid w:val="00E60F25"/>
    <w:rsid w:val="00E61B27"/>
    <w:rsid w:val="00E640FA"/>
    <w:rsid w:val="00E729D8"/>
    <w:rsid w:val="00E870DB"/>
    <w:rsid w:val="00E87D24"/>
    <w:rsid w:val="00E905BD"/>
    <w:rsid w:val="00E9062C"/>
    <w:rsid w:val="00E9473C"/>
    <w:rsid w:val="00E9702D"/>
    <w:rsid w:val="00E974FA"/>
    <w:rsid w:val="00EA1EEC"/>
    <w:rsid w:val="00EA57D0"/>
    <w:rsid w:val="00EB078A"/>
    <w:rsid w:val="00EB284E"/>
    <w:rsid w:val="00EB676E"/>
    <w:rsid w:val="00EB68B6"/>
    <w:rsid w:val="00EB6BE8"/>
    <w:rsid w:val="00EC42FA"/>
    <w:rsid w:val="00EC578A"/>
    <w:rsid w:val="00EC75B2"/>
    <w:rsid w:val="00EC7956"/>
    <w:rsid w:val="00ED0791"/>
    <w:rsid w:val="00ED0ED5"/>
    <w:rsid w:val="00ED2CEA"/>
    <w:rsid w:val="00ED602D"/>
    <w:rsid w:val="00EE1923"/>
    <w:rsid w:val="00EE3490"/>
    <w:rsid w:val="00EE7955"/>
    <w:rsid w:val="00EF24E6"/>
    <w:rsid w:val="00EF3BCC"/>
    <w:rsid w:val="00F04758"/>
    <w:rsid w:val="00F06A6A"/>
    <w:rsid w:val="00F06B39"/>
    <w:rsid w:val="00F06F28"/>
    <w:rsid w:val="00F07166"/>
    <w:rsid w:val="00F078CD"/>
    <w:rsid w:val="00F10829"/>
    <w:rsid w:val="00F119B5"/>
    <w:rsid w:val="00F20E5B"/>
    <w:rsid w:val="00F21FD0"/>
    <w:rsid w:val="00F23039"/>
    <w:rsid w:val="00F24E95"/>
    <w:rsid w:val="00F35575"/>
    <w:rsid w:val="00F37422"/>
    <w:rsid w:val="00F409B1"/>
    <w:rsid w:val="00F40FCE"/>
    <w:rsid w:val="00F40FEE"/>
    <w:rsid w:val="00F44BD0"/>
    <w:rsid w:val="00F4574D"/>
    <w:rsid w:val="00F50003"/>
    <w:rsid w:val="00F65398"/>
    <w:rsid w:val="00F66E42"/>
    <w:rsid w:val="00F71ED3"/>
    <w:rsid w:val="00F81337"/>
    <w:rsid w:val="00F83EC5"/>
    <w:rsid w:val="00F8477B"/>
    <w:rsid w:val="00F86A23"/>
    <w:rsid w:val="00F90C09"/>
    <w:rsid w:val="00F90E31"/>
    <w:rsid w:val="00F96227"/>
    <w:rsid w:val="00FA12E0"/>
    <w:rsid w:val="00FA1489"/>
    <w:rsid w:val="00FA2E00"/>
    <w:rsid w:val="00FA5F0F"/>
    <w:rsid w:val="00FB444E"/>
    <w:rsid w:val="00FB52FD"/>
    <w:rsid w:val="00FC12D6"/>
    <w:rsid w:val="00FC2160"/>
    <w:rsid w:val="00FC336F"/>
    <w:rsid w:val="00FC4BB0"/>
    <w:rsid w:val="00FC4E57"/>
    <w:rsid w:val="00FC7143"/>
    <w:rsid w:val="00FD3616"/>
    <w:rsid w:val="00FD44AB"/>
    <w:rsid w:val="00FD7AD8"/>
    <w:rsid w:val="00FE1AEA"/>
    <w:rsid w:val="00FE20AE"/>
    <w:rsid w:val="00FE3CBE"/>
    <w:rsid w:val="00FF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1-201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1-201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1-201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1-201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2-201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2-201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Evolution de l'Indice de Confiance des Ménages</a:t>
            </a:r>
            <a:endParaRPr lang="fr-FR" sz="1800" b="1" i="0" baseline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Feuil2!$A$18</c:f>
              <c:strCache>
                <c:ptCount val="1"/>
                <c:pt idx="0">
                  <c:v>ICM</c:v>
                </c:pt>
              </c:strCache>
            </c:strRef>
          </c:tx>
          <c:dLbls>
            <c:showVal val="1"/>
          </c:dLbls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Feuil2!$B$18:$S$18</c:f>
              <c:numCache>
                <c:formatCode>#,##0.0</c:formatCode>
                <c:ptCount val="18"/>
                <c:pt idx="0">
                  <c:v>85.866502294191648</c:v>
                </c:pt>
                <c:pt idx="1">
                  <c:v>77.678707955853085</c:v>
                </c:pt>
                <c:pt idx="2">
                  <c:v>75.552480635756396</c:v>
                </c:pt>
                <c:pt idx="3">
                  <c:v>80.136884034904497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80.136086093619156</c:v>
                </c:pt>
                <c:pt idx="9">
                  <c:v>78.833388330574252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78.406406130604807</c:v>
                </c:pt>
                <c:pt idx="13">
                  <c:v>85.78953263253257</c:v>
                </c:pt>
                <c:pt idx="14">
                  <c:v>86.506225251482533</c:v>
                </c:pt>
                <c:pt idx="15">
                  <c:v>84.477214694877063</c:v>
                </c:pt>
                <c:pt idx="16">
                  <c:v>82.88047854282155</c:v>
                </c:pt>
                <c:pt idx="17">
                  <c:v>80.673652783725359</c:v>
                </c:pt>
              </c:numCache>
            </c:numRef>
          </c:val>
        </c:ser>
        <c:axId val="65811200"/>
        <c:axId val="65812736"/>
      </c:barChart>
      <c:catAx>
        <c:axId val="6581120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65812736"/>
        <c:crosses val="autoZero"/>
        <c:auto val="1"/>
        <c:lblAlgn val="ctr"/>
        <c:lblOffset val="100"/>
      </c:catAx>
      <c:valAx>
        <c:axId val="65812736"/>
        <c:scaling>
          <c:orientation val="minMax"/>
        </c:scaling>
        <c:delete val="1"/>
        <c:axPos val="l"/>
        <c:numFmt formatCode="#,##0.0" sourceLinked="1"/>
        <c:tickLblPos val="none"/>
        <c:crossAx val="6581120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600" b="1" i="0" baseline="0"/>
              <a:t>Evolutions passée et future  du niveau de vie</a:t>
            </a:r>
            <a:endParaRPr lang="fr-FR" sz="1600"/>
          </a:p>
          <a:p>
            <a:pPr>
              <a:defRPr/>
            </a:pPr>
            <a:r>
              <a:rPr lang="fr-FR" sz="1600" b="0" i="0" baseline="0"/>
              <a:t>(soldes d'opinion)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Feuil2!$A$11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square"/>
            <c:size val="5"/>
          </c:marker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Feuil2!$B$11:$S$11</c:f>
              <c:numCache>
                <c:formatCode>#,##0.0</c:formatCode>
                <c:ptCount val="18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-31.141291421499723</c:v>
                </c:pt>
                <c:pt idx="3">
                  <c:v>-29.39384481866529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-37.236760344983388</c:v>
                </c:pt>
                <c:pt idx="12">
                  <c:v>-26.050959167650063</c:v>
                </c:pt>
                <c:pt idx="13">
                  <c:v>-16.961438303130887</c:v>
                </c:pt>
                <c:pt idx="14">
                  <c:v>-13.439142519852011</c:v>
                </c:pt>
                <c:pt idx="15">
                  <c:v>-20.224270151200944</c:v>
                </c:pt>
                <c:pt idx="16">
                  <c:v>-26.170201326733839</c:v>
                </c:pt>
                <c:pt idx="17" formatCode="0.0">
                  <c:v>-21.816848529134631</c:v>
                </c:pt>
              </c:numCache>
            </c:numRef>
          </c:val>
        </c:ser>
        <c:ser>
          <c:idx val="1"/>
          <c:order val="1"/>
          <c:tx>
            <c:strRef>
              <c:f>Feuil2!$A$12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Feuil2!$B$12:$S$12</c:f>
              <c:numCache>
                <c:formatCode>#,##0.0</c:formatCode>
                <c:ptCount val="18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8.4334302751112825E-2</c:v>
                </c:pt>
                <c:pt idx="7">
                  <c:v>2.1853913991610052</c:v>
                </c:pt>
                <c:pt idx="8">
                  <c:v>0.39154986438085609</c:v>
                </c:pt>
                <c:pt idx="9">
                  <c:v>2.7314646872285109</c:v>
                </c:pt>
                <c:pt idx="10">
                  <c:v>0.19418325799955116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18.132139936578806</c:v>
                </c:pt>
                <c:pt idx="14">
                  <c:v>11.870106120928286</c:v>
                </c:pt>
                <c:pt idx="15">
                  <c:v>13.146309479543481</c:v>
                </c:pt>
                <c:pt idx="16">
                  <c:v>11.211772002164619</c:v>
                </c:pt>
                <c:pt idx="17" formatCode="0.0">
                  <c:v>8.9776180181468028</c:v>
                </c:pt>
              </c:numCache>
            </c:numRef>
          </c:val>
        </c:ser>
        <c:marker val="1"/>
        <c:axId val="65833216"/>
        <c:axId val="65839104"/>
      </c:lineChart>
      <c:catAx>
        <c:axId val="658332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65839104"/>
        <c:crosses val="autoZero"/>
        <c:auto val="1"/>
        <c:lblAlgn val="ctr"/>
        <c:lblOffset val="100"/>
      </c:catAx>
      <c:valAx>
        <c:axId val="6583910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658332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Opportunité d'achat des biens durables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600" b="0" i="0" baseline="0"/>
              <a:t>(soldes d'opinion) </a:t>
            </a:r>
            <a:endParaRPr lang="fr-FR" sz="16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Feuil2!$A$13</c:f>
              <c:strCache>
                <c:ptCount val="1"/>
                <c:pt idx="0">
                  <c:v>Opportunité d'achat des biens durables</c:v>
                </c:pt>
              </c:strCache>
            </c:strRef>
          </c:tx>
          <c:marker>
            <c:symbol val="none"/>
          </c:marker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Feuil2!$B$13:$S$13</c:f>
              <c:numCache>
                <c:formatCode>#,##0.0</c:formatCode>
                <c:ptCount val="18"/>
                <c:pt idx="0">
                  <c:v>-30.018449770831797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-41.765350509033929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-34.756506471721572</c:v>
                </c:pt>
                <c:pt idx="9">
                  <c:v>-37.532519098271848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-39.860076277616734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-37.388587169100497</c:v>
                </c:pt>
              </c:numCache>
            </c:numRef>
          </c:val>
        </c:ser>
        <c:marker val="1"/>
        <c:axId val="65845504"/>
        <c:axId val="65871872"/>
      </c:lineChart>
      <c:catAx>
        <c:axId val="65845504"/>
        <c:scaling>
          <c:orientation val="minMax"/>
        </c:scaling>
        <c:axPos val="b"/>
        <c:majorTickMark val="none"/>
        <c:tickLblPos val="nextTo"/>
        <c:crossAx val="65871872"/>
        <c:crosses val="autoZero"/>
        <c:auto val="1"/>
        <c:lblAlgn val="ctr"/>
        <c:lblOffset val="100"/>
      </c:catAx>
      <c:valAx>
        <c:axId val="658718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6584550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fr-FR" sz="1400" b="1" i="0" baseline="0"/>
              <a:t>Perceptions des ménages sur leurs situations financières</a:t>
            </a:r>
            <a:endParaRPr lang="fr-FR" sz="1400"/>
          </a:p>
          <a:p>
            <a:pPr>
              <a:defRPr sz="1400"/>
            </a:pPr>
            <a:r>
              <a:rPr lang="fr-FR" sz="1400" b="0" i="0" baseline="0"/>
              <a:t>(soldes d'opinion) 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7.0043080568376478E-2"/>
          <c:y val="0.20174686444095491"/>
          <c:w val="0.91118358546758449"/>
          <c:h val="0.63944613183611854"/>
        </c:manualLayout>
      </c:layout>
      <c:lineChart>
        <c:grouping val="standard"/>
        <c:ser>
          <c:idx val="0"/>
          <c:order val="0"/>
          <c:tx>
            <c:strRef>
              <c:f>Feuil2!$A$14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square"/>
            <c:size val="5"/>
          </c:marker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Feuil2!$B$14:$S$14</c:f>
              <c:numCache>
                <c:formatCode>#,##0.0</c:formatCode>
                <c:ptCount val="18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-28.062624892496316</c:v>
                </c:pt>
                <c:pt idx="12">
                  <c:v>-30.645498931903745</c:v>
                </c:pt>
                <c:pt idx="13">
                  <c:v>-27.092549889444335</c:v>
                </c:pt>
                <c:pt idx="14">
                  <c:v>-24.28899054728441</c:v>
                </c:pt>
                <c:pt idx="15">
                  <c:v>-25.669712181349741</c:v>
                </c:pt>
                <c:pt idx="16">
                  <c:v>-25.435462945688826</c:v>
                </c:pt>
                <c:pt idx="17">
                  <c:v>-31.040689498948886</c:v>
                </c:pt>
              </c:numCache>
            </c:numRef>
          </c:val>
        </c:ser>
        <c:ser>
          <c:idx val="1"/>
          <c:order val="1"/>
          <c:tx>
            <c:strRef>
              <c:f>Feuil2!$A$15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Feuil2!$B$15:$S$15</c:f>
              <c:numCache>
                <c:formatCode>#,##0.0</c:formatCode>
                <c:ptCount val="18"/>
                <c:pt idx="0">
                  <c:v>-11.760493904860514</c:v>
                </c:pt>
                <c:pt idx="1">
                  <c:v>-11.376439540974173</c:v>
                </c:pt>
                <c:pt idx="2">
                  <c:v>-11.707546774199251</c:v>
                </c:pt>
                <c:pt idx="3">
                  <c:v>-9.5250570435126427</c:v>
                </c:pt>
                <c:pt idx="4">
                  <c:v>-18.438210074457363</c:v>
                </c:pt>
                <c:pt idx="5">
                  <c:v>-13.353492384896761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-9.8004349690184043</c:v>
                </c:pt>
                <c:pt idx="16">
                  <c:v>-14.12986220998387</c:v>
                </c:pt>
                <c:pt idx="17">
                  <c:v>-16.595107957258964</c:v>
                </c:pt>
              </c:numCache>
            </c:numRef>
          </c:val>
        </c:ser>
        <c:ser>
          <c:idx val="2"/>
          <c:order val="2"/>
          <c:tx>
            <c:strRef>
              <c:f>Feuil2!$A$16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Feuil2!$B$16:$S$16</c:f>
              <c:numCache>
                <c:formatCode>#,##0.0</c:formatCode>
                <c:ptCount val="18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26.705941849103187</c:v>
                </c:pt>
                <c:pt idx="4">
                  <c:v>26.769154239001928</c:v>
                </c:pt>
                <c:pt idx="5">
                  <c:v>21.986954089697061</c:v>
                </c:pt>
                <c:pt idx="6">
                  <c:v>17.532817766676494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20.354548457792724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</c:v>
                </c:pt>
                <c:pt idx="17">
                  <c:v>11.136340416980383</c:v>
                </c:pt>
              </c:numCache>
            </c:numRef>
          </c:val>
        </c:ser>
        <c:marker val="1"/>
        <c:axId val="65881600"/>
        <c:axId val="65883136"/>
      </c:lineChart>
      <c:catAx>
        <c:axId val="658816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65883136"/>
        <c:crosses val="autoZero"/>
        <c:auto val="1"/>
        <c:lblAlgn val="ctr"/>
        <c:lblOffset val="100"/>
      </c:catAx>
      <c:valAx>
        <c:axId val="6588313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crossAx val="65881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862079021088217"/>
          <c:y val="0.84886115817801377"/>
          <c:w val="0.65273175526238081"/>
          <c:h val="0.15113895023081014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Perception </a:t>
            </a:r>
            <a:r>
              <a:rPr lang="fr-FR" sz="1200" b="1" i="0" baseline="0"/>
              <a:t>de l'évolution passée des prix des produits alimentaires (en %)</a:t>
            </a:r>
            <a:endParaRPr lang="fr-FR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graphes!$B$190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graphes!$C$186:$E$186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graphes!$C$190:$E$190</c:f>
              <c:numCache>
                <c:formatCode>#,##0.0%</c:formatCode>
                <c:ptCount val="3"/>
                <c:pt idx="0">
                  <c:v>0.89350734402519749</c:v>
                </c:pt>
                <c:pt idx="1">
                  <c:v>0.92388173402329765</c:v>
                </c:pt>
                <c:pt idx="2">
                  <c:v>0.91560762117486461</c:v>
                </c:pt>
              </c:numCache>
            </c:numRef>
          </c:val>
        </c:ser>
        <c:ser>
          <c:idx val="1"/>
          <c:order val="1"/>
          <c:tx>
            <c:strRef>
              <c:f>graphes!$B$191</c:f>
              <c:strCache>
                <c:ptCount val="1"/>
                <c:pt idx="0">
                  <c:v>stagnation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8,4%</a:t>
                    </a:r>
                  </a:p>
                </c:rich>
              </c:tx>
              <c:showVal val="1"/>
            </c:dLbl>
            <c:showVal val="1"/>
          </c:dLbls>
          <c:cat>
            <c:strRef>
              <c:f>graphes!$C$186:$E$186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graphes!$C$191:$E$191</c:f>
              <c:numCache>
                <c:formatCode>#,##0.0%</c:formatCode>
                <c:ptCount val="3"/>
                <c:pt idx="0">
                  <c:v>8.4957674792557003E-2</c:v>
                </c:pt>
                <c:pt idx="1">
                  <c:v>6.8489697798227028E-2</c:v>
                </c:pt>
                <c:pt idx="2">
                  <c:v>8.0190206547369705E-2</c:v>
                </c:pt>
              </c:numCache>
            </c:numRef>
          </c:val>
        </c:ser>
        <c:ser>
          <c:idx val="2"/>
          <c:order val="2"/>
          <c:tx>
            <c:strRef>
              <c:f>graphes!$B$192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graphes!$C$186:$E$186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graphes!$C$192:$E$192</c:f>
              <c:numCache>
                <c:formatCode>#,##0.0%</c:formatCode>
                <c:ptCount val="3"/>
                <c:pt idx="0">
                  <c:v>2.1534981182243201E-2</c:v>
                </c:pt>
                <c:pt idx="1">
                  <c:v>7.6285681784758821E-3</c:v>
                </c:pt>
                <c:pt idx="2">
                  <c:v>4.2021722777708954E-3</c:v>
                </c:pt>
              </c:numCache>
            </c:numRef>
          </c:val>
        </c:ser>
        <c:gapWidth val="75"/>
        <c:overlap val="-25"/>
        <c:axId val="65909120"/>
        <c:axId val="65910656"/>
      </c:barChart>
      <c:catAx>
        <c:axId val="65909120"/>
        <c:scaling>
          <c:orientation val="minMax"/>
        </c:scaling>
        <c:axPos val="b"/>
        <c:majorTickMark val="none"/>
        <c:tickLblPos val="nextTo"/>
        <c:crossAx val="65910656"/>
        <c:crosses val="autoZero"/>
        <c:auto val="1"/>
        <c:lblAlgn val="ctr"/>
        <c:lblOffset val="100"/>
      </c:catAx>
      <c:valAx>
        <c:axId val="6591065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659091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Perception  </a:t>
            </a:r>
            <a:r>
              <a:rPr lang="fr-FR" sz="1200" b="1" i="0" u="none" strike="noStrike" baseline="0"/>
              <a:t>des perspectives d'évolution des prix des produits alimentaires (en %)</a:t>
            </a:r>
            <a:endParaRPr lang="fr-FR" sz="1200"/>
          </a:p>
        </c:rich>
      </c:tx>
      <c:layout>
        <c:manualLayout>
          <c:xMode val="edge"/>
          <c:yMode val="edge"/>
          <c:x val="0.1218263342082242"/>
          <c:y val="2.7826092037173129E-2"/>
        </c:manualLayout>
      </c:layout>
    </c:title>
    <c:plotArea>
      <c:layout>
        <c:manualLayout>
          <c:layoutTarget val="inner"/>
          <c:xMode val="edge"/>
          <c:yMode val="edge"/>
          <c:x val="2.5000000000000001E-2"/>
          <c:y val="0.23271888307089136"/>
          <c:w val="0.93888888888889066"/>
          <c:h val="0.56580142977865633"/>
        </c:manualLayout>
      </c:layout>
      <c:barChart>
        <c:barDir val="col"/>
        <c:grouping val="clustered"/>
        <c:ser>
          <c:idx val="0"/>
          <c:order val="0"/>
          <c:tx>
            <c:strRef>
              <c:f>graphes!$B$187</c:f>
              <c:strCache>
                <c:ptCount val="1"/>
                <c:pt idx="0">
                  <c:v>augmentation</c:v>
                </c:pt>
              </c:strCache>
            </c:strRef>
          </c:tx>
          <c:dLbls>
            <c:showVal val="1"/>
          </c:dLbls>
          <c:cat>
            <c:strRef>
              <c:f>graphes!$C$186:$E$186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graphes!$C$187:$E$187</c:f>
              <c:numCache>
                <c:formatCode>#,##0.0%</c:formatCode>
                <c:ptCount val="3"/>
                <c:pt idx="0">
                  <c:v>0.66615807206920086</c:v>
                </c:pt>
                <c:pt idx="1">
                  <c:v>0.72311828711592652</c:v>
                </c:pt>
                <c:pt idx="2">
                  <c:v>0.73430545823243365</c:v>
                </c:pt>
              </c:numCache>
            </c:numRef>
          </c:val>
        </c:ser>
        <c:ser>
          <c:idx val="1"/>
          <c:order val="1"/>
          <c:tx>
            <c:strRef>
              <c:f>graphes!$B$188</c:f>
              <c:strCache>
                <c:ptCount val="1"/>
                <c:pt idx="0">
                  <c:v>stagnation</c:v>
                </c:pt>
              </c:strCache>
            </c:strRef>
          </c:tx>
          <c:dLbls>
            <c:showVal val="1"/>
          </c:dLbls>
          <c:cat>
            <c:strRef>
              <c:f>graphes!$C$186:$E$186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graphes!$C$188:$E$188</c:f>
              <c:numCache>
                <c:formatCode>#,##0.0%</c:formatCode>
                <c:ptCount val="3"/>
                <c:pt idx="0">
                  <c:v>0.25600451090763832</c:v>
                </c:pt>
                <c:pt idx="1">
                  <c:v>0.25211063073674178</c:v>
                </c:pt>
                <c:pt idx="2">
                  <c:v>0.24588935764720402</c:v>
                </c:pt>
              </c:numCache>
            </c:numRef>
          </c:val>
        </c:ser>
        <c:ser>
          <c:idx val="2"/>
          <c:order val="2"/>
          <c:tx>
            <c:strRef>
              <c:f>graphes!$B$189</c:f>
              <c:strCache>
                <c:ptCount val="1"/>
                <c:pt idx="0">
                  <c:v>diminution</c:v>
                </c:pt>
              </c:strCache>
            </c:strRef>
          </c:tx>
          <c:dLbls>
            <c:showVal val="1"/>
          </c:dLbls>
          <c:cat>
            <c:strRef>
              <c:f>graphes!$C$186:$E$186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graphes!$C$189:$E$189</c:f>
              <c:numCache>
                <c:formatCode>#,##0.0%</c:formatCode>
                <c:ptCount val="3"/>
                <c:pt idx="0">
                  <c:v>7.783741702316177E-2</c:v>
                </c:pt>
                <c:pt idx="1">
                  <c:v>2.4771082147335598E-2</c:v>
                </c:pt>
                <c:pt idx="2">
                  <c:v>1.9805184120375238E-2</c:v>
                </c:pt>
              </c:numCache>
            </c:numRef>
          </c:val>
        </c:ser>
        <c:gapWidth val="75"/>
        <c:overlap val="-25"/>
        <c:axId val="92770688"/>
        <c:axId val="92772224"/>
      </c:barChart>
      <c:catAx>
        <c:axId val="92770688"/>
        <c:scaling>
          <c:orientation val="minMax"/>
        </c:scaling>
        <c:axPos val="b"/>
        <c:majorTickMark val="none"/>
        <c:tickLblPos val="nextTo"/>
        <c:crossAx val="92772224"/>
        <c:crosses val="autoZero"/>
        <c:auto val="1"/>
        <c:lblAlgn val="ctr"/>
        <c:lblOffset val="100"/>
      </c:catAx>
      <c:valAx>
        <c:axId val="92772224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927706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85D8-FE2A-42BC-8CC1-B795EC55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1206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7826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</cp:revision>
  <cp:lastPrinted>2012-08-24T14:22:00Z</cp:lastPrinted>
  <dcterms:created xsi:type="dcterms:W3CDTF">2012-08-24T16:10:00Z</dcterms:created>
  <dcterms:modified xsi:type="dcterms:W3CDTF">2012-08-24T16:10:00Z</dcterms:modified>
</cp:coreProperties>
</file>