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80" w:rsidRPr="007F2C71" w:rsidRDefault="00511E80" w:rsidP="00605B3C">
      <w:pPr>
        <w:pStyle w:val="Titre"/>
        <w:spacing w:line="400" w:lineRule="exact"/>
        <w:ind w:firstLine="720"/>
        <w:jc w:val="right"/>
        <w:rPr>
          <w:rFonts w:asciiTheme="majorBidi" w:hAnsiTheme="majorBidi" w:cstheme="majorBidi"/>
          <w:sz w:val="24"/>
          <w:szCs w:val="24"/>
          <w:rtl/>
        </w:rPr>
      </w:pPr>
    </w:p>
    <w:p w:rsidR="00C60C79" w:rsidRPr="007F2C71" w:rsidRDefault="00C60C79" w:rsidP="005E47B3">
      <w:pPr>
        <w:pStyle w:val="Titre"/>
        <w:spacing w:line="400" w:lineRule="exact"/>
        <w:ind w:firstLine="720"/>
        <w:jc w:val="right"/>
        <w:rPr>
          <w:rFonts w:asciiTheme="majorBidi" w:hAnsiTheme="majorBidi" w:cstheme="majorBidi"/>
          <w:sz w:val="24"/>
          <w:szCs w:val="24"/>
        </w:rPr>
      </w:pPr>
    </w:p>
    <w:p w:rsidR="00BA28BD" w:rsidRPr="007F2C71" w:rsidRDefault="00BA28BD" w:rsidP="005E47B3">
      <w:pPr>
        <w:pStyle w:val="Titre"/>
        <w:spacing w:line="400" w:lineRule="exact"/>
        <w:ind w:firstLine="720"/>
        <w:jc w:val="right"/>
        <w:rPr>
          <w:rFonts w:asciiTheme="majorBidi" w:hAnsiTheme="majorBidi" w:cstheme="majorBidi"/>
          <w:sz w:val="24"/>
          <w:szCs w:val="24"/>
        </w:rPr>
      </w:pPr>
    </w:p>
    <w:p w:rsidR="00EC7D66" w:rsidRPr="007F2C71" w:rsidRDefault="00707FCE" w:rsidP="00640BBA">
      <w:pPr>
        <w:ind w:right="-290"/>
        <w:jc w:val="right"/>
        <w:rPr>
          <w:rFonts w:asciiTheme="majorBidi" w:hAnsiTheme="majorBidi" w:cstheme="majorBidi"/>
        </w:rPr>
      </w:pPr>
      <w:r w:rsidRPr="007F2C71">
        <w:rPr>
          <w:rFonts w:asciiTheme="majorBidi" w:hAnsiTheme="majorBidi" w:cstheme="majorBidi"/>
        </w:rPr>
        <w:t>L</w:t>
      </w:r>
      <w:r w:rsidR="00EC7D66" w:rsidRPr="007F2C71">
        <w:rPr>
          <w:rFonts w:asciiTheme="majorBidi" w:hAnsiTheme="majorBidi" w:cstheme="majorBidi"/>
        </w:rPr>
        <w:t xml:space="preserve">e </w:t>
      </w:r>
      <w:r w:rsidRPr="007F2C71">
        <w:rPr>
          <w:rFonts w:asciiTheme="majorBidi" w:hAnsiTheme="majorBidi" w:cstheme="majorBidi"/>
        </w:rPr>
        <w:t>1</w:t>
      </w:r>
      <w:r w:rsidR="00640BBA" w:rsidRPr="007F2C71">
        <w:rPr>
          <w:rFonts w:asciiTheme="majorBidi" w:hAnsiTheme="majorBidi" w:cstheme="majorBidi"/>
        </w:rPr>
        <w:t>5 février</w:t>
      </w:r>
      <w:r w:rsidRPr="007F2C71">
        <w:rPr>
          <w:rFonts w:asciiTheme="majorBidi" w:hAnsiTheme="majorBidi" w:cstheme="majorBidi"/>
        </w:rPr>
        <w:t xml:space="preserve"> </w:t>
      </w:r>
      <w:r w:rsidR="00EC7D66" w:rsidRPr="007F2C71">
        <w:rPr>
          <w:rFonts w:asciiTheme="majorBidi" w:hAnsiTheme="majorBidi" w:cstheme="majorBidi"/>
        </w:rPr>
        <w:t>20</w:t>
      </w:r>
      <w:r w:rsidRPr="007F2C71">
        <w:rPr>
          <w:rFonts w:asciiTheme="majorBidi" w:hAnsiTheme="majorBidi" w:cstheme="majorBidi"/>
        </w:rPr>
        <w:t>12</w:t>
      </w:r>
    </w:p>
    <w:p w:rsidR="00707FCE" w:rsidRPr="007F2C71" w:rsidRDefault="00EC7D66" w:rsidP="00707FCE">
      <w:pPr>
        <w:widowControl w:val="0"/>
        <w:adjustRightInd w:val="0"/>
        <w:jc w:val="center"/>
        <w:rPr>
          <w:rFonts w:asciiTheme="majorBidi" w:hAnsiTheme="majorBidi" w:cstheme="majorBidi"/>
          <w:b/>
          <w:bCs/>
          <w:color w:val="339966"/>
        </w:rPr>
      </w:pPr>
      <w:r w:rsidRPr="007F2C71">
        <w:rPr>
          <w:rFonts w:asciiTheme="majorBidi" w:hAnsiTheme="majorBidi" w:cstheme="majorBidi"/>
          <w:b/>
          <w:bCs/>
          <w:color w:val="339966"/>
        </w:rPr>
        <w:t xml:space="preserve">Synthèse </w:t>
      </w:r>
      <w:r w:rsidR="00707FCE" w:rsidRPr="007F2C71">
        <w:rPr>
          <w:rFonts w:asciiTheme="majorBidi" w:hAnsiTheme="majorBidi" w:cstheme="majorBidi"/>
          <w:b/>
          <w:bCs/>
          <w:color w:val="339966"/>
        </w:rPr>
        <w:t>des</w:t>
      </w:r>
    </w:p>
    <w:p w:rsidR="00707FCE" w:rsidRPr="007F2C71" w:rsidRDefault="00707FCE" w:rsidP="00707FCE">
      <w:pPr>
        <w:widowControl w:val="0"/>
        <w:adjustRightInd w:val="0"/>
        <w:jc w:val="center"/>
        <w:rPr>
          <w:rFonts w:asciiTheme="majorBidi" w:hAnsiTheme="majorBidi" w:cstheme="majorBidi"/>
          <w:b/>
          <w:bCs/>
          <w:color w:val="339966"/>
        </w:rPr>
      </w:pPr>
      <w:r w:rsidRPr="007F2C71">
        <w:rPr>
          <w:rFonts w:asciiTheme="majorBidi" w:hAnsiTheme="majorBidi" w:cstheme="majorBidi"/>
          <w:b/>
          <w:bCs/>
          <w:color w:val="339966"/>
        </w:rPr>
        <w:t>Prévisions du Budget E</w:t>
      </w:r>
      <w:r w:rsidR="00EC7D66" w:rsidRPr="007F2C71">
        <w:rPr>
          <w:rFonts w:asciiTheme="majorBidi" w:hAnsiTheme="majorBidi" w:cstheme="majorBidi"/>
          <w:b/>
          <w:bCs/>
          <w:color w:val="339966"/>
        </w:rPr>
        <w:t xml:space="preserve">conomique </w:t>
      </w:r>
    </w:p>
    <w:p w:rsidR="00EC7D66" w:rsidRPr="007F2C71" w:rsidRDefault="00640BBA" w:rsidP="00640BBA">
      <w:pPr>
        <w:widowControl w:val="0"/>
        <w:adjustRightInd w:val="0"/>
        <w:jc w:val="center"/>
        <w:rPr>
          <w:rFonts w:asciiTheme="majorBidi" w:hAnsiTheme="majorBidi" w:cstheme="majorBidi"/>
          <w:b/>
          <w:bCs/>
          <w:color w:val="339966"/>
        </w:rPr>
      </w:pPr>
      <w:r w:rsidRPr="007F2C71">
        <w:rPr>
          <w:rFonts w:asciiTheme="majorBidi" w:hAnsiTheme="majorBidi" w:cstheme="majorBidi"/>
          <w:b/>
          <w:bCs/>
          <w:color w:val="339966"/>
        </w:rPr>
        <w:t>et des perspectives à l’horizon 2015</w:t>
      </w:r>
    </w:p>
    <w:p w:rsidR="00EC7D66" w:rsidRPr="007F2C71" w:rsidRDefault="00EC7D66" w:rsidP="00EC7D66">
      <w:pPr>
        <w:widowControl w:val="0"/>
        <w:adjustRightInd w:val="0"/>
        <w:ind w:right="-290" w:firstLine="708"/>
        <w:jc w:val="lowKashida"/>
        <w:rPr>
          <w:rFonts w:asciiTheme="majorBidi" w:hAnsiTheme="majorBidi" w:cstheme="majorBidi"/>
        </w:rPr>
      </w:pPr>
    </w:p>
    <w:p w:rsidR="00EC7D66" w:rsidRPr="007F2C71" w:rsidRDefault="00EC7D66" w:rsidP="00EC7D66">
      <w:pPr>
        <w:widowControl w:val="0"/>
        <w:adjustRightInd w:val="0"/>
        <w:ind w:right="-290" w:firstLine="708"/>
        <w:jc w:val="lowKashida"/>
        <w:rPr>
          <w:rFonts w:asciiTheme="majorBidi" w:hAnsiTheme="majorBidi" w:cstheme="majorBidi"/>
        </w:rPr>
      </w:pPr>
    </w:p>
    <w:p w:rsidR="00EC7D66" w:rsidRPr="007F2C71" w:rsidRDefault="00EC7D66" w:rsidP="00FF1C80">
      <w:pPr>
        <w:widowControl w:val="0"/>
        <w:adjustRightInd w:val="0"/>
        <w:spacing w:after="360"/>
        <w:jc w:val="lowKashida"/>
        <w:rPr>
          <w:rFonts w:asciiTheme="majorBidi" w:hAnsiTheme="majorBidi" w:cstheme="majorBidi"/>
        </w:rPr>
      </w:pPr>
      <w:r w:rsidRPr="007F2C71">
        <w:rPr>
          <w:rFonts w:asciiTheme="majorBidi" w:hAnsiTheme="majorBidi" w:cstheme="majorBidi"/>
        </w:rPr>
        <w:t>Le Haut Commissariat au Plan a élaboré le budget économique prévisionnel</w:t>
      </w:r>
      <w:r w:rsidR="00707FCE" w:rsidRPr="007F2C71">
        <w:rPr>
          <w:rFonts w:asciiTheme="majorBidi" w:hAnsiTheme="majorBidi" w:cstheme="majorBidi"/>
        </w:rPr>
        <w:t xml:space="preserve"> 2012 qui</w:t>
      </w:r>
      <w:r w:rsidRPr="007F2C71">
        <w:rPr>
          <w:rFonts w:asciiTheme="majorBidi" w:hAnsiTheme="majorBidi" w:cstheme="majorBidi"/>
        </w:rPr>
        <w:t xml:space="preserve"> présente une estimation de la croissance économique nationale en 201</w:t>
      </w:r>
      <w:r w:rsidR="00707FCE" w:rsidRPr="007F2C71">
        <w:rPr>
          <w:rFonts w:asciiTheme="majorBidi" w:hAnsiTheme="majorBidi" w:cstheme="majorBidi"/>
        </w:rPr>
        <w:t>1</w:t>
      </w:r>
      <w:r w:rsidRPr="007F2C71">
        <w:rPr>
          <w:rFonts w:asciiTheme="majorBidi" w:hAnsiTheme="majorBidi" w:cstheme="majorBidi"/>
        </w:rPr>
        <w:t>, ainsi qu</w:t>
      </w:r>
      <w:r w:rsidR="00707FCE" w:rsidRPr="007F2C71">
        <w:rPr>
          <w:rFonts w:asciiTheme="majorBidi" w:hAnsiTheme="majorBidi" w:cstheme="majorBidi"/>
        </w:rPr>
        <w:t>’une révision des perspectives</w:t>
      </w:r>
      <w:r w:rsidRPr="007F2C71">
        <w:rPr>
          <w:rFonts w:asciiTheme="majorBidi" w:hAnsiTheme="majorBidi" w:cstheme="majorBidi"/>
        </w:rPr>
        <w:t xml:space="preserve"> pour l’année en cours.</w:t>
      </w:r>
      <w:r w:rsidR="00FF1C80" w:rsidRPr="007F2C71">
        <w:rPr>
          <w:rFonts w:asciiTheme="majorBidi" w:hAnsiTheme="majorBidi" w:cstheme="majorBidi"/>
        </w:rPr>
        <w:t xml:space="preserve"> Il a également élaboré les perspectives économiques à l’horizon 2015 qui ont focalisé sur la soutenabilité des équilibres internes et externes de notre pays.  </w:t>
      </w:r>
      <w:r w:rsidRPr="007F2C71">
        <w:rPr>
          <w:rFonts w:asciiTheme="majorBidi" w:hAnsiTheme="majorBidi" w:cstheme="majorBidi"/>
        </w:rPr>
        <w:t xml:space="preserve"> </w:t>
      </w:r>
    </w:p>
    <w:p w:rsidR="000B7C6C" w:rsidRPr="007F2C71" w:rsidRDefault="00FF1C80" w:rsidP="00C4359F">
      <w:pPr>
        <w:widowControl w:val="0"/>
        <w:adjustRightInd w:val="0"/>
        <w:spacing w:after="360"/>
        <w:jc w:val="lowKashida"/>
        <w:rPr>
          <w:rFonts w:asciiTheme="majorBidi" w:hAnsiTheme="majorBidi" w:cstheme="majorBidi"/>
        </w:rPr>
      </w:pPr>
      <w:r w:rsidRPr="007F2C71">
        <w:rPr>
          <w:rFonts w:asciiTheme="majorBidi" w:hAnsiTheme="majorBidi" w:cstheme="majorBidi"/>
        </w:rPr>
        <w:t>L</w:t>
      </w:r>
      <w:r w:rsidR="00EC7D66" w:rsidRPr="007F2C71">
        <w:rPr>
          <w:rFonts w:asciiTheme="majorBidi" w:hAnsiTheme="majorBidi" w:cstheme="majorBidi"/>
        </w:rPr>
        <w:t>e</w:t>
      </w:r>
      <w:r w:rsidR="00707FCE" w:rsidRPr="007F2C71">
        <w:rPr>
          <w:rFonts w:asciiTheme="majorBidi" w:hAnsiTheme="majorBidi" w:cstheme="majorBidi"/>
        </w:rPr>
        <w:t xml:space="preserve">s prévisions </w:t>
      </w:r>
      <w:r w:rsidRPr="007F2C71">
        <w:rPr>
          <w:rFonts w:asciiTheme="majorBidi" w:hAnsiTheme="majorBidi" w:cstheme="majorBidi"/>
        </w:rPr>
        <w:t xml:space="preserve">de ce budget économique </w:t>
      </w:r>
      <w:r w:rsidR="00707FCE" w:rsidRPr="007F2C71">
        <w:rPr>
          <w:rFonts w:asciiTheme="majorBidi" w:hAnsiTheme="majorBidi" w:cstheme="majorBidi"/>
        </w:rPr>
        <w:t>se basent sur un ensemble d’hypothèses ayant trait à l’évolution de l’environnement international et à la situation économique intérieure</w:t>
      </w:r>
      <w:r w:rsidR="000B7C6C" w:rsidRPr="007F2C71">
        <w:rPr>
          <w:rFonts w:asciiTheme="majorBidi" w:hAnsiTheme="majorBidi" w:cstheme="majorBidi"/>
        </w:rPr>
        <w:t>.</w:t>
      </w:r>
      <w:r w:rsidR="007F2C71" w:rsidRPr="007F2C71">
        <w:rPr>
          <w:rFonts w:asciiTheme="majorBidi" w:hAnsiTheme="majorBidi" w:cstheme="majorBidi"/>
        </w:rPr>
        <w:t xml:space="preserve"> </w:t>
      </w:r>
      <w:r w:rsidR="000B7C6C" w:rsidRPr="007F2C71">
        <w:rPr>
          <w:rFonts w:asciiTheme="majorBidi" w:hAnsiTheme="majorBidi" w:cstheme="majorBidi"/>
        </w:rPr>
        <w:t xml:space="preserve">Ainsi, la demande mondiale adressée au Maroc serait en ralentissement en 2012 et  n’augmenterait que de 2,1% au lieu de 5,6% en 2011. Le cours moyen de pétrole est prévu à 99 dollars/baril au lieu de 104,2 dollars en 2011, celui des </w:t>
      </w:r>
      <w:r w:rsidR="00C4359F">
        <w:rPr>
          <w:rFonts w:asciiTheme="majorBidi" w:hAnsiTheme="majorBidi" w:cstheme="majorBidi"/>
        </w:rPr>
        <w:t>matières premières</w:t>
      </w:r>
      <w:r w:rsidR="000B7C6C" w:rsidRPr="007F2C71">
        <w:rPr>
          <w:rFonts w:asciiTheme="majorBidi" w:hAnsiTheme="majorBidi" w:cstheme="majorBidi"/>
        </w:rPr>
        <w:t xml:space="preserve"> non énergétiques serait en baisse d’environ 14% et la parité euro-dollar se situerait à 1,36. Il est supposé, par ailleurs, une stabilité des recettes du tourisme international et des transferts des MRE à leurs niveaux de 2011 et une légère reprise des investissements directs étrangers de 10% après leur forte baisse de 37,2% en 2011.</w:t>
      </w:r>
      <w:r w:rsidR="007F2C71" w:rsidRPr="007F2C71">
        <w:rPr>
          <w:rFonts w:asciiTheme="majorBidi" w:hAnsiTheme="majorBidi" w:cstheme="majorBidi"/>
        </w:rPr>
        <w:t xml:space="preserve"> </w:t>
      </w:r>
      <w:r w:rsidR="004173B7" w:rsidRPr="007F2C71">
        <w:rPr>
          <w:rFonts w:asciiTheme="majorBidi" w:hAnsiTheme="majorBidi" w:cstheme="majorBidi"/>
        </w:rPr>
        <w:t xml:space="preserve">Concernant les </w:t>
      </w:r>
      <w:r w:rsidR="000B7C6C" w:rsidRPr="007F2C71">
        <w:rPr>
          <w:rFonts w:asciiTheme="majorBidi" w:hAnsiTheme="majorBidi" w:cstheme="majorBidi"/>
        </w:rPr>
        <w:t xml:space="preserve">facteurs liés aux conditions économiques intérieures, les hypothèses retenues supposent une production céréalière ne dépassant pas  60 millions de quintaux et intègrent les  dispositions annoncées dans le Projet de loi de Finance 2012 en matière des dépenses de fonctionnement et d’investissement. </w:t>
      </w:r>
    </w:p>
    <w:p w:rsidR="00EC7D66" w:rsidRPr="007F2C71" w:rsidRDefault="007938AC" w:rsidP="00ED27AD">
      <w:pPr>
        <w:widowControl w:val="0"/>
        <w:adjustRightInd w:val="0"/>
        <w:spacing w:before="120" w:after="240"/>
        <w:ind w:right="-110"/>
        <w:jc w:val="lowKashida"/>
        <w:rPr>
          <w:rFonts w:asciiTheme="majorBidi" w:hAnsiTheme="majorBidi" w:cstheme="majorBidi"/>
          <w:b/>
          <w:bCs/>
        </w:rPr>
      </w:pPr>
      <w:r>
        <w:rPr>
          <w:rFonts w:asciiTheme="majorBidi" w:hAnsiTheme="majorBidi" w:cstheme="majorBidi"/>
          <w:b/>
          <w:bCs/>
          <w:color w:val="00B050"/>
          <w:u w:val="single"/>
        </w:rPr>
        <w:t>1-</w:t>
      </w:r>
      <w:r w:rsidR="00EC7D66" w:rsidRPr="007F2C71">
        <w:rPr>
          <w:rFonts w:asciiTheme="majorBidi" w:hAnsiTheme="majorBidi" w:cstheme="majorBidi"/>
          <w:b/>
          <w:bCs/>
          <w:color w:val="00B050"/>
          <w:u w:val="single"/>
        </w:rPr>
        <w:t>L’économie nationale en 201</w:t>
      </w:r>
      <w:r w:rsidR="00ED27AD" w:rsidRPr="007F2C71">
        <w:rPr>
          <w:rFonts w:asciiTheme="majorBidi" w:hAnsiTheme="majorBidi" w:cstheme="majorBidi"/>
          <w:b/>
          <w:bCs/>
          <w:color w:val="00B050"/>
          <w:u w:val="single"/>
        </w:rPr>
        <w:t>1</w:t>
      </w:r>
      <w:r w:rsidR="00EC7D66" w:rsidRPr="007F2C71">
        <w:rPr>
          <w:rFonts w:asciiTheme="majorBidi" w:hAnsiTheme="majorBidi" w:cstheme="majorBidi"/>
          <w:b/>
          <w:bCs/>
          <w:color w:val="00B050"/>
          <w:u w:val="single"/>
        </w:rPr>
        <w:t xml:space="preserve"> </w:t>
      </w:r>
    </w:p>
    <w:p w:rsidR="00EC7D66" w:rsidRPr="007F2C71" w:rsidRDefault="00ED27AD" w:rsidP="004173B7">
      <w:pPr>
        <w:spacing w:after="240"/>
        <w:jc w:val="both"/>
        <w:outlineLvl w:val="1"/>
        <w:rPr>
          <w:rFonts w:asciiTheme="majorBidi" w:hAnsiTheme="majorBidi" w:cstheme="majorBidi"/>
        </w:rPr>
      </w:pPr>
      <w:r w:rsidRPr="007F2C71">
        <w:rPr>
          <w:rFonts w:asciiTheme="majorBidi" w:hAnsiTheme="majorBidi" w:cstheme="majorBidi"/>
          <w:color w:val="000000"/>
        </w:rPr>
        <w:t xml:space="preserve">L’économie nationale aurait </w:t>
      </w:r>
      <w:r w:rsidR="004173B7" w:rsidRPr="007F2C71">
        <w:rPr>
          <w:rFonts w:asciiTheme="majorBidi" w:hAnsiTheme="majorBidi" w:cstheme="majorBidi"/>
          <w:color w:val="000000"/>
        </w:rPr>
        <w:t>enregistré une croissance de 4,8</w:t>
      </w:r>
      <w:r w:rsidRPr="007F2C71">
        <w:rPr>
          <w:rFonts w:asciiTheme="majorBidi" w:hAnsiTheme="majorBidi" w:cstheme="majorBidi"/>
          <w:color w:val="000000"/>
        </w:rPr>
        <w:t xml:space="preserve">% en 2011 au lieu de 3,7% enregistré en 2010. Cette reprise s’explique, à la fois, par </w:t>
      </w:r>
      <w:r w:rsidRPr="007F2C71">
        <w:rPr>
          <w:rFonts w:asciiTheme="majorBidi" w:hAnsiTheme="majorBidi" w:cstheme="majorBidi"/>
        </w:rPr>
        <w:t>la hausse  de la valeur ajoutée</w:t>
      </w:r>
      <w:r w:rsidRPr="007F2C71">
        <w:rPr>
          <w:rFonts w:asciiTheme="majorBidi" w:hAnsiTheme="majorBidi" w:cstheme="majorBidi"/>
          <w:b/>
          <w:bCs/>
        </w:rPr>
        <w:t xml:space="preserve"> du secteur primaire de </w:t>
      </w:r>
      <w:r w:rsidR="004173B7" w:rsidRPr="007F2C71">
        <w:rPr>
          <w:rFonts w:asciiTheme="majorBidi" w:hAnsiTheme="majorBidi" w:cstheme="majorBidi"/>
          <w:b/>
          <w:bCs/>
        </w:rPr>
        <w:t>5</w:t>
      </w:r>
      <w:r w:rsidRPr="007F2C71">
        <w:rPr>
          <w:rFonts w:asciiTheme="majorBidi" w:hAnsiTheme="majorBidi" w:cstheme="majorBidi"/>
          <w:b/>
          <w:bCs/>
        </w:rPr>
        <w:t xml:space="preserve">% </w:t>
      </w:r>
      <w:r w:rsidRPr="007F2C71">
        <w:rPr>
          <w:rFonts w:asciiTheme="majorBidi" w:hAnsiTheme="majorBidi" w:cstheme="majorBidi"/>
        </w:rPr>
        <w:t>après une baisse de 2,1% en 2010 et</w:t>
      </w:r>
      <w:r w:rsidRPr="007F2C71">
        <w:rPr>
          <w:rFonts w:asciiTheme="majorBidi" w:hAnsiTheme="majorBidi" w:cstheme="majorBidi"/>
          <w:b/>
          <w:bCs/>
        </w:rPr>
        <w:t xml:space="preserve"> </w:t>
      </w:r>
      <w:r w:rsidRPr="007F2C71">
        <w:rPr>
          <w:rFonts w:asciiTheme="majorBidi" w:hAnsiTheme="majorBidi" w:cstheme="majorBidi"/>
        </w:rPr>
        <w:t>par</w:t>
      </w:r>
      <w:r w:rsidRPr="007F2C71">
        <w:rPr>
          <w:rFonts w:asciiTheme="majorBidi" w:hAnsiTheme="majorBidi" w:cstheme="majorBidi"/>
          <w:b/>
          <w:bCs/>
        </w:rPr>
        <w:t xml:space="preserve"> une croissance d</w:t>
      </w:r>
      <w:r w:rsidR="00EC7D66" w:rsidRPr="007F2C71">
        <w:rPr>
          <w:rFonts w:asciiTheme="majorBidi" w:hAnsiTheme="majorBidi" w:cstheme="majorBidi"/>
          <w:b/>
          <w:bCs/>
        </w:rPr>
        <w:t>es activités non agricoles</w:t>
      </w:r>
      <w:r w:rsidR="00EC7D66" w:rsidRPr="007F2C71">
        <w:rPr>
          <w:rFonts w:asciiTheme="majorBidi" w:hAnsiTheme="majorBidi" w:cstheme="majorBidi"/>
        </w:rPr>
        <w:t xml:space="preserve"> </w:t>
      </w:r>
      <w:r w:rsidR="004173B7" w:rsidRPr="007F2C71">
        <w:rPr>
          <w:rFonts w:asciiTheme="majorBidi" w:hAnsiTheme="majorBidi" w:cstheme="majorBidi"/>
        </w:rPr>
        <w:t xml:space="preserve">au même rythme </w:t>
      </w:r>
      <w:r w:rsidR="00A257A2" w:rsidRPr="007F2C71">
        <w:rPr>
          <w:rFonts w:asciiTheme="majorBidi" w:hAnsiTheme="majorBidi" w:cstheme="majorBidi"/>
        </w:rPr>
        <w:t>de 4,7% en 201</w:t>
      </w:r>
      <w:r w:rsidR="004173B7" w:rsidRPr="007F2C71">
        <w:rPr>
          <w:rFonts w:asciiTheme="majorBidi" w:hAnsiTheme="majorBidi" w:cstheme="majorBidi"/>
        </w:rPr>
        <w:t>1</w:t>
      </w:r>
      <w:r w:rsidR="00EC7D66" w:rsidRPr="007F2C71">
        <w:rPr>
          <w:rFonts w:asciiTheme="majorBidi" w:hAnsiTheme="majorBidi" w:cstheme="majorBidi"/>
        </w:rPr>
        <w:t xml:space="preserve">. </w:t>
      </w:r>
    </w:p>
    <w:p w:rsidR="004173B7" w:rsidRPr="007F2C71" w:rsidRDefault="00DB6948" w:rsidP="006C5B2C">
      <w:pPr>
        <w:jc w:val="both"/>
        <w:outlineLvl w:val="1"/>
        <w:rPr>
          <w:rFonts w:asciiTheme="majorBidi" w:hAnsiTheme="majorBidi" w:cstheme="majorBidi"/>
          <w:color w:val="000000"/>
        </w:rPr>
      </w:pPr>
      <w:r>
        <w:rPr>
          <w:rFonts w:asciiTheme="majorBidi" w:hAnsiTheme="majorBidi" w:cstheme="majorBidi"/>
          <w:color w:val="000000"/>
        </w:rPr>
        <w:t xml:space="preserve">Du côté de la demande, </w:t>
      </w:r>
      <w:r w:rsidR="004173B7" w:rsidRPr="007F2C71">
        <w:rPr>
          <w:rFonts w:asciiTheme="majorBidi" w:hAnsiTheme="majorBidi" w:cstheme="majorBidi"/>
          <w:color w:val="000000"/>
        </w:rPr>
        <w:t xml:space="preserve">la maitrise de l’évolution des prix à la consommation de 0,9% en 2011 aurait amélioré le pouvoir d’achat des ménages et stimuler la demande intérieure, notamment la consommation des ménages. Celle-ci aurait enregistré une croissance de 6,5% en volume au lieu de 2,2% en 2010, contribuant ainsi pour 3,7 points à la croissance du PIB au lieu de 1,3 point en 2010. </w:t>
      </w:r>
      <w:r w:rsidR="007556D2">
        <w:rPr>
          <w:rFonts w:asciiTheme="majorBidi" w:hAnsiTheme="majorBidi" w:cstheme="majorBidi"/>
          <w:color w:val="000000"/>
        </w:rPr>
        <w:t xml:space="preserve">La consommation des administrations publiques aurait contribué de 0,3 point. </w:t>
      </w:r>
      <w:r w:rsidR="004173B7" w:rsidRPr="007F2C71">
        <w:rPr>
          <w:rFonts w:asciiTheme="majorBidi" w:hAnsiTheme="majorBidi" w:cstheme="majorBidi"/>
          <w:color w:val="000000"/>
        </w:rPr>
        <w:t xml:space="preserve">De son côté, la formation brute du capital fixe aurait augmenté de 4,5%, contribuant ainsi pour 1,4 point à la croissance économique. La variation des stocks, en recul en 2011, aurait dégagé une contribution négative à la croissance, d’environ 0,6 point. Globalement la demande intérieure aurait contribué de 4,8 points à la croissance du PIB. </w:t>
      </w:r>
      <w:r w:rsidR="00195ADF" w:rsidRPr="007F2C71">
        <w:rPr>
          <w:rFonts w:asciiTheme="majorBidi" w:hAnsiTheme="majorBidi" w:cstheme="majorBidi"/>
          <w:color w:val="000000"/>
        </w:rPr>
        <w:t xml:space="preserve">La demande extérieure, quant à elle, aurait enregistré une contribution nulle à la croissance </w:t>
      </w:r>
      <w:r w:rsidR="004173B7" w:rsidRPr="007F2C71">
        <w:rPr>
          <w:rFonts w:asciiTheme="majorBidi" w:hAnsiTheme="majorBidi" w:cstheme="majorBidi"/>
          <w:color w:val="000000"/>
        </w:rPr>
        <w:t xml:space="preserve">après une </w:t>
      </w:r>
      <w:r w:rsidR="006C5B2C">
        <w:rPr>
          <w:rFonts w:asciiTheme="majorBidi" w:hAnsiTheme="majorBidi" w:cstheme="majorBidi"/>
          <w:color w:val="000000"/>
        </w:rPr>
        <w:t xml:space="preserve">forte </w:t>
      </w:r>
      <w:r w:rsidR="004173B7" w:rsidRPr="007F2C71">
        <w:rPr>
          <w:rFonts w:asciiTheme="majorBidi" w:hAnsiTheme="majorBidi" w:cstheme="majorBidi"/>
          <w:color w:val="000000"/>
        </w:rPr>
        <w:t xml:space="preserve">contribution </w:t>
      </w:r>
      <w:r w:rsidR="006C5B2C">
        <w:rPr>
          <w:rFonts w:asciiTheme="majorBidi" w:hAnsiTheme="majorBidi" w:cstheme="majorBidi"/>
          <w:color w:val="000000"/>
        </w:rPr>
        <w:t xml:space="preserve">de </w:t>
      </w:r>
      <w:r w:rsidR="004173B7" w:rsidRPr="007F2C71">
        <w:rPr>
          <w:rFonts w:asciiTheme="majorBidi" w:hAnsiTheme="majorBidi" w:cstheme="majorBidi"/>
          <w:color w:val="000000"/>
        </w:rPr>
        <w:t xml:space="preserve"> </w:t>
      </w:r>
      <w:r w:rsidR="006C5B2C">
        <w:rPr>
          <w:rFonts w:asciiTheme="majorBidi" w:hAnsiTheme="majorBidi" w:cstheme="majorBidi"/>
          <w:color w:val="000000"/>
        </w:rPr>
        <w:t>3</w:t>
      </w:r>
      <w:r w:rsidR="004173B7" w:rsidRPr="007F2C71">
        <w:rPr>
          <w:rFonts w:asciiTheme="majorBidi" w:hAnsiTheme="majorBidi" w:cstheme="majorBidi"/>
          <w:color w:val="000000"/>
        </w:rPr>
        <w:t>,</w:t>
      </w:r>
      <w:r w:rsidR="006C5B2C">
        <w:rPr>
          <w:rFonts w:asciiTheme="majorBidi" w:hAnsiTheme="majorBidi" w:cstheme="majorBidi"/>
          <w:color w:val="000000"/>
        </w:rPr>
        <w:t>4</w:t>
      </w:r>
      <w:r w:rsidR="004173B7" w:rsidRPr="007F2C71">
        <w:rPr>
          <w:rFonts w:asciiTheme="majorBidi" w:hAnsiTheme="majorBidi" w:cstheme="majorBidi"/>
          <w:color w:val="000000"/>
        </w:rPr>
        <w:t xml:space="preserve"> point en 2010. </w:t>
      </w:r>
    </w:p>
    <w:p w:rsidR="004173B7" w:rsidRPr="007F2C71" w:rsidRDefault="004173B7" w:rsidP="004173B7">
      <w:pPr>
        <w:jc w:val="both"/>
        <w:outlineLvl w:val="1"/>
        <w:rPr>
          <w:rFonts w:asciiTheme="majorBidi" w:hAnsiTheme="majorBidi" w:cstheme="majorBidi"/>
          <w:color w:val="000000"/>
        </w:rPr>
      </w:pPr>
    </w:p>
    <w:p w:rsidR="004173B7" w:rsidRPr="007F2C71" w:rsidRDefault="004173B7" w:rsidP="00913E0C">
      <w:pPr>
        <w:jc w:val="both"/>
        <w:outlineLvl w:val="1"/>
        <w:rPr>
          <w:rFonts w:asciiTheme="majorBidi" w:hAnsiTheme="majorBidi" w:cstheme="majorBidi"/>
          <w:color w:val="000000"/>
        </w:rPr>
      </w:pPr>
      <w:r w:rsidRPr="007F2C71">
        <w:rPr>
          <w:rFonts w:asciiTheme="majorBidi" w:hAnsiTheme="majorBidi" w:cstheme="majorBidi"/>
          <w:color w:val="000000"/>
        </w:rPr>
        <w:t>Au plan de financement de l’économie, le taux d’épargne nationale s’est établi à 28,8% en 2011au lieu de</w:t>
      </w:r>
      <w:r w:rsidR="00AE0E99" w:rsidRPr="007F2C71">
        <w:rPr>
          <w:rFonts w:asciiTheme="majorBidi" w:hAnsiTheme="majorBidi" w:cstheme="majorBidi"/>
          <w:color w:val="000000"/>
        </w:rPr>
        <w:t xml:space="preserve"> 30,8% du PIB en 2010,  alors que l</w:t>
      </w:r>
      <w:r w:rsidRPr="007F2C71">
        <w:rPr>
          <w:rFonts w:asciiTheme="majorBidi" w:hAnsiTheme="majorBidi" w:cstheme="majorBidi"/>
          <w:color w:val="000000"/>
        </w:rPr>
        <w:t>’investissement brut est en légère hausse, pour représenter 35,5% du PIB au lieu de 35,1% en 2010. Par conséquent, le compte épargne-</w:t>
      </w:r>
      <w:r w:rsidRPr="007F2C71">
        <w:rPr>
          <w:rFonts w:asciiTheme="majorBidi" w:hAnsiTheme="majorBidi" w:cstheme="majorBidi"/>
          <w:color w:val="000000"/>
        </w:rPr>
        <w:lastRenderedPageBreak/>
        <w:t>investissement aurait dégagé une accentuation du déficit de financement, se situant à 6,</w:t>
      </w:r>
      <w:r w:rsidR="00913E0C">
        <w:rPr>
          <w:rFonts w:asciiTheme="majorBidi" w:hAnsiTheme="majorBidi" w:cstheme="majorBidi"/>
          <w:color w:val="000000"/>
        </w:rPr>
        <w:t>7</w:t>
      </w:r>
      <w:r w:rsidRPr="007F2C71">
        <w:rPr>
          <w:rFonts w:asciiTheme="majorBidi" w:hAnsiTheme="majorBidi" w:cstheme="majorBidi"/>
          <w:color w:val="000000"/>
        </w:rPr>
        <w:t>% du PIB au lieu de 4,3% en 2010. Les finances publiques, de leur côté,</w:t>
      </w:r>
      <w:r w:rsidR="00AE0E99" w:rsidRPr="007F2C71">
        <w:rPr>
          <w:rFonts w:asciiTheme="majorBidi" w:hAnsiTheme="majorBidi" w:cstheme="majorBidi"/>
          <w:color w:val="000000"/>
        </w:rPr>
        <w:t xml:space="preserve"> auraient été marquées en 2011</w:t>
      </w:r>
      <w:r w:rsidRPr="007F2C71">
        <w:rPr>
          <w:rFonts w:asciiTheme="majorBidi" w:hAnsiTheme="majorBidi" w:cstheme="majorBidi"/>
          <w:color w:val="000000"/>
        </w:rPr>
        <w:t xml:space="preserve"> par une augmentation d</w:t>
      </w:r>
      <w:r w:rsidR="009549DD" w:rsidRPr="007F2C71">
        <w:rPr>
          <w:rFonts w:asciiTheme="majorBidi" w:hAnsiTheme="majorBidi" w:cstheme="majorBidi"/>
          <w:color w:val="000000"/>
        </w:rPr>
        <w:t>u déficit budgétaire</w:t>
      </w:r>
      <w:r w:rsidRPr="007F2C71">
        <w:rPr>
          <w:rFonts w:asciiTheme="majorBidi" w:hAnsiTheme="majorBidi" w:cstheme="majorBidi"/>
          <w:color w:val="000000"/>
        </w:rPr>
        <w:t xml:space="preserve">, représentant </w:t>
      </w:r>
      <w:r w:rsidR="00AE0E99" w:rsidRPr="007F2C71">
        <w:rPr>
          <w:rFonts w:asciiTheme="majorBidi" w:hAnsiTheme="majorBidi" w:cstheme="majorBidi"/>
          <w:color w:val="000000"/>
        </w:rPr>
        <w:t>6</w:t>
      </w:r>
      <w:r w:rsidRPr="007F2C71">
        <w:rPr>
          <w:rFonts w:asciiTheme="majorBidi" w:hAnsiTheme="majorBidi" w:cstheme="majorBidi"/>
          <w:color w:val="000000"/>
        </w:rPr>
        <w:t>,</w:t>
      </w:r>
      <w:r w:rsidR="00AE0E99" w:rsidRPr="007F2C71">
        <w:rPr>
          <w:rFonts w:asciiTheme="majorBidi" w:hAnsiTheme="majorBidi" w:cstheme="majorBidi"/>
          <w:color w:val="000000"/>
        </w:rPr>
        <w:t>1</w:t>
      </w:r>
      <w:r w:rsidRPr="007F2C71">
        <w:rPr>
          <w:rFonts w:asciiTheme="majorBidi" w:hAnsiTheme="majorBidi" w:cstheme="majorBidi"/>
          <w:color w:val="000000"/>
        </w:rPr>
        <w:t xml:space="preserve">% du PIB au lieu de 3,7% en 2010. </w:t>
      </w:r>
    </w:p>
    <w:p w:rsidR="004173B7" w:rsidRPr="007F2C71" w:rsidRDefault="004173B7" w:rsidP="004173B7">
      <w:pPr>
        <w:jc w:val="both"/>
        <w:outlineLvl w:val="1"/>
        <w:rPr>
          <w:rFonts w:asciiTheme="majorBidi" w:hAnsiTheme="majorBidi" w:cstheme="majorBidi"/>
          <w:color w:val="000000"/>
        </w:rPr>
      </w:pPr>
    </w:p>
    <w:p w:rsidR="00EC7D66" w:rsidRPr="007F2C71" w:rsidRDefault="007938AC" w:rsidP="00D32355">
      <w:pPr>
        <w:widowControl w:val="0"/>
        <w:adjustRightInd w:val="0"/>
        <w:spacing w:before="120" w:after="240"/>
        <w:ind w:right="-110"/>
        <w:jc w:val="lowKashida"/>
        <w:rPr>
          <w:rFonts w:asciiTheme="majorBidi" w:hAnsiTheme="majorBidi" w:cstheme="majorBidi"/>
          <w:b/>
          <w:bCs/>
        </w:rPr>
      </w:pPr>
      <w:r>
        <w:rPr>
          <w:rFonts w:asciiTheme="majorBidi" w:hAnsiTheme="majorBidi" w:cstheme="majorBidi"/>
          <w:b/>
          <w:bCs/>
          <w:color w:val="00B050"/>
          <w:u w:val="single"/>
        </w:rPr>
        <w:t>2-</w:t>
      </w:r>
      <w:r w:rsidR="00EC7D66" w:rsidRPr="007F2C71">
        <w:rPr>
          <w:rFonts w:asciiTheme="majorBidi" w:hAnsiTheme="majorBidi" w:cstheme="majorBidi"/>
          <w:b/>
          <w:bCs/>
          <w:color w:val="00B050"/>
          <w:u w:val="single"/>
        </w:rPr>
        <w:t>Perspectives de l’économie nationale en 201</w:t>
      </w:r>
      <w:r w:rsidR="00D32355" w:rsidRPr="007F2C71">
        <w:rPr>
          <w:rFonts w:asciiTheme="majorBidi" w:hAnsiTheme="majorBidi" w:cstheme="majorBidi"/>
          <w:b/>
          <w:bCs/>
          <w:color w:val="00B050"/>
          <w:u w:val="single"/>
        </w:rPr>
        <w:t>2</w:t>
      </w:r>
      <w:r w:rsidR="00EC7D66" w:rsidRPr="007F2C71">
        <w:rPr>
          <w:rFonts w:asciiTheme="majorBidi" w:hAnsiTheme="majorBidi" w:cstheme="majorBidi"/>
          <w:b/>
          <w:bCs/>
          <w:color w:val="00B050"/>
          <w:u w:val="single"/>
        </w:rPr>
        <w:t xml:space="preserve"> </w:t>
      </w:r>
    </w:p>
    <w:p w:rsidR="009549DD" w:rsidRPr="007F2C71" w:rsidRDefault="009549DD" w:rsidP="009549DD">
      <w:pPr>
        <w:jc w:val="both"/>
        <w:outlineLvl w:val="1"/>
        <w:rPr>
          <w:rFonts w:asciiTheme="majorBidi" w:hAnsiTheme="majorBidi" w:cstheme="majorBidi"/>
          <w:color w:val="000000"/>
        </w:rPr>
      </w:pPr>
      <w:r w:rsidRPr="007F2C71">
        <w:rPr>
          <w:rFonts w:asciiTheme="majorBidi" w:hAnsiTheme="majorBidi" w:cstheme="majorBidi"/>
          <w:color w:val="000000"/>
        </w:rPr>
        <w:t xml:space="preserve">Les perspectives économiques pour l’année 2012 ont été élaborées sur la base d’un ensemble d’hypothèses ayant trait à l’évolution de l’environnement international et à la situation économique intérieure. </w:t>
      </w:r>
    </w:p>
    <w:p w:rsidR="009549DD" w:rsidRPr="007F2C71" w:rsidRDefault="009549DD" w:rsidP="009549DD">
      <w:pPr>
        <w:widowControl w:val="0"/>
        <w:adjustRightInd w:val="0"/>
        <w:jc w:val="lowKashida"/>
        <w:rPr>
          <w:rFonts w:asciiTheme="majorBidi" w:hAnsiTheme="majorBidi" w:cstheme="majorBidi"/>
          <w:color w:val="000000"/>
        </w:rPr>
      </w:pPr>
    </w:p>
    <w:p w:rsidR="009549DD" w:rsidRPr="007F2C71" w:rsidRDefault="009549DD" w:rsidP="009549DD">
      <w:pPr>
        <w:widowControl w:val="0"/>
        <w:adjustRightInd w:val="0"/>
        <w:jc w:val="lowKashida"/>
        <w:rPr>
          <w:rFonts w:asciiTheme="majorBidi" w:hAnsiTheme="majorBidi" w:cstheme="majorBidi"/>
          <w:color w:val="000000"/>
        </w:rPr>
      </w:pPr>
      <w:r w:rsidRPr="007F2C71">
        <w:rPr>
          <w:rFonts w:asciiTheme="majorBidi" w:hAnsiTheme="majorBidi" w:cstheme="majorBidi"/>
          <w:color w:val="000000"/>
        </w:rPr>
        <w:t>Dans ce contexte, l’économie nationale devrait enregistrer</w:t>
      </w:r>
      <w:r w:rsidR="007F2C71" w:rsidRPr="007F2C71">
        <w:rPr>
          <w:rFonts w:asciiTheme="majorBidi" w:hAnsiTheme="majorBidi" w:cstheme="majorBidi"/>
          <w:color w:val="000000"/>
        </w:rPr>
        <w:t>, selon les hypothèses retenues,</w:t>
      </w:r>
      <w:r w:rsidRPr="007F2C71">
        <w:rPr>
          <w:rFonts w:asciiTheme="majorBidi" w:hAnsiTheme="majorBidi" w:cstheme="majorBidi"/>
          <w:color w:val="000000"/>
        </w:rPr>
        <w:t xml:space="preserve"> un ralentissement de sa croissance en 2012, pour s’établir à 4,1% au lieu de 4,8% en 2011. Les activités non agricole s’accroitraient, globalement de 4,9% alors que le secteur primaire devrait enregistrer une baisse de sa valeur ajoutée de 2,2% en 2012   </w:t>
      </w:r>
    </w:p>
    <w:p w:rsidR="009549DD" w:rsidRPr="007F2C71" w:rsidRDefault="009549DD" w:rsidP="009549DD">
      <w:pPr>
        <w:jc w:val="both"/>
        <w:outlineLvl w:val="1"/>
        <w:rPr>
          <w:rFonts w:asciiTheme="majorBidi" w:hAnsiTheme="majorBidi" w:cstheme="majorBidi"/>
          <w:b/>
          <w:bCs/>
        </w:rPr>
      </w:pPr>
    </w:p>
    <w:p w:rsidR="009549DD" w:rsidRPr="007F2C71" w:rsidRDefault="00203CC4" w:rsidP="00D30296">
      <w:pPr>
        <w:jc w:val="both"/>
        <w:outlineLvl w:val="1"/>
        <w:rPr>
          <w:rFonts w:asciiTheme="majorBidi" w:hAnsiTheme="majorBidi" w:cstheme="majorBidi"/>
          <w:color w:val="000000"/>
        </w:rPr>
      </w:pPr>
      <w:r>
        <w:rPr>
          <w:rFonts w:asciiTheme="majorBidi" w:hAnsiTheme="majorBidi" w:cstheme="majorBidi"/>
          <w:color w:val="000000"/>
        </w:rPr>
        <w:t>L</w:t>
      </w:r>
      <w:r w:rsidR="009549DD" w:rsidRPr="007F2C71">
        <w:rPr>
          <w:rFonts w:asciiTheme="majorBidi" w:hAnsiTheme="majorBidi" w:cstheme="majorBidi"/>
          <w:color w:val="000000"/>
        </w:rPr>
        <w:t>a demande intérieure devrait continuer de tirer la croissance économique nationale. La consommation des ménages s’accroitrait de 5% en volume, celle des administrations publiques de 2% et la formation brute de capital fixe (FBCF) de 6%. Ainsi, la contribution de la demande intérieure demeurerait globalement élevée, avec 5,4 points de croissance en 2012 au lieu de 4,8 points en 2011. Elle continuerait, ainsi, de bénéficier du soutien budgétaire des prix à la consommation et  l’inflation  devrait se situer à près de 2,1% en 2012 au lieu de 1,3% en 2011.</w:t>
      </w:r>
      <w:r w:rsidR="00DE76D7" w:rsidRPr="007F2C71">
        <w:rPr>
          <w:rFonts w:asciiTheme="majorBidi" w:hAnsiTheme="majorBidi" w:cstheme="majorBidi"/>
          <w:color w:val="000000"/>
        </w:rPr>
        <w:t xml:space="preserve"> </w:t>
      </w:r>
      <w:r w:rsidR="009549DD" w:rsidRPr="007F2C71">
        <w:rPr>
          <w:rFonts w:asciiTheme="majorBidi" w:hAnsiTheme="majorBidi" w:cstheme="majorBidi"/>
          <w:color w:val="000000"/>
        </w:rPr>
        <w:t xml:space="preserve">Quant aux échanges extérieurs de biens et services, ils dégageraient de nouveau une contribution négative à la croissance du PIB, de </w:t>
      </w:r>
      <w:r w:rsidR="00D30296">
        <w:rPr>
          <w:rFonts w:asciiTheme="majorBidi" w:hAnsiTheme="majorBidi" w:cstheme="majorBidi"/>
          <w:color w:val="000000"/>
        </w:rPr>
        <w:t>1</w:t>
      </w:r>
      <w:r w:rsidR="009549DD" w:rsidRPr="007F2C71">
        <w:rPr>
          <w:rFonts w:asciiTheme="majorBidi" w:hAnsiTheme="majorBidi" w:cstheme="majorBidi"/>
          <w:color w:val="000000"/>
        </w:rPr>
        <w:t>,</w:t>
      </w:r>
      <w:r w:rsidR="00D30296">
        <w:rPr>
          <w:rFonts w:asciiTheme="majorBidi" w:hAnsiTheme="majorBidi" w:cstheme="majorBidi"/>
          <w:color w:val="000000"/>
        </w:rPr>
        <w:t>3</w:t>
      </w:r>
      <w:r w:rsidR="009549DD" w:rsidRPr="007F2C71">
        <w:rPr>
          <w:rFonts w:asciiTheme="majorBidi" w:hAnsiTheme="majorBidi" w:cstheme="majorBidi"/>
          <w:color w:val="000000"/>
        </w:rPr>
        <w:t xml:space="preserve"> point, notamment en raison de l’ampleur des importations stimulées par l’effet multiplicateur de la demande intérieure. </w:t>
      </w:r>
    </w:p>
    <w:p w:rsidR="009549DD" w:rsidRPr="007F2C71" w:rsidRDefault="009549DD" w:rsidP="009549DD">
      <w:pPr>
        <w:jc w:val="both"/>
        <w:outlineLvl w:val="1"/>
        <w:rPr>
          <w:rFonts w:asciiTheme="majorBidi" w:hAnsiTheme="majorBidi" w:cstheme="majorBidi"/>
          <w:color w:val="000000"/>
        </w:rPr>
      </w:pPr>
    </w:p>
    <w:p w:rsidR="00EC7D66" w:rsidRPr="007F2C71" w:rsidRDefault="009549DD" w:rsidP="00D30296">
      <w:pPr>
        <w:jc w:val="both"/>
        <w:outlineLvl w:val="1"/>
        <w:rPr>
          <w:rFonts w:asciiTheme="majorBidi" w:hAnsiTheme="majorBidi" w:cstheme="majorBidi"/>
          <w:color w:val="000000"/>
        </w:rPr>
      </w:pPr>
      <w:r w:rsidRPr="007F2C71">
        <w:rPr>
          <w:rFonts w:asciiTheme="majorBidi" w:hAnsiTheme="majorBidi" w:cstheme="majorBidi"/>
          <w:color w:val="000000"/>
        </w:rPr>
        <w:t xml:space="preserve">Au plan de financement de l’économie, le déficit </w:t>
      </w:r>
      <w:r w:rsidR="00DE76D7" w:rsidRPr="007F2C71">
        <w:rPr>
          <w:rFonts w:asciiTheme="majorBidi" w:hAnsiTheme="majorBidi" w:cstheme="majorBidi"/>
          <w:color w:val="000000"/>
        </w:rPr>
        <w:t>courant  des échanges extérieurs devrait atteindre 7,1% du PIB en 201</w:t>
      </w:r>
      <w:r w:rsidR="00D30296">
        <w:rPr>
          <w:rFonts w:asciiTheme="majorBidi" w:hAnsiTheme="majorBidi" w:cstheme="majorBidi"/>
          <w:color w:val="000000"/>
        </w:rPr>
        <w:t>2</w:t>
      </w:r>
      <w:r w:rsidR="00DE76D7" w:rsidRPr="007F2C71">
        <w:rPr>
          <w:rFonts w:asciiTheme="majorBidi" w:hAnsiTheme="majorBidi" w:cstheme="majorBidi"/>
          <w:color w:val="000000"/>
        </w:rPr>
        <w:t xml:space="preserve">. Ceci </w:t>
      </w:r>
      <w:r w:rsidR="00203CC4">
        <w:rPr>
          <w:rFonts w:asciiTheme="majorBidi" w:hAnsiTheme="majorBidi" w:cstheme="majorBidi"/>
          <w:color w:val="000000"/>
        </w:rPr>
        <w:t xml:space="preserve">traduit l’écart </w:t>
      </w:r>
      <w:r w:rsidR="00DE76D7" w:rsidRPr="007F2C71">
        <w:rPr>
          <w:rFonts w:asciiTheme="majorBidi" w:hAnsiTheme="majorBidi" w:cstheme="majorBidi"/>
          <w:color w:val="000000"/>
        </w:rPr>
        <w:t xml:space="preserve">important entre </w:t>
      </w:r>
      <w:r w:rsidRPr="007F2C71">
        <w:rPr>
          <w:rFonts w:asciiTheme="majorBidi" w:hAnsiTheme="majorBidi" w:cstheme="majorBidi"/>
          <w:color w:val="000000"/>
        </w:rPr>
        <w:t xml:space="preserve">le taux d’épargne nationale </w:t>
      </w:r>
      <w:r w:rsidR="00DE76D7" w:rsidRPr="007F2C71">
        <w:rPr>
          <w:rFonts w:asciiTheme="majorBidi" w:hAnsiTheme="majorBidi" w:cstheme="majorBidi"/>
          <w:color w:val="000000"/>
        </w:rPr>
        <w:t>en</w:t>
      </w:r>
      <w:r w:rsidRPr="007F2C71">
        <w:rPr>
          <w:rFonts w:asciiTheme="majorBidi" w:hAnsiTheme="majorBidi" w:cstheme="majorBidi"/>
          <w:color w:val="000000"/>
        </w:rPr>
        <w:t xml:space="preserve"> légère amélioration</w:t>
      </w:r>
      <w:r w:rsidR="00DE76D7" w:rsidRPr="007F2C71">
        <w:rPr>
          <w:rFonts w:asciiTheme="majorBidi" w:hAnsiTheme="majorBidi" w:cstheme="majorBidi"/>
          <w:color w:val="000000"/>
        </w:rPr>
        <w:t xml:space="preserve"> (</w:t>
      </w:r>
      <w:r w:rsidRPr="007F2C71">
        <w:rPr>
          <w:rFonts w:asciiTheme="majorBidi" w:hAnsiTheme="majorBidi" w:cstheme="majorBidi"/>
          <w:color w:val="000000"/>
        </w:rPr>
        <w:t xml:space="preserve">29,9% </w:t>
      </w:r>
      <w:r w:rsidR="00DE76D7" w:rsidRPr="007F2C71">
        <w:rPr>
          <w:rFonts w:asciiTheme="majorBidi" w:hAnsiTheme="majorBidi" w:cstheme="majorBidi"/>
          <w:color w:val="000000"/>
        </w:rPr>
        <w:t xml:space="preserve">du PIB </w:t>
      </w:r>
      <w:r w:rsidRPr="007F2C71">
        <w:rPr>
          <w:rFonts w:asciiTheme="majorBidi" w:hAnsiTheme="majorBidi" w:cstheme="majorBidi"/>
          <w:color w:val="000000"/>
        </w:rPr>
        <w:t>en 2012</w:t>
      </w:r>
      <w:r w:rsidR="00DE76D7" w:rsidRPr="007F2C71">
        <w:rPr>
          <w:rFonts w:asciiTheme="majorBidi" w:hAnsiTheme="majorBidi" w:cstheme="majorBidi"/>
          <w:color w:val="000000"/>
        </w:rPr>
        <w:t>) et le taux d’</w:t>
      </w:r>
      <w:r w:rsidRPr="007F2C71">
        <w:rPr>
          <w:rFonts w:asciiTheme="majorBidi" w:hAnsiTheme="majorBidi" w:cstheme="majorBidi"/>
          <w:color w:val="000000"/>
        </w:rPr>
        <w:t>investissement</w:t>
      </w:r>
      <w:r w:rsidR="00CB0285" w:rsidRPr="007F2C71">
        <w:rPr>
          <w:rFonts w:asciiTheme="majorBidi" w:hAnsiTheme="majorBidi" w:cstheme="majorBidi"/>
          <w:color w:val="000000"/>
        </w:rPr>
        <w:t xml:space="preserve"> (</w:t>
      </w:r>
      <w:r w:rsidRPr="007F2C71">
        <w:rPr>
          <w:rFonts w:asciiTheme="majorBidi" w:hAnsiTheme="majorBidi" w:cstheme="majorBidi"/>
          <w:color w:val="000000"/>
        </w:rPr>
        <w:t>37% du PIB</w:t>
      </w:r>
      <w:r w:rsidR="00CB0285" w:rsidRPr="007F2C71">
        <w:rPr>
          <w:rFonts w:asciiTheme="majorBidi" w:hAnsiTheme="majorBidi" w:cstheme="majorBidi"/>
          <w:color w:val="000000"/>
        </w:rPr>
        <w:t xml:space="preserve">). </w:t>
      </w:r>
    </w:p>
    <w:p w:rsidR="007F2C71" w:rsidRPr="007F2C71" w:rsidRDefault="007F2C71" w:rsidP="007F2C71">
      <w:pPr>
        <w:autoSpaceDE w:val="0"/>
        <w:autoSpaceDN w:val="0"/>
        <w:adjustRightInd w:val="0"/>
        <w:jc w:val="both"/>
        <w:rPr>
          <w:rFonts w:asciiTheme="majorBidi" w:hAnsiTheme="majorBidi" w:cstheme="majorBidi"/>
        </w:rPr>
      </w:pPr>
    </w:p>
    <w:p w:rsidR="007938AC" w:rsidRPr="007E46E2" w:rsidRDefault="007938AC" w:rsidP="007938AC">
      <w:pPr>
        <w:widowControl w:val="0"/>
        <w:adjustRightInd w:val="0"/>
        <w:jc w:val="lowKashida"/>
        <w:rPr>
          <w:rFonts w:ascii="Book Antiqua" w:hAnsi="Book Antiqua"/>
          <w:b/>
          <w:bCs/>
        </w:rPr>
      </w:pPr>
    </w:p>
    <w:p w:rsidR="007938AC" w:rsidRPr="007938AC" w:rsidRDefault="007938AC" w:rsidP="007938AC">
      <w:pPr>
        <w:keepNext/>
        <w:keepLines/>
        <w:ind w:right="-110"/>
        <w:jc w:val="both"/>
        <w:rPr>
          <w:rFonts w:asciiTheme="majorBidi" w:hAnsiTheme="majorBidi" w:cstheme="majorBidi"/>
          <w:b/>
          <w:bCs/>
          <w:color w:val="00B050"/>
          <w:u w:val="single"/>
        </w:rPr>
      </w:pPr>
      <w:r w:rsidRPr="007938AC">
        <w:rPr>
          <w:rFonts w:asciiTheme="majorBidi" w:hAnsiTheme="majorBidi" w:cstheme="majorBidi"/>
          <w:b/>
          <w:bCs/>
          <w:color w:val="00B050"/>
          <w:u w:val="single"/>
        </w:rPr>
        <w:t>3-Au terme de ces perspectives économiques pour 2012 : Quelle soutenabilité pour un modèle de croissance économique tiré par la demande intérieure ?</w:t>
      </w:r>
    </w:p>
    <w:p w:rsidR="007938AC" w:rsidRDefault="007938AC" w:rsidP="007F2C71">
      <w:pPr>
        <w:autoSpaceDE w:val="0"/>
        <w:autoSpaceDN w:val="0"/>
        <w:adjustRightInd w:val="0"/>
        <w:jc w:val="both"/>
        <w:rPr>
          <w:rFonts w:asciiTheme="majorBidi" w:hAnsiTheme="majorBidi" w:cstheme="majorBidi"/>
          <w:color w:val="000000"/>
        </w:rPr>
      </w:pPr>
    </w:p>
    <w:p w:rsidR="007F2C71" w:rsidRPr="007F2C71" w:rsidRDefault="007F2C71" w:rsidP="007F2C71">
      <w:pPr>
        <w:autoSpaceDE w:val="0"/>
        <w:autoSpaceDN w:val="0"/>
        <w:adjustRightInd w:val="0"/>
        <w:jc w:val="both"/>
        <w:rPr>
          <w:rFonts w:asciiTheme="majorBidi" w:hAnsiTheme="majorBidi" w:cstheme="majorBidi"/>
          <w:color w:val="000000"/>
        </w:rPr>
      </w:pPr>
      <w:r w:rsidRPr="007F2C71">
        <w:rPr>
          <w:rFonts w:asciiTheme="majorBidi" w:hAnsiTheme="majorBidi" w:cstheme="majorBidi"/>
          <w:color w:val="000000"/>
        </w:rPr>
        <w:t>La question qui se pose pour le Maroc est celle de la problématique de financement de l’économie qui doit être ainsi au cœur des préoccupations de notre pays. La capacité de financement de l’économie s’est détériorée étant donné que le taux de couverture des investissements par l’épargne, qui représentait  plus de 109% en 2006, ne dépasse pas aujourd’hui 80%.</w:t>
      </w:r>
    </w:p>
    <w:p w:rsidR="007F2C71" w:rsidRPr="007F2C71" w:rsidRDefault="007F2C71" w:rsidP="007F2C71">
      <w:pPr>
        <w:autoSpaceDE w:val="0"/>
        <w:autoSpaceDN w:val="0"/>
        <w:adjustRightInd w:val="0"/>
        <w:jc w:val="both"/>
        <w:rPr>
          <w:rFonts w:asciiTheme="majorBidi" w:hAnsiTheme="majorBidi" w:cstheme="majorBidi"/>
          <w:color w:val="000000"/>
        </w:rPr>
      </w:pPr>
    </w:p>
    <w:p w:rsidR="007F2C71" w:rsidRPr="007F2C71" w:rsidRDefault="007F2C71" w:rsidP="007F2C71">
      <w:pPr>
        <w:autoSpaceDE w:val="0"/>
        <w:autoSpaceDN w:val="0"/>
        <w:adjustRightInd w:val="0"/>
        <w:jc w:val="both"/>
        <w:rPr>
          <w:rFonts w:asciiTheme="majorBidi" w:hAnsiTheme="majorBidi" w:cstheme="majorBidi"/>
          <w:color w:val="000000"/>
        </w:rPr>
      </w:pPr>
      <w:r w:rsidRPr="007F2C71">
        <w:rPr>
          <w:rFonts w:asciiTheme="majorBidi" w:hAnsiTheme="majorBidi" w:cstheme="majorBidi"/>
          <w:color w:val="000000"/>
        </w:rPr>
        <w:t>Le HCP dans le cadre de ses travaux sur la trajectoire de la réalisation des objectifs du millénaire à l’horizon 2015, a élaboré des perspectives économiques nationales pour analyser la soutenabilté du présent modèle de croissance à moyen terme. Trois scénarios sont établis à cet effet :</w:t>
      </w:r>
    </w:p>
    <w:p w:rsidR="007F2C71" w:rsidRPr="007F2C71" w:rsidRDefault="007F2C71" w:rsidP="007F2C71">
      <w:pPr>
        <w:autoSpaceDE w:val="0"/>
        <w:autoSpaceDN w:val="0"/>
        <w:adjustRightInd w:val="0"/>
        <w:jc w:val="both"/>
        <w:rPr>
          <w:rFonts w:asciiTheme="majorBidi" w:hAnsiTheme="majorBidi" w:cstheme="majorBidi"/>
          <w:color w:val="000000"/>
        </w:rPr>
      </w:pPr>
    </w:p>
    <w:p w:rsidR="007F2C71" w:rsidRPr="007F2C71" w:rsidRDefault="007F2C71" w:rsidP="007F2C71">
      <w:pPr>
        <w:pStyle w:val="Paragraphedeliste"/>
        <w:numPr>
          <w:ilvl w:val="0"/>
          <w:numId w:val="39"/>
        </w:numPr>
        <w:autoSpaceDE w:val="0"/>
        <w:autoSpaceDN w:val="0"/>
        <w:adjustRightInd w:val="0"/>
        <w:jc w:val="both"/>
        <w:rPr>
          <w:rFonts w:asciiTheme="majorBidi" w:eastAsia="Times New Roman" w:hAnsiTheme="majorBidi" w:cstheme="majorBidi"/>
          <w:b w:val="0"/>
          <w:bCs w:val="0"/>
          <w:color w:val="000000"/>
        </w:rPr>
      </w:pPr>
      <w:r w:rsidRPr="007F2C71">
        <w:rPr>
          <w:rFonts w:asciiTheme="majorBidi" w:eastAsia="Times New Roman" w:hAnsiTheme="majorBidi" w:cstheme="majorBidi"/>
          <w:b w:val="0"/>
          <w:bCs w:val="0"/>
          <w:color w:val="000000"/>
        </w:rPr>
        <w:t>Scénario de référence qui se situe dans le prolongement des tendances passées et des stratégies annoncées ;</w:t>
      </w:r>
    </w:p>
    <w:p w:rsidR="007F2C71" w:rsidRPr="007F2C71" w:rsidRDefault="007F2C71" w:rsidP="007F2C71">
      <w:pPr>
        <w:pStyle w:val="Paragraphedeliste"/>
        <w:numPr>
          <w:ilvl w:val="0"/>
          <w:numId w:val="39"/>
        </w:numPr>
        <w:autoSpaceDE w:val="0"/>
        <w:autoSpaceDN w:val="0"/>
        <w:adjustRightInd w:val="0"/>
        <w:jc w:val="both"/>
        <w:rPr>
          <w:rFonts w:asciiTheme="majorBidi" w:eastAsia="Times New Roman" w:hAnsiTheme="majorBidi" w:cstheme="majorBidi"/>
          <w:b w:val="0"/>
          <w:bCs w:val="0"/>
          <w:color w:val="000000"/>
        </w:rPr>
      </w:pPr>
      <w:r w:rsidRPr="007F2C71">
        <w:rPr>
          <w:rFonts w:asciiTheme="majorBidi" w:eastAsia="Times New Roman" w:hAnsiTheme="majorBidi" w:cstheme="majorBidi"/>
          <w:b w:val="0"/>
          <w:bCs w:val="0"/>
          <w:color w:val="000000"/>
        </w:rPr>
        <w:t>Scénario où l’environnement international évoluerait dans une direction plus contraignante pour l’économie nationale ;</w:t>
      </w:r>
    </w:p>
    <w:p w:rsidR="007F2C71" w:rsidRPr="007F2C71" w:rsidRDefault="007F2C71" w:rsidP="007F2C71">
      <w:pPr>
        <w:pStyle w:val="Paragraphedeliste"/>
        <w:numPr>
          <w:ilvl w:val="0"/>
          <w:numId w:val="39"/>
        </w:numPr>
        <w:autoSpaceDE w:val="0"/>
        <w:autoSpaceDN w:val="0"/>
        <w:adjustRightInd w:val="0"/>
        <w:jc w:val="both"/>
        <w:rPr>
          <w:rFonts w:asciiTheme="majorBidi" w:eastAsia="Times New Roman" w:hAnsiTheme="majorBidi" w:cstheme="majorBidi"/>
          <w:b w:val="0"/>
          <w:bCs w:val="0"/>
          <w:color w:val="000000"/>
        </w:rPr>
      </w:pPr>
      <w:r w:rsidRPr="007F2C71">
        <w:rPr>
          <w:rFonts w:asciiTheme="majorBidi" w:eastAsia="Times New Roman" w:hAnsiTheme="majorBidi" w:cstheme="majorBidi"/>
          <w:b w:val="0"/>
          <w:bCs w:val="0"/>
          <w:color w:val="000000"/>
        </w:rPr>
        <w:t>Scénario de rééquilibrage du modèle de développement</w:t>
      </w:r>
    </w:p>
    <w:p w:rsidR="007F2C71" w:rsidRPr="007F2C71" w:rsidRDefault="007F2C71" w:rsidP="007F2C71">
      <w:pPr>
        <w:autoSpaceDE w:val="0"/>
        <w:autoSpaceDN w:val="0"/>
        <w:adjustRightInd w:val="0"/>
        <w:jc w:val="both"/>
        <w:rPr>
          <w:rFonts w:asciiTheme="majorBidi" w:hAnsiTheme="majorBidi" w:cstheme="majorBidi"/>
          <w:b/>
          <w:bCs/>
        </w:rPr>
      </w:pPr>
    </w:p>
    <w:p w:rsidR="007F2C71" w:rsidRPr="007F2C71" w:rsidRDefault="007F2C71" w:rsidP="007F2C71">
      <w:pPr>
        <w:autoSpaceDE w:val="0"/>
        <w:autoSpaceDN w:val="0"/>
        <w:adjustRightInd w:val="0"/>
        <w:jc w:val="both"/>
        <w:rPr>
          <w:rFonts w:asciiTheme="majorBidi" w:hAnsiTheme="majorBidi" w:cstheme="majorBidi"/>
        </w:rPr>
      </w:pPr>
    </w:p>
    <w:p w:rsidR="007F2C71" w:rsidRPr="007938AC" w:rsidRDefault="007F2C71" w:rsidP="007F2C71">
      <w:pPr>
        <w:autoSpaceDE w:val="0"/>
        <w:autoSpaceDN w:val="0"/>
        <w:adjustRightInd w:val="0"/>
        <w:jc w:val="both"/>
        <w:rPr>
          <w:rFonts w:asciiTheme="majorBidi" w:hAnsiTheme="majorBidi" w:cstheme="majorBidi"/>
          <w:b/>
          <w:bCs/>
        </w:rPr>
      </w:pPr>
      <w:r w:rsidRPr="007938AC">
        <w:rPr>
          <w:rFonts w:asciiTheme="majorBidi" w:hAnsiTheme="majorBidi" w:cstheme="majorBidi"/>
          <w:b/>
          <w:bCs/>
          <w:u w:val="single"/>
        </w:rPr>
        <w:t>Scénario de référence</w:t>
      </w:r>
      <w:r w:rsidRPr="007938AC">
        <w:rPr>
          <w:rFonts w:asciiTheme="majorBidi" w:hAnsiTheme="majorBidi" w:cstheme="majorBidi"/>
          <w:b/>
          <w:bCs/>
        </w:rPr>
        <w:t> :</w:t>
      </w:r>
    </w:p>
    <w:p w:rsidR="007F2C71" w:rsidRPr="007F2C71" w:rsidRDefault="007F2C71" w:rsidP="007F2C71">
      <w:pPr>
        <w:autoSpaceDE w:val="0"/>
        <w:autoSpaceDN w:val="0"/>
        <w:adjustRightInd w:val="0"/>
        <w:jc w:val="both"/>
        <w:rPr>
          <w:rFonts w:asciiTheme="majorBidi" w:hAnsiTheme="majorBidi" w:cstheme="majorBidi"/>
        </w:rPr>
      </w:pPr>
    </w:p>
    <w:p w:rsidR="007F2C71" w:rsidRPr="007F2C71" w:rsidRDefault="007F2C71" w:rsidP="007F2C71">
      <w:pPr>
        <w:autoSpaceDE w:val="0"/>
        <w:autoSpaceDN w:val="0"/>
        <w:adjustRightInd w:val="0"/>
        <w:jc w:val="both"/>
        <w:rPr>
          <w:rFonts w:asciiTheme="majorBidi" w:hAnsiTheme="majorBidi" w:cstheme="majorBidi"/>
          <w:color w:val="000000"/>
        </w:rPr>
      </w:pPr>
      <w:r w:rsidRPr="007F2C71">
        <w:rPr>
          <w:rFonts w:asciiTheme="majorBidi" w:hAnsiTheme="majorBidi" w:cstheme="majorBidi"/>
          <w:color w:val="000000"/>
        </w:rPr>
        <w:t>Ce scénario prend en considération le coût global des investissements programmés dans le cadre des stratégies sectorielles annoncées, soit approximativement 300 milliards de DH durant la période 2011-2015 (avec une moyenne annuelle de 60 milliards de DH). Il intègre également les effets de la revalorisation des salaires dans le cadre du dialogue social sur les dépenses de fonctionnement.</w:t>
      </w:r>
    </w:p>
    <w:p w:rsidR="007F2C71" w:rsidRPr="007F2C71" w:rsidRDefault="007F2C71" w:rsidP="007F2C71">
      <w:pPr>
        <w:autoSpaceDE w:val="0"/>
        <w:autoSpaceDN w:val="0"/>
        <w:adjustRightInd w:val="0"/>
        <w:jc w:val="both"/>
        <w:rPr>
          <w:rFonts w:asciiTheme="majorBidi" w:hAnsiTheme="majorBidi" w:cstheme="majorBidi"/>
          <w:color w:val="000000"/>
        </w:rPr>
      </w:pPr>
    </w:p>
    <w:p w:rsidR="007F2C71" w:rsidRPr="007F2C71" w:rsidRDefault="007F2C71" w:rsidP="007F2C71">
      <w:pPr>
        <w:spacing w:line="340" w:lineRule="exact"/>
        <w:jc w:val="both"/>
        <w:rPr>
          <w:rFonts w:asciiTheme="majorBidi" w:hAnsiTheme="majorBidi" w:cstheme="majorBidi"/>
          <w:b/>
          <w:bCs/>
        </w:rPr>
      </w:pPr>
      <w:r w:rsidRPr="007F2C71">
        <w:rPr>
          <w:rFonts w:asciiTheme="majorBidi" w:hAnsiTheme="majorBidi" w:cstheme="majorBidi"/>
        </w:rPr>
        <w:t>Les autres hypothèses retenues supposent :</w:t>
      </w:r>
    </w:p>
    <w:p w:rsidR="007F2C71" w:rsidRPr="007F2C71" w:rsidRDefault="007F2C71" w:rsidP="007F2C71">
      <w:pPr>
        <w:spacing w:line="340" w:lineRule="exact"/>
        <w:jc w:val="both"/>
        <w:rPr>
          <w:rFonts w:asciiTheme="majorBidi" w:hAnsiTheme="majorBidi" w:cstheme="majorBidi"/>
          <w:b/>
          <w:bCs/>
        </w:rPr>
      </w:pPr>
    </w:p>
    <w:p w:rsidR="007F2C71" w:rsidRPr="007F2C71" w:rsidRDefault="001B2968" w:rsidP="001B2968">
      <w:pPr>
        <w:pStyle w:val="Paragraphedeliste"/>
        <w:numPr>
          <w:ilvl w:val="0"/>
          <w:numId w:val="38"/>
        </w:numPr>
        <w:spacing w:after="200" w:line="340" w:lineRule="exact"/>
        <w:jc w:val="both"/>
        <w:rPr>
          <w:rFonts w:asciiTheme="majorBidi" w:hAnsiTheme="majorBidi" w:cstheme="majorBidi"/>
          <w:b w:val="0"/>
          <w:bCs w:val="0"/>
        </w:rPr>
      </w:pPr>
      <w:r>
        <w:rPr>
          <w:rFonts w:asciiTheme="majorBidi" w:hAnsiTheme="majorBidi" w:cstheme="majorBidi"/>
          <w:b w:val="0"/>
          <w:bCs w:val="0"/>
        </w:rPr>
        <w:t>Le</w:t>
      </w:r>
      <w:r w:rsidR="007938AC">
        <w:rPr>
          <w:rFonts w:asciiTheme="majorBidi" w:hAnsiTheme="majorBidi" w:cstheme="majorBidi"/>
          <w:b w:val="0"/>
          <w:bCs w:val="0"/>
        </w:rPr>
        <w:t xml:space="preserve"> maintien des taux apparents de la fiscalité </w:t>
      </w:r>
      <w:r w:rsidR="007F2C71" w:rsidRPr="007F2C71">
        <w:rPr>
          <w:rFonts w:asciiTheme="majorBidi" w:hAnsiTheme="majorBidi" w:cstheme="majorBidi"/>
          <w:b w:val="0"/>
          <w:bCs w:val="0"/>
        </w:rPr>
        <w:t>par rapport au PIB ;</w:t>
      </w:r>
    </w:p>
    <w:p w:rsidR="007F2C71" w:rsidRPr="007F2C71" w:rsidRDefault="007F2C71" w:rsidP="007F2C71">
      <w:pPr>
        <w:pStyle w:val="Paragraphedeliste"/>
        <w:numPr>
          <w:ilvl w:val="0"/>
          <w:numId w:val="38"/>
        </w:numPr>
        <w:spacing w:after="200" w:line="340" w:lineRule="exact"/>
        <w:jc w:val="both"/>
        <w:rPr>
          <w:rFonts w:asciiTheme="majorBidi" w:hAnsiTheme="majorBidi" w:cstheme="majorBidi"/>
          <w:b w:val="0"/>
          <w:bCs w:val="0"/>
        </w:rPr>
      </w:pPr>
      <w:r w:rsidRPr="007F2C71">
        <w:rPr>
          <w:rFonts w:asciiTheme="majorBidi" w:hAnsiTheme="majorBidi" w:cstheme="majorBidi"/>
          <w:b w:val="0"/>
          <w:bCs w:val="0"/>
        </w:rPr>
        <w:t>Une légère baisse du rapport des droits de douane par rapport aux importations;</w:t>
      </w:r>
    </w:p>
    <w:p w:rsidR="007F2C71" w:rsidRPr="007F2C71" w:rsidRDefault="001B2968" w:rsidP="007F2C71">
      <w:pPr>
        <w:pStyle w:val="Paragraphedeliste"/>
        <w:numPr>
          <w:ilvl w:val="0"/>
          <w:numId w:val="38"/>
        </w:numPr>
        <w:spacing w:after="200" w:line="340" w:lineRule="exact"/>
        <w:jc w:val="both"/>
        <w:rPr>
          <w:rFonts w:asciiTheme="majorBidi" w:hAnsiTheme="majorBidi" w:cstheme="majorBidi"/>
          <w:b w:val="0"/>
          <w:bCs w:val="0"/>
        </w:rPr>
      </w:pPr>
      <w:r>
        <w:rPr>
          <w:rFonts w:asciiTheme="majorBidi" w:hAnsiTheme="majorBidi" w:cstheme="majorBidi"/>
          <w:b w:val="0"/>
          <w:bCs w:val="0"/>
        </w:rPr>
        <w:t>U</w:t>
      </w:r>
      <w:r w:rsidR="007F2C71" w:rsidRPr="007F2C71">
        <w:rPr>
          <w:rFonts w:asciiTheme="majorBidi" w:hAnsiTheme="majorBidi" w:cstheme="majorBidi"/>
          <w:b w:val="0"/>
          <w:bCs w:val="0"/>
        </w:rPr>
        <w:t>n ratio fixe entre les impôts indirects et autres recettes par rapport au PIB ;</w:t>
      </w:r>
    </w:p>
    <w:p w:rsidR="007F2C71" w:rsidRPr="007F2C71" w:rsidRDefault="007F2C71" w:rsidP="007F2C71">
      <w:pPr>
        <w:pStyle w:val="Paragraphedeliste"/>
        <w:numPr>
          <w:ilvl w:val="0"/>
          <w:numId w:val="38"/>
        </w:numPr>
        <w:spacing w:after="200" w:line="340" w:lineRule="exact"/>
        <w:jc w:val="both"/>
        <w:rPr>
          <w:rFonts w:asciiTheme="majorBidi" w:hAnsiTheme="majorBidi" w:cstheme="majorBidi"/>
          <w:b w:val="0"/>
          <w:bCs w:val="0"/>
        </w:rPr>
      </w:pPr>
      <w:r w:rsidRPr="007F2C71">
        <w:rPr>
          <w:rFonts w:asciiTheme="majorBidi" w:hAnsiTheme="majorBidi" w:cstheme="majorBidi"/>
          <w:b w:val="0"/>
          <w:bCs w:val="0"/>
        </w:rPr>
        <w:t>L’accroissent des dépenses de fonctionnement à leur rythme tendanciel  observé  entre 2005 et 2011 ;</w:t>
      </w:r>
    </w:p>
    <w:p w:rsidR="007F2C71" w:rsidRPr="007F2C71" w:rsidRDefault="007F2C71" w:rsidP="007F2C71">
      <w:pPr>
        <w:pStyle w:val="Paragraphedeliste"/>
        <w:keepNext/>
        <w:keepLines/>
        <w:numPr>
          <w:ilvl w:val="0"/>
          <w:numId w:val="38"/>
        </w:numPr>
        <w:spacing w:after="200" w:line="340" w:lineRule="exact"/>
        <w:jc w:val="both"/>
        <w:rPr>
          <w:rFonts w:asciiTheme="majorBidi" w:hAnsiTheme="majorBidi" w:cstheme="majorBidi"/>
          <w:b w:val="0"/>
          <w:bCs w:val="0"/>
        </w:rPr>
      </w:pPr>
      <w:r w:rsidRPr="007F2C71">
        <w:rPr>
          <w:rFonts w:asciiTheme="majorBidi" w:hAnsiTheme="majorBidi" w:cstheme="majorBidi"/>
          <w:b w:val="0"/>
          <w:bCs w:val="0"/>
        </w:rPr>
        <w:t>Les transferts reçus de l’extérieur (revenus des investissements et transferts) se maintiendraient à près de 7,5% du PIB en moyenne annuelle à l’horizon 2015.</w:t>
      </w:r>
    </w:p>
    <w:p w:rsidR="007F2C71" w:rsidRPr="007F2C71" w:rsidRDefault="007F2C71" w:rsidP="007F2C71">
      <w:pPr>
        <w:pStyle w:val="Paragraphedeliste"/>
        <w:keepNext/>
        <w:keepLines/>
        <w:numPr>
          <w:ilvl w:val="0"/>
          <w:numId w:val="38"/>
        </w:numPr>
        <w:spacing w:after="200" w:line="340" w:lineRule="exact"/>
        <w:jc w:val="both"/>
        <w:rPr>
          <w:rFonts w:asciiTheme="majorBidi" w:hAnsiTheme="majorBidi" w:cstheme="majorBidi"/>
          <w:b w:val="0"/>
          <w:bCs w:val="0"/>
        </w:rPr>
      </w:pPr>
      <w:r w:rsidRPr="007F2C71">
        <w:rPr>
          <w:rFonts w:asciiTheme="majorBidi" w:hAnsiTheme="majorBidi" w:cstheme="majorBidi"/>
          <w:b w:val="0"/>
          <w:bCs w:val="0"/>
        </w:rPr>
        <w:t xml:space="preserve">Le prix du pétrole est supposé être aux alentours d’une moyenne annuelle de 100$ le baril et les taux d’intérêts à l’échelle internationale ne connaitraient pas de changements significatifs. </w:t>
      </w:r>
    </w:p>
    <w:p w:rsidR="007F2C71" w:rsidRPr="007F2C71" w:rsidRDefault="007F2C71" w:rsidP="007F2C71">
      <w:pPr>
        <w:pStyle w:val="Paragraphedeliste"/>
        <w:keepNext/>
        <w:keepLines/>
        <w:numPr>
          <w:ilvl w:val="0"/>
          <w:numId w:val="38"/>
        </w:numPr>
        <w:spacing w:after="200" w:line="340" w:lineRule="exact"/>
        <w:jc w:val="both"/>
        <w:rPr>
          <w:rFonts w:asciiTheme="majorBidi" w:hAnsiTheme="majorBidi" w:cstheme="majorBidi"/>
          <w:b w:val="0"/>
          <w:bCs w:val="0"/>
        </w:rPr>
      </w:pPr>
      <w:r w:rsidRPr="007F2C71">
        <w:rPr>
          <w:rFonts w:asciiTheme="majorBidi" w:hAnsiTheme="majorBidi" w:cstheme="majorBidi"/>
          <w:b w:val="0"/>
          <w:bCs w:val="0"/>
        </w:rPr>
        <w:t>Les IDE représenteraient 3% du PIB ;</w:t>
      </w:r>
    </w:p>
    <w:p w:rsidR="007F2C71" w:rsidRPr="007F2C71" w:rsidRDefault="007F2C71" w:rsidP="007F2C71">
      <w:pPr>
        <w:autoSpaceDE w:val="0"/>
        <w:autoSpaceDN w:val="0"/>
        <w:adjustRightInd w:val="0"/>
        <w:jc w:val="both"/>
        <w:rPr>
          <w:rFonts w:asciiTheme="majorBidi" w:hAnsiTheme="majorBidi" w:cstheme="majorBidi"/>
          <w:b/>
          <w:bCs/>
        </w:rPr>
      </w:pPr>
    </w:p>
    <w:p w:rsidR="007F2C71" w:rsidRPr="007F2C71" w:rsidRDefault="007F2C71" w:rsidP="00E82533">
      <w:pPr>
        <w:autoSpaceDE w:val="0"/>
        <w:autoSpaceDN w:val="0"/>
        <w:adjustRightInd w:val="0"/>
        <w:jc w:val="both"/>
        <w:rPr>
          <w:rFonts w:asciiTheme="majorBidi" w:hAnsiTheme="majorBidi" w:cstheme="majorBidi"/>
          <w:b/>
          <w:bCs/>
        </w:rPr>
      </w:pPr>
      <w:r w:rsidRPr="007F2C71">
        <w:rPr>
          <w:rFonts w:asciiTheme="majorBidi" w:hAnsiTheme="majorBidi" w:cstheme="majorBidi"/>
        </w:rPr>
        <w:t xml:space="preserve">Dans ce cadre, la croissance économique prévisible serait de 5,5% </w:t>
      </w:r>
      <w:r w:rsidR="00E82533" w:rsidRPr="007F2C71">
        <w:rPr>
          <w:rFonts w:asciiTheme="majorBidi" w:hAnsiTheme="majorBidi" w:cstheme="majorBidi"/>
        </w:rPr>
        <w:t xml:space="preserve">en moyenne </w:t>
      </w:r>
      <w:r w:rsidR="00E82533">
        <w:rPr>
          <w:rFonts w:asciiTheme="majorBidi" w:hAnsiTheme="majorBidi" w:cstheme="majorBidi"/>
        </w:rPr>
        <w:t xml:space="preserve">annuelle </w:t>
      </w:r>
      <w:r w:rsidR="007938AC">
        <w:rPr>
          <w:rFonts w:asciiTheme="majorBidi" w:hAnsiTheme="majorBidi" w:cstheme="majorBidi"/>
        </w:rPr>
        <w:t>entre 2011 et 2015</w:t>
      </w:r>
      <w:r w:rsidRPr="007F2C71">
        <w:rPr>
          <w:rFonts w:asciiTheme="majorBidi" w:hAnsiTheme="majorBidi" w:cstheme="majorBidi"/>
        </w:rPr>
        <w:t xml:space="preserve">, au lieu de 4,8% </w:t>
      </w:r>
      <w:r w:rsidR="007938AC">
        <w:rPr>
          <w:rFonts w:asciiTheme="majorBidi" w:hAnsiTheme="majorBidi" w:cstheme="majorBidi"/>
        </w:rPr>
        <w:t>durant les cinq dernières années</w:t>
      </w:r>
      <w:r w:rsidRPr="007F2C71">
        <w:rPr>
          <w:rFonts w:asciiTheme="majorBidi" w:hAnsiTheme="majorBidi" w:cstheme="majorBidi"/>
        </w:rPr>
        <w:t xml:space="preserve">. En effet, le taux d’investissement devrait se situer à 36% du PIB en 2015. La consommation finale des ménages devrait continuer à s’inscrire dans son sentier ascendant, avec un rythme de croissance de 5,2% en moyenne annuelle, et celle des administrations publiques enregistrerait une croissance moyenne de 4,2% par an. </w:t>
      </w:r>
    </w:p>
    <w:p w:rsidR="007F2C71" w:rsidRPr="007F2C71" w:rsidRDefault="007F2C71" w:rsidP="007F2C71">
      <w:pPr>
        <w:autoSpaceDE w:val="0"/>
        <w:autoSpaceDN w:val="0"/>
        <w:adjustRightInd w:val="0"/>
        <w:jc w:val="both"/>
        <w:rPr>
          <w:rFonts w:asciiTheme="majorBidi" w:hAnsiTheme="majorBidi" w:cstheme="majorBidi"/>
          <w:b/>
          <w:bCs/>
        </w:rPr>
      </w:pPr>
    </w:p>
    <w:p w:rsidR="007F2C71" w:rsidRPr="007F2C71" w:rsidRDefault="007F2C71" w:rsidP="007F2C71">
      <w:pPr>
        <w:autoSpaceDE w:val="0"/>
        <w:autoSpaceDN w:val="0"/>
        <w:adjustRightInd w:val="0"/>
        <w:jc w:val="both"/>
        <w:rPr>
          <w:rFonts w:asciiTheme="majorBidi" w:hAnsiTheme="majorBidi" w:cstheme="majorBidi"/>
          <w:b/>
          <w:bCs/>
        </w:rPr>
      </w:pPr>
      <w:r w:rsidRPr="007F2C71">
        <w:rPr>
          <w:rFonts w:asciiTheme="majorBidi" w:hAnsiTheme="majorBidi" w:cstheme="majorBidi"/>
        </w:rPr>
        <w:t xml:space="preserve">Au niveau des échanges extérieurs, les importations des biens et services en volume, sous l’effet de la poursuite du dynamisme de la demande intérieure, s’accroîtraient de 5,6% en moyenne annuelle. Parallèlement, les exportations, en légère amélioration, enregistreraient  un taux de croissance de 5,7%. Malgré cette accélération du rythme de croissance des exportations par rapport aux importations, leurs termes d’échange seraient en détérioration et le déficit en ressources serait en conséquence de 14,2% du PIB en moyenne annuelle durant la période 2011-2015. </w:t>
      </w:r>
    </w:p>
    <w:p w:rsidR="007F2C71" w:rsidRPr="007F2C71" w:rsidRDefault="007F2C71" w:rsidP="007F2C71">
      <w:pPr>
        <w:autoSpaceDE w:val="0"/>
        <w:autoSpaceDN w:val="0"/>
        <w:adjustRightInd w:val="0"/>
        <w:jc w:val="both"/>
        <w:rPr>
          <w:rFonts w:asciiTheme="majorBidi" w:hAnsiTheme="majorBidi" w:cstheme="majorBidi"/>
          <w:b/>
          <w:bCs/>
        </w:rPr>
      </w:pPr>
    </w:p>
    <w:p w:rsidR="007F2C71" w:rsidRPr="007F2C71" w:rsidRDefault="007F2C71" w:rsidP="00E82533">
      <w:pPr>
        <w:autoSpaceDE w:val="0"/>
        <w:autoSpaceDN w:val="0"/>
        <w:adjustRightInd w:val="0"/>
        <w:jc w:val="both"/>
        <w:rPr>
          <w:rFonts w:asciiTheme="majorBidi" w:hAnsiTheme="majorBidi" w:cstheme="majorBidi"/>
          <w:b/>
          <w:bCs/>
        </w:rPr>
      </w:pPr>
      <w:r w:rsidRPr="007F2C71">
        <w:rPr>
          <w:rFonts w:asciiTheme="majorBidi" w:hAnsiTheme="majorBidi" w:cstheme="majorBidi"/>
        </w:rPr>
        <w:t xml:space="preserve">En ce qui concerne le financement de l’économie, l'augmentation des dépenses publiques (de fonctionnement et d’investissement), conjuguée à un ralentissement anticipé de l’amélioration des recettes fiscales, aggraverait davantage le déficit budgétaire. Celui-ci serait de l’ordre de 6,3% en 2015, soit l’équivalent de presque 70 milliards de DH au lieu de </w:t>
      </w:r>
      <w:r w:rsidR="00E82533">
        <w:rPr>
          <w:rFonts w:asciiTheme="majorBidi" w:hAnsiTheme="majorBidi" w:cstheme="majorBidi"/>
        </w:rPr>
        <w:t>50</w:t>
      </w:r>
      <w:r w:rsidRPr="007F2C71">
        <w:rPr>
          <w:rFonts w:asciiTheme="majorBidi" w:hAnsiTheme="majorBidi" w:cstheme="majorBidi"/>
        </w:rPr>
        <w:t xml:space="preserve"> milliards en 2011. Dans ces conditions, l’endettement public direct total s’accroitrait de prés de 7 points en pourcentage du PIB, pour atteindre près de 60% en 2015 (soit  un encours de la dette publique directe totale de près de 656 milliards de dirhams en 2015). </w:t>
      </w:r>
    </w:p>
    <w:p w:rsidR="007F2C71" w:rsidRPr="007F2C71" w:rsidRDefault="007F2C71" w:rsidP="007F2C71">
      <w:pPr>
        <w:autoSpaceDE w:val="0"/>
        <w:autoSpaceDN w:val="0"/>
        <w:adjustRightInd w:val="0"/>
        <w:jc w:val="both"/>
        <w:rPr>
          <w:rFonts w:asciiTheme="majorBidi" w:hAnsiTheme="majorBidi" w:cstheme="majorBidi"/>
          <w:b/>
          <w:bCs/>
        </w:rPr>
      </w:pPr>
    </w:p>
    <w:p w:rsidR="007F2C71" w:rsidRPr="007F2C71" w:rsidRDefault="007F2C71" w:rsidP="007F2C71">
      <w:pPr>
        <w:autoSpaceDE w:val="0"/>
        <w:autoSpaceDN w:val="0"/>
        <w:adjustRightInd w:val="0"/>
        <w:jc w:val="both"/>
        <w:rPr>
          <w:rFonts w:asciiTheme="majorBidi" w:hAnsiTheme="majorBidi" w:cstheme="majorBidi"/>
          <w:b/>
          <w:bCs/>
        </w:rPr>
      </w:pPr>
      <w:r w:rsidRPr="007F2C71">
        <w:rPr>
          <w:rFonts w:asciiTheme="majorBidi" w:hAnsiTheme="majorBidi" w:cstheme="majorBidi"/>
        </w:rPr>
        <w:t xml:space="preserve">Sur le registre des finances extérieures, le maintien des transferts à leur rythme tendanciel par rapport au PIB, face à une sortie de revenus des investissements nets en augmentation, ne permettrait pas de compenser l’accentuation du déficit en ressources. Le solde courant de la </w:t>
      </w:r>
      <w:r w:rsidRPr="007F2C71">
        <w:rPr>
          <w:rFonts w:asciiTheme="majorBidi" w:hAnsiTheme="majorBidi" w:cstheme="majorBidi"/>
        </w:rPr>
        <w:lastRenderedPageBreak/>
        <w:t>balance des paiements continuerait sa détérioration pour passer d’un déficit de 6,6% du PIB en 2011 à 8,5% en 2015. Pour couvrir ce déficit, et sur la base de l’hypothèse retenue pour les IDE d’un montant de 3% du PIB, le niveau de la dette extérieure atteindrait 37,1% du PIB en 2015. Cette évolution impacterait le niveau des réserves de change qui devraient représenter 3,8 mois d’importations de biens et services en 2015.</w:t>
      </w:r>
    </w:p>
    <w:p w:rsidR="007F2C71" w:rsidRPr="007F2C71" w:rsidRDefault="007F2C71" w:rsidP="007F2C71">
      <w:pPr>
        <w:autoSpaceDE w:val="0"/>
        <w:autoSpaceDN w:val="0"/>
        <w:adjustRightInd w:val="0"/>
        <w:jc w:val="both"/>
        <w:rPr>
          <w:rFonts w:asciiTheme="majorBidi" w:hAnsiTheme="majorBidi" w:cstheme="majorBidi"/>
          <w:b/>
          <w:bCs/>
        </w:rPr>
      </w:pPr>
    </w:p>
    <w:p w:rsidR="007F2C71" w:rsidRPr="00F1716C" w:rsidRDefault="007F2C71" w:rsidP="007F2C71">
      <w:pPr>
        <w:autoSpaceDE w:val="0"/>
        <w:autoSpaceDN w:val="0"/>
        <w:adjustRightInd w:val="0"/>
        <w:jc w:val="both"/>
        <w:rPr>
          <w:rFonts w:asciiTheme="majorBidi" w:hAnsiTheme="majorBidi" w:cstheme="majorBidi"/>
          <w:b/>
          <w:bCs/>
          <w:u w:val="single"/>
        </w:rPr>
      </w:pPr>
      <w:r w:rsidRPr="00F1716C">
        <w:rPr>
          <w:rFonts w:asciiTheme="majorBidi" w:hAnsiTheme="majorBidi" w:cstheme="majorBidi"/>
          <w:b/>
          <w:bCs/>
          <w:u w:val="single"/>
        </w:rPr>
        <w:t>Scénario sous contrainte d’un contexte international plus difficile</w:t>
      </w:r>
    </w:p>
    <w:p w:rsidR="007F2C71" w:rsidRPr="007F2C71" w:rsidRDefault="007F2C71" w:rsidP="007F2C71">
      <w:pPr>
        <w:autoSpaceDE w:val="0"/>
        <w:autoSpaceDN w:val="0"/>
        <w:adjustRightInd w:val="0"/>
        <w:jc w:val="both"/>
        <w:rPr>
          <w:rFonts w:asciiTheme="majorBidi" w:hAnsiTheme="majorBidi" w:cstheme="majorBidi"/>
        </w:rPr>
      </w:pPr>
    </w:p>
    <w:p w:rsidR="007F2C71" w:rsidRPr="007F2C71" w:rsidRDefault="007F2C71" w:rsidP="007F2C71">
      <w:pPr>
        <w:autoSpaceDE w:val="0"/>
        <w:autoSpaceDN w:val="0"/>
        <w:adjustRightInd w:val="0"/>
        <w:jc w:val="both"/>
        <w:rPr>
          <w:rFonts w:asciiTheme="majorBidi" w:hAnsiTheme="majorBidi" w:cstheme="majorBidi"/>
          <w:b/>
          <w:bCs/>
        </w:rPr>
      </w:pPr>
      <w:r w:rsidRPr="007F2C71">
        <w:rPr>
          <w:rFonts w:asciiTheme="majorBidi" w:hAnsiTheme="majorBidi" w:cstheme="majorBidi"/>
        </w:rPr>
        <w:t xml:space="preserve">La situation macroéconomique risque de s'aggraver davantage par rapport au scénario de référence si l’environnement international devenait plus contraignant pour l’économie marocaine. Nous prenons ici l’hypothèse où les cours du pétrole atteindraient 150 dollars/baril et où les taux d’intérêt sur le marché international reprendraient leur trajectoire ascendante pour se situer à près de 6%, sous l’effet de l’ampleur des dettes souveraines de pays importants de la Zone Euro et des incertitudes sur leur solvabilité. </w:t>
      </w:r>
    </w:p>
    <w:p w:rsidR="007F2C71" w:rsidRPr="007F2C71" w:rsidRDefault="007F2C71" w:rsidP="007F2C71">
      <w:pPr>
        <w:autoSpaceDE w:val="0"/>
        <w:autoSpaceDN w:val="0"/>
        <w:adjustRightInd w:val="0"/>
        <w:jc w:val="both"/>
        <w:rPr>
          <w:rFonts w:asciiTheme="majorBidi" w:hAnsiTheme="majorBidi" w:cstheme="majorBidi"/>
          <w:b/>
          <w:bCs/>
        </w:rPr>
      </w:pPr>
    </w:p>
    <w:p w:rsidR="007F2C71" w:rsidRPr="007F2C71" w:rsidRDefault="007F2C71" w:rsidP="007F2C71">
      <w:pPr>
        <w:autoSpaceDE w:val="0"/>
        <w:autoSpaceDN w:val="0"/>
        <w:adjustRightInd w:val="0"/>
        <w:jc w:val="both"/>
        <w:rPr>
          <w:rFonts w:asciiTheme="majorBidi" w:hAnsiTheme="majorBidi" w:cstheme="majorBidi"/>
          <w:b/>
          <w:bCs/>
        </w:rPr>
      </w:pPr>
      <w:r w:rsidRPr="007F2C71">
        <w:rPr>
          <w:rFonts w:asciiTheme="majorBidi" w:hAnsiTheme="majorBidi" w:cstheme="majorBidi"/>
        </w:rPr>
        <w:t>Dans ce scénario, le déficit budgétaire global risquerait d’atteindre un niveau insoutenable, de l’ordre de 8,9% du PIB en 2015, et le déficit du compte courant extérieur 10% du PIB. Ceci remettrait en cause la solvabilité des finances extérieures et affecterait l’attractivité du Maroc au niveau des marchés internationaux de capitaux.</w:t>
      </w:r>
    </w:p>
    <w:p w:rsidR="007F2C71" w:rsidRPr="007F2C71" w:rsidRDefault="007F2C71" w:rsidP="007F2C71">
      <w:pPr>
        <w:autoSpaceDE w:val="0"/>
        <w:autoSpaceDN w:val="0"/>
        <w:adjustRightInd w:val="0"/>
        <w:jc w:val="both"/>
        <w:rPr>
          <w:rFonts w:asciiTheme="majorBidi" w:hAnsiTheme="majorBidi" w:cstheme="majorBidi"/>
        </w:rPr>
      </w:pPr>
    </w:p>
    <w:p w:rsidR="007F2C71" w:rsidRPr="00F1716C" w:rsidRDefault="00F1716C" w:rsidP="007F2C71">
      <w:pPr>
        <w:autoSpaceDE w:val="0"/>
        <w:autoSpaceDN w:val="0"/>
        <w:adjustRightInd w:val="0"/>
        <w:jc w:val="both"/>
        <w:rPr>
          <w:rFonts w:asciiTheme="majorBidi" w:hAnsiTheme="majorBidi" w:cstheme="majorBidi"/>
          <w:b/>
          <w:bCs/>
          <w:u w:val="single"/>
        </w:rPr>
      </w:pPr>
      <w:r>
        <w:rPr>
          <w:rFonts w:asciiTheme="majorBidi" w:hAnsiTheme="majorBidi" w:cstheme="majorBidi"/>
          <w:b/>
          <w:bCs/>
          <w:u w:val="single"/>
        </w:rPr>
        <w:t>S</w:t>
      </w:r>
      <w:r w:rsidR="007F2C71" w:rsidRPr="00F1716C">
        <w:rPr>
          <w:rFonts w:asciiTheme="majorBidi" w:hAnsiTheme="majorBidi" w:cstheme="majorBidi"/>
          <w:b/>
          <w:bCs/>
          <w:u w:val="single"/>
        </w:rPr>
        <w:t>cénario de rééquilibrage</w:t>
      </w:r>
    </w:p>
    <w:p w:rsidR="007F2C71" w:rsidRPr="007F2C71" w:rsidRDefault="007F2C71" w:rsidP="007F2C71">
      <w:pPr>
        <w:autoSpaceDE w:val="0"/>
        <w:autoSpaceDN w:val="0"/>
        <w:adjustRightInd w:val="0"/>
        <w:jc w:val="both"/>
        <w:rPr>
          <w:rFonts w:asciiTheme="majorBidi" w:hAnsiTheme="majorBidi" w:cstheme="majorBidi"/>
        </w:rPr>
      </w:pPr>
    </w:p>
    <w:p w:rsidR="007F2C71" w:rsidRPr="007F2C71" w:rsidRDefault="007F2C71" w:rsidP="007F2C71">
      <w:pPr>
        <w:autoSpaceDE w:val="0"/>
        <w:autoSpaceDN w:val="0"/>
        <w:adjustRightInd w:val="0"/>
        <w:jc w:val="both"/>
        <w:rPr>
          <w:rFonts w:asciiTheme="majorBidi" w:hAnsiTheme="majorBidi" w:cstheme="majorBidi"/>
          <w:b/>
          <w:bCs/>
        </w:rPr>
      </w:pPr>
      <w:r w:rsidRPr="007F2C71">
        <w:rPr>
          <w:rFonts w:asciiTheme="majorBidi" w:hAnsiTheme="majorBidi" w:cstheme="majorBidi"/>
        </w:rPr>
        <w:t xml:space="preserve">Cette situation n’est pas fatale. Avec l’évolution que connait son paysage institutionnel et politique, le Maroc est d’autant plus armé pour approfondir les réformes de structure au plan économique et social afin d’assurer à sa croissance économique plus de force et de durabilité, tout en consolidant sa cohésion sociale. </w:t>
      </w:r>
    </w:p>
    <w:p w:rsidR="007F2C71" w:rsidRPr="007F2C71" w:rsidRDefault="007F2C71" w:rsidP="007F2C71">
      <w:pPr>
        <w:autoSpaceDE w:val="0"/>
        <w:autoSpaceDN w:val="0"/>
        <w:adjustRightInd w:val="0"/>
        <w:jc w:val="both"/>
        <w:rPr>
          <w:rFonts w:asciiTheme="majorBidi" w:hAnsiTheme="majorBidi" w:cstheme="majorBidi"/>
          <w:b/>
          <w:bCs/>
        </w:rPr>
      </w:pPr>
    </w:p>
    <w:p w:rsidR="007F2C71" w:rsidRPr="007F2C71" w:rsidRDefault="007F2C71" w:rsidP="007F2C71">
      <w:pPr>
        <w:autoSpaceDE w:val="0"/>
        <w:autoSpaceDN w:val="0"/>
        <w:adjustRightInd w:val="0"/>
        <w:jc w:val="both"/>
        <w:rPr>
          <w:rFonts w:asciiTheme="majorBidi" w:hAnsiTheme="majorBidi" w:cstheme="majorBidi"/>
          <w:b/>
          <w:bCs/>
        </w:rPr>
      </w:pPr>
      <w:r w:rsidRPr="007F2C71">
        <w:rPr>
          <w:rFonts w:asciiTheme="majorBidi" w:hAnsiTheme="majorBidi" w:cstheme="majorBidi"/>
        </w:rPr>
        <w:t xml:space="preserve">L’incitation à une plus grande contribution du secteur privé, notamment national, à la réalisation des grands chantiers programmés aux niveaux national, sectoriel et régional, aurait un double effet sur le budget de l’Etat, en termes d’allègement du poids des dépenses budgétaires et d’amélioration des recettes publiques.  </w:t>
      </w:r>
    </w:p>
    <w:p w:rsidR="007F2C71" w:rsidRPr="007F2C71" w:rsidRDefault="007F2C71" w:rsidP="007F2C71">
      <w:pPr>
        <w:autoSpaceDE w:val="0"/>
        <w:autoSpaceDN w:val="0"/>
        <w:adjustRightInd w:val="0"/>
        <w:jc w:val="both"/>
        <w:rPr>
          <w:rFonts w:asciiTheme="majorBidi" w:hAnsiTheme="majorBidi" w:cstheme="majorBidi"/>
          <w:b/>
          <w:bCs/>
        </w:rPr>
      </w:pPr>
    </w:p>
    <w:p w:rsidR="007F2C71" w:rsidRPr="007F2C71" w:rsidRDefault="007F2C71" w:rsidP="004A3161">
      <w:pPr>
        <w:autoSpaceDE w:val="0"/>
        <w:autoSpaceDN w:val="0"/>
        <w:adjustRightInd w:val="0"/>
        <w:jc w:val="both"/>
        <w:rPr>
          <w:rFonts w:asciiTheme="majorBidi" w:hAnsiTheme="majorBidi" w:cstheme="majorBidi"/>
          <w:b/>
          <w:bCs/>
        </w:rPr>
      </w:pPr>
      <w:r w:rsidRPr="007F2C71">
        <w:rPr>
          <w:rFonts w:asciiTheme="majorBidi" w:hAnsiTheme="majorBidi" w:cstheme="majorBidi"/>
        </w:rPr>
        <w:t xml:space="preserve">Selon nos travaux, cette évolution améliorerait la productivité totale des facteurs de près d’un point. Les exportations s’accroitraient de 6,5% par an au lieu de 5,7% dans le scénario de référence. Le taux d’investissement resterait aux alentours de 34,8% du PIB en moyenne durant la période 2011-2015, mais avec une meilleure contribution des investissements privés, notamment, les investissements directs étrangers qui atteindraient 5,1% du PIB </w:t>
      </w:r>
      <w:r w:rsidR="004A3161">
        <w:rPr>
          <w:rFonts w:asciiTheme="majorBidi" w:hAnsiTheme="majorBidi" w:cstheme="majorBidi"/>
        </w:rPr>
        <w:t>à l’horizon 2015</w:t>
      </w:r>
      <w:r w:rsidRPr="007F2C71">
        <w:rPr>
          <w:rFonts w:asciiTheme="majorBidi" w:hAnsiTheme="majorBidi" w:cstheme="majorBidi"/>
        </w:rPr>
        <w:t>.</w:t>
      </w:r>
    </w:p>
    <w:p w:rsidR="007F2C71" w:rsidRPr="007F2C71" w:rsidRDefault="007F2C71" w:rsidP="007F2C71">
      <w:pPr>
        <w:autoSpaceDE w:val="0"/>
        <w:autoSpaceDN w:val="0"/>
        <w:adjustRightInd w:val="0"/>
        <w:jc w:val="both"/>
        <w:rPr>
          <w:rFonts w:asciiTheme="majorBidi" w:hAnsiTheme="majorBidi" w:cstheme="majorBidi"/>
          <w:b/>
          <w:bCs/>
        </w:rPr>
      </w:pPr>
    </w:p>
    <w:p w:rsidR="007F2C71" w:rsidRPr="007F2C71" w:rsidRDefault="007F2C71" w:rsidP="007F2C71">
      <w:pPr>
        <w:autoSpaceDE w:val="0"/>
        <w:autoSpaceDN w:val="0"/>
        <w:adjustRightInd w:val="0"/>
        <w:jc w:val="both"/>
        <w:rPr>
          <w:rFonts w:asciiTheme="majorBidi" w:hAnsiTheme="majorBidi" w:cstheme="majorBidi"/>
          <w:b/>
          <w:bCs/>
        </w:rPr>
      </w:pPr>
      <w:r w:rsidRPr="007F2C71">
        <w:rPr>
          <w:rFonts w:asciiTheme="majorBidi" w:hAnsiTheme="majorBidi" w:cstheme="majorBidi"/>
        </w:rPr>
        <w:t>La  croissance économique serait ainsi d’environ 5,8% par an entre 2011 et 2015 au lieu de 5,5%. En outre, le déficit budgétaire et le déficit courant de la balance des paiements se situeraient respectivement à près de 3,7% et 4,2% du PIB en 2015.</w:t>
      </w:r>
    </w:p>
    <w:sectPr w:rsidR="007F2C71" w:rsidRPr="007F2C71" w:rsidSect="000D54D7">
      <w:footerReference w:type="even" r:id="rId8"/>
      <w:footerReference w:type="default" r:id="rId9"/>
      <w:headerReference w:type="first" r:id="rId10"/>
      <w:pgSz w:w="11906" w:h="16838" w:code="9"/>
      <w:pgMar w:top="719"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E0F" w:rsidRDefault="00EF5E0F">
      <w:r>
        <w:separator/>
      </w:r>
    </w:p>
  </w:endnote>
  <w:endnote w:type="continuationSeparator" w:id="0">
    <w:p w:rsidR="00EF5E0F" w:rsidRDefault="00EF5E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4A5" w:rsidRDefault="00410541" w:rsidP="00625996">
    <w:pPr>
      <w:pStyle w:val="Pieddepage"/>
      <w:framePr w:wrap="around" w:vAnchor="text" w:hAnchor="margin" w:xAlign="center" w:y="1"/>
      <w:rPr>
        <w:rStyle w:val="Numrodepage"/>
      </w:rPr>
    </w:pPr>
    <w:r>
      <w:rPr>
        <w:rStyle w:val="Numrodepage"/>
      </w:rPr>
      <w:fldChar w:fldCharType="begin"/>
    </w:r>
    <w:r w:rsidR="009C54A5">
      <w:rPr>
        <w:rStyle w:val="Numrodepage"/>
      </w:rPr>
      <w:instrText xml:space="preserve">PAGE  </w:instrText>
    </w:r>
    <w:r>
      <w:rPr>
        <w:rStyle w:val="Numrodepage"/>
      </w:rPr>
      <w:fldChar w:fldCharType="end"/>
    </w:r>
  </w:p>
  <w:p w:rsidR="009C54A5" w:rsidRDefault="009C54A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4A5" w:rsidRDefault="00410541" w:rsidP="00625996">
    <w:pPr>
      <w:pStyle w:val="Pieddepage"/>
      <w:framePr w:wrap="around" w:vAnchor="text" w:hAnchor="margin" w:xAlign="center" w:y="1"/>
      <w:rPr>
        <w:rStyle w:val="Numrodepage"/>
      </w:rPr>
    </w:pPr>
    <w:r>
      <w:rPr>
        <w:rStyle w:val="Numrodepage"/>
      </w:rPr>
      <w:fldChar w:fldCharType="begin"/>
    </w:r>
    <w:r w:rsidR="009C54A5">
      <w:rPr>
        <w:rStyle w:val="Numrodepage"/>
      </w:rPr>
      <w:instrText xml:space="preserve">PAGE  </w:instrText>
    </w:r>
    <w:r>
      <w:rPr>
        <w:rStyle w:val="Numrodepage"/>
      </w:rPr>
      <w:fldChar w:fldCharType="separate"/>
    </w:r>
    <w:r w:rsidR="006C5B2C">
      <w:rPr>
        <w:rStyle w:val="Numrodepage"/>
        <w:noProof/>
      </w:rPr>
      <w:t>2</w:t>
    </w:r>
    <w:r>
      <w:rPr>
        <w:rStyle w:val="Numrodepage"/>
      </w:rPr>
      <w:fldChar w:fldCharType="end"/>
    </w:r>
  </w:p>
  <w:p w:rsidR="009C54A5" w:rsidRDefault="009C54A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E0F" w:rsidRDefault="00EF5E0F">
      <w:r>
        <w:separator/>
      </w:r>
    </w:p>
  </w:footnote>
  <w:footnote w:type="continuationSeparator" w:id="0">
    <w:p w:rsidR="00EF5E0F" w:rsidRDefault="00EF5E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4A5" w:rsidRDefault="00410541">
    <w:pPr>
      <w:pStyle w:val="En-tte"/>
    </w:pPr>
    <w:r>
      <w:rPr>
        <w:noProof/>
      </w:rPr>
      <w:pict>
        <v:rect id="_x0000_s1025" style="position:absolute;margin-left:-124.9pt;margin-top:-44.45pt;width:685.25pt;height:405.75pt;z-index:251657728" o:preferrelative="t" filled="f" stroked="f" insetpen="t" o:cliptowrap="t">
          <v:imagedata r:id="rId1" o:title=""/>
          <v:path o:extrusionok="f"/>
          <o:lock v:ext="edit" aspectratio="t"/>
          <w10:wrap anchorx="page"/>
        </v:rect>
        <o:OLEObject Type="Embed" ProgID="PBrush" ShapeID="_x0000_s1025" DrawAspect="Content" ObjectID="_1390984718"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A656BFE"/>
    <w:multiLevelType w:val="multilevel"/>
    <w:tmpl w:val="5E742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A2158"/>
    <w:multiLevelType w:val="hybridMultilevel"/>
    <w:tmpl w:val="DE202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0A43A2"/>
    <w:multiLevelType w:val="hybridMultilevel"/>
    <w:tmpl w:val="DA00B198"/>
    <w:lvl w:ilvl="0" w:tplc="2A161D40">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CB90302"/>
    <w:multiLevelType w:val="multilevel"/>
    <w:tmpl w:val="2CFAE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nsid w:val="2E332839"/>
    <w:multiLevelType w:val="multilevel"/>
    <w:tmpl w:val="A8FC7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5FF0D82"/>
    <w:multiLevelType w:val="multilevel"/>
    <w:tmpl w:val="F0301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4C6F08B6"/>
    <w:multiLevelType w:val="multilevel"/>
    <w:tmpl w:val="B2DC2FDC"/>
    <w:lvl w:ilvl="0">
      <w:start w:val="1"/>
      <w:numFmt w:val="bullet"/>
      <w:lvlText w:val=""/>
      <w:lvlJc w:val="left"/>
      <w:pPr>
        <w:tabs>
          <w:tab w:val="num" w:pos="-1056"/>
        </w:tabs>
        <w:ind w:left="-1056" w:hanging="360"/>
      </w:pPr>
      <w:rPr>
        <w:rFonts w:ascii="Wingdings" w:hAnsi="Wingdings" w:hint="default"/>
        <w:sz w:val="20"/>
      </w:rPr>
    </w:lvl>
    <w:lvl w:ilvl="1" w:tentative="1">
      <w:start w:val="1"/>
      <w:numFmt w:val="bullet"/>
      <w:lvlText w:val=""/>
      <w:lvlJc w:val="left"/>
      <w:pPr>
        <w:tabs>
          <w:tab w:val="num" w:pos="-336"/>
        </w:tabs>
        <w:ind w:left="-336" w:hanging="360"/>
      </w:pPr>
      <w:rPr>
        <w:rFonts w:ascii="Wingdings" w:hAnsi="Wingdings" w:hint="default"/>
        <w:sz w:val="20"/>
      </w:rPr>
    </w:lvl>
    <w:lvl w:ilvl="2" w:tentative="1">
      <w:start w:val="1"/>
      <w:numFmt w:val="bullet"/>
      <w:lvlText w:val=""/>
      <w:lvlJc w:val="left"/>
      <w:pPr>
        <w:tabs>
          <w:tab w:val="num" w:pos="384"/>
        </w:tabs>
        <w:ind w:left="384" w:hanging="360"/>
      </w:pPr>
      <w:rPr>
        <w:rFonts w:ascii="Wingdings" w:hAnsi="Wingdings" w:hint="default"/>
        <w:sz w:val="20"/>
      </w:rPr>
    </w:lvl>
    <w:lvl w:ilvl="3" w:tentative="1">
      <w:start w:val="1"/>
      <w:numFmt w:val="bullet"/>
      <w:lvlText w:val=""/>
      <w:lvlJc w:val="left"/>
      <w:pPr>
        <w:tabs>
          <w:tab w:val="num" w:pos="1104"/>
        </w:tabs>
        <w:ind w:left="1104" w:hanging="360"/>
      </w:pPr>
      <w:rPr>
        <w:rFonts w:ascii="Wingdings" w:hAnsi="Wingdings" w:hint="default"/>
        <w:sz w:val="20"/>
      </w:rPr>
    </w:lvl>
    <w:lvl w:ilvl="4" w:tentative="1">
      <w:start w:val="1"/>
      <w:numFmt w:val="bullet"/>
      <w:lvlText w:val=""/>
      <w:lvlJc w:val="left"/>
      <w:pPr>
        <w:tabs>
          <w:tab w:val="num" w:pos="1824"/>
        </w:tabs>
        <w:ind w:left="1824" w:hanging="360"/>
      </w:pPr>
      <w:rPr>
        <w:rFonts w:ascii="Wingdings" w:hAnsi="Wingdings" w:hint="default"/>
        <w:sz w:val="20"/>
      </w:rPr>
    </w:lvl>
    <w:lvl w:ilvl="5" w:tentative="1">
      <w:start w:val="1"/>
      <w:numFmt w:val="bullet"/>
      <w:lvlText w:val=""/>
      <w:lvlJc w:val="left"/>
      <w:pPr>
        <w:tabs>
          <w:tab w:val="num" w:pos="2544"/>
        </w:tabs>
        <w:ind w:left="2544" w:hanging="360"/>
      </w:pPr>
      <w:rPr>
        <w:rFonts w:ascii="Wingdings" w:hAnsi="Wingdings" w:hint="default"/>
        <w:sz w:val="20"/>
      </w:rPr>
    </w:lvl>
    <w:lvl w:ilvl="6" w:tentative="1">
      <w:start w:val="1"/>
      <w:numFmt w:val="bullet"/>
      <w:lvlText w:val=""/>
      <w:lvlJc w:val="left"/>
      <w:pPr>
        <w:tabs>
          <w:tab w:val="num" w:pos="3264"/>
        </w:tabs>
        <w:ind w:left="3264" w:hanging="360"/>
      </w:pPr>
      <w:rPr>
        <w:rFonts w:ascii="Wingdings" w:hAnsi="Wingdings" w:hint="default"/>
        <w:sz w:val="20"/>
      </w:rPr>
    </w:lvl>
    <w:lvl w:ilvl="7" w:tentative="1">
      <w:start w:val="1"/>
      <w:numFmt w:val="bullet"/>
      <w:lvlText w:val=""/>
      <w:lvlJc w:val="left"/>
      <w:pPr>
        <w:tabs>
          <w:tab w:val="num" w:pos="3984"/>
        </w:tabs>
        <w:ind w:left="3984" w:hanging="360"/>
      </w:pPr>
      <w:rPr>
        <w:rFonts w:ascii="Wingdings" w:hAnsi="Wingdings" w:hint="default"/>
        <w:sz w:val="20"/>
      </w:rPr>
    </w:lvl>
    <w:lvl w:ilvl="8" w:tentative="1">
      <w:start w:val="1"/>
      <w:numFmt w:val="bullet"/>
      <w:lvlText w:val=""/>
      <w:lvlJc w:val="left"/>
      <w:pPr>
        <w:tabs>
          <w:tab w:val="num" w:pos="4704"/>
        </w:tabs>
        <w:ind w:left="4704" w:hanging="360"/>
      </w:pPr>
      <w:rPr>
        <w:rFonts w:ascii="Wingdings" w:hAnsi="Wingdings" w:hint="default"/>
        <w:sz w:val="20"/>
      </w:rPr>
    </w:lvl>
  </w:abstractNum>
  <w:abstractNum w:abstractNumId="20">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nsid w:val="50B85FCB"/>
    <w:multiLevelType w:val="multilevel"/>
    <w:tmpl w:val="76201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D7FAA"/>
    <w:multiLevelType w:val="hybridMultilevel"/>
    <w:tmpl w:val="0436FF6A"/>
    <w:lvl w:ilvl="0" w:tplc="2A161D4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1FC048B"/>
    <w:multiLevelType w:val="hybridMultilevel"/>
    <w:tmpl w:val="CF8CB9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52F94E9E"/>
    <w:multiLevelType w:val="multilevel"/>
    <w:tmpl w:val="B5F2A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1643C9"/>
    <w:multiLevelType w:val="hybridMultilevel"/>
    <w:tmpl w:val="2424F932"/>
    <w:lvl w:ilvl="0" w:tplc="AA4A8CFC">
      <w:start w:val="1"/>
      <w:numFmt w:val="decimal"/>
      <w:lvlText w:val="%1-"/>
      <w:lvlJc w:val="left"/>
      <w:pPr>
        <w:tabs>
          <w:tab w:val="num" w:pos="720"/>
        </w:tabs>
        <w:ind w:left="720" w:hanging="360"/>
      </w:pPr>
      <w:rPr>
        <w:rFonts w:hint="default"/>
      </w:rPr>
    </w:lvl>
    <w:lvl w:ilvl="1" w:tplc="983EEB62">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1C6679"/>
    <w:multiLevelType w:val="hybridMultilevel"/>
    <w:tmpl w:val="0298B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2">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34">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5">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6">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762E1AB1"/>
    <w:multiLevelType w:val="hybridMultilevel"/>
    <w:tmpl w:val="4BC8C08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4"/>
  </w:num>
  <w:num w:numId="3">
    <w:abstractNumId w:val="12"/>
  </w:num>
  <w:num w:numId="4">
    <w:abstractNumId w:val="0"/>
  </w:num>
  <w:num w:numId="5">
    <w:abstractNumId w:val="38"/>
  </w:num>
  <w:num w:numId="6">
    <w:abstractNumId w:val="5"/>
  </w:num>
  <w:num w:numId="7">
    <w:abstractNumId w:val="33"/>
  </w:num>
  <w:num w:numId="8">
    <w:abstractNumId w:val="36"/>
  </w:num>
  <w:num w:numId="9">
    <w:abstractNumId w:val="14"/>
  </w:num>
  <w:num w:numId="10">
    <w:abstractNumId w:val="32"/>
  </w:num>
  <w:num w:numId="11">
    <w:abstractNumId w:val="35"/>
  </w:num>
  <w:num w:numId="12">
    <w:abstractNumId w:val="1"/>
  </w:num>
  <w:num w:numId="13">
    <w:abstractNumId w:val="6"/>
  </w:num>
  <w:num w:numId="14">
    <w:abstractNumId w:val="31"/>
  </w:num>
  <w:num w:numId="15">
    <w:abstractNumId w:val="22"/>
  </w:num>
  <w:num w:numId="16">
    <w:abstractNumId w:val="7"/>
  </w:num>
  <w:num w:numId="17">
    <w:abstractNumId w:val="29"/>
  </w:num>
  <w:num w:numId="18">
    <w:abstractNumId w:val="20"/>
  </w:num>
  <w:num w:numId="19">
    <w:abstractNumId w:val="13"/>
  </w:num>
  <w:num w:numId="20">
    <w:abstractNumId w:val="26"/>
  </w:num>
  <w:num w:numId="21">
    <w:abstractNumId w:val="17"/>
  </w:num>
  <w:num w:numId="22">
    <w:abstractNumId w:val="9"/>
  </w:num>
  <w:num w:numId="23">
    <w:abstractNumId w:val="11"/>
  </w:num>
  <w:num w:numId="24">
    <w:abstractNumId w:val="21"/>
  </w:num>
  <w:num w:numId="25">
    <w:abstractNumId w:val="15"/>
  </w:num>
  <w:num w:numId="26">
    <w:abstractNumId w:val="24"/>
  </w:num>
  <w:num w:numId="27">
    <w:abstractNumId w:val="4"/>
  </w:num>
  <w:num w:numId="28">
    <w:abstractNumId w:val="28"/>
  </w:num>
  <w:num w:numId="29">
    <w:abstractNumId w:val="19"/>
  </w:num>
  <w:num w:numId="30">
    <w:abstractNumId w:val="8"/>
  </w:num>
  <w:num w:numId="31">
    <w:abstractNumId w:val="2"/>
  </w:num>
  <w:num w:numId="32">
    <w:abstractNumId w:val="16"/>
  </w:num>
  <w:num w:numId="33">
    <w:abstractNumId w:val="10"/>
  </w:num>
  <w:num w:numId="34">
    <w:abstractNumId w:val="23"/>
  </w:num>
  <w:num w:numId="35">
    <w:abstractNumId w:val="27"/>
  </w:num>
  <w:num w:numId="36">
    <w:abstractNumId w:val="37"/>
  </w:num>
  <w:num w:numId="37">
    <w:abstractNumId w:val="30"/>
  </w:num>
  <w:num w:numId="38">
    <w:abstractNumId w:val="3"/>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605B3C"/>
    <w:rsid w:val="0000051A"/>
    <w:rsid w:val="00003817"/>
    <w:rsid w:val="00003D85"/>
    <w:rsid w:val="00010D0C"/>
    <w:rsid w:val="000159F8"/>
    <w:rsid w:val="00017F2E"/>
    <w:rsid w:val="000213EE"/>
    <w:rsid w:val="000247CD"/>
    <w:rsid w:val="00032ACC"/>
    <w:rsid w:val="000423A8"/>
    <w:rsid w:val="00043526"/>
    <w:rsid w:val="00045358"/>
    <w:rsid w:val="0004656B"/>
    <w:rsid w:val="00050BA0"/>
    <w:rsid w:val="000513BD"/>
    <w:rsid w:val="00056625"/>
    <w:rsid w:val="0006446E"/>
    <w:rsid w:val="0006498B"/>
    <w:rsid w:val="0006634A"/>
    <w:rsid w:val="00066A76"/>
    <w:rsid w:val="00067921"/>
    <w:rsid w:val="00074D1E"/>
    <w:rsid w:val="000841F8"/>
    <w:rsid w:val="00086CD4"/>
    <w:rsid w:val="00093A0B"/>
    <w:rsid w:val="00095CBB"/>
    <w:rsid w:val="000966B7"/>
    <w:rsid w:val="00097BCD"/>
    <w:rsid w:val="000A4885"/>
    <w:rsid w:val="000B03DB"/>
    <w:rsid w:val="000B597C"/>
    <w:rsid w:val="000B5DD7"/>
    <w:rsid w:val="000B7C6C"/>
    <w:rsid w:val="000C2F9B"/>
    <w:rsid w:val="000C347A"/>
    <w:rsid w:val="000D44B0"/>
    <w:rsid w:val="000D547E"/>
    <w:rsid w:val="000D54D7"/>
    <w:rsid w:val="000E6E48"/>
    <w:rsid w:val="000F107C"/>
    <w:rsid w:val="000F2DDF"/>
    <w:rsid w:val="000F3F6A"/>
    <w:rsid w:val="000F4384"/>
    <w:rsid w:val="000F4A3D"/>
    <w:rsid w:val="0010162E"/>
    <w:rsid w:val="001025D0"/>
    <w:rsid w:val="0010301E"/>
    <w:rsid w:val="00106FD5"/>
    <w:rsid w:val="00111343"/>
    <w:rsid w:val="00122C93"/>
    <w:rsid w:val="00123057"/>
    <w:rsid w:val="0012635A"/>
    <w:rsid w:val="00130C6C"/>
    <w:rsid w:val="00132EE1"/>
    <w:rsid w:val="00136F2D"/>
    <w:rsid w:val="0014087B"/>
    <w:rsid w:val="001445B7"/>
    <w:rsid w:val="0014549D"/>
    <w:rsid w:val="001500E1"/>
    <w:rsid w:val="00150E8C"/>
    <w:rsid w:val="00151627"/>
    <w:rsid w:val="00160078"/>
    <w:rsid w:val="00162937"/>
    <w:rsid w:val="00166D06"/>
    <w:rsid w:val="00170A7D"/>
    <w:rsid w:val="00170CD9"/>
    <w:rsid w:val="00170CEB"/>
    <w:rsid w:val="0017254F"/>
    <w:rsid w:val="00172D73"/>
    <w:rsid w:val="001849FC"/>
    <w:rsid w:val="00190151"/>
    <w:rsid w:val="00195ADF"/>
    <w:rsid w:val="001971CE"/>
    <w:rsid w:val="0019774F"/>
    <w:rsid w:val="001A4A8B"/>
    <w:rsid w:val="001B2968"/>
    <w:rsid w:val="001C00A6"/>
    <w:rsid w:val="001C1BEC"/>
    <w:rsid w:val="001C6898"/>
    <w:rsid w:val="001D066D"/>
    <w:rsid w:val="001D099D"/>
    <w:rsid w:val="001D15BF"/>
    <w:rsid w:val="001D2068"/>
    <w:rsid w:val="001D4286"/>
    <w:rsid w:val="001D531A"/>
    <w:rsid w:val="001F04A9"/>
    <w:rsid w:val="001F2E40"/>
    <w:rsid w:val="001F308F"/>
    <w:rsid w:val="001F5104"/>
    <w:rsid w:val="001F58E8"/>
    <w:rsid w:val="00203CC4"/>
    <w:rsid w:val="002106AB"/>
    <w:rsid w:val="002155D4"/>
    <w:rsid w:val="002168A4"/>
    <w:rsid w:val="0022029C"/>
    <w:rsid w:val="00220E50"/>
    <w:rsid w:val="002238E0"/>
    <w:rsid w:val="00226A4B"/>
    <w:rsid w:val="0023094A"/>
    <w:rsid w:val="00233297"/>
    <w:rsid w:val="0023382A"/>
    <w:rsid w:val="00235223"/>
    <w:rsid w:val="00245D05"/>
    <w:rsid w:val="00247971"/>
    <w:rsid w:val="002514E2"/>
    <w:rsid w:val="002523B0"/>
    <w:rsid w:val="002534C1"/>
    <w:rsid w:val="0025569E"/>
    <w:rsid w:val="00260C53"/>
    <w:rsid w:val="00262E69"/>
    <w:rsid w:val="0026335D"/>
    <w:rsid w:val="002634DA"/>
    <w:rsid w:val="00263AC6"/>
    <w:rsid w:val="00266390"/>
    <w:rsid w:val="00266D5C"/>
    <w:rsid w:val="002943A8"/>
    <w:rsid w:val="00296310"/>
    <w:rsid w:val="002A6A34"/>
    <w:rsid w:val="002B167D"/>
    <w:rsid w:val="002B4C8E"/>
    <w:rsid w:val="002B62FC"/>
    <w:rsid w:val="002C0AB2"/>
    <w:rsid w:val="002C1E7C"/>
    <w:rsid w:val="002C33A8"/>
    <w:rsid w:val="002C788B"/>
    <w:rsid w:val="002D31F5"/>
    <w:rsid w:val="002E07C3"/>
    <w:rsid w:val="002E28FA"/>
    <w:rsid w:val="002E43C3"/>
    <w:rsid w:val="002E66AC"/>
    <w:rsid w:val="002E7C89"/>
    <w:rsid w:val="002F35B6"/>
    <w:rsid w:val="002F5389"/>
    <w:rsid w:val="003020EC"/>
    <w:rsid w:val="003037E3"/>
    <w:rsid w:val="00303FDA"/>
    <w:rsid w:val="00306A05"/>
    <w:rsid w:val="00306B6C"/>
    <w:rsid w:val="00311243"/>
    <w:rsid w:val="00311B31"/>
    <w:rsid w:val="00317E4B"/>
    <w:rsid w:val="0032164F"/>
    <w:rsid w:val="00322C6F"/>
    <w:rsid w:val="00327B0F"/>
    <w:rsid w:val="003320D4"/>
    <w:rsid w:val="00340FF7"/>
    <w:rsid w:val="0034462C"/>
    <w:rsid w:val="003453F6"/>
    <w:rsid w:val="00357A78"/>
    <w:rsid w:val="00364AEB"/>
    <w:rsid w:val="00367161"/>
    <w:rsid w:val="00380606"/>
    <w:rsid w:val="00385557"/>
    <w:rsid w:val="003901B4"/>
    <w:rsid w:val="00395967"/>
    <w:rsid w:val="00397118"/>
    <w:rsid w:val="003A130A"/>
    <w:rsid w:val="003A1A34"/>
    <w:rsid w:val="003A1F5D"/>
    <w:rsid w:val="003A784E"/>
    <w:rsid w:val="003B259C"/>
    <w:rsid w:val="003B6FC8"/>
    <w:rsid w:val="003C00A6"/>
    <w:rsid w:val="003C172B"/>
    <w:rsid w:val="003C4982"/>
    <w:rsid w:val="003D0A43"/>
    <w:rsid w:val="003D2182"/>
    <w:rsid w:val="003D635D"/>
    <w:rsid w:val="003F567C"/>
    <w:rsid w:val="004024AF"/>
    <w:rsid w:val="00410541"/>
    <w:rsid w:val="00416445"/>
    <w:rsid w:val="00416721"/>
    <w:rsid w:val="004173B7"/>
    <w:rsid w:val="00417FF1"/>
    <w:rsid w:val="004211EA"/>
    <w:rsid w:val="00421CAC"/>
    <w:rsid w:val="0043234A"/>
    <w:rsid w:val="00433647"/>
    <w:rsid w:val="00433E9C"/>
    <w:rsid w:val="004365A8"/>
    <w:rsid w:val="004430AF"/>
    <w:rsid w:val="00444079"/>
    <w:rsid w:val="004441EC"/>
    <w:rsid w:val="004465E0"/>
    <w:rsid w:val="00446DF1"/>
    <w:rsid w:val="00450351"/>
    <w:rsid w:val="004517ED"/>
    <w:rsid w:val="00453975"/>
    <w:rsid w:val="00455B78"/>
    <w:rsid w:val="00461882"/>
    <w:rsid w:val="00470E30"/>
    <w:rsid w:val="00471B41"/>
    <w:rsid w:val="00481975"/>
    <w:rsid w:val="00492080"/>
    <w:rsid w:val="004935D4"/>
    <w:rsid w:val="00494F1C"/>
    <w:rsid w:val="00497CDD"/>
    <w:rsid w:val="004A0C05"/>
    <w:rsid w:val="004A3161"/>
    <w:rsid w:val="004A6D23"/>
    <w:rsid w:val="004B4FD1"/>
    <w:rsid w:val="004C3412"/>
    <w:rsid w:val="004C38F8"/>
    <w:rsid w:val="004C3EC7"/>
    <w:rsid w:val="004D13E1"/>
    <w:rsid w:val="004D6142"/>
    <w:rsid w:val="004E14F9"/>
    <w:rsid w:val="004E79FD"/>
    <w:rsid w:val="005033C0"/>
    <w:rsid w:val="0050572E"/>
    <w:rsid w:val="005109B8"/>
    <w:rsid w:val="00511CDE"/>
    <w:rsid w:val="00511E80"/>
    <w:rsid w:val="005146C5"/>
    <w:rsid w:val="00515CC4"/>
    <w:rsid w:val="005256D2"/>
    <w:rsid w:val="00526207"/>
    <w:rsid w:val="005267E0"/>
    <w:rsid w:val="00532FDE"/>
    <w:rsid w:val="00533BDC"/>
    <w:rsid w:val="00535CE6"/>
    <w:rsid w:val="00562724"/>
    <w:rsid w:val="005747A1"/>
    <w:rsid w:val="0058351E"/>
    <w:rsid w:val="0059458F"/>
    <w:rsid w:val="005962C0"/>
    <w:rsid w:val="0059635E"/>
    <w:rsid w:val="0059773B"/>
    <w:rsid w:val="005A19E2"/>
    <w:rsid w:val="005A2759"/>
    <w:rsid w:val="005A3EA4"/>
    <w:rsid w:val="005A4314"/>
    <w:rsid w:val="005A500A"/>
    <w:rsid w:val="005B2C81"/>
    <w:rsid w:val="005B3B7E"/>
    <w:rsid w:val="005B4D2C"/>
    <w:rsid w:val="005B51D3"/>
    <w:rsid w:val="005C1191"/>
    <w:rsid w:val="005C179C"/>
    <w:rsid w:val="005C291E"/>
    <w:rsid w:val="005C6F87"/>
    <w:rsid w:val="005D25DA"/>
    <w:rsid w:val="005D59BA"/>
    <w:rsid w:val="005E0512"/>
    <w:rsid w:val="005E47B3"/>
    <w:rsid w:val="005E6F98"/>
    <w:rsid w:val="005F0A3A"/>
    <w:rsid w:val="005F73D1"/>
    <w:rsid w:val="006004A5"/>
    <w:rsid w:val="00601499"/>
    <w:rsid w:val="00605B3C"/>
    <w:rsid w:val="006125F0"/>
    <w:rsid w:val="006132AD"/>
    <w:rsid w:val="006137CA"/>
    <w:rsid w:val="00620C56"/>
    <w:rsid w:val="00623BA3"/>
    <w:rsid w:val="00625996"/>
    <w:rsid w:val="00630DF9"/>
    <w:rsid w:val="00636154"/>
    <w:rsid w:val="0063629A"/>
    <w:rsid w:val="00640BBA"/>
    <w:rsid w:val="00644796"/>
    <w:rsid w:val="00653026"/>
    <w:rsid w:val="00662FF1"/>
    <w:rsid w:val="00666146"/>
    <w:rsid w:val="006755C4"/>
    <w:rsid w:val="006762DD"/>
    <w:rsid w:val="006773E3"/>
    <w:rsid w:val="006774EB"/>
    <w:rsid w:val="00684328"/>
    <w:rsid w:val="00686A0B"/>
    <w:rsid w:val="00687A1C"/>
    <w:rsid w:val="00691B1D"/>
    <w:rsid w:val="00691F6C"/>
    <w:rsid w:val="006A6E1C"/>
    <w:rsid w:val="006A6EEE"/>
    <w:rsid w:val="006A79B7"/>
    <w:rsid w:val="006B080D"/>
    <w:rsid w:val="006B0F37"/>
    <w:rsid w:val="006B3067"/>
    <w:rsid w:val="006B4252"/>
    <w:rsid w:val="006B469E"/>
    <w:rsid w:val="006C48F6"/>
    <w:rsid w:val="006C5B2C"/>
    <w:rsid w:val="006C71B9"/>
    <w:rsid w:val="006D1B71"/>
    <w:rsid w:val="006D1E9C"/>
    <w:rsid w:val="006D4775"/>
    <w:rsid w:val="006E4266"/>
    <w:rsid w:val="006F0431"/>
    <w:rsid w:val="006F094F"/>
    <w:rsid w:val="006F7223"/>
    <w:rsid w:val="00701B64"/>
    <w:rsid w:val="00707175"/>
    <w:rsid w:val="00707FCE"/>
    <w:rsid w:val="00710A57"/>
    <w:rsid w:val="007151FD"/>
    <w:rsid w:val="00716DA5"/>
    <w:rsid w:val="00717C81"/>
    <w:rsid w:val="00721295"/>
    <w:rsid w:val="007250CB"/>
    <w:rsid w:val="0073425D"/>
    <w:rsid w:val="007375FD"/>
    <w:rsid w:val="007429BC"/>
    <w:rsid w:val="00745843"/>
    <w:rsid w:val="00746BC8"/>
    <w:rsid w:val="00752F9A"/>
    <w:rsid w:val="00754A33"/>
    <w:rsid w:val="007556D2"/>
    <w:rsid w:val="0075759E"/>
    <w:rsid w:val="0076154C"/>
    <w:rsid w:val="00761769"/>
    <w:rsid w:val="007624D6"/>
    <w:rsid w:val="00777B26"/>
    <w:rsid w:val="007846CA"/>
    <w:rsid w:val="007849B9"/>
    <w:rsid w:val="0078702E"/>
    <w:rsid w:val="007938AC"/>
    <w:rsid w:val="00795214"/>
    <w:rsid w:val="007971CA"/>
    <w:rsid w:val="007A0666"/>
    <w:rsid w:val="007A0D68"/>
    <w:rsid w:val="007A10A1"/>
    <w:rsid w:val="007A3A88"/>
    <w:rsid w:val="007A635F"/>
    <w:rsid w:val="007A70E2"/>
    <w:rsid w:val="007B07D4"/>
    <w:rsid w:val="007B0B61"/>
    <w:rsid w:val="007B3624"/>
    <w:rsid w:val="007B43F3"/>
    <w:rsid w:val="007C052F"/>
    <w:rsid w:val="007C1820"/>
    <w:rsid w:val="007C2117"/>
    <w:rsid w:val="007C5509"/>
    <w:rsid w:val="007C5F86"/>
    <w:rsid w:val="007D222B"/>
    <w:rsid w:val="007D499E"/>
    <w:rsid w:val="007D6AE6"/>
    <w:rsid w:val="007E16B1"/>
    <w:rsid w:val="007F29A4"/>
    <w:rsid w:val="007F2C71"/>
    <w:rsid w:val="007F46C6"/>
    <w:rsid w:val="007F53C1"/>
    <w:rsid w:val="007F5EDC"/>
    <w:rsid w:val="007F612D"/>
    <w:rsid w:val="0080012D"/>
    <w:rsid w:val="00816998"/>
    <w:rsid w:val="0082194D"/>
    <w:rsid w:val="0082397C"/>
    <w:rsid w:val="0082607C"/>
    <w:rsid w:val="00830A41"/>
    <w:rsid w:val="0083353F"/>
    <w:rsid w:val="00836803"/>
    <w:rsid w:val="00837454"/>
    <w:rsid w:val="008504F3"/>
    <w:rsid w:val="00851157"/>
    <w:rsid w:val="008534E3"/>
    <w:rsid w:val="00853C38"/>
    <w:rsid w:val="00854882"/>
    <w:rsid w:val="00856141"/>
    <w:rsid w:val="00856AE6"/>
    <w:rsid w:val="008625CE"/>
    <w:rsid w:val="0086426C"/>
    <w:rsid w:val="008718EB"/>
    <w:rsid w:val="00873DC4"/>
    <w:rsid w:val="008744FF"/>
    <w:rsid w:val="0087612F"/>
    <w:rsid w:val="0088017B"/>
    <w:rsid w:val="00881E08"/>
    <w:rsid w:val="008836CC"/>
    <w:rsid w:val="008844F3"/>
    <w:rsid w:val="00886C85"/>
    <w:rsid w:val="008910F8"/>
    <w:rsid w:val="008A0850"/>
    <w:rsid w:val="008A0E65"/>
    <w:rsid w:val="008A3EDA"/>
    <w:rsid w:val="008A4FEE"/>
    <w:rsid w:val="008A5DE4"/>
    <w:rsid w:val="008B449C"/>
    <w:rsid w:val="008B6F35"/>
    <w:rsid w:val="008C46DC"/>
    <w:rsid w:val="008C5200"/>
    <w:rsid w:val="008D5EA3"/>
    <w:rsid w:val="008E57BA"/>
    <w:rsid w:val="008F3418"/>
    <w:rsid w:val="00913B4B"/>
    <w:rsid w:val="00913E0C"/>
    <w:rsid w:val="00914935"/>
    <w:rsid w:val="00914958"/>
    <w:rsid w:val="009178A7"/>
    <w:rsid w:val="0092765A"/>
    <w:rsid w:val="00930EB8"/>
    <w:rsid w:val="0093513C"/>
    <w:rsid w:val="00944EAE"/>
    <w:rsid w:val="009514AE"/>
    <w:rsid w:val="009549DD"/>
    <w:rsid w:val="00954D19"/>
    <w:rsid w:val="00960AAB"/>
    <w:rsid w:val="0096213B"/>
    <w:rsid w:val="009654F4"/>
    <w:rsid w:val="00977766"/>
    <w:rsid w:val="009808A5"/>
    <w:rsid w:val="00982563"/>
    <w:rsid w:val="00982E29"/>
    <w:rsid w:val="00984596"/>
    <w:rsid w:val="009B082E"/>
    <w:rsid w:val="009B47F7"/>
    <w:rsid w:val="009B7A22"/>
    <w:rsid w:val="009C24B6"/>
    <w:rsid w:val="009C54A5"/>
    <w:rsid w:val="009C7DE0"/>
    <w:rsid w:val="009D5D64"/>
    <w:rsid w:val="009D64E8"/>
    <w:rsid w:val="009E2232"/>
    <w:rsid w:val="009E4E38"/>
    <w:rsid w:val="009E5192"/>
    <w:rsid w:val="009E6CDE"/>
    <w:rsid w:val="009F0459"/>
    <w:rsid w:val="009F3F6A"/>
    <w:rsid w:val="009F4D65"/>
    <w:rsid w:val="009F58F6"/>
    <w:rsid w:val="009F6157"/>
    <w:rsid w:val="00A04F31"/>
    <w:rsid w:val="00A0558D"/>
    <w:rsid w:val="00A062CB"/>
    <w:rsid w:val="00A13E7D"/>
    <w:rsid w:val="00A15B4A"/>
    <w:rsid w:val="00A257A2"/>
    <w:rsid w:val="00A278F0"/>
    <w:rsid w:val="00A37136"/>
    <w:rsid w:val="00A37BAC"/>
    <w:rsid w:val="00A44F87"/>
    <w:rsid w:val="00A456A2"/>
    <w:rsid w:val="00A47D32"/>
    <w:rsid w:val="00A52D5D"/>
    <w:rsid w:val="00A530AD"/>
    <w:rsid w:val="00A536EB"/>
    <w:rsid w:val="00A57076"/>
    <w:rsid w:val="00A65568"/>
    <w:rsid w:val="00A7029E"/>
    <w:rsid w:val="00A71CD4"/>
    <w:rsid w:val="00A73438"/>
    <w:rsid w:val="00A81536"/>
    <w:rsid w:val="00A833F6"/>
    <w:rsid w:val="00A83966"/>
    <w:rsid w:val="00A878EA"/>
    <w:rsid w:val="00A90C43"/>
    <w:rsid w:val="00A91806"/>
    <w:rsid w:val="00A93C4E"/>
    <w:rsid w:val="00A94B3D"/>
    <w:rsid w:val="00AA2BF4"/>
    <w:rsid w:val="00AA42FE"/>
    <w:rsid w:val="00AB10FE"/>
    <w:rsid w:val="00AB48F7"/>
    <w:rsid w:val="00AC2570"/>
    <w:rsid w:val="00AC7B02"/>
    <w:rsid w:val="00AD2417"/>
    <w:rsid w:val="00AD3496"/>
    <w:rsid w:val="00AD6855"/>
    <w:rsid w:val="00AE09F2"/>
    <w:rsid w:val="00AE0E99"/>
    <w:rsid w:val="00AE2696"/>
    <w:rsid w:val="00AE663E"/>
    <w:rsid w:val="00B108C8"/>
    <w:rsid w:val="00B1467A"/>
    <w:rsid w:val="00B15D73"/>
    <w:rsid w:val="00B16941"/>
    <w:rsid w:val="00B17D00"/>
    <w:rsid w:val="00B20B19"/>
    <w:rsid w:val="00B211C4"/>
    <w:rsid w:val="00B33865"/>
    <w:rsid w:val="00B401AC"/>
    <w:rsid w:val="00B502F4"/>
    <w:rsid w:val="00B53886"/>
    <w:rsid w:val="00B5438F"/>
    <w:rsid w:val="00B66789"/>
    <w:rsid w:val="00B80FCF"/>
    <w:rsid w:val="00B81488"/>
    <w:rsid w:val="00B85AB8"/>
    <w:rsid w:val="00B86364"/>
    <w:rsid w:val="00B87A5A"/>
    <w:rsid w:val="00B91870"/>
    <w:rsid w:val="00B92780"/>
    <w:rsid w:val="00B92CC8"/>
    <w:rsid w:val="00B95E03"/>
    <w:rsid w:val="00BA28BD"/>
    <w:rsid w:val="00BA36E6"/>
    <w:rsid w:val="00BB2868"/>
    <w:rsid w:val="00BC0695"/>
    <w:rsid w:val="00BC08C5"/>
    <w:rsid w:val="00BC5A3F"/>
    <w:rsid w:val="00BD1A0E"/>
    <w:rsid w:val="00BD2FCF"/>
    <w:rsid w:val="00BD4BFD"/>
    <w:rsid w:val="00BE2E88"/>
    <w:rsid w:val="00BF46F6"/>
    <w:rsid w:val="00C04E2F"/>
    <w:rsid w:val="00C07790"/>
    <w:rsid w:val="00C11E4B"/>
    <w:rsid w:val="00C126AA"/>
    <w:rsid w:val="00C126BE"/>
    <w:rsid w:val="00C17937"/>
    <w:rsid w:val="00C20730"/>
    <w:rsid w:val="00C21AAC"/>
    <w:rsid w:val="00C2287A"/>
    <w:rsid w:val="00C24B66"/>
    <w:rsid w:val="00C25FF8"/>
    <w:rsid w:val="00C32EDB"/>
    <w:rsid w:val="00C3725C"/>
    <w:rsid w:val="00C41886"/>
    <w:rsid w:val="00C4359F"/>
    <w:rsid w:val="00C45158"/>
    <w:rsid w:val="00C50B53"/>
    <w:rsid w:val="00C519DA"/>
    <w:rsid w:val="00C5255A"/>
    <w:rsid w:val="00C55136"/>
    <w:rsid w:val="00C60580"/>
    <w:rsid w:val="00C60C79"/>
    <w:rsid w:val="00C656CA"/>
    <w:rsid w:val="00C66D99"/>
    <w:rsid w:val="00C6738E"/>
    <w:rsid w:val="00C70459"/>
    <w:rsid w:val="00C73F1E"/>
    <w:rsid w:val="00C7656E"/>
    <w:rsid w:val="00C855DF"/>
    <w:rsid w:val="00C91024"/>
    <w:rsid w:val="00C97CE5"/>
    <w:rsid w:val="00CA023A"/>
    <w:rsid w:val="00CA18BE"/>
    <w:rsid w:val="00CA3067"/>
    <w:rsid w:val="00CA61E3"/>
    <w:rsid w:val="00CB0285"/>
    <w:rsid w:val="00CB06CD"/>
    <w:rsid w:val="00CB259D"/>
    <w:rsid w:val="00CB3743"/>
    <w:rsid w:val="00CB4279"/>
    <w:rsid w:val="00CC3D0C"/>
    <w:rsid w:val="00CC509F"/>
    <w:rsid w:val="00CC5ACB"/>
    <w:rsid w:val="00CC7973"/>
    <w:rsid w:val="00CD00CF"/>
    <w:rsid w:val="00CD2A01"/>
    <w:rsid w:val="00CE0C87"/>
    <w:rsid w:val="00CF3CF7"/>
    <w:rsid w:val="00CF415B"/>
    <w:rsid w:val="00CF5A64"/>
    <w:rsid w:val="00CF6623"/>
    <w:rsid w:val="00D013F8"/>
    <w:rsid w:val="00D07675"/>
    <w:rsid w:val="00D13B10"/>
    <w:rsid w:val="00D14BF9"/>
    <w:rsid w:val="00D20E16"/>
    <w:rsid w:val="00D30296"/>
    <w:rsid w:val="00D32355"/>
    <w:rsid w:val="00D32965"/>
    <w:rsid w:val="00D3679B"/>
    <w:rsid w:val="00D44067"/>
    <w:rsid w:val="00D451B1"/>
    <w:rsid w:val="00D57142"/>
    <w:rsid w:val="00D57E23"/>
    <w:rsid w:val="00D618AD"/>
    <w:rsid w:val="00D64747"/>
    <w:rsid w:val="00D66D57"/>
    <w:rsid w:val="00D66F16"/>
    <w:rsid w:val="00D67948"/>
    <w:rsid w:val="00D72C35"/>
    <w:rsid w:val="00D820C9"/>
    <w:rsid w:val="00D918E5"/>
    <w:rsid w:val="00D91990"/>
    <w:rsid w:val="00D93543"/>
    <w:rsid w:val="00D93BF9"/>
    <w:rsid w:val="00DA417D"/>
    <w:rsid w:val="00DA4370"/>
    <w:rsid w:val="00DA6B9E"/>
    <w:rsid w:val="00DA76B7"/>
    <w:rsid w:val="00DB0E76"/>
    <w:rsid w:val="00DB6948"/>
    <w:rsid w:val="00DC5966"/>
    <w:rsid w:val="00DD34ED"/>
    <w:rsid w:val="00DD6B3F"/>
    <w:rsid w:val="00DD7EA3"/>
    <w:rsid w:val="00DE2A40"/>
    <w:rsid w:val="00DE4F84"/>
    <w:rsid w:val="00DE7366"/>
    <w:rsid w:val="00DE76D7"/>
    <w:rsid w:val="00E033DB"/>
    <w:rsid w:val="00E10D96"/>
    <w:rsid w:val="00E115ED"/>
    <w:rsid w:val="00E1518A"/>
    <w:rsid w:val="00E30B82"/>
    <w:rsid w:val="00E31EFF"/>
    <w:rsid w:val="00E35B38"/>
    <w:rsid w:val="00E36C46"/>
    <w:rsid w:val="00E375C7"/>
    <w:rsid w:val="00E437DD"/>
    <w:rsid w:val="00E43E44"/>
    <w:rsid w:val="00E44A8E"/>
    <w:rsid w:val="00E518C0"/>
    <w:rsid w:val="00E566D7"/>
    <w:rsid w:val="00E5767D"/>
    <w:rsid w:val="00E57DBB"/>
    <w:rsid w:val="00E60390"/>
    <w:rsid w:val="00E60679"/>
    <w:rsid w:val="00E650B3"/>
    <w:rsid w:val="00E6615A"/>
    <w:rsid w:val="00E6749C"/>
    <w:rsid w:val="00E7130D"/>
    <w:rsid w:val="00E82533"/>
    <w:rsid w:val="00E83A88"/>
    <w:rsid w:val="00E864AD"/>
    <w:rsid w:val="00E913DC"/>
    <w:rsid w:val="00E9568F"/>
    <w:rsid w:val="00E9793D"/>
    <w:rsid w:val="00EB1F6E"/>
    <w:rsid w:val="00EB4F7E"/>
    <w:rsid w:val="00EC25A9"/>
    <w:rsid w:val="00EC3192"/>
    <w:rsid w:val="00EC4888"/>
    <w:rsid w:val="00EC7D66"/>
    <w:rsid w:val="00ED0547"/>
    <w:rsid w:val="00ED1542"/>
    <w:rsid w:val="00ED27AD"/>
    <w:rsid w:val="00ED4633"/>
    <w:rsid w:val="00ED6560"/>
    <w:rsid w:val="00EE4906"/>
    <w:rsid w:val="00EE497F"/>
    <w:rsid w:val="00EF406B"/>
    <w:rsid w:val="00EF48E5"/>
    <w:rsid w:val="00EF5E0F"/>
    <w:rsid w:val="00EF5F80"/>
    <w:rsid w:val="00F13675"/>
    <w:rsid w:val="00F13762"/>
    <w:rsid w:val="00F161D0"/>
    <w:rsid w:val="00F16C41"/>
    <w:rsid w:val="00F1716C"/>
    <w:rsid w:val="00F30E37"/>
    <w:rsid w:val="00F35D4B"/>
    <w:rsid w:val="00F36731"/>
    <w:rsid w:val="00F376C8"/>
    <w:rsid w:val="00F4078D"/>
    <w:rsid w:val="00F50281"/>
    <w:rsid w:val="00F6067B"/>
    <w:rsid w:val="00F607C3"/>
    <w:rsid w:val="00F612C2"/>
    <w:rsid w:val="00F626CC"/>
    <w:rsid w:val="00F6336F"/>
    <w:rsid w:val="00F64A35"/>
    <w:rsid w:val="00F713D4"/>
    <w:rsid w:val="00F747B6"/>
    <w:rsid w:val="00F752D4"/>
    <w:rsid w:val="00F80778"/>
    <w:rsid w:val="00F80C10"/>
    <w:rsid w:val="00F82B30"/>
    <w:rsid w:val="00F83ADC"/>
    <w:rsid w:val="00F87EFC"/>
    <w:rsid w:val="00F92AF7"/>
    <w:rsid w:val="00F9425E"/>
    <w:rsid w:val="00FA0DC0"/>
    <w:rsid w:val="00FA3ADE"/>
    <w:rsid w:val="00FA737C"/>
    <w:rsid w:val="00FB237B"/>
    <w:rsid w:val="00FB73C2"/>
    <w:rsid w:val="00FB7D42"/>
    <w:rsid w:val="00FC6911"/>
    <w:rsid w:val="00FE529D"/>
    <w:rsid w:val="00FF1C80"/>
    <w:rsid w:val="00FF3373"/>
    <w:rsid w:val="00FF56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D66"/>
    <w:rPr>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bCs/>
    </w:rPr>
  </w:style>
  <w:style w:type="paragraph" w:styleId="Notedebasdepage">
    <w:name w:val="footnote text"/>
    <w:basedOn w:val="Normal"/>
    <w:link w:val="NotedebasdepageCar"/>
    <w:semiHidden/>
    <w:rsid w:val="00605B3C"/>
    <w:rPr>
      <w:b/>
      <w:bCs/>
      <w:sz w:val="20"/>
      <w:szCs w:val="20"/>
    </w:rPr>
  </w:style>
  <w:style w:type="character" w:styleId="Appelnotedebasdep">
    <w:name w:val="footnote reference"/>
    <w:basedOn w:val="Policepardfaut"/>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semiHidden/>
    <w:locked/>
    <w:rsid w:val="00605B3C"/>
    <w:rPr>
      <w:lang w:val="fr-FR" w:eastAsia="fr-FR" w:bidi="ar-SA"/>
    </w:rPr>
  </w:style>
  <w:style w:type="character" w:customStyle="1" w:styleId="TitreCar">
    <w:name w:val="Titre Car"/>
    <w:basedOn w:val="Policepardfaut"/>
    <w:link w:val="Titre"/>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character" w:customStyle="1" w:styleId="CarCar6">
    <w:name w:val="Car Car6"/>
    <w:basedOn w:val="Policepardfaut"/>
    <w:locked/>
    <w:rsid w:val="00EC7D66"/>
    <w:rPr>
      <w:rFonts w:ascii="Arial" w:eastAsia="Calibri" w:hAnsi="Arial" w:cs="Arial"/>
      <w:b/>
      <w:bCs/>
      <w:kern w:val="32"/>
      <w:sz w:val="32"/>
      <w:szCs w:val="32"/>
      <w:lang w:val="fr-FR" w:eastAsia="fr-FR" w:bidi="ar-SA"/>
    </w:rPr>
  </w:style>
  <w:style w:type="paragraph" w:styleId="Paragraphedeliste">
    <w:name w:val="List Paragraph"/>
    <w:basedOn w:val="Normal"/>
    <w:uiPriority w:val="34"/>
    <w:qFormat/>
    <w:rsid w:val="00707FCE"/>
    <w:pPr>
      <w:ind w:left="720"/>
      <w:contextualSpacing/>
    </w:pPr>
    <w:rPr>
      <w:rFonts w:eastAsia="Calibr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5242-12D7-4A1A-98E3-15D27847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1860</Words>
  <Characters>10234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12070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hcp</cp:lastModifiedBy>
  <cp:revision>16</cp:revision>
  <cp:lastPrinted>2012-02-15T10:28:00Z</cp:lastPrinted>
  <dcterms:created xsi:type="dcterms:W3CDTF">2012-02-14T10:10:00Z</dcterms:created>
  <dcterms:modified xsi:type="dcterms:W3CDTF">2012-02-17T11:52:00Z</dcterms:modified>
</cp:coreProperties>
</file>