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077" w:rsidRDefault="00F37422" w:rsidP="0069792B">
      <w:pPr>
        <w:widowControl/>
        <w:spacing w:line="276" w:lineRule="auto"/>
        <w:jc w:val="center"/>
        <w:rPr>
          <w:rFonts w:ascii="Book Antiqua" w:hAnsi="Book Antiqua" w:cs="Times New Roman"/>
          <w:b/>
          <w:bCs/>
          <w:color w:val="9A3366"/>
        </w:rPr>
      </w:pPr>
      <w:r>
        <w:rPr>
          <w:rFonts w:ascii="Book Antiqua" w:hAnsi="Book Antiqua" w:cs="Times New Roman"/>
          <w:b/>
          <w:bCs/>
          <w:color w:val="9A3366"/>
        </w:rPr>
        <w:t xml:space="preserve">          </w:t>
      </w:r>
    </w:p>
    <w:p w:rsidR="000D4077" w:rsidRDefault="000D4077" w:rsidP="0069792B">
      <w:pPr>
        <w:widowControl/>
        <w:spacing w:line="276" w:lineRule="auto"/>
        <w:jc w:val="center"/>
        <w:rPr>
          <w:rFonts w:ascii="Book Antiqua" w:hAnsi="Book Antiqua" w:cs="Times New Roman"/>
          <w:b/>
          <w:bCs/>
          <w:color w:val="9A3366"/>
        </w:rPr>
      </w:pPr>
    </w:p>
    <w:p w:rsidR="000D4077" w:rsidRDefault="000D4077" w:rsidP="0069792B">
      <w:pPr>
        <w:widowControl/>
        <w:spacing w:line="276" w:lineRule="auto"/>
        <w:jc w:val="center"/>
        <w:rPr>
          <w:rFonts w:ascii="Book Antiqua" w:hAnsi="Book Antiqua" w:cs="Times New Roman"/>
          <w:b/>
          <w:bCs/>
          <w:color w:val="9A3366"/>
        </w:rPr>
      </w:pPr>
    </w:p>
    <w:p w:rsidR="000D4077" w:rsidRDefault="000D4077" w:rsidP="0069792B">
      <w:pPr>
        <w:widowControl/>
        <w:spacing w:line="276" w:lineRule="auto"/>
        <w:jc w:val="center"/>
        <w:rPr>
          <w:rFonts w:ascii="Book Antiqua" w:hAnsi="Book Antiqua" w:cs="Times New Roman"/>
          <w:b/>
          <w:bCs/>
          <w:color w:val="9A3366"/>
        </w:rPr>
      </w:pPr>
    </w:p>
    <w:p w:rsidR="000D4077" w:rsidRDefault="000D4077" w:rsidP="0069792B">
      <w:pPr>
        <w:widowControl/>
        <w:spacing w:line="276" w:lineRule="auto"/>
        <w:jc w:val="center"/>
        <w:rPr>
          <w:rFonts w:ascii="Book Antiqua" w:hAnsi="Book Antiqua" w:cs="Times New Roman"/>
          <w:b/>
          <w:bCs/>
          <w:color w:val="9A3366"/>
        </w:rPr>
      </w:pPr>
    </w:p>
    <w:p w:rsidR="005D63D7" w:rsidRPr="005D63D7" w:rsidRDefault="005D63D7" w:rsidP="0069792B">
      <w:pPr>
        <w:widowControl/>
        <w:spacing w:line="276" w:lineRule="auto"/>
        <w:jc w:val="center"/>
        <w:rPr>
          <w:rFonts w:ascii="Book Antiqua" w:hAnsi="Book Antiqua" w:cs="Times New Roman"/>
          <w:b/>
          <w:bCs/>
          <w:color w:val="9A3366"/>
          <w:sz w:val="36"/>
          <w:szCs w:val="36"/>
        </w:rPr>
      </w:pPr>
    </w:p>
    <w:p w:rsidR="00912704" w:rsidRPr="00BD2D08" w:rsidRDefault="00912704" w:rsidP="0069792B">
      <w:pPr>
        <w:widowControl/>
        <w:spacing w:line="276" w:lineRule="auto"/>
        <w:jc w:val="center"/>
        <w:rPr>
          <w:rFonts w:ascii="Book Antiqua" w:hAnsi="Book Antiqua" w:cs="Times New Roman"/>
          <w:b/>
          <w:bCs/>
          <w:color w:val="9A3366"/>
        </w:rPr>
      </w:pPr>
      <w:r w:rsidRPr="00BD2D08">
        <w:rPr>
          <w:rFonts w:ascii="Book Antiqua" w:hAnsi="Book Antiqua" w:cs="Times New Roman"/>
          <w:b/>
          <w:bCs/>
          <w:color w:val="9A3366"/>
        </w:rPr>
        <w:t>Note d’information</w:t>
      </w:r>
      <w:r w:rsidR="0069792B">
        <w:rPr>
          <w:rFonts w:ascii="Book Antiqua" w:hAnsi="Book Antiqua" w:cs="Times New Roman"/>
          <w:b/>
          <w:bCs/>
          <w:color w:val="9A3366"/>
        </w:rPr>
        <w:t xml:space="preserve"> du Haut-commissariat au Plan</w:t>
      </w:r>
    </w:p>
    <w:p w:rsidR="00912704" w:rsidRPr="00BD2D08" w:rsidRDefault="00097300" w:rsidP="00CF7444">
      <w:pPr>
        <w:widowControl/>
        <w:spacing w:line="276" w:lineRule="auto"/>
        <w:jc w:val="center"/>
        <w:rPr>
          <w:rFonts w:ascii="Book Antiqua" w:hAnsi="Book Antiqua" w:cs="Times New Roman"/>
          <w:b/>
          <w:bCs/>
          <w:color w:val="9A3366"/>
        </w:rPr>
      </w:pPr>
      <w:r>
        <w:rPr>
          <w:rFonts w:ascii="Book Antiqua" w:hAnsi="Book Antiqua" w:cs="Times New Roman"/>
          <w:b/>
          <w:bCs/>
          <w:color w:val="9A3366"/>
        </w:rPr>
        <w:t>R</w:t>
      </w:r>
      <w:r w:rsidR="00912704" w:rsidRPr="00BD2D08">
        <w:rPr>
          <w:rFonts w:ascii="Book Antiqua" w:hAnsi="Book Antiqua" w:cs="Times New Roman"/>
          <w:b/>
          <w:bCs/>
          <w:color w:val="9A3366"/>
        </w:rPr>
        <w:t xml:space="preserve">ésultats de l’enquête de conjoncture auprès des ménages </w:t>
      </w:r>
    </w:p>
    <w:p w:rsidR="00912704" w:rsidRPr="00BD2D08" w:rsidRDefault="00097300" w:rsidP="00E44128">
      <w:pPr>
        <w:widowControl/>
        <w:spacing w:line="276" w:lineRule="auto"/>
        <w:jc w:val="center"/>
        <w:rPr>
          <w:rFonts w:ascii="Book Antiqua" w:hAnsi="Book Antiqua" w:cs="Times New Roman"/>
          <w:b/>
          <w:bCs/>
          <w:color w:val="9A3366"/>
        </w:rPr>
      </w:pPr>
      <w:r>
        <w:rPr>
          <w:rFonts w:ascii="Book Antiqua" w:hAnsi="Book Antiqua" w:cs="Times New Roman"/>
          <w:b/>
          <w:bCs/>
          <w:color w:val="9A3366"/>
        </w:rPr>
        <w:t>Q</w:t>
      </w:r>
      <w:r w:rsidR="00912704" w:rsidRPr="00BD2D08">
        <w:rPr>
          <w:rFonts w:ascii="Book Antiqua" w:hAnsi="Book Antiqua" w:cs="Times New Roman"/>
          <w:b/>
          <w:bCs/>
          <w:color w:val="9A3366"/>
        </w:rPr>
        <w:t>uatrième trimestre 201</w:t>
      </w:r>
      <w:r w:rsidR="00E44128">
        <w:rPr>
          <w:rFonts w:ascii="Book Antiqua" w:hAnsi="Book Antiqua" w:cs="Times New Roman"/>
          <w:b/>
          <w:bCs/>
          <w:color w:val="9A3366"/>
        </w:rPr>
        <w:t>1</w:t>
      </w:r>
    </w:p>
    <w:p w:rsidR="004105E0" w:rsidRPr="005D63D7" w:rsidRDefault="004105E0" w:rsidP="00CF7444">
      <w:pPr>
        <w:widowControl/>
        <w:spacing w:line="276" w:lineRule="auto"/>
        <w:jc w:val="both"/>
        <w:rPr>
          <w:rFonts w:ascii="Book Antiqua" w:hAnsi="Book Antiqua" w:cs="Times New Roman"/>
          <w:color w:val="000000"/>
          <w:sz w:val="36"/>
          <w:szCs w:val="36"/>
        </w:rPr>
      </w:pPr>
    </w:p>
    <w:p w:rsidR="00860E86" w:rsidRDefault="00860E86" w:rsidP="003A7ECC">
      <w:pPr>
        <w:widowControl/>
        <w:spacing w:line="276" w:lineRule="auto"/>
        <w:jc w:val="both"/>
        <w:rPr>
          <w:rFonts w:ascii="Times New Roman" w:hAnsi="Times New Roman" w:cs="Times New Roman"/>
          <w:b/>
          <w:bCs/>
          <w:color w:val="000000"/>
        </w:rPr>
      </w:pPr>
      <w:r w:rsidRPr="00860E86">
        <w:rPr>
          <w:rFonts w:ascii="Times New Roman" w:hAnsi="Times New Roman" w:cs="Times New Roman"/>
          <w:b/>
          <w:color w:val="000000"/>
        </w:rPr>
        <w:t>Selon les résultats de l’enquête permanente de conjoncture auprès des ménages, menée par le HCP, l’Indice de Confiance</w:t>
      </w:r>
      <w:r w:rsidR="003A7ECC">
        <w:rPr>
          <w:rFonts w:ascii="Times New Roman" w:hAnsi="Times New Roman" w:cs="Times New Roman"/>
          <w:b/>
          <w:color w:val="000000"/>
        </w:rPr>
        <w:t xml:space="preserve"> des Ménages (ICM)</w:t>
      </w:r>
      <w:r w:rsidRPr="00860E86">
        <w:rPr>
          <w:rFonts w:ascii="Times New Roman" w:hAnsi="Times New Roman" w:cs="Times New Roman"/>
          <w:b/>
          <w:color w:val="000000"/>
        </w:rPr>
        <w:t xml:space="preserve"> </w:t>
      </w:r>
      <w:r w:rsidRPr="00860E86">
        <w:rPr>
          <w:rFonts w:ascii="Times New Roman" w:hAnsi="Times New Roman" w:cs="Times New Roman"/>
          <w:b/>
          <w:bCs/>
          <w:color w:val="000000"/>
        </w:rPr>
        <w:t>aura enregistré, au cours du quatrième trimestre de 2011, une hausse de 9,</w:t>
      </w:r>
      <w:r w:rsidR="003A7ECC">
        <w:rPr>
          <w:rFonts w:ascii="Times New Roman" w:hAnsi="Times New Roman" w:cs="Times New Roman"/>
          <w:b/>
          <w:bCs/>
          <w:color w:val="000000"/>
        </w:rPr>
        <w:t>8</w:t>
      </w:r>
      <w:r w:rsidRPr="00860E86">
        <w:rPr>
          <w:rFonts w:ascii="Times New Roman" w:hAnsi="Times New Roman" w:cs="Times New Roman"/>
          <w:b/>
          <w:bCs/>
          <w:color w:val="000000"/>
        </w:rPr>
        <w:t xml:space="preserve"> points par rapport au même trimestre de l’année 2010 mais reste légèrement inférieur, de 2 points, à son niveau du troisième trimestre 2011.</w:t>
      </w:r>
    </w:p>
    <w:p w:rsidR="00267298" w:rsidRPr="00860E86" w:rsidRDefault="00267298" w:rsidP="003A7ECC">
      <w:pPr>
        <w:widowControl/>
        <w:spacing w:line="276" w:lineRule="auto"/>
        <w:jc w:val="both"/>
        <w:rPr>
          <w:rFonts w:ascii="Times New Roman" w:hAnsi="Times New Roman" w:cs="Times New Roman"/>
          <w:b/>
          <w:bCs/>
          <w:color w:val="000000"/>
        </w:rPr>
      </w:pPr>
    </w:p>
    <w:p w:rsidR="00E44128" w:rsidRPr="00DB06E9" w:rsidRDefault="00267298" w:rsidP="00267298">
      <w:pPr>
        <w:widowControl/>
        <w:spacing w:line="276" w:lineRule="auto"/>
        <w:jc w:val="both"/>
        <w:rPr>
          <w:rFonts w:ascii="Times New Roman" w:hAnsi="Times New Roman" w:cs="Times New Roman"/>
          <w:color w:val="000000"/>
        </w:rPr>
      </w:pPr>
      <w:r>
        <w:rPr>
          <w:rFonts w:ascii="Times New Roman" w:hAnsi="Times New Roman" w:cs="Times New Roman"/>
          <w:color w:val="000000"/>
        </w:rPr>
        <w:t>A</w:t>
      </w:r>
      <w:r w:rsidRPr="00DB06E9">
        <w:rPr>
          <w:rFonts w:ascii="Times New Roman" w:hAnsi="Times New Roman" w:cs="Times New Roman"/>
          <w:color w:val="000000"/>
        </w:rPr>
        <w:t>u quatrième trimestre de 2011</w:t>
      </w:r>
      <w:r>
        <w:rPr>
          <w:rFonts w:ascii="Times New Roman" w:hAnsi="Times New Roman" w:cs="Times New Roman"/>
          <w:color w:val="000000"/>
        </w:rPr>
        <w:t xml:space="preserve">, </w:t>
      </w:r>
      <w:r w:rsidR="00E345E9" w:rsidRPr="00DB06E9">
        <w:rPr>
          <w:rFonts w:ascii="Times New Roman" w:hAnsi="Times New Roman" w:cs="Times New Roman"/>
          <w:color w:val="000000"/>
        </w:rPr>
        <w:t xml:space="preserve">l'ICM (non corrigé des variations saisonnières) s’établit  à 84,5 points </w:t>
      </w:r>
      <w:r w:rsidR="001037B3">
        <w:rPr>
          <w:rFonts w:ascii="Times New Roman" w:hAnsi="Times New Roman" w:cs="Times New Roman"/>
          <w:color w:val="000000"/>
        </w:rPr>
        <w:t xml:space="preserve">contre </w:t>
      </w:r>
      <w:r w:rsidR="00692444">
        <w:rPr>
          <w:rFonts w:ascii="Times New Roman" w:hAnsi="Times New Roman" w:cs="Times New Roman"/>
          <w:color w:val="000000"/>
        </w:rPr>
        <w:t xml:space="preserve">74,7 points au même trimestre de l'année précédente </w:t>
      </w:r>
      <w:r w:rsidR="00452F6C" w:rsidRPr="00DB06E9">
        <w:rPr>
          <w:rFonts w:ascii="Times New Roman" w:hAnsi="Times New Roman" w:cs="Times New Roman"/>
          <w:color w:val="000000"/>
        </w:rPr>
        <w:t>marquant</w:t>
      </w:r>
      <w:r w:rsidR="00257385" w:rsidRPr="00DB06E9">
        <w:rPr>
          <w:rFonts w:ascii="Times New Roman" w:hAnsi="Times New Roman" w:cs="Times New Roman"/>
          <w:color w:val="000000"/>
        </w:rPr>
        <w:t xml:space="preserve"> </w:t>
      </w:r>
      <w:r w:rsidR="00A7345B">
        <w:rPr>
          <w:rFonts w:ascii="Times New Roman" w:hAnsi="Times New Roman" w:cs="Times New Roman"/>
          <w:color w:val="000000"/>
        </w:rPr>
        <w:t xml:space="preserve">ainsi </w:t>
      </w:r>
      <w:r w:rsidR="00E345E9" w:rsidRPr="00DB06E9">
        <w:rPr>
          <w:rFonts w:ascii="Times New Roman" w:hAnsi="Times New Roman" w:cs="Times New Roman"/>
          <w:color w:val="000000"/>
        </w:rPr>
        <w:t xml:space="preserve">une </w:t>
      </w:r>
      <w:r w:rsidR="00692444">
        <w:rPr>
          <w:rFonts w:ascii="Times New Roman" w:hAnsi="Times New Roman" w:cs="Times New Roman"/>
          <w:color w:val="000000"/>
        </w:rPr>
        <w:t>hau</w:t>
      </w:r>
      <w:r w:rsidR="00E345E9" w:rsidRPr="00DB06E9">
        <w:rPr>
          <w:rFonts w:ascii="Times New Roman" w:hAnsi="Times New Roman" w:cs="Times New Roman"/>
          <w:color w:val="000000"/>
        </w:rPr>
        <w:t xml:space="preserve">sse de </w:t>
      </w:r>
      <w:r w:rsidR="00692444">
        <w:rPr>
          <w:rFonts w:ascii="Times New Roman" w:hAnsi="Times New Roman" w:cs="Times New Roman"/>
          <w:color w:val="000000"/>
        </w:rPr>
        <w:t>près de d</w:t>
      </w:r>
      <w:r w:rsidR="00097300">
        <w:rPr>
          <w:rFonts w:ascii="Times New Roman" w:hAnsi="Times New Roman" w:cs="Times New Roman"/>
          <w:color w:val="000000"/>
        </w:rPr>
        <w:t>ix</w:t>
      </w:r>
      <w:r w:rsidR="00692444">
        <w:rPr>
          <w:rFonts w:ascii="Times New Roman" w:hAnsi="Times New Roman" w:cs="Times New Roman"/>
          <w:color w:val="000000"/>
        </w:rPr>
        <w:t xml:space="preserve"> points</w:t>
      </w:r>
      <w:r w:rsidR="001037B3">
        <w:rPr>
          <w:rFonts w:ascii="Times New Roman" w:hAnsi="Times New Roman" w:cs="Times New Roman"/>
          <w:color w:val="000000"/>
        </w:rPr>
        <w:t xml:space="preserve">. </w:t>
      </w:r>
      <w:r w:rsidR="00452F6C">
        <w:rPr>
          <w:rFonts w:ascii="Times New Roman" w:hAnsi="Times New Roman" w:cs="Times New Roman"/>
          <w:color w:val="000000"/>
        </w:rPr>
        <w:t xml:space="preserve">Comparé à son niveau un </w:t>
      </w:r>
      <w:r w:rsidR="00692444">
        <w:rPr>
          <w:rFonts w:ascii="Times New Roman" w:hAnsi="Times New Roman" w:cs="Times New Roman"/>
          <w:color w:val="000000"/>
        </w:rPr>
        <w:t xml:space="preserve">trimestre </w:t>
      </w:r>
      <w:r w:rsidR="00452F6C">
        <w:rPr>
          <w:rFonts w:ascii="Times New Roman" w:hAnsi="Times New Roman" w:cs="Times New Roman"/>
          <w:color w:val="000000"/>
        </w:rPr>
        <w:t>auparavant (</w:t>
      </w:r>
      <w:r w:rsidR="00692444">
        <w:rPr>
          <w:rFonts w:ascii="Times New Roman" w:hAnsi="Times New Roman" w:cs="Times New Roman"/>
          <w:color w:val="000000"/>
        </w:rPr>
        <w:t>86,5</w:t>
      </w:r>
      <w:r w:rsidR="00452F6C">
        <w:rPr>
          <w:rFonts w:ascii="Times New Roman" w:hAnsi="Times New Roman" w:cs="Times New Roman"/>
          <w:color w:val="000000"/>
        </w:rPr>
        <w:t xml:space="preserve"> points), l’ICM aura enregistré une </w:t>
      </w:r>
      <w:r w:rsidR="00692444">
        <w:rPr>
          <w:rFonts w:ascii="Times New Roman" w:hAnsi="Times New Roman" w:cs="Times New Roman"/>
          <w:color w:val="000000"/>
        </w:rPr>
        <w:t xml:space="preserve">légère baisse </w:t>
      </w:r>
      <w:r w:rsidR="00452F6C">
        <w:rPr>
          <w:rFonts w:ascii="Times New Roman" w:hAnsi="Times New Roman" w:cs="Times New Roman"/>
          <w:color w:val="000000"/>
        </w:rPr>
        <w:t xml:space="preserve">de </w:t>
      </w:r>
      <w:r w:rsidR="00692444">
        <w:rPr>
          <w:rFonts w:ascii="Times New Roman" w:hAnsi="Times New Roman" w:cs="Times New Roman"/>
          <w:color w:val="000000"/>
        </w:rPr>
        <w:t>2</w:t>
      </w:r>
      <w:r w:rsidR="001037B3" w:rsidRPr="00DB06E9">
        <w:rPr>
          <w:rFonts w:ascii="Times New Roman" w:hAnsi="Times New Roman" w:cs="Times New Roman"/>
          <w:color w:val="000000"/>
        </w:rPr>
        <w:t xml:space="preserve"> </w:t>
      </w:r>
      <w:proofErr w:type="gramStart"/>
      <w:r w:rsidR="001037B3" w:rsidRPr="00DB06E9">
        <w:rPr>
          <w:rFonts w:ascii="Times New Roman" w:hAnsi="Times New Roman" w:cs="Times New Roman"/>
          <w:color w:val="000000"/>
        </w:rPr>
        <w:t>points</w:t>
      </w:r>
      <w:proofErr w:type="gramEnd"/>
      <w:r w:rsidR="001037B3">
        <w:rPr>
          <w:rFonts w:ascii="Times New Roman" w:hAnsi="Times New Roman" w:cs="Times New Roman"/>
          <w:color w:val="000000"/>
        </w:rPr>
        <w:t xml:space="preserve">.  </w:t>
      </w:r>
      <w:r w:rsidR="00E44128" w:rsidRPr="00DB06E9">
        <w:rPr>
          <w:rFonts w:ascii="Times New Roman" w:hAnsi="Times New Roman" w:cs="Times New Roman"/>
          <w:color w:val="000000"/>
        </w:rPr>
        <w:t xml:space="preserve">  </w:t>
      </w:r>
    </w:p>
    <w:p w:rsidR="00912704" w:rsidRPr="00BD2D08" w:rsidRDefault="00912704" w:rsidP="00CF7444">
      <w:pPr>
        <w:widowControl/>
        <w:spacing w:line="276" w:lineRule="auto"/>
        <w:jc w:val="both"/>
        <w:rPr>
          <w:rFonts w:ascii="Book Antiqua" w:hAnsi="Book Antiqua" w:cs="Times New Roman"/>
          <w:color w:val="000000"/>
        </w:rPr>
      </w:pPr>
    </w:p>
    <w:p w:rsidR="00E5224B" w:rsidRPr="00BD2D08" w:rsidRDefault="00A44630" w:rsidP="008C02D0">
      <w:pPr>
        <w:widowControl/>
        <w:spacing w:line="276" w:lineRule="auto"/>
        <w:jc w:val="center"/>
        <w:rPr>
          <w:rFonts w:ascii="Book Antiqua" w:hAnsi="Book Antiqua" w:cs="Times New Roman"/>
          <w:color w:val="000000"/>
        </w:rPr>
      </w:pPr>
      <w:r>
        <w:rPr>
          <w:rFonts w:ascii="Book Antiqua" w:hAnsi="Book Antiqua" w:cs="Times New Roman"/>
          <w:noProof/>
          <w:color w:val="000000"/>
        </w:rPr>
        <w:drawing>
          <wp:inline distT="0" distB="0" distL="0" distR="0">
            <wp:extent cx="5761482" cy="3123153"/>
            <wp:effectExtent l="12192" t="6096" r="6096" b="1936"/>
            <wp:docPr id="1"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B4BFB" w:rsidRDefault="009B4BFB" w:rsidP="001B50A1">
      <w:pPr>
        <w:widowControl/>
        <w:spacing w:line="276" w:lineRule="auto"/>
        <w:jc w:val="both"/>
        <w:rPr>
          <w:rFonts w:ascii="Book Antiqua" w:hAnsi="Book Antiqua" w:cs="Times New Roman"/>
          <w:b/>
          <w:bCs/>
          <w:color w:val="000000"/>
        </w:rPr>
      </w:pPr>
    </w:p>
    <w:p w:rsidR="006F1D72" w:rsidRDefault="009D614B" w:rsidP="00531247">
      <w:pPr>
        <w:widowControl/>
        <w:spacing w:line="276" w:lineRule="auto"/>
        <w:jc w:val="both"/>
        <w:rPr>
          <w:rFonts w:ascii="Times New Roman" w:hAnsi="Times New Roman" w:cs="Times New Roman"/>
          <w:b/>
          <w:bCs/>
          <w:color w:val="000000"/>
        </w:rPr>
      </w:pPr>
      <w:r w:rsidRPr="00DB06E9">
        <w:rPr>
          <w:rFonts w:ascii="Times New Roman" w:hAnsi="Times New Roman" w:cs="Times New Roman"/>
          <w:b/>
          <w:bCs/>
          <w:color w:val="000000"/>
        </w:rPr>
        <w:t>1</w:t>
      </w:r>
      <w:r w:rsidR="00912704" w:rsidRPr="00DB06E9">
        <w:rPr>
          <w:rFonts w:ascii="Times New Roman" w:hAnsi="Times New Roman" w:cs="Times New Roman"/>
          <w:b/>
          <w:bCs/>
          <w:color w:val="000000"/>
        </w:rPr>
        <w:t xml:space="preserve">. </w:t>
      </w:r>
      <w:r w:rsidR="006F1D72" w:rsidRPr="00DB06E9">
        <w:rPr>
          <w:rFonts w:ascii="Times New Roman" w:hAnsi="Times New Roman" w:cs="Times New Roman"/>
          <w:b/>
          <w:bCs/>
          <w:color w:val="000000"/>
        </w:rPr>
        <w:t xml:space="preserve">Evolution des </w:t>
      </w:r>
      <w:r w:rsidR="00860E86">
        <w:rPr>
          <w:rFonts w:ascii="Times New Roman" w:hAnsi="Times New Roman" w:cs="Times New Roman"/>
          <w:b/>
          <w:bCs/>
          <w:color w:val="000000"/>
        </w:rPr>
        <w:t>composantes de</w:t>
      </w:r>
      <w:r w:rsidR="006F1D72" w:rsidRPr="00DB06E9">
        <w:rPr>
          <w:rFonts w:ascii="Times New Roman" w:hAnsi="Times New Roman" w:cs="Times New Roman"/>
          <w:b/>
          <w:bCs/>
          <w:color w:val="000000"/>
        </w:rPr>
        <w:t xml:space="preserve"> l'ICM</w:t>
      </w:r>
    </w:p>
    <w:p w:rsidR="00435631" w:rsidRPr="00DB06E9" w:rsidRDefault="00435631" w:rsidP="00531247">
      <w:pPr>
        <w:widowControl/>
        <w:spacing w:line="276" w:lineRule="auto"/>
        <w:jc w:val="both"/>
        <w:rPr>
          <w:rFonts w:ascii="Times New Roman" w:hAnsi="Times New Roman" w:cs="Times New Roman"/>
          <w:b/>
          <w:bCs/>
          <w:color w:val="000000"/>
        </w:rPr>
      </w:pPr>
    </w:p>
    <w:p w:rsidR="00912704" w:rsidRPr="00DB06E9" w:rsidRDefault="00912704" w:rsidP="00531247">
      <w:pPr>
        <w:widowControl/>
        <w:spacing w:line="276" w:lineRule="auto"/>
        <w:jc w:val="both"/>
        <w:rPr>
          <w:rFonts w:ascii="Times New Roman" w:hAnsi="Times New Roman" w:cs="Times New Roman"/>
          <w:b/>
          <w:bCs/>
          <w:color w:val="000000"/>
        </w:rPr>
      </w:pPr>
      <w:r w:rsidRPr="00DB06E9">
        <w:rPr>
          <w:rFonts w:ascii="Times New Roman" w:hAnsi="Times New Roman" w:cs="Times New Roman"/>
          <w:color w:val="000000"/>
        </w:rPr>
        <w:t>•</w:t>
      </w:r>
      <w:r w:rsidR="002C5954">
        <w:rPr>
          <w:rFonts w:ascii="Times New Roman" w:hAnsi="Times New Roman" w:cs="Times New Roman"/>
          <w:b/>
          <w:bCs/>
          <w:color w:val="000000"/>
        </w:rPr>
        <w:t>N</w:t>
      </w:r>
      <w:r w:rsidR="00E265E4" w:rsidRPr="00DB06E9">
        <w:rPr>
          <w:rFonts w:ascii="Times New Roman" w:hAnsi="Times New Roman" w:cs="Times New Roman"/>
          <w:b/>
          <w:bCs/>
          <w:color w:val="000000"/>
        </w:rPr>
        <w:t>iveau de vie</w:t>
      </w:r>
      <w:r w:rsidR="00FE3CBE" w:rsidRPr="00DB06E9">
        <w:rPr>
          <w:rFonts w:ascii="Times New Roman" w:hAnsi="Times New Roman" w:cs="Times New Roman"/>
          <w:b/>
          <w:bCs/>
          <w:color w:val="000000"/>
        </w:rPr>
        <w:t xml:space="preserve"> </w:t>
      </w:r>
      <w:r w:rsidR="002C5954">
        <w:rPr>
          <w:rFonts w:ascii="Times New Roman" w:hAnsi="Times New Roman" w:cs="Times New Roman"/>
          <w:b/>
          <w:bCs/>
          <w:color w:val="000000"/>
        </w:rPr>
        <w:t>au Maroc : attente d’une amélioration</w:t>
      </w:r>
    </w:p>
    <w:p w:rsidR="00FE3CBE" w:rsidRPr="00DB06E9" w:rsidRDefault="009D68B9" w:rsidP="00531247">
      <w:pPr>
        <w:widowControl/>
        <w:spacing w:line="276" w:lineRule="auto"/>
        <w:jc w:val="both"/>
        <w:rPr>
          <w:rFonts w:ascii="Times New Roman" w:hAnsi="Times New Roman" w:cs="Times New Roman"/>
          <w:color w:val="000000"/>
        </w:rPr>
      </w:pPr>
      <w:r w:rsidRPr="00DB06E9">
        <w:rPr>
          <w:rFonts w:ascii="Times New Roman" w:hAnsi="Times New Roman" w:cs="Times New Roman"/>
          <w:color w:val="000000"/>
        </w:rPr>
        <w:t>Au cours du quatrième trimestre de 201</w:t>
      </w:r>
      <w:r w:rsidR="006C4C14" w:rsidRPr="00DB06E9">
        <w:rPr>
          <w:rFonts w:ascii="Times New Roman" w:hAnsi="Times New Roman" w:cs="Times New Roman"/>
          <w:color w:val="000000"/>
        </w:rPr>
        <w:t>1</w:t>
      </w:r>
      <w:r w:rsidRPr="00DB06E9">
        <w:rPr>
          <w:rFonts w:ascii="Times New Roman" w:hAnsi="Times New Roman" w:cs="Times New Roman"/>
          <w:color w:val="000000"/>
        </w:rPr>
        <w:t xml:space="preserve">, </w:t>
      </w:r>
      <w:r w:rsidR="00AE779F" w:rsidRPr="00DB06E9">
        <w:rPr>
          <w:rFonts w:ascii="Times New Roman" w:hAnsi="Times New Roman" w:cs="Times New Roman"/>
          <w:color w:val="000000"/>
        </w:rPr>
        <w:t xml:space="preserve">les ménages </w:t>
      </w:r>
      <w:r w:rsidR="00BF3780" w:rsidRPr="00DB06E9">
        <w:rPr>
          <w:rFonts w:ascii="Times New Roman" w:hAnsi="Times New Roman" w:cs="Times New Roman"/>
          <w:color w:val="000000"/>
        </w:rPr>
        <w:t xml:space="preserve">ont une perception </w:t>
      </w:r>
      <w:r w:rsidR="006C4C14" w:rsidRPr="00DB06E9">
        <w:rPr>
          <w:rFonts w:ascii="Times New Roman" w:hAnsi="Times New Roman" w:cs="Times New Roman"/>
          <w:color w:val="000000"/>
        </w:rPr>
        <w:t>plus</w:t>
      </w:r>
      <w:r w:rsidR="00BF3780" w:rsidRPr="00DB06E9">
        <w:rPr>
          <w:rFonts w:ascii="Times New Roman" w:hAnsi="Times New Roman" w:cs="Times New Roman"/>
          <w:color w:val="000000"/>
        </w:rPr>
        <w:t xml:space="preserve"> optimiste de l'</w:t>
      </w:r>
      <w:r w:rsidR="00AE779F" w:rsidRPr="00DB06E9">
        <w:rPr>
          <w:rFonts w:ascii="Times New Roman" w:hAnsi="Times New Roman" w:cs="Times New Roman"/>
          <w:color w:val="000000"/>
        </w:rPr>
        <w:t xml:space="preserve">évolution du niveau de vie </w:t>
      </w:r>
      <w:r w:rsidRPr="00DB06E9">
        <w:rPr>
          <w:rFonts w:ascii="Times New Roman" w:hAnsi="Times New Roman" w:cs="Times New Roman"/>
          <w:color w:val="000000"/>
        </w:rPr>
        <w:t xml:space="preserve">aussi bien </w:t>
      </w:r>
      <w:r w:rsidR="008A448E" w:rsidRPr="00DB06E9">
        <w:rPr>
          <w:rFonts w:ascii="Times New Roman" w:hAnsi="Times New Roman" w:cs="Times New Roman"/>
          <w:color w:val="000000"/>
        </w:rPr>
        <w:t>en comparaison avec le</w:t>
      </w:r>
      <w:r w:rsidRPr="00DB06E9">
        <w:rPr>
          <w:rFonts w:ascii="Times New Roman" w:hAnsi="Times New Roman" w:cs="Times New Roman"/>
          <w:color w:val="000000"/>
        </w:rPr>
        <w:t xml:space="preserve"> même trimestre de </w:t>
      </w:r>
      <w:r w:rsidR="00912704" w:rsidRPr="00DB06E9">
        <w:rPr>
          <w:rFonts w:ascii="Times New Roman" w:hAnsi="Times New Roman" w:cs="Times New Roman"/>
          <w:color w:val="000000"/>
        </w:rPr>
        <w:t>20</w:t>
      </w:r>
      <w:r w:rsidR="006C4C14" w:rsidRPr="00DB06E9">
        <w:rPr>
          <w:rFonts w:ascii="Times New Roman" w:hAnsi="Times New Roman" w:cs="Times New Roman"/>
          <w:color w:val="000000"/>
        </w:rPr>
        <w:t>10</w:t>
      </w:r>
      <w:r w:rsidR="00912704" w:rsidRPr="00DB06E9">
        <w:rPr>
          <w:rFonts w:ascii="Times New Roman" w:hAnsi="Times New Roman" w:cs="Times New Roman"/>
          <w:color w:val="000000"/>
        </w:rPr>
        <w:t xml:space="preserve"> </w:t>
      </w:r>
      <w:r w:rsidR="00E640FA" w:rsidRPr="00DB06E9">
        <w:rPr>
          <w:rFonts w:ascii="Times New Roman" w:hAnsi="Times New Roman" w:cs="Times New Roman"/>
          <w:color w:val="000000"/>
        </w:rPr>
        <w:t>qu’avec</w:t>
      </w:r>
      <w:r w:rsidR="00BF3780" w:rsidRPr="00DB06E9">
        <w:rPr>
          <w:rFonts w:ascii="Times New Roman" w:hAnsi="Times New Roman" w:cs="Times New Roman"/>
          <w:color w:val="000000"/>
        </w:rPr>
        <w:t xml:space="preserve"> le</w:t>
      </w:r>
      <w:r w:rsidRPr="00DB06E9">
        <w:rPr>
          <w:rFonts w:ascii="Times New Roman" w:hAnsi="Times New Roman" w:cs="Times New Roman"/>
          <w:color w:val="000000"/>
        </w:rPr>
        <w:t xml:space="preserve"> trimestre précédent. Le solde relatif à </w:t>
      </w:r>
      <w:r w:rsidR="00E640FA" w:rsidRPr="00DB06E9">
        <w:rPr>
          <w:rFonts w:ascii="Times New Roman" w:hAnsi="Times New Roman" w:cs="Times New Roman"/>
          <w:color w:val="000000"/>
        </w:rPr>
        <w:t>cet indicateur</w:t>
      </w:r>
      <w:r w:rsidR="007909B3" w:rsidRPr="00DB06E9">
        <w:rPr>
          <w:rFonts w:ascii="Times New Roman" w:hAnsi="Times New Roman" w:cs="Times New Roman"/>
          <w:color w:val="000000"/>
        </w:rPr>
        <w:t xml:space="preserve"> </w:t>
      </w:r>
      <w:r w:rsidR="00E640FA" w:rsidRPr="00DB06E9">
        <w:rPr>
          <w:rFonts w:ascii="Times New Roman" w:hAnsi="Times New Roman" w:cs="Times New Roman"/>
          <w:color w:val="000000"/>
        </w:rPr>
        <w:t>a augmenté respectivement de 24,5 points et de 1,</w:t>
      </w:r>
      <w:r w:rsidR="007F353D">
        <w:rPr>
          <w:rFonts w:ascii="Times New Roman" w:hAnsi="Times New Roman" w:cs="Times New Roman"/>
          <w:color w:val="000000"/>
        </w:rPr>
        <w:t>3</w:t>
      </w:r>
      <w:r w:rsidR="00E640FA" w:rsidRPr="00DB06E9">
        <w:rPr>
          <w:rFonts w:ascii="Times New Roman" w:hAnsi="Times New Roman" w:cs="Times New Roman"/>
          <w:color w:val="000000"/>
        </w:rPr>
        <w:t xml:space="preserve"> point. </w:t>
      </w:r>
    </w:p>
    <w:p w:rsidR="00E640FA" w:rsidRDefault="00E640FA" w:rsidP="00531247">
      <w:pPr>
        <w:widowControl/>
        <w:spacing w:line="276" w:lineRule="auto"/>
        <w:jc w:val="both"/>
        <w:rPr>
          <w:rFonts w:ascii="Times New Roman" w:hAnsi="Times New Roman" w:cs="Times New Roman"/>
          <w:color w:val="000000"/>
        </w:rPr>
      </w:pPr>
    </w:p>
    <w:p w:rsidR="00531247" w:rsidRDefault="00531247" w:rsidP="00531247">
      <w:pPr>
        <w:widowControl/>
        <w:spacing w:line="276" w:lineRule="auto"/>
        <w:jc w:val="both"/>
        <w:rPr>
          <w:rFonts w:ascii="Times New Roman" w:hAnsi="Times New Roman" w:cs="Times New Roman"/>
          <w:color w:val="000000"/>
        </w:rPr>
      </w:pPr>
    </w:p>
    <w:p w:rsidR="00531247" w:rsidRDefault="00531247" w:rsidP="00531247">
      <w:pPr>
        <w:widowControl/>
        <w:spacing w:line="276" w:lineRule="auto"/>
        <w:jc w:val="both"/>
        <w:rPr>
          <w:rFonts w:ascii="Times New Roman" w:hAnsi="Times New Roman" w:cs="Times New Roman"/>
          <w:color w:val="000000"/>
        </w:rPr>
      </w:pPr>
    </w:p>
    <w:p w:rsidR="00531247" w:rsidRPr="00DB06E9" w:rsidRDefault="00531247" w:rsidP="00531247">
      <w:pPr>
        <w:widowControl/>
        <w:spacing w:line="276" w:lineRule="auto"/>
        <w:jc w:val="both"/>
        <w:rPr>
          <w:rFonts w:ascii="Times New Roman" w:hAnsi="Times New Roman" w:cs="Times New Roman"/>
          <w:color w:val="000000"/>
        </w:rPr>
      </w:pPr>
    </w:p>
    <w:p w:rsidR="000720FD" w:rsidRPr="00DB06E9" w:rsidRDefault="000A40C3" w:rsidP="00531247">
      <w:pPr>
        <w:widowControl/>
        <w:spacing w:line="276" w:lineRule="auto"/>
        <w:jc w:val="both"/>
        <w:rPr>
          <w:rFonts w:ascii="Times New Roman" w:hAnsi="Times New Roman" w:cs="Times New Roman"/>
          <w:color w:val="000000"/>
        </w:rPr>
      </w:pPr>
      <w:r>
        <w:rPr>
          <w:rFonts w:ascii="Times New Roman" w:hAnsi="Times New Roman" w:cs="Times New Roman"/>
          <w:color w:val="000000"/>
        </w:rPr>
        <w:t xml:space="preserve">Concernant </w:t>
      </w:r>
      <w:r w:rsidR="000720FD" w:rsidRPr="00DB06E9">
        <w:rPr>
          <w:rFonts w:ascii="Times New Roman" w:hAnsi="Times New Roman" w:cs="Times New Roman"/>
          <w:color w:val="000000"/>
        </w:rPr>
        <w:t>l’évolution passée du niveau de vie</w:t>
      </w:r>
      <w:r w:rsidR="00D002B7">
        <w:rPr>
          <w:rFonts w:ascii="Times New Roman" w:hAnsi="Times New Roman" w:cs="Times New Roman"/>
          <w:color w:val="000000"/>
        </w:rPr>
        <w:t xml:space="preserve">, l’appréciation des ménages s’améliore </w:t>
      </w:r>
      <w:r w:rsidR="00D002B7" w:rsidRPr="00DB06E9">
        <w:rPr>
          <w:rFonts w:ascii="Times New Roman" w:hAnsi="Times New Roman" w:cs="Times New Roman"/>
          <w:color w:val="000000"/>
        </w:rPr>
        <w:t xml:space="preserve">par rapport au même trimestre de 2010 </w:t>
      </w:r>
      <w:r w:rsidR="00A521F4" w:rsidRPr="00DB06E9">
        <w:rPr>
          <w:rFonts w:ascii="Times New Roman" w:hAnsi="Times New Roman" w:cs="Times New Roman"/>
          <w:color w:val="000000"/>
        </w:rPr>
        <w:t>(</w:t>
      </w:r>
      <w:r>
        <w:rPr>
          <w:rFonts w:ascii="Times New Roman" w:hAnsi="Times New Roman" w:cs="Times New Roman"/>
          <w:color w:val="000000"/>
        </w:rPr>
        <w:t>+</w:t>
      </w:r>
      <w:r w:rsidR="00A521F4" w:rsidRPr="00DB06E9">
        <w:rPr>
          <w:rFonts w:ascii="Times New Roman" w:hAnsi="Times New Roman" w:cs="Times New Roman"/>
          <w:color w:val="000000"/>
        </w:rPr>
        <w:t>17 points)</w:t>
      </w:r>
      <w:r w:rsidR="00A521F4">
        <w:rPr>
          <w:rFonts w:ascii="Times New Roman" w:hAnsi="Times New Roman" w:cs="Times New Roman"/>
          <w:color w:val="000000"/>
        </w:rPr>
        <w:t xml:space="preserve">, mais </w:t>
      </w:r>
      <w:r w:rsidR="000720FD" w:rsidRPr="00DB06E9">
        <w:rPr>
          <w:rFonts w:ascii="Times New Roman" w:hAnsi="Times New Roman" w:cs="Times New Roman"/>
          <w:color w:val="000000"/>
        </w:rPr>
        <w:t>enregistr</w:t>
      </w:r>
      <w:r w:rsidR="00A521F4">
        <w:rPr>
          <w:rFonts w:ascii="Times New Roman" w:hAnsi="Times New Roman" w:cs="Times New Roman"/>
          <w:color w:val="000000"/>
        </w:rPr>
        <w:t>e</w:t>
      </w:r>
      <w:r w:rsidR="000720FD" w:rsidRPr="00DB06E9">
        <w:rPr>
          <w:rFonts w:ascii="Times New Roman" w:hAnsi="Times New Roman" w:cs="Times New Roman"/>
          <w:color w:val="000000"/>
        </w:rPr>
        <w:t xml:space="preserve"> une </w:t>
      </w:r>
      <w:r w:rsidR="00F8477B">
        <w:rPr>
          <w:rFonts w:ascii="Times New Roman" w:hAnsi="Times New Roman" w:cs="Times New Roman"/>
          <w:color w:val="000000"/>
        </w:rPr>
        <w:t>détérioration</w:t>
      </w:r>
      <w:r w:rsidR="000720FD" w:rsidRPr="00DB06E9">
        <w:rPr>
          <w:rFonts w:ascii="Times New Roman" w:hAnsi="Times New Roman" w:cs="Times New Roman"/>
          <w:color w:val="000000"/>
        </w:rPr>
        <w:t xml:space="preserve"> de 6,</w:t>
      </w:r>
      <w:r w:rsidR="00EF24E6" w:rsidRPr="00DB06E9">
        <w:rPr>
          <w:rFonts w:ascii="Times New Roman" w:hAnsi="Times New Roman" w:cs="Times New Roman"/>
          <w:color w:val="000000"/>
        </w:rPr>
        <w:t>8</w:t>
      </w:r>
      <w:r w:rsidR="000720FD" w:rsidRPr="00DB06E9">
        <w:rPr>
          <w:rFonts w:ascii="Times New Roman" w:hAnsi="Times New Roman" w:cs="Times New Roman"/>
          <w:color w:val="000000"/>
        </w:rPr>
        <w:t xml:space="preserve"> points par rapport au </w:t>
      </w:r>
      <w:r w:rsidR="00A521F4">
        <w:rPr>
          <w:rFonts w:ascii="Times New Roman" w:hAnsi="Times New Roman" w:cs="Times New Roman"/>
          <w:color w:val="000000"/>
        </w:rPr>
        <w:t>troisième trimestre 2011.</w:t>
      </w:r>
      <w:r w:rsidR="000720FD" w:rsidRPr="00DB06E9">
        <w:rPr>
          <w:rFonts w:ascii="Times New Roman" w:hAnsi="Times New Roman" w:cs="Times New Roman"/>
          <w:color w:val="000000"/>
        </w:rPr>
        <w:t xml:space="preserve"> </w:t>
      </w:r>
    </w:p>
    <w:p w:rsidR="000720FD" w:rsidRDefault="000720FD" w:rsidP="000720FD">
      <w:pPr>
        <w:widowControl/>
        <w:spacing w:line="276" w:lineRule="auto"/>
        <w:jc w:val="both"/>
        <w:rPr>
          <w:rFonts w:ascii="Times New Roman" w:hAnsi="Times New Roman" w:cs="Times New Roman"/>
          <w:color w:val="000000"/>
        </w:rPr>
      </w:pPr>
    </w:p>
    <w:p w:rsidR="007909B3" w:rsidRDefault="00A44630" w:rsidP="0019435A">
      <w:pPr>
        <w:widowControl/>
        <w:spacing w:line="276" w:lineRule="auto"/>
        <w:jc w:val="center"/>
        <w:rPr>
          <w:rFonts w:ascii="Book Antiqua" w:hAnsi="Book Antiqua" w:cs="Times New Roman"/>
          <w:color w:val="000000"/>
        </w:rPr>
      </w:pPr>
      <w:r>
        <w:rPr>
          <w:rFonts w:ascii="Book Antiqua" w:hAnsi="Book Antiqua" w:cs="Times New Roman"/>
          <w:noProof/>
          <w:color w:val="000000"/>
        </w:rPr>
        <w:drawing>
          <wp:inline distT="0" distB="0" distL="0" distR="0">
            <wp:extent cx="5976112" cy="2598293"/>
            <wp:effectExtent l="12192" t="6096" r="7366" b="1016"/>
            <wp:docPr id="2"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016B0" w:rsidRDefault="005016B0" w:rsidP="0019435A">
      <w:pPr>
        <w:widowControl/>
        <w:spacing w:line="276" w:lineRule="auto"/>
        <w:jc w:val="center"/>
        <w:rPr>
          <w:rFonts w:ascii="Book Antiqua" w:hAnsi="Book Antiqua" w:cs="Times New Roman"/>
          <w:color w:val="000000"/>
        </w:rPr>
      </w:pPr>
    </w:p>
    <w:p w:rsidR="0032457C" w:rsidRDefault="0032457C" w:rsidP="00222682">
      <w:pPr>
        <w:widowControl/>
        <w:spacing w:line="276" w:lineRule="auto"/>
        <w:jc w:val="both"/>
        <w:rPr>
          <w:rFonts w:ascii="Book Antiqua" w:hAnsi="Book Antiqua" w:cs="Times New Roman"/>
          <w:b/>
          <w:bCs/>
          <w:color w:val="000000"/>
        </w:rPr>
      </w:pPr>
    </w:p>
    <w:p w:rsidR="002C5954" w:rsidRPr="00DB06E9" w:rsidRDefault="002C5954" w:rsidP="00531247">
      <w:pPr>
        <w:widowControl/>
        <w:spacing w:line="276" w:lineRule="auto"/>
        <w:jc w:val="both"/>
        <w:rPr>
          <w:rFonts w:ascii="Times New Roman" w:hAnsi="Times New Roman" w:cs="Times New Roman"/>
          <w:b/>
          <w:bCs/>
          <w:color w:val="000000"/>
        </w:rPr>
      </w:pPr>
      <w:r w:rsidRPr="00DB06E9">
        <w:rPr>
          <w:rFonts w:ascii="Times New Roman" w:hAnsi="Times New Roman" w:cs="Times New Roman"/>
          <w:b/>
          <w:bCs/>
          <w:color w:val="000000"/>
        </w:rPr>
        <w:t xml:space="preserve">• </w:t>
      </w:r>
      <w:r w:rsidR="00A271B5">
        <w:rPr>
          <w:rFonts w:ascii="Times New Roman" w:hAnsi="Times New Roman" w:cs="Times New Roman"/>
          <w:b/>
          <w:bCs/>
          <w:color w:val="000000"/>
        </w:rPr>
        <w:t>Hausse du c</w:t>
      </w:r>
      <w:r w:rsidR="000A40C3">
        <w:rPr>
          <w:rFonts w:ascii="Times New Roman" w:hAnsi="Times New Roman" w:cs="Times New Roman"/>
          <w:b/>
          <w:bCs/>
          <w:color w:val="000000"/>
        </w:rPr>
        <w:t>hômage : anticipation</w:t>
      </w:r>
      <w:r w:rsidR="00CC4490">
        <w:rPr>
          <w:rFonts w:ascii="Times New Roman" w:hAnsi="Times New Roman" w:cs="Times New Roman"/>
          <w:b/>
          <w:bCs/>
          <w:color w:val="000000"/>
        </w:rPr>
        <w:t xml:space="preserve">s </w:t>
      </w:r>
      <w:r w:rsidR="00A271B5">
        <w:rPr>
          <w:rFonts w:ascii="Times New Roman" w:hAnsi="Times New Roman" w:cs="Times New Roman"/>
          <w:b/>
          <w:bCs/>
          <w:color w:val="000000"/>
        </w:rPr>
        <w:t>moins fortes</w:t>
      </w:r>
      <w:r w:rsidR="000A40C3">
        <w:rPr>
          <w:rFonts w:ascii="Times New Roman" w:hAnsi="Times New Roman" w:cs="Times New Roman"/>
          <w:b/>
          <w:bCs/>
          <w:color w:val="000000"/>
        </w:rPr>
        <w:t xml:space="preserve"> </w:t>
      </w:r>
    </w:p>
    <w:p w:rsidR="002C5954" w:rsidRDefault="002C5954" w:rsidP="00531247">
      <w:pPr>
        <w:widowControl/>
        <w:spacing w:line="276" w:lineRule="auto"/>
        <w:jc w:val="both"/>
        <w:rPr>
          <w:rFonts w:ascii="Times New Roman" w:hAnsi="Times New Roman" w:cs="Times New Roman"/>
          <w:color w:val="000000"/>
        </w:rPr>
      </w:pPr>
      <w:r>
        <w:rPr>
          <w:rFonts w:ascii="Times New Roman" w:hAnsi="Times New Roman" w:cs="Times New Roman"/>
          <w:color w:val="000000"/>
        </w:rPr>
        <w:t>A</w:t>
      </w:r>
      <w:r w:rsidRPr="00DB06E9">
        <w:rPr>
          <w:rFonts w:ascii="Times New Roman" w:hAnsi="Times New Roman" w:cs="Times New Roman"/>
          <w:color w:val="000000"/>
        </w:rPr>
        <w:t>u quatrième trimestre de 2011</w:t>
      </w:r>
      <w:r>
        <w:rPr>
          <w:rFonts w:ascii="Times New Roman" w:hAnsi="Times New Roman" w:cs="Times New Roman"/>
          <w:color w:val="000000"/>
        </w:rPr>
        <w:t xml:space="preserve">, </w:t>
      </w:r>
      <w:r w:rsidR="00031CFB">
        <w:rPr>
          <w:rFonts w:ascii="Times New Roman" w:hAnsi="Times New Roman" w:cs="Times New Roman"/>
          <w:color w:val="000000"/>
        </w:rPr>
        <w:t>p</w:t>
      </w:r>
      <w:r>
        <w:rPr>
          <w:rFonts w:ascii="Times New Roman" w:hAnsi="Times New Roman" w:cs="Times New Roman"/>
          <w:color w:val="000000"/>
        </w:rPr>
        <w:t>rès de six  ménages sur dix (60,</w:t>
      </w:r>
      <w:r w:rsidR="0021180E">
        <w:rPr>
          <w:rFonts w:ascii="Times New Roman" w:hAnsi="Times New Roman" w:cs="Times New Roman"/>
          <w:color w:val="000000"/>
        </w:rPr>
        <w:t>5</w:t>
      </w:r>
      <w:r>
        <w:rPr>
          <w:rFonts w:ascii="Times New Roman" w:hAnsi="Times New Roman" w:cs="Times New Roman"/>
          <w:color w:val="000000"/>
        </w:rPr>
        <w:t>%) anticipent une hausse du nombre de chômeurs</w:t>
      </w:r>
      <w:r w:rsidR="000A40C3">
        <w:rPr>
          <w:rFonts w:ascii="Times New Roman" w:hAnsi="Times New Roman" w:cs="Times New Roman"/>
          <w:color w:val="000000"/>
        </w:rPr>
        <w:t xml:space="preserve"> pour l</w:t>
      </w:r>
      <w:r>
        <w:rPr>
          <w:rFonts w:ascii="Times New Roman" w:hAnsi="Times New Roman" w:cs="Times New Roman"/>
          <w:color w:val="000000"/>
        </w:rPr>
        <w:t xml:space="preserve">es 12 mois </w:t>
      </w:r>
      <w:r w:rsidR="000A40C3">
        <w:rPr>
          <w:rFonts w:ascii="Times New Roman" w:hAnsi="Times New Roman" w:cs="Times New Roman"/>
          <w:color w:val="000000"/>
        </w:rPr>
        <w:t xml:space="preserve">à venir. Avec </w:t>
      </w:r>
      <w:r>
        <w:rPr>
          <w:rFonts w:ascii="Times New Roman" w:hAnsi="Times New Roman" w:cs="Times New Roman"/>
          <w:color w:val="000000"/>
        </w:rPr>
        <w:t>18,9%</w:t>
      </w:r>
      <w:r w:rsidR="000A40C3">
        <w:rPr>
          <w:rFonts w:ascii="Times New Roman" w:hAnsi="Times New Roman" w:cs="Times New Roman"/>
          <w:color w:val="000000"/>
        </w:rPr>
        <w:t xml:space="preserve"> </w:t>
      </w:r>
      <w:r>
        <w:rPr>
          <w:rFonts w:ascii="Times New Roman" w:hAnsi="Times New Roman" w:cs="Times New Roman"/>
          <w:color w:val="000000"/>
        </w:rPr>
        <w:t xml:space="preserve"> </w:t>
      </w:r>
      <w:r w:rsidR="00EF3BCC">
        <w:rPr>
          <w:rFonts w:ascii="Times New Roman" w:hAnsi="Times New Roman" w:cs="Times New Roman"/>
          <w:color w:val="000000"/>
        </w:rPr>
        <w:t xml:space="preserve">qui </w:t>
      </w:r>
      <w:r>
        <w:rPr>
          <w:rFonts w:ascii="Times New Roman" w:hAnsi="Times New Roman" w:cs="Times New Roman"/>
          <w:color w:val="000000"/>
        </w:rPr>
        <w:t>anticipent plutôt une baisse</w:t>
      </w:r>
      <w:r w:rsidR="00EF3BCC">
        <w:rPr>
          <w:rFonts w:ascii="Times New Roman" w:hAnsi="Times New Roman" w:cs="Times New Roman"/>
          <w:color w:val="000000"/>
        </w:rPr>
        <w:t>, l</w:t>
      </w:r>
      <w:r>
        <w:rPr>
          <w:rFonts w:ascii="Times New Roman" w:hAnsi="Times New Roman" w:cs="Times New Roman"/>
          <w:color w:val="000000"/>
        </w:rPr>
        <w:t>e solde de cet indicateur s'établit à un niveau négatif de -41,6 points</w:t>
      </w:r>
      <w:r w:rsidR="00EF3BCC">
        <w:rPr>
          <w:rFonts w:ascii="Times New Roman" w:hAnsi="Times New Roman" w:cs="Times New Roman"/>
          <w:color w:val="000000"/>
        </w:rPr>
        <w:t>, soit une quasi stabilité</w:t>
      </w:r>
      <w:r>
        <w:rPr>
          <w:rFonts w:ascii="Times New Roman" w:hAnsi="Times New Roman" w:cs="Times New Roman"/>
          <w:color w:val="000000"/>
        </w:rPr>
        <w:t xml:space="preserve"> par rapport à son niveau un trimestre auparavant (-41), mais </w:t>
      </w:r>
      <w:r w:rsidR="00EF3BCC">
        <w:rPr>
          <w:rFonts w:ascii="Times New Roman" w:hAnsi="Times New Roman" w:cs="Times New Roman"/>
          <w:color w:val="000000"/>
        </w:rPr>
        <w:t>marquant une</w:t>
      </w:r>
      <w:r>
        <w:rPr>
          <w:rFonts w:ascii="Times New Roman" w:hAnsi="Times New Roman" w:cs="Times New Roman"/>
          <w:color w:val="000000"/>
        </w:rPr>
        <w:t xml:space="preserve"> nette amélioration par rapport au quatrième trimestre de 2010 où il avait atteint -52,3. </w:t>
      </w:r>
    </w:p>
    <w:p w:rsidR="004C26D2" w:rsidRDefault="004C26D2" w:rsidP="00531247">
      <w:pPr>
        <w:widowControl/>
        <w:spacing w:line="276" w:lineRule="auto"/>
        <w:jc w:val="both"/>
        <w:rPr>
          <w:rFonts w:ascii="Book Antiqua" w:hAnsi="Book Antiqua" w:cs="Times New Roman"/>
          <w:b/>
          <w:bCs/>
          <w:color w:val="000000"/>
        </w:rPr>
      </w:pPr>
    </w:p>
    <w:p w:rsidR="005D733B" w:rsidRPr="00DB06E9" w:rsidRDefault="005D733B" w:rsidP="00531247">
      <w:pPr>
        <w:widowControl/>
        <w:spacing w:line="276" w:lineRule="auto"/>
        <w:jc w:val="both"/>
        <w:rPr>
          <w:rFonts w:ascii="Times New Roman" w:hAnsi="Times New Roman" w:cs="Times New Roman"/>
          <w:b/>
          <w:bCs/>
          <w:color w:val="000000"/>
        </w:rPr>
      </w:pPr>
      <w:r w:rsidRPr="00DB06E9">
        <w:rPr>
          <w:rFonts w:ascii="Times New Roman" w:hAnsi="Times New Roman" w:cs="Times New Roman"/>
          <w:b/>
          <w:bCs/>
          <w:color w:val="000000"/>
        </w:rPr>
        <w:t xml:space="preserve">• </w:t>
      </w:r>
      <w:r w:rsidR="00400110">
        <w:rPr>
          <w:rFonts w:ascii="Times New Roman" w:hAnsi="Times New Roman" w:cs="Times New Roman"/>
          <w:b/>
          <w:bCs/>
          <w:color w:val="000000"/>
        </w:rPr>
        <w:t xml:space="preserve">Achat de biens </w:t>
      </w:r>
      <w:r w:rsidRPr="00DB06E9">
        <w:rPr>
          <w:rFonts w:ascii="Times New Roman" w:hAnsi="Times New Roman" w:cs="Times New Roman"/>
          <w:b/>
          <w:bCs/>
          <w:color w:val="000000"/>
        </w:rPr>
        <w:t>durables</w:t>
      </w:r>
      <w:r w:rsidR="00400110">
        <w:rPr>
          <w:rFonts w:ascii="Times New Roman" w:hAnsi="Times New Roman" w:cs="Times New Roman"/>
          <w:b/>
          <w:bCs/>
          <w:color w:val="000000"/>
        </w:rPr>
        <w:t> : moment peu opportun</w:t>
      </w:r>
    </w:p>
    <w:p w:rsidR="007C2155" w:rsidRPr="00DB06E9" w:rsidRDefault="0069792B" w:rsidP="00531247">
      <w:pPr>
        <w:widowControl/>
        <w:spacing w:line="276" w:lineRule="auto"/>
        <w:jc w:val="both"/>
        <w:rPr>
          <w:rFonts w:ascii="Times New Roman" w:hAnsi="Times New Roman" w:cs="Times New Roman"/>
          <w:color w:val="000000"/>
        </w:rPr>
      </w:pPr>
      <w:r w:rsidRPr="00DB06E9">
        <w:rPr>
          <w:rFonts w:ascii="Times New Roman" w:hAnsi="Times New Roman" w:cs="Times New Roman"/>
          <w:color w:val="000000"/>
        </w:rPr>
        <w:t>Au quatrième trimestre de 201</w:t>
      </w:r>
      <w:r w:rsidR="00960BF0">
        <w:rPr>
          <w:rFonts w:ascii="Times New Roman" w:hAnsi="Times New Roman" w:cs="Times New Roman"/>
          <w:color w:val="000000"/>
        </w:rPr>
        <w:t>1</w:t>
      </w:r>
      <w:r w:rsidRPr="00DB06E9">
        <w:rPr>
          <w:rFonts w:ascii="Times New Roman" w:hAnsi="Times New Roman" w:cs="Times New Roman"/>
          <w:color w:val="000000"/>
        </w:rPr>
        <w:t xml:space="preserve">, </w:t>
      </w:r>
      <w:r w:rsidR="00E265E4" w:rsidRPr="00DB06E9">
        <w:rPr>
          <w:rFonts w:ascii="Times New Roman" w:hAnsi="Times New Roman" w:cs="Times New Roman"/>
          <w:color w:val="000000"/>
        </w:rPr>
        <w:t>56</w:t>
      </w:r>
      <w:r w:rsidR="00381490">
        <w:rPr>
          <w:rFonts w:ascii="Times New Roman" w:hAnsi="Times New Roman" w:cs="Times New Roman"/>
          <w:color w:val="000000"/>
        </w:rPr>
        <w:t>,</w:t>
      </w:r>
      <w:r w:rsidR="0021180E">
        <w:rPr>
          <w:rFonts w:ascii="Times New Roman" w:hAnsi="Times New Roman" w:cs="Times New Roman"/>
          <w:color w:val="000000"/>
        </w:rPr>
        <w:t>5</w:t>
      </w:r>
      <w:r w:rsidR="00E265E4" w:rsidRPr="00DB06E9">
        <w:rPr>
          <w:rFonts w:ascii="Times New Roman" w:hAnsi="Times New Roman" w:cs="Times New Roman"/>
          <w:color w:val="000000"/>
        </w:rPr>
        <w:t>% des</w:t>
      </w:r>
      <w:r w:rsidR="005D733B" w:rsidRPr="00DB06E9">
        <w:rPr>
          <w:rFonts w:ascii="Times New Roman" w:hAnsi="Times New Roman" w:cs="Times New Roman"/>
          <w:color w:val="000000"/>
        </w:rPr>
        <w:t xml:space="preserve"> ménages </w:t>
      </w:r>
      <w:r w:rsidR="00E265E4" w:rsidRPr="00DB06E9">
        <w:rPr>
          <w:rFonts w:ascii="Times New Roman" w:hAnsi="Times New Roman" w:cs="Times New Roman"/>
          <w:color w:val="000000"/>
        </w:rPr>
        <w:t xml:space="preserve">considèrent </w:t>
      </w:r>
      <w:r w:rsidR="000F6CE8" w:rsidRPr="00DB06E9">
        <w:rPr>
          <w:rFonts w:ascii="Times New Roman" w:hAnsi="Times New Roman" w:cs="Times New Roman"/>
          <w:color w:val="000000"/>
        </w:rPr>
        <w:t xml:space="preserve">que </w:t>
      </w:r>
      <w:r w:rsidR="0019435A" w:rsidRPr="00DB06E9">
        <w:rPr>
          <w:rFonts w:ascii="Times New Roman" w:hAnsi="Times New Roman" w:cs="Times New Roman"/>
          <w:color w:val="000000"/>
        </w:rPr>
        <w:t xml:space="preserve">le moment </w:t>
      </w:r>
      <w:r w:rsidR="00E265E4" w:rsidRPr="00DB06E9">
        <w:rPr>
          <w:rFonts w:ascii="Times New Roman" w:hAnsi="Times New Roman" w:cs="Times New Roman"/>
          <w:color w:val="000000"/>
        </w:rPr>
        <w:t xml:space="preserve">n’est pas </w:t>
      </w:r>
      <w:r w:rsidR="00E9062C" w:rsidRPr="00DB06E9">
        <w:rPr>
          <w:rFonts w:ascii="Times New Roman" w:hAnsi="Times New Roman" w:cs="Times New Roman"/>
          <w:color w:val="000000"/>
        </w:rPr>
        <w:t xml:space="preserve">opportun </w:t>
      </w:r>
      <w:r w:rsidR="00A7325E" w:rsidRPr="00DB06E9">
        <w:rPr>
          <w:rFonts w:ascii="Times New Roman" w:hAnsi="Times New Roman" w:cs="Times New Roman"/>
          <w:color w:val="000000"/>
        </w:rPr>
        <w:t>pour</w:t>
      </w:r>
      <w:r w:rsidR="00E9062C" w:rsidRPr="00DB06E9">
        <w:rPr>
          <w:rFonts w:ascii="Times New Roman" w:hAnsi="Times New Roman" w:cs="Times New Roman"/>
          <w:color w:val="000000"/>
        </w:rPr>
        <w:t xml:space="preserve"> faire des achats </w:t>
      </w:r>
      <w:r w:rsidR="0019435A" w:rsidRPr="00DB06E9">
        <w:rPr>
          <w:rFonts w:ascii="Times New Roman" w:hAnsi="Times New Roman" w:cs="Times New Roman"/>
          <w:color w:val="000000"/>
        </w:rPr>
        <w:t>de biens durables</w:t>
      </w:r>
      <w:r w:rsidR="00097300">
        <w:rPr>
          <w:rFonts w:ascii="Times New Roman" w:hAnsi="Times New Roman" w:cs="Times New Roman"/>
          <w:color w:val="000000"/>
        </w:rPr>
        <w:t xml:space="preserve"> et</w:t>
      </w:r>
      <w:r w:rsidR="00381490">
        <w:rPr>
          <w:rFonts w:ascii="Times New Roman" w:hAnsi="Times New Roman" w:cs="Times New Roman"/>
          <w:color w:val="000000"/>
        </w:rPr>
        <w:t xml:space="preserve"> 18% </w:t>
      </w:r>
      <w:r w:rsidR="00097300">
        <w:rPr>
          <w:rFonts w:ascii="Times New Roman" w:hAnsi="Times New Roman" w:cs="Times New Roman"/>
          <w:color w:val="000000"/>
        </w:rPr>
        <w:t>pens</w:t>
      </w:r>
      <w:r w:rsidR="00381490">
        <w:rPr>
          <w:rFonts w:ascii="Times New Roman" w:hAnsi="Times New Roman" w:cs="Times New Roman"/>
          <w:color w:val="000000"/>
        </w:rPr>
        <w:t>ent le contraire</w:t>
      </w:r>
      <w:r w:rsidR="005D733B" w:rsidRPr="00DB06E9">
        <w:rPr>
          <w:rFonts w:ascii="Times New Roman" w:hAnsi="Times New Roman" w:cs="Times New Roman"/>
          <w:color w:val="000000"/>
        </w:rPr>
        <w:t xml:space="preserve">. </w:t>
      </w:r>
      <w:r w:rsidR="00381490">
        <w:rPr>
          <w:rFonts w:ascii="Times New Roman" w:hAnsi="Times New Roman" w:cs="Times New Roman"/>
          <w:color w:val="000000"/>
        </w:rPr>
        <w:t>Le solde relatif à cet indicateur s'établit ainsi à -38,5. Il s'inscrit en</w:t>
      </w:r>
      <w:r w:rsidR="007C2155" w:rsidRPr="00DB06E9">
        <w:rPr>
          <w:rFonts w:ascii="Times New Roman" w:hAnsi="Times New Roman" w:cs="Times New Roman"/>
          <w:color w:val="000000"/>
        </w:rPr>
        <w:t xml:space="preserve"> baisse de 2,1 points par rapport au trimestre précédent </w:t>
      </w:r>
      <w:r w:rsidR="00381490">
        <w:rPr>
          <w:rFonts w:ascii="Times New Roman" w:hAnsi="Times New Roman" w:cs="Times New Roman"/>
          <w:color w:val="000000"/>
        </w:rPr>
        <w:t xml:space="preserve">mais reste en hausse </w:t>
      </w:r>
      <w:r w:rsidR="007C2155" w:rsidRPr="00DB06E9">
        <w:rPr>
          <w:rFonts w:ascii="Times New Roman" w:hAnsi="Times New Roman" w:cs="Times New Roman"/>
          <w:color w:val="000000"/>
        </w:rPr>
        <w:t xml:space="preserve">de 5,8 points par rapport </w:t>
      </w:r>
      <w:r w:rsidR="00960BF0">
        <w:rPr>
          <w:rFonts w:ascii="Times New Roman" w:hAnsi="Times New Roman" w:cs="Times New Roman"/>
          <w:color w:val="000000"/>
        </w:rPr>
        <w:t xml:space="preserve">à la même période </w:t>
      </w:r>
      <w:r w:rsidR="007C2155" w:rsidRPr="00DB06E9">
        <w:rPr>
          <w:rFonts w:ascii="Times New Roman" w:hAnsi="Times New Roman" w:cs="Times New Roman"/>
          <w:color w:val="000000"/>
        </w:rPr>
        <w:t>de l'année précédente.</w:t>
      </w:r>
    </w:p>
    <w:p w:rsidR="00E9062C" w:rsidRPr="00DB06E9" w:rsidRDefault="00E9062C" w:rsidP="00531247">
      <w:pPr>
        <w:widowControl/>
        <w:spacing w:line="276" w:lineRule="auto"/>
        <w:jc w:val="both"/>
        <w:rPr>
          <w:rFonts w:ascii="Times New Roman" w:hAnsi="Times New Roman" w:cs="Times New Roman"/>
          <w:b/>
          <w:bCs/>
          <w:color w:val="000000"/>
        </w:rPr>
      </w:pPr>
    </w:p>
    <w:p w:rsidR="00222682" w:rsidRPr="00DB06E9" w:rsidRDefault="00222682" w:rsidP="00531247">
      <w:pPr>
        <w:widowControl/>
        <w:spacing w:line="276" w:lineRule="auto"/>
        <w:jc w:val="both"/>
        <w:rPr>
          <w:rFonts w:ascii="Times New Roman" w:hAnsi="Times New Roman" w:cs="Times New Roman"/>
          <w:b/>
          <w:bCs/>
          <w:color w:val="000000"/>
        </w:rPr>
      </w:pPr>
      <w:r w:rsidRPr="00DB06E9">
        <w:rPr>
          <w:rFonts w:ascii="Times New Roman" w:hAnsi="Times New Roman" w:cs="Times New Roman"/>
          <w:b/>
          <w:bCs/>
          <w:color w:val="000000"/>
        </w:rPr>
        <w:t>•</w:t>
      </w:r>
      <w:r w:rsidR="008F01C0" w:rsidRPr="00DB06E9">
        <w:rPr>
          <w:rFonts w:ascii="Times New Roman" w:hAnsi="Times New Roman" w:cs="Times New Roman"/>
          <w:b/>
          <w:bCs/>
          <w:color w:val="000000"/>
        </w:rPr>
        <w:t xml:space="preserve"> </w:t>
      </w:r>
      <w:r w:rsidR="008F01C0">
        <w:rPr>
          <w:rFonts w:ascii="Times New Roman" w:hAnsi="Times New Roman" w:cs="Times New Roman"/>
          <w:b/>
          <w:bCs/>
          <w:color w:val="000000"/>
        </w:rPr>
        <w:t>S</w:t>
      </w:r>
      <w:r w:rsidRPr="00DB06E9">
        <w:rPr>
          <w:rFonts w:ascii="Times New Roman" w:hAnsi="Times New Roman" w:cs="Times New Roman"/>
          <w:b/>
          <w:bCs/>
          <w:color w:val="000000"/>
        </w:rPr>
        <w:t>ituation financière</w:t>
      </w:r>
      <w:r w:rsidR="008F01C0">
        <w:rPr>
          <w:rFonts w:ascii="Times New Roman" w:hAnsi="Times New Roman" w:cs="Times New Roman"/>
          <w:b/>
          <w:bCs/>
          <w:color w:val="000000"/>
        </w:rPr>
        <w:t xml:space="preserve"> des ménages : légère </w:t>
      </w:r>
      <w:r w:rsidR="00DF1AB5">
        <w:rPr>
          <w:rFonts w:ascii="Times New Roman" w:hAnsi="Times New Roman" w:cs="Times New Roman"/>
          <w:b/>
          <w:bCs/>
          <w:color w:val="000000"/>
        </w:rPr>
        <w:t>détérioration</w:t>
      </w:r>
      <w:r w:rsidR="008F01C0">
        <w:rPr>
          <w:rFonts w:ascii="Times New Roman" w:hAnsi="Times New Roman" w:cs="Times New Roman"/>
          <w:b/>
          <w:bCs/>
          <w:color w:val="000000"/>
        </w:rPr>
        <w:t xml:space="preserve"> </w:t>
      </w:r>
    </w:p>
    <w:p w:rsidR="003C1028" w:rsidRDefault="00097300" w:rsidP="003A7ECC">
      <w:pPr>
        <w:widowControl/>
        <w:spacing w:line="276" w:lineRule="auto"/>
        <w:jc w:val="both"/>
        <w:rPr>
          <w:rFonts w:ascii="Times New Roman" w:hAnsi="Times New Roman" w:cs="Times New Roman"/>
          <w:color w:val="000000"/>
        </w:rPr>
      </w:pPr>
      <w:r>
        <w:rPr>
          <w:rFonts w:ascii="Times New Roman" w:hAnsi="Times New Roman" w:cs="Times New Roman"/>
          <w:color w:val="000000"/>
        </w:rPr>
        <w:t>Par rapport au trimestre précédent, l</w:t>
      </w:r>
      <w:r w:rsidR="00073079" w:rsidRPr="00DB06E9">
        <w:rPr>
          <w:rFonts w:ascii="Times New Roman" w:hAnsi="Times New Roman" w:cs="Times New Roman"/>
          <w:color w:val="000000"/>
        </w:rPr>
        <w:t xml:space="preserve">es ménages </w:t>
      </w:r>
      <w:r w:rsidR="003C1028">
        <w:rPr>
          <w:rFonts w:ascii="Times New Roman" w:hAnsi="Times New Roman" w:cs="Times New Roman"/>
          <w:color w:val="000000"/>
        </w:rPr>
        <w:t>affichent</w:t>
      </w:r>
      <w:r>
        <w:rPr>
          <w:rFonts w:ascii="Times New Roman" w:hAnsi="Times New Roman" w:cs="Times New Roman"/>
          <w:color w:val="000000"/>
        </w:rPr>
        <w:t>, a</w:t>
      </w:r>
      <w:r w:rsidRPr="00DB06E9">
        <w:rPr>
          <w:rFonts w:ascii="Times New Roman" w:hAnsi="Times New Roman" w:cs="Times New Roman"/>
          <w:color w:val="000000"/>
        </w:rPr>
        <w:t xml:space="preserve">u quatrième trimestre de 2011, </w:t>
      </w:r>
      <w:r w:rsidR="00073079" w:rsidRPr="00DB06E9">
        <w:rPr>
          <w:rFonts w:ascii="Times New Roman" w:hAnsi="Times New Roman" w:cs="Times New Roman"/>
          <w:color w:val="000000"/>
        </w:rPr>
        <w:t xml:space="preserve">une appréciation négative de leur situation financière actuelle et de </w:t>
      </w:r>
      <w:r w:rsidR="003A7ECC">
        <w:rPr>
          <w:rFonts w:ascii="Times New Roman" w:hAnsi="Times New Roman" w:cs="Times New Roman"/>
          <w:color w:val="000000"/>
        </w:rPr>
        <w:t>ses</w:t>
      </w:r>
      <w:r w:rsidR="00073079" w:rsidRPr="00DB06E9">
        <w:rPr>
          <w:rFonts w:ascii="Times New Roman" w:hAnsi="Times New Roman" w:cs="Times New Roman"/>
          <w:color w:val="000000"/>
        </w:rPr>
        <w:t xml:space="preserve"> évolution</w:t>
      </w:r>
      <w:r w:rsidR="003A7ECC">
        <w:rPr>
          <w:rFonts w:ascii="Times New Roman" w:hAnsi="Times New Roman" w:cs="Times New Roman"/>
          <w:color w:val="000000"/>
        </w:rPr>
        <w:t>s</w:t>
      </w:r>
      <w:r w:rsidR="00073079" w:rsidRPr="00DB06E9">
        <w:rPr>
          <w:rFonts w:ascii="Times New Roman" w:hAnsi="Times New Roman" w:cs="Times New Roman"/>
          <w:color w:val="000000"/>
        </w:rPr>
        <w:t xml:space="preserve"> passée et future. Les soldes relatifs à ces</w:t>
      </w:r>
      <w:r>
        <w:rPr>
          <w:rFonts w:ascii="Times New Roman" w:hAnsi="Times New Roman" w:cs="Times New Roman"/>
          <w:color w:val="000000"/>
        </w:rPr>
        <w:t xml:space="preserve"> trois</w:t>
      </w:r>
      <w:r w:rsidR="00073079" w:rsidRPr="00DB06E9">
        <w:rPr>
          <w:rFonts w:ascii="Times New Roman" w:hAnsi="Times New Roman" w:cs="Times New Roman"/>
          <w:color w:val="000000"/>
        </w:rPr>
        <w:t xml:space="preserve"> indicateurs se sont détériorés de 1,4</w:t>
      </w:r>
      <w:r w:rsidR="00452F6C">
        <w:rPr>
          <w:rFonts w:ascii="Times New Roman" w:hAnsi="Times New Roman" w:cs="Times New Roman"/>
          <w:color w:val="000000"/>
        </w:rPr>
        <w:t xml:space="preserve"> point</w:t>
      </w:r>
      <w:r w:rsidR="00073079" w:rsidRPr="00DB06E9">
        <w:rPr>
          <w:rFonts w:ascii="Times New Roman" w:hAnsi="Times New Roman" w:cs="Times New Roman"/>
          <w:color w:val="000000"/>
        </w:rPr>
        <w:t xml:space="preserve">, </w:t>
      </w:r>
      <w:r>
        <w:rPr>
          <w:rFonts w:ascii="Times New Roman" w:hAnsi="Times New Roman" w:cs="Times New Roman"/>
          <w:color w:val="000000"/>
        </w:rPr>
        <w:t xml:space="preserve">de </w:t>
      </w:r>
      <w:r w:rsidR="00073079" w:rsidRPr="00DB06E9">
        <w:rPr>
          <w:rFonts w:ascii="Times New Roman" w:hAnsi="Times New Roman" w:cs="Times New Roman"/>
          <w:color w:val="000000"/>
        </w:rPr>
        <w:t xml:space="preserve">3,4 </w:t>
      </w:r>
      <w:r w:rsidR="00452F6C">
        <w:rPr>
          <w:rFonts w:ascii="Times New Roman" w:hAnsi="Times New Roman" w:cs="Times New Roman"/>
          <w:color w:val="000000"/>
        </w:rPr>
        <w:t xml:space="preserve">points </w:t>
      </w:r>
      <w:r w:rsidR="00073079" w:rsidRPr="00DB06E9">
        <w:rPr>
          <w:rFonts w:ascii="Times New Roman" w:hAnsi="Times New Roman" w:cs="Times New Roman"/>
          <w:color w:val="000000"/>
        </w:rPr>
        <w:t xml:space="preserve">et </w:t>
      </w:r>
      <w:r w:rsidR="003C1028">
        <w:rPr>
          <w:rFonts w:ascii="Times New Roman" w:hAnsi="Times New Roman" w:cs="Times New Roman"/>
          <w:color w:val="000000"/>
        </w:rPr>
        <w:t xml:space="preserve">de </w:t>
      </w:r>
      <w:r w:rsidR="00073079" w:rsidRPr="00DB06E9">
        <w:rPr>
          <w:rFonts w:ascii="Times New Roman" w:hAnsi="Times New Roman" w:cs="Times New Roman"/>
          <w:color w:val="000000"/>
        </w:rPr>
        <w:t xml:space="preserve">1,1 point respectivement. </w:t>
      </w:r>
    </w:p>
    <w:p w:rsidR="003C1028" w:rsidRDefault="003C1028" w:rsidP="00531247">
      <w:pPr>
        <w:widowControl/>
        <w:spacing w:line="276" w:lineRule="auto"/>
        <w:jc w:val="both"/>
        <w:rPr>
          <w:rFonts w:ascii="Times New Roman" w:hAnsi="Times New Roman" w:cs="Times New Roman"/>
          <w:color w:val="000000"/>
        </w:rPr>
      </w:pPr>
    </w:p>
    <w:p w:rsidR="00073079" w:rsidRPr="00DB06E9" w:rsidRDefault="003C1028" w:rsidP="00531247">
      <w:pPr>
        <w:widowControl/>
        <w:spacing w:line="276" w:lineRule="auto"/>
        <w:jc w:val="both"/>
        <w:rPr>
          <w:rFonts w:ascii="Times New Roman" w:hAnsi="Times New Roman" w:cs="Times New Roman"/>
          <w:color w:val="000000"/>
        </w:rPr>
      </w:pPr>
      <w:r>
        <w:rPr>
          <w:rFonts w:ascii="Times New Roman" w:hAnsi="Times New Roman" w:cs="Times New Roman"/>
          <w:color w:val="000000"/>
        </w:rPr>
        <w:t>Comparé</w:t>
      </w:r>
      <w:r w:rsidR="00452F6C">
        <w:rPr>
          <w:rFonts w:ascii="Times New Roman" w:hAnsi="Times New Roman" w:cs="Times New Roman"/>
          <w:color w:val="000000"/>
        </w:rPr>
        <w:t>e</w:t>
      </w:r>
      <w:r>
        <w:rPr>
          <w:rFonts w:ascii="Times New Roman" w:hAnsi="Times New Roman" w:cs="Times New Roman"/>
          <w:color w:val="000000"/>
        </w:rPr>
        <w:t xml:space="preserve"> </w:t>
      </w:r>
      <w:r w:rsidR="00073079" w:rsidRPr="00DB06E9">
        <w:rPr>
          <w:rFonts w:ascii="Times New Roman" w:hAnsi="Times New Roman" w:cs="Times New Roman"/>
          <w:color w:val="000000"/>
        </w:rPr>
        <w:t xml:space="preserve">à la même période de 2010, </w:t>
      </w:r>
      <w:r>
        <w:rPr>
          <w:rFonts w:ascii="Times New Roman" w:hAnsi="Times New Roman" w:cs="Times New Roman"/>
          <w:color w:val="000000"/>
        </w:rPr>
        <w:t xml:space="preserve">l’opinion des ménages </w:t>
      </w:r>
      <w:r w:rsidR="00452F6C">
        <w:rPr>
          <w:rFonts w:ascii="Times New Roman" w:hAnsi="Times New Roman" w:cs="Times New Roman"/>
          <w:color w:val="000000"/>
        </w:rPr>
        <w:t>s’est relativement améliorée, l</w:t>
      </w:r>
      <w:r w:rsidR="00073079" w:rsidRPr="00DB06E9">
        <w:rPr>
          <w:rFonts w:ascii="Times New Roman" w:hAnsi="Times New Roman" w:cs="Times New Roman"/>
          <w:color w:val="000000"/>
        </w:rPr>
        <w:t xml:space="preserve">es soldes respectifs ont </w:t>
      </w:r>
      <w:r>
        <w:rPr>
          <w:rFonts w:ascii="Times New Roman" w:hAnsi="Times New Roman" w:cs="Times New Roman"/>
          <w:color w:val="000000"/>
        </w:rPr>
        <w:t>augmenté</w:t>
      </w:r>
      <w:r w:rsidR="00073079" w:rsidRPr="00DB06E9">
        <w:rPr>
          <w:rFonts w:ascii="Times New Roman" w:hAnsi="Times New Roman" w:cs="Times New Roman"/>
          <w:color w:val="000000"/>
        </w:rPr>
        <w:t xml:space="preserve"> de </w:t>
      </w:r>
      <w:r w:rsidR="002041E9" w:rsidRPr="00DB06E9">
        <w:rPr>
          <w:rFonts w:ascii="Times New Roman" w:hAnsi="Times New Roman" w:cs="Times New Roman"/>
          <w:color w:val="000000"/>
        </w:rPr>
        <w:t>2,4</w:t>
      </w:r>
      <w:r w:rsidR="00452F6C">
        <w:rPr>
          <w:rFonts w:ascii="Times New Roman" w:hAnsi="Times New Roman" w:cs="Times New Roman"/>
          <w:color w:val="000000"/>
        </w:rPr>
        <w:t xml:space="preserve"> points</w:t>
      </w:r>
      <w:r w:rsidR="002041E9" w:rsidRPr="00DB06E9">
        <w:rPr>
          <w:rFonts w:ascii="Times New Roman" w:hAnsi="Times New Roman" w:cs="Times New Roman"/>
          <w:color w:val="000000"/>
        </w:rPr>
        <w:t>,</w:t>
      </w:r>
      <w:r w:rsidR="00073079" w:rsidRPr="00DB06E9">
        <w:rPr>
          <w:rFonts w:ascii="Times New Roman" w:hAnsi="Times New Roman" w:cs="Times New Roman"/>
          <w:color w:val="000000"/>
        </w:rPr>
        <w:t xml:space="preserve"> </w:t>
      </w:r>
      <w:r w:rsidR="00097300">
        <w:rPr>
          <w:rFonts w:ascii="Times New Roman" w:hAnsi="Times New Roman" w:cs="Times New Roman"/>
          <w:color w:val="000000"/>
        </w:rPr>
        <w:t xml:space="preserve">de </w:t>
      </w:r>
      <w:r w:rsidR="00073079" w:rsidRPr="00DB06E9">
        <w:rPr>
          <w:rFonts w:ascii="Times New Roman" w:hAnsi="Times New Roman" w:cs="Times New Roman"/>
          <w:color w:val="000000"/>
        </w:rPr>
        <w:t xml:space="preserve">3 </w:t>
      </w:r>
      <w:r w:rsidR="00452F6C">
        <w:rPr>
          <w:rFonts w:ascii="Times New Roman" w:hAnsi="Times New Roman" w:cs="Times New Roman"/>
          <w:color w:val="000000"/>
        </w:rPr>
        <w:t xml:space="preserve">points </w:t>
      </w:r>
      <w:r w:rsidR="00073079" w:rsidRPr="00DB06E9">
        <w:rPr>
          <w:rFonts w:ascii="Times New Roman" w:hAnsi="Times New Roman" w:cs="Times New Roman"/>
          <w:color w:val="000000"/>
        </w:rPr>
        <w:t xml:space="preserve">et </w:t>
      </w:r>
      <w:r w:rsidR="00097300">
        <w:rPr>
          <w:rFonts w:ascii="Times New Roman" w:hAnsi="Times New Roman" w:cs="Times New Roman"/>
          <w:color w:val="000000"/>
        </w:rPr>
        <w:t xml:space="preserve">de </w:t>
      </w:r>
      <w:r w:rsidR="00073079" w:rsidRPr="00DB06E9">
        <w:rPr>
          <w:rFonts w:ascii="Times New Roman" w:hAnsi="Times New Roman" w:cs="Times New Roman"/>
          <w:color w:val="000000"/>
        </w:rPr>
        <w:t>4,6 points.</w:t>
      </w:r>
    </w:p>
    <w:p w:rsidR="00073079" w:rsidRPr="00DB06E9" w:rsidRDefault="00073079" w:rsidP="00DB06E9">
      <w:pPr>
        <w:widowControl/>
        <w:spacing w:line="360" w:lineRule="auto"/>
        <w:jc w:val="both"/>
        <w:rPr>
          <w:rFonts w:ascii="Times New Roman" w:hAnsi="Times New Roman" w:cs="Times New Roman"/>
          <w:color w:val="000000"/>
        </w:rPr>
      </w:pPr>
    </w:p>
    <w:p w:rsidR="00B2336A" w:rsidRDefault="00A44630" w:rsidP="00531247">
      <w:pPr>
        <w:widowControl/>
        <w:spacing w:line="276" w:lineRule="auto"/>
        <w:jc w:val="both"/>
        <w:rPr>
          <w:rFonts w:ascii="Times New Roman" w:hAnsi="Times New Roman" w:cs="Times New Roman"/>
          <w:color w:val="000000"/>
        </w:rPr>
      </w:pPr>
      <w:r>
        <w:rPr>
          <w:rFonts w:ascii="Times New Roman" w:hAnsi="Times New Roman" w:cs="Times New Roman"/>
          <w:noProof/>
          <w:color w:val="000000"/>
        </w:rPr>
        <w:lastRenderedPageBreak/>
        <w:drawing>
          <wp:anchor distT="0" distB="0" distL="114300" distR="114300" simplePos="0" relativeHeight="251657728" behindDoc="0" locked="0" layoutInCell="1" allowOverlap="1">
            <wp:simplePos x="0" y="0"/>
            <wp:positionH relativeFrom="column">
              <wp:align>left</wp:align>
            </wp:positionH>
            <wp:positionV relativeFrom="paragraph">
              <wp:align>top</wp:align>
            </wp:positionV>
            <wp:extent cx="6412018" cy="3149809"/>
            <wp:effectExtent l="12192" t="5558" r="7070" b="1853"/>
            <wp:wrapSquare wrapText="bothSides"/>
            <wp:docPr id="5" name="Graphique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073079" w:rsidRPr="00DB06E9" w:rsidRDefault="00073079" w:rsidP="00531247">
      <w:pPr>
        <w:widowControl/>
        <w:spacing w:line="276" w:lineRule="auto"/>
        <w:jc w:val="both"/>
        <w:rPr>
          <w:rFonts w:ascii="Times New Roman" w:hAnsi="Times New Roman" w:cs="Times New Roman"/>
          <w:b/>
          <w:bCs/>
          <w:color w:val="000000"/>
        </w:rPr>
      </w:pPr>
      <w:r w:rsidRPr="00DB06E9">
        <w:rPr>
          <w:rFonts w:ascii="Times New Roman" w:hAnsi="Times New Roman" w:cs="Times New Roman"/>
          <w:b/>
          <w:bCs/>
          <w:color w:val="000000"/>
        </w:rPr>
        <w:t xml:space="preserve">2. Evolution d’autres indicateurs d’opinion </w:t>
      </w:r>
      <w:r w:rsidR="00DF1AB5">
        <w:rPr>
          <w:rFonts w:ascii="Times New Roman" w:hAnsi="Times New Roman" w:cs="Times New Roman"/>
          <w:b/>
          <w:bCs/>
          <w:color w:val="000000"/>
        </w:rPr>
        <w:t>des ménages</w:t>
      </w:r>
    </w:p>
    <w:p w:rsidR="00073079" w:rsidRPr="00DB06E9" w:rsidRDefault="00073079" w:rsidP="00531247">
      <w:pPr>
        <w:widowControl/>
        <w:spacing w:line="276" w:lineRule="auto"/>
        <w:jc w:val="both"/>
        <w:rPr>
          <w:rFonts w:ascii="Times New Roman" w:hAnsi="Times New Roman" w:cs="Times New Roman"/>
          <w:color w:val="000000"/>
        </w:rPr>
      </w:pPr>
      <w:r w:rsidRPr="00DB06E9">
        <w:rPr>
          <w:rFonts w:ascii="Times New Roman" w:hAnsi="Times New Roman" w:cs="Times New Roman"/>
          <w:color w:val="000000"/>
        </w:rPr>
        <w:t>En plus des sept indicateurs composant l’ICM, l’enquête fournit des données sur les perceptions des ménages relatives à d’autres aspects. Ci-après les résultats concernant celles relatives à l’évolution des prix, la capacité des ménages à épargner</w:t>
      </w:r>
      <w:r w:rsidR="00FA12E0" w:rsidRPr="00DB06E9">
        <w:rPr>
          <w:rFonts w:ascii="Times New Roman" w:hAnsi="Times New Roman" w:cs="Times New Roman"/>
          <w:color w:val="000000"/>
        </w:rPr>
        <w:t xml:space="preserve"> ainsi que </w:t>
      </w:r>
      <w:r w:rsidRPr="00DB06E9">
        <w:rPr>
          <w:rFonts w:ascii="Times New Roman" w:hAnsi="Times New Roman" w:cs="Times New Roman"/>
          <w:color w:val="000000"/>
        </w:rPr>
        <w:t xml:space="preserve"> l’évolution de la qualité des prestations administratives</w:t>
      </w:r>
      <w:r w:rsidR="00A7345B">
        <w:rPr>
          <w:rFonts w:ascii="Times New Roman" w:hAnsi="Times New Roman" w:cs="Times New Roman"/>
          <w:color w:val="000000"/>
        </w:rPr>
        <w:t xml:space="preserve"> et</w:t>
      </w:r>
      <w:r w:rsidRPr="00DB06E9">
        <w:rPr>
          <w:rFonts w:ascii="Times New Roman" w:hAnsi="Times New Roman" w:cs="Times New Roman"/>
          <w:color w:val="000000"/>
        </w:rPr>
        <w:t xml:space="preserve"> des services de santé</w:t>
      </w:r>
      <w:r w:rsidR="00A7345B">
        <w:rPr>
          <w:rFonts w:ascii="Times New Roman" w:hAnsi="Times New Roman" w:cs="Times New Roman"/>
          <w:color w:val="000000"/>
        </w:rPr>
        <w:t xml:space="preserve"> et</w:t>
      </w:r>
      <w:r w:rsidR="00FA12E0" w:rsidRPr="00DB06E9">
        <w:rPr>
          <w:rFonts w:ascii="Times New Roman" w:hAnsi="Times New Roman" w:cs="Times New Roman"/>
          <w:color w:val="000000"/>
        </w:rPr>
        <w:t xml:space="preserve"> d’éducation</w:t>
      </w:r>
      <w:r w:rsidR="00A7345B">
        <w:rPr>
          <w:rFonts w:ascii="Times New Roman" w:hAnsi="Times New Roman" w:cs="Times New Roman"/>
          <w:color w:val="000000"/>
        </w:rPr>
        <w:t>, et</w:t>
      </w:r>
      <w:r w:rsidR="00FA12E0" w:rsidRPr="00DB06E9">
        <w:rPr>
          <w:rFonts w:ascii="Times New Roman" w:hAnsi="Times New Roman" w:cs="Times New Roman"/>
          <w:color w:val="000000"/>
        </w:rPr>
        <w:t xml:space="preserve"> des droits de l’Homme et de l’environnement</w:t>
      </w:r>
      <w:r w:rsidRPr="00DB06E9">
        <w:rPr>
          <w:rFonts w:ascii="Times New Roman" w:hAnsi="Times New Roman" w:cs="Times New Roman"/>
          <w:color w:val="000000"/>
        </w:rPr>
        <w:t>.</w:t>
      </w:r>
    </w:p>
    <w:p w:rsidR="000F6CE8" w:rsidRDefault="000F6CE8" w:rsidP="00531247">
      <w:pPr>
        <w:widowControl/>
        <w:spacing w:line="276" w:lineRule="auto"/>
        <w:jc w:val="both"/>
        <w:rPr>
          <w:rFonts w:ascii="Times New Roman" w:hAnsi="Times New Roman" w:cs="Times New Roman"/>
          <w:b/>
          <w:bCs/>
          <w:color w:val="000000"/>
        </w:rPr>
      </w:pPr>
    </w:p>
    <w:p w:rsidR="00AE27A6" w:rsidRPr="00DB06E9" w:rsidRDefault="00AE27A6" w:rsidP="00531247">
      <w:pPr>
        <w:widowControl/>
        <w:spacing w:line="276" w:lineRule="auto"/>
        <w:jc w:val="both"/>
        <w:rPr>
          <w:rFonts w:ascii="Times New Roman" w:hAnsi="Times New Roman" w:cs="Times New Roman"/>
          <w:b/>
          <w:bCs/>
          <w:color w:val="000000"/>
        </w:rPr>
      </w:pPr>
      <w:r w:rsidRPr="00DB06E9">
        <w:rPr>
          <w:rFonts w:ascii="Times New Roman" w:hAnsi="Times New Roman" w:cs="Times New Roman"/>
          <w:b/>
          <w:bCs/>
          <w:color w:val="000000"/>
        </w:rPr>
        <w:t>•</w:t>
      </w:r>
      <w:r w:rsidR="002C5954">
        <w:rPr>
          <w:rFonts w:ascii="Times New Roman" w:hAnsi="Times New Roman" w:cs="Times New Roman"/>
          <w:b/>
          <w:bCs/>
          <w:color w:val="000000"/>
        </w:rPr>
        <w:t xml:space="preserve"> Inflation </w:t>
      </w:r>
      <w:r w:rsidR="00DF1AB5">
        <w:rPr>
          <w:rFonts w:ascii="Times New Roman" w:hAnsi="Times New Roman" w:cs="Times New Roman"/>
          <w:b/>
          <w:bCs/>
          <w:color w:val="000000"/>
        </w:rPr>
        <w:t>perçue</w:t>
      </w:r>
      <w:r w:rsidR="00DF171F">
        <w:rPr>
          <w:rFonts w:ascii="Times New Roman" w:hAnsi="Times New Roman" w:cs="Times New Roman"/>
          <w:b/>
          <w:bCs/>
          <w:color w:val="000000"/>
        </w:rPr>
        <w:t xml:space="preserve"> : </w:t>
      </w:r>
      <w:r w:rsidR="00827634">
        <w:rPr>
          <w:rFonts w:ascii="Times New Roman" w:hAnsi="Times New Roman" w:cs="Times New Roman"/>
          <w:b/>
          <w:bCs/>
          <w:color w:val="000000"/>
        </w:rPr>
        <w:t>forte a</w:t>
      </w:r>
      <w:r w:rsidR="00816354" w:rsidRPr="00DB06E9">
        <w:rPr>
          <w:rFonts w:ascii="Times New Roman" w:hAnsi="Times New Roman" w:cs="Times New Roman"/>
          <w:b/>
          <w:bCs/>
          <w:color w:val="000000"/>
        </w:rPr>
        <w:t xml:space="preserve">nticipation d'une hausse </w:t>
      </w:r>
    </w:p>
    <w:p w:rsidR="00774E22" w:rsidRPr="00DB06E9" w:rsidRDefault="00AE27A6" w:rsidP="00531247">
      <w:pPr>
        <w:widowControl/>
        <w:spacing w:line="276" w:lineRule="auto"/>
        <w:jc w:val="both"/>
        <w:rPr>
          <w:rFonts w:ascii="Times New Roman" w:hAnsi="Times New Roman" w:cs="Times New Roman"/>
          <w:color w:val="000000"/>
        </w:rPr>
      </w:pPr>
      <w:r w:rsidRPr="00DB06E9">
        <w:rPr>
          <w:rFonts w:ascii="Times New Roman" w:hAnsi="Times New Roman" w:cs="Times New Roman"/>
          <w:color w:val="000000"/>
        </w:rPr>
        <w:t>Les ménages ont le sentiment que les prix des produits alimentaires ont augmenté et qu'ils augmenterai</w:t>
      </w:r>
      <w:r w:rsidR="005E1D4B" w:rsidRPr="00DB06E9">
        <w:rPr>
          <w:rFonts w:ascii="Times New Roman" w:hAnsi="Times New Roman" w:cs="Times New Roman"/>
          <w:color w:val="000000"/>
        </w:rPr>
        <w:t>en</w:t>
      </w:r>
      <w:r w:rsidRPr="00DB06E9">
        <w:rPr>
          <w:rFonts w:ascii="Times New Roman" w:hAnsi="Times New Roman" w:cs="Times New Roman"/>
          <w:color w:val="000000"/>
        </w:rPr>
        <w:t xml:space="preserve">t davantage dans </w:t>
      </w:r>
      <w:r w:rsidR="004B7076" w:rsidRPr="00DB06E9">
        <w:rPr>
          <w:rFonts w:ascii="Times New Roman" w:hAnsi="Times New Roman" w:cs="Times New Roman"/>
          <w:color w:val="000000"/>
        </w:rPr>
        <w:t>l</w:t>
      </w:r>
      <w:r w:rsidRPr="00DB06E9">
        <w:rPr>
          <w:rFonts w:ascii="Times New Roman" w:hAnsi="Times New Roman" w:cs="Times New Roman"/>
          <w:color w:val="000000"/>
        </w:rPr>
        <w:t>es 12 prochains mois.</w:t>
      </w:r>
      <w:r w:rsidR="00097300">
        <w:rPr>
          <w:rFonts w:ascii="Times New Roman" w:hAnsi="Times New Roman" w:cs="Times New Roman"/>
          <w:color w:val="000000"/>
        </w:rPr>
        <w:t xml:space="preserve"> En effet, l</w:t>
      </w:r>
      <w:r w:rsidR="00774E22" w:rsidRPr="00DB06E9">
        <w:rPr>
          <w:rFonts w:ascii="Times New Roman" w:hAnsi="Times New Roman" w:cs="Times New Roman"/>
          <w:color w:val="000000"/>
        </w:rPr>
        <w:t>a proportion des ménages qui anticipent une hausse des prix</w:t>
      </w:r>
      <w:r w:rsidR="00816354" w:rsidRPr="00DB06E9">
        <w:rPr>
          <w:rFonts w:ascii="Times New Roman" w:hAnsi="Times New Roman" w:cs="Times New Roman"/>
          <w:color w:val="000000"/>
        </w:rPr>
        <w:t xml:space="preserve"> des produits alimentaire</w:t>
      </w:r>
      <w:r w:rsidR="00D1034E">
        <w:rPr>
          <w:rFonts w:ascii="Times New Roman" w:hAnsi="Times New Roman" w:cs="Times New Roman"/>
          <w:color w:val="000000"/>
        </w:rPr>
        <w:t>s</w:t>
      </w:r>
      <w:r w:rsidR="00774E22" w:rsidRPr="00DB06E9">
        <w:rPr>
          <w:rFonts w:ascii="Times New Roman" w:hAnsi="Times New Roman" w:cs="Times New Roman"/>
          <w:color w:val="000000"/>
        </w:rPr>
        <w:t xml:space="preserve"> au cours des douze prochains mois est </w:t>
      </w:r>
      <w:r w:rsidR="00816354" w:rsidRPr="00DB06E9">
        <w:rPr>
          <w:rFonts w:ascii="Times New Roman" w:hAnsi="Times New Roman" w:cs="Times New Roman"/>
          <w:color w:val="000000"/>
        </w:rPr>
        <w:t>restée stable entre le</w:t>
      </w:r>
      <w:r w:rsidR="00D1034E">
        <w:rPr>
          <w:rFonts w:ascii="Times New Roman" w:hAnsi="Times New Roman" w:cs="Times New Roman"/>
          <w:color w:val="000000"/>
        </w:rPr>
        <w:t xml:space="preserve"> troisième et le quatrième </w:t>
      </w:r>
      <w:r w:rsidR="00816354" w:rsidRPr="00DB06E9">
        <w:rPr>
          <w:rFonts w:ascii="Times New Roman" w:hAnsi="Times New Roman" w:cs="Times New Roman"/>
          <w:color w:val="000000"/>
        </w:rPr>
        <w:t xml:space="preserve">trimestre de 2011 </w:t>
      </w:r>
      <w:r w:rsidR="006C39DF">
        <w:rPr>
          <w:rFonts w:ascii="Times New Roman" w:hAnsi="Times New Roman" w:cs="Times New Roman"/>
          <w:color w:val="000000"/>
        </w:rPr>
        <w:t xml:space="preserve">à </w:t>
      </w:r>
      <w:r w:rsidR="00774E22" w:rsidRPr="00DB06E9">
        <w:rPr>
          <w:rFonts w:ascii="Times New Roman" w:hAnsi="Times New Roman" w:cs="Times New Roman"/>
          <w:color w:val="000000"/>
        </w:rPr>
        <w:t>7</w:t>
      </w:r>
      <w:r w:rsidR="00816354" w:rsidRPr="00DB06E9">
        <w:rPr>
          <w:rFonts w:ascii="Times New Roman" w:hAnsi="Times New Roman" w:cs="Times New Roman"/>
          <w:color w:val="000000"/>
        </w:rPr>
        <w:t>5</w:t>
      </w:r>
      <w:r w:rsidR="00774E22" w:rsidRPr="00DB06E9">
        <w:rPr>
          <w:rFonts w:ascii="Times New Roman" w:hAnsi="Times New Roman" w:cs="Times New Roman"/>
          <w:color w:val="000000"/>
        </w:rPr>
        <w:t>,</w:t>
      </w:r>
      <w:r w:rsidR="00816354" w:rsidRPr="00DB06E9">
        <w:rPr>
          <w:rFonts w:ascii="Times New Roman" w:hAnsi="Times New Roman" w:cs="Times New Roman"/>
          <w:color w:val="000000"/>
        </w:rPr>
        <w:t>8</w:t>
      </w:r>
      <w:r w:rsidR="00774E22" w:rsidRPr="00DB06E9">
        <w:rPr>
          <w:rFonts w:ascii="Times New Roman" w:hAnsi="Times New Roman" w:cs="Times New Roman"/>
          <w:color w:val="000000"/>
        </w:rPr>
        <w:t xml:space="preserve"> %</w:t>
      </w:r>
      <w:r w:rsidR="00816354" w:rsidRPr="00DB06E9">
        <w:rPr>
          <w:rFonts w:ascii="Times New Roman" w:hAnsi="Times New Roman" w:cs="Times New Roman"/>
          <w:color w:val="000000"/>
        </w:rPr>
        <w:t xml:space="preserve">. </w:t>
      </w:r>
      <w:r w:rsidR="00774E22" w:rsidRPr="00DB06E9">
        <w:rPr>
          <w:rFonts w:ascii="Times New Roman" w:hAnsi="Times New Roman" w:cs="Times New Roman"/>
          <w:color w:val="000000"/>
        </w:rPr>
        <w:t xml:space="preserve"> </w:t>
      </w:r>
      <w:r w:rsidR="00816354" w:rsidRPr="00DB06E9">
        <w:rPr>
          <w:rFonts w:ascii="Times New Roman" w:hAnsi="Times New Roman" w:cs="Times New Roman"/>
          <w:color w:val="000000"/>
        </w:rPr>
        <w:t xml:space="preserve">Cette proportion était de </w:t>
      </w:r>
      <w:r w:rsidR="00774E22" w:rsidRPr="00DB06E9">
        <w:rPr>
          <w:rFonts w:ascii="Times New Roman" w:hAnsi="Times New Roman" w:cs="Times New Roman"/>
          <w:color w:val="000000"/>
        </w:rPr>
        <w:t>7</w:t>
      </w:r>
      <w:r w:rsidR="00816354" w:rsidRPr="00DB06E9">
        <w:rPr>
          <w:rFonts w:ascii="Times New Roman" w:hAnsi="Times New Roman" w:cs="Times New Roman"/>
          <w:color w:val="000000"/>
        </w:rPr>
        <w:t>3</w:t>
      </w:r>
      <w:r w:rsidR="00774E22" w:rsidRPr="00DB06E9">
        <w:rPr>
          <w:rFonts w:ascii="Times New Roman" w:hAnsi="Times New Roman" w:cs="Times New Roman"/>
          <w:color w:val="000000"/>
        </w:rPr>
        <w:t>,</w:t>
      </w:r>
      <w:r w:rsidR="00816354" w:rsidRPr="00DB06E9">
        <w:rPr>
          <w:rFonts w:ascii="Times New Roman" w:hAnsi="Times New Roman" w:cs="Times New Roman"/>
          <w:color w:val="000000"/>
        </w:rPr>
        <w:t>1</w:t>
      </w:r>
      <w:r w:rsidR="00774E22" w:rsidRPr="00DB06E9">
        <w:rPr>
          <w:rFonts w:ascii="Times New Roman" w:hAnsi="Times New Roman" w:cs="Times New Roman"/>
          <w:color w:val="000000"/>
        </w:rPr>
        <w:t xml:space="preserve">% </w:t>
      </w:r>
      <w:r w:rsidR="00816354" w:rsidRPr="00DB06E9">
        <w:rPr>
          <w:rFonts w:ascii="Times New Roman" w:hAnsi="Times New Roman" w:cs="Times New Roman"/>
          <w:color w:val="000000"/>
        </w:rPr>
        <w:t xml:space="preserve"> </w:t>
      </w:r>
      <w:r w:rsidR="00774E22" w:rsidRPr="00DB06E9">
        <w:rPr>
          <w:rFonts w:ascii="Times New Roman" w:hAnsi="Times New Roman" w:cs="Times New Roman"/>
          <w:color w:val="000000"/>
        </w:rPr>
        <w:t xml:space="preserve">au </w:t>
      </w:r>
      <w:r w:rsidR="00D1034E">
        <w:rPr>
          <w:rFonts w:ascii="Times New Roman" w:hAnsi="Times New Roman" w:cs="Times New Roman"/>
          <w:color w:val="000000"/>
        </w:rPr>
        <w:t>quatrième</w:t>
      </w:r>
      <w:r w:rsidR="00774E22" w:rsidRPr="00DB06E9">
        <w:rPr>
          <w:rFonts w:ascii="Times New Roman" w:hAnsi="Times New Roman" w:cs="Times New Roman"/>
          <w:color w:val="000000"/>
        </w:rPr>
        <w:t xml:space="preserve"> trimestre de 2010.</w:t>
      </w:r>
    </w:p>
    <w:p w:rsidR="00774E22" w:rsidRPr="00DB06E9" w:rsidRDefault="00774E22" w:rsidP="00531247">
      <w:pPr>
        <w:widowControl/>
        <w:spacing w:line="276" w:lineRule="auto"/>
        <w:jc w:val="both"/>
        <w:rPr>
          <w:rFonts w:ascii="Times New Roman" w:hAnsi="Times New Roman" w:cs="Times New Roman"/>
          <w:color w:val="000000"/>
        </w:rPr>
      </w:pPr>
    </w:p>
    <w:p w:rsidR="00AE27A6" w:rsidRDefault="00697E8F" w:rsidP="00531247">
      <w:pPr>
        <w:widowControl/>
        <w:spacing w:line="276" w:lineRule="auto"/>
        <w:jc w:val="both"/>
        <w:rPr>
          <w:rFonts w:ascii="Times New Roman" w:hAnsi="Times New Roman" w:cs="Times New Roman"/>
          <w:color w:val="000000"/>
        </w:rPr>
      </w:pPr>
      <w:r>
        <w:rPr>
          <w:rFonts w:ascii="Times New Roman" w:hAnsi="Times New Roman" w:cs="Times New Roman"/>
          <w:color w:val="000000"/>
        </w:rPr>
        <w:t xml:space="preserve">Concernant l’appréciation </w:t>
      </w:r>
      <w:r w:rsidRPr="00697E8F">
        <w:rPr>
          <w:rFonts w:ascii="Times New Roman" w:hAnsi="Times New Roman" w:cs="Times New Roman"/>
          <w:color w:val="000000"/>
        </w:rPr>
        <w:t>de l'évolution passée des prix des produits</w:t>
      </w:r>
      <w:r>
        <w:rPr>
          <w:rFonts w:ascii="Times New Roman" w:hAnsi="Times New Roman" w:cs="Times New Roman"/>
          <w:color w:val="000000"/>
        </w:rPr>
        <w:t xml:space="preserve"> </w:t>
      </w:r>
      <w:r w:rsidRPr="00697E8F">
        <w:rPr>
          <w:rFonts w:ascii="Times New Roman" w:hAnsi="Times New Roman" w:cs="Times New Roman"/>
          <w:color w:val="000000"/>
        </w:rPr>
        <w:t>alimentaires</w:t>
      </w:r>
      <w:r w:rsidR="00774E22" w:rsidRPr="00DB06E9">
        <w:rPr>
          <w:rFonts w:ascii="Times New Roman" w:hAnsi="Times New Roman" w:cs="Times New Roman"/>
          <w:color w:val="000000"/>
        </w:rPr>
        <w:t xml:space="preserve">, </w:t>
      </w:r>
      <w:r>
        <w:rPr>
          <w:rFonts w:ascii="Times New Roman" w:hAnsi="Times New Roman" w:cs="Times New Roman"/>
          <w:color w:val="000000"/>
        </w:rPr>
        <w:t>plus de neuf ménages sur dix continuent à croire qu’ils ont augmenté au cours des douze mois précédant l’interview</w:t>
      </w:r>
      <w:r w:rsidR="00AE27A6" w:rsidRPr="00DB06E9">
        <w:rPr>
          <w:rFonts w:ascii="Times New Roman" w:hAnsi="Times New Roman" w:cs="Times New Roman"/>
          <w:color w:val="000000"/>
        </w:rPr>
        <w:t>.</w:t>
      </w:r>
    </w:p>
    <w:p w:rsidR="00531247" w:rsidRPr="00DB06E9" w:rsidRDefault="00531247" w:rsidP="00531247">
      <w:pPr>
        <w:widowControl/>
        <w:jc w:val="both"/>
        <w:rPr>
          <w:rFonts w:ascii="Times New Roman" w:hAnsi="Times New Roman" w:cs="Times New Roman"/>
          <w:color w:val="000000"/>
        </w:rPr>
      </w:pPr>
    </w:p>
    <w:p w:rsidR="00D03E2E" w:rsidRPr="00DB06E9" w:rsidRDefault="00A44630" w:rsidP="00DB06E9">
      <w:pPr>
        <w:widowControl/>
        <w:spacing w:line="360" w:lineRule="auto"/>
        <w:jc w:val="both"/>
        <w:rPr>
          <w:rFonts w:ascii="Times New Roman" w:hAnsi="Times New Roman" w:cs="Times New Roman"/>
          <w:b/>
          <w:bCs/>
          <w:color w:val="000000"/>
        </w:rPr>
      </w:pPr>
      <w:r>
        <w:rPr>
          <w:rFonts w:ascii="Times New Roman" w:hAnsi="Times New Roman" w:cs="Times New Roman"/>
          <w:b/>
          <w:bCs/>
          <w:noProof/>
          <w:color w:val="000000"/>
        </w:rPr>
        <w:drawing>
          <wp:inline distT="0" distB="0" distL="0" distR="0">
            <wp:extent cx="3138312" cy="3074454"/>
            <wp:effectExtent l="12192" t="5296" r="6716" b="0"/>
            <wp:docPr id="3" name="Graphique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5D63D7">
        <w:rPr>
          <w:rFonts w:ascii="Times New Roman" w:hAnsi="Times New Roman" w:cs="Times New Roman"/>
          <w:b/>
          <w:bCs/>
          <w:noProof/>
          <w:color w:val="000000"/>
        </w:rPr>
        <w:t xml:space="preserve">    </w:t>
      </w:r>
      <w:r>
        <w:rPr>
          <w:rFonts w:ascii="Times New Roman" w:hAnsi="Times New Roman" w:cs="Times New Roman"/>
          <w:b/>
          <w:bCs/>
          <w:noProof/>
          <w:color w:val="000000"/>
        </w:rPr>
        <w:drawing>
          <wp:inline distT="0" distB="0" distL="0" distR="0">
            <wp:extent cx="3072195" cy="3064597"/>
            <wp:effectExtent l="12192" t="5280" r="3618" b="983"/>
            <wp:docPr id="4" name="Graphiqu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03E2E" w:rsidRDefault="00D03E2E" w:rsidP="00531247">
      <w:pPr>
        <w:spacing w:line="276" w:lineRule="auto"/>
        <w:jc w:val="both"/>
        <w:rPr>
          <w:rFonts w:ascii="Times New Roman" w:hAnsi="Times New Roman" w:cs="Times New Roman"/>
          <w:b/>
          <w:bCs/>
          <w:color w:val="000000"/>
        </w:rPr>
      </w:pPr>
    </w:p>
    <w:p w:rsidR="0073492C" w:rsidRPr="00DB06E9" w:rsidRDefault="00AE27A6" w:rsidP="00531247">
      <w:pPr>
        <w:spacing w:line="276" w:lineRule="auto"/>
        <w:jc w:val="both"/>
        <w:rPr>
          <w:rFonts w:ascii="Times New Roman" w:hAnsi="Times New Roman" w:cs="Times New Roman"/>
          <w:b/>
          <w:bCs/>
          <w:color w:val="000000"/>
        </w:rPr>
      </w:pPr>
      <w:r w:rsidRPr="00DB06E9">
        <w:rPr>
          <w:rFonts w:ascii="Times New Roman" w:hAnsi="Times New Roman" w:cs="Times New Roman"/>
          <w:b/>
          <w:bCs/>
          <w:color w:val="000000"/>
        </w:rPr>
        <w:t xml:space="preserve">• </w:t>
      </w:r>
      <w:r w:rsidR="00827634">
        <w:rPr>
          <w:rFonts w:ascii="Times New Roman" w:hAnsi="Times New Roman" w:cs="Times New Roman"/>
          <w:b/>
          <w:bCs/>
          <w:color w:val="000000"/>
        </w:rPr>
        <w:t>Capacité d’épargne : l</w:t>
      </w:r>
      <w:r w:rsidR="00697E8F">
        <w:rPr>
          <w:rFonts w:ascii="Times New Roman" w:hAnsi="Times New Roman" w:cs="Times New Roman"/>
          <w:b/>
          <w:bCs/>
          <w:color w:val="000000"/>
        </w:rPr>
        <w:t>es ménages toujours pessimistes</w:t>
      </w:r>
      <w:r w:rsidR="00C21104" w:rsidRPr="00DB06E9">
        <w:rPr>
          <w:rFonts w:ascii="Times New Roman" w:hAnsi="Times New Roman" w:cs="Times New Roman"/>
          <w:b/>
          <w:bCs/>
          <w:color w:val="000000"/>
        </w:rPr>
        <w:t xml:space="preserve"> </w:t>
      </w:r>
    </w:p>
    <w:p w:rsidR="0073492C" w:rsidRPr="00DB06E9" w:rsidRDefault="002D54C7" w:rsidP="00174542">
      <w:pPr>
        <w:spacing w:line="276" w:lineRule="auto"/>
        <w:jc w:val="both"/>
        <w:rPr>
          <w:rFonts w:ascii="Times New Roman" w:hAnsi="Times New Roman" w:cs="Times New Roman"/>
          <w:color w:val="000000"/>
        </w:rPr>
      </w:pPr>
      <w:r w:rsidRPr="00DB06E9">
        <w:rPr>
          <w:rFonts w:ascii="Times New Roman" w:hAnsi="Times New Roman" w:cs="Times New Roman"/>
          <w:color w:val="000000"/>
        </w:rPr>
        <w:t>Les ménages restent globalement pessimistes quant à leur capacité à épargner dans les mois à venir. Seuls 17,</w:t>
      </w:r>
      <w:r w:rsidR="00373C93" w:rsidRPr="00DB06E9">
        <w:rPr>
          <w:rFonts w:ascii="Times New Roman" w:hAnsi="Times New Roman" w:cs="Times New Roman"/>
          <w:color w:val="000000"/>
        </w:rPr>
        <w:t>7</w:t>
      </w:r>
      <w:r w:rsidRPr="00DB06E9">
        <w:rPr>
          <w:rFonts w:ascii="Times New Roman" w:hAnsi="Times New Roman" w:cs="Times New Roman"/>
          <w:color w:val="000000"/>
        </w:rPr>
        <w:t>% des ménages déclarent</w:t>
      </w:r>
      <w:r w:rsidR="00174542">
        <w:rPr>
          <w:rFonts w:ascii="Times New Roman" w:hAnsi="Times New Roman" w:cs="Times New Roman"/>
          <w:color w:val="000000"/>
        </w:rPr>
        <w:t xml:space="preserve">, </w:t>
      </w:r>
      <w:r w:rsidR="00174542" w:rsidRPr="00DB06E9">
        <w:rPr>
          <w:rFonts w:ascii="Times New Roman" w:hAnsi="Times New Roman" w:cs="Times New Roman"/>
          <w:color w:val="000000"/>
        </w:rPr>
        <w:t>au quatrième trimestre de 2011</w:t>
      </w:r>
      <w:r w:rsidR="00174542">
        <w:rPr>
          <w:rFonts w:ascii="Times New Roman" w:hAnsi="Times New Roman" w:cs="Times New Roman"/>
          <w:color w:val="000000"/>
        </w:rPr>
        <w:t>,</w:t>
      </w:r>
      <w:r w:rsidR="00174542" w:rsidRPr="00DB06E9">
        <w:rPr>
          <w:rFonts w:ascii="Times New Roman" w:hAnsi="Times New Roman" w:cs="Times New Roman"/>
          <w:color w:val="000000"/>
        </w:rPr>
        <w:t xml:space="preserve"> </w:t>
      </w:r>
      <w:r w:rsidRPr="00DB06E9">
        <w:rPr>
          <w:rFonts w:ascii="Times New Roman" w:hAnsi="Times New Roman" w:cs="Times New Roman"/>
          <w:color w:val="000000"/>
        </w:rPr>
        <w:t>être capables d'épargner</w:t>
      </w:r>
      <w:r w:rsidR="006C39DF">
        <w:rPr>
          <w:rFonts w:ascii="Times New Roman" w:hAnsi="Times New Roman" w:cs="Times New Roman"/>
          <w:color w:val="000000"/>
        </w:rPr>
        <w:t>, une proportion quasi identique à celle observée au cours du trimestre précédent (</w:t>
      </w:r>
      <w:r w:rsidRPr="00DB06E9">
        <w:rPr>
          <w:rFonts w:ascii="Times New Roman" w:hAnsi="Times New Roman" w:cs="Times New Roman"/>
          <w:color w:val="000000"/>
        </w:rPr>
        <w:t>1</w:t>
      </w:r>
      <w:r w:rsidR="00373C93" w:rsidRPr="00DB06E9">
        <w:rPr>
          <w:rFonts w:ascii="Times New Roman" w:hAnsi="Times New Roman" w:cs="Times New Roman"/>
          <w:color w:val="000000"/>
        </w:rPr>
        <w:t>7,5</w:t>
      </w:r>
      <w:r w:rsidRPr="00DB06E9">
        <w:rPr>
          <w:rFonts w:ascii="Times New Roman" w:hAnsi="Times New Roman" w:cs="Times New Roman"/>
          <w:color w:val="000000"/>
        </w:rPr>
        <w:t>%</w:t>
      </w:r>
      <w:r w:rsidR="006C39DF">
        <w:rPr>
          <w:rFonts w:ascii="Times New Roman" w:hAnsi="Times New Roman" w:cs="Times New Roman"/>
          <w:color w:val="000000"/>
        </w:rPr>
        <w:t xml:space="preserve">) </w:t>
      </w:r>
      <w:r w:rsidR="00D035C0">
        <w:rPr>
          <w:rFonts w:ascii="Times New Roman" w:hAnsi="Times New Roman" w:cs="Times New Roman"/>
          <w:color w:val="000000"/>
        </w:rPr>
        <w:t xml:space="preserve">ou </w:t>
      </w:r>
      <w:r w:rsidR="00D035C0" w:rsidRPr="00DB06E9">
        <w:rPr>
          <w:rFonts w:ascii="Times New Roman" w:hAnsi="Times New Roman" w:cs="Times New Roman"/>
          <w:color w:val="000000"/>
        </w:rPr>
        <w:t>au même trimestre de 2010</w:t>
      </w:r>
      <w:r w:rsidRPr="00DB06E9">
        <w:rPr>
          <w:rFonts w:ascii="Times New Roman" w:hAnsi="Times New Roman" w:cs="Times New Roman"/>
          <w:color w:val="000000"/>
        </w:rPr>
        <w:t xml:space="preserve"> </w:t>
      </w:r>
      <w:r w:rsidR="00D035C0">
        <w:rPr>
          <w:rFonts w:ascii="Times New Roman" w:hAnsi="Times New Roman" w:cs="Times New Roman"/>
          <w:color w:val="000000"/>
        </w:rPr>
        <w:t>(</w:t>
      </w:r>
      <w:r w:rsidRPr="00DB06E9">
        <w:rPr>
          <w:rFonts w:ascii="Times New Roman" w:hAnsi="Times New Roman" w:cs="Times New Roman"/>
          <w:color w:val="000000"/>
        </w:rPr>
        <w:t>16,</w:t>
      </w:r>
      <w:r w:rsidR="00373C93" w:rsidRPr="00DB06E9">
        <w:rPr>
          <w:rFonts w:ascii="Times New Roman" w:hAnsi="Times New Roman" w:cs="Times New Roman"/>
          <w:color w:val="000000"/>
        </w:rPr>
        <w:t>7</w:t>
      </w:r>
      <w:r w:rsidRPr="00DB06E9">
        <w:rPr>
          <w:rFonts w:ascii="Times New Roman" w:hAnsi="Times New Roman" w:cs="Times New Roman"/>
          <w:color w:val="000000"/>
        </w:rPr>
        <w:t>%</w:t>
      </w:r>
      <w:r w:rsidR="00D035C0">
        <w:rPr>
          <w:rFonts w:ascii="Times New Roman" w:hAnsi="Times New Roman" w:cs="Times New Roman"/>
          <w:color w:val="000000"/>
        </w:rPr>
        <w:t>)</w:t>
      </w:r>
      <w:r w:rsidRPr="00DB06E9">
        <w:rPr>
          <w:rFonts w:ascii="Times New Roman" w:hAnsi="Times New Roman" w:cs="Times New Roman"/>
          <w:color w:val="000000"/>
        </w:rPr>
        <w:t xml:space="preserve">. </w:t>
      </w:r>
    </w:p>
    <w:p w:rsidR="00827634" w:rsidRDefault="00827634" w:rsidP="00531247">
      <w:pPr>
        <w:widowControl/>
        <w:spacing w:line="276" w:lineRule="auto"/>
        <w:jc w:val="both"/>
        <w:rPr>
          <w:rFonts w:ascii="Times New Roman" w:hAnsi="Times New Roman" w:cs="Times New Roman"/>
          <w:b/>
          <w:bCs/>
          <w:color w:val="000000"/>
        </w:rPr>
      </w:pPr>
    </w:p>
    <w:p w:rsidR="00827634" w:rsidRPr="00DB06E9" w:rsidRDefault="00267298" w:rsidP="00267298">
      <w:pPr>
        <w:widowControl/>
        <w:spacing w:line="276" w:lineRule="auto"/>
        <w:jc w:val="both"/>
        <w:rPr>
          <w:rFonts w:ascii="Times New Roman" w:hAnsi="Times New Roman" w:cs="Times New Roman"/>
          <w:color w:val="000000"/>
        </w:rPr>
      </w:pPr>
      <w:r>
        <w:rPr>
          <w:rFonts w:ascii="Times New Roman" w:hAnsi="Times New Roman" w:cs="Times New Roman"/>
          <w:color w:val="000000"/>
        </w:rPr>
        <w:t>Par ailleurs, l</w:t>
      </w:r>
      <w:r w:rsidR="00827634" w:rsidRPr="00DB06E9">
        <w:rPr>
          <w:rFonts w:ascii="Times New Roman" w:hAnsi="Times New Roman" w:cs="Times New Roman"/>
          <w:color w:val="000000"/>
        </w:rPr>
        <w:t xml:space="preserve">'analyse de l'évolution, entre 2010 et 2011, de l'opinion des ménages concernant la situation des droits de l'Homme, la protection de l'environnement et la qualité de certains services publics, fait ressortir : </w:t>
      </w:r>
    </w:p>
    <w:p w:rsidR="00827634" w:rsidRDefault="00827634" w:rsidP="00531247">
      <w:pPr>
        <w:widowControl/>
        <w:spacing w:line="276" w:lineRule="auto"/>
        <w:jc w:val="both"/>
        <w:rPr>
          <w:rFonts w:ascii="Times New Roman" w:hAnsi="Times New Roman" w:cs="Times New Roman"/>
          <w:b/>
          <w:bCs/>
          <w:color w:val="000000"/>
        </w:rPr>
      </w:pPr>
    </w:p>
    <w:p w:rsidR="00827634" w:rsidRDefault="00477B88" w:rsidP="00531247">
      <w:pPr>
        <w:widowControl/>
        <w:spacing w:line="276" w:lineRule="auto"/>
        <w:jc w:val="both"/>
        <w:rPr>
          <w:rFonts w:ascii="Times New Roman" w:hAnsi="Times New Roman" w:cs="Times New Roman"/>
          <w:b/>
          <w:bCs/>
          <w:color w:val="000000"/>
        </w:rPr>
      </w:pPr>
      <w:r w:rsidRPr="00DB06E9">
        <w:rPr>
          <w:rFonts w:ascii="Times New Roman" w:hAnsi="Times New Roman" w:cs="Times New Roman"/>
          <w:b/>
          <w:bCs/>
          <w:color w:val="000000"/>
        </w:rPr>
        <w:t xml:space="preserve">• </w:t>
      </w:r>
      <w:r w:rsidR="00827634">
        <w:rPr>
          <w:rFonts w:ascii="Times New Roman" w:hAnsi="Times New Roman" w:cs="Times New Roman"/>
          <w:b/>
          <w:bCs/>
          <w:color w:val="000000"/>
        </w:rPr>
        <w:t xml:space="preserve">Situation des </w:t>
      </w:r>
      <w:r w:rsidR="00845B57" w:rsidRPr="00DB06E9">
        <w:rPr>
          <w:rFonts w:ascii="Times New Roman" w:hAnsi="Times New Roman" w:cs="Times New Roman"/>
          <w:b/>
          <w:bCs/>
          <w:color w:val="000000"/>
        </w:rPr>
        <w:t>droits de l’</w:t>
      </w:r>
      <w:r w:rsidR="00287EC1" w:rsidRPr="00DB06E9">
        <w:rPr>
          <w:rFonts w:ascii="Times New Roman" w:hAnsi="Times New Roman" w:cs="Times New Roman"/>
          <w:b/>
          <w:bCs/>
          <w:color w:val="000000"/>
        </w:rPr>
        <w:t>H</w:t>
      </w:r>
      <w:r w:rsidR="00845B57" w:rsidRPr="00DB06E9">
        <w:rPr>
          <w:rFonts w:ascii="Times New Roman" w:hAnsi="Times New Roman" w:cs="Times New Roman"/>
          <w:b/>
          <w:bCs/>
          <w:color w:val="000000"/>
        </w:rPr>
        <w:t>omme</w:t>
      </w:r>
      <w:r w:rsidR="00827634">
        <w:rPr>
          <w:rFonts w:ascii="Times New Roman" w:hAnsi="Times New Roman" w:cs="Times New Roman"/>
          <w:b/>
          <w:bCs/>
          <w:color w:val="000000"/>
        </w:rPr>
        <w:t> : o</w:t>
      </w:r>
      <w:r w:rsidR="00827634" w:rsidRPr="00DB06E9">
        <w:rPr>
          <w:rFonts w:ascii="Times New Roman" w:hAnsi="Times New Roman" w:cs="Times New Roman"/>
          <w:b/>
          <w:bCs/>
          <w:color w:val="000000"/>
        </w:rPr>
        <w:t>pinion positive</w:t>
      </w:r>
    </w:p>
    <w:p w:rsidR="00827634" w:rsidRDefault="00827634" w:rsidP="003A7ECC">
      <w:pPr>
        <w:spacing w:line="276" w:lineRule="auto"/>
        <w:jc w:val="both"/>
        <w:rPr>
          <w:rFonts w:ascii="Times New Roman" w:hAnsi="Times New Roman" w:cs="Times New Roman"/>
          <w:color w:val="000000"/>
        </w:rPr>
      </w:pPr>
      <w:r>
        <w:rPr>
          <w:rFonts w:ascii="Times New Roman" w:hAnsi="Times New Roman" w:cs="Times New Roman"/>
          <w:color w:val="000000"/>
        </w:rPr>
        <w:t xml:space="preserve">En 2011, six ménages sur dix </w:t>
      </w:r>
      <w:r w:rsidR="00031CFB">
        <w:rPr>
          <w:rFonts w:ascii="Times New Roman" w:hAnsi="Times New Roman" w:cs="Times New Roman"/>
          <w:color w:val="000000"/>
        </w:rPr>
        <w:t xml:space="preserve">(61,1%)  pensent que la situation </w:t>
      </w:r>
      <w:r>
        <w:rPr>
          <w:rFonts w:ascii="Times New Roman" w:hAnsi="Times New Roman" w:cs="Times New Roman"/>
          <w:color w:val="000000"/>
        </w:rPr>
        <w:t>des droits de l’homme au Maroc</w:t>
      </w:r>
      <w:r w:rsidR="00031CFB">
        <w:rPr>
          <w:rFonts w:ascii="Times New Roman" w:hAnsi="Times New Roman" w:cs="Times New Roman"/>
          <w:color w:val="000000"/>
        </w:rPr>
        <w:t xml:space="preserve"> s’est améliorée, </w:t>
      </w:r>
      <w:r>
        <w:rPr>
          <w:rFonts w:ascii="Times New Roman" w:hAnsi="Times New Roman" w:cs="Times New Roman"/>
          <w:color w:val="000000"/>
        </w:rPr>
        <w:t xml:space="preserve"> 28,4% </w:t>
      </w:r>
      <w:r w:rsidR="00031CFB">
        <w:rPr>
          <w:rFonts w:ascii="Times New Roman" w:hAnsi="Times New Roman" w:cs="Times New Roman"/>
          <w:color w:val="000000"/>
        </w:rPr>
        <w:t xml:space="preserve">qu’elle a </w:t>
      </w:r>
      <w:r>
        <w:rPr>
          <w:rFonts w:ascii="Times New Roman" w:hAnsi="Times New Roman" w:cs="Times New Roman"/>
          <w:color w:val="000000"/>
        </w:rPr>
        <w:t>stagn</w:t>
      </w:r>
      <w:r w:rsidR="00031CFB">
        <w:rPr>
          <w:rFonts w:ascii="Times New Roman" w:hAnsi="Times New Roman" w:cs="Times New Roman"/>
          <w:color w:val="000000"/>
        </w:rPr>
        <w:t>é</w:t>
      </w:r>
      <w:r>
        <w:rPr>
          <w:rFonts w:ascii="Times New Roman" w:hAnsi="Times New Roman" w:cs="Times New Roman"/>
          <w:color w:val="000000"/>
        </w:rPr>
        <w:t xml:space="preserve"> et 10,5% </w:t>
      </w:r>
      <w:r w:rsidR="00031CFB">
        <w:rPr>
          <w:rFonts w:ascii="Times New Roman" w:hAnsi="Times New Roman" w:cs="Times New Roman"/>
          <w:color w:val="000000"/>
        </w:rPr>
        <w:t>qu’elle s’est détériorée</w:t>
      </w:r>
      <w:r>
        <w:rPr>
          <w:rFonts w:ascii="Times New Roman" w:hAnsi="Times New Roman" w:cs="Times New Roman"/>
          <w:color w:val="000000"/>
        </w:rPr>
        <w:t xml:space="preserve">. Le solde relatif à cet indicateur s’établit ainsi à 50,6 points, en hausse </w:t>
      </w:r>
      <w:r w:rsidR="007C7AFB" w:rsidRPr="00DB06E9">
        <w:rPr>
          <w:rFonts w:ascii="Times New Roman" w:hAnsi="Times New Roman" w:cs="Times New Roman"/>
          <w:color w:val="000000"/>
        </w:rPr>
        <w:t xml:space="preserve">de </w:t>
      </w:r>
      <w:r w:rsidR="00191F62" w:rsidRPr="00DB06E9">
        <w:rPr>
          <w:rFonts w:ascii="Times New Roman" w:hAnsi="Times New Roman" w:cs="Times New Roman"/>
          <w:color w:val="000000"/>
        </w:rPr>
        <w:t>12</w:t>
      </w:r>
      <w:r w:rsidR="007C7AFB" w:rsidRPr="00DB06E9">
        <w:rPr>
          <w:rFonts w:ascii="Times New Roman" w:hAnsi="Times New Roman" w:cs="Times New Roman"/>
          <w:color w:val="000000"/>
        </w:rPr>
        <w:t>,</w:t>
      </w:r>
      <w:r w:rsidR="00E41784">
        <w:rPr>
          <w:rFonts w:ascii="Times New Roman" w:hAnsi="Times New Roman" w:cs="Times New Roman"/>
          <w:color w:val="000000"/>
        </w:rPr>
        <w:t>1</w:t>
      </w:r>
      <w:r w:rsidR="003A7ECC">
        <w:rPr>
          <w:rFonts w:ascii="Times New Roman" w:hAnsi="Times New Roman" w:cs="Times New Roman"/>
          <w:color w:val="000000"/>
        </w:rPr>
        <w:t xml:space="preserve"> points</w:t>
      </w:r>
      <w:r w:rsidR="007C7AFB" w:rsidRPr="00DB06E9">
        <w:rPr>
          <w:rFonts w:ascii="Times New Roman" w:hAnsi="Times New Roman" w:cs="Times New Roman"/>
          <w:color w:val="000000"/>
        </w:rPr>
        <w:t xml:space="preserve"> </w:t>
      </w:r>
      <w:r>
        <w:rPr>
          <w:rFonts w:ascii="Times New Roman" w:hAnsi="Times New Roman" w:cs="Times New Roman"/>
          <w:color w:val="000000"/>
        </w:rPr>
        <w:t xml:space="preserve">par rapport à son niveau </w:t>
      </w:r>
      <w:r w:rsidR="003A7ECC">
        <w:rPr>
          <w:rFonts w:ascii="Times New Roman" w:hAnsi="Times New Roman" w:cs="Times New Roman"/>
          <w:color w:val="000000"/>
        </w:rPr>
        <w:t>de</w:t>
      </w:r>
      <w:r>
        <w:rPr>
          <w:rFonts w:ascii="Times New Roman" w:hAnsi="Times New Roman" w:cs="Times New Roman"/>
          <w:color w:val="000000"/>
        </w:rPr>
        <w:t xml:space="preserve"> 2010.</w:t>
      </w:r>
    </w:p>
    <w:p w:rsidR="00A271B5" w:rsidRDefault="00A271B5" w:rsidP="00531247">
      <w:pPr>
        <w:widowControl/>
        <w:spacing w:line="276" w:lineRule="auto"/>
        <w:jc w:val="both"/>
        <w:rPr>
          <w:rFonts w:ascii="Times New Roman" w:hAnsi="Times New Roman" w:cs="Times New Roman"/>
          <w:b/>
          <w:bCs/>
          <w:color w:val="000000"/>
        </w:rPr>
      </w:pPr>
    </w:p>
    <w:p w:rsidR="00827634" w:rsidRDefault="00827634" w:rsidP="00531247">
      <w:pPr>
        <w:widowControl/>
        <w:spacing w:line="276" w:lineRule="auto"/>
        <w:jc w:val="both"/>
        <w:rPr>
          <w:rFonts w:ascii="Times New Roman" w:hAnsi="Times New Roman" w:cs="Times New Roman"/>
          <w:b/>
          <w:bCs/>
          <w:color w:val="000000"/>
        </w:rPr>
      </w:pPr>
      <w:r w:rsidRPr="00DB06E9">
        <w:rPr>
          <w:rFonts w:ascii="Times New Roman" w:hAnsi="Times New Roman" w:cs="Times New Roman"/>
          <w:b/>
          <w:bCs/>
          <w:color w:val="000000"/>
        </w:rPr>
        <w:t xml:space="preserve">• </w:t>
      </w:r>
      <w:r>
        <w:rPr>
          <w:rFonts w:ascii="Times New Roman" w:hAnsi="Times New Roman" w:cs="Times New Roman"/>
          <w:b/>
          <w:bCs/>
          <w:color w:val="000000"/>
        </w:rPr>
        <w:t xml:space="preserve">Protection de l’environnement : </w:t>
      </w:r>
      <w:r w:rsidR="00A271B5">
        <w:rPr>
          <w:rFonts w:ascii="Times New Roman" w:hAnsi="Times New Roman" w:cs="Times New Roman"/>
          <w:b/>
          <w:bCs/>
          <w:color w:val="000000"/>
        </w:rPr>
        <w:t xml:space="preserve">perception d’une amélioration </w:t>
      </w:r>
      <w:r>
        <w:rPr>
          <w:rFonts w:ascii="Times New Roman" w:hAnsi="Times New Roman" w:cs="Times New Roman"/>
          <w:b/>
          <w:bCs/>
          <w:color w:val="000000"/>
        </w:rPr>
        <w:t xml:space="preserve"> </w:t>
      </w:r>
    </w:p>
    <w:p w:rsidR="00A271B5" w:rsidRDefault="00A271B5" w:rsidP="00531247">
      <w:pPr>
        <w:spacing w:line="276" w:lineRule="auto"/>
        <w:jc w:val="both"/>
        <w:rPr>
          <w:rFonts w:ascii="Times New Roman" w:hAnsi="Times New Roman" w:cs="Times New Roman"/>
          <w:color w:val="000000"/>
        </w:rPr>
      </w:pPr>
      <w:r>
        <w:rPr>
          <w:rFonts w:ascii="Times New Roman" w:hAnsi="Times New Roman" w:cs="Times New Roman"/>
          <w:color w:val="000000"/>
        </w:rPr>
        <w:t xml:space="preserve">Les ménages étaient légèrement plus nombreux à percevoir une amélioration de la situation en matière de protection de l’environnement, 53,7% en 2011 contre 49,7% en 2010. </w:t>
      </w:r>
    </w:p>
    <w:p w:rsidR="00A271B5" w:rsidRDefault="00A271B5" w:rsidP="00827634">
      <w:pPr>
        <w:widowControl/>
        <w:spacing w:line="360" w:lineRule="auto"/>
        <w:jc w:val="both"/>
        <w:rPr>
          <w:rFonts w:ascii="Times New Roman" w:hAnsi="Times New Roman" w:cs="Times New Roman"/>
          <w:b/>
          <w:bCs/>
          <w:color w:val="000000"/>
        </w:rPr>
      </w:pPr>
    </w:p>
    <w:p w:rsidR="00827634" w:rsidRPr="00DB06E9" w:rsidRDefault="00A271B5" w:rsidP="00E870DB">
      <w:pPr>
        <w:widowControl/>
        <w:spacing w:line="360" w:lineRule="auto"/>
        <w:jc w:val="both"/>
        <w:rPr>
          <w:rFonts w:ascii="Times New Roman" w:hAnsi="Times New Roman" w:cs="Times New Roman"/>
          <w:b/>
          <w:bCs/>
          <w:color w:val="000000"/>
        </w:rPr>
      </w:pPr>
      <w:r w:rsidRPr="00DB06E9">
        <w:rPr>
          <w:rFonts w:ascii="Times New Roman" w:hAnsi="Times New Roman" w:cs="Times New Roman"/>
          <w:b/>
          <w:bCs/>
          <w:color w:val="000000"/>
        </w:rPr>
        <w:t xml:space="preserve">• </w:t>
      </w:r>
      <w:r>
        <w:rPr>
          <w:rFonts w:ascii="Times New Roman" w:hAnsi="Times New Roman" w:cs="Times New Roman"/>
          <w:b/>
          <w:bCs/>
          <w:color w:val="000000"/>
        </w:rPr>
        <w:t xml:space="preserve">Qualité des </w:t>
      </w:r>
      <w:r w:rsidR="00827634">
        <w:rPr>
          <w:rFonts w:ascii="Times New Roman" w:hAnsi="Times New Roman" w:cs="Times New Roman"/>
          <w:b/>
          <w:bCs/>
          <w:color w:val="000000"/>
        </w:rPr>
        <w:t>prestations administratives</w:t>
      </w:r>
      <w:r w:rsidR="000016A1">
        <w:rPr>
          <w:rFonts w:ascii="Times New Roman" w:hAnsi="Times New Roman" w:cs="Times New Roman"/>
          <w:b/>
          <w:bCs/>
          <w:color w:val="000000"/>
        </w:rPr>
        <w:t xml:space="preserve"> </w:t>
      </w:r>
      <w:r>
        <w:rPr>
          <w:rFonts w:ascii="Times New Roman" w:hAnsi="Times New Roman" w:cs="Times New Roman"/>
          <w:b/>
          <w:bCs/>
          <w:color w:val="000000"/>
        </w:rPr>
        <w:t xml:space="preserve">: </w:t>
      </w:r>
      <w:r w:rsidR="00E870DB">
        <w:rPr>
          <w:rFonts w:ascii="Times New Roman" w:hAnsi="Times New Roman" w:cs="Times New Roman"/>
          <w:b/>
          <w:bCs/>
          <w:color w:val="000000"/>
        </w:rPr>
        <w:t>légère détérioration</w:t>
      </w:r>
    </w:p>
    <w:p w:rsidR="000016A1" w:rsidRDefault="00A271B5" w:rsidP="00E870DB">
      <w:pPr>
        <w:spacing w:line="360" w:lineRule="auto"/>
        <w:jc w:val="both"/>
        <w:rPr>
          <w:rFonts w:ascii="Times New Roman" w:hAnsi="Times New Roman" w:cs="Times New Roman"/>
          <w:color w:val="000000"/>
        </w:rPr>
      </w:pPr>
      <w:r>
        <w:rPr>
          <w:rFonts w:ascii="Times New Roman" w:hAnsi="Times New Roman" w:cs="Times New Roman"/>
          <w:color w:val="000000"/>
        </w:rPr>
        <w:t>En 2011, l</w:t>
      </w:r>
      <w:r w:rsidR="000016A1">
        <w:rPr>
          <w:rFonts w:ascii="Times New Roman" w:hAnsi="Times New Roman" w:cs="Times New Roman"/>
          <w:color w:val="000000"/>
        </w:rPr>
        <w:t>’opinion des ménages sur l’évolution de la qualité des p</w:t>
      </w:r>
      <w:r w:rsidR="00E870DB">
        <w:rPr>
          <w:rFonts w:ascii="Times New Roman" w:hAnsi="Times New Roman" w:cs="Times New Roman"/>
          <w:color w:val="000000"/>
        </w:rPr>
        <w:t>restations administratives s’est légèrement détériorée</w:t>
      </w:r>
      <w:r w:rsidR="000016A1">
        <w:rPr>
          <w:rFonts w:ascii="Times New Roman" w:hAnsi="Times New Roman" w:cs="Times New Roman"/>
          <w:color w:val="000000"/>
        </w:rPr>
        <w:t>, un ménage sur deux (50,7% contre 53,3% en 2010) pense qu’elle s’est amélioré</w:t>
      </w:r>
      <w:r w:rsidR="003A7ECC">
        <w:rPr>
          <w:rFonts w:ascii="Times New Roman" w:hAnsi="Times New Roman" w:cs="Times New Roman"/>
          <w:color w:val="000000"/>
        </w:rPr>
        <w:t>e</w:t>
      </w:r>
      <w:r w:rsidR="000016A1">
        <w:rPr>
          <w:rFonts w:ascii="Times New Roman" w:hAnsi="Times New Roman" w:cs="Times New Roman"/>
          <w:color w:val="000000"/>
        </w:rPr>
        <w:t>, un sur quatre (contre 21%), qu’elle est restée stable et le reste pense, au contraire, qu’elle s’est détériorée.</w:t>
      </w:r>
    </w:p>
    <w:p w:rsidR="00174542" w:rsidRDefault="00174542" w:rsidP="00A271B5">
      <w:pPr>
        <w:spacing w:line="360" w:lineRule="auto"/>
        <w:jc w:val="both"/>
        <w:rPr>
          <w:rFonts w:ascii="Times New Roman" w:hAnsi="Times New Roman" w:cs="Times New Roman"/>
          <w:color w:val="000000"/>
        </w:rPr>
      </w:pPr>
    </w:p>
    <w:p w:rsidR="000016A1" w:rsidRPr="00DB06E9" w:rsidRDefault="000016A1" w:rsidP="000016A1">
      <w:pPr>
        <w:widowControl/>
        <w:spacing w:line="360" w:lineRule="auto"/>
        <w:jc w:val="both"/>
        <w:rPr>
          <w:rFonts w:ascii="Times New Roman" w:hAnsi="Times New Roman" w:cs="Times New Roman"/>
          <w:b/>
          <w:bCs/>
          <w:color w:val="000000"/>
        </w:rPr>
      </w:pPr>
      <w:r w:rsidRPr="00DB06E9">
        <w:rPr>
          <w:rFonts w:ascii="Times New Roman" w:hAnsi="Times New Roman" w:cs="Times New Roman"/>
          <w:b/>
          <w:bCs/>
          <w:color w:val="000000"/>
        </w:rPr>
        <w:t xml:space="preserve">• </w:t>
      </w:r>
      <w:r>
        <w:rPr>
          <w:rFonts w:ascii="Times New Roman" w:hAnsi="Times New Roman" w:cs="Times New Roman"/>
          <w:b/>
          <w:bCs/>
          <w:color w:val="000000"/>
        </w:rPr>
        <w:t xml:space="preserve">Qualité des services d’éducation et de santé : perception d’une </w:t>
      </w:r>
      <w:r w:rsidR="001B7322">
        <w:rPr>
          <w:rFonts w:ascii="Times New Roman" w:hAnsi="Times New Roman" w:cs="Times New Roman"/>
          <w:b/>
          <w:bCs/>
          <w:color w:val="000000"/>
        </w:rPr>
        <w:t>détérioration</w:t>
      </w:r>
    </w:p>
    <w:p w:rsidR="001B7322" w:rsidRDefault="001B7322" w:rsidP="00174542">
      <w:pPr>
        <w:spacing w:line="360" w:lineRule="auto"/>
        <w:jc w:val="both"/>
        <w:rPr>
          <w:rFonts w:ascii="Times New Roman" w:hAnsi="Times New Roman" w:cs="Times New Roman"/>
          <w:color w:val="000000"/>
        </w:rPr>
      </w:pPr>
      <w:r>
        <w:rPr>
          <w:rFonts w:ascii="Times New Roman" w:hAnsi="Times New Roman" w:cs="Times New Roman"/>
          <w:color w:val="000000"/>
        </w:rPr>
        <w:t>En 2011, 41,4% des ménages (contre 37,1% en 2010) pensent que la qualité de l’éducation s</w:t>
      </w:r>
      <w:r w:rsidR="00174542">
        <w:rPr>
          <w:rFonts w:ascii="Times New Roman" w:hAnsi="Times New Roman" w:cs="Times New Roman"/>
          <w:color w:val="000000"/>
        </w:rPr>
        <w:t>’</w:t>
      </w:r>
      <w:r>
        <w:rPr>
          <w:rFonts w:ascii="Times New Roman" w:hAnsi="Times New Roman" w:cs="Times New Roman"/>
          <w:color w:val="000000"/>
        </w:rPr>
        <w:t>e</w:t>
      </w:r>
      <w:r w:rsidR="00174542">
        <w:rPr>
          <w:rFonts w:ascii="Times New Roman" w:hAnsi="Times New Roman" w:cs="Times New Roman"/>
          <w:color w:val="000000"/>
        </w:rPr>
        <w:t>st</w:t>
      </w:r>
      <w:r>
        <w:rPr>
          <w:rFonts w:ascii="Times New Roman" w:hAnsi="Times New Roman" w:cs="Times New Roman"/>
          <w:color w:val="000000"/>
        </w:rPr>
        <w:t xml:space="preserve"> détérior</w:t>
      </w:r>
      <w:r w:rsidR="00174542">
        <w:rPr>
          <w:rFonts w:ascii="Times New Roman" w:hAnsi="Times New Roman" w:cs="Times New Roman"/>
          <w:color w:val="000000"/>
        </w:rPr>
        <w:t>ée</w:t>
      </w:r>
      <w:r>
        <w:rPr>
          <w:rFonts w:ascii="Times New Roman" w:hAnsi="Times New Roman" w:cs="Times New Roman"/>
          <w:color w:val="000000"/>
        </w:rPr>
        <w:t xml:space="preserve">, 26,9% (contre 26,5%) </w:t>
      </w:r>
      <w:r w:rsidR="00031CFB">
        <w:rPr>
          <w:rFonts w:ascii="Times New Roman" w:hAnsi="Times New Roman" w:cs="Times New Roman"/>
          <w:color w:val="000000"/>
        </w:rPr>
        <w:t xml:space="preserve">qu’elle </w:t>
      </w:r>
      <w:r w:rsidR="00174542">
        <w:rPr>
          <w:rFonts w:ascii="Times New Roman" w:hAnsi="Times New Roman" w:cs="Times New Roman"/>
          <w:color w:val="000000"/>
        </w:rPr>
        <w:t>a stagné</w:t>
      </w:r>
      <w:r>
        <w:rPr>
          <w:rFonts w:ascii="Times New Roman" w:hAnsi="Times New Roman" w:cs="Times New Roman"/>
          <w:color w:val="000000"/>
        </w:rPr>
        <w:t xml:space="preserve"> et 31,7% (36,4%) pensent qu’elle s’</w:t>
      </w:r>
      <w:r w:rsidR="00174542">
        <w:rPr>
          <w:rFonts w:ascii="Times New Roman" w:hAnsi="Times New Roman" w:cs="Times New Roman"/>
          <w:color w:val="000000"/>
        </w:rPr>
        <w:t>est</w:t>
      </w:r>
      <w:r w:rsidR="00267298">
        <w:rPr>
          <w:rFonts w:ascii="Times New Roman" w:hAnsi="Times New Roman" w:cs="Times New Roman"/>
          <w:color w:val="000000"/>
        </w:rPr>
        <w:t xml:space="preserve"> plutôt</w:t>
      </w:r>
      <w:r w:rsidR="00174542">
        <w:rPr>
          <w:rFonts w:ascii="Times New Roman" w:hAnsi="Times New Roman" w:cs="Times New Roman"/>
          <w:color w:val="000000"/>
        </w:rPr>
        <w:t xml:space="preserve"> </w:t>
      </w:r>
      <w:r>
        <w:rPr>
          <w:rFonts w:ascii="Times New Roman" w:hAnsi="Times New Roman" w:cs="Times New Roman"/>
          <w:color w:val="000000"/>
        </w:rPr>
        <w:t>amélior</w:t>
      </w:r>
      <w:r w:rsidR="00174542">
        <w:rPr>
          <w:rFonts w:ascii="Times New Roman" w:hAnsi="Times New Roman" w:cs="Times New Roman"/>
          <w:color w:val="000000"/>
        </w:rPr>
        <w:t>é</w:t>
      </w:r>
      <w:r>
        <w:rPr>
          <w:rFonts w:ascii="Times New Roman" w:hAnsi="Times New Roman" w:cs="Times New Roman"/>
          <w:color w:val="000000"/>
        </w:rPr>
        <w:t>e.</w:t>
      </w:r>
    </w:p>
    <w:p w:rsidR="001B7322" w:rsidRDefault="00174542" w:rsidP="00174542">
      <w:pPr>
        <w:spacing w:line="360" w:lineRule="auto"/>
        <w:jc w:val="both"/>
        <w:rPr>
          <w:rFonts w:ascii="Times New Roman" w:hAnsi="Times New Roman" w:cs="Times New Roman"/>
          <w:color w:val="000000"/>
        </w:rPr>
      </w:pPr>
      <w:r>
        <w:rPr>
          <w:rFonts w:ascii="Times New Roman" w:hAnsi="Times New Roman" w:cs="Times New Roman"/>
          <w:color w:val="000000"/>
        </w:rPr>
        <w:t xml:space="preserve">Concernant </w:t>
      </w:r>
      <w:r w:rsidR="001B7322">
        <w:rPr>
          <w:rFonts w:ascii="Times New Roman" w:hAnsi="Times New Roman" w:cs="Times New Roman"/>
          <w:color w:val="000000"/>
        </w:rPr>
        <w:t xml:space="preserve"> </w:t>
      </w:r>
      <w:r>
        <w:rPr>
          <w:rFonts w:ascii="Times New Roman" w:hAnsi="Times New Roman" w:cs="Times New Roman"/>
          <w:color w:val="000000"/>
        </w:rPr>
        <w:t>l</w:t>
      </w:r>
      <w:r w:rsidR="001B7322">
        <w:rPr>
          <w:rFonts w:ascii="Times New Roman" w:hAnsi="Times New Roman" w:cs="Times New Roman"/>
          <w:color w:val="000000"/>
        </w:rPr>
        <w:t>es soins de santé, les ménages étaient également plus nombreux  à penser que leur qualité se détériore (46,7% en 2011contre 44,4% en 2010)</w:t>
      </w:r>
    </w:p>
    <w:p w:rsidR="001B7322" w:rsidRDefault="001B7322" w:rsidP="00DB06E9">
      <w:pPr>
        <w:spacing w:line="360" w:lineRule="auto"/>
        <w:jc w:val="both"/>
        <w:rPr>
          <w:rFonts w:ascii="Times New Roman" w:hAnsi="Times New Roman" w:cs="Times New Roman"/>
          <w:color w:val="000000"/>
        </w:rPr>
      </w:pPr>
    </w:p>
    <w:p w:rsidR="004C26D2" w:rsidRDefault="00BB1F54" w:rsidP="00DB06E9">
      <w:pPr>
        <w:spacing w:line="360" w:lineRule="auto"/>
        <w:jc w:val="both"/>
        <w:rPr>
          <w:rFonts w:ascii="Times New Roman" w:hAnsi="Times New Roman" w:cs="Times New Roman"/>
          <w:color w:val="000000"/>
        </w:rPr>
      </w:pPr>
      <w:r w:rsidRPr="00DB06E9">
        <w:rPr>
          <w:rFonts w:ascii="Times New Roman" w:hAnsi="Times New Roman" w:cs="Times New Roman"/>
          <w:color w:val="000000"/>
        </w:rPr>
        <w:t xml:space="preserve">Ci-joint </w:t>
      </w:r>
      <w:r w:rsidR="00B04FEC" w:rsidRPr="00DB06E9">
        <w:rPr>
          <w:rFonts w:ascii="Times New Roman" w:hAnsi="Times New Roman" w:cs="Times New Roman"/>
          <w:color w:val="000000"/>
        </w:rPr>
        <w:t xml:space="preserve"> </w:t>
      </w:r>
      <w:r w:rsidRPr="00DB06E9">
        <w:rPr>
          <w:rFonts w:ascii="Times New Roman" w:hAnsi="Times New Roman" w:cs="Times New Roman"/>
          <w:color w:val="000000"/>
        </w:rPr>
        <w:t>les détails des différents indicateurs et un rappel des principaux concepts.</w:t>
      </w:r>
    </w:p>
    <w:p w:rsidR="00B04FEC" w:rsidRPr="00BD2D08" w:rsidRDefault="003E1044" w:rsidP="00531247">
      <w:pPr>
        <w:spacing w:line="360" w:lineRule="auto"/>
        <w:jc w:val="center"/>
        <w:rPr>
          <w:rFonts w:ascii="Book Antiqua" w:hAnsi="Book Antiqua" w:cs="Times New Roman"/>
          <w:b/>
          <w:bCs/>
          <w:color w:val="000000"/>
          <w:sz w:val="26"/>
          <w:szCs w:val="26"/>
        </w:rPr>
      </w:pPr>
      <w:r w:rsidRPr="00EB68B6">
        <w:rPr>
          <w:rFonts w:ascii="Times New Roman" w:hAnsi="Times New Roman" w:cs="Times New Roman"/>
        </w:rPr>
        <w:br w:type="page"/>
      </w:r>
      <w:r w:rsidR="00B04FEC" w:rsidRPr="00BD2D08">
        <w:rPr>
          <w:rFonts w:ascii="Book Antiqua" w:hAnsi="Book Antiqua" w:cs="Times New Roman"/>
          <w:b/>
          <w:bCs/>
          <w:color w:val="000000"/>
          <w:sz w:val="26"/>
          <w:szCs w:val="26"/>
        </w:rPr>
        <w:lastRenderedPageBreak/>
        <w:t>Evolution de l'ICM et de ses composantes</w:t>
      </w:r>
    </w:p>
    <w:tbl>
      <w:tblPr>
        <w:tblW w:w="10369" w:type="dxa"/>
        <w:tblInd w:w="49" w:type="dxa"/>
        <w:tblLayout w:type="fixed"/>
        <w:tblCellMar>
          <w:left w:w="70" w:type="dxa"/>
          <w:right w:w="70" w:type="dxa"/>
        </w:tblCellMar>
        <w:tblLook w:val="04A0"/>
      </w:tblPr>
      <w:tblGrid>
        <w:gridCol w:w="1140"/>
        <w:gridCol w:w="570"/>
        <w:gridCol w:w="570"/>
        <w:gridCol w:w="570"/>
        <w:gridCol w:w="570"/>
        <w:gridCol w:w="570"/>
        <w:gridCol w:w="570"/>
        <w:gridCol w:w="570"/>
        <w:gridCol w:w="570"/>
        <w:gridCol w:w="570"/>
        <w:gridCol w:w="570"/>
        <w:gridCol w:w="570"/>
        <w:gridCol w:w="581"/>
        <w:gridCol w:w="570"/>
        <w:gridCol w:w="570"/>
        <w:gridCol w:w="570"/>
        <w:gridCol w:w="668"/>
      </w:tblGrid>
      <w:tr w:rsidR="008D27B7" w:rsidRPr="008D27B7" w:rsidTr="00072F7C">
        <w:trPr>
          <w:trHeight w:val="320"/>
        </w:trPr>
        <w:tc>
          <w:tcPr>
            <w:tcW w:w="11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D27B7" w:rsidRPr="008D27B7" w:rsidRDefault="008D27B7" w:rsidP="008D27B7">
            <w:pPr>
              <w:widowControl/>
              <w:autoSpaceDE/>
              <w:autoSpaceDN/>
              <w:adjustRightInd/>
              <w:jc w:val="center"/>
              <w:rPr>
                <w:rFonts w:ascii="Times New Roman" w:hAnsi="Times New Roman" w:cs="Times New Roman"/>
                <w:b/>
                <w:bCs/>
                <w:color w:val="000000"/>
                <w:sz w:val="20"/>
                <w:szCs w:val="20"/>
              </w:rPr>
            </w:pPr>
            <w:r w:rsidRPr="008D27B7">
              <w:rPr>
                <w:rFonts w:ascii="Times New Roman" w:hAnsi="Times New Roman" w:cs="Times New Roman"/>
                <w:b/>
                <w:bCs/>
                <w:color w:val="000000"/>
                <w:sz w:val="20"/>
                <w:szCs w:val="20"/>
              </w:rPr>
              <w:t>Indicateur</w:t>
            </w:r>
          </w:p>
        </w:tc>
        <w:tc>
          <w:tcPr>
            <w:tcW w:w="9229" w:type="dxa"/>
            <w:gridSpan w:val="16"/>
            <w:tcBorders>
              <w:top w:val="single" w:sz="4" w:space="0" w:color="auto"/>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b/>
                <w:bCs/>
                <w:sz w:val="20"/>
                <w:szCs w:val="20"/>
              </w:rPr>
            </w:pPr>
            <w:r w:rsidRPr="008D27B7">
              <w:rPr>
                <w:rFonts w:ascii="Times New Roman" w:hAnsi="Times New Roman" w:cs="Times New Roman"/>
                <w:b/>
                <w:bCs/>
                <w:sz w:val="20"/>
                <w:szCs w:val="20"/>
              </w:rPr>
              <w:t>Trimestre</w:t>
            </w:r>
          </w:p>
        </w:tc>
      </w:tr>
      <w:tr w:rsidR="00B87925" w:rsidRPr="008D27B7" w:rsidTr="00072F7C">
        <w:trPr>
          <w:trHeight w:val="304"/>
        </w:trPr>
        <w:tc>
          <w:tcPr>
            <w:tcW w:w="1140" w:type="dxa"/>
            <w:vMerge/>
            <w:tcBorders>
              <w:top w:val="single" w:sz="4" w:space="0" w:color="auto"/>
              <w:left w:val="single" w:sz="4" w:space="0" w:color="auto"/>
              <w:bottom w:val="single" w:sz="4" w:space="0" w:color="000000"/>
              <w:right w:val="single" w:sz="4" w:space="0" w:color="auto"/>
            </w:tcBorders>
            <w:vAlign w:val="center"/>
            <w:hideMark/>
          </w:tcPr>
          <w:p w:rsidR="008D27B7" w:rsidRPr="008D27B7" w:rsidRDefault="008D27B7" w:rsidP="008D27B7">
            <w:pPr>
              <w:widowControl/>
              <w:autoSpaceDE/>
              <w:autoSpaceDN/>
              <w:adjustRightInd/>
              <w:rPr>
                <w:rFonts w:ascii="Times New Roman" w:hAnsi="Times New Roman" w:cs="Times New Roman"/>
                <w:b/>
                <w:bCs/>
                <w:color w:val="000000"/>
                <w:sz w:val="20"/>
                <w:szCs w:val="20"/>
              </w:rPr>
            </w:pP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18"/>
                <w:szCs w:val="18"/>
              </w:rPr>
            </w:pPr>
            <w:r w:rsidRPr="008D27B7">
              <w:rPr>
                <w:rFonts w:ascii="Times New Roman" w:hAnsi="Times New Roman" w:cs="Times New Roman"/>
                <w:sz w:val="18"/>
                <w:szCs w:val="18"/>
              </w:rPr>
              <w:t>T1/08</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18"/>
                <w:szCs w:val="18"/>
              </w:rPr>
            </w:pPr>
            <w:r w:rsidRPr="008D27B7">
              <w:rPr>
                <w:rFonts w:ascii="Times New Roman" w:hAnsi="Times New Roman" w:cs="Times New Roman"/>
                <w:sz w:val="18"/>
                <w:szCs w:val="18"/>
              </w:rPr>
              <w:t>T2/08</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18"/>
                <w:szCs w:val="18"/>
              </w:rPr>
            </w:pPr>
            <w:r w:rsidRPr="008D27B7">
              <w:rPr>
                <w:rFonts w:ascii="Times New Roman" w:hAnsi="Times New Roman" w:cs="Times New Roman"/>
                <w:sz w:val="18"/>
                <w:szCs w:val="18"/>
              </w:rPr>
              <w:t>T3/08</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18"/>
                <w:szCs w:val="18"/>
              </w:rPr>
            </w:pPr>
            <w:r w:rsidRPr="008D27B7">
              <w:rPr>
                <w:rFonts w:ascii="Times New Roman" w:hAnsi="Times New Roman" w:cs="Times New Roman"/>
                <w:sz w:val="18"/>
                <w:szCs w:val="18"/>
              </w:rPr>
              <w:t>T4/08</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18"/>
                <w:szCs w:val="18"/>
              </w:rPr>
            </w:pPr>
            <w:r w:rsidRPr="008D27B7">
              <w:rPr>
                <w:rFonts w:ascii="Times New Roman" w:hAnsi="Times New Roman" w:cs="Times New Roman"/>
                <w:sz w:val="18"/>
                <w:szCs w:val="18"/>
              </w:rPr>
              <w:t>T1/09</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18"/>
                <w:szCs w:val="18"/>
              </w:rPr>
            </w:pPr>
            <w:r w:rsidRPr="008D27B7">
              <w:rPr>
                <w:rFonts w:ascii="Times New Roman" w:hAnsi="Times New Roman" w:cs="Times New Roman"/>
                <w:sz w:val="18"/>
                <w:szCs w:val="18"/>
              </w:rPr>
              <w:t>T2/09</w:t>
            </w:r>
          </w:p>
        </w:tc>
        <w:tc>
          <w:tcPr>
            <w:tcW w:w="570" w:type="dxa"/>
            <w:tcBorders>
              <w:top w:val="nil"/>
              <w:left w:val="nil"/>
              <w:bottom w:val="single" w:sz="4" w:space="0" w:color="auto"/>
              <w:right w:val="single" w:sz="4" w:space="0" w:color="auto"/>
            </w:tcBorders>
            <w:shd w:val="clear" w:color="auto" w:fill="auto"/>
            <w:noWrap/>
            <w:vAlign w:val="center"/>
            <w:hideMark/>
          </w:tcPr>
          <w:p w:rsidR="008D27B7" w:rsidRPr="008D27B7" w:rsidRDefault="008D27B7" w:rsidP="008D27B7">
            <w:pPr>
              <w:widowControl/>
              <w:autoSpaceDE/>
              <w:autoSpaceDN/>
              <w:adjustRightInd/>
              <w:jc w:val="center"/>
              <w:rPr>
                <w:rFonts w:ascii="Times New Roman" w:hAnsi="Times New Roman" w:cs="Times New Roman"/>
                <w:sz w:val="18"/>
                <w:szCs w:val="18"/>
              </w:rPr>
            </w:pPr>
            <w:r w:rsidRPr="008D27B7">
              <w:rPr>
                <w:rFonts w:ascii="Times New Roman" w:hAnsi="Times New Roman" w:cs="Times New Roman"/>
                <w:sz w:val="18"/>
                <w:szCs w:val="18"/>
              </w:rPr>
              <w:t>T3/09</w:t>
            </w:r>
          </w:p>
        </w:tc>
        <w:tc>
          <w:tcPr>
            <w:tcW w:w="570" w:type="dxa"/>
            <w:tcBorders>
              <w:top w:val="nil"/>
              <w:left w:val="nil"/>
              <w:bottom w:val="single" w:sz="4" w:space="0" w:color="auto"/>
              <w:right w:val="single" w:sz="4" w:space="0" w:color="auto"/>
            </w:tcBorders>
            <w:shd w:val="clear" w:color="auto" w:fill="auto"/>
            <w:noWrap/>
            <w:vAlign w:val="center"/>
            <w:hideMark/>
          </w:tcPr>
          <w:p w:rsidR="008D27B7" w:rsidRPr="008D27B7" w:rsidRDefault="008D27B7" w:rsidP="008D27B7">
            <w:pPr>
              <w:widowControl/>
              <w:autoSpaceDE/>
              <w:autoSpaceDN/>
              <w:adjustRightInd/>
              <w:jc w:val="center"/>
              <w:rPr>
                <w:rFonts w:ascii="Times New Roman" w:hAnsi="Times New Roman" w:cs="Times New Roman"/>
                <w:sz w:val="18"/>
                <w:szCs w:val="18"/>
              </w:rPr>
            </w:pPr>
            <w:r w:rsidRPr="008D27B7">
              <w:rPr>
                <w:rFonts w:ascii="Times New Roman" w:hAnsi="Times New Roman" w:cs="Times New Roman"/>
                <w:sz w:val="18"/>
                <w:szCs w:val="18"/>
              </w:rPr>
              <w:t>T4/09</w:t>
            </w:r>
          </w:p>
        </w:tc>
        <w:tc>
          <w:tcPr>
            <w:tcW w:w="570" w:type="dxa"/>
            <w:tcBorders>
              <w:top w:val="nil"/>
              <w:left w:val="nil"/>
              <w:bottom w:val="single" w:sz="4" w:space="0" w:color="auto"/>
              <w:right w:val="single" w:sz="4" w:space="0" w:color="auto"/>
            </w:tcBorders>
            <w:shd w:val="clear" w:color="auto" w:fill="auto"/>
            <w:noWrap/>
            <w:vAlign w:val="center"/>
            <w:hideMark/>
          </w:tcPr>
          <w:p w:rsidR="008D27B7" w:rsidRPr="008D27B7" w:rsidRDefault="008D27B7" w:rsidP="008D27B7">
            <w:pPr>
              <w:widowControl/>
              <w:autoSpaceDE/>
              <w:autoSpaceDN/>
              <w:adjustRightInd/>
              <w:jc w:val="center"/>
              <w:rPr>
                <w:rFonts w:ascii="Times New Roman" w:hAnsi="Times New Roman" w:cs="Times New Roman"/>
                <w:sz w:val="18"/>
                <w:szCs w:val="18"/>
              </w:rPr>
            </w:pPr>
            <w:r w:rsidRPr="008D27B7">
              <w:rPr>
                <w:rFonts w:ascii="Times New Roman" w:hAnsi="Times New Roman" w:cs="Times New Roman"/>
                <w:sz w:val="18"/>
                <w:szCs w:val="18"/>
              </w:rPr>
              <w:t>T1/10</w:t>
            </w:r>
          </w:p>
        </w:tc>
        <w:tc>
          <w:tcPr>
            <w:tcW w:w="570" w:type="dxa"/>
            <w:tcBorders>
              <w:top w:val="nil"/>
              <w:left w:val="nil"/>
              <w:bottom w:val="single" w:sz="4" w:space="0" w:color="auto"/>
              <w:right w:val="single" w:sz="4" w:space="0" w:color="auto"/>
            </w:tcBorders>
            <w:shd w:val="clear" w:color="auto" w:fill="auto"/>
            <w:noWrap/>
            <w:vAlign w:val="center"/>
            <w:hideMark/>
          </w:tcPr>
          <w:p w:rsidR="008D27B7" w:rsidRPr="008D27B7" w:rsidRDefault="008D27B7" w:rsidP="008D27B7">
            <w:pPr>
              <w:widowControl/>
              <w:autoSpaceDE/>
              <w:autoSpaceDN/>
              <w:adjustRightInd/>
              <w:jc w:val="center"/>
              <w:rPr>
                <w:rFonts w:ascii="Times New Roman" w:hAnsi="Times New Roman" w:cs="Times New Roman"/>
                <w:sz w:val="18"/>
                <w:szCs w:val="18"/>
              </w:rPr>
            </w:pPr>
            <w:r w:rsidRPr="008D27B7">
              <w:rPr>
                <w:rFonts w:ascii="Times New Roman" w:hAnsi="Times New Roman" w:cs="Times New Roman"/>
                <w:sz w:val="18"/>
                <w:szCs w:val="18"/>
              </w:rPr>
              <w:t>T2/10</w:t>
            </w:r>
          </w:p>
        </w:tc>
        <w:tc>
          <w:tcPr>
            <w:tcW w:w="570" w:type="dxa"/>
            <w:tcBorders>
              <w:top w:val="nil"/>
              <w:left w:val="nil"/>
              <w:bottom w:val="single" w:sz="4" w:space="0" w:color="auto"/>
              <w:right w:val="single" w:sz="4" w:space="0" w:color="auto"/>
            </w:tcBorders>
            <w:shd w:val="clear" w:color="auto" w:fill="auto"/>
            <w:noWrap/>
            <w:vAlign w:val="center"/>
            <w:hideMark/>
          </w:tcPr>
          <w:p w:rsidR="008D27B7" w:rsidRPr="008D27B7" w:rsidRDefault="008D27B7" w:rsidP="008D27B7">
            <w:pPr>
              <w:widowControl/>
              <w:autoSpaceDE/>
              <w:autoSpaceDN/>
              <w:adjustRightInd/>
              <w:jc w:val="center"/>
              <w:rPr>
                <w:rFonts w:ascii="Times New Roman" w:hAnsi="Times New Roman" w:cs="Times New Roman"/>
                <w:sz w:val="18"/>
                <w:szCs w:val="18"/>
              </w:rPr>
            </w:pPr>
            <w:r w:rsidRPr="008D27B7">
              <w:rPr>
                <w:rFonts w:ascii="Times New Roman" w:hAnsi="Times New Roman" w:cs="Times New Roman"/>
                <w:sz w:val="18"/>
                <w:szCs w:val="18"/>
              </w:rPr>
              <w:t>T3/10</w:t>
            </w:r>
          </w:p>
        </w:tc>
        <w:tc>
          <w:tcPr>
            <w:tcW w:w="581" w:type="dxa"/>
            <w:tcBorders>
              <w:top w:val="nil"/>
              <w:left w:val="nil"/>
              <w:bottom w:val="single" w:sz="4" w:space="0" w:color="auto"/>
              <w:right w:val="single" w:sz="4" w:space="0" w:color="auto"/>
            </w:tcBorders>
            <w:shd w:val="clear" w:color="auto" w:fill="auto"/>
            <w:noWrap/>
            <w:vAlign w:val="center"/>
            <w:hideMark/>
          </w:tcPr>
          <w:p w:rsidR="008D27B7" w:rsidRPr="008D27B7" w:rsidRDefault="008D27B7" w:rsidP="008D27B7">
            <w:pPr>
              <w:widowControl/>
              <w:autoSpaceDE/>
              <w:autoSpaceDN/>
              <w:adjustRightInd/>
              <w:jc w:val="center"/>
              <w:rPr>
                <w:rFonts w:ascii="Times New Roman" w:hAnsi="Times New Roman" w:cs="Times New Roman"/>
                <w:sz w:val="18"/>
                <w:szCs w:val="18"/>
              </w:rPr>
            </w:pPr>
            <w:r w:rsidRPr="008D27B7">
              <w:rPr>
                <w:rFonts w:ascii="Times New Roman" w:hAnsi="Times New Roman" w:cs="Times New Roman"/>
                <w:sz w:val="18"/>
                <w:szCs w:val="18"/>
              </w:rPr>
              <w:t>T4/10</w:t>
            </w:r>
          </w:p>
        </w:tc>
        <w:tc>
          <w:tcPr>
            <w:tcW w:w="570" w:type="dxa"/>
            <w:tcBorders>
              <w:top w:val="nil"/>
              <w:left w:val="nil"/>
              <w:bottom w:val="single" w:sz="4" w:space="0" w:color="auto"/>
              <w:right w:val="single" w:sz="4" w:space="0" w:color="auto"/>
            </w:tcBorders>
            <w:shd w:val="clear" w:color="auto" w:fill="auto"/>
            <w:noWrap/>
            <w:vAlign w:val="center"/>
            <w:hideMark/>
          </w:tcPr>
          <w:p w:rsidR="008D27B7" w:rsidRPr="008D27B7" w:rsidRDefault="008D27B7" w:rsidP="008D27B7">
            <w:pPr>
              <w:widowControl/>
              <w:autoSpaceDE/>
              <w:autoSpaceDN/>
              <w:adjustRightInd/>
              <w:jc w:val="center"/>
              <w:rPr>
                <w:rFonts w:ascii="Times New Roman" w:hAnsi="Times New Roman" w:cs="Times New Roman"/>
                <w:sz w:val="18"/>
                <w:szCs w:val="18"/>
              </w:rPr>
            </w:pPr>
            <w:r w:rsidRPr="008D27B7">
              <w:rPr>
                <w:rFonts w:ascii="Times New Roman" w:hAnsi="Times New Roman" w:cs="Times New Roman"/>
                <w:sz w:val="18"/>
                <w:szCs w:val="18"/>
              </w:rPr>
              <w:t>T1/11</w:t>
            </w:r>
          </w:p>
        </w:tc>
        <w:tc>
          <w:tcPr>
            <w:tcW w:w="570" w:type="dxa"/>
            <w:tcBorders>
              <w:top w:val="nil"/>
              <w:left w:val="nil"/>
              <w:bottom w:val="single" w:sz="4" w:space="0" w:color="auto"/>
              <w:right w:val="single" w:sz="4" w:space="0" w:color="auto"/>
            </w:tcBorders>
            <w:shd w:val="clear" w:color="auto" w:fill="auto"/>
            <w:noWrap/>
            <w:vAlign w:val="center"/>
            <w:hideMark/>
          </w:tcPr>
          <w:p w:rsidR="008D27B7" w:rsidRPr="008D27B7" w:rsidRDefault="008D27B7" w:rsidP="008D27B7">
            <w:pPr>
              <w:widowControl/>
              <w:autoSpaceDE/>
              <w:autoSpaceDN/>
              <w:adjustRightInd/>
              <w:jc w:val="center"/>
              <w:rPr>
                <w:rFonts w:ascii="Times New Roman" w:hAnsi="Times New Roman" w:cs="Times New Roman"/>
                <w:sz w:val="18"/>
                <w:szCs w:val="18"/>
              </w:rPr>
            </w:pPr>
            <w:r w:rsidRPr="008D27B7">
              <w:rPr>
                <w:rFonts w:ascii="Times New Roman" w:hAnsi="Times New Roman" w:cs="Times New Roman"/>
                <w:sz w:val="18"/>
                <w:szCs w:val="18"/>
              </w:rPr>
              <w:t>T2/11</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18"/>
                <w:szCs w:val="18"/>
              </w:rPr>
            </w:pPr>
            <w:r w:rsidRPr="008D27B7">
              <w:rPr>
                <w:rFonts w:ascii="Times New Roman" w:hAnsi="Times New Roman" w:cs="Times New Roman"/>
                <w:sz w:val="18"/>
                <w:szCs w:val="18"/>
              </w:rPr>
              <w:t>T3/11</w:t>
            </w:r>
          </w:p>
        </w:tc>
        <w:tc>
          <w:tcPr>
            <w:tcW w:w="668"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18"/>
                <w:szCs w:val="18"/>
              </w:rPr>
            </w:pPr>
            <w:r w:rsidRPr="008D27B7">
              <w:rPr>
                <w:rFonts w:ascii="Times New Roman" w:hAnsi="Times New Roman" w:cs="Times New Roman"/>
                <w:sz w:val="18"/>
                <w:szCs w:val="18"/>
              </w:rPr>
              <w:t>T4/11</w:t>
            </w:r>
          </w:p>
        </w:tc>
      </w:tr>
      <w:tr w:rsidR="00B87925" w:rsidRPr="008D27B7" w:rsidTr="00072F7C">
        <w:trPr>
          <w:trHeight w:val="533"/>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8D27B7" w:rsidRPr="008D27B7" w:rsidRDefault="008D27B7" w:rsidP="008D27B7">
            <w:pPr>
              <w:widowControl/>
              <w:autoSpaceDE/>
              <w:autoSpaceDN/>
              <w:adjustRightInd/>
              <w:rPr>
                <w:rFonts w:ascii="Times New Roman" w:hAnsi="Times New Roman" w:cs="Times New Roman"/>
                <w:b/>
                <w:bCs/>
                <w:color w:val="000000"/>
                <w:sz w:val="20"/>
                <w:szCs w:val="20"/>
              </w:rPr>
            </w:pPr>
            <w:r w:rsidRPr="008D27B7">
              <w:rPr>
                <w:rFonts w:ascii="Times New Roman" w:hAnsi="Times New Roman" w:cs="Times New Roman"/>
                <w:b/>
                <w:bCs/>
                <w:color w:val="000000"/>
                <w:sz w:val="20"/>
                <w:szCs w:val="20"/>
              </w:rPr>
              <w:t>Indicateur résumé ICM</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b/>
                <w:sz w:val="20"/>
                <w:szCs w:val="20"/>
              </w:rPr>
            </w:pPr>
            <w:r w:rsidRPr="008D27B7">
              <w:rPr>
                <w:rFonts w:ascii="Times New Roman" w:hAnsi="Times New Roman" w:cs="Times New Roman"/>
                <w:b/>
                <w:sz w:val="20"/>
                <w:szCs w:val="20"/>
              </w:rPr>
              <w:t>85,9</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b/>
                <w:sz w:val="20"/>
                <w:szCs w:val="20"/>
              </w:rPr>
            </w:pPr>
            <w:r w:rsidRPr="008D27B7">
              <w:rPr>
                <w:rFonts w:ascii="Times New Roman" w:hAnsi="Times New Roman" w:cs="Times New Roman"/>
                <w:b/>
                <w:sz w:val="20"/>
                <w:szCs w:val="20"/>
              </w:rPr>
              <w:t>77,7</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b/>
                <w:sz w:val="20"/>
                <w:szCs w:val="20"/>
              </w:rPr>
            </w:pPr>
            <w:r w:rsidRPr="008D27B7">
              <w:rPr>
                <w:rFonts w:ascii="Times New Roman" w:hAnsi="Times New Roman" w:cs="Times New Roman"/>
                <w:b/>
                <w:sz w:val="20"/>
                <w:szCs w:val="20"/>
              </w:rPr>
              <w:t>75,6</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b/>
                <w:sz w:val="20"/>
                <w:szCs w:val="20"/>
              </w:rPr>
            </w:pPr>
            <w:r w:rsidRPr="008D27B7">
              <w:rPr>
                <w:rFonts w:ascii="Times New Roman" w:hAnsi="Times New Roman" w:cs="Times New Roman"/>
                <w:b/>
                <w:sz w:val="20"/>
                <w:szCs w:val="20"/>
              </w:rPr>
              <w:t>80,1</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b/>
                <w:sz w:val="20"/>
                <w:szCs w:val="20"/>
              </w:rPr>
            </w:pPr>
            <w:r w:rsidRPr="008D27B7">
              <w:rPr>
                <w:rFonts w:ascii="Times New Roman" w:hAnsi="Times New Roman" w:cs="Times New Roman"/>
                <w:b/>
                <w:sz w:val="20"/>
                <w:szCs w:val="20"/>
              </w:rPr>
              <w:t>76,9</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b/>
                <w:sz w:val="20"/>
                <w:szCs w:val="20"/>
              </w:rPr>
            </w:pPr>
            <w:r w:rsidRPr="008D27B7">
              <w:rPr>
                <w:rFonts w:ascii="Times New Roman" w:hAnsi="Times New Roman" w:cs="Times New Roman"/>
                <w:b/>
                <w:sz w:val="20"/>
                <w:szCs w:val="20"/>
              </w:rPr>
              <w:t>77,6</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b/>
                <w:sz w:val="20"/>
                <w:szCs w:val="20"/>
              </w:rPr>
            </w:pPr>
            <w:r w:rsidRPr="008D27B7">
              <w:rPr>
                <w:rFonts w:ascii="Times New Roman" w:hAnsi="Times New Roman" w:cs="Times New Roman"/>
                <w:b/>
                <w:sz w:val="20"/>
                <w:szCs w:val="20"/>
              </w:rPr>
              <w:t>79,1</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b/>
                <w:sz w:val="20"/>
                <w:szCs w:val="20"/>
              </w:rPr>
            </w:pPr>
            <w:r w:rsidRPr="008D27B7">
              <w:rPr>
                <w:rFonts w:ascii="Times New Roman" w:hAnsi="Times New Roman" w:cs="Times New Roman"/>
                <w:b/>
                <w:sz w:val="20"/>
                <w:szCs w:val="20"/>
              </w:rPr>
              <w:t>79,5</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b/>
                <w:sz w:val="20"/>
                <w:szCs w:val="20"/>
              </w:rPr>
            </w:pPr>
            <w:r w:rsidRPr="008D27B7">
              <w:rPr>
                <w:rFonts w:ascii="Times New Roman" w:hAnsi="Times New Roman" w:cs="Times New Roman"/>
                <w:b/>
                <w:sz w:val="20"/>
                <w:szCs w:val="20"/>
              </w:rPr>
              <w:t>80,1</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b/>
                <w:sz w:val="20"/>
                <w:szCs w:val="20"/>
              </w:rPr>
            </w:pPr>
            <w:r w:rsidRPr="008D27B7">
              <w:rPr>
                <w:rFonts w:ascii="Times New Roman" w:hAnsi="Times New Roman" w:cs="Times New Roman"/>
                <w:b/>
                <w:sz w:val="20"/>
                <w:szCs w:val="20"/>
              </w:rPr>
              <w:t>78,8</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b/>
                <w:sz w:val="20"/>
                <w:szCs w:val="20"/>
              </w:rPr>
            </w:pPr>
            <w:r w:rsidRPr="008D27B7">
              <w:rPr>
                <w:rFonts w:ascii="Times New Roman" w:hAnsi="Times New Roman" w:cs="Times New Roman"/>
                <w:b/>
                <w:sz w:val="20"/>
                <w:szCs w:val="20"/>
              </w:rPr>
              <w:t>78,6</w:t>
            </w:r>
          </w:p>
        </w:tc>
        <w:tc>
          <w:tcPr>
            <w:tcW w:w="581"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b/>
                <w:sz w:val="20"/>
                <w:szCs w:val="20"/>
              </w:rPr>
            </w:pPr>
            <w:r w:rsidRPr="008D27B7">
              <w:rPr>
                <w:rFonts w:ascii="Times New Roman" w:hAnsi="Times New Roman" w:cs="Times New Roman"/>
                <w:b/>
                <w:sz w:val="20"/>
                <w:szCs w:val="20"/>
              </w:rPr>
              <w:t>74,7</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b/>
                <w:sz w:val="20"/>
                <w:szCs w:val="20"/>
              </w:rPr>
            </w:pPr>
            <w:r w:rsidRPr="008D27B7">
              <w:rPr>
                <w:rFonts w:ascii="Times New Roman" w:hAnsi="Times New Roman" w:cs="Times New Roman"/>
                <w:b/>
                <w:sz w:val="20"/>
                <w:szCs w:val="20"/>
              </w:rPr>
              <w:t>78,4</w:t>
            </w:r>
          </w:p>
        </w:tc>
        <w:tc>
          <w:tcPr>
            <w:tcW w:w="570" w:type="dxa"/>
            <w:tcBorders>
              <w:top w:val="nil"/>
              <w:left w:val="nil"/>
              <w:bottom w:val="single" w:sz="4" w:space="0" w:color="auto"/>
              <w:right w:val="single" w:sz="4" w:space="0" w:color="auto"/>
            </w:tcBorders>
            <w:shd w:val="clear" w:color="auto" w:fill="auto"/>
            <w:noWrap/>
            <w:vAlign w:val="center"/>
            <w:hideMark/>
          </w:tcPr>
          <w:p w:rsidR="008D27B7" w:rsidRPr="008D27B7" w:rsidRDefault="008D27B7" w:rsidP="008D27B7">
            <w:pPr>
              <w:widowControl/>
              <w:autoSpaceDE/>
              <w:autoSpaceDN/>
              <w:adjustRightInd/>
              <w:jc w:val="center"/>
              <w:rPr>
                <w:rFonts w:ascii="Times New Roman" w:hAnsi="Times New Roman" w:cs="Times New Roman"/>
                <w:b/>
                <w:sz w:val="20"/>
                <w:szCs w:val="20"/>
              </w:rPr>
            </w:pPr>
            <w:r w:rsidRPr="008D27B7">
              <w:rPr>
                <w:rFonts w:ascii="Times New Roman" w:hAnsi="Times New Roman" w:cs="Times New Roman"/>
                <w:b/>
                <w:sz w:val="20"/>
                <w:szCs w:val="20"/>
              </w:rPr>
              <w:t>85,8</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b/>
                <w:sz w:val="20"/>
                <w:szCs w:val="20"/>
              </w:rPr>
            </w:pPr>
            <w:r w:rsidRPr="008D27B7">
              <w:rPr>
                <w:rFonts w:ascii="Times New Roman" w:hAnsi="Times New Roman" w:cs="Times New Roman"/>
                <w:b/>
                <w:sz w:val="20"/>
                <w:szCs w:val="20"/>
              </w:rPr>
              <w:t>86,5</w:t>
            </w:r>
          </w:p>
        </w:tc>
        <w:tc>
          <w:tcPr>
            <w:tcW w:w="668"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b/>
                <w:sz w:val="20"/>
                <w:szCs w:val="20"/>
              </w:rPr>
            </w:pPr>
            <w:r w:rsidRPr="008D27B7">
              <w:rPr>
                <w:rFonts w:ascii="Times New Roman" w:hAnsi="Times New Roman" w:cs="Times New Roman"/>
                <w:b/>
                <w:sz w:val="20"/>
                <w:szCs w:val="20"/>
              </w:rPr>
              <w:t>84,5</w:t>
            </w:r>
          </w:p>
        </w:tc>
      </w:tr>
      <w:tr w:rsidR="00B87925" w:rsidRPr="008D27B7" w:rsidTr="00072F7C">
        <w:trPr>
          <w:trHeight w:val="1050"/>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8D27B7" w:rsidRPr="008D27B7" w:rsidRDefault="008D27B7" w:rsidP="008D27B7">
            <w:pPr>
              <w:widowControl/>
              <w:autoSpaceDE/>
              <w:autoSpaceDN/>
              <w:adjustRightInd/>
              <w:rPr>
                <w:rFonts w:ascii="Times New Roman" w:hAnsi="Times New Roman" w:cs="Times New Roman"/>
                <w:color w:val="000000"/>
                <w:sz w:val="20"/>
                <w:szCs w:val="20"/>
              </w:rPr>
            </w:pPr>
            <w:r w:rsidRPr="008D27B7">
              <w:rPr>
                <w:rFonts w:ascii="Times New Roman" w:hAnsi="Times New Roman" w:cs="Times New Roman"/>
                <w:color w:val="000000"/>
                <w:sz w:val="20"/>
                <w:szCs w:val="20"/>
              </w:rPr>
              <w:t>Perspectives d'évolution du nombre de chômeurs</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-52,1</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-56,6</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-51,6</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-51,1</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-51,0</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-59,1</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-57,9</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-57,5</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-59,2</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-61,0</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-56,1</w:t>
            </w:r>
          </w:p>
        </w:tc>
        <w:tc>
          <w:tcPr>
            <w:tcW w:w="581"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-52,3</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-52,4</w:t>
            </w:r>
          </w:p>
        </w:tc>
        <w:tc>
          <w:tcPr>
            <w:tcW w:w="570" w:type="dxa"/>
            <w:tcBorders>
              <w:top w:val="nil"/>
              <w:left w:val="nil"/>
              <w:bottom w:val="single" w:sz="4" w:space="0" w:color="auto"/>
              <w:right w:val="single" w:sz="4" w:space="0" w:color="auto"/>
            </w:tcBorders>
            <w:shd w:val="clear" w:color="auto" w:fill="auto"/>
            <w:noWrap/>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-46,0</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-41,0</w:t>
            </w:r>
          </w:p>
        </w:tc>
        <w:tc>
          <w:tcPr>
            <w:tcW w:w="668"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-41,6</w:t>
            </w:r>
          </w:p>
        </w:tc>
      </w:tr>
      <w:tr w:rsidR="00B87925" w:rsidRPr="008D27B7" w:rsidTr="00072F7C">
        <w:trPr>
          <w:trHeight w:val="1309"/>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8D27B7" w:rsidRPr="008D27B7" w:rsidRDefault="008D27B7" w:rsidP="008D27B7">
            <w:pPr>
              <w:widowControl/>
              <w:autoSpaceDE/>
              <w:autoSpaceDN/>
              <w:adjustRightInd/>
              <w:rPr>
                <w:rFonts w:ascii="Times New Roman" w:hAnsi="Times New Roman" w:cs="Times New Roman"/>
                <w:color w:val="000000"/>
                <w:sz w:val="20"/>
                <w:szCs w:val="20"/>
              </w:rPr>
            </w:pPr>
            <w:r w:rsidRPr="008D27B7">
              <w:rPr>
                <w:rFonts w:ascii="Times New Roman" w:hAnsi="Times New Roman" w:cs="Times New Roman"/>
                <w:color w:val="000000"/>
                <w:sz w:val="20"/>
                <w:szCs w:val="20"/>
              </w:rPr>
              <w:t>Evolution  passée du niveau de vie en général</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-10,4</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-25,2</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-31,1</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-29,4</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-36,7</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-29,1</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-25,7</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-26,5</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-25,7</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-28,6</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-27,9</w:t>
            </w:r>
          </w:p>
        </w:tc>
        <w:tc>
          <w:tcPr>
            <w:tcW w:w="581"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-37,2</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-26,1</w:t>
            </w:r>
          </w:p>
        </w:tc>
        <w:tc>
          <w:tcPr>
            <w:tcW w:w="570" w:type="dxa"/>
            <w:tcBorders>
              <w:top w:val="nil"/>
              <w:left w:val="nil"/>
              <w:bottom w:val="single" w:sz="4" w:space="0" w:color="auto"/>
              <w:right w:val="single" w:sz="4" w:space="0" w:color="auto"/>
            </w:tcBorders>
            <w:shd w:val="clear" w:color="auto" w:fill="auto"/>
            <w:noWrap/>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-17,0</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-13,4</w:t>
            </w:r>
          </w:p>
        </w:tc>
        <w:tc>
          <w:tcPr>
            <w:tcW w:w="668"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Arial" w:hAnsi="Arial" w:cs="Arial"/>
                <w:sz w:val="20"/>
                <w:szCs w:val="20"/>
              </w:rPr>
            </w:pPr>
            <w:r w:rsidRPr="008D27B7">
              <w:rPr>
                <w:rFonts w:ascii="Arial" w:hAnsi="Arial" w:cs="Arial"/>
                <w:sz w:val="20"/>
                <w:szCs w:val="20"/>
              </w:rPr>
              <w:t>-20,2</w:t>
            </w:r>
          </w:p>
        </w:tc>
      </w:tr>
      <w:tr w:rsidR="00B87925" w:rsidRPr="008D27B7" w:rsidTr="00072F7C">
        <w:trPr>
          <w:trHeight w:val="1309"/>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8D27B7" w:rsidRPr="008D27B7" w:rsidRDefault="008D27B7" w:rsidP="008D27B7">
            <w:pPr>
              <w:widowControl/>
              <w:autoSpaceDE/>
              <w:autoSpaceDN/>
              <w:adjustRightInd/>
              <w:rPr>
                <w:rFonts w:ascii="Times New Roman" w:hAnsi="Times New Roman" w:cs="Times New Roman"/>
                <w:color w:val="000000"/>
                <w:sz w:val="20"/>
                <w:szCs w:val="20"/>
              </w:rPr>
            </w:pPr>
            <w:r w:rsidRPr="008D27B7">
              <w:rPr>
                <w:rFonts w:ascii="Times New Roman" w:hAnsi="Times New Roman" w:cs="Times New Roman"/>
                <w:color w:val="000000"/>
                <w:sz w:val="20"/>
                <w:szCs w:val="20"/>
              </w:rPr>
              <w:t>Perspectives d'évolution du niveau de vie en général</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14,4</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-11,5</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-21,4</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-3,5</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-9,3</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-3,5</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0,1</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2,2</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0,4</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2,7</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0,2</w:t>
            </w:r>
          </w:p>
        </w:tc>
        <w:tc>
          <w:tcPr>
            <w:tcW w:w="581"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-11,4</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-1,9</w:t>
            </w:r>
          </w:p>
        </w:tc>
        <w:tc>
          <w:tcPr>
            <w:tcW w:w="570" w:type="dxa"/>
            <w:tcBorders>
              <w:top w:val="nil"/>
              <w:left w:val="nil"/>
              <w:bottom w:val="single" w:sz="4" w:space="0" w:color="auto"/>
              <w:right w:val="single" w:sz="4" w:space="0" w:color="auto"/>
            </w:tcBorders>
            <w:shd w:val="clear" w:color="auto" w:fill="auto"/>
            <w:noWrap/>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18,1</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11,9</w:t>
            </w:r>
          </w:p>
        </w:tc>
        <w:tc>
          <w:tcPr>
            <w:tcW w:w="668"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Arial" w:hAnsi="Arial" w:cs="Arial"/>
                <w:sz w:val="20"/>
                <w:szCs w:val="20"/>
              </w:rPr>
            </w:pPr>
            <w:r w:rsidRPr="008D27B7">
              <w:rPr>
                <w:rFonts w:ascii="Arial" w:hAnsi="Arial" w:cs="Arial"/>
                <w:sz w:val="20"/>
                <w:szCs w:val="20"/>
              </w:rPr>
              <w:t>13,1</w:t>
            </w:r>
          </w:p>
        </w:tc>
      </w:tr>
      <w:tr w:rsidR="00B87925" w:rsidRPr="008D27B7" w:rsidTr="00072F7C">
        <w:trPr>
          <w:trHeight w:val="533"/>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8D27B7" w:rsidRPr="008D27B7" w:rsidRDefault="008D27B7" w:rsidP="008D27B7">
            <w:pPr>
              <w:widowControl/>
              <w:autoSpaceDE/>
              <w:autoSpaceDN/>
              <w:adjustRightInd/>
              <w:rPr>
                <w:rFonts w:ascii="Times New Roman" w:hAnsi="Times New Roman" w:cs="Times New Roman"/>
                <w:color w:val="000000"/>
                <w:sz w:val="20"/>
                <w:szCs w:val="20"/>
              </w:rPr>
            </w:pPr>
            <w:r w:rsidRPr="008D27B7">
              <w:rPr>
                <w:rFonts w:ascii="Times New Roman" w:hAnsi="Times New Roman" w:cs="Times New Roman"/>
                <w:color w:val="000000"/>
                <w:sz w:val="20"/>
                <w:szCs w:val="20"/>
              </w:rPr>
              <w:t>Opportunité d'achat</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-30,0</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-34,3</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-37,5</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-39,1</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-41,8</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-46,5</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-43,4</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-42,6</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-34,8</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-37,5</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-36,0</w:t>
            </w:r>
          </w:p>
        </w:tc>
        <w:tc>
          <w:tcPr>
            <w:tcW w:w="581"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-44,3</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-39,9</w:t>
            </w:r>
          </w:p>
        </w:tc>
        <w:tc>
          <w:tcPr>
            <w:tcW w:w="570" w:type="dxa"/>
            <w:tcBorders>
              <w:top w:val="nil"/>
              <w:left w:val="nil"/>
              <w:bottom w:val="single" w:sz="4" w:space="0" w:color="auto"/>
              <w:right w:val="single" w:sz="4" w:space="0" w:color="auto"/>
            </w:tcBorders>
            <w:shd w:val="clear" w:color="auto" w:fill="auto"/>
            <w:noWrap/>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-39,0</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-36,4</w:t>
            </w:r>
          </w:p>
        </w:tc>
        <w:tc>
          <w:tcPr>
            <w:tcW w:w="668"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Arial" w:hAnsi="Arial" w:cs="Arial"/>
                <w:sz w:val="20"/>
                <w:szCs w:val="20"/>
              </w:rPr>
            </w:pPr>
            <w:r w:rsidRPr="008D27B7">
              <w:rPr>
                <w:rFonts w:ascii="Arial" w:hAnsi="Arial" w:cs="Arial"/>
                <w:sz w:val="20"/>
                <w:szCs w:val="20"/>
              </w:rPr>
              <w:t>-38,5</w:t>
            </w:r>
          </w:p>
        </w:tc>
      </w:tr>
      <w:tr w:rsidR="00B87925" w:rsidRPr="008D27B7" w:rsidTr="00072F7C">
        <w:trPr>
          <w:trHeight w:val="1050"/>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8D27B7" w:rsidRPr="008D27B7" w:rsidRDefault="008D27B7" w:rsidP="008D27B7">
            <w:pPr>
              <w:widowControl/>
              <w:autoSpaceDE/>
              <w:autoSpaceDN/>
              <w:adjustRightInd/>
              <w:rPr>
                <w:rFonts w:ascii="Times New Roman" w:hAnsi="Times New Roman" w:cs="Times New Roman"/>
                <w:color w:val="000000"/>
                <w:sz w:val="20"/>
                <w:szCs w:val="20"/>
              </w:rPr>
            </w:pPr>
            <w:r w:rsidRPr="008D27B7">
              <w:rPr>
                <w:rFonts w:ascii="Times New Roman" w:hAnsi="Times New Roman" w:cs="Times New Roman"/>
                <w:color w:val="000000"/>
                <w:sz w:val="20"/>
                <w:szCs w:val="20"/>
              </w:rPr>
              <w:t>Situation financière actuelle des ménages</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-33,0</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-32,9</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-34,4</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-33,1</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-31,3</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-26,9</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-28,3</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-25,3</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-27,5</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-27,6</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-30,0</w:t>
            </w:r>
          </w:p>
        </w:tc>
        <w:tc>
          <w:tcPr>
            <w:tcW w:w="581"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-28,1</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-30,6</w:t>
            </w:r>
          </w:p>
        </w:tc>
        <w:tc>
          <w:tcPr>
            <w:tcW w:w="570" w:type="dxa"/>
            <w:tcBorders>
              <w:top w:val="nil"/>
              <w:left w:val="nil"/>
              <w:bottom w:val="single" w:sz="4" w:space="0" w:color="auto"/>
              <w:right w:val="single" w:sz="4" w:space="0" w:color="auto"/>
            </w:tcBorders>
            <w:shd w:val="clear" w:color="auto" w:fill="auto"/>
            <w:noWrap/>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-27,1</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-24,3</w:t>
            </w:r>
          </w:p>
        </w:tc>
        <w:tc>
          <w:tcPr>
            <w:tcW w:w="668"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Arial" w:hAnsi="Arial" w:cs="Arial"/>
                <w:sz w:val="20"/>
                <w:szCs w:val="20"/>
              </w:rPr>
            </w:pPr>
            <w:r w:rsidRPr="008D27B7">
              <w:rPr>
                <w:rFonts w:ascii="Arial" w:hAnsi="Arial" w:cs="Arial"/>
                <w:sz w:val="20"/>
                <w:szCs w:val="20"/>
              </w:rPr>
              <w:t>-25,7</w:t>
            </w:r>
          </w:p>
        </w:tc>
      </w:tr>
      <w:tr w:rsidR="00B87925" w:rsidRPr="008D27B7" w:rsidTr="00072F7C">
        <w:trPr>
          <w:trHeight w:val="1309"/>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8D27B7" w:rsidRPr="008D27B7" w:rsidRDefault="008D27B7" w:rsidP="008D27B7">
            <w:pPr>
              <w:widowControl/>
              <w:autoSpaceDE/>
              <w:autoSpaceDN/>
              <w:adjustRightInd/>
              <w:rPr>
                <w:rFonts w:ascii="Times New Roman" w:hAnsi="Times New Roman" w:cs="Times New Roman"/>
                <w:color w:val="000000"/>
                <w:sz w:val="20"/>
                <w:szCs w:val="20"/>
              </w:rPr>
            </w:pPr>
            <w:r w:rsidRPr="008D27B7">
              <w:rPr>
                <w:rFonts w:ascii="Times New Roman" w:hAnsi="Times New Roman" w:cs="Times New Roman"/>
                <w:color w:val="000000"/>
                <w:sz w:val="20"/>
                <w:szCs w:val="20"/>
              </w:rPr>
              <w:t>Evolution  passée  de la situation financière des ménages</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-11,8</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-11,4</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-11,7</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-9,5</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-18,4</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-13,4</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-8,3</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-11,0</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-10,0</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-7,9</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-7,5</w:t>
            </w:r>
          </w:p>
        </w:tc>
        <w:tc>
          <w:tcPr>
            <w:tcW w:w="581"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-12,8</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-10,5</w:t>
            </w:r>
          </w:p>
        </w:tc>
        <w:tc>
          <w:tcPr>
            <w:tcW w:w="570" w:type="dxa"/>
            <w:tcBorders>
              <w:top w:val="nil"/>
              <w:left w:val="nil"/>
              <w:bottom w:val="single" w:sz="4" w:space="0" w:color="auto"/>
              <w:right w:val="single" w:sz="4" w:space="0" w:color="auto"/>
            </w:tcBorders>
            <w:shd w:val="clear" w:color="auto" w:fill="auto"/>
            <w:noWrap/>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-8,9</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-6,4</w:t>
            </w:r>
          </w:p>
        </w:tc>
        <w:tc>
          <w:tcPr>
            <w:tcW w:w="668"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Arial" w:hAnsi="Arial" w:cs="Arial"/>
                <w:sz w:val="20"/>
                <w:szCs w:val="20"/>
              </w:rPr>
            </w:pPr>
            <w:r w:rsidRPr="008D27B7">
              <w:rPr>
                <w:rFonts w:ascii="Arial" w:hAnsi="Arial" w:cs="Arial"/>
                <w:sz w:val="20"/>
                <w:szCs w:val="20"/>
              </w:rPr>
              <w:t>-9,8</w:t>
            </w:r>
          </w:p>
        </w:tc>
      </w:tr>
      <w:tr w:rsidR="00B87925" w:rsidRPr="008D27B7" w:rsidTr="00072F7C">
        <w:trPr>
          <w:trHeight w:val="1309"/>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8D27B7" w:rsidRPr="008D27B7" w:rsidRDefault="008D27B7" w:rsidP="008D27B7">
            <w:pPr>
              <w:widowControl/>
              <w:autoSpaceDE/>
              <w:autoSpaceDN/>
              <w:adjustRightInd/>
              <w:rPr>
                <w:rFonts w:ascii="Times New Roman" w:hAnsi="Times New Roman" w:cs="Times New Roman"/>
                <w:color w:val="000000"/>
                <w:sz w:val="20"/>
                <w:szCs w:val="20"/>
              </w:rPr>
            </w:pPr>
            <w:r w:rsidRPr="008D27B7">
              <w:rPr>
                <w:rFonts w:ascii="Times New Roman" w:hAnsi="Times New Roman" w:cs="Times New Roman"/>
                <w:color w:val="000000"/>
                <w:sz w:val="20"/>
                <w:szCs w:val="20"/>
              </w:rPr>
              <w:t>Evolution  future de la situation financière des ménages</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23,9</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15,6</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16,6</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26,7</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26,8</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22,0</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17,5</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17,1</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17,8</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11,8</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7,8</w:t>
            </w:r>
          </w:p>
        </w:tc>
        <w:tc>
          <w:tcPr>
            <w:tcW w:w="581"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9,4</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10,2</w:t>
            </w:r>
          </w:p>
        </w:tc>
        <w:tc>
          <w:tcPr>
            <w:tcW w:w="570" w:type="dxa"/>
            <w:tcBorders>
              <w:top w:val="nil"/>
              <w:left w:val="nil"/>
              <w:bottom w:val="single" w:sz="4" w:space="0" w:color="auto"/>
              <w:right w:val="single" w:sz="4" w:space="0" w:color="auto"/>
            </w:tcBorders>
            <w:shd w:val="clear" w:color="auto" w:fill="auto"/>
            <w:noWrap/>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20,4</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bCs/>
                <w:sz w:val="20"/>
                <w:szCs w:val="20"/>
              </w:rPr>
            </w:pPr>
            <w:r w:rsidRPr="008D27B7">
              <w:rPr>
                <w:rFonts w:ascii="Times New Roman" w:hAnsi="Times New Roman" w:cs="Times New Roman"/>
                <w:bCs/>
                <w:sz w:val="20"/>
                <w:szCs w:val="20"/>
              </w:rPr>
              <w:t>15,1</w:t>
            </w:r>
          </w:p>
        </w:tc>
        <w:tc>
          <w:tcPr>
            <w:tcW w:w="668"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Arial" w:hAnsi="Arial" w:cs="Arial"/>
                <w:sz w:val="20"/>
                <w:szCs w:val="20"/>
              </w:rPr>
            </w:pPr>
            <w:r w:rsidRPr="008D27B7">
              <w:rPr>
                <w:rFonts w:ascii="Arial" w:hAnsi="Arial" w:cs="Arial"/>
                <w:sz w:val="20"/>
                <w:szCs w:val="20"/>
              </w:rPr>
              <w:t>14,0</w:t>
            </w:r>
          </w:p>
        </w:tc>
      </w:tr>
      <w:tr w:rsidR="008D27B7" w:rsidRPr="008D27B7" w:rsidTr="00072F7C">
        <w:trPr>
          <w:trHeight w:val="304"/>
        </w:trPr>
        <w:tc>
          <w:tcPr>
            <w:tcW w:w="10369"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b/>
                <w:bCs/>
                <w:color w:val="000000"/>
                <w:sz w:val="20"/>
                <w:szCs w:val="20"/>
              </w:rPr>
            </w:pPr>
            <w:r w:rsidRPr="008D27B7">
              <w:rPr>
                <w:rFonts w:ascii="Times New Roman" w:hAnsi="Times New Roman" w:cs="Times New Roman"/>
                <w:b/>
                <w:bCs/>
                <w:color w:val="000000"/>
                <w:sz w:val="20"/>
                <w:szCs w:val="20"/>
              </w:rPr>
              <w:t>Autres soldes</w:t>
            </w:r>
          </w:p>
        </w:tc>
      </w:tr>
      <w:tr w:rsidR="00B87925" w:rsidRPr="008D27B7" w:rsidTr="00072F7C">
        <w:trPr>
          <w:trHeight w:val="1309"/>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8D27B7" w:rsidRPr="008D27B7" w:rsidRDefault="008D27B7" w:rsidP="008D27B7">
            <w:pPr>
              <w:widowControl/>
              <w:autoSpaceDE/>
              <w:autoSpaceDN/>
              <w:adjustRightInd/>
              <w:rPr>
                <w:rFonts w:ascii="Times New Roman" w:hAnsi="Times New Roman" w:cs="Times New Roman"/>
                <w:color w:val="000000"/>
                <w:sz w:val="20"/>
                <w:szCs w:val="20"/>
              </w:rPr>
            </w:pPr>
            <w:r w:rsidRPr="008D27B7">
              <w:rPr>
                <w:rFonts w:ascii="Times New Roman" w:hAnsi="Times New Roman" w:cs="Times New Roman"/>
                <w:color w:val="000000"/>
                <w:sz w:val="20"/>
                <w:szCs w:val="20"/>
              </w:rPr>
              <w:t>Evolution future des prix des produits alimentaires</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-74,1</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-77,7</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-78,9</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-49,7</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-34,9</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-33,5</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-50,9</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-47,9</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-46,5</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-56,8</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-62,2</w:t>
            </w:r>
          </w:p>
        </w:tc>
        <w:tc>
          <w:tcPr>
            <w:tcW w:w="581"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-70,2</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-73,4</w:t>
            </w:r>
          </w:p>
        </w:tc>
        <w:tc>
          <w:tcPr>
            <w:tcW w:w="570" w:type="dxa"/>
            <w:tcBorders>
              <w:top w:val="nil"/>
              <w:left w:val="nil"/>
              <w:bottom w:val="single" w:sz="4" w:space="0" w:color="auto"/>
              <w:right w:val="single" w:sz="4" w:space="0" w:color="auto"/>
            </w:tcBorders>
            <w:shd w:val="clear" w:color="auto" w:fill="auto"/>
            <w:noWrap/>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-58,8</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-72,6</w:t>
            </w:r>
          </w:p>
        </w:tc>
        <w:tc>
          <w:tcPr>
            <w:tcW w:w="668"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Arial" w:hAnsi="Arial" w:cs="Arial"/>
                <w:sz w:val="20"/>
                <w:szCs w:val="20"/>
              </w:rPr>
            </w:pPr>
            <w:r w:rsidRPr="008D27B7">
              <w:rPr>
                <w:rFonts w:ascii="Arial" w:hAnsi="Arial" w:cs="Arial"/>
                <w:sz w:val="20"/>
                <w:szCs w:val="20"/>
              </w:rPr>
              <w:t>-73,0</w:t>
            </w:r>
          </w:p>
        </w:tc>
      </w:tr>
      <w:tr w:rsidR="00B87925" w:rsidRPr="008D27B7" w:rsidTr="00072F7C">
        <w:trPr>
          <w:trHeight w:val="1309"/>
        </w:trPr>
        <w:tc>
          <w:tcPr>
            <w:tcW w:w="1140" w:type="dxa"/>
            <w:tcBorders>
              <w:top w:val="nil"/>
              <w:left w:val="single" w:sz="4" w:space="0" w:color="auto"/>
              <w:bottom w:val="single" w:sz="4" w:space="0" w:color="auto"/>
              <w:right w:val="single" w:sz="4" w:space="0" w:color="auto"/>
            </w:tcBorders>
            <w:shd w:val="clear" w:color="auto" w:fill="auto"/>
            <w:vAlign w:val="bottom"/>
            <w:hideMark/>
          </w:tcPr>
          <w:p w:rsidR="008D27B7" w:rsidRPr="008D27B7" w:rsidRDefault="008D27B7" w:rsidP="008D27B7">
            <w:pPr>
              <w:widowControl/>
              <w:autoSpaceDE/>
              <w:autoSpaceDN/>
              <w:adjustRightInd/>
              <w:rPr>
                <w:rFonts w:ascii="Times New Roman" w:hAnsi="Times New Roman" w:cs="Times New Roman"/>
                <w:color w:val="000000"/>
                <w:sz w:val="20"/>
                <w:szCs w:val="20"/>
              </w:rPr>
            </w:pPr>
            <w:r w:rsidRPr="008D27B7">
              <w:rPr>
                <w:rFonts w:ascii="Times New Roman" w:hAnsi="Times New Roman" w:cs="Times New Roman"/>
                <w:color w:val="000000"/>
                <w:sz w:val="20"/>
                <w:szCs w:val="20"/>
              </w:rPr>
              <w:t>Evolution  passée des prix des produits alimentaires</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-93,6</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-95,9</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-98,0</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-96,2</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-94,0</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-87,2</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-85,7</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-83,3</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-79,5</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-87,8</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-89,7</w:t>
            </w:r>
          </w:p>
        </w:tc>
        <w:tc>
          <w:tcPr>
            <w:tcW w:w="581"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-90,9</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-95,5</w:t>
            </w:r>
          </w:p>
        </w:tc>
        <w:tc>
          <w:tcPr>
            <w:tcW w:w="570" w:type="dxa"/>
            <w:tcBorders>
              <w:top w:val="nil"/>
              <w:left w:val="nil"/>
              <w:bottom w:val="single" w:sz="4" w:space="0" w:color="auto"/>
              <w:right w:val="single" w:sz="4" w:space="0" w:color="auto"/>
            </w:tcBorders>
            <w:shd w:val="clear" w:color="auto" w:fill="auto"/>
            <w:noWrap/>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-87,2</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-89,9</w:t>
            </w:r>
          </w:p>
        </w:tc>
        <w:tc>
          <w:tcPr>
            <w:tcW w:w="668"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Arial" w:hAnsi="Arial" w:cs="Arial"/>
                <w:sz w:val="20"/>
                <w:szCs w:val="20"/>
              </w:rPr>
            </w:pPr>
            <w:r w:rsidRPr="008D27B7">
              <w:rPr>
                <w:rFonts w:ascii="Arial" w:hAnsi="Arial" w:cs="Arial"/>
                <w:sz w:val="20"/>
                <w:szCs w:val="20"/>
              </w:rPr>
              <w:t>-92,5</w:t>
            </w:r>
          </w:p>
        </w:tc>
      </w:tr>
      <w:tr w:rsidR="00B87925" w:rsidRPr="008D27B7" w:rsidTr="00072F7C">
        <w:trPr>
          <w:trHeight w:val="304"/>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8D27B7" w:rsidRPr="008D27B7" w:rsidRDefault="008D27B7" w:rsidP="008D27B7">
            <w:pPr>
              <w:widowControl/>
              <w:autoSpaceDE/>
              <w:autoSpaceDN/>
              <w:adjustRightInd/>
              <w:rPr>
                <w:rFonts w:ascii="Times New Roman" w:hAnsi="Times New Roman" w:cs="Times New Roman"/>
                <w:color w:val="000000"/>
                <w:sz w:val="20"/>
                <w:szCs w:val="20"/>
              </w:rPr>
            </w:pPr>
            <w:r w:rsidRPr="008D27B7">
              <w:rPr>
                <w:rFonts w:ascii="Times New Roman" w:hAnsi="Times New Roman" w:cs="Times New Roman"/>
                <w:color w:val="000000"/>
                <w:sz w:val="20"/>
                <w:szCs w:val="20"/>
              </w:rPr>
              <w:t>Capacité à épargner des ménages dans les mois à venir</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-61,2</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-61,3</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-60,7</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-56,7</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-56,8</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-57,1</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-57,8</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-58,5</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-56,6</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-61,1</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-67,6</w:t>
            </w:r>
          </w:p>
        </w:tc>
        <w:tc>
          <w:tcPr>
            <w:tcW w:w="581"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-66,6</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-61,7</w:t>
            </w:r>
          </w:p>
        </w:tc>
        <w:tc>
          <w:tcPr>
            <w:tcW w:w="570" w:type="dxa"/>
            <w:tcBorders>
              <w:top w:val="nil"/>
              <w:left w:val="nil"/>
              <w:bottom w:val="single" w:sz="4" w:space="0" w:color="auto"/>
              <w:right w:val="single" w:sz="4" w:space="0" w:color="auto"/>
            </w:tcBorders>
            <w:shd w:val="clear" w:color="auto" w:fill="auto"/>
            <w:noWrap/>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-63,3</w:t>
            </w:r>
          </w:p>
        </w:tc>
        <w:tc>
          <w:tcPr>
            <w:tcW w:w="570"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-64,9</w:t>
            </w:r>
          </w:p>
        </w:tc>
        <w:tc>
          <w:tcPr>
            <w:tcW w:w="668" w:type="dxa"/>
            <w:tcBorders>
              <w:top w:val="nil"/>
              <w:left w:val="nil"/>
              <w:bottom w:val="single" w:sz="4" w:space="0" w:color="auto"/>
              <w:right w:val="single" w:sz="4" w:space="0" w:color="auto"/>
            </w:tcBorders>
            <w:shd w:val="clear" w:color="auto" w:fill="auto"/>
            <w:vAlign w:val="center"/>
            <w:hideMark/>
          </w:tcPr>
          <w:p w:rsidR="008D27B7" w:rsidRPr="008D27B7" w:rsidRDefault="008D27B7" w:rsidP="008D27B7">
            <w:pPr>
              <w:widowControl/>
              <w:autoSpaceDE/>
              <w:autoSpaceDN/>
              <w:adjustRightInd/>
              <w:jc w:val="center"/>
              <w:rPr>
                <w:rFonts w:ascii="Times New Roman" w:hAnsi="Times New Roman" w:cs="Times New Roman"/>
                <w:sz w:val="20"/>
                <w:szCs w:val="20"/>
              </w:rPr>
            </w:pPr>
            <w:r w:rsidRPr="008D27B7">
              <w:rPr>
                <w:rFonts w:ascii="Times New Roman" w:hAnsi="Times New Roman" w:cs="Times New Roman"/>
                <w:sz w:val="20"/>
                <w:szCs w:val="20"/>
              </w:rPr>
              <w:t>-64,7</w:t>
            </w:r>
          </w:p>
        </w:tc>
      </w:tr>
    </w:tbl>
    <w:p w:rsidR="001F062E" w:rsidRDefault="001F062E" w:rsidP="00435631">
      <w:pPr>
        <w:widowControl/>
        <w:autoSpaceDE/>
        <w:autoSpaceDN/>
        <w:adjustRightInd/>
        <w:spacing w:before="100" w:after="240" w:line="276" w:lineRule="auto"/>
        <w:ind w:left="360"/>
        <w:jc w:val="center"/>
        <w:rPr>
          <w:rFonts w:ascii="Times New Roman" w:hAnsi="Times New Roman" w:cs="Times New Roman"/>
          <w:b/>
          <w:bCs/>
        </w:rPr>
      </w:pPr>
      <w:r w:rsidRPr="001F062E">
        <w:rPr>
          <w:rFonts w:ascii="Times New Roman" w:hAnsi="Times New Roman" w:cs="Times New Roman"/>
          <w:b/>
          <w:bCs/>
        </w:rPr>
        <w:lastRenderedPageBreak/>
        <w:t xml:space="preserve">Appréciation de l'évolution </w:t>
      </w:r>
      <w:r>
        <w:rPr>
          <w:rFonts w:ascii="Times New Roman" w:hAnsi="Times New Roman" w:cs="Times New Roman"/>
          <w:b/>
          <w:bCs/>
        </w:rPr>
        <w:t>de la qualité de certains services administratifs</w:t>
      </w:r>
      <w:r w:rsidR="00D21428">
        <w:rPr>
          <w:rFonts w:ascii="Times New Roman" w:hAnsi="Times New Roman" w:cs="Times New Roman"/>
          <w:b/>
          <w:bCs/>
        </w:rPr>
        <w:t xml:space="preserve"> et sociaux</w:t>
      </w:r>
      <w:r>
        <w:rPr>
          <w:rFonts w:ascii="Times New Roman" w:hAnsi="Times New Roman" w:cs="Times New Roman"/>
          <w:b/>
          <w:bCs/>
        </w:rPr>
        <w:t>, de la sit</w:t>
      </w:r>
      <w:r w:rsidR="00287EC1">
        <w:rPr>
          <w:rFonts w:ascii="Times New Roman" w:hAnsi="Times New Roman" w:cs="Times New Roman"/>
          <w:b/>
          <w:bCs/>
        </w:rPr>
        <w:t>uation des droits de l'H</w:t>
      </w:r>
      <w:r>
        <w:rPr>
          <w:rFonts w:ascii="Times New Roman" w:hAnsi="Times New Roman" w:cs="Times New Roman"/>
          <w:b/>
          <w:bCs/>
        </w:rPr>
        <w:t>omme et de l'environnement</w:t>
      </w:r>
    </w:p>
    <w:tbl>
      <w:tblPr>
        <w:tblW w:w="10320" w:type="dxa"/>
        <w:tblInd w:w="-38" w:type="dxa"/>
        <w:tblCellMar>
          <w:left w:w="70" w:type="dxa"/>
          <w:right w:w="70" w:type="dxa"/>
        </w:tblCellMar>
        <w:tblLook w:val="04A0"/>
      </w:tblPr>
      <w:tblGrid>
        <w:gridCol w:w="2011"/>
        <w:gridCol w:w="1220"/>
        <w:gridCol w:w="1006"/>
        <w:gridCol w:w="1140"/>
        <w:gridCol w:w="744"/>
        <w:gridCol w:w="1219"/>
        <w:gridCol w:w="1006"/>
        <w:gridCol w:w="1140"/>
        <w:gridCol w:w="834"/>
      </w:tblGrid>
      <w:tr w:rsidR="00FB444E" w:rsidRPr="00A547C5" w:rsidTr="004C26D2">
        <w:trPr>
          <w:trHeight w:val="308"/>
        </w:trPr>
        <w:tc>
          <w:tcPr>
            <w:tcW w:w="19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547C5" w:rsidRPr="00A547C5" w:rsidRDefault="00A547C5" w:rsidP="00A547C5">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Indicateur</w:t>
            </w:r>
          </w:p>
        </w:tc>
        <w:tc>
          <w:tcPr>
            <w:tcW w:w="4069" w:type="dxa"/>
            <w:gridSpan w:val="4"/>
            <w:tcBorders>
              <w:top w:val="single" w:sz="4" w:space="0" w:color="auto"/>
              <w:left w:val="nil"/>
              <w:bottom w:val="single" w:sz="4" w:space="0" w:color="auto"/>
              <w:right w:val="single" w:sz="4" w:space="0" w:color="auto"/>
            </w:tcBorders>
            <w:shd w:val="clear" w:color="auto" w:fill="auto"/>
            <w:vAlign w:val="center"/>
            <w:hideMark/>
          </w:tcPr>
          <w:p w:rsidR="00A547C5" w:rsidRPr="00A547C5" w:rsidRDefault="00A547C5" w:rsidP="00A547C5">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2010</w:t>
            </w:r>
          </w:p>
        </w:tc>
        <w:tc>
          <w:tcPr>
            <w:tcW w:w="4158" w:type="dxa"/>
            <w:gridSpan w:val="4"/>
            <w:tcBorders>
              <w:top w:val="single" w:sz="4" w:space="0" w:color="auto"/>
              <w:left w:val="nil"/>
              <w:bottom w:val="single" w:sz="4" w:space="0" w:color="auto"/>
              <w:right w:val="single" w:sz="4" w:space="0" w:color="auto"/>
            </w:tcBorders>
            <w:shd w:val="clear" w:color="auto" w:fill="auto"/>
            <w:vAlign w:val="center"/>
            <w:hideMark/>
          </w:tcPr>
          <w:p w:rsidR="00A547C5" w:rsidRPr="00A547C5" w:rsidRDefault="00A547C5" w:rsidP="00A547C5">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2011</w:t>
            </w:r>
          </w:p>
        </w:tc>
      </w:tr>
      <w:tr w:rsidR="00FB444E" w:rsidRPr="00A547C5" w:rsidTr="004C26D2">
        <w:trPr>
          <w:trHeight w:val="308"/>
        </w:trPr>
        <w:tc>
          <w:tcPr>
            <w:tcW w:w="1990" w:type="dxa"/>
            <w:vMerge/>
            <w:tcBorders>
              <w:top w:val="single" w:sz="4" w:space="0" w:color="auto"/>
              <w:left w:val="single" w:sz="4" w:space="0" w:color="auto"/>
              <w:bottom w:val="single" w:sz="4" w:space="0" w:color="000000"/>
              <w:right w:val="single" w:sz="4" w:space="0" w:color="auto"/>
            </w:tcBorders>
            <w:vAlign w:val="center"/>
            <w:hideMark/>
          </w:tcPr>
          <w:p w:rsidR="00A547C5" w:rsidRPr="00A547C5" w:rsidRDefault="00A547C5" w:rsidP="00A547C5">
            <w:pPr>
              <w:widowControl/>
              <w:autoSpaceDE/>
              <w:autoSpaceDN/>
              <w:adjustRightInd/>
              <w:rPr>
                <w:rFonts w:ascii="Times New Roman" w:hAnsi="Times New Roman" w:cs="Times New Roman"/>
                <w:color w:val="000000"/>
                <w:sz w:val="20"/>
                <w:szCs w:val="20"/>
              </w:rPr>
            </w:pPr>
          </w:p>
        </w:tc>
        <w:tc>
          <w:tcPr>
            <w:tcW w:w="1207"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A547C5">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Amélioration</w:t>
            </w:r>
          </w:p>
        </w:tc>
        <w:tc>
          <w:tcPr>
            <w:tcW w:w="996"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A547C5">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Stagnation</w:t>
            </w:r>
          </w:p>
        </w:tc>
        <w:tc>
          <w:tcPr>
            <w:tcW w:w="1129"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A547C5">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Dégradation</w:t>
            </w:r>
          </w:p>
        </w:tc>
        <w:tc>
          <w:tcPr>
            <w:tcW w:w="737"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A547C5">
            <w:pPr>
              <w:widowControl/>
              <w:autoSpaceDE/>
              <w:autoSpaceDN/>
              <w:adjustRightInd/>
              <w:jc w:val="center"/>
              <w:rPr>
                <w:rFonts w:ascii="Times New Roman" w:hAnsi="Times New Roman" w:cs="Times New Roman"/>
                <w:b/>
                <w:bCs/>
                <w:color w:val="000000"/>
                <w:sz w:val="20"/>
                <w:szCs w:val="20"/>
              </w:rPr>
            </w:pPr>
            <w:r w:rsidRPr="00A547C5">
              <w:rPr>
                <w:rFonts w:ascii="Times New Roman" w:hAnsi="Times New Roman" w:cs="Times New Roman"/>
                <w:b/>
                <w:bCs/>
                <w:color w:val="000000"/>
                <w:sz w:val="20"/>
                <w:szCs w:val="20"/>
              </w:rPr>
              <w:t>Solde</w:t>
            </w:r>
          </w:p>
        </w:tc>
        <w:tc>
          <w:tcPr>
            <w:tcW w:w="1207"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A547C5">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Amélioration</w:t>
            </w:r>
          </w:p>
        </w:tc>
        <w:tc>
          <w:tcPr>
            <w:tcW w:w="996"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A547C5">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Stagnation</w:t>
            </w:r>
          </w:p>
        </w:tc>
        <w:tc>
          <w:tcPr>
            <w:tcW w:w="1129"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A547C5">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Dégradation</w:t>
            </w:r>
          </w:p>
        </w:tc>
        <w:tc>
          <w:tcPr>
            <w:tcW w:w="826"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A547C5">
            <w:pPr>
              <w:widowControl/>
              <w:autoSpaceDE/>
              <w:autoSpaceDN/>
              <w:adjustRightInd/>
              <w:jc w:val="center"/>
              <w:rPr>
                <w:rFonts w:ascii="Times New Roman" w:hAnsi="Times New Roman" w:cs="Times New Roman"/>
                <w:b/>
                <w:bCs/>
                <w:color w:val="000000"/>
                <w:sz w:val="20"/>
                <w:szCs w:val="20"/>
              </w:rPr>
            </w:pPr>
            <w:r w:rsidRPr="00A547C5">
              <w:rPr>
                <w:rFonts w:ascii="Times New Roman" w:hAnsi="Times New Roman" w:cs="Times New Roman"/>
                <w:b/>
                <w:bCs/>
                <w:color w:val="000000"/>
                <w:sz w:val="20"/>
                <w:szCs w:val="20"/>
              </w:rPr>
              <w:t>Solde</w:t>
            </w:r>
          </w:p>
        </w:tc>
      </w:tr>
      <w:tr w:rsidR="00FB444E" w:rsidRPr="00A547C5" w:rsidTr="004C26D2">
        <w:trPr>
          <w:trHeight w:val="308"/>
        </w:trPr>
        <w:tc>
          <w:tcPr>
            <w:tcW w:w="1990" w:type="dxa"/>
            <w:tcBorders>
              <w:top w:val="nil"/>
              <w:left w:val="single" w:sz="4" w:space="0" w:color="auto"/>
              <w:bottom w:val="single" w:sz="4" w:space="0" w:color="auto"/>
              <w:right w:val="single" w:sz="4" w:space="0" w:color="auto"/>
            </w:tcBorders>
            <w:shd w:val="clear" w:color="auto" w:fill="auto"/>
            <w:noWrap/>
            <w:vAlign w:val="center"/>
            <w:hideMark/>
          </w:tcPr>
          <w:p w:rsidR="00A547C5" w:rsidRPr="00A547C5" w:rsidRDefault="00A547C5" w:rsidP="00697E8F">
            <w:pPr>
              <w:widowControl/>
              <w:autoSpaceDE/>
              <w:autoSpaceDN/>
              <w:adjustRightInd/>
              <w:rPr>
                <w:rFonts w:ascii="Times New Roman" w:hAnsi="Times New Roman" w:cs="Times New Roman"/>
                <w:color w:val="000000"/>
                <w:sz w:val="20"/>
                <w:szCs w:val="20"/>
              </w:rPr>
            </w:pPr>
            <w:r w:rsidRPr="00A547C5">
              <w:rPr>
                <w:rFonts w:ascii="Times New Roman" w:hAnsi="Times New Roman" w:cs="Times New Roman"/>
                <w:color w:val="000000"/>
                <w:sz w:val="20"/>
                <w:szCs w:val="20"/>
              </w:rPr>
              <w:t xml:space="preserve">Evolution  </w:t>
            </w:r>
            <w:r w:rsidR="00697E8F">
              <w:rPr>
                <w:rFonts w:ascii="Times New Roman" w:hAnsi="Times New Roman" w:cs="Times New Roman"/>
                <w:color w:val="000000"/>
                <w:sz w:val="20"/>
                <w:szCs w:val="20"/>
              </w:rPr>
              <w:t xml:space="preserve">de la situation </w:t>
            </w:r>
            <w:r w:rsidRPr="00A547C5">
              <w:rPr>
                <w:rFonts w:ascii="Times New Roman" w:hAnsi="Times New Roman" w:cs="Times New Roman"/>
                <w:color w:val="000000"/>
                <w:sz w:val="20"/>
                <w:szCs w:val="20"/>
              </w:rPr>
              <w:t>des droits de l'Homme</w:t>
            </w:r>
          </w:p>
        </w:tc>
        <w:tc>
          <w:tcPr>
            <w:tcW w:w="1207"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54,3</w:t>
            </w:r>
          </w:p>
        </w:tc>
        <w:tc>
          <w:tcPr>
            <w:tcW w:w="996"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29,9</w:t>
            </w:r>
          </w:p>
        </w:tc>
        <w:tc>
          <w:tcPr>
            <w:tcW w:w="1129"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15,8</w:t>
            </w:r>
          </w:p>
        </w:tc>
        <w:tc>
          <w:tcPr>
            <w:tcW w:w="737"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b/>
                <w:bCs/>
                <w:color w:val="000000"/>
                <w:sz w:val="20"/>
                <w:szCs w:val="20"/>
              </w:rPr>
            </w:pPr>
            <w:r w:rsidRPr="00A547C5">
              <w:rPr>
                <w:rFonts w:ascii="Times New Roman" w:hAnsi="Times New Roman" w:cs="Times New Roman"/>
                <w:b/>
                <w:bCs/>
                <w:color w:val="000000"/>
                <w:sz w:val="20"/>
                <w:szCs w:val="20"/>
              </w:rPr>
              <w:t>38,5</w:t>
            </w:r>
          </w:p>
        </w:tc>
        <w:tc>
          <w:tcPr>
            <w:tcW w:w="1207"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61,1</w:t>
            </w:r>
          </w:p>
        </w:tc>
        <w:tc>
          <w:tcPr>
            <w:tcW w:w="996"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28,4</w:t>
            </w:r>
          </w:p>
        </w:tc>
        <w:tc>
          <w:tcPr>
            <w:tcW w:w="1129"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10,5</w:t>
            </w:r>
          </w:p>
        </w:tc>
        <w:tc>
          <w:tcPr>
            <w:tcW w:w="826"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b/>
                <w:bCs/>
                <w:color w:val="000000"/>
                <w:sz w:val="20"/>
                <w:szCs w:val="20"/>
              </w:rPr>
            </w:pPr>
            <w:r w:rsidRPr="00A547C5">
              <w:rPr>
                <w:rFonts w:ascii="Times New Roman" w:hAnsi="Times New Roman" w:cs="Times New Roman"/>
                <w:b/>
                <w:bCs/>
                <w:color w:val="000000"/>
                <w:sz w:val="20"/>
                <w:szCs w:val="20"/>
              </w:rPr>
              <w:t>50,6</w:t>
            </w:r>
          </w:p>
        </w:tc>
      </w:tr>
      <w:tr w:rsidR="00FB444E" w:rsidRPr="00A547C5" w:rsidTr="004C26D2">
        <w:trPr>
          <w:trHeight w:val="308"/>
        </w:trPr>
        <w:tc>
          <w:tcPr>
            <w:tcW w:w="1990" w:type="dxa"/>
            <w:tcBorders>
              <w:top w:val="nil"/>
              <w:left w:val="single" w:sz="4" w:space="0" w:color="auto"/>
              <w:bottom w:val="single" w:sz="4" w:space="0" w:color="auto"/>
              <w:right w:val="single" w:sz="4" w:space="0" w:color="auto"/>
            </w:tcBorders>
            <w:shd w:val="clear" w:color="auto" w:fill="auto"/>
            <w:noWrap/>
            <w:vAlign w:val="center"/>
            <w:hideMark/>
          </w:tcPr>
          <w:p w:rsidR="00A547C5" w:rsidRPr="00A547C5" w:rsidRDefault="00A547C5" w:rsidP="00697E8F">
            <w:pPr>
              <w:widowControl/>
              <w:autoSpaceDE/>
              <w:autoSpaceDN/>
              <w:adjustRightInd/>
              <w:rPr>
                <w:rFonts w:ascii="Times New Roman" w:hAnsi="Times New Roman" w:cs="Times New Roman"/>
                <w:color w:val="000000"/>
                <w:sz w:val="20"/>
                <w:szCs w:val="20"/>
              </w:rPr>
            </w:pPr>
            <w:r w:rsidRPr="00A547C5">
              <w:rPr>
                <w:rFonts w:ascii="Times New Roman" w:hAnsi="Times New Roman" w:cs="Times New Roman"/>
                <w:color w:val="000000"/>
                <w:sz w:val="20"/>
                <w:szCs w:val="20"/>
              </w:rPr>
              <w:t xml:space="preserve">Evolution </w:t>
            </w:r>
            <w:r w:rsidR="00697E8F">
              <w:rPr>
                <w:rFonts w:ascii="Times New Roman" w:hAnsi="Times New Roman" w:cs="Times New Roman"/>
                <w:color w:val="000000"/>
                <w:sz w:val="20"/>
                <w:szCs w:val="20"/>
              </w:rPr>
              <w:t xml:space="preserve"> de la protection </w:t>
            </w:r>
            <w:r w:rsidRPr="00A547C5">
              <w:rPr>
                <w:rFonts w:ascii="Times New Roman" w:hAnsi="Times New Roman" w:cs="Times New Roman"/>
                <w:color w:val="000000"/>
                <w:sz w:val="20"/>
                <w:szCs w:val="20"/>
              </w:rPr>
              <w:t xml:space="preserve"> de l'environnement</w:t>
            </w:r>
          </w:p>
        </w:tc>
        <w:tc>
          <w:tcPr>
            <w:tcW w:w="1207"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49,7</w:t>
            </w:r>
          </w:p>
        </w:tc>
        <w:tc>
          <w:tcPr>
            <w:tcW w:w="996"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29,0</w:t>
            </w:r>
          </w:p>
        </w:tc>
        <w:tc>
          <w:tcPr>
            <w:tcW w:w="1129"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21,3</w:t>
            </w:r>
          </w:p>
        </w:tc>
        <w:tc>
          <w:tcPr>
            <w:tcW w:w="737"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697E8F">
            <w:pPr>
              <w:widowControl/>
              <w:autoSpaceDE/>
              <w:autoSpaceDN/>
              <w:adjustRightInd/>
              <w:jc w:val="center"/>
              <w:rPr>
                <w:rFonts w:ascii="Times New Roman" w:hAnsi="Times New Roman" w:cs="Times New Roman"/>
                <w:b/>
                <w:bCs/>
                <w:color w:val="000000"/>
                <w:sz w:val="20"/>
                <w:szCs w:val="20"/>
              </w:rPr>
            </w:pPr>
            <w:r w:rsidRPr="00A547C5">
              <w:rPr>
                <w:rFonts w:ascii="Times New Roman" w:hAnsi="Times New Roman" w:cs="Times New Roman"/>
                <w:b/>
                <w:bCs/>
                <w:color w:val="000000"/>
                <w:sz w:val="20"/>
                <w:szCs w:val="20"/>
              </w:rPr>
              <w:t>28,</w:t>
            </w:r>
            <w:r w:rsidR="00697E8F">
              <w:rPr>
                <w:rFonts w:ascii="Times New Roman" w:hAnsi="Times New Roman" w:cs="Times New Roman"/>
                <w:b/>
                <w:bCs/>
                <w:color w:val="000000"/>
                <w:sz w:val="20"/>
                <w:szCs w:val="20"/>
              </w:rPr>
              <w:t>4</w:t>
            </w:r>
          </w:p>
        </w:tc>
        <w:tc>
          <w:tcPr>
            <w:tcW w:w="1207"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53,7</w:t>
            </w:r>
          </w:p>
        </w:tc>
        <w:tc>
          <w:tcPr>
            <w:tcW w:w="996"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29,0</w:t>
            </w:r>
          </w:p>
        </w:tc>
        <w:tc>
          <w:tcPr>
            <w:tcW w:w="1129"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17,3</w:t>
            </w:r>
          </w:p>
        </w:tc>
        <w:tc>
          <w:tcPr>
            <w:tcW w:w="826"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b/>
                <w:bCs/>
                <w:color w:val="000000"/>
                <w:sz w:val="20"/>
                <w:szCs w:val="20"/>
              </w:rPr>
            </w:pPr>
            <w:r w:rsidRPr="00A547C5">
              <w:rPr>
                <w:rFonts w:ascii="Times New Roman" w:hAnsi="Times New Roman" w:cs="Times New Roman"/>
                <w:b/>
                <w:bCs/>
                <w:color w:val="000000"/>
                <w:sz w:val="20"/>
                <w:szCs w:val="20"/>
              </w:rPr>
              <w:t>36,4</w:t>
            </w:r>
          </w:p>
        </w:tc>
      </w:tr>
      <w:tr w:rsidR="00FB444E" w:rsidRPr="00A547C5" w:rsidTr="004C26D2">
        <w:trPr>
          <w:trHeight w:val="308"/>
        </w:trPr>
        <w:tc>
          <w:tcPr>
            <w:tcW w:w="1990" w:type="dxa"/>
            <w:tcBorders>
              <w:top w:val="nil"/>
              <w:left w:val="single" w:sz="4" w:space="0" w:color="auto"/>
              <w:bottom w:val="single" w:sz="4" w:space="0" w:color="auto"/>
              <w:right w:val="single" w:sz="4" w:space="0" w:color="auto"/>
            </w:tcBorders>
            <w:shd w:val="clear" w:color="auto" w:fill="auto"/>
            <w:noWrap/>
            <w:vAlign w:val="center"/>
            <w:hideMark/>
          </w:tcPr>
          <w:p w:rsidR="00A547C5" w:rsidRPr="00A547C5" w:rsidRDefault="00A547C5" w:rsidP="00697E8F">
            <w:pPr>
              <w:widowControl/>
              <w:autoSpaceDE/>
              <w:autoSpaceDN/>
              <w:adjustRightInd/>
              <w:rPr>
                <w:rFonts w:ascii="Times New Roman" w:hAnsi="Times New Roman" w:cs="Times New Roman"/>
                <w:color w:val="000000"/>
                <w:sz w:val="20"/>
                <w:szCs w:val="20"/>
              </w:rPr>
            </w:pPr>
            <w:r w:rsidRPr="00A547C5">
              <w:rPr>
                <w:rFonts w:ascii="Times New Roman" w:hAnsi="Times New Roman" w:cs="Times New Roman"/>
                <w:color w:val="000000"/>
                <w:sz w:val="20"/>
                <w:szCs w:val="20"/>
              </w:rPr>
              <w:t xml:space="preserve">Evolution  </w:t>
            </w:r>
            <w:r w:rsidR="00697E8F">
              <w:rPr>
                <w:rFonts w:ascii="Times New Roman" w:hAnsi="Times New Roman" w:cs="Times New Roman"/>
                <w:color w:val="000000"/>
                <w:sz w:val="20"/>
                <w:szCs w:val="20"/>
              </w:rPr>
              <w:t xml:space="preserve">de la qualité </w:t>
            </w:r>
            <w:r w:rsidRPr="00A547C5">
              <w:rPr>
                <w:rFonts w:ascii="Times New Roman" w:hAnsi="Times New Roman" w:cs="Times New Roman"/>
                <w:color w:val="000000"/>
                <w:sz w:val="20"/>
                <w:szCs w:val="20"/>
              </w:rPr>
              <w:t>des prestations administratives</w:t>
            </w:r>
          </w:p>
        </w:tc>
        <w:tc>
          <w:tcPr>
            <w:tcW w:w="1207"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53,3</w:t>
            </w:r>
          </w:p>
        </w:tc>
        <w:tc>
          <w:tcPr>
            <w:tcW w:w="996"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21,0</w:t>
            </w:r>
          </w:p>
        </w:tc>
        <w:tc>
          <w:tcPr>
            <w:tcW w:w="1129"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25,7</w:t>
            </w:r>
          </w:p>
        </w:tc>
        <w:tc>
          <w:tcPr>
            <w:tcW w:w="737"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b/>
                <w:bCs/>
                <w:color w:val="000000"/>
                <w:sz w:val="20"/>
                <w:szCs w:val="20"/>
              </w:rPr>
            </w:pPr>
            <w:r w:rsidRPr="00A547C5">
              <w:rPr>
                <w:rFonts w:ascii="Times New Roman" w:hAnsi="Times New Roman" w:cs="Times New Roman"/>
                <w:b/>
                <w:bCs/>
                <w:color w:val="000000"/>
                <w:sz w:val="20"/>
                <w:szCs w:val="20"/>
              </w:rPr>
              <w:t>27,6</w:t>
            </w:r>
          </w:p>
        </w:tc>
        <w:tc>
          <w:tcPr>
            <w:tcW w:w="1207"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50,7</w:t>
            </w:r>
          </w:p>
        </w:tc>
        <w:tc>
          <w:tcPr>
            <w:tcW w:w="996"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24,7</w:t>
            </w:r>
          </w:p>
        </w:tc>
        <w:tc>
          <w:tcPr>
            <w:tcW w:w="1129"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24,6</w:t>
            </w:r>
          </w:p>
        </w:tc>
        <w:tc>
          <w:tcPr>
            <w:tcW w:w="826"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b/>
                <w:bCs/>
                <w:color w:val="000000"/>
                <w:sz w:val="20"/>
                <w:szCs w:val="20"/>
              </w:rPr>
            </w:pPr>
            <w:r w:rsidRPr="00A547C5">
              <w:rPr>
                <w:rFonts w:ascii="Times New Roman" w:hAnsi="Times New Roman" w:cs="Times New Roman"/>
                <w:b/>
                <w:bCs/>
                <w:color w:val="000000"/>
                <w:sz w:val="20"/>
                <w:szCs w:val="20"/>
              </w:rPr>
              <w:t>26,1</w:t>
            </w:r>
          </w:p>
        </w:tc>
      </w:tr>
      <w:tr w:rsidR="00FB444E" w:rsidRPr="00A547C5" w:rsidTr="004C26D2">
        <w:trPr>
          <w:trHeight w:val="308"/>
        </w:trPr>
        <w:tc>
          <w:tcPr>
            <w:tcW w:w="1990" w:type="dxa"/>
            <w:tcBorders>
              <w:top w:val="nil"/>
              <w:left w:val="single" w:sz="4" w:space="0" w:color="auto"/>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rPr>
                <w:rFonts w:ascii="Times New Roman" w:hAnsi="Times New Roman" w:cs="Times New Roman"/>
                <w:color w:val="000000"/>
                <w:sz w:val="20"/>
                <w:szCs w:val="20"/>
              </w:rPr>
            </w:pPr>
            <w:r w:rsidRPr="00A547C5">
              <w:rPr>
                <w:rFonts w:ascii="Times New Roman" w:hAnsi="Times New Roman" w:cs="Times New Roman"/>
                <w:color w:val="000000"/>
                <w:sz w:val="20"/>
                <w:szCs w:val="20"/>
              </w:rPr>
              <w:t xml:space="preserve">Evolution  </w:t>
            </w:r>
            <w:r w:rsidR="00697E8F">
              <w:rPr>
                <w:rFonts w:ascii="Times New Roman" w:hAnsi="Times New Roman" w:cs="Times New Roman"/>
                <w:color w:val="000000"/>
                <w:sz w:val="20"/>
                <w:szCs w:val="20"/>
              </w:rPr>
              <w:t>de la qualité</w:t>
            </w:r>
            <w:r w:rsidRPr="00A547C5">
              <w:rPr>
                <w:rFonts w:ascii="Times New Roman" w:hAnsi="Times New Roman" w:cs="Times New Roman"/>
                <w:color w:val="000000"/>
                <w:sz w:val="20"/>
                <w:szCs w:val="20"/>
              </w:rPr>
              <w:t xml:space="preserve"> des services d'éducation</w:t>
            </w:r>
          </w:p>
        </w:tc>
        <w:tc>
          <w:tcPr>
            <w:tcW w:w="1207"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36,4</w:t>
            </w:r>
          </w:p>
        </w:tc>
        <w:tc>
          <w:tcPr>
            <w:tcW w:w="996"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26,5</w:t>
            </w:r>
          </w:p>
        </w:tc>
        <w:tc>
          <w:tcPr>
            <w:tcW w:w="1129"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37,1</w:t>
            </w:r>
          </w:p>
        </w:tc>
        <w:tc>
          <w:tcPr>
            <w:tcW w:w="737"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b/>
                <w:bCs/>
                <w:color w:val="000000"/>
                <w:sz w:val="20"/>
                <w:szCs w:val="20"/>
              </w:rPr>
            </w:pPr>
            <w:r w:rsidRPr="00A547C5">
              <w:rPr>
                <w:rFonts w:ascii="Times New Roman" w:hAnsi="Times New Roman" w:cs="Times New Roman"/>
                <w:b/>
                <w:bCs/>
                <w:color w:val="000000"/>
                <w:sz w:val="20"/>
                <w:szCs w:val="20"/>
              </w:rPr>
              <w:t>-0,8</w:t>
            </w:r>
          </w:p>
        </w:tc>
        <w:tc>
          <w:tcPr>
            <w:tcW w:w="1207"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31,7</w:t>
            </w:r>
          </w:p>
        </w:tc>
        <w:tc>
          <w:tcPr>
            <w:tcW w:w="996"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26,9</w:t>
            </w:r>
          </w:p>
        </w:tc>
        <w:tc>
          <w:tcPr>
            <w:tcW w:w="1129"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41,4</w:t>
            </w:r>
          </w:p>
        </w:tc>
        <w:tc>
          <w:tcPr>
            <w:tcW w:w="826"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b/>
                <w:bCs/>
                <w:color w:val="000000"/>
                <w:sz w:val="20"/>
                <w:szCs w:val="20"/>
              </w:rPr>
            </w:pPr>
            <w:r w:rsidRPr="00A547C5">
              <w:rPr>
                <w:rFonts w:ascii="Times New Roman" w:hAnsi="Times New Roman" w:cs="Times New Roman"/>
                <w:b/>
                <w:bCs/>
                <w:color w:val="000000"/>
                <w:sz w:val="20"/>
                <w:szCs w:val="20"/>
              </w:rPr>
              <w:t>-9,7</w:t>
            </w:r>
          </w:p>
        </w:tc>
      </w:tr>
      <w:tr w:rsidR="00FB444E" w:rsidRPr="00A547C5" w:rsidTr="004C26D2">
        <w:trPr>
          <w:trHeight w:val="308"/>
        </w:trPr>
        <w:tc>
          <w:tcPr>
            <w:tcW w:w="1990" w:type="dxa"/>
            <w:tcBorders>
              <w:top w:val="nil"/>
              <w:left w:val="single" w:sz="4" w:space="0" w:color="auto"/>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rPr>
                <w:rFonts w:ascii="Times New Roman" w:hAnsi="Times New Roman" w:cs="Times New Roman"/>
                <w:color w:val="000000"/>
                <w:sz w:val="20"/>
                <w:szCs w:val="20"/>
              </w:rPr>
            </w:pPr>
            <w:r w:rsidRPr="00A547C5">
              <w:rPr>
                <w:rFonts w:ascii="Times New Roman" w:hAnsi="Times New Roman" w:cs="Times New Roman"/>
                <w:color w:val="000000"/>
                <w:sz w:val="20"/>
                <w:szCs w:val="20"/>
              </w:rPr>
              <w:t xml:space="preserve">Evolution  </w:t>
            </w:r>
            <w:r w:rsidR="00697E8F">
              <w:rPr>
                <w:rFonts w:ascii="Times New Roman" w:hAnsi="Times New Roman" w:cs="Times New Roman"/>
                <w:color w:val="000000"/>
                <w:sz w:val="20"/>
                <w:szCs w:val="20"/>
              </w:rPr>
              <w:t>de la qualité</w:t>
            </w:r>
            <w:r w:rsidRPr="00A547C5">
              <w:rPr>
                <w:rFonts w:ascii="Times New Roman" w:hAnsi="Times New Roman" w:cs="Times New Roman"/>
                <w:color w:val="000000"/>
                <w:sz w:val="20"/>
                <w:szCs w:val="20"/>
              </w:rPr>
              <w:t xml:space="preserve"> des services de santé</w:t>
            </w:r>
          </w:p>
        </w:tc>
        <w:tc>
          <w:tcPr>
            <w:tcW w:w="1207"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32,6</w:t>
            </w:r>
          </w:p>
        </w:tc>
        <w:tc>
          <w:tcPr>
            <w:tcW w:w="996"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23,0</w:t>
            </w:r>
          </w:p>
        </w:tc>
        <w:tc>
          <w:tcPr>
            <w:tcW w:w="1129"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44,4</w:t>
            </w:r>
          </w:p>
        </w:tc>
        <w:tc>
          <w:tcPr>
            <w:tcW w:w="737"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b/>
                <w:bCs/>
                <w:color w:val="000000"/>
                <w:sz w:val="20"/>
                <w:szCs w:val="20"/>
              </w:rPr>
            </w:pPr>
            <w:r w:rsidRPr="00A547C5">
              <w:rPr>
                <w:rFonts w:ascii="Times New Roman" w:hAnsi="Times New Roman" w:cs="Times New Roman"/>
                <w:b/>
                <w:bCs/>
                <w:color w:val="000000"/>
                <w:sz w:val="20"/>
                <w:szCs w:val="20"/>
              </w:rPr>
              <w:t>-11,8</w:t>
            </w:r>
          </w:p>
        </w:tc>
        <w:tc>
          <w:tcPr>
            <w:tcW w:w="1207"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27,4</w:t>
            </w:r>
          </w:p>
        </w:tc>
        <w:tc>
          <w:tcPr>
            <w:tcW w:w="996"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25,9</w:t>
            </w:r>
          </w:p>
        </w:tc>
        <w:tc>
          <w:tcPr>
            <w:tcW w:w="1129"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color w:val="000000"/>
                <w:sz w:val="20"/>
                <w:szCs w:val="20"/>
              </w:rPr>
            </w:pPr>
            <w:r w:rsidRPr="00A547C5">
              <w:rPr>
                <w:rFonts w:ascii="Times New Roman" w:hAnsi="Times New Roman" w:cs="Times New Roman"/>
                <w:color w:val="000000"/>
                <w:sz w:val="20"/>
                <w:szCs w:val="20"/>
              </w:rPr>
              <w:t>46,7</w:t>
            </w:r>
          </w:p>
        </w:tc>
        <w:tc>
          <w:tcPr>
            <w:tcW w:w="826" w:type="dxa"/>
            <w:tcBorders>
              <w:top w:val="nil"/>
              <w:left w:val="nil"/>
              <w:bottom w:val="single" w:sz="4" w:space="0" w:color="auto"/>
              <w:right w:val="single" w:sz="4" w:space="0" w:color="auto"/>
            </w:tcBorders>
            <w:shd w:val="clear" w:color="auto" w:fill="auto"/>
            <w:noWrap/>
            <w:vAlign w:val="center"/>
            <w:hideMark/>
          </w:tcPr>
          <w:p w:rsidR="00A547C5" w:rsidRPr="00A547C5" w:rsidRDefault="00A547C5" w:rsidP="00FB444E">
            <w:pPr>
              <w:widowControl/>
              <w:autoSpaceDE/>
              <w:autoSpaceDN/>
              <w:adjustRightInd/>
              <w:jc w:val="center"/>
              <w:rPr>
                <w:rFonts w:ascii="Times New Roman" w:hAnsi="Times New Roman" w:cs="Times New Roman"/>
                <w:b/>
                <w:bCs/>
                <w:color w:val="000000"/>
                <w:sz w:val="20"/>
                <w:szCs w:val="20"/>
              </w:rPr>
            </w:pPr>
            <w:r w:rsidRPr="00A547C5">
              <w:rPr>
                <w:rFonts w:ascii="Times New Roman" w:hAnsi="Times New Roman" w:cs="Times New Roman"/>
                <w:b/>
                <w:bCs/>
                <w:color w:val="000000"/>
                <w:sz w:val="20"/>
                <w:szCs w:val="20"/>
              </w:rPr>
              <w:t>-19,3</w:t>
            </w:r>
          </w:p>
        </w:tc>
      </w:tr>
    </w:tbl>
    <w:tbl>
      <w:tblPr>
        <w:tblpPr w:leftFromText="141" w:rightFromText="141" w:vertAnchor="text" w:horzAnchor="margin" w:tblpY="620"/>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89"/>
      </w:tblGrid>
      <w:tr w:rsidR="004C26D2" w:rsidRPr="00BD2D08" w:rsidTr="004C26D2">
        <w:tc>
          <w:tcPr>
            <w:tcW w:w="9889" w:type="dxa"/>
          </w:tcPr>
          <w:p w:rsidR="004C26D2" w:rsidRPr="00EC7956" w:rsidRDefault="004C26D2" w:rsidP="004C26D2">
            <w:pPr>
              <w:spacing w:line="276" w:lineRule="auto"/>
              <w:jc w:val="both"/>
              <w:rPr>
                <w:rFonts w:ascii="Book Antiqua" w:hAnsi="Book Antiqua" w:cs="Times New Roman"/>
                <w:sz w:val="20"/>
                <w:szCs w:val="20"/>
              </w:rPr>
            </w:pPr>
            <w:r w:rsidRPr="00EC7956">
              <w:rPr>
                <w:rFonts w:ascii="Book Antiqua" w:hAnsi="Book Antiqua" w:cs="Times New Roman"/>
                <w:sz w:val="20"/>
                <w:szCs w:val="20"/>
              </w:rPr>
              <w:t>Rappelons que :</w:t>
            </w:r>
          </w:p>
          <w:p w:rsidR="004C26D2" w:rsidRPr="00EC7956" w:rsidRDefault="004C26D2" w:rsidP="004C26D2">
            <w:pPr>
              <w:pStyle w:val="Paragraphedeliste"/>
              <w:numPr>
                <w:ilvl w:val="0"/>
                <w:numId w:val="1"/>
              </w:numPr>
              <w:jc w:val="both"/>
              <w:rPr>
                <w:rFonts w:ascii="Book Antiqua" w:hAnsi="Book Antiqua" w:cs="Times New Roman"/>
                <w:sz w:val="20"/>
                <w:szCs w:val="20"/>
              </w:rPr>
            </w:pPr>
            <w:r w:rsidRPr="00EC7956">
              <w:rPr>
                <w:rFonts w:ascii="Book Antiqua" w:hAnsi="Book Antiqua" w:cs="Times New Roman"/>
                <w:sz w:val="20"/>
                <w:szCs w:val="20"/>
              </w:rPr>
              <w:t xml:space="preserve">les questions abordées sont qualitatives à 3 modalités (amélioration, stagnation, détérioration). Les  évolutions se réfèrent à une période de 12 mois. Les résultats sont présentés sous forme  de soldes (différence entre les pourcentages des réponses « amélioration » et  des réponses «détérioration»). Le niveau des soldes n’est pas directement interprétable, c’est leur évolution qui est analysée. </w:t>
            </w:r>
          </w:p>
          <w:p w:rsidR="004C26D2" w:rsidRPr="00EC7956" w:rsidRDefault="004C26D2" w:rsidP="004C26D2">
            <w:pPr>
              <w:pStyle w:val="Paragraphedeliste"/>
              <w:numPr>
                <w:ilvl w:val="0"/>
                <w:numId w:val="1"/>
              </w:numPr>
              <w:jc w:val="both"/>
              <w:rPr>
                <w:rFonts w:ascii="Book Antiqua" w:hAnsi="Book Antiqua" w:cs="Times New Roman"/>
                <w:sz w:val="20"/>
                <w:szCs w:val="20"/>
              </w:rPr>
            </w:pPr>
            <w:r w:rsidRPr="00EC7956">
              <w:rPr>
                <w:rFonts w:ascii="Book Antiqua" w:hAnsi="Book Antiqua" w:cs="Times New Roman"/>
                <w:sz w:val="20"/>
                <w:szCs w:val="20"/>
              </w:rPr>
              <w:t>L’Indice de Confiance des Ménages (ICM) est calculé sur la base de sept indicateurs, quatre relatifs à la situation générale et trois à la situation propre du ménage :</w:t>
            </w:r>
          </w:p>
          <w:p w:rsidR="004C26D2" w:rsidRPr="00EC7956" w:rsidRDefault="004C26D2" w:rsidP="004C26D2">
            <w:pPr>
              <w:pStyle w:val="Paragraphedeliste"/>
              <w:numPr>
                <w:ilvl w:val="0"/>
                <w:numId w:val="3"/>
              </w:numPr>
              <w:spacing w:after="0"/>
              <w:jc w:val="both"/>
              <w:rPr>
                <w:rFonts w:ascii="Book Antiqua" w:hAnsi="Book Antiqua" w:cs="Times New Roman"/>
                <w:sz w:val="20"/>
                <w:szCs w:val="20"/>
              </w:rPr>
            </w:pPr>
            <w:r w:rsidRPr="00EC7956">
              <w:rPr>
                <w:rFonts w:ascii="Book Antiqua" w:hAnsi="Book Antiqua" w:cs="Times New Roman"/>
                <w:sz w:val="20"/>
                <w:szCs w:val="20"/>
              </w:rPr>
              <w:t>évolution  passée du niveau de vie ;</w:t>
            </w:r>
          </w:p>
          <w:p w:rsidR="004C26D2" w:rsidRPr="00EC7956" w:rsidRDefault="004C26D2" w:rsidP="004C26D2">
            <w:pPr>
              <w:pStyle w:val="Paragraphedeliste"/>
              <w:numPr>
                <w:ilvl w:val="0"/>
                <w:numId w:val="3"/>
              </w:numPr>
              <w:spacing w:after="0"/>
              <w:jc w:val="both"/>
              <w:rPr>
                <w:rFonts w:ascii="Book Antiqua" w:hAnsi="Book Antiqua" w:cs="Times New Roman"/>
                <w:sz w:val="20"/>
                <w:szCs w:val="20"/>
              </w:rPr>
            </w:pPr>
            <w:r w:rsidRPr="00EC7956">
              <w:rPr>
                <w:rFonts w:ascii="Book Antiqua" w:hAnsi="Book Antiqua" w:cs="Times New Roman"/>
                <w:sz w:val="20"/>
                <w:szCs w:val="20"/>
              </w:rPr>
              <w:t>perspective d'évolution du niveau de vie ;</w:t>
            </w:r>
          </w:p>
          <w:p w:rsidR="004C26D2" w:rsidRPr="00EC7956" w:rsidRDefault="004C26D2" w:rsidP="004C26D2">
            <w:pPr>
              <w:pStyle w:val="Paragraphedeliste"/>
              <w:numPr>
                <w:ilvl w:val="0"/>
                <w:numId w:val="3"/>
              </w:numPr>
              <w:spacing w:after="0"/>
              <w:jc w:val="both"/>
              <w:rPr>
                <w:rFonts w:ascii="Book Antiqua" w:hAnsi="Book Antiqua" w:cs="Times New Roman"/>
                <w:sz w:val="20"/>
                <w:szCs w:val="20"/>
              </w:rPr>
            </w:pPr>
            <w:r w:rsidRPr="00EC7956">
              <w:rPr>
                <w:rFonts w:ascii="Book Antiqua" w:hAnsi="Book Antiqua" w:cs="Times New Roman"/>
                <w:sz w:val="20"/>
                <w:szCs w:val="20"/>
              </w:rPr>
              <w:t>perspective d'évolution du nombre de chômeurs ;</w:t>
            </w:r>
          </w:p>
          <w:p w:rsidR="004C26D2" w:rsidRPr="00EC7956" w:rsidRDefault="004C26D2" w:rsidP="004C26D2">
            <w:pPr>
              <w:pStyle w:val="Paragraphedeliste"/>
              <w:numPr>
                <w:ilvl w:val="0"/>
                <w:numId w:val="3"/>
              </w:numPr>
              <w:spacing w:after="0"/>
              <w:jc w:val="both"/>
              <w:rPr>
                <w:rFonts w:ascii="Book Antiqua" w:hAnsi="Book Antiqua" w:cs="Times New Roman"/>
                <w:sz w:val="20"/>
                <w:szCs w:val="20"/>
              </w:rPr>
            </w:pPr>
            <w:r w:rsidRPr="00EC7956">
              <w:rPr>
                <w:rFonts w:ascii="Book Antiqua" w:hAnsi="Book Antiqua" w:cs="Times New Roman"/>
                <w:sz w:val="20"/>
                <w:szCs w:val="20"/>
              </w:rPr>
              <w:t>opportunité d'achat de biens durables;</w:t>
            </w:r>
          </w:p>
          <w:p w:rsidR="004C26D2" w:rsidRPr="00EC7956" w:rsidRDefault="004C26D2" w:rsidP="004C26D2">
            <w:pPr>
              <w:pStyle w:val="Paragraphedeliste"/>
              <w:numPr>
                <w:ilvl w:val="0"/>
                <w:numId w:val="3"/>
              </w:numPr>
              <w:spacing w:after="0"/>
              <w:jc w:val="both"/>
              <w:rPr>
                <w:rFonts w:ascii="Book Antiqua" w:hAnsi="Book Antiqua" w:cs="Times New Roman"/>
                <w:sz w:val="20"/>
                <w:szCs w:val="20"/>
              </w:rPr>
            </w:pPr>
            <w:r w:rsidRPr="00EC7956">
              <w:rPr>
                <w:rFonts w:ascii="Book Antiqua" w:hAnsi="Book Antiqua" w:cs="Times New Roman"/>
                <w:sz w:val="20"/>
                <w:szCs w:val="20"/>
              </w:rPr>
              <w:t>situation financière actuelle des ménages ;</w:t>
            </w:r>
          </w:p>
          <w:p w:rsidR="004C26D2" w:rsidRPr="00EC7956" w:rsidRDefault="004C26D2" w:rsidP="004C26D2">
            <w:pPr>
              <w:pStyle w:val="Paragraphedeliste"/>
              <w:numPr>
                <w:ilvl w:val="0"/>
                <w:numId w:val="3"/>
              </w:numPr>
              <w:spacing w:after="0"/>
              <w:jc w:val="both"/>
              <w:rPr>
                <w:rFonts w:ascii="Book Antiqua" w:hAnsi="Book Antiqua" w:cs="Times New Roman"/>
                <w:sz w:val="20"/>
                <w:szCs w:val="20"/>
              </w:rPr>
            </w:pPr>
            <w:r w:rsidRPr="00EC7956">
              <w:rPr>
                <w:rFonts w:ascii="Book Antiqua" w:hAnsi="Book Antiqua" w:cs="Times New Roman"/>
                <w:sz w:val="20"/>
                <w:szCs w:val="20"/>
              </w:rPr>
              <w:t>évolution  passée de la situation financière des ménages ;</w:t>
            </w:r>
          </w:p>
          <w:p w:rsidR="004C26D2" w:rsidRPr="00EC7956" w:rsidRDefault="004C26D2" w:rsidP="004C26D2">
            <w:pPr>
              <w:pStyle w:val="Paragraphedeliste"/>
              <w:numPr>
                <w:ilvl w:val="0"/>
                <w:numId w:val="3"/>
              </w:numPr>
              <w:spacing w:after="0"/>
              <w:jc w:val="both"/>
              <w:rPr>
                <w:rFonts w:ascii="Book Antiqua" w:hAnsi="Book Antiqua" w:cs="Times New Roman"/>
                <w:sz w:val="20"/>
                <w:szCs w:val="20"/>
              </w:rPr>
            </w:pPr>
            <w:r w:rsidRPr="00EC7956">
              <w:rPr>
                <w:rFonts w:ascii="Book Antiqua" w:hAnsi="Book Antiqua" w:cs="Times New Roman"/>
                <w:sz w:val="20"/>
                <w:szCs w:val="20"/>
              </w:rPr>
              <w:t>évolution  future de la situation financière des ménages.</w:t>
            </w:r>
          </w:p>
          <w:p w:rsidR="004C26D2" w:rsidRPr="00EC7956" w:rsidRDefault="004C26D2" w:rsidP="004C26D2">
            <w:pPr>
              <w:pStyle w:val="Paragraphedeliste"/>
              <w:numPr>
                <w:ilvl w:val="0"/>
                <w:numId w:val="2"/>
              </w:numPr>
              <w:jc w:val="both"/>
              <w:rPr>
                <w:rFonts w:ascii="Book Antiqua" w:hAnsi="Book Antiqua" w:cs="Times New Roman"/>
                <w:sz w:val="20"/>
                <w:szCs w:val="20"/>
              </w:rPr>
            </w:pPr>
            <w:r w:rsidRPr="00EC7956">
              <w:rPr>
                <w:rFonts w:ascii="Book Antiqua" w:hAnsi="Book Antiqua" w:cs="Times New Roman"/>
                <w:sz w:val="20"/>
                <w:szCs w:val="20"/>
              </w:rPr>
              <w:t>L’ICM est la  moyenne arithmétique simple des  soldes des 7 indicateurs, augmentée de 100, sa valeur varie ainsi de 0 à 200.</w:t>
            </w:r>
          </w:p>
          <w:p w:rsidR="004C26D2" w:rsidRPr="00EC7956" w:rsidRDefault="004C26D2" w:rsidP="004C26D2">
            <w:pPr>
              <w:spacing w:line="276" w:lineRule="auto"/>
              <w:jc w:val="both"/>
              <w:rPr>
                <w:rFonts w:ascii="Book Antiqua" w:hAnsi="Book Antiqua" w:cs="Times New Roman"/>
                <w:b/>
                <w:bCs/>
                <w:color w:val="000000"/>
              </w:rPr>
            </w:pPr>
            <w:r w:rsidRPr="00EC7956">
              <w:rPr>
                <w:rFonts w:ascii="Book Antiqua" w:hAnsi="Book Antiqua" w:cs="Times New Roman"/>
                <w:sz w:val="20"/>
                <w:szCs w:val="20"/>
              </w:rPr>
              <w:t xml:space="preserve">Pour plus d’informations sur les aspects méthodologiques de cette enquête, consulter  </w:t>
            </w:r>
            <w:hyperlink r:id="rId13" w:history="1">
              <w:r w:rsidRPr="00EC7956">
                <w:rPr>
                  <w:rStyle w:val="Lienhypertexte"/>
                  <w:rFonts w:ascii="Book Antiqua" w:hAnsi="Book Antiqua" w:cs="Times New Roman"/>
                  <w:sz w:val="20"/>
                  <w:szCs w:val="20"/>
                </w:rPr>
                <w:t>www.hcp.ma</w:t>
              </w:r>
            </w:hyperlink>
            <w:r w:rsidRPr="00EC7956">
              <w:rPr>
                <w:rFonts w:ascii="Book Antiqua" w:hAnsi="Book Antiqua" w:cs="Times New Roman"/>
                <w:sz w:val="20"/>
                <w:szCs w:val="20"/>
              </w:rPr>
              <w:t xml:space="preserve"> </w:t>
            </w:r>
          </w:p>
        </w:tc>
      </w:tr>
    </w:tbl>
    <w:p w:rsidR="00A547C5" w:rsidRDefault="00A547C5" w:rsidP="00C476FD">
      <w:pPr>
        <w:widowControl/>
        <w:autoSpaceDE/>
        <w:autoSpaceDN/>
        <w:adjustRightInd/>
        <w:spacing w:before="100" w:beforeAutospacing="1" w:after="100" w:afterAutospacing="1" w:line="360" w:lineRule="auto"/>
        <w:ind w:left="360"/>
        <w:jc w:val="center"/>
        <w:rPr>
          <w:rFonts w:ascii="Times New Roman" w:hAnsi="Times New Roman" w:cs="Times New Roman"/>
          <w:b/>
          <w:bCs/>
        </w:rPr>
      </w:pPr>
    </w:p>
    <w:p w:rsidR="005D6C02" w:rsidRPr="00BD2D08" w:rsidRDefault="005D6C02" w:rsidP="00CF7444">
      <w:pPr>
        <w:widowControl/>
        <w:spacing w:line="276" w:lineRule="auto"/>
        <w:jc w:val="both"/>
        <w:rPr>
          <w:rFonts w:ascii="Book Antiqua" w:hAnsi="Book Antiqua" w:cs="Times New Roman"/>
          <w:b/>
          <w:bCs/>
          <w:color w:val="000000"/>
        </w:rPr>
      </w:pPr>
    </w:p>
    <w:p w:rsidR="005D6C02" w:rsidRPr="00BD2D08" w:rsidRDefault="005D6C02" w:rsidP="00CF7444">
      <w:pPr>
        <w:widowControl/>
        <w:spacing w:line="276" w:lineRule="auto"/>
        <w:jc w:val="both"/>
        <w:rPr>
          <w:rFonts w:ascii="Book Antiqua" w:hAnsi="Book Antiqua" w:cs="Times New Roman"/>
          <w:b/>
          <w:bCs/>
          <w:color w:val="000000"/>
        </w:rPr>
      </w:pPr>
    </w:p>
    <w:sectPr w:rsidR="005D6C02" w:rsidRPr="00BD2D08" w:rsidSect="00B87925">
      <w:footerReference w:type="default" r:id="rId1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B27" w:rsidRDefault="00E61B27" w:rsidP="00460705">
      <w:r>
        <w:separator/>
      </w:r>
    </w:p>
  </w:endnote>
  <w:endnote w:type="continuationSeparator" w:id="0">
    <w:p w:rsidR="00E61B27" w:rsidRDefault="00E61B27" w:rsidP="004607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300" w:rsidRDefault="00BF0E04">
    <w:pPr>
      <w:pStyle w:val="Pieddepage"/>
      <w:jc w:val="right"/>
    </w:pPr>
    <w:fldSimple w:instr=" PAGE   \* MERGEFORMAT ">
      <w:r w:rsidR="00F37422">
        <w:rPr>
          <w:noProof/>
        </w:rPr>
        <w:t>6</w:t>
      </w:r>
    </w:fldSimple>
  </w:p>
  <w:p w:rsidR="00097300" w:rsidRDefault="0009730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B27" w:rsidRDefault="00E61B27" w:rsidP="00460705">
      <w:r>
        <w:separator/>
      </w:r>
    </w:p>
  </w:footnote>
  <w:footnote w:type="continuationSeparator" w:id="0">
    <w:p w:rsidR="00E61B27" w:rsidRDefault="00E61B27" w:rsidP="004607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07A8E"/>
    <w:multiLevelType w:val="hybridMultilevel"/>
    <w:tmpl w:val="DEAAA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A122E6"/>
    <w:multiLevelType w:val="hybridMultilevel"/>
    <w:tmpl w:val="826865B6"/>
    <w:lvl w:ilvl="0" w:tplc="0616EC8E">
      <w:numFmt w:val="bullet"/>
      <w:lvlText w:val="-"/>
      <w:lvlJc w:val="left"/>
      <w:pPr>
        <w:ind w:left="1080" w:hanging="360"/>
      </w:pPr>
      <w:rPr>
        <w:rFonts w:ascii="Book Antiqua" w:eastAsia="Calibri" w:hAnsi="Book Antiqua"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4128527B"/>
    <w:multiLevelType w:val="multilevel"/>
    <w:tmpl w:val="615095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43E6100A"/>
    <w:multiLevelType w:val="hybridMultilevel"/>
    <w:tmpl w:val="F000AF92"/>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4">
    <w:nsid w:val="498D60E8"/>
    <w:multiLevelType w:val="hybridMultilevel"/>
    <w:tmpl w:val="E83A85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C355FAE"/>
    <w:multiLevelType w:val="hybridMultilevel"/>
    <w:tmpl w:val="5A8C44DC"/>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644" w:hanging="360"/>
      </w:pPr>
      <w:rPr>
        <w:rFonts w:ascii="Symbol" w:hAnsi="Symbo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52DB559E"/>
    <w:multiLevelType w:val="hybridMultilevel"/>
    <w:tmpl w:val="C6182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12704"/>
    <w:rsid w:val="000016A1"/>
    <w:rsid w:val="000069AE"/>
    <w:rsid w:val="00011A0E"/>
    <w:rsid w:val="000315FD"/>
    <w:rsid w:val="00031CFB"/>
    <w:rsid w:val="000324B4"/>
    <w:rsid w:val="000370B6"/>
    <w:rsid w:val="00047B2B"/>
    <w:rsid w:val="00061CA4"/>
    <w:rsid w:val="000646B0"/>
    <w:rsid w:val="000706EE"/>
    <w:rsid w:val="000720FD"/>
    <w:rsid w:val="00072F7C"/>
    <w:rsid w:val="00073079"/>
    <w:rsid w:val="000877E9"/>
    <w:rsid w:val="00087DA2"/>
    <w:rsid w:val="00091FB9"/>
    <w:rsid w:val="00097300"/>
    <w:rsid w:val="000A158A"/>
    <w:rsid w:val="000A40C3"/>
    <w:rsid w:val="000C56EA"/>
    <w:rsid w:val="000C7F17"/>
    <w:rsid w:val="000D4077"/>
    <w:rsid w:val="000E17D9"/>
    <w:rsid w:val="000F6CE8"/>
    <w:rsid w:val="000F7A57"/>
    <w:rsid w:val="001037B3"/>
    <w:rsid w:val="001116C8"/>
    <w:rsid w:val="001161C4"/>
    <w:rsid w:val="00117A2F"/>
    <w:rsid w:val="00121CCC"/>
    <w:rsid w:val="00124827"/>
    <w:rsid w:val="00125161"/>
    <w:rsid w:val="00133860"/>
    <w:rsid w:val="0016596E"/>
    <w:rsid w:val="00174542"/>
    <w:rsid w:val="00187EB7"/>
    <w:rsid w:val="00191E08"/>
    <w:rsid w:val="00191F62"/>
    <w:rsid w:val="0019435A"/>
    <w:rsid w:val="00197D9A"/>
    <w:rsid w:val="001A69DD"/>
    <w:rsid w:val="001B50A1"/>
    <w:rsid w:val="001B5B96"/>
    <w:rsid w:val="001B7322"/>
    <w:rsid w:val="001C6846"/>
    <w:rsid w:val="001E42CC"/>
    <w:rsid w:val="001F062E"/>
    <w:rsid w:val="001F4A3E"/>
    <w:rsid w:val="001F4FE4"/>
    <w:rsid w:val="001F59E2"/>
    <w:rsid w:val="001F626D"/>
    <w:rsid w:val="002021DE"/>
    <w:rsid w:val="002041E9"/>
    <w:rsid w:val="0020711A"/>
    <w:rsid w:val="0021180E"/>
    <w:rsid w:val="002163AF"/>
    <w:rsid w:val="00222682"/>
    <w:rsid w:val="00222815"/>
    <w:rsid w:val="00226BE3"/>
    <w:rsid w:val="00227B1B"/>
    <w:rsid w:val="0024028E"/>
    <w:rsid w:val="00246518"/>
    <w:rsid w:val="00257385"/>
    <w:rsid w:val="0026337D"/>
    <w:rsid w:val="00267298"/>
    <w:rsid w:val="002672A0"/>
    <w:rsid w:val="00270AD9"/>
    <w:rsid w:val="0027263B"/>
    <w:rsid w:val="002751C2"/>
    <w:rsid w:val="00280072"/>
    <w:rsid w:val="00287EC1"/>
    <w:rsid w:val="00293863"/>
    <w:rsid w:val="002A2E36"/>
    <w:rsid w:val="002A321D"/>
    <w:rsid w:val="002B3D5B"/>
    <w:rsid w:val="002B799E"/>
    <w:rsid w:val="002C03DA"/>
    <w:rsid w:val="002C3101"/>
    <w:rsid w:val="002C5954"/>
    <w:rsid w:val="002D54C7"/>
    <w:rsid w:val="002D56C5"/>
    <w:rsid w:val="002F08CD"/>
    <w:rsid w:val="002F56E4"/>
    <w:rsid w:val="00302717"/>
    <w:rsid w:val="00313590"/>
    <w:rsid w:val="0032393A"/>
    <w:rsid w:val="0032457C"/>
    <w:rsid w:val="0033159D"/>
    <w:rsid w:val="00344737"/>
    <w:rsid w:val="00352106"/>
    <w:rsid w:val="0035217E"/>
    <w:rsid w:val="00353CB2"/>
    <w:rsid w:val="00362A0D"/>
    <w:rsid w:val="00373C93"/>
    <w:rsid w:val="00381490"/>
    <w:rsid w:val="003A32A5"/>
    <w:rsid w:val="003A5110"/>
    <w:rsid w:val="003A5AEB"/>
    <w:rsid w:val="003A7ECC"/>
    <w:rsid w:val="003B6E43"/>
    <w:rsid w:val="003C1028"/>
    <w:rsid w:val="003E1044"/>
    <w:rsid w:val="003E22C4"/>
    <w:rsid w:val="003E4DD3"/>
    <w:rsid w:val="003F362B"/>
    <w:rsid w:val="003F3B02"/>
    <w:rsid w:val="00400110"/>
    <w:rsid w:val="00400983"/>
    <w:rsid w:val="004105E0"/>
    <w:rsid w:val="00412740"/>
    <w:rsid w:val="00420B43"/>
    <w:rsid w:val="0042529A"/>
    <w:rsid w:val="00427219"/>
    <w:rsid w:val="00434E44"/>
    <w:rsid w:val="00435631"/>
    <w:rsid w:val="0043688A"/>
    <w:rsid w:val="00440B2D"/>
    <w:rsid w:val="00445B5E"/>
    <w:rsid w:val="00452F6C"/>
    <w:rsid w:val="0045422F"/>
    <w:rsid w:val="0045433C"/>
    <w:rsid w:val="00460705"/>
    <w:rsid w:val="0046586B"/>
    <w:rsid w:val="0046675F"/>
    <w:rsid w:val="0047220A"/>
    <w:rsid w:val="0047271F"/>
    <w:rsid w:val="00472EDA"/>
    <w:rsid w:val="004744E1"/>
    <w:rsid w:val="00475F4B"/>
    <w:rsid w:val="00477B88"/>
    <w:rsid w:val="0048573D"/>
    <w:rsid w:val="00493412"/>
    <w:rsid w:val="004B5383"/>
    <w:rsid w:val="004B7076"/>
    <w:rsid w:val="004C26D2"/>
    <w:rsid w:val="004D2992"/>
    <w:rsid w:val="004D469E"/>
    <w:rsid w:val="004D7FEA"/>
    <w:rsid w:val="004E3D51"/>
    <w:rsid w:val="004F59BE"/>
    <w:rsid w:val="005016B0"/>
    <w:rsid w:val="0050642C"/>
    <w:rsid w:val="005076C2"/>
    <w:rsid w:val="00522383"/>
    <w:rsid w:val="00525787"/>
    <w:rsid w:val="00531247"/>
    <w:rsid w:val="005314AC"/>
    <w:rsid w:val="0054064D"/>
    <w:rsid w:val="00545A36"/>
    <w:rsid w:val="005467EB"/>
    <w:rsid w:val="0055058D"/>
    <w:rsid w:val="00562D36"/>
    <w:rsid w:val="00567CDC"/>
    <w:rsid w:val="00576E52"/>
    <w:rsid w:val="00582246"/>
    <w:rsid w:val="0058309C"/>
    <w:rsid w:val="005926A9"/>
    <w:rsid w:val="00596CE0"/>
    <w:rsid w:val="005B77A5"/>
    <w:rsid w:val="005D0118"/>
    <w:rsid w:val="005D0483"/>
    <w:rsid w:val="005D2895"/>
    <w:rsid w:val="005D63D7"/>
    <w:rsid w:val="005D6C02"/>
    <w:rsid w:val="005D733B"/>
    <w:rsid w:val="005E1D4B"/>
    <w:rsid w:val="005E3E9B"/>
    <w:rsid w:val="005F2467"/>
    <w:rsid w:val="005F3E46"/>
    <w:rsid w:val="006078F5"/>
    <w:rsid w:val="00622CF0"/>
    <w:rsid w:val="00626C37"/>
    <w:rsid w:val="006332C7"/>
    <w:rsid w:val="0064322F"/>
    <w:rsid w:val="0064643D"/>
    <w:rsid w:val="0066108F"/>
    <w:rsid w:val="00672A2B"/>
    <w:rsid w:val="006817AF"/>
    <w:rsid w:val="006820FF"/>
    <w:rsid w:val="00686868"/>
    <w:rsid w:val="00687307"/>
    <w:rsid w:val="00692444"/>
    <w:rsid w:val="006975E3"/>
    <w:rsid w:val="0069792B"/>
    <w:rsid w:val="00697E8F"/>
    <w:rsid w:val="006A5708"/>
    <w:rsid w:val="006C2CF5"/>
    <w:rsid w:val="006C31B7"/>
    <w:rsid w:val="006C39DF"/>
    <w:rsid w:val="006C4C14"/>
    <w:rsid w:val="006C7006"/>
    <w:rsid w:val="006D3119"/>
    <w:rsid w:val="006D5C60"/>
    <w:rsid w:val="006E54CD"/>
    <w:rsid w:val="006F1D72"/>
    <w:rsid w:val="00706F3D"/>
    <w:rsid w:val="007122EA"/>
    <w:rsid w:val="00717305"/>
    <w:rsid w:val="0073492C"/>
    <w:rsid w:val="00742C5C"/>
    <w:rsid w:val="00743C10"/>
    <w:rsid w:val="00745AD8"/>
    <w:rsid w:val="00751D5F"/>
    <w:rsid w:val="0075742A"/>
    <w:rsid w:val="00763124"/>
    <w:rsid w:val="0076762A"/>
    <w:rsid w:val="00772D6A"/>
    <w:rsid w:val="00774BE8"/>
    <w:rsid w:val="00774E22"/>
    <w:rsid w:val="00780E61"/>
    <w:rsid w:val="007909B3"/>
    <w:rsid w:val="007A00D5"/>
    <w:rsid w:val="007A02DF"/>
    <w:rsid w:val="007A430C"/>
    <w:rsid w:val="007C2155"/>
    <w:rsid w:val="007C58E4"/>
    <w:rsid w:val="007C7AFB"/>
    <w:rsid w:val="007D76C4"/>
    <w:rsid w:val="007E0752"/>
    <w:rsid w:val="007F353D"/>
    <w:rsid w:val="007F722E"/>
    <w:rsid w:val="00801956"/>
    <w:rsid w:val="00802F87"/>
    <w:rsid w:val="00813336"/>
    <w:rsid w:val="00816354"/>
    <w:rsid w:val="00827634"/>
    <w:rsid w:val="00827916"/>
    <w:rsid w:val="00833A84"/>
    <w:rsid w:val="0083547E"/>
    <w:rsid w:val="00845B57"/>
    <w:rsid w:val="00846510"/>
    <w:rsid w:val="00853CBC"/>
    <w:rsid w:val="00860E86"/>
    <w:rsid w:val="008750A7"/>
    <w:rsid w:val="00876C88"/>
    <w:rsid w:val="00882754"/>
    <w:rsid w:val="008840E8"/>
    <w:rsid w:val="00887F4C"/>
    <w:rsid w:val="00894425"/>
    <w:rsid w:val="008A448E"/>
    <w:rsid w:val="008B595A"/>
    <w:rsid w:val="008C02D0"/>
    <w:rsid w:val="008C0A72"/>
    <w:rsid w:val="008C154C"/>
    <w:rsid w:val="008D27B7"/>
    <w:rsid w:val="008D2E6F"/>
    <w:rsid w:val="008D37EC"/>
    <w:rsid w:val="008F01C0"/>
    <w:rsid w:val="00902516"/>
    <w:rsid w:val="0090637D"/>
    <w:rsid w:val="00912704"/>
    <w:rsid w:val="009130EC"/>
    <w:rsid w:val="009251D3"/>
    <w:rsid w:val="00925C4D"/>
    <w:rsid w:val="009314EC"/>
    <w:rsid w:val="00960BF0"/>
    <w:rsid w:val="0096486F"/>
    <w:rsid w:val="0098660E"/>
    <w:rsid w:val="009921AC"/>
    <w:rsid w:val="00997F9E"/>
    <w:rsid w:val="009B04AF"/>
    <w:rsid w:val="009B4A71"/>
    <w:rsid w:val="009B4BFB"/>
    <w:rsid w:val="009B5D6E"/>
    <w:rsid w:val="009D40CA"/>
    <w:rsid w:val="009D5CA0"/>
    <w:rsid w:val="009D614B"/>
    <w:rsid w:val="009D68B9"/>
    <w:rsid w:val="009D788B"/>
    <w:rsid w:val="00A04837"/>
    <w:rsid w:val="00A104FC"/>
    <w:rsid w:val="00A16EFD"/>
    <w:rsid w:val="00A20BC5"/>
    <w:rsid w:val="00A271B5"/>
    <w:rsid w:val="00A3041C"/>
    <w:rsid w:val="00A44630"/>
    <w:rsid w:val="00A44E07"/>
    <w:rsid w:val="00A521F4"/>
    <w:rsid w:val="00A547C5"/>
    <w:rsid w:val="00A604A4"/>
    <w:rsid w:val="00A70962"/>
    <w:rsid w:val="00A7325E"/>
    <w:rsid w:val="00A7345B"/>
    <w:rsid w:val="00A76613"/>
    <w:rsid w:val="00A8649F"/>
    <w:rsid w:val="00A948E9"/>
    <w:rsid w:val="00AA42D6"/>
    <w:rsid w:val="00AA4B9B"/>
    <w:rsid w:val="00AA7979"/>
    <w:rsid w:val="00AB4E95"/>
    <w:rsid w:val="00AB5E04"/>
    <w:rsid w:val="00AC3986"/>
    <w:rsid w:val="00AC66D2"/>
    <w:rsid w:val="00AD5BB6"/>
    <w:rsid w:val="00AE1C32"/>
    <w:rsid w:val="00AE27A6"/>
    <w:rsid w:val="00AE5E67"/>
    <w:rsid w:val="00AE779F"/>
    <w:rsid w:val="00AF162A"/>
    <w:rsid w:val="00AF6C57"/>
    <w:rsid w:val="00B033F4"/>
    <w:rsid w:val="00B04FEC"/>
    <w:rsid w:val="00B11331"/>
    <w:rsid w:val="00B16D1D"/>
    <w:rsid w:val="00B226CD"/>
    <w:rsid w:val="00B2336A"/>
    <w:rsid w:val="00B36E89"/>
    <w:rsid w:val="00B44ADE"/>
    <w:rsid w:val="00B61F69"/>
    <w:rsid w:val="00B635C0"/>
    <w:rsid w:val="00B86C71"/>
    <w:rsid w:val="00B87925"/>
    <w:rsid w:val="00BB1F54"/>
    <w:rsid w:val="00BB47D6"/>
    <w:rsid w:val="00BC427A"/>
    <w:rsid w:val="00BC4D62"/>
    <w:rsid w:val="00BC7770"/>
    <w:rsid w:val="00BD2D08"/>
    <w:rsid w:val="00BD4F67"/>
    <w:rsid w:val="00BD5B10"/>
    <w:rsid w:val="00BF0E04"/>
    <w:rsid w:val="00BF1D74"/>
    <w:rsid w:val="00BF3780"/>
    <w:rsid w:val="00BF54EF"/>
    <w:rsid w:val="00C00EC9"/>
    <w:rsid w:val="00C070B3"/>
    <w:rsid w:val="00C166F9"/>
    <w:rsid w:val="00C21104"/>
    <w:rsid w:val="00C30E83"/>
    <w:rsid w:val="00C476FD"/>
    <w:rsid w:val="00C6435B"/>
    <w:rsid w:val="00C67698"/>
    <w:rsid w:val="00C71138"/>
    <w:rsid w:val="00C76249"/>
    <w:rsid w:val="00CA49CC"/>
    <w:rsid w:val="00CB1696"/>
    <w:rsid w:val="00CB45B8"/>
    <w:rsid w:val="00CC4490"/>
    <w:rsid w:val="00CD1E97"/>
    <w:rsid w:val="00CE0A3F"/>
    <w:rsid w:val="00CF3541"/>
    <w:rsid w:val="00CF5E47"/>
    <w:rsid w:val="00CF7444"/>
    <w:rsid w:val="00D002B7"/>
    <w:rsid w:val="00D035C0"/>
    <w:rsid w:val="00D03E2E"/>
    <w:rsid w:val="00D1034E"/>
    <w:rsid w:val="00D21428"/>
    <w:rsid w:val="00D35B9B"/>
    <w:rsid w:val="00D414F5"/>
    <w:rsid w:val="00D5577E"/>
    <w:rsid w:val="00D7233D"/>
    <w:rsid w:val="00D7524D"/>
    <w:rsid w:val="00D76CA5"/>
    <w:rsid w:val="00D77DC1"/>
    <w:rsid w:val="00D851B0"/>
    <w:rsid w:val="00D93334"/>
    <w:rsid w:val="00D9452B"/>
    <w:rsid w:val="00DA7D1B"/>
    <w:rsid w:val="00DB03ED"/>
    <w:rsid w:val="00DB06E9"/>
    <w:rsid w:val="00DB1B17"/>
    <w:rsid w:val="00DC1302"/>
    <w:rsid w:val="00DC13E1"/>
    <w:rsid w:val="00DE7FFC"/>
    <w:rsid w:val="00DF171F"/>
    <w:rsid w:val="00DF1AB3"/>
    <w:rsid w:val="00DF1AB5"/>
    <w:rsid w:val="00E00CDF"/>
    <w:rsid w:val="00E01521"/>
    <w:rsid w:val="00E02A34"/>
    <w:rsid w:val="00E14DE9"/>
    <w:rsid w:val="00E1715A"/>
    <w:rsid w:val="00E265E4"/>
    <w:rsid w:val="00E33A89"/>
    <w:rsid w:val="00E34506"/>
    <w:rsid w:val="00E345E9"/>
    <w:rsid w:val="00E41784"/>
    <w:rsid w:val="00E41E0C"/>
    <w:rsid w:val="00E44128"/>
    <w:rsid w:val="00E50D58"/>
    <w:rsid w:val="00E5224B"/>
    <w:rsid w:val="00E60F25"/>
    <w:rsid w:val="00E61B27"/>
    <w:rsid w:val="00E640FA"/>
    <w:rsid w:val="00E729D8"/>
    <w:rsid w:val="00E870DB"/>
    <w:rsid w:val="00E9062C"/>
    <w:rsid w:val="00E9473C"/>
    <w:rsid w:val="00E9702D"/>
    <w:rsid w:val="00E974FA"/>
    <w:rsid w:val="00EA1EEC"/>
    <w:rsid w:val="00EB68B6"/>
    <w:rsid w:val="00EB6BE8"/>
    <w:rsid w:val="00EC42FA"/>
    <w:rsid w:val="00EC578A"/>
    <w:rsid w:val="00EC7956"/>
    <w:rsid w:val="00ED0ED5"/>
    <w:rsid w:val="00ED602D"/>
    <w:rsid w:val="00EE1923"/>
    <w:rsid w:val="00EE3490"/>
    <w:rsid w:val="00EE7955"/>
    <w:rsid w:val="00EF24E6"/>
    <w:rsid w:val="00EF3BCC"/>
    <w:rsid w:val="00F06B39"/>
    <w:rsid w:val="00F07166"/>
    <w:rsid w:val="00F10829"/>
    <w:rsid w:val="00F119B5"/>
    <w:rsid w:val="00F20E5B"/>
    <w:rsid w:val="00F21FD0"/>
    <w:rsid w:val="00F23039"/>
    <w:rsid w:val="00F24E95"/>
    <w:rsid w:val="00F37422"/>
    <w:rsid w:val="00F40FCE"/>
    <w:rsid w:val="00F40FEE"/>
    <w:rsid w:val="00F4574D"/>
    <w:rsid w:val="00F50003"/>
    <w:rsid w:val="00F66E42"/>
    <w:rsid w:val="00F71ED3"/>
    <w:rsid w:val="00F81337"/>
    <w:rsid w:val="00F83EC5"/>
    <w:rsid w:val="00F8477B"/>
    <w:rsid w:val="00F86A23"/>
    <w:rsid w:val="00FA12E0"/>
    <w:rsid w:val="00FA2E00"/>
    <w:rsid w:val="00FB444E"/>
    <w:rsid w:val="00FB52FD"/>
    <w:rsid w:val="00FC12D6"/>
    <w:rsid w:val="00FC4E57"/>
    <w:rsid w:val="00FD3616"/>
    <w:rsid w:val="00FD44AB"/>
    <w:rsid w:val="00FD7AD8"/>
    <w:rsid w:val="00FE1AEA"/>
    <w:rsid w:val="00FE20AE"/>
    <w:rsid w:val="00FE3CB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EC5"/>
    <w:pPr>
      <w:widowControl w:val="0"/>
      <w:autoSpaceDE w:val="0"/>
      <w:autoSpaceDN w:val="0"/>
      <w:adjustRightInd w:val="0"/>
    </w:pPr>
    <w:rPr>
      <w:rFonts w:ascii="Courier New" w:hAnsi="Courier New" w:cs="Courier New"/>
      <w:sz w:val="24"/>
      <w:szCs w:val="24"/>
    </w:rPr>
  </w:style>
  <w:style w:type="paragraph" w:styleId="Titre1">
    <w:name w:val="heading 1"/>
    <w:basedOn w:val="Normal"/>
    <w:next w:val="Normal"/>
    <w:link w:val="Titre1Car"/>
    <w:uiPriority w:val="9"/>
    <w:qFormat/>
    <w:rsid w:val="00F83EC5"/>
    <w:pPr>
      <w:keepNext/>
      <w:spacing w:before="240" w:after="60"/>
      <w:outlineLvl w:val="0"/>
    </w:pPr>
    <w:rPr>
      <w:rFonts w:ascii="Times New Roman" w:hAnsi="Times New Roman" w:cs="Times New Roman"/>
      <w:b/>
      <w:bCs/>
      <w:kern w:val="32"/>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3EC5"/>
    <w:rPr>
      <w:b/>
      <w:bCs/>
      <w:kern w:val="32"/>
      <w:sz w:val="28"/>
      <w:szCs w:val="32"/>
    </w:rPr>
  </w:style>
  <w:style w:type="paragraph" w:styleId="TM1">
    <w:name w:val="toc 1"/>
    <w:basedOn w:val="Normal"/>
    <w:next w:val="Normal"/>
    <w:autoRedefine/>
    <w:uiPriority w:val="39"/>
    <w:qFormat/>
    <w:rsid w:val="00F83EC5"/>
    <w:pPr>
      <w:spacing w:before="120"/>
    </w:pPr>
    <w:rPr>
      <w:rFonts w:ascii="Calibri" w:hAnsi="Calibri" w:cs="Times New Roman"/>
      <w:b/>
      <w:bCs/>
      <w:i/>
      <w:iCs/>
      <w:szCs w:val="28"/>
    </w:rPr>
  </w:style>
  <w:style w:type="paragraph" w:styleId="TM2">
    <w:name w:val="toc 2"/>
    <w:basedOn w:val="Normal"/>
    <w:next w:val="Normal"/>
    <w:autoRedefine/>
    <w:uiPriority w:val="39"/>
    <w:semiHidden/>
    <w:qFormat/>
    <w:rsid w:val="00F83EC5"/>
    <w:pPr>
      <w:spacing w:before="120"/>
      <w:ind w:left="240"/>
    </w:pPr>
    <w:rPr>
      <w:rFonts w:ascii="Calibri" w:hAnsi="Calibri" w:cs="Times New Roman"/>
      <w:b/>
      <w:bCs/>
      <w:sz w:val="22"/>
      <w:szCs w:val="26"/>
    </w:rPr>
  </w:style>
  <w:style w:type="paragraph" w:styleId="TM3">
    <w:name w:val="toc 3"/>
    <w:basedOn w:val="Normal"/>
    <w:next w:val="Normal"/>
    <w:autoRedefine/>
    <w:uiPriority w:val="39"/>
    <w:semiHidden/>
    <w:qFormat/>
    <w:rsid w:val="00F83EC5"/>
    <w:pPr>
      <w:ind w:left="480"/>
    </w:pPr>
    <w:rPr>
      <w:rFonts w:ascii="Calibri" w:hAnsi="Calibri" w:cs="Times New Roman"/>
      <w:sz w:val="20"/>
    </w:rPr>
  </w:style>
  <w:style w:type="paragraph" w:styleId="Lgende">
    <w:name w:val="caption"/>
    <w:aliases w:val="Titre1+Rouge"/>
    <w:basedOn w:val="Normal"/>
    <w:next w:val="Normal"/>
    <w:qFormat/>
    <w:rsid w:val="00F83EC5"/>
    <w:rPr>
      <w:rFonts w:cs="Times New Roman"/>
    </w:rPr>
  </w:style>
  <w:style w:type="paragraph" w:styleId="Sansinterligne">
    <w:name w:val="No Spacing"/>
    <w:link w:val="SansinterligneCar"/>
    <w:uiPriority w:val="1"/>
    <w:qFormat/>
    <w:rsid w:val="00F83EC5"/>
    <w:rPr>
      <w:rFonts w:ascii="Calibri" w:hAnsi="Calibri" w:cs="Arial"/>
      <w:sz w:val="22"/>
      <w:szCs w:val="22"/>
      <w:lang w:eastAsia="en-US"/>
    </w:rPr>
  </w:style>
  <w:style w:type="character" w:customStyle="1" w:styleId="SansinterligneCar">
    <w:name w:val="Sans interligne Car"/>
    <w:basedOn w:val="Policepardfaut"/>
    <w:link w:val="Sansinterligne"/>
    <w:uiPriority w:val="1"/>
    <w:rsid w:val="00F83EC5"/>
    <w:rPr>
      <w:rFonts w:ascii="Calibri" w:hAnsi="Calibri" w:cs="Arial"/>
      <w:sz w:val="22"/>
      <w:szCs w:val="22"/>
      <w:lang w:val="fr-FR" w:eastAsia="en-US" w:bidi="ar-SA"/>
    </w:rPr>
  </w:style>
  <w:style w:type="paragraph" w:styleId="En-ttedetabledesmatires">
    <w:name w:val="TOC Heading"/>
    <w:basedOn w:val="Titre1"/>
    <w:next w:val="Normal"/>
    <w:uiPriority w:val="39"/>
    <w:semiHidden/>
    <w:unhideWhenUsed/>
    <w:qFormat/>
    <w:rsid w:val="00F83EC5"/>
    <w:pPr>
      <w:keepLines/>
      <w:widowControl/>
      <w:autoSpaceDE/>
      <w:autoSpaceDN/>
      <w:adjustRightInd/>
      <w:spacing w:before="480" w:after="0" w:line="276" w:lineRule="auto"/>
      <w:outlineLvl w:val="9"/>
    </w:pPr>
    <w:rPr>
      <w:rFonts w:ascii="Cambria" w:hAnsi="Cambria"/>
      <w:color w:val="365F91"/>
      <w:kern w:val="0"/>
      <w:szCs w:val="28"/>
      <w:lang w:eastAsia="en-US"/>
    </w:rPr>
  </w:style>
  <w:style w:type="paragraph" w:customStyle="1" w:styleId="titre2">
    <w:name w:val="titre2"/>
    <w:basedOn w:val="Normal"/>
    <w:qFormat/>
    <w:rsid w:val="00F83EC5"/>
    <w:pPr>
      <w:tabs>
        <w:tab w:val="left" w:pos="-720"/>
      </w:tabs>
      <w:spacing w:line="300" w:lineRule="atLeast"/>
      <w:jc w:val="both"/>
    </w:pPr>
    <w:rPr>
      <w:rFonts w:ascii="Univers" w:hAnsi="Univers" w:cs="Univers"/>
      <w:b/>
      <w:bCs/>
      <w:spacing w:val="-3"/>
    </w:rPr>
  </w:style>
  <w:style w:type="paragraph" w:customStyle="1" w:styleId="titre3">
    <w:name w:val="titre3"/>
    <w:basedOn w:val="Normal"/>
    <w:qFormat/>
    <w:rsid w:val="00F83EC5"/>
    <w:pPr>
      <w:tabs>
        <w:tab w:val="left" w:pos="-720"/>
      </w:tabs>
      <w:spacing w:line="300" w:lineRule="atLeast"/>
      <w:jc w:val="both"/>
    </w:pPr>
    <w:rPr>
      <w:rFonts w:ascii="Univers" w:hAnsi="Univers" w:cs="Univers"/>
      <w:b/>
      <w:bCs/>
      <w:spacing w:val="-3"/>
    </w:rPr>
  </w:style>
  <w:style w:type="paragraph" w:styleId="Textedebulles">
    <w:name w:val="Balloon Text"/>
    <w:basedOn w:val="Normal"/>
    <w:link w:val="TextedebullesCar"/>
    <w:uiPriority w:val="99"/>
    <w:semiHidden/>
    <w:unhideWhenUsed/>
    <w:rsid w:val="00D9452B"/>
    <w:rPr>
      <w:rFonts w:ascii="Tahoma" w:hAnsi="Tahoma" w:cs="Tahoma"/>
      <w:sz w:val="16"/>
      <w:szCs w:val="16"/>
    </w:rPr>
  </w:style>
  <w:style w:type="character" w:customStyle="1" w:styleId="TextedebullesCar">
    <w:name w:val="Texte de bulles Car"/>
    <w:basedOn w:val="Policepardfaut"/>
    <w:link w:val="Textedebulles"/>
    <w:uiPriority w:val="99"/>
    <w:semiHidden/>
    <w:rsid w:val="00D9452B"/>
    <w:rPr>
      <w:rFonts w:ascii="Tahoma" w:hAnsi="Tahoma" w:cs="Tahoma"/>
      <w:sz w:val="16"/>
      <w:szCs w:val="16"/>
    </w:rPr>
  </w:style>
  <w:style w:type="paragraph" w:styleId="Paragraphedeliste">
    <w:name w:val="List Paragraph"/>
    <w:basedOn w:val="Normal"/>
    <w:uiPriority w:val="34"/>
    <w:qFormat/>
    <w:rsid w:val="005D6C02"/>
    <w:pPr>
      <w:widowControl/>
      <w:autoSpaceDE/>
      <w:autoSpaceDN/>
      <w:adjustRightInd/>
      <w:spacing w:after="200" w:line="276" w:lineRule="auto"/>
      <w:ind w:left="720"/>
      <w:contextualSpacing/>
    </w:pPr>
    <w:rPr>
      <w:rFonts w:ascii="Calibri" w:eastAsia="Calibri" w:hAnsi="Calibri" w:cs="Arial"/>
      <w:sz w:val="22"/>
      <w:szCs w:val="22"/>
      <w:lang w:eastAsia="en-US"/>
    </w:rPr>
  </w:style>
  <w:style w:type="character" w:styleId="Lienhypertexte">
    <w:name w:val="Hyperlink"/>
    <w:basedOn w:val="Policepardfaut"/>
    <w:uiPriority w:val="99"/>
    <w:unhideWhenUsed/>
    <w:rsid w:val="005D6C02"/>
    <w:rPr>
      <w:color w:val="0000FF"/>
      <w:u w:val="single"/>
    </w:rPr>
  </w:style>
  <w:style w:type="table" w:styleId="Grilledutableau">
    <w:name w:val="Table Grid"/>
    <w:basedOn w:val="TableauNormal"/>
    <w:uiPriority w:val="59"/>
    <w:rsid w:val="005D6C0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centuation">
    <w:name w:val="Emphasis"/>
    <w:basedOn w:val="Policepardfaut"/>
    <w:uiPriority w:val="20"/>
    <w:qFormat/>
    <w:rsid w:val="00E9062C"/>
    <w:rPr>
      <w:i/>
      <w:iCs/>
    </w:rPr>
  </w:style>
  <w:style w:type="paragraph" w:styleId="En-tte">
    <w:name w:val="header"/>
    <w:basedOn w:val="Normal"/>
    <w:link w:val="En-tteCar"/>
    <w:uiPriority w:val="99"/>
    <w:semiHidden/>
    <w:unhideWhenUsed/>
    <w:rsid w:val="00460705"/>
    <w:pPr>
      <w:tabs>
        <w:tab w:val="center" w:pos="4536"/>
        <w:tab w:val="right" w:pos="9072"/>
      </w:tabs>
    </w:pPr>
  </w:style>
  <w:style w:type="character" w:customStyle="1" w:styleId="En-tteCar">
    <w:name w:val="En-tête Car"/>
    <w:basedOn w:val="Policepardfaut"/>
    <w:link w:val="En-tte"/>
    <w:uiPriority w:val="99"/>
    <w:semiHidden/>
    <w:rsid w:val="00460705"/>
    <w:rPr>
      <w:rFonts w:ascii="Courier New" w:hAnsi="Courier New" w:cs="Courier New"/>
      <w:sz w:val="24"/>
      <w:szCs w:val="24"/>
    </w:rPr>
  </w:style>
  <w:style w:type="paragraph" w:styleId="Pieddepage">
    <w:name w:val="footer"/>
    <w:basedOn w:val="Normal"/>
    <w:link w:val="PieddepageCar"/>
    <w:uiPriority w:val="99"/>
    <w:unhideWhenUsed/>
    <w:rsid w:val="00460705"/>
    <w:pPr>
      <w:tabs>
        <w:tab w:val="center" w:pos="4536"/>
        <w:tab w:val="right" w:pos="9072"/>
      </w:tabs>
    </w:pPr>
  </w:style>
  <w:style w:type="character" w:customStyle="1" w:styleId="PieddepageCar">
    <w:name w:val="Pied de page Car"/>
    <w:basedOn w:val="Policepardfaut"/>
    <w:link w:val="Pieddepage"/>
    <w:uiPriority w:val="99"/>
    <w:rsid w:val="00460705"/>
    <w:rPr>
      <w:rFonts w:ascii="Courier New" w:hAnsi="Courier New" w:cs="Courier New"/>
      <w:sz w:val="24"/>
      <w:szCs w:val="24"/>
    </w:rPr>
  </w:style>
  <w:style w:type="character" w:styleId="Marquedecommentaire">
    <w:name w:val="annotation reference"/>
    <w:basedOn w:val="Policepardfaut"/>
    <w:uiPriority w:val="99"/>
    <w:semiHidden/>
    <w:unhideWhenUsed/>
    <w:rsid w:val="00E265E4"/>
    <w:rPr>
      <w:sz w:val="16"/>
      <w:szCs w:val="16"/>
    </w:rPr>
  </w:style>
  <w:style w:type="paragraph" w:styleId="Commentaire">
    <w:name w:val="annotation text"/>
    <w:basedOn w:val="Normal"/>
    <w:link w:val="CommentaireCar"/>
    <w:uiPriority w:val="99"/>
    <w:semiHidden/>
    <w:unhideWhenUsed/>
    <w:rsid w:val="00E265E4"/>
    <w:rPr>
      <w:sz w:val="20"/>
      <w:szCs w:val="20"/>
    </w:rPr>
  </w:style>
  <w:style w:type="character" w:customStyle="1" w:styleId="CommentaireCar">
    <w:name w:val="Commentaire Car"/>
    <w:basedOn w:val="Policepardfaut"/>
    <w:link w:val="Commentaire"/>
    <w:uiPriority w:val="99"/>
    <w:semiHidden/>
    <w:rsid w:val="00E265E4"/>
    <w:rPr>
      <w:rFonts w:ascii="Courier New" w:hAnsi="Courier New" w:cs="Courier New"/>
    </w:rPr>
  </w:style>
  <w:style w:type="paragraph" w:styleId="Objetducommentaire">
    <w:name w:val="annotation subject"/>
    <w:basedOn w:val="Commentaire"/>
    <w:next w:val="Commentaire"/>
    <w:link w:val="ObjetducommentaireCar"/>
    <w:uiPriority w:val="99"/>
    <w:semiHidden/>
    <w:unhideWhenUsed/>
    <w:rsid w:val="00E265E4"/>
    <w:rPr>
      <w:b/>
      <w:bCs/>
    </w:rPr>
  </w:style>
  <w:style w:type="character" w:customStyle="1" w:styleId="ObjetducommentaireCar">
    <w:name w:val="Objet du commentaire Car"/>
    <w:basedOn w:val="CommentaireCar"/>
    <w:link w:val="Objetducommentaire"/>
    <w:uiPriority w:val="99"/>
    <w:semiHidden/>
    <w:rsid w:val="00E265E4"/>
    <w:rPr>
      <w:b/>
      <w:bCs/>
    </w:rPr>
  </w:style>
</w:styles>
</file>

<file path=word/webSettings.xml><?xml version="1.0" encoding="utf-8"?>
<w:webSettings xmlns:r="http://schemas.openxmlformats.org/officeDocument/2006/relationships" xmlns:w="http://schemas.openxmlformats.org/wordprocessingml/2006/main">
  <w:divs>
    <w:div w:id="90929103">
      <w:bodyDiv w:val="1"/>
      <w:marLeft w:val="0"/>
      <w:marRight w:val="0"/>
      <w:marTop w:val="0"/>
      <w:marBottom w:val="0"/>
      <w:divBdr>
        <w:top w:val="none" w:sz="0" w:space="0" w:color="auto"/>
        <w:left w:val="none" w:sz="0" w:space="0" w:color="auto"/>
        <w:bottom w:val="none" w:sz="0" w:space="0" w:color="auto"/>
        <w:right w:val="none" w:sz="0" w:space="0" w:color="auto"/>
      </w:divBdr>
    </w:div>
    <w:div w:id="920676434">
      <w:bodyDiv w:val="1"/>
      <w:marLeft w:val="0"/>
      <w:marRight w:val="0"/>
      <w:marTop w:val="0"/>
      <w:marBottom w:val="0"/>
      <w:divBdr>
        <w:top w:val="none" w:sz="0" w:space="0" w:color="auto"/>
        <w:left w:val="none" w:sz="0" w:space="0" w:color="auto"/>
        <w:bottom w:val="none" w:sz="0" w:space="0" w:color="auto"/>
        <w:right w:val="none" w:sz="0" w:space="0" w:color="auto"/>
      </w:divBdr>
    </w:div>
    <w:div w:id="1132866564">
      <w:bodyDiv w:val="1"/>
      <w:marLeft w:val="0"/>
      <w:marRight w:val="0"/>
      <w:marTop w:val="0"/>
      <w:marBottom w:val="0"/>
      <w:divBdr>
        <w:top w:val="none" w:sz="0" w:space="0" w:color="auto"/>
        <w:left w:val="none" w:sz="0" w:space="0" w:color="auto"/>
        <w:bottom w:val="none" w:sz="0" w:space="0" w:color="auto"/>
        <w:right w:val="none" w:sz="0" w:space="0" w:color="auto"/>
      </w:divBdr>
    </w:div>
    <w:div w:id="1146895147">
      <w:bodyDiv w:val="1"/>
      <w:marLeft w:val="0"/>
      <w:marRight w:val="0"/>
      <w:marTop w:val="0"/>
      <w:marBottom w:val="0"/>
      <w:divBdr>
        <w:top w:val="none" w:sz="0" w:space="0" w:color="auto"/>
        <w:left w:val="none" w:sz="0" w:space="0" w:color="auto"/>
        <w:bottom w:val="none" w:sz="0" w:space="0" w:color="auto"/>
        <w:right w:val="none" w:sz="0" w:space="0" w:color="auto"/>
      </w:divBdr>
    </w:div>
    <w:div w:id="1455637099">
      <w:bodyDiv w:val="1"/>
      <w:marLeft w:val="0"/>
      <w:marRight w:val="0"/>
      <w:marTop w:val="0"/>
      <w:marBottom w:val="0"/>
      <w:divBdr>
        <w:top w:val="none" w:sz="0" w:space="0" w:color="auto"/>
        <w:left w:val="none" w:sz="0" w:space="0" w:color="auto"/>
        <w:bottom w:val="none" w:sz="0" w:space="0" w:color="auto"/>
        <w:right w:val="none" w:sz="0" w:space="0" w:color="auto"/>
      </w:divBdr>
    </w:div>
    <w:div w:id="1555578816">
      <w:bodyDiv w:val="1"/>
      <w:marLeft w:val="0"/>
      <w:marRight w:val="0"/>
      <w:marTop w:val="0"/>
      <w:marBottom w:val="0"/>
      <w:divBdr>
        <w:top w:val="none" w:sz="0" w:space="0" w:color="auto"/>
        <w:left w:val="none" w:sz="0" w:space="0" w:color="auto"/>
        <w:bottom w:val="none" w:sz="0" w:space="0" w:color="auto"/>
        <w:right w:val="none" w:sz="0" w:space="0" w:color="auto"/>
      </w:divBdr>
    </w:div>
    <w:div w:id="1713728167">
      <w:bodyDiv w:val="1"/>
      <w:marLeft w:val="0"/>
      <w:marRight w:val="0"/>
      <w:marTop w:val="0"/>
      <w:marBottom w:val="0"/>
      <w:divBdr>
        <w:top w:val="none" w:sz="0" w:space="0" w:color="auto"/>
        <w:left w:val="none" w:sz="0" w:space="0" w:color="auto"/>
        <w:bottom w:val="none" w:sz="0" w:space="0" w:color="auto"/>
        <w:right w:val="none" w:sz="0" w:space="0" w:color="auto"/>
      </w:divBdr>
    </w:div>
    <w:div w:id="175663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hcp.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sdrissi\Bureau\ECM\r&#233;sultats%20depuis%202007\resultats%20ECM(trim4-07-trim4-201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jelabsi\Local%20Settings\Temporary%20Internet%20Files\Content.Outlook\BCQJB7OA\resultats%20ECM(trim1-08-trim4-201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dministrateur\Bureau\Nouveau%20dossier\resultats%20ECM(trim1-08-trim4-201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sdrissi\Bureau\ECM\r&#233;sultats%20depuis%202007\resultats%20ECM(trim1-08-trim4-201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sdrissi\Bureau\ECM\r&#233;sultats%20depuis%202007\resultats%20ECM(trim1-08-trim4-20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sz="1400">
                <a:latin typeface="Times New Roman" pitchFamily="18" charset="0"/>
                <a:cs typeface="Times New Roman" pitchFamily="18" charset="0"/>
              </a:defRPr>
            </a:pPr>
            <a:r>
              <a:rPr lang="en-US" sz="1400">
                <a:latin typeface="Times New Roman" pitchFamily="18" charset="0"/>
                <a:cs typeface="Times New Roman" pitchFamily="18" charset="0"/>
              </a:rPr>
              <a:t>Evolution de l'Indice de Confiance des Ménages</a:t>
            </a:r>
            <a:endParaRPr lang="fr-FR" sz="1400">
              <a:latin typeface="Times New Roman" pitchFamily="18" charset="0"/>
              <a:cs typeface="Times New Roman" pitchFamily="18" charset="0"/>
            </a:endParaRPr>
          </a:p>
          <a:p>
            <a:pPr>
              <a:defRPr sz="1400">
                <a:latin typeface="Times New Roman" pitchFamily="18" charset="0"/>
                <a:cs typeface="Times New Roman" pitchFamily="18" charset="0"/>
              </a:defRPr>
            </a:pPr>
            <a:endParaRPr lang="en-US" sz="1400">
              <a:latin typeface="Times New Roman" pitchFamily="18" charset="0"/>
              <a:cs typeface="Times New Roman" pitchFamily="18" charset="0"/>
            </a:endParaRPr>
          </a:p>
        </c:rich>
      </c:tx>
      <c:layout>
        <c:manualLayout>
          <c:xMode val="edge"/>
          <c:yMode val="edge"/>
          <c:x val="0.17463719812801179"/>
          <c:y val="2.9991831280680798E-2"/>
        </c:manualLayout>
      </c:layout>
    </c:title>
    <c:plotArea>
      <c:layout>
        <c:manualLayout>
          <c:layoutTarget val="inner"/>
          <c:xMode val="edge"/>
          <c:yMode val="edge"/>
          <c:x val="2.4250440917107582E-2"/>
          <c:y val="0.14276856748618891"/>
          <c:w val="0.95149911816578914"/>
          <c:h val="0.72498441916173861"/>
        </c:manualLayout>
      </c:layout>
      <c:barChart>
        <c:barDir val="col"/>
        <c:grouping val="clustered"/>
        <c:ser>
          <c:idx val="0"/>
          <c:order val="0"/>
          <c:tx>
            <c:strRef>
              <c:f>'solde trim1-08-trim4-2011'!$A$76</c:f>
              <c:strCache>
                <c:ptCount val="1"/>
                <c:pt idx="0">
                  <c:v>ICM</c:v>
                </c:pt>
              </c:strCache>
            </c:strRef>
          </c:tx>
          <c:dLbls>
            <c:dLbl>
              <c:idx val="11"/>
              <c:spPr/>
              <c:txPr>
                <a:bodyPr/>
                <a:lstStyle/>
                <a:p>
                  <a:pPr>
                    <a:defRPr sz="900" b="1">
                      <a:latin typeface="Times New Roman" pitchFamily="18" charset="0"/>
                      <a:cs typeface="Times New Roman" pitchFamily="18" charset="0"/>
                    </a:defRPr>
                  </a:pPr>
                  <a:endParaRPr lang="fr-FR"/>
                </a:p>
              </c:txPr>
            </c:dLbl>
            <c:dLbl>
              <c:idx val="14"/>
              <c:spPr/>
              <c:txPr>
                <a:bodyPr/>
                <a:lstStyle/>
                <a:p>
                  <a:pPr>
                    <a:defRPr sz="900" b="1">
                      <a:latin typeface="Times New Roman" pitchFamily="18" charset="0"/>
                      <a:cs typeface="Times New Roman" pitchFamily="18" charset="0"/>
                    </a:defRPr>
                  </a:pPr>
                  <a:endParaRPr lang="fr-FR"/>
                </a:p>
              </c:txPr>
            </c:dLbl>
            <c:dLbl>
              <c:idx val="15"/>
              <c:spPr/>
              <c:txPr>
                <a:bodyPr/>
                <a:lstStyle/>
                <a:p>
                  <a:pPr>
                    <a:defRPr sz="900" b="1">
                      <a:latin typeface="Times New Roman" pitchFamily="18" charset="0"/>
                      <a:cs typeface="Times New Roman" pitchFamily="18" charset="0"/>
                    </a:defRPr>
                  </a:pPr>
                  <a:endParaRPr lang="fr-FR"/>
                </a:p>
              </c:txPr>
            </c:dLbl>
            <c:txPr>
              <a:bodyPr/>
              <a:lstStyle/>
              <a:p>
                <a:pPr>
                  <a:defRPr sz="900">
                    <a:latin typeface="Times New Roman" pitchFamily="18" charset="0"/>
                    <a:cs typeface="Times New Roman" pitchFamily="18" charset="0"/>
                  </a:defRPr>
                </a:pPr>
                <a:endParaRPr lang="fr-FR"/>
              </a:p>
            </c:txPr>
            <c:showVal val="1"/>
          </c:dLbls>
          <c:cat>
            <c:strRef>
              <c:f>'solde trim1-08-trim4-2011'!$B$67:$Q$67</c:f>
              <c:strCache>
                <c:ptCount val="16"/>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strCache>
            </c:strRef>
          </c:cat>
          <c:val>
            <c:numRef>
              <c:f>'solde trim1-08-trim4-2011'!$B$76:$Q$76</c:f>
              <c:numCache>
                <c:formatCode>#,##0.0</c:formatCode>
                <c:ptCount val="16"/>
                <c:pt idx="0">
                  <c:v>85.866502294191648</c:v>
                </c:pt>
                <c:pt idx="1">
                  <c:v>77.678707955852474</c:v>
                </c:pt>
                <c:pt idx="2">
                  <c:v>75.55248063575597</c:v>
                </c:pt>
                <c:pt idx="3">
                  <c:v>80.136884034904114</c:v>
                </c:pt>
                <c:pt idx="4">
                  <c:v>76.902419880745626</c:v>
                </c:pt>
                <c:pt idx="5">
                  <c:v>77.636131881705708</c:v>
                </c:pt>
                <c:pt idx="6">
                  <c:v>79.135624759962667</c:v>
                </c:pt>
                <c:pt idx="7">
                  <c:v>79.463913413558046</c:v>
                </c:pt>
                <c:pt idx="8">
                  <c:v>80.136086093618815</c:v>
                </c:pt>
                <c:pt idx="9">
                  <c:v>78.833388330573484</c:v>
                </c:pt>
                <c:pt idx="10">
                  <c:v>78.629956901853419</c:v>
                </c:pt>
                <c:pt idx="11">
                  <c:v>74.744893710814793</c:v>
                </c:pt>
                <c:pt idx="12">
                  <c:v>78.406406130604239</c:v>
                </c:pt>
                <c:pt idx="13">
                  <c:v>85.789532632532229</c:v>
                </c:pt>
                <c:pt idx="14">
                  <c:v>86.506225251482533</c:v>
                </c:pt>
                <c:pt idx="15">
                  <c:v>84.47721469487783</c:v>
                </c:pt>
              </c:numCache>
            </c:numRef>
          </c:val>
        </c:ser>
        <c:axId val="95027200"/>
        <c:axId val="95028736"/>
      </c:barChart>
      <c:catAx>
        <c:axId val="95027200"/>
        <c:scaling>
          <c:orientation val="minMax"/>
        </c:scaling>
        <c:axPos val="b"/>
        <c:tickLblPos val="nextTo"/>
        <c:txPr>
          <a:bodyPr/>
          <a:lstStyle/>
          <a:p>
            <a:pPr>
              <a:defRPr sz="900">
                <a:latin typeface="Times New Roman" pitchFamily="18" charset="0"/>
                <a:cs typeface="Times New Roman" pitchFamily="18" charset="0"/>
              </a:defRPr>
            </a:pPr>
            <a:endParaRPr lang="fr-FR"/>
          </a:p>
        </c:txPr>
        <c:crossAx val="95028736"/>
        <c:crosses val="autoZero"/>
        <c:auto val="1"/>
        <c:lblAlgn val="ctr"/>
        <c:lblOffset val="100"/>
      </c:catAx>
      <c:valAx>
        <c:axId val="95028736"/>
        <c:scaling>
          <c:orientation val="minMax"/>
        </c:scaling>
        <c:delete val="1"/>
        <c:axPos val="l"/>
        <c:numFmt formatCode="#,##0.0" sourceLinked="1"/>
        <c:tickLblPos val="none"/>
        <c:crossAx val="9502720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200"/>
            </a:pPr>
            <a:r>
              <a:rPr lang="fr-FR" sz="1200" b="1" i="0" u="none" strike="noStrike" baseline="0"/>
              <a:t>Evolutions passée et future  du niveau de vie</a:t>
            </a:r>
          </a:p>
          <a:p>
            <a:pPr>
              <a:defRPr sz="1200"/>
            </a:pPr>
            <a:r>
              <a:rPr lang="fr-FR" sz="1200" b="0" i="0" u="none" strike="noStrike" baseline="0"/>
              <a:t>(soldes d'opinion) </a:t>
            </a:r>
            <a:endParaRPr lang="fr-FR" sz="1200" b="0"/>
          </a:p>
        </c:rich>
      </c:tx>
    </c:title>
    <c:plotArea>
      <c:layout/>
      <c:lineChart>
        <c:grouping val="standard"/>
        <c:ser>
          <c:idx val="0"/>
          <c:order val="0"/>
          <c:tx>
            <c:strRef>
              <c:f>'solde trim1-08-trim4-2011'!$A$69</c:f>
              <c:strCache>
                <c:ptCount val="1"/>
                <c:pt idx="0">
                  <c:v>Evolution  passée du niveau de vie</c:v>
                </c:pt>
              </c:strCache>
            </c:strRef>
          </c:tx>
          <c:marker>
            <c:symbol val="triangle"/>
            <c:size val="5"/>
          </c:marker>
          <c:dLbls>
            <c:dLbl>
              <c:idx val="15"/>
              <c:layout>
                <c:manualLayout>
                  <c:x val="0"/>
                  <c:y val="8.3333333333333343E-2"/>
                </c:manualLayout>
              </c:layout>
              <c:tx>
                <c:rich>
                  <a:bodyPr/>
                  <a:lstStyle/>
                  <a:p>
                    <a:r>
                      <a:rPr lang="en-US"/>
                      <a:t>Evolution  passée du niveau de vie</a:t>
                    </a:r>
                  </a:p>
                </c:rich>
              </c:tx>
              <c:dLblPos val="r"/>
              <c:showVal val="1"/>
              <c:showSerName val="1"/>
            </c:dLbl>
            <c:delete val="1"/>
          </c:dLbls>
          <c:cat>
            <c:strRef>
              <c:f>'solde trim1-08-trim4-2011'!$B$67:$Q$67</c:f>
              <c:strCache>
                <c:ptCount val="16"/>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strCache>
            </c:strRef>
          </c:cat>
          <c:val>
            <c:numRef>
              <c:f>'solde trim1-08-trim4-2011'!$B$69:$Q$69</c:f>
              <c:numCache>
                <c:formatCode>#,##0.0</c:formatCode>
                <c:ptCount val="16"/>
                <c:pt idx="0">
                  <c:v>-10.399945582052929</c:v>
                </c:pt>
                <c:pt idx="1">
                  <c:v>-25.15337945599229</c:v>
                </c:pt>
                <c:pt idx="2">
                  <c:v>-31.14129142149979</c:v>
                </c:pt>
                <c:pt idx="3">
                  <c:v>-29.393844818665286</c:v>
                </c:pt>
                <c:pt idx="4">
                  <c:v>-36.652789359955584</c:v>
                </c:pt>
                <c:pt idx="5">
                  <c:v>-29.108394514506987</c:v>
                </c:pt>
                <c:pt idx="6">
                  <c:v>-25.702364309825629</c:v>
                </c:pt>
                <c:pt idx="7">
                  <c:v>-26.546435956901789</c:v>
                </c:pt>
                <c:pt idx="8">
                  <c:v>-25.723634629572956</c:v>
                </c:pt>
                <c:pt idx="9">
                  <c:v>-28.56499551903989</c:v>
                </c:pt>
                <c:pt idx="10">
                  <c:v>-27.930454212484364</c:v>
                </c:pt>
                <c:pt idx="11">
                  <c:v>-37.236760344983509</c:v>
                </c:pt>
                <c:pt idx="12">
                  <c:v>-26.050959167650156</c:v>
                </c:pt>
                <c:pt idx="13">
                  <c:v>-16.961438303130819</c:v>
                </c:pt>
                <c:pt idx="14">
                  <c:v>-13.439142519852039</c:v>
                </c:pt>
                <c:pt idx="15">
                  <c:v>-20.224270151200944</c:v>
                </c:pt>
              </c:numCache>
            </c:numRef>
          </c:val>
        </c:ser>
        <c:ser>
          <c:idx val="1"/>
          <c:order val="1"/>
          <c:tx>
            <c:strRef>
              <c:f>'solde trim1-08-trim4-2011'!$A$70</c:f>
              <c:strCache>
                <c:ptCount val="1"/>
                <c:pt idx="0">
                  <c:v>Perspective d'évolution du niveau de vie</c:v>
                </c:pt>
              </c:strCache>
            </c:strRef>
          </c:tx>
          <c:marker>
            <c:symbol val="square"/>
            <c:size val="5"/>
          </c:marker>
          <c:dLbls>
            <c:dLbl>
              <c:idx val="15"/>
              <c:layout>
                <c:manualLayout>
                  <c:x val="-3.8210155857214684E-2"/>
                  <c:y val="-0.1388888888888889"/>
                </c:manualLayout>
              </c:layout>
              <c:tx>
                <c:rich>
                  <a:bodyPr/>
                  <a:lstStyle/>
                  <a:p>
                    <a:r>
                      <a:rPr lang="en-US"/>
                      <a:t>Perspective d'évolution du niveau de vie</a:t>
                    </a:r>
                  </a:p>
                </c:rich>
              </c:tx>
              <c:dLblPos val="r"/>
              <c:showVal val="1"/>
              <c:showSerName val="1"/>
            </c:dLbl>
            <c:delete val="1"/>
          </c:dLbls>
          <c:cat>
            <c:strRef>
              <c:f>'solde trim1-08-trim4-2011'!$B$67:$Q$67</c:f>
              <c:strCache>
                <c:ptCount val="16"/>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strCache>
            </c:strRef>
          </c:cat>
          <c:val>
            <c:numRef>
              <c:f>'solde trim1-08-trim4-2011'!$B$70:$Q$70</c:f>
              <c:numCache>
                <c:formatCode>#,##0.0</c:formatCode>
                <c:ptCount val="16"/>
                <c:pt idx="0">
                  <c:v>14.440493946063453</c:v>
                </c:pt>
                <c:pt idx="1">
                  <c:v>-11.52673084245559</c:v>
                </c:pt>
                <c:pt idx="2">
                  <c:v>-21.380291437825413</c:v>
                </c:pt>
                <c:pt idx="3">
                  <c:v>-3.4692228168248267</c:v>
                </c:pt>
                <c:pt idx="4">
                  <c:v>-9.3118753956095954</c:v>
                </c:pt>
                <c:pt idx="5">
                  <c:v>-3.5223109272796771</c:v>
                </c:pt>
                <c:pt idx="6">
                  <c:v>8.4334302751113269E-2</c:v>
                </c:pt>
                <c:pt idx="7">
                  <c:v>2.1853913991610052</c:v>
                </c:pt>
                <c:pt idx="8">
                  <c:v>0.39154986438085843</c:v>
                </c:pt>
                <c:pt idx="9">
                  <c:v>2.7314646872285109</c:v>
                </c:pt>
                <c:pt idx="10">
                  <c:v>0.19418325799955075</c:v>
                </c:pt>
                <c:pt idx="11">
                  <c:v>-11.371112777150765</c:v>
                </c:pt>
                <c:pt idx="12">
                  <c:v>-1.8875512037963609</c:v>
                </c:pt>
                <c:pt idx="13">
                  <c:v>18.132139936578753</c:v>
                </c:pt>
                <c:pt idx="14">
                  <c:v>11.870106120928321</c:v>
                </c:pt>
                <c:pt idx="15">
                  <c:v>13.146309479543481</c:v>
                </c:pt>
              </c:numCache>
            </c:numRef>
          </c:val>
        </c:ser>
        <c:dLbls>
          <c:showVal val="1"/>
        </c:dLbls>
        <c:marker val="1"/>
        <c:axId val="126056704"/>
        <c:axId val="78487552"/>
      </c:lineChart>
      <c:catAx>
        <c:axId val="126056704"/>
        <c:scaling>
          <c:orientation val="minMax"/>
        </c:scaling>
        <c:axPos val="b"/>
        <c:majorTickMark val="none"/>
        <c:tickLblPos val="nextTo"/>
        <c:crossAx val="78487552"/>
        <c:crosses val="autoZero"/>
        <c:auto val="1"/>
        <c:lblAlgn val="ctr"/>
        <c:lblOffset val="100"/>
      </c:catAx>
      <c:valAx>
        <c:axId val="78487552"/>
        <c:scaling>
          <c:orientation val="minMax"/>
        </c:scaling>
        <c:axPos val="l"/>
        <c:majorGridlines/>
        <c:numFmt formatCode="#,##0.0" sourceLinked="1"/>
        <c:majorTickMark val="none"/>
        <c:tickLblPos val="nextTo"/>
        <c:crossAx val="126056704"/>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fr-FR" sz="1200"/>
              <a:t>Perceptions des ménages sur leurs situations</a:t>
            </a:r>
            <a:r>
              <a:rPr lang="fr-FR" sz="1200" baseline="0"/>
              <a:t> financières</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fr-FR" sz="1200" b="0" i="0" baseline="0"/>
              <a:t>(soldes d'opinion) </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fr-FR" sz="1400" baseline="0"/>
              <a:t> </a:t>
            </a:r>
            <a:endParaRPr lang="fr-FR" sz="1400"/>
          </a:p>
        </c:rich>
      </c:tx>
    </c:title>
    <c:plotArea>
      <c:layout>
        <c:manualLayout>
          <c:layoutTarget val="inner"/>
          <c:xMode val="edge"/>
          <c:yMode val="edge"/>
          <c:x val="9.2747542150451764E-2"/>
          <c:y val="0.1468884682488994"/>
          <c:w val="0.88239370078739776"/>
          <c:h val="0.77138316248410965"/>
        </c:manualLayout>
      </c:layout>
      <c:lineChart>
        <c:grouping val="standard"/>
        <c:ser>
          <c:idx val="0"/>
          <c:order val="0"/>
          <c:tx>
            <c:strRef>
              <c:f>'grahe T4'!$A$40</c:f>
              <c:strCache>
                <c:ptCount val="1"/>
                <c:pt idx="0">
                  <c:v>Situation actuelle</c:v>
                </c:pt>
              </c:strCache>
            </c:strRef>
          </c:tx>
          <c:marker>
            <c:symbol val="triangle"/>
            <c:size val="5"/>
          </c:marker>
          <c:cat>
            <c:strRef>
              <c:f>'grahe T4'!$B$35:$Q$35</c:f>
              <c:strCache>
                <c:ptCount val="16"/>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strCache>
            </c:strRef>
          </c:cat>
          <c:val>
            <c:numRef>
              <c:f>'grahe T4'!$B$40:$Q$40</c:f>
              <c:numCache>
                <c:formatCode>#,##0.0</c:formatCode>
                <c:ptCount val="16"/>
                <c:pt idx="0">
                  <c:v>-33.000396349797541</c:v>
                </c:pt>
                <c:pt idx="1">
                  <c:v>-32.92085732825101</c:v>
                </c:pt>
                <c:pt idx="2">
                  <c:v>-34.418326375664194</c:v>
                </c:pt>
                <c:pt idx="3">
                  <c:v>-33.119220631579381</c:v>
                </c:pt>
                <c:pt idx="4">
                  <c:v>-31.284887127595891</c:v>
                </c:pt>
                <c:pt idx="5">
                  <c:v>-26.871936633729426</c:v>
                </c:pt>
                <c:pt idx="6">
                  <c:v>-28.286909450889887</c:v>
                </c:pt>
                <c:pt idx="7">
                  <c:v>-25.297554133135563</c:v>
                </c:pt>
                <c:pt idx="8">
                  <c:v>-27.535808431365773</c:v>
                </c:pt>
                <c:pt idx="9">
                  <c:v>-27.628417792744592</c:v>
                </c:pt>
                <c:pt idx="10">
                  <c:v>-29.997502753451052</c:v>
                </c:pt>
                <c:pt idx="11">
                  <c:v>-28.062624892496238</c:v>
                </c:pt>
                <c:pt idx="12">
                  <c:v>-30.64549893190366</c:v>
                </c:pt>
                <c:pt idx="13">
                  <c:v>-27.092549889444193</c:v>
                </c:pt>
                <c:pt idx="14">
                  <c:v>-24.28899054728441</c:v>
                </c:pt>
                <c:pt idx="15">
                  <c:v>-25.669712181349656</c:v>
                </c:pt>
              </c:numCache>
            </c:numRef>
          </c:val>
        </c:ser>
        <c:ser>
          <c:idx val="1"/>
          <c:order val="1"/>
          <c:tx>
            <c:strRef>
              <c:f>'grahe T4'!$A$41</c:f>
              <c:strCache>
                <c:ptCount val="1"/>
                <c:pt idx="0">
                  <c:v>Evolution  passée </c:v>
                </c:pt>
              </c:strCache>
            </c:strRef>
          </c:tx>
          <c:marker>
            <c:symbol val="none"/>
          </c:marker>
          <c:cat>
            <c:strRef>
              <c:f>'grahe T4'!$B$35:$Q$35</c:f>
              <c:strCache>
                <c:ptCount val="16"/>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strCache>
            </c:strRef>
          </c:cat>
          <c:val>
            <c:numRef>
              <c:f>'grahe T4'!$B$41:$Q$41</c:f>
              <c:numCache>
                <c:formatCode>#,##0.0</c:formatCode>
                <c:ptCount val="16"/>
                <c:pt idx="0">
                  <c:v>-11.760493904860514</c:v>
                </c:pt>
                <c:pt idx="1">
                  <c:v>-11.376439540974237</c:v>
                </c:pt>
                <c:pt idx="2">
                  <c:v>-11.707546774199256</c:v>
                </c:pt>
                <c:pt idx="3">
                  <c:v>-9.5250570435126427</c:v>
                </c:pt>
                <c:pt idx="4">
                  <c:v>-18.438210074457277</c:v>
                </c:pt>
                <c:pt idx="5">
                  <c:v>-13.353492384896805</c:v>
                </c:pt>
                <c:pt idx="6">
                  <c:v>-8.3398771422969418</c:v>
                </c:pt>
                <c:pt idx="7">
                  <c:v>-11.02764060888175</c:v>
                </c:pt>
                <c:pt idx="8">
                  <c:v>-9.9712946623485852</c:v>
                </c:pt>
                <c:pt idx="9">
                  <c:v>-7.900036816111526</c:v>
                </c:pt>
                <c:pt idx="10">
                  <c:v>-7.5448517126855705</c:v>
                </c:pt>
                <c:pt idx="11">
                  <c:v>-12.80990794833837</c:v>
                </c:pt>
                <c:pt idx="12">
                  <c:v>-10.526395373972909</c:v>
                </c:pt>
                <c:pt idx="13">
                  <c:v>-8.9058745431594577</c:v>
                </c:pt>
                <c:pt idx="14">
                  <c:v>-6.3663328535796895</c:v>
                </c:pt>
                <c:pt idx="15">
                  <c:v>-9.800434969018454</c:v>
                </c:pt>
              </c:numCache>
            </c:numRef>
          </c:val>
        </c:ser>
        <c:ser>
          <c:idx val="2"/>
          <c:order val="2"/>
          <c:tx>
            <c:strRef>
              <c:f>'grahe T4'!$A$42</c:f>
              <c:strCache>
                <c:ptCount val="1"/>
                <c:pt idx="0">
                  <c:v>Evolution  future </c:v>
                </c:pt>
              </c:strCache>
            </c:strRef>
          </c:tx>
          <c:marker>
            <c:symbol val="square"/>
            <c:size val="5"/>
          </c:marker>
          <c:cat>
            <c:strRef>
              <c:f>'grahe T4'!$B$35:$Q$35</c:f>
              <c:strCache>
                <c:ptCount val="16"/>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strCache>
            </c:strRef>
          </c:cat>
          <c:val>
            <c:numRef>
              <c:f>'grahe T4'!$B$42:$Q$42</c:f>
              <c:numCache>
                <c:formatCode>#,##0.0</c:formatCode>
                <c:ptCount val="16"/>
                <c:pt idx="0">
                  <c:v>23.9</c:v>
                </c:pt>
                <c:pt idx="1">
                  <c:v>15.58418860861071</c:v>
                </c:pt>
                <c:pt idx="2">
                  <c:v>16.580364039590329</c:v>
                </c:pt>
                <c:pt idx="3">
                  <c:v>26.705941849103098</c:v>
                </c:pt>
                <c:pt idx="4">
                  <c:v>26.769154239001889</c:v>
                </c:pt>
                <c:pt idx="5">
                  <c:v>21.986954089697061</c:v>
                </c:pt>
                <c:pt idx="6">
                  <c:v>17.53281776667659</c:v>
                </c:pt>
                <c:pt idx="7">
                  <c:v>17.09400625121032</c:v>
                </c:pt>
                <c:pt idx="8">
                  <c:v>17.787694440036187</c:v>
                </c:pt>
                <c:pt idx="9">
                  <c:v>11.776375704730441</c:v>
                </c:pt>
                <c:pt idx="10">
                  <c:v>7.8068380126684715</c:v>
                </c:pt>
                <c:pt idx="11">
                  <c:v>9.3656519222157506</c:v>
                </c:pt>
                <c:pt idx="12">
                  <c:v>10.223761077165181</c:v>
                </c:pt>
                <c:pt idx="13">
                  <c:v>20.354548457792731</c:v>
                </c:pt>
                <c:pt idx="14">
                  <c:v>15.105327443781253</c:v>
                </c:pt>
                <c:pt idx="15">
                  <c:v>13.999505506513676</c:v>
                </c:pt>
              </c:numCache>
            </c:numRef>
          </c:val>
        </c:ser>
        <c:marker val="1"/>
        <c:axId val="78509568"/>
        <c:axId val="78511104"/>
      </c:lineChart>
      <c:catAx>
        <c:axId val="78509568"/>
        <c:scaling>
          <c:orientation val="minMax"/>
        </c:scaling>
        <c:axPos val="b"/>
        <c:majorTickMark val="none"/>
        <c:tickLblPos val="nextTo"/>
        <c:txPr>
          <a:bodyPr/>
          <a:lstStyle/>
          <a:p>
            <a:pPr>
              <a:defRPr sz="900"/>
            </a:pPr>
            <a:endParaRPr lang="fr-FR"/>
          </a:p>
        </c:txPr>
        <c:crossAx val="78511104"/>
        <c:crosses val="autoZero"/>
        <c:auto val="1"/>
        <c:lblAlgn val="ctr"/>
        <c:lblOffset val="100"/>
      </c:catAx>
      <c:valAx>
        <c:axId val="78511104"/>
        <c:scaling>
          <c:orientation val="minMax"/>
        </c:scaling>
        <c:axPos val="l"/>
        <c:majorGridlines/>
        <c:numFmt formatCode="#,##0.0" sourceLinked="1"/>
        <c:majorTickMark val="none"/>
        <c:tickLblPos val="nextTo"/>
        <c:spPr>
          <a:ln w="9525">
            <a:noFill/>
          </a:ln>
        </c:spPr>
        <c:txPr>
          <a:bodyPr/>
          <a:lstStyle/>
          <a:p>
            <a:pPr>
              <a:defRPr sz="900"/>
            </a:pPr>
            <a:endParaRPr lang="fr-FR"/>
          </a:p>
        </c:txPr>
        <c:crossAx val="78509568"/>
        <c:crosses val="autoZero"/>
        <c:crossBetween val="between"/>
      </c:valAx>
    </c:plotArea>
    <c:legend>
      <c:legendPos val="b"/>
      <c:layout>
        <c:manualLayout>
          <c:xMode val="edge"/>
          <c:yMode val="edge"/>
          <c:x val="0.11162026780550736"/>
          <c:y val="0.92950131233595801"/>
          <c:w val="0.71863054406334792"/>
          <c:h val="6.0160848877847478E-2"/>
        </c:manualLayout>
      </c:layout>
      <c:txPr>
        <a:bodyPr/>
        <a:lstStyle/>
        <a:p>
          <a:pPr>
            <a:defRPr sz="900"/>
          </a:pPr>
          <a:endParaRPr lang="fr-FR"/>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200"/>
            </a:pPr>
            <a:r>
              <a:rPr lang="fr-FR" sz="1200"/>
              <a:t>Perception des perspectives</a:t>
            </a:r>
            <a:r>
              <a:rPr lang="fr-FR" sz="1200" baseline="0"/>
              <a:t> d'évolution des prix </a:t>
            </a:r>
            <a:r>
              <a:rPr lang="fr-FR" sz="1200" b="1" i="0" u="none" strike="noStrike" baseline="0"/>
              <a:t>des produits alimentaires (en%)</a:t>
            </a:r>
            <a:r>
              <a:rPr lang="fr-FR" sz="1200" baseline="0"/>
              <a:t> </a:t>
            </a:r>
            <a:endParaRPr lang="fr-FR" sz="1200"/>
          </a:p>
        </c:rich>
      </c:tx>
    </c:title>
    <c:plotArea>
      <c:layout/>
      <c:barChart>
        <c:barDir val="col"/>
        <c:grouping val="clustered"/>
        <c:ser>
          <c:idx val="0"/>
          <c:order val="0"/>
          <c:tx>
            <c:strRef>
              <c:f>'grahe T4'!$B$9</c:f>
              <c:strCache>
                <c:ptCount val="1"/>
                <c:pt idx="0">
                  <c:v>augmentation</c:v>
                </c:pt>
              </c:strCache>
            </c:strRef>
          </c:tx>
          <c:dLbls>
            <c:dLbl>
              <c:idx val="0"/>
              <c:tx>
                <c:rich>
                  <a:bodyPr/>
                  <a:lstStyle/>
                  <a:p>
                    <a:r>
                      <a:rPr lang="en-US" sz="900"/>
                      <a:t>73,1</a:t>
                    </a:r>
                  </a:p>
                </c:rich>
              </c:tx>
              <c:showVal val="1"/>
            </c:dLbl>
            <c:dLbl>
              <c:idx val="1"/>
              <c:tx>
                <c:rich>
                  <a:bodyPr/>
                  <a:lstStyle/>
                  <a:p>
                    <a:r>
                      <a:rPr lang="en-US" sz="900"/>
                      <a:t>75,8</a:t>
                    </a:r>
                  </a:p>
                </c:rich>
              </c:tx>
              <c:showVal val="1"/>
            </c:dLbl>
            <c:dLbl>
              <c:idx val="2"/>
              <c:tx>
                <c:rich>
                  <a:bodyPr/>
                  <a:lstStyle/>
                  <a:p>
                    <a:r>
                      <a:rPr lang="en-US" sz="900"/>
                      <a:t>75,8</a:t>
                    </a:r>
                  </a:p>
                </c:rich>
              </c:tx>
              <c:showVal val="1"/>
            </c:dLbl>
            <c:txPr>
              <a:bodyPr/>
              <a:lstStyle/>
              <a:p>
                <a:pPr>
                  <a:defRPr sz="900"/>
                </a:pPr>
                <a:endParaRPr lang="fr-FR"/>
              </a:p>
            </c:txPr>
            <c:showVal val="1"/>
          </c:dLbls>
          <c:cat>
            <c:strRef>
              <c:f>'grahe T4'!$C$2:$E$2</c:f>
              <c:strCache>
                <c:ptCount val="3"/>
                <c:pt idx="0">
                  <c:v>T4/10</c:v>
                </c:pt>
                <c:pt idx="1">
                  <c:v>T3/11</c:v>
                </c:pt>
                <c:pt idx="2">
                  <c:v>T4/11</c:v>
                </c:pt>
              </c:strCache>
            </c:strRef>
          </c:cat>
          <c:val>
            <c:numRef>
              <c:f>'grahe T4'!$C$9:$E$9</c:f>
              <c:numCache>
                <c:formatCode>#,##0.0%</c:formatCode>
                <c:ptCount val="3"/>
                <c:pt idx="0">
                  <c:v>0.73106198518012411</c:v>
                </c:pt>
                <c:pt idx="1">
                  <c:v>0.75814597094104663</c:v>
                </c:pt>
                <c:pt idx="2">
                  <c:v>0.75821198798436051</c:v>
                </c:pt>
              </c:numCache>
            </c:numRef>
          </c:val>
        </c:ser>
        <c:ser>
          <c:idx val="1"/>
          <c:order val="1"/>
          <c:tx>
            <c:strRef>
              <c:f>'grahe T4'!$B$10</c:f>
              <c:strCache>
                <c:ptCount val="1"/>
                <c:pt idx="0">
                  <c:v>stagnation</c:v>
                </c:pt>
              </c:strCache>
            </c:strRef>
          </c:tx>
          <c:dLbls>
            <c:dLbl>
              <c:idx val="0"/>
              <c:tx>
                <c:rich>
                  <a:bodyPr/>
                  <a:lstStyle/>
                  <a:p>
                    <a:r>
                      <a:rPr lang="en-US" sz="900"/>
                      <a:t>23,9</a:t>
                    </a:r>
                  </a:p>
                </c:rich>
              </c:tx>
              <c:showVal val="1"/>
            </c:dLbl>
            <c:dLbl>
              <c:idx val="1"/>
              <c:tx>
                <c:rich>
                  <a:bodyPr/>
                  <a:lstStyle/>
                  <a:p>
                    <a:r>
                      <a:rPr lang="en-US" sz="900"/>
                      <a:t>21,0</a:t>
                    </a:r>
                  </a:p>
                </c:rich>
              </c:tx>
              <c:showVal val="1"/>
            </c:dLbl>
            <c:dLbl>
              <c:idx val="2"/>
              <c:tx>
                <c:rich>
                  <a:bodyPr/>
                  <a:lstStyle/>
                  <a:p>
                    <a:r>
                      <a:rPr lang="en-US" sz="900"/>
                      <a:t>21,3</a:t>
                    </a:r>
                  </a:p>
                </c:rich>
              </c:tx>
              <c:showVal val="1"/>
            </c:dLbl>
            <c:txPr>
              <a:bodyPr/>
              <a:lstStyle/>
              <a:p>
                <a:pPr>
                  <a:defRPr sz="900"/>
                </a:pPr>
                <a:endParaRPr lang="fr-FR"/>
              </a:p>
            </c:txPr>
            <c:showVal val="1"/>
          </c:dLbls>
          <c:cat>
            <c:strRef>
              <c:f>'grahe T4'!$C$2:$E$2</c:f>
              <c:strCache>
                <c:ptCount val="3"/>
                <c:pt idx="0">
                  <c:v>T4/10</c:v>
                </c:pt>
                <c:pt idx="1">
                  <c:v>T3/11</c:v>
                </c:pt>
                <c:pt idx="2">
                  <c:v>T4/11</c:v>
                </c:pt>
              </c:strCache>
            </c:strRef>
          </c:cat>
          <c:val>
            <c:numRef>
              <c:f>'grahe T4'!$C$10:$E$10</c:f>
              <c:numCache>
                <c:formatCode>#,##0.0%</c:formatCode>
                <c:ptCount val="3"/>
                <c:pt idx="0">
                  <c:v>0.23919391046379684</c:v>
                </c:pt>
                <c:pt idx="1">
                  <c:v>0.20961291980840194</c:v>
                </c:pt>
                <c:pt idx="2">
                  <c:v>0.21323489415564129</c:v>
                </c:pt>
              </c:numCache>
            </c:numRef>
          </c:val>
        </c:ser>
        <c:ser>
          <c:idx val="2"/>
          <c:order val="2"/>
          <c:tx>
            <c:strRef>
              <c:f>'grahe T4'!$B$11</c:f>
              <c:strCache>
                <c:ptCount val="1"/>
                <c:pt idx="0">
                  <c:v>diminution</c:v>
                </c:pt>
              </c:strCache>
            </c:strRef>
          </c:tx>
          <c:dLbls>
            <c:dLbl>
              <c:idx val="0"/>
              <c:tx>
                <c:rich>
                  <a:bodyPr/>
                  <a:lstStyle/>
                  <a:p>
                    <a:r>
                      <a:rPr lang="en-US" sz="900"/>
                      <a:t>3,0</a:t>
                    </a:r>
                  </a:p>
                </c:rich>
              </c:tx>
              <c:showVal val="1"/>
            </c:dLbl>
            <c:dLbl>
              <c:idx val="1"/>
              <c:tx>
                <c:rich>
                  <a:bodyPr/>
                  <a:lstStyle/>
                  <a:p>
                    <a:r>
                      <a:rPr lang="en-US" sz="900"/>
                      <a:t>3,2</a:t>
                    </a:r>
                  </a:p>
                </c:rich>
              </c:tx>
              <c:showVal val="1"/>
            </c:dLbl>
            <c:dLbl>
              <c:idx val="2"/>
              <c:tx>
                <c:rich>
                  <a:bodyPr/>
                  <a:lstStyle/>
                  <a:p>
                    <a:r>
                      <a:rPr lang="en-US" sz="900"/>
                      <a:t>2,9</a:t>
                    </a:r>
                  </a:p>
                </c:rich>
              </c:tx>
              <c:showVal val="1"/>
            </c:dLbl>
            <c:txPr>
              <a:bodyPr/>
              <a:lstStyle/>
              <a:p>
                <a:pPr>
                  <a:defRPr sz="900"/>
                </a:pPr>
                <a:endParaRPr lang="fr-FR"/>
              </a:p>
            </c:txPr>
            <c:showVal val="1"/>
          </c:dLbls>
          <c:cat>
            <c:strRef>
              <c:f>'grahe T4'!$C$2:$E$2</c:f>
              <c:strCache>
                <c:ptCount val="3"/>
                <c:pt idx="0">
                  <c:v>T4/10</c:v>
                </c:pt>
                <c:pt idx="1">
                  <c:v>T3/11</c:v>
                </c:pt>
                <c:pt idx="2">
                  <c:v>T4/11</c:v>
                </c:pt>
              </c:strCache>
            </c:strRef>
          </c:cat>
          <c:val>
            <c:numRef>
              <c:f>'grahe T4'!$C$11:$E$11</c:f>
              <c:numCache>
                <c:formatCode>#,##0.0%</c:formatCode>
                <c:ptCount val="3"/>
                <c:pt idx="0">
                  <c:v>2.9744104356079156E-2</c:v>
                </c:pt>
                <c:pt idx="1">
                  <c:v>3.2241109250550612E-2</c:v>
                </c:pt>
                <c:pt idx="2">
                  <c:v>2.8553117860003759E-2</c:v>
                </c:pt>
              </c:numCache>
            </c:numRef>
          </c:val>
        </c:ser>
        <c:gapWidth val="75"/>
        <c:overlap val="-25"/>
        <c:axId val="78550528"/>
        <c:axId val="78552064"/>
      </c:barChart>
      <c:catAx>
        <c:axId val="78550528"/>
        <c:scaling>
          <c:orientation val="minMax"/>
        </c:scaling>
        <c:axPos val="b"/>
        <c:majorTickMark val="none"/>
        <c:tickLblPos val="nextTo"/>
        <c:crossAx val="78552064"/>
        <c:crosses val="autoZero"/>
        <c:auto val="1"/>
        <c:lblAlgn val="ctr"/>
        <c:lblOffset val="100"/>
      </c:catAx>
      <c:valAx>
        <c:axId val="78552064"/>
        <c:scaling>
          <c:orientation val="minMax"/>
        </c:scaling>
        <c:delete val="1"/>
        <c:axPos val="l"/>
        <c:majorGridlines/>
        <c:numFmt formatCode="#,##0.0%" sourceLinked="1"/>
        <c:majorTickMark val="none"/>
        <c:tickLblPos val="none"/>
        <c:crossAx val="78550528"/>
        <c:crosses val="autoZero"/>
        <c:crossBetween val="between"/>
      </c:valAx>
    </c:plotArea>
    <c:legend>
      <c:legendPos val="b"/>
      <c:layout>
        <c:manualLayout>
          <c:xMode val="edge"/>
          <c:yMode val="edge"/>
          <c:x val="4.9534538457127346E-2"/>
          <c:y val="0.90359772092430357"/>
          <c:w val="0.89999984032420888"/>
          <c:h val="7.8125546806649154E-2"/>
        </c:manualLayout>
      </c:layout>
      <c:txPr>
        <a:bodyPr/>
        <a:lstStyle/>
        <a:p>
          <a:pPr>
            <a:defRPr sz="900"/>
          </a:pPr>
          <a:endParaRPr lang="fr-FR"/>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200"/>
            </a:pPr>
            <a:r>
              <a:rPr lang="fr-FR" sz="1200" b="1" i="0" u="none" strike="noStrike" baseline="0"/>
              <a:t>Perception de l'évolution</a:t>
            </a:r>
            <a:r>
              <a:rPr lang="fr-FR" sz="1200"/>
              <a:t> passée </a:t>
            </a:r>
            <a:r>
              <a:rPr lang="fr-FR" sz="1200" b="1" i="0" u="none" strike="noStrike" baseline="0"/>
              <a:t>des prix des produits alimentaires (en%) </a:t>
            </a:r>
            <a:r>
              <a:rPr lang="fr-FR" sz="1200"/>
              <a:t> </a:t>
            </a:r>
          </a:p>
        </c:rich>
      </c:tx>
    </c:title>
    <c:plotArea>
      <c:layout/>
      <c:barChart>
        <c:barDir val="col"/>
        <c:grouping val="clustered"/>
        <c:ser>
          <c:idx val="0"/>
          <c:order val="0"/>
          <c:tx>
            <c:strRef>
              <c:f>'grahe T4'!$B$12</c:f>
              <c:strCache>
                <c:ptCount val="1"/>
                <c:pt idx="0">
                  <c:v>augmentation</c:v>
                </c:pt>
              </c:strCache>
            </c:strRef>
          </c:tx>
          <c:dLbls>
            <c:dLbl>
              <c:idx val="0"/>
              <c:tx>
                <c:rich>
                  <a:bodyPr/>
                  <a:lstStyle/>
                  <a:p>
                    <a:r>
                      <a:rPr lang="en-US" sz="900"/>
                      <a:t>93,6</a:t>
                    </a:r>
                  </a:p>
                </c:rich>
              </c:tx>
              <c:showVal val="1"/>
            </c:dLbl>
            <c:dLbl>
              <c:idx val="1"/>
              <c:tx>
                <c:rich>
                  <a:bodyPr/>
                  <a:lstStyle/>
                  <a:p>
                    <a:r>
                      <a:rPr lang="en-US" sz="900"/>
                      <a:t>91,4</a:t>
                    </a:r>
                  </a:p>
                </c:rich>
              </c:tx>
              <c:showVal val="1"/>
            </c:dLbl>
            <c:dLbl>
              <c:idx val="2"/>
              <c:tx>
                <c:rich>
                  <a:bodyPr/>
                  <a:lstStyle/>
                  <a:p>
                    <a:r>
                      <a:rPr lang="en-US" sz="900"/>
                      <a:t>93,3</a:t>
                    </a:r>
                  </a:p>
                </c:rich>
              </c:tx>
              <c:showVal val="1"/>
            </c:dLbl>
            <c:txPr>
              <a:bodyPr/>
              <a:lstStyle/>
              <a:p>
                <a:pPr>
                  <a:defRPr sz="900"/>
                </a:pPr>
                <a:endParaRPr lang="fr-FR"/>
              </a:p>
            </c:txPr>
            <c:showVal val="1"/>
          </c:dLbls>
          <c:cat>
            <c:strRef>
              <c:f>'grahe T4'!$C$2:$E$2</c:f>
              <c:strCache>
                <c:ptCount val="3"/>
                <c:pt idx="0">
                  <c:v>T4/10</c:v>
                </c:pt>
                <c:pt idx="1">
                  <c:v>T3/11</c:v>
                </c:pt>
                <c:pt idx="2">
                  <c:v>T4/11</c:v>
                </c:pt>
              </c:strCache>
            </c:strRef>
          </c:cat>
          <c:val>
            <c:numRef>
              <c:f>'grahe T4'!$C$12:$E$12</c:f>
              <c:numCache>
                <c:formatCode>#,##0.0%</c:formatCode>
                <c:ptCount val="3"/>
                <c:pt idx="0">
                  <c:v>0.93550822298536818</c:v>
                </c:pt>
                <c:pt idx="1">
                  <c:v>0.91373264849915392</c:v>
                </c:pt>
                <c:pt idx="2">
                  <c:v>0.93315617652135252</c:v>
                </c:pt>
              </c:numCache>
            </c:numRef>
          </c:val>
        </c:ser>
        <c:ser>
          <c:idx val="1"/>
          <c:order val="1"/>
          <c:tx>
            <c:strRef>
              <c:f>'grahe T4'!$B$13</c:f>
              <c:strCache>
                <c:ptCount val="1"/>
                <c:pt idx="0">
                  <c:v>stagnation</c:v>
                </c:pt>
              </c:strCache>
            </c:strRef>
          </c:tx>
          <c:dLbls>
            <c:dLbl>
              <c:idx val="0"/>
              <c:tx>
                <c:rich>
                  <a:bodyPr/>
                  <a:lstStyle/>
                  <a:p>
                    <a:r>
                      <a:rPr lang="en-US" sz="900"/>
                      <a:t>3,9</a:t>
                    </a:r>
                  </a:p>
                </c:rich>
              </c:tx>
              <c:showVal val="1"/>
            </c:dLbl>
            <c:dLbl>
              <c:idx val="1"/>
              <c:tx>
                <c:rich>
                  <a:bodyPr/>
                  <a:lstStyle/>
                  <a:p>
                    <a:r>
                      <a:rPr lang="en-US" sz="900"/>
                      <a:t>7,2</a:t>
                    </a:r>
                  </a:p>
                </c:rich>
              </c:tx>
              <c:showVal val="1"/>
            </c:dLbl>
            <c:dLbl>
              <c:idx val="2"/>
              <c:tx>
                <c:rich>
                  <a:bodyPr/>
                  <a:lstStyle/>
                  <a:p>
                    <a:r>
                      <a:rPr lang="en-US" sz="900"/>
                      <a:t>5,9</a:t>
                    </a:r>
                  </a:p>
                </c:rich>
              </c:tx>
              <c:showVal val="1"/>
            </c:dLbl>
            <c:txPr>
              <a:bodyPr/>
              <a:lstStyle/>
              <a:p>
                <a:pPr>
                  <a:defRPr sz="900"/>
                </a:pPr>
                <a:endParaRPr lang="fr-FR"/>
              </a:p>
            </c:txPr>
            <c:showVal val="1"/>
          </c:dLbls>
          <c:cat>
            <c:strRef>
              <c:f>'grahe T4'!$C$2:$E$2</c:f>
              <c:strCache>
                <c:ptCount val="3"/>
                <c:pt idx="0">
                  <c:v>T4/10</c:v>
                </c:pt>
                <c:pt idx="1">
                  <c:v>T3/11</c:v>
                </c:pt>
                <c:pt idx="2">
                  <c:v>T4/11</c:v>
                </c:pt>
              </c:strCache>
            </c:strRef>
          </c:cat>
          <c:val>
            <c:numRef>
              <c:f>'grahe T4'!$C$13:$E$13</c:f>
              <c:numCache>
                <c:formatCode>#,##0.0%</c:formatCode>
                <c:ptCount val="3"/>
                <c:pt idx="0">
                  <c:v>3.8661575654200246E-2</c:v>
                </c:pt>
                <c:pt idx="1">
                  <c:v>7.1778586926955143E-2</c:v>
                </c:pt>
                <c:pt idx="2">
                  <c:v>5.8639812498775305E-2</c:v>
                </c:pt>
              </c:numCache>
            </c:numRef>
          </c:val>
        </c:ser>
        <c:ser>
          <c:idx val="2"/>
          <c:order val="2"/>
          <c:tx>
            <c:strRef>
              <c:f>'grahe T4'!$B$14</c:f>
              <c:strCache>
                <c:ptCount val="1"/>
                <c:pt idx="0">
                  <c:v>diminution</c:v>
                </c:pt>
              </c:strCache>
            </c:strRef>
          </c:tx>
          <c:dLbls>
            <c:dLbl>
              <c:idx val="0"/>
              <c:tx>
                <c:rich>
                  <a:bodyPr/>
                  <a:lstStyle/>
                  <a:p>
                    <a:r>
                      <a:rPr lang="en-US" sz="900"/>
                      <a:t>2,6</a:t>
                    </a:r>
                  </a:p>
                </c:rich>
              </c:tx>
              <c:showVal val="1"/>
            </c:dLbl>
            <c:dLbl>
              <c:idx val="1"/>
              <c:tx>
                <c:rich>
                  <a:bodyPr/>
                  <a:lstStyle/>
                  <a:p>
                    <a:r>
                      <a:rPr lang="en-US" sz="900"/>
                      <a:t>1,4</a:t>
                    </a:r>
                  </a:p>
                </c:rich>
              </c:tx>
              <c:showVal val="1"/>
            </c:dLbl>
            <c:dLbl>
              <c:idx val="2"/>
              <c:tx>
                <c:rich>
                  <a:bodyPr/>
                  <a:lstStyle/>
                  <a:p>
                    <a:r>
                      <a:rPr lang="en-US" sz="900"/>
                      <a:t>0,8</a:t>
                    </a:r>
                  </a:p>
                </c:rich>
              </c:tx>
              <c:showVal val="1"/>
            </c:dLbl>
            <c:txPr>
              <a:bodyPr/>
              <a:lstStyle/>
              <a:p>
                <a:pPr>
                  <a:defRPr sz="900"/>
                </a:pPr>
                <a:endParaRPr lang="fr-FR"/>
              </a:p>
            </c:txPr>
            <c:showVal val="1"/>
          </c:dLbls>
          <c:cat>
            <c:strRef>
              <c:f>'grahe T4'!$C$2:$E$2</c:f>
              <c:strCache>
                <c:ptCount val="3"/>
                <c:pt idx="0">
                  <c:v>T4/10</c:v>
                </c:pt>
                <c:pt idx="1">
                  <c:v>T3/11</c:v>
                </c:pt>
                <c:pt idx="2">
                  <c:v>T4/11</c:v>
                </c:pt>
              </c:strCache>
            </c:strRef>
          </c:cat>
          <c:val>
            <c:numRef>
              <c:f>'grahe T4'!$C$14:$E$14</c:f>
              <c:numCache>
                <c:formatCode>#,##0.0%</c:formatCode>
                <c:ptCount val="3"/>
                <c:pt idx="0">
                  <c:v>2.5830201360431581E-2</c:v>
                </c:pt>
                <c:pt idx="1">
                  <c:v>1.4488764573890258E-2</c:v>
                </c:pt>
                <c:pt idx="2">
                  <c:v>8.204010979873581E-3</c:v>
                </c:pt>
              </c:numCache>
            </c:numRef>
          </c:val>
        </c:ser>
        <c:gapWidth val="75"/>
        <c:overlap val="-25"/>
        <c:axId val="78636160"/>
        <c:axId val="78637696"/>
      </c:barChart>
      <c:catAx>
        <c:axId val="78636160"/>
        <c:scaling>
          <c:orientation val="minMax"/>
        </c:scaling>
        <c:axPos val="b"/>
        <c:majorTickMark val="none"/>
        <c:tickLblPos val="nextTo"/>
        <c:crossAx val="78637696"/>
        <c:crosses val="autoZero"/>
        <c:auto val="1"/>
        <c:lblAlgn val="ctr"/>
        <c:lblOffset val="100"/>
      </c:catAx>
      <c:valAx>
        <c:axId val="78637696"/>
        <c:scaling>
          <c:orientation val="minMax"/>
        </c:scaling>
        <c:delete val="1"/>
        <c:axPos val="l"/>
        <c:majorGridlines/>
        <c:numFmt formatCode="#,##0.0%" sourceLinked="1"/>
        <c:majorTickMark val="none"/>
        <c:tickLblPos val="none"/>
        <c:crossAx val="78636160"/>
        <c:crosses val="autoZero"/>
        <c:crossBetween val="between"/>
      </c:valAx>
    </c:plotArea>
    <c:legend>
      <c:legendPos val="b"/>
      <c:layout>
        <c:manualLayout>
          <c:xMode val="edge"/>
          <c:yMode val="edge"/>
          <c:x val="4.7156913058212201E-2"/>
          <c:y val="0.9172034103429294"/>
          <c:w val="0.88090424871099859"/>
          <c:h val="6.4861984030575484E-2"/>
        </c:manualLayout>
      </c:layout>
      <c:txPr>
        <a:bodyPr/>
        <a:lstStyle/>
        <a:p>
          <a:pPr>
            <a:defRPr sz="900"/>
          </a:pPr>
          <a:endParaRPr lang="fr-FR"/>
        </a:p>
      </c:txPr>
    </c:legend>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50798-B19D-4876-B2E4-39AC1CB1A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1502</Words>
  <Characters>8265</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9748</CharactersWithSpaces>
  <SharedDoc>false</SharedDoc>
  <HLinks>
    <vt:vector size="6" baseType="variant">
      <vt:variant>
        <vt:i4>7405692</vt:i4>
      </vt:variant>
      <vt:variant>
        <vt:i4>0</vt:i4>
      </vt:variant>
      <vt:variant>
        <vt:i4>0</vt:i4>
      </vt:variant>
      <vt:variant>
        <vt:i4>5</vt:i4>
      </vt:variant>
      <vt:variant>
        <vt:lpwstr>http://www.hcp.ma/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cp:lastPrinted>2012-02-08T18:21:00Z</cp:lastPrinted>
  <dcterms:created xsi:type="dcterms:W3CDTF">2012-02-08T19:20:00Z</dcterms:created>
  <dcterms:modified xsi:type="dcterms:W3CDTF">2012-02-08T19:20:00Z</dcterms:modified>
</cp:coreProperties>
</file>