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Default="001704B7" w:rsidP="00023ABE">
      <w:pPr>
        <w:pStyle w:val="NormalWeb"/>
        <w:spacing w:before="0" w:beforeAutospacing="0" w:after="0" w:afterAutospacing="0" w:line="280" w:lineRule="exact"/>
        <w:jc w:val="center"/>
        <w:rPr>
          <w:b/>
          <w:bCs/>
          <w:rtl/>
          <w:lang w:bidi="ar-MA"/>
        </w:rPr>
      </w:pPr>
    </w:p>
    <w:p w:rsidR="0097276B" w:rsidRDefault="00647198" w:rsidP="00023ABE">
      <w:pPr>
        <w:pStyle w:val="NormalWeb"/>
        <w:spacing w:before="0" w:beforeAutospacing="0" w:after="0" w:afterAutospacing="0" w:line="280" w:lineRule="exact"/>
        <w:jc w:val="center"/>
        <w:rPr>
          <w:b/>
          <w:bCs/>
        </w:rPr>
      </w:pPr>
      <w:r>
        <w:rPr>
          <w:b/>
          <w:bCs/>
        </w:rPr>
        <w:tab/>
      </w:r>
    </w:p>
    <w:p w:rsidR="0097276B" w:rsidRDefault="0097276B" w:rsidP="00023ABE">
      <w:pPr>
        <w:pStyle w:val="NormalWeb"/>
        <w:spacing w:before="0" w:beforeAutospacing="0" w:after="0" w:afterAutospacing="0" w:line="280" w:lineRule="exact"/>
        <w:jc w:val="center"/>
        <w:rPr>
          <w:b/>
          <w:bCs/>
        </w:rPr>
      </w:pP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Default="007E466F" w:rsidP="00023ABE">
      <w:pPr>
        <w:pStyle w:val="NormalWeb"/>
        <w:spacing w:before="0" w:beforeAutospacing="0" w:after="0" w:afterAutospacing="0" w:line="280" w:lineRule="exact"/>
        <w:jc w:val="center"/>
        <w:rPr>
          <w:b/>
          <w:bCs/>
        </w:rPr>
      </w:pPr>
      <w:r>
        <w:rPr>
          <w:noProof/>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Default="0097276B" w:rsidP="00023ABE">
      <w:pPr>
        <w:pStyle w:val="NormalWeb"/>
        <w:spacing w:before="0" w:beforeAutospacing="0" w:after="0" w:afterAutospacing="0" w:line="280" w:lineRule="exact"/>
        <w:jc w:val="center"/>
        <w:rPr>
          <w:b/>
          <w:bCs/>
        </w:rPr>
      </w:pPr>
    </w:p>
    <w:p w:rsidR="0097276B" w:rsidRDefault="0097276B" w:rsidP="00023ABE">
      <w:pPr>
        <w:pStyle w:val="NormalWeb"/>
        <w:spacing w:before="0" w:beforeAutospacing="0" w:after="0" w:afterAutospacing="0" w:line="280" w:lineRule="exact"/>
        <w:jc w:val="center"/>
        <w:rPr>
          <w:b/>
          <w:bCs/>
          <w:sz w:val="14"/>
          <w:szCs w:val="14"/>
        </w:rPr>
      </w:pPr>
    </w:p>
    <w:p w:rsidR="00FB67F2" w:rsidRDefault="00FB67F2" w:rsidP="00023ABE">
      <w:pPr>
        <w:pStyle w:val="NormalWeb"/>
        <w:spacing w:before="0" w:beforeAutospacing="0" w:after="0" w:afterAutospacing="0" w:line="280" w:lineRule="exact"/>
        <w:jc w:val="center"/>
        <w:rPr>
          <w:b/>
          <w:bCs/>
          <w:sz w:val="14"/>
          <w:szCs w:val="14"/>
        </w:rPr>
      </w:pPr>
    </w:p>
    <w:p w:rsidR="007C60D0" w:rsidRPr="0085629A" w:rsidRDefault="00BD2BF3" w:rsidP="0060679D">
      <w:pPr>
        <w:pStyle w:val="NormalWeb"/>
        <w:spacing w:before="0" w:beforeAutospacing="0" w:after="0" w:afterAutospacing="0" w:line="280" w:lineRule="exact"/>
        <w:jc w:val="center"/>
        <w:rPr>
          <w:b/>
          <w:bCs/>
          <w:shadow/>
          <w:sz w:val="30"/>
          <w:szCs w:val="30"/>
        </w:rPr>
      </w:pPr>
      <w:r w:rsidRPr="0085629A">
        <w:rPr>
          <w:b/>
          <w:bCs/>
          <w:shadow/>
          <w:sz w:val="30"/>
          <w:szCs w:val="30"/>
        </w:rPr>
        <w:t>Point</w:t>
      </w:r>
      <w:r w:rsidR="0022776D" w:rsidRPr="0085629A">
        <w:rPr>
          <w:b/>
          <w:bCs/>
          <w:shadow/>
          <w:sz w:val="30"/>
          <w:szCs w:val="30"/>
        </w:rPr>
        <w:t xml:space="preserve"> de </w:t>
      </w:r>
      <w:r w:rsidR="0097276B" w:rsidRPr="0085629A">
        <w:rPr>
          <w:b/>
          <w:bCs/>
          <w:shadow/>
          <w:sz w:val="30"/>
          <w:szCs w:val="30"/>
        </w:rPr>
        <w:t xml:space="preserve">conjoncture </w:t>
      </w:r>
      <w:r w:rsidR="007C60D0" w:rsidRPr="0085629A">
        <w:rPr>
          <w:b/>
          <w:bCs/>
          <w:shadow/>
          <w:sz w:val="30"/>
          <w:szCs w:val="30"/>
        </w:rPr>
        <w:t xml:space="preserve">du </w:t>
      </w:r>
      <w:r w:rsidR="0060679D" w:rsidRPr="0085629A">
        <w:rPr>
          <w:b/>
          <w:bCs/>
          <w:shadow/>
          <w:sz w:val="30"/>
          <w:szCs w:val="30"/>
        </w:rPr>
        <w:t>deuxième</w:t>
      </w:r>
      <w:r w:rsidR="00522566" w:rsidRPr="0085629A">
        <w:rPr>
          <w:b/>
          <w:bCs/>
          <w:shadow/>
          <w:sz w:val="30"/>
          <w:szCs w:val="30"/>
        </w:rPr>
        <w:t xml:space="preserve"> trimestre 2021</w:t>
      </w:r>
    </w:p>
    <w:p w:rsidR="007C60D0" w:rsidRPr="0085629A" w:rsidRDefault="007C60D0" w:rsidP="0060679D">
      <w:pPr>
        <w:pStyle w:val="NormalWeb"/>
        <w:spacing w:before="0" w:beforeAutospacing="0" w:after="0" w:afterAutospacing="0" w:line="280" w:lineRule="exact"/>
        <w:jc w:val="center"/>
        <w:rPr>
          <w:b/>
          <w:bCs/>
          <w:shadow/>
          <w:sz w:val="30"/>
          <w:szCs w:val="30"/>
        </w:rPr>
      </w:pPr>
      <w:r w:rsidRPr="0085629A">
        <w:rPr>
          <w:b/>
          <w:bCs/>
          <w:shadow/>
          <w:sz w:val="30"/>
          <w:szCs w:val="30"/>
        </w:rPr>
        <w:t xml:space="preserve">et perspectives pour le </w:t>
      </w:r>
      <w:r w:rsidR="0060679D" w:rsidRPr="0085629A">
        <w:rPr>
          <w:b/>
          <w:bCs/>
          <w:shadow/>
          <w:sz w:val="30"/>
          <w:szCs w:val="30"/>
        </w:rPr>
        <w:t>trois</w:t>
      </w:r>
      <w:r w:rsidR="003D3753" w:rsidRPr="0085629A">
        <w:rPr>
          <w:b/>
          <w:bCs/>
          <w:shadow/>
          <w:sz w:val="30"/>
          <w:szCs w:val="30"/>
        </w:rPr>
        <w:t>ième</w:t>
      </w:r>
      <w:r w:rsidRPr="0085629A">
        <w:rPr>
          <w:b/>
          <w:bCs/>
          <w:shadow/>
          <w:sz w:val="30"/>
          <w:szCs w:val="30"/>
        </w:rPr>
        <w:t xml:space="preserve"> trimestre</w:t>
      </w:r>
    </w:p>
    <w:p w:rsidR="00245128" w:rsidRPr="00E5101C" w:rsidRDefault="00DC67DC" w:rsidP="00E5101C">
      <w:pPr>
        <w:pStyle w:val="NormalWeb"/>
        <w:spacing w:before="0" w:beforeAutospacing="0" w:after="0" w:afterAutospacing="0"/>
        <w:jc w:val="center"/>
        <w:rPr>
          <w:b/>
          <w:bCs/>
          <w:sz w:val="22"/>
          <w:szCs w:val="22"/>
        </w:rPr>
      </w:pPr>
      <w:r>
        <w:rPr>
          <w:b/>
          <w:bCs/>
          <w:sz w:val="22"/>
          <w:szCs w:val="22"/>
        </w:rPr>
        <w:t xml:space="preserve">            </w:t>
      </w:r>
    </w:p>
    <w:p w:rsidR="0097276B" w:rsidRPr="00E5101C" w:rsidRDefault="0097276B" w:rsidP="00E5101C">
      <w:pPr>
        <w:pStyle w:val="NormalWeb"/>
        <w:spacing w:before="0" w:beforeAutospacing="0" w:after="0" w:afterAutospacing="0"/>
        <w:jc w:val="center"/>
        <w:rPr>
          <w:b/>
          <w:bCs/>
          <w:sz w:val="22"/>
          <w:szCs w:val="22"/>
        </w:rPr>
      </w:pPr>
    </w:p>
    <w:p w:rsidR="00B33ECB" w:rsidRDefault="00B33ECB" w:rsidP="00F660B1">
      <w:pPr>
        <w:pStyle w:val="NormalWeb"/>
        <w:spacing w:before="0" w:beforeAutospacing="0" w:after="0" w:afterAutospacing="0"/>
        <w:jc w:val="both"/>
        <w:rPr>
          <w:rFonts w:ascii="Arial" w:hAnsi="Arial" w:cs="Arial"/>
          <w:sz w:val="20"/>
          <w:szCs w:val="20"/>
        </w:rPr>
      </w:pPr>
      <w:r w:rsidRPr="00055483">
        <w:rPr>
          <w:rFonts w:ascii="Arial" w:hAnsi="Arial" w:cs="Arial"/>
          <w:sz w:val="20"/>
          <w:szCs w:val="20"/>
        </w:rPr>
        <w:t xml:space="preserve">L’économie nationale </w:t>
      </w:r>
      <w:r>
        <w:rPr>
          <w:rFonts w:ascii="Arial" w:hAnsi="Arial" w:cs="Arial"/>
          <w:sz w:val="20"/>
          <w:szCs w:val="20"/>
        </w:rPr>
        <w:t>se se</w:t>
      </w:r>
      <w:r w:rsidRPr="00055483">
        <w:rPr>
          <w:rFonts w:ascii="Arial" w:hAnsi="Arial" w:cs="Arial"/>
          <w:sz w:val="20"/>
          <w:szCs w:val="20"/>
        </w:rPr>
        <w:t xml:space="preserve">rait </w:t>
      </w:r>
      <w:r w:rsidR="00BF7E23">
        <w:rPr>
          <w:rFonts w:ascii="Arial" w:hAnsi="Arial" w:cs="Arial"/>
          <w:sz w:val="20"/>
          <w:szCs w:val="20"/>
        </w:rPr>
        <w:t>consolid</w:t>
      </w:r>
      <w:r>
        <w:rPr>
          <w:rFonts w:ascii="Arial" w:hAnsi="Arial" w:cs="Arial"/>
          <w:sz w:val="20"/>
          <w:szCs w:val="20"/>
        </w:rPr>
        <w:t>ée</w:t>
      </w:r>
      <w:r w:rsidRPr="00055483">
        <w:rPr>
          <w:rFonts w:ascii="Arial" w:hAnsi="Arial" w:cs="Arial"/>
          <w:sz w:val="20"/>
          <w:szCs w:val="20"/>
        </w:rPr>
        <w:t xml:space="preserve"> de </w:t>
      </w:r>
      <w:r w:rsidR="00BF7E23">
        <w:rPr>
          <w:rFonts w:ascii="Arial" w:hAnsi="Arial" w:cs="Arial"/>
          <w:sz w:val="20"/>
          <w:szCs w:val="20"/>
        </w:rPr>
        <w:t>1</w:t>
      </w:r>
      <w:r w:rsidR="00F660B1">
        <w:rPr>
          <w:rFonts w:ascii="Arial" w:hAnsi="Arial" w:cs="Arial" w:hint="cs"/>
          <w:sz w:val="20"/>
          <w:szCs w:val="20"/>
          <w:rtl/>
        </w:rPr>
        <w:t>2</w:t>
      </w:r>
      <w:r w:rsidRPr="00055483">
        <w:rPr>
          <w:rFonts w:ascii="Arial" w:hAnsi="Arial" w:cs="Arial"/>
          <w:sz w:val="20"/>
          <w:szCs w:val="20"/>
        </w:rPr>
        <w:t>,</w:t>
      </w:r>
      <w:r w:rsidR="008F1377">
        <w:rPr>
          <w:rFonts w:ascii="Arial" w:hAnsi="Arial" w:cs="Arial"/>
          <w:sz w:val="20"/>
          <w:szCs w:val="20"/>
        </w:rPr>
        <w:t>6</w:t>
      </w:r>
      <w:r w:rsidRPr="00055483">
        <w:rPr>
          <w:rFonts w:ascii="Arial" w:hAnsi="Arial" w:cs="Arial"/>
          <w:sz w:val="20"/>
          <w:szCs w:val="20"/>
        </w:rPr>
        <w:t xml:space="preserve">% au </w:t>
      </w:r>
      <w:r w:rsidR="00C47BB6">
        <w:rPr>
          <w:rFonts w:ascii="Arial" w:hAnsi="Arial" w:cs="Arial"/>
          <w:sz w:val="20"/>
          <w:szCs w:val="20"/>
        </w:rPr>
        <w:t>deuxième</w:t>
      </w:r>
      <w:r>
        <w:rPr>
          <w:rFonts w:ascii="Arial" w:hAnsi="Arial" w:cs="Arial"/>
          <w:sz w:val="20"/>
          <w:szCs w:val="20"/>
        </w:rPr>
        <w:t xml:space="preserve"> trimestre 2021</w:t>
      </w:r>
      <w:r w:rsidRPr="00055483">
        <w:rPr>
          <w:rFonts w:ascii="Arial" w:hAnsi="Arial" w:cs="Arial"/>
          <w:sz w:val="20"/>
          <w:szCs w:val="20"/>
        </w:rPr>
        <w:t xml:space="preserve">, </w:t>
      </w:r>
      <w:r w:rsidR="003B37F8">
        <w:rPr>
          <w:rFonts w:ascii="Arial" w:hAnsi="Arial" w:cs="Arial"/>
          <w:sz w:val="20"/>
          <w:szCs w:val="20"/>
        </w:rPr>
        <w:t xml:space="preserve">au lieu de +1%un trimestre plus tôt, </w:t>
      </w:r>
      <w:r w:rsidR="00BF7E23">
        <w:rPr>
          <w:rFonts w:ascii="Arial" w:hAnsi="Arial" w:cs="Arial"/>
          <w:sz w:val="20"/>
          <w:szCs w:val="20"/>
        </w:rPr>
        <w:t>portée par un rebond de</w:t>
      </w:r>
      <w:r>
        <w:rPr>
          <w:rFonts w:ascii="Arial" w:hAnsi="Arial" w:cs="Arial"/>
          <w:sz w:val="20"/>
          <w:szCs w:val="20"/>
        </w:rPr>
        <w:t xml:space="preserve"> 1</w:t>
      </w:r>
      <w:r w:rsidR="00F660B1">
        <w:rPr>
          <w:rFonts w:ascii="Arial" w:hAnsi="Arial" w:cs="Arial" w:hint="cs"/>
          <w:sz w:val="20"/>
          <w:szCs w:val="20"/>
          <w:rtl/>
        </w:rPr>
        <w:t>1</w:t>
      </w:r>
      <w:r>
        <w:rPr>
          <w:rFonts w:ascii="Arial" w:hAnsi="Arial" w:cs="Arial"/>
          <w:sz w:val="20"/>
          <w:szCs w:val="20"/>
        </w:rPr>
        <w:t>,</w:t>
      </w:r>
      <w:r w:rsidR="00F660B1">
        <w:rPr>
          <w:rFonts w:ascii="Arial" w:hAnsi="Arial" w:cs="Arial" w:hint="cs"/>
          <w:sz w:val="20"/>
          <w:szCs w:val="20"/>
          <w:rtl/>
        </w:rPr>
        <w:t>7</w:t>
      </w:r>
      <w:r>
        <w:rPr>
          <w:rFonts w:ascii="Arial" w:hAnsi="Arial" w:cs="Arial"/>
          <w:sz w:val="20"/>
          <w:szCs w:val="20"/>
        </w:rPr>
        <w:t xml:space="preserve">% de la valeur ajoutée </w:t>
      </w:r>
      <w:r w:rsidR="00BF7E23">
        <w:rPr>
          <w:rFonts w:ascii="Arial" w:hAnsi="Arial" w:cs="Arial"/>
          <w:sz w:val="20"/>
          <w:szCs w:val="20"/>
        </w:rPr>
        <w:t xml:space="preserve">hors agriculture </w:t>
      </w:r>
      <w:r w:rsidRPr="00E8642E">
        <w:rPr>
          <w:rFonts w:ascii="Arial" w:hAnsi="Arial" w:cs="Arial"/>
          <w:sz w:val="20"/>
          <w:szCs w:val="20"/>
        </w:rPr>
        <w:t>et un</w:t>
      </w:r>
      <w:r w:rsidR="002E6716">
        <w:rPr>
          <w:rFonts w:ascii="Arial" w:hAnsi="Arial" w:cs="Arial"/>
          <w:sz w:val="20"/>
          <w:szCs w:val="20"/>
        </w:rPr>
        <w:t xml:space="preserve"> accroissement</w:t>
      </w:r>
      <w:r w:rsidR="00BF7E23">
        <w:rPr>
          <w:rFonts w:ascii="Arial" w:hAnsi="Arial" w:cs="Arial"/>
          <w:sz w:val="20"/>
          <w:szCs w:val="20"/>
        </w:rPr>
        <w:t xml:space="preserve"> de</w:t>
      </w:r>
      <w:r>
        <w:rPr>
          <w:rFonts w:ascii="Arial" w:hAnsi="Arial" w:cs="Arial"/>
          <w:sz w:val="20"/>
          <w:szCs w:val="20"/>
        </w:rPr>
        <w:t xml:space="preserve"> 1</w:t>
      </w:r>
      <w:r w:rsidR="00C74459">
        <w:rPr>
          <w:rFonts w:ascii="Arial" w:hAnsi="Arial" w:cs="Arial"/>
          <w:sz w:val="20"/>
          <w:szCs w:val="20"/>
        </w:rPr>
        <w:t>9</w:t>
      </w:r>
      <w:r w:rsidR="007E466F">
        <w:rPr>
          <w:rFonts w:ascii="Arial" w:hAnsi="Arial" w:cs="Arial"/>
          <w:sz w:val="20"/>
          <w:szCs w:val="20"/>
        </w:rPr>
        <w:t>,</w:t>
      </w:r>
      <w:r w:rsidR="00C74459">
        <w:rPr>
          <w:rFonts w:ascii="Arial" w:hAnsi="Arial" w:cs="Arial"/>
          <w:sz w:val="20"/>
          <w:szCs w:val="20"/>
        </w:rPr>
        <w:t>3</w:t>
      </w:r>
      <w:r>
        <w:rPr>
          <w:rFonts w:ascii="Arial" w:hAnsi="Arial" w:cs="Arial"/>
          <w:sz w:val="20"/>
          <w:szCs w:val="20"/>
        </w:rPr>
        <w:t>% de</w:t>
      </w:r>
      <w:r w:rsidR="00BF7E23">
        <w:rPr>
          <w:rFonts w:ascii="Arial" w:hAnsi="Arial" w:cs="Arial"/>
          <w:sz w:val="20"/>
          <w:szCs w:val="20"/>
        </w:rPr>
        <w:t xml:space="preserve"> celle de l’agriculture</w:t>
      </w:r>
      <w:r w:rsidRPr="00E8642E">
        <w:rPr>
          <w:rFonts w:ascii="Arial" w:hAnsi="Arial" w:cs="Arial"/>
          <w:sz w:val="20"/>
          <w:szCs w:val="20"/>
        </w:rPr>
        <w:t>.</w:t>
      </w:r>
      <w:r w:rsidR="007D2A7B">
        <w:rPr>
          <w:rFonts w:ascii="Arial" w:hAnsi="Arial" w:cs="Arial"/>
          <w:sz w:val="20"/>
          <w:szCs w:val="20"/>
        </w:rPr>
        <w:t xml:space="preserve"> </w:t>
      </w:r>
      <w:r w:rsidRPr="00055483">
        <w:rPr>
          <w:rFonts w:ascii="Arial" w:hAnsi="Arial" w:cs="Arial"/>
          <w:sz w:val="20"/>
          <w:szCs w:val="20"/>
        </w:rPr>
        <w:t xml:space="preserve">Compte tenu d’une </w:t>
      </w:r>
      <w:r>
        <w:rPr>
          <w:rFonts w:ascii="Arial" w:hAnsi="Arial" w:cs="Arial"/>
          <w:sz w:val="20"/>
          <w:szCs w:val="20"/>
        </w:rPr>
        <w:t>hau</w:t>
      </w:r>
      <w:r w:rsidRPr="00055483">
        <w:rPr>
          <w:rFonts w:ascii="Arial" w:hAnsi="Arial" w:cs="Arial"/>
          <w:sz w:val="20"/>
          <w:szCs w:val="20"/>
        </w:rPr>
        <w:t xml:space="preserve">sse de </w:t>
      </w:r>
      <w:r>
        <w:rPr>
          <w:rFonts w:ascii="Arial" w:hAnsi="Arial" w:cs="Arial"/>
          <w:sz w:val="20"/>
          <w:szCs w:val="20"/>
        </w:rPr>
        <w:t>19</w:t>
      </w:r>
      <w:r w:rsidR="00C74459">
        <w:rPr>
          <w:rFonts w:ascii="Arial" w:hAnsi="Arial" w:cs="Arial"/>
          <w:sz w:val="20"/>
          <w:szCs w:val="20"/>
        </w:rPr>
        <w:t>,1</w:t>
      </w:r>
      <w:r w:rsidRPr="00055483">
        <w:rPr>
          <w:rFonts w:ascii="Arial" w:hAnsi="Arial" w:cs="Arial"/>
          <w:sz w:val="20"/>
          <w:szCs w:val="20"/>
        </w:rPr>
        <w:t>% de la valeur ajoutée agricole</w:t>
      </w:r>
      <w:r w:rsidR="007D2A7B">
        <w:rPr>
          <w:rFonts w:ascii="Arial" w:hAnsi="Arial" w:cs="Arial"/>
          <w:sz w:val="20"/>
          <w:szCs w:val="20"/>
        </w:rPr>
        <w:t xml:space="preserve"> </w:t>
      </w:r>
      <w:r w:rsidRPr="00E8642E">
        <w:rPr>
          <w:rFonts w:ascii="Arial" w:hAnsi="Arial" w:cs="Arial"/>
          <w:sz w:val="20"/>
          <w:szCs w:val="20"/>
        </w:rPr>
        <w:t xml:space="preserve">et </w:t>
      </w:r>
      <w:r w:rsidR="007E466F">
        <w:rPr>
          <w:rFonts w:ascii="Arial" w:hAnsi="Arial" w:cs="Arial"/>
          <w:sz w:val="20"/>
          <w:szCs w:val="20"/>
        </w:rPr>
        <w:t xml:space="preserve">d’un accroissement </w:t>
      </w:r>
      <w:r w:rsidRPr="00E8642E">
        <w:rPr>
          <w:rFonts w:ascii="Arial" w:hAnsi="Arial" w:cs="Arial"/>
          <w:sz w:val="20"/>
          <w:szCs w:val="20"/>
        </w:rPr>
        <w:t xml:space="preserve">de </w:t>
      </w:r>
      <w:r w:rsidR="007E466F">
        <w:rPr>
          <w:rFonts w:ascii="Arial" w:hAnsi="Arial" w:cs="Arial"/>
          <w:sz w:val="20"/>
          <w:szCs w:val="20"/>
        </w:rPr>
        <w:t>5</w:t>
      </w:r>
      <w:r w:rsidRPr="00E8642E">
        <w:rPr>
          <w:rFonts w:ascii="Arial" w:hAnsi="Arial" w:cs="Arial"/>
          <w:sz w:val="20"/>
          <w:szCs w:val="20"/>
        </w:rPr>
        <w:t>,</w:t>
      </w:r>
      <w:r w:rsidR="00F660B1">
        <w:rPr>
          <w:rFonts w:ascii="Arial" w:hAnsi="Arial" w:cs="Arial" w:hint="cs"/>
          <w:sz w:val="20"/>
          <w:szCs w:val="20"/>
          <w:rtl/>
        </w:rPr>
        <w:t>4</w:t>
      </w:r>
      <w:r w:rsidRPr="00E8642E">
        <w:rPr>
          <w:rFonts w:ascii="Arial" w:hAnsi="Arial" w:cs="Arial"/>
          <w:sz w:val="20"/>
          <w:szCs w:val="20"/>
        </w:rPr>
        <w:t xml:space="preserve">% </w:t>
      </w:r>
      <w:r w:rsidR="00AC57E4">
        <w:rPr>
          <w:rFonts w:ascii="Arial" w:hAnsi="Arial" w:cs="Arial"/>
          <w:sz w:val="20"/>
          <w:szCs w:val="20"/>
        </w:rPr>
        <w:t>des secteurs</w:t>
      </w:r>
      <w:r w:rsidRPr="00E8642E">
        <w:rPr>
          <w:rFonts w:ascii="Arial" w:hAnsi="Arial" w:cs="Arial"/>
          <w:sz w:val="20"/>
          <w:szCs w:val="20"/>
        </w:rPr>
        <w:t xml:space="preserve"> hors agriculture, </w:t>
      </w:r>
      <w:r w:rsidRPr="00055483">
        <w:rPr>
          <w:rFonts w:ascii="Arial" w:hAnsi="Arial" w:cs="Arial"/>
          <w:sz w:val="20"/>
          <w:szCs w:val="20"/>
        </w:rPr>
        <w:t xml:space="preserve">l’activité économique </w:t>
      </w:r>
      <w:r>
        <w:rPr>
          <w:rFonts w:ascii="Arial" w:hAnsi="Arial" w:cs="Arial"/>
          <w:sz w:val="20"/>
          <w:szCs w:val="20"/>
        </w:rPr>
        <w:t>pro</w:t>
      </w:r>
      <w:r w:rsidRPr="00055483">
        <w:rPr>
          <w:rFonts w:ascii="Arial" w:hAnsi="Arial" w:cs="Arial"/>
          <w:sz w:val="20"/>
          <w:szCs w:val="20"/>
        </w:rPr>
        <w:t xml:space="preserve">gresserait de </w:t>
      </w:r>
      <w:r w:rsidR="008F1377">
        <w:rPr>
          <w:rFonts w:ascii="Arial" w:hAnsi="Arial" w:cs="Arial"/>
          <w:sz w:val="20"/>
          <w:szCs w:val="20"/>
        </w:rPr>
        <w:t>7</w:t>
      </w:r>
      <w:r>
        <w:rPr>
          <w:rFonts w:ascii="Arial" w:hAnsi="Arial" w:cs="Arial"/>
          <w:sz w:val="20"/>
          <w:szCs w:val="20"/>
        </w:rPr>
        <w:t>,</w:t>
      </w:r>
      <w:r w:rsidR="00F660B1">
        <w:rPr>
          <w:rFonts w:ascii="Arial" w:hAnsi="Arial" w:cs="Arial" w:hint="cs"/>
          <w:sz w:val="20"/>
          <w:szCs w:val="20"/>
          <w:rtl/>
        </w:rPr>
        <w:t>2</w:t>
      </w:r>
      <w:r>
        <w:rPr>
          <w:rFonts w:ascii="Arial" w:hAnsi="Arial" w:cs="Arial"/>
          <w:sz w:val="20"/>
          <w:szCs w:val="20"/>
        </w:rPr>
        <w:t xml:space="preserve">% </w:t>
      </w:r>
      <w:r w:rsidRPr="00E8642E">
        <w:rPr>
          <w:rFonts w:ascii="Arial" w:hAnsi="Arial" w:cs="Arial"/>
          <w:sz w:val="20"/>
          <w:szCs w:val="20"/>
        </w:rPr>
        <w:t xml:space="preserve">au </w:t>
      </w:r>
      <w:r w:rsidR="00C47BB6">
        <w:rPr>
          <w:rFonts w:ascii="Arial" w:hAnsi="Arial" w:cs="Arial"/>
          <w:sz w:val="20"/>
          <w:szCs w:val="20"/>
        </w:rPr>
        <w:t>trois</w:t>
      </w:r>
      <w:r w:rsidRPr="00E8642E">
        <w:rPr>
          <w:rFonts w:ascii="Arial" w:hAnsi="Arial" w:cs="Arial"/>
          <w:sz w:val="20"/>
          <w:szCs w:val="20"/>
        </w:rPr>
        <w:t>ième trimestre 2021,</w:t>
      </w:r>
      <w:r>
        <w:rPr>
          <w:rFonts w:ascii="Arial" w:hAnsi="Arial" w:cs="Arial"/>
          <w:sz w:val="20"/>
          <w:szCs w:val="20"/>
        </w:rPr>
        <w:t xml:space="preserve"> au lieu d’une contraction de -</w:t>
      </w:r>
      <w:r w:rsidR="007E466F">
        <w:rPr>
          <w:rFonts w:ascii="Arial" w:hAnsi="Arial" w:cs="Arial"/>
          <w:sz w:val="20"/>
          <w:szCs w:val="20"/>
        </w:rPr>
        <w:t>6</w:t>
      </w:r>
      <w:r>
        <w:rPr>
          <w:rFonts w:ascii="Arial" w:hAnsi="Arial" w:cs="Arial"/>
          <w:sz w:val="20"/>
          <w:szCs w:val="20"/>
        </w:rPr>
        <w:t>,</w:t>
      </w:r>
      <w:r w:rsidR="007E466F">
        <w:rPr>
          <w:rFonts w:ascii="Arial" w:hAnsi="Arial" w:cs="Arial"/>
          <w:sz w:val="20"/>
          <w:szCs w:val="20"/>
        </w:rPr>
        <w:t>7</w:t>
      </w:r>
      <w:r>
        <w:rPr>
          <w:rFonts w:ascii="Arial" w:hAnsi="Arial" w:cs="Arial"/>
          <w:sz w:val="20"/>
          <w:szCs w:val="20"/>
        </w:rPr>
        <w:t>% au même trimestre de l’année précédente</w:t>
      </w:r>
      <w:r w:rsidRPr="00055483">
        <w:rPr>
          <w:rFonts w:ascii="Arial" w:hAnsi="Arial" w:cs="Arial"/>
          <w:sz w:val="20"/>
          <w:szCs w:val="20"/>
        </w:rPr>
        <w:t>.</w:t>
      </w:r>
    </w:p>
    <w:p w:rsidR="00172E60" w:rsidRPr="00055483" w:rsidRDefault="00172E60" w:rsidP="00C0552A">
      <w:pPr>
        <w:jc w:val="both"/>
        <w:rPr>
          <w:rFonts w:ascii="Arial" w:hAnsi="Arial" w:cs="Arial"/>
          <w:sz w:val="20"/>
          <w:szCs w:val="20"/>
        </w:rPr>
      </w:pPr>
    </w:p>
    <w:p w:rsidR="00CE3241" w:rsidRDefault="001A1CF6" w:rsidP="00CE3241">
      <w:pPr>
        <w:jc w:val="both"/>
        <w:rPr>
          <w:rFonts w:ascii="Arial" w:hAnsi="Arial" w:cs="Arial"/>
          <w:b/>
          <w:bCs/>
          <w:color w:val="E36C0A"/>
          <w:kern w:val="28"/>
          <w:sz w:val="20"/>
          <w:szCs w:val="20"/>
        </w:rPr>
      </w:pPr>
      <w:r>
        <w:rPr>
          <w:rFonts w:ascii="Arial" w:hAnsi="Arial" w:cs="Arial"/>
          <w:b/>
          <w:bCs/>
          <w:color w:val="E36C0A"/>
          <w:kern w:val="28"/>
          <w:sz w:val="20"/>
          <w:szCs w:val="20"/>
        </w:rPr>
        <w:t>P</w:t>
      </w:r>
      <w:r w:rsidR="00CE3241">
        <w:rPr>
          <w:rFonts w:ascii="Arial" w:hAnsi="Arial" w:cs="Arial"/>
          <w:b/>
          <w:bCs/>
          <w:color w:val="E36C0A"/>
          <w:kern w:val="28"/>
          <w:sz w:val="20"/>
          <w:szCs w:val="20"/>
        </w:rPr>
        <w:t>oursuite de l’a</w:t>
      </w:r>
      <w:r w:rsidR="00CE3241" w:rsidRPr="006320AE">
        <w:rPr>
          <w:rFonts w:ascii="Arial" w:hAnsi="Arial" w:cs="Arial"/>
          <w:b/>
          <w:bCs/>
          <w:color w:val="E36C0A"/>
          <w:kern w:val="28"/>
          <w:sz w:val="20"/>
          <w:szCs w:val="20"/>
        </w:rPr>
        <w:t>mélioration de l’activité mondiale</w:t>
      </w:r>
      <w:r w:rsidR="00CE3241">
        <w:rPr>
          <w:rFonts w:ascii="Arial" w:hAnsi="Arial" w:cs="Arial"/>
          <w:b/>
          <w:bCs/>
          <w:color w:val="E36C0A"/>
          <w:kern w:val="28"/>
          <w:sz w:val="20"/>
          <w:szCs w:val="20"/>
        </w:rPr>
        <w:t xml:space="preserve"> au deuxième trimestre 2021 </w:t>
      </w:r>
    </w:p>
    <w:p w:rsidR="00CE3241" w:rsidRDefault="00CE3241" w:rsidP="00CE3241">
      <w:pPr>
        <w:jc w:val="both"/>
        <w:rPr>
          <w:rFonts w:ascii="Arial" w:hAnsi="Arial" w:cs="Arial"/>
          <w:sz w:val="20"/>
          <w:szCs w:val="20"/>
        </w:rPr>
      </w:pPr>
      <w:bookmarkStart w:id="0" w:name="_GoBack"/>
      <w:bookmarkEnd w:id="0"/>
    </w:p>
    <w:p w:rsidR="00CE3241" w:rsidRPr="00AE6E1F" w:rsidRDefault="006B6CF6" w:rsidP="00CE3241">
      <w:pPr>
        <w:jc w:val="both"/>
        <w:rPr>
          <w:rFonts w:ascii="Arial" w:hAnsi="Arial" w:cs="Arial"/>
          <w:sz w:val="20"/>
          <w:szCs w:val="20"/>
        </w:rPr>
      </w:pPr>
      <w:r>
        <w:rPr>
          <w:rFonts w:ascii="Arial" w:hAnsi="Arial" w:cs="Arial"/>
          <w:noProof/>
          <w:sz w:val="20"/>
          <w:szCs w:val="20"/>
        </w:rPr>
        <w:drawing>
          <wp:anchor distT="0" distB="0" distL="114300" distR="114300" simplePos="0" relativeHeight="251666944" behindDoc="1" locked="0" layoutInCell="1" allowOverlap="1">
            <wp:simplePos x="0" y="0"/>
            <wp:positionH relativeFrom="column">
              <wp:posOffset>4060825</wp:posOffset>
            </wp:positionH>
            <wp:positionV relativeFrom="paragraph">
              <wp:posOffset>12700</wp:posOffset>
            </wp:positionV>
            <wp:extent cx="2451100" cy="1833880"/>
            <wp:effectExtent l="19050" t="0" r="6350" b="0"/>
            <wp:wrapTight wrapText="bothSides">
              <wp:wrapPolygon edited="0">
                <wp:start x="-168" y="0"/>
                <wp:lineTo x="-168" y="21091"/>
                <wp:lineTo x="21656" y="21091"/>
                <wp:lineTo x="21656" y="0"/>
                <wp:lineTo x="-168" y="0"/>
              </wp:wrapPolygon>
            </wp:wrapTight>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451100" cy="1833880"/>
                    </a:xfrm>
                    <a:prstGeom prst="rect">
                      <a:avLst/>
                    </a:prstGeom>
                    <a:noFill/>
                    <a:ln w="9525">
                      <a:noFill/>
                      <a:miter lim="800000"/>
                      <a:headEnd/>
                      <a:tailEnd/>
                    </a:ln>
                  </pic:spPr>
                </pic:pic>
              </a:graphicData>
            </a:graphic>
          </wp:anchor>
        </w:drawing>
      </w:r>
      <w:r w:rsidR="00CE3241">
        <w:rPr>
          <w:rFonts w:ascii="Arial" w:hAnsi="Arial" w:cs="Arial"/>
          <w:sz w:val="20"/>
          <w:szCs w:val="20"/>
        </w:rPr>
        <w:t>Au deuxième trimestre 2021, l</w:t>
      </w:r>
      <w:r w:rsidR="00CE3241" w:rsidRPr="00636D71">
        <w:rPr>
          <w:rFonts w:ascii="Arial" w:hAnsi="Arial" w:cs="Arial"/>
          <w:sz w:val="20"/>
          <w:szCs w:val="20"/>
        </w:rPr>
        <w:t xml:space="preserve">a reprise de </w:t>
      </w:r>
      <w:r w:rsidR="00CE3241" w:rsidRPr="00326128">
        <w:rPr>
          <w:rFonts w:ascii="Arial" w:hAnsi="Arial" w:cs="Arial"/>
          <w:b/>
          <w:sz w:val="20"/>
          <w:szCs w:val="20"/>
        </w:rPr>
        <w:t>l’activité mondiale</w:t>
      </w:r>
      <w:r w:rsidR="00CE3241" w:rsidRPr="00636D71">
        <w:rPr>
          <w:rFonts w:ascii="Arial" w:hAnsi="Arial" w:cs="Arial"/>
          <w:sz w:val="20"/>
          <w:szCs w:val="20"/>
        </w:rPr>
        <w:t xml:space="preserve"> se serait poursuivie</w:t>
      </w:r>
      <w:r w:rsidR="00CE3241">
        <w:rPr>
          <w:rFonts w:ascii="Arial" w:hAnsi="Arial" w:cs="Arial"/>
          <w:sz w:val="20"/>
          <w:szCs w:val="20"/>
        </w:rPr>
        <w:t>, avec l</w:t>
      </w:r>
      <w:r w:rsidR="00CE3241" w:rsidRPr="00326128">
        <w:rPr>
          <w:rFonts w:ascii="Arial" w:hAnsi="Arial" w:cs="Arial"/>
          <w:sz w:val="20"/>
          <w:szCs w:val="20"/>
        </w:rPr>
        <w:t xml:space="preserve">’allégement des mesures de restrictions sanitaires, l’avancée des campagnes de vaccination et la réouverture progressive des commerces « non essentiels » et des lieux récréatifs et de restauration. </w:t>
      </w:r>
      <w:r w:rsidR="00CE3241">
        <w:rPr>
          <w:rFonts w:ascii="Arial" w:hAnsi="Arial" w:cs="Arial"/>
          <w:sz w:val="20"/>
          <w:szCs w:val="20"/>
        </w:rPr>
        <w:t>L</w:t>
      </w:r>
      <w:r w:rsidR="00CE3241" w:rsidRPr="00AE6E1F">
        <w:rPr>
          <w:rFonts w:ascii="Arial" w:hAnsi="Arial" w:cs="Arial"/>
          <w:sz w:val="20"/>
          <w:szCs w:val="20"/>
        </w:rPr>
        <w:t xml:space="preserve">es échanges mondiaux de marchandises auraient continué à se redresser, dépassant leur niveau pré-pandémie. Cette évolution aurait été sous-tendue par le renforcement de la demande de biens d’équipements divers, de matériel informatique et électronique, de produits de divertissement et loisirs et de biens durables. La </w:t>
      </w:r>
      <w:r w:rsidR="00CE3241" w:rsidRPr="00AE6E1F">
        <w:rPr>
          <w:rFonts w:ascii="Arial" w:hAnsi="Arial" w:cs="Arial"/>
          <w:b/>
          <w:sz w:val="20"/>
          <w:szCs w:val="20"/>
        </w:rPr>
        <w:t>demande étrangère adressée au Maroc pour les biens</w:t>
      </w:r>
      <w:r w:rsidR="00CE3241" w:rsidRPr="00AE6E1F">
        <w:rPr>
          <w:rFonts w:ascii="Arial" w:hAnsi="Arial" w:cs="Arial"/>
          <w:sz w:val="20"/>
          <w:szCs w:val="20"/>
        </w:rPr>
        <w:t xml:space="preserve"> aurait suivi la même trajectoire</w:t>
      </w:r>
      <w:r w:rsidR="00CE3241">
        <w:rPr>
          <w:rFonts w:ascii="Arial" w:hAnsi="Arial" w:cs="Arial"/>
          <w:sz w:val="20"/>
          <w:szCs w:val="20"/>
        </w:rPr>
        <w:t xml:space="preserve"> avec </w:t>
      </w:r>
      <w:r w:rsidR="00CE3241" w:rsidRPr="00AE6E1F">
        <w:rPr>
          <w:rFonts w:ascii="Arial" w:hAnsi="Arial" w:cs="Arial"/>
          <w:sz w:val="20"/>
          <w:szCs w:val="20"/>
        </w:rPr>
        <w:t xml:space="preserve">une hausse de 20,6% en variation annuelle, profitant d’un effet de rattrapage après la chute de 13,6% enregistrée à la même période un an auparavant. </w:t>
      </w:r>
    </w:p>
    <w:p w:rsidR="00CE3241" w:rsidRDefault="00CE3241" w:rsidP="00CE3241">
      <w:pPr>
        <w:jc w:val="both"/>
        <w:rPr>
          <w:rFonts w:ascii="Arial" w:hAnsi="Arial" w:cs="Arial"/>
          <w:sz w:val="20"/>
          <w:szCs w:val="20"/>
        </w:rPr>
      </w:pPr>
    </w:p>
    <w:p w:rsidR="00CE3241" w:rsidRPr="00AE6E1F" w:rsidRDefault="00CE3241" w:rsidP="00487249">
      <w:pPr>
        <w:jc w:val="both"/>
        <w:rPr>
          <w:rFonts w:ascii="Arial" w:hAnsi="Arial" w:cs="Arial"/>
          <w:iCs/>
          <w:sz w:val="20"/>
          <w:szCs w:val="20"/>
        </w:rPr>
      </w:pPr>
      <w:r w:rsidRPr="00AE6E1F">
        <w:rPr>
          <w:rFonts w:ascii="Arial" w:hAnsi="Arial" w:cs="Arial"/>
          <w:sz w:val="20"/>
          <w:szCs w:val="20"/>
        </w:rPr>
        <w:t xml:space="preserve">Sur le marché mondial des </w:t>
      </w:r>
      <w:r w:rsidRPr="00AE6E1F">
        <w:rPr>
          <w:rFonts w:ascii="Arial" w:hAnsi="Arial" w:cs="Arial"/>
          <w:b/>
          <w:bCs/>
          <w:sz w:val="20"/>
          <w:szCs w:val="20"/>
        </w:rPr>
        <w:t>matières premières</w:t>
      </w:r>
      <w:r w:rsidRPr="00AE6E1F">
        <w:rPr>
          <w:rFonts w:ascii="Arial" w:hAnsi="Arial" w:cs="Arial"/>
          <w:sz w:val="20"/>
          <w:szCs w:val="20"/>
        </w:rPr>
        <w:t xml:space="preserve">, les prix auraient poursuivi leur tendance haussière pour le troisième trimestre successif, portés par le </w:t>
      </w:r>
      <w:r w:rsidR="00487249">
        <w:rPr>
          <w:rFonts w:ascii="Arial" w:hAnsi="Arial" w:cs="Arial"/>
          <w:sz w:val="20"/>
          <w:szCs w:val="20"/>
        </w:rPr>
        <w:t xml:space="preserve">raffermissement de </w:t>
      </w:r>
      <w:r w:rsidRPr="00AE6E1F">
        <w:rPr>
          <w:rFonts w:ascii="Arial" w:hAnsi="Arial" w:cs="Arial"/>
          <w:sz w:val="20"/>
          <w:szCs w:val="20"/>
        </w:rPr>
        <w:t>l’activité économique</w:t>
      </w:r>
      <w:r>
        <w:rPr>
          <w:rFonts w:ascii="Arial" w:hAnsi="Arial" w:cs="Arial"/>
          <w:sz w:val="20"/>
          <w:szCs w:val="20"/>
        </w:rPr>
        <w:t xml:space="preserve">. </w:t>
      </w:r>
      <w:r w:rsidRPr="00AE6E1F">
        <w:rPr>
          <w:rFonts w:ascii="Arial" w:hAnsi="Arial" w:cs="Arial"/>
          <w:sz w:val="20"/>
          <w:szCs w:val="20"/>
        </w:rPr>
        <w:t xml:space="preserve">Les prix mondiaux énergétiques auraient plus que doublé entre le deuxième trimestre 2020 et celui de 2021, alimentés par </w:t>
      </w:r>
      <w:r w:rsidR="00487249">
        <w:rPr>
          <w:rFonts w:ascii="Arial" w:hAnsi="Arial" w:cs="Arial"/>
          <w:sz w:val="20"/>
          <w:szCs w:val="20"/>
        </w:rPr>
        <w:t>de ceux</w:t>
      </w:r>
      <w:r w:rsidRPr="00AE6E1F">
        <w:rPr>
          <w:rFonts w:ascii="Arial" w:hAnsi="Arial" w:cs="Arial"/>
          <w:sz w:val="20"/>
          <w:szCs w:val="20"/>
        </w:rPr>
        <w:t xml:space="preserve"> du </w:t>
      </w:r>
      <w:r w:rsidR="00022644">
        <w:rPr>
          <w:rFonts w:ascii="Arial" w:hAnsi="Arial" w:cs="Arial"/>
          <w:sz w:val="20"/>
          <w:szCs w:val="20"/>
        </w:rPr>
        <w:t>Brent</w:t>
      </w:r>
      <w:r w:rsidRPr="00AE6E1F">
        <w:rPr>
          <w:rFonts w:ascii="Arial" w:hAnsi="Arial" w:cs="Arial"/>
          <w:sz w:val="20"/>
          <w:szCs w:val="20"/>
        </w:rPr>
        <w:t xml:space="preserve"> dont le cours aurait atteint 68,6 </w:t>
      </w:r>
      <w:r w:rsidRPr="00AE6E1F">
        <w:rPr>
          <w:rFonts w:ascii="Arial" w:hAnsi="Arial"/>
          <w:sz w:val="20"/>
          <w:szCs w:val="20"/>
        </w:rPr>
        <w:t xml:space="preserve">$/baril en moyenne. </w:t>
      </w:r>
      <w:r w:rsidRPr="00AE6E1F">
        <w:rPr>
          <w:rFonts w:ascii="Arial" w:hAnsi="Arial" w:cs="Arial"/>
          <w:sz w:val="20"/>
          <w:szCs w:val="20"/>
        </w:rPr>
        <w:t xml:space="preserve">La hausse de 68% des cours des minerais métalliques (fer, aluminium, cuivre) et celle de 32% des prix </w:t>
      </w:r>
      <w:r w:rsidR="00695DA3">
        <w:rPr>
          <w:rFonts w:ascii="Arial" w:hAnsi="Arial" w:cs="Arial"/>
          <w:sz w:val="20"/>
          <w:szCs w:val="20"/>
        </w:rPr>
        <w:t xml:space="preserve">des produits </w:t>
      </w:r>
      <w:r w:rsidRPr="00AE6E1F">
        <w:rPr>
          <w:rFonts w:ascii="Arial" w:hAnsi="Arial" w:cs="Arial"/>
          <w:sz w:val="20"/>
          <w:szCs w:val="20"/>
        </w:rPr>
        <w:t xml:space="preserve">agricoles (céréales, huiles, café, sucre) auraient été tirées par l’accroissement de la demande des économies avancées et émergentes. Dans ce contexte de poussées inflationnistes dues à un déséquilibre entre </w:t>
      </w:r>
      <w:r>
        <w:rPr>
          <w:rFonts w:ascii="Arial" w:hAnsi="Arial" w:cs="Arial"/>
          <w:sz w:val="20"/>
          <w:szCs w:val="20"/>
        </w:rPr>
        <w:t>l’</w:t>
      </w:r>
      <w:r w:rsidRPr="00AE6E1F">
        <w:rPr>
          <w:rFonts w:ascii="Arial" w:hAnsi="Arial" w:cs="Arial"/>
          <w:sz w:val="20"/>
          <w:szCs w:val="20"/>
        </w:rPr>
        <w:t xml:space="preserve">offre qui peine à suivre </w:t>
      </w:r>
      <w:r>
        <w:rPr>
          <w:rFonts w:ascii="Arial" w:hAnsi="Arial" w:cs="Arial"/>
          <w:sz w:val="20"/>
          <w:szCs w:val="20"/>
        </w:rPr>
        <w:t>la</w:t>
      </w:r>
      <w:r w:rsidRPr="00AE6E1F">
        <w:rPr>
          <w:rFonts w:ascii="Arial" w:hAnsi="Arial" w:cs="Arial"/>
          <w:sz w:val="20"/>
          <w:szCs w:val="20"/>
        </w:rPr>
        <w:t xml:space="preserve"> demande pour les matières premières et les produits semi-finis, le taux d'inflation aurait atteint, en moyenne</w:t>
      </w:r>
      <w:r w:rsidRPr="00AE6E1F">
        <w:rPr>
          <w:rFonts w:ascii="Arial" w:hAnsi="Arial" w:cs="Arial"/>
          <w:iCs/>
          <w:sz w:val="20"/>
          <w:szCs w:val="20"/>
        </w:rPr>
        <w:t xml:space="preserve"> au deuxième trimestre 2021</w:t>
      </w:r>
      <w:r w:rsidRPr="00AE6E1F">
        <w:rPr>
          <w:rFonts w:ascii="Arial" w:hAnsi="Arial" w:cs="Arial"/>
          <w:sz w:val="20"/>
          <w:szCs w:val="20"/>
        </w:rPr>
        <w:t xml:space="preserve">, +1,8% </w:t>
      </w:r>
      <w:r w:rsidRPr="00AE6E1F">
        <w:rPr>
          <w:rFonts w:ascii="Arial" w:hAnsi="Arial" w:cs="Arial"/>
          <w:iCs/>
          <w:sz w:val="20"/>
          <w:szCs w:val="20"/>
        </w:rPr>
        <w:t xml:space="preserve">en zone euro et </w:t>
      </w:r>
      <w:r w:rsidRPr="00AE6E1F">
        <w:rPr>
          <w:rFonts w:ascii="Arial" w:hAnsi="Arial" w:cs="Arial"/>
          <w:sz w:val="20"/>
          <w:szCs w:val="20"/>
        </w:rPr>
        <w:t>+4,6% aux</w:t>
      </w:r>
      <w:r w:rsidRPr="00AE6E1F">
        <w:rPr>
          <w:rFonts w:ascii="Arial" w:hAnsi="Arial" w:cs="Arial"/>
          <w:iCs/>
          <w:sz w:val="20"/>
          <w:szCs w:val="20"/>
          <w:lang w:eastAsia="en-US"/>
        </w:rPr>
        <w:t xml:space="preserve"> Etats-Unis</w:t>
      </w:r>
      <w:r w:rsidRPr="00AE6E1F">
        <w:rPr>
          <w:rFonts w:ascii="Arial" w:hAnsi="Arial" w:cs="Arial"/>
          <w:iCs/>
          <w:sz w:val="20"/>
          <w:szCs w:val="20"/>
        </w:rPr>
        <w:t xml:space="preserve">, </w:t>
      </w:r>
      <w:r w:rsidRPr="00AE6E1F">
        <w:rPr>
          <w:rFonts w:ascii="Arial" w:hAnsi="Arial" w:cs="Arial"/>
          <w:sz w:val="20"/>
          <w:szCs w:val="20"/>
        </w:rPr>
        <w:t xml:space="preserve">au lieu de +0,2% et +0,5% </w:t>
      </w:r>
      <w:r w:rsidRPr="00AE6E1F">
        <w:rPr>
          <w:rFonts w:ascii="Arial" w:hAnsi="Arial" w:cs="Arial"/>
          <w:iCs/>
          <w:sz w:val="20"/>
          <w:szCs w:val="20"/>
          <w:lang w:eastAsia="en-US"/>
        </w:rPr>
        <w:t>respectivement, à la même période un an auparavant</w:t>
      </w:r>
      <w:r w:rsidRPr="00AE6E1F">
        <w:rPr>
          <w:rFonts w:ascii="Arial" w:hAnsi="Arial" w:cs="Arial"/>
          <w:iCs/>
          <w:sz w:val="20"/>
          <w:szCs w:val="20"/>
        </w:rPr>
        <w:t>.</w:t>
      </w:r>
    </w:p>
    <w:p w:rsidR="00CE3241" w:rsidRPr="00636D71" w:rsidRDefault="00CE3241" w:rsidP="00CE3241">
      <w:pPr>
        <w:jc w:val="both"/>
        <w:rPr>
          <w:rFonts w:ascii="Arial" w:hAnsi="Arial" w:cs="Arial"/>
          <w:iCs/>
          <w:sz w:val="20"/>
          <w:szCs w:val="20"/>
        </w:rPr>
      </w:pPr>
    </w:p>
    <w:p w:rsidR="00CE3241" w:rsidRPr="00033311" w:rsidRDefault="00CE3241" w:rsidP="00CE3241">
      <w:pPr>
        <w:jc w:val="both"/>
        <w:rPr>
          <w:rFonts w:ascii="Arial" w:hAnsi="Arial" w:cs="Arial"/>
          <w:b/>
          <w:bCs/>
          <w:color w:val="E36C0A"/>
          <w:kern w:val="28"/>
          <w:sz w:val="20"/>
          <w:szCs w:val="20"/>
        </w:rPr>
      </w:pPr>
      <w:bookmarkStart w:id="1" w:name="_Hlk52635457"/>
      <w:r w:rsidRPr="00033311">
        <w:rPr>
          <w:rFonts w:ascii="Arial" w:hAnsi="Arial" w:cs="Arial"/>
          <w:b/>
          <w:bCs/>
          <w:color w:val="E36C0A"/>
          <w:kern w:val="28"/>
          <w:sz w:val="20"/>
          <w:szCs w:val="20"/>
        </w:rPr>
        <w:t>Reprise du commerce extérieur national</w:t>
      </w:r>
    </w:p>
    <w:p w:rsidR="00CE3241" w:rsidRPr="00FD3252" w:rsidRDefault="00CE3241" w:rsidP="00CE3241">
      <w:pPr>
        <w:shd w:val="clear" w:color="auto" w:fill="FFFFFF"/>
        <w:jc w:val="both"/>
        <w:rPr>
          <w:rFonts w:ascii="Arial" w:hAnsi="Arial" w:cs="Arial"/>
          <w:sz w:val="20"/>
          <w:szCs w:val="20"/>
        </w:rPr>
      </w:pPr>
      <w:r w:rsidRPr="00FD3252">
        <w:rPr>
          <w:rFonts w:ascii="Arial" w:hAnsi="Arial" w:cs="Arial"/>
          <w:sz w:val="20"/>
          <w:szCs w:val="20"/>
        </w:rPr>
        <w:t> </w:t>
      </w:r>
    </w:p>
    <w:p w:rsidR="00CE3241" w:rsidRPr="009D2576" w:rsidRDefault="00CE3241" w:rsidP="00436CB8">
      <w:pPr>
        <w:pStyle w:val="Paragraphedeliste"/>
        <w:autoSpaceDE w:val="0"/>
        <w:autoSpaceDN w:val="0"/>
        <w:adjustRightInd w:val="0"/>
        <w:spacing w:after="0" w:line="240" w:lineRule="auto"/>
        <w:ind w:left="0"/>
        <w:contextualSpacing w:val="0"/>
        <w:jc w:val="both"/>
        <w:rPr>
          <w:rFonts w:ascii="Arial" w:hAnsi="Arial"/>
          <w:color w:val="000000"/>
          <w:kern w:val="28"/>
        </w:rPr>
      </w:pPr>
      <w:r w:rsidRPr="00636D71">
        <w:rPr>
          <w:rFonts w:ascii="Arial" w:hAnsi="Arial"/>
          <w:sz w:val="20"/>
          <w:szCs w:val="20"/>
        </w:rPr>
        <w:t>Au niveau national, les </w:t>
      </w:r>
      <w:r w:rsidRPr="00636D71">
        <w:rPr>
          <w:rFonts w:ascii="Arial" w:hAnsi="Arial"/>
          <w:b/>
          <w:bCs/>
          <w:sz w:val="20"/>
          <w:szCs w:val="20"/>
        </w:rPr>
        <w:t>exportations des biens et services</w:t>
      </w:r>
      <w:r w:rsidRPr="00636D71">
        <w:rPr>
          <w:rFonts w:ascii="Arial" w:hAnsi="Arial"/>
          <w:sz w:val="20"/>
          <w:szCs w:val="20"/>
        </w:rPr>
        <w:t xml:space="preserve">, en volume, </w:t>
      </w:r>
      <w:r>
        <w:rPr>
          <w:rFonts w:ascii="Arial" w:hAnsi="Arial"/>
          <w:sz w:val="20"/>
          <w:szCs w:val="20"/>
        </w:rPr>
        <w:t xml:space="preserve">se seraient redressées de 31% en </w:t>
      </w:r>
      <w:r w:rsidRPr="00636D71">
        <w:rPr>
          <w:rFonts w:ascii="Arial" w:hAnsi="Arial"/>
          <w:sz w:val="20"/>
          <w:szCs w:val="20"/>
        </w:rPr>
        <w:t xml:space="preserve">variation annuelle, au </w:t>
      </w:r>
      <w:r>
        <w:rPr>
          <w:rFonts w:ascii="Arial" w:hAnsi="Arial"/>
          <w:sz w:val="20"/>
          <w:szCs w:val="20"/>
        </w:rPr>
        <w:t>deuxième</w:t>
      </w:r>
      <w:r w:rsidRPr="00636D71">
        <w:rPr>
          <w:rFonts w:ascii="Arial" w:hAnsi="Arial"/>
          <w:sz w:val="20"/>
          <w:szCs w:val="20"/>
        </w:rPr>
        <w:t xml:space="preserve"> trimestre 2021, </w:t>
      </w:r>
      <w:r>
        <w:rPr>
          <w:rFonts w:ascii="Arial" w:hAnsi="Arial"/>
          <w:sz w:val="20"/>
          <w:szCs w:val="20"/>
        </w:rPr>
        <w:t>après la chute de 32,3% enregistrée au même trimestre un an auparavant</w:t>
      </w:r>
      <w:r w:rsidRPr="00636D71">
        <w:rPr>
          <w:rFonts w:ascii="Arial" w:hAnsi="Arial"/>
          <w:sz w:val="20"/>
          <w:szCs w:val="20"/>
        </w:rPr>
        <w:t xml:space="preserve">. </w:t>
      </w:r>
      <w:r>
        <w:rPr>
          <w:rFonts w:ascii="Arial" w:hAnsi="Arial"/>
          <w:sz w:val="20"/>
          <w:szCs w:val="20"/>
        </w:rPr>
        <w:t>Profitant de la reprise de la demande extérieure et d’un effet-prix à l’export haussier, l</w:t>
      </w:r>
      <w:r w:rsidRPr="00FD3252">
        <w:rPr>
          <w:rFonts w:ascii="Arial" w:hAnsi="Arial"/>
          <w:sz w:val="20"/>
          <w:szCs w:val="20"/>
        </w:rPr>
        <w:t xml:space="preserve">es exportations des biens auraient </w:t>
      </w:r>
      <w:r>
        <w:rPr>
          <w:rFonts w:ascii="Arial" w:hAnsi="Arial"/>
          <w:sz w:val="20"/>
          <w:szCs w:val="20"/>
        </w:rPr>
        <w:t>été portées par l’amélioration</w:t>
      </w:r>
      <w:r w:rsidRPr="00FD3252">
        <w:rPr>
          <w:rFonts w:ascii="Arial" w:hAnsi="Arial"/>
          <w:sz w:val="20"/>
          <w:szCs w:val="20"/>
        </w:rPr>
        <w:t xml:space="preserve"> des </w:t>
      </w:r>
      <w:r>
        <w:rPr>
          <w:rFonts w:ascii="Arial" w:hAnsi="Arial"/>
          <w:sz w:val="20"/>
          <w:szCs w:val="20"/>
        </w:rPr>
        <w:t>ventes extérieures</w:t>
      </w:r>
      <w:r w:rsidRPr="00FD3252">
        <w:rPr>
          <w:rFonts w:ascii="Arial" w:hAnsi="Arial"/>
          <w:sz w:val="20"/>
          <w:szCs w:val="20"/>
        </w:rPr>
        <w:t xml:space="preserve"> de l’automobile dans s</w:t>
      </w:r>
      <w:r>
        <w:rPr>
          <w:rFonts w:ascii="Arial" w:hAnsi="Arial"/>
          <w:sz w:val="20"/>
          <w:szCs w:val="20"/>
        </w:rPr>
        <w:t>es</w:t>
      </w:r>
      <w:r w:rsidRPr="00FD3252">
        <w:rPr>
          <w:rFonts w:ascii="Arial" w:hAnsi="Arial"/>
          <w:sz w:val="20"/>
          <w:szCs w:val="20"/>
        </w:rPr>
        <w:t xml:space="preserve"> segment</w:t>
      </w:r>
      <w:r>
        <w:rPr>
          <w:rFonts w:ascii="Arial" w:hAnsi="Arial"/>
          <w:sz w:val="20"/>
          <w:szCs w:val="20"/>
        </w:rPr>
        <w:t>s</w:t>
      </w:r>
      <w:r w:rsidRPr="00FD3252">
        <w:rPr>
          <w:rFonts w:ascii="Arial" w:hAnsi="Arial"/>
          <w:sz w:val="20"/>
          <w:szCs w:val="20"/>
        </w:rPr>
        <w:t xml:space="preserve"> construction et</w:t>
      </w:r>
      <w:r>
        <w:rPr>
          <w:rFonts w:ascii="Arial" w:hAnsi="Arial"/>
          <w:sz w:val="20"/>
          <w:szCs w:val="20"/>
        </w:rPr>
        <w:t xml:space="preserve"> câblage (voitures de tourisme), de celles des industries électriques et électroniques, de l’agriculture, l’agro-alimentaire et de la pêche (crustacés et poissons frais, fruits frais, conserves de légumes). </w:t>
      </w:r>
      <w:r w:rsidRPr="00636D71">
        <w:rPr>
          <w:rFonts w:ascii="Arial" w:hAnsi="Arial"/>
          <w:sz w:val="20"/>
          <w:szCs w:val="20"/>
        </w:rPr>
        <w:t xml:space="preserve">Les exportations de </w:t>
      </w:r>
      <w:r>
        <w:rPr>
          <w:rFonts w:ascii="Arial" w:hAnsi="Arial"/>
          <w:sz w:val="20"/>
          <w:szCs w:val="20"/>
        </w:rPr>
        <w:t>l’</w:t>
      </w:r>
      <w:r w:rsidRPr="00636D71">
        <w:rPr>
          <w:rFonts w:ascii="Arial" w:hAnsi="Arial"/>
          <w:sz w:val="20"/>
          <w:szCs w:val="20"/>
        </w:rPr>
        <w:t xml:space="preserve">aéronautique auraient, </w:t>
      </w:r>
      <w:r>
        <w:rPr>
          <w:rFonts w:ascii="Arial" w:hAnsi="Arial"/>
          <w:sz w:val="20"/>
          <w:szCs w:val="20"/>
        </w:rPr>
        <w:t>pour leur part</w:t>
      </w:r>
      <w:r w:rsidRPr="00636D71">
        <w:rPr>
          <w:rFonts w:ascii="Arial" w:hAnsi="Arial"/>
          <w:sz w:val="20"/>
          <w:szCs w:val="20"/>
        </w:rPr>
        <w:t xml:space="preserve">, </w:t>
      </w:r>
      <w:r>
        <w:rPr>
          <w:rFonts w:ascii="Arial" w:hAnsi="Arial"/>
          <w:sz w:val="20"/>
          <w:szCs w:val="20"/>
        </w:rPr>
        <w:t>montré quelques signaux de reprise, après quatre trimestres de baisses successi</w:t>
      </w:r>
      <w:r w:rsidR="00FF09AE">
        <w:rPr>
          <w:rFonts w:ascii="Arial" w:hAnsi="Arial"/>
          <w:sz w:val="20"/>
          <w:szCs w:val="20"/>
        </w:rPr>
        <w:t>ves.</w:t>
      </w:r>
      <w:r w:rsidR="007D2A7B">
        <w:rPr>
          <w:rFonts w:ascii="Arial" w:hAnsi="Arial"/>
          <w:sz w:val="20"/>
          <w:szCs w:val="20"/>
        </w:rPr>
        <w:t xml:space="preserve"> </w:t>
      </w:r>
      <w:r w:rsidRPr="00577CBE">
        <w:rPr>
          <w:rFonts w:ascii="Arial" w:hAnsi="Arial"/>
          <w:sz w:val="20"/>
          <w:szCs w:val="20"/>
        </w:rPr>
        <w:t>L</w:t>
      </w:r>
      <w:r>
        <w:rPr>
          <w:rFonts w:ascii="Arial" w:hAnsi="Arial"/>
          <w:sz w:val="20"/>
          <w:szCs w:val="20"/>
        </w:rPr>
        <w:t>’accroissement</w:t>
      </w:r>
      <w:r w:rsidRPr="00577CBE">
        <w:rPr>
          <w:rFonts w:ascii="Arial" w:hAnsi="Arial"/>
          <w:sz w:val="20"/>
          <w:szCs w:val="20"/>
        </w:rPr>
        <w:t xml:space="preserve"> des ventes extérieures en valeur de l’industrie chimique aurait</w:t>
      </w:r>
      <w:r>
        <w:rPr>
          <w:rFonts w:ascii="Arial" w:hAnsi="Arial"/>
          <w:sz w:val="20"/>
          <w:szCs w:val="20"/>
        </w:rPr>
        <w:t>, pour sa part,</w:t>
      </w:r>
      <w:r w:rsidRPr="00577CBE">
        <w:rPr>
          <w:rFonts w:ascii="Arial" w:hAnsi="Arial"/>
          <w:sz w:val="20"/>
          <w:szCs w:val="20"/>
        </w:rPr>
        <w:t xml:space="preserve"> résulté de l’augmentation des prix à l’export des </w:t>
      </w:r>
      <w:r w:rsidR="00436CB8">
        <w:rPr>
          <w:rFonts w:ascii="Arial" w:hAnsi="Arial"/>
          <w:sz w:val="20"/>
          <w:szCs w:val="20"/>
        </w:rPr>
        <w:t>dérivés du phosphate</w:t>
      </w:r>
      <w:r>
        <w:rPr>
          <w:rFonts w:ascii="Arial" w:hAnsi="Arial"/>
          <w:sz w:val="20"/>
          <w:szCs w:val="20"/>
        </w:rPr>
        <w:t>,</w:t>
      </w:r>
      <w:r w:rsidR="007D2A7B">
        <w:rPr>
          <w:rFonts w:ascii="Arial" w:hAnsi="Arial"/>
          <w:sz w:val="20"/>
          <w:szCs w:val="20"/>
        </w:rPr>
        <w:t xml:space="preserve"> </w:t>
      </w:r>
      <w:r>
        <w:rPr>
          <w:rFonts w:ascii="Arial" w:hAnsi="Arial"/>
          <w:sz w:val="20"/>
          <w:szCs w:val="20"/>
        </w:rPr>
        <w:t xml:space="preserve">en ligne avec le renchérissement des cours mondiaux des </w:t>
      </w:r>
      <w:r w:rsidR="00436CB8">
        <w:rPr>
          <w:rFonts w:ascii="Arial" w:hAnsi="Arial"/>
          <w:sz w:val="20"/>
          <w:szCs w:val="20"/>
        </w:rPr>
        <w:t>engrais</w:t>
      </w:r>
      <w:r>
        <w:rPr>
          <w:rFonts w:ascii="Arial" w:hAnsi="Arial"/>
          <w:sz w:val="20"/>
          <w:szCs w:val="20"/>
        </w:rPr>
        <w:t>.</w:t>
      </w:r>
    </w:p>
    <w:p w:rsidR="00CE3241" w:rsidRDefault="00CE3241" w:rsidP="00CE3241">
      <w:pPr>
        <w:shd w:val="clear" w:color="auto" w:fill="FFFFFF"/>
        <w:jc w:val="both"/>
        <w:rPr>
          <w:rFonts w:ascii="Arial" w:hAnsi="Arial" w:cs="Arial"/>
          <w:sz w:val="20"/>
          <w:szCs w:val="20"/>
        </w:rPr>
      </w:pPr>
    </w:p>
    <w:p w:rsidR="00CE3241" w:rsidRPr="00750CE7" w:rsidRDefault="00CE3241" w:rsidP="003A1464">
      <w:pPr>
        <w:pStyle w:val="Paragraphedeliste"/>
        <w:spacing w:after="0" w:line="240" w:lineRule="auto"/>
        <w:ind w:left="0"/>
        <w:contextualSpacing w:val="0"/>
        <w:jc w:val="both"/>
        <w:rPr>
          <w:rFonts w:ascii="Arial" w:hAnsi="Arial"/>
          <w:kern w:val="28"/>
          <w:sz w:val="20"/>
          <w:szCs w:val="20"/>
        </w:rPr>
      </w:pPr>
      <w:bookmarkStart w:id="2" w:name="_Hlk52638815"/>
      <w:bookmarkEnd w:id="1"/>
      <w:r w:rsidRPr="007D6A14">
        <w:rPr>
          <w:rFonts w:ascii="Arial" w:hAnsi="Arial"/>
          <w:b/>
          <w:kern w:val="28"/>
          <w:sz w:val="20"/>
          <w:szCs w:val="20"/>
        </w:rPr>
        <w:t>Les importations de biens et services</w:t>
      </w:r>
      <w:r w:rsidRPr="008537CC">
        <w:rPr>
          <w:rFonts w:ascii="Arial" w:hAnsi="Arial"/>
          <w:kern w:val="28"/>
          <w:sz w:val="20"/>
          <w:szCs w:val="20"/>
        </w:rPr>
        <w:t xml:space="preserve">, en volume, </w:t>
      </w:r>
      <w:r w:rsidRPr="00750CE7">
        <w:rPr>
          <w:rFonts w:ascii="Arial" w:hAnsi="Arial"/>
          <w:kern w:val="28"/>
          <w:sz w:val="20"/>
          <w:szCs w:val="20"/>
        </w:rPr>
        <w:t xml:space="preserve">se seraient, pour leur part, </w:t>
      </w:r>
      <w:r w:rsidR="003A1464">
        <w:rPr>
          <w:rFonts w:ascii="Arial" w:hAnsi="Arial"/>
          <w:kern w:val="28"/>
          <w:sz w:val="20"/>
          <w:szCs w:val="20"/>
        </w:rPr>
        <w:t>redressées</w:t>
      </w:r>
      <w:r w:rsidR="007D2A7B">
        <w:rPr>
          <w:rFonts w:ascii="Arial" w:hAnsi="Arial"/>
          <w:kern w:val="28"/>
          <w:sz w:val="20"/>
          <w:szCs w:val="20"/>
        </w:rPr>
        <w:t xml:space="preserve"> </w:t>
      </w:r>
      <w:r w:rsidRPr="008537CC">
        <w:rPr>
          <w:rFonts w:ascii="Arial" w:hAnsi="Arial"/>
          <w:kern w:val="28"/>
          <w:sz w:val="20"/>
          <w:szCs w:val="20"/>
        </w:rPr>
        <w:t xml:space="preserve">de </w:t>
      </w:r>
      <w:r>
        <w:rPr>
          <w:rFonts w:ascii="Arial" w:hAnsi="Arial"/>
          <w:kern w:val="28"/>
          <w:sz w:val="20"/>
          <w:szCs w:val="20"/>
        </w:rPr>
        <w:t>26</w:t>
      </w:r>
      <w:r w:rsidRPr="00FA765F">
        <w:rPr>
          <w:rFonts w:ascii="Arial" w:hAnsi="Arial"/>
          <w:kern w:val="28"/>
          <w:sz w:val="20"/>
          <w:szCs w:val="20"/>
        </w:rPr>
        <w:t>%</w:t>
      </w:r>
      <w:r w:rsidRPr="008537CC">
        <w:rPr>
          <w:rFonts w:ascii="Arial" w:hAnsi="Arial"/>
          <w:kern w:val="28"/>
          <w:sz w:val="20"/>
          <w:szCs w:val="20"/>
        </w:rPr>
        <w:t xml:space="preserve"> au deuxième trimestre 2021, </w:t>
      </w:r>
      <w:r w:rsidRPr="00750CE7">
        <w:rPr>
          <w:rFonts w:ascii="Arial" w:hAnsi="Arial"/>
          <w:kern w:val="28"/>
          <w:sz w:val="20"/>
          <w:szCs w:val="20"/>
        </w:rPr>
        <w:t xml:space="preserve">après </w:t>
      </w:r>
      <w:r w:rsidR="0001741F">
        <w:rPr>
          <w:rFonts w:ascii="Arial" w:hAnsi="Arial"/>
          <w:kern w:val="28"/>
          <w:sz w:val="20"/>
          <w:szCs w:val="20"/>
        </w:rPr>
        <w:t>cinq</w:t>
      </w:r>
      <w:r w:rsidRPr="00750CE7">
        <w:rPr>
          <w:rFonts w:ascii="Arial" w:hAnsi="Arial"/>
          <w:kern w:val="28"/>
          <w:sz w:val="20"/>
          <w:szCs w:val="20"/>
        </w:rPr>
        <w:t xml:space="preserve"> trimestres successifs de baisse</w:t>
      </w:r>
      <w:r>
        <w:rPr>
          <w:rFonts w:ascii="Arial" w:hAnsi="Arial"/>
          <w:kern w:val="28"/>
          <w:sz w:val="20"/>
          <w:szCs w:val="20"/>
        </w:rPr>
        <w:t>, sans t</w:t>
      </w:r>
      <w:r w:rsidRPr="008537CC">
        <w:rPr>
          <w:rFonts w:ascii="Arial" w:hAnsi="Arial"/>
          <w:kern w:val="28"/>
          <w:sz w:val="20"/>
          <w:szCs w:val="20"/>
        </w:rPr>
        <w:t xml:space="preserve">outefois atteindre le niveau d’avant pandémie. </w:t>
      </w:r>
      <w:r w:rsidRPr="00750CE7">
        <w:rPr>
          <w:rFonts w:ascii="Arial" w:hAnsi="Arial"/>
          <w:kern w:val="28"/>
          <w:sz w:val="20"/>
          <w:szCs w:val="20"/>
        </w:rPr>
        <w:t>Ce regain de dynamisme incombe à la reprise de la demande intérieure combiné</w:t>
      </w:r>
      <w:r>
        <w:rPr>
          <w:rFonts w:ascii="Arial" w:hAnsi="Arial"/>
          <w:kern w:val="28"/>
          <w:sz w:val="20"/>
          <w:szCs w:val="20"/>
        </w:rPr>
        <w:t>e</w:t>
      </w:r>
      <w:r w:rsidRPr="00750CE7">
        <w:rPr>
          <w:rFonts w:ascii="Arial" w:hAnsi="Arial"/>
          <w:kern w:val="28"/>
          <w:sz w:val="20"/>
          <w:szCs w:val="20"/>
        </w:rPr>
        <w:t xml:space="preserve"> à un</w:t>
      </w:r>
      <w:r>
        <w:rPr>
          <w:rFonts w:ascii="Arial" w:hAnsi="Arial"/>
          <w:kern w:val="28"/>
          <w:sz w:val="20"/>
          <w:szCs w:val="20"/>
        </w:rPr>
        <w:t xml:space="preserve"> effet de rattrapage, après la </w:t>
      </w:r>
      <w:r>
        <w:rPr>
          <w:rFonts w:ascii="Arial" w:hAnsi="Arial"/>
          <w:kern w:val="28"/>
          <w:sz w:val="20"/>
          <w:szCs w:val="20"/>
        </w:rPr>
        <w:lastRenderedPageBreak/>
        <w:t xml:space="preserve">baisse de 25,7% enregistrée au même trimestre de 2020. En valeur, les importations de biens auraient, en plus, subi </w:t>
      </w:r>
      <w:r w:rsidRPr="00750CE7">
        <w:rPr>
          <w:rFonts w:ascii="Arial" w:hAnsi="Arial"/>
          <w:kern w:val="28"/>
          <w:sz w:val="20"/>
          <w:szCs w:val="20"/>
        </w:rPr>
        <w:t>un renchérissement des prix</w:t>
      </w:r>
      <w:r>
        <w:rPr>
          <w:rFonts w:ascii="Arial" w:hAnsi="Arial"/>
          <w:kern w:val="28"/>
          <w:sz w:val="20"/>
          <w:szCs w:val="20"/>
        </w:rPr>
        <w:t xml:space="preserve"> à l’import, en particulier ceux </w:t>
      </w:r>
      <w:r w:rsidRPr="00750CE7">
        <w:rPr>
          <w:rFonts w:ascii="Arial" w:hAnsi="Arial"/>
          <w:kern w:val="28"/>
          <w:sz w:val="20"/>
          <w:szCs w:val="20"/>
        </w:rPr>
        <w:t>des matières premières</w:t>
      </w:r>
      <w:r w:rsidRPr="003442E0">
        <w:rPr>
          <w:rFonts w:ascii="Arial" w:hAnsi="Arial"/>
          <w:kern w:val="28"/>
          <w:sz w:val="20"/>
          <w:szCs w:val="20"/>
        </w:rPr>
        <w:t xml:space="preserve">. La facture énergétique aurait plus que doublé, alimentée par la hausse des importations des gasoils et fuels, du gaz de pétrole et autres hydrocarbures dont les prix moyens à l’import auraient augmenté de plus de 65%. </w:t>
      </w:r>
      <w:r w:rsidR="003A1464">
        <w:rPr>
          <w:rFonts w:ascii="Arial" w:hAnsi="Arial"/>
          <w:kern w:val="28"/>
          <w:sz w:val="20"/>
          <w:szCs w:val="20"/>
        </w:rPr>
        <w:t>En revanche, celle des produits</w:t>
      </w:r>
      <w:r w:rsidR="007D2A7B">
        <w:rPr>
          <w:rFonts w:ascii="Arial" w:hAnsi="Arial"/>
          <w:kern w:val="28"/>
          <w:sz w:val="20"/>
          <w:szCs w:val="20"/>
        </w:rPr>
        <w:t xml:space="preserve"> </w:t>
      </w:r>
      <w:r w:rsidRPr="007D2A7B">
        <w:rPr>
          <w:rFonts w:ascii="Arial" w:hAnsi="Arial"/>
          <w:kern w:val="28"/>
          <w:sz w:val="20"/>
          <w:szCs w:val="20"/>
        </w:rPr>
        <w:t>alimentaire</w:t>
      </w:r>
      <w:r w:rsidR="00DE7E1E" w:rsidRPr="007D2A7B">
        <w:rPr>
          <w:rFonts w:ascii="Arial" w:hAnsi="Arial"/>
          <w:kern w:val="28"/>
          <w:sz w:val="20"/>
          <w:szCs w:val="20"/>
        </w:rPr>
        <w:t>s</w:t>
      </w:r>
      <w:r w:rsidRPr="003442E0">
        <w:rPr>
          <w:rFonts w:ascii="Arial" w:hAnsi="Arial"/>
          <w:kern w:val="28"/>
          <w:sz w:val="20"/>
          <w:szCs w:val="20"/>
        </w:rPr>
        <w:t xml:space="preserve"> se serait allégée, sous-tendue par le recul des achats de blé, des tourteaux et du sucre.</w:t>
      </w:r>
      <w:r w:rsidR="007D2A7B">
        <w:rPr>
          <w:rFonts w:ascii="Arial" w:hAnsi="Arial"/>
          <w:kern w:val="28"/>
          <w:sz w:val="20"/>
          <w:szCs w:val="20"/>
        </w:rPr>
        <w:t xml:space="preserve"> </w:t>
      </w:r>
      <w:r w:rsidRPr="003442E0">
        <w:rPr>
          <w:rFonts w:ascii="Arial" w:hAnsi="Arial"/>
          <w:kern w:val="28"/>
          <w:sz w:val="20"/>
          <w:szCs w:val="20"/>
        </w:rPr>
        <w:t>Hors énergie</w:t>
      </w:r>
      <w:r w:rsidR="003A1464">
        <w:rPr>
          <w:rFonts w:ascii="Arial" w:hAnsi="Arial"/>
          <w:kern w:val="28"/>
          <w:sz w:val="20"/>
          <w:szCs w:val="20"/>
        </w:rPr>
        <w:t xml:space="preserve"> et alimentation</w:t>
      </w:r>
      <w:r w:rsidRPr="003442E0">
        <w:rPr>
          <w:rFonts w:ascii="Arial" w:hAnsi="Arial"/>
          <w:kern w:val="28"/>
          <w:sz w:val="20"/>
          <w:szCs w:val="20"/>
        </w:rPr>
        <w:t>, la</w:t>
      </w:r>
      <w:r w:rsidRPr="00750CE7">
        <w:rPr>
          <w:rFonts w:ascii="Arial" w:hAnsi="Arial"/>
          <w:kern w:val="28"/>
          <w:sz w:val="20"/>
          <w:szCs w:val="20"/>
        </w:rPr>
        <w:t xml:space="preserve"> hausse des importations </w:t>
      </w:r>
      <w:r w:rsidRPr="00750CE7">
        <w:rPr>
          <w:rFonts w:ascii="Arial" w:hAnsi="Arial"/>
          <w:sz w:val="20"/>
          <w:szCs w:val="20"/>
        </w:rPr>
        <w:t xml:space="preserve">de biens aurait été attribuable à la reprise </w:t>
      </w:r>
      <w:r w:rsidRPr="00750CE7">
        <w:rPr>
          <w:rFonts w:ascii="Arial" w:hAnsi="Arial"/>
          <w:kern w:val="28"/>
          <w:sz w:val="20"/>
          <w:szCs w:val="20"/>
        </w:rPr>
        <w:t>des achats des biens de consommation (voitures de tourisme et leurs pièces détachées, tissus et fils de coton, étoffes de bonneterie</w:t>
      </w:r>
      <w:r>
        <w:rPr>
          <w:rFonts w:ascii="Arial" w:hAnsi="Arial"/>
          <w:kern w:val="28"/>
          <w:sz w:val="20"/>
          <w:szCs w:val="20"/>
        </w:rPr>
        <w:t>, vêtements confectionnés</w:t>
      </w:r>
      <w:r w:rsidRPr="00750CE7">
        <w:rPr>
          <w:rFonts w:ascii="Arial" w:hAnsi="Arial"/>
          <w:kern w:val="28"/>
          <w:sz w:val="20"/>
          <w:szCs w:val="20"/>
        </w:rPr>
        <w:t>), des demi-produits (matières plastiques, produits chimiques</w:t>
      </w:r>
      <w:r>
        <w:rPr>
          <w:rFonts w:ascii="Arial" w:hAnsi="Arial"/>
          <w:kern w:val="28"/>
          <w:sz w:val="20"/>
          <w:szCs w:val="20"/>
        </w:rPr>
        <w:t>, d</w:t>
      </w:r>
      <w:r w:rsidRPr="003442E0">
        <w:rPr>
          <w:rFonts w:ascii="Arial" w:hAnsi="Arial"/>
          <w:kern w:val="28"/>
          <w:sz w:val="20"/>
          <w:szCs w:val="20"/>
        </w:rPr>
        <w:t>emi-produits en fer ou en acier</w:t>
      </w:r>
      <w:r w:rsidRPr="00750CE7">
        <w:rPr>
          <w:rFonts w:ascii="Arial" w:hAnsi="Arial"/>
          <w:kern w:val="28"/>
          <w:sz w:val="20"/>
          <w:szCs w:val="20"/>
        </w:rPr>
        <w:t>), des biens d’équipement </w:t>
      </w:r>
      <w:r>
        <w:rPr>
          <w:rFonts w:ascii="Arial" w:hAnsi="Arial"/>
          <w:kern w:val="28"/>
          <w:sz w:val="20"/>
          <w:szCs w:val="20"/>
        </w:rPr>
        <w:t xml:space="preserve">industriel (voitures utilitaires, </w:t>
      </w:r>
      <w:r w:rsidRPr="00750CE7">
        <w:rPr>
          <w:rFonts w:ascii="Arial" w:hAnsi="Arial"/>
          <w:kern w:val="28"/>
          <w:sz w:val="20"/>
          <w:szCs w:val="20"/>
        </w:rPr>
        <w:t>appareils pour la coupure ou la connexion des circuits électriques et résistances, appareils électriques pour la téléphonie, moteurs à pistons et autres moteurs, fils et câbles électriques)</w:t>
      </w:r>
      <w:r>
        <w:rPr>
          <w:rFonts w:ascii="Arial" w:hAnsi="Arial"/>
          <w:kern w:val="28"/>
          <w:sz w:val="20"/>
          <w:szCs w:val="20"/>
        </w:rPr>
        <w:t xml:space="preserve"> et </w:t>
      </w:r>
      <w:r w:rsidRPr="00750CE7">
        <w:rPr>
          <w:rFonts w:ascii="Arial" w:hAnsi="Arial"/>
          <w:kern w:val="28"/>
          <w:sz w:val="20"/>
          <w:szCs w:val="20"/>
        </w:rPr>
        <w:t>des produits bruts (ferraille, cuivre, fonte,</w:t>
      </w:r>
      <w:r>
        <w:rPr>
          <w:rFonts w:ascii="Arial" w:hAnsi="Arial"/>
          <w:kern w:val="28"/>
          <w:sz w:val="20"/>
          <w:szCs w:val="20"/>
        </w:rPr>
        <w:t xml:space="preserve"> fer, acier et autres minerais). </w:t>
      </w:r>
    </w:p>
    <w:bookmarkEnd w:id="2"/>
    <w:p w:rsidR="00CE3241" w:rsidRDefault="00CE3241" w:rsidP="00CE3241">
      <w:pPr>
        <w:jc w:val="both"/>
        <w:rPr>
          <w:rFonts w:ascii="Arial" w:hAnsi="Arial" w:cs="Arial"/>
          <w:sz w:val="20"/>
          <w:szCs w:val="20"/>
        </w:rPr>
      </w:pPr>
    </w:p>
    <w:p w:rsidR="003977A3" w:rsidRPr="00055483" w:rsidRDefault="00870A96" w:rsidP="00870A96">
      <w:pPr>
        <w:autoSpaceDE w:val="0"/>
        <w:autoSpaceDN w:val="0"/>
        <w:adjustRightInd w:val="0"/>
        <w:jc w:val="both"/>
        <w:rPr>
          <w:rFonts w:ascii="Arial" w:hAnsi="Arial" w:cs="Arial"/>
          <w:b/>
          <w:bCs/>
          <w:color w:val="E36C0A"/>
          <w:sz w:val="20"/>
          <w:szCs w:val="20"/>
        </w:rPr>
      </w:pPr>
      <w:r>
        <w:rPr>
          <w:rFonts w:ascii="Arial" w:hAnsi="Arial" w:cs="Arial"/>
          <w:b/>
          <w:bCs/>
          <w:color w:val="E36C0A"/>
          <w:kern w:val="28"/>
          <w:sz w:val="20"/>
          <w:szCs w:val="20"/>
        </w:rPr>
        <w:t xml:space="preserve">Hausse du rythme de croissance </w:t>
      </w:r>
      <w:r w:rsidR="00245128" w:rsidRPr="00055483">
        <w:rPr>
          <w:rFonts w:ascii="Arial" w:hAnsi="Arial" w:cs="Arial"/>
          <w:b/>
          <w:bCs/>
          <w:color w:val="E36C0A"/>
          <w:sz w:val="20"/>
          <w:szCs w:val="20"/>
        </w:rPr>
        <w:t xml:space="preserve">de </w:t>
      </w:r>
      <w:r w:rsidR="00EC184E" w:rsidRPr="00055483">
        <w:rPr>
          <w:rFonts w:ascii="Arial" w:hAnsi="Arial" w:cs="Arial"/>
          <w:b/>
          <w:bCs/>
          <w:color w:val="E36C0A"/>
          <w:sz w:val="20"/>
          <w:szCs w:val="20"/>
        </w:rPr>
        <w:t xml:space="preserve">l’activité économique </w:t>
      </w:r>
      <w:r w:rsidR="003E382E">
        <w:rPr>
          <w:rFonts w:ascii="Arial" w:hAnsi="Arial" w:cs="Arial"/>
          <w:b/>
          <w:bCs/>
          <w:color w:val="E36C0A"/>
          <w:sz w:val="20"/>
          <w:szCs w:val="20"/>
        </w:rPr>
        <w:t>nationale</w:t>
      </w:r>
    </w:p>
    <w:p w:rsidR="00FD4048" w:rsidRDefault="00FD4048" w:rsidP="004834E5">
      <w:pPr>
        <w:pStyle w:val="rtejustify"/>
        <w:shd w:val="clear" w:color="auto" w:fill="FFFFFF"/>
        <w:jc w:val="both"/>
        <w:rPr>
          <w:rFonts w:ascii="Arial" w:hAnsi="Arial" w:cs="Arial"/>
          <w:color w:val="323232"/>
          <w:sz w:val="20"/>
          <w:szCs w:val="20"/>
          <w:shd w:val="clear" w:color="auto" w:fill="FFFFFF"/>
        </w:rPr>
      </w:pPr>
      <w:bookmarkStart w:id="3" w:name="_Hlk43415819"/>
      <w:r w:rsidRPr="00055483">
        <w:rPr>
          <w:rFonts w:ascii="Arial" w:hAnsi="Arial" w:cs="Arial"/>
          <w:color w:val="323232"/>
          <w:sz w:val="20"/>
          <w:szCs w:val="20"/>
          <w:shd w:val="clear" w:color="auto" w:fill="FFFFFF"/>
        </w:rPr>
        <w:t xml:space="preserve">Au </w:t>
      </w:r>
      <w:r w:rsidR="00C47BB6">
        <w:rPr>
          <w:rFonts w:ascii="Arial" w:hAnsi="Arial" w:cs="Arial"/>
          <w:color w:val="323232"/>
          <w:sz w:val="20"/>
          <w:szCs w:val="20"/>
          <w:shd w:val="clear" w:color="auto" w:fill="FFFFFF"/>
        </w:rPr>
        <w:t>deuxième</w:t>
      </w:r>
      <w:r>
        <w:rPr>
          <w:rFonts w:ascii="Arial" w:hAnsi="Arial" w:cs="Arial"/>
          <w:color w:val="323232"/>
          <w:sz w:val="20"/>
          <w:szCs w:val="20"/>
          <w:shd w:val="clear" w:color="auto" w:fill="FFFFFF"/>
        </w:rPr>
        <w:t xml:space="preserve"> trimestre 2021</w:t>
      </w:r>
      <w:r w:rsidRPr="00055483">
        <w:rPr>
          <w:rFonts w:ascii="Arial" w:hAnsi="Arial" w:cs="Arial"/>
          <w:color w:val="323232"/>
          <w:sz w:val="20"/>
          <w:szCs w:val="20"/>
          <w:shd w:val="clear" w:color="auto" w:fill="FFFFFF"/>
        </w:rPr>
        <w:t xml:space="preserve">, </w:t>
      </w:r>
      <w:r w:rsidR="0067340E">
        <w:rPr>
          <w:rFonts w:ascii="Arial" w:hAnsi="Arial" w:cs="Arial"/>
          <w:color w:val="323232"/>
          <w:sz w:val="20"/>
          <w:szCs w:val="20"/>
          <w:shd w:val="clear" w:color="auto" w:fill="FFFFFF"/>
        </w:rPr>
        <w:t>l’économie nationale</w:t>
      </w:r>
      <w:r>
        <w:rPr>
          <w:rFonts w:ascii="Arial" w:hAnsi="Arial" w:cs="Arial"/>
          <w:color w:val="323232"/>
          <w:sz w:val="20"/>
          <w:szCs w:val="20"/>
          <w:shd w:val="clear" w:color="auto" w:fill="FFFFFF"/>
        </w:rPr>
        <w:t xml:space="preserve"> se serait redressée de </w:t>
      </w:r>
      <w:r w:rsidR="00407C8A">
        <w:rPr>
          <w:rFonts w:ascii="Arial" w:hAnsi="Arial" w:cs="Arial"/>
          <w:color w:val="323232"/>
          <w:sz w:val="20"/>
          <w:szCs w:val="20"/>
          <w:shd w:val="clear" w:color="auto" w:fill="FFFFFF"/>
        </w:rPr>
        <w:t>1</w:t>
      </w:r>
      <w:r w:rsidR="00F76915">
        <w:rPr>
          <w:rFonts w:ascii="Arial" w:hAnsi="Arial" w:cs="Arial"/>
          <w:color w:val="323232"/>
          <w:sz w:val="20"/>
          <w:szCs w:val="20"/>
          <w:shd w:val="clear" w:color="auto" w:fill="FFFFFF"/>
        </w:rPr>
        <w:t>2</w:t>
      </w:r>
      <w:r w:rsidR="00407C8A">
        <w:rPr>
          <w:rFonts w:ascii="Arial" w:hAnsi="Arial" w:cs="Arial"/>
          <w:color w:val="323232"/>
          <w:sz w:val="20"/>
          <w:szCs w:val="20"/>
          <w:shd w:val="clear" w:color="auto" w:fill="FFFFFF"/>
        </w:rPr>
        <w:t>,</w:t>
      </w:r>
      <w:r w:rsidR="008407E9">
        <w:rPr>
          <w:rFonts w:ascii="Arial" w:hAnsi="Arial" w:cs="Arial" w:hint="cs"/>
          <w:color w:val="323232"/>
          <w:sz w:val="20"/>
          <w:szCs w:val="20"/>
          <w:shd w:val="clear" w:color="auto" w:fill="FFFFFF"/>
          <w:rtl/>
        </w:rPr>
        <w:t>6</w:t>
      </w:r>
      <w:r>
        <w:rPr>
          <w:rFonts w:ascii="Arial" w:hAnsi="Arial" w:cs="Arial"/>
          <w:color w:val="323232"/>
          <w:sz w:val="20"/>
          <w:szCs w:val="20"/>
          <w:shd w:val="clear" w:color="auto" w:fill="FFFFFF"/>
        </w:rPr>
        <w:t>%,</w:t>
      </w:r>
      <w:r w:rsidR="004834E5">
        <w:rPr>
          <w:rFonts w:ascii="Arial" w:hAnsi="Arial" w:cs="Arial"/>
          <w:color w:val="323232"/>
          <w:sz w:val="20"/>
          <w:szCs w:val="20"/>
          <w:shd w:val="clear" w:color="auto" w:fill="FFFFFF"/>
        </w:rPr>
        <w:t xml:space="preserve"> en variation annuelle</w:t>
      </w:r>
      <w:r w:rsidRPr="00055483">
        <w:rPr>
          <w:rFonts w:ascii="Arial" w:hAnsi="Arial" w:cs="Arial"/>
          <w:color w:val="323232"/>
          <w:sz w:val="20"/>
          <w:szCs w:val="20"/>
          <w:shd w:val="clear" w:color="auto" w:fill="FFFFFF"/>
        </w:rPr>
        <w:t>.</w:t>
      </w:r>
      <w:r w:rsidR="007D2A7B">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Cette évolution </w:t>
      </w:r>
      <w:r w:rsidR="00B17613">
        <w:rPr>
          <w:rFonts w:ascii="Arial" w:hAnsi="Arial" w:cs="Arial"/>
          <w:color w:val="323232"/>
          <w:sz w:val="20"/>
          <w:szCs w:val="20"/>
          <w:shd w:val="clear" w:color="auto" w:fill="FFFFFF"/>
        </w:rPr>
        <w:t>au</w:t>
      </w:r>
      <w:r w:rsidRPr="006C39D7">
        <w:rPr>
          <w:rFonts w:ascii="Arial" w:hAnsi="Arial" w:cs="Arial"/>
          <w:color w:val="323232"/>
          <w:sz w:val="20"/>
          <w:szCs w:val="20"/>
          <w:shd w:val="clear" w:color="auto" w:fill="FFFFFF"/>
        </w:rPr>
        <w:t xml:space="preserve">rait </w:t>
      </w:r>
      <w:r w:rsidR="00B17613">
        <w:rPr>
          <w:rFonts w:ascii="Arial" w:hAnsi="Arial" w:cs="Arial"/>
          <w:color w:val="323232"/>
          <w:sz w:val="20"/>
          <w:szCs w:val="20"/>
          <w:shd w:val="clear" w:color="auto" w:fill="FFFFFF"/>
        </w:rPr>
        <w:t>été favorisée par</w:t>
      </w:r>
      <w:r w:rsidR="007D2A7B">
        <w:rPr>
          <w:rFonts w:ascii="Arial" w:hAnsi="Arial" w:cs="Arial"/>
          <w:color w:val="323232"/>
          <w:sz w:val="20"/>
          <w:szCs w:val="20"/>
          <w:shd w:val="clear" w:color="auto" w:fill="FFFFFF"/>
        </w:rPr>
        <w:t xml:space="preserve"> </w:t>
      </w:r>
      <w:r w:rsidR="00F11CE8">
        <w:rPr>
          <w:rFonts w:ascii="Arial" w:hAnsi="Arial" w:cs="Arial"/>
          <w:color w:val="323232"/>
          <w:sz w:val="20"/>
          <w:szCs w:val="20"/>
          <w:shd w:val="clear" w:color="auto" w:fill="FFFFFF"/>
        </w:rPr>
        <w:t xml:space="preserve">un </w:t>
      </w:r>
      <w:r>
        <w:rPr>
          <w:rFonts w:ascii="Arial" w:hAnsi="Arial" w:cs="Arial"/>
          <w:color w:val="323232"/>
          <w:sz w:val="20"/>
          <w:szCs w:val="20"/>
          <w:shd w:val="clear" w:color="auto" w:fill="FFFFFF"/>
        </w:rPr>
        <w:t>accroissement de 1</w:t>
      </w:r>
      <w:r w:rsidR="00FA448C">
        <w:rPr>
          <w:rFonts w:ascii="Arial" w:hAnsi="Arial" w:cs="Arial" w:hint="cs"/>
          <w:color w:val="323232"/>
          <w:sz w:val="20"/>
          <w:szCs w:val="20"/>
          <w:shd w:val="clear" w:color="auto" w:fill="FFFFFF"/>
          <w:rtl/>
        </w:rPr>
        <w:t>9</w:t>
      </w:r>
      <w:r>
        <w:rPr>
          <w:rFonts w:ascii="Arial" w:hAnsi="Arial" w:cs="Arial"/>
          <w:color w:val="323232"/>
          <w:sz w:val="20"/>
          <w:szCs w:val="20"/>
          <w:shd w:val="clear" w:color="auto" w:fill="FFFFFF"/>
        </w:rPr>
        <w:t>,</w:t>
      </w:r>
      <w:r w:rsidR="00FA448C">
        <w:rPr>
          <w:rFonts w:ascii="Arial" w:hAnsi="Arial" w:cs="Arial" w:hint="cs"/>
          <w:color w:val="323232"/>
          <w:sz w:val="20"/>
          <w:szCs w:val="20"/>
          <w:shd w:val="clear" w:color="auto" w:fill="FFFFFF"/>
          <w:rtl/>
        </w:rPr>
        <w:t>3</w:t>
      </w:r>
      <w:r>
        <w:rPr>
          <w:rFonts w:ascii="Arial" w:hAnsi="Arial" w:cs="Arial"/>
          <w:color w:val="323232"/>
          <w:sz w:val="20"/>
          <w:szCs w:val="20"/>
          <w:shd w:val="clear" w:color="auto" w:fill="FFFFFF"/>
        </w:rPr>
        <w:t>% de la valeur ajoutée agricole</w:t>
      </w:r>
      <w:r w:rsidR="00B17613">
        <w:rPr>
          <w:rFonts w:ascii="Arial" w:hAnsi="Arial" w:cs="Arial"/>
          <w:color w:val="323232"/>
          <w:sz w:val="20"/>
          <w:szCs w:val="20"/>
          <w:shd w:val="clear" w:color="auto" w:fill="FFFFFF"/>
        </w:rPr>
        <w:t xml:space="preserve"> et un rebond </w:t>
      </w:r>
      <w:r>
        <w:rPr>
          <w:rFonts w:ascii="Arial" w:hAnsi="Arial" w:cs="Arial"/>
          <w:color w:val="323232"/>
          <w:sz w:val="20"/>
          <w:szCs w:val="20"/>
          <w:shd w:val="clear" w:color="auto" w:fill="FFFFFF"/>
        </w:rPr>
        <w:t>de 1</w:t>
      </w:r>
      <w:r w:rsidR="00F76915">
        <w:rPr>
          <w:rFonts w:ascii="Arial" w:hAnsi="Arial" w:cs="Arial"/>
          <w:color w:val="323232"/>
          <w:sz w:val="20"/>
          <w:szCs w:val="20"/>
          <w:shd w:val="clear" w:color="auto" w:fill="FFFFFF"/>
        </w:rPr>
        <w:t>1</w:t>
      </w:r>
      <w:r w:rsidR="008407E9">
        <w:rPr>
          <w:rFonts w:ascii="Arial" w:hAnsi="Arial" w:cs="Arial"/>
          <w:color w:val="323232"/>
          <w:sz w:val="20"/>
          <w:szCs w:val="20"/>
          <w:shd w:val="clear" w:color="auto" w:fill="FFFFFF"/>
        </w:rPr>
        <w:t>,</w:t>
      </w:r>
      <w:r w:rsidR="00F76915">
        <w:rPr>
          <w:rFonts w:ascii="Arial" w:hAnsi="Arial" w:cs="Arial"/>
          <w:color w:val="323232"/>
          <w:sz w:val="20"/>
          <w:szCs w:val="20"/>
          <w:shd w:val="clear" w:color="auto" w:fill="FFFFFF"/>
        </w:rPr>
        <w:t>7</w:t>
      </w:r>
      <w:r>
        <w:rPr>
          <w:rFonts w:ascii="Arial" w:hAnsi="Arial" w:cs="Arial"/>
          <w:color w:val="323232"/>
          <w:sz w:val="20"/>
          <w:szCs w:val="20"/>
          <w:shd w:val="clear" w:color="auto" w:fill="FFFFFF"/>
        </w:rPr>
        <w:t xml:space="preserve">% </w:t>
      </w:r>
      <w:r w:rsidRPr="006C39D7">
        <w:rPr>
          <w:rFonts w:ascii="Arial" w:hAnsi="Arial" w:cs="Arial"/>
          <w:color w:val="323232"/>
          <w:sz w:val="20"/>
          <w:szCs w:val="20"/>
          <w:shd w:val="clear" w:color="auto" w:fill="FFFFFF"/>
        </w:rPr>
        <w:t xml:space="preserve">de la valeur ajoutée </w:t>
      </w:r>
      <w:r>
        <w:rPr>
          <w:rFonts w:ascii="Arial" w:hAnsi="Arial" w:cs="Arial"/>
          <w:color w:val="323232"/>
          <w:sz w:val="20"/>
          <w:szCs w:val="20"/>
          <w:shd w:val="clear" w:color="auto" w:fill="FFFFFF"/>
        </w:rPr>
        <w:t>non</w:t>
      </w:r>
      <w:r w:rsidRPr="006C39D7">
        <w:rPr>
          <w:rFonts w:ascii="Arial" w:hAnsi="Arial" w:cs="Arial"/>
          <w:color w:val="323232"/>
          <w:sz w:val="20"/>
          <w:szCs w:val="20"/>
          <w:shd w:val="clear" w:color="auto" w:fill="FFFFFF"/>
        </w:rPr>
        <w:t xml:space="preserve">-agricole, </w:t>
      </w:r>
      <w:r w:rsidR="004834E5">
        <w:rPr>
          <w:rFonts w:ascii="Arial" w:hAnsi="Arial" w:cs="Arial"/>
          <w:sz w:val="20"/>
          <w:szCs w:val="20"/>
        </w:rPr>
        <w:t xml:space="preserve">attribuable, en partie, à </w:t>
      </w:r>
      <w:r w:rsidR="004834E5" w:rsidRPr="00F95102">
        <w:rPr>
          <w:rFonts w:asciiTheme="minorBidi" w:hAnsiTheme="minorBidi" w:cstheme="minorBidi"/>
          <w:sz w:val="20"/>
          <w:szCs w:val="20"/>
        </w:rPr>
        <w:t xml:space="preserve">l’effet de l’ajustement de base lié au confinement sanitaire </w:t>
      </w:r>
      <w:r w:rsidR="004834E5">
        <w:rPr>
          <w:rFonts w:asciiTheme="minorBidi" w:hAnsiTheme="minorBidi" w:cstheme="minorBidi"/>
          <w:sz w:val="20"/>
          <w:szCs w:val="20"/>
        </w:rPr>
        <w:t>durant le</w:t>
      </w:r>
      <w:r w:rsidR="004834E5" w:rsidRPr="00F95102">
        <w:rPr>
          <w:rFonts w:asciiTheme="minorBidi" w:hAnsiTheme="minorBidi" w:cstheme="minorBidi"/>
          <w:sz w:val="20"/>
          <w:szCs w:val="20"/>
        </w:rPr>
        <w:t xml:space="preserve"> deuxième trimestre de 2020</w:t>
      </w:r>
      <w:r>
        <w:rPr>
          <w:rFonts w:ascii="Arial" w:hAnsi="Arial" w:cs="Arial"/>
          <w:color w:val="323232"/>
          <w:sz w:val="20"/>
          <w:szCs w:val="20"/>
          <w:shd w:val="clear" w:color="auto" w:fill="FFFFFF"/>
        </w:rPr>
        <w:t>. L</w:t>
      </w:r>
      <w:r w:rsidRPr="006C39D7">
        <w:rPr>
          <w:rFonts w:ascii="Arial" w:hAnsi="Arial" w:cs="Arial"/>
          <w:color w:val="323232"/>
          <w:sz w:val="20"/>
          <w:szCs w:val="20"/>
          <w:shd w:val="clear" w:color="auto" w:fill="FFFFFF"/>
        </w:rPr>
        <w:t xml:space="preserve">es </w:t>
      </w:r>
      <w:r>
        <w:rPr>
          <w:rFonts w:ascii="Arial" w:hAnsi="Arial" w:cs="Arial"/>
          <w:color w:val="323232"/>
          <w:sz w:val="20"/>
          <w:szCs w:val="20"/>
          <w:shd w:val="clear" w:color="auto" w:fill="FFFFFF"/>
        </w:rPr>
        <w:t>branche</w:t>
      </w:r>
      <w:r w:rsidRPr="006C39D7">
        <w:rPr>
          <w:rFonts w:ascii="Arial" w:hAnsi="Arial" w:cs="Arial"/>
          <w:color w:val="323232"/>
          <w:sz w:val="20"/>
          <w:szCs w:val="20"/>
          <w:shd w:val="clear" w:color="auto" w:fill="FFFFFF"/>
        </w:rPr>
        <w:t xml:space="preserve">s </w:t>
      </w:r>
      <w:r>
        <w:rPr>
          <w:rFonts w:ascii="Arial" w:hAnsi="Arial" w:cs="Arial"/>
          <w:color w:val="323232"/>
          <w:sz w:val="20"/>
          <w:szCs w:val="20"/>
          <w:shd w:val="clear" w:color="auto" w:fill="FFFFFF"/>
        </w:rPr>
        <w:t>tertiaires auraient contribu</w:t>
      </w:r>
      <w:r w:rsidR="009923A5">
        <w:rPr>
          <w:rFonts w:ascii="Arial" w:hAnsi="Arial" w:cs="Arial"/>
          <w:color w:val="323232"/>
          <w:sz w:val="20"/>
          <w:szCs w:val="20"/>
          <w:shd w:val="clear" w:color="auto" w:fill="FFFFFF"/>
        </w:rPr>
        <w:t>é</w:t>
      </w:r>
      <w:r>
        <w:rPr>
          <w:rFonts w:ascii="Arial" w:hAnsi="Arial" w:cs="Arial"/>
          <w:color w:val="323232"/>
          <w:sz w:val="20"/>
          <w:szCs w:val="20"/>
          <w:shd w:val="clear" w:color="auto" w:fill="FFFFFF"/>
        </w:rPr>
        <w:t xml:space="preserve"> pour </w:t>
      </w:r>
      <w:r w:rsidR="00F76915">
        <w:rPr>
          <w:rFonts w:ascii="Arial" w:hAnsi="Arial" w:cs="Arial"/>
          <w:color w:val="323232"/>
          <w:sz w:val="20"/>
          <w:szCs w:val="20"/>
          <w:shd w:val="clear" w:color="auto" w:fill="FFFFFF"/>
        </w:rPr>
        <w:t>5</w:t>
      </w:r>
      <w:r>
        <w:rPr>
          <w:rFonts w:ascii="Arial" w:hAnsi="Arial" w:cs="Arial"/>
          <w:color w:val="323232"/>
          <w:sz w:val="20"/>
          <w:szCs w:val="20"/>
          <w:shd w:val="clear" w:color="auto" w:fill="FFFFFF"/>
        </w:rPr>
        <w:t>,</w:t>
      </w:r>
      <w:r w:rsidR="00F76915">
        <w:rPr>
          <w:rFonts w:ascii="Arial" w:hAnsi="Arial" w:cs="Arial"/>
          <w:color w:val="323232"/>
          <w:sz w:val="20"/>
          <w:szCs w:val="20"/>
          <w:shd w:val="clear" w:color="auto" w:fill="FFFFFF"/>
        </w:rPr>
        <w:t>3</w:t>
      </w:r>
      <w:r>
        <w:rPr>
          <w:rFonts w:ascii="Arial" w:hAnsi="Arial" w:cs="Arial"/>
          <w:color w:val="323232"/>
          <w:sz w:val="20"/>
          <w:szCs w:val="20"/>
          <w:shd w:val="clear" w:color="auto" w:fill="FFFFFF"/>
        </w:rPr>
        <w:t xml:space="preserve"> point</w:t>
      </w:r>
      <w:r w:rsidR="009923A5">
        <w:rPr>
          <w:rFonts w:ascii="Arial" w:hAnsi="Arial" w:cs="Arial"/>
          <w:color w:val="323232"/>
          <w:sz w:val="20"/>
          <w:szCs w:val="20"/>
          <w:shd w:val="clear" w:color="auto" w:fill="FFFFFF"/>
        </w:rPr>
        <w:t>s</w:t>
      </w:r>
      <w:r>
        <w:rPr>
          <w:rFonts w:ascii="Arial" w:hAnsi="Arial" w:cs="Arial"/>
          <w:color w:val="323232"/>
          <w:sz w:val="20"/>
          <w:szCs w:val="20"/>
          <w:shd w:val="clear" w:color="auto" w:fill="FFFFFF"/>
        </w:rPr>
        <w:t xml:space="preserve"> à l’évolution du PIB, au lieu de -</w:t>
      </w:r>
      <w:r w:rsidR="009923A5">
        <w:rPr>
          <w:rFonts w:ascii="Arial" w:hAnsi="Arial" w:cs="Arial"/>
          <w:color w:val="323232"/>
          <w:sz w:val="20"/>
          <w:szCs w:val="20"/>
          <w:shd w:val="clear" w:color="auto" w:fill="FFFFFF"/>
        </w:rPr>
        <w:t>1</w:t>
      </w:r>
      <w:r>
        <w:rPr>
          <w:rFonts w:ascii="Arial" w:hAnsi="Arial" w:cs="Arial"/>
          <w:color w:val="323232"/>
          <w:sz w:val="20"/>
          <w:szCs w:val="20"/>
          <w:shd w:val="clear" w:color="auto" w:fill="FFFFFF"/>
        </w:rPr>
        <w:t>,</w:t>
      </w:r>
      <w:r w:rsidR="009923A5">
        <w:rPr>
          <w:rFonts w:ascii="Arial" w:hAnsi="Arial" w:cs="Arial"/>
          <w:color w:val="323232"/>
          <w:sz w:val="20"/>
          <w:szCs w:val="20"/>
          <w:shd w:val="clear" w:color="auto" w:fill="FFFFFF"/>
        </w:rPr>
        <w:t>4</w:t>
      </w:r>
      <w:r>
        <w:rPr>
          <w:rFonts w:ascii="Arial" w:hAnsi="Arial" w:cs="Arial"/>
          <w:color w:val="323232"/>
          <w:sz w:val="20"/>
          <w:szCs w:val="20"/>
          <w:shd w:val="clear" w:color="auto" w:fill="FFFFFF"/>
        </w:rPr>
        <w:t xml:space="preserve"> point un trimestre auparavant</w:t>
      </w:r>
      <w:r w:rsidR="009762B1">
        <w:rPr>
          <w:rFonts w:ascii="Arial" w:hAnsi="Arial" w:cs="Arial"/>
          <w:color w:val="323232"/>
          <w:sz w:val="20"/>
          <w:szCs w:val="20"/>
          <w:shd w:val="clear" w:color="auto" w:fill="FFFFFF"/>
        </w:rPr>
        <w:t>, portée par l</w:t>
      </w:r>
      <w:r w:rsidR="0067340E">
        <w:rPr>
          <w:rFonts w:ascii="Arial" w:hAnsi="Arial" w:cs="Arial"/>
          <w:color w:val="323232"/>
          <w:sz w:val="20"/>
          <w:szCs w:val="20"/>
          <w:shd w:val="clear" w:color="auto" w:fill="FFFFFF"/>
        </w:rPr>
        <w:t>a bonne orientation</w:t>
      </w:r>
      <w:r w:rsidR="009762B1">
        <w:rPr>
          <w:rFonts w:ascii="Arial" w:hAnsi="Arial" w:cs="Arial"/>
          <w:color w:val="323232"/>
          <w:sz w:val="20"/>
          <w:szCs w:val="20"/>
          <w:shd w:val="clear" w:color="auto" w:fill="FFFFFF"/>
        </w:rPr>
        <w:t xml:space="preserve"> des activités de commerce, de transport et de restauration</w:t>
      </w:r>
      <w:r w:rsidRPr="006C39D7">
        <w:rPr>
          <w:rFonts w:ascii="Arial" w:hAnsi="Arial" w:cs="Arial"/>
          <w:color w:val="323232"/>
          <w:sz w:val="20"/>
          <w:szCs w:val="20"/>
          <w:shd w:val="clear" w:color="auto" w:fill="FFFFFF"/>
        </w:rPr>
        <w:t xml:space="preserve">. </w:t>
      </w:r>
    </w:p>
    <w:p w:rsidR="00FD4048" w:rsidRDefault="00FD4048" w:rsidP="003B6801">
      <w:pPr>
        <w:pStyle w:val="rtejustify"/>
        <w:shd w:val="clear" w:color="auto" w:fill="FFFFFF"/>
        <w:jc w:val="both"/>
        <w:rPr>
          <w:rFonts w:ascii="Arial" w:hAnsi="Arial" w:cs="Arial"/>
          <w:color w:val="323232"/>
          <w:sz w:val="20"/>
          <w:szCs w:val="20"/>
          <w:shd w:val="clear" w:color="auto" w:fill="FFFFFF"/>
        </w:rPr>
      </w:pPr>
      <w:r>
        <w:rPr>
          <w:rFonts w:ascii="Arial" w:hAnsi="Arial" w:cs="Arial"/>
          <w:color w:val="323232"/>
          <w:sz w:val="20"/>
          <w:szCs w:val="20"/>
          <w:shd w:val="clear" w:color="auto" w:fill="FFFFFF"/>
        </w:rPr>
        <w:t>L</w:t>
      </w:r>
      <w:r w:rsidR="00774D60">
        <w:rPr>
          <w:rFonts w:ascii="Arial" w:hAnsi="Arial" w:cs="Arial"/>
          <w:color w:val="323232"/>
          <w:sz w:val="20"/>
          <w:szCs w:val="20"/>
          <w:shd w:val="clear" w:color="auto" w:fill="FFFFFF"/>
        </w:rPr>
        <w:t>a croissance d</w:t>
      </w:r>
      <w:r>
        <w:rPr>
          <w:rFonts w:ascii="Arial" w:hAnsi="Arial" w:cs="Arial"/>
          <w:color w:val="323232"/>
          <w:sz w:val="20"/>
          <w:szCs w:val="20"/>
          <w:shd w:val="clear" w:color="auto" w:fill="FFFFFF"/>
        </w:rPr>
        <w:t xml:space="preserve">es </w:t>
      </w:r>
      <w:r w:rsidRPr="00D56CB7">
        <w:rPr>
          <w:rFonts w:ascii="Arial" w:hAnsi="Arial" w:cs="Arial"/>
          <w:b/>
          <w:bCs/>
          <w:color w:val="323232"/>
          <w:sz w:val="20"/>
          <w:szCs w:val="20"/>
          <w:shd w:val="clear" w:color="auto" w:fill="FFFFFF"/>
        </w:rPr>
        <w:t>activités secondaires</w:t>
      </w:r>
      <w:r w:rsidR="007D2A7B">
        <w:rPr>
          <w:rFonts w:ascii="Arial" w:hAnsi="Arial" w:cs="Arial"/>
          <w:b/>
          <w:bCs/>
          <w:color w:val="323232"/>
          <w:sz w:val="20"/>
          <w:szCs w:val="20"/>
          <w:shd w:val="clear" w:color="auto" w:fill="FFFFFF"/>
        </w:rPr>
        <w:t xml:space="preserve"> </w:t>
      </w:r>
      <w:r w:rsidR="00774D60">
        <w:rPr>
          <w:rFonts w:ascii="Arial" w:hAnsi="Arial" w:cs="Arial"/>
          <w:color w:val="323232"/>
          <w:sz w:val="20"/>
          <w:szCs w:val="20"/>
          <w:shd w:val="clear" w:color="auto" w:fill="FFFFFF"/>
        </w:rPr>
        <w:t>se se</w:t>
      </w:r>
      <w:r>
        <w:rPr>
          <w:rFonts w:ascii="Arial" w:hAnsi="Arial" w:cs="Arial"/>
          <w:color w:val="323232"/>
          <w:sz w:val="20"/>
          <w:szCs w:val="20"/>
          <w:shd w:val="clear" w:color="auto" w:fill="FFFFFF"/>
        </w:rPr>
        <w:t xml:space="preserve">rait, pour </w:t>
      </w:r>
      <w:r w:rsidR="00774D60">
        <w:rPr>
          <w:rFonts w:ascii="Arial" w:hAnsi="Arial" w:cs="Arial"/>
          <w:color w:val="323232"/>
          <w:sz w:val="20"/>
          <w:szCs w:val="20"/>
          <w:shd w:val="clear" w:color="auto" w:fill="FFFFFF"/>
        </w:rPr>
        <w:t>sa</w:t>
      </w:r>
      <w:r>
        <w:rPr>
          <w:rFonts w:ascii="Arial" w:hAnsi="Arial" w:cs="Arial"/>
          <w:color w:val="323232"/>
          <w:sz w:val="20"/>
          <w:szCs w:val="20"/>
          <w:shd w:val="clear" w:color="auto" w:fill="FFFFFF"/>
        </w:rPr>
        <w:t xml:space="preserve"> part, </w:t>
      </w:r>
      <w:r w:rsidR="00774D60">
        <w:rPr>
          <w:rFonts w:ascii="Arial" w:hAnsi="Arial" w:cs="Arial"/>
          <w:color w:val="323232"/>
          <w:sz w:val="20"/>
          <w:szCs w:val="20"/>
          <w:shd w:val="clear" w:color="auto" w:fill="FFFFFF"/>
        </w:rPr>
        <w:t>accélér</w:t>
      </w:r>
      <w:r w:rsidR="00B17613">
        <w:rPr>
          <w:rFonts w:ascii="Arial" w:hAnsi="Arial" w:cs="Arial"/>
          <w:color w:val="323232"/>
          <w:sz w:val="20"/>
          <w:szCs w:val="20"/>
          <w:shd w:val="clear" w:color="auto" w:fill="FFFFFF"/>
        </w:rPr>
        <w:t>é</w:t>
      </w:r>
      <w:r w:rsidR="00774D60">
        <w:rPr>
          <w:rFonts w:ascii="Arial" w:hAnsi="Arial" w:cs="Arial"/>
          <w:color w:val="323232"/>
          <w:sz w:val="20"/>
          <w:szCs w:val="20"/>
          <w:shd w:val="clear" w:color="auto" w:fill="FFFFFF"/>
        </w:rPr>
        <w:t>e</w:t>
      </w:r>
      <w:r w:rsidR="00DE7E1E">
        <w:rPr>
          <w:rFonts w:ascii="Arial" w:hAnsi="Arial" w:cs="Arial"/>
          <w:color w:val="323232"/>
          <w:sz w:val="20"/>
          <w:szCs w:val="20"/>
          <w:shd w:val="clear" w:color="auto" w:fill="FFFFFF"/>
        </w:rPr>
        <w:t>,</w:t>
      </w:r>
      <w:r w:rsidR="00774D60">
        <w:rPr>
          <w:rFonts w:ascii="Arial" w:hAnsi="Arial" w:cs="Arial"/>
          <w:color w:val="323232"/>
          <w:sz w:val="20"/>
          <w:szCs w:val="20"/>
          <w:shd w:val="clear" w:color="auto" w:fill="FFFFFF"/>
        </w:rPr>
        <w:t xml:space="preserve"> portant </w:t>
      </w:r>
      <w:r w:rsidR="0014709F">
        <w:rPr>
          <w:rFonts w:ascii="Arial" w:hAnsi="Arial" w:cs="Arial"/>
          <w:color w:val="323232"/>
          <w:sz w:val="20"/>
          <w:szCs w:val="20"/>
          <w:shd w:val="clear" w:color="auto" w:fill="FFFFFF"/>
        </w:rPr>
        <w:t>sa</w:t>
      </w:r>
      <w:r w:rsidR="007D2A7B">
        <w:rPr>
          <w:rFonts w:ascii="Arial" w:hAnsi="Arial" w:cs="Arial"/>
          <w:color w:val="323232"/>
          <w:sz w:val="20"/>
          <w:szCs w:val="20"/>
          <w:shd w:val="clear" w:color="auto" w:fill="FFFFFF"/>
        </w:rPr>
        <w:t xml:space="preserve"> </w:t>
      </w:r>
      <w:r w:rsidR="009923A5">
        <w:rPr>
          <w:rFonts w:ascii="Arial" w:hAnsi="Arial" w:cs="Arial"/>
          <w:color w:val="323232"/>
          <w:sz w:val="20"/>
          <w:szCs w:val="20"/>
          <w:shd w:val="clear" w:color="auto" w:fill="FFFFFF"/>
        </w:rPr>
        <w:t>contribu</w:t>
      </w:r>
      <w:r w:rsidR="00774D60">
        <w:rPr>
          <w:rFonts w:ascii="Arial" w:hAnsi="Arial" w:cs="Arial"/>
          <w:color w:val="323232"/>
          <w:sz w:val="20"/>
          <w:szCs w:val="20"/>
          <w:shd w:val="clear" w:color="auto" w:fill="FFFFFF"/>
        </w:rPr>
        <w:t>tion à la croissance du PIB à</w:t>
      </w:r>
      <w:r w:rsidR="007B4243">
        <w:rPr>
          <w:rFonts w:ascii="Arial" w:hAnsi="Arial" w:cs="Arial"/>
          <w:color w:val="323232"/>
          <w:sz w:val="20"/>
          <w:szCs w:val="20"/>
          <w:shd w:val="clear" w:color="auto" w:fill="FFFFFF"/>
        </w:rPr>
        <w:t>+</w:t>
      </w:r>
      <w:r w:rsidR="00F76915">
        <w:rPr>
          <w:rFonts w:ascii="Arial" w:hAnsi="Arial" w:cs="Arial"/>
          <w:color w:val="323232"/>
          <w:sz w:val="20"/>
          <w:szCs w:val="20"/>
          <w:shd w:val="clear" w:color="auto" w:fill="FFFFFF"/>
        </w:rPr>
        <w:t>3</w:t>
      </w:r>
      <w:r w:rsidR="009923A5">
        <w:rPr>
          <w:rFonts w:ascii="Arial" w:hAnsi="Arial" w:cs="Arial"/>
          <w:color w:val="323232"/>
          <w:sz w:val="20"/>
          <w:szCs w:val="20"/>
          <w:shd w:val="clear" w:color="auto" w:fill="FFFFFF"/>
        </w:rPr>
        <w:t>,</w:t>
      </w:r>
      <w:r w:rsidR="00F76915">
        <w:rPr>
          <w:rFonts w:ascii="Arial" w:hAnsi="Arial" w:cs="Arial"/>
          <w:color w:val="323232"/>
          <w:sz w:val="20"/>
          <w:szCs w:val="20"/>
          <w:shd w:val="clear" w:color="auto" w:fill="FFFFFF"/>
        </w:rPr>
        <w:t>5</w:t>
      </w:r>
      <w:r w:rsidR="009923A5">
        <w:rPr>
          <w:rFonts w:ascii="Arial" w:hAnsi="Arial" w:cs="Arial"/>
          <w:color w:val="323232"/>
          <w:sz w:val="20"/>
          <w:szCs w:val="20"/>
          <w:shd w:val="clear" w:color="auto" w:fill="FFFFFF"/>
        </w:rPr>
        <w:t xml:space="preserve"> points</w:t>
      </w:r>
      <w:r w:rsidRPr="00345A73">
        <w:rPr>
          <w:rFonts w:ascii="Arial" w:hAnsi="Arial" w:cs="Arial"/>
          <w:color w:val="323232"/>
          <w:sz w:val="20"/>
          <w:szCs w:val="20"/>
          <w:shd w:val="clear" w:color="auto" w:fill="FFFFFF"/>
        </w:rPr>
        <w:t>,</w:t>
      </w:r>
      <w:r>
        <w:rPr>
          <w:rFonts w:ascii="Arial" w:hAnsi="Arial" w:cs="Arial"/>
          <w:color w:val="323232"/>
          <w:sz w:val="20"/>
          <w:szCs w:val="20"/>
          <w:shd w:val="clear" w:color="auto" w:fill="FFFFFF"/>
        </w:rPr>
        <w:t xml:space="preserve"> au lieu de </w:t>
      </w:r>
      <w:r w:rsidR="007B4243">
        <w:rPr>
          <w:rFonts w:ascii="Arial" w:hAnsi="Arial" w:cs="Arial"/>
          <w:color w:val="323232"/>
          <w:sz w:val="20"/>
          <w:szCs w:val="20"/>
          <w:shd w:val="clear" w:color="auto" w:fill="FFFFFF"/>
        </w:rPr>
        <w:t>+</w:t>
      </w:r>
      <w:r w:rsidR="009923A5">
        <w:rPr>
          <w:rFonts w:ascii="Arial" w:hAnsi="Arial" w:cs="Arial"/>
          <w:color w:val="323232"/>
          <w:sz w:val="20"/>
          <w:szCs w:val="20"/>
          <w:shd w:val="clear" w:color="auto" w:fill="FFFFFF"/>
        </w:rPr>
        <w:t>0,5 point</w:t>
      </w:r>
      <w:r>
        <w:rPr>
          <w:rFonts w:ascii="Arial" w:hAnsi="Arial" w:cs="Arial"/>
          <w:color w:val="323232"/>
          <w:sz w:val="20"/>
          <w:szCs w:val="20"/>
          <w:shd w:val="clear" w:color="auto" w:fill="FFFFFF"/>
        </w:rPr>
        <w:t xml:space="preserve"> un trimestre auparavant. </w:t>
      </w:r>
      <w:r w:rsidRPr="00C33DCE">
        <w:rPr>
          <w:rFonts w:ascii="Arial" w:hAnsi="Arial" w:cs="Arial"/>
          <w:b/>
          <w:bCs/>
          <w:color w:val="222222"/>
          <w:sz w:val="20"/>
          <w:szCs w:val="20"/>
          <w:shd w:val="clear" w:color="auto" w:fill="FFFFFF"/>
        </w:rPr>
        <w:t>L</w:t>
      </w:r>
      <w:r w:rsidR="00A06745">
        <w:rPr>
          <w:rFonts w:ascii="Arial" w:hAnsi="Arial" w:cs="Arial"/>
          <w:b/>
          <w:bCs/>
          <w:color w:val="222222"/>
          <w:sz w:val="20"/>
          <w:szCs w:val="20"/>
          <w:shd w:val="clear" w:color="auto" w:fill="FFFFFF"/>
        </w:rPr>
        <w:t xml:space="preserve">a valeur ajoutée </w:t>
      </w:r>
      <w:r w:rsidRPr="00C33DCE">
        <w:rPr>
          <w:rFonts w:ascii="Arial" w:hAnsi="Arial" w:cs="Arial"/>
          <w:b/>
          <w:bCs/>
          <w:color w:val="222222"/>
          <w:sz w:val="20"/>
          <w:szCs w:val="20"/>
          <w:shd w:val="clear" w:color="auto" w:fill="FFFFFF"/>
        </w:rPr>
        <w:t>industrie</w:t>
      </w:r>
      <w:r w:rsidR="00A06745">
        <w:rPr>
          <w:rFonts w:ascii="Arial" w:hAnsi="Arial" w:cs="Arial"/>
          <w:b/>
          <w:bCs/>
          <w:color w:val="222222"/>
          <w:sz w:val="20"/>
          <w:szCs w:val="20"/>
          <w:shd w:val="clear" w:color="auto" w:fill="FFFFFF"/>
        </w:rPr>
        <w:t>lle</w:t>
      </w:r>
      <w:r w:rsidR="007D2A7B">
        <w:rPr>
          <w:rFonts w:ascii="Arial" w:hAnsi="Arial" w:cs="Arial"/>
          <w:b/>
          <w:bCs/>
          <w:color w:val="222222"/>
          <w:sz w:val="20"/>
          <w:szCs w:val="20"/>
          <w:shd w:val="clear" w:color="auto" w:fill="FFFFFF"/>
        </w:rPr>
        <w:t xml:space="preserve"> </w:t>
      </w:r>
      <w:r w:rsidRPr="00EA685D">
        <w:rPr>
          <w:rFonts w:ascii="Arial" w:hAnsi="Arial" w:cs="Arial"/>
          <w:color w:val="222222"/>
          <w:sz w:val="20"/>
          <w:szCs w:val="20"/>
          <w:shd w:val="clear" w:color="auto" w:fill="FFFFFF"/>
        </w:rPr>
        <w:t xml:space="preserve">aurait </w:t>
      </w:r>
      <w:r w:rsidR="003321FA">
        <w:rPr>
          <w:rFonts w:ascii="Arial" w:hAnsi="Arial" w:cs="Arial"/>
          <w:color w:val="222222"/>
          <w:sz w:val="20"/>
          <w:szCs w:val="20"/>
          <w:shd w:val="clear" w:color="auto" w:fill="FFFFFF"/>
        </w:rPr>
        <w:t>crû</w:t>
      </w:r>
      <w:r w:rsidRPr="00EA685D">
        <w:rPr>
          <w:rFonts w:ascii="Arial" w:hAnsi="Arial" w:cs="Arial"/>
          <w:color w:val="222222"/>
          <w:sz w:val="20"/>
          <w:szCs w:val="20"/>
          <w:shd w:val="clear" w:color="auto" w:fill="FFFFFF"/>
        </w:rPr>
        <w:t xml:space="preserve"> de </w:t>
      </w:r>
      <w:r w:rsidR="003321FA">
        <w:rPr>
          <w:rFonts w:ascii="Arial" w:hAnsi="Arial" w:cs="Arial"/>
          <w:color w:val="222222"/>
          <w:sz w:val="20"/>
          <w:szCs w:val="20"/>
          <w:shd w:val="clear" w:color="auto" w:fill="FFFFFF"/>
        </w:rPr>
        <w:t>2</w:t>
      </w:r>
      <w:r w:rsidR="00F239D6">
        <w:rPr>
          <w:rFonts w:ascii="Arial" w:hAnsi="Arial" w:cs="Arial"/>
          <w:color w:val="222222"/>
          <w:sz w:val="20"/>
          <w:szCs w:val="20"/>
          <w:shd w:val="clear" w:color="auto" w:fill="FFFFFF"/>
        </w:rPr>
        <w:t>2</w:t>
      </w:r>
      <w:r w:rsidRPr="00EA685D">
        <w:rPr>
          <w:rFonts w:ascii="Arial" w:hAnsi="Arial" w:cs="Arial"/>
          <w:color w:val="222222"/>
          <w:sz w:val="20"/>
          <w:szCs w:val="20"/>
          <w:shd w:val="clear" w:color="auto" w:fill="FFFFFF"/>
        </w:rPr>
        <w:t>,</w:t>
      </w:r>
      <w:r w:rsidR="00F239D6">
        <w:rPr>
          <w:rFonts w:ascii="Arial" w:hAnsi="Arial" w:cs="Arial"/>
          <w:color w:val="222222"/>
          <w:sz w:val="20"/>
          <w:szCs w:val="20"/>
          <w:shd w:val="clear" w:color="auto" w:fill="FFFFFF"/>
        </w:rPr>
        <w:t>8</w:t>
      </w:r>
      <w:r w:rsidRPr="00EA685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après</w:t>
      </w:r>
      <w:r w:rsidR="007B4243">
        <w:rPr>
          <w:rFonts w:ascii="Arial" w:hAnsi="Arial" w:cs="Arial"/>
          <w:color w:val="222222"/>
          <w:sz w:val="20"/>
          <w:szCs w:val="20"/>
          <w:shd w:val="clear" w:color="auto" w:fill="FFFFFF"/>
        </w:rPr>
        <w:t>+</w:t>
      </w:r>
      <w:r w:rsidRPr="00EA685D">
        <w:rPr>
          <w:rFonts w:ascii="Arial" w:hAnsi="Arial" w:cs="Arial"/>
          <w:color w:val="222222"/>
          <w:sz w:val="20"/>
          <w:szCs w:val="20"/>
          <w:shd w:val="clear" w:color="auto" w:fill="FFFFFF"/>
        </w:rPr>
        <w:t>1,6% un trimestre auparavant</w:t>
      </w:r>
      <w:r w:rsidR="007B4243">
        <w:rPr>
          <w:rFonts w:ascii="Arial" w:hAnsi="Arial" w:cs="Arial"/>
          <w:color w:val="222222"/>
          <w:sz w:val="20"/>
          <w:szCs w:val="20"/>
          <w:shd w:val="clear" w:color="auto" w:fill="FFFFFF"/>
        </w:rPr>
        <w:t xml:space="preserve">, tirée </w:t>
      </w:r>
      <w:r w:rsidRPr="00EA685D">
        <w:rPr>
          <w:rFonts w:ascii="Arial" w:hAnsi="Arial" w:cs="Arial"/>
          <w:color w:val="222222"/>
          <w:sz w:val="20"/>
          <w:szCs w:val="20"/>
          <w:shd w:val="clear" w:color="auto" w:fill="FFFFFF"/>
        </w:rPr>
        <w:t xml:space="preserve">par </w:t>
      </w:r>
      <w:r w:rsidR="003321FA">
        <w:rPr>
          <w:rFonts w:ascii="Arial" w:hAnsi="Arial" w:cs="Arial"/>
          <w:color w:val="222222"/>
          <w:sz w:val="20"/>
          <w:szCs w:val="20"/>
          <w:shd w:val="clear" w:color="auto" w:fill="FFFFFF"/>
        </w:rPr>
        <w:t xml:space="preserve">le redressement </w:t>
      </w:r>
      <w:r w:rsidRPr="00EA685D">
        <w:rPr>
          <w:rFonts w:ascii="Arial" w:hAnsi="Arial" w:cs="Arial"/>
          <w:color w:val="222222"/>
          <w:sz w:val="20"/>
          <w:szCs w:val="20"/>
          <w:shd w:val="clear" w:color="auto" w:fill="FFFFFF"/>
        </w:rPr>
        <w:t xml:space="preserve">de </w:t>
      </w:r>
      <w:r w:rsidR="003321FA">
        <w:rPr>
          <w:rFonts w:ascii="Arial" w:hAnsi="Arial" w:cs="Arial"/>
          <w:color w:val="222222"/>
          <w:sz w:val="20"/>
          <w:szCs w:val="20"/>
          <w:shd w:val="clear" w:color="auto" w:fill="FFFFFF"/>
        </w:rPr>
        <w:t xml:space="preserve">la plupart des branches </w:t>
      </w:r>
      <w:r w:rsidR="00A06745">
        <w:rPr>
          <w:rFonts w:ascii="Arial" w:hAnsi="Arial" w:cs="Arial"/>
          <w:color w:val="222222"/>
          <w:sz w:val="20"/>
          <w:szCs w:val="20"/>
          <w:shd w:val="clear" w:color="auto" w:fill="FFFFFF"/>
        </w:rPr>
        <w:t>manufacturières</w:t>
      </w:r>
      <w:r w:rsidRPr="00345A73">
        <w:rPr>
          <w:rFonts w:ascii="Arial" w:hAnsi="Arial" w:cs="Arial"/>
          <w:color w:val="323232"/>
          <w:sz w:val="20"/>
          <w:szCs w:val="20"/>
          <w:shd w:val="clear" w:color="auto" w:fill="FFFFFF"/>
        </w:rPr>
        <w:t xml:space="preserve">. </w:t>
      </w:r>
      <w:r w:rsidR="003321FA">
        <w:rPr>
          <w:rFonts w:ascii="Arial" w:hAnsi="Arial" w:cs="Arial"/>
          <w:color w:val="323232"/>
          <w:sz w:val="20"/>
          <w:szCs w:val="20"/>
          <w:shd w:val="clear" w:color="auto" w:fill="FFFFFF"/>
        </w:rPr>
        <w:t>Les activités de</w:t>
      </w:r>
      <w:r w:rsidRPr="00345A73">
        <w:rPr>
          <w:rFonts w:ascii="Arial" w:hAnsi="Arial" w:cs="Arial"/>
          <w:color w:val="323232"/>
          <w:sz w:val="20"/>
          <w:szCs w:val="20"/>
          <w:shd w:val="clear" w:color="auto" w:fill="FFFFFF"/>
        </w:rPr>
        <w:t xml:space="preserve"> la construction</w:t>
      </w:r>
      <w:r w:rsidR="007D2A7B">
        <w:rPr>
          <w:rFonts w:ascii="Arial" w:hAnsi="Arial" w:cs="Arial"/>
          <w:color w:val="323232"/>
          <w:sz w:val="20"/>
          <w:szCs w:val="20"/>
          <w:shd w:val="clear" w:color="auto" w:fill="FFFFFF"/>
        </w:rPr>
        <w:t xml:space="preserve"> </w:t>
      </w:r>
      <w:r w:rsidR="00F60584">
        <w:rPr>
          <w:rFonts w:ascii="Arial" w:hAnsi="Arial" w:cs="Arial"/>
          <w:color w:val="323232"/>
          <w:sz w:val="20"/>
          <w:szCs w:val="20"/>
          <w:shd w:val="clear" w:color="auto" w:fill="FFFFFF"/>
        </w:rPr>
        <w:t>se se</w:t>
      </w:r>
      <w:r w:rsidR="003321FA">
        <w:rPr>
          <w:rFonts w:ascii="Arial" w:hAnsi="Arial" w:cs="Arial"/>
          <w:color w:val="323232"/>
          <w:sz w:val="20"/>
          <w:szCs w:val="20"/>
          <w:shd w:val="clear" w:color="auto" w:fill="FFFFFF"/>
        </w:rPr>
        <w:t xml:space="preserve">raient, pour leur part, </w:t>
      </w:r>
      <w:r w:rsidR="00F60584">
        <w:rPr>
          <w:rFonts w:ascii="Arial" w:hAnsi="Arial" w:cs="Arial"/>
          <w:color w:val="323232"/>
          <w:sz w:val="20"/>
          <w:szCs w:val="20"/>
          <w:shd w:val="clear" w:color="auto" w:fill="FFFFFF"/>
        </w:rPr>
        <w:t>redressées</w:t>
      </w:r>
      <w:r w:rsidR="00DE7E1E">
        <w:rPr>
          <w:rFonts w:ascii="Arial" w:hAnsi="Arial" w:cs="Arial"/>
          <w:color w:val="323232"/>
          <w:sz w:val="20"/>
          <w:szCs w:val="20"/>
          <w:shd w:val="clear" w:color="auto" w:fill="FFFFFF"/>
        </w:rPr>
        <w:t>,</w:t>
      </w:r>
      <w:r w:rsidR="00EB4C3B">
        <w:rPr>
          <w:rFonts w:ascii="Arial" w:hAnsi="Arial" w:cs="Arial"/>
          <w:color w:val="323232"/>
          <w:sz w:val="20"/>
          <w:szCs w:val="20"/>
          <w:shd w:val="clear" w:color="auto" w:fill="FFFFFF"/>
        </w:rPr>
        <w:t xml:space="preserve"> après avoir quasiment stagné au premier trimestre 2021</w:t>
      </w:r>
      <w:r w:rsidRPr="00345A73">
        <w:rPr>
          <w:rFonts w:ascii="Arial" w:hAnsi="Arial" w:cs="Arial"/>
          <w:color w:val="323232"/>
          <w:sz w:val="20"/>
          <w:szCs w:val="20"/>
          <w:shd w:val="clear" w:color="auto" w:fill="FFFFFF"/>
        </w:rPr>
        <w:t xml:space="preserve">, </w:t>
      </w:r>
      <w:r w:rsidR="007B4243">
        <w:rPr>
          <w:rFonts w:ascii="Arial" w:hAnsi="Arial" w:cs="Arial"/>
          <w:color w:val="323232"/>
          <w:sz w:val="20"/>
          <w:szCs w:val="20"/>
          <w:shd w:val="clear" w:color="auto" w:fill="FFFFFF"/>
        </w:rPr>
        <w:t>marqu</w:t>
      </w:r>
      <w:r w:rsidR="00EB4C3B">
        <w:rPr>
          <w:rFonts w:ascii="Arial" w:hAnsi="Arial" w:cs="Arial"/>
          <w:color w:val="323232"/>
          <w:sz w:val="20"/>
          <w:szCs w:val="20"/>
          <w:shd w:val="clear" w:color="auto" w:fill="FFFFFF"/>
        </w:rPr>
        <w:t xml:space="preserve">ant une hausse de </w:t>
      </w:r>
      <w:r w:rsidR="00F76915">
        <w:rPr>
          <w:rFonts w:ascii="Arial" w:hAnsi="Arial" w:cs="Arial"/>
          <w:color w:val="323232"/>
          <w:sz w:val="20"/>
          <w:szCs w:val="20"/>
          <w:shd w:val="clear" w:color="auto" w:fill="FFFFFF"/>
        </w:rPr>
        <w:t>9</w:t>
      </w:r>
      <w:r w:rsidR="00313BEB">
        <w:rPr>
          <w:rFonts w:ascii="Arial" w:hAnsi="Arial" w:cs="Arial"/>
          <w:color w:val="323232"/>
          <w:sz w:val="20"/>
          <w:szCs w:val="20"/>
          <w:shd w:val="clear" w:color="auto" w:fill="FFFFFF"/>
        </w:rPr>
        <w:t>,6</w:t>
      </w:r>
      <w:r w:rsidR="00EB4C3B">
        <w:rPr>
          <w:rFonts w:ascii="Arial" w:hAnsi="Arial" w:cs="Arial"/>
          <w:color w:val="323232"/>
          <w:sz w:val="20"/>
          <w:szCs w:val="20"/>
          <w:shd w:val="clear" w:color="auto" w:fill="FFFFFF"/>
        </w:rPr>
        <w:t xml:space="preserve">%, </w:t>
      </w:r>
      <w:r w:rsidR="00687011">
        <w:rPr>
          <w:rFonts w:ascii="Arial" w:hAnsi="Arial" w:cs="Arial"/>
          <w:color w:val="323232"/>
          <w:sz w:val="20"/>
          <w:szCs w:val="20"/>
          <w:shd w:val="clear" w:color="auto" w:fill="FFFFFF"/>
        </w:rPr>
        <w:t>dans un contexte d’amélioration de</w:t>
      </w:r>
      <w:r w:rsidR="00E76780">
        <w:rPr>
          <w:rFonts w:ascii="Arial" w:hAnsi="Arial" w:cs="Arial"/>
          <w:color w:val="323232"/>
          <w:sz w:val="20"/>
          <w:szCs w:val="20"/>
          <w:shd w:val="clear" w:color="auto" w:fill="FFFFFF"/>
        </w:rPr>
        <w:t>s transactions immobil</w:t>
      </w:r>
      <w:r w:rsidR="00984B78">
        <w:rPr>
          <w:rFonts w:ascii="Arial" w:hAnsi="Arial" w:cs="Arial"/>
          <w:color w:val="323232"/>
          <w:sz w:val="20"/>
          <w:szCs w:val="20"/>
          <w:shd w:val="clear" w:color="auto" w:fill="FFFFFF"/>
        </w:rPr>
        <w:t>i</w:t>
      </w:r>
      <w:r w:rsidR="00E76780">
        <w:rPr>
          <w:rFonts w:ascii="Arial" w:hAnsi="Arial" w:cs="Arial"/>
          <w:color w:val="323232"/>
          <w:sz w:val="20"/>
          <w:szCs w:val="20"/>
          <w:shd w:val="clear" w:color="auto" w:fill="FFFFFF"/>
        </w:rPr>
        <w:t>ères</w:t>
      </w:r>
      <w:r w:rsidRPr="006C39D7">
        <w:rPr>
          <w:rFonts w:ascii="Arial" w:hAnsi="Arial" w:cs="Arial"/>
          <w:color w:val="323232"/>
          <w:sz w:val="20"/>
          <w:szCs w:val="20"/>
          <w:shd w:val="clear" w:color="auto" w:fill="FFFFFF"/>
        </w:rPr>
        <w:t xml:space="preserve">. </w:t>
      </w:r>
    </w:p>
    <w:p w:rsidR="00FD4048" w:rsidRPr="00D56CB7" w:rsidRDefault="00D56CB7" w:rsidP="00CD2414">
      <w:pPr>
        <w:jc w:val="both"/>
        <w:rPr>
          <w:rFonts w:asciiTheme="minorBidi" w:hAnsiTheme="minorBidi" w:cstheme="minorBidi"/>
          <w:sz w:val="20"/>
          <w:szCs w:val="20"/>
        </w:rPr>
      </w:pPr>
      <w:r w:rsidRPr="00F95102">
        <w:rPr>
          <w:rFonts w:asciiTheme="minorBidi" w:hAnsiTheme="minorBidi" w:cstheme="minorBidi"/>
          <w:sz w:val="20"/>
          <w:szCs w:val="20"/>
        </w:rPr>
        <w:t>L</w:t>
      </w:r>
      <w:r>
        <w:rPr>
          <w:rFonts w:asciiTheme="minorBidi" w:hAnsiTheme="minorBidi" w:cstheme="minorBidi"/>
          <w:sz w:val="20"/>
          <w:szCs w:val="20"/>
        </w:rPr>
        <w:t xml:space="preserve">a valeur ajoutée </w:t>
      </w:r>
      <w:r w:rsidRPr="00901DE3">
        <w:rPr>
          <w:rFonts w:asciiTheme="minorBidi" w:hAnsiTheme="minorBidi" w:cstheme="minorBidi"/>
          <w:b/>
          <w:bCs/>
          <w:sz w:val="20"/>
          <w:szCs w:val="20"/>
        </w:rPr>
        <w:t>minière</w:t>
      </w:r>
      <w:r w:rsidR="007D2A7B">
        <w:rPr>
          <w:rFonts w:asciiTheme="minorBidi" w:hAnsiTheme="minorBidi" w:cstheme="minorBidi"/>
          <w:b/>
          <w:bCs/>
          <w:sz w:val="20"/>
          <w:szCs w:val="20"/>
        </w:rPr>
        <w:t xml:space="preserve"> </w:t>
      </w:r>
      <w:r>
        <w:rPr>
          <w:rFonts w:asciiTheme="minorBidi" w:hAnsiTheme="minorBidi" w:cstheme="minorBidi"/>
          <w:sz w:val="20"/>
          <w:szCs w:val="20"/>
        </w:rPr>
        <w:t>au</w:t>
      </w:r>
      <w:r w:rsidRPr="00F95102">
        <w:rPr>
          <w:rFonts w:asciiTheme="minorBidi" w:hAnsiTheme="minorBidi" w:cstheme="minorBidi"/>
          <w:sz w:val="20"/>
          <w:szCs w:val="20"/>
        </w:rPr>
        <w:t>rait</w:t>
      </w:r>
      <w:r w:rsidR="00A06745">
        <w:rPr>
          <w:rFonts w:asciiTheme="minorBidi" w:hAnsiTheme="minorBidi" w:cstheme="minorBidi"/>
          <w:sz w:val="20"/>
          <w:szCs w:val="20"/>
        </w:rPr>
        <w:t>, en revanche,</w:t>
      </w:r>
      <w:r w:rsidR="007D2A7B">
        <w:rPr>
          <w:rFonts w:asciiTheme="minorBidi" w:hAnsiTheme="minorBidi" w:cstheme="minorBidi"/>
          <w:sz w:val="20"/>
          <w:szCs w:val="20"/>
        </w:rPr>
        <w:t xml:space="preserve"> </w:t>
      </w:r>
      <w:r>
        <w:rPr>
          <w:rFonts w:asciiTheme="minorBidi" w:hAnsiTheme="minorBidi" w:cstheme="minorBidi"/>
          <w:sz w:val="20"/>
          <w:szCs w:val="20"/>
        </w:rPr>
        <w:t xml:space="preserve">ralenti </w:t>
      </w:r>
      <w:r w:rsidRPr="00F95102">
        <w:rPr>
          <w:rFonts w:asciiTheme="minorBidi" w:hAnsiTheme="minorBidi" w:cstheme="minorBidi"/>
          <w:sz w:val="20"/>
          <w:szCs w:val="20"/>
        </w:rPr>
        <w:t>au deuxième trimestre 2021, affichant une hausse de 1,2% en variation annuelle, après avoir progressé de 5,2% un trimestre auparavant. L</w:t>
      </w:r>
      <w:r>
        <w:rPr>
          <w:rFonts w:asciiTheme="minorBidi" w:hAnsiTheme="minorBidi" w:cstheme="minorBidi"/>
          <w:sz w:val="20"/>
          <w:szCs w:val="20"/>
        </w:rPr>
        <w:t>a décélération</w:t>
      </w:r>
      <w:r w:rsidRPr="00F95102">
        <w:rPr>
          <w:rFonts w:asciiTheme="minorBidi" w:hAnsiTheme="minorBidi" w:cstheme="minorBidi"/>
          <w:sz w:val="20"/>
          <w:szCs w:val="20"/>
        </w:rPr>
        <w:t xml:space="preserve"> des exportations du phosphate brut, confrontée</w:t>
      </w:r>
      <w:r w:rsidR="00505248">
        <w:rPr>
          <w:rFonts w:asciiTheme="minorBidi" w:hAnsiTheme="minorBidi" w:cstheme="minorBidi"/>
          <w:sz w:val="20"/>
          <w:szCs w:val="20"/>
        </w:rPr>
        <w:t>s</w:t>
      </w:r>
      <w:r w:rsidRPr="00F95102">
        <w:rPr>
          <w:rFonts w:asciiTheme="minorBidi" w:hAnsiTheme="minorBidi" w:cstheme="minorBidi"/>
          <w:sz w:val="20"/>
          <w:szCs w:val="20"/>
        </w:rPr>
        <w:t xml:space="preserve"> à une forte concurrence asiatique, a</w:t>
      </w:r>
      <w:r>
        <w:rPr>
          <w:rFonts w:asciiTheme="minorBidi" w:hAnsiTheme="minorBidi"/>
          <w:sz w:val="20"/>
          <w:szCs w:val="20"/>
        </w:rPr>
        <w:t>urait</w:t>
      </w:r>
      <w:r w:rsidRPr="00F95102">
        <w:rPr>
          <w:rFonts w:asciiTheme="minorBidi" w:hAnsiTheme="minorBidi" w:cstheme="minorBidi"/>
          <w:sz w:val="20"/>
          <w:szCs w:val="20"/>
        </w:rPr>
        <w:t xml:space="preserve"> été </w:t>
      </w:r>
      <w:r w:rsidR="000E1048" w:rsidRPr="00F95102">
        <w:rPr>
          <w:rFonts w:asciiTheme="minorBidi" w:hAnsiTheme="minorBidi" w:cstheme="minorBidi"/>
          <w:sz w:val="20"/>
          <w:szCs w:val="20"/>
        </w:rPr>
        <w:t>amortie</w:t>
      </w:r>
      <w:r w:rsidRPr="00F95102">
        <w:rPr>
          <w:rFonts w:asciiTheme="minorBidi" w:hAnsiTheme="minorBidi" w:cstheme="minorBidi"/>
          <w:sz w:val="20"/>
          <w:szCs w:val="20"/>
        </w:rPr>
        <w:t xml:space="preserve"> par la résilience de la demande des industries chimiques locales. L’envolée des cours internationaux du souffre et de l’ammoniac se serait bien traduite par une hausse des coûts de production des industries de transformation locale, mais leur activité se serait renforcée de 4,2% en variation annuelle, </w:t>
      </w:r>
      <w:r w:rsidRPr="001A1CF6">
        <w:rPr>
          <w:rFonts w:asciiTheme="minorBidi" w:hAnsiTheme="minorBidi" w:cstheme="minorBidi"/>
          <w:sz w:val="20"/>
          <w:szCs w:val="20"/>
        </w:rPr>
        <w:t>grâce notamment à l’affermissement des exportations des dérivés du phosphate</w:t>
      </w:r>
      <w:r w:rsidR="001A1CF6">
        <w:rPr>
          <w:rFonts w:asciiTheme="minorBidi" w:hAnsiTheme="minorBidi" w:cstheme="minorBidi"/>
          <w:sz w:val="20"/>
          <w:szCs w:val="20"/>
        </w:rPr>
        <w:t xml:space="preserve"> destinées aux pays africains et de l’Amérique Latine</w:t>
      </w:r>
      <w:r w:rsidRPr="001A1CF6">
        <w:rPr>
          <w:rFonts w:asciiTheme="minorBidi" w:hAnsiTheme="minorBidi" w:cstheme="minorBidi"/>
          <w:sz w:val="20"/>
          <w:szCs w:val="20"/>
        </w:rPr>
        <w:t>.</w:t>
      </w:r>
      <w:r w:rsidR="007D2A7B">
        <w:rPr>
          <w:rFonts w:asciiTheme="minorBidi" w:hAnsiTheme="minorBidi" w:cstheme="minorBidi"/>
          <w:sz w:val="20"/>
          <w:szCs w:val="20"/>
        </w:rPr>
        <w:t xml:space="preserve"> </w:t>
      </w:r>
      <w:r w:rsidR="00CD2414">
        <w:rPr>
          <w:rFonts w:asciiTheme="minorBidi" w:hAnsiTheme="minorBidi" w:cstheme="minorBidi"/>
          <w:sz w:val="20"/>
          <w:szCs w:val="20"/>
        </w:rPr>
        <w:t>Dans ce contexte</w:t>
      </w:r>
      <w:r w:rsidRPr="00F95102">
        <w:rPr>
          <w:rFonts w:asciiTheme="minorBidi" w:hAnsiTheme="minorBidi" w:cstheme="minorBidi"/>
          <w:sz w:val="20"/>
          <w:szCs w:val="20"/>
        </w:rPr>
        <w:t>, la production des minerais non-métalliques se serait accrue de 3,1% au deuxième trimestre 2021, alors que celle des métaux</w:t>
      </w:r>
      <w:r w:rsidR="007D2A7B">
        <w:rPr>
          <w:rFonts w:asciiTheme="minorBidi" w:hAnsiTheme="minorBidi" w:cstheme="minorBidi"/>
          <w:sz w:val="20"/>
          <w:szCs w:val="20"/>
        </w:rPr>
        <w:t xml:space="preserve"> </w:t>
      </w:r>
      <w:r w:rsidRPr="00F95102">
        <w:rPr>
          <w:rFonts w:asciiTheme="minorBidi" w:hAnsiTheme="minorBidi" w:cstheme="minorBidi"/>
          <w:sz w:val="20"/>
          <w:szCs w:val="20"/>
        </w:rPr>
        <w:t xml:space="preserve">aurait affiché une hausse de 3,6%, dans le sillage de </w:t>
      </w:r>
      <w:r>
        <w:rPr>
          <w:rFonts w:asciiTheme="minorBidi" w:hAnsiTheme="minorBidi"/>
          <w:sz w:val="20"/>
          <w:szCs w:val="20"/>
        </w:rPr>
        <w:t xml:space="preserve">la </w:t>
      </w:r>
      <w:r w:rsidRPr="00F95102">
        <w:rPr>
          <w:rFonts w:asciiTheme="minorBidi" w:hAnsiTheme="minorBidi" w:cstheme="minorBidi"/>
          <w:sz w:val="20"/>
          <w:szCs w:val="20"/>
        </w:rPr>
        <w:t>poursuite d</w:t>
      </w:r>
      <w:r>
        <w:rPr>
          <w:rFonts w:asciiTheme="minorBidi" w:hAnsiTheme="minorBidi"/>
          <w:sz w:val="20"/>
          <w:szCs w:val="20"/>
        </w:rPr>
        <w:t>u</w:t>
      </w:r>
      <w:r w:rsidRPr="00F95102">
        <w:rPr>
          <w:rFonts w:asciiTheme="minorBidi" w:hAnsiTheme="minorBidi" w:cstheme="minorBidi"/>
          <w:sz w:val="20"/>
          <w:szCs w:val="20"/>
        </w:rPr>
        <w:t xml:space="preserve"> redressement</w:t>
      </w:r>
      <w:r w:rsidR="007D2A7B">
        <w:rPr>
          <w:rFonts w:asciiTheme="minorBidi" w:hAnsiTheme="minorBidi" w:cstheme="minorBidi"/>
          <w:sz w:val="20"/>
          <w:szCs w:val="20"/>
        </w:rPr>
        <w:t xml:space="preserve"> </w:t>
      </w:r>
      <w:r w:rsidRPr="00F95102">
        <w:rPr>
          <w:rFonts w:asciiTheme="minorBidi" w:hAnsiTheme="minorBidi" w:cstheme="minorBidi"/>
          <w:sz w:val="20"/>
          <w:szCs w:val="20"/>
        </w:rPr>
        <w:t xml:space="preserve">des cours internationaux du zinc, du cuivre et du plomb. </w:t>
      </w:r>
    </w:p>
    <w:p w:rsidR="00ED7CCE" w:rsidRDefault="00ED7CCE" w:rsidP="00134771">
      <w:pPr>
        <w:jc w:val="both"/>
        <w:rPr>
          <w:rFonts w:ascii="Arial" w:hAnsi="Arial" w:cs="Arial"/>
          <w:sz w:val="20"/>
          <w:szCs w:val="20"/>
        </w:rPr>
      </w:pPr>
    </w:p>
    <w:bookmarkEnd w:id="3"/>
    <w:p w:rsidR="00D01F4C" w:rsidRPr="000555FD" w:rsidRDefault="00B45721" w:rsidP="000B17D3">
      <w:pPr>
        <w:jc w:val="both"/>
        <w:rPr>
          <w:rFonts w:asciiTheme="minorBidi" w:hAnsiTheme="minorBidi" w:cstheme="minorBidi"/>
          <w:sz w:val="20"/>
          <w:szCs w:val="20"/>
        </w:rPr>
      </w:pPr>
      <w:r>
        <w:rPr>
          <w:rFonts w:asciiTheme="minorBidi" w:hAnsiTheme="minorBidi" w:cstheme="minorBidi"/>
          <w:b/>
          <w:bCs/>
          <w:noProof/>
          <w:sz w:val="20"/>
          <w:szCs w:val="20"/>
        </w:rPr>
        <w:drawing>
          <wp:anchor distT="0" distB="0" distL="114300" distR="114300" simplePos="0" relativeHeight="251662848" behindDoc="1" locked="0" layoutInCell="1" allowOverlap="1">
            <wp:simplePos x="0" y="0"/>
            <wp:positionH relativeFrom="column">
              <wp:posOffset>4121785</wp:posOffset>
            </wp:positionH>
            <wp:positionV relativeFrom="paragraph">
              <wp:posOffset>524510</wp:posOffset>
            </wp:positionV>
            <wp:extent cx="2459355" cy="1965960"/>
            <wp:effectExtent l="19050" t="0" r="0" b="0"/>
            <wp:wrapTight wrapText="bothSides">
              <wp:wrapPolygon edited="0">
                <wp:start x="-167" y="0"/>
                <wp:lineTo x="-167" y="21140"/>
                <wp:lineTo x="21583" y="21140"/>
                <wp:lineTo x="21583" y="0"/>
                <wp:lineTo x="-167"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459355" cy="1965960"/>
                    </a:xfrm>
                    <a:prstGeom prst="rect">
                      <a:avLst/>
                    </a:prstGeom>
                    <a:noFill/>
                    <a:ln w="9525">
                      <a:noFill/>
                      <a:miter lim="800000"/>
                      <a:headEnd/>
                      <a:tailEnd/>
                    </a:ln>
                  </pic:spPr>
                </pic:pic>
              </a:graphicData>
            </a:graphic>
          </wp:anchor>
        </w:drawing>
      </w:r>
      <w:r w:rsidR="000555FD" w:rsidRPr="009B3B74">
        <w:rPr>
          <w:rFonts w:asciiTheme="minorBidi" w:hAnsiTheme="minorBidi" w:cstheme="minorBidi"/>
          <w:b/>
          <w:bCs/>
          <w:sz w:val="20"/>
          <w:szCs w:val="20"/>
        </w:rPr>
        <w:t>L’activité agricole</w:t>
      </w:r>
      <w:r w:rsidR="000555FD" w:rsidRPr="00F95102">
        <w:rPr>
          <w:rFonts w:asciiTheme="minorBidi" w:hAnsiTheme="minorBidi" w:cstheme="minorBidi"/>
          <w:sz w:val="20"/>
          <w:szCs w:val="20"/>
        </w:rPr>
        <w:t xml:space="preserve"> aurait</w:t>
      </w:r>
      <w:r w:rsidR="00B574CB">
        <w:rPr>
          <w:rFonts w:asciiTheme="minorBidi" w:hAnsiTheme="minorBidi" w:cstheme="minorBidi"/>
          <w:sz w:val="20"/>
          <w:szCs w:val="20"/>
        </w:rPr>
        <w:t>, pour sa part,</w:t>
      </w:r>
      <w:r w:rsidR="000555FD" w:rsidRPr="00F95102">
        <w:rPr>
          <w:rFonts w:asciiTheme="minorBidi" w:hAnsiTheme="minorBidi" w:cstheme="minorBidi"/>
          <w:sz w:val="20"/>
          <w:szCs w:val="20"/>
        </w:rPr>
        <w:t xml:space="preserve"> conservé son dynamisme amorcé au début de </w:t>
      </w:r>
      <w:r w:rsidR="000555FD">
        <w:rPr>
          <w:rFonts w:asciiTheme="minorBidi" w:hAnsiTheme="minorBidi"/>
          <w:sz w:val="20"/>
          <w:szCs w:val="20"/>
        </w:rPr>
        <w:t xml:space="preserve">l’année </w:t>
      </w:r>
      <w:r w:rsidR="000555FD" w:rsidRPr="00F95102">
        <w:rPr>
          <w:rFonts w:asciiTheme="minorBidi" w:hAnsiTheme="minorBidi" w:cstheme="minorBidi"/>
          <w:sz w:val="20"/>
          <w:szCs w:val="20"/>
        </w:rPr>
        <w:t>2021, affichant une progression de 19,3% au deuxième trimestre 2021.Les conditions climatiques printanières auraient été favorables à des rendements supérieurs à la moyenne quinquennale pour la plupart des</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cultures, notamment les céréales dont la production aurait dépassé 98 millions de qx,</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profitant d’une augmentation de rendement de 13,4 qx /ha</w:t>
      </w:r>
      <w:r w:rsidR="000555FD">
        <w:rPr>
          <w:rFonts w:asciiTheme="minorBidi" w:hAnsiTheme="minorBidi"/>
          <w:sz w:val="20"/>
          <w:szCs w:val="20"/>
        </w:rPr>
        <w:t>,</w:t>
      </w:r>
      <w:r w:rsidR="000555FD" w:rsidRPr="00F95102">
        <w:rPr>
          <w:rFonts w:asciiTheme="minorBidi" w:hAnsiTheme="minorBidi" w:cstheme="minorBidi"/>
          <w:sz w:val="20"/>
          <w:szCs w:val="20"/>
        </w:rPr>
        <w:t xml:space="preserve"> en moyenne</w:t>
      </w:r>
      <w:r w:rsidR="000555FD">
        <w:rPr>
          <w:rFonts w:asciiTheme="minorBidi" w:hAnsiTheme="minorBidi"/>
          <w:sz w:val="20"/>
          <w:szCs w:val="20"/>
        </w:rPr>
        <w:t>,</w:t>
      </w:r>
      <w:r w:rsidR="000555FD" w:rsidRPr="00F95102">
        <w:rPr>
          <w:rFonts w:asciiTheme="minorBidi" w:hAnsiTheme="minorBidi" w:cstheme="minorBidi"/>
          <w:sz w:val="20"/>
          <w:szCs w:val="20"/>
        </w:rPr>
        <w:t xml:space="preserve"> par rapport à 2020.La croissance des autres productions végétales</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se serait, également, accélérée</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particulièrement dans les zones du Sais et du moyen Atlas, sur fond d’une réduction des coûts d’irrigation et d’une valorisation industrielle plus soutenue des cultures maraîchères et fruitières. Dans les filières animales, la valorisation industrielle serait restée</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relativement modérée, alors que</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l’amélioration des parcours végétaux et la baisse des prix des aliments de bétail auraient continué de soutenir</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la reconstitution</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du cheptel,</w:t>
      </w:r>
      <w:r w:rsidR="007D2A7B">
        <w:rPr>
          <w:rFonts w:asciiTheme="minorBidi" w:hAnsiTheme="minorBidi" w:cstheme="minorBidi"/>
          <w:sz w:val="20"/>
          <w:szCs w:val="20"/>
        </w:rPr>
        <w:t xml:space="preserve"> </w:t>
      </w:r>
      <w:r w:rsidR="000555FD" w:rsidRPr="00F95102">
        <w:rPr>
          <w:rFonts w:asciiTheme="minorBidi" w:hAnsiTheme="minorBidi" w:cstheme="minorBidi"/>
          <w:sz w:val="20"/>
          <w:szCs w:val="20"/>
        </w:rPr>
        <w:t xml:space="preserve">après </w:t>
      </w:r>
      <w:r w:rsidR="000C6E52">
        <w:rPr>
          <w:rFonts w:asciiTheme="minorBidi" w:hAnsiTheme="minorBidi" w:cstheme="minorBidi"/>
          <w:sz w:val="20"/>
          <w:szCs w:val="20"/>
        </w:rPr>
        <w:t>deux</w:t>
      </w:r>
      <w:r w:rsidR="000555FD" w:rsidRPr="00F95102">
        <w:rPr>
          <w:rFonts w:asciiTheme="minorBidi" w:hAnsiTheme="minorBidi" w:cstheme="minorBidi"/>
          <w:sz w:val="20"/>
          <w:szCs w:val="20"/>
        </w:rPr>
        <w:t xml:space="preserve"> années de forte décapitalisation. La production avicole, portée par un rattrapage de la demande intérieure, aurait constitué le principal soutien à l’affermissement de la production animale </w:t>
      </w:r>
      <w:r w:rsidR="000555FD" w:rsidRPr="007D2A7B">
        <w:rPr>
          <w:rFonts w:asciiTheme="minorBidi" w:hAnsiTheme="minorBidi" w:cstheme="minorBidi"/>
          <w:sz w:val="20"/>
          <w:szCs w:val="20"/>
        </w:rPr>
        <w:t>tirée</w:t>
      </w:r>
      <w:r w:rsidR="000555FD" w:rsidRPr="00F95102">
        <w:rPr>
          <w:rFonts w:asciiTheme="minorBidi" w:hAnsiTheme="minorBidi" w:cstheme="minorBidi"/>
          <w:sz w:val="20"/>
          <w:szCs w:val="20"/>
        </w:rPr>
        <w:t xml:space="preserve"> par un redressement de plus de 21% des quantités de viande de poulet de chair et de dindes traitées au niveau des abattoirs</w:t>
      </w:r>
      <w:r w:rsidR="00D01F4C" w:rsidRPr="00420B47">
        <w:rPr>
          <w:rFonts w:ascii="Arial" w:hAnsi="Arial" w:cs="Arial"/>
          <w:sz w:val="20"/>
          <w:szCs w:val="20"/>
        </w:rPr>
        <w:t xml:space="preserve">. </w:t>
      </w:r>
    </w:p>
    <w:p w:rsidR="00AF726B" w:rsidRPr="00AF726B" w:rsidRDefault="00AF726B" w:rsidP="00E05C4D">
      <w:pPr>
        <w:pStyle w:val="NormalWeb"/>
        <w:spacing w:before="0" w:beforeAutospacing="0" w:after="0" w:afterAutospacing="0"/>
        <w:jc w:val="both"/>
        <w:rPr>
          <w:rFonts w:ascii="Arial" w:hAnsi="Arial" w:cs="Arial"/>
          <w:sz w:val="20"/>
          <w:szCs w:val="20"/>
        </w:rPr>
      </w:pPr>
    </w:p>
    <w:p w:rsidR="005A56F8" w:rsidRPr="00055483" w:rsidRDefault="00A13CB8" w:rsidP="00A13CB8">
      <w:pPr>
        <w:jc w:val="both"/>
        <w:rPr>
          <w:rFonts w:ascii="Arial" w:hAnsi="Arial" w:cs="Arial"/>
          <w:b/>
          <w:bCs/>
          <w:color w:val="E36C0A"/>
          <w:kern w:val="28"/>
          <w:sz w:val="20"/>
          <w:szCs w:val="20"/>
        </w:rPr>
      </w:pPr>
      <w:bookmarkStart w:id="4" w:name="_Hlk38815736"/>
      <w:r>
        <w:rPr>
          <w:rFonts w:ascii="Arial" w:hAnsi="Arial" w:cs="Arial"/>
          <w:b/>
          <w:bCs/>
          <w:color w:val="E36C0A"/>
          <w:kern w:val="28"/>
          <w:sz w:val="20"/>
          <w:szCs w:val="20"/>
        </w:rPr>
        <w:t xml:space="preserve">Sensible </w:t>
      </w:r>
      <w:r w:rsidR="005A56F8">
        <w:rPr>
          <w:rFonts w:ascii="Arial" w:hAnsi="Arial" w:cs="Arial"/>
          <w:b/>
          <w:bCs/>
          <w:color w:val="E36C0A"/>
          <w:kern w:val="28"/>
          <w:sz w:val="20"/>
          <w:szCs w:val="20"/>
        </w:rPr>
        <w:t>redressement</w:t>
      </w:r>
      <w:r w:rsidR="005A56F8" w:rsidRPr="00055483">
        <w:rPr>
          <w:rFonts w:ascii="Arial" w:hAnsi="Arial" w:cs="Arial"/>
          <w:b/>
          <w:bCs/>
          <w:color w:val="E36C0A"/>
          <w:kern w:val="28"/>
          <w:sz w:val="20"/>
          <w:szCs w:val="20"/>
        </w:rPr>
        <w:t xml:space="preserve"> de la demande intérieure</w:t>
      </w:r>
    </w:p>
    <w:p w:rsidR="005A56F8" w:rsidRPr="00055483" w:rsidRDefault="005A56F8" w:rsidP="005A56F8">
      <w:pPr>
        <w:autoSpaceDE w:val="0"/>
        <w:autoSpaceDN w:val="0"/>
        <w:adjustRightInd w:val="0"/>
        <w:jc w:val="both"/>
        <w:rPr>
          <w:rFonts w:ascii="Arial" w:hAnsi="Arial" w:cs="Arial"/>
          <w:b/>
          <w:bCs/>
          <w:color w:val="800000"/>
          <w:kern w:val="28"/>
          <w:sz w:val="20"/>
          <w:szCs w:val="20"/>
        </w:rPr>
      </w:pPr>
    </w:p>
    <w:bookmarkEnd w:id="4"/>
    <w:p w:rsidR="005A56F8" w:rsidRPr="00055483" w:rsidRDefault="005A56F8" w:rsidP="00230ACC">
      <w:pPr>
        <w:jc w:val="both"/>
        <w:rPr>
          <w:rFonts w:ascii="Arial" w:hAnsi="Arial" w:cs="Arial"/>
          <w:sz w:val="20"/>
          <w:szCs w:val="20"/>
        </w:rPr>
      </w:pPr>
      <w:r w:rsidRPr="00055483">
        <w:rPr>
          <w:rFonts w:ascii="Arial" w:hAnsi="Arial" w:cs="Arial"/>
          <w:sz w:val="20"/>
          <w:szCs w:val="20"/>
        </w:rPr>
        <w:t xml:space="preserve">La </w:t>
      </w:r>
      <w:r w:rsidRPr="0004443C">
        <w:rPr>
          <w:rFonts w:ascii="Arial" w:hAnsi="Arial" w:cs="Arial"/>
          <w:b/>
          <w:bCs/>
          <w:sz w:val="20"/>
          <w:szCs w:val="20"/>
        </w:rPr>
        <w:t>demande intérieure</w:t>
      </w:r>
      <w:r w:rsidR="004341CF">
        <w:rPr>
          <w:rFonts w:ascii="Arial" w:hAnsi="Arial" w:cs="Arial"/>
          <w:b/>
          <w:bCs/>
          <w:sz w:val="20"/>
          <w:szCs w:val="20"/>
        </w:rPr>
        <w:t xml:space="preserve"> </w:t>
      </w:r>
      <w:r w:rsidR="003F7FE1">
        <w:rPr>
          <w:rFonts w:ascii="Arial" w:hAnsi="Arial" w:cs="Arial"/>
          <w:sz w:val="20"/>
          <w:szCs w:val="20"/>
        </w:rPr>
        <w:t>aur</w:t>
      </w:r>
      <w:r w:rsidRPr="00055483">
        <w:rPr>
          <w:rFonts w:ascii="Arial" w:hAnsi="Arial" w:cs="Arial"/>
          <w:sz w:val="20"/>
          <w:szCs w:val="20"/>
        </w:rPr>
        <w:t xml:space="preserve">ait </w:t>
      </w:r>
      <w:r w:rsidR="003F7FE1">
        <w:rPr>
          <w:rFonts w:ascii="Arial" w:hAnsi="Arial" w:cs="Arial"/>
          <w:sz w:val="20"/>
          <w:szCs w:val="20"/>
        </w:rPr>
        <w:t>poursuivi son</w:t>
      </w:r>
      <w:r w:rsidR="004341CF">
        <w:rPr>
          <w:rFonts w:ascii="Arial" w:hAnsi="Arial" w:cs="Arial"/>
          <w:sz w:val="20"/>
          <w:szCs w:val="20"/>
        </w:rPr>
        <w:t xml:space="preserve"> </w:t>
      </w:r>
      <w:r>
        <w:rPr>
          <w:rFonts w:ascii="Arial" w:hAnsi="Arial" w:cs="Arial"/>
          <w:sz w:val="20"/>
          <w:szCs w:val="20"/>
        </w:rPr>
        <w:t>redress</w:t>
      </w:r>
      <w:r w:rsidRPr="00055483">
        <w:rPr>
          <w:rFonts w:ascii="Arial" w:hAnsi="Arial" w:cs="Arial"/>
          <w:sz w:val="20"/>
          <w:szCs w:val="20"/>
        </w:rPr>
        <w:t>e</w:t>
      </w:r>
      <w:r w:rsidR="003F7FE1">
        <w:rPr>
          <w:rFonts w:ascii="Arial" w:hAnsi="Arial" w:cs="Arial"/>
          <w:sz w:val="20"/>
          <w:szCs w:val="20"/>
        </w:rPr>
        <w:t>ment</w:t>
      </w:r>
      <w:r w:rsidR="004341CF">
        <w:rPr>
          <w:rFonts w:ascii="Arial" w:hAnsi="Arial" w:cs="Arial"/>
          <w:sz w:val="20"/>
          <w:szCs w:val="20"/>
        </w:rPr>
        <w:t xml:space="preserve"> </w:t>
      </w:r>
      <w:r w:rsidR="003F7FE1">
        <w:rPr>
          <w:rFonts w:ascii="Arial" w:hAnsi="Arial" w:cs="Arial"/>
          <w:sz w:val="20"/>
          <w:szCs w:val="20"/>
        </w:rPr>
        <w:t xml:space="preserve">pour le deuxième </w:t>
      </w:r>
      <w:r>
        <w:rPr>
          <w:rFonts w:ascii="Arial" w:hAnsi="Arial" w:cs="Arial"/>
          <w:sz w:val="20"/>
          <w:szCs w:val="20"/>
        </w:rPr>
        <w:t>trimestre</w:t>
      </w:r>
      <w:r w:rsidR="004341CF">
        <w:rPr>
          <w:rFonts w:ascii="Arial" w:hAnsi="Arial" w:cs="Arial"/>
          <w:sz w:val="20"/>
          <w:szCs w:val="20"/>
        </w:rPr>
        <w:t xml:space="preserve"> </w:t>
      </w:r>
      <w:r w:rsidR="00A13CB8">
        <w:rPr>
          <w:rFonts w:ascii="Arial" w:hAnsi="Arial" w:cs="Arial"/>
          <w:sz w:val="20"/>
          <w:szCs w:val="20"/>
        </w:rPr>
        <w:t>successif</w:t>
      </w:r>
      <w:r w:rsidR="00302EE3">
        <w:rPr>
          <w:rFonts w:ascii="Arial" w:hAnsi="Arial" w:cs="Arial"/>
          <w:sz w:val="20"/>
          <w:szCs w:val="20"/>
        </w:rPr>
        <w:t>,</w:t>
      </w:r>
      <w:r w:rsidR="00A13CB8">
        <w:rPr>
          <w:rFonts w:ascii="Arial" w:hAnsi="Arial" w:cs="Arial"/>
          <w:sz w:val="20"/>
          <w:szCs w:val="20"/>
        </w:rPr>
        <w:t xml:space="preserve"> après avoir</w:t>
      </w:r>
      <w:r w:rsidR="003F7FE1">
        <w:rPr>
          <w:rFonts w:ascii="Arial" w:hAnsi="Arial" w:cs="Arial"/>
          <w:sz w:val="20"/>
          <w:szCs w:val="20"/>
        </w:rPr>
        <w:t xml:space="preserve"> régressé au cours</w:t>
      </w:r>
      <w:r w:rsidR="00475B42">
        <w:rPr>
          <w:rFonts w:ascii="Arial" w:hAnsi="Arial" w:cs="Arial"/>
          <w:sz w:val="20"/>
          <w:szCs w:val="20"/>
        </w:rPr>
        <w:t xml:space="preserve"> de l’année</w:t>
      </w:r>
      <w:r w:rsidR="003F7FE1">
        <w:rPr>
          <w:rFonts w:ascii="Arial" w:hAnsi="Arial" w:cs="Arial"/>
          <w:sz w:val="20"/>
          <w:szCs w:val="20"/>
        </w:rPr>
        <w:t xml:space="preserve"> 2020</w:t>
      </w:r>
      <w:r w:rsidRPr="00055483">
        <w:rPr>
          <w:rFonts w:ascii="Arial" w:hAnsi="Arial" w:cs="Arial"/>
          <w:sz w:val="20"/>
          <w:szCs w:val="20"/>
        </w:rPr>
        <w:t xml:space="preserve">. </w:t>
      </w:r>
      <w:r w:rsidRPr="00724DD4">
        <w:rPr>
          <w:rFonts w:ascii="Arial" w:hAnsi="Arial" w:cs="Arial"/>
          <w:sz w:val="20"/>
          <w:szCs w:val="20"/>
        </w:rPr>
        <w:t>La consommation des ménages</w:t>
      </w:r>
      <w:r w:rsidR="004341CF">
        <w:rPr>
          <w:rFonts w:ascii="Arial" w:hAnsi="Arial" w:cs="Arial"/>
          <w:sz w:val="20"/>
          <w:szCs w:val="20"/>
        </w:rPr>
        <w:t xml:space="preserve"> </w:t>
      </w:r>
      <w:r w:rsidRPr="00724DD4">
        <w:rPr>
          <w:rFonts w:ascii="Arial" w:hAnsi="Arial" w:cs="Arial"/>
          <w:sz w:val="20"/>
          <w:szCs w:val="20"/>
        </w:rPr>
        <w:t xml:space="preserve">se serait </w:t>
      </w:r>
      <w:r w:rsidR="00475B42">
        <w:rPr>
          <w:rFonts w:ascii="Arial" w:hAnsi="Arial" w:cs="Arial"/>
          <w:sz w:val="20"/>
          <w:szCs w:val="20"/>
        </w:rPr>
        <w:t>affermi</w:t>
      </w:r>
      <w:r w:rsidRPr="00724DD4">
        <w:rPr>
          <w:rFonts w:ascii="Arial" w:hAnsi="Arial" w:cs="Arial"/>
          <w:sz w:val="20"/>
          <w:szCs w:val="20"/>
        </w:rPr>
        <w:t xml:space="preserve">e de </w:t>
      </w:r>
      <w:r w:rsidR="00380D31">
        <w:rPr>
          <w:rFonts w:ascii="Arial" w:hAnsi="Arial" w:cs="Arial" w:hint="cs"/>
          <w:sz w:val="20"/>
          <w:szCs w:val="20"/>
          <w:rtl/>
        </w:rPr>
        <w:t>1</w:t>
      </w:r>
      <w:r w:rsidR="00230ACC">
        <w:rPr>
          <w:rFonts w:ascii="Arial" w:hAnsi="Arial" w:cs="Arial"/>
          <w:sz w:val="20"/>
          <w:szCs w:val="20"/>
        </w:rPr>
        <w:t>8</w:t>
      </w:r>
      <w:r w:rsidR="00265AA4">
        <w:rPr>
          <w:rFonts w:ascii="Arial" w:hAnsi="Arial" w:cs="Arial"/>
          <w:sz w:val="20"/>
          <w:szCs w:val="20"/>
        </w:rPr>
        <w:t>,</w:t>
      </w:r>
      <w:r w:rsidR="00230ACC">
        <w:rPr>
          <w:rFonts w:ascii="Arial" w:hAnsi="Arial" w:cs="Arial"/>
          <w:sz w:val="20"/>
          <w:szCs w:val="20"/>
        </w:rPr>
        <w:t>9</w:t>
      </w:r>
      <w:r w:rsidRPr="00724DD4">
        <w:rPr>
          <w:rFonts w:ascii="Arial" w:hAnsi="Arial" w:cs="Arial"/>
          <w:sz w:val="20"/>
          <w:szCs w:val="20"/>
        </w:rPr>
        <w:t xml:space="preserve">%, </w:t>
      </w:r>
      <w:r w:rsidR="002A39CF">
        <w:rPr>
          <w:rFonts w:ascii="Arial" w:hAnsi="Arial" w:cs="Arial"/>
          <w:sz w:val="20"/>
          <w:szCs w:val="20"/>
        </w:rPr>
        <w:t xml:space="preserve">au lieu de +2,4% </w:t>
      </w:r>
      <w:r w:rsidR="002A39CF">
        <w:rPr>
          <w:rFonts w:ascii="Arial" w:hAnsi="Arial" w:cs="Arial"/>
          <w:sz w:val="20"/>
          <w:szCs w:val="20"/>
        </w:rPr>
        <w:lastRenderedPageBreak/>
        <w:t xml:space="preserve">un trimestre auparavant, </w:t>
      </w:r>
      <w:r w:rsidR="00475B42">
        <w:rPr>
          <w:rFonts w:ascii="Arial" w:hAnsi="Arial" w:cs="Arial"/>
          <w:sz w:val="20"/>
          <w:szCs w:val="20"/>
        </w:rPr>
        <w:t xml:space="preserve">portée par la hausse </w:t>
      </w:r>
      <w:r w:rsidRPr="00724DD4">
        <w:rPr>
          <w:rFonts w:ascii="Arial" w:hAnsi="Arial" w:cs="Arial"/>
          <w:sz w:val="20"/>
          <w:szCs w:val="20"/>
        </w:rPr>
        <w:t xml:space="preserve">des achats de biens </w:t>
      </w:r>
      <w:r w:rsidR="00475B42">
        <w:rPr>
          <w:rFonts w:ascii="Arial" w:hAnsi="Arial" w:cs="Arial"/>
          <w:sz w:val="20"/>
          <w:szCs w:val="20"/>
        </w:rPr>
        <w:t xml:space="preserve">alimentaires, </w:t>
      </w:r>
      <w:r w:rsidR="004446D7">
        <w:rPr>
          <w:rFonts w:ascii="Arial" w:hAnsi="Arial" w:cs="Arial"/>
          <w:sz w:val="20"/>
          <w:szCs w:val="20"/>
        </w:rPr>
        <w:t>manufacturés</w:t>
      </w:r>
      <w:r w:rsidR="00475B42">
        <w:rPr>
          <w:rFonts w:ascii="Arial" w:hAnsi="Arial" w:cs="Arial"/>
          <w:sz w:val="20"/>
          <w:szCs w:val="20"/>
        </w:rPr>
        <w:t xml:space="preserve"> et de services </w:t>
      </w:r>
      <w:r w:rsidR="00B92A9A">
        <w:rPr>
          <w:rFonts w:ascii="Arial" w:hAnsi="Arial" w:cs="Arial"/>
          <w:sz w:val="20"/>
          <w:szCs w:val="20"/>
        </w:rPr>
        <w:t xml:space="preserve">de transport, </w:t>
      </w:r>
      <w:r w:rsidR="00475B42">
        <w:rPr>
          <w:rFonts w:ascii="Arial" w:hAnsi="Arial" w:cs="Arial"/>
          <w:sz w:val="20"/>
          <w:szCs w:val="20"/>
        </w:rPr>
        <w:t xml:space="preserve">de restauration et de </w:t>
      </w:r>
      <w:r w:rsidR="00475B42" w:rsidRPr="004341CF">
        <w:rPr>
          <w:rFonts w:ascii="Arial" w:hAnsi="Arial" w:cs="Arial"/>
          <w:sz w:val="20"/>
          <w:szCs w:val="20"/>
        </w:rPr>
        <w:t>loisir</w:t>
      </w:r>
      <w:r w:rsidR="00302EE3" w:rsidRPr="004341CF">
        <w:rPr>
          <w:rFonts w:ascii="Arial" w:hAnsi="Arial" w:cs="Arial"/>
          <w:sz w:val="20"/>
          <w:szCs w:val="20"/>
        </w:rPr>
        <w:t>s</w:t>
      </w:r>
      <w:r w:rsidRPr="004341CF">
        <w:rPr>
          <w:rFonts w:ascii="Arial" w:hAnsi="Arial" w:cs="Arial"/>
          <w:sz w:val="20"/>
          <w:szCs w:val="20"/>
        </w:rPr>
        <w:t>.</w:t>
      </w:r>
      <w:r w:rsidR="004341CF">
        <w:rPr>
          <w:rFonts w:ascii="Arial" w:hAnsi="Arial" w:cs="Arial"/>
          <w:sz w:val="20"/>
          <w:szCs w:val="20"/>
        </w:rPr>
        <w:t xml:space="preserve"> </w:t>
      </w:r>
      <w:r w:rsidRPr="00055483">
        <w:rPr>
          <w:rFonts w:ascii="Arial" w:hAnsi="Arial" w:cs="Arial"/>
          <w:sz w:val="20"/>
          <w:szCs w:val="20"/>
        </w:rPr>
        <w:t xml:space="preserve">La consommation des administrations publiques </w:t>
      </w:r>
      <w:r>
        <w:rPr>
          <w:rFonts w:ascii="Arial" w:hAnsi="Arial" w:cs="Arial"/>
          <w:sz w:val="20"/>
          <w:szCs w:val="20"/>
        </w:rPr>
        <w:t>au</w:t>
      </w:r>
      <w:r w:rsidRPr="00055483">
        <w:rPr>
          <w:rFonts w:ascii="Arial" w:hAnsi="Arial" w:cs="Arial"/>
          <w:sz w:val="20"/>
          <w:szCs w:val="20"/>
        </w:rPr>
        <w:t>rait</w:t>
      </w:r>
      <w:r>
        <w:rPr>
          <w:rFonts w:ascii="Arial" w:hAnsi="Arial" w:cs="Arial"/>
          <w:sz w:val="20"/>
          <w:szCs w:val="20"/>
        </w:rPr>
        <w:t xml:space="preserve">, pour sa part, progressé de </w:t>
      </w:r>
      <w:r w:rsidR="003F7FE1">
        <w:rPr>
          <w:rFonts w:ascii="Arial" w:hAnsi="Arial" w:cs="Arial"/>
          <w:sz w:val="20"/>
          <w:szCs w:val="20"/>
        </w:rPr>
        <w:t>5</w:t>
      </w:r>
      <w:r w:rsidRPr="00055483">
        <w:rPr>
          <w:rFonts w:ascii="Arial" w:hAnsi="Arial" w:cs="Arial"/>
          <w:sz w:val="20"/>
          <w:szCs w:val="20"/>
        </w:rPr>
        <w:t>,</w:t>
      </w:r>
      <w:r w:rsidR="003F7FE1">
        <w:rPr>
          <w:rFonts w:ascii="Arial" w:hAnsi="Arial" w:cs="Arial"/>
          <w:sz w:val="20"/>
          <w:szCs w:val="20"/>
        </w:rPr>
        <w:t>3</w:t>
      </w:r>
      <w:r w:rsidRPr="00055483">
        <w:rPr>
          <w:rFonts w:ascii="Arial" w:hAnsi="Arial" w:cs="Arial"/>
          <w:sz w:val="20"/>
          <w:szCs w:val="20"/>
        </w:rPr>
        <w:t xml:space="preserve">%, </w:t>
      </w:r>
      <w:r>
        <w:rPr>
          <w:rFonts w:ascii="Arial" w:hAnsi="Arial" w:cs="Arial"/>
          <w:sz w:val="20"/>
          <w:szCs w:val="20"/>
        </w:rPr>
        <w:t xml:space="preserve">au lieu de </w:t>
      </w:r>
      <w:r w:rsidR="00961089">
        <w:rPr>
          <w:rFonts w:ascii="Arial" w:hAnsi="Arial" w:cs="Arial"/>
          <w:sz w:val="20"/>
          <w:szCs w:val="20"/>
        </w:rPr>
        <w:t>+</w:t>
      </w:r>
      <w:r w:rsidR="003F7FE1">
        <w:rPr>
          <w:rFonts w:ascii="Arial" w:hAnsi="Arial" w:cs="Arial"/>
          <w:sz w:val="20"/>
          <w:szCs w:val="20"/>
        </w:rPr>
        <w:t>6</w:t>
      </w:r>
      <w:r>
        <w:rPr>
          <w:rFonts w:ascii="Arial" w:hAnsi="Arial" w:cs="Arial"/>
          <w:sz w:val="20"/>
          <w:szCs w:val="20"/>
        </w:rPr>
        <w:t>,</w:t>
      </w:r>
      <w:r w:rsidR="003F7FE1">
        <w:rPr>
          <w:rFonts w:ascii="Arial" w:hAnsi="Arial" w:cs="Arial"/>
          <w:sz w:val="20"/>
          <w:szCs w:val="20"/>
        </w:rPr>
        <w:t>2</w:t>
      </w:r>
      <w:r>
        <w:rPr>
          <w:rFonts w:ascii="Arial" w:hAnsi="Arial" w:cs="Arial"/>
          <w:sz w:val="20"/>
          <w:szCs w:val="20"/>
        </w:rPr>
        <w:t xml:space="preserve">% un trimestre plus tôt, en ligne avec l’accroissement </w:t>
      </w:r>
      <w:r w:rsidRPr="00055483">
        <w:rPr>
          <w:rFonts w:ascii="Arial" w:hAnsi="Arial" w:cs="Arial"/>
          <w:sz w:val="20"/>
          <w:szCs w:val="20"/>
        </w:rPr>
        <w:t>des dépenses de fonctionnement</w:t>
      </w:r>
      <w:r>
        <w:rPr>
          <w:rFonts w:ascii="Arial" w:hAnsi="Arial" w:cs="Arial"/>
          <w:sz w:val="20"/>
          <w:szCs w:val="20"/>
        </w:rPr>
        <w:t xml:space="preserve"> administratif</w:t>
      </w:r>
      <w:r w:rsidRPr="00055483">
        <w:rPr>
          <w:rFonts w:ascii="Arial" w:hAnsi="Arial" w:cs="Arial"/>
          <w:sz w:val="20"/>
          <w:szCs w:val="20"/>
        </w:rPr>
        <w:t xml:space="preserve">. </w:t>
      </w:r>
      <w:r>
        <w:rPr>
          <w:rFonts w:ascii="Arial" w:hAnsi="Arial" w:cs="Arial"/>
          <w:sz w:val="20"/>
          <w:szCs w:val="20"/>
        </w:rPr>
        <w:t>L</w:t>
      </w:r>
      <w:r w:rsidRPr="00055483">
        <w:rPr>
          <w:rFonts w:ascii="Arial" w:hAnsi="Arial" w:cs="Arial"/>
          <w:sz w:val="20"/>
          <w:szCs w:val="20"/>
        </w:rPr>
        <w:t>’investissement</w:t>
      </w:r>
      <w:r w:rsidR="004341CF">
        <w:rPr>
          <w:rFonts w:ascii="Arial" w:hAnsi="Arial" w:cs="Arial"/>
          <w:sz w:val="20"/>
          <w:szCs w:val="20"/>
        </w:rPr>
        <w:t xml:space="preserve"> </w:t>
      </w:r>
      <w:r w:rsidR="000756C7">
        <w:rPr>
          <w:rFonts w:ascii="Arial" w:hAnsi="Arial" w:cs="Arial"/>
          <w:sz w:val="20"/>
          <w:szCs w:val="20"/>
        </w:rPr>
        <w:t xml:space="preserve">brut </w:t>
      </w:r>
      <w:r w:rsidR="00516EEC">
        <w:rPr>
          <w:rFonts w:ascii="Arial" w:hAnsi="Arial" w:cs="Arial"/>
          <w:sz w:val="20"/>
          <w:szCs w:val="20"/>
        </w:rPr>
        <w:t>se se</w:t>
      </w:r>
      <w:r>
        <w:rPr>
          <w:rFonts w:ascii="Arial" w:hAnsi="Arial" w:cs="Arial"/>
          <w:sz w:val="20"/>
          <w:szCs w:val="20"/>
        </w:rPr>
        <w:t>rait</w:t>
      </w:r>
      <w:r w:rsidR="00302EE3">
        <w:rPr>
          <w:rFonts w:ascii="Arial" w:hAnsi="Arial" w:cs="Arial"/>
          <w:sz w:val="20"/>
          <w:szCs w:val="20"/>
        </w:rPr>
        <w:t>,</w:t>
      </w:r>
      <w:r w:rsidR="000756C7">
        <w:rPr>
          <w:rFonts w:ascii="Arial" w:hAnsi="Arial" w:cs="Arial"/>
          <w:sz w:val="20"/>
          <w:szCs w:val="20"/>
        </w:rPr>
        <w:t xml:space="preserve"> également</w:t>
      </w:r>
      <w:r w:rsidR="00302EE3">
        <w:rPr>
          <w:rFonts w:ascii="Arial" w:hAnsi="Arial" w:cs="Arial"/>
          <w:sz w:val="20"/>
          <w:szCs w:val="20"/>
        </w:rPr>
        <w:t>,</w:t>
      </w:r>
      <w:r w:rsidR="004341CF">
        <w:rPr>
          <w:rFonts w:ascii="Arial" w:hAnsi="Arial" w:cs="Arial"/>
          <w:sz w:val="20"/>
          <w:szCs w:val="20"/>
        </w:rPr>
        <w:t xml:space="preserve"> </w:t>
      </w:r>
      <w:r w:rsidR="00475B42">
        <w:rPr>
          <w:rFonts w:ascii="Arial" w:hAnsi="Arial" w:cs="Arial"/>
          <w:sz w:val="20"/>
          <w:szCs w:val="20"/>
        </w:rPr>
        <w:t>consolidé</w:t>
      </w:r>
      <w:r w:rsidR="004341CF">
        <w:rPr>
          <w:rFonts w:ascii="Arial" w:hAnsi="Arial" w:cs="Arial"/>
          <w:sz w:val="20"/>
          <w:szCs w:val="20"/>
        </w:rPr>
        <w:t xml:space="preserve"> </w:t>
      </w:r>
      <w:r w:rsidR="00B15007">
        <w:rPr>
          <w:rFonts w:ascii="Arial" w:hAnsi="Arial" w:cs="Arial"/>
          <w:sz w:val="20"/>
          <w:szCs w:val="20"/>
        </w:rPr>
        <w:t xml:space="preserve">de </w:t>
      </w:r>
      <w:r w:rsidR="003F7FE1">
        <w:rPr>
          <w:rFonts w:ascii="Arial" w:hAnsi="Arial" w:cs="Arial"/>
          <w:sz w:val="20"/>
          <w:szCs w:val="20"/>
        </w:rPr>
        <w:t>5</w:t>
      </w:r>
      <w:r w:rsidR="00466EF8">
        <w:rPr>
          <w:rFonts w:ascii="Arial" w:hAnsi="Arial" w:cs="Arial"/>
          <w:sz w:val="20"/>
          <w:szCs w:val="20"/>
        </w:rPr>
        <w:t>,</w:t>
      </w:r>
      <w:r w:rsidR="00265AA4">
        <w:rPr>
          <w:rFonts w:ascii="Arial" w:hAnsi="Arial" w:cs="Arial"/>
          <w:sz w:val="20"/>
          <w:szCs w:val="20"/>
        </w:rPr>
        <w:t>5</w:t>
      </w:r>
      <w:r w:rsidR="00466EF8">
        <w:rPr>
          <w:rFonts w:ascii="Arial" w:hAnsi="Arial" w:cs="Arial"/>
          <w:sz w:val="20"/>
          <w:szCs w:val="20"/>
        </w:rPr>
        <w:t>%, au lieu de +4,</w:t>
      </w:r>
      <w:r w:rsidR="00265AA4">
        <w:rPr>
          <w:rFonts w:ascii="Arial" w:hAnsi="Arial" w:cs="Arial"/>
          <w:sz w:val="20"/>
          <w:szCs w:val="20"/>
        </w:rPr>
        <w:t>1</w:t>
      </w:r>
      <w:r w:rsidR="00466EF8">
        <w:rPr>
          <w:rFonts w:ascii="Arial" w:hAnsi="Arial" w:cs="Arial"/>
          <w:sz w:val="20"/>
          <w:szCs w:val="20"/>
        </w:rPr>
        <w:t>% le trimestre qui précède</w:t>
      </w:r>
      <w:r>
        <w:rPr>
          <w:rFonts w:ascii="Arial" w:hAnsi="Arial" w:cs="Arial"/>
          <w:sz w:val="20"/>
          <w:szCs w:val="20"/>
        </w:rPr>
        <w:t xml:space="preserve">, </w:t>
      </w:r>
      <w:r w:rsidR="00475B42">
        <w:rPr>
          <w:rFonts w:ascii="Arial" w:hAnsi="Arial" w:cs="Arial"/>
          <w:sz w:val="20"/>
          <w:szCs w:val="20"/>
        </w:rPr>
        <w:t xml:space="preserve">dans le sillage </w:t>
      </w:r>
      <w:r w:rsidR="00B15007">
        <w:rPr>
          <w:rFonts w:ascii="Arial" w:hAnsi="Arial" w:cs="Arial"/>
          <w:sz w:val="20"/>
          <w:szCs w:val="20"/>
        </w:rPr>
        <w:t xml:space="preserve">du </w:t>
      </w:r>
      <w:r w:rsidR="00475B42">
        <w:rPr>
          <w:rFonts w:ascii="Arial" w:hAnsi="Arial" w:cs="Arial"/>
          <w:sz w:val="20"/>
          <w:szCs w:val="20"/>
        </w:rPr>
        <w:t>raffermissement</w:t>
      </w:r>
      <w:r w:rsidR="004341CF">
        <w:rPr>
          <w:rFonts w:ascii="Arial" w:hAnsi="Arial" w:cs="Arial"/>
          <w:sz w:val="20"/>
          <w:szCs w:val="20"/>
        </w:rPr>
        <w:t xml:space="preserve"> </w:t>
      </w:r>
      <w:r w:rsidRPr="006C39D7">
        <w:rPr>
          <w:rFonts w:ascii="Arial" w:hAnsi="Arial" w:cs="Arial"/>
          <w:sz w:val="20"/>
          <w:szCs w:val="20"/>
        </w:rPr>
        <w:t xml:space="preserve">de l’équipement en produits manufacturés </w:t>
      </w:r>
      <w:r>
        <w:rPr>
          <w:rFonts w:ascii="Arial" w:hAnsi="Arial" w:cs="Arial"/>
          <w:sz w:val="20"/>
          <w:szCs w:val="20"/>
        </w:rPr>
        <w:t xml:space="preserve">et </w:t>
      </w:r>
      <w:r w:rsidRPr="00055483">
        <w:rPr>
          <w:rFonts w:ascii="Arial" w:hAnsi="Arial" w:cs="Arial"/>
          <w:sz w:val="20"/>
          <w:szCs w:val="20"/>
        </w:rPr>
        <w:t xml:space="preserve">immobiliers. </w:t>
      </w:r>
    </w:p>
    <w:p w:rsidR="005A56F8" w:rsidRPr="00055483" w:rsidRDefault="005A56F8" w:rsidP="005A56F8">
      <w:pPr>
        <w:autoSpaceDE w:val="0"/>
        <w:autoSpaceDN w:val="0"/>
        <w:adjustRightInd w:val="0"/>
        <w:jc w:val="both"/>
        <w:rPr>
          <w:rFonts w:ascii="Arial" w:hAnsi="Arial" w:cs="Arial"/>
          <w:b/>
          <w:bCs/>
          <w:color w:val="E36C0A"/>
          <w:sz w:val="20"/>
          <w:szCs w:val="20"/>
        </w:rPr>
      </w:pPr>
    </w:p>
    <w:p w:rsidR="00B56D8A" w:rsidRPr="00462E39" w:rsidRDefault="00B56D8A" w:rsidP="00B56D8A">
      <w:pPr>
        <w:autoSpaceDE w:val="0"/>
        <w:autoSpaceDN w:val="0"/>
        <w:adjustRightInd w:val="0"/>
        <w:jc w:val="both"/>
        <w:rPr>
          <w:rFonts w:ascii="Arial" w:hAnsi="Arial" w:cs="Arial"/>
          <w:b/>
          <w:bCs/>
          <w:color w:val="E36C0A"/>
          <w:sz w:val="20"/>
          <w:szCs w:val="20"/>
        </w:rPr>
      </w:pPr>
      <w:r>
        <w:rPr>
          <w:rFonts w:ascii="Arial" w:hAnsi="Arial" w:cs="Arial"/>
          <w:b/>
          <w:bCs/>
          <w:color w:val="E36C0A"/>
          <w:sz w:val="20"/>
          <w:szCs w:val="20"/>
        </w:rPr>
        <w:t xml:space="preserve">Accélération </w:t>
      </w:r>
      <w:r w:rsidRPr="00462E39">
        <w:rPr>
          <w:rFonts w:ascii="Arial" w:hAnsi="Arial" w:cs="Arial"/>
          <w:b/>
          <w:bCs/>
          <w:color w:val="E36C0A"/>
          <w:sz w:val="20"/>
          <w:szCs w:val="20"/>
        </w:rPr>
        <w:t>des prix à la consommation</w:t>
      </w:r>
    </w:p>
    <w:p w:rsidR="00B56D8A" w:rsidRDefault="00B56D8A" w:rsidP="00B56D8A">
      <w:pPr>
        <w:jc w:val="both"/>
        <w:rPr>
          <w:rFonts w:ascii="Arial" w:hAnsi="Arial" w:cs="Arial"/>
          <w:kern w:val="1"/>
          <w:sz w:val="20"/>
          <w:szCs w:val="20"/>
          <w:lang w:eastAsia="ar-SA"/>
        </w:rPr>
      </w:pPr>
    </w:p>
    <w:p w:rsidR="00B56D8A" w:rsidRPr="009F2DB7" w:rsidRDefault="00577736" w:rsidP="0034674B">
      <w:pPr>
        <w:jc w:val="both"/>
        <w:rPr>
          <w:rFonts w:ascii="Arial" w:hAnsi="Arial" w:cs="Arial"/>
          <w:kern w:val="1"/>
          <w:sz w:val="20"/>
          <w:szCs w:val="20"/>
          <w:lang w:eastAsia="ar-SA"/>
        </w:rPr>
      </w:pPr>
      <w:r>
        <w:rPr>
          <w:rFonts w:ascii="Arial" w:hAnsi="Arial" w:cs="Arial"/>
          <w:noProof/>
          <w:kern w:val="1"/>
          <w:sz w:val="20"/>
          <w:szCs w:val="20"/>
        </w:rPr>
        <w:drawing>
          <wp:anchor distT="0" distB="0" distL="114300" distR="114300" simplePos="0" relativeHeight="251665920" behindDoc="1" locked="0" layoutInCell="1" allowOverlap="1">
            <wp:simplePos x="0" y="0"/>
            <wp:positionH relativeFrom="column">
              <wp:posOffset>4135120</wp:posOffset>
            </wp:positionH>
            <wp:positionV relativeFrom="paragraph">
              <wp:posOffset>265430</wp:posOffset>
            </wp:positionV>
            <wp:extent cx="2369820" cy="1828800"/>
            <wp:effectExtent l="19050" t="0" r="0" b="0"/>
            <wp:wrapTight wrapText="bothSides">
              <wp:wrapPolygon edited="0">
                <wp:start x="-174" y="0"/>
                <wp:lineTo x="-174" y="21150"/>
                <wp:lineTo x="21531" y="21150"/>
                <wp:lineTo x="21531" y="0"/>
                <wp:lineTo x="-174"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369820" cy="1828800"/>
                    </a:xfrm>
                    <a:prstGeom prst="rect">
                      <a:avLst/>
                    </a:prstGeom>
                    <a:noFill/>
                    <a:ln w="9525">
                      <a:noFill/>
                      <a:miter lim="800000"/>
                      <a:headEnd/>
                      <a:tailEnd/>
                    </a:ln>
                  </pic:spPr>
                </pic:pic>
              </a:graphicData>
            </a:graphic>
          </wp:anchor>
        </w:drawing>
      </w:r>
      <w:r w:rsidR="00B56D8A">
        <w:rPr>
          <w:rFonts w:ascii="Arial" w:hAnsi="Arial" w:cs="Arial"/>
          <w:kern w:val="1"/>
          <w:sz w:val="20"/>
          <w:szCs w:val="20"/>
          <w:lang w:eastAsia="ar-SA"/>
        </w:rPr>
        <w:t xml:space="preserve">Au deuxième trimestre 2021, la croissance des </w:t>
      </w:r>
      <w:r w:rsidR="00B56D8A" w:rsidRPr="00801C1B">
        <w:rPr>
          <w:rFonts w:ascii="Arial" w:hAnsi="Arial" w:cs="Arial"/>
          <w:b/>
          <w:bCs/>
          <w:kern w:val="1"/>
          <w:sz w:val="20"/>
          <w:szCs w:val="20"/>
          <w:lang w:eastAsia="ar-SA"/>
        </w:rPr>
        <w:t>prix à la consommation</w:t>
      </w:r>
      <w:r w:rsidR="00562210">
        <w:rPr>
          <w:rFonts w:ascii="Arial" w:hAnsi="Arial" w:cs="Arial"/>
          <w:b/>
          <w:bCs/>
          <w:kern w:val="1"/>
          <w:sz w:val="20"/>
          <w:szCs w:val="20"/>
          <w:lang w:eastAsia="ar-SA"/>
        </w:rPr>
        <w:t xml:space="preserve"> </w:t>
      </w:r>
      <w:r w:rsidR="00B56D8A">
        <w:rPr>
          <w:rFonts w:ascii="Arial" w:hAnsi="Arial" w:cs="Arial"/>
          <w:kern w:val="1"/>
          <w:sz w:val="20"/>
          <w:szCs w:val="20"/>
          <w:lang w:eastAsia="ar-SA"/>
        </w:rPr>
        <w:t>se serait nettement accélérée, s’établissant à +</w:t>
      </w:r>
      <w:r w:rsidR="00B56D8A">
        <w:rPr>
          <w:rFonts w:ascii="Arial" w:hAnsi="Arial" w:cs="Arial"/>
          <w:sz w:val="20"/>
          <w:szCs w:val="20"/>
        </w:rPr>
        <w:t>1,7% en glissement annuel</w:t>
      </w:r>
      <w:r w:rsidR="00B56D8A" w:rsidRPr="00774FA0">
        <w:rPr>
          <w:rFonts w:ascii="Arial" w:hAnsi="Arial" w:cs="Arial"/>
          <w:sz w:val="20"/>
          <w:szCs w:val="20"/>
        </w:rPr>
        <w:t>,</w:t>
      </w:r>
      <w:r w:rsidR="00B56D8A">
        <w:rPr>
          <w:rFonts w:ascii="Arial" w:hAnsi="Arial" w:cs="Arial"/>
          <w:sz w:val="20"/>
          <w:szCs w:val="20"/>
        </w:rPr>
        <w:t xml:space="preserve"> au lieu de +0,1% un trimestre plus tôt</w:t>
      </w:r>
      <w:r w:rsidR="00B56D8A" w:rsidRPr="00774FA0">
        <w:rPr>
          <w:rFonts w:ascii="Arial" w:hAnsi="Arial" w:cs="Arial"/>
          <w:sz w:val="20"/>
          <w:szCs w:val="20"/>
        </w:rPr>
        <w:t xml:space="preserve">. </w:t>
      </w:r>
      <w:r w:rsidR="00B56D8A">
        <w:rPr>
          <w:rFonts w:ascii="Arial" w:hAnsi="Arial" w:cs="Arial"/>
          <w:sz w:val="20"/>
          <w:szCs w:val="20"/>
        </w:rPr>
        <w:t>Cette évolution aurait été le résultat d’un rebond de 2,1% des prix des produits non-alimentaires et d’un accroissement de 1,3% de ceux des produits alimentaires</w:t>
      </w:r>
      <w:r w:rsidR="00EC4D23">
        <w:rPr>
          <w:rFonts w:ascii="Arial" w:hAnsi="Arial" w:cs="Arial"/>
          <w:sz w:val="20"/>
          <w:szCs w:val="20"/>
        </w:rPr>
        <w:t>, au lieu de -1,2% un trimestre plus tôt</w:t>
      </w:r>
      <w:r w:rsidR="00B56D8A">
        <w:rPr>
          <w:rFonts w:ascii="Arial" w:hAnsi="Arial" w:cs="Arial"/>
          <w:sz w:val="20"/>
          <w:szCs w:val="20"/>
        </w:rPr>
        <w:t xml:space="preserve">. </w:t>
      </w:r>
      <w:r w:rsidR="0034674B">
        <w:rPr>
          <w:rFonts w:ascii="Arial" w:hAnsi="Arial" w:cs="Arial"/>
          <w:sz w:val="20"/>
          <w:szCs w:val="20"/>
        </w:rPr>
        <w:t>L</w:t>
      </w:r>
      <w:r w:rsidR="00B56D8A">
        <w:rPr>
          <w:rFonts w:ascii="Arial" w:hAnsi="Arial" w:cs="Arial"/>
          <w:sz w:val="20"/>
          <w:szCs w:val="20"/>
        </w:rPr>
        <w:t xml:space="preserve">es prix de l’énergie, des fruits frais, des viandes de la volaille, des huiles, des œufs et du fromage se seraient le plus redressés, poussés principalement par l’accroissement des cours des matières premières importées, particulièrement agricoles et énergétiques. </w:t>
      </w:r>
      <w:r w:rsidR="00B56D8A" w:rsidRPr="00F95EEB">
        <w:rPr>
          <w:rFonts w:ascii="Arial" w:hAnsi="Arial" w:cs="Arial"/>
          <w:b/>
          <w:bCs/>
          <w:color w:val="000000"/>
          <w:sz w:val="20"/>
          <w:szCs w:val="20"/>
        </w:rPr>
        <w:t>L’inflation sous-jacente</w:t>
      </w:r>
      <w:r w:rsidR="00B56D8A">
        <w:rPr>
          <w:rFonts w:ascii="Arial" w:hAnsi="Arial" w:cs="Arial"/>
          <w:color w:val="000000"/>
          <w:sz w:val="20"/>
          <w:szCs w:val="20"/>
        </w:rPr>
        <w:t xml:space="preserve">, qui exclut les prix soumis à l’intervention de l’Etat et les produits à prix volatils, aurait, pour sa part, connu une </w:t>
      </w:r>
      <w:r w:rsidR="00B56D8A" w:rsidRPr="00EE7B4D">
        <w:rPr>
          <w:rFonts w:ascii="Arial" w:hAnsi="Arial" w:cs="Arial"/>
          <w:color w:val="000000"/>
          <w:sz w:val="20"/>
          <w:szCs w:val="20"/>
        </w:rPr>
        <w:t xml:space="preserve">croissance </w:t>
      </w:r>
      <w:r w:rsidR="00B56D8A">
        <w:rPr>
          <w:rFonts w:ascii="Arial" w:hAnsi="Arial" w:cs="Arial"/>
          <w:color w:val="000000"/>
          <w:sz w:val="20"/>
          <w:szCs w:val="20"/>
        </w:rPr>
        <w:t>de 1,1% sur un an, au lieu de +0</w:t>
      </w:r>
      <w:r w:rsidR="00B56D8A" w:rsidRPr="00B40572">
        <w:rPr>
          <w:rFonts w:ascii="Arial" w:hAnsi="Arial" w:cs="Arial"/>
          <w:color w:val="000000"/>
          <w:sz w:val="20"/>
          <w:szCs w:val="20"/>
        </w:rPr>
        <w:t>,</w:t>
      </w:r>
      <w:r w:rsidR="00B56D8A">
        <w:rPr>
          <w:rFonts w:ascii="Arial" w:hAnsi="Arial" w:cs="Arial"/>
          <w:color w:val="000000"/>
          <w:sz w:val="20"/>
          <w:szCs w:val="20"/>
        </w:rPr>
        <w:t>6</w:t>
      </w:r>
      <w:r w:rsidR="00B56D8A" w:rsidRPr="00B40572">
        <w:rPr>
          <w:rFonts w:ascii="Arial" w:hAnsi="Arial" w:cs="Arial"/>
          <w:color w:val="000000"/>
          <w:sz w:val="20"/>
          <w:szCs w:val="20"/>
        </w:rPr>
        <w:t>% au trimestre précédent</w:t>
      </w:r>
      <w:r w:rsidR="00B56D8A">
        <w:rPr>
          <w:rFonts w:ascii="Arial" w:hAnsi="Arial" w:cs="Arial"/>
          <w:color w:val="000000"/>
          <w:sz w:val="20"/>
          <w:szCs w:val="20"/>
        </w:rPr>
        <w:t xml:space="preserve">, tirée par l’accélération des prix de ses principaux postes, en particulier ceux des produits manufacturés </w:t>
      </w:r>
      <w:r w:rsidR="00B56D8A" w:rsidRPr="00C83EB4">
        <w:rPr>
          <w:rFonts w:ascii="Arial" w:hAnsi="Arial" w:cs="Arial"/>
          <w:color w:val="000000"/>
          <w:sz w:val="20"/>
          <w:szCs w:val="20"/>
        </w:rPr>
        <w:t>(+</w:t>
      </w:r>
      <w:r w:rsidR="00B56D8A">
        <w:rPr>
          <w:rFonts w:ascii="Arial" w:hAnsi="Arial" w:cs="Arial"/>
          <w:color w:val="000000"/>
          <w:sz w:val="20"/>
          <w:szCs w:val="20"/>
        </w:rPr>
        <w:t>1</w:t>
      </w:r>
      <w:r w:rsidR="00B56D8A" w:rsidRPr="00C83EB4">
        <w:rPr>
          <w:rFonts w:ascii="Arial" w:hAnsi="Arial" w:cs="Arial"/>
          <w:color w:val="000000"/>
          <w:sz w:val="20"/>
          <w:szCs w:val="20"/>
        </w:rPr>
        <w:t>,</w:t>
      </w:r>
      <w:r w:rsidR="00B56D8A">
        <w:rPr>
          <w:rFonts w:ascii="Arial" w:hAnsi="Arial" w:cs="Arial"/>
          <w:color w:val="000000"/>
          <w:sz w:val="20"/>
          <w:szCs w:val="20"/>
        </w:rPr>
        <w:t>3</w:t>
      </w:r>
      <w:r w:rsidR="00B56D8A" w:rsidRPr="00C83EB4">
        <w:rPr>
          <w:rFonts w:ascii="Arial" w:hAnsi="Arial" w:cs="Arial"/>
          <w:color w:val="000000"/>
          <w:sz w:val="20"/>
          <w:szCs w:val="20"/>
        </w:rPr>
        <w:t>%</w:t>
      </w:r>
      <w:r w:rsidR="00B56D8A">
        <w:rPr>
          <w:rFonts w:ascii="Arial" w:hAnsi="Arial" w:cs="Arial"/>
          <w:color w:val="000000"/>
          <w:sz w:val="20"/>
          <w:szCs w:val="20"/>
        </w:rPr>
        <w:t>,</w:t>
      </w:r>
      <w:r w:rsidR="00B56D8A" w:rsidRPr="00C83EB4">
        <w:rPr>
          <w:rFonts w:ascii="Arial" w:hAnsi="Arial" w:cs="Arial"/>
          <w:color w:val="000000"/>
          <w:sz w:val="20"/>
          <w:szCs w:val="20"/>
        </w:rPr>
        <w:t xml:space="preserve"> après +</w:t>
      </w:r>
      <w:r w:rsidR="00B56D8A">
        <w:rPr>
          <w:rFonts w:ascii="Arial" w:hAnsi="Arial" w:cs="Arial"/>
          <w:color w:val="000000"/>
          <w:sz w:val="20"/>
          <w:szCs w:val="20"/>
        </w:rPr>
        <w:t>0</w:t>
      </w:r>
      <w:r w:rsidR="00B56D8A" w:rsidRPr="00C83EB4">
        <w:rPr>
          <w:rFonts w:ascii="Arial" w:hAnsi="Arial" w:cs="Arial"/>
          <w:color w:val="000000"/>
          <w:sz w:val="20"/>
          <w:szCs w:val="20"/>
        </w:rPr>
        <w:t>,</w:t>
      </w:r>
      <w:r w:rsidR="00B56D8A">
        <w:rPr>
          <w:rFonts w:ascii="Arial" w:hAnsi="Arial" w:cs="Arial"/>
          <w:color w:val="000000"/>
          <w:sz w:val="20"/>
          <w:szCs w:val="20"/>
        </w:rPr>
        <w:t>6</w:t>
      </w:r>
      <w:r w:rsidR="00B56D8A" w:rsidRPr="00C83EB4">
        <w:rPr>
          <w:rFonts w:ascii="Arial" w:hAnsi="Arial" w:cs="Arial"/>
          <w:color w:val="000000"/>
          <w:sz w:val="20"/>
          <w:szCs w:val="20"/>
        </w:rPr>
        <w:t>%)</w:t>
      </w:r>
      <w:r w:rsidR="00B56D8A">
        <w:rPr>
          <w:rFonts w:ascii="Arial" w:hAnsi="Arial" w:cs="Arial"/>
          <w:color w:val="000000"/>
          <w:sz w:val="20"/>
          <w:szCs w:val="20"/>
        </w:rPr>
        <w:t>.</w:t>
      </w:r>
    </w:p>
    <w:p w:rsidR="005A56F8" w:rsidRDefault="005A56F8" w:rsidP="005A56F8">
      <w:pPr>
        <w:jc w:val="both"/>
        <w:rPr>
          <w:rFonts w:ascii="Arial" w:hAnsi="Arial" w:cs="Arial"/>
          <w:color w:val="000000"/>
          <w:sz w:val="20"/>
          <w:szCs w:val="20"/>
        </w:rPr>
      </w:pPr>
    </w:p>
    <w:p w:rsidR="00514B84" w:rsidRPr="00514B84" w:rsidRDefault="00514B84" w:rsidP="00514B84">
      <w:pPr>
        <w:jc w:val="both"/>
        <w:rPr>
          <w:rFonts w:ascii="Arial" w:hAnsi="Arial" w:cs="Arial"/>
          <w:b/>
          <w:bCs/>
          <w:color w:val="E36C0A"/>
          <w:kern w:val="28"/>
          <w:sz w:val="20"/>
          <w:szCs w:val="20"/>
        </w:rPr>
      </w:pPr>
      <w:r w:rsidRPr="00514B84">
        <w:rPr>
          <w:rFonts w:ascii="Arial" w:hAnsi="Arial" w:cs="Arial"/>
          <w:b/>
          <w:bCs/>
          <w:color w:val="E36C0A"/>
          <w:kern w:val="28"/>
          <w:sz w:val="20"/>
          <w:szCs w:val="20"/>
        </w:rPr>
        <w:t>Baisse continue des taux d’intérêt monétaires</w:t>
      </w:r>
    </w:p>
    <w:p w:rsidR="00514B84" w:rsidRPr="00A94503" w:rsidRDefault="00514B84" w:rsidP="00514B84">
      <w:pPr>
        <w:jc w:val="both"/>
        <w:rPr>
          <w:rFonts w:ascii="Arial" w:hAnsi="Arial" w:cs="Arial"/>
          <w:sz w:val="20"/>
          <w:szCs w:val="20"/>
        </w:rPr>
      </w:pPr>
    </w:p>
    <w:p w:rsidR="00514B84" w:rsidRPr="00A94503" w:rsidRDefault="00514B84" w:rsidP="00FA3A6E">
      <w:pPr>
        <w:jc w:val="both"/>
        <w:rPr>
          <w:rFonts w:ascii="Arial" w:hAnsi="Arial" w:cs="Arial"/>
          <w:sz w:val="20"/>
          <w:szCs w:val="20"/>
        </w:rPr>
      </w:pPr>
      <w:r w:rsidRPr="00A94503">
        <w:rPr>
          <w:rFonts w:ascii="Arial" w:hAnsi="Arial" w:cs="Arial"/>
          <w:sz w:val="20"/>
          <w:szCs w:val="20"/>
        </w:rPr>
        <w:t xml:space="preserve">La </w:t>
      </w:r>
      <w:r w:rsidRPr="0025078B">
        <w:rPr>
          <w:rFonts w:ascii="Arial" w:hAnsi="Arial" w:cs="Arial"/>
          <w:b/>
          <w:bCs/>
          <w:sz w:val="20"/>
          <w:szCs w:val="20"/>
        </w:rPr>
        <w:t>masse monétaire</w:t>
      </w:r>
      <w:r w:rsidR="00562210">
        <w:rPr>
          <w:rFonts w:ascii="Arial" w:hAnsi="Arial" w:cs="Arial"/>
          <w:b/>
          <w:bCs/>
          <w:sz w:val="20"/>
          <w:szCs w:val="20"/>
        </w:rPr>
        <w:t xml:space="preserve"> </w:t>
      </w:r>
      <w:r>
        <w:rPr>
          <w:rFonts w:ascii="Arial" w:hAnsi="Arial" w:cs="Arial"/>
          <w:sz w:val="20"/>
          <w:szCs w:val="20"/>
        </w:rPr>
        <w:t>aurait évolué au rythme de +6,4</w:t>
      </w:r>
      <w:r w:rsidRPr="00A94503">
        <w:rPr>
          <w:rFonts w:ascii="Arial" w:hAnsi="Arial" w:cs="Arial"/>
          <w:sz w:val="20"/>
          <w:szCs w:val="20"/>
        </w:rPr>
        <w:t xml:space="preserve">%, au </w:t>
      </w:r>
      <w:r>
        <w:rPr>
          <w:rFonts w:ascii="Arial" w:hAnsi="Arial" w:cs="Arial"/>
          <w:sz w:val="20"/>
          <w:szCs w:val="20"/>
        </w:rPr>
        <w:t>deuxième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après +</w:t>
      </w:r>
      <w:r>
        <w:rPr>
          <w:rFonts w:ascii="Arial" w:hAnsi="Arial" w:cs="Arial"/>
          <w:sz w:val="20"/>
          <w:szCs w:val="20"/>
        </w:rPr>
        <w:t>7,6</w:t>
      </w:r>
      <w:r w:rsidRPr="00A94503">
        <w:rPr>
          <w:rFonts w:ascii="Arial" w:hAnsi="Arial" w:cs="Arial"/>
          <w:sz w:val="20"/>
          <w:szCs w:val="20"/>
        </w:rPr>
        <w:t>% un trimestre auparavant, en glissement</w:t>
      </w:r>
      <w:r>
        <w:rPr>
          <w:rFonts w:ascii="Arial" w:hAnsi="Arial" w:cs="Arial"/>
          <w:sz w:val="20"/>
          <w:szCs w:val="20"/>
        </w:rPr>
        <w:t>s</w:t>
      </w:r>
      <w:r w:rsidRPr="00A94503">
        <w:rPr>
          <w:rFonts w:ascii="Arial" w:hAnsi="Arial" w:cs="Arial"/>
          <w:sz w:val="20"/>
          <w:szCs w:val="20"/>
        </w:rPr>
        <w:t xml:space="preserve"> annuel</w:t>
      </w:r>
      <w:r>
        <w:rPr>
          <w:rFonts w:ascii="Arial" w:hAnsi="Arial" w:cs="Arial"/>
          <w:sz w:val="20"/>
          <w:szCs w:val="20"/>
        </w:rPr>
        <w:t>s</w:t>
      </w:r>
      <w:r w:rsidRPr="00A94503">
        <w:rPr>
          <w:rFonts w:ascii="Arial" w:hAnsi="Arial" w:cs="Arial"/>
          <w:sz w:val="20"/>
          <w:szCs w:val="20"/>
        </w:rPr>
        <w:t xml:space="preserve">. Le </w:t>
      </w:r>
      <w:r w:rsidRPr="00A94503">
        <w:rPr>
          <w:rFonts w:ascii="Arial" w:hAnsi="Arial" w:cs="Arial"/>
          <w:b/>
          <w:bCs/>
          <w:sz w:val="20"/>
          <w:szCs w:val="20"/>
        </w:rPr>
        <w:t>besoin de la liquidité</w:t>
      </w:r>
      <w:r w:rsidRPr="00A94503">
        <w:rPr>
          <w:rFonts w:ascii="Arial" w:hAnsi="Arial" w:cs="Arial"/>
          <w:sz w:val="20"/>
          <w:szCs w:val="20"/>
        </w:rPr>
        <w:t xml:space="preserve"> des banques se serait atténué, à la suite </w:t>
      </w:r>
      <w:r>
        <w:rPr>
          <w:rFonts w:ascii="Arial" w:hAnsi="Arial" w:cs="Arial"/>
          <w:sz w:val="20"/>
          <w:szCs w:val="20"/>
        </w:rPr>
        <w:t>d’un repli de la circulation fiduciaire et d’une légère amélioration des réserves de change</w:t>
      </w:r>
      <w:r w:rsidRPr="00A94503">
        <w:rPr>
          <w:rFonts w:ascii="Arial" w:hAnsi="Arial" w:cs="Arial"/>
          <w:sz w:val="20"/>
          <w:szCs w:val="20"/>
        </w:rPr>
        <w:t>. Bank Al-Maghrib aurait</w:t>
      </w:r>
      <w:r w:rsidR="00C65E33">
        <w:rPr>
          <w:rFonts w:ascii="Arial" w:hAnsi="Arial" w:cs="Arial"/>
          <w:sz w:val="20"/>
          <w:szCs w:val="20"/>
        </w:rPr>
        <w:t>,</w:t>
      </w:r>
      <w:r w:rsidR="00562210">
        <w:rPr>
          <w:rFonts w:ascii="Arial" w:hAnsi="Arial" w:cs="Arial"/>
          <w:sz w:val="20"/>
          <w:szCs w:val="20"/>
        </w:rPr>
        <w:t xml:space="preserve"> </w:t>
      </w:r>
      <w:r>
        <w:rPr>
          <w:rFonts w:ascii="Arial" w:hAnsi="Arial" w:cs="Arial"/>
          <w:sz w:val="20"/>
          <w:szCs w:val="20"/>
        </w:rPr>
        <w:t>ainsi</w:t>
      </w:r>
      <w:r w:rsidR="00C65E33">
        <w:rPr>
          <w:rFonts w:ascii="Arial" w:hAnsi="Arial" w:cs="Arial"/>
          <w:sz w:val="20"/>
          <w:szCs w:val="20"/>
        </w:rPr>
        <w:t>,</w:t>
      </w:r>
      <w:r>
        <w:rPr>
          <w:rFonts w:ascii="Arial" w:hAnsi="Arial" w:cs="Arial"/>
          <w:sz w:val="20"/>
          <w:szCs w:val="20"/>
        </w:rPr>
        <w:t xml:space="preserve"> diminué</w:t>
      </w:r>
      <w:r w:rsidRPr="00A94503">
        <w:rPr>
          <w:rFonts w:ascii="Arial" w:hAnsi="Arial" w:cs="Arial"/>
          <w:sz w:val="20"/>
          <w:szCs w:val="20"/>
        </w:rPr>
        <w:t xml:space="preserve"> le volume de ses financements aux banques, tout en adaptant le mécanisme de ses interventions. Les avoirs officiels de réserve auraient progressé </w:t>
      </w:r>
      <w:r>
        <w:rPr>
          <w:rFonts w:ascii="Arial" w:hAnsi="Arial" w:cs="Arial"/>
          <w:sz w:val="20"/>
          <w:szCs w:val="20"/>
        </w:rPr>
        <w:t>de 3,7</w:t>
      </w:r>
      <w:r w:rsidRPr="00A94503">
        <w:rPr>
          <w:rFonts w:ascii="Arial" w:hAnsi="Arial" w:cs="Arial"/>
          <w:sz w:val="20"/>
          <w:szCs w:val="20"/>
        </w:rPr>
        <w:t>%</w:t>
      </w:r>
      <w:r w:rsidR="00FA3A6E">
        <w:rPr>
          <w:rFonts w:ascii="Arial" w:hAnsi="Arial" w:cs="Arial"/>
          <w:sz w:val="20"/>
          <w:szCs w:val="20"/>
        </w:rPr>
        <w:t>, alors que les</w:t>
      </w:r>
      <w:r w:rsidRPr="00A94503">
        <w:rPr>
          <w:rFonts w:ascii="Arial" w:hAnsi="Arial" w:cs="Arial"/>
          <w:sz w:val="20"/>
          <w:szCs w:val="20"/>
        </w:rPr>
        <w:t xml:space="preserve"> créances nettes sur l’administration centrale auraient </w:t>
      </w:r>
      <w:r>
        <w:rPr>
          <w:rFonts w:ascii="Arial" w:hAnsi="Arial" w:cs="Arial"/>
          <w:sz w:val="20"/>
          <w:szCs w:val="20"/>
        </w:rPr>
        <w:t>décéléré</w:t>
      </w:r>
      <w:r w:rsidRPr="00A94503">
        <w:rPr>
          <w:rFonts w:ascii="Arial" w:hAnsi="Arial" w:cs="Arial"/>
          <w:sz w:val="20"/>
          <w:szCs w:val="20"/>
        </w:rPr>
        <w:t xml:space="preserve">, marquant une hausse de </w:t>
      </w:r>
      <w:r>
        <w:rPr>
          <w:rFonts w:ascii="Arial" w:hAnsi="Arial" w:cs="Arial"/>
          <w:sz w:val="20"/>
          <w:szCs w:val="20"/>
        </w:rPr>
        <w:t>3,5</w:t>
      </w:r>
      <w:r w:rsidRPr="00A94503">
        <w:rPr>
          <w:rFonts w:ascii="Arial" w:hAnsi="Arial" w:cs="Arial"/>
          <w:sz w:val="20"/>
          <w:szCs w:val="20"/>
        </w:rPr>
        <w:t>% de l’endettement monétaire du Trésor.</w:t>
      </w:r>
    </w:p>
    <w:p w:rsidR="00514B84" w:rsidRPr="00A94503" w:rsidRDefault="00514B84" w:rsidP="00514B84">
      <w:pPr>
        <w:jc w:val="both"/>
        <w:rPr>
          <w:rFonts w:ascii="Arial" w:hAnsi="Arial" w:cs="Arial"/>
          <w:sz w:val="20"/>
          <w:szCs w:val="20"/>
        </w:rPr>
      </w:pPr>
    </w:p>
    <w:p w:rsidR="00514B84" w:rsidRPr="00A94503" w:rsidRDefault="00514B84" w:rsidP="006774BC">
      <w:pPr>
        <w:jc w:val="both"/>
        <w:rPr>
          <w:rFonts w:ascii="Arial" w:hAnsi="Arial" w:cs="Arial"/>
          <w:sz w:val="20"/>
          <w:szCs w:val="20"/>
        </w:rPr>
      </w:pPr>
      <w:r w:rsidRPr="00A94503">
        <w:rPr>
          <w:rFonts w:ascii="Arial" w:hAnsi="Arial" w:cs="Arial"/>
          <w:sz w:val="20"/>
          <w:szCs w:val="20"/>
        </w:rPr>
        <w:t xml:space="preserve">La croissance des </w:t>
      </w:r>
      <w:r w:rsidRPr="0025078B">
        <w:rPr>
          <w:rFonts w:ascii="Arial" w:hAnsi="Arial" w:cs="Arial"/>
          <w:b/>
          <w:bCs/>
          <w:sz w:val="20"/>
          <w:szCs w:val="20"/>
        </w:rPr>
        <w:t>créances sur l’économie</w:t>
      </w:r>
      <w:r w:rsidR="00562210">
        <w:rPr>
          <w:rFonts w:ascii="Arial" w:hAnsi="Arial" w:cs="Arial"/>
          <w:b/>
          <w:bCs/>
          <w:sz w:val="20"/>
          <w:szCs w:val="20"/>
        </w:rPr>
        <w:t xml:space="preserve"> </w:t>
      </w:r>
      <w:r>
        <w:rPr>
          <w:rFonts w:ascii="Arial" w:hAnsi="Arial" w:cs="Arial"/>
          <w:sz w:val="20"/>
          <w:szCs w:val="20"/>
        </w:rPr>
        <w:t>se serait améliorée</w:t>
      </w:r>
      <w:r w:rsidRPr="00A94503">
        <w:rPr>
          <w:rFonts w:ascii="Arial" w:hAnsi="Arial" w:cs="Arial"/>
          <w:sz w:val="20"/>
          <w:szCs w:val="20"/>
        </w:rPr>
        <w:t xml:space="preserve">. Leur encours aurait augmenté de </w:t>
      </w:r>
      <w:r>
        <w:rPr>
          <w:rFonts w:ascii="Arial" w:hAnsi="Arial" w:cs="Arial"/>
          <w:sz w:val="20"/>
          <w:szCs w:val="20"/>
        </w:rPr>
        <w:t>4,5</w:t>
      </w:r>
      <w:r w:rsidRPr="00A94503">
        <w:rPr>
          <w:rFonts w:ascii="Arial" w:hAnsi="Arial" w:cs="Arial"/>
          <w:sz w:val="20"/>
          <w:szCs w:val="20"/>
        </w:rPr>
        <w:t xml:space="preserve">%, au </w:t>
      </w:r>
      <w:r>
        <w:rPr>
          <w:rFonts w:ascii="Arial" w:hAnsi="Arial" w:cs="Arial"/>
          <w:sz w:val="20"/>
          <w:szCs w:val="20"/>
        </w:rPr>
        <w:t>deuxième</w:t>
      </w:r>
      <w:r w:rsidRPr="00A94503">
        <w:rPr>
          <w:rFonts w:ascii="Arial" w:hAnsi="Arial" w:cs="Arial"/>
          <w:sz w:val="20"/>
          <w:szCs w:val="20"/>
        </w:rPr>
        <w:t xml:space="preserve"> trimestre 202</w:t>
      </w:r>
      <w:r>
        <w:rPr>
          <w:rFonts w:ascii="Arial" w:hAnsi="Arial" w:cs="Arial"/>
          <w:sz w:val="20"/>
          <w:szCs w:val="20"/>
        </w:rPr>
        <w:t>1</w:t>
      </w:r>
      <w:r w:rsidRPr="00A94503">
        <w:rPr>
          <w:rFonts w:ascii="Arial" w:hAnsi="Arial" w:cs="Arial"/>
          <w:sz w:val="20"/>
          <w:szCs w:val="20"/>
        </w:rPr>
        <w:t>, au lieu de +</w:t>
      </w:r>
      <w:r>
        <w:rPr>
          <w:rFonts w:ascii="Arial" w:hAnsi="Arial" w:cs="Arial"/>
          <w:sz w:val="20"/>
          <w:szCs w:val="20"/>
        </w:rPr>
        <w:t>3,7</w:t>
      </w:r>
      <w:r w:rsidRPr="00A94503">
        <w:rPr>
          <w:rFonts w:ascii="Arial" w:hAnsi="Arial" w:cs="Arial"/>
          <w:sz w:val="20"/>
          <w:szCs w:val="20"/>
        </w:rPr>
        <w:t xml:space="preserve">% un trimestre plus tôt. Cette évolution </w:t>
      </w:r>
      <w:r w:rsidR="009E4550">
        <w:rPr>
          <w:rFonts w:ascii="Arial" w:hAnsi="Arial" w:cs="Arial"/>
          <w:sz w:val="20"/>
          <w:szCs w:val="20"/>
        </w:rPr>
        <w:t>au</w:t>
      </w:r>
      <w:r w:rsidRPr="00A94503">
        <w:rPr>
          <w:rFonts w:ascii="Arial" w:hAnsi="Arial" w:cs="Arial"/>
          <w:sz w:val="20"/>
          <w:szCs w:val="20"/>
        </w:rPr>
        <w:t xml:space="preserve">rait </w:t>
      </w:r>
      <w:r w:rsidR="009E4550">
        <w:rPr>
          <w:rFonts w:ascii="Arial" w:hAnsi="Arial" w:cs="Arial"/>
          <w:sz w:val="20"/>
          <w:szCs w:val="20"/>
        </w:rPr>
        <w:t xml:space="preserve">été </w:t>
      </w:r>
      <w:r w:rsidRPr="00A94503">
        <w:rPr>
          <w:rFonts w:ascii="Arial" w:hAnsi="Arial" w:cs="Arial"/>
          <w:sz w:val="20"/>
          <w:szCs w:val="20"/>
        </w:rPr>
        <w:t>attribuable</w:t>
      </w:r>
      <w:r w:rsidR="00C65E33">
        <w:rPr>
          <w:rFonts w:ascii="Arial" w:hAnsi="Arial" w:cs="Arial"/>
          <w:sz w:val="20"/>
          <w:szCs w:val="20"/>
        </w:rPr>
        <w:t>,</w:t>
      </w:r>
      <w:r w:rsidRPr="00A94503">
        <w:rPr>
          <w:rFonts w:ascii="Arial" w:hAnsi="Arial" w:cs="Arial"/>
          <w:sz w:val="20"/>
          <w:szCs w:val="20"/>
        </w:rPr>
        <w:t xml:space="preserve"> notamment</w:t>
      </w:r>
      <w:r w:rsidR="00C65E33">
        <w:rPr>
          <w:rFonts w:ascii="Arial" w:hAnsi="Arial" w:cs="Arial"/>
          <w:sz w:val="20"/>
          <w:szCs w:val="20"/>
        </w:rPr>
        <w:t>,</w:t>
      </w:r>
      <w:r w:rsidRPr="00A94503">
        <w:rPr>
          <w:rFonts w:ascii="Arial" w:hAnsi="Arial" w:cs="Arial"/>
          <w:sz w:val="20"/>
          <w:szCs w:val="20"/>
        </w:rPr>
        <w:t xml:space="preserve"> à un </w:t>
      </w:r>
      <w:r>
        <w:rPr>
          <w:rFonts w:ascii="Arial" w:hAnsi="Arial" w:cs="Arial"/>
          <w:sz w:val="20"/>
          <w:szCs w:val="20"/>
        </w:rPr>
        <w:t>accroissement des crédits immobiliers et à une reprise de</w:t>
      </w:r>
      <w:r w:rsidR="006774BC">
        <w:rPr>
          <w:rFonts w:ascii="Arial" w:hAnsi="Arial" w:cs="Arial"/>
          <w:sz w:val="20"/>
          <w:szCs w:val="20"/>
        </w:rPr>
        <w:t xml:space="preserve"> ceux</w:t>
      </w:r>
      <w:r>
        <w:rPr>
          <w:rFonts w:ascii="Arial" w:hAnsi="Arial" w:cs="Arial"/>
          <w:sz w:val="20"/>
          <w:szCs w:val="20"/>
        </w:rPr>
        <w:t xml:space="preserve"> à la consommation des ménages</w:t>
      </w:r>
      <w:r w:rsidRPr="00A94503">
        <w:rPr>
          <w:rFonts w:ascii="Arial" w:hAnsi="Arial" w:cs="Arial"/>
          <w:sz w:val="20"/>
          <w:szCs w:val="20"/>
        </w:rPr>
        <w:t xml:space="preserve">. Les taux d’intérêt sur le marché interbancaire auraient baissé de </w:t>
      </w:r>
      <w:r>
        <w:rPr>
          <w:rFonts w:ascii="Arial" w:hAnsi="Arial" w:cs="Arial"/>
          <w:sz w:val="20"/>
          <w:szCs w:val="20"/>
        </w:rPr>
        <w:t>43</w:t>
      </w:r>
      <w:r w:rsidRPr="00A94503">
        <w:rPr>
          <w:rFonts w:ascii="Arial" w:hAnsi="Arial" w:cs="Arial"/>
          <w:sz w:val="20"/>
          <w:szCs w:val="20"/>
        </w:rPr>
        <w:t xml:space="preserve"> points de base, en glissement annuel, se s</w:t>
      </w:r>
      <w:r>
        <w:rPr>
          <w:rFonts w:ascii="Arial" w:hAnsi="Arial" w:cs="Arial"/>
          <w:sz w:val="20"/>
          <w:szCs w:val="20"/>
        </w:rPr>
        <w:t xml:space="preserve">ituant </w:t>
      </w:r>
      <w:r w:rsidRPr="00A94503">
        <w:rPr>
          <w:rFonts w:ascii="Arial" w:hAnsi="Arial" w:cs="Arial"/>
          <w:sz w:val="20"/>
          <w:szCs w:val="20"/>
        </w:rPr>
        <w:t xml:space="preserve">à 1,5%, soit le même niveau que le taux directeur de Bank Al-Maghrib. Parallèlement, les taux auraient diminué sur le marché des adjudications des bons du Trésor, avec des replis de </w:t>
      </w:r>
      <w:r>
        <w:rPr>
          <w:rFonts w:ascii="Arial" w:hAnsi="Arial" w:cs="Arial"/>
          <w:sz w:val="20"/>
          <w:szCs w:val="20"/>
        </w:rPr>
        <w:t>66, 46 et 8</w:t>
      </w:r>
      <w:r w:rsidRPr="00A94503">
        <w:rPr>
          <w:rFonts w:ascii="Arial" w:hAnsi="Arial" w:cs="Arial"/>
          <w:sz w:val="20"/>
          <w:szCs w:val="20"/>
        </w:rPr>
        <w:t xml:space="preserve"> points de base pour les taux de maturité</w:t>
      </w:r>
      <w:r>
        <w:rPr>
          <w:rFonts w:ascii="Arial" w:hAnsi="Arial" w:cs="Arial"/>
          <w:sz w:val="20"/>
          <w:szCs w:val="20"/>
        </w:rPr>
        <w:t xml:space="preserve"> 1,</w:t>
      </w:r>
      <w:r w:rsidRPr="00A94503">
        <w:rPr>
          <w:rFonts w:ascii="Arial" w:hAnsi="Arial" w:cs="Arial"/>
          <w:sz w:val="20"/>
          <w:szCs w:val="20"/>
        </w:rPr>
        <w:t xml:space="preserve"> 5</w:t>
      </w:r>
      <w:r>
        <w:rPr>
          <w:rFonts w:ascii="Arial" w:hAnsi="Arial" w:cs="Arial"/>
          <w:sz w:val="20"/>
          <w:szCs w:val="20"/>
        </w:rPr>
        <w:t xml:space="preserve"> et 10</w:t>
      </w:r>
      <w:r w:rsidRPr="00A94503">
        <w:rPr>
          <w:rFonts w:ascii="Arial" w:hAnsi="Arial" w:cs="Arial"/>
          <w:sz w:val="20"/>
          <w:szCs w:val="20"/>
        </w:rPr>
        <w:t xml:space="preserve"> ans respectivement. Les taux créditeurs auraient</w:t>
      </w:r>
      <w:r>
        <w:rPr>
          <w:rFonts w:ascii="Arial" w:hAnsi="Arial" w:cs="Arial"/>
          <w:sz w:val="20"/>
          <w:szCs w:val="20"/>
        </w:rPr>
        <w:t>, pour leur part,</w:t>
      </w:r>
      <w:r w:rsidRPr="00A94503">
        <w:rPr>
          <w:rFonts w:ascii="Arial" w:hAnsi="Arial" w:cs="Arial"/>
          <w:sz w:val="20"/>
          <w:szCs w:val="20"/>
        </w:rPr>
        <w:t xml:space="preserve"> reculé de </w:t>
      </w:r>
      <w:r>
        <w:rPr>
          <w:rFonts w:ascii="Arial" w:hAnsi="Arial" w:cs="Arial"/>
          <w:sz w:val="20"/>
          <w:szCs w:val="20"/>
        </w:rPr>
        <w:t>44</w:t>
      </w:r>
      <w:r w:rsidRPr="00A94503">
        <w:rPr>
          <w:rFonts w:ascii="Arial" w:hAnsi="Arial" w:cs="Arial"/>
          <w:sz w:val="20"/>
          <w:szCs w:val="20"/>
        </w:rPr>
        <w:t xml:space="preserve"> points de base en moyenne.</w:t>
      </w:r>
    </w:p>
    <w:p w:rsidR="00514B84" w:rsidRDefault="00514B84" w:rsidP="00514B84">
      <w:pPr>
        <w:jc w:val="both"/>
        <w:rPr>
          <w:rFonts w:ascii="Arial" w:hAnsi="Arial" w:cs="Arial"/>
          <w:sz w:val="20"/>
          <w:szCs w:val="20"/>
        </w:rPr>
      </w:pPr>
    </w:p>
    <w:p w:rsidR="00514B84" w:rsidRPr="00514B84" w:rsidRDefault="00113F1D" w:rsidP="00514B84">
      <w:pPr>
        <w:jc w:val="both"/>
        <w:rPr>
          <w:rFonts w:ascii="Arial" w:hAnsi="Arial" w:cs="Arial"/>
          <w:b/>
          <w:bCs/>
          <w:color w:val="E36C0A"/>
          <w:kern w:val="28"/>
          <w:sz w:val="20"/>
          <w:szCs w:val="20"/>
        </w:rPr>
      </w:pPr>
      <w:r>
        <w:rPr>
          <w:rFonts w:ascii="Arial" w:hAnsi="Arial" w:cs="Arial"/>
          <w:b/>
          <w:bCs/>
          <w:noProof/>
          <w:color w:val="E36C0A"/>
          <w:kern w:val="28"/>
          <w:sz w:val="20"/>
          <w:szCs w:val="20"/>
        </w:rPr>
        <w:drawing>
          <wp:anchor distT="0" distB="0" distL="114300" distR="114300" simplePos="0" relativeHeight="251663872" behindDoc="1" locked="0" layoutInCell="1" allowOverlap="1">
            <wp:simplePos x="0" y="0"/>
            <wp:positionH relativeFrom="column">
              <wp:posOffset>4133215</wp:posOffset>
            </wp:positionH>
            <wp:positionV relativeFrom="paragraph">
              <wp:posOffset>126365</wp:posOffset>
            </wp:positionV>
            <wp:extent cx="2420620" cy="2010410"/>
            <wp:effectExtent l="19050" t="0" r="0" b="0"/>
            <wp:wrapTight wrapText="bothSides">
              <wp:wrapPolygon edited="0">
                <wp:start x="-170" y="0"/>
                <wp:lineTo x="-170" y="21286"/>
                <wp:lineTo x="21589" y="21286"/>
                <wp:lineTo x="21589" y="0"/>
                <wp:lineTo x="-17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420620" cy="2010410"/>
                    </a:xfrm>
                    <a:prstGeom prst="rect">
                      <a:avLst/>
                    </a:prstGeom>
                    <a:noFill/>
                    <a:ln w="9525">
                      <a:noFill/>
                      <a:miter lim="800000"/>
                      <a:headEnd/>
                      <a:tailEnd/>
                    </a:ln>
                  </pic:spPr>
                </pic:pic>
              </a:graphicData>
            </a:graphic>
          </wp:anchor>
        </w:drawing>
      </w:r>
      <w:r w:rsidR="00514B84" w:rsidRPr="00514B84">
        <w:rPr>
          <w:rFonts w:ascii="Arial" w:hAnsi="Arial" w:cs="Arial"/>
          <w:b/>
          <w:bCs/>
          <w:color w:val="E36C0A"/>
          <w:kern w:val="28"/>
          <w:sz w:val="20"/>
          <w:szCs w:val="20"/>
        </w:rPr>
        <w:t>Reprise de la liquidité du marché boursier</w:t>
      </w:r>
    </w:p>
    <w:p w:rsidR="00514B84" w:rsidRPr="00A94503" w:rsidRDefault="00514B84" w:rsidP="00514B84">
      <w:pPr>
        <w:jc w:val="both"/>
        <w:rPr>
          <w:rFonts w:ascii="Arial" w:hAnsi="Arial" w:cs="Arial"/>
          <w:sz w:val="20"/>
          <w:szCs w:val="20"/>
        </w:rPr>
      </w:pPr>
    </w:p>
    <w:p w:rsidR="00514B84" w:rsidRPr="00A94503" w:rsidRDefault="00514B84" w:rsidP="008638C7">
      <w:pPr>
        <w:jc w:val="both"/>
        <w:rPr>
          <w:rFonts w:ascii="Arial" w:hAnsi="Arial" w:cs="Arial"/>
          <w:sz w:val="20"/>
          <w:szCs w:val="20"/>
        </w:rPr>
      </w:pPr>
      <w:r w:rsidRPr="00A94503">
        <w:rPr>
          <w:rFonts w:ascii="Arial" w:hAnsi="Arial" w:cs="Arial"/>
          <w:sz w:val="20"/>
          <w:szCs w:val="20"/>
        </w:rPr>
        <w:t>L</w:t>
      </w:r>
      <w:r>
        <w:rPr>
          <w:rFonts w:ascii="Arial" w:hAnsi="Arial" w:cs="Arial"/>
          <w:sz w:val="20"/>
          <w:szCs w:val="20"/>
        </w:rPr>
        <w:t>a croissance du</w:t>
      </w:r>
      <w:r w:rsidR="00562210">
        <w:rPr>
          <w:rFonts w:ascii="Arial" w:hAnsi="Arial" w:cs="Arial"/>
          <w:sz w:val="20"/>
          <w:szCs w:val="20"/>
        </w:rPr>
        <w:t xml:space="preserve"> </w:t>
      </w:r>
      <w:r w:rsidRPr="0025078B">
        <w:rPr>
          <w:rFonts w:ascii="Arial" w:hAnsi="Arial" w:cs="Arial"/>
          <w:b/>
          <w:bCs/>
          <w:sz w:val="20"/>
          <w:szCs w:val="20"/>
        </w:rPr>
        <w:t xml:space="preserve">marché des actions </w:t>
      </w:r>
      <w:r>
        <w:rPr>
          <w:rFonts w:ascii="Arial" w:hAnsi="Arial" w:cs="Arial"/>
          <w:sz w:val="20"/>
          <w:szCs w:val="20"/>
        </w:rPr>
        <w:t>se serait consoli</w:t>
      </w:r>
      <w:r w:rsidR="00113F1D">
        <w:rPr>
          <w:rFonts w:ascii="Arial" w:hAnsi="Arial" w:cs="Arial"/>
          <w:sz w:val="20"/>
          <w:szCs w:val="20"/>
        </w:rPr>
        <w:t>dée au deuxième trimestre 2021</w:t>
      </w:r>
      <w:r w:rsidRPr="00A94503">
        <w:rPr>
          <w:rFonts w:ascii="Arial" w:hAnsi="Arial" w:cs="Arial"/>
          <w:sz w:val="20"/>
          <w:szCs w:val="20"/>
        </w:rPr>
        <w:t xml:space="preserve">. </w:t>
      </w:r>
      <w:r>
        <w:rPr>
          <w:rFonts w:ascii="Arial" w:hAnsi="Arial" w:cs="Arial"/>
          <w:sz w:val="20"/>
          <w:szCs w:val="20"/>
        </w:rPr>
        <w:t>Les indices boursiers</w:t>
      </w:r>
      <w:r w:rsidR="00562210">
        <w:rPr>
          <w:rFonts w:ascii="Arial" w:hAnsi="Arial" w:cs="Arial"/>
          <w:sz w:val="20"/>
          <w:szCs w:val="20"/>
        </w:rPr>
        <w:t xml:space="preserve"> </w:t>
      </w:r>
      <w:r>
        <w:rPr>
          <w:rFonts w:ascii="Arial" w:hAnsi="Arial" w:cs="Arial"/>
          <w:sz w:val="20"/>
          <w:szCs w:val="20"/>
        </w:rPr>
        <w:t>auraient connu</w:t>
      </w:r>
      <w:r w:rsidRPr="00A94503">
        <w:rPr>
          <w:rFonts w:ascii="Arial" w:hAnsi="Arial" w:cs="Arial"/>
          <w:sz w:val="20"/>
          <w:szCs w:val="20"/>
        </w:rPr>
        <w:t xml:space="preserve"> des évolutions </w:t>
      </w:r>
      <w:r>
        <w:rPr>
          <w:rFonts w:ascii="Arial" w:hAnsi="Arial" w:cs="Arial"/>
          <w:sz w:val="20"/>
          <w:szCs w:val="20"/>
        </w:rPr>
        <w:t>haussiè</w:t>
      </w:r>
      <w:r w:rsidRPr="00A94503">
        <w:rPr>
          <w:rFonts w:ascii="Arial" w:hAnsi="Arial" w:cs="Arial"/>
          <w:sz w:val="20"/>
          <w:szCs w:val="20"/>
        </w:rPr>
        <w:t>res</w:t>
      </w:r>
      <w:r>
        <w:rPr>
          <w:rFonts w:ascii="Arial" w:hAnsi="Arial" w:cs="Arial"/>
          <w:sz w:val="20"/>
          <w:szCs w:val="20"/>
        </w:rPr>
        <w:t xml:space="preserve"> importantes</w:t>
      </w:r>
      <w:r w:rsidRPr="00A94503">
        <w:rPr>
          <w:rFonts w:ascii="Arial" w:hAnsi="Arial" w:cs="Arial"/>
          <w:sz w:val="20"/>
          <w:szCs w:val="20"/>
        </w:rPr>
        <w:t xml:space="preserve">, </w:t>
      </w:r>
      <w:r>
        <w:rPr>
          <w:rFonts w:ascii="Arial" w:hAnsi="Arial" w:cs="Arial"/>
          <w:sz w:val="20"/>
          <w:szCs w:val="20"/>
        </w:rPr>
        <w:t>expliquées en partie par l’effet de base</w:t>
      </w:r>
      <w:r w:rsidR="00C65E33">
        <w:rPr>
          <w:rFonts w:ascii="Arial" w:hAnsi="Arial" w:cs="Arial"/>
          <w:sz w:val="20"/>
          <w:szCs w:val="20"/>
        </w:rPr>
        <w:t>,</w:t>
      </w:r>
      <w:r>
        <w:rPr>
          <w:rFonts w:ascii="Arial" w:hAnsi="Arial" w:cs="Arial"/>
          <w:sz w:val="20"/>
          <w:szCs w:val="20"/>
        </w:rPr>
        <w:t xml:space="preserve"> du moment que les baisses enregistrées au deuxième trimestre de l’année 2020 étaient brutales avec l’expansion de la </w:t>
      </w:r>
      <w:r w:rsidRPr="00A94503">
        <w:rPr>
          <w:rFonts w:ascii="Arial" w:hAnsi="Arial" w:cs="Arial"/>
          <w:sz w:val="20"/>
          <w:szCs w:val="20"/>
        </w:rPr>
        <w:t>pandémie Covid-19</w:t>
      </w:r>
      <w:r>
        <w:rPr>
          <w:rFonts w:ascii="Arial" w:hAnsi="Arial" w:cs="Arial"/>
          <w:sz w:val="20"/>
          <w:szCs w:val="20"/>
        </w:rPr>
        <w:t xml:space="preserve">. </w:t>
      </w:r>
      <w:r w:rsidRPr="00A94503">
        <w:rPr>
          <w:rFonts w:ascii="Arial" w:hAnsi="Arial" w:cs="Arial"/>
          <w:sz w:val="20"/>
          <w:szCs w:val="20"/>
        </w:rPr>
        <w:t xml:space="preserve">Les résultats comptables </w:t>
      </w:r>
      <w:r>
        <w:rPr>
          <w:rFonts w:ascii="Arial" w:hAnsi="Arial" w:cs="Arial"/>
          <w:sz w:val="20"/>
          <w:szCs w:val="20"/>
        </w:rPr>
        <w:t>trimestriels</w:t>
      </w:r>
      <w:r w:rsidRPr="00A94503">
        <w:rPr>
          <w:rFonts w:ascii="Arial" w:hAnsi="Arial" w:cs="Arial"/>
          <w:sz w:val="20"/>
          <w:szCs w:val="20"/>
        </w:rPr>
        <w:t xml:space="preserve"> des sociétés cotées auraient enregistré un</w:t>
      </w:r>
      <w:r>
        <w:rPr>
          <w:rFonts w:ascii="Arial" w:hAnsi="Arial" w:cs="Arial"/>
          <w:sz w:val="20"/>
          <w:szCs w:val="20"/>
        </w:rPr>
        <w:t xml:space="preserve"> accroissement du chiffre d’affaires global</w:t>
      </w:r>
      <w:r w:rsidRPr="00A94503">
        <w:rPr>
          <w:rFonts w:ascii="Arial" w:hAnsi="Arial" w:cs="Arial"/>
          <w:sz w:val="20"/>
          <w:szCs w:val="20"/>
        </w:rPr>
        <w:t xml:space="preserve">. </w:t>
      </w:r>
      <w:r>
        <w:rPr>
          <w:rFonts w:ascii="Arial" w:hAnsi="Arial" w:cs="Arial"/>
          <w:sz w:val="20"/>
          <w:szCs w:val="20"/>
        </w:rPr>
        <w:t>L</w:t>
      </w:r>
      <w:r w:rsidRPr="00A94503">
        <w:rPr>
          <w:rFonts w:ascii="Arial" w:hAnsi="Arial" w:cs="Arial"/>
          <w:sz w:val="20"/>
          <w:szCs w:val="20"/>
        </w:rPr>
        <w:t>es séances de corrections à la hausse</w:t>
      </w:r>
      <w:r>
        <w:rPr>
          <w:rFonts w:ascii="Arial" w:hAnsi="Arial" w:cs="Arial"/>
          <w:sz w:val="20"/>
          <w:szCs w:val="20"/>
        </w:rPr>
        <w:t xml:space="preserve"> auraient été dominantes</w:t>
      </w:r>
      <w:r w:rsidRPr="00A94503">
        <w:rPr>
          <w:rFonts w:ascii="Arial" w:hAnsi="Arial" w:cs="Arial"/>
          <w:sz w:val="20"/>
          <w:szCs w:val="20"/>
        </w:rPr>
        <w:t xml:space="preserve">, dévoilant </w:t>
      </w:r>
      <w:r>
        <w:rPr>
          <w:rFonts w:ascii="Arial" w:hAnsi="Arial" w:cs="Arial"/>
          <w:sz w:val="20"/>
          <w:szCs w:val="20"/>
        </w:rPr>
        <w:t>une reprise de la prise de risque</w:t>
      </w:r>
      <w:r w:rsidRPr="00A94503">
        <w:rPr>
          <w:rFonts w:ascii="Arial" w:hAnsi="Arial" w:cs="Arial"/>
          <w:sz w:val="20"/>
          <w:szCs w:val="20"/>
        </w:rPr>
        <w:t xml:space="preserve"> des investisseurs. Les indices boursiers MASI et MADEX </w:t>
      </w:r>
      <w:r>
        <w:rPr>
          <w:rFonts w:ascii="Arial" w:hAnsi="Arial" w:cs="Arial"/>
          <w:sz w:val="20"/>
          <w:szCs w:val="20"/>
        </w:rPr>
        <w:t xml:space="preserve">se seraient accrus </w:t>
      </w:r>
      <w:r w:rsidRPr="00A94503">
        <w:rPr>
          <w:rFonts w:ascii="Arial" w:hAnsi="Arial" w:cs="Arial"/>
          <w:sz w:val="20"/>
          <w:szCs w:val="20"/>
        </w:rPr>
        <w:t xml:space="preserve">de </w:t>
      </w:r>
      <w:r>
        <w:rPr>
          <w:rFonts w:ascii="Arial" w:hAnsi="Arial" w:cs="Arial"/>
          <w:sz w:val="20"/>
          <w:szCs w:val="20"/>
        </w:rPr>
        <w:t xml:space="preserve">22% et 22,2% </w:t>
      </w:r>
      <w:r w:rsidRPr="00A94503">
        <w:rPr>
          <w:rFonts w:ascii="Arial" w:hAnsi="Arial" w:cs="Arial"/>
          <w:sz w:val="20"/>
          <w:szCs w:val="20"/>
        </w:rPr>
        <w:t xml:space="preserve">respectivement, en glissements annuels, après des </w:t>
      </w:r>
      <w:r>
        <w:rPr>
          <w:rFonts w:ascii="Arial" w:hAnsi="Arial" w:cs="Arial"/>
          <w:sz w:val="20"/>
          <w:szCs w:val="20"/>
        </w:rPr>
        <w:t>hausse</w:t>
      </w:r>
      <w:r w:rsidRPr="00A94503">
        <w:rPr>
          <w:rFonts w:ascii="Arial" w:hAnsi="Arial" w:cs="Arial"/>
          <w:sz w:val="20"/>
          <w:szCs w:val="20"/>
        </w:rPr>
        <w:t xml:space="preserve">s de </w:t>
      </w:r>
      <w:r>
        <w:rPr>
          <w:rFonts w:ascii="Arial" w:hAnsi="Arial" w:cs="Arial"/>
          <w:sz w:val="20"/>
          <w:szCs w:val="20"/>
        </w:rPr>
        <w:t>18,3% et 18,5% au</w:t>
      </w:r>
      <w:r w:rsidRPr="00A94503">
        <w:rPr>
          <w:rFonts w:ascii="Arial" w:hAnsi="Arial" w:cs="Arial"/>
          <w:sz w:val="20"/>
          <w:szCs w:val="20"/>
        </w:rPr>
        <w:t xml:space="preserve"> trimestre précédent. </w:t>
      </w:r>
      <w:r>
        <w:rPr>
          <w:rFonts w:ascii="Arial" w:hAnsi="Arial" w:cs="Arial"/>
          <w:sz w:val="20"/>
          <w:szCs w:val="20"/>
        </w:rPr>
        <w:t>Dans le sillage</w:t>
      </w:r>
      <w:r w:rsidR="008638C7">
        <w:rPr>
          <w:rFonts w:ascii="Arial" w:hAnsi="Arial" w:cs="Arial"/>
          <w:sz w:val="20"/>
          <w:szCs w:val="20"/>
        </w:rPr>
        <w:t xml:space="preserve"> du redressement de l’activité économique nationale</w:t>
      </w:r>
      <w:r>
        <w:rPr>
          <w:rFonts w:ascii="Arial" w:hAnsi="Arial" w:cs="Arial"/>
          <w:sz w:val="20"/>
          <w:szCs w:val="20"/>
        </w:rPr>
        <w:t>, l</w:t>
      </w:r>
      <w:r w:rsidRPr="00A94503">
        <w:rPr>
          <w:rFonts w:ascii="Arial" w:hAnsi="Arial" w:cs="Arial"/>
          <w:sz w:val="20"/>
          <w:szCs w:val="20"/>
        </w:rPr>
        <w:t xml:space="preserve">a capitalisation boursière </w:t>
      </w:r>
      <w:r>
        <w:rPr>
          <w:rFonts w:ascii="Arial" w:hAnsi="Arial" w:cs="Arial"/>
          <w:sz w:val="20"/>
          <w:szCs w:val="20"/>
        </w:rPr>
        <w:t>se serait appréciée de 21,7%</w:t>
      </w:r>
      <w:r w:rsidR="00F733ED">
        <w:rPr>
          <w:rFonts w:ascii="Arial" w:hAnsi="Arial" w:cs="Arial"/>
          <w:sz w:val="20"/>
          <w:szCs w:val="20"/>
        </w:rPr>
        <w:t>, en variation annuelle</w:t>
      </w:r>
      <w:r w:rsidRPr="00A94503">
        <w:rPr>
          <w:rFonts w:ascii="Arial" w:hAnsi="Arial" w:cs="Arial"/>
          <w:sz w:val="20"/>
          <w:szCs w:val="20"/>
        </w:rPr>
        <w:t>. L</w:t>
      </w:r>
      <w:r w:rsidR="00E900C0">
        <w:rPr>
          <w:rFonts w:ascii="Arial" w:hAnsi="Arial" w:cs="Arial"/>
          <w:sz w:val="20"/>
          <w:szCs w:val="20"/>
        </w:rPr>
        <w:t>’amélioration</w:t>
      </w:r>
      <w:r w:rsidRPr="00A94503">
        <w:rPr>
          <w:rFonts w:ascii="Arial" w:hAnsi="Arial" w:cs="Arial"/>
          <w:sz w:val="20"/>
          <w:szCs w:val="20"/>
        </w:rPr>
        <w:t xml:space="preserve"> du marché boursier traduirait, principalement, la croissance des cours boursiers d’une partie </w:t>
      </w:r>
      <w:r>
        <w:rPr>
          <w:rFonts w:ascii="Arial" w:hAnsi="Arial" w:cs="Arial"/>
          <w:sz w:val="20"/>
          <w:szCs w:val="20"/>
        </w:rPr>
        <w:t xml:space="preserve">importante </w:t>
      </w:r>
      <w:r w:rsidRPr="00A94503">
        <w:rPr>
          <w:rFonts w:ascii="Arial" w:hAnsi="Arial" w:cs="Arial"/>
          <w:sz w:val="20"/>
          <w:szCs w:val="20"/>
        </w:rPr>
        <w:t xml:space="preserve">des secteurs cotés, avec </w:t>
      </w:r>
      <w:r>
        <w:rPr>
          <w:rFonts w:ascii="Arial" w:hAnsi="Arial" w:cs="Arial"/>
          <w:sz w:val="20"/>
          <w:szCs w:val="20"/>
        </w:rPr>
        <w:t>d</w:t>
      </w:r>
      <w:r w:rsidRPr="00A94503">
        <w:rPr>
          <w:rFonts w:ascii="Arial" w:hAnsi="Arial" w:cs="Arial"/>
          <w:sz w:val="20"/>
          <w:szCs w:val="20"/>
        </w:rPr>
        <w:t>e forte</w:t>
      </w:r>
      <w:r>
        <w:rPr>
          <w:rFonts w:ascii="Arial" w:hAnsi="Arial" w:cs="Arial"/>
          <w:sz w:val="20"/>
          <w:szCs w:val="20"/>
        </w:rPr>
        <w:t>s</w:t>
      </w:r>
      <w:r w:rsidRPr="00A94503">
        <w:rPr>
          <w:rFonts w:ascii="Arial" w:hAnsi="Arial" w:cs="Arial"/>
          <w:sz w:val="20"/>
          <w:szCs w:val="20"/>
        </w:rPr>
        <w:t xml:space="preserve"> variation</w:t>
      </w:r>
      <w:r>
        <w:rPr>
          <w:rFonts w:ascii="Arial" w:hAnsi="Arial" w:cs="Arial"/>
          <w:sz w:val="20"/>
          <w:szCs w:val="20"/>
        </w:rPr>
        <w:t>s</w:t>
      </w:r>
      <w:r w:rsidR="00562210">
        <w:rPr>
          <w:rFonts w:ascii="Arial" w:hAnsi="Arial" w:cs="Arial"/>
          <w:sz w:val="20"/>
          <w:szCs w:val="20"/>
        </w:rPr>
        <w:t xml:space="preserve"> </w:t>
      </w:r>
      <w:r>
        <w:rPr>
          <w:rFonts w:ascii="Arial" w:hAnsi="Arial" w:cs="Arial"/>
          <w:sz w:val="20"/>
          <w:szCs w:val="20"/>
        </w:rPr>
        <w:t>hau</w:t>
      </w:r>
      <w:r w:rsidRPr="00A94503">
        <w:rPr>
          <w:rFonts w:ascii="Arial" w:hAnsi="Arial" w:cs="Arial"/>
          <w:sz w:val="20"/>
          <w:szCs w:val="20"/>
        </w:rPr>
        <w:t>ssière</w:t>
      </w:r>
      <w:r>
        <w:rPr>
          <w:rFonts w:ascii="Arial" w:hAnsi="Arial" w:cs="Arial"/>
          <w:sz w:val="20"/>
          <w:szCs w:val="20"/>
        </w:rPr>
        <w:t>s</w:t>
      </w:r>
      <w:r w:rsidR="00562210">
        <w:rPr>
          <w:rFonts w:ascii="Arial" w:hAnsi="Arial" w:cs="Arial"/>
          <w:sz w:val="20"/>
          <w:szCs w:val="20"/>
        </w:rPr>
        <w:t xml:space="preserve"> </w:t>
      </w:r>
      <w:r>
        <w:rPr>
          <w:rFonts w:ascii="Arial" w:hAnsi="Arial" w:cs="Arial"/>
          <w:sz w:val="20"/>
          <w:szCs w:val="20"/>
        </w:rPr>
        <w:t>de l’industrie pharmaceutique,</w:t>
      </w:r>
      <w:r w:rsidRPr="00A94503">
        <w:rPr>
          <w:rFonts w:ascii="Arial" w:hAnsi="Arial" w:cs="Arial"/>
          <w:sz w:val="20"/>
          <w:szCs w:val="20"/>
        </w:rPr>
        <w:t xml:space="preserve"> de</w:t>
      </w:r>
      <w:r>
        <w:rPr>
          <w:rFonts w:ascii="Arial" w:hAnsi="Arial" w:cs="Arial"/>
          <w:sz w:val="20"/>
          <w:szCs w:val="20"/>
        </w:rPr>
        <w:t xml:space="preserve">s ingénieries et biens d’équipement industriels, </w:t>
      </w:r>
      <w:r w:rsidRPr="00A94503">
        <w:rPr>
          <w:rFonts w:ascii="Arial" w:hAnsi="Arial" w:cs="Arial"/>
          <w:sz w:val="20"/>
          <w:szCs w:val="20"/>
        </w:rPr>
        <w:t>de</w:t>
      </w:r>
      <w:r>
        <w:rPr>
          <w:rFonts w:ascii="Arial" w:hAnsi="Arial" w:cs="Arial"/>
          <w:sz w:val="20"/>
          <w:szCs w:val="20"/>
        </w:rPr>
        <w:t>s mines</w:t>
      </w:r>
      <w:r w:rsidRPr="00A94503">
        <w:rPr>
          <w:rFonts w:ascii="Arial" w:hAnsi="Arial" w:cs="Arial"/>
          <w:sz w:val="20"/>
          <w:szCs w:val="20"/>
        </w:rPr>
        <w:t>,</w:t>
      </w:r>
      <w:r>
        <w:rPr>
          <w:rFonts w:ascii="Arial" w:hAnsi="Arial" w:cs="Arial"/>
          <w:sz w:val="20"/>
          <w:szCs w:val="20"/>
        </w:rPr>
        <w:t xml:space="preserve"> de la chimie,</w:t>
      </w:r>
      <w:r w:rsidR="00562210">
        <w:rPr>
          <w:rFonts w:ascii="Arial" w:hAnsi="Arial" w:cs="Arial"/>
          <w:sz w:val="20"/>
          <w:szCs w:val="20"/>
        </w:rPr>
        <w:t xml:space="preserve"> </w:t>
      </w:r>
      <w:r>
        <w:rPr>
          <w:rFonts w:ascii="Arial" w:hAnsi="Arial" w:cs="Arial"/>
          <w:sz w:val="20"/>
          <w:szCs w:val="20"/>
        </w:rPr>
        <w:t>des logiciels et services informatiques</w:t>
      </w:r>
      <w:r w:rsidRPr="00A94503">
        <w:rPr>
          <w:rFonts w:ascii="Arial" w:hAnsi="Arial" w:cs="Arial"/>
          <w:sz w:val="20"/>
          <w:szCs w:val="20"/>
        </w:rPr>
        <w:t>,</w:t>
      </w:r>
      <w:r>
        <w:rPr>
          <w:rFonts w:ascii="Arial" w:hAnsi="Arial" w:cs="Arial"/>
          <w:sz w:val="20"/>
          <w:szCs w:val="20"/>
        </w:rPr>
        <w:t xml:space="preserve"> du bâtiment et matériaux de construction et de la promotion immobilière</w:t>
      </w:r>
      <w:r w:rsidRPr="00A94503">
        <w:rPr>
          <w:rFonts w:ascii="Arial" w:hAnsi="Arial" w:cs="Arial"/>
          <w:sz w:val="20"/>
          <w:szCs w:val="20"/>
        </w:rPr>
        <w:t xml:space="preserve">. </w:t>
      </w:r>
      <w:r>
        <w:rPr>
          <w:rFonts w:ascii="Arial" w:hAnsi="Arial" w:cs="Arial"/>
          <w:sz w:val="20"/>
          <w:szCs w:val="20"/>
        </w:rPr>
        <w:t>La liquidité du marché boursier</w:t>
      </w:r>
      <w:r w:rsidR="00562210">
        <w:rPr>
          <w:rFonts w:ascii="Arial" w:hAnsi="Arial" w:cs="Arial"/>
          <w:sz w:val="20"/>
          <w:szCs w:val="20"/>
        </w:rPr>
        <w:t xml:space="preserve"> </w:t>
      </w:r>
      <w:r>
        <w:rPr>
          <w:rFonts w:ascii="Arial" w:hAnsi="Arial" w:cs="Arial"/>
          <w:sz w:val="20"/>
          <w:szCs w:val="20"/>
        </w:rPr>
        <w:t>aurai</w:t>
      </w:r>
      <w:r w:rsidRPr="00A94503">
        <w:rPr>
          <w:rFonts w:ascii="Arial" w:hAnsi="Arial" w:cs="Arial"/>
          <w:sz w:val="20"/>
          <w:szCs w:val="20"/>
        </w:rPr>
        <w:t xml:space="preserve">t </w:t>
      </w:r>
      <w:r>
        <w:rPr>
          <w:rFonts w:ascii="Arial" w:hAnsi="Arial" w:cs="Arial"/>
          <w:sz w:val="20"/>
          <w:szCs w:val="20"/>
        </w:rPr>
        <w:t>repris, marquant un accroissement de 30,8% du</w:t>
      </w:r>
      <w:r w:rsidRPr="00A94503">
        <w:rPr>
          <w:rFonts w:ascii="Arial" w:hAnsi="Arial" w:cs="Arial"/>
          <w:sz w:val="20"/>
          <w:szCs w:val="20"/>
        </w:rPr>
        <w:t xml:space="preserve"> volume des transactions, en variation annuelle. </w:t>
      </w:r>
    </w:p>
    <w:p w:rsidR="00736AA1" w:rsidRPr="00A94503" w:rsidRDefault="00736AA1" w:rsidP="00736AA1">
      <w:pPr>
        <w:jc w:val="both"/>
        <w:rPr>
          <w:rFonts w:ascii="Arial" w:hAnsi="Arial" w:cs="Arial"/>
          <w:sz w:val="20"/>
          <w:szCs w:val="20"/>
        </w:rPr>
      </w:pPr>
    </w:p>
    <w:p w:rsidR="006C5DA3" w:rsidRDefault="006C5DA3" w:rsidP="008742EB">
      <w:pPr>
        <w:jc w:val="both"/>
        <w:rPr>
          <w:rFonts w:ascii="Arial" w:hAnsi="Arial" w:cs="Arial"/>
          <w:b/>
          <w:bCs/>
          <w:color w:val="E36C0A"/>
          <w:kern w:val="28"/>
          <w:sz w:val="20"/>
          <w:szCs w:val="20"/>
          <w:rtl/>
        </w:rPr>
      </w:pPr>
    </w:p>
    <w:p w:rsidR="0097276B" w:rsidRPr="00055483" w:rsidRDefault="00E1269E" w:rsidP="003135D0">
      <w:pPr>
        <w:jc w:val="both"/>
        <w:rPr>
          <w:rFonts w:ascii="Arial" w:hAnsi="Arial" w:cs="Arial"/>
          <w:b/>
          <w:bCs/>
          <w:color w:val="E36C0A"/>
          <w:kern w:val="28"/>
          <w:sz w:val="20"/>
          <w:szCs w:val="20"/>
        </w:rPr>
      </w:pPr>
      <w:r>
        <w:rPr>
          <w:rFonts w:ascii="Arial" w:hAnsi="Arial" w:cs="Arial"/>
          <w:b/>
          <w:bCs/>
          <w:color w:val="E36C0A"/>
          <w:kern w:val="28"/>
          <w:sz w:val="20"/>
          <w:szCs w:val="20"/>
        </w:rPr>
        <w:t>Poursuite du redressement de l’activité</w:t>
      </w:r>
      <w:r w:rsidR="00975074">
        <w:rPr>
          <w:rFonts w:ascii="Arial" w:hAnsi="Arial" w:cs="Arial"/>
          <w:b/>
          <w:bCs/>
          <w:color w:val="E36C0A"/>
          <w:kern w:val="28"/>
          <w:sz w:val="20"/>
          <w:szCs w:val="20"/>
        </w:rPr>
        <w:t xml:space="preserve"> économique</w:t>
      </w:r>
      <w:r w:rsidR="00562210">
        <w:rPr>
          <w:rFonts w:ascii="Arial" w:hAnsi="Arial" w:cs="Arial"/>
          <w:b/>
          <w:bCs/>
          <w:color w:val="E36C0A"/>
          <w:kern w:val="28"/>
          <w:sz w:val="20"/>
          <w:szCs w:val="20"/>
        </w:rPr>
        <w:t xml:space="preserve"> </w:t>
      </w:r>
      <w:r w:rsidR="0097276B" w:rsidRPr="00055483">
        <w:rPr>
          <w:rFonts w:ascii="Arial" w:hAnsi="Arial" w:cs="Arial"/>
          <w:b/>
          <w:bCs/>
          <w:color w:val="E36C0A"/>
          <w:kern w:val="28"/>
          <w:sz w:val="20"/>
          <w:szCs w:val="20"/>
        </w:rPr>
        <w:t xml:space="preserve">au </w:t>
      </w:r>
      <w:r w:rsidR="003135D0" w:rsidRPr="003135D0">
        <w:rPr>
          <w:rFonts w:ascii="Arial" w:hAnsi="Arial" w:cs="Arial"/>
          <w:b/>
          <w:bCs/>
          <w:color w:val="E36C0A"/>
          <w:kern w:val="28"/>
          <w:sz w:val="20"/>
          <w:szCs w:val="20"/>
        </w:rPr>
        <w:t>troisième</w:t>
      </w:r>
      <w:r w:rsidR="00A35229" w:rsidRPr="00055483">
        <w:rPr>
          <w:rFonts w:ascii="Arial" w:hAnsi="Arial" w:cs="Arial"/>
          <w:b/>
          <w:bCs/>
          <w:color w:val="E36C0A"/>
          <w:kern w:val="28"/>
          <w:sz w:val="20"/>
          <w:szCs w:val="20"/>
        </w:rPr>
        <w:t xml:space="preserve"> trimestre 202</w:t>
      </w:r>
      <w:r w:rsidR="00AD6AF9">
        <w:rPr>
          <w:rFonts w:ascii="Arial" w:hAnsi="Arial" w:cs="Arial"/>
          <w:b/>
          <w:bCs/>
          <w:color w:val="E36C0A"/>
          <w:kern w:val="28"/>
          <w:sz w:val="20"/>
          <w:szCs w:val="20"/>
        </w:rPr>
        <w:t>1</w:t>
      </w:r>
    </w:p>
    <w:p w:rsidR="0097276B" w:rsidRPr="00055483" w:rsidRDefault="0097276B" w:rsidP="00987AB7">
      <w:pPr>
        <w:jc w:val="both"/>
        <w:rPr>
          <w:rFonts w:ascii="Arial" w:hAnsi="Arial" w:cs="Arial"/>
          <w:b/>
          <w:bCs/>
          <w:color w:val="800000"/>
          <w:kern w:val="28"/>
          <w:sz w:val="20"/>
          <w:szCs w:val="20"/>
        </w:rPr>
      </w:pPr>
    </w:p>
    <w:p w:rsidR="00CE3241" w:rsidRDefault="00CE3241" w:rsidP="00CE3241">
      <w:pPr>
        <w:jc w:val="both"/>
        <w:rPr>
          <w:rFonts w:ascii="Arial" w:hAnsi="Arial" w:cs="Arial"/>
          <w:color w:val="000000"/>
          <w:kern w:val="28"/>
          <w:sz w:val="20"/>
          <w:szCs w:val="20"/>
        </w:rPr>
      </w:pPr>
      <w:r>
        <w:rPr>
          <w:rFonts w:ascii="Arial" w:hAnsi="Arial"/>
          <w:color w:val="000000"/>
          <w:kern w:val="28"/>
          <w:sz w:val="20"/>
          <w:szCs w:val="20"/>
        </w:rPr>
        <w:t>Au troisième trimestre 2021</w:t>
      </w:r>
      <w:r w:rsidRPr="001A4116">
        <w:rPr>
          <w:rFonts w:ascii="Arial" w:hAnsi="Arial" w:cs="Arial"/>
          <w:color w:val="000000"/>
          <w:kern w:val="28"/>
          <w:sz w:val="20"/>
          <w:szCs w:val="20"/>
        </w:rPr>
        <w:t>, la croissance</w:t>
      </w:r>
      <w:r w:rsidR="00562210">
        <w:rPr>
          <w:rFonts w:ascii="Arial" w:hAnsi="Arial" w:cs="Arial"/>
          <w:color w:val="000000"/>
          <w:kern w:val="28"/>
          <w:sz w:val="20"/>
          <w:szCs w:val="20"/>
        </w:rPr>
        <w:t xml:space="preserve"> </w:t>
      </w:r>
      <w:r w:rsidRPr="001A4116">
        <w:rPr>
          <w:rFonts w:ascii="Arial" w:hAnsi="Arial" w:cs="Arial"/>
          <w:color w:val="000000"/>
          <w:kern w:val="28"/>
          <w:sz w:val="20"/>
          <w:szCs w:val="20"/>
        </w:rPr>
        <w:t xml:space="preserve">mondiale devrait </w:t>
      </w:r>
      <w:r>
        <w:rPr>
          <w:rFonts w:ascii="Arial" w:hAnsi="Arial" w:cs="Arial"/>
          <w:color w:val="000000"/>
          <w:kern w:val="28"/>
          <w:sz w:val="20"/>
          <w:szCs w:val="20"/>
        </w:rPr>
        <w:t xml:space="preserve">continuer à </w:t>
      </w:r>
      <w:r w:rsidRPr="001A4116">
        <w:rPr>
          <w:rFonts w:ascii="Arial" w:hAnsi="Arial" w:cs="Arial"/>
          <w:color w:val="000000"/>
          <w:kern w:val="28"/>
          <w:sz w:val="20"/>
          <w:szCs w:val="20"/>
        </w:rPr>
        <w:t>s’améliorer</w:t>
      </w:r>
      <w:r>
        <w:rPr>
          <w:rFonts w:ascii="Arial" w:hAnsi="Arial" w:cs="Arial"/>
          <w:color w:val="000000"/>
          <w:kern w:val="28"/>
          <w:sz w:val="20"/>
          <w:szCs w:val="20"/>
        </w:rPr>
        <w:t>,</w:t>
      </w:r>
      <w:r w:rsidR="00562210">
        <w:rPr>
          <w:rFonts w:ascii="Arial" w:hAnsi="Arial" w:cs="Arial"/>
          <w:color w:val="000000"/>
          <w:kern w:val="28"/>
          <w:sz w:val="20"/>
          <w:szCs w:val="20"/>
        </w:rPr>
        <w:t xml:space="preserve"> </w:t>
      </w:r>
      <w:r>
        <w:rPr>
          <w:rFonts w:ascii="Arial" w:hAnsi="Arial" w:cs="Arial"/>
          <w:color w:val="000000"/>
          <w:kern w:val="28"/>
          <w:sz w:val="20"/>
          <w:szCs w:val="20"/>
        </w:rPr>
        <w:t>mais resterait</w:t>
      </w:r>
      <w:r>
        <w:rPr>
          <w:rFonts w:ascii="Arial" w:hAnsi="Arial" w:cs="Arial"/>
          <w:sz w:val="20"/>
          <w:szCs w:val="20"/>
        </w:rPr>
        <w:t xml:space="preserve"> conditionnée par l’évolution de la situation sanitaire, la rapidité du déploiement des vaccins à travers le monde et l’ampleur des mesures d’endiguement et de réponse de politiques économiques mises en place pour la juguler. Les pressions inflationnistes, liées aux tensions sur l’approvisionnement en matières premières et en demi-produits observées ces derniers mois, devraient se résorber progressivement avec la remise en marche de l’économie mondiale. Les cours du pétrole brut devraient avoisiner les70$/baril.</w:t>
      </w:r>
      <w:r w:rsidR="00562210">
        <w:rPr>
          <w:rFonts w:ascii="Arial" w:hAnsi="Arial" w:cs="Arial"/>
          <w:sz w:val="20"/>
          <w:szCs w:val="20"/>
        </w:rPr>
        <w:t xml:space="preserve"> </w:t>
      </w:r>
      <w:r>
        <w:rPr>
          <w:rFonts w:ascii="Arial" w:hAnsi="Arial" w:cs="Arial"/>
          <w:color w:val="000000"/>
          <w:kern w:val="28"/>
          <w:sz w:val="20"/>
          <w:szCs w:val="20"/>
        </w:rPr>
        <w:t xml:space="preserve">Le commerce mondial de biens resterait dynamique et croitrait au rythme de 12,8%, tiré par les échanges des économies avancées et émergentes, surtout des États-Unis et de la Chine. </w:t>
      </w:r>
      <w:r w:rsidRPr="001A4116">
        <w:rPr>
          <w:rFonts w:ascii="Arial" w:hAnsi="Arial" w:cs="Arial"/>
          <w:color w:val="000000"/>
          <w:kern w:val="28"/>
          <w:sz w:val="20"/>
          <w:szCs w:val="20"/>
        </w:rPr>
        <w:t xml:space="preserve">Dans ce contexte, la demande mondiale adressée au Maroc </w:t>
      </w:r>
      <w:r>
        <w:rPr>
          <w:rFonts w:ascii="Arial" w:hAnsi="Arial" w:cs="Arial"/>
          <w:color w:val="000000"/>
          <w:kern w:val="28"/>
          <w:sz w:val="20"/>
          <w:szCs w:val="20"/>
        </w:rPr>
        <w:t>s’améliorerait</w:t>
      </w:r>
      <w:r>
        <w:rPr>
          <w:rFonts w:ascii="Arial" w:hAnsi="Arial"/>
          <w:color w:val="000000"/>
          <w:kern w:val="28"/>
          <w:sz w:val="20"/>
          <w:szCs w:val="20"/>
        </w:rPr>
        <w:t xml:space="preserve"> de </w:t>
      </w:r>
      <w:r>
        <w:rPr>
          <w:rFonts w:ascii="Arial" w:hAnsi="Arial" w:cs="Arial"/>
          <w:color w:val="000000"/>
          <w:kern w:val="28"/>
          <w:sz w:val="20"/>
          <w:szCs w:val="20"/>
        </w:rPr>
        <w:t>11,6</w:t>
      </w:r>
      <w:r w:rsidRPr="001A4116">
        <w:rPr>
          <w:rFonts w:ascii="Arial" w:hAnsi="Arial" w:cs="Arial"/>
          <w:color w:val="000000"/>
          <w:kern w:val="28"/>
          <w:sz w:val="20"/>
          <w:szCs w:val="20"/>
        </w:rPr>
        <w:t>%</w:t>
      </w:r>
      <w:r>
        <w:rPr>
          <w:rFonts w:ascii="Arial" w:hAnsi="Arial"/>
          <w:color w:val="000000"/>
          <w:kern w:val="28"/>
          <w:sz w:val="20"/>
          <w:szCs w:val="20"/>
        </w:rPr>
        <w:t>,</w:t>
      </w:r>
      <w:r w:rsidRPr="001A4116">
        <w:rPr>
          <w:rFonts w:ascii="Arial" w:hAnsi="Arial" w:cs="Arial"/>
          <w:color w:val="000000"/>
          <w:kern w:val="28"/>
          <w:sz w:val="20"/>
          <w:szCs w:val="20"/>
        </w:rPr>
        <w:t xml:space="preserve"> en variation annuelle</w:t>
      </w:r>
      <w:r>
        <w:rPr>
          <w:rFonts w:ascii="Arial" w:hAnsi="Arial" w:cs="Arial"/>
          <w:color w:val="000000"/>
          <w:kern w:val="28"/>
          <w:sz w:val="20"/>
          <w:szCs w:val="20"/>
        </w:rPr>
        <w:t>, lors de la même période</w:t>
      </w:r>
      <w:r w:rsidRPr="001A4116">
        <w:rPr>
          <w:rFonts w:ascii="Arial" w:hAnsi="Arial" w:cs="Arial"/>
          <w:color w:val="000000"/>
          <w:kern w:val="28"/>
          <w:sz w:val="20"/>
          <w:szCs w:val="20"/>
        </w:rPr>
        <w:t>.</w:t>
      </w:r>
    </w:p>
    <w:p w:rsidR="00946451" w:rsidRDefault="00946451" w:rsidP="00946451">
      <w:pPr>
        <w:jc w:val="both"/>
        <w:rPr>
          <w:rFonts w:ascii="Arial" w:hAnsi="Arial" w:cs="Arial"/>
          <w:b/>
          <w:bCs/>
          <w:sz w:val="22"/>
          <w:szCs w:val="22"/>
        </w:rPr>
      </w:pPr>
    </w:p>
    <w:p w:rsidR="00CC4DCF" w:rsidRPr="00055483" w:rsidRDefault="00E60F31" w:rsidP="00801679">
      <w:pPr>
        <w:jc w:val="both"/>
        <w:rPr>
          <w:rFonts w:ascii="Arial" w:hAnsi="Arial" w:cs="Arial"/>
          <w:sz w:val="20"/>
          <w:szCs w:val="20"/>
        </w:rPr>
      </w:pPr>
      <w:r w:rsidRPr="00055483">
        <w:rPr>
          <w:rFonts w:ascii="Arial" w:hAnsi="Arial" w:cs="Arial"/>
          <w:sz w:val="20"/>
          <w:szCs w:val="20"/>
        </w:rPr>
        <w:t xml:space="preserve">La </w:t>
      </w:r>
      <w:r w:rsidRPr="00132BCA">
        <w:rPr>
          <w:rFonts w:ascii="Arial" w:hAnsi="Arial" w:cs="Arial"/>
          <w:b/>
          <w:bCs/>
          <w:sz w:val="20"/>
          <w:szCs w:val="20"/>
        </w:rPr>
        <w:t>demande intérieure</w:t>
      </w:r>
      <w:r w:rsidR="00562210">
        <w:rPr>
          <w:rFonts w:ascii="Arial" w:hAnsi="Arial" w:cs="Arial"/>
          <w:b/>
          <w:bCs/>
          <w:sz w:val="20"/>
          <w:szCs w:val="20"/>
        </w:rPr>
        <w:t xml:space="preserve"> </w:t>
      </w:r>
      <w:r w:rsidR="007A0B4A">
        <w:rPr>
          <w:rFonts w:ascii="Arial" w:hAnsi="Arial" w:cs="Arial"/>
          <w:sz w:val="20"/>
          <w:szCs w:val="20"/>
        </w:rPr>
        <w:t xml:space="preserve">nationale </w:t>
      </w:r>
      <w:r w:rsidR="007C5068">
        <w:rPr>
          <w:rFonts w:ascii="Arial" w:hAnsi="Arial" w:cs="Arial"/>
          <w:sz w:val="20"/>
          <w:szCs w:val="20"/>
        </w:rPr>
        <w:t>poursuivrai</w:t>
      </w:r>
      <w:r w:rsidR="004028B3">
        <w:rPr>
          <w:rFonts w:ascii="Arial" w:hAnsi="Arial" w:cs="Arial"/>
          <w:sz w:val="20"/>
          <w:szCs w:val="20"/>
        </w:rPr>
        <w:t>t</w:t>
      </w:r>
      <w:r w:rsidR="007C5068">
        <w:rPr>
          <w:rFonts w:ascii="Arial" w:hAnsi="Arial" w:cs="Arial"/>
          <w:sz w:val="20"/>
          <w:szCs w:val="20"/>
        </w:rPr>
        <w:t xml:space="preserve"> son </w:t>
      </w:r>
      <w:r w:rsidR="0031220F" w:rsidRPr="00055483">
        <w:rPr>
          <w:rFonts w:ascii="Arial" w:hAnsi="Arial" w:cs="Arial"/>
          <w:sz w:val="20"/>
          <w:szCs w:val="20"/>
        </w:rPr>
        <w:t>redresse</w:t>
      </w:r>
      <w:r w:rsidR="007C5068">
        <w:rPr>
          <w:rFonts w:ascii="Arial" w:hAnsi="Arial" w:cs="Arial"/>
          <w:sz w:val="20"/>
          <w:szCs w:val="20"/>
        </w:rPr>
        <w:t xml:space="preserve">ment pour le </w:t>
      </w:r>
      <w:r w:rsidR="003D37C8">
        <w:rPr>
          <w:rFonts w:ascii="Arial" w:hAnsi="Arial" w:cs="Arial"/>
          <w:sz w:val="20"/>
          <w:szCs w:val="20"/>
        </w:rPr>
        <w:t>trois</w:t>
      </w:r>
      <w:r w:rsidR="007C5068">
        <w:rPr>
          <w:rFonts w:ascii="Arial" w:hAnsi="Arial" w:cs="Arial"/>
          <w:sz w:val="20"/>
          <w:szCs w:val="20"/>
        </w:rPr>
        <w:t xml:space="preserve">ième trimestre successif, portée par </w:t>
      </w:r>
      <w:r w:rsidR="00E262B7">
        <w:rPr>
          <w:rFonts w:ascii="Arial" w:hAnsi="Arial" w:cs="Arial"/>
          <w:sz w:val="20"/>
          <w:szCs w:val="20"/>
        </w:rPr>
        <w:t xml:space="preserve">la hausse </w:t>
      </w:r>
      <w:r w:rsidR="00715330">
        <w:rPr>
          <w:rFonts w:ascii="Arial" w:hAnsi="Arial" w:cs="Arial"/>
          <w:sz w:val="20"/>
          <w:szCs w:val="20"/>
        </w:rPr>
        <w:t xml:space="preserve">des dépenses </w:t>
      </w:r>
      <w:r w:rsidRPr="00055483">
        <w:rPr>
          <w:rFonts w:ascii="Arial" w:hAnsi="Arial" w:cs="Arial"/>
          <w:sz w:val="20"/>
          <w:szCs w:val="20"/>
        </w:rPr>
        <w:t>des ménages</w:t>
      </w:r>
      <w:r w:rsidR="00E262B7">
        <w:rPr>
          <w:rFonts w:ascii="Arial" w:hAnsi="Arial" w:cs="Arial"/>
          <w:sz w:val="20"/>
          <w:szCs w:val="20"/>
        </w:rPr>
        <w:t xml:space="preserve">, </w:t>
      </w:r>
      <w:r w:rsidR="007C5068">
        <w:rPr>
          <w:rFonts w:ascii="Arial" w:hAnsi="Arial" w:cs="Arial"/>
          <w:sz w:val="20"/>
          <w:szCs w:val="20"/>
        </w:rPr>
        <w:t>dans un contexte de</w:t>
      </w:r>
      <w:r w:rsidR="00F51F49">
        <w:rPr>
          <w:rFonts w:ascii="Arial" w:hAnsi="Arial" w:cs="Arial"/>
          <w:sz w:val="20"/>
          <w:szCs w:val="20"/>
        </w:rPr>
        <w:t xml:space="preserve"> raffermissement</w:t>
      </w:r>
      <w:r w:rsidR="00562210">
        <w:rPr>
          <w:rFonts w:ascii="Arial" w:hAnsi="Arial" w:cs="Arial"/>
          <w:sz w:val="20"/>
          <w:szCs w:val="20"/>
        </w:rPr>
        <w:t xml:space="preserve"> </w:t>
      </w:r>
      <w:r w:rsidRPr="00055483">
        <w:rPr>
          <w:rFonts w:ascii="Arial" w:hAnsi="Arial" w:cs="Arial"/>
          <w:sz w:val="20"/>
          <w:szCs w:val="20"/>
        </w:rPr>
        <w:t xml:space="preserve">des </w:t>
      </w:r>
      <w:r w:rsidR="00715330">
        <w:rPr>
          <w:rFonts w:ascii="Arial" w:hAnsi="Arial" w:cs="Arial"/>
          <w:sz w:val="20"/>
          <w:szCs w:val="20"/>
        </w:rPr>
        <w:t>achat</w:t>
      </w:r>
      <w:r w:rsidRPr="00055483">
        <w:rPr>
          <w:rFonts w:ascii="Arial" w:hAnsi="Arial" w:cs="Arial"/>
          <w:sz w:val="20"/>
          <w:szCs w:val="20"/>
        </w:rPr>
        <w:t xml:space="preserve">s </w:t>
      </w:r>
      <w:r w:rsidR="007670CD">
        <w:rPr>
          <w:rFonts w:ascii="Arial" w:hAnsi="Arial" w:cs="Arial"/>
          <w:sz w:val="20"/>
          <w:szCs w:val="20"/>
        </w:rPr>
        <w:t>de</w:t>
      </w:r>
      <w:r w:rsidRPr="00055483">
        <w:rPr>
          <w:rFonts w:ascii="Arial" w:hAnsi="Arial" w:cs="Arial"/>
          <w:sz w:val="20"/>
          <w:szCs w:val="20"/>
        </w:rPr>
        <w:t xml:space="preserve"> biens </w:t>
      </w:r>
      <w:r w:rsidR="00701DAA">
        <w:rPr>
          <w:rFonts w:ascii="Arial" w:hAnsi="Arial" w:cs="Arial"/>
          <w:sz w:val="20"/>
          <w:szCs w:val="20"/>
        </w:rPr>
        <w:t>alimentaires et manufacturés</w:t>
      </w:r>
      <w:r w:rsidR="007C5068">
        <w:rPr>
          <w:rFonts w:ascii="Arial" w:hAnsi="Arial" w:cs="Arial"/>
          <w:sz w:val="20"/>
          <w:szCs w:val="20"/>
        </w:rPr>
        <w:t xml:space="preserve"> et </w:t>
      </w:r>
      <w:r w:rsidR="00B5153D">
        <w:rPr>
          <w:rFonts w:ascii="Arial" w:hAnsi="Arial" w:cs="Arial"/>
          <w:sz w:val="20"/>
          <w:szCs w:val="20"/>
        </w:rPr>
        <w:t xml:space="preserve">d’un </w:t>
      </w:r>
      <w:r w:rsidR="00801679">
        <w:rPr>
          <w:rFonts w:ascii="Arial" w:hAnsi="Arial" w:cs="Arial"/>
          <w:sz w:val="20"/>
          <w:szCs w:val="20"/>
        </w:rPr>
        <w:t>accroissement</w:t>
      </w:r>
      <w:r w:rsidR="00562210">
        <w:rPr>
          <w:rFonts w:ascii="Arial" w:hAnsi="Arial" w:cs="Arial"/>
          <w:sz w:val="20"/>
          <w:szCs w:val="20"/>
        </w:rPr>
        <w:t xml:space="preserve"> </w:t>
      </w:r>
      <w:r w:rsidR="007C5068">
        <w:rPr>
          <w:rFonts w:ascii="Arial" w:hAnsi="Arial" w:cs="Arial"/>
          <w:sz w:val="20"/>
          <w:szCs w:val="20"/>
        </w:rPr>
        <w:t>des</w:t>
      </w:r>
      <w:r w:rsidRPr="00055483">
        <w:rPr>
          <w:rFonts w:ascii="Arial" w:hAnsi="Arial" w:cs="Arial"/>
          <w:sz w:val="20"/>
          <w:szCs w:val="20"/>
        </w:rPr>
        <w:t xml:space="preserve"> dépenses de restauration</w:t>
      </w:r>
      <w:r w:rsidR="003D37C8">
        <w:rPr>
          <w:rFonts w:ascii="Arial" w:hAnsi="Arial" w:cs="Arial"/>
          <w:sz w:val="20"/>
          <w:szCs w:val="20"/>
        </w:rPr>
        <w:t xml:space="preserve">, des services de </w:t>
      </w:r>
      <w:r w:rsidR="003D37C8" w:rsidRPr="00562210">
        <w:rPr>
          <w:rFonts w:ascii="Arial" w:hAnsi="Arial" w:cs="Arial"/>
          <w:sz w:val="20"/>
          <w:szCs w:val="20"/>
        </w:rPr>
        <w:t>loisir</w:t>
      </w:r>
      <w:r w:rsidR="00D612EA" w:rsidRPr="00562210">
        <w:rPr>
          <w:rFonts w:ascii="Arial" w:hAnsi="Arial" w:cs="Arial"/>
          <w:sz w:val="20"/>
          <w:szCs w:val="20"/>
        </w:rPr>
        <w:t>s</w:t>
      </w:r>
      <w:r w:rsidR="00562210">
        <w:rPr>
          <w:rFonts w:ascii="Arial" w:hAnsi="Arial" w:cs="Arial"/>
          <w:sz w:val="20"/>
          <w:szCs w:val="20"/>
        </w:rPr>
        <w:t xml:space="preserve"> </w:t>
      </w:r>
      <w:r w:rsidRPr="00055483">
        <w:rPr>
          <w:rFonts w:ascii="Arial" w:hAnsi="Arial" w:cs="Arial"/>
          <w:sz w:val="20"/>
          <w:szCs w:val="20"/>
        </w:rPr>
        <w:t xml:space="preserve">et de transport. Les dépenses </w:t>
      </w:r>
      <w:r w:rsidR="003D37C8">
        <w:rPr>
          <w:rFonts w:ascii="Arial" w:hAnsi="Arial" w:cs="Arial"/>
          <w:sz w:val="20"/>
          <w:szCs w:val="20"/>
        </w:rPr>
        <w:t xml:space="preserve">publiques </w:t>
      </w:r>
      <w:r w:rsidRPr="00055483">
        <w:rPr>
          <w:rFonts w:ascii="Arial" w:hAnsi="Arial" w:cs="Arial"/>
          <w:sz w:val="20"/>
          <w:szCs w:val="20"/>
        </w:rPr>
        <w:t>resteraient relativement dynamiques</w:t>
      </w:r>
      <w:r w:rsidR="00715330">
        <w:rPr>
          <w:rFonts w:ascii="Arial" w:hAnsi="Arial" w:cs="Arial"/>
          <w:sz w:val="20"/>
          <w:szCs w:val="20"/>
        </w:rPr>
        <w:t>, situant l</w:t>
      </w:r>
      <w:r w:rsidR="000B66D4">
        <w:rPr>
          <w:rFonts w:ascii="Arial" w:hAnsi="Arial" w:cs="Arial"/>
          <w:sz w:val="20"/>
          <w:szCs w:val="20"/>
        </w:rPr>
        <w:t>a</w:t>
      </w:r>
      <w:r w:rsidR="00715330">
        <w:rPr>
          <w:rFonts w:ascii="Arial" w:hAnsi="Arial" w:cs="Arial"/>
          <w:sz w:val="20"/>
          <w:szCs w:val="20"/>
        </w:rPr>
        <w:t xml:space="preserve"> hausse </w:t>
      </w:r>
      <w:r w:rsidR="000B66D4">
        <w:rPr>
          <w:rFonts w:ascii="Arial" w:hAnsi="Arial" w:cs="Arial"/>
          <w:sz w:val="20"/>
          <w:szCs w:val="20"/>
        </w:rPr>
        <w:t xml:space="preserve">de la consommation publique </w:t>
      </w:r>
      <w:r w:rsidR="00715330">
        <w:rPr>
          <w:rFonts w:ascii="Arial" w:hAnsi="Arial" w:cs="Arial"/>
          <w:sz w:val="20"/>
          <w:szCs w:val="20"/>
        </w:rPr>
        <w:t xml:space="preserve">à </w:t>
      </w:r>
      <w:r w:rsidR="003D37C8">
        <w:rPr>
          <w:rFonts w:ascii="Arial" w:hAnsi="Arial" w:cs="Arial"/>
          <w:sz w:val="20"/>
          <w:szCs w:val="20"/>
        </w:rPr>
        <w:t>4</w:t>
      </w:r>
      <w:r w:rsidR="00715330">
        <w:rPr>
          <w:rFonts w:ascii="Arial" w:hAnsi="Arial" w:cs="Arial"/>
          <w:sz w:val="20"/>
          <w:szCs w:val="20"/>
        </w:rPr>
        <w:t>,</w:t>
      </w:r>
      <w:r w:rsidR="00110BE8">
        <w:rPr>
          <w:rFonts w:ascii="Arial" w:hAnsi="Arial" w:cs="Arial"/>
          <w:sz w:val="20"/>
          <w:szCs w:val="20"/>
        </w:rPr>
        <w:t>3</w:t>
      </w:r>
      <w:r w:rsidR="00715330">
        <w:rPr>
          <w:rFonts w:ascii="Arial" w:hAnsi="Arial" w:cs="Arial"/>
          <w:sz w:val="20"/>
          <w:szCs w:val="20"/>
        </w:rPr>
        <w:t>%</w:t>
      </w:r>
      <w:r w:rsidRPr="00055483">
        <w:rPr>
          <w:rFonts w:ascii="Arial" w:hAnsi="Arial" w:cs="Arial"/>
          <w:sz w:val="20"/>
          <w:szCs w:val="20"/>
        </w:rPr>
        <w:t>.</w:t>
      </w:r>
    </w:p>
    <w:p w:rsidR="00E60F31" w:rsidRPr="00055483" w:rsidRDefault="00E60F31" w:rsidP="00E60F31">
      <w:pPr>
        <w:jc w:val="both"/>
        <w:rPr>
          <w:rFonts w:ascii="Arial" w:hAnsi="Arial" w:cs="Arial"/>
          <w:sz w:val="20"/>
          <w:szCs w:val="20"/>
        </w:rPr>
      </w:pPr>
    </w:p>
    <w:p w:rsidR="00134771" w:rsidRPr="00420B47" w:rsidRDefault="00A04748" w:rsidP="00DC3E98">
      <w:pPr>
        <w:jc w:val="both"/>
        <w:rPr>
          <w:rFonts w:ascii="Arial" w:hAnsi="Arial" w:cs="Arial"/>
          <w:sz w:val="20"/>
          <w:szCs w:val="20"/>
        </w:rPr>
      </w:pPr>
      <w:r>
        <w:rPr>
          <w:rFonts w:ascii="Arial" w:hAnsi="Arial" w:cs="Arial"/>
          <w:b/>
          <w:bCs/>
          <w:sz w:val="20"/>
          <w:szCs w:val="20"/>
        </w:rPr>
        <w:t>Dans</w:t>
      </w:r>
      <w:r w:rsidR="00491E09">
        <w:rPr>
          <w:rFonts w:ascii="Arial" w:hAnsi="Arial" w:cs="Arial"/>
          <w:b/>
          <w:bCs/>
          <w:sz w:val="20"/>
          <w:szCs w:val="20"/>
        </w:rPr>
        <w:t xml:space="preserve"> ces conditions, l</w:t>
      </w:r>
      <w:r w:rsidR="000B03A2">
        <w:rPr>
          <w:rFonts w:ascii="Arial" w:hAnsi="Arial" w:cs="Arial"/>
          <w:b/>
          <w:bCs/>
          <w:sz w:val="20"/>
          <w:szCs w:val="20"/>
        </w:rPr>
        <w:t>a valeur ajoutée</w:t>
      </w:r>
      <w:r w:rsidR="00B85A11" w:rsidRPr="00055483">
        <w:rPr>
          <w:rFonts w:ascii="Arial" w:hAnsi="Arial" w:cs="Arial"/>
          <w:b/>
          <w:bCs/>
          <w:sz w:val="20"/>
          <w:szCs w:val="20"/>
        </w:rPr>
        <w:t xml:space="preserve"> hors agriculture</w:t>
      </w:r>
      <w:r w:rsidR="00562210">
        <w:rPr>
          <w:rFonts w:ascii="Arial" w:hAnsi="Arial" w:cs="Arial"/>
          <w:b/>
          <w:bCs/>
          <w:sz w:val="20"/>
          <w:szCs w:val="20"/>
        </w:rPr>
        <w:t xml:space="preserve"> </w:t>
      </w:r>
      <w:r w:rsidR="00F51F49" w:rsidRPr="002F5DA8">
        <w:rPr>
          <w:rFonts w:ascii="Arial" w:hAnsi="Arial" w:cs="Arial"/>
          <w:sz w:val="20"/>
          <w:szCs w:val="20"/>
        </w:rPr>
        <w:t xml:space="preserve">afficherait un accroissement de </w:t>
      </w:r>
      <w:r w:rsidR="00627E09">
        <w:rPr>
          <w:rFonts w:ascii="Arial" w:hAnsi="Arial" w:cs="Arial"/>
          <w:sz w:val="20"/>
          <w:szCs w:val="20"/>
        </w:rPr>
        <w:t>5</w:t>
      </w:r>
      <w:r w:rsidR="00F51F49" w:rsidRPr="002F5DA8">
        <w:rPr>
          <w:rFonts w:ascii="Arial" w:hAnsi="Arial" w:cs="Arial"/>
          <w:sz w:val="20"/>
          <w:szCs w:val="20"/>
        </w:rPr>
        <w:t>,</w:t>
      </w:r>
      <w:r w:rsidR="00156CFF">
        <w:rPr>
          <w:rFonts w:ascii="Arial" w:hAnsi="Arial" w:cs="Arial"/>
          <w:sz w:val="20"/>
          <w:szCs w:val="20"/>
        </w:rPr>
        <w:t>4</w:t>
      </w:r>
      <w:r w:rsidR="00F51F49" w:rsidRPr="002F5DA8">
        <w:rPr>
          <w:rFonts w:ascii="Arial" w:hAnsi="Arial" w:cs="Arial"/>
          <w:sz w:val="20"/>
          <w:szCs w:val="20"/>
        </w:rPr>
        <w:t>%</w:t>
      </w:r>
      <w:r w:rsidR="00B85A11" w:rsidRPr="002F5DA8">
        <w:rPr>
          <w:rFonts w:ascii="Arial" w:hAnsi="Arial" w:cs="Arial"/>
          <w:sz w:val="20"/>
          <w:szCs w:val="20"/>
        </w:rPr>
        <w:t>,</w:t>
      </w:r>
      <w:r w:rsidR="00B85A11" w:rsidRPr="00055483">
        <w:rPr>
          <w:rFonts w:ascii="Arial" w:hAnsi="Arial" w:cs="Arial"/>
          <w:sz w:val="20"/>
          <w:szCs w:val="20"/>
        </w:rPr>
        <w:t xml:space="preserve"> au </w:t>
      </w:r>
      <w:r w:rsidR="003135D0">
        <w:rPr>
          <w:rFonts w:ascii="Arial" w:hAnsi="Arial" w:cs="Arial"/>
          <w:sz w:val="20"/>
          <w:szCs w:val="20"/>
        </w:rPr>
        <w:t>trois</w:t>
      </w:r>
      <w:r w:rsidR="003135D0" w:rsidRPr="00E8642E">
        <w:rPr>
          <w:rFonts w:ascii="Arial" w:hAnsi="Arial" w:cs="Arial"/>
          <w:sz w:val="20"/>
          <w:szCs w:val="20"/>
        </w:rPr>
        <w:t>ième</w:t>
      </w:r>
      <w:r w:rsidR="0013460C" w:rsidRPr="00132BCA">
        <w:rPr>
          <w:rFonts w:ascii="Arial" w:hAnsi="Arial" w:cs="Arial"/>
          <w:sz w:val="20"/>
          <w:szCs w:val="20"/>
        </w:rPr>
        <w:t xml:space="preserve"> trimestre 202</w:t>
      </w:r>
      <w:r w:rsidR="0013460C">
        <w:rPr>
          <w:rFonts w:ascii="Arial" w:hAnsi="Arial" w:cs="Arial"/>
          <w:sz w:val="20"/>
          <w:szCs w:val="20"/>
        </w:rPr>
        <w:t>1</w:t>
      </w:r>
      <w:r w:rsidR="00B85A11" w:rsidRPr="00055483">
        <w:rPr>
          <w:rFonts w:ascii="Arial" w:hAnsi="Arial" w:cs="Arial"/>
          <w:sz w:val="20"/>
          <w:szCs w:val="20"/>
        </w:rPr>
        <w:t xml:space="preserve">, </w:t>
      </w:r>
      <w:r w:rsidR="00F51F49">
        <w:rPr>
          <w:rFonts w:ascii="Arial" w:hAnsi="Arial" w:cs="Arial"/>
          <w:sz w:val="20"/>
          <w:szCs w:val="20"/>
        </w:rPr>
        <w:t>en glissement annuel</w:t>
      </w:r>
      <w:r w:rsidR="00B85A11" w:rsidRPr="00055483">
        <w:rPr>
          <w:rFonts w:ascii="Arial" w:hAnsi="Arial" w:cs="Arial"/>
          <w:sz w:val="20"/>
          <w:szCs w:val="20"/>
        </w:rPr>
        <w:t xml:space="preserve">. </w:t>
      </w:r>
      <w:r w:rsidR="00134771" w:rsidRPr="00055483">
        <w:rPr>
          <w:rFonts w:ascii="Arial" w:hAnsi="Arial" w:cs="Arial"/>
          <w:sz w:val="20"/>
          <w:szCs w:val="20"/>
        </w:rPr>
        <w:t xml:space="preserve">Dans le secteur tertiaire, l’activité </w:t>
      </w:r>
      <w:r w:rsidR="00134771">
        <w:rPr>
          <w:rFonts w:ascii="Arial" w:hAnsi="Arial" w:cs="Arial"/>
          <w:sz w:val="20"/>
          <w:szCs w:val="20"/>
        </w:rPr>
        <w:t xml:space="preserve">poursuivrait </w:t>
      </w:r>
      <w:r w:rsidR="00627E09">
        <w:rPr>
          <w:rFonts w:ascii="Arial" w:hAnsi="Arial" w:cs="Arial"/>
          <w:sz w:val="20"/>
          <w:szCs w:val="20"/>
        </w:rPr>
        <w:t xml:space="preserve">son </w:t>
      </w:r>
      <w:r w:rsidR="004028B3">
        <w:rPr>
          <w:rFonts w:ascii="Arial" w:hAnsi="Arial" w:cs="Arial"/>
          <w:sz w:val="20"/>
          <w:szCs w:val="20"/>
        </w:rPr>
        <w:t>amélioration</w:t>
      </w:r>
      <w:r w:rsidR="00562210">
        <w:rPr>
          <w:rFonts w:ascii="Arial" w:hAnsi="Arial" w:cs="Arial"/>
          <w:sz w:val="20"/>
          <w:szCs w:val="20"/>
        </w:rPr>
        <w:t xml:space="preserve"> </w:t>
      </w:r>
      <w:r w:rsidR="00134771" w:rsidRPr="00055483">
        <w:rPr>
          <w:rFonts w:ascii="Arial" w:hAnsi="Arial" w:cs="Arial"/>
          <w:sz w:val="20"/>
          <w:szCs w:val="20"/>
        </w:rPr>
        <w:t>dans le</w:t>
      </w:r>
      <w:r w:rsidR="00134771">
        <w:rPr>
          <w:rFonts w:ascii="Arial" w:hAnsi="Arial" w:cs="Arial"/>
          <w:sz w:val="20"/>
          <w:szCs w:val="20"/>
        </w:rPr>
        <w:t>s services marchands notamment de</w:t>
      </w:r>
      <w:r w:rsidR="00134771" w:rsidRPr="00055483">
        <w:rPr>
          <w:rFonts w:ascii="Arial" w:hAnsi="Arial" w:cs="Arial"/>
          <w:sz w:val="20"/>
          <w:szCs w:val="20"/>
        </w:rPr>
        <w:t xml:space="preserve"> commerce, </w:t>
      </w:r>
      <w:r w:rsidR="00134771">
        <w:rPr>
          <w:rFonts w:ascii="Arial" w:hAnsi="Arial" w:cs="Arial"/>
          <w:sz w:val="20"/>
          <w:szCs w:val="20"/>
        </w:rPr>
        <w:t>d</w:t>
      </w:r>
      <w:r w:rsidR="00134771" w:rsidRPr="00055483">
        <w:rPr>
          <w:rFonts w:ascii="Arial" w:hAnsi="Arial" w:cs="Arial"/>
          <w:sz w:val="20"/>
          <w:szCs w:val="20"/>
        </w:rPr>
        <w:t xml:space="preserve">e transport </w:t>
      </w:r>
      <w:r w:rsidR="00134771">
        <w:rPr>
          <w:rFonts w:ascii="Arial" w:hAnsi="Arial" w:cs="Arial"/>
          <w:sz w:val="20"/>
          <w:szCs w:val="20"/>
        </w:rPr>
        <w:t>et</w:t>
      </w:r>
      <w:r w:rsidR="00562210">
        <w:rPr>
          <w:rFonts w:ascii="Arial" w:hAnsi="Arial" w:cs="Arial"/>
          <w:sz w:val="20"/>
          <w:szCs w:val="20"/>
        </w:rPr>
        <w:t xml:space="preserve"> </w:t>
      </w:r>
      <w:r w:rsidR="00134771">
        <w:rPr>
          <w:rFonts w:ascii="Arial" w:hAnsi="Arial" w:cs="Arial"/>
          <w:sz w:val="20"/>
          <w:szCs w:val="20"/>
        </w:rPr>
        <w:t>de la</w:t>
      </w:r>
      <w:r w:rsidR="00134771" w:rsidRPr="00055483">
        <w:rPr>
          <w:rFonts w:ascii="Arial" w:hAnsi="Arial" w:cs="Arial"/>
          <w:sz w:val="20"/>
          <w:szCs w:val="20"/>
        </w:rPr>
        <w:t xml:space="preserve"> restauration. Dans l’ensemble, </w:t>
      </w:r>
      <w:r w:rsidR="00134771">
        <w:rPr>
          <w:rFonts w:ascii="Arial" w:hAnsi="Arial" w:cs="Arial"/>
          <w:sz w:val="20"/>
          <w:szCs w:val="20"/>
        </w:rPr>
        <w:t>le secteur tertiaire contribuerait pour +</w:t>
      </w:r>
      <w:r w:rsidR="00946451">
        <w:rPr>
          <w:rFonts w:ascii="Arial" w:hAnsi="Arial" w:cs="Arial"/>
          <w:sz w:val="20"/>
          <w:szCs w:val="20"/>
        </w:rPr>
        <w:t>2</w:t>
      </w:r>
      <w:r w:rsidR="00134771">
        <w:rPr>
          <w:rFonts w:ascii="Arial" w:hAnsi="Arial" w:cs="Arial"/>
          <w:sz w:val="20"/>
          <w:szCs w:val="20"/>
        </w:rPr>
        <w:t>,</w:t>
      </w:r>
      <w:r w:rsidR="00946451">
        <w:rPr>
          <w:rFonts w:ascii="Arial" w:hAnsi="Arial" w:cs="Arial"/>
          <w:sz w:val="20"/>
          <w:szCs w:val="20"/>
        </w:rPr>
        <w:t>9</w:t>
      </w:r>
      <w:r w:rsidR="00134771">
        <w:rPr>
          <w:rFonts w:ascii="Arial" w:hAnsi="Arial" w:cs="Arial"/>
          <w:sz w:val="20"/>
          <w:szCs w:val="20"/>
        </w:rPr>
        <w:t xml:space="preserve"> points à l’évolution du PIB, au lieu de +</w:t>
      </w:r>
      <w:r w:rsidR="00A86845">
        <w:rPr>
          <w:rFonts w:ascii="Arial" w:hAnsi="Arial" w:cs="Arial" w:hint="cs"/>
          <w:sz w:val="20"/>
          <w:szCs w:val="20"/>
          <w:rtl/>
        </w:rPr>
        <w:t>1</w:t>
      </w:r>
      <w:r w:rsidR="00134771">
        <w:rPr>
          <w:rFonts w:ascii="Arial" w:hAnsi="Arial" w:cs="Arial"/>
          <w:sz w:val="20"/>
          <w:szCs w:val="20"/>
        </w:rPr>
        <w:t>,</w:t>
      </w:r>
      <w:r w:rsidR="00A86845">
        <w:rPr>
          <w:rFonts w:ascii="Arial" w:hAnsi="Arial" w:cs="Arial" w:hint="cs"/>
          <w:sz w:val="20"/>
          <w:szCs w:val="20"/>
          <w:rtl/>
        </w:rPr>
        <w:t>1</w:t>
      </w:r>
      <w:r w:rsidR="00134771">
        <w:rPr>
          <w:rFonts w:ascii="Arial" w:hAnsi="Arial" w:cs="Arial"/>
          <w:sz w:val="20"/>
          <w:szCs w:val="20"/>
        </w:rPr>
        <w:t xml:space="preserve"> point pour le secondaire</w:t>
      </w:r>
      <w:r w:rsidR="00134771" w:rsidRPr="00055483">
        <w:rPr>
          <w:rFonts w:ascii="Arial" w:hAnsi="Arial" w:cs="Arial"/>
          <w:sz w:val="20"/>
          <w:szCs w:val="20"/>
        </w:rPr>
        <w:t>.</w:t>
      </w:r>
      <w:r w:rsidR="00562210">
        <w:rPr>
          <w:rFonts w:ascii="Arial" w:hAnsi="Arial" w:cs="Arial"/>
          <w:sz w:val="20"/>
          <w:szCs w:val="20"/>
        </w:rPr>
        <w:t xml:space="preserve"> </w:t>
      </w:r>
      <w:r w:rsidR="00A86845">
        <w:rPr>
          <w:rFonts w:ascii="Arial" w:hAnsi="Arial" w:cs="Arial"/>
          <w:sz w:val="20"/>
          <w:szCs w:val="20"/>
        </w:rPr>
        <w:t>Dans le même sillage, l</w:t>
      </w:r>
      <w:r w:rsidR="00DC5E6A">
        <w:rPr>
          <w:rFonts w:ascii="Arial" w:hAnsi="Arial" w:cs="Arial"/>
          <w:sz w:val="20"/>
          <w:szCs w:val="20"/>
        </w:rPr>
        <w:t xml:space="preserve">es </w:t>
      </w:r>
      <w:r w:rsidR="000B03A2">
        <w:rPr>
          <w:rFonts w:ascii="Arial" w:hAnsi="Arial" w:cs="Arial"/>
          <w:sz w:val="20"/>
          <w:szCs w:val="20"/>
        </w:rPr>
        <w:t>activité</w:t>
      </w:r>
      <w:r w:rsidR="00DC5E6A">
        <w:rPr>
          <w:rFonts w:ascii="Arial" w:hAnsi="Arial" w:cs="Arial"/>
          <w:sz w:val="20"/>
          <w:szCs w:val="20"/>
        </w:rPr>
        <w:t>s</w:t>
      </w:r>
      <w:r w:rsidR="00562210">
        <w:rPr>
          <w:rFonts w:ascii="Arial" w:hAnsi="Arial" w:cs="Arial"/>
          <w:sz w:val="20"/>
          <w:szCs w:val="20"/>
        </w:rPr>
        <w:t xml:space="preserve"> </w:t>
      </w:r>
      <w:r w:rsidR="00B85A11" w:rsidRPr="00055483">
        <w:rPr>
          <w:rFonts w:ascii="Arial" w:hAnsi="Arial" w:cs="Arial"/>
          <w:sz w:val="20"/>
          <w:szCs w:val="20"/>
        </w:rPr>
        <w:t>industrielle</w:t>
      </w:r>
      <w:r w:rsidR="00DC5E6A">
        <w:rPr>
          <w:rFonts w:ascii="Arial" w:hAnsi="Arial" w:cs="Arial"/>
          <w:sz w:val="20"/>
          <w:szCs w:val="20"/>
        </w:rPr>
        <w:t>s</w:t>
      </w:r>
      <w:r w:rsidR="000B03A2">
        <w:rPr>
          <w:rFonts w:ascii="Arial" w:hAnsi="Arial" w:cs="Arial"/>
          <w:sz w:val="20"/>
          <w:szCs w:val="20"/>
        </w:rPr>
        <w:t>,</w:t>
      </w:r>
      <w:r w:rsidR="00562210">
        <w:rPr>
          <w:rFonts w:ascii="Arial" w:hAnsi="Arial" w:cs="Arial"/>
          <w:sz w:val="20"/>
          <w:szCs w:val="20"/>
        </w:rPr>
        <w:t xml:space="preserve"> </w:t>
      </w:r>
      <w:r w:rsidR="000B03A2">
        <w:rPr>
          <w:rFonts w:ascii="Arial" w:hAnsi="Arial" w:cs="Arial"/>
          <w:sz w:val="20"/>
          <w:szCs w:val="20"/>
        </w:rPr>
        <w:t xml:space="preserve">d’électricité </w:t>
      </w:r>
      <w:r w:rsidR="00DC5E6A">
        <w:rPr>
          <w:rFonts w:ascii="Arial" w:hAnsi="Arial" w:cs="Arial"/>
          <w:sz w:val="20"/>
          <w:szCs w:val="20"/>
        </w:rPr>
        <w:t>et de construction</w:t>
      </w:r>
      <w:r w:rsidR="00562210">
        <w:rPr>
          <w:rFonts w:ascii="Arial" w:hAnsi="Arial" w:cs="Arial"/>
          <w:sz w:val="20"/>
          <w:szCs w:val="20"/>
        </w:rPr>
        <w:t xml:space="preserve"> </w:t>
      </w:r>
      <w:r w:rsidR="004028B3">
        <w:rPr>
          <w:rFonts w:ascii="Arial" w:hAnsi="Arial" w:cs="Arial"/>
          <w:sz w:val="20"/>
          <w:szCs w:val="20"/>
        </w:rPr>
        <w:t>poursuivraient leur raffermissement</w:t>
      </w:r>
      <w:r w:rsidR="00A86845">
        <w:rPr>
          <w:rFonts w:ascii="Arial" w:hAnsi="Arial" w:cs="Arial"/>
          <w:sz w:val="20"/>
          <w:szCs w:val="20"/>
        </w:rPr>
        <w:t xml:space="preserve"> amorcé au début de l’année</w:t>
      </w:r>
      <w:r w:rsidR="00B85A11" w:rsidRPr="00055483">
        <w:rPr>
          <w:rFonts w:ascii="Arial" w:hAnsi="Arial" w:cs="Arial"/>
          <w:sz w:val="20"/>
          <w:szCs w:val="20"/>
        </w:rPr>
        <w:t xml:space="preserve">. </w:t>
      </w:r>
      <w:r w:rsidR="00134771">
        <w:rPr>
          <w:rFonts w:ascii="Arial" w:hAnsi="Arial" w:cs="Arial"/>
          <w:sz w:val="20"/>
          <w:szCs w:val="20"/>
        </w:rPr>
        <w:t>En revanche, l</w:t>
      </w:r>
      <w:r w:rsidR="00134771" w:rsidRPr="00420B47">
        <w:rPr>
          <w:rFonts w:ascii="Arial" w:hAnsi="Arial" w:cs="Arial"/>
          <w:sz w:val="20"/>
          <w:szCs w:val="20"/>
        </w:rPr>
        <w:t xml:space="preserve">a croissance de l’activité </w:t>
      </w:r>
      <w:r w:rsidR="00134771" w:rsidRPr="0036154C">
        <w:rPr>
          <w:rFonts w:ascii="Arial" w:hAnsi="Arial" w:cs="Arial"/>
          <w:b/>
          <w:bCs/>
          <w:sz w:val="20"/>
          <w:szCs w:val="20"/>
        </w:rPr>
        <w:t>minière</w:t>
      </w:r>
      <w:r w:rsidR="00562210">
        <w:rPr>
          <w:rFonts w:ascii="Arial" w:hAnsi="Arial" w:cs="Arial"/>
          <w:b/>
          <w:bCs/>
          <w:sz w:val="20"/>
          <w:szCs w:val="20"/>
        </w:rPr>
        <w:t xml:space="preserve"> </w:t>
      </w:r>
      <w:r w:rsidR="00134771" w:rsidRPr="00420B47">
        <w:rPr>
          <w:rFonts w:ascii="Arial" w:hAnsi="Arial" w:cs="Arial"/>
          <w:sz w:val="20"/>
          <w:szCs w:val="20"/>
        </w:rPr>
        <w:t>ralentirait, s’établissant à +1,</w:t>
      </w:r>
      <w:r w:rsidR="00827712">
        <w:rPr>
          <w:rFonts w:ascii="Arial" w:hAnsi="Arial" w:cs="Arial" w:hint="cs"/>
          <w:sz w:val="20"/>
          <w:szCs w:val="20"/>
          <w:rtl/>
        </w:rPr>
        <w:t>6</w:t>
      </w:r>
      <w:r w:rsidR="00134771" w:rsidRPr="00420B47">
        <w:rPr>
          <w:rFonts w:ascii="Arial" w:hAnsi="Arial" w:cs="Arial"/>
          <w:sz w:val="20"/>
          <w:szCs w:val="20"/>
        </w:rPr>
        <w:t>%, en rythme annuel, au lieu de +</w:t>
      </w:r>
      <w:r w:rsidR="00827712">
        <w:rPr>
          <w:rFonts w:ascii="Arial" w:hAnsi="Arial" w:cs="Arial" w:hint="cs"/>
          <w:sz w:val="20"/>
          <w:szCs w:val="20"/>
          <w:rtl/>
        </w:rPr>
        <w:t>4</w:t>
      </w:r>
      <w:r w:rsidR="00134771" w:rsidRPr="00420B47">
        <w:rPr>
          <w:rFonts w:ascii="Arial" w:hAnsi="Arial" w:cs="Arial"/>
          <w:sz w:val="20"/>
          <w:szCs w:val="20"/>
        </w:rPr>
        <w:t>,</w:t>
      </w:r>
      <w:r w:rsidR="00827712">
        <w:rPr>
          <w:rFonts w:ascii="Arial" w:hAnsi="Arial" w:cs="Arial" w:hint="cs"/>
          <w:sz w:val="20"/>
          <w:szCs w:val="20"/>
          <w:rtl/>
        </w:rPr>
        <w:t>2</w:t>
      </w:r>
      <w:r w:rsidR="00134771" w:rsidRPr="00420B47">
        <w:rPr>
          <w:rFonts w:ascii="Arial" w:hAnsi="Arial" w:cs="Arial"/>
          <w:sz w:val="20"/>
          <w:szCs w:val="20"/>
        </w:rPr>
        <w:t>% une année auparavant.</w:t>
      </w:r>
    </w:p>
    <w:p w:rsidR="00134771" w:rsidRDefault="00134771" w:rsidP="000B03A2">
      <w:pPr>
        <w:jc w:val="both"/>
        <w:rPr>
          <w:rFonts w:ascii="Arial" w:hAnsi="Arial" w:cs="Arial"/>
          <w:sz w:val="20"/>
          <w:szCs w:val="20"/>
        </w:rPr>
      </w:pPr>
    </w:p>
    <w:p w:rsidR="00207E4D" w:rsidRPr="00DC3E98" w:rsidRDefault="00ED403A" w:rsidP="00FB6130">
      <w:pPr>
        <w:jc w:val="both"/>
        <w:rPr>
          <w:rFonts w:asciiTheme="minorBidi" w:hAnsiTheme="minorBidi" w:cstheme="minorBidi"/>
          <w:sz w:val="20"/>
          <w:szCs w:val="20"/>
        </w:rPr>
      </w:pPr>
      <w:r>
        <w:rPr>
          <w:rFonts w:ascii="Arial" w:hAnsi="Arial" w:cs="Arial"/>
          <w:noProof/>
          <w:sz w:val="20"/>
          <w:szCs w:val="20"/>
        </w:rPr>
        <w:drawing>
          <wp:anchor distT="0" distB="0" distL="114300" distR="114300" simplePos="0" relativeHeight="251664896" behindDoc="1" locked="0" layoutInCell="1" allowOverlap="1">
            <wp:simplePos x="0" y="0"/>
            <wp:positionH relativeFrom="column">
              <wp:posOffset>4072255</wp:posOffset>
            </wp:positionH>
            <wp:positionV relativeFrom="paragraph">
              <wp:posOffset>24130</wp:posOffset>
            </wp:positionV>
            <wp:extent cx="2481580" cy="1979295"/>
            <wp:effectExtent l="19050" t="0" r="0" b="0"/>
            <wp:wrapTight wrapText="bothSides">
              <wp:wrapPolygon edited="0">
                <wp:start x="-166" y="0"/>
                <wp:lineTo x="-166" y="21205"/>
                <wp:lineTo x="21556" y="21205"/>
                <wp:lineTo x="21556" y="0"/>
                <wp:lineTo x="-166" y="0"/>
              </wp:wrapPolygon>
            </wp:wrapTight>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481580" cy="1979295"/>
                    </a:xfrm>
                    <a:prstGeom prst="rect">
                      <a:avLst/>
                    </a:prstGeom>
                    <a:noFill/>
                    <a:ln w="9525">
                      <a:noFill/>
                      <a:miter lim="800000"/>
                      <a:headEnd/>
                      <a:tailEnd/>
                    </a:ln>
                  </pic:spPr>
                </pic:pic>
              </a:graphicData>
            </a:graphic>
          </wp:anchor>
        </w:drawing>
      </w:r>
      <w:r w:rsidR="00FB6130">
        <w:rPr>
          <w:rFonts w:asciiTheme="minorBidi" w:hAnsiTheme="minorBidi" w:cstheme="minorBidi"/>
          <w:sz w:val="20"/>
          <w:szCs w:val="20"/>
        </w:rPr>
        <w:t>L</w:t>
      </w:r>
      <w:r w:rsidR="00DC3E98" w:rsidRPr="00F95102">
        <w:rPr>
          <w:rFonts w:asciiTheme="minorBidi" w:hAnsiTheme="minorBidi" w:cstheme="minorBidi"/>
          <w:sz w:val="20"/>
          <w:szCs w:val="20"/>
        </w:rPr>
        <w:t xml:space="preserve">a </w:t>
      </w:r>
      <w:r w:rsidR="00DC3E98" w:rsidRPr="00FB6130">
        <w:rPr>
          <w:rFonts w:asciiTheme="minorBidi" w:hAnsiTheme="minorBidi" w:cstheme="minorBidi"/>
          <w:b/>
          <w:bCs/>
          <w:sz w:val="20"/>
          <w:szCs w:val="20"/>
        </w:rPr>
        <w:t>valeur ajoutée agricole</w:t>
      </w:r>
      <w:r w:rsidR="00562210">
        <w:rPr>
          <w:rFonts w:asciiTheme="minorBidi" w:hAnsiTheme="minorBidi" w:cstheme="minorBidi"/>
          <w:b/>
          <w:bCs/>
          <w:sz w:val="20"/>
          <w:szCs w:val="20"/>
        </w:rPr>
        <w:t xml:space="preserve"> </w:t>
      </w:r>
      <w:r w:rsidR="00FB6130">
        <w:rPr>
          <w:rFonts w:asciiTheme="minorBidi" w:hAnsiTheme="minorBidi" w:cstheme="minorBidi"/>
          <w:sz w:val="20"/>
          <w:szCs w:val="20"/>
        </w:rPr>
        <w:t>croitrait</w:t>
      </w:r>
      <w:r w:rsidR="00D612EA">
        <w:rPr>
          <w:rFonts w:asciiTheme="minorBidi" w:hAnsiTheme="minorBidi" w:cstheme="minorBidi"/>
          <w:sz w:val="20"/>
          <w:szCs w:val="20"/>
        </w:rPr>
        <w:t xml:space="preserve">, </w:t>
      </w:r>
      <w:r w:rsidR="00D612EA" w:rsidRPr="00562210">
        <w:rPr>
          <w:rFonts w:asciiTheme="minorBidi" w:hAnsiTheme="minorBidi" w:cstheme="minorBidi"/>
          <w:sz w:val="20"/>
          <w:szCs w:val="20"/>
        </w:rPr>
        <w:t>pour sa part,</w:t>
      </w:r>
      <w:r w:rsidR="00562210">
        <w:rPr>
          <w:rFonts w:asciiTheme="minorBidi" w:hAnsiTheme="minorBidi" w:cstheme="minorBidi"/>
          <w:sz w:val="20"/>
          <w:szCs w:val="20"/>
        </w:rPr>
        <w:t xml:space="preserve"> </w:t>
      </w:r>
      <w:r w:rsidR="00FB6130">
        <w:rPr>
          <w:rFonts w:asciiTheme="minorBidi" w:hAnsiTheme="minorBidi" w:cstheme="minorBidi"/>
          <w:sz w:val="20"/>
          <w:szCs w:val="20"/>
        </w:rPr>
        <w:t>de</w:t>
      </w:r>
      <w:r w:rsidR="00DC3E98" w:rsidRPr="00F95102">
        <w:rPr>
          <w:rFonts w:asciiTheme="minorBidi" w:hAnsiTheme="minorBidi" w:cstheme="minorBidi"/>
          <w:sz w:val="20"/>
          <w:szCs w:val="20"/>
        </w:rPr>
        <w:t xml:space="preserve"> 19,1%, </w:t>
      </w:r>
      <w:r w:rsidR="00FB6130">
        <w:rPr>
          <w:rFonts w:asciiTheme="minorBidi" w:hAnsiTheme="minorBidi" w:cstheme="minorBidi"/>
          <w:sz w:val="20"/>
          <w:szCs w:val="20"/>
        </w:rPr>
        <w:t xml:space="preserve">en variation annuelle, </w:t>
      </w:r>
      <w:r w:rsidR="00DC3E98" w:rsidRPr="00F95102">
        <w:rPr>
          <w:rFonts w:asciiTheme="minorBidi" w:hAnsiTheme="minorBidi" w:cstheme="minorBidi"/>
          <w:sz w:val="20"/>
          <w:szCs w:val="20"/>
        </w:rPr>
        <w:t>portant sa contribution à la croissance économique globale à 2,1 points. L</w:t>
      </w:r>
      <w:r w:rsidR="00FB6130">
        <w:rPr>
          <w:rFonts w:asciiTheme="minorBidi" w:hAnsiTheme="minorBidi" w:cstheme="minorBidi"/>
          <w:sz w:val="20"/>
          <w:szCs w:val="20"/>
        </w:rPr>
        <w:t xml:space="preserve">’évolution </w:t>
      </w:r>
      <w:r w:rsidR="00DC3E98" w:rsidRPr="00F95102">
        <w:rPr>
          <w:rFonts w:asciiTheme="minorBidi" w:hAnsiTheme="minorBidi" w:cstheme="minorBidi"/>
          <w:sz w:val="20"/>
          <w:szCs w:val="20"/>
        </w:rPr>
        <w:t>de la production végétale resterait soutenue, mais la forte progression de la production animale</w:t>
      </w:r>
      <w:r w:rsidR="00D612EA">
        <w:rPr>
          <w:rFonts w:asciiTheme="minorBidi" w:hAnsiTheme="minorBidi" w:cstheme="minorBidi"/>
          <w:sz w:val="20"/>
          <w:szCs w:val="20"/>
        </w:rPr>
        <w:t>,</w:t>
      </w:r>
      <w:r w:rsidR="00DC3E98" w:rsidRPr="00F95102">
        <w:rPr>
          <w:rFonts w:asciiTheme="minorBidi" w:hAnsiTheme="minorBidi" w:cstheme="minorBidi"/>
          <w:sz w:val="20"/>
          <w:szCs w:val="20"/>
        </w:rPr>
        <w:t xml:space="preserve"> enregistrée au deuxième trimestre 2021, s’amortirait progressivement au troisième trimestre, avec la dissipation progressive de l’effet de l’ajustement de base lié au confinement sanitaire qui était opéré au deuxième trimestre de 2020.</w:t>
      </w:r>
    </w:p>
    <w:p w:rsidR="00B02C0A" w:rsidRPr="00D612EA" w:rsidRDefault="00B02C0A" w:rsidP="004225F2">
      <w:pPr>
        <w:jc w:val="both"/>
        <w:rPr>
          <w:rFonts w:ascii="Arial" w:hAnsi="Arial" w:cs="Arial"/>
          <w:sz w:val="20"/>
          <w:szCs w:val="20"/>
        </w:rPr>
      </w:pPr>
    </w:p>
    <w:p w:rsidR="00946451" w:rsidRPr="00D612EA" w:rsidRDefault="00946451" w:rsidP="007E1703">
      <w:pPr>
        <w:jc w:val="both"/>
        <w:rPr>
          <w:rFonts w:ascii="Arial" w:hAnsi="Arial" w:cs="Arial"/>
          <w:sz w:val="20"/>
          <w:szCs w:val="20"/>
        </w:rPr>
      </w:pPr>
      <w:r w:rsidRPr="00D612EA">
        <w:rPr>
          <w:rFonts w:ascii="Arial" w:hAnsi="Arial" w:cs="Arial"/>
          <w:sz w:val="20"/>
          <w:szCs w:val="20"/>
        </w:rPr>
        <w:t>Dans l’ensemble et compte tenu d’un accroissement de 5,</w:t>
      </w:r>
      <w:r w:rsidR="007E1703">
        <w:rPr>
          <w:rFonts w:ascii="Arial" w:hAnsi="Arial" w:cs="Arial"/>
          <w:sz w:val="20"/>
          <w:szCs w:val="20"/>
        </w:rPr>
        <w:t>4</w:t>
      </w:r>
      <w:r w:rsidRPr="00D612EA">
        <w:rPr>
          <w:rFonts w:ascii="Arial" w:hAnsi="Arial" w:cs="Arial"/>
          <w:sz w:val="20"/>
          <w:szCs w:val="20"/>
        </w:rPr>
        <w:t>% de la valeur ajoutée hors agriculture et d’un rebond de 19,1% de celle de l’agriculture, l’activité économique enregistrerait une hausse de 7,</w:t>
      </w:r>
      <w:r w:rsidR="007E1703">
        <w:rPr>
          <w:rFonts w:ascii="Arial" w:hAnsi="Arial" w:cs="Arial"/>
          <w:sz w:val="20"/>
          <w:szCs w:val="20"/>
        </w:rPr>
        <w:t>2</w:t>
      </w:r>
      <w:r w:rsidRPr="00D612EA">
        <w:rPr>
          <w:rFonts w:ascii="Arial" w:hAnsi="Arial" w:cs="Arial"/>
          <w:sz w:val="20"/>
          <w:szCs w:val="20"/>
        </w:rPr>
        <w:t>% au troisième trimestre 2021, en variation annuelle, au lieu de -6,7% au troisième trimestre 2020.</w:t>
      </w:r>
    </w:p>
    <w:p w:rsidR="00CF036B" w:rsidRPr="00D612EA" w:rsidRDefault="00CF036B" w:rsidP="00CF036B">
      <w:pPr>
        <w:jc w:val="both"/>
        <w:rPr>
          <w:rFonts w:ascii="Arial" w:hAnsi="Arial" w:cs="Arial"/>
          <w:sz w:val="20"/>
          <w:szCs w:val="20"/>
        </w:rPr>
      </w:pPr>
    </w:p>
    <w:sectPr w:rsidR="00CF036B" w:rsidRPr="00D612EA"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4E6" w:rsidRDefault="000E04E6">
      <w:r>
        <w:separator/>
      </w:r>
    </w:p>
  </w:endnote>
  <w:endnote w:type="continuationSeparator" w:id="1">
    <w:p w:rsidR="000E04E6" w:rsidRDefault="000E0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DejaVu Sans"/>
    <w:charset w:val="00"/>
    <w:family w:val="swiss"/>
    <w:pitch w:val="variable"/>
    <w:sig w:usb0="00000001"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223942" w:rsidP="00CB05C8">
    <w:pPr>
      <w:pStyle w:val="Pieddepage"/>
      <w:framePr w:wrap="auto" w:vAnchor="text" w:hAnchor="margin" w:xAlign="center" w:y="1"/>
      <w:rPr>
        <w:rStyle w:val="Numrodepage"/>
      </w:rPr>
    </w:pPr>
    <w:r>
      <w:rPr>
        <w:rStyle w:val="Numrodepage"/>
      </w:rPr>
      <w:fldChar w:fldCharType="begin"/>
    </w:r>
    <w:r w:rsidR="000606F3">
      <w:rPr>
        <w:rStyle w:val="Numrodepage"/>
      </w:rPr>
      <w:instrText xml:space="preserve">PAGE  </w:instrText>
    </w:r>
    <w:r>
      <w:rPr>
        <w:rStyle w:val="Numrodepage"/>
      </w:rPr>
      <w:fldChar w:fldCharType="end"/>
    </w:r>
  </w:p>
  <w:p w:rsidR="000606F3" w:rsidRDefault="000606F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Pr="006D7FA4" w:rsidRDefault="00223942"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0606F3" w:rsidRPr="006D7FA4">
      <w:rPr>
        <w:rStyle w:val="Numrodepage"/>
        <w:sz w:val="20"/>
        <w:szCs w:val="20"/>
      </w:rPr>
      <w:instrText xml:space="preserve">PAGE  </w:instrText>
    </w:r>
    <w:r w:rsidRPr="006D7FA4">
      <w:rPr>
        <w:rStyle w:val="Numrodepage"/>
        <w:sz w:val="20"/>
        <w:szCs w:val="20"/>
      </w:rPr>
      <w:fldChar w:fldCharType="separate"/>
    </w:r>
    <w:r w:rsidR="0085629A">
      <w:rPr>
        <w:rStyle w:val="Numrodepage"/>
        <w:noProof/>
        <w:sz w:val="20"/>
        <w:szCs w:val="20"/>
      </w:rPr>
      <w:t>2</w:t>
    </w:r>
    <w:r w:rsidRPr="006D7FA4">
      <w:rPr>
        <w:rStyle w:val="Numrodepage"/>
        <w:sz w:val="20"/>
        <w:szCs w:val="20"/>
      </w:rPr>
      <w:fldChar w:fldCharType="end"/>
    </w:r>
    <w:r w:rsidR="000606F3" w:rsidRPr="006D7FA4">
      <w:rPr>
        <w:rStyle w:val="Numrodepage"/>
        <w:sz w:val="20"/>
        <w:szCs w:val="20"/>
      </w:rPr>
      <w:t>/</w:t>
    </w:r>
    <w:r w:rsidRPr="006D7FA4">
      <w:rPr>
        <w:rStyle w:val="Numrodepage"/>
        <w:sz w:val="20"/>
        <w:szCs w:val="20"/>
      </w:rPr>
      <w:fldChar w:fldCharType="begin"/>
    </w:r>
    <w:r w:rsidR="000606F3" w:rsidRPr="006D7FA4">
      <w:rPr>
        <w:rStyle w:val="Numrodepage"/>
        <w:sz w:val="20"/>
        <w:szCs w:val="20"/>
      </w:rPr>
      <w:instrText xml:space="preserve"> NUMPAGES </w:instrText>
    </w:r>
    <w:r w:rsidRPr="006D7FA4">
      <w:rPr>
        <w:rStyle w:val="Numrodepage"/>
        <w:sz w:val="20"/>
        <w:szCs w:val="20"/>
      </w:rPr>
      <w:fldChar w:fldCharType="separate"/>
    </w:r>
    <w:r w:rsidR="0085629A">
      <w:rPr>
        <w:rStyle w:val="Numrodepage"/>
        <w:noProof/>
        <w:sz w:val="20"/>
        <w:szCs w:val="20"/>
      </w:rPr>
      <w:t>4</w:t>
    </w:r>
    <w:r w:rsidRPr="006D7FA4">
      <w:rPr>
        <w:rStyle w:val="Numrodepage"/>
        <w:sz w:val="20"/>
        <w:szCs w:val="20"/>
      </w:rPr>
      <w:fldChar w:fldCharType="end"/>
    </w:r>
  </w:p>
  <w:p w:rsidR="000606F3" w:rsidRDefault="000606F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223942">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xOk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C40xOkggIA&#10;ABAFAAAOAAAAAAAAAAAAAAAAAC4CAABkcnMvZTJvRG9jLnhtbFBLAQItABQABgAIAAAAIQDHoIGW&#10;2wAAAAYBAAAPAAAAAAAAAAAAAAAAANwEAABkcnMvZG93bnJldi54bWxQSwUGAAAAAAQABADzAAAA&#10;5AUAAAAA&#10;" stroked="f">
          <v:textbox>
            <w:txbxContent>
              <w:p w:rsidR="000606F3" w:rsidRPr="00773F09" w:rsidRDefault="000606F3"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ROhgIAABc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g&#10;OAROhgIAABcFAAAOAAAAAAAAAAAAAAAAAC4CAABkcnMvZTJvRG9jLnhtbFBLAQItABQABgAIAAAA&#10;IQB8SI/z3QAAAAcBAAAPAAAAAAAAAAAAAAAAAOAEAABkcnMvZG93bnJldi54bWxQSwUGAAAAAAQA&#10;BADzAAAA6gUAAAAA&#10;" stroked="f">
          <v:textbox>
            <w:txbxContent>
              <w:p w:rsidR="000606F3" w:rsidRPr="00F94487" w:rsidRDefault="000606F3"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0606F3" w:rsidRPr="00350C40" w:rsidRDefault="000606F3"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0606F3" w:rsidRPr="00350C40" w:rsidRDefault="000606F3"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0606F3" w:rsidRPr="00773F09" w:rsidRDefault="000606F3"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GA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" stroked="f">
          <v:textbox>
            <w:txbxContent>
              <w:p w:rsidR="000606F3" w:rsidRPr="00350C40" w:rsidRDefault="000606F3"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4E6" w:rsidRDefault="000E04E6">
      <w:r>
        <w:separator/>
      </w:r>
    </w:p>
  </w:footnote>
  <w:footnote w:type="continuationSeparator" w:id="1">
    <w:p w:rsidR="000E04E6" w:rsidRDefault="000E0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6F3" w:rsidRDefault="007E466F"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9218"/>
    <o:shapelayout v:ext="edit">
      <o:idmap v:ext="edit" data="4"/>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4D"/>
    <w:rsid w:val="000025B3"/>
    <w:rsid w:val="00002878"/>
    <w:rsid w:val="00002CA4"/>
    <w:rsid w:val="00003123"/>
    <w:rsid w:val="00003529"/>
    <w:rsid w:val="00003601"/>
    <w:rsid w:val="000036B2"/>
    <w:rsid w:val="00003781"/>
    <w:rsid w:val="000037BD"/>
    <w:rsid w:val="000038EC"/>
    <w:rsid w:val="00003B57"/>
    <w:rsid w:val="0000471A"/>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61A"/>
    <w:rsid w:val="000178C1"/>
    <w:rsid w:val="00017B37"/>
    <w:rsid w:val="00017FF8"/>
    <w:rsid w:val="000205FA"/>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80E"/>
    <w:rsid w:val="000368FA"/>
    <w:rsid w:val="00036A9C"/>
    <w:rsid w:val="00036CA6"/>
    <w:rsid w:val="00036D6C"/>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876"/>
    <w:rsid w:val="00047ECA"/>
    <w:rsid w:val="000500AF"/>
    <w:rsid w:val="000500E6"/>
    <w:rsid w:val="000507D3"/>
    <w:rsid w:val="00050A6E"/>
    <w:rsid w:val="00050B69"/>
    <w:rsid w:val="00050CDA"/>
    <w:rsid w:val="00051098"/>
    <w:rsid w:val="000510D6"/>
    <w:rsid w:val="00051106"/>
    <w:rsid w:val="0005135E"/>
    <w:rsid w:val="00051689"/>
    <w:rsid w:val="00051923"/>
    <w:rsid w:val="000521F3"/>
    <w:rsid w:val="0005275C"/>
    <w:rsid w:val="0005286C"/>
    <w:rsid w:val="000528D8"/>
    <w:rsid w:val="00052A57"/>
    <w:rsid w:val="00052AEA"/>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6DE"/>
    <w:rsid w:val="000568AD"/>
    <w:rsid w:val="00056FFA"/>
    <w:rsid w:val="000570B2"/>
    <w:rsid w:val="0005730E"/>
    <w:rsid w:val="000573F8"/>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32C2"/>
    <w:rsid w:val="000633F7"/>
    <w:rsid w:val="0006348D"/>
    <w:rsid w:val="0006383C"/>
    <w:rsid w:val="00063A3B"/>
    <w:rsid w:val="00064386"/>
    <w:rsid w:val="000643FF"/>
    <w:rsid w:val="0006442F"/>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4D7"/>
    <w:rsid w:val="00070037"/>
    <w:rsid w:val="0007055F"/>
    <w:rsid w:val="00070595"/>
    <w:rsid w:val="00070861"/>
    <w:rsid w:val="00071EFF"/>
    <w:rsid w:val="000721C3"/>
    <w:rsid w:val="00072320"/>
    <w:rsid w:val="000723B5"/>
    <w:rsid w:val="000725B3"/>
    <w:rsid w:val="000728D2"/>
    <w:rsid w:val="000728FA"/>
    <w:rsid w:val="00072B60"/>
    <w:rsid w:val="00072B88"/>
    <w:rsid w:val="00072BF2"/>
    <w:rsid w:val="00072EBF"/>
    <w:rsid w:val="000730EC"/>
    <w:rsid w:val="00073155"/>
    <w:rsid w:val="000732CB"/>
    <w:rsid w:val="0007340C"/>
    <w:rsid w:val="00073805"/>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D70"/>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9F9"/>
    <w:rsid w:val="00085DC6"/>
    <w:rsid w:val="00085E86"/>
    <w:rsid w:val="00085FAB"/>
    <w:rsid w:val="0008606C"/>
    <w:rsid w:val="000862E0"/>
    <w:rsid w:val="000873C3"/>
    <w:rsid w:val="00087554"/>
    <w:rsid w:val="00087F93"/>
    <w:rsid w:val="00090012"/>
    <w:rsid w:val="000900E8"/>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EFE"/>
    <w:rsid w:val="000931A9"/>
    <w:rsid w:val="000931F8"/>
    <w:rsid w:val="000935C8"/>
    <w:rsid w:val="00093B91"/>
    <w:rsid w:val="00093F9E"/>
    <w:rsid w:val="000943AB"/>
    <w:rsid w:val="00094498"/>
    <w:rsid w:val="00094655"/>
    <w:rsid w:val="00094694"/>
    <w:rsid w:val="00094710"/>
    <w:rsid w:val="00094806"/>
    <w:rsid w:val="0009549D"/>
    <w:rsid w:val="0009560D"/>
    <w:rsid w:val="000956EF"/>
    <w:rsid w:val="00095A2E"/>
    <w:rsid w:val="00095E4E"/>
    <w:rsid w:val="00095F97"/>
    <w:rsid w:val="00096088"/>
    <w:rsid w:val="00096239"/>
    <w:rsid w:val="000968CA"/>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C0F"/>
    <w:rsid w:val="000A6F23"/>
    <w:rsid w:val="000A6F7B"/>
    <w:rsid w:val="000A7249"/>
    <w:rsid w:val="000A7281"/>
    <w:rsid w:val="000A7660"/>
    <w:rsid w:val="000A79CD"/>
    <w:rsid w:val="000B0102"/>
    <w:rsid w:val="000B0183"/>
    <w:rsid w:val="000B01F4"/>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4E6"/>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605C"/>
    <w:rsid w:val="000F64F3"/>
    <w:rsid w:val="000F6533"/>
    <w:rsid w:val="000F6A4A"/>
    <w:rsid w:val="000F6D6C"/>
    <w:rsid w:val="000F6E2A"/>
    <w:rsid w:val="000F6E40"/>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7F"/>
    <w:rsid w:val="00105AB2"/>
    <w:rsid w:val="001063C7"/>
    <w:rsid w:val="00106B8D"/>
    <w:rsid w:val="00106FC0"/>
    <w:rsid w:val="00107113"/>
    <w:rsid w:val="0010714B"/>
    <w:rsid w:val="00107170"/>
    <w:rsid w:val="00107751"/>
    <w:rsid w:val="00107A4F"/>
    <w:rsid w:val="00110408"/>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881"/>
    <w:rsid w:val="0012414C"/>
    <w:rsid w:val="00124572"/>
    <w:rsid w:val="001247F6"/>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ACA"/>
    <w:rsid w:val="00136AE5"/>
    <w:rsid w:val="00136E62"/>
    <w:rsid w:val="00136E6A"/>
    <w:rsid w:val="00136F4D"/>
    <w:rsid w:val="00137169"/>
    <w:rsid w:val="00137652"/>
    <w:rsid w:val="001379C2"/>
    <w:rsid w:val="00137BD3"/>
    <w:rsid w:val="00137CAD"/>
    <w:rsid w:val="00137D8F"/>
    <w:rsid w:val="00137FF2"/>
    <w:rsid w:val="0014005F"/>
    <w:rsid w:val="00140182"/>
    <w:rsid w:val="00140432"/>
    <w:rsid w:val="001404C2"/>
    <w:rsid w:val="00140CD2"/>
    <w:rsid w:val="00140E1A"/>
    <w:rsid w:val="00141170"/>
    <w:rsid w:val="001412C5"/>
    <w:rsid w:val="00141592"/>
    <w:rsid w:val="00141788"/>
    <w:rsid w:val="001417D4"/>
    <w:rsid w:val="00141D26"/>
    <w:rsid w:val="00141D75"/>
    <w:rsid w:val="0014289F"/>
    <w:rsid w:val="00142B0B"/>
    <w:rsid w:val="0014338E"/>
    <w:rsid w:val="0014360D"/>
    <w:rsid w:val="001437B0"/>
    <w:rsid w:val="00143A0C"/>
    <w:rsid w:val="00143BBC"/>
    <w:rsid w:val="00144480"/>
    <w:rsid w:val="00144578"/>
    <w:rsid w:val="0014485F"/>
    <w:rsid w:val="00144B79"/>
    <w:rsid w:val="00144C0A"/>
    <w:rsid w:val="00144DBE"/>
    <w:rsid w:val="00145A0E"/>
    <w:rsid w:val="00145C07"/>
    <w:rsid w:val="00145EE4"/>
    <w:rsid w:val="00145F4D"/>
    <w:rsid w:val="00146C7E"/>
    <w:rsid w:val="00146E2C"/>
    <w:rsid w:val="0014709F"/>
    <w:rsid w:val="00147262"/>
    <w:rsid w:val="00147283"/>
    <w:rsid w:val="001472F8"/>
    <w:rsid w:val="0014749F"/>
    <w:rsid w:val="00147EEB"/>
    <w:rsid w:val="0015075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E2E"/>
    <w:rsid w:val="00163073"/>
    <w:rsid w:val="001630F0"/>
    <w:rsid w:val="00163242"/>
    <w:rsid w:val="0016342D"/>
    <w:rsid w:val="001634DC"/>
    <w:rsid w:val="0016363C"/>
    <w:rsid w:val="00163C0F"/>
    <w:rsid w:val="00163F02"/>
    <w:rsid w:val="001640A8"/>
    <w:rsid w:val="001640AC"/>
    <w:rsid w:val="0016441C"/>
    <w:rsid w:val="00164E14"/>
    <w:rsid w:val="0016504E"/>
    <w:rsid w:val="00165D57"/>
    <w:rsid w:val="0016600B"/>
    <w:rsid w:val="0016605D"/>
    <w:rsid w:val="00166479"/>
    <w:rsid w:val="0016658F"/>
    <w:rsid w:val="001666F0"/>
    <w:rsid w:val="00166A04"/>
    <w:rsid w:val="00167CD8"/>
    <w:rsid w:val="00167F77"/>
    <w:rsid w:val="001701C0"/>
    <w:rsid w:val="001704B7"/>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18AB"/>
    <w:rsid w:val="00181EFF"/>
    <w:rsid w:val="00182126"/>
    <w:rsid w:val="0018221C"/>
    <w:rsid w:val="0018259A"/>
    <w:rsid w:val="00182841"/>
    <w:rsid w:val="001828C4"/>
    <w:rsid w:val="00182DF2"/>
    <w:rsid w:val="00182DF5"/>
    <w:rsid w:val="00183006"/>
    <w:rsid w:val="00183041"/>
    <w:rsid w:val="0018312D"/>
    <w:rsid w:val="001832DE"/>
    <w:rsid w:val="00183325"/>
    <w:rsid w:val="001835A9"/>
    <w:rsid w:val="00183612"/>
    <w:rsid w:val="001839FB"/>
    <w:rsid w:val="0018413F"/>
    <w:rsid w:val="0018461F"/>
    <w:rsid w:val="00184CD5"/>
    <w:rsid w:val="00185088"/>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927"/>
    <w:rsid w:val="00194B01"/>
    <w:rsid w:val="00194F5E"/>
    <w:rsid w:val="00194FAC"/>
    <w:rsid w:val="00195392"/>
    <w:rsid w:val="0019592D"/>
    <w:rsid w:val="00195D88"/>
    <w:rsid w:val="0019627C"/>
    <w:rsid w:val="00196310"/>
    <w:rsid w:val="001969FA"/>
    <w:rsid w:val="00196A53"/>
    <w:rsid w:val="00196CF2"/>
    <w:rsid w:val="00196FED"/>
    <w:rsid w:val="0019727D"/>
    <w:rsid w:val="001A037A"/>
    <w:rsid w:val="001A0449"/>
    <w:rsid w:val="001A0694"/>
    <w:rsid w:val="001A075E"/>
    <w:rsid w:val="001A1342"/>
    <w:rsid w:val="001A19C7"/>
    <w:rsid w:val="001A1A9C"/>
    <w:rsid w:val="001A1B4C"/>
    <w:rsid w:val="001A1BE0"/>
    <w:rsid w:val="001A1CF6"/>
    <w:rsid w:val="001A23C1"/>
    <w:rsid w:val="001A3011"/>
    <w:rsid w:val="001A309F"/>
    <w:rsid w:val="001A33DE"/>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D"/>
    <w:rsid w:val="001B0D52"/>
    <w:rsid w:val="001B0DD2"/>
    <w:rsid w:val="001B110A"/>
    <w:rsid w:val="001B12AF"/>
    <w:rsid w:val="001B1827"/>
    <w:rsid w:val="001B191E"/>
    <w:rsid w:val="001B1A92"/>
    <w:rsid w:val="001B1A97"/>
    <w:rsid w:val="001B1AA1"/>
    <w:rsid w:val="001B1AEF"/>
    <w:rsid w:val="001B1D9A"/>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B70DB"/>
    <w:rsid w:val="001B7336"/>
    <w:rsid w:val="001B7B89"/>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414F"/>
    <w:rsid w:val="001C41E7"/>
    <w:rsid w:val="001C42B6"/>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3F3"/>
    <w:rsid w:val="001E1405"/>
    <w:rsid w:val="001E1780"/>
    <w:rsid w:val="001E1FE8"/>
    <w:rsid w:val="001E21E4"/>
    <w:rsid w:val="001E2204"/>
    <w:rsid w:val="001E2462"/>
    <w:rsid w:val="001E2469"/>
    <w:rsid w:val="001E29C3"/>
    <w:rsid w:val="001E2CAE"/>
    <w:rsid w:val="001E2E19"/>
    <w:rsid w:val="001E3168"/>
    <w:rsid w:val="001E3430"/>
    <w:rsid w:val="001E37B2"/>
    <w:rsid w:val="001E3B10"/>
    <w:rsid w:val="001E3CA2"/>
    <w:rsid w:val="001E3DF2"/>
    <w:rsid w:val="001E3E88"/>
    <w:rsid w:val="001E3F8B"/>
    <w:rsid w:val="001E4227"/>
    <w:rsid w:val="001E457D"/>
    <w:rsid w:val="001E45D1"/>
    <w:rsid w:val="001E46D8"/>
    <w:rsid w:val="001E483A"/>
    <w:rsid w:val="001E49CE"/>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A6A"/>
    <w:rsid w:val="002062EB"/>
    <w:rsid w:val="002063A8"/>
    <w:rsid w:val="00206591"/>
    <w:rsid w:val="00206623"/>
    <w:rsid w:val="00206659"/>
    <w:rsid w:val="00206B20"/>
    <w:rsid w:val="00206BAE"/>
    <w:rsid w:val="00206EAD"/>
    <w:rsid w:val="00207097"/>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72"/>
    <w:rsid w:val="00214F3E"/>
    <w:rsid w:val="00214F78"/>
    <w:rsid w:val="0021541E"/>
    <w:rsid w:val="002155FC"/>
    <w:rsid w:val="0021563F"/>
    <w:rsid w:val="0021573C"/>
    <w:rsid w:val="002157EF"/>
    <w:rsid w:val="0021608C"/>
    <w:rsid w:val="00216D2A"/>
    <w:rsid w:val="00216D9D"/>
    <w:rsid w:val="00217187"/>
    <w:rsid w:val="0021782D"/>
    <w:rsid w:val="00217999"/>
    <w:rsid w:val="0022007D"/>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942"/>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7069"/>
    <w:rsid w:val="0024744A"/>
    <w:rsid w:val="00247675"/>
    <w:rsid w:val="00247766"/>
    <w:rsid w:val="0024789A"/>
    <w:rsid w:val="00247F25"/>
    <w:rsid w:val="00250801"/>
    <w:rsid w:val="00250998"/>
    <w:rsid w:val="00250D0A"/>
    <w:rsid w:val="002517C9"/>
    <w:rsid w:val="00251C9B"/>
    <w:rsid w:val="0025220D"/>
    <w:rsid w:val="00252581"/>
    <w:rsid w:val="00252C3C"/>
    <w:rsid w:val="00252D80"/>
    <w:rsid w:val="00252F77"/>
    <w:rsid w:val="00253159"/>
    <w:rsid w:val="002532C7"/>
    <w:rsid w:val="00253346"/>
    <w:rsid w:val="002534FB"/>
    <w:rsid w:val="002538D1"/>
    <w:rsid w:val="002545A2"/>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AA4"/>
    <w:rsid w:val="00265ADB"/>
    <w:rsid w:val="00265CC9"/>
    <w:rsid w:val="0026609D"/>
    <w:rsid w:val="00266265"/>
    <w:rsid w:val="00266605"/>
    <w:rsid w:val="002667BA"/>
    <w:rsid w:val="00266E07"/>
    <w:rsid w:val="00267342"/>
    <w:rsid w:val="00267435"/>
    <w:rsid w:val="00267509"/>
    <w:rsid w:val="0026763A"/>
    <w:rsid w:val="00267D1B"/>
    <w:rsid w:val="00267DD9"/>
    <w:rsid w:val="00270128"/>
    <w:rsid w:val="002709BA"/>
    <w:rsid w:val="00270BDF"/>
    <w:rsid w:val="00270DDD"/>
    <w:rsid w:val="00271092"/>
    <w:rsid w:val="0027114B"/>
    <w:rsid w:val="00271633"/>
    <w:rsid w:val="002717FB"/>
    <w:rsid w:val="00271922"/>
    <w:rsid w:val="00271ED8"/>
    <w:rsid w:val="00272739"/>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292"/>
    <w:rsid w:val="002903E9"/>
    <w:rsid w:val="002907E8"/>
    <w:rsid w:val="002908CB"/>
    <w:rsid w:val="00290A03"/>
    <w:rsid w:val="00290B88"/>
    <w:rsid w:val="00290D9E"/>
    <w:rsid w:val="0029139F"/>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6898"/>
    <w:rsid w:val="00296A74"/>
    <w:rsid w:val="00296C29"/>
    <w:rsid w:val="0029728E"/>
    <w:rsid w:val="0029758C"/>
    <w:rsid w:val="00297812"/>
    <w:rsid w:val="0029793C"/>
    <w:rsid w:val="00297ED3"/>
    <w:rsid w:val="002A02B0"/>
    <w:rsid w:val="002A05D8"/>
    <w:rsid w:val="002A0CCC"/>
    <w:rsid w:val="002A0F05"/>
    <w:rsid w:val="002A1027"/>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770"/>
    <w:rsid w:val="002A7B22"/>
    <w:rsid w:val="002A7B89"/>
    <w:rsid w:val="002A7FBF"/>
    <w:rsid w:val="002B00AB"/>
    <w:rsid w:val="002B013E"/>
    <w:rsid w:val="002B04B1"/>
    <w:rsid w:val="002B0505"/>
    <w:rsid w:val="002B086B"/>
    <w:rsid w:val="002B0C22"/>
    <w:rsid w:val="002B10D9"/>
    <w:rsid w:val="002B12F6"/>
    <w:rsid w:val="002B144C"/>
    <w:rsid w:val="002B1565"/>
    <w:rsid w:val="002B196E"/>
    <w:rsid w:val="002B1E78"/>
    <w:rsid w:val="002B1EB3"/>
    <w:rsid w:val="002B216C"/>
    <w:rsid w:val="002B2748"/>
    <w:rsid w:val="002B28FB"/>
    <w:rsid w:val="002B2A9A"/>
    <w:rsid w:val="002B2B2C"/>
    <w:rsid w:val="002B2C1F"/>
    <w:rsid w:val="002B336E"/>
    <w:rsid w:val="002B3931"/>
    <w:rsid w:val="002B396D"/>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D16"/>
    <w:rsid w:val="002C0F1C"/>
    <w:rsid w:val="002C1942"/>
    <w:rsid w:val="002C1C74"/>
    <w:rsid w:val="002C1CBD"/>
    <w:rsid w:val="002C1D8F"/>
    <w:rsid w:val="002C2121"/>
    <w:rsid w:val="002C25CA"/>
    <w:rsid w:val="002C268F"/>
    <w:rsid w:val="002C2950"/>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22C"/>
    <w:rsid w:val="002D0744"/>
    <w:rsid w:val="002D0A0D"/>
    <w:rsid w:val="002D0D03"/>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71E"/>
    <w:rsid w:val="002D5DD0"/>
    <w:rsid w:val="002D5F62"/>
    <w:rsid w:val="002D643D"/>
    <w:rsid w:val="002D6444"/>
    <w:rsid w:val="002D6594"/>
    <w:rsid w:val="002D67C7"/>
    <w:rsid w:val="002D6DAA"/>
    <w:rsid w:val="002D7E52"/>
    <w:rsid w:val="002E00AA"/>
    <w:rsid w:val="002E0133"/>
    <w:rsid w:val="002E06CE"/>
    <w:rsid w:val="002E070B"/>
    <w:rsid w:val="002E07D6"/>
    <w:rsid w:val="002E0986"/>
    <w:rsid w:val="002E0A2D"/>
    <w:rsid w:val="002E0B77"/>
    <w:rsid w:val="002E0BDA"/>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868"/>
    <w:rsid w:val="002E38E3"/>
    <w:rsid w:val="002E4117"/>
    <w:rsid w:val="002E4400"/>
    <w:rsid w:val="002E4A33"/>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DE0"/>
    <w:rsid w:val="002F4E75"/>
    <w:rsid w:val="002F4EFD"/>
    <w:rsid w:val="002F50B8"/>
    <w:rsid w:val="002F50D2"/>
    <w:rsid w:val="002F5488"/>
    <w:rsid w:val="002F55DF"/>
    <w:rsid w:val="002F5AAD"/>
    <w:rsid w:val="002F5BAF"/>
    <w:rsid w:val="002F5CEF"/>
    <w:rsid w:val="002F5DA8"/>
    <w:rsid w:val="002F5F86"/>
    <w:rsid w:val="002F628D"/>
    <w:rsid w:val="002F63FB"/>
    <w:rsid w:val="002F64F6"/>
    <w:rsid w:val="002F667B"/>
    <w:rsid w:val="002F6773"/>
    <w:rsid w:val="002F6A92"/>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31AE"/>
    <w:rsid w:val="003032D8"/>
    <w:rsid w:val="00303912"/>
    <w:rsid w:val="0030397E"/>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9D3"/>
    <w:rsid w:val="00312A29"/>
    <w:rsid w:val="00312A4F"/>
    <w:rsid w:val="00312A58"/>
    <w:rsid w:val="0031310C"/>
    <w:rsid w:val="003135D0"/>
    <w:rsid w:val="00313AC8"/>
    <w:rsid w:val="00313BEB"/>
    <w:rsid w:val="00314191"/>
    <w:rsid w:val="0031429A"/>
    <w:rsid w:val="00314300"/>
    <w:rsid w:val="00314AE4"/>
    <w:rsid w:val="0031507F"/>
    <w:rsid w:val="00315146"/>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0C2D"/>
    <w:rsid w:val="00321028"/>
    <w:rsid w:val="00321061"/>
    <w:rsid w:val="003210B5"/>
    <w:rsid w:val="0032191A"/>
    <w:rsid w:val="00321991"/>
    <w:rsid w:val="00321A72"/>
    <w:rsid w:val="00321E42"/>
    <w:rsid w:val="00321FC9"/>
    <w:rsid w:val="00322323"/>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E46"/>
    <w:rsid w:val="00347E5D"/>
    <w:rsid w:val="00350073"/>
    <w:rsid w:val="003501AB"/>
    <w:rsid w:val="003506BE"/>
    <w:rsid w:val="00350C40"/>
    <w:rsid w:val="00350E9E"/>
    <w:rsid w:val="00350FBE"/>
    <w:rsid w:val="0035116A"/>
    <w:rsid w:val="00351306"/>
    <w:rsid w:val="00351A98"/>
    <w:rsid w:val="00351B38"/>
    <w:rsid w:val="00351D4C"/>
    <w:rsid w:val="00351D66"/>
    <w:rsid w:val="00352378"/>
    <w:rsid w:val="00352408"/>
    <w:rsid w:val="003525A9"/>
    <w:rsid w:val="0035268C"/>
    <w:rsid w:val="003529DF"/>
    <w:rsid w:val="00352D0D"/>
    <w:rsid w:val="00353128"/>
    <w:rsid w:val="00353517"/>
    <w:rsid w:val="0035366C"/>
    <w:rsid w:val="0035465E"/>
    <w:rsid w:val="0035470D"/>
    <w:rsid w:val="00354790"/>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4013"/>
    <w:rsid w:val="00374196"/>
    <w:rsid w:val="00374461"/>
    <w:rsid w:val="00374467"/>
    <w:rsid w:val="00374B86"/>
    <w:rsid w:val="00374C7B"/>
    <w:rsid w:val="00374CE1"/>
    <w:rsid w:val="00374D2A"/>
    <w:rsid w:val="00374EDB"/>
    <w:rsid w:val="00375144"/>
    <w:rsid w:val="003754B5"/>
    <w:rsid w:val="003755A7"/>
    <w:rsid w:val="00375953"/>
    <w:rsid w:val="00375B55"/>
    <w:rsid w:val="00375CCC"/>
    <w:rsid w:val="003761C7"/>
    <w:rsid w:val="00376957"/>
    <w:rsid w:val="00376C2C"/>
    <w:rsid w:val="00376C2D"/>
    <w:rsid w:val="00376C4A"/>
    <w:rsid w:val="00376C4F"/>
    <w:rsid w:val="00376EDC"/>
    <w:rsid w:val="003776C3"/>
    <w:rsid w:val="00377B07"/>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4E7F"/>
    <w:rsid w:val="00385013"/>
    <w:rsid w:val="003853A9"/>
    <w:rsid w:val="00385A65"/>
    <w:rsid w:val="00385F12"/>
    <w:rsid w:val="00385FA7"/>
    <w:rsid w:val="00386634"/>
    <w:rsid w:val="0038690B"/>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724"/>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DCE"/>
    <w:rsid w:val="003A0E01"/>
    <w:rsid w:val="003A0E3A"/>
    <w:rsid w:val="003A1006"/>
    <w:rsid w:val="003A100F"/>
    <w:rsid w:val="003A1464"/>
    <w:rsid w:val="003A14B5"/>
    <w:rsid w:val="003A159E"/>
    <w:rsid w:val="003A18EE"/>
    <w:rsid w:val="003A1E9A"/>
    <w:rsid w:val="003A2191"/>
    <w:rsid w:val="003A240E"/>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FE"/>
    <w:rsid w:val="003D18AE"/>
    <w:rsid w:val="003D1B91"/>
    <w:rsid w:val="003D1BB3"/>
    <w:rsid w:val="003D1BD3"/>
    <w:rsid w:val="003D1F6E"/>
    <w:rsid w:val="003D21C3"/>
    <w:rsid w:val="003D21C5"/>
    <w:rsid w:val="003D236F"/>
    <w:rsid w:val="003D2432"/>
    <w:rsid w:val="003D2587"/>
    <w:rsid w:val="003D2643"/>
    <w:rsid w:val="003D28BE"/>
    <w:rsid w:val="003D2CC6"/>
    <w:rsid w:val="003D30DB"/>
    <w:rsid w:val="003D312F"/>
    <w:rsid w:val="003D31DC"/>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85"/>
    <w:rsid w:val="003E208F"/>
    <w:rsid w:val="003E2190"/>
    <w:rsid w:val="003E2641"/>
    <w:rsid w:val="003E2D4B"/>
    <w:rsid w:val="003E3169"/>
    <w:rsid w:val="003E3668"/>
    <w:rsid w:val="003E382E"/>
    <w:rsid w:val="003E3929"/>
    <w:rsid w:val="003E3BFB"/>
    <w:rsid w:val="003E3CCF"/>
    <w:rsid w:val="003E3D8C"/>
    <w:rsid w:val="003E3E03"/>
    <w:rsid w:val="003E424F"/>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F019A"/>
    <w:rsid w:val="003F0294"/>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B1B"/>
    <w:rsid w:val="00401BA6"/>
    <w:rsid w:val="00401D3E"/>
    <w:rsid w:val="00401E72"/>
    <w:rsid w:val="00401EA4"/>
    <w:rsid w:val="004021D5"/>
    <w:rsid w:val="00402579"/>
    <w:rsid w:val="004028B3"/>
    <w:rsid w:val="00402DB0"/>
    <w:rsid w:val="004032E0"/>
    <w:rsid w:val="00403870"/>
    <w:rsid w:val="00403A20"/>
    <w:rsid w:val="00403B9E"/>
    <w:rsid w:val="00403D3B"/>
    <w:rsid w:val="00403D8A"/>
    <w:rsid w:val="00403F4D"/>
    <w:rsid w:val="00404420"/>
    <w:rsid w:val="00404EA8"/>
    <w:rsid w:val="00405111"/>
    <w:rsid w:val="00405428"/>
    <w:rsid w:val="0040560C"/>
    <w:rsid w:val="004056A0"/>
    <w:rsid w:val="004062D3"/>
    <w:rsid w:val="004063F2"/>
    <w:rsid w:val="004068D4"/>
    <w:rsid w:val="00406CD4"/>
    <w:rsid w:val="00407226"/>
    <w:rsid w:val="0040728C"/>
    <w:rsid w:val="00407302"/>
    <w:rsid w:val="00407629"/>
    <w:rsid w:val="00407AD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616B"/>
    <w:rsid w:val="00416209"/>
    <w:rsid w:val="00416455"/>
    <w:rsid w:val="004165BB"/>
    <w:rsid w:val="00416F32"/>
    <w:rsid w:val="0041746F"/>
    <w:rsid w:val="004178F4"/>
    <w:rsid w:val="00417A5B"/>
    <w:rsid w:val="00417F64"/>
    <w:rsid w:val="00417FCC"/>
    <w:rsid w:val="004202D5"/>
    <w:rsid w:val="0042082C"/>
    <w:rsid w:val="00420961"/>
    <w:rsid w:val="00420BD2"/>
    <w:rsid w:val="00420DFA"/>
    <w:rsid w:val="00420FEA"/>
    <w:rsid w:val="0042115D"/>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D6"/>
    <w:rsid w:val="004278BF"/>
    <w:rsid w:val="004278E5"/>
    <w:rsid w:val="00427B8D"/>
    <w:rsid w:val="00427F1E"/>
    <w:rsid w:val="00430414"/>
    <w:rsid w:val="004304CA"/>
    <w:rsid w:val="004305BC"/>
    <w:rsid w:val="00430690"/>
    <w:rsid w:val="00430720"/>
    <w:rsid w:val="004308B2"/>
    <w:rsid w:val="0043097D"/>
    <w:rsid w:val="004309BB"/>
    <w:rsid w:val="00430C54"/>
    <w:rsid w:val="00431AE9"/>
    <w:rsid w:val="00431EBB"/>
    <w:rsid w:val="004321A6"/>
    <w:rsid w:val="00432557"/>
    <w:rsid w:val="00432916"/>
    <w:rsid w:val="00432A08"/>
    <w:rsid w:val="00432B66"/>
    <w:rsid w:val="00432F5F"/>
    <w:rsid w:val="00433365"/>
    <w:rsid w:val="00433BFC"/>
    <w:rsid w:val="00433CBE"/>
    <w:rsid w:val="00433D4E"/>
    <w:rsid w:val="00433EE1"/>
    <w:rsid w:val="004341CF"/>
    <w:rsid w:val="004342E2"/>
    <w:rsid w:val="004346C0"/>
    <w:rsid w:val="00434CBC"/>
    <w:rsid w:val="00435537"/>
    <w:rsid w:val="00435C3D"/>
    <w:rsid w:val="00435CCC"/>
    <w:rsid w:val="004364B6"/>
    <w:rsid w:val="004365EB"/>
    <w:rsid w:val="004366D6"/>
    <w:rsid w:val="004367EB"/>
    <w:rsid w:val="00436CB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0DB"/>
    <w:rsid w:val="004471BA"/>
    <w:rsid w:val="00447EAD"/>
    <w:rsid w:val="00447FBC"/>
    <w:rsid w:val="00450896"/>
    <w:rsid w:val="00450C21"/>
    <w:rsid w:val="00450D13"/>
    <w:rsid w:val="00450F24"/>
    <w:rsid w:val="00451052"/>
    <w:rsid w:val="004510E5"/>
    <w:rsid w:val="004512B6"/>
    <w:rsid w:val="004516BE"/>
    <w:rsid w:val="00451AF9"/>
    <w:rsid w:val="0045217B"/>
    <w:rsid w:val="004522B2"/>
    <w:rsid w:val="004523B1"/>
    <w:rsid w:val="00452677"/>
    <w:rsid w:val="00452886"/>
    <w:rsid w:val="004528E3"/>
    <w:rsid w:val="00452C0A"/>
    <w:rsid w:val="00453384"/>
    <w:rsid w:val="0045354D"/>
    <w:rsid w:val="004535A6"/>
    <w:rsid w:val="0045402C"/>
    <w:rsid w:val="004541B3"/>
    <w:rsid w:val="004541B8"/>
    <w:rsid w:val="004554D5"/>
    <w:rsid w:val="00455925"/>
    <w:rsid w:val="00455990"/>
    <w:rsid w:val="00455C09"/>
    <w:rsid w:val="0045601C"/>
    <w:rsid w:val="004567ED"/>
    <w:rsid w:val="00456A74"/>
    <w:rsid w:val="00457672"/>
    <w:rsid w:val="0045794E"/>
    <w:rsid w:val="00457CE6"/>
    <w:rsid w:val="00457D12"/>
    <w:rsid w:val="00457E66"/>
    <w:rsid w:val="00457E78"/>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A4"/>
    <w:rsid w:val="00463534"/>
    <w:rsid w:val="00463870"/>
    <w:rsid w:val="00463E58"/>
    <w:rsid w:val="00464601"/>
    <w:rsid w:val="004649AB"/>
    <w:rsid w:val="00464D1E"/>
    <w:rsid w:val="00464E9F"/>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DA9"/>
    <w:rsid w:val="00475F22"/>
    <w:rsid w:val="004762F5"/>
    <w:rsid w:val="0047676F"/>
    <w:rsid w:val="004768CD"/>
    <w:rsid w:val="00476BD6"/>
    <w:rsid w:val="004771B9"/>
    <w:rsid w:val="004778FB"/>
    <w:rsid w:val="00477ECC"/>
    <w:rsid w:val="004800BF"/>
    <w:rsid w:val="0048015E"/>
    <w:rsid w:val="00480191"/>
    <w:rsid w:val="004802DA"/>
    <w:rsid w:val="004807C4"/>
    <w:rsid w:val="004809A0"/>
    <w:rsid w:val="00480F0B"/>
    <w:rsid w:val="00481173"/>
    <w:rsid w:val="0048146B"/>
    <w:rsid w:val="004814EB"/>
    <w:rsid w:val="004815BC"/>
    <w:rsid w:val="004816CB"/>
    <w:rsid w:val="00481E24"/>
    <w:rsid w:val="004825E6"/>
    <w:rsid w:val="00482804"/>
    <w:rsid w:val="004829F7"/>
    <w:rsid w:val="00482B28"/>
    <w:rsid w:val="00482D95"/>
    <w:rsid w:val="00483229"/>
    <w:rsid w:val="00483348"/>
    <w:rsid w:val="004834D9"/>
    <w:rsid w:val="004834E5"/>
    <w:rsid w:val="004838EF"/>
    <w:rsid w:val="00483F9B"/>
    <w:rsid w:val="004843D0"/>
    <w:rsid w:val="0048459B"/>
    <w:rsid w:val="004845A8"/>
    <w:rsid w:val="004845EB"/>
    <w:rsid w:val="00484C20"/>
    <w:rsid w:val="00484E8D"/>
    <w:rsid w:val="00484F08"/>
    <w:rsid w:val="00485022"/>
    <w:rsid w:val="00485131"/>
    <w:rsid w:val="0048521D"/>
    <w:rsid w:val="004853D3"/>
    <w:rsid w:val="00485477"/>
    <w:rsid w:val="00485691"/>
    <w:rsid w:val="004857F1"/>
    <w:rsid w:val="00485A1F"/>
    <w:rsid w:val="00485D00"/>
    <w:rsid w:val="00485E09"/>
    <w:rsid w:val="004861BD"/>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10AC"/>
    <w:rsid w:val="004912A5"/>
    <w:rsid w:val="00491321"/>
    <w:rsid w:val="004918D3"/>
    <w:rsid w:val="00491B58"/>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86"/>
    <w:rsid w:val="004973C4"/>
    <w:rsid w:val="004974C7"/>
    <w:rsid w:val="004977F8"/>
    <w:rsid w:val="00497A89"/>
    <w:rsid w:val="00497BD0"/>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487"/>
    <w:rsid w:val="004A352F"/>
    <w:rsid w:val="004A3701"/>
    <w:rsid w:val="004A3D3C"/>
    <w:rsid w:val="004A3F0F"/>
    <w:rsid w:val="004A40D2"/>
    <w:rsid w:val="004A4111"/>
    <w:rsid w:val="004A4332"/>
    <w:rsid w:val="004A4361"/>
    <w:rsid w:val="004A43FA"/>
    <w:rsid w:val="004A4451"/>
    <w:rsid w:val="004A4DD3"/>
    <w:rsid w:val="004A4FD7"/>
    <w:rsid w:val="004A50BB"/>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71C"/>
    <w:rsid w:val="004B1B53"/>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DC3"/>
    <w:rsid w:val="004C0E56"/>
    <w:rsid w:val="004C159A"/>
    <w:rsid w:val="004C1793"/>
    <w:rsid w:val="004C17C2"/>
    <w:rsid w:val="004C1BCA"/>
    <w:rsid w:val="004C1E17"/>
    <w:rsid w:val="004C2259"/>
    <w:rsid w:val="004C2335"/>
    <w:rsid w:val="004C233E"/>
    <w:rsid w:val="004C2B5A"/>
    <w:rsid w:val="004C2BF2"/>
    <w:rsid w:val="004C2C6D"/>
    <w:rsid w:val="004C2C6F"/>
    <w:rsid w:val="004C309D"/>
    <w:rsid w:val="004C3426"/>
    <w:rsid w:val="004C35F7"/>
    <w:rsid w:val="004C3F70"/>
    <w:rsid w:val="004C40C5"/>
    <w:rsid w:val="004C43FD"/>
    <w:rsid w:val="004C4566"/>
    <w:rsid w:val="004C4B13"/>
    <w:rsid w:val="004C4C7E"/>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4"/>
    <w:rsid w:val="004D1698"/>
    <w:rsid w:val="004D1A09"/>
    <w:rsid w:val="004D2005"/>
    <w:rsid w:val="004D231A"/>
    <w:rsid w:val="004D2A8F"/>
    <w:rsid w:val="004D2DFF"/>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4F"/>
    <w:rsid w:val="004E09C4"/>
    <w:rsid w:val="004E0C5A"/>
    <w:rsid w:val="004E0FB0"/>
    <w:rsid w:val="004E10DA"/>
    <w:rsid w:val="004E117C"/>
    <w:rsid w:val="004E118B"/>
    <w:rsid w:val="004E1DD2"/>
    <w:rsid w:val="004E1F22"/>
    <w:rsid w:val="004E21D7"/>
    <w:rsid w:val="004E29B1"/>
    <w:rsid w:val="004E2ABE"/>
    <w:rsid w:val="004E2D42"/>
    <w:rsid w:val="004E2EE6"/>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F0392"/>
    <w:rsid w:val="004F04BD"/>
    <w:rsid w:val="004F0B46"/>
    <w:rsid w:val="004F0C84"/>
    <w:rsid w:val="004F0CAD"/>
    <w:rsid w:val="004F0E48"/>
    <w:rsid w:val="004F1302"/>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EF"/>
    <w:rsid w:val="00502240"/>
    <w:rsid w:val="00502E10"/>
    <w:rsid w:val="00502F61"/>
    <w:rsid w:val="00503373"/>
    <w:rsid w:val="00504604"/>
    <w:rsid w:val="00504969"/>
    <w:rsid w:val="00504EBF"/>
    <w:rsid w:val="0050508C"/>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C9B"/>
    <w:rsid w:val="00511E3A"/>
    <w:rsid w:val="00512007"/>
    <w:rsid w:val="005120A2"/>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EAB"/>
    <w:rsid w:val="00516EEC"/>
    <w:rsid w:val="00517225"/>
    <w:rsid w:val="005174A3"/>
    <w:rsid w:val="005178FE"/>
    <w:rsid w:val="00517F8F"/>
    <w:rsid w:val="00517FA3"/>
    <w:rsid w:val="00520678"/>
    <w:rsid w:val="00520726"/>
    <w:rsid w:val="00520978"/>
    <w:rsid w:val="00520B6D"/>
    <w:rsid w:val="00520D97"/>
    <w:rsid w:val="00520E00"/>
    <w:rsid w:val="00521796"/>
    <w:rsid w:val="0052189E"/>
    <w:rsid w:val="00521CE1"/>
    <w:rsid w:val="00521F90"/>
    <w:rsid w:val="00522350"/>
    <w:rsid w:val="00522566"/>
    <w:rsid w:val="005226AE"/>
    <w:rsid w:val="00522BC8"/>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6"/>
    <w:rsid w:val="00526208"/>
    <w:rsid w:val="0052635A"/>
    <w:rsid w:val="005270F8"/>
    <w:rsid w:val="00527C5E"/>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D6"/>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DDD"/>
    <w:rsid w:val="00542DFE"/>
    <w:rsid w:val="00542E3A"/>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C73"/>
    <w:rsid w:val="00546389"/>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7BD"/>
    <w:rsid w:val="00552881"/>
    <w:rsid w:val="00552ED9"/>
    <w:rsid w:val="005531F5"/>
    <w:rsid w:val="00553984"/>
    <w:rsid w:val="00553B3E"/>
    <w:rsid w:val="00553B89"/>
    <w:rsid w:val="00553C3A"/>
    <w:rsid w:val="00553CEE"/>
    <w:rsid w:val="00553D79"/>
    <w:rsid w:val="005542EB"/>
    <w:rsid w:val="0055439E"/>
    <w:rsid w:val="00554827"/>
    <w:rsid w:val="00554A45"/>
    <w:rsid w:val="00554CB7"/>
    <w:rsid w:val="00554DCA"/>
    <w:rsid w:val="0055502E"/>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F03"/>
    <w:rsid w:val="00557F75"/>
    <w:rsid w:val="00560504"/>
    <w:rsid w:val="00560695"/>
    <w:rsid w:val="005607F9"/>
    <w:rsid w:val="00560F74"/>
    <w:rsid w:val="005611C5"/>
    <w:rsid w:val="00561524"/>
    <w:rsid w:val="0056182D"/>
    <w:rsid w:val="00561A65"/>
    <w:rsid w:val="00561B04"/>
    <w:rsid w:val="00561C23"/>
    <w:rsid w:val="00561D95"/>
    <w:rsid w:val="00561E0C"/>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6A8"/>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FD3"/>
    <w:rsid w:val="005746EB"/>
    <w:rsid w:val="005754A6"/>
    <w:rsid w:val="005757BB"/>
    <w:rsid w:val="0057588F"/>
    <w:rsid w:val="005758DC"/>
    <w:rsid w:val="00575951"/>
    <w:rsid w:val="00575B38"/>
    <w:rsid w:val="00575C69"/>
    <w:rsid w:val="00575EE0"/>
    <w:rsid w:val="00576239"/>
    <w:rsid w:val="005762BC"/>
    <w:rsid w:val="00576374"/>
    <w:rsid w:val="005765E9"/>
    <w:rsid w:val="00576D98"/>
    <w:rsid w:val="00576DD3"/>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7A8"/>
    <w:rsid w:val="005A0DE0"/>
    <w:rsid w:val="005A0E1D"/>
    <w:rsid w:val="005A10FB"/>
    <w:rsid w:val="005A1289"/>
    <w:rsid w:val="005A1331"/>
    <w:rsid w:val="005A1792"/>
    <w:rsid w:val="005A1982"/>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270"/>
    <w:rsid w:val="005B129D"/>
    <w:rsid w:val="005B1A8B"/>
    <w:rsid w:val="005B1D8D"/>
    <w:rsid w:val="005B1DA9"/>
    <w:rsid w:val="005B1E18"/>
    <w:rsid w:val="005B1EA3"/>
    <w:rsid w:val="005B22D0"/>
    <w:rsid w:val="005B2626"/>
    <w:rsid w:val="005B272B"/>
    <w:rsid w:val="005B29E3"/>
    <w:rsid w:val="005B2B0F"/>
    <w:rsid w:val="005B2C05"/>
    <w:rsid w:val="005B2C7A"/>
    <w:rsid w:val="005B32CD"/>
    <w:rsid w:val="005B3AFB"/>
    <w:rsid w:val="005B3B08"/>
    <w:rsid w:val="005B3B12"/>
    <w:rsid w:val="005B3E98"/>
    <w:rsid w:val="005B401B"/>
    <w:rsid w:val="005B48EA"/>
    <w:rsid w:val="005B48F5"/>
    <w:rsid w:val="005B5344"/>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3179"/>
    <w:rsid w:val="005C318A"/>
    <w:rsid w:val="005C3493"/>
    <w:rsid w:val="005C4751"/>
    <w:rsid w:val="005C4965"/>
    <w:rsid w:val="005C4CAC"/>
    <w:rsid w:val="005C4E0C"/>
    <w:rsid w:val="005C50F9"/>
    <w:rsid w:val="005C5AA1"/>
    <w:rsid w:val="005C5E68"/>
    <w:rsid w:val="005C5FA7"/>
    <w:rsid w:val="005C6137"/>
    <w:rsid w:val="005C6181"/>
    <w:rsid w:val="005C63A9"/>
    <w:rsid w:val="005C65F9"/>
    <w:rsid w:val="005C65FA"/>
    <w:rsid w:val="005C67E6"/>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708"/>
    <w:rsid w:val="005D31F4"/>
    <w:rsid w:val="005D3C7D"/>
    <w:rsid w:val="005D3C80"/>
    <w:rsid w:val="005D3F6F"/>
    <w:rsid w:val="005D43C3"/>
    <w:rsid w:val="005D4424"/>
    <w:rsid w:val="005D4739"/>
    <w:rsid w:val="005D47FD"/>
    <w:rsid w:val="005D49EC"/>
    <w:rsid w:val="005D548D"/>
    <w:rsid w:val="005D564A"/>
    <w:rsid w:val="005D5CE6"/>
    <w:rsid w:val="005D5EB6"/>
    <w:rsid w:val="005D606D"/>
    <w:rsid w:val="005D69BB"/>
    <w:rsid w:val="005D6AA2"/>
    <w:rsid w:val="005D6D05"/>
    <w:rsid w:val="005D6DA6"/>
    <w:rsid w:val="005D6DF1"/>
    <w:rsid w:val="005D6FDE"/>
    <w:rsid w:val="005D71A1"/>
    <w:rsid w:val="005D723F"/>
    <w:rsid w:val="005D72D0"/>
    <w:rsid w:val="005D7374"/>
    <w:rsid w:val="005D741C"/>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957"/>
    <w:rsid w:val="005E7B70"/>
    <w:rsid w:val="005F0372"/>
    <w:rsid w:val="005F0BF2"/>
    <w:rsid w:val="005F0D4C"/>
    <w:rsid w:val="005F0D9A"/>
    <w:rsid w:val="005F1297"/>
    <w:rsid w:val="005F1682"/>
    <w:rsid w:val="005F1A43"/>
    <w:rsid w:val="005F1B26"/>
    <w:rsid w:val="005F20FD"/>
    <w:rsid w:val="005F2239"/>
    <w:rsid w:val="005F22F2"/>
    <w:rsid w:val="005F2599"/>
    <w:rsid w:val="005F25F1"/>
    <w:rsid w:val="005F2947"/>
    <w:rsid w:val="005F2C8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7442"/>
    <w:rsid w:val="005F74A4"/>
    <w:rsid w:val="005F7658"/>
    <w:rsid w:val="005F79B1"/>
    <w:rsid w:val="005F7AF5"/>
    <w:rsid w:val="005F7D05"/>
    <w:rsid w:val="0060033C"/>
    <w:rsid w:val="00600415"/>
    <w:rsid w:val="00600575"/>
    <w:rsid w:val="00600916"/>
    <w:rsid w:val="00600D44"/>
    <w:rsid w:val="00600D9A"/>
    <w:rsid w:val="00601054"/>
    <w:rsid w:val="006015C2"/>
    <w:rsid w:val="00601C3D"/>
    <w:rsid w:val="00601D5B"/>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F1"/>
    <w:rsid w:val="00614F78"/>
    <w:rsid w:val="006159F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480"/>
    <w:rsid w:val="00632505"/>
    <w:rsid w:val="00632665"/>
    <w:rsid w:val="006326AF"/>
    <w:rsid w:val="00632A3D"/>
    <w:rsid w:val="00632AFA"/>
    <w:rsid w:val="00632CC9"/>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62FD"/>
    <w:rsid w:val="006363A0"/>
    <w:rsid w:val="00636825"/>
    <w:rsid w:val="00636BAD"/>
    <w:rsid w:val="00636F25"/>
    <w:rsid w:val="006372CF"/>
    <w:rsid w:val="00637491"/>
    <w:rsid w:val="0063762D"/>
    <w:rsid w:val="00637DAB"/>
    <w:rsid w:val="006400CF"/>
    <w:rsid w:val="006404E0"/>
    <w:rsid w:val="00640680"/>
    <w:rsid w:val="006406CE"/>
    <w:rsid w:val="006408D7"/>
    <w:rsid w:val="00640B07"/>
    <w:rsid w:val="00640FA1"/>
    <w:rsid w:val="00640FFE"/>
    <w:rsid w:val="00641472"/>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B9E"/>
    <w:rsid w:val="00643BDC"/>
    <w:rsid w:val="0064406F"/>
    <w:rsid w:val="006443AC"/>
    <w:rsid w:val="0064491C"/>
    <w:rsid w:val="00645D28"/>
    <w:rsid w:val="00645ED5"/>
    <w:rsid w:val="006464CA"/>
    <w:rsid w:val="0064685B"/>
    <w:rsid w:val="00646C5B"/>
    <w:rsid w:val="0064707E"/>
    <w:rsid w:val="00647198"/>
    <w:rsid w:val="006471A4"/>
    <w:rsid w:val="006471BF"/>
    <w:rsid w:val="00647227"/>
    <w:rsid w:val="0064758E"/>
    <w:rsid w:val="006476A1"/>
    <w:rsid w:val="006478F0"/>
    <w:rsid w:val="00647DBC"/>
    <w:rsid w:val="00647E2C"/>
    <w:rsid w:val="00647FAA"/>
    <w:rsid w:val="00650073"/>
    <w:rsid w:val="006508D0"/>
    <w:rsid w:val="00650A4D"/>
    <w:rsid w:val="00650B09"/>
    <w:rsid w:val="00650DB0"/>
    <w:rsid w:val="00650FBE"/>
    <w:rsid w:val="0065188B"/>
    <w:rsid w:val="00651E31"/>
    <w:rsid w:val="006523B2"/>
    <w:rsid w:val="00652513"/>
    <w:rsid w:val="006528C9"/>
    <w:rsid w:val="0065295A"/>
    <w:rsid w:val="00652BF3"/>
    <w:rsid w:val="00652F3E"/>
    <w:rsid w:val="00653403"/>
    <w:rsid w:val="0065342C"/>
    <w:rsid w:val="00653952"/>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750"/>
    <w:rsid w:val="00656983"/>
    <w:rsid w:val="00656986"/>
    <w:rsid w:val="00656D23"/>
    <w:rsid w:val="00656EDF"/>
    <w:rsid w:val="00657376"/>
    <w:rsid w:val="006573C1"/>
    <w:rsid w:val="00657995"/>
    <w:rsid w:val="00657EFF"/>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600D"/>
    <w:rsid w:val="0066627E"/>
    <w:rsid w:val="00666972"/>
    <w:rsid w:val="00666AC9"/>
    <w:rsid w:val="00666CC5"/>
    <w:rsid w:val="00667150"/>
    <w:rsid w:val="006675F6"/>
    <w:rsid w:val="0066770F"/>
    <w:rsid w:val="00667E75"/>
    <w:rsid w:val="00667ECC"/>
    <w:rsid w:val="00667FF9"/>
    <w:rsid w:val="00670290"/>
    <w:rsid w:val="006707C0"/>
    <w:rsid w:val="006707F7"/>
    <w:rsid w:val="00670A1C"/>
    <w:rsid w:val="00671B6B"/>
    <w:rsid w:val="00671C60"/>
    <w:rsid w:val="00671E0E"/>
    <w:rsid w:val="0067205A"/>
    <w:rsid w:val="0067273C"/>
    <w:rsid w:val="006728DA"/>
    <w:rsid w:val="00672B17"/>
    <w:rsid w:val="00672B1E"/>
    <w:rsid w:val="00672D01"/>
    <w:rsid w:val="006730B2"/>
    <w:rsid w:val="00673274"/>
    <w:rsid w:val="006732B3"/>
    <w:rsid w:val="0067340E"/>
    <w:rsid w:val="0067341D"/>
    <w:rsid w:val="00673A9E"/>
    <w:rsid w:val="00673BCC"/>
    <w:rsid w:val="00674172"/>
    <w:rsid w:val="006741C8"/>
    <w:rsid w:val="0067420B"/>
    <w:rsid w:val="006743CB"/>
    <w:rsid w:val="006749F2"/>
    <w:rsid w:val="00674DF2"/>
    <w:rsid w:val="00674F7E"/>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D4E"/>
    <w:rsid w:val="00682DA0"/>
    <w:rsid w:val="00682F1B"/>
    <w:rsid w:val="0068349F"/>
    <w:rsid w:val="006838A7"/>
    <w:rsid w:val="006839DE"/>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427"/>
    <w:rsid w:val="00690640"/>
    <w:rsid w:val="00690733"/>
    <w:rsid w:val="00690CED"/>
    <w:rsid w:val="00691217"/>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D2"/>
    <w:rsid w:val="00694111"/>
    <w:rsid w:val="00694137"/>
    <w:rsid w:val="006943D0"/>
    <w:rsid w:val="006949DF"/>
    <w:rsid w:val="00694FF6"/>
    <w:rsid w:val="00695102"/>
    <w:rsid w:val="00695660"/>
    <w:rsid w:val="00695BAE"/>
    <w:rsid w:val="00695DA3"/>
    <w:rsid w:val="00695EFD"/>
    <w:rsid w:val="00695F98"/>
    <w:rsid w:val="00696356"/>
    <w:rsid w:val="0069682C"/>
    <w:rsid w:val="00696A14"/>
    <w:rsid w:val="00696A8C"/>
    <w:rsid w:val="00696B27"/>
    <w:rsid w:val="00696B74"/>
    <w:rsid w:val="00696FE6"/>
    <w:rsid w:val="0069702A"/>
    <w:rsid w:val="00697B40"/>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259"/>
    <w:rsid w:val="006A7295"/>
    <w:rsid w:val="006A74F0"/>
    <w:rsid w:val="006A75B6"/>
    <w:rsid w:val="006A7EEF"/>
    <w:rsid w:val="006B0175"/>
    <w:rsid w:val="006B0420"/>
    <w:rsid w:val="006B04A7"/>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993"/>
    <w:rsid w:val="006C79BF"/>
    <w:rsid w:val="006C7A12"/>
    <w:rsid w:val="006C7D68"/>
    <w:rsid w:val="006D01DE"/>
    <w:rsid w:val="006D0575"/>
    <w:rsid w:val="006D05AB"/>
    <w:rsid w:val="006D06B3"/>
    <w:rsid w:val="006D0727"/>
    <w:rsid w:val="006D0A89"/>
    <w:rsid w:val="006D0B63"/>
    <w:rsid w:val="006D0B99"/>
    <w:rsid w:val="006D173B"/>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8B7"/>
    <w:rsid w:val="006E0D8F"/>
    <w:rsid w:val="006E1163"/>
    <w:rsid w:val="006E124F"/>
    <w:rsid w:val="006E15F6"/>
    <w:rsid w:val="006E1814"/>
    <w:rsid w:val="006E1B88"/>
    <w:rsid w:val="006E1D00"/>
    <w:rsid w:val="006E1D54"/>
    <w:rsid w:val="006E2194"/>
    <w:rsid w:val="006E2337"/>
    <w:rsid w:val="006E24D8"/>
    <w:rsid w:val="006E2B01"/>
    <w:rsid w:val="006E2C7A"/>
    <w:rsid w:val="006E32D6"/>
    <w:rsid w:val="006E3D14"/>
    <w:rsid w:val="006E42DC"/>
    <w:rsid w:val="006E445C"/>
    <w:rsid w:val="006E44FB"/>
    <w:rsid w:val="006E456F"/>
    <w:rsid w:val="006E4A47"/>
    <w:rsid w:val="006E52D5"/>
    <w:rsid w:val="006E5335"/>
    <w:rsid w:val="006E552D"/>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C3E"/>
    <w:rsid w:val="006F1041"/>
    <w:rsid w:val="006F1442"/>
    <w:rsid w:val="006F1448"/>
    <w:rsid w:val="006F15CD"/>
    <w:rsid w:val="006F172C"/>
    <w:rsid w:val="006F1A05"/>
    <w:rsid w:val="006F1E4A"/>
    <w:rsid w:val="006F266D"/>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22FE"/>
    <w:rsid w:val="007027CD"/>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CC9"/>
    <w:rsid w:val="00707F72"/>
    <w:rsid w:val="007100FB"/>
    <w:rsid w:val="007103A1"/>
    <w:rsid w:val="00710794"/>
    <w:rsid w:val="007108E3"/>
    <w:rsid w:val="00710911"/>
    <w:rsid w:val="007110A3"/>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A0A"/>
    <w:rsid w:val="00747F35"/>
    <w:rsid w:val="007503A7"/>
    <w:rsid w:val="007503DB"/>
    <w:rsid w:val="00750565"/>
    <w:rsid w:val="0075089B"/>
    <w:rsid w:val="00750C51"/>
    <w:rsid w:val="00751086"/>
    <w:rsid w:val="00751D33"/>
    <w:rsid w:val="00751DBE"/>
    <w:rsid w:val="00751E14"/>
    <w:rsid w:val="00752224"/>
    <w:rsid w:val="007523A5"/>
    <w:rsid w:val="00752B53"/>
    <w:rsid w:val="00752E42"/>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AA0"/>
    <w:rsid w:val="00783D81"/>
    <w:rsid w:val="0078442C"/>
    <w:rsid w:val="007846ED"/>
    <w:rsid w:val="00784724"/>
    <w:rsid w:val="0078480C"/>
    <w:rsid w:val="0078495F"/>
    <w:rsid w:val="00784CBC"/>
    <w:rsid w:val="00784DA8"/>
    <w:rsid w:val="00784F84"/>
    <w:rsid w:val="00785044"/>
    <w:rsid w:val="0078517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C4F"/>
    <w:rsid w:val="0079124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401"/>
    <w:rsid w:val="007A042E"/>
    <w:rsid w:val="007A0832"/>
    <w:rsid w:val="007A0B4A"/>
    <w:rsid w:val="007A0EA5"/>
    <w:rsid w:val="007A101D"/>
    <w:rsid w:val="007A163D"/>
    <w:rsid w:val="007A17C9"/>
    <w:rsid w:val="007A1A5D"/>
    <w:rsid w:val="007A1AF2"/>
    <w:rsid w:val="007A1D44"/>
    <w:rsid w:val="007A21AA"/>
    <w:rsid w:val="007A24DB"/>
    <w:rsid w:val="007A26A2"/>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A7"/>
    <w:rsid w:val="007B5A71"/>
    <w:rsid w:val="007B5CF1"/>
    <w:rsid w:val="007B5F3B"/>
    <w:rsid w:val="007B68AF"/>
    <w:rsid w:val="007B68B0"/>
    <w:rsid w:val="007B6986"/>
    <w:rsid w:val="007B6AC3"/>
    <w:rsid w:val="007B6DCF"/>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72E4"/>
    <w:rsid w:val="007C7596"/>
    <w:rsid w:val="007C78C8"/>
    <w:rsid w:val="007D0044"/>
    <w:rsid w:val="007D0401"/>
    <w:rsid w:val="007D064B"/>
    <w:rsid w:val="007D0A2B"/>
    <w:rsid w:val="007D0AAE"/>
    <w:rsid w:val="007D1882"/>
    <w:rsid w:val="007D1C39"/>
    <w:rsid w:val="007D1C54"/>
    <w:rsid w:val="007D1EBF"/>
    <w:rsid w:val="007D20BA"/>
    <w:rsid w:val="007D26BF"/>
    <w:rsid w:val="007D292B"/>
    <w:rsid w:val="007D295D"/>
    <w:rsid w:val="007D2A7B"/>
    <w:rsid w:val="007D2B6B"/>
    <w:rsid w:val="007D2ED9"/>
    <w:rsid w:val="007D32CF"/>
    <w:rsid w:val="007D3310"/>
    <w:rsid w:val="007D39E9"/>
    <w:rsid w:val="007D3FAD"/>
    <w:rsid w:val="007D4262"/>
    <w:rsid w:val="007D485D"/>
    <w:rsid w:val="007D4DE4"/>
    <w:rsid w:val="007D4FC1"/>
    <w:rsid w:val="007D5A80"/>
    <w:rsid w:val="007D64FE"/>
    <w:rsid w:val="007D6B1B"/>
    <w:rsid w:val="007D6BCF"/>
    <w:rsid w:val="007D6CB5"/>
    <w:rsid w:val="007D7010"/>
    <w:rsid w:val="007D7087"/>
    <w:rsid w:val="007D796F"/>
    <w:rsid w:val="007D7F9B"/>
    <w:rsid w:val="007E0253"/>
    <w:rsid w:val="007E035F"/>
    <w:rsid w:val="007E04A4"/>
    <w:rsid w:val="007E053C"/>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C40"/>
    <w:rsid w:val="007E6FD4"/>
    <w:rsid w:val="007E7034"/>
    <w:rsid w:val="007E714E"/>
    <w:rsid w:val="007E79CC"/>
    <w:rsid w:val="007E7F89"/>
    <w:rsid w:val="007F0535"/>
    <w:rsid w:val="007F05FB"/>
    <w:rsid w:val="007F061E"/>
    <w:rsid w:val="007F1377"/>
    <w:rsid w:val="007F1778"/>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EB"/>
    <w:rsid w:val="00801EBA"/>
    <w:rsid w:val="0080272D"/>
    <w:rsid w:val="0080308C"/>
    <w:rsid w:val="00803256"/>
    <w:rsid w:val="00803479"/>
    <w:rsid w:val="0080364D"/>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837"/>
    <w:rsid w:val="00807908"/>
    <w:rsid w:val="00807C1A"/>
    <w:rsid w:val="00807D57"/>
    <w:rsid w:val="00807DC4"/>
    <w:rsid w:val="0081001D"/>
    <w:rsid w:val="00811055"/>
    <w:rsid w:val="0081112E"/>
    <w:rsid w:val="00811139"/>
    <w:rsid w:val="0081113F"/>
    <w:rsid w:val="008115DB"/>
    <w:rsid w:val="008119BE"/>
    <w:rsid w:val="00811C0E"/>
    <w:rsid w:val="00811CEF"/>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6D5F"/>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29A"/>
    <w:rsid w:val="00856AFD"/>
    <w:rsid w:val="00856F45"/>
    <w:rsid w:val="008572C1"/>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63AA"/>
    <w:rsid w:val="00866410"/>
    <w:rsid w:val="00866462"/>
    <w:rsid w:val="008669B3"/>
    <w:rsid w:val="00866B44"/>
    <w:rsid w:val="00866E62"/>
    <w:rsid w:val="00867A30"/>
    <w:rsid w:val="00867ABD"/>
    <w:rsid w:val="00867F82"/>
    <w:rsid w:val="00870033"/>
    <w:rsid w:val="008702BD"/>
    <w:rsid w:val="0087042E"/>
    <w:rsid w:val="00870432"/>
    <w:rsid w:val="008705DA"/>
    <w:rsid w:val="008705EE"/>
    <w:rsid w:val="0087094D"/>
    <w:rsid w:val="00870A96"/>
    <w:rsid w:val="00870EC7"/>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1F2"/>
    <w:rsid w:val="008772ED"/>
    <w:rsid w:val="0087736F"/>
    <w:rsid w:val="00877951"/>
    <w:rsid w:val="00877A6C"/>
    <w:rsid w:val="00877E3C"/>
    <w:rsid w:val="0088015C"/>
    <w:rsid w:val="0088110C"/>
    <w:rsid w:val="00881D65"/>
    <w:rsid w:val="00881DD9"/>
    <w:rsid w:val="00882556"/>
    <w:rsid w:val="00882A1F"/>
    <w:rsid w:val="00883300"/>
    <w:rsid w:val="00883A19"/>
    <w:rsid w:val="00883A1F"/>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D3"/>
    <w:rsid w:val="0088656C"/>
    <w:rsid w:val="008866B2"/>
    <w:rsid w:val="00886A65"/>
    <w:rsid w:val="00886AD7"/>
    <w:rsid w:val="00886C4F"/>
    <w:rsid w:val="00886DDB"/>
    <w:rsid w:val="008872D1"/>
    <w:rsid w:val="00887471"/>
    <w:rsid w:val="008874E8"/>
    <w:rsid w:val="00887585"/>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426"/>
    <w:rsid w:val="0089451B"/>
    <w:rsid w:val="008946E5"/>
    <w:rsid w:val="00894A15"/>
    <w:rsid w:val="00894A1D"/>
    <w:rsid w:val="00894C3A"/>
    <w:rsid w:val="00894CDD"/>
    <w:rsid w:val="00894E2D"/>
    <w:rsid w:val="008951BF"/>
    <w:rsid w:val="00895366"/>
    <w:rsid w:val="0089562E"/>
    <w:rsid w:val="0089595A"/>
    <w:rsid w:val="00895F1D"/>
    <w:rsid w:val="0089621F"/>
    <w:rsid w:val="00896419"/>
    <w:rsid w:val="008964D1"/>
    <w:rsid w:val="008970CF"/>
    <w:rsid w:val="008977ED"/>
    <w:rsid w:val="00897985"/>
    <w:rsid w:val="008A0178"/>
    <w:rsid w:val="008A0284"/>
    <w:rsid w:val="008A0976"/>
    <w:rsid w:val="008A0A9E"/>
    <w:rsid w:val="008A0B0D"/>
    <w:rsid w:val="008A0D22"/>
    <w:rsid w:val="008A1041"/>
    <w:rsid w:val="008A15C7"/>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2234"/>
    <w:rsid w:val="008B2A3E"/>
    <w:rsid w:val="008B2CB8"/>
    <w:rsid w:val="008B2F5F"/>
    <w:rsid w:val="008B3036"/>
    <w:rsid w:val="008B313C"/>
    <w:rsid w:val="008B32BE"/>
    <w:rsid w:val="008B32CA"/>
    <w:rsid w:val="008B3639"/>
    <w:rsid w:val="008B364A"/>
    <w:rsid w:val="008B365D"/>
    <w:rsid w:val="008B3804"/>
    <w:rsid w:val="008B3B40"/>
    <w:rsid w:val="008B3E7A"/>
    <w:rsid w:val="008B42D1"/>
    <w:rsid w:val="008B464B"/>
    <w:rsid w:val="008B4BF7"/>
    <w:rsid w:val="008B4CE7"/>
    <w:rsid w:val="008B5548"/>
    <w:rsid w:val="008B56FB"/>
    <w:rsid w:val="008B574F"/>
    <w:rsid w:val="008B5AA3"/>
    <w:rsid w:val="008B5B75"/>
    <w:rsid w:val="008B5BB4"/>
    <w:rsid w:val="008B61F8"/>
    <w:rsid w:val="008B6643"/>
    <w:rsid w:val="008B6B16"/>
    <w:rsid w:val="008B6B6B"/>
    <w:rsid w:val="008B6BD0"/>
    <w:rsid w:val="008B75F4"/>
    <w:rsid w:val="008B79FF"/>
    <w:rsid w:val="008B7AA2"/>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DD8"/>
    <w:rsid w:val="008D7EA5"/>
    <w:rsid w:val="008E0D18"/>
    <w:rsid w:val="008E0E5D"/>
    <w:rsid w:val="008E12E1"/>
    <w:rsid w:val="008E1867"/>
    <w:rsid w:val="008E1C63"/>
    <w:rsid w:val="008E2284"/>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673"/>
    <w:rsid w:val="008F2C20"/>
    <w:rsid w:val="008F2E21"/>
    <w:rsid w:val="008F3700"/>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608"/>
    <w:rsid w:val="00900744"/>
    <w:rsid w:val="00900B2E"/>
    <w:rsid w:val="00901240"/>
    <w:rsid w:val="00901758"/>
    <w:rsid w:val="00901CF9"/>
    <w:rsid w:val="0090207E"/>
    <w:rsid w:val="0090211E"/>
    <w:rsid w:val="009021E7"/>
    <w:rsid w:val="0090232C"/>
    <w:rsid w:val="0090246C"/>
    <w:rsid w:val="009025B4"/>
    <w:rsid w:val="009027EF"/>
    <w:rsid w:val="0090301E"/>
    <w:rsid w:val="00903594"/>
    <w:rsid w:val="009038CB"/>
    <w:rsid w:val="00903A2C"/>
    <w:rsid w:val="00903B71"/>
    <w:rsid w:val="00903E88"/>
    <w:rsid w:val="00903F16"/>
    <w:rsid w:val="00903F70"/>
    <w:rsid w:val="00903F9B"/>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109B"/>
    <w:rsid w:val="009112B8"/>
    <w:rsid w:val="00911577"/>
    <w:rsid w:val="009122EC"/>
    <w:rsid w:val="00912421"/>
    <w:rsid w:val="00912593"/>
    <w:rsid w:val="009126B7"/>
    <w:rsid w:val="00912B94"/>
    <w:rsid w:val="00912BDB"/>
    <w:rsid w:val="009131B4"/>
    <w:rsid w:val="009134F9"/>
    <w:rsid w:val="0091352F"/>
    <w:rsid w:val="00913532"/>
    <w:rsid w:val="00913585"/>
    <w:rsid w:val="0091387C"/>
    <w:rsid w:val="00913DEB"/>
    <w:rsid w:val="009148F7"/>
    <w:rsid w:val="009149E4"/>
    <w:rsid w:val="00914F90"/>
    <w:rsid w:val="00914FF7"/>
    <w:rsid w:val="009150FD"/>
    <w:rsid w:val="00915718"/>
    <w:rsid w:val="00915968"/>
    <w:rsid w:val="00915B8E"/>
    <w:rsid w:val="00916038"/>
    <w:rsid w:val="00916343"/>
    <w:rsid w:val="00916AF4"/>
    <w:rsid w:val="00916B3D"/>
    <w:rsid w:val="00916C6C"/>
    <w:rsid w:val="00917084"/>
    <w:rsid w:val="00917528"/>
    <w:rsid w:val="00917571"/>
    <w:rsid w:val="009177F4"/>
    <w:rsid w:val="00917D4C"/>
    <w:rsid w:val="009203C2"/>
    <w:rsid w:val="00920CD6"/>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382A"/>
    <w:rsid w:val="0092409C"/>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451"/>
    <w:rsid w:val="00946B1C"/>
    <w:rsid w:val="00947077"/>
    <w:rsid w:val="009470C1"/>
    <w:rsid w:val="009471A0"/>
    <w:rsid w:val="00947630"/>
    <w:rsid w:val="0094768B"/>
    <w:rsid w:val="009478FD"/>
    <w:rsid w:val="00947A1D"/>
    <w:rsid w:val="00947C72"/>
    <w:rsid w:val="00950613"/>
    <w:rsid w:val="00950A09"/>
    <w:rsid w:val="00950C4E"/>
    <w:rsid w:val="00950C9F"/>
    <w:rsid w:val="0095153B"/>
    <w:rsid w:val="009517ED"/>
    <w:rsid w:val="00951C62"/>
    <w:rsid w:val="0095204B"/>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CDD"/>
    <w:rsid w:val="0096426F"/>
    <w:rsid w:val="009647AF"/>
    <w:rsid w:val="00964C49"/>
    <w:rsid w:val="00964CAB"/>
    <w:rsid w:val="00965074"/>
    <w:rsid w:val="00965092"/>
    <w:rsid w:val="00965163"/>
    <w:rsid w:val="0096540B"/>
    <w:rsid w:val="00965576"/>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A20"/>
    <w:rsid w:val="009871A3"/>
    <w:rsid w:val="00987408"/>
    <w:rsid w:val="009875D9"/>
    <w:rsid w:val="00987AB7"/>
    <w:rsid w:val="00987F1D"/>
    <w:rsid w:val="009901D1"/>
    <w:rsid w:val="009901F8"/>
    <w:rsid w:val="0099021E"/>
    <w:rsid w:val="0099042F"/>
    <w:rsid w:val="009904CA"/>
    <w:rsid w:val="009904EE"/>
    <w:rsid w:val="009909B7"/>
    <w:rsid w:val="00990C6F"/>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74A"/>
    <w:rsid w:val="009A3A8A"/>
    <w:rsid w:val="009A3BCA"/>
    <w:rsid w:val="009A3EFD"/>
    <w:rsid w:val="009A3FD6"/>
    <w:rsid w:val="009A3FF2"/>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B0067"/>
    <w:rsid w:val="009B0212"/>
    <w:rsid w:val="009B0384"/>
    <w:rsid w:val="009B0575"/>
    <w:rsid w:val="009B0A77"/>
    <w:rsid w:val="009B0FBF"/>
    <w:rsid w:val="009B1251"/>
    <w:rsid w:val="009B1263"/>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AEB"/>
    <w:rsid w:val="009D4C0D"/>
    <w:rsid w:val="009D4EF0"/>
    <w:rsid w:val="009D5068"/>
    <w:rsid w:val="009D5103"/>
    <w:rsid w:val="009D5118"/>
    <w:rsid w:val="009D53B9"/>
    <w:rsid w:val="009D5624"/>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946"/>
    <w:rsid w:val="009E6D3C"/>
    <w:rsid w:val="009E6F7A"/>
    <w:rsid w:val="009E76B8"/>
    <w:rsid w:val="009E7807"/>
    <w:rsid w:val="009E7903"/>
    <w:rsid w:val="009E791E"/>
    <w:rsid w:val="009E7C4F"/>
    <w:rsid w:val="009E7C7D"/>
    <w:rsid w:val="009F0008"/>
    <w:rsid w:val="009F071E"/>
    <w:rsid w:val="009F0B4F"/>
    <w:rsid w:val="009F0B63"/>
    <w:rsid w:val="009F0DCB"/>
    <w:rsid w:val="009F11E9"/>
    <w:rsid w:val="009F1428"/>
    <w:rsid w:val="009F1440"/>
    <w:rsid w:val="009F14D3"/>
    <w:rsid w:val="009F179F"/>
    <w:rsid w:val="009F1D7A"/>
    <w:rsid w:val="009F2222"/>
    <w:rsid w:val="009F22CC"/>
    <w:rsid w:val="009F22DD"/>
    <w:rsid w:val="009F231A"/>
    <w:rsid w:val="009F2709"/>
    <w:rsid w:val="009F3157"/>
    <w:rsid w:val="009F4274"/>
    <w:rsid w:val="009F427D"/>
    <w:rsid w:val="009F462C"/>
    <w:rsid w:val="009F4A78"/>
    <w:rsid w:val="009F4E84"/>
    <w:rsid w:val="009F52BE"/>
    <w:rsid w:val="009F57D1"/>
    <w:rsid w:val="009F5840"/>
    <w:rsid w:val="009F5937"/>
    <w:rsid w:val="009F594B"/>
    <w:rsid w:val="009F5B2D"/>
    <w:rsid w:val="009F5BEB"/>
    <w:rsid w:val="009F6006"/>
    <w:rsid w:val="009F63E6"/>
    <w:rsid w:val="009F649D"/>
    <w:rsid w:val="009F6B6D"/>
    <w:rsid w:val="009F723E"/>
    <w:rsid w:val="009F72A4"/>
    <w:rsid w:val="009F7731"/>
    <w:rsid w:val="009F77BA"/>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01B"/>
    <w:rsid w:val="00A02420"/>
    <w:rsid w:val="00A02668"/>
    <w:rsid w:val="00A028B9"/>
    <w:rsid w:val="00A03537"/>
    <w:rsid w:val="00A035B2"/>
    <w:rsid w:val="00A0370E"/>
    <w:rsid w:val="00A037EB"/>
    <w:rsid w:val="00A03B6A"/>
    <w:rsid w:val="00A03BBB"/>
    <w:rsid w:val="00A0414B"/>
    <w:rsid w:val="00A043D2"/>
    <w:rsid w:val="00A045FC"/>
    <w:rsid w:val="00A04748"/>
    <w:rsid w:val="00A04784"/>
    <w:rsid w:val="00A050A2"/>
    <w:rsid w:val="00A0515E"/>
    <w:rsid w:val="00A051FE"/>
    <w:rsid w:val="00A0568D"/>
    <w:rsid w:val="00A057EE"/>
    <w:rsid w:val="00A05B34"/>
    <w:rsid w:val="00A05F01"/>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2045C"/>
    <w:rsid w:val="00A20C9A"/>
    <w:rsid w:val="00A20CC8"/>
    <w:rsid w:val="00A20F08"/>
    <w:rsid w:val="00A21820"/>
    <w:rsid w:val="00A21895"/>
    <w:rsid w:val="00A21E16"/>
    <w:rsid w:val="00A22283"/>
    <w:rsid w:val="00A223BF"/>
    <w:rsid w:val="00A224B6"/>
    <w:rsid w:val="00A225E1"/>
    <w:rsid w:val="00A23386"/>
    <w:rsid w:val="00A2394D"/>
    <w:rsid w:val="00A24009"/>
    <w:rsid w:val="00A241BC"/>
    <w:rsid w:val="00A24433"/>
    <w:rsid w:val="00A24582"/>
    <w:rsid w:val="00A24F04"/>
    <w:rsid w:val="00A24F14"/>
    <w:rsid w:val="00A24F87"/>
    <w:rsid w:val="00A25010"/>
    <w:rsid w:val="00A250DB"/>
    <w:rsid w:val="00A2526E"/>
    <w:rsid w:val="00A2546D"/>
    <w:rsid w:val="00A2550D"/>
    <w:rsid w:val="00A25C09"/>
    <w:rsid w:val="00A25FE3"/>
    <w:rsid w:val="00A2612A"/>
    <w:rsid w:val="00A2658E"/>
    <w:rsid w:val="00A26781"/>
    <w:rsid w:val="00A26B95"/>
    <w:rsid w:val="00A26BFC"/>
    <w:rsid w:val="00A26C01"/>
    <w:rsid w:val="00A26D97"/>
    <w:rsid w:val="00A26F14"/>
    <w:rsid w:val="00A27103"/>
    <w:rsid w:val="00A2736E"/>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6B9"/>
    <w:rsid w:val="00A33AF2"/>
    <w:rsid w:val="00A33FD1"/>
    <w:rsid w:val="00A340F3"/>
    <w:rsid w:val="00A3434A"/>
    <w:rsid w:val="00A3453E"/>
    <w:rsid w:val="00A3456E"/>
    <w:rsid w:val="00A34AD2"/>
    <w:rsid w:val="00A34B80"/>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3BB"/>
    <w:rsid w:val="00A46788"/>
    <w:rsid w:val="00A467A6"/>
    <w:rsid w:val="00A46BB7"/>
    <w:rsid w:val="00A46D1C"/>
    <w:rsid w:val="00A4709A"/>
    <w:rsid w:val="00A504D3"/>
    <w:rsid w:val="00A505C4"/>
    <w:rsid w:val="00A50781"/>
    <w:rsid w:val="00A511EB"/>
    <w:rsid w:val="00A51597"/>
    <w:rsid w:val="00A517F5"/>
    <w:rsid w:val="00A518BC"/>
    <w:rsid w:val="00A51E07"/>
    <w:rsid w:val="00A51EF8"/>
    <w:rsid w:val="00A52045"/>
    <w:rsid w:val="00A5235C"/>
    <w:rsid w:val="00A52A06"/>
    <w:rsid w:val="00A52B6A"/>
    <w:rsid w:val="00A52FB0"/>
    <w:rsid w:val="00A530D9"/>
    <w:rsid w:val="00A53856"/>
    <w:rsid w:val="00A53E7A"/>
    <w:rsid w:val="00A54073"/>
    <w:rsid w:val="00A543FE"/>
    <w:rsid w:val="00A544E0"/>
    <w:rsid w:val="00A54526"/>
    <w:rsid w:val="00A5496C"/>
    <w:rsid w:val="00A54AA0"/>
    <w:rsid w:val="00A54B2F"/>
    <w:rsid w:val="00A54DD5"/>
    <w:rsid w:val="00A54ECE"/>
    <w:rsid w:val="00A5511E"/>
    <w:rsid w:val="00A55655"/>
    <w:rsid w:val="00A55770"/>
    <w:rsid w:val="00A55D3E"/>
    <w:rsid w:val="00A56246"/>
    <w:rsid w:val="00A56B98"/>
    <w:rsid w:val="00A57816"/>
    <w:rsid w:val="00A57A1D"/>
    <w:rsid w:val="00A57ADB"/>
    <w:rsid w:val="00A60023"/>
    <w:rsid w:val="00A60276"/>
    <w:rsid w:val="00A608D2"/>
    <w:rsid w:val="00A60E89"/>
    <w:rsid w:val="00A60EAC"/>
    <w:rsid w:val="00A61025"/>
    <w:rsid w:val="00A610E0"/>
    <w:rsid w:val="00A61440"/>
    <w:rsid w:val="00A614AC"/>
    <w:rsid w:val="00A619EB"/>
    <w:rsid w:val="00A61DC8"/>
    <w:rsid w:val="00A6210F"/>
    <w:rsid w:val="00A62B89"/>
    <w:rsid w:val="00A62D59"/>
    <w:rsid w:val="00A62DD4"/>
    <w:rsid w:val="00A62EAF"/>
    <w:rsid w:val="00A62F6B"/>
    <w:rsid w:val="00A63AB5"/>
    <w:rsid w:val="00A63E0A"/>
    <w:rsid w:val="00A63F1A"/>
    <w:rsid w:val="00A63F50"/>
    <w:rsid w:val="00A6430D"/>
    <w:rsid w:val="00A643DA"/>
    <w:rsid w:val="00A64A4D"/>
    <w:rsid w:val="00A64C36"/>
    <w:rsid w:val="00A6522F"/>
    <w:rsid w:val="00A6535C"/>
    <w:rsid w:val="00A65361"/>
    <w:rsid w:val="00A653A9"/>
    <w:rsid w:val="00A654D2"/>
    <w:rsid w:val="00A654F4"/>
    <w:rsid w:val="00A65A35"/>
    <w:rsid w:val="00A65A3C"/>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7D"/>
    <w:rsid w:val="00A7059D"/>
    <w:rsid w:val="00A7067D"/>
    <w:rsid w:val="00A706A1"/>
    <w:rsid w:val="00A7087C"/>
    <w:rsid w:val="00A708F1"/>
    <w:rsid w:val="00A709D8"/>
    <w:rsid w:val="00A70FE9"/>
    <w:rsid w:val="00A70FEB"/>
    <w:rsid w:val="00A7105C"/>
    <w:rsid w:val="00A7186B"/>
    <w:rsid w:val="00A71E95"/>
    <w:rsid w:val="00A71F2D"/>
    <w:rsid w:val="00A71F75"/>
    <w:rsid w:val="00A7205C"/>
    <w:rsid w:val="00A7269A"/>
    <w:rsid w:val="00A72BD6"/>
    <w:rsid w:val="00A72D03"/>
    <w:rsid w:val="00A730A9"/>
    <w:rsid w:val="00A73280"/>
    <w:rsid w:val="00A7332C"/>
    <w:rsid w:val="00A73847"/>
    <w:rsid w:val="00A74081"/>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E9"/>
    <w:rsid w:val="00A83B15"/>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CA"/>
    <w:rsid w:val="00A90014"/>
    <w:rsid w:val="00A90371"/>
    <w:rsid w:val="00A9058A"/>
    <w:rsid w:val="00A9075A"/>
    <w:rsid w:val="00A90B9B"/>
    <w:rsid w:val="00A90F07"/>
    <w:rsid w:val="00A90F91"/>
    <w:rsid w:val="00A91052"/>
    <w:rsid w:val="00A9109C"/>
    <w:rsid w:val="00A9152E"/>
    <w:rsid w:val="00A918AD"/>
    <w:rsid w:val="00A926D4"/>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B5F"/>
    <w:rsid w:val="00AA5E79"/>
    <w:rsid w:val="00AA5FDE"/>
    <w:rsid w:val="00AA60C2"/>
    <w:rsid w:val="00AA61DF"/>
    <w:rsid w:val="00AA64B6"/>
    <w:rsid w:val="00AA65C3"/>
    <w:rsid w:val="00AA68CB"/>
    <w:rsid w:val="00AA6D86"/>
    <w:rsid w:val="00AA6E19"/>
    <w:rsid w:val="00AA70C8"/>
    <w:rsid w:val="00AA712D"/>
    <w:rsid w:val="00AA71E0"/>
    <w:rsid w:val="00AA723E"/>
    <w:rsid w:val="00AA747F"/>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923"/>
    <w:rsid w:val="00AE1924"/>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C67"/>
    <w:rsid w:val="00AE5D87"/>
    <w:rsid w:val="00AE61B8"/>
    <w:rsid w:val="00AE61E0"/>
    <w:rsid w:val="00AE6C9C"/>
    <w:rsid w:val="00AE6F67"/>
    <w:rsid w:val="00AE7528"/>
    <w:rsid w:val="00AE7DCF"/>
    <w:rsid w:val="00AF01A8"/>
    <w:rsid w:val="00AF04BB"/>
    <w:rsid w:val="00AF05F1"/>
    <w:rsid w:val="00AF088A"/>
    <w:rsid w:val="00AF0938"/>
    <w:rsid w:val="00AF0F47"/>
    <w:rsid w:val="00AF14CD"/>
    <w:rsid w:val="00AF1935"/>
    <w:rsid w:val="00AF20E0"/>
    <w:rsid w:val="00AF20FC"/>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6CC"/>
    <w:rsid w:val="00B137E8"/>
    <w:rsid w:val="00B13E6F"/>
    <w:rsid w:val="00B146DE"/>
    <w:rsid w:val="00B1470F"/>
    <w:rsid w:val="00B14750"/>
    <w:rsid w:val="00B147DF"/>
    <w:rsid w:val="00B148CE"/>
    <w:rsid w:val="00B14A2B"/>
    <w:rsid w:val="00B14C80"/>
    <w:rsid w:val="00B14FFD"/>
    <w:rsid w:val="00B15007"/>
    <w:rsid w:val="00B15566"/>
    <w:rsid w:val="00B15EC2"/>
    <w:rsid w:val="00B15FD7"/>
    <w:rsid w:val="00B160C7"/>
    <w:rsid w:val="00B16763"/>
    <w:rsid w:val="00B1695B"/>
    <w:rsid w:val="00B16AFB"/>
    <w:rsid w:val="00B170F5"/>
    <w:rsid w:val="00B17224"/>
    <w:rsid w:val="00B17256"/>
    <w:rsid w:val="00B17613"/>
    <w:rsid w:val="00B17658"/>
    <w:rsid w:val="00B177D7"/>
    <w:rsid w:val="00B17DF2"/>
    <w:rsid w:val="00B17E09"/>
    <w:rsid w:val="00B17E98"/>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0C3"/>
    <w:rsid w:val="00B2723A"/>
    <w:rsid w:val="00B273B4"/>
    <w:rsid w:val="00B27806"/>
    <w:rsid w:val="00B278DF"/>
    <w:rsid w:val="00B27A65"/>
    <w:rsid w:val="00B27A86"/>
    <w:rsid w:val="00B27BD7"/>
    <w:rsid w:val="00B27EB7"/>
    <w:rsid w:val="00B3027A"/>
    <w:rsid w:val="00B303A7"/>
    <w:rsid w:val="00B30537"/>
    <w:rsid w:val="00B306B2"/>
    <w:rsid w:val="00B307C7"/>
    <w:rsid w:val="00B30962"/>
    <w:rsid w:val="00B30BD5"/>
    <w:rsid w:val="00B30DF6"/>
    <w:rsid w:val="00B30F7E"/>
    <w:rsid w:val="00B31022"/>
    <w:rsid w:val="00B316FF"/>
    <w:rsid w:val="00B317EB"/>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6246"/>
    <w:rsid w:val="00B4644B"/>
    <w:rsid w:val="00B4648F"/>
    <w:rsid w:val="00B46520"/>
    <w:rsid w:val="00B46870"/>
    <w:rsid w:val="00B46C1A"/>
    <w:rsid w:val="00B46D00"/>
    <w:rsid w:val="00B470F5"/>
    <w:rsid w:val="00B47309"/>
    <w:rsid w:val="00B473B8"/>
    <w:rsid w:val="00B476C7"/>
    <w:rsid w:val="00B47CD5"/>
    <w:rsid w:val="00B47D2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94"/>
    <w:rsid w:val="00B635B4"/>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7A0"/>
    <w:rsid w:val="00B730BF"/>
    <w:rsid w:val="00B7319F"/>
    <w:rsid w:val="00B73205"/>
    <w:rsid w:val="00B7326B"/>
    <w:rsid w:val="00B733A1"/>
    <w:rsid w:val="00B7387C"/>
    <w:rsid w:val="00B7393A"/>
    <w:rsid w:val="00B7412A"/>
    <w:rsid w:val="00B74767"/>
    <w:rsid w:val="00B74A9F"/>
    <w:rsid w:val="00B74D5B"/>
    <w:rsid w:val="00B752DB"/>
    <w:rsid w:val="00B7568C"/>
    <w:rsid w:val="00B75E08"/>
    <w:rsid w:val="00B7681C"/>
    <w:rsid w:val="00B7698B"/>
    <w:rsid w:val="00B769F0"/>
    <w:rsid w:val="00B76B20"/>
    <w:rsid w:val="00B76B3A"/>
    <w:rsid w:val="00B76BF4"/>
    <w:rsid w:val="00B76D6C"/>
    <w:rsid w:val="00B779B2"/>
    <w:rsid w:val="00B77A92"/>
    <w:rsid w:val="00B77BBD"/>
    <w:rsid w:val="00B77C1D"/>
    <w:rsid w:val="00B77C25"/>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4055"/>
    <w:rsid w:val="00B9409D"/>
    <w:rsid w:val="00B94413"/>
    <w:rsid w:val="00B9479E"/>
    <w:rsid w:val="00B94AEE"/>
    <w:rsid w:val="00B94F06"/>
    <w:rsid w:val="00B94F2C"/>
    <w:rsid w:val="00B95147"/>
    <w:rsid w:val="00B959A3"/>
    <w:rsid w:val="00B95D0A"/>
    <w:rsid w:val="00B9677D"/>
    <w:rsid w:val="00B967DA"/>
    <w:rsid w:val="00B96A21"/>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54"/>
    <w:rsid w:val="00BA28C6"/>
    <w:rsid w:val="00BA2B82"/>
    <w:rsid w:val="00BA2C67"/>
    <w:rsid w:val="00BA2E6B"/>
    <w:rsid w:val="00BA2FE5"/>
    <w:rsid w:val="00BA2FE6"/>
    <w:rsid w:val="00BA3A12"/>
    <w:rsid w:val="00BA3A2F"/>
    <w:rsid w:val="00BA3B13"/>
    <w:rsid w:val="00BA415E"/>
    <w:rsid w:val="00BA42A9"/>
    <w:rsid w:val="00BA4409"/>
    <w:rsid w:val="00BA45BE"/>
    <w:rsid w:val="00BA48D2"/>
    <w:rsid w:val="00BA48FE"/>
    <w:rsid w:val="00BA4B6F"/>
    <w:rsid w:val="00BA4C5B"/>
    <w:rsid w:val="00BA508A"/>
    <w:rsid w:val="00BA5318"/>
    <w:rsid w:val="00BA56A5"/>
    <w:rsid w:val="00BA56AF"/>
    <w:rsid w:val="00BA571C"/>
    <w:rsid w:val="00BA5D08"/>
    <w:rsid w:val="00BA5F9D"/>
    <w:rsid w:val="00BA6F7E"/>
    <w:rsid w:val="00BA7B91"/>
    <w:rsid w:val="00BA7C22"/>
    <w:rsid w:val="00BA7EE2"/>
    <w:rsid w:val="00BB054C"/>
    <w:rsid w:val="00BB0A9C"/>
    <w:rsid w:val="00BB0AFF"/>
    <w:rsid w:val="00BB0B61"/>
    <w:rsid w:val="00BB0CDD"/>
    <w:rsid w:val="00BB101C"/>
    <w:rsid w:val="00BB10DE"/>
    <w:rsid w:val="00BB110B"/>
    <w:rsid w:val="00BB136F"/>
    <w:rsid w:val="00BB1783"/>
    <w:rsid w:val="00BB17F8"/>
    <w:rsid w:val="00BB20EE"/>
    <w:rsid w:val="00BB2551"/>
    <w:rsid w:val="00BB27CA"/>
    <w:rsid w:val="00BB2867"/>
    <w:rsid w:val="00BB28E1"/>
    <w:rsid w:val="00BB2A17"/>
    <w:rsid w:val="00BB2A63"/>
    <w:rsid w:val="00BB2BCF"/>
    <w:rsid w:val="00BB2DB4"/>
    <w:rsid w:val="00BB32AB"/>
    <w:rsid w:val="00BB3A83"/>
    <w:rsid w:val="00BB3AB1"/>
    <w:rsid w:val="00BB3C89"/>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5A"/>
    <w:rsid w:val="00BD4B68"/>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ECE"/>
    <w:rsid w:val="00BE0402"/>
    <w:rsid w:val="00BE0534"/>
    <w:rsid w:val="00BE0DAA"/>
    <w:rsid w:val="00BE12C8"/>
    <w:rsid w:val="00BE1844"/>
    <w:rsid w:val="00BE1B2C"/>
    <w:rsid w:val="00BE1B5A"/>
    <w:rsid w:val="00BE1C12"/>
    <w:rsid w:val="00BE218B"/>
    <w:rsid w:val="00BE22EB"/>
    <w:rsid w:val="00BE289F"/>
    <w:rsid w:val="00BE29E3"/>
    <w:rsid w:val="00BE2F9F"/>
    <w:rsid w:val="00BE379E"/>
    <w:rsid w:val="00BE3E66"/>
    <w:rsid w:val="00BE4908"/>
    <w:rsid w:val="00BE4CB0"/>
    <w:rsid w:val="00BE4DAF"/>
    <w:rsid w:val="00BE5301"/>
    <w:rsid w:val="00BE535E"/>
    <w:rsid w:val="00BE53D6"/>
    <w:rsid w:val="00BE5591"/>
    <w:rsid w:val="00BE57E5"/>
    <w:rsid w:val="00BE5941"/>
    <w:rsid w:val="00BE5EF9"/>
    <w:rsid w:val="00BE61B9"/>
    <w:rsid w:val="00BE62D5"/>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20F8"/>
    <w:rsid w:val="00BF29C0"/>
    <w:rsid w:val="00BF2AAD"/>
    <w:rsid w:val="00BF2EE4"/>
    <w:rsid w:val="00BF316B"/>
    <w:rsid w:val="00BF3218"/>
    <w:rsid w:val="00BF3C40"/>
    <w:rsid w:val="00BF3D94"/>
    <w:rsid w:val="00BF3E30"/>
    <w:rsid w:val="00BF4012"/>
    <w:rsid w:val="00BF426A"/>
    <w:rsid w:val="00BF4A8F"/>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2084"/>
    <w:rsid w:val="00C02288"/>
    <w:rsid w:val="00C026CC"/>
    <w:rsid w:val="00C02872"/>
    <w:rsid w:val="00C02B51"/>
    <w:rsid w:val="00C02B88"/>
    <w:rsid w:val="00C02BDF"/>
    <w:rsid w:val="00C0341D"/>
    <w:rsid w:val="00C035B6"/>
    <w:rsid w:val="00C037CF"/>
    <w:rsid w:val="00C03E14"/>
    <w:rsid w:val="00C03EC8"/>
    <w:rsid w:val="00C03ECD"/>
    <w:rsid w:val="00C04019"/>
    <w:rsid w:val="00C0419C"/>
    <w:rsid w:val="00C0422A"/>
    <w:rsid w:val="00C04377"/>
    <w:rsid w:val="00C04484"/>
    <w:rsid w:val="00C04857"/>
    <w:rsid w:val="00C04C8F"/>
    <w:rsid w:val="00C04E8F"/>
    <w:rsid w:val="00C051F2"/>
    <w:rsid w:val="00C0552A"/>
    <w:rsid w:val="00C055D7"/>
    <w:rsid w:val="00C05D52"/>
    <w:rsid w:val="00C069DB"/>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92"/>
    <w:rsid w:val="00C13B39"/>
    <w:rsid w:val="00C13BF6"/>
    <w:rsid w:val="00C13C1D"/>
    <w:rsid w:val="00C1406E"/>
    <w:rsid w:val="00C141A1"/>
    <w:rsid w:val="00C14226"/>
    <w:rsid w:val="00C147CF"/>
    <w:rsid w:val="00C147DD"/>
    <w:rsid w:val="00C1482E"/>
    <w:rsid w:val="00C14C69"/>
    <w:rsid w:val="00C14DCE"/>
    <w:rsid w:val="00C15017"/>
    <w:rsid w:val="00C15156"/>
    <w:rsid w:val="00C15313"/>
    <w:rsid w:val="00C15431"/>
    <w:rsid w:val="00C154A2"/>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4F"/>
    <w:rsid w:val="00C25064"/>
    <w:rsid w:val="00C25240"/>
    <w:rsid w:val="00C25301"/>
    <w:rsid w:val="00C2540A"/>
    <w:rsid w:val="00C25A02"/>
    <w:rsid w:val="00C25D09"/>
    <w:rsid w:val="00C26145"/>
    <w:rsid w:val="00C2674E"/>
    <w:rsid w:val="00C269C3"/>
    <w:rsid w:val="00C26A70"/>
    <w:rsid w:val="00C26BF2"/>
    <w:rsid w:val="00C27362"/>
    <w:rsid w:val="00C2750A"/>
    <w:rsid w:val="00C276E6"/>
    <w:rsid w:val="00C27732"/>
    <w:rsid w:val="00C27F2A"/>
    <w:rsid w:val="00C30014"/>
    <w:rsid w:val="00C30900"/>
    <w:rsid w:val="00C30E11"/>
    <w:rsid w:val="00C31082"/>
    <w:rsid w:val="00C31290"/>
    <w:rsid w:val="00C316AE"/>
    <w:rsid w:val="00C31B7A"/>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52A5"/>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660"/>
    <w:rsid w:val="00C43AEC"/>
    <w:rsid w:val="00C43B56"/>
    <w:rsid w:val="00C44510"/>
    <w:rsid w:val="00C44661"/>
    <w:rsid w:val="00C448E6"/>
    <w:rsid w:val="00C4514A"/>
    <w:rsid w:val="00C455CF"/>
    <w:rsid w:val="00C45986"/>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F0E"/>
    <w:rsid w:val="00C52906"/>
    <w:rsid w:val="00C529F0"/>
    <w:rsid w:val="00C52C2C"/>
    <w:rsid w:val="00C53044"/>
    <w:rsid w:val="00C5384A"/>
    <w:rsid w:val="00C53D28"/>
    <w:rsid w:val="00C53F1A"/>
    <w:rsid w:val="00C540AD"/>
    <w:rsid w:val="00C540CB"/>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E33"/>
    <w:rsid w:val="00C6646C"/>
    <w:rsid w:val="00C66752"/>
    <w:rsid w:val="00C66887"/>
    <w:rsid w:val="00C66AA2"/>
    <w:rsid w:val="00C66C72"/>
    <w:rsid w:val="00C67460"/>
    <w:rsid w:val="00C67848"/>
    <w:rsid w:val="00C70333"/>
    <w:rsid w:val="00C70341"/>
    <w:rsid w:val="00C70697"/>
    <w:rsid w:val="00C70834"/>
    <w:rsid w:val="00C708B6"/>
    <w:rsid w:val="00C70936"/>
    <w:rsid w:val="00C70971"/>
    <w:rsid w:val="00C70995"/>
    <w:rsid w:val="00C70B2F"/>
    <w:rsid w:val="00C70E81"/>
    <w:rsid w:val="00C712F8"/>
    <w:rsid w:val="00C71389"/>
    <w:rsid w:val="00C714C1"/>
    <w:rsid w:val="00C7155F"/>
    <w:rsid w:val="00C71606"/>
    <w:rsid w:val="00C71609"/>
    <w:rsid w:val="00C7176D"/>
    <w:rsid w:val="00C71B88"/>
    <w:rsid w:val="00C71C3C"/>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48C"/>
    <w:rsid w:val="00C92504"/>
    <w:rsid w:val="00C9298B"/>
    <w:rsid w:val="00C92B11"/>
    <w:rsid w:val="00C92E38"/>
    <w:rsid w:val="00C92E74"/>
    <w:rsid w:val="00C9303F"/>
    <w:rsid w:val="00C932A3"/>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CAB"/>
    <w:rsid w:val="00CA0D82"/>
    <w:rsid w:val="00CA0F96"/>
    <w:rsid w:val="00CA113C"/>
    <w:rsid w:val="00CA1188"/>
    <w:rsid w:val="00CA11C8"/>
    <w:rsid w:val="00CA12BF"/>
    <w:rsid w:val="00CA1470"/>
    <w:rsid w:val="00CA15F0"/>
    <w:rsid w:val="00CA1C56"/>
    <w:rsid w:val="00CA1CEA"/>
    <w:rsid w:val="00CA2232"/>
    <w:rsid w:val="00CA228A"/>
    <w:rsid w:val="00CA2FD9"/>
    <w:rsid w:val="00CA32AD"/>
    <w:rsid w:val="00CA344A"/>
    <w:rsid w:val="00CA3520"/>
    <w:rsid w:val="00CA377E"/>
    <w:rsid w:val="00CA3AF3"/>
    <w:rsid w:val="00CA3B16"/>
    <w:rsid w:val="00CA3CC8"/>
    <w:rsid w:val="00CA3F70"/>
    <w:rsid w:val="00CA4202"/>
    <w:rsid w:val="00CA4537"/>
    <w:rsid w:val="00CA46B4"/>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371"/>
    <w:rsid w:val="00CB73FD"/>
    <w:rsid w:val="00CB7565"/>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ABE"/>
    <w:rsid w:val="00CC7BF4"/>
    <w:rsid w:val="00CD0251"/>
    <w:rsid w:val="00CD068D"/>
    <w:rsid w:val="00CD09B2"/>
    <w:rsid w:val="00CD0C0D"/>
    <w:rsid w:val="00CD0F2B"/>
    <w:rsid w:val="00CD1135"/>
    <w:rsid w:val="00CD1230"/>
    <w:rsid w:val="00CD151F"/>
    <w:rsid w:val="00CD1A7D"/>
    <w:rsid w:val="00CD1F58"/>
    <w:rsid w:val="00CD1FBB"/>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101D"/>
    <w:rsid w:val="00CF1184"/>
    <w:rsid w:val="00CF11AC"/>
    <w:rsid w:val="00CF1B01"/>
    <w:rsid w:val="00CF2243"/>
    <w:rsid w:val="00CF2541"/>
    <w:rsid w:val="00CF2CFD"/>
    <w:rsid w:val="00CF2D97"/>
    <w:rsid w:val="00CF2E27"/>
    <w:rsid w:val="00CF3217"/>
    <w:rsid w:val="00CF35FF"/>
    <w:rsid w:val="00CF3669"/>
    <w:rsid w:val="00CF373F"/>
    <w:rsid w:val="00CF38F0"/>
    <w:rsid w:val="00CF3D16"/>
    <w:rsid w:val="00CF4838"/>
    <w:rsid w:val="00CF4FE4"/>
    <w:rsid w:val="00CF522D"/>
    <w:rsid w:val="00CF56EA"/>
    <w:rsid w:val="00CF5941"/>
    <w:rsid w:val="00CF5996"/>
    <w:rsid w:val="00CF5B84"/>
    <w:rsid w:val="00CF61CB"/>
    <w:rsid w:val="00CF65C3"/>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6185"/>
    <w:rsid w:val="00D06667"/>
    <w:rsid w:val="00D06675"/>
    <w:rsid w:val="00D066FD"/>
    <w:rsid w:val="00D0678F"/>
    <w:rsid w:val="00D07118"/>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9D3"/>
    <w:rsid w:val="00D17BB8"/>
    <w:rsid w:val="00D17CDF"/>
    <w:rsid w:val="00D200DC"/>
    <w:rsid w:val="00D200F3"/>
    <w:rsid w:val="00D20588"/>
    <w:rsid w:val="00D208E7"/>
    <w:rsid w:val="00D20BD2"/>
    <w:rsid w:val="00D20D3B"/>
    <w:rsid w:val="00D20F77"/>
    <w:rsid w:val="00D2111D"/>
    <w:rsid w:val="00D215B7"/>
    <w:rsid w:val="00D215C0"/>
    <w:rsid w:val="00D2172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C65"/>
    <w:rsid w:val="00D23C7F"/>
    <w:rsid w:val="00D24829"/>
    <w:rsid w:val="00D24945"/>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11E7"/>
    <w:rsid w:val="00D3131F"/>
    <w:rsid w:val="00D31350"/>
    <w:rsid w:val="00D319BF"/>
    <w:rsid w:val="00D31A68"/>
    <w:rsid w:val="00D32C97"/>
    <w:rsid w:val="00D32FB1"/>
    <w:rsid w:val="00D3304A"/>
    <w:rsid w:val="00D330C0"/>
    <w:rsid w:val="00D33651"/>
    <w:rsid w:val="00D33A2F"/>
    <w:rsid w:val="00D33E43"/>
    <w:rsid w:val="00D3405A"/>
    <w:rsid w:val="00D34CE0"/>
    <w:rsid w:val="00D34F9F"/>
    <w:rsid w:val="00D34FD7"/>
    <w:rsid w:val="00D35398"/>
    <w:rsid w:val="00D35896"/>
    <w:rsid w:val="00D35F7F"/>
    <w:rsid w:val="00D361D5"/>
    <w:rsid w:val="00D36292"/>
    <w:rsid w:val="00D363F0"/>
    <w:rsid w:val="00D36875"/>
    <w:rsid w:val="00D36AF3"/>
    <w:rsid w:val="00D36CDE"/>
    <w:rsid w:val="00D36D13"/>
    <w:rsid w:val="00D36EE5"/>
    <w:rsid w:val="00D36F43"/>
    <w:rsid w:val="00D37179"/>
    <w:rsid w:val="00D37430"/>
    <w:rsid w:val="00D37890"/>
    <w:rsid w:val="00D40102"/>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F8"/>
    <w:rsid w:val="00D463A7"/>
    <w:rsid w:val="00D46408"/>
    <w:rsid w:val="00D46E38"/>
    <w:rsid w:val="00D472BF"/>
    <w:rsid w:val="00D4763E"/>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FE3"/>
    <w:rsid w:val="00D6418A"/>
    <w:rsid w:val="00D642BC"/>
    <w:rsid w:val="00D643F8"/>
    <w:rsid w:val="00D649DE"/>
    <w:rsid w:val="00D64EA0"/>
    <w:rsid w:val="00D650CC"/>
    <w:rsid w:val="00D650FA"/>
    <w:rsid w:val="00D65320"/>
    <w:rsid w:val="00D6670F"/>
    <w:rsid w:val="00D66840"/>
    <w:rsid w:val="00D668FD"/>
    <w:rsid w:val="00D669D3"/>
    <w:rsid w:val="00D66A3A"/>
    <w:rsid w:val="00D66ACA"/>
    <w:rsid w:val="00D66B66"/>
    <w:rsid w:val="00D66E4D"/>
    <w:rsid w:val="00D6731A"/>
    <w:rsid w:val="00D6751F"/>
    <w:rsid w:val="00D67B90"/>
    <w:rsid w:val="00D67CF8"/>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B17"/>
    <w:rsid w:val="00D76CDF"/>
    <w:rsid w:val="00D76E1F"/>
    <w:rsid w:val="00D770B9"/>
    <w:rsid w:val="00D77240"/>
    <w:rsid w:val="00D77544"/>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C6D"/>
    <w:rsid w:val="00D8417D"/>
    <w:rsid w:val="00D844D5"/>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8B1"/>
    <w:rsid w:val="00D919BC"/>
    <w:rsid w:val="00D91A9E"/>
    <w:rsid w:val="00D91BF1"/>
    <w:rsid w:val="00D91ED1"/>
    <w:rsid w:val="00D921EB"/>
    <w:rsid w:val="00D9254F"/>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6070"/>
    <w:rsid w:val="00D966C1"/>
    <w:rsid w:val="00D967B7"/>
    <w:rsid w:val="00D96B6F"/>
    <w:rsid w:val="00D972B8"/>
    <w:rsid w:val="00D972C7"/>
    <w:rsid w:val="00D9742F"/>
    <w:rsid w:val="00D97533"/>
    <w:rsid w:val="00D97859"/>
    <w:rsid w:val="00D97DE8"/>
    <w:rsid w:val="00D97F48"/>
    <w:rsid w:val="00DA0034"/>
    <w:rsid w:val="00DA0491"/>
    <w:rsid w:val="00DA0FA4"/>
    <w:rsid w:val="00DA10DF"/>
    <w:rsid w:val="00DA128F"/>
    <w:rsid w:val="00DA163F"/>
    <w:rsid w:val="00DA1BA9"/>
    <w:rsid w:val="00DA1CC3"/>
    <w:rsid w:val="00DA1F3C"/>
    <w:rsid w:val="00DA20B7"/>
    <w:rsid w:val="00DA2776"/>
    <w:rsid w:val="00DA288D"/>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C38"/>
    <w:rsid w:val="00DC0E7F"/>
    <w:rsid w:val="00DC10F4"/>
    <w:rsid w:val="00DC140E"/>
    <w:rsid w:val="00DC171B"/>
    <w:rsid w:val="00DC1879"/>
    <w:rsid w:val="00DC2418"/>
    <w:rsid w:val="00DC2772"/>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7DC"/>
    <w:rsid w:val="00DC687D"/>
    <w:rsid w:val="00DC6A96"/>
    <w:rsid w:val="00DC6CCC"/>
    <w:rsid w:val="00DC71AF"/>
    <w:rsid w:val="00DC75E2"/>
    <w:rsid w:val="00DC7895"/>
    <w:rsid w:val="00DC7DB3"/>
    <w:rsid w:val="00DC7DE8"/>
    <w:rsid w:val="00DD044E"/>
    <w:rsid w:val="00DD0C04"/>
    <w:rsid w:val="00DD0D9C"/>
    <w:rsid w:val="00DD0E8A"/>
    <w:rsid w:val="00DD1685"/>
    <w:rsid w:val="00DD260B"/>
    <w:rsid w:val="00DD3071"/>
    <w:rsid w:val="00DD324B"/>
    <w:rsid w:val="00DD3360"/>
    <w:rsid w:val="00DD340D"/>
    <w:rsid w:val="00DD3967"/>
    <w:rsid w:val="00DD3D43"/>
    <w:rsid w:val="00DD3D8E"/>
    <w:rsid w:val="00DD3F39"/>
    <w:rsid w:val="00DD4048"/>
    <w:rsid w:val="00DD4344"/>
    <w:rsid w:val="00DD4371"/>
    <w:rsid w:val="00DD4484"/>
    <w:rsid w:val="00DD47FC"/>
    <w:rsid w:val="00DD4C30"/>
    <w:rsid w:val="00DD4C78"/>
    <w:rsid w:val="00DD4F9D"/>
    <w:rsid w:val="00DD5082"/>
    <w:rsid w:val="00DD522B"/>
    <w:rsid w:val="00DD57ED"/>
    <w:rsid w:val="00DD57FF"/>
    <w:rsid w:val="00DD584A"/>
    <w:rsid w:val="00DD5A2F"/>
    <w:rsid w:val="00DD5D24"/>
    <w:rsid w:val="00DD5EBE"/>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51C"/>
    <w:rsid w:val="00DE3651"/>
    <w:rsid w:val="00DE3A31"/>
    <w:rsid w:val="00DE3DAE"/>
    <w:rsid w:val="00DE3E2E"/>
    <w:rsid w:val="00DE4071"/>
    <w:rsid w:val="00DE41DE"/>
    <w:rsid w:val="00DE4393"/>
    <w:rsid w:val="00DE4681"/>
    <w:rsid w:val="00DE4783"/>
    <w:rsid w:val="00DE4C01"/>
    <w:rsid w:val="00DE4C5A"/>
    <w:rsid w:val="00DE55E7"/>
    <w:rsid w:val="00DE61C3"/>
    <w:rsid w:val="00DE635A"/>
    <w:rsid w:val="00DE657E"/>
    <w:rsid w:val="00DE67CC"/>
    <w:rsid w:val="00DE68BD"/>
    <w:rsid w:val="00DE6912"/>
    <w:rsid w:val="00DE7041"/>
    <w:rsid w:val="00DE70F9"/>
    <w:rsid w:val="00DE7286"/>
    <w:rsid w:val="00DE7437"/>
    <w:rsid w:val="00DE76B0"/>
    <w:rsid w:val="00DE7A69"/>
    <w:rsid w:val="00DE7B93"/>
    <w:rsid w:val="00DE7D32"/>
    <w:rsid w:val="00DE7E1E"/>
    <w:rsid w:val="00DF008E"/>
    <w:rsid w:val="00DF06EF"/>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4EC"/>
    <w:rsid w:val="00DF4653"/>
    <w:rsid w:val="00DF4F4E"/>
    <w:rsid w:val="00DF5061"/>
    <w:rsid w:val="00DF50FA"/>
    <w:rsid w:val="00DF58EB"/>
    <w:rsid w:val="00DF5B9B"/>
    <w:rsid w:val="00DF6160"/>
    <w:rsid w:val="00DF64CF"/>
    <w:rsid w:val="00DF6BD0"/>
    <w:rsid w:val="00DF6D83"/>
    <w:rsid w:val="00DF72FA"/>
    <w:rsid w:val="00DF72FC"/>
    <w:rsid w:val="00DF7473"/>
    <w:rsid w:val="00DF780D"/>
    <w:rsid w:val="00DF7A21"/>
    <w:rsid w:val="00DF7A73"/>
    <w:rsid w:val="00DF7D17"/>
    <w:rsid w:val="00DF7F9A"/>
    <w:rsid w:val="00E00084"/>
    <w:rsid w:val="00E00113"/>
    <w:rsid w:val="00E00210"/>
    <w:rsid w:val="00E0026E"/>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497"/>
    <w:rsid w:val="00E07664"/>
    <w:rsid w:val="00E076B8"/>
    <w:rsid w:val="00E1014B"/>
    <w:rsid w:val="00E101DB"/>
    <w:rsid w:val="00E102E2"/>
    <w:rsid w:val="00E10663"/>
    <w:rsid w:val="00E10773"/>
    <w:rsid w:val="00E111A5"/>
    <w:rsid w:val="00E1164B"/>
    <w:rsid w:val="00E118A6"/>
    <w:rsid w:val="00E11968"/>
    <w:rsid w:val="00E12368"/>
    <w:rsid w:val="00E1269E"/>
    <w:rsid w:val="00E1280C"/>
    <w:rsid w:val="00E12BA3"/>
    <w:rsid w:val="00E12DC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204CC"/>
    <w:rsid w:val="00E21660"/>
    <w:rsid w:val="00E21AFF"/>
    <w:rsid w:val="00E21F3B"/>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A5C"/>
    <w:rsid w:val="00E41A7B"/>
    <w:rsid w:val="00E41D4C"/>
    <w:rsid w:val="00E41E2E"/>
    <w:rsid w:val="00E41F3F"/>
    <w:rsid w:val="00E42427"/>
    <w:rsid w:val="00E424BD"/>
    <w:rsid w:val="00E42649"/>
    <w:rsid w:val="00E426D0"/>
    <w:rsid w:val="00E42C26"/>
    <w:rsid w:val="00E42F58"/>
    <w:rsid w:val="00E43037"/>
    <w:rsid w:val="00E4370A"/>
    <w:rsid w:val="00E43723"/>
    <w:rsid w:val="00E43736"/>
    <w:rsid w:val="00E4374C"/>
    <w:rsid w:val="00E43973"/>
    <w:rsid w:val="00E43B4F"/>
    <w:rsid w:val="00E43EE2"/>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50066"/>
    <w:rsid w:val="00E505EA"/>
    <w:rsid w:val="00E506A1"/>
    <w:rsid w:val="00E507C3"/>
    <w:rsid w:val="00E50A0F"/>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889"/>
    <w:rsid w:val="00E558E1"/>
    <w:rsid w:val="00E55994"/>
    <w:rsid w:val="00E56361"/>
    <w:rsid w:val="00E56954"/>
    <w:rsid w:val="00E56BF6"/>
    <w:rsid w:val="00E56EF4"/>
    <w:rsid w:val="00E57308"/>
    <w:rsid w:val="00E5737F"/>
    <w:rsid w:val="00E57545"/>
    <w:rsid w:val="00E576A7"/>
    <w:rsid w:val="00E57AF4"/>
    <w:rsid w:val="00E57B49"/>
    <w:rsid w:val="00E57B7D"/>
    <w:rsid w:val="00E57BB6"/>
    <w:rsid w:val="00E60256"/>
    <w:rsid w:val="00E6029E"/>
    <w:rsid w:val="00E6054D"/>
    <w:rsid w:val="00E609FC"/>
    <w:rsid w:val="00E60F31"/>
    <w:rsid w:val="00E61285"/>
    <w:rsid w:val="00E612DB"/>
    <w:rsid w:val="00E61A5A"/>
    <w:rsid w:val="00E61D04"/>
    <w:rsid w:val="00E61E6E"/>
    <w:rsid w:val="00E61F5C"/>
    <w:rsid w:val="00E622A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507D"/>
    <w:rsid w:val="00E65125"/>
    <w:rsid w:val="00E65523"/>
    <w:rsid w:val="00E6596F"/>
    <w:rsid w:val="00E65BB8"/>
    <w:rsid w:val="00E65D35"/>
    <w:rsid w:val="00E65E35"/>
    <w:rsid w:val="00E66D2C"/>
    <w:rsid w:val="00E66DD0"/>
    <w:rsid w:val="00E6711D"/>
    <w:rsid w:val="00E67561"/>
    <w:rsid w:val="00E67721"/>
    <w:rsid w:val="00E67949"/>
    <w:rsid w:val="00E679C6"/>
    <w:rsid w:val="00E7029B"/>
    <w:rsid w:val="00E703B9"/>
    <w:rsid w:val="00E7049B"/>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F69"/>
    <w:rsid w:val="00E93F78"/>
    <w:rsid w:val="00E94242"/>
    <w:rsid w:val="00E947A6"/>
    <w:rsid w:val="00E94866"/>
    <w:rsid w:val="00E9527F"/>
    <w:rsid w:val="00E95296"/>
    <w:rsid w:val="00E95480"/>
    <w:rsid w:val="00E957CF"/>
    <w:rsid w:val="00E959AA"/>
    <w:rsid w:val="00E96243"/>
    <w:rsid w:val="00E96A74"/>
    <w:rsid w:val="00E96F7A"/>
    <w:rsid w:val="00E972CB"/>
    <w:rsid w:val="00E9733C"/>
    <w:rsid w:val="00E973A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537F"/>
    <w:rsid w:val="00EB58BF"/>
    <w:rsid w:val="00EB5A8A"/>
    <w:rsid w:val="00EB5AC5"/>
    <w:rsid w:val="00EB61FD"/>
    <w:rsid w:val="00EB6201"/>
    <w:rsid w:val="00EB6365"/>
    <w:rsid w:val="00EB6776"/>
    <w:rsid w:val="00EB68C5"/>
    <w:rsid w:val="00EB6F83"/>
    <w:rsid w:val="00EB76DC"/>
    <w:rsid w:val="00EB7741"/>
    <w:rsid w:val="00EB77BC"/>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3068"/>
    <w:rsid w:val="00EC30DE"/>
    <w:rsid w:val="00EC3324"/>
    <w:rsid w:val="00EC3344"/>
    <w:rsid w:val="00EC3571"/>
    <w:rsid w:val="00EC35D1"/>
    <w:rsid w:val="00EC3814"/>
    <w:rsid w:val="00EC3A16"/>
    <w:rsid w:val="00EC3A5B"/>
    <w:rsid w:val="00EC3EFB"/>
    <w:rsid w:val="00EC404D"/>
    <w:rsid w:val="00EC41AE"/>
    <w:rsid w:val="00EC4246"/>
    <w:rsid w:val="00EC4351"/>
    <w:rsid w:val="00EC456F"/>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AAE"/>
    <w:rsid w:val="00EE21B7"/>
    <w:rsid w:val="00EE227C"/>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D39"/>
    <w:rsid w:val="00EE5F84"/>
    <w:rsid w:val="00EE5F8A"/>
    <w:rsid w:val="00EE5FEC"/>
    <w:rsid w:val="00EE64F9"/>
    <w:rsid w:val="00EE6605"/>
    <w:rsid w:val="00EE6806"/>
    <w:rsid w:val="00EE6C1F"/>
    <w:rsid w:val="00EE6FC4"/>
    <w:rsid w:val="00EE7269"/>
    <w:rsid w:val="00EE72D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498"/>
    <w:rsid w:val="00EF64C7"/>
    <w:rsid w:val="00EF6EAC"/>
    <w:rsid w:val="00EF6F59"/>
    <w:rsid w:val="00EF6FF5"/>
    <w:rsid w:val="00EF75D7"/>
    <w:rsid w:val="00EF79AB"/>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AD9"/>
    <w:rsid w:val="00F040CE"/>
    <w:rsid w:val="00F04275"/>
    <w:rsid w:val="00F0483D"/>
    <w:rsid w:val="00F05235"/>
    <w:rsid w:val="00F058A4"/>
    <w:rsid w:val="00F05BFE"/>
    <w:rsid w:val="00F05F8F"/>
    <w:rsid w:val="00F0628C"/>
    <w:rsid w:val="00F0655A"/>
    <w:rsid w:val="00F0657A"/>
    <w:rsid w:val="00F0673B"/>
    <w:rsid w:val="00F069F7"/>
    <w:rsid w:val="00F06A09"/>
    <w:rsid w:val="00F06AAF"/>
    <w:rsid w:val="00F06DD5"/>
    <w:rsid w:val="00F06F50"/>
    <w:rsid w:val="00F0707A"/>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BD0"/>
    <w:rsid w:val="00F15E3F"/>
    <w:rsid w:val="00F16012"/>
    <w:rsid w:val="00F16832"/>
    <w:rsid w:val="00F16A6E"/>
    <w:rsid w:val="00F1768E"/>
    <w:rsid w:val="00F176D2"/>
    <w:rsid w:val="00F178F3"/>
    <w:rsid w:val="00F20117"/>
    <w:rsid w:val="00F20653"/>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832"/>
    <w:rsid w:val="00F31974"/>
    <w:rsid w:val="00F31B33"/>
    <w:rsid w:val="00F31C2A"/>
    <w:rsid w:val="00F31E41"/>
    <w:rsid w:val="00F31E86"/>
    <w:rsid w:val="00F32286"/>
    <w:rsid w:val="00F32423"/>
    <w:rsid w:val="00F32EA0"/>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E75"/>
    <w:rsid w:val="00F3763A"/>
    <w:rsid w:val="00F37C34"/>
    <w:rsid w:val="00F37DA7"/>
    <w:rsid w:val="00F37FBF"/>
    <w:rsid w:val="00F40690"/>
    <w:rsid w:val="00F40CEE"/>
    <w:rsid w:val="00F40E23"/>
    <w:rsid w:val="00F40F4B"/>
    <w:rsid w:val="00F4158C"/>
    <w:rsid w:val="00F41846"/>
    <w:rsid w:val="00F418B8"/>
    <w:rsid w:val="00F41AB2"/>
    <w:rsid w:val="00F41B3C"/>
    <w:rsid w:val="00F41E08"/>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CE1"/>
    <w:rsid w:val="00F53D6B"/>
    <w:rsid w:val="00F54580"/>
    <w:rsid w:val="00F549CF"/>
    <w:rsid w:val="00F54F92"/>
    <w:rsid w:val="00F550D7"/>
    <w:rsid w:val="00F553B8"/>
    <w:rsid w:val="00F55B46"/>
    <w:rsid w:val="00F55D13"/>
    <w:rsid w:val="00F55DA1"/>
    <w:rsid w:val="00F5610D"/>
    <w:rsid w:val="00F5622F"/>
    <w:rsid w:val="00F563FD"/>
    <w:rsid w:val="00F566E9"/>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1379"/>
    <w:rsid w:val="00F71486"/>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6BC"/>
    <w:rsid w:val="00F826E5"/>
    <w:rsid w:val="00F8273B"/>
    <w:rsid w:val="00F82D37"/>
    <w:rsid w:val="00F82F26"/>
    <w:rsid w:val="00F839A3"/>
    <w:rsid w:val="00F83A4A"/>
    <w:rsid w:val="00F83BD1"/>
    <w:rsid w:val="00F83F3C"/>
    <w:rsid w:val="00F841D2"/>
    <w:rsid w:val="00F84648"/>
    <w:rsid w:val="00F846BA"/>
    <w:rsid w:val="00F8487D"/>
    <w:rsid w:val="00F848AF"/>
    <w:rsid w:val="00F84FCB"/>
    <w:rsid w:val="00F8513B"/>
    <w:rsid w:val="00F85258"/>
    <w:rsid w:val="00F853F7"/>
    <w:rsid w:val="00F8541D"/>
    <w:rsid w:val="00F855DA"/>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B25"/>
    <w:rsid w:val="00FA4D14"/>
    <w:rsid w:val="00FA4F73"/>
    <w:rsid w:val="00FA503D"/>
    <w:rsid w:val="00FA5497"/>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B5"/>
    <w:rsid w:val="00FC4647"/>
    <w:rsid w:val="00FC4779"/>
    <w:rsid w:val="00FC47A4"/>
    <w:rsid w:val="00FC4886"/>
    <w:rsid w:val="00FC48B8"/>
    <w:rsid w:val="00FC48C2"/>
    <w:rsid w:val="00FC4A26"/>
    <w:rsid w:val="00FC5115"/>
    <w:rsid w:val="00FC5397"/>
    <w:rsid w:val="00FC585F"/>
    <w:rsid w:val="00FC59E5"/>
    <w:rsid w:val="00FC5CB0"/>
    <w:rsid w:val="00FC5E2E"/>
    <w:rsid w:val="00FC601C"/>
    <w:rsid w:val="00FC6365"/>
    <w:rsid w:val="00FC63E6"/>
    <w:rsid w:val="00FC6760"/>
    <w:rsid w:val="00FC691E"/>
    <w:rsid w:val="00FC6C56"/>
    <w:rsid w:val="00FC7641"/>
    <w:rsid w:val="00FC779A"/>
    <w:rsid w:val="00FC7859"/>
    <w:rsid w:val="00FC7F44"/>
    <w:rsid w:val="00FD0230"/>
    <w:rsid w:val="00FD03EC"/>
    <w:rsid w:val="00FD0507"/>
    <w:rsid w:val="00FD06B2"/>
    <w:rsid w:val="00FD07E0"/>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B5E"/>
    <w:rsid w:val="00FD2DA9"/>
    <w:rsid w:val="00FD307D"/>
    <w:rsid w:val="00FD3095"/>
    <w:rsid w:val="00FD3252"/>
    <w:rsid w:val="00FD353F"/>
    <w:rsid w:val="00FD3CCA"/>
    <w:rsid w:val="00FD3E9B"/>
    <w:rsid w:val="00FD4048"/>
    <w:rsid w:val="00FD458C"/>
    <w:rsid w:val="00FD45EA"/>
    <w:rsid w:val="00FD46D2"/>
    <w:rsid w:val="00FD4B35"/>
    <w:rsid w:val="00FD4C31"/>
    <w:rsid w:val="00FD4E4C"/>
    <w:rsid w:val="00FD4E57"/>
    <w:rsid w:val="00FD4F5D"/>
    <w:rsid w:val="00FD58CB"/>
    <w:rsid w:val="00FD5A9A"/>
    <w:rsid w:val="00FD5ACF"/>
    <w:rsid w:val="00FD5C34"/>
    <w:rsid w:val="00FD614F"/>
    <w:rsid w:val="00FD6256"/>
    <w:rsid w:val="00FD66AE"/>
    <w:rsid w:val="00FD6DF1"/>
    <w:rsid w:val="00FD6F01"/>
    <w:rsid w:val="00FD7373"/>
    <w:rsid w:val="00FD7697"/>
    <w:rsid w:val="00FD76E2"/>
    <w:rsid w:val="00FD7FA6"/>
    <w:rsid w:val="00FD7FD5"/>
    <w:rsid w:val="00FE0066"/>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4AC9"/>
    <w:rsid w:val="00FE5033"/>
    <w:rsid w:val="00FE5044"/>
    <w:rsid w:val="00FE51EC"/>
    <w:rsid w:val="00FE5374"/>
    <w:rsid w:val="00FE58A0"/>
    <w:rsid w:val="00FE5AF9"/>
    <w:rsid w:val="00FE5DD9"/>
    <w:rsid w:val="00FE5EAB"/>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DB8"/>
    <w:rsid w:val="00FF109E"/>
    <w:rsid w:val="00FF1CA9"/>
    <w:rsid w:val="00FF1CEC"/>
    <w:rsid w:val="00FF1E45"/>
    <w:rsid w:val="00FF2571"/>
    <w:rsid w:val="00FF269C"/>
    <w:rsid w:val="00FF29C4"/>
    <w:rsid w:val="00FF29FF"/>
    <w:rsid w:val="00FF2AB0"/>
    <w:rsid w:val="00FF2B0D"/>
    <w:rsid w:val="00FF2C15"/>
    <w:rsid w:val="00FF2CA2"/>
    <w:rsid w:val="00FF2EE6"/>
    <w:rsid w:val="00FF380B"/>
    <w:rsid w:val="00FF3C7F"/>
    <w:rsid w:val="00FF454F"/>
    <w:rsid w:val="00FF461C"/>
    <w:rsid w:val="00FF4681"/>
    <w:rsid w:val="00FF5386"/>
    <w:rsid w:val="00FF5510"/>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BE551-AD19-4208-9EE7-FDA7C5D6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2555</Words>
  <Characters>14056</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29</cp:revision>
  <cp:lastPrinted>2021-01-04T16:37:00Z</cp:lastPrinted>
  <dcterms:created xsi:type="dcterms:W3CDTF">2021-07-03T22:19:00Z</dcterms:created>
  <dcterms:modified xsi:type="dcterms:W3CDTF">2021-07-05T10:16:00Z</dcterms:modified>
</cp:coreProperties>
</file>