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6B" w:rsidRDefault="00647198" w:rsidP="0032191A">
      <w:pPr>
        <w:pStyle w:val="NormalWeb"/>
        <w:spacing w:before="0" w:beforeAutospacing="0" w:after="0" w:afterAutospacing="0"/>
        <w:jc w:val="center"/>
        <w:rPr>
          <w:b/>
          <w:bCs/>
        </w:rPr>
      </w:pPr>
      <w:r>
        <w:rPr>
          <w:b/>
          <w:bCs/>
        </w:rPr>
        <w:tab/>
      </w:r>
    </w:p>
    <w:p w:rsidR="0097276B" w:rsidRDefault="0097276B" w:rsidP="0032191A">
      <w:pPr>
        <w:pStyle w:val="NormalWeb"/>
        <w:spacing w:before="0" w:beforeAutospacing="0" w:after="0" w:afterAutospacing="0"/>
        <w:jc w:val="center"/>
        <w:rPr>
          <w:b/>
          <w:bCs/>
        </w:rPr>
      </w:pP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3120"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pic:spPr>
                </pic:pic>
              </a:graphicData>
            </a:graphic>
          </wp:anchor>
        </w:drawing>
      </w: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4144"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pic:spPr>
                </pic:pic>
              </a:graphicData>
            </a:graphic>
          </wp:anchor>
        </w:drawing>
      </w:r>
    </w:p>
    <w:p w:rsidR="0097276B" w:rsidRDefault="0097276B" w:rsidP="0032191A">
      <w:pPr>
        <w:pStyle w:val="NormalWeb"/>
        <w:spacing w:before="0" w:beforeAutospacing="0" w:after="0" w:afterAutospacing="0"/>
        <w:jc w:val="center"/>
        <w:rPr>
          <w:b/>
          <w:bCs/>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553B3E" w:rsidRDefault="00553B3E" w:rsidP="0032191A">
      <w:pPr>
        <w:pStyle w:val="NormalWeb"/>
        <w:spacing w:before="0" w:beforeAutospacing="0" w:after="0" w:afterAutospacing="0"/>
        <w:jc w:val="center"/>
        <w:rPr>
          <w:b/>
          <w:bCs/>
          <w:sz w:val="14"/>
          <w:szCs w:val="14"/>
        </w:rPr>
      </w:pPr>
    </w:p>
    <w:p w:rsidR="00A27CE8" w:rsidRDefault="00A27CE8" w:rsidP="0032191A">
      <w:pPr>
        <w:pStyle w:val="NormalWeb"/>
        <w:spacing w:before="0" w:beforeAutospacing="0" w:after="0" w:afterAutospacing="0"/>
        <w:jc w:val="center"/>
        <w:rPr>
          <w:b/>
          <w:bCs/>
          <w:sz w:val="14"/>
          <w:szCs w:val="14"/>
        </w:rPr>
      </w:pPr>
    </w:p>
    <w:p w:rsidR="0097276B" w:rsidRPr="00975348" w:rsidRDefault="00B639E9" w:rsidP="003A4060">
      <w:pPr>
        <w:pStyle w:val="NormalWeb"/>
        <w:spacing w:before="0" w:beforeAutospacing="0" w:after="0" w:afterAutospacing="0"/>
        <w:jc w:val="center"/>
        <w:rPr>
          <w:b/>
          <w:bCs/>
          <w:sz w:val="32"/>
          <w:szCs w:val="32"/>
        </w:rPr>
      </w:pPr>
      <w:r>
        <w:rPr>
          <w:b/>
          <w:bCs/>
          <w:sz w:val="32"/>
          <w:szCs w:val="32"/>
        </w:rPr>
        <w:t>Point</w:t>
      </w:r>
      <w:r w:rsidR="003A4060" w:rsidRPr="00975348">
        <w:rPr>
          <w:b/>
          <w:bCs/>
          <w:sz w:val="32"/>
          <w:szCs w:val="32"/>
        </w:rPr>
        <w:t xml:space="preserve"> de</w:t>
      </w:r>
      <w:r w:rsidR="0097276B" w:rsidRPr="00975348">
        <w:rPr>
          <w:b/>
          <w:bCs/>
          <w:sz w:val="32"/>
          <w:szCs w:val="32"/>
        </w:rPr>
        <w:t xml:space="preserve"> conjoncture </w:t>
      </w:r>
    </w:p>
    <w:p w:rsidR="0097276B" w:rsidRDefault="0097276B" w:rsidP="00B639E9">
      <w:pPr>
        <w:pStyle w:val="NormalWeb"/>
        <w:spacing w:before="0" w:beforeAutospacing="0" w:after="0" w:afterAutospacing="0"/>
        <w:jc w:val="center"/>
        <w:rPr>
          <w:b/>
          <w:bCs/>
        </w:rPr>
      </w:pPr>
      <w:r>
        <w:rPr>
          <w:b/>
          <w:bCs/>
        </w:rPr>
        <w:t xml:space="preserve">- </w:t>
      </w:r>
      <w:r w:rsidR="00B639E9">
        <w:rPr>
          <w:b/>
          <w:bCs/>
        </w:rPr>
        <w:t>Juillet</w:t>
      </w:r>
      <w:r w:rsidR="00CD72FE">
        <w:rPr>
          <w:b/>
          <w:bCs/>
        </w:rPr>
        <w:t xml:space="preserve"> </w:t>
      </w:r>
      <w:r w:rsidRPr="00E82E2E">
        <w:rPr>
          <w:b/>
          <w:bCs/>
        </w:rPr>
        <w:t>201</w:t>
      </w:r>
      <w:r w:rsidR="00DE061D">
        <w:rPr>
          <w:b/>
          <w:bCs/>
        </w:rPr>
        <w:t>8</w:t>
      </w:r>
      <w:r w:rsidR="00084E9D">
        <w:rPr>
          <w:b/>
          <w:bCs/>
        </w:rPr>
        <w:t>–</w:t>
      </w:r>
    </w:p>
    <w:p w:rsidR="00084E9D" w:rsidRPr="00084E9D" w:rsidRDefault="00084E9D" w:rsidP="0032191A">
      <w:pPr>
        <w:pStyle w:val="NormalWeb"/>
        <w:spacing w:before="0" w:beforeAutospacing="0" w:after="0" w:afterAutospacing="0"/>
        <w:jc w:val="center"/>
        <w:rPr>
          <w:b/>
          <w:bCs/>
          <w:sz w:val="8"/>
          <w:szCs w:val="8"/>
        </w:rPr>
      </w:pPr>
    </w:p>
    <w:p w:rsidR="00830520" w:rsidRPr="00A83B15" w:rsidRDefault="00830520" w:rsidP="00F01604">
      <w:pPr>
        <w:pStyle w:val="NormalWeb"/>
        <w:spacing w:before="0" w:beforeAutospacing="0" w:after="0" w:afterAutospacing="0"/>
        <w:jc w:val="both"/>
        <w:rPr>
          <w:rFonts w:ascii="Arial" w:hAnsi="Arial" w:cs="Arial"/>
          <w:sz w:val="16"/>
          <w:szCs w:val="16"/>
        </w:rPr>
      </w:pPr>
    </w:p>
    <w:p w:rsidR="00A27CE8" w:rsidRPr="00A83B15" w:rsidRDefault="00D01A76" w:rsidP="00F01604">
      <w:pPr>
        <w:pStyle w:val="NormalWeb"/>
        <w:spacing w:before="0" w:beforeAutospacing="0" w:after="0" w:afterAutospacing="0"/>
        <w:jc w:val="both"/>
        <w:rPr>
          <w:rFonts w:ascii="Arial" w:hAnsi="Arial" w:cs="Arial"/>
          <w:sz w:val="16"/>
          <w:szCs w:val="16"/>
        </w:rPr>
      </w:pPr>
      <w:r>
        <w:rPr>
          <w:rFonts w:ascii="Arial" w:hAnsi="Arial" w:cs="Arial"/>
          <w:sz w:val="16"/>
          <w:szCs w:val="16"/>
        </w:rPr>
        <w:t xml:space="preserve">       </w:t>
      </w:r>
    </w:p>
    <w:p w:rsidR="00FA5B77" w:rsidRDefault="00FA5B77" w:rsidP="00FA5B77">
      <w:pPr>
        <w:pStyle w:val="NormalWeb"/>
        <w:spacing w:before="0" w:beforeAutospacing="0" w:after="0" w:afterAutospacing="0"/>
        <w:jc w:val="both"/>
        <w:rPr>
          <w:rFonts w:ascii="Arial" w:hAnsi="Arial" w:cs="Arial"/>
          <w:sz w:val="20"/>
          <w:szCs w:val="20"/>
        </w:rPr>
      </w:pPr>
      <w:r>
        <w:rPr>
          <w:rFonts w:ascii="Arial" w:hAnsi="Arial" w:cs="Arial"/>
          <w:sz w:val="20"/>
          <w:szCs w:val="20"/>
        </w:rPr>
        <w:t>L’activité économique nationale aurait progressé de 3%, au deuxième trimestre 2018, soit le même niveau prévu au mois d’avril 2018, au lieu de +3,2% un trimestre auparavant, dans un contexte de hausse de 3,1% de la valeur ajoutée agricole. Hors agriculture, l’activité aurait</w:t>
      </w:r>
      <w:r w:rsidRPr="00DB7C3F">
        <w:rPr>
          <w:rFonts w:ascii="Arial" w:hAnsi="Arial" w:cs="Arial"/>
          <w:sz w:val="20"/>
          <w:szCs w:val="20"/>
        </w:rPr>
        <w:t xml:space="preserve"> </w:t>
      </w:r>
      <w:r>
        <w:rPr>
          <w:rFonts w:ascii="Arial" w:hAnsi="Arial" w:cs="Arial"/>
          <w:sz w:val="20"/>
          <w:szCs w:val="20"/>
        </w:rPr>
        <w:t>légèrement ralenti, affichant un accroissement de 3%, au lieu de 3,3% au trimestre précédent, pénalisée notamment par la décélération de la valeur ajoutée minière. Au troisième trimestre 2018, la croissance du PIB non-agricole se poursuivrait au rythme de 3,3%, en variation annuelle. Avec une hausse anticipée de 2,6% de la valeur ajoutée agricole, la croissance de l’économie nationale s’établirait à +3,2%, au lieu de +3,9% au troisième trimestre 2017.</w:t>
      </w:r>
    </w:p>
    <w:p w:rsidR="000A6476" w:rsidRDefault="000A6476" w:rsidP="00C13BF6">
      <w:pPr>
        <w:jc w:val="both"/>
        <w:rPr>
          <w:rFonts w:ascii="Arial" w:hAnsi="Arial" w:cs="Arial"/>
          <w:sz w:val="20"/>
          <w:szCs w:val="20"/>
        </w:rPr>
      </w:pPr>
    </w:p>
    <w:p w:rsidR="0031709A" w:rsidRPr="00F337D7" w:rsidRDefault="0021194C" w:rsidP="00520E00">
      <w:pPr>
        <w:autoSpaceDE w:val="0"/>
        <w:autoSpaceDN w:val="0"/>
        <w:adjustRightInd w:val="0"/>
        <w:jc w:val="both"/>
        <w:rPr>
          <w:rFonts w:ascii="Arial" w:hAnsi="Arial" w:cs="Arial"/>
          <w:b/>
          <w:bCs/>
          <w:color w:val="800000"/>
          <w:kern w:val="28"/>
          <w:sz w:val="20"/>
          <w:szCs w:val="20"/>
        </w:rPr>
      </w:pPr>
      <w:r>
        <w:rPr>
          <w:rFonts w:ascii="Arial" w:hAnsi="Arial" w:cs="Arial"/>
          <w:b/>
          <w:bCs/>
          <w:color w:val="800000"/>
          <w:kern w:val="28"/>
          <w:sz w:val="20"/>
          <w:szCs w:val="20"/>
        </w:rPr>
        <w:t xml:space="preserve">Léger ralentissement du rythme </w:t>
      </w:r>
      <w:r w:rsidR="00520E00">
        <w:rPr>
          <w:rFonts w:ascii="Arial" w:hAnsi="Arial" w:cs="Arial"/>
          <w:b/>
          <w:bCs/>
          <w:color w:val="800000"/>
          <w:kern w:val="28"/>
          <w:sz w:val="20"/>
          <w:szCs w:val="20"/>
        </w:rPr>
        <w:t xml:space="preserve">de croissance </w:t>
      </w:r>
      <w:r w:rsidR="0031709A">
        <w:rPr>
          <w:rFonts w:ascii="Arial" w:hAnsi="Arial" w:cs="Arial"/>
          <w:b/>
          <w:bCs/>
          <w:color w:val="800000"/>
          <w:kern w:val="28"/>
          <w:sz w:val="20"/>
          <w:szCs w:val="20"/>
        </w:rPr>
        <w:t>économique</w:t>
      </w:r>
      <w:r w:rsidR="0031709A" w:rsidRPr="00F337D7">
        <w:rPr>
          <w:rFonts w:ascii="Arial" w:hAnsi="Arial" w:cs="Arial"/>
          <w:b/>
          <w:bCs/>
          <w:color w:val="800000"/>
          <w:kern w:val="28"/>
          <w:sz w:val="20"/>
          <w:szCs w:val="20"/>
        </w:rPr>
        <w:t xml:space="preserve"> mo</w:t>
      </w:r>
      <w:r w:rsidR="0031709A">
        <w:rPr>
          <w:rFonts w:ascii="Arial" w:hAnsi="Arial" w:cs="Arial"/>
          <w:b/>
          <w:bCs/>
          <w:color w:val="800000"/>
          <w:kern w:val="28"/>
          <w:sz w:val="20"/>
          <w:szCs w:val="20"/>
        </w:rPr>
        <w:t>ndiale au deuxième trimestre 2018</w:t>
      </w:r>
    </w:p>
    <w:p w:rsidR="0031709A" w:rsidRPr="003F4D95" w:rsidRDefault="0031709A" w:rsidP="0031709A">
      <w:pPr>
        <w:jc w:val="both"/>
        <w:rPr>
          <w:rFonts w:ascii="Arial" w:hAnsi="Arial" w:cs="Arial"/>
          <w:sz w:val="20"/>
          <w:szCs w:val="20"/>
        </w:rPr>
      </w:pPr>
    </w:p>
    <w:p w:rsidR="0031709A" w:rsidRDefault="0031709A" w:rsidP="00FA6242">
      <w:pPr>
        <w:jc w:val="both"/>
        <w:rPr>
          <w:rFonts w:ascii="Arial" w:hAnsi="Arial" w:cs="Arial"/>
          <w:sz w:val="20"/>
          <w:szCs w:val="20"/>
        </w:rPr>
      </w:pPr>
      <w:r w:rsidRPr="00F32D9D">
        <w:rPr>
          <w:rFonts w:ascii="Arial" w:hAnsi="Arial" w:cs="Arial"/>
          <w:sz w:val="20"/>
          <w:szCs w:val="20"/>
        </w:rPr>
        <w:t xml:space="preserve">L’économie des </w:t>
      </w:r>
      <w:r w:rsidRPr="00FE4B3B">
        <w:rPr>
          <w:rFonts w:ascii="Arial" w:hAnsi="Arial" w:cs="Arial"/>
          <w:b/>
          <w:bCs/>
          <w:sz w:val="20"/>
          <w:szCs w:val="20"/>
        </w:rPr>
        <w:t>pays avancés</w:t>
      </w:r>
      <w:r w:rsidRPr="00F32D9D">
        <w:rPr>
          <w:rFonts w:ascii="Arial" w:hAnsi="Arial" w:cs="Arial"/>
          <w:sz w:val="20"/>
          <w:szCs w:val="20"/>
        </w:rPr>
        <w:t xml:space="preserve"> aurait continué à </w:t>
      </w:r>
      <w:r>
        <w:rPr>
          <w:rFonts w:ascii="Arial" w:hAnsi="Arial" w:cs="Arial"/>
          <w:sz w:val="20"/>
          <w:szCs w:val="20"/>
        </w:rPr>
        <w:t>s'améliorer</w:t>
      </w:r>
      <w:r w:rsidRPr="00F32D9D">
        <w:rPr>
          <w:rFonts w:ascii="Arial" w:hAnsi="Arial" w:cs="Arial"/>
          <w:sz w:val="20"/>
          <w:szCs w:val="20"/>
        </w:rPr>
        <w:t xml:space="preserve"> au cours du </w:t>
      </w:r>
      <w:r>
        <w:rPr>
          <w:rFonts w:ascii="Arial" w:hAnsi="Arial" w:cs="Arial"/>
          <w:sz w:val="20"/>
          <w:szCs w:val="20"/>
        </w:rPr>
        <w:t xml:space="preserve">deuxième trimestre 2018, mais à un rythme moins soutenu qu'en 2017. Ce léger ralentissement intervient dans un contexte marqué par la remontée de l'inflation, </w:t>
      </w:r>
      <w:r w:rsidR="007D1EBF">
        <w:rPr>
          <w:rFonts w:ascii="Arial" w:hAnsi="Arial" w:cs="Arial"/>
          <w:sz w:val="20"/>
          <w:szCs w:val="20"/>
        </w:rPr>
        <w:t>l’accentuation d</w:t>
      </w:r>
      <w:r>
        <w:rPr>
          <w:rFonts w:ascii="Arial" w:hAnsi="Arial" w:cs="Arial"/>
          <w:sz w:val="20"/>
          <w:szCs w:val="20"/>
        </w:rPr>
        <w:t xml:space="preserve">es tensions protectionnistes depuis les Etats-Unis et le resserrement de la politique monétaire de la FED. </w:t>
      </w:r>
      <w:r w:rsidRPr="00D71405">
        <w:rPr>
          <w:rFonts w:ascii="Arial" w:hAnsi="Arial" w:cs="Arial"/>
          <w:sz w:val="20"/>
          <w:szCs w:val="20"/>
        </w:rPr>
        <w:t xml:space="preserve">En zone euro, l’activité </w:t>
      </w:r>
      <w:r>
        <w:rPr>
          <w:rFonts w:ascii="Arial" w:hAnsi="Arial" w:cs="Arial"/>
          <w:sz w:val="20"/>
          <w:szCs w:val="20"/>
        </w:rPr>
        <w:t>n'aurait progressé</w:t>
      </w:r>
      <w:r w:rsidR="00CD72FE">
        <w:rPr>
          <w:rFonts w:ascii="Arial" w:hAnsi="Arial" w:cs="Arial"/>
          <w:sz w:val="20"/>
          <w:szCs w:val="20"/>
        </w:rPr>
        <w:t xml:space="preserve"> </w:t>
      </w:r>
      <w:r>
        <w:rPr>
          <w:rFonts w:ascii="Arial" w:hAnsi="Arial" w:cs="Arial"/>
          <w:sz w:val="20"/>
          <w:szCs w:val="20"/>
        </w:rPr>
        <w:t xml:space="preserve">que </w:t>
      </w:r>
      <w:r w:rsidRPr="00D71405">
        <w:rPr>
          <w:rFonts w:ascii="Arial" w:hAnsi="Arial" w:cs="Arial"/>
          <w:sz w:val="20"/>
          <w:szCs w:val="20"/>
        </w:rPr>
        <w:t xml:space="preserve">de </w:t>
      </w:r>
      <w:r>
        <w:rPr>
          <w:rFonts w:ascii="Arial" w:hAnsi="Arial" w:cs="Arial"/>
          <w:sz w:val="20"/>
          <w:szCs w:val="20"/>
        </w:rPr>
        <w:t>1,6</w:t>
      </w:r>
      <w:r w:rsidRPr="00D71405">
        <w:rPr>
          <w:rFonts w:ascii="Arial" w:hAnsi="Arial" w:cs="Arial"/>
          <w:sz w:val="20"/>
          <w:szCs w:val="20"/>
        </w:rPr>
        <w:t>%</w:t>
      </w:r>
      <w:r>
        <w:rPr>
          <w:rFonts w:ascii="Arial" w:hAnsi="Arial" w:cs="Arial"/>
          <w:sz w:val="20"/>
          <w:szCs w:val="20"/>
        </w:rPr>
        <w:t xml:space="preserve"> en rythme annualisé</w:t>
      </w:r>
      <w:r w:rsidRPr="00D71405">
        <w:rPr>
          <w:rFonts w:ascii="Arial" w:hAnsi="Arial" w:cs="Arial"/>
          <w:sz w:val="20"/>
          <w:szCs w:val="20"/>
        </w:rPr>
        <w:t xml:space="preserve">, </w:t>
      </w:r>
      <w:r>
        <w:rPr>
          <w:rFonts w:ascii="Arial" w:hAnsi="Arial" w:cs="Arial"/>
          <w:sz w:val="20"/>
          <w:szCs w:val="20"/>
        </w:rPr>
        <w:t xml:space="preserve">au lieu de 2,8% un an plus tôt. La croissance américaine </w:t>
      </w:r>
      <w:r w:rsidR="007D1EBF">
        <w:rPr>
          <w:rFonts w:ascii="Arial" w:hAnsi="Arial" w:cs="Arial"/>
          <w:sz w:val="20"/>
          <w:szCs w:val="20"/>
        </w:rPr>
        <w:t>aurait</w:t>
      </w:r>
      <w:r w:rsidR="0021194C">
        <w:rPr>
          <w:rFonts w:ascii="Arial" w:hAnsi="Arial" w:cs="Arial"/>
          <w:sz w:val="20"/>
          <w:szCs w:val="20"/>
        </w:rPr>
        <w:t>, en revanche,</w:t>
      </w:r>
      <w:r w:rsidR="007D1EBF">
        <w:rPr>
          <w:rFonts w:ascii="Arial" w:hAnsi="Arial" w:cs="Arial"/>
          <w:sz w:val="20"/>
          <w:szCs w:val="20"/>
        </w:rPr>
        <w:t xml:space="preserve"> atteint </w:t>
      </w:r>
      <w:r>
        <w:rPr>
          <w:rFonts w:ascii="Arial" w:hAnsi="Arial" w:cs="Arial"/>
          <w:sz w:val="20"/>
          <w:szCs w:val="20"/>
        </w:rPr>
        <w:t xml:space="preserve">2,8%, </w:t>
      </w:r>
      <w:r w:rsidR="007D1EBF">
        <w:rPr>
          <w:rFonts w:ascii="Arial" w:hAnsi="Arial" w:cs="Arial"/>
          <w:sz w:val="20"/>
          <w:szCs w:val="20"/>
        </w:rPr>
        <w:t>profitant</w:t>
      </w:r>
      <w:r>
        <w:rPr>
          <w:rFonts w:ascii="Arial" w:hAnsi="Arial" w:cs="Arial"/>
          <w:sz w:val="20"/>
          <w:szCs w:val="20"/>
        </w:rPr>
        <w:t xml:space="preserve"> du soutien d'une politique budgétaire expansionniste et d'allégements fiscaux accordés aux entreprises et aux ménages, </w:t>
      </w:r>
      <w:r w:rsidR="007D1EBF">
        <w:rPr>
          <w:rFonts w:ascii="Arial" w:hAnsi="Arial" w:cs="Arial"/>
          <w:sz w:val="20"/>
          <w:szCs w:val="20"/>
        </w:rPr>
        <w:t>en faveur de</w:t>
      </w:r>
      <w:r>
        <w:rPr>
          <w:rFonts w:ascii="Arial" w:hAnsi="Arial" w:cs="Arial"/>
          <w:sz w:val="20"/>
          <w:szCs w:val="20"/>
        </w:rPr>
        <w:t xml:space="preserve"> l'investissement et </w:t>
      </w:r>
      <w:r w:rsidR="007D1EBF">
        <w:rPr>
          <w:rFonts w:ascii="Arial" w:hAnsi="Arial" w:cs="Arial"/>
          <w:sz w:val="20"/>
          <w:szCs w:val="20"/>
        </w:rPr>
        <w:t xml:space="preserve">de </w:t>
      </w:r>
      <w:r>
        <w:rPr>
          <w:rFonts w:ascii="Arial" w:hAnsi="Arial" w:cs="Arial"/>
          <w:sz w:val="20"/>
          <w:szCs w:val="20"/>
        </w:rPr>
        <w:t>la consommation privés.</w:t>
      </w:r>
    </w:p>
    <w:p w:rsidR="0031709A" w:rsidRDefault="0031709A" w:rsidP="0031709A">
      <w:pPr>
        <w:jc w:val="both"/>
        <w:rPr>
          <w:rFonts w:ascii="Arial" w:hAnsi="Arial" w:cs="Arial"/>
          <w:sz w:val="20"/>
          <w:szCs w:val="20"/>
        </w:rPr>
      </w:pPr>
    </w:p>
    <w:p w:rsidR="0031709A" w:rsidRDefault="0031709A" w:rsidP="00FA6242">
      <w:pPr>
        <w:jc w:val="both"/>
        <w:rPr>
          <w:rFonts w:ascii="Arial" w:hAnsi="Arial" w:cs="Arial"/>
          <w:sz w:val="20"/>
          <w:szCs w:val="20"/>
        </w:rPr>
      </w:pPr>
      <w:r>
        <w:rPr>
          <w:rFonts w:ascii="Arial" w:hAnsi="Arial" w:cs="Arial"/>
          <w:sz w:val="20"/>
          <w:szCs w:val="20"/>
        </w:rPr>
        <w:t>Dans l</w:t>
      </w:r>
      <w:r w:rsidRPr="00D71405">
        <w:rPr>
          <w:rFonts w:ascii="Arial" w:hAnsi="Arial" w:cs="Arial"/>
          <w:sz w:val="20"/>
          <w:szCs w:val="20"/>
        </w:rPr>
        <w:t>es pays émergents</w:t>
      </w:r>
      <w:r>
        <w:rPr>
          <w:rFonts w:ascii="Arial" w:hAnsi="Arial" w:cs="Arial"/>
          <w:sz w:val="20"/>
          <w:szCs w:val="20"/>
        </w:rPr>
        <w:t>, la croissance serait restée relativement robuste</w:t>
      </w:r>
      <w:r w:rsidRPr="00D71405">
        <w:rPr>
          <w:rFonts w:ascii="Arial" w:hAnsi="Arial" w:cs="Arial"/>
          <w:sz w:val="20"/>
          <w:szCs w:val="20"/>
        </w:rPr>
        <w:t xml:space="preserve">. </w:t>
      </w:r>
      <w:r>
        <w:rPr>
          <w:rFonts w:ascii="Arial" w:hAnsi="Arial" w:cs="Arial"/>
          <w:sz w:val="20"/>
          <w:szCs w:val="20"/>
        </w:rPr>
        <w:t>Après deux années de récession, les économies r</w:t>
      </w:r>
      <w:r w:rsidRPr="00D71405">
        <w:rPr>
          <w:rFonts w:ascii="Arial" w:hAnsi="Arial" w:cs="Arial"/>
          <w:sz w:val="20"/>
          <w:szCs w:val="20"/>
        </w:rPr>
        <w:t xml:space="preserve">usse et </w:t>
      </w:r>
      <w:r>
        <w:rPr>
          <w:rFonts w:ascii="Arial" w:hAnsi="Arial" w:cs="Arial"/>
          <w:sz w:val="20"/>
          <w:szCs w:val="20"/>
        </w:rPr>
        <w:t>brésilienne auraient profité</w:t>
      </w:r>
      <w:r w:rsidR="00F70270">
        <w:rPr>
          <w:rFonts w:ascii="Arial" w:hAnsi="Arial" w:cs="Arial"/>
          <w:sz w:val="20"/>
          <w:szCs w:val="20"/>
        </w:rPr>
        <w:t xml:space="preserve"> </w:t>
      </w:r>
      <w:r>
        <w:rPr>
          <w:rFonts w:ascii="Arial" w:hAnsi="Arial" w:cs="Arial"/>
          <w:sz w:val="20"/>
          <w:szCs w:val="20"/>
        </w:rPr>
        <w:t xml:space="preserve">de la reprise de la production industrielle et extractive, de la </w:t>
      </w:r>
      <w:r w:rsidR="00FA6242">
        <w:rPr>
          <w:rFonts w:ascii="Arial" w:hAnsi="Arial" w:cs="Arial"/>
          <w:sz w:val="20"/>
          <w:szCs w:val="20"/>
        </w:rPr>
        <w:t>modération</w:t>
      </w:r>
      <w:r w:rsidRPr="00D71405">
        <w:rPr>
          <w:rFonts w:ascii="Arial" w:hAnsi="Arial" w:cs="Arial"/>
          <w:sz w:val="20"/>
          <w:szCs w:val="20"/>
        </w:rPr>
        <w:t xml:space="preserve"> de l'inflation et </w:t>
      </w:r>
      <w:r>
        <w:rPr>
          <w:rFonts w:ascii="Arial" w:hAnsi="Arial" w:cs="Arial"/>
          <w:sz w:val="20"/>
          <w:szCs w:val="20"/>
        </w:rPr>
        <w:t>de taux directeurs relativement bas.</w:t>
      </w:r>
      <w:r w:rsidRPr="00D71405">
        <w:rPr>
          <w:rFonts w:ascii="Arial" w:hAnsi="Arial" w:cs="Arial"/>
          <w:sz w:val="20"/>
          <w:szCs w:val="20"/>
        </w:rPr>
        <w:t xml:space="preserve"> Dans les pays d'Europe centrale et orientale, l’activité aurait </w:t>
      </w:r>
      <w:r>
        <w:rPr>
          <w:rFonts w:ascii="Arial" w:hAnsi="Arial" w:cs="Arial"/>
          <w:sz w:val="20"/>
          <w:szCs w:val="20"/>
        </w:rPr>
        <w:t>accéléré</w:t>
      </w:r>
      <w:r w:rsidRPr="00D71405">
        <w:rPr>
          <w:rFonts w:ascii="Arial" w:hAnsi="Arial" w:cs="Arial"/>
          <w:sz w:val="20"/>
          <w:szCs w:val="20"/>
        </w:rPr>
        <w:t>, favorisé</w:t>
      </w:r>
      <w:r>
        <w:rPr>
          <w:rFonts w:ascii="Arial" w:hAnsi="Arial" w:cs="Arial"/>
          <w:sz w:val="20"/>
          <w:szCs w:val="20"/>
        </w:rPr>
        <w:t>e</w:t>
      </w:r>
      <w:r w:rsidRPr="00D71405">
        <w:rPr>
          <w:rFonts w:ascii="Arial" w:hAnsi="Arial" w:cs="Arial"/>
          <w:sz w:val="20"/>
          <w:szCs w:val="20"/>
        </w:rPr>
        <w:t xml:space="preserve"> par la demande en provenance des pays de la zone euro, alors qu'en Inde, l'activité </w:t>
      </w:r>
      <w:r>
        <w:rPr>
          <w:rFonts w:ascii="Arial" w:hAnsi="Arial" w:cs="Arial"/>
          <w:sz w:val="20"/>
          <w:szCs w:val="20"/>
        </w:rPr>
        <w:t>aurait conservé son dynamisme, porté</w:t>
      </w:r>
      <w:r w:rsidRPr="00D71405">
        <w:rPr>
          <w:rFonts w:ascii="Arial" w:hAnsi="Arial" w:cs="Arial"/>
          <w:sz w:val="20"/>
          <w:szCs w:val="20"/>
        </w:rPr>
        <w:t xml:space="preserve"> par la demande intérieure. </w:t>
      </w:r>
      <w:r>
        <w:rPr>
          <w:rFonts w:ascii="Arial" w:hAnsi="Arial" w:cs="Arial"/>
          <w:sz w:val="20"/>
          <w:szCs w:val="20"/>
        </w:rPr>
        <w:t>La croissance chinoise</w:t>
      </w:r>
      <w:r w:rsidRPr="00D71405">
        <w:rPr>
          <w:rFonts w:ascii="Arial" w:hAnsi="Arial" w:cs="Arial"/>
          <w:sz w:val="20"/>
          <w:szCs w:val="20"/>
        </w:rPr>
        <w:t xml:space="preserve"> aurait</w:t>
      </w:r>
      <w:r w:rsidR="00BD1A5E">
        <w:rPr>
          <w:rFonts w:ascii="Arial" w:hAnsi="Arial" w:cs="Arial"/>
          <w:sz w:val="20"/>
          <w:szCs w:val="20"/>
        </w:rPr>
        <w:t xml:space="preserve">, </w:t>
      </w:r>
      <w:r w:rsidR="00835847">
        <w:rPr>
          <w:rFonts w:ascii="Arial" w:hAnsi="Arial" w:cs="Arial"/>
          <w:sz w:val="20"/>
          <w:szCs w:val="20"/>
        </w:rPr>
        <w:t>quant à elle</w:t>
      </w:r>
      <w:r w:rsidR="00BD1A5E">
        <w:rPr>
          <w:rFonts w:ascii="Arial" w:hAnsi="Arial" w:cs="Arial"/>
          <w:sz w:val="20"/>
          <w:szCs w:val="20"/>
        </w:rPr>
        <w:t>,</w:t>
      </w:r>
      <w:r w:rsidR="00F70270">
        <w:rPr>
          <w:rFonts w:ascii="Arial" w:hAnsi="Arial" w:cs="Arial"/>
          <w:sz w:val="20"/>
          <w:szCs w:val="20"/>
        </w:rPr>
        <w:t xml:space="preserve"> </w:t>
      </w:r>
      <w:r>
        <w:rPr>
          <w:rFonts w:ascii="Arial" w:hAnsi="Arial" w:cs="Arial"/>
          <w:sz w:val="20"/>
          <w:szCs w:val="20"/>
        </w:rPr>
        <w:t xml:space="preserve">légèrement ralenti </w:t>
      </w:r>
      <w:r w:rsidRPr="00D71405">
        <w:rPr>
          <w:rFonts w:ascii="Arial" w:hAnsi="Arial" w:cs="Arial"/>
          <w:sz w:val="20"/>
          <w:szCs w:val="20"/>
        </w:rPr>
        <w:t>(+</w:t>
      </w:r>
      <w:r>
        <w:rPr>
          <w:rFonts w:ascii="Arial" w:hAnsi="Arial" w:cs="Arial"/>
          <w:sz w:val="20"/>
          <w:szCs w:val="20"/>
        </w:rPr>
        <w:t>5,</w:t>
      </w:r>
      <w:r w:rsidRPr="00D71405">
        <w:rPr>
          <w:rFonts w:ascii="Arial" w:hAnsi="Arial" w:cs="Arial"/>
          <w:sz w:val="20"/>
          <w:szCs w:val="20"/>
        </w:rPr>
        <w:t xml:space="preserve">6%, au lieu de +6,4% </w:t>
      </w:r>
      <w:r>
        <w:rPr>
          <w:rFonts w:ascii="Arial" w:hAnsi="Arial" w:cs="Arial"/>
          <w:sz w:val="20"/>
          <w:szCs w:val="20"/>
        </w:rPr>
        <w:t>un trimestre auparavant</w:t>
      </w:r>
      <w:r w:rsidRPr="00D71405">
        <w:rPr>
          <w:rFonts w:ascii="Arial" w:hAnsi="Arial" w:cs="Arial"/>
          <w:sz w:val="20"/>
          <w:szCs w:val="20"/>
        </w:rPr>
        <w:t>), p</w:t>
      </w:r>
      <w:r>
        <w:rPr>
          <w:rFonts w:ascii="Arial" w:hAnsi="Arial" w:cs="Arial"/>
          <w:sz w:val="20"/>
          <w:szCs w:val="20"/>
        </w:rPr>
        <w:t xml:space="preserve">âtissant </w:t>
      </w:r>
      <w:r w:rsidRPr="00D71405">
        <w:rPr>
          <w:rFonts w:ascii="Arial" w:hAnsi="Arial" w:cs="Arial"/>
          <w:sz w:val="20"/>
          <w:szCs w:val="20"/>
        </w:rPr>
        <w:t xml:space="preserve">de la </w:t>
      </w:r>
      <w:r>
        <w:rPr>
          <w:rFonts w:ascii="Arial" w:hAnsi="Arial" w:cs="Arial"/>
          <w:sz w:val="20"/>
          <w:szCs w:val="20"/>
        </w:rPr>
        <w:t xml:space="preserve">décélération de la </w:t>
      </w:r>
      <w:r w:rsidRPr="00D71405">
        <w:rPr>
          <w:rFonts w:ascii="Arial" w:hAnsi="Arial" w:cs="Arial"/>
          <w:sz w:val="20"/>
          <w:szCs w:val="20"/>
        </w:rPr>
        <w:t>demande intérieure</w:t>
      </w:r>
      <w:r>
        <w:rPr>
          <w:rFonts w:ascii="Arial" w:hAnsi="Arial" w:cs="Arial"/>
          <w:sz w:val="20"/>
          <w:szCs w:val="20"/>
        </w:rPr>
        <w:t>, après un premier trimestre exceptionnel ayant coïncidé avec le nouvel an chinois</w:t>
      </w:r>
      <w:r w:rsidRPr="00D71405">
        <w:rPr>
          <w:rFonts w:ascii="Arial" w:hAnsi="Arial" w:cs="Arial"/>
          <w:sz w:val="20"/>
          <w:szCs w:val="20"/>
        </w:rPr>
        <w:t xml:space="preserve">. </w:t>
      </w:r>
    </w:p>
    <w:p w:rsidR="0031709A" w:rsidRDefault="0031709A" w:rsidP="0031709A">
      <w:pPr>
        <w:jc w:val="both"/>
        <w:rPr>
          <w:rFonts w:ascii="Arial" w:hAnsi="Arial" w:cs="Arial"/>
          <w:sz w:val="20"/>
          <w:szCs w:val="20"/>
        </w:rPr>
      </w:pPr>
    </w:p>
    <w:p w:rsidR="0031709A" w:rsidRDefault="0031709A" w:rsidP="00520E00">
      <w:pPr>
        <w:jc w:val="both"/>
        <w:rPr>
          <w:rFonts w:ascii="Arial" w:hAnsi="Arial" w:cs="Arial"/>
          <w:iCs/>
          <w:color w:val="000000"/>
          <w:sz w:val="20"/>
          <w:szCs w:val="20"/>
          <w:lang w:eastAsia="en-US"/>
        </w:rPr>
      </w:pPr>
      <w:r>
        <w:rPr>
          <w:rFonts w:ascii="Arial" w:hAnsi="Arial" w:cs="Arial"/>
          <w:iCs/>
          <w:color w:val="000000"/>
          <w:sz w:val="20"/>
          <w:szCs w:val="20"/>
          <w:lang w:eastAsia="en-US"/>
        </w:rPr>
        <w:t xml:space="preserve">Sur le marché des matières premières énergétiques, le cours du pétrole brut </w:t>
      </w:r>
      <w:r w:rsidR="00BD1A5E">
        <w:rPr>
          <w:rFonts w:ascii="Arial" w:hAnsi="Arial" w:cs="Arial"/>
          <w:iCs/>
          <w:color w:val="000000"/>
          <w:sz w:val="20"/>
          <w:szCs w:val="20"/>
          <w:lang w:eastAsia="en-US"/>
        </w:rPr>
        <w:t xml:space="preserve">se </w:t>
      </w:r>
      <w:r>
        <w:rPr>
          <w:rFonts w:ascii="Arial" w:hAnsi="Arial" w:cs="Arial"/>
          <w:iCs/>
          <w:color w:val="000000"/>
          <w:sz w:val="20"/>
          <w:szCs w:val="20"/>
          <w:lang w:eastAsia="en-US"/>
        </w:rPr>
        <w:t xml:space="preserve">serait établi, en moyenne, à 74,1$/baril aux mois d'avril-mai 2018, en hausse de 42,8% en variation annuelle, dans un contexte caractérisé par </w:t>
      </w:r>
      <w:r w:rsidR="00BD1A5E">
        <w:rPr>
          <w:rFonts w:ascii="Arial" w:hAnsi="Arial" w:cs="Arial"/>
          <w:iCs/>
          <w:color w:val="000000"/>
          <w:sz w:val="20"/>
          <w:szCs w:val="20"/>
          <w:lang w:eastAsia="en-US"/>
        </w:rPr>
        <w:t xml:space="preserve">la mise en vigueur de </w:t>
      </w:r>
      <w:r>
        <w:rPr>
          <w:rFonts w:ascii="Arial" w:hAnsi="Arial" w:cs="Arial"/>
          <w:iCs/>
          <w:color w:val="000000"/>
          <w:sz w:val="20"/>
          <w:szCs w:val="20"/>
          <w:lang w:eastAsia="en-US"/>
        </w:rPr>
        <w:t xml:space="preserve">l'accord de réduction de la production </w:t>
      </w:r>
      <w:r w:rsidR="00903F70">
        <w:rPr>
          <w:rFonts w:ascii="Arial" w:hAnsi="Arial" w:cs="Arial"/>
          <w:iCs/>
          <w:color w:val="000000"/>
          <w:sz w:val="20"/>
          <w:szCs w:val="20"/>
          <w:lang w:eastAsia="en-US"/>
        </w:rPr>
        <w:t xml:space="preserve">par les pays </w:t>
      </w:r>
      <w:r>
        <w:rPr>
          <w:rFonts w:ascii="Arial" w:hAnsi="Arial" w:cs="Arial"/>
          <w:iCs/>
          <w:color w:val="000000"/>
          <w:sz w:val="20"/>
          <w:szCs w:val="20"/>
          <w:lang w:eastAsia="en-US"/>
        </w:rPr>
        <w:t xml:space="preserve">de l'OPEP, une demande en hausse en provenance des pays émergents et des Etats-Unis et </w:t>
      </w:r>
      <w:r w:rsidR="00520E00">
        <w:rPr>
          <w:rFonts w:ascii="Arial" w:hAnsi="Arial" w:cs="Arial"/>
          <w:iCs/>
          <w:color w:val="000000"/>
          <w:sz w:val="20"/>
          <w:szCs w:val="20"/>
          <w:lang w:eastAsia="en-US"/>
        </w:rPr>
        <w:t>une</w:t>
      </w:r>
      <w:r w:rsidR="00440384">
        <w:rPr>
          <w:rFonts w:ascii="Arial" w:hAnsi="Arial" w:cs="Arial"/>
          <w:iCs/>
          <w:color w:val="000000"/>
          <w:sz w:val="20"/>
          <w:szCs w:val="20"/>
          <w:lang w:eastAsia="en-US"/>
        </w:rPr>
        <w:t xml:space="preserve"> baisse relative de</w:t>
      </w:r>
      <w:r>
        <w:rPr>
          <w:rFonts w:ascii="Arial" w:hAnsi="Arial" w:cs="Arial"/>
          <w:iCs/>
          <w:color w:val="000000"/>
          <w:sz w:val="20"/>
          <w:szCs w:val="20"/>
          <w:lang w:eastAsia="en-US"/>
        </w:rPr>
        <w:t xml:space="preserve">s stocks malgré la hausse récente de la production américaine. Les cours des céréales et des matières premières agricoles se seraient également renchéris </w:t>
      </w:r>
      <w:r w:rsidR="00164E14">
        <w:rPr>
          <w:rFonts w:ascii="Arial" w:hAnsi="Arial" w:cs="Arial"/>
          <w:iCs/>
          <w:color w:val="000000"/>
          <w:sz w:val="20"/>
          <w:szCs w:val="20"/>
          <w:lang w:eastAsia="en-US"/>
        </w:rPr>
        <w:t>au cours</w:t>
      </w:r>
      <w:r>
        <w:rPr>
          <w:rFonts w:ascii="Arial" w:hAnsi="Arial" w:cs="Arial"/>
          <w:iCs/>
          <w:color w:val="000000"/>
          <w:sz w:val="20"/>
          <w:szCs w:val="20"/>
          <w:lang w:eastAsia="en-US"/>
        </w:rPr>
        <w:t xml:space="preserve"> de la même période. Dans ces conditions, l'inflation aurait atteint +3% aux Etats-Unis et +1,7% en zone euro au deuxième trimestre 2018, après +2,3% et +1,3%, </w:t>
      </w:r>
      <w:r w:rsidR="00D573BB">
        <w:rPr>
          <w:rFonts w:ascii="Arial" w:hAnsi="Arial" w:cs="Arial"/>
          <w:iCs/>
          <w:color w:val="000000"/>
          <w:sz w:val="20"/>
          <w:szCs w:val="20"/>
          <w:lang w:eastAsia="en-US"/>
        </w:rPr>
        <w:t xml:space="preserve">respectivement, </w:t>
      </w:r>
      <w:r>
        <w:rPr>
          <w:rFonts w:ascii="Arial" w:hAnsi="Arial" w:cs="Arial"/>
          <w:iCs/>
          <w:color w:val="000000"/>
          <w:sz w:val="20"/>
          <w:szCs w:val="20"/>
          <w:lang w:eastAsia="en-US"/>
        </w:rPr>
        <w:t>un trimestre auparavant.</w:t>
      </w:r>
    </w:p>
    <w:p w:rsidR="0031709A" w:rsidRPr="00D71405" w:rsidRDefault="0031709A" w:rsidP="0031709A">
      <w:pPr>
        <w:jc w:val="both"/>
        <w:rPr>
          <w:rFonts w:ascii="Arial" w:hAnsi="Arial" w:cs="Arial"/>
          <w:sz w:val="20"/>
          <w:szCs w:val="20"/>
        </w:rPr>
      </w:pPr>
    </w:p>
    <w:p w:rsidR="0031709A" w:rsidRDefault="00C011C4" w:rsidP="0031709A">
      <w:pPr>
        <w:jc w:val="both"/>
        <w:rPr>
          <w:rFonts w:ascii="Arial" w:hAnsi="Arial" w:cs="Arial"/>
          <w:b/>
          <w:bCs/>
          <w:color w:val="800000"/>
          <w:kern w:val="28"/>
          <w:sz w:val="20"/>
          <w:szCs w:val="20"/>
        </w:rPr>
      </w:pPr>
      <w:r>
        <w:rPr>
          <w:rFonts w:ascii="Arial" w:hAnsi="Arial" w:cs="Arial"/>
          <w:b/>
          <w:bCs/>
          <w:noProof/>
          <w:color w:val="800000"/>
          <w:kern w:val="28"/>
          <w:sz w:val="20"/>
          <w:szCs w:val="20"/>
        </w:rPr>
        <w:drawing>
          <wp:anchor distT="0" distB="0" distL="114300" distR="114300" simplePos="0" relativeHeight="251790336" behindDoc="0" locked="0" layoutInCell="1" allowOverlap="1">
            <wp:simplePos x="0" y="0"/>
            <wp:positionH relativeFrom="column">
              <wp:posOffset>4391025</wp:posOffset>
            </wp:positionH>
            <wp:positionV relativeFrom="paragraph">
              <wp:posOffset>28575</wp:posOffset>
            </wp:positionV>
            <wp:extent cx="2117090" cy="1803400"/>
            <wp:effectExtent l="19050" t="0" r="0" b="0"/>
            <wp:wrapSquare wrapText="bothSides"/>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117090" cy="1803400"/>
                    </a:xfrm>
                    <a:prstGeom prst="rect">
                      <a:avLst/>
                    </a:prstGeom>
                    <a:noFill/>
                    <a:ln w="9525">
                      <a:noFill/>
                      <a:miter lim="800000"/>
                      <a:headEnd/>
                      <a:tailEnd/>
                    </a:ln>
                  </pic:spPr>
                </pic:pic>
              </a:graphicData>
            </a:graphic>
          </wp:anchor>
        </w:drawing>
      </w:r>
      <w:r w:rsidR="0031709A">
        <w:rPr>
          <w:rFonts w:ascii="Arial" w:hAnsi="Arial" w:cs="Arial"/>
          <w:b/>
          <w:bCs/>
          <w:color w:val="800000"/>
          <w:kern w:val="28"/>
          <w:sz w:val="20"/>
          <w:szCs w:val="20"/>
        </w:rPr>
        <w:t>Résilience de la demande mondiale adressée au Maroc</w:t>
      </w:r>
    </w:p>
    <w:p w:rsidR="0031709A" w:rsidRPr="00C03AD0" w:rsidRDefault="0031709A" w:rsidP="0031709A">
      <w:pPr>
        <w:jc w:val="both"/>
        <w:rPr>
          <w:rFonts w:asciiTheme="minorBidi" w:hAnsiTheme="minorBidi" w:cstheme="minorBidi"/>
          <w:color w:val="00B050"/>
          <w:sz w:val="20"/>
          <w:szCs w:val="20"/>
        </w:rPr>
      </w:pPr>
    </w:p>
    <w:p w:rsidR="0031709A" w:rsidRPr="00995975" w:rsidRDefault="0031709A" w:rsidP="00384A77">
      <w:pPr>
        <w:jc w:val="both"/>
        <w:rPr>
          <w:rFonts w:asciiTheme="minorBidi" w:hAnsiTheme="minorBidi" w:cstheme="minorBidi"/>
          <w:sz w:val="20"/>
          <w:szCs w:val="20"/>
        </w:rPr>
      </w:pPr>
      <w:r w:rsidRPr="00995975">
        <w:rPr>
          <w:rFonts w:asciiTheme="minorBidi" w:hAnsiTheme="minorBidi" w:cstheme="minorBidi"/>
          <w:sz w:val="20"/>
          <w:szCs w:val="20"/>
        </w:rPr>
        <w:t xml:space="preserve">Le </w:t>
      </w:r>
      <w:r w:rsidRPr="00995975">
        <w:rPr>
          <w:rFonts w:asciiTheme="minorBidi" w:hAnsiTheme="minorBidi" w:cstheme="minorBidi"/>
          <w:b/>
          <w:bCs/>
          <w:sz w:val="20"/>
          <w:szCs w:val="20"/>
        </w:rPr>
        <w:t>commerce mondial de biens</w:t>
      </w:r>
      <w:r w:rsidRPr="00995975">
        <w:rPr>
          <w:rFonts w:asciiTheme="minorBidi" w:hAnsiTheme="minorBidi" w:cstheme="minorBidi"/>
          <w:sz w:val="20"/>
          <w:szCs w:val="20"/>
        </w:rPr>
        <w:t xml:space="preserve"> aurait été </w:t>
      </w:r>
      <w:r w:rsidR="00384A77">
        <w:rPr>
          <w:rFonts w:asciiTheme="minorBidi" w:hAnsiTheme="minorBidi" w:cstheme="minorBidi"/>
          <w:sz w:val="20"/>
          <w:szCs w:val="20"/>
        </w:rPr>
        <w:t>moins</w:t>
      </w:r>
      <w:r w:rsidRPr="00995975">
        <w:rPr>
          <w:rFonts w:asciiTheme="minorBidi" w:hAnsiTheme="minorBidi" w:cstheme="minorBidi"/>
          <w:sz w:val="20"/>
          <w:szCs w:val="20"/>
        </w:rPr>
        <w:t xml:space="preserve"> dynamique au deuxième trimestre 2018, </w:t>
      </w:r>
      <w:r w:rsidR="00A730A9">
        <w:rPr>
          <w:rFonts w:asciiTheme="minorBidi" w:hAnsiTheme="minorBidi" w:cstheme="minorBidi"/>
          <w:sz w:val="20"/>
          <w:szCs w:val="20"/>
        </w:rPr>
        <w:t>par rapport</w:t>
      </w:r>
      <w:r w:rsidRPr="00995975">
        <w:rPr>
          <w:rFonts w:asciiTheme="minorBidi" w:hAnsiTheme="minorBidi" w:cstheme="minorBidi"/>
          <w:sz w:val="20"/>
          <w:szCs w:val="20"/>
        </w:rPr>
        <w:t xml:space="preserve"> à fin 2017</w:t>
      </w:r>
      <w:r w:rsidR="00A730A9">
        <w:rPr>
          <w:rFonts w:asciiTheme="minorBidi" w:hAnsiTheme="minorBidi" w:cstheme="minorBidi"/>
          <w:sz w:val="20"/>
          <w:szCs w:val="20"/>
        </w:rPr>
        <w:t xml:space="preserve"> et </w:t>
      </w:r>
      <w:r w:rsidRPr="00995975">
        <w:rPr>
          <w:rFonts w:asciiTheme="minorBidi" w:hAnsiTheme="minorBidi" w:cstheme="minorBidi"/>
          <w:sz w:val="20"/>
          <w:szCs w:val="20"/>
        </w:rPr>
        <w:t xml:space="preserve">début 2018, sous l'effet du ralentissement </w:t>
      </w:r>
      <w:r w:rsidRPr="00995975">
        <w:rPr>
          <w:rFonts w:ascii="Arial" w:hAnsi="Arial" w:cs="Arial"/>
          <w:iCs/>
          <w:sz w:val="20"/>
          <w:szCs w:val="20"/>
          <w:lang w:eastAsia="en-US"/>
        </w:rPr>
        <w:t xml:space="preserve">des importations des économies aussi bien avancées qu'émergentes. </w:t>
      </w:r>
      <w:r w:rsidRPr="00995975">
        <w:rPr>
          <w:rFonts w:asciiTheme="minorBidi" w:hAnsiTheme="minorBidi" w:cstheme="minorBidi"/>
          <w:sz w:val="20"/>
          <w:szCs w:val="20"/>
        </w:rPr>
        <w:t xml:space="preserve">Malgré la légère décélération des échanges mondiaux, la </w:t>
      </w:r>
      <w:r w:rsidRPr="00995975">
        <w:rPr>
          <w:rFonts w:asciiTheme="minorBidi" w:hAnsiTheme="minorBidi" w:cstheme="minorBidi"/>
          <w:b/>
          <w:bCs/>
          <w:sz w:val="20"/>
          <w:szCs w:val="20"/>
        </w:rPr>
        <w:t>demande étrangère adressée au Maroc</w:t>
      </w:r>
      <w:r w:rsidRPr="00995975">
        <w:rPr>
          <w:rFonts w:asciiTheme="minorBidi" w:hAnsiTheme="minorBidi" w:cstheme="minorBidi"/>
          <w:sz w:val="20"/>
          <w:szCs w:val="20"/>
        </w:rPr>
        <w:t xml:space="preserve"> serait restée bien orientée lors de la même période, réalisant une hausse de 5% en variation annuelle, portée par l'accroissement des importations des pays de la zone euro. </w:t>
      </w:r>
    </w:p>
    <w:p w:rsidR="0031709A" w:rsidRDefault="0031709A" w:rsidP="0031709A">
      <w:pPr>
        <w:jc w:val="both"/>
        <w:rPr>
          <w:rFonts w:asciiTheme="minorBidi" w:hAnsiTheme="minorBidi" w:cstheme="minorBidi"/>
          <w:sz w:val="20"/>
          <w:szCs w:val="20"/>
        </w:rPr>
      </w:pPr>
    </w:p>
    <w:p w:rsidR="0031709A" w:rsidRDefault="0031709A" w:rsidP="00CD72FE">
      <w:pPr>
        <w:jc w:val="both"/>
        <w:rPr>
          <w:rFonts w:ascii="Arial" w:hAnsi="Arial" w:cs="Arial"/>
          <w:kern w:val="28"/>
          <w:sz w:val="20"/>
          <w:szCs w:val="20"/>
        </w:rPr>
      </w:pPr>
      <w:r w:rsidRPr="00DB1300">
        <w:rPr>
          <w:rFonts w:ascii="Arial" w:hAnsi="Arial" w:cs="Arial"/>
          <w:kern w:val="28"/>
          <w:sz w:val="20"/>
          <w:szCs w:val="20"/>
        </w:rPr>
        <w:t xml:space="preserve">Dans ce contexte, les </w:t>
      </w:r>
      <w:r w:rsidRPr="00DB1300">
        <w:rPr>
          <w:rFonts w:ascii="Arial" w:hAnsi="Arial" w:cs="Arial"/>
          <w:b/>
          <w:bCs/>
          <w:kern w:val="28"/>
          <w:sz w:val="20"/>
          <w:szCs w:val="20"/>
        </w:rPr>
        <w:t xml:space="preserve">exportations </w:t>
      </w:r>
      <w:r w:rsidRPr="00DB1300">
        <w:rPr>
          <w:rFonts w:ascii="Arial" w:hAnsi="Arial" w:cs="Arial"/>
          <w:kern w:val="28"/>
          <w:sz w:val="20"/>
          <w:szCs w:val="20"/>
        </w:rPr>
        <w:t xml:space="preserve">de biens, en augmentation estimée à </w:t>
      </w:r>
      <w:r>
        <w:rPr>
          <w:rFonts w:ascii="Arial" w:hAnsi="Arial" w:cs="Arial"/>
          <w:kern w:val="28"/>
          <w:sz w:val="20"/>
          <w:szCs w:val="20"/>
        </w:rPr>
        <w:t>13,9</w:t>
      </w:r>
      <w:r w:rsidRPr="00DB1300">
        <w:rPr>
          <w:rFonts w:ascii="Arial" w:hAnsi="Arial" w:cs="Arial"/>
          <w:kern w:val="28"/>
          <w:sz w:val="20"/>
          <w:szCs w:val="20"/>
        </w:rPr>
        <w:t xml:space="preserve">%, auraient </w:t>
      </w:r>
      <w:r>
        <w:rPr>
          <w:rFonts w:ascii="Arial" w:hAnsi="Arial" w:cs="Arial"/>
          <w:kern w:val="28"/>
          <w:sz w:val="20"/>
          <w:szCs w:val="20"/>
        </w:rPr>
        <w:t xml:space="preserve">continué à </w:t>
      </w:r>
      <w:r w:rsidRPr="00DB1300">
        <w:rPr>
          <w:rFonts w:ascii="Arial" w:hAnsi="Arial" w:cs="Arial"/>
          <w:kern w:val="28"/>
          <w:sz w:val="20"/>
          <w:szCs w:val="20"/>
        </w:rPr>
        <w:t>profit</w:t>
      </w:r>
      <w:r>
        <w:rPr>
          <w:rFonts w:ascii="Arial" w:hAnsi="Arial" w:cs="Arial"/>
          <w:kern w:val="28"/>
          <w:sz w:val="20"/>
          <w:szCs w:val="20"/>
        </w:rPr>
        <w:t>er</w:t>
      </w:r>
      <w:r w:rsidRPr="00DB1300">
        <w:rPr>
          <w:rFonts w:ascii="Arial" w:hAnsi="Arial" w:cs="Arial"/>
          <w:kern w:val="28"/>
          <w:sz w:val="20"/>
          <w:szCs w:val="20"/>
        </w:rPr>
        <w:t xml:space="preserve"> de la </w:t>
      </w:r>
      <w:r>
        <w:rPr>
          <w:rFonts w:ascii="Arial" w:hAnsi="Arial" w:cs="Arial"/>
          <w:kern w:val="28"/>
          <w:sz w:val="20"/>
          <w:szCs w:val="20"/>
        </w:rPr>
        <w:t>bonne performance</w:t>
      </w:r>
      <w:r w:rsidRPr="00DB1300">
        <w:rPr>
          <w:rFonts w:ascii="Arial" w:hAnsi="Arial" w:cs="Arial"/>
          <w:kern w:val="28"/>
          <w:sz w:val="20"/>
          <w:szCs w:val="20"/>
        </w:rPr>
        <w:t xml:space="preserve"> des expéditions du secteur automobile, dans s</w:t>
      </w:r>
      <w:r>
        <w:rPr>
          <w:rFonts w:ascii="Arial" w:hAnsi="Arial" w:cs="Arial"/>
          <w:kern w:val="28"/>
          <w:sz w:val="20"/>
          <w:szCs w:val="20"/>
        </w:rPr>
        <w:t xml:space="preserve">es </w:t>
      </w:r>
      <w:r w:rsidRPr="00DB1300">
        <w:rPr>
          <w:rFonts w:ascii="Arial" w:hAnsi="Arial" w:cs="Arial"/>
          <w:kern w:val="28"/>
          <w:sz w:val="20"/>
          <w:szCs w:val="20"/>
        </w:rPr>
        <w:t>segment</w:t>
      </w:r>
      <w:r>
        <w:rPr>
          <w:rFonts w:ascii="Arial" w:hAnsi="Arial" w:cs="Arial"/>
          <w:kern w:val="28"/>
          <w:sz w:val="20"/>
          <w:szCs w:val="20"/>
        </w:rPr>
        <w:t>s</w:t>
      </w:r>
      <w:r w:rsidRPr="00DB1300">
        <w:rPr>
          <w:rFonts w:ascii="Arial" w:hAnsi="Arial" w:cs="Arial"/>
          <w:kern w:val="28"/>
          <w:sz w:val="20"/>
          <w:szCs w:val="20"/>
        </w:rPr>
        <w:t xml:space="preserve"> construction</w:t>
      </w:r>
      <w:r>
        <w:rPr>
          <w:rFonts w:ascii="Arial" w:hAnsi="Arial" w:cs="Arial"/>
          <w:kern w:val="28"/>
          <w:sz w:val="20"/>
          <w:szCs w:val="20"/>
        </w:rPr>
        <w:t xml:space="preserve"> et câblage</w:t>
      </w:r>
      <w:r w:rsidRPr="00DB1300">
        <w:rPr>
          <w:rFonts w:ascii="Arial" w:hAnsi="Arial" w:cs="Arial"/>
          <w:kern w:val="28"/>
          <w:sz w:val="20"/>
          <w:szCs w:val="20"/>
        </w:rPr>
        <w:t xml:space="preserve">. Ces dernières auraient contribué pour près de </w:t>
      </w:r>
      <w:r>
        <w:rPr>
          <w:rFonts w:ascii="Arial" w:hAnsi="Arial" w:cs="Arial"/>
          <w:kern w:val="28"/>
          <w:sz w:val="20"/>
          <w:szCs w:val="20"/>
        </w:rPr>
        <w:t>5,4</w:t>
      </w:r>
      <w:r w:rsidRPr="00DB1300">
        <w:rPr>
          <w:rFonts w:ascii="Arial" w:hAnsi="Arial" w:cs="Arial"/>
          <w:kern w:val="28"/>
          <w:sz w:val="20"/>
          <w:szCs w:val="20"/>
        </w:rPr>
        <w:t xml:space="preserve"> points </w:t>
      </w:r>
      <w:r>
        <w:rPr>
          <w:rFonts w:ascii="Arial" w:hAnsi="Arial" w:cs="Arial"/>
          <w:kern w:val="28"/>
          <w:sz w:val="20"/>
          <w:szCs w:val="20"/>
        </w:rPr>
        <w:t>au</w:t>
      </w:r>
      <w:r w:rsidRPr="00DB1300">
        <w:rPr>
          <w:rFonts w:ascii="Arial" w:hAnsi="Arial" w:cs="Arial"/>
          <w:kern w:val="28"/>
          <w:sz w:val="20"/>
          <w:szCs w:val="20"/>
        </w:rPr>
        <w:t xml:space="preserve"> renforcement des exportations globales, suivies par les ven</w:t>
      </w:r>
      <w:r>
        <w:rPr>
          <w:rFonts w:ascii="Arial" w:hAnsi="Arial" w:cs="Arial"/>
          <w:kern w:val="28"/>
          <w:sz w:val="20"/>
          <w:szCs w:val="20"/>
        </w:rPr>
        <w:t>tes des</w:t>
      </w:r>
      <w:r w:rsidRPr="00DB1300">
        <w:rPr>
          <w:rFonts w:ascii="Arial" w:hAnsi="Arial" w:cs="Arial"/>
          <w:kern w:val="28"/>
          <w:sz w:val="20"/>
          <w:szCs w:val="20"/>
        </w:rPr>
        <w:t xml:space="preserve"> secteur</w:t>
      </w:r>
      <w:r>
        <w:rPr>
          <w:rFonts w:ascii="Arial" w:hAnsi="Arial" w:cs="Arial"/>
          <w:kern w:val="28"/>
          <w:sz w:val="20"/>
          <w:szCs w:val="20"/>
        </w:rPr>
        <w:t>s</w:t>
      </w:r>
      <w:r w:rsidRPr="00DB1300">
        <w:rPr>
          <w:rFonts w:ascii="Arial" w:hAnsi="Arial" w:cs="Arial"/>
          <w:kern w:val="28"/>
          <w:sz w:val="20"/>
          <w:szCs w:val="20"/>
        </w:rPr>
        <w:t xml:space="preserve"> aéronautique, </w:t>
      </w:r>
      <w:r>
        <w:rPr>
          <w:rFonts w:ascii="Arial" w:hAnsi="Arial" w:cs="Arial"/>
          <w:kern w:val="28"/>
          <w:sz w:val="20"/>
          <w:szCs w:val="20"/>
        </w:rPr>
        <w:t>agricole et de la confection</w:t>
      </w:r>
      <w:r w:rsidRPr="00DB1300">
        <w:rPr>
          <w:rFonts w:ascii="Arial" w:hAnsi="Arial" w:cs="Arial"/>
          <w:kern w:val="28"/>
          <w:sz w:val="20"/>
          <w:szCs w:val="20"/>
        </w:rPr>
        <w:t>. Les exportations de phosphate</w:t>
      </w:r>
      <w:r>
        <w:rPr>
          <w:rFonts w:ascii="Arial" w:hAnsi="Arial" w:cs="Arial"/>
          <w:kern w:val="28"/>
          <w:sz w:val="20"/>
          <w:szCs w:val="20"/>
        </w:rPr>
        <w:t>s</w:t>
      </w:r>
      <w:r w:rsidRPr="00DB1300">
        <w:rPr>
          <w:rFonts w:ascii="Arial" w:hAnsi="Arial" w:cs="Arial"/>
          <w:kern w:val="28"/>
          <w:sz w:val="20"/>
          <w:szCs w:val="20"/>
        </w:rPr>
        <w:t xml:space="preserve"> et </w:t>
      </w:r>
      <w:r>
        <w:rPr>
          <w:rFonts w:ascii="Arial" w:hAnsi="Arial" w:cs="Arial"/>
          <w:kern w:val="28"/>
          <w:sz w:val="20"/>
          <w:szCs w:val="20"/>
        </w:rPr>
        <w:lastRenderedPageBreak/>
        <w:t xml:space="preserve">de leurs </w:t>
      </w:r>
      <w:r w:rsidRPr="00DB1300">
        <w:rPr>
          <w:rFonts w:ascii="Arial" w:hAnsi="Arial" w:cs="Arial"/>
          <w:kern w:val="28"/>
          <w:sz w:val="20"/>
          <w:szCs w:val="20"/>
        </w:rPr>
        <w:t>dérivés</w:t>
      </w:r>
      <w:r w:rsidR="00CD72FE">
        <w:rPr>
          <w:rFonts w:ascii="Arial" w:hAnsi="Arial" w:cs="Arial"/>
          <w:kern w:val="28"/>
          <w:sz w:val="20"/>
          <w:szCs w:val="20"/>
        </w:rPr>
        <w:t xml:space="preserve"> </w:t>
      </w:r>
      <w:r>
        <w:rPr>
          <w:rFonts w:ascii="Arial" w:hAnsi="Arial" w:cs="Arial"/>
          <w:kern w:val="28"/>
          <w:sz w:val="20"/>
          <w:szCs w:val="20"/>
        </w:rPr>
        <w:t>auraient, pour leur part, connu un retournement à la hausse avec une contribution positive de 4,7 points</w:t>
      </w:r>
      <w:r w:rsidRPr="00DB1300">
        <w:rPr>
          <w:rFonts w:ascii="Arial" w:hAnsi="Arial" w:cs="Arial"/>
          <w:kern w:val="28"/>
          <w:sz w:val="20"/>
          <w:szCs w:val="20"/>
        </w:rPr>
        <w:t>,</w:t>
      </w:r>
      <w:r>
        <w:rPr>
          <w:rFonts w:ascii="Arial" w:hAnsi="Arial" w:cs="Arial"/>
          <w:kern w:val="28"/>
          <w:sz w:val="20"/>
          <w:szCs w:val="20"/>
        </w:rPr>
        <w:t xml:space="preserve"> après un premier trimestre </w:t>
      </w:r>
      <w:r w:rsidR="00CB4A86">
        <w:rPr>
          <w:rFonts w:ascii="Arial" w:hAnsi="Arial" w:cs="Arial"/>
          <w:kern w:val="28"/>
          <w:sz w:val="20"/>
          <w:szCs w:val="20"/>
        </w:rPr>
        <w:t>morose</w:t>
      </w:r>
      <w:r>
        <w:rPr>
          <w:rFonts w:ascii="Arial" w:hAnsi="Arial" w:cs="Arial"/>
          <w:kern w:val="28"/>
          <w:sz w:val="20"/>
          <w:szCs w:val="20"/>
        </w:rPr>
        <w:t>,</w:t>
      </w:r>
      <w:r w:rsidR="00CD72FE">
        <w:rPr>
          <w:rFonts w:ascii="Arial" w:hAnsi="Arial" w:cs="Arial"/>
          <w:kern w:val="28"/>
          <w:sz w:val="20"/>
          <w:szCs w:val="20"/>
        </w:rPr>
        <w:t xml:space="preserve"> </w:t>
      </w:r>
      <w:r>
        <w:rPr>
          <w:rFonts w:ascii="Arial" w:hAnsi="Arial" w:cs="Arial"/>
          <w:kern w:val="28"/>
          <w:sz w:val="20"/>
          <w:szCs w:val="20"/>
        </w:rPr>
        <w:t xml:space="preserve">profitant de la </w:t>
      </w:r>
      <w:r w:rsidRPr="00DA0519">
        <w:rPr>
          <w:rFonts w:ascii="Arial" w:hAnsi="Arial" w:cs="Arial"/>
          <w:kern w:val="28"/>
          <w:sz w:val="20"/>
          <w:szCs w:val="20"/>
        </w:rPr>
        <w:t>hausse des cours</w:t>
      </w:r>
      <w:r>
        <w:rPr>
          <w:rFonts w:ascii="Arial" w:hAnsi="Arial" w:cs="Arial"/>
          <w:kern w:val="28"/>
          <w:sz w:val="20"/>
          <w:szCs w:val="20"/>
        </w:rPr>
        <w:t xml:space="preserve"> mondiaux des dérivés de phosphate, notamment le DAP et le TSP (13% et 16,3%, respectivement).</w:t>
      </w:r>
    </w:p>
    <w:p w:rsidR="0031709A" w:rsidRDefault="0031709A" w:rsidP="0031709A">
      <w:pPr>
        <w:jc w:val="both"/>
        <w:rPr>
          <w:rFonts w:ascii="Arial" w:hAnsi="Arial" w:cs="Arial"/>
          <w:kern w:val="28"/>
          <w:sz w:val="20"/>
          <w:szCs w:val="20"/>
        </w:rPr>
      </w:pPr>
    </w:p>
    <w:p w:rsidR="0031709A" w:rsidRDefault="0045354D" w:rsidP="0045354D">
      <w:pPr>
        <w:jc w:val="both"/>
        <w:rPr>
          <w:rFonts w:ascii="Arial" w:hAnsi="Arial" w:cs="Arial"/>
          <w:sz w:val="20"/>
          <w:szCs w:val="20"/>
        </w:rPr>
      </w:pPr>
      <w:r>
        <w:rPr>
          <w:rFonts w:ascii="Arial" w:hAnsi="Arial" w:cs="Arial"/>
          <w:sz w:val="20"/>
          <w:szCs w:val="20"/>
        </w:rPr>
        <w:t>Pour leur part</w:t>
      </w:r>
      <w:r w:rsidR="0031709A" w:rsidRPr="00995975">
        <w:rPr>
          <w:rFonts w:ascii="Arial" w:hAnsi="Arial" w:cs="Arial"/>
          <w:sz w:val="20"/>
          <w:szCs w:val="20"/>
        </w:rPr>
        <w:t xml:space="preserve">, les </w:t>
      </w:r>
      <w:r w:rsidR="0031709A" w:rsidRPr="00995975">
        <w:rPr>
          <w:rFonts w:ascii="Arial" w:hAnsi="Arial" w:cs="Arial"/>
          <w:b/>
          <w:bCs/>
          <w:sz w:val="20"/>
          <w:szCs w:val="20"/>
        </w:rPr>
        <w:t>importations</w:t>
      </w:r>
      <w:r w:rsidR="0031709A" w:rsidRPr="00995975">
        <w:rPr>
          <w:rFonts w:ascii="Arial" w:hAnsi="Arial" w:cs="Arial"/>
          <w:sz w:val="20"/>
          <w:szCs w:val="20"/>
        </w:rPr>
        <w:t xml:space="preserve"> auraient </w:t>
      </w:r>
      <w:r w:rsidR="00863B80">
        <w:rPr>
          <w:rFonts w:ascii="Arial" w:hAnsi="Arial" w:cs="Arial"/>
          <w:sz w:val="20"/>
          <w:szCs w:val="20"/>
        </w:rPr>
        <w:t>crû</w:t>
      </w:r>
      <w:r w:rsidR="0031709A" w:rsidRPr="00995975">
        <w:rPr>
          <w:rFonts w:ascii="Arial" w:hAnsi="Arial" w:cs="Arial"/>
          <w:sz w:val="20"/>
          <w:szCs w:val="20"/>
        </w:rPr>
        <w:t xml:space="preserve"> de 9,2%, en variation annuelle. </w:t>
      </w:r>
      <w:r w:rsidR="0031709A" w:rsidRPr="00995975">
        <w:rPr>
          <w:rFonts w:ascii="Arial" w:hAnsi="Arial" w:cs="Arial"/>
          <w:kern w:val="28"/>
          <w:sz w:val="20"/>
          <w:szCs w:val="20"/>
        </w:rPr>
        <w:t xml:space="preserve">La facture énergétique aurait continué de grever la balance commerciale, contribuant pour près de 3,5 points à </w:t>
      </w:r>
      <w:r>
        <w:rPr>
          <w:rFonts w:ascii="Arial" w:hAnsi="Arial" w:cs="Arial"/>
          <w:kern w:val="28"/>
          <w:sz w:val="20"/>
          <w:szCs w:val="20"/>
        </w:rPr>
        <w:t xml:space="preserve">cette </w:t>
      </w:r>
      <w:r w:rsidR="0031709A" w:rsidRPr="00995975">
        <w:rPr>
          <w:rFonts w:ascii="Arial" w:hAnsi="Arial" w:cs="Arial"/>
          <w:kern w:val="28"/>
          <w:sz w:val="20"/>
          <w:szCs w:val="20"/>
        </w:rPr>
        <w:t xml:space="preserve">augmentation, </w:t>
      </w:r>
      <w:r w:rsidR="0031709A" w:rsidRPr="00995975">
        <w:rPr>
          <w:rFonts w:ascii="Arial" w:hAnsi="Arial" w:cs="Arial"/>
          <w:sz w:val="20"/>
          <w:szCs w:val="20"/>
        </w:rPr>
        <w:t xml:space="preserve">en liaison avec le renchérissement des cours mondiaux </w:t>
      </w:r>
      <w:r>
        <w:rPr>
          <w:rFonts w:ascii="Arial" w:hAnsi="Arial" w:cs="Arial"/>
          <w:sz w:val="20"/>
          <w:szCs w:val="20"/>
        </w:rPr>
        <w:t xml:space="preserve">des produits </w:t>
      </w:r>
      <w:r w:rsidR="0031709A" w:rsidRPr="00995975">
        <w:rPr>
          <w:rFonts w:ascii="Arial" w:hAnsi="Arial" w:cs="Arial"/>
          <w:sz w:val="20"/>
          <w:szCs w:val="20"/>
        </w:rPr>
        <w:t>énergétiques</w:t>
      </w:r>
      <w:r w:rsidR="0031709A" w:rsidRPr="00995975">
        <w:rPr>
          <w:rFonts w:ascii="Arial" w:hAnsi="Arial" w:cs="Arial"/>
          <w:kern w:val="28"/>
          <w:sz w:val="20"/>
          <w:szCs w:val="20"/>
        </w:rPr>
        <w:t xml:space="preserve">. Les importations, hors énergie, </w:t>
      </w:r>
      <w:r w:rsidR="0031709A" w:rsidRPr="00995975">
        <w:rPr>
          <w:rFonts w:ascii="Arial" w:hAnsi="Arial" w:cs="Arial"/>
          <w:sz w:val="20"/>
          <w:szCs w:val="20"/>
        </w:rPr>
        <w:t xml:space="preserve">auraient été alimentées par les acquisitions des biens d’équipement industriel (machines et appareils divers, </w:t>
      </w:r>
      <w:r w:rsidR="0031709A" w:rsidRPr="00995975">
        <w:rPr>
          <w:rFonts w:ascii="Arial" w:hAnsi="Arial" w:cs="Arial"/>
          <w:kern w:val="28"/>
          <w:sz w:val="20"/>
          <w:szCs w:val="20"/>
        </w:rPr>
        <w:t>parties d'avions</w:t>
      </w:r>
      <w:r w:rsidR="0031709A" w:rsidRPr="00995975">
        <w:rPr>
          <w:rFonts w:ascii="Arial" w:hAnsi="Arial" w:cs="Arial"/>
          <w:sz w:val="20"/>
          <w:szCs w:val="20"/>
        </w:rPr>
        <w:t xml:space="preserve">, </w:t>
      </w:r>
      <w:r w:rsidR="0031709A" w:rsidRPr="00995975">
        <w:rPr>
          <w:rFonts w:ascii="Arial" w:hAnsi="Arial" w:cs="Arial"/>
          <w:kern w:val="28"/>
          <w:sz w:val="20"/>
          <w:szCs w:val="20"/>
        </w:rPr>
        <w:t>appareils pour la coupure des circuits électriques, appareils électriques pour la téléphonie,</w:t>
      </w:r>
      <w:r w:rsidR="00CD72FE">
        <w:rPr>
          <w:rFonts w:ascii="Arial" w:hAnsi="Arial" w:cs="Arial"/>
          <w:kern w:val="28"/>
          <w:sz w:val="20"/>
          <w:szCs w:val="20"/>
        </w:rPr>
        <w:t xml:space="preserve"> </w:t>
      </w:r>
      <w:r w:rsidR="0031709A" w:rsidRPr="00995975">
        <w:rPr>
          <w:rFonts w:ascii="Arial" w:hAnsi="Arial" w:cs="Arial"/>
          <w:kern w:val="28"/>
          <w:sz w:val="20"/>
          <w:szCs w:val="20"/>
        </w:rPr>
        <w:t>diodes et transistors</w:t>
      </w:r>
      <w:r w:rsidR="0031709A" w:rsidRPr="00995975">
        <w:rPr>
          <w:rFonts w:ascii="Arial" w:hAnsi="Arial" w:cs="Arial"/>
          <w:sz w:val="20"/>
          <w:szCs w:val="20"/>
        </w:rPr>
        <w:t xml:space="preserve">), des biens de consommation (parties et pièces détachées pour voitures de tourisme, médicaments et tissus) et des demi-produits (matières plastiques). </w:t>
      </w:r>
    </w:p>
    <w:p w:rsidR="00602711" w:rsidRDefault="00602711" w:rsidP="00CA1470">
      <w:pPr>
        <w:jc w:val="both"/>
        <w:rPr>
          <w:rFonts w:ascii="Arial" w:hAnsi="Arial" w:cs="Arial"/>
          <w:b/>
          <w:bCs/>
          <w:color w:val="800000"/>
          <w:kern w:val="28"/>
          <w:sz w:val="20"/>
          <w:szCs w:val="20"/>
        </w:rPr>
      </w:pPr>
    </w:p>
    <w:p w:rsidR="005B6941" w:rsidRDefault="00D32FB1" w:rsidP="003207C5">
      <w:pPr>
        <w:jc w:val="both"/>
        <w:rPr>
          <w:rFonts w:ascii="Arial" w:hAnsi="Arial" w:cs="Arial"/>
          <w:b/>
          <w:bCs/>
          <w:color w:val="800000"/>
          <w:kern w:val="28"/>
          <w:sz w:val="20"/>
          <w:szCs w:val="20"/>
        </w:rPr>
      </w:pPr>
      <w:r>
        <w:rPr>
          <w:rFonts w:ascii="Arial" w:hAnsi="Arial" w:cs="Arial"/>
          <w:b/>
          <w:bCs/>
          <w:color w:val="800000"/>
          <w:kern w:val="28"/>
          <w:sz w:val="20"/>
          <w:szCs w:val="20"/>
        </w:rPr>
        <w:t>D</w:t>
      </w:r>
      <w:r w:rsidR="007349B4">
        <w:rPr>
          <w:rFonts w:ascii="Arial" w:hAnsi="Arial" w:cs="Arial"/>
          <w:b/>
          <w:bCs/>
          <w:color w:val="800000"/>
          <w:kern w:val="28"/>
          <w:sz w:val="20"/>
          <w:szCs w:val="20"/>
        </w:rPr>
        <w:t xml:space="preserve">écélération </w:t>
      </w:r>
      <w:r w:rsidR="005B6941">
        <w:rPr>
          <w:rFonts w:ascii="Arial" w:hAnsi="Arial" w:cs="Arial"/>
          <w:b/>
          <w:bCs/>
          <w:color w:val="800000"/>
          <w:kern w:val="28"/>
          <w:sz w:val="20"/>
          <w:szCs w:val="20"/>
        </w:rPr>
        <w:t>de l</w:t>
      </w:r>
      <w:r w:rsidR="005B6941" w:rsidRPr="00DB7C3F">
        <w:rPr>
          <w:rFonts w:ascii="Arial" w:hAnsi="Arial" w:cs="Arial"/>
          <w:b/>
          <w:bCs/>
          <w:color w:val="800000"/>
          <w:kern w:val="28"/>
          <w:sz w:val="20"/>
          <w:szCs w:val="20"/>
        </w:rPr>
        <w:t xml:space="preserve">a </w:t>
      </w:r>
      <w:r w:rsidR="007349B4">
        <w:rPr>
          <w:rFonts w:ascii="Arial" w:hAnsi="Arial" w:cs="Arial"/>
          <w:b/>
          <w:bCs/>
          <w:color w:val="800000"/>
          <w:kern w:val="28"/>
          <w:sz w:val="20"/>
          <w:szCs w:val="20"/>
        </w:rPr>
        <w:t>consommation privée</w:t>
      </w:r>
    </w:p>
    <w:p w:rsidR="005B6941" w:rsidRDefault="00E241A7" w:rsidP="005B6941">
      <w:pPr>
        <w:autoSpaceDE w:val="0"/>
        <w:autoSpaceDN w:val="0"/>
        <w:adjustRightInd w:val="0"/>
        <w:jc w:val="both"/>
        <w:rPr>
          <w:rFonts w:ascii="Arial" w:hAnsi="Arial" w:cs="Arial"/>
          <w:b/>
          <w:bCs/>
          <w:color w:val="800000"/>
          <w:kern w:val="28"/>
          <w:sz w:val="20"/>
          <w:szCs w:val="20"/>
        </w:rPr>
      </w:pPr>
      <w:r>
        <w:rPr>
          <w:rFonts w:ascii="Arial" w:hAnsi="Arial" w:cs="Arial"/>
          <w:b/>
          <w:bCs/>
          <w:noProof/>
          <w:color w:val="800000"/>
          <w:kern w:val="28"/>
          <w:sz w:val="20"/>
          <w:szCs w:val="20"/>
        </w:rPr>
        <w:drawing>
          <wp:anchor distT="0" distB="0" distL="114300" distR="114300" simplePos="0" relativeHeight="251785216" behindDoc="0" locked="0" layoutInCell="1" allowOverlap="1">
            <wp:simplePos x="0" y="0"/>
            <wp:positionH relativeFrom="column">
              <wp:posOffset>4424680</wp:posOffset>
            </wp:positionH>
            <wp:positionV relativeFrom="paragraph">
              <wp:posOffset>43815</wp:posOffset>
            </wp:positionV>
            <wp:extent cx="2117090" cy="1845310"/>
            <wp:effectExtent l="19050" t="0" r="0"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117090" cy="1845310"/>
                    </a:xfrm>
                    <a:prstGeom prst="rect">
                      <a:avLst/>
                    </a:prstGeom>
                    <a:noFill/>
                    <a:ln w="9525">
                      <a:noFill/>
                      <a:miter lim="800000"/>
                      <a:headEnd/>
                      <a:tailEnd/>
                    </a:ln>
                  </pic:spPr>
                </pic:pic>
              </a:graphicData>
            </a:graphic>
          </wp:anchor>
        </w:drawing>
      </w:r>
    </w:p>
    <w:p w:rsidR="00490941" w:rsidRPr="00490941" w:rsidRDefault="00490941" w:rsidP="00CB4A86">
      <w:pPr>
        <w:autoSpaceDE w:val="0"/>
        <w:autoSpaceDN w:val="0"/>
        <w:adjustRightInd w:val="0"/>
        <w:jc w:val="both"/>
        <w:rPr>
          <w:rFonts w:ascii="Arial" w:hAnsi="Arial" w:cs="Arial"/>
          <w:sz w:val="20"/>
          <w:szCs w:val="20"/>
        </w:rPr>
      </w:pPr>
      <w:r w:rsidRPr="00490941">
        <w:rPr>
          <w:rFonts w:ascii="Arial" w:hAnsi="Arial" w:cs="Arial"/>
          <w:sz w:val="20"/>
          <w:szCs w:val="20"/>
        </w:rPr>
        <w:t xml:space="preserve">Au </w:t>
      </w:r>
      <w:r w:rsidR="00F21F26">
        <w:rPr>
          <w:rFonts w:ascii="Arial" w:hAnsi="Arial" w:cs="Arial"/>
          <w:sz w:val="20"/>
          <w:szCs w:val="20"/>
        </w:rPr>
        <w:t>deuxième</w:t>
      </w:r>
      <w:r w:rsidRPr="00490941">
        <w:rPr>
          <w:rFonts w:ascii="Arial" w:hAnsi="Arial" w:cs="Arial"/>
          <w:sz w:val="20"/>
          <w:szCs w:val="20"/>
        </w:rPr>
        <w:t xml:space="preserve"> trimestre 2018, la </w:t>
      </w:r>
      <w:r w:rsidRPr="00490941">
        <w:rPr>
          <w:rFonts w:ascii="Arial" w:hAnsi="Arial" w:cs="Arial"/>
          <w:b/>
          <w:bCs/>
          <w:sz w:val="20"/>
          <w:szCs w:val="20"/>
        </w:rPr>
        <w:t>consommation finale des ménages</w:t>
      </w:r>
      <w:r w:rsidRPr="00490941">
        <w:rPr>
          <w:rFonts w:ascii="Arial" w:hAnsi="Arial" w:cs="Arial"/>
          <w:sz w:val="20"/>
          <w:szCs w:val="20"/>
        </w:rPr>
        <w:t xml:space="preserve"> aurait </w:t>
      </w:r>
      <w:r w:rsidR="00CB4A86">
        <w:rPr>
          <w:rFonts w:ascii="Arial" w:hAnsi="Arial" w:cs="Arial"/>
          <w:sz w:val="20"/>
          <w:szCs w:val="20"/>
        </w:rPr>
        <w:t>ralenti</w:t>
      </w:r>
      <w:r w:rsidR="000B0183">
        <w:rPr>
          <w:rFonts w:ascii="Arial" w:hAnsi="Arial" w:cs="Arial"/>
          <w:sz w:val="20"/>
          <w:szCs w:val="20"/>
        </w:rPr>
        <w:t xml:space="preserve"> par rapport à </w:t>
      </w:r>
      <w:r w:rsidR="00863B80">
        <w:rPr>
          <w:rFonts w:ascii="Arial" w:hAnsi="Arial" w:cs="Arial"/>
          <w:sz w:val="20"/>
          <w:szCs w:val="20"/>
        </w:rPr>
        <w:t xml:space="preserve">la même période de </w:t>
      </w:r>
      <w:r w:rsidR="000B0183">
        <w:rPr>
          <w:rFonts w:ascii="Arial" w:hAnsi="Arial" w:cs="Arial"/>
          <w:sz w:val="20"/>
          <w:szCs w:val="20"/>
        </w:rPr>
        <w:t>l’année précédente. D</w:t>
      </w:r>
      <w:r w:rsidRPr="00490941">
        <w:rPr>
          <w:rFonts w:ascii="Arial" w:hAnsi="Arial" w:cs="Arial"/>
          <w:sz w:val="20"/>
          <w:szCs w:val="20"/>
        </w:rPr>
        <w:t>ans un contexte d</w:t>
      </w:r>
      <w:r w:rsidR="009E5F8F">
        <w:rPr>
          <w:rFonts w:ascii="Arial" w:hAnsi="Arial" w:cs="Arial"/>
          <w:sz w:val="20"/>
          <w:szCs w:val="20"/>
        </w:rPr>
        <w:t>’</w:t>
      </w:r>
      <w:r w:rsidR="00EC4CE2">
        <w:rPr>
          <w:rFonts w:ascii="Arial" w:hAnsi="Arial" w:cs="Arial"/>
          <w:sz w:val="20"/>
          <w:szCs w:val="20"/>
        </w:rPr>
        <w:t xml:space="preserve">accélération </w:t>
      </w:r>
      <w:r w:rsidRPr="00490941">
        <w:rPr>
          <w:rFonts w:ascii="Arial" w:hAnsi="Arial" w:cs="Arial"/>
          <w:sz w:val="20"/>
          <w:szCs w:val="20"/>
        </w:rPr>
        <w:t>des prix à la consommation</w:t>
      </w:r>
      <w:r w:rsidR="009E5F8F">
        <w:rPr>
          <w:rFonts w:ascii="Arial" w:hAnsi="Arial" w:cs="Arial"/>
          <w:sz w:val="20"/>
          <w:szCs w:val="20"/>
        </w:rPr>
        <w:t>, notamment alimentaires</w:t>
      </w:r>
      <w:r w:rsidR="000B0183">
        <w:rPr>
          <w:rFonts w:ascii="Arial" w:hAnsi="Arial" w:cs="Arial"/>
          <w:sz w:val="20"/>
          <w:szCs w:val="20"/>
        </w:rPr>
        <w:t xml:space="preserve">, </w:t>
      </w:r>
      <w:r w:rsidRPr="00490941">
        <w:rPr>
          <w:rFonts w:ascii="Arial" w:hAnsi="Arial" w:cs="Arial"/>
          <w:sz w:val="20"/>
          <w:szCs w:val="20"/>
        </w:rPr>
        <w:t xml:space="preserve">elle </w:t>
      </w:r>
      <w:r w:rsidR="0031062E">
        <w:rPr>
          <w:rFonts w:ascii="Arial" w:hAnsi="Arial" w:cs="Arial"/>
          <w:sz w:val="20"/>
          <w:szCs w:val="20"/>
        </w:rPr>
        <w:t xml:space="preserve">se </w:t>
      </w:r>
      <w:r w:rsidRPr="00490941">
        <w:rPr>
          <w:rFonts w:ascii="Arial" w:hAnsi="Arial" w:cs="Arial"/>
          <w:sz w:val="20"/>
          <w:szCs w:val="20"/>
        </w:rPr>
        <w:t xml:space="preserve">serait accrue de </w:t>
      </w:r>
      <w:r w:rsidR="000B0183">
        <w:rPr>
          <w:rFonts w:ascii="Arial" w:hAnsi="Arial" w:cs="Arial"/>
          <w:sz w:val="20"/>
          <w:szCs w:val="20"/>
        </w:rPr>
        <w:t>2</w:t>
      </w:r>
      <w:r w:rsidRPr="00490941">
        <w:rPr>
          <w:rFonts w:ascii="Arial" w:hAnsi="Arial" w:cs="Arial"/>
          <w:sz w:val="20"/>
          <w:szCs w:val="20"/>
        </w:rPr>
        <w:t>,</w:t>
      </w:r>
      <w:r w:rsidR="000B0183">
        <w:rPr>
          <w:rFonts w:ascii="Arial" w:hAnsi="Arial" w:cs="Arial"/>
          <w:sz w:val="20"/>
          <w:szCs w:val="20"/>
        </w:rPr>
        <w:t>9</w:t>
      </w:r>
      <w:r w:rsidRPr="00490941">
        <w:rPr>
          <w:rFonts w:ascii="Arial" w:hAnsi="Arial" w:cs="Arial"/>
          <w:sz w:val="20"/>
          <w:szCs w:val="20"/>
        </w:rPr>
        <w:t xml:space="preserve">%, en </w:t>
      </w:r>
      <w:r w:rsidR="000B0183">
        <w:rPr>
          <w:rFonts w:ascii="Arial" w:hAnsi="Arial" w:cs="Arial"/>
          <w:sz w:val="20"/>
          <w:szCs w:val="20"/>
        </w:rPr>
        <w:t>volume</w:t>
      </w:r>
      <w:r w:rsidRPr="00490941">
        <w:rPr>
          <w:rFonts w:ascii="Arial" w:hAnsi="Arial" w:cs="Arial"/>
          <w:sz w:val="20"/>
          <w:szCs w:val="20"/>
        </w:rPr>
        <w:t>, contribuant pour environ +</w:t>
      </w:r>
      <w:r w:rsidR="00AB39BB">
        <w:rPr>
          <w:rFonts w:ascii="Arial" w:hAnsi="Arial" w:cs="Arial"/>
          <w:sz w:val="20"/>
          <w:szCs w:val="20"/>
        </w:rPr>
        <w:t>1</w:t>
      </w:r>
      <w:r w:rsidRPr="00490941">
        <w:rPr>
          <w:rFonts w:ascii="Arial" w:hAnsi="Arial" w:cs="Arial"/>
          <w:sz w:val="20"/>
          <w:szCs w:val="20"/>
        </w:rPr>
        <w:t>,</w:t>
      </w:r>
      <w:r w:rsidR="000B0183">
        <w:rPr>
          <w:rFonts w:ascii="Arial" w:hAnsi="Arial" w:cs="Arial"/>
          <w:sz w:val="20"/>
          <w:szCs w:val="20"/>
        </w:rPr>
        <w:t>7</w:t>
      </w:r>
      <w:r w:rsidRPr="00490941">
        <w:rPr>
          <w:rFonts w:ascii="Arial" w:hAnsi="Arial" w:cs="Arial"/>
          <w:sz w:val="20"/>
          <w:szCs w:val="20"/>
        </w:rPr>
        <w:t xml:space="preserve"> point à la croissance globale du PIB, au lieu de +2,</w:t>
      </w:r>
      <w:r w:rsidR="00894426">
        <w:rPr>
          <w:rFonts w:ascii="Arial" w:hAnsi="Arial" w:cs="Arial"/>
          <w:sz w:val="20"/>
          <w:szCs w:val="20"/>
        </w:rPr>
        <w:t>7</w:t>
      </w:r>
      <w:r w:rsidRPr="00490941">
        <w:rPr>
          <w:rFonts w:ascii="Arial" w:hAnsi="Arial" w:cs="Arial"/>
          <w:sz w:val="20"/>
          <w:szCs w:val="20"/>
        </w:rPr>
        <w:t xml:space="preserve">points un an plus tôt. Les dépenses de consommation auraient continué de profiter aux produits importés ; les importations de biens finis de consommation auraient progressé d’environ </w:t>
      </w:r>
      <w:r w:rsidR="001541B1">
        <w:rPr>
          <w:rFonts w:ascii="Arial" w:hAnsi="Arial" w:cs="Arial"/>
          <w:sz w:val="20"/>
          <w:szCs w:val="20"/>
        </w:rPr>
        <w:t>6,3</w:t>
      </w:r>
      <w:r w:rsidRPr="00490941">
        <w:rPr>
          <w:rFonts w:ascii="Arial" w:hAnsi="Arial" w:cs="Arial"/>
          <w:sz w:val="20"/>
          <w:szCs w:val="20"/>
        </w:rPr>
        <w:t xml:space="preserve">%, en glissement annuel. </w:t>
      </w:r>
      <w:r w:rsidR="004740E4">
        <w:rPr>
          <w:rFonts w:ascii="Arial" w:hAnsi="Arial" w:cs="Arial"/>
          <w:sz w:val="20"/>
          <w:szCs w:val="20"/>
        </w:rPr>
        <w:t xml:space="preserve">Elles </w:t>
      </w:r>
      <w:r w:rsidRPr="00490941">
        <w:rPr>
          <w:rFonts w:ascii="Arial" w:hAnsi="Arial" w:cs="Arial"/>
          <w:sz w:val="20"/>
          <w:szCs w:val="20"/>
        </w:rPr>
        <w:t xml:space="preserve">auraient été </w:t>
      </w:r>
      <w:r w:rsidR="0074228A">
        <w:rPr>
          <w:rFonts w:ascii="Arial" w:hAnsi="Arial" w:cs="Arial"/>
          <w:sz w:val="20"/>
          <w:szCs w:val="20"/>
        </w:rPr>
        <w:t>soutenues</w:t>
      </w:r>
      <w:r w:rsidRPr="00490941">
        <w:rPr>
          <w:rFonts w:ascii="Arial" w:hAnsi="Arial" w:cs="Arial"/>
          <w:sz w:val="20"/>
          <w:szCs w:val="20"/>
        </w:rPr>
        <w:t xml:space="preserve">, entre autres, par un accroissement de </w:t>
      </w:r>
      <w:r w:rsidR="001541B1">
        <w:rPr>
          <w:rFonts w:ascii="Arial" w:hAnsi="Arial" w:cs="Arial"/>
          <w:sz w:val="20"/>
          <w:szCs w:val="20"/>
        </w:rPr>
        <w:t>6</w:t>
      </w:r>
      <w:r w:rsidRPr="00490941">
        <w:rPr>
          <w:rFonts w:ascii="Arial" w:hAnsi="Arial" w:cs="Arial"/>
          <w:sz w:val="20"/>
          <w:szCs w:val="20"/>
        </w:rPr>
        <w:t xml:space="preserve">% des recettes des MRE et une progression de </w:t>
      </w:r>
      <w:r w:rsidR="00791EE6">
        <w:rPr>
          <w:rFonts w:ascii="Arial" w:hAnsi="Arial" w:cs="Arial" w:hint="cs"/>
          <w:sz w:val="20"/>
          <w:szCs w:val="20"/>
          <w:rtl/>
        </w:rPr>
        <w:t>5</w:t>
      </w:r>
      <w:r w:rsidRPr="00490941">
        <w:rPr>
          <w:rFonts w:ascii="Arial" w:hAnsi="Arial" w:cs="Arial"/>
          <w:sz w:val="20"/>
          <w:szCs w:val="20"/>
        </w:rPr>
        <w:t>,</w:t>
      </w:r>
      <w:r w:rsidR="00791EE6">
        <w:rPr>
          <w:rFonts w:ascii="Arial" w:hAnsi="Arial" w:cs="Arial" w:hint="cs"/>
          <w:sz w:val="20"/>
          <w:szCs w:val="20"/>
          <w:rtl/>
        </w:rPr>
        <w:t>6</w:t>
      </w:r>
      <w:r w:rsidRPr="00490941">
        <w:rPr>
          <w:rFonts w:ascii="Arial" w:hAnsi="Arial" w:cs="Arial"/>
          <w:sz w:val="20"/>
          <w:szCs w:val="20"/>
        </w:rPr>
        <w:t xml:space="preserve">% des crédits à la consommation. Pour sa part, la </w:t>
      </w:r>
      <w:r w:rsidR="0028158F">
        <w:rPr>
          <w:rFonts w:ascii="Arial" w:hAnsi="Arial" w:cs="Arial"/>
          <w:sz w:val="20"/>
          <w:szCs w:val="20"/>
        </w:rPr>
        <w:t>consommation</w:t>
      </w:r>
      <w:r w:rsidRPr="00490941">
        <w:rPr>
          <w:rFonts w:ascii="Arial" w:hAnsi="Arial" w:cs="Arial"/>
          <w:sz w:val="20"/>
          <w:szCs w:val="20"/>
        </w:rPr>
        <w:t xml:space="preserve"> des administrations publiques se serait affermie d</w:t>
      </w:r>
      <w:r w:rsidR="0031062E">
        <w:rPr>
          <w:rFonts w:ascii="Arial" w:hAnsi="Arial" w:cs="Arial"/>
          <w:sz w:val="20"/>
          <w:szCs w:val="20"/>
        </w:rPr>
        <w:t>e</w:t>
      </w:r>
      <w:r w:rsidR="00AC3641">
        <w:rPr>
          <w:rFonts w:ascii="Arial" w:hAnsi="Arial" w:cs="Arial"/>
          <w:sz w:val="20"/>
          <w:szCs w:val="20"/>
        </w:rPr>
        <w:t xml:space="preserve"> </w:t>
      </w:r>
      <w:r w:rsidR="00AB39BB">
        <w:rPr>
          <w:rFonts w:ascii="Arial" w:hAnsi="Arial" w:cs="Arial"/>
          <w:sz w:val="20"/>
          <w:szCs w:val="20"/>
        </w:rPr>
        <w:t>2</w:t>
      </w:r>
      <w:r w:rsidRPr="00490941">
        <w:rPr>
          <w:rFonts w:ascii="Arial" w:hAnsi="Arial" w:cs="Arial"/>
          <w:sz w:val="20"/>
          <w:szCs w:val="20"/>
        </w:rPr>
        <w:t>,</w:t>
      </w:r>
      <w:r w:rsidR="00AB39BB">
        <w:rPr>
          <w:rFonts w:ascii="Arial" w:hAnsi="Arial" w:cs="Arial"/>
          <w:sz w:val="20"/>
          <w:szCs w:val="20"/>
        </w:rPr>
        <w:t>6</w:t>
      </w:r>
      <w:r w:rsidRPr="00490941">
        <w:rPr>
          <w:rFonts w:ascii="Arial" w:hAnsi="Arial" w:cs="Arial"/>
          <w:sz w:val="20"/>
          <w:szCs w:val="20"/>
        </w:rPr>
        <w:t>%, sous l’effet d’un</w:t>
      </w:r>
      <w:r w:rsidR="0028158F">
        <w:rPr>
          <w:rFonts w:ascii="Arial" w:hAnsi="Arial" w:cs="Arial"/>
          <w:sz w:val="20"/>
          <w:szCs w:val="20"/>
        </w:rPr>
        <w:t>e</w:t>
      </w:r>
      <w:r w:rsidRPr="00490941">
        <w:rPr>
          <w:rFonts w:ascii="Arial" w:hAnsi="Arial" w:cs="Arial"/>
          <w:sz w:val="20"/>
          <w:szCs w:val="20"/>
        </w:rPr>
        <w:t xml:space="preserve"> hausse des dépenses de fonctionnement.</w:t>
      </w:r>
    </w:p>
    <w:p w:rsidR="0081799F" w:rsidRPr="00CB3F01" w:rsidRDefault="003331B9" w:rsidP="0081799F">
      <w:pPr>
        <w:autoSpaceDE w:val="0"/>
        <w:autoSpaceDN w:val="0"/>
        <w:adjustRightInd w:val="0"/>
        <w:jc w:val="both"/>
        <w:rPr>
          <w:rFonts w:asciiTheme="minorBidi" w:hAnsiTheme="minorBidi" w:cstheme="minorBidi"/>
        </w:rPr>
      </w:pPr>
      <w:r>
        <w:rPr>
          <w:rFonts w:asciiTheme="minorBidi" w:hAnsiTheme="minorBidi" w:cstheme="minorBidi"/>
          <w:noProof/>
        </w:rPr>
        <w:drawing>
          <wp:anchor distT="0" distB="0" distL="114300" distR="114300" simplePos="0" relativeHeight="251795456" behindDoc="0" locked="0" layoutInCell="1" allowOverlap="1">
            <wp:simplePos x="0" y="0"/>
            <wp:positionH relativeFrom="column">
              <wp:posOffset>4481830</wp:posOffset>
            </wp:positionH>
            <wp:positionV relativeFrom="paragraph">
              <wp:posOffset>49530</wp:posOffset>
            </wp:positionV>
            <wp:extent cx="2058035" cy="1785620"/>
            <wp:effectExtent l="1905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058035" cy="1785620"/>
                    </a:xfrm>
                    <a:prstGeom prst="rect">
                      <a:avLst/>
                    </a:prstGeom>
                    <a:noFill/>
                    <a:ln w="9525">
                      <a:noFill/>
                      <a:miter lim="800000"/>
                      <a:headEnd/>
                      <a:tailEnd/>
                    </a:ln>
                  </pic:spPr>
                </pic:pic>
              </a:graphicData>
            </a:graphic>
          </wp:anchor>
        </w:drawing>
      </w:r>
    </w:p>
    <w:p w:rsidR="00490941" w:rsidRPr="00490941" w:rsidRDefault="00490941" w:rsidP="00B752DB">
      <w:pPr>
        <w:jc w:val="both"/>
        <w:rPr>
          <w:rFonts w:ascii="Arial" w:hAnsi="Arial" w:cs="Arial"/>
          <w:sz w:val="20"/>
          <w:szCs w:val="20"/>
        </w:rPr>
      </w:pPr>
      <w:r w:rsidRPr="00490941">
        <w:rPr>
          <w:rFonts w:ascii="Arial" w:hAnsi="Arial" w:cs="Arial"/>
          <w:sz w:val="20"/>
          <w:szCs w:val="20"/>
        </w:rPr>
        <w:t xml:space="preserve">La </w:t>
      </w:r>
      <w:r w:rsidRPr="00410B05">
        <w:rPr>
          <w:rFonts w:ascii="Arial" w:hAnsi="Arial" w:cs="Arial"/>
          <w:b/>
          <w:bCs/>
          <w:sz w:val="20"/>
          <w:szCs w:val="20"/>
        </w:rPr>
        <w:t xml:space="preserve">formation brute de capital </w:t>
      </w:r>
      <w:r w:rsidRPr="00490941">
        <w:rPr>
          <w:rFonts w:ascii="Arial" w:hAnsi="Arial" w:cs="Arial"/>
          <w:sz w:val="20"/>
          <w:szCs w:val="20"/>
        </w:rPr>
        <w:t xml:space="preserve">(FBC), en volume, </w:t>
      </w:r>
      <w:r w:rsidR="0031062E">
        <w:rPr>
          <w:rFonts w:ascii="Arial" w:hAnsi="Arial" w:cs="Arial"/>
          <w:sz w:val="20"/>
          <w:szCs w:val="20"/>
        </w:rPr>
        <w:t xml:space="preserve">aurait </w:t>
      </w:r>
      <w:r w:rsidR="00F31B33">
        <w:rPr>
          <w:rFonts w:ascii="Arial" w:hAnsi="Arial" w:cs="Arial"/>
          <w:sz w:val="20"/>
          <w:szCs w:val="20"/>
        </w:rPr>
        <w:t>progress</w:t>
      </w:r>
      <w:r w:rsidR="0031062E">
        <w:rPr>
          <w:rFonts w:ascii="Arial" w:hAnsi="Arial" w:cs="Arial"/>
          <w:sz w:val="20"/>
          <w:szCs w:val="20"/>
        </w:rPr>
        <w:t>é</w:t>
      </w:r>
      <w:r w:rsidRPr="00490941">
        <w:rPr>
          <w:rFonts w:ascii="Arial" w:hAnsi="Arial" w:cs="Arial"/>
          <w:sz w:val="20"/>
          <w:szCs w:val="20"/>
        </w:rPr>
        <w:t xml:space="preserve"> de </w:t>
      </w:r>
      <w:r w:rsidR="00907B07">
        <w:rPr>
          <w:rFonts w:ascii="Arial" w:hAnsi="Arial" w:cs="Arial"/>
          <w:sz w:val="20"/>
          <w:szCs w:val="20"/>
        </w:rPr>
        <w:t>3</w:t>
      </w:r>
      <w:r w:rsidRPr="00490941">
        <w:rPr>
          <w:rFonts w:ascii="Arial" w:hAnsi="Arial" w:cs="Arial"/>
          <w:sz w:val="20"/>
          <w:szCs w:val="20"/>
        </w:rPr>
        <w:t>,</w:t>
      </w:r>
      <w:r w:rsidR="00907B07">
        <w:rPr>
          <w:rFonts w:ascii="Arial" w:hAnsi="Arial" w:cs="Arial"/>
          <w:sz w:val="20"/>
          <w:szCs w:val="20"/>
        </w:rPr>
        <w:t>4</w:t>
      </w:r>
      <w:r w:rsidRPr="00490941">
        <w:rPr>
          <w:rFonts w:ascii="Arial" w:hAnsi="Arial" w:cs="Arial"/>
          <w:sz w:val="20"/>
          <w:szCs w:val="20"/>
        </w:rPr>
        <w:t xml:space="preserve">%, au </w:t>
      </w:r>
      <w:r w:rsidR="00F21F26">
        <w:rPr>
          <w:rFonts w:ascii="Arial" w:hAnsi="Arial" w:cs="Arial"/>
          <w:sz w:val="20"/>
          <w:szCs w:val="20"/>
        </w:rPr>
        <w:t>deuxième</w:t>
      </w:r>
      <w:r w:rsidRPr="00490941">
        <w:rPr>
          <w:rFonts w:ascii="Arial" w:hAnsi="Arial" w:cs="Arial"/>
          <w:sz w:val="20"/>
          <w:szCs w:val="20"/>
        </w:rPr>
        <w:t xml:space="preserve"> trimestre 2018, au lieu de +</w:t>
      </w:r>
      <w:r w:rsidR="00907B07">
        <w:rPr>
          <w:rFonts w:ascii="Arial" w:hAnsi="Arial" w:cs="Arial"/>
          <w:sz w:val="20"/>
          <w:szCs w:val="20"/>
        </w:rPr>
        <w:t>2</w:t>
      </w:r>
      <w:r w:rsidRPr="00490941">
        <w:rPr>
          <w:rFonts w:ascii="Arial" w:hAnsi="Arial" w:cs="Arial"/>
          <w:sz w:val="20"/>
          <w:szCs w:val="20"/>
        </w:rPr>
        <w:t>,</w:t>
      </w:r>
      <w:r w:rsidR="00907B07">
        <w:rPr>
          <w:rFonts w:ascii="Arial" w:hAnsi="Arial" w:cs="Arial"/>
          <w:sz w:val="20"/>
          <w:szCs w:val="20"/>
        </w:rPr>
        <w:t>8</w:t>
      </w:r>
      <w:r w:rsidRPr="00490941">
        <w:rPr>
          <w:rFonts w:ascii="Arial" w:hAnsi="Arial" w:cs="Arial"/>
          <w:sz w:val="20"/>
          <w:szCs w:val="20"/>
        </w:rPr>
        <w:t>% une année auparavant, contribuant pour près de +</w:t>
      </w:r>
      <w:r w:rsidR="00907B07">
        <w:rPr>
          <w:rFonts w:ascii="Arial" w:hAnsi="Arial" w:cs="Arial"/>
          <w:sz w:val="20"/>
          <w:szCs w:val="20"/>
        </w:rPr>
        <w:t xml:space="preserve">1,2 </w:t>
      </w:r>
      <w:r w:rsidRPr="00490941">
        <w:rPr>
          <w:rFonts w:ascii="Arial" w:hAnsi="Arial" w:cs="Arial"/>
          <w:sz w:val="20"/>
          <w:szCs w:val="20"/>
        </w:rPr>
        <w:t>point à la croissance du PIB. Cette évolution aurait été, particulièrement, tirée par une hausse de l‘investissement en produits industriels, dans le sillage d’un accroissement de 1</w:t>
      </w:r>
      <w:r w:rsidR="00791EE6">
        <w:rPr>
          <w:rFonts w:ascii="Arial" w:hAnsi="Arial" w:cs="Arial" w:hint="cs"/>
          <w:sz w:val="20"/>
          <w:szCs w:val="20"/>
          <w:rtl/>
        </w:rPr>
        <w:t>3</w:t>
      </w:r>
      <w:r w:rsidR="00B752DB">
        <w:rPr>
          <w:rFonts w:ascii="Arial" w:hAnsi="Arial" w:cs="Arial"/>
          <w:sz w:val="20"/>
          <w:szCs w:val="20"/>
        </w:rPr>
        <w:t>,</w:t>
      </w:r>
      <w:r w:rsidR="00791EE6">
        <w:rPr>
          <w:rFonts w:ascii="Arial" w:hAnsi="Arial" w:cs="Arial" w:hint="cs"/>
          <w:sz w:val="20"/>
          <w:szCs w:val="20"/>
          <w:rtl/>
        </w:rPr>
        <w:t>7</w:t>
      </w:r>
      <w:r w:rsidRPr="00490941">
        <w:rPr>
          <w:rFonts w:ascii="Arial" w:hAnsi="Arial" w:cs="Arial"/>
          <w:sz w:val="20"/>
          <w:szCs w:val="20"/>
        </w:rPr>
        <w:t xml:space="preserve">% des crédits à l’équipement et d’une progression de </w:t>
      </w:r>
      <w:r w:rsidR="001541B1">
        <w:rPr>
          <w:rFonts w:ascii="Arial" w:hAnsi="Arial" w:cs="Arial"/>
          <w:sz w:val="20"/>
          <w:szCs w:val="20"/>
        </w:rPr>
        <w:t>10</w:t>
      </w:r>
      <w:r w:rsidRPr="00490941">
        <w:rPr>
          <w:rFonts w:ascii="Arial" w:hAnsi="Arial" w:cs="Arial"/>
          <w:sz w:val="20"/>
          <w:szCs w:val="20"/>
        </w:rPr>
        <w:t xml:space="preserve">% des importations de biens d’équipement. Pour sa part, l’investissement public en infrastructures de base se serait renforcé par rapport à l’année précédente, tandis que l’investissement en </w:t>
      </w:r>
      <w:r w:rsidR="004740E4">
        <w:rPr>
          <w:rFonts w:ascii="Arial" w:hAnsi="Arial" w:cs="Arial"/>
          <w:sz w:val="20"/>
          <w:szCs w:val="20"/>
        </w:rPr>
        <w:t xml:space="preserve">bâtiment </w:t>
      </w:r>
      <w:r w:rsidRPr="00490941">
        <w:rPr>
          <w:rFonts w:ascii="Arial" w:hAnsi="Arial" w:cs="Arial"/>
          <w:sz w:val="20"/>
          <w:szCs w:val="20"/>
        </w:rPr>
        <w:t>aurait poursuivi son ralentissement entamé depuis la mi-20</w:t>
      </w:r>
      <w:r w:rsidR="004740E4">
        <w:rPr>
          <w:rFonts w:ascii="Arial" w:hAnsi="Arial" w:cs="Arial"/>
          <w:sz w:val="20"/>
          <w:szCs w:val="20"/>
        </w:rPr>
        <w:t>12</w:t>
      </w:r>
      <w:r w:rsidRPr="00490941">
        <w:rPr>
          <w:rFonts w:ascii="Arial" w:hAnsi="Arial" w:cs="Arial"/>
          <w:sz w:val="20"/>
          <w:szCs w:val="20"/>
        </w:rPr>
        <w:t>, pâtissant de</w:t>
      </w:r>
      <w:r w:rsidR="004740E4">
        <w:rPr>
          <w:rFonts w:ascii="Arial" w:hAnsi="Arial" w:cs="Arial"/>
          <w:sz w:val="20"/>
          <w:szCs w:val="20"/>
        </w:rPr>
        <w:t xml:space="preserve"> la</w:t>
      </w:r>
      <w:r w:rsidRPr="00490941">
        <w:rPr>
          <w:rFonts w:ascii="Arial" w:hAnsi="Arial" w:cs="Arial"/>
          <w:sz w:val="20"/>
          <w:szCs w:val="20"/>
        </w:rPr>
        <w:t xml:space="preserve"> faiblesse de la demande adressée </w:t>
      </w:r>
      <w:r w:rsidR="00B752DB">
        <w:rPr>
          <w:rFonts w:ascii="Arial" w:hAnsi="Arial" w:cs="Arial"/>
          <w:sz w:val="20"/>
          <w:szCs w:val="20"/>
        </w:rPr>
        <w:t>au logement résidentiel</w:t>
      </w:r>
      <w:r w:rsidR="003F2D72">
        <w:rPr>
          <w:rFonts w:ascii="Arial" w:hAnsi="Arial" w:cs="Arial"/>
          <w:sz w:val="20"/>
          <w:szCs w:val="20"/>
        </w:rPr>
        <w:t>,</w:t>
      </w:r>
      <w:r w:rsidR="00B752DB">
        <w:rPr>
          <w:rFonts w:ascii="Arial" w:hAnsi="Arial" w:cs="Arial"/>
          <w:sz w:val="20"/>
          <w:szCs w:val="20"/>
        </w:rPr>
        <w:t xml:space="preserve"> notamment </w:t>
      </w:r>
      <w:r w:rsidRPr="00490941">
        <w:rPr>
          <w:rFonts w:ascii="Arial" w:hAnsi="Arial" w:cs="Arial"/>
          <w:sz w:val="20"/>
          <w:szCs w:val="20"/>
        </w:rPr>
        <w:t>de moyen et haut standing.</w:t>
      </w:r>
    </w:p>
    <w:p w:rsidR="00490941" w:rsidRDefault="00490941" w:rsidP="00D607B7">
      <w:pPr>
        <w:jc w:val="both"/>
        <w:rPr>
          <w:rFonts w:ascii="Arial" w:hAnsi="Arial" w:cs="Arial"/>
          <w:b/>
          <w:bCs/>
          <w:color w:val="800000"/>
          <w:kern w:val="28"/>
          <w:sz w:val="20"/>
          <w:szCs w:val="20"/>
        </w:rPr>
      </w:pPr>
    </w:p>
    <w:p w:rsidR="007D0044" w:rsidRDefault="0010176B" w:rsidP="00CE135C">
      <w:pPr>
        <w:jc w:val="both"/>
        <w:rPr>
          <w:rFonts w:ascii="Arial" w:hAnsi="Arial" w:cs="Arial"/>
          <w:b/>
          <w:bCs/>
          <w:color w:val="800000"/>
          <w:kern w:val="28"/>
          <w:sz w:val="20"/>
          <w:szCs w:val="20"/>
        </w:rPr>
      </w:pPr>
      <w:r>
        <w:rPr>
          <w:rFonts w:ascii="Arial" w:hAnsi="Arial" w:cs="Arial"/>
          <w:b/>
          <w:bCs/>
          <w:color w:val="800000"/>
          <w:kern w:val="28"/>
          <w:sz w:val="20"/>
          <w:szCs w:val="20"/>
        </w:rPr>
        <w:t>Croissance plus soutenue qu’attendu</w:t>
      </w:r>
      <w:r w:rsidR="00CB4A86">
        <w:rPr>
          <w:rFonts w:ascii="Arial" w:hAnsi="Arial" w:cs="Arial"/>
          <w:b/>
          <w:bCs/>
          <w:color w:val="800000"/>
          <w:kern w:val="28"/>
          <w:sz w:val="20"/>
          <w:szCs w:val="20"/>
        </w:rPr>
        <w:t xml:space="preserve"> de l’agriculture</w:t>
      </w:r>
      <w:r w:rsidR="00AC3641">
        <w:rPr>
          <w:rFonts w:ascii="Arial" w:hAnsi="Arial" w:cs="Arial"/>
          <w:b/>
          <w:bCs/>
          <w:color w:val="800000"/>
          <w:kern w:val="28"/>
          <w:sz w:val="20"/>
          <w:szCs w:val="20"/>
        </w:rPr>
        <w:t xml:space="preserve"> </w:t>
      </w:r>
      <w:r w:rsidR="003207C5">
        <w:rPr>
          <w:rFonts w:ascii="Arial" w:hAnsi="Arial" w:cs="Arial"/>
          <w:b/>
          <w:bCs/>
          <w:color w:val="800000"/>
          <w:kern w:val="28"/>
          <w:sz w:val="20"/>
          <w:szCs w:val="20"/>
        </w:rPr>
        <w:t>au deuxième trimestre 2018</w:t>
      </w:r>
    </w:p>
    <w:p w:rsidR="007D0044" w:rsidRPr="007D0044" w:rsidRDefault="007D0044" w:rsidP="007D0044">
      <w:pPr>
        <w:jc w:val="both"/>
        <w:rPr>
          <w:rFonts w:ascii="Arial" w:hAnsi="Arial" w:cs="Arial"/>
          <w:b/>
          <w:bCs/>
          <w:color w:val="800000"/>
          <w:kern w:val="28"/>
          <w:sz w:val="20"/>
          <w:szCs w:val="20"/>
        </w:rPr>
      </w:pPr>
    </w:p>
    <w:p w:rsidR="00EB1731" w:rsidRPr="00BB7D2A" w:rsidRDefault="005578EE" w:rsidP="008F2673">
      <w:pPr>
        <w:jc w:val="both"/>
        <w:rPr>
          <w:rFonts w:asciiTheme="minorBidi" w:hAnsiTheme="minorBidi" w:cstheme="minorBidi"/>
          <w:sz w:val="20"/>
          <w:szCs w:val="20"/>
        </w:rPr>
      </w:pPr>
      <w:r>
        <w:rPr>
          <w:rFonts w:asciiTheme="minorBidi" w:hAnsiTheme="minorBidi" w:cstheme="minorBidi"/>
          <w:noProof/>
          <w:sz w:val="20"/>
          <w:szCs w:val="20"/>
        </w:rPr>
        <w:drawing>
          <wp:anchor distT="0" distB="0" distL="114300" distR="114300" simplePos="0" relativeHeight="251796480" behindDoc="0" locked="0" layoutInCell="1" allowOverlap="1">
            <wp:simplePos x="0" y="0"/>
            <wp:positionH relativeFrom="column">
              <wp:posOffset>4490085</wp:posOffset>
            </wp:positionH>
            <wp:positionV relativeFrom="paragraph">
              <wp:posOffset>538480</wp:posOffset>
            </wp:positionV>
            <wp:extent cx="2069465" cy="1819910"/>
            <wp:effectExtent l="19050" t="0" r="6985"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069465" cy="1819910"/>
                    </a:xfrm>
                    <a:prstGeom prst="rect">
                      <a:avLst/>
                    </a:prstGeom>
                    <a:noFill/>
                    <a:ln w="9525">
                      <a:noFill/>
                      <a:miter lim="800000"/>
                      <a:headEnd/>
                      <a:tailEnd/>
                    </a:ln>
                  </pic:spPr>
                </pic:pic>
              </a:graphicData>
            </a:graphic>
          </wp:anchor>
        </w:drawing>
      </w:r>
      <w:r w:rsidR="00EB1731" w:rsidRPr="00BB7D2A">
        <w:rPr>
          <w:rFonts w:asciiTheme="minorBidi" w:hAnsiTheme="minorBidi" w:cstheme="minorBidi"/>
          <w:sz w:val="20"/>
          <w:szCs w:val="20"/>
        </w:rPr>
        <w:t xml:space="preserve">L’activité </w:t>
      </w:r>
      <w:r w:rsidR="00EB1731" w:rsidRPr="00945438">
        <w:rPr>
          <w:rFonts w:asciiTheme="minorBidi" w:hAnsiTheme="minorBidi" w:cstheme="minorBidi"/>
          <w:b/>
          <w:bCs/>
          <w:sz w:val="20"/>
          <w:szCs w:val="20"/>
        </w:rPr>
        <w:t>agricole</w:t>
      </w:r>
      <w:r w:rsidR="00EB1731" w:rsidRPr="00BB7D2A">
        <w:rPr>
          <w:rFonts w:asciiTheme="minorBidi" w:hAnsiTheme="minorBidi" w:cstheme="minorBidi"/>
          <w:sz w:val="20"/>
          <w:szCs w:val="20"/>
        </w:rPr>
        <w:t xml:space="preserve"> aurait progressé à un rythme plus soutenu qu’attendu au deuxième trimestre 2018, grâce notamment à </w:t>
      </w:r>
      <w:r w:rsidR="006E5742">
        <w:rPr>
          <w:rFonts w:asciiTheme="minorBidi" w:hAnsiTheme="minorBidi" w:cstheme="minorBidi"/>
          <w:sz w:val="20"/>
          <w:szCs w:val="20"/>
        </w:rPr>
        <w:t>l’</w:t>
      </w:r>
      <w:r w:rsidR="00EB1731" w:rsidRPr="00BB7D2A">
        <w:rPr>
          <w:rFonts w:asciiTheme="minorBidi" w:hAnsiTheme="minorBidi" w:cstheme="minorBidi"/>
          <w:sz w:val="20"/>
          <w:szCs w:val="20"/>
        </w:rPr>
        <w:t>amélioration des perspectives de récoltes des cultures printanières. La conjonction d’un hiver 2017/2018 humide</w:t>
      </w:r>
      <w:r w:rsidR="001F74A8">
        <w:rPr>
          <w:rFonts w:asciiTheme="minorBidi" w:hAnsiTheme="minorBidi" w:cstheme="minorBidi"/>
          <w:sz w:val="20"/>
          <w:szCs w:val="20"/>
        </w:rPr>
        <w:t xml:space="preserve"> </w:t>
      </w:r>
      <w:r w:rsidR="00EB1731" w:rsidRPr="00BB7D2A">
        <w:rPr>
          <w:rFonts w:asciiTheme="minorBidi" w:hAnsiTheme="minorBidi" w:cstheme="minorBidi"/>
          <w:sz w:val="20"/>
          <w:szCs w:val="20"/>
        </w:rPr>
        <w:t>et d’un printemps 2018 particulièrement pluvieux et ensoleillé aurait favorisé le développement des cultures fruitières, fourragères, des oléagineuses et des céréales de printemps, portant leurs rendements</w:t>
      </w:r>
      <w:r w:rsidR="00974EF9">
        <w:rPr>
          <w:rFonts w:asciiTheme="minorBidi" w:hAnsiTheme="minorBidi" w:cstheme="minorBidi"/>
          <w:sz w:val="20"/>
          <w:szCs w:val="20"/>
        </w:rPr>
        <w:t xml:space="preserve"> </w:t>
      </w:r>
      <w:r w:rsidR="00EB1731" w:rsidRPr="00BB7D2A">
        <w:rPr>
          <w:rFonts w:asciiTheme="minorBidi" w:hAnsiTheme="minorBidi" w:cstheme="minorBidi"/>
          <w:sz w:val="20"/>
          <w:szCs w:val="20"/>
        </w:rPr>
        <w:t>à des niveaux dépassant la moyenne</w:t>
      </w:r>
      <w:r w:rsidR="00EB1731">
        <w:rPr>
          <w:rFonts w:asciiTheme="minorBidi" w:hAnsiTheme="minorBidi"/>
          <w:sz w:val="20"/>
          <w:szCs w:val="20"/>
        </w:rPr>
        <w:t xml:space="preserve"> des années</w:t>
      </w:r>
      <w:r w:rsidR="00EB1731" w:rsidRPr="00BB7D2A">
        <w:rPr>
          <w:rFonts w:asciiTheme="minorBidi" w:hAnsiTheme="minorBidi" w:cstheme="minorBidi"/>
          <w:sz w:val="20"/>
          <w:szCs w:val="20"/>
        </w:rPr>
        <w:t xml:space="preserve"> 2012-2017. </w:t>
      </w:r>
      <w:r w:rsidR="008F2673">
        <w:rPr>
          <w:rFonts w:asciiTheme="minorBidi" w:hAnsiTheme="minorBidi" w:cstheme="minorBidi"/>
          <w:sz w:val="20"/>
          <w:szCs w:val="20"/>
        </w:rPr>
        <w:t>C’est ainsi que</w:t>
      </w:r>
      <w:r w:rsidR="00EB1731" w:rsidRPr="00BB7D2A">
        <w:rPr>
          <w:rFonts w:asciiTheme="minorBidi" w:hAnsiTheme="minorBidi" w:cstheme="minorBidi"/>
          <w:sz w:val="20"/>
          <w:szCs w:val="20"/>
        </w:rPr>
        <w:t xml:space="preserve"> la production végétale aurait conservé un rythme de croissance légèrement au-dessus de son niveau tendanciel, affichant une hausse de 4,8%, </w:t>
      </w:r>
      <w:r w:rsidR="008F2673">
        <w:rPr>
          <w:rFonts w:asciiTheme="minorBidi" w:hAnsiTheme="minorBidi" w:cstheme="minorBidi"/>
          <w:sz w:val="20"/>
          <w:szCs w:val="20"/>
        </w:rPr>
        <w:t>en variation annuelle</w:t>
      </w:r>
      <w:r w:rsidR="00EB1731" w:rsidRPr="00BB7D2A">
        <w:rPr>
          <w:rFonts w:asciiTheme="minorBidi" w:hAnsiTheme="minorBidi" w:cstheme="minorBidi"/>
          <w:sz w:val="20"/>
          <w:szCs w:val="20"/>
        </w:rPr>
        <w:t xml:space="preserve">. </w:t>
      </w:r>
      <w:r w:rsidR="008F2673">
        <w:rPr>
          <w:rFonts w:asciiTheme="minorBidi" w:hAnsiTheme="minorBidi" w:cstheme="minorBidi"/>
          <w:sz w:val="20"/>
          <w:szCs w:val="20"/>
        </w:rPr>
        <w:t>La</w:t>
      </w:r>
      <w:r w:rsidR="001F74A8">
        <w:rPr>
          <w:rFonts w:asciiTheme="minorBidi" w:hAnsiTheme="minorBidi" w:cstheme="minorBidi"/>
          <w:sz w:val="20"/>
          <w:szCs w:val="20"/>
        </w:rPr>
        <w:t xml:space="preserve"> </w:t>
      </w:r>
      <w:r w:rsidR="008F2673">
        <w:rPr>
          <w:rFonts w:asciiTheme="minorBidi" w:hAnsiTheme="minorBidi" w:cstheme="minorBidi"/>
          <w:sz w:val="20"/>
          <w:szCs w:val="20"/>
        </w:rPr>
        <w:t xml:space="preserve">croissance de la </w:t>
      </w:r>
      <w:r w:rsidR="00EB1731" w:rsidRPr="00BB7D2A">
        <w:rPr>
          <w:rFonts w:asciiTheme="minorBidi" w:hAnsiTheme="minorBidi" w:cstheme="minorBidi"/>
          <w:sz w:val="20"/>
          <w:szCs w:val="20"/>
        </w:rPr>
        <w:t xml:space="preserve">production animale </w:t>
      </w:r>
      <w:r w:rsidR="008F2673">
        <w:rPr>
          <w:rFonts w:asciiTheme="minorBidi" w:hAnsiTheme="minorBidi" w:cstheme="minorBidi"/>
          <w:sz w:val="20"/>
          <w:szCs w:val="20"/>
        </w:rPr>
        <w:t>aurait été, pour sa part,</w:t>
      </w:r>
      <w:r w:rsidR="001F74A8">
        <w:rPr>
          <w:rFonts w:asciiTheme="minorBidi" w:hAnsiTheme="minorBidi" w:cstheme="minorBidi"/>
          <w:sz w:val="20"/>
          <w:szCs w:val="20"/>
        </w:rPr>
        <w:t xml:space="preserve"> </w:t>
      </w:r>
      <w:r w:rsidR="008F2673">
        <w:rPr>
          <w:rFonts w:asciiTheme="minorBidi" w:hAnsiTheme="minorBidi" w:cstheme="minorBidi"/>
          <w:sz w:val="20"/>
          <w:szCs w:val="20"/>
        </w:rPr>
        <w:t>dopée par</w:t>
      </w:r>
      <w:r w:rsidR="00EB1731" w:rsidRPr="00BB7D2A">
        <w:rPr>
          <w:rFonts w:asciiTheme="minorBidi" w:hAnsiTheme="minorBidi" w:cstheme="minorBidi"/>
          <w:sz w:val="20"/>
          <w:szCs w:val="20"/>
        </w:rPr>
        <w:t xml:space="preserve"> l’amélioration des</w:t>
      </w:r>
      <w:r w:rsidR="001F74A8">
        <w:rPr>
          <w:rFonts w:asciiTheme="minorBidi" w:hAnsiTheme="minorBidi" w:cstheme="minorBidi"/>
          <w:sz w:val="20"/>
          <w:szCs w:val="20"/>
        </w:rPr>
        <w:t xml:space="preserve"> </w:t>
      </w:r>
      <w:r w:rsidR="00EB1731" w:rsidRPr="00BB7D2A">
        <w:rPr>
          <w:rFonts w:asciiTheme="minorBidi" w:hAnsiTheme="minorBidi" w:cstheme="minorBidi"/>
          <w:sz w:val="20"/>
          <w:szCs w:val="20"/>
        </w:rPr>
        <w:t xml:space="preserve">abattages du grand cheptel, après une stagnation en 2017, et la poursuite du raffermissement des activités </w:t>
      </w:r>
      <w:r w:rsidR="008F2673">
        <w:rPr>
          <w:rFonts w:asciiTheme="minorBidi" w:hAnsiTheme="minorBidi" w:cstheme="minorBidi"/>
          <w:sz w:val="20"/>
          <w:szCs w:val="20"/>
        </w:rPr>
        <w:t xml:space="preserve">liées </w:t>
      </w:r>
      <w:r w:rsidR="00EB1731" w:rsidRPr="00BB7D2A">
        <w:rPr>
          <w:rFonts w:asciiTheme="minorBidi" w:hAnsiTheme="minorBidi" w:cstheme="minorBidi"/>
          <w:sz w:val="20"/>
          <w:szCs w:val="20"/>
        </w:rPr>
        <w:t xml:space="preserve">à l’élevage hors lait. </w:t>
      </w:r>
      <w:r w:rsidR="002D25BE">
        <w:rPr>
          <w:rFonts w:asciiTheme="minorBidi" w:hAnsiTheme="minorBidi" w:cstheme="minorBidi"/>
          <w:sz w:val="20"/>
          <w:szCs w:val="20"/>
        </w:rPr>
        <w:t xml:space="preserve">En revanche, l’activité </w:t>
      </w:r>
      <w:r w:rsidR="002D25BE" w:rsidRPr="002D25BE">
        <w:rPr>
          <w:rFonts w:asciiTheme="minorBidi" w:hAnsiTheme="minorBidi" w:cstheme="minorBidi"/>
          <w:sz w:val="20"/>
          <w:szCs w:val="20"/>
        </w:rPr>
        <w:t>avico</w:t>
      </w:r>
      <w:r w:rsidR="00505E0C" w:rsidRPr="002D25BE">
        <w:rPr>
          <w:rFonts w:asciiTheme="minorBidi" w:hAnsiTheme="minorBidi" w:cstheme="minorBidi"/>
          <w:sz w:val="20"/>
          <w:szCs w:val="20"/>
        </w:rPr>
        <w:t xml:space="preserve">le </w:t>
      </w:r>
      <w:r w:rsidR="008F2673">
        <w:rPr>
          <w:rFonts w:asciiTheme="minorBidi" w:hAnsiTheme="minorBidi" w:cstheme="minorBidi"/>
          <w:sz w:val="20"/>
          <w:szCs w:val="20"/>
        </w:rPr>
        <w:t xml:space="preserve">aurait affiché un sensible ralentissement </w:t>
      </w:r>
      <w:r w:rsidR="002D25BE" w:rsidRPr="002D25BE">
        <w:rPr>
          <w:rFonts w:asciiTheme="minorBidi" w:hAnsiTheme="minorBidi" w:cstheme="minorBidi"/>
          <w:sz w:val="20"/>
          <w:szCs w:val="20"/>
        </w:rPr>
        <w:t>dès le début de l’année 2018</w:t>
      </w:r>
      <w:r w:rsidR="00505E0C" w:rsidRPr="002D25BE">
        <w:rPr>
          <w:rFonts w:asciiTheme="minorBidi" w:hAnsiTheme="minorBidi" w:cstheme="minorBidi"/>
          <w:sz w:val="20"/>
          <w:szCs w:val="20"/>
        </w:rPr>
        <w:t xml:space="preserve">, </w:t>
      </w:r>
      <w:r w:rsidR="002D25BE" w:rsidRPr="002D25BE">
        <w:rPr>
          <w:rFonts w:asciiTheme="minorBidi" w:hAnsiTheme="minorBidi" w:cstheme="minorBidi"/>
          <w:sz w:val="20"/>
          <w:szCs w:val="20"/>
        </w:rPr>
        <w:t xml:space="preserve">après </w:t>
      </w:r>
      <w:r w:rsidR="008F2673">
        <w:rPr>
          <w:rFonts w:asciiTheme="minorBidi" w:hAnsiTheme="minorBidi" w:cstheme="minorBidi"/>
          <w:sz w:val="20"/>
          <w:szCs w:val="20"/>
        </w:rPr>
        <w:t>une</w:t>
      </w:r>
      <w:r w:rsidR="002D25BE" w:rsidRPr="002D25BE">
        <w:rPr>
          <w:rFonts w:asciiTheme="minorBidi" w:hAnsiTheme="minorBidi" w:cstheme="minorBidi"/>
          <w:sz w:val="20"/>
          <w:szCs w:val="20"/>
        </w:rPr>
        <w:t xml:space="preserve"> hausse de 17% en 2017 </w:t>
      </w:r>
      <w:r w:rsidR="008F2673">
        <w:rPr>
          <w:rFonts w:asciiTheme="minorBidi" w:hAnsiTheme="minorBidi" w:cstheme="minorBidi"/>
          <w:sz w:val="20"/>
          <w:szCs w:val="20"/>
        </w:rPr>
        <w:t>attribuable au</w:t>
      </w:r>
      <w:r w:rsidR="001F74A8">
        <w:rPr>
          <w:rFonts w:asciiTheme="minorBidi" w:hAnsiTheme="minorBidi" w:cstheme="minorBidi"/>
          <w:sz w:val="20"/>
          <w:szCs w:val="20"/>
        </w:rPr>
        <w:t xml:space="preserve"> </w:t>
      </w:r>
      <w:r w:rsidR="00505E0C" w:rsidRPr="002D25BE">
        <w:rPr>
          <w:rFonts w:asciiTheme="minorBidi" w:hAnsiTheme="minorBidi" w:cstheme="minorBidi"/>
          <w:sz w:val="20"/>
          <w:szCs w:val="20"/>
        </w:rPr>
        <w:t xml:space="preserve">redressement des abattages du poulet de chair et des dindes et </w:t>
      </w:r>
      <w:r w:rsidR="008F2673">
        <w:rPr>
          <w:rFonts w:asciiTheme="minorBidi" w:hAnsiTheme="minorBidi" w:cstheme="minorBidi"/>
          <w:sz w:val="20"/>
          <w:szCs w:val="20"/>
        </w:rPr>
        <w:t>au</w:t>
      </w:r>
      <w:r w:rsidR="00505E0C" w:rsidRPr="002D25BE">
        <w:rPr>
          <w:rFonts w:asciiTheme="minorBidi" w:hAnsiTheme="minorBidi" w:cstheme="minorBidi"/>
          <w:sz w:val="20"/>
          <w:szCs w:val="20"/>
        </w:rPr>
        <w:t xml:space="preserve"> bondissement de la production des œufs.</w:t>
      </w:r>
      <w:r w:rsidR="001F74A8">
        <w:rPr>
          <w:rFonts w:asciiTheme="minorBidi" w:hAnsiTheme="minorBidi" w:cstheme="minorBidi"/>
          <w:sz w:val="20"/>
          <w:szCs w:val="20"/>
        </w:rPr>
        <w:t xml:space="preserve"> </w:t>
      </w:r>
      <w:r w:rsidR="00EB1731" w:rsidRPr="00BB7D2A">
        <w:rPr>
          <w:rFonts w:asciiTheme="minorBidi" w:hAnsiTheme="minorBidi" w:cstheme="minorBidi"/>
          <w:sz w:val="20"/>
          <w:szCs w:val="20"/>
        </w:rPr>
        <w:t>Au total, la valeur ajoutée agricole aurait progressé de 3,1%, au deuxième trimestre 2018, en variation annuelle, après avoir crû de 2,5% un trimestre auparavant.</w:t>
      </w:r>
    </w:p>
    <w:p w:rsidR="00A101EF" w:rsidRPr="002A1388" w:rsidRDefault="00A101EF" w:rsidP="00A101EF">
      <w:pPr>
        <w:jc w:val="both"/>
        <w:rPr>
          <w:rFonts w:ascii="Arial" w:hAnsi="Arial" w:cs="Arial"/>
          <w:sz w:val="20"/>
          <w:szCs w:val="20"/>
        </w:rPr>
      </w:pPr>
    </w:p>
    <w:p w:rsidR="0097276B" w:rsidRDefault="003A015F" w:rsidP="003A015F">
      <w:pPr>
        <w:jc w:val="both"/>
        <w:rPr>
          <w:rFonts w:ascii="Arial" w:hAnsi="Arial" w:cs="Arial"/>
          <w:b/>
          <w:bCs/>
          <w:color w:val="800000"/>
          <w:kern w:val="28"/>
          <w:sz w:val="20"/>
          <w:szCs w:val="20"/>
        </w:rPr>
      </w:pPr>
      <w:r>
        <w:rPr>
          <w:rFonts w:ascii="Arial" w:hAnsi="Arial" w:cs="Arial"/>
          <w:b/>
          <w:bCs/>
          <w:color w:val="800000"/>
          <w:kern w:val="28"/>
          <w:sz w:val="20"/>
          <w:szCs w:val="20"/>
        </w:rPr>
        <w:t xml:space="preserve">Léger ralentissement des </w:t>
      </w:r>
      <w:r w:rsidR="0097276B">
        <w:rPr>
          <w:rFonts w:ascii="Arial" w:hAnsi="Arial" w:cs="Arial"/>
          <w:b/>
          <w:bCs/>
          <w:color w:val="800000"/>
          <w:kern w:val="28"/>
          <w:sz w:val="20"/>
          <w:szCs w:val="20"/>
        </w:rPr>
        <w:t>activités hors agriculture</w:t>
      </w:r>
    </w:p>
    <w:p w:rsidR="0097276B" w:rsidRDefault="0097276B" w:rsidP="005F2599">
      <w:pPr>
        <w:jc w:val="both"/>
        <w:rPr>
          <w:rFonts w:ascii="Arial" w:hAnsi="Arial" w:cs="Arial"/>
          <w:sz w:val="20"/>
          <w:szCs w:val="20"/>
        </w:rPr>
      </w:pPr>
    </w:p>
    <w:p w:rsidR="00573FD3" w:rsidRPr="005F2599" w:rsidRDefault="003C119B" w:rsidP="00974EF9">
      <w:pPr>
        <w:jc w:val="both"/>
        <w:rPr>
          <w:rFonts w:ascii="Arial" w:hAnsi="Arial" w:cs="Arial"/>
          <w:sz w:val="20"/>
          <w:szCs w:val="20"/>
        </w:rPr>
      </w:pPr>
      <w:r>
        <w:rPr>
          <w:rFonts w:ascii="Arial" w:hAnsi="Arial" w:cs="Arial"/>
          <w:sz w:val="20"/>
          <w:szCs w:val="20"/>
        </w:rPr>
        <w:t>Contribuant pour près de 1,</w:t>
      </w:r>
      <w:r w:rsidR="00F96421">
        <w:rPr>
          <w:rFonts w:ascii="Arial" w:hAnsi="Arial" w:cs="Arial"/>
          <w:sz w:val="20"/>
          <w:szCs w:val="20"/>
        </w:rPr>
        <w:t>6</w:t>
      </w:r>
      <w:r>
        <w:rPr>
          <w:rFonts w:ascii="Arial" w:hAnsi="Arial" w:cs="Arial"/>
          <w:sz w:val="20"/>
          <w:szCs w:val="20"/>
        </w:rPr>
        <w:t xml:space="preserve"> point</w:t>
      </w:r>
      <w:r w:rsidR="002758A5">
        <w:rPr>
          <w:rFonts w:ascii="Arial" w:hAnsi="Arial" w:cs="Arial"/>
          <w:sz w:val="20"/>
          <w:szCs w:val="20"/>
        </w:rPr>
        <w:t xml:space="preserve"> à la croissance globale du PIB</w:t>
      </w:r>
      <w:r>
        <w:rPr>
          <w:rFonts w:ascii="Arial" w:hAnsi="Arial" w:cs="Arial"/>
          <w:sz w:val="20"/>
          <w:szCs w:val="20"/>
        </w:rPr>
        <w:t>, l</w:t>
      </w:r>
      <w:r w:rsidR="002765A6">
        <w:rPr>
          <w:rFonts w:ascii="Arial" w:hAnsi="Arial" w:cs="Arial"/>
          <w:sz w:val="20"/>
          <w:szCs w:val="20"/>
        </w:rPr>
        <w:t>e</w:t>
      </w:r>
      <w:r w:rsidR="00072B88">
        <w:rPr>
          <w:rFonts w:ascii="Arial" w:hAnsi="Arial" w:cs="Arial"/>
          <w:sz w:val="20"/>
          <w:szCs w:val="20"/>
        </w:rPr>
        <w:t xml:space="preserve"> secteur</w:t>
      </w:r>
      <w:r w:rsidR="002765A6">
        <w:rPr>
          <w:rFonts w:ascii="Arial" w:hAnsi="Arial" w:cs="Arial"/>
          <w:sz w:val="20"/>
          <w:szCs w:val="20"/>
        </w:rPr>
        <w:t xml:space="preserve"> tertiaire aurait continué de soutenir l’activité économique, grâce notamment à la </w:t>
      </w:r>
      <w:r w:rsidR="00E044C7">
        <w:rPr>
          <w:rFonts w:ascii="Arial" w:hAnsi="Arial" w:cs="Arial"/>
          <w:sz w:val="20"/>
          <w:szCs w:val="20"/>
        </w:rPr>
        <w:t>bonne orientation</w:t>
      </w:r>
      <w:r w:rsidR="002765A6">
        <w:rPr>
          <w:rFonts w:ascii="Arial" w:hAnsi="Arial" w:cs="Arial"/>
          <w:sz w:val="20"/>
          <w:szCs w:val="20"/>
        </w:rPr>
        <w:t xml:space="preserve"> du commerce</w:t>
      </w:r>
      <w:r w:rsidR="00D14D07">
        <w:rPr>
          <w:rFonts w:ascii="Arial" w:hAnsi="Arial" w:cs="Arial"/>
          <w:sz w:val="20"/>
          <w:szCs w:val="20"/>
        </w:rPr>
        <w:t>,</w:t>
      </w:r>
      <w:r w:rsidR="002765A6">
        <w:rPr>
          <w:rFonts w:ascii="Arial" w:hAnsi="Arial" w:cs="Arial"/>
          <w:sz w:val="20"/>
          <w:szCs w:val="20"/>
        </w:rPr>
        <w:t xml:space="preserve"> d</w:t>
      </w:r>
      <w:r w:rsidR="00A40F99">
        <w:rPr>
          <w:rFonts w:ascii="Arial" w:hAnsi="Arial" w:cs="Arial"/>
          <w:sz w:val="20"/>
          <w:szCs w:val="20"/>
        </w:rPr>
        <w:t>u transport</w:t>
      </w:r>
      <w:r w:rsidR="002765A6">
        <w:rPr>
          <w:rFonts w:ascii="Arial" w:hAnsi="Arial" w:cs="Arial"/>
          <w:sz w:val="20"/>
          <w:szCs w:val="20"/>
        </w:rPr>
        <w:t xml:space="preserve"> et des activités </w:t>
      </w:r>
      <w:r w:rsidR="002765A6">
        <w:rPr>
          <w:rFonts w:ascii="Arial" w:hAnsi="Arial" w:cs="Arial"/>
          <w:sz w:val="20"/>
          <w:szCs w:val="20"/>
        </w:rPr>
        <w:lastRenderedPageBreak/>
        <w:t>touristiques</w:t>
      </w:r>
      <w:r w:rsidR="00FF757C">
        <w:rPr>
          <w:rFonts w:ascii="Arial" w:hAnsi="Arial" w:cs="Arial"/>
          <w:sz w:val="20"/>
          <w:szCs w:val="20"/>
        </w:rPr>
        <w:t>.</w:t>
      </w:r>
      <w:r w:rsidR="00CB4A86">
        <w:rPr>
          <w:rFonts w:ascii="Arial" w:hAnsi="Arial" w:cs="Arial"/>
          <w:sz w:val="20"/>
          <w:szCs w:val="20"/>
        </w:rPr>
        <w:t xml:space="preserve"> En revanche, la contribution du secteur secondaire à la croissance économique globale </w:t>
      </w:r>
      <w:r w:rsidR="00632505">
        <w:rPr>
          <w:rFonts w:ascii="Arial" w:hAnsi="Arial" w:cs="Arial"/>
          <w:sz w:val="20"/>
          <w:szCs w:val="20"/>
        </w:rPr>
        <w:t>au</w:t>
      </w:r>
      <w:r w:rsidR="00CB4A86">
        <w:rPr>
          <w:rFonts w:ascii="Arial" w:hAnsi="Arial" w:cs="Arial"/>
          <w:sz w:val="20"/>
          <w:szCs w:val="20"/>
        </w:rPr>
        <w:t>rait reflué à 0,6 point, au lieu de 1,1 point un trimestre auparavant.</w:t>
      </w:r>
    </w:p>
    <w:p w:rsidR="005F2599" w:rsidRDefault="005F2599" w:rsidP="00573FD3">
      <w:pPr>
        <w:ind w:right="170"/>
        <w:jc w:val="both"/>
        <w:rPr>
          <w:rFonts w:ascii="Arial" w:hAnsi="Arial" w:cs="Arial"/>
          <w:sz w:val="20"/>
          <w:szCs w:val="20"/>
        </w:rPr>
      </w:pPr>
    </w:p>
    <w:p w:rsidR="003A015F" w:rsidRPr="00BB7D2A" w:rsidRDefault="003A015F" w:rsidP="003559B6">
      <w:pPr>
        <w:jc w:val="both"/>
        <w:rPr>
          <w:rFonts w:asciiTheme="minorBidi" w:hAnsiTheme="minorBidi" w:cstheme="minorBidi"/>
          <w:sz w:val="20"/>
          <w:szCs w:val="20"/>
        </w:rPr>
      </w:pPr>
      <w:r>
        <w:rPr>
          <w:rFonts w:asciiTheme="minorBidi" w:hAnsiTheme="minorBidi" w:cstheme="minorBidi"/>
          <w:sz w:val="20"/>
          <w:szCs w:val="20"/>
        </w:rPr>
        <w:t xml:space="preserve">La valeur ajoutée </w:t>
      </w:r>
      <w:r w:rsidRPr="00C71C49">
        <w:rPr>
          <w:rFonts w:asciiTheme="minorBidi" w:hAnsiTheme="minorBidi" w:cstheme="minorBidi"/>
          <w:b/>
          <w:bCs/>
          <w:sz w:val="20"/>
          <w:szCs w:val="20"/>
        </w:rPr>
        <w:t>minière</w:t>
      </w:r>
      <w:r w:rsidRPr="00BB7D2A">
        <w:rPr>
          <w:rFonts w:asciiTheme="minorBidi" w:hAnsiTheme="minorBidi" w:cstheme="minorBidi"/>
          <w:sz w:val="20"/>
          <w:szCs w:val="20"/>
        </w:rPr>
        <w:t xml:space="preserve"> aurait sensiblement ralenti au deuxième trimestre 2018, affichant une </w:t>
      </w:r>
      <w:r>
        <w:rPr>
          <w:rFonts w:asciiTheme="minorBidi" w:hAnsiTheme="minorBidi" w:cstheme="minorBidi"/>
          <w:sz w:val="20"/>
          <w:szCs w:val="20"/>
        </w:rPr>
        <w:t>hausse</w:t>
      </w:r>
      <w:r w:rsidRPr="00BB7D2A">
        <w:rPr>
          <w:rFonts w:asciiTheme="minorBidi" w:hAnsiTheme="minorBidi" w:cstheme="minorBidi"/>
          <w:sz w:val="20"/>
          <w:szCs w:val="20"/>
        </w:rPr>
        <w:t xml:space="preserve"> de 0,2%, au lieu de 16,6% un trimestre plus tôt. Cette inflexion aurait été principalement le fait d’une modération ponctuelle de l’activité phosphat</w:t>
      </w:r>
      <w:r>
        <w:rPr>
          <w:rFonts w:asciiTheme="minorBidi" w:hAnsiTheme="minorBidi" w:cstheme="minorBidi"/>
          <w:sz w:val="20"/>
          <w:szCs w:val="20"/>
        </w:rPr>
        <w:t>ièr</w:t>
      </w:r>
      <w:r w:rsidRPr="00BB7D2A">
        <w:rPr>
          <w:rFonts w:asciiTheme="minorBidi" w:hAnsiTheme="minorBidi" w:cstheme="minorBidi"/>
          <w:sz w:val="20"/>
          <w:szCs w:val="20"/>
        </w:rPr>
        <w:t xml:space="preserve">e. Il faudrait rappeler que la production du phosphate brut était en constante augmentation depuis le premier trimestre 2017 et que les niveaux atteints relevaient de pics réalisés sur fond d’une forte expansion des activités des industries locales de transformation et du raffermissement de la demande étrangère. Au deuxième trimestre 2018, le ralentissement des importations brésiliennes, dans un contexte de redressement des cours internationaux des fertilisants et des produits énergétiques, et les intempéries ayant marqué l’hiver et </w:t>
      </w:r>
      <w:r>
        <w:rPr>
          <w:rFonts w:asciiTheme="minorBidi" w:hAnsiTheme="minorBidi" w:cstheme="minorBidi"/>
          <w:sz w:val="20"/>
          <w:szCs w:val="20"/>
        </w:rPr>
        <w:t xml:space="preserve">le </w:t>
      </w:r>
      <w:r w:rsidRPr="00BB7D2A">
        <w:rPr>
          <w:rFonts w:asciiTheme="minorBidi" w:hAnsiTheme="minorBidi" w:cstheme="minorBidi"/>
          <w:sz w:val="20"/>
          <w:szCs w:val="20"/>
        </w:rPr>
        <w:t xml:space="preserve">début </w:t>
      </w:r>
      <w:r>
        <w:rPr>
          <w:rFonts w:asciiTheme="minorBidi" w:hAnsiTheme="minorBidi" w:cstheme="minorBidi"/>
          <w:sz w:val="20"/>
          <w:szCs w:val="20"/>
        </w:rPr>
        <w:t xml:space="preserve">du </w:t>
      </w:r>
      <w:r w:rsidRPr="00BB7D2A">
        <w:rPr>
          <w:rFonts w:asciiTheme="minorBidi" w:hAnsiTheme="minorBidi" w:cstheme="minorBidi"/>
          <w:sz w:val="20"/>
          <w:szCs w:val="20"/>
        </w:rPr>
        <w:t>printemps 2018 auraient contrarié les exportations des engrais phosphatés et induit une augmentation des stocks de phosphate brut. En conséquence, la croissance de la production du phosphate brut s</w:t>
      </w:r>
      <w:r>
        <w:rPr>
          <w:rFonts w:asciiTheme="minorBidi" w:hAnsiTheme="minorBidi" w:cstheme="minorBidi"/>
          <w:sz w:val="20"/>
          <w:szCs w:val="20"/>
        </w:rPr>
        <w:t>e serait</w:t>
      </w:r>
      <w:r w:rsidRPr="00BB7D2A">
        <w:rPr>
          <w:rFonts w:asciiTheme="minorBidi" w:hAnsiTheme="minorBidi" w:cstheme="minorBidi"/>
          <w:sz w:val="20"/>
          <w:szCs w:val="20"/>
        </w:rPr>
        <w:t xml:space="preserve"> abaissée par rapport au rythme élevé atteint en 2017, </w:t>
      </w:r>
      <w:r>
        <w:rPr>
          <w:rFonts w:asciiTheme="minorBidi" w:hAnsiTheme="minorBidi" w:cstheme="minorBidi"/>
          <w:sz w:val="20"/>
          <w:szCs w:val="20"/>
        </w:rPr>
        <w:t>se situant</w:t>
      </w:r>
      <w:r w:rsidR="00241925">
        <w:rPr>
          <w:rFonts w:asciiTheme="minorBidi" w:hAnsiTheme="minorBidi" w:cstheme="minorBidi"/>
          <w:sz w:val="20"/>
          <w:szCs w:val="20"/>
        </w:rPr>
        <w:t xml:space="preserve"> </w:t>
      </w:r>
      <w:r w:rsidR="00CB4A86">
        <w:rPr>
          <w:rFonts w:asciiTheme="minorBidi" w:hAnsiTheme="minorBidi" w:cstheme="minorBidi"/>
          <w:sz w:val="20"/>
          <w:szCs w:val="20"/>
        </w:rPr>
        <w:t xml:space="preserve">à un niveau </w:t>
      </w:r>
      <w:r w:rsidRPr="00BB7D2A">
        <w:rPr>
          <w:rFonts w:asciiTheme="minorBidi" w:hAnsiTheme="minorBidi" w:cstheme="minorBidi"/>
          <w:sz w:val="20"/>
          <w:szCs w:val="20"/>
        </w:rPr>
        <w:t xml:space="preserve">proche de son </w:t>
      </w:r>
      <w:r w:rsidR="003559B6">
        <w:rPr>
          <w:rFonts w:asciiTheme="minorBidi" w:hAnsiTheme="minorBidi" w:cstheme="minorBidi"/>
          <w:sz w:val="20"/>
          <w:szCs w:val="20"/>
        </w:rPr>
        <w:t>niveau moyen des 5 dernières années</w:t>
      </w:r>
      <w:r w:rsidRPr="00BB7D2A">
        <w:rPr>
          <w:rFonts w:asciiTheme="minorBidi" w:hAnsiTheme="minorBidi" w:cstheme="minorBidi"/>
          <w:sz w:val="20"/>
          <w:szCs w:val="20"/>
        </w:rPr>
        <w:t xml:space="preserve">. </w:t>
      </w:r>
    </w:p>
    <w:p w:rsidR="003A015F" w:rsidRDefault="009060E9" w:rsidP="00366E1C">
      <w:pPr>
        <w:jc w:val="both"/>
        <w:rPr>
          <w:rFonts w:asciiTheme="minorBidi" w:hAnsiTheme="minorBidi" w:cstheme="minorBidi"/>
          <w:sz w:val="20"/>
          <w:szCs w:val="20"/>
        </w:rPr>
      </w:pPr>
      <w:r>
        <w:rPr>
          <w:rFonts w:asciiTheme="minorBidi" w:hAnsiTheme="minorBidi" w:cstheme="minorBidi"/>
          <w:noProof/>
          <w:sz w:val="20"/>
          <w:szCs w:val="20"/>
        </w:rPr>
        <w:drawing>
          <wp:anchor distT="0" distB="0" distL="114300" distR="114300" simplePos="0" relativeHeight="251793408" behindDoc="0" locked="0" layoutInCell="1" allowOverlap="1">
            <wp:simplePos x="0" y="0"/>
            <wp:positionH relativeFrom="column">
              <wp:posOffset>4498975</wp:posOffset>
            </wp:positionH>
            <wp:positionV relativeFrom="paragraph">
              <wp:posOffset>57150</wp:posOffset>
            </wp:positionV>
            <wp:extent cx="2042160" cy="1861820"/>
            <wp:effectExtent l="19050" t="0" r="0" b="0"/>
            <wp:wrapSquare wrapText="bothSides"/>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042160" cy="1861820"/>
                    </a:xfrm>
                    <a:prstGeom prst="rect">
                      <a:avLst/>
                    </a:prstGeom>
                    <a:noFill/>
                    <a:ln w="9525">
                      <a:noFill/>
                      <a:miter lim="800000"/>
                      <a:headEnd/>
                      <a:tailEnd/>
                    </a:ln>
                  </pic:spPr>
                </pic:pic>
              </a:graphicData>
            </a:graphic>
          </wp:anchor>
        </w:drawing>
      </w:r>
    </w:p>
    <w:p w:rsidR="008A37E4" w:rsidRDefault="0045217B" w:rsidP="00974EF9">
      <w:pPr>
        <w:jc w:val="both"/>
        <w:rPr>
          <w:rFonts w:ascii="Arial" w:hAnsi="Arial"/>
          <w:sz w:val="20"/>
          <w:szCs w:val="20"/>
        </w:rPr>
      </w:pPr>
      <w:r>
        <w:rPr>
          <w:rFonts w:asciiTheme="minorBidi" w:hAnsiTheme="minorBidi" w:cstheme="minorBidi"/>
          <w:sz w:val="20"/>
          <w:szCs w:val="20"/>
        </w:rPr>
        <w:t>L</w:t>
      </w:r>
      <w:r w:rsidR="008A37E4" w:rsidRPr="00630E0B">
        <w:rPr>
          <w:rFonts w:asciiTheme="minorBidi" w:hAnsiTheme="minorBidi" w:cstheme="minorBidi"/>
          <w:sz w:val="20"/>
          <w:szCs w:val="20"/>
        </w:rPr>
        <w:t xml:space="preserve">es </w:t>
      </w:r>
      <w:r w:rsidR="008A37E4" w:rsidRPr="007D1527">
        <w:rPr>
          <w:rFonts w:asciiTheme="minorBidi" w:hAnsiTheme="minorBidi" w:cstheme="minorBidi"/>
          <w:b/>
          <w:bCs/>
          <w:sz w:val="20"/>
          <w:szCs w:val="20"/>
        </w:rPr>
        <w:t>industries manufacturières</w:t>
      </w:r>
      <w:r w:rsidR="00241925">
        <w:rPr>
          <w:rFonts w:asciiTheme="minorBidi" w:hAnsiTheme="minorBidi" w:cstheme="minorBidi"/>
          <w:b/>
          <w:bCs/>
          <w:sz w:val="20"/>
          <w:szCs w:val="20"/>
        </w:rPr>
        <w:t xml:space="preserve"> </w:t>
      </w:r>
      <w:r w:rsidR="008A37E4" w:rsidRPr="000F7023">
        <w:rPr>
          <w:rFonts w:ascii="Arial" w:hAnsi="Arial"/>
          <w:sz w:val="20"/>
          <w:szCs w:val="20"/>
        </w:rPr>
        <w:t>auraient</w:t>
      </w:r>
      <w:r>
        <w:rPr>
          <w:rFonts w:ascii="Arial" w:hAnsi="Arial"/>
          <w:sz w:val="20"/>
          <w:szCs w:val="20"/>
        </w:rPr>
        <w:t xml:space="preserve">, </w:t>
      </w:r>
      <w:r w:rsidR="003C4F40">
        <w:rPr>
          <w:rFonts w:ascii="Arial" w:hAnsi="Arial"/>
          <w:sz w:val="20"/>
          <w:szCs w:val="20"/>
        </w:rPr>
        <w:t>en revanche</w:t>
      </w:r>
      <w:r>
        <w:rPr>
          <w:rFonts w:ascii="Arial" w:hAnsi="Arial"/>
          <w:sz w:val="20"/>
          <w:szCs w:val="20"/>
        </w:rPr>
        <w:t>,</w:t>
      </w:r>
      <w:r w:rsidR="008A37E4" w:rsidRPr="000F7023">
        <w:rPr>
          <w:rFonts w:ascii="Arial" w:hAnsi="Arial"/>
          <w:sz w:val="20"/>
          <w:szCs w:val="20"/>
        </w:rPr>
        <w:t xml:space="preserve"> poursuivi </w:t>
      </w:r>
      <w:r w:rsidR="002E070B">
        <w:rPr>
          <w:rFonts w:ascii="Arial" w:hAnsi="Arial"/>
          <w:sz w:val="20"/>
          <w:szCs w:val="20"/>
        </w:rPr>
        <w:t>leur</w:t>
      </w:r>
      <w:r w:rsidR="00241925">
        <w:rPr>
          <w:rFonts w:ascii="Arial" w:hAnsi="Arial"/>
          <w:sz w:val="20"/>
          <w:szCs w:val="20"/>
        </w:rPr>
        <w:t xml:space="preserve"> </w:t>
      </w:r>
      <w:r w:rsidR="005C14A1">
        <w:rPr>
          <w:rFonts w:ascii="Arial" w:hAnsi="Arial"/>
          <w:sz w:val="20"/>
          <w:szCs w:val="20"/>
        </w:rPr>
        <w:t>r</w:t>
      </w:r>
      <w:r w:rsidR="00F54F92">
        <w:rPr>
          <w:rFonts w:ascii="Arial" w:hAnsi="Arial"/>
          <w:sz w:val="20"/>
          <w:szCs w:val="20"/>
        </w:rPr>
        <w:t xml:space="preserve">affermissement </w:t>
      </w:r>
      <w:r w:rsidR="00AC288D">
        <w:rPr>
          <w:rFonts w:ascii="Arial" w:hAnsi="Arial"/>
          <w:sz w:val="20"/>
          <w:szCs w:val="20"/>
        </w:rPr>
        <w:t xml:space="preserve">au </w:t>
      </w:r>
      <w:r w:rsidR="00F54F92">
        <w:rPr>
          <w:rFonts w:ascii="Arial" w:hAnsi="Arial"/>
          <w:sz w:val="20"/>
          <w:szCs w:val="20"/>
        </w:rPr>
        <w:t>rythme</w:t>
      </w:r>
      <w:r w:rsidR="008A37E4" w:rsidRPr="000F7023">
        <w:rPr>
          <w:rFonts w:ascii="Arial" w:hAnsi="Arial"/>
          <w:sz w:val="20"/>
          <w:szCs w:val="20"/>
        </w:rPr>
        <w:t xml:space="preserve"> de 2</w:t>
      </w:r>
      <w:r w:rsidR="00F05BFE">
        <w:rPr>
          <w:rFonts w:ascii="Arial" w:hAnsi="Arial"/>
          <w:sz w:val="20"/>
          <w:szCs w:val="20"/>
        </w:rPr>
        <w:t>,</w:t>
      </w:r>
      <w:r w:rsidR="00F84FCB">
        <w:rPr>
          <w:rFonts w:ascii="Arial" w:hAnsi="Arial"/>
          <w:sz w:val="20"/>
          <w:szCs w:val="20"/>
        </w:rPr>
        <w:t>9</w:t>
      </w:r>
      <w:r w:rsidR="008A37E4" w:rsidRPr="000F7023">
        <w:rPr>
          <w:rFonts w:ascii="Arial" w:hAnsi="Arial"/>
          <w:sz w:val="20"/>
          <w:szCs w:val="20"/>
        </w:rPr>
        <w:t xml:space="preserve">%, </w:t>
      </w:r>
      <w:r w:rsidR="002F73DA" w:rsidRPr="000F7023">
        <w:rPr>
          <w:rFonts w:ascii="Arial" w:hAnsi="Arial"/>
          <w:sz w:val="20"/>
          <w:szCs w:val="20"/>
        </w:rPr>
        <w:t xml:space="preserve">au </w:t>
      </w:r>
      <w:r w:rsidR="00F21F26">
        <w:rPr>
          <w:rFonts w:ascii="Arial" w:hAnsi="Arial"/>
          <w:sz w:val="20"/>
          <w:szCs w:val="20"/>
        </w:rPr>
        <w:t>deuxième</w:t>
      </w:r>
      <w:r w:rsidR="002F73DA" w:rsidRPr="000F7023">
        <w:rPr>
          <w:rFonts w:ascii="Arial" w:hAnsi="Arial"/>
          <w:sz w:val="20"/>
          <w:szCs w:val="20"/>
        </w:rPr>
        <w:t xml:space="preserve"> trimestre 201</w:t>
      </w:r>
      <w:r w:rsidR="000D4B12">
        <w:rPr>
          <w:rFonts w:ascii="Arial" w:hAnsi="Arial"/>
          <w:sz w:val="20"/>
          <w:szCs w:val="20"/>
        </w:rPr>
        <w:t>8</w:t>
      </w:r>
      <w:r w:rsidR="008A37E4" w:rsidRPr="000F7023">
        <w:rPr>
          <w:rFonts w:ascii="Arial" w:hAnsi="Arial"/>
          <w:sz w:val="20"/>
          <w:szCs w:val="20"/>
        </w:rPr>
        <w:t>, au lieu de +2,</w:t>
      </w:r>
      <w:r w:rsidR="00F05BFE">
        <w:rPr>
          <w:rFonts w:ascii="Arial" w:hAnsi="Arial"/>
          <w:sz w:val="20"/>
          <w:szCs w:val="20"/>
        </w:rPr>
        <w:t>3</w:t>
      </w:r>
      <w:r w:rsidR="008A37E4" w:rsidRPr="000F7023">
        <w:rPr>
          <w:rFonts w:ascii="Arial" w:hAnsi="Arial"/>
          <w:sz w:val="20"/>
          <w:szCs w:val="20"/>
        </w:rPr>
        <w:t xml:space="preserve">% la même période une année auparavant. </w:t>
      </w:r>
      <w:r w:rsidR="008E3C93">
        <w:rPr>
          <w:rFonts w:ascii="Arial" w:hAnsi="Arial"/>
          <w:sz w:val="20"/>
          <w:szCs w:val="20"/>
        </w:rPr>
        <w:t xml:space="preserve">Cette </w:t>
      </w:r>
      <w:r w:rsidR="00433BFC">
        <w:rPr>
          <w:rFonts w:ascii="Arial" w:hAnsi="Arial"/>
          <w:sz w:val="20"/>
          <w:szCs w:val="20"/>
        </w:rPr>
        <w:t xml:space="preserve">évolution </w:t>
      </w:r>
      <w:r w:rsidR="008E3C93">
        <w:rPr>
          <w:rFonts w:ascii="Arial" w:hAnsi="Arial"/>
          <w:sz w:val="20"/>
          <w:szCs w:val="20"/>
        </w:rPr>
        <w:t xml:space="preserve">aurait été </w:t>
      </w:r>
      <w:r w:rsidR="00433BFC">
        <w:rPr>
          <w:rFonts w:ascii="Arial" w:hAnsi="Arial"/>
          <w:sz w:val="20"/>
          <w:szCs w:val="20"/>
        </w:rPr>
        <w:t>tir</w:t>
      </w:r>
      <w:r w:rsidR="008E3C93">
        <w:rPr>
          <w:rFonts w:ascii="Arial" w:hAnsi="Arial"/>
          <w:sz w:val="20"/>
          <w:szCs w:val="20"/>
        </w:rPr>
        <w:t>ée, notamment, par la hausse de 4,3% de la valeur ajoutée des industries chimiques</w:t>
      </w:r>
      <w:r w:rsidR="00F84FCB">
        <w:rPr>
          <w:rFonts w:ascii="Arial" w:hAnsi="Arial"/>
          <w:sz w:val="20"/>
          <w:szCs w:val="20"/>
        </w:rPr>
        <w:t>.</w:t>
      </w:r>
      <w:r w:rsidR="008E3C93">
        <w:rPr>
          <w:rFonts w:ascii="Arial" w:hAnsi="Arial"/>
          <w:sz w:val="20"/>
          <w:szCs w:val="20"/>
        </w:rPr>
        <w:t xml:space="preserve"> Pour sa part, la valeur ajoutée des </w:t>
      </w:r>
      <w:r w:rsidR="008E3C93" w:rsidRPr="0060331F">
        <w:rPr>
          <w:rFonts w:ascii="Arial" w:hAnsi="Arial"/>
          <w:sz w:val="20"/>
          <w:szCs w:val="20"/>
        </w:rPr>
        <w:t>IMME</w:t>
      </w:r>
      <w:r w:rsidR="00241925">
        <w:rPr>
          <w:rFonts w:ascii="Arial" w:hAnsi="Arial"/>
          <w:sz w:val="20"/>
          <w:szCs w:val="20"/>
        </w:rPr>
        <w:t xml:space="preserve"> </w:t>
      </w:r>
      <w:r w:rsidR="008E3C93">
        <w:rPr>
          <w:rFonts w:ascii="Arial" w:hAnsi="Arial"/>
          <w:sz w:val="20"/>
          <w:szCs w:val="20"/>
        </w:rPr>
        <w:t xml:space="preserve">se serait affermie de 3,3%, en variation annuelle, </w:t>
      </w:r>
      <w:r w:rsidR="00433BFC">
        <w:rPr>
          <w:rFonts w:ascii="Arial" w:hAnsi="Arial"/>
          <w:sz w:val="20"/>
          <w:szCs w:val="20"/>
        </w:rPr>
        <w:t>port</w:t>
      </w:r>
      <w:r w:rsidR="008E3C93">
        <w:rPr>
          <w:rFonts w:ascii="Arial" w:hAnsi="Arial"/>
          <w:sz w:val="20"/>
          <w:szCs w:val="20"/>
        </w:rPr>
        <w:t xml:space="preserve">ée particulièrement par la consolidation des industries de l’automobile. Les industries </w:t>
      </w:r>
      <w:r w:rsidR="00C240EC">
        <w:rPr>
          <w:rFonts w:ascii="Arial" w:hAnsi="Arial"/>
          <w:sz w:val="20"/>
          <w:szCs w:val="20"/>
        </w:rPr>
        <w:t>d</w:t>
      </w:r>
      <w:r w:rsidR="00CD547F">
        <w:rPr>
          <w:rFonts w:ascii="Arial" w:hAnsi="Arial"/>
          <w:sz w:val="20"/>
          <w:szCs w:val="20"/>
        </w:rPr>
        <w:t>u</w:t>
      </w:r>
      <w:r w:rsidR="00C240EC">
        <w:rPr>
          <w:rFonts w:ascii="Arial" w:hAnsi="Arial"/>
          <w:sz w:val="20"/>
          <w:szCs w:val="20"/>
        </w:rPr>
        <w:t xml:space="preserve"> textile et </w:t>
      </w:r>
      <w:r w:rsidR="006523B2">
        <w:rPr>
          <w:rFonts w:ascii="Arial" w:hAnsi="Arial"/>
          <w:sz w:val="20"/>
          <w:szCs w:val="20"/>
        </w:rPr>
        <w:t xml:space="preserve">du </w:t>
      </w:r>
      <w:r w:rsidR="00C240EC">
        <w:rPr>
          <w:rFonts w:ascii="Arial" w:hAnsi="Arial"/>
          <w:sz w:val="20"/>
          <w:szCs w:val="20"/>
        </w:rPr>
        <w:t>cuir</w:t>
      </w:r>
      <w:r w:rsidR="00FF2B0D">
        <w:rPr>
          <w:rFonts w:ascii="Arial" w:hAnsi="Arial"/>
          <w:sz w:val="20"/>
          <w:szCs w:val="20"/>
        </w:rPr>
        <w:t>,</w:t>
      </w:r>
      <w:r w:rsidR="00C240EC">
        <w:rPr>
          <w:rFonts w:ascii="Arial" w:hAnsi="Arial"/>
          <w:sz w:val="20"/>
          <w:szCs w:val="20"/>
        </w:rPr>
        <w:t> </w:t>
      </w:r>
      <w:r w:rsidR="008E3C93">
        <w:rPr>
          <w:rFonts w:ascii="Arial" w:hAnsi="Arial"/>
          <w:sz w:val="20"/>
          <w:szCs w:val="20"/>
        </w:rPr>
        <w:t>ainsi que celles de l’agroalimentaire</w:t>
      </w:r>
      <w:r w:rsidR="00241925">
        <w:rPr>
          <w:rFonts w:ascii="Arial" w:hAnsi="Arial"/>
          <w:sz w:val="20"/>
          <w:szCs w:val="20"/>
        </w:rPr>
        <w:t xml:space="preserve"> </w:t>
      </w:r>
      <w:r w:rsidR="008A37E4" w:rsidRPr="000F7023">
        <w:rPr>
          <w:rFonts w:ascii="Arial" w:hAnsi="Arial"/>
          <w:sz w:val="20"/>
          <w:szCs w:val="20"/>
        </w:rPr>
        <w:t>aurai</w:t>
      </w:r>
      <w:r w:rsidR="008E3C93">
        <w:rPr>
          <w:rFonts w:ascii="Arial" w:hAnsi="Arial"/>
          <w:sz w:val="20"/>
          <w:szCs w:val="20"/>
        </w:rPr>
        <w:t>en</w:t>
      </w:r>
      <w:r w:rsidR="008A37E4" w:rsidRPr="000F7023">
        <w:rPr>
          <w:rFonts w:ascii="Arial" w:hAnsi="Arial"/>
          <w:sz w:val="20"/>
          <w:szCs w:val="20"/>
        </w:rPr>
        <w:t xml:space="preserve">t réalisé une hausse de </w:t>
      </w:r>
      <w:r w:rsidR="00AC288D">
        <w:rPr>
          <w:rFonts w:ascii="Arial" w:hAnsi="Arial"/>
          <w:sz w:val="20"/>
          <w:szCs w:val="20"/>
        </w:rPr>
        <w:t>2</w:t>
      </w:r>
      <w:r w:rsidR="008A37E4" w:rsidRPr="000F7023">
        <w:rPr>
          <w:rFonts w:ascii="Arial" w:hAnsi="Arial"/>
          <w:sz w:val="20"/>
          <w:szCs w:val="20"/>
        </w:rPr>
        <w:t>,</w:t>
      </w:r>
      <w:r w:rsidR="00AC288D">
        <w:rPr>
          <w:rFonts w:ascii="Arial" w:hAnsi="Arial"/>
          <w:sz w:val="20"/>
          <w:szCs w:val="20"/>
        </w:rPr>
        <w:t>8</w:t>
      </w:r>
      <w:r w:rsidR="008A37E4" w:rsidRPr="000F7023">
        <w:rPr>
          <w:rFonts w:ascii="Arial" w:hAnsi="Arial"/>
          <w:sz w:val="20"/>
          <w:szCs w:val="20"/>
        </w:rPr>
        <w:t xml:space="preserve">%, </w:t>
      </w:r>
      <w:r w:rsidR="008E3C93">
        <w:rPr>
          <w:rFonts w:ascii="Arial" w:hAnsi="Arial"/>
          <w:sz w:val="20"/>
          <w:szCs w:val="20"/>
        </w:rPr>
        <w:t>chacun</w:t>
      </w:r>
      <w:r w:rsidR="00F84FCB">
        <w:rPr>
          <w:rFonts w:ascii="Arial" w:hAnsi="Arial"/>
          <w:sz w:val="20"/>
          <w:szCs w:val="20"/>
        </w:rPr>
        <w:t>e</w:t>
      </w:r>
      <w:r w:rsidR="008E3C93">
        <w:rPr>
          <w:rFonts w:ascii="Arial" w:hAnsi="Arial"/>
          <w:sz w:val="20"/>
          <w:szCs w:val="20"/>
        </w:rPr>
        <w:t xml:space="preserve"> sous-tendue par l’accroissement de la demande étrangère qui l</w:t>
      </w:r>
      <w:r w:rsidR="00974EF9">
        <w:rPr>
          <w:rFonts w:ascii="Arial" w:hAnsi="Arial"/>
          <w:sz w:val="20"/>
          <w:szCs w:val="20"/>
        </w:rPr>
        <w:t>ui</w:t>
      </w:r>
      <w:r w:rsidR="008E3C93">
        <w:rPr>
          <w:rFonts w:ascii="Arial" w:hAnsi="Arial"/>
          <w:sz w:val="20"/>
          <w:szCs w:val="20"/>
        </w:rPr>
        <w:t xml:space="preserve"> est adressée</w:t>
      </w:r>
      <w:r w:rsidR="008A37E4" w:rsidRPr="000F7023">
        <w:rPr>
          <w:rFonts w:ascii="Arial" w:hAnsi="Arial"/>
          <w:sz w:val="20"/>
          <w:szCs w:val="20"/>
        </w:rPr>
        <w:t xml:space="preserve">. </w:t>
      </w:r>
      <w:r w:rsidR="00A511EB" w:rsidRPr="000F7023">
        <w:rPr>
          <w:rFonts w:ascii="Arial" w:hAnsi="Arial"/>
          <w:sz w:val="20"/>
          <w:szCs w:val="20"/>
        </w:rPr>
        <w:t>L</w:t>
      </w:r>
      <w:r w:rsidR="002B67DF">
        <w:rPr>
          <w:rFonts w:ascii="Arial" w:hAnsi="Arial"/>
          <w:sz w:val="20"/>
          <w:szCs w:val="20"/>
        </w:rPr>
        <w:t>’évolution d</w:t>
      </w:r>
      <w:r w:rsidR="00A511EB" w:rsidRPr="000F7023">
        <w:rPr>
          <w:rFonts w:ascii="Arial" w:hAnsi="Arial"/>
          <w:sz w:val="20"/>
          <w:szCs w:val="20"/>
        </w:rPr>
        <w:t>es autres industries</w:t>
      </w:r>
      <w:r w:rsidR="002B67DF">
        <w:rPr>
          <w:rFonts w:ascii="Arial" w:hAnsi="Arial"/>
          <w:sz w:val="20"/>
          <w:szCs w:val="20"/>
        </w:rPr>
        <w:t xml:space="preserve"> serait restée, relativement, modérée</w:t>
      </w:r>
      <w:r w:rsidR="00F60903">
        <w:rPr>
          <w:rFonts w:ascii="Arial" w:hAnsi="Arial"/>
          <w:sz w:val="20"/>
          <w:szCs w:val="20"/>
        </w:rPr>
        <w:t>,</w:t>
      </w:r>
      <w:r w:rsidR="00241925">
        <w:rPr>
          <w:rFonts w:ascii="Arial" w:hAnsi="Arial"/>
          <w:sz w:val="20"/>
          <w:szCs w:val="20"/>
        </w:rPr>
        <w:t xml:space="preserve"> </w:t>
      </w:r>
      <w:r w:rsidR="00321028">
        <w:rPr>
          <w:rFonts w:ascii="Arial" w:hAnsi="Arial"/>
          <w:sz w:val="20"/>
          <w:szCs w:val="20"/>
        </w:rPr>
        <w:t xml:space="preserve">subissant une légère </w:t>
      </w:r>
      <w:r w:rsidR="0013497A">
        <w:rPr>
          <w:rFonts w:ascii="Arial" w:hAnsi="Arial"/>
          <w:sz w:val="20"/>
          <w:szCs w:val="20"/>
        </w:rPr>
        <w:t>baisse</w:t>
      </w:r>
      <w:r w:rsidR="00241925">
        <w:rPr>
          <w:rFonts w:ascii="Arial" w:hAnsi="Arial"/>
          <w:sz w:val="20"/>
          <w:szCs w:val="20"/>
        </w:rPr>
        <w:t xml:space="preserve"> </w:t>
      </w:r>
      <w:r w:rsidR="00A511EB" w:rsidRPr="000F7023">
        <w:rPr>
          <w:rFonts w:ascii="Arial" w:hAnsi="Arial"/>
          <w:sz w:val="20"/>
          <w:szCs w:val="20"/>
        </w:rPr>
        <w:t xml:space="preserve">des activités de matériaux de construction, </w:t>
      </w:r>
      <w:r w:rsidR="00634285">
        <w:rPr>
          <w:rFonts w:ascii="Arial" w:hAnsi="Arial"/>
          <w:sz w:val="20"/>
          <w:szCs w:val="20"/>
        </w:rPr>
        <w:t xml:space="preserve">notamment </w:t>
      </w:r>
      <w:r w:rsidR="00F84FCB">
        <w:rPr>
          <w:rFonts w:ascii="Arial" w:hAnsi="Arial"/>
          <w:sz w:val="20"/>
          <w:szCs w:val="20"/>
        </w:rPr>
        <w:t xml:space="preserve">le </w:t>
      </w:r>
      <w:r w:rsidR="00634285">
        <w:rPr>
          <w:rFonts w:ascii="Arial" w:hAnsi="Arial"/>
          <w:sz w:val="20"/>
          <w:szCs w:val="20"/>
        </w:rPr>
        <w:t>ciment</w:t>
      </w:r>
      <w:r w:rsidR="002B67DF">
        <w:rPr>
          <w:rFonts w:ascii="Arial" w:hAnsi="Arial"/>
          <w:sz w:val="20"/>
          <w:szCs w:val="20"/>
        </w:rPr>
        <w:t>.</w:t>
      </w:r>
    </w:p>
    <w:p w:rsidR="00E81529" w:rsidRDefault="003C4F40" w:rsidP="00E81529">
      <w:r>
        <w:rPr>
          <w:noProof/>
        </w:rPr>
        <w:drawing>
          <wp:anchor distT="0" distB="0" distL="114300" distR="114300" simplePos="0" relativeHeight="251789312" behindDoc="0" locked="0" layoutInCell="1" allowOverlap="1">
            <wp:simplePos x="0" y="0"/>
            <wp:positionH relativeFrom="column">
              <wp:posOffset>4449445</wp:posOffset>
            </wp:positionH>
            <wp:positionV relativeFrom="paragraph">
              <wp:posOffset>162560</wp:posOffset>
            </wp:positionV>
            <wp:extent cx="2042160" cy="1945005"/>
            <wp:effectExtent l="19050" t="0" r="0" b="0"/>
            <wp:wrapSquare wrapText="bothSides"/>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042160" cy="1945005"/>
                    </a:xfrm>
                    <a:prstGeom prst="rect">
                      <a:avLst/>
                    </a:prstGeom>
                    <a:noFill/>
                    <a:ln w="9525">
                      <a:noFill/>
                      <a:miter lim="800000"/>
                      <a:headEnd/>
                      <a:tailEnd/>
                    </a:ln>
                  </pic:spPr>
                </pic:pic>
              </a:graphicData>
            </a:graphic>
          </wp:anchor>
        </w:drawing>
      </w:r>
    </w:p>
    <w:p w:rsidR="00E80D1F" w:rsidRPr="00E80D1F" w:rsidRDefault="00E80D1F" w:rsidP="003559B6">
      <w:pPr>
        <w:jc w:val="both"/>
        <w:rPr>
          <w:rFonts w:ascii="Arial" w:hAnsi="Arial"/>
          <w:sz w:val="20"/>
          <w:szCs w:val="20"/>
        </w:rPr>
      </w:pPr>
      <w:r w:rsidRPr="00E80D1F">
        <w:rPr>
          <w:rFonts w:asciiTheme="minorBidi" w:hAnsiTheme="minorBidi" w:cstheme="minorBidi"/>
          <w:sz w:val="20"/>
          <w:szCs w:val="20"/>
        </w:rPr>
        <w:t>L</w:t>
      </w:r>
      <w:r w:rsidR="00F54F92">
        <w:rPr>
          <w:rFonts w:asciiTheme="minorBidi" w:hAnsiTheme="minorBidi" w:cstheme="minorBidi"/>
          <w:sz w:val="20"/>
          <w:szCs w:val="20"/>
        </w:rPr>
        <w:t xml:space="preserve">’activité </w:t>
      </w:r>
      <w:r w:rsidRPr="00E80D1F">
        <w:rPr>
          <w:rFonts w:asciiTheme="minorBidi" w:hAnsiTheme="minorBidi" w:cstheme="minorBidi"/>
          <w:sz w:val="20"/>
          <w:szCs w:val="20"/>
        </w:rPr>
        <w:t xml:space="preserve">de la </w:t>
      </w:r>
      <w:r w:rsidRPr="00E80D1F">
        <w:rPr>
          <w:rFonts w:asciiTheme="minorBidi" w:hAnsiTheme="minorBidi" w:cstheme="minorBidi"/>
          <w:b/>
          <w:bCs/>
          <w:sz w:val="20"/>
          <w:szCs w:val="20"/>
        </w:rPr>
        <w:t>construction</w:t>
      </w:r>
      <w:r w:rsidR="009D3EE6">
        <w:rPr>
          <w:rFonts w:asciiTheme="minorBidi" w:hAnsiTheme="minorBidi" w:cstheme="minorBidi"/>
          <w:b/>
          <w:bCs/>
          <w:sz w:val="20"/>
          <w:szCs w:val="20"/>
        </w:rPr>
        <w:t xml:space="preserve"> </w:t>
      </w:r>
      <w:r w:rsidR="00F54F92">
        <w:rPr>
          <w:rFonts w:asciiTheme="minorBidi" w:hAnsiTheme="minorBidi" w:cstheme="minorBidi"/>
          <w:sz w:val="20"/>
          <w:szCs w:val="20"/>
        </w:rPr>
        <w:t xml:space="preserve">se serait légèrement redressée, </w:t>
      </w:r>
      <w:r w:rsidR="00F54F92" w:rsidRPr="00E80D1F">
        <w:rPr>
          <w:rFonts w:ascii="Arial" w:hAnsi="Arial"/>
          <w:sz w:val="20"/>
          <w:szCs w:val="20"/>
        </w:rPr>
        <w:t xml:space="preserve">au </w:t>
      </w:r>
      <w:r w:rsidR="00F54F92">
        <w:rPr>
          <w:rFonts w:ascii="Arial" w:hAnsi="Arial"/>
          <w:sz w:val="20"/>
          <w:szCs w:val="20"/>
        </w:rPr>
        <w:t>deuxième</w:t>
      </w:r>
      <w:r w:rsidR="00F54F92" w:rsidRPr="00E80D1F">
        <w:rPr>
          <w:rFonts w:ascii="Arial" w:hAnsi="Arial"/>
          <w:sz w:val="20"/>
          <w:szCs w:val="20"/>
        </w:rPr>
        <w:t xml:space="preserve"> trimestre 2018,</w:t>
      </w:r>
      <w:r w:rsidR="009D3EE6">
        <w:rPr>
          <w:rFonts w:ascii="Arial" w:hAnsi="Arial"/>
          <w:sz w:val="20"/>
          <w:szCs w:val="20"/>
        </w:rPr>
        <w:t xml:space="preserve"> </w:t>
      </w:r>
      <w:r w:rsidRPr="00E80D1F">
        <w:rPr>
          <w:rFonts w:ascii="Arial" w:hAnsi="Arial"/>
          <w:sz w:val="20"/>
          <w:szCs w:val="20"/>
        </w:rPr>
        <w:t>affich</w:t>
      </w:r>
      <w:r w:rsidR="00F54F92">
        <w:rPr>
          <w:rFonts w:ascii="Arial" w:hAnsi="Arial"/>
          <w:sz w:val="20"/>
          <w:szCs w:val="20"/>
        </w:rPr>
        <w:t>ant</w:t>
      </w:r>
      <w:r w:rsidRPr="00E80D1F">
        <w:rPr>
          <w:rFonts w:ascii="Arial" w:hAnsi="Arial"/>
          <w:sz w:val="20"/>
          <w:szCs w:val="20"/>
        </w:rPr>
        <w:t xml:space="preserve"> un accroissement de </w:t>
      </w:r>
      <w:r w:rsidR="00366E1C">
        <w:rPr>
          <w:rFonts w:ascii="Arial" w:hAnsi="Arial"/>
          <w:sz w:val="20"/>
          <w:szCs w:val="20"/>
        </w:rPr>
        <w:t>0,</w:t>
      </w:r>
      <w:r w:rsidR="00A85D65">
        <w:rPr>
          <w:rFonts w:ascii="Arial" w:hAnsi="Arial"/>
          <w:sz w:val="20"/>
          <w:szCs w:val="20"/>
        </w:rPr>
        <w:t>9</w:t>
      </w:r>
      <w:r w:rsidRPr="00E80D1F">
        <w:rPr>
          <w:rFonts w:ascii="Arial" w:hAnsi="Arial"/>
          <w:sz w:val="20"/>
          <w:szCs w:val="20"/>
        </w:rPr>
        <w:t xml:space="preserve">%, après </w:t>
      </w:r>
      <w:r w:rsidR="002D4D22">
        <w:rPr>
          <w:rFonts w:ascii="Arial" w:hAnsi="Arial"/>
          <w:sz w:val="20"/>
          <w:szCs w:val="20"/>
        </w:rPr>
        <w:t>0</w:t>
      </w:r>
      <w:r w:rsidRPr="00E80D1F">
        <w:rPr>
          <w:rFonts w:ascii="Arial" w:hAnsi="Arial"/>
          <w:sz w:val="20"/>
          <w:szCs w:val="20"/>
        </w:rPr>
        <w:t>,</w:t>
      </w:r>
      <w:r w:rsidR="002D4D22">
        <w:rPr>
          <w:rFonts w:ascii="Arial" w:hAnsi="Arial"/>
          <w:sz w:val="20"/>
          <w:szCs w:val="20"/>
        </w:rPr>
        <w:t>4</w:t>
      </w:r>
      <w:r w:rsidRPr="00E80D1F">
        <w:rPr>
          <w:rFonts w:ascii="Arial" w:hAnsi="Arial"/>
          <w:sz w:val="20"/>
          <w:szCs w:val="20"/>
        </w:rPr>
        <w:t xml:space="preserve">% un trimestre plus tôt. </w:t>
      </w:r>
      <w:r w:rsidR="00EA78E3">
        <w:rPr>
          <w:rFonts w:ascii="Arial" w:hAnsi="Arial"/>
          <w:sz w:val="20"/>
          <w:szCs w:val="20"/>
        </w:rPr>
        <w:t>L</w:t>
      </w:r>
      <w:r w:rsidR="002D4D22">
        <w:rPr>
          <w:rFonts w:ascii="Arial" w:hAnsi="Arial"/>
          <w:sz w:val="20"/>
          <w:szCs w:val="20"/>
        </w:rPr>
        <w:t xml:space="preserve">a baisse </w:t>
      </w:r>
      <w:r w:rsidRPr="00E80D1F">
        <w:rPr>
          <w:rFonts w:ascii="Arial" w:hAnsi="Arial"/>
          <w:sz w:val="20"/>
          <w:szCs w:val="20"/>
        </w:rPr>
        <w:t>de l’utilisation des facteurs de production</w:t>
      </w:r>
      <w:r w:rsidR="002D4D22">
        <w:rPr>
          <w:rFonts w:ascii="Arial" w:hAnsi="Arial"/>
          <w:sz w:val="20"/>
          <w:szCs w:val="20"/>
        </w:rPr>
        <w:t xml:space="preserve"> se serait </w:t>
      </w:r>
      <w:r w:rsidR="00366E1C">
        <w:rPr>
          <w:rFonts w:ascii="Arial" w:hAnsi="Arial"/>
          <w:sz w:val="20"/>
          <w:szCs w:val="20"/>
        </w:rPr>
        <w:t xml:space="preserve">légèrement </w:t>
      </w:r>
      <w:r w:rsidR="002D4D22">
        <w:rPr>
          <w:rFonts w:ascii="Arial" w:hAnsi="Arial"/>
          <w:sz w:val="20"/>
          <w:szCs w:val="20"/>
        </w:rPr>
        <w:t xml:space="preserve">atténuée, </w:t>
      </w:r>
      <w:r w:rsidRPr="00E80D1F">
        <w:rPr>
          <w:rFonts w:ascii="Arial" w:hAnsi="Arial"/>
          <w:sz w:val="20"/>
          <w:szCs w:val="20"/>
        </w:rPr>
        <w:t xml:space="preserve">notamment </w:t>
      </w:r>
      <w:r w:rsidR="002D4D22">
        <w:rPr>
          <w:rFonts w:ascii="Arial" w:hAnsi="Arial"/>
          <w:sz w:val="20"/>
          <w:szCs w:val="20"/>
        </w:rPr>
        <w:t>celle du</w:t>
      </w:r>
      <w:r w:rsidRPr="00E80D1F">
        <w:rPr>
          <w:rFonts w:ascii="Arial" w:hAnsi="Arial"/>
          <w:sz w:val="20"/>
          <w:szCs w:val="20"/>
        </w:rPr>
        <w:t xml:space="preserve"> ciment, dont les ventes auraient fléchi d’environ </w:t>
      </w:r>
      <w:r w:rsidR="00F54F92">
        <w:rPr>
          <w:rFonts w:ascii="Arial" w:hAnsi="Arial"/>
          <w:sz w:val="20"/>
          <w:szCs w:val="20"/>
        </w:rPr>
        <w:t>1,</w:t>
      </w:r>
      <w:r w:rsidR="002D4D22">
        <w:rPr>
          <w:rFonts w:ascii="Arial" w:hAnsi="Arial"/>
          <w:sz w:val="20"/>
          <w:szCs w:val="20"/>
        </w:rPr>
        <w:t>8</w:t>
      </w:r>
      <w:r w:rsidRPr="00E80D1F">
        <w:rPr>
          <w:rFonts w:ascii="Arial" w:hAnsi="Arial"/>
          <w:sz w:val="20"/>
          <w:szCs w:val="20"/>
        </w:rPr>
        <w:t xml:space="preserve">%, après avoir </w:t>
      </w:r>
      <w:r w:rsidR="002D4D22">
        <w:rPr>
          <w:rFonts w:ascii="Arial" w:hAnsi="Arial"/>
          <w:sz w:val="20"/>
          <w:szCs w:val="20"/>
        </w:rPr>
        <w:t>régressé de 6</w:t>
      </w:r>
      <w:r w:rsidRPr="00E80D1F">
        <w:rPr>
          <w:rFonts w:ascii="Arial" w:hAnsi="Arial"/>
          <w:sz w:val="20"/>
          <w:szCs w:val="20"/>
        </w:rPr>
        <w:t>,</w:t>
      </w:r>
      <w:r w:rsidR="002D4D22">
        <w:rPr>
          <w:rFonts w:ascii="Arial" w:hAnsi="Arial"/>
          <w:sz w:val="20"/>
          <w:szCs w:val="20"/>
        </w:rPr>
        <w:t>9</w:t>
      </w:r>
      <w:r w:rsidRPr="00E80D1F">
        <w:rPr>
          <w:rFonts w:ascii="Arial" w:hAnsi="Arial"/>
          <w:sz w:val="20"/>
          <w:szCs w:val="20"/>
        </w:rPr>
        <w:t xml:space="preserve">% au </w:t>
      </w:r>
      <w:r w:rsidR="002D4D22">
        <w:rPr>
          <w:rFonts w:ascii="Arial" w:hAnsi="Arial"/>
          <w:sz w:val="20"/>
          <w:szCs w:val="20"/>
        </w:rPr>
        <w:t>premier</w:t>
      </w:r>
      <w:r w:rsidRPr="00E80D1F">
        <w:rPr>
          <w:rFonts w:ascii="Arial" w:hAnsi="Arial"/>
          <w:sz w:val="20"/>
          <w:szCs w:val="20"/>
        </w:rPr>
        <w:t xml:space="preserve"> trimestre 201</w:t>
      </w:r>
      <w:r w:rsidR="002D4D22">
        <w:rPr>
          <w:rFonts w:ascii="Arial" w:hAnsi="Arial"/>
          <w:sz w:val="20"/>
          <w:szCs w:val="20"/>
        </w:rPr>
        <w:t>8</w:t>
      </w:r>
      <w:r w:rsidRPr="00E80D1F">
        <w:rPr>
          <w:rFonts w:ascii="Arial" w:hAnsi="Arial"/>
          <w:sz w:val="20"/>
          <w:szCs w:val="20"/>
        </w:rPr>
        <w:t xml:space="preserve">. </w:t>
      </w:r>
      <w:r w:rsidR="002D4D22">
        <w:rPr>
          <w:rFonts w:ascii="Arial" w:hAnsi="Arial"/>
          <w:sz w:val="20"/>
          <w:szCs w:val="20"/>
        </w:rPr>
        <w:t xml:space="preserve">Le secteur </w:t>
      </w:r>
      <w:r w:rsidR="000848D2">
        <w:rPr>
          <w:rFonts w:ascii="Arial" w:hAnsi="Arial"/>
          <w:sz w:val="20"/>
          <w:szCs w:val="20"/>
        </w:rPr>
        <w:t xml:space="preserve">aurait </w:t>
      </w:r>
      <w:r w:rsidR="002D4D22">
        <w:rPr>
          <w:rFonts w:ascii="Arial" w:hAnsi="Arial"/>
          <w:sz w:val="20"/>
          <w:szCs w:val="20"/>
        </w:rPr>
        <w:t>continu</w:t>
      </w:r>
      <w:r w:rsidR="000848D2">
        <w:rPr>
          <w:rFonts w:ascii="Arial" w:hAnsi="Arial"/>
          <w:sz w:val="20"/>
          <w:szCs w:val="20"/>
        </w:rPr>
        <w:t>é</w:t>
      </w:r>
      <w:r w:rsidR="002D4D22">
        <w:rPr>
          <w:rFonts w:ascii="Arial" w:hAnsi="Arial"/>
          <w:sz w:val="20"/>
          <w:szCs w:val="20"/>
        </w:rPr>
        <w:t xml:space="preserve"> de pâtir </w:t>
      </w:r>
      <w:r w:rsidR="00366E1C">
        <w:rPr>
          <w:rFonts w:ascii="Arial" w:hAnsi="Arial"/>
          <w:sz w:val="20"/>
          <w:szCs w:val="20"/>
        </w:rPr>
        <w:t>de la faiblesse de la demande adressée aux logements résidentiels</w:t>
      </w:r>
      <w:r w:rsidRPr="00E80D1F">
        <w:rPr>
          <w:rFonts w:ascii="Arial" w:hAnsi="Arial"/>
          <w:sz w:val="20"/>
          <w:szCs w:val="20"/>
        </w:rPr>
        <w:t xml:space="preserve">, notamment le moyen et le haut standing. </w:t>
      </w:r>
      <w:r w:rsidR="000848D2">
        <w:rPr>
          <w:rFonts w:ascii="Arial" w:hAnsi="Arial"/>
          <w:sz w:val="20"/>
          <w:szCs w:val="20"/>
        </w:rPr>
        <w:t>Dans le même sillage</w:t>
      </w:r>
      <w:r w:rsidRPr="00E80D1F">
        <w:rPr>
          <w:rFonts w:ascii="Arial" w:hAnsi="Arial"/>
          <w:sz w:val="20"/>
          <w:szCs w:val="20"/>
        </w:rPr>
        <w:t xml:space="preserve">, les anticipations des </w:t>
      </w:r>
      <w:r w:rsidR="004740E4">
        <w:rPr>
          <w:rFonts w:ascii="Arial" w:hAnsi="Arial"/>
          <w:sz w:val="20"/>
          <w:szCs w:val="20"/>
        </w:rPr>
        <w:t>chefs d’entreprise</w:t>
      </w:r>
      <w:r w:rsidRPr="00E80D1F">
        <w:rPr>
          <w:rFonts w:ascii="Arial" w:hAnsi="Arial"/>
          <w:sz w:val="20"/>
          <w:szCs w:val="20"/>
        </w:rPr>
        <w:t xml:space="preserve"> de la construction, exprimées dans le cadre de la dernière enquête de conjoncture du HCP, auraient </w:t>
      </w:r>
      <w:r w:rsidR="004740E4">
        <w:rPr>
          <w:rFonts w:ascii="Arial" w:hAnsi="Arial"/>
          <w:sz w:val="20"/>
          <w:szCs w:val="20"/>
        </w:rPr>
        <w:t>relev</w:t>
      </w:r>
      <w:r w:rsidRPr="00E80D1F">
        <w:rPr>
          <w:rFonts w:ascii="Arial" w:hAnsi="Arial"/>
          <w:sz w:val="20"/>
          <w:szCs w:val="20"/>
        </w:rPr>
        <w:t xml:space="preserve">é une </w:t>
      </w:r>
      <w:r w:rsidR="003559B6">
        <w:rPr>
          <w:rFonts w:ascii="Arial" w:hAnsi="Arial"/>
          <w:sz w:val="20"/>
          <w:szCs w:val="20"/>
        </w:rPr>
        <w:t xml:space="preserve">poursuite de la tendance baissière des carnets de commande et une </w:t>
      </w:r>
      <w:r w:rsidR="0073295E">
        <w:rPr>
          <w:rFonts w:ascii="Arial" w:hAnsi="Arial"/>
          <w:sz w:val="20"/>
          <w:szCs w:val="20"/>
        </w:rPr>
        <w:t xml:space="preserve">quasi-stabilité de l’activité </w:t>
      </w:r>
      <w:r w:rsidR="006D06B3">
        <w:rPr>
          <w:rFonts w:ascii="Arial" w:hAnsi="Arial"/>
          <w:sz w:val="20"/>
          <w:szCs w:val="20"/>
        </w:rPr>
        <w:t>de construction</w:t>
      </w:r>
      <w:r w:rsidR="0073295E">
        <w:rPr>
          <w:rFonts w:ascii="Arial" w:hAnsi="Arial"/>
          <w:sz w:val="20"/>
          <w:szCs w:val="20"/>
        </w:rPr>
        <w:t xml:space="preserve">, </w:t>
      </w:r>
      <w:r w:rsidR="00A7269A">
        <w:rPr>
          <w:rFonts w:ascii="Arial" w:hAnsi="Arial"/>
          <w:sz w:val="20"/>
          <w:szCs w:val="20"/>
        </w:rPr>
        <w:t xml:space="preserve">avec une hausse </w:t>
      </w:r>
      <w:r w:rsidR="003559B6">
        <w:rPr>
          <w:rFonts w:ascii="Arial" w:hAnsi="Arial"/>
          <w:sz w:val="20"/>
          <w:szCs w:val="20"/>
        </w:rPr>
        <w:t>de celle</w:t>
      </w:r>
      <w:r w:rsidR="00A7269A" w:rsidRPr="00224F7F">
        <w:rPr>
          <w:rFonts w:ascii="Arial" w:hAnsi="Arial"/>
          <w:sz w:val="20"/>
          <w:szCs w:val="20"/>
        </w:rPr>
        <w:t xml:space="preserve"> des «Travaux de construction spécialisés» et une baisse dans le «Génie civil». </w:t>
      </w:r>
    </w:p>
    <w:p w:rsidR="0081799F" w:rsidRDefault="0081799F" w:rsidP="00847D80">
      <w:pPr>
        <w:pStyle w:val="NormalWeb"/>
        <w:spacing w:before="0" w:beforeAutospacing="0" w:after="0" w:afterAutospacing="0"/>
        <w:jc w:val="both"/>
        <w:rPr>
          <w:rFonts w:ascii="Arial" w:hAnsi="Arial" w:cs="Arial"/>
          <w:sz w:val="20"/>
          <w:szCs w:val="20"/>
        </w:rPr>
      </w:pPr>
    </w:p>
    <w:p w:rsidR="0097276B" w:rsidRPr="00CE4911" w:rsidRDefault="00CE4911" w:rsidP="00CE4911">
      <w:pPr>
        <w:pStyle w:val="NormalWeb"/>
        <w:spacing w:before="0" w:beforeAutospacing="0" w:after="0" w:afterAutospacing="0"/>
        <w:jc w:val="both"/>
        <w:rPr>
          <w:rFonts w:ascii="Arial" w:hAnsi="Arial"/>
          <w:sz w:val="20"/>
          <w:szCs w:val="20"/>
        </w:rPr>
      </w:pPr>
      <w:r>
        <w:rPr>
          <w:rFonts w:ascii="Arial" w:hAnsi="Arial" w:cs="Arial"/>
          <w:noProof/>
          <w:sz w:val="20"/>
          <w:szCs w:val="20"/>
        </w:rPr>
        <w:t xml:space="preserve">Dans l’ensemble, le PIB </w:t>
      </w:r>
      <w:r w:rsidRPr="007207CA">
        <w:rPr>
          <w:rFonts w:ascii="Arial" w:hAnsi="Arial" w:cs="Arial"/>
          <w:noProof/>
          <w:sz w:val="20"/>
          <w:szCs w:val="20"/>
        </w:rPr>
        <w:t>non-</w:t>
      </w:r>
      <w:r w:rsidRPr="007207CA">
        <w:rPr>
          <w:rFonts w:ascii="Arial" w:hAnsi="Arial" w:cs="Arial"/>
          <w:sz w:val="20"/>
          <w:szCs w:val="20"/>
        </w:rPr>
        <w:t>agricole</w:t>
      </w:r>
      <w:r>
        <w:rPr>
          <w:rFonts w:ascii="Arial" w:hAnsi="Arial" w:cs="Arial"/>
          <w:sz w:val="20"/>
          <w:szCs w:val="20"/>
        </w:rPr>
        <w:t xml:space="preserve"> se serait accru de 3%, au deuxième</w:t>
      </w:r>
      <w:r>
        <w:rPr>
          <w:rFonts w:ascii="Arial" w:hAnsi="Arial" w:cs="Arial"/>
          <w:iCs/>
          <w:color w:val="000000"/>
          <w:sz w:val="20"/>
          <w:szCs w:val="20"/>
          <w:lang w:eastAsia="en-US"/>
        </w:rPr>
        <w:t xml:space="preserve"> trimestre 2018</w:t>
      </w:r>
      <w:r>
        <w:rPr>
          <w:rFonts w:ascii="Arial" w:hAnsi="Arial" w:cs="Arial"/>
          <w:sz w:val="20"/>
          <w:szCs w:val="20"/>
        </w:rPr>
        <w:t>, au lieu de +3,3% un trimestre auparavant</w:t>
      </w:r>
      <w:r w:rsidRPr="00873491">
        <w:rPr>
          <w:rFonts w:ascii="Arial" w:hAnsi="Arial" w:cs="Arial"/>
          <w:sz w:val="20"/>
          <w:szCs w:val="20"/>
        </w:rPr>
        <w:t xml:space="preserve">. </w:t>
      </w:r>
      <w:r w:rsidR="004E3FC4" w:rsidRPr="00CE4911">
        <w:rPr>
          <w:rFonts w:ascii="Arial" w:hAnsi="Arial"/>
          <w:sz w:val="20"/>
          <w:szCs w:val="20"/>
        </w:rPr>
        <w:t>C</w:t>
      </w:r>
      <w:r w:rsidR="0097276B" w:rsidRPr="00CE4911">
        <w:rPr>
          <w:rFonts w:ascii="Arial" w:hAnsi="Arial"/>
          <w:sz w:val="20"/>
          <w:szCs w:val="20"/>
        </w:rPr>
        <w:t>ompte tenu d</w:t>
      </w:r>
      <w:r w:rsidRPr="00CE4911">
        <w:rPr>
          <w:rFonts w:ascii="Arial" w:hAnsi="Arial"/>
          <w:sz w:val="20"/>
          <w:szCs w:val="20"/>
        </w:rPr>
        <w:t>’une hausse de 3</w:t>
      </w:r>
      <w:r w:rsidR="003C6E84">
        <w:rPr>
          <w:rFonts w:ascii="Arial" w:hAnsi="Arial"/>
          <w:sz w:val="20"/>
          <w:szCs w:val="20"/>
        </w:rPr>
        <w:t>,1</w:t>
      </w:r>
      <w:r w:rsidRPr="00CE4911">
        <w:rPr>
          <w:rFonts w:ascii="Arial" w:hAnsi="Arial"/>
          <w:sz w:val="20"/>
          <w:szCs w:val="20"/>
        </w:rPr>
        <w:t>% de la valeur ajoutée agricole</w:t>
      </w:r>
      <w:r w:rsidR="0097276B" w:rsidRPr="00CE4911">
        <w:rPr>
          <w:rFonts w:ascii="Arial" w:hAnsi="Arial"/>
          <w:sz w:val="20"/>
          <w:szCs w:val="20"/>
        </w:rPr>
        <w:t xml:space="preserve">, la </w:t>
      </w:r>
      <w:r w:rsidR="0097276B" w:rsidRPr="007207CA">
        <w:rPr>
          <w:rFonts w:ascii="Arial" w:hAnsi="Arial"/>
          <w:b/>
          <w:bCs/>
          <w:sz w:val="20"/>
          <w:szCs w:val="20"/>
        </w:rPr>
        <w:t xml:space="preserve">croissance économique nationale </w:t>
      </w:r>
      <w:r w:rsidR="0097276B" w:rsidRPr="00CE4911">
        <w:rPr>
          <w:rFonts w:ascii="Arial" w:hAnsi="Arial"/>
          <w:sz w:val="20"/>
          <w:szCs w:val="20"/>
        </w:rPr>
        <w:t xml:space="preserve">se serait établie à </w:t>
      </w:r>
      <w:r w:rsidR="005C14A1" w:rsidRPr="00CE4911">
        <w:rPr>
          <w:rFonts w:ascii="Arial" w:hAnsi="Arial"/>
          <w:sz w:val="20"/>
          <w:szCs w:val="20"/>
        </w:rPr>
        <w:t>3</w:t>
      </w:r>
      <w:r w:rsidR="0097276B" w:rsidRPr="00CE4911">
        <w:rPr>
          <w:rFonts w:ascii="Arial" w:hAnsi="Arial"/>
          <w:sz w:val="20"/>
          <w:szCs w:val="20"/>
        </w:rPr>
        <w:t xml:space="preserve">%, au </w:t>
      </w:r>
      <w:r w:rsidR="00F21F26" w:rsidRPr="00CE4911">
        <w:rPr>
          <w:rFonts w:ascii="Arial" w:hAnsi="Arial"/>
          <w:sz w:val="20"/>
          <w:szCs w:val="20"/>
        </w:rPr>
        <w:t>deuxième</w:t>
      </w:r>
      <w:r w:rsidR="00974EF9">
        <w:rPr>
          <w:rFonts w:ascii="Arial" w:hAnsi="Arial"/>
          <w:sz w:val="20"/>
          <w:szCs w:val="20"/>
        </w:rPr>
        <w:t xml:space="preserve"> </w:t>
      </w:r>
      <w:r w:rsidR="0097276B" w:rsidRPr="00CE4911">
        <w:rPr>
          <w:rFonts w:ascii="Arial" w:hAnsi="Arial"/>
          <w:sz w:val="20"/>
          <w:szCs w:val="20"/>
        </w:rPr>
        <w:t>trimestre</w:t>
      </w:r>
      <w:r w:rsidR="00FC0362" w:rsidRPr="00CE4911">
        <w:rPr>
          <w:rFonts w:ascii="Arial" w:hAnsi="Arial"/>
          <w:sz w:val="20"/>
          <w:szCs w:val="20"/>
        </w:rPr>
        <w:t xml:space="preserve"> 201</w:t>
      </w:r>
      <w:r w:rsidR="000D4B12" w:rsidRPr="00CE4911">
        <w:rPr>
          <w:rFonts w:ascii="Arial" w:hAnsi="Arial"/>
          <w:sz w:val="20"/>
          <w:szCs w:val="20"/>
        </w:rPr>
        <w:t>8</w:t>
      </w:r>
      <w:r w:rsidR="0097276B" w:rsidRPr="00CE4911">
        <w:rPr>
          <w:rFonts w:ascii="Arial" w:hAnsi="Arial"/>
          <w:sz w:val="20"/>
          <w:szCs w:val="20"/>
        </w:rPr>
        <w:t xml:space="preserve">, au lieu de </w:t>
      </w:r>
      <w:r w:rsidR="000D4B12" w:rsidRPr="00CE4911">
        <w:rPr>
          <w:rFonts w:ascii="Arial" w:hAnsi="Arial"/>
          <w:sz w:val="20"/>
          <w:szCs w:val="20"/>
        </w:rPr>
        <w:t>3,</w:t>
      </w:r>
      <w:r w:rsidR="003C4F40" w:rsidRPr="00CE4911">
        <w:rPr>
          <w:rFonts w:ascii="Arial" w:hAnsi="Arial"/>
          <w:sz w:val="20"/>
          <w:szCs w:val="20"/>
        </w:rPr>
        <w:t>2</w:t>
      </w:r>
      <w:r w:rsidR="0097276B" w:rsidRPr="00CE4911">
        <w:rPr>
          <w:rFonts w:ascii="Arial" w:hAnsi="Arial"/>
          <w:sz w:val="20"/>
          <w:szCs w:val="20"/>
        </w:rPr>
        <w:t>%</w:t>
      </w:r>
      <w:r w:rsidR="003F2933" w:rsidRPr="00CE4911">
        <w:rPr>
          <w:rFonts w:ascii="Arial" w:hAnsi="Arial"/>
          <w:sz w:val="20"/>
          <w:szCs w:val="20"/>
        </w:rPr>
        <w:t xml:space="preserve"> au</w:t>
      </w:r>
      <w:r w:rsidR="003C4F40" w:rsidRPr="00CE4911">
        <w:rPr>
          <w:rFonts w:ascii="Arial" w:hAnsi="Arial"/>
          <w:sz w:val="20"/>
          <w:szCs w:val="20"/>
        </w:rPr>
        <w:t xml:space="preserve"> trimestre</w:t>
      </w:r>
      <w:r w:rsidR="0097276B" w:rsidRPr="00CE4911">
        <w:rPr>
          <w:rFonts w:ascii="Arial" w:hAnsi="Arial"/>
          <w:sz w:val="20"/>
          <w:szCs w:val="20"/>
        </w:rPr>
        <w:t xml:space="preserve"> précédent. </w:t>
      </w:r>
    </w:p>
    <w:p w:rsidR="00E73CCF" w:rsidRPr="00D86E62" w:rsidRDefault="00E73CCF" w:rsidP="00F53071">
      <w:pPr>
        <w:jc w:val="both"/>
        <w:rPr>
          <w:rFonts w:ascii="Arial" w:hAnsi="Arial" w:cs="Arial"/>
          <w:b/>
          <w:bCs/>
          <w:color w:val="800000"/>
          <w:sz w:val="20"/>
          <w:szCs w:val="20"/>
        </w:rPr>
      </w:pPr>
    </w:p>
    <w:p w:rsidR="00490941" w:rsidRPr="009E1C5B" w:rsidRDefault="00DF008E" w:rsidP="00DF008E">
      <w:pPr>
        <w:jc w:val="both"/>
        <w:rPr>
          <w:rFonts w:ascii="Arial" w:hAnsi="Arial" w:cs="Arial"/>
          <w:b/>
          <w:bCs/>
          <w:color w:val="800000"/>
          <w:sz w:val="20"/>
          <w:szCs w:val="20"/>
        </w:rPr>
      </w:pPr>
      <w:r>
        <w:rPr>
          <w:rFonts w:ascii="Arial" w:hAnsi="Arial" w:cs="Arial"/>
          <w:b/>
          <w:bCs/>
          <w:color w:val="800000"/>
          <w:sz w:val="20"/>
          <w:szCs w:val="20"/>
        </w:rPr>
        <w:t>A</w:t>
      </w:r>
      <w:r w:rsidR="00EA78E3">
        <w:rPr>
          <w:rFonts w:ascii="Arial" w:hAnsi="Arial" w:cs="Arial"/>
          <w:b/>
          <w:bCs/>
          <w:color w:val="800000"/>
          <w:sz w:val="20"/>
          <w:szCs w:val="20"/>
        </w:rPr>
        <w:t>ccélération</w:t>
      </w:r>
      <w:r w:rsidR="00490941" w:rsidRPr="009E1C5B">
        <w:rPr>
          <w:rFonts w:ascii="Arial" w:hAnsi="Arial" w:cs="Arial"/>
          <w:b/>
          <w:bCs/>
          <w:color w:val="800000"/>
          <w:sz w:val="20"/>
          <w:szCs w:val="20"/>
        </w:rPr>
        <w:t xml:space="preserve"> des prix à la consommation </w:t>
      </w:r>
    </w:p>
    <w:p w:rsidR="00490941" w:rsidRDefault="00C011C4" w:rsidP="00490941">
      <w:pPr>
        <w:rPr>
          <w:rFonts w:ascii="Arial" w:hAnsi="Arial" w:cs="Arial"/>
          <w:b/>
          <w:bCs/>
          <w:color w:val="F28D2C"/>
        </w:rPr>
      </w:pPr>
      <w:r>
        <w:rPr>
          <w:rFonts w:ascii="Arial" w:hAnsi="Arial" w:cs="Arial"/>
          <w:b/>
          <w:bCs/>
          <w:noProof/>
          <w:color w:val="F28D2C"/>
        </w:rPr>
        <w:drawing>
          <wp:anchor distT="0" distB="0" distL="114300" distR="114300" simplePos="0" relativeHeight="251787264" behindDoc="0" locked="0" layoutInCell="1" allowOverlap="1">
            <wp:simplePos x="0" y="0"/>
            <wp:positionH relativeFrom="column">
              <wp:posOffset>4465955</wp:posOffset>
            </wp:positionH>
            <wp:positionV relativeFrom="paragraph">
              <wp:posOffset>19685</wp:posOffset>
            </wp:positionV>
            <wp:extent cx="2100580" cy="1819910"/>
            <wp:effectExtent l="19050" t="0" r="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100580" cy="1819910"/>
                    </a:xfrm>
                    <a:prstGeom prst="rect">
                      <a:avLst/>
                    </a:prstGeom>
                    <a:noFill/>
                    <a:ln w="9525">
                      <a:noFill/>
                      <a:miter lim="800000"/>
                      <a:headEnd/>
                      <a:tailEnd/>
                    </a:ln>
                  </pic:spPr>
                </pic:pic>
              </a:graphicData>
            </a:graphic>
          </wp:anchor>
        </w:drawing>
      </w:r>
    </w:p>
    <w:p w:rsidR="00231757" w:rsidRDefault="00231757" w:rsidP="004522B2">
      <w:pPr>
        <w:jc w:val="both"/>
        <w:rPr>
          <w:rFonts w:ascii="Arial" w:hAnsi="Arial" w:cs="Arial"/>
          <w:sz w:val="20"/>
          <w:szCs w:val="20"/>
        </w:rPr>
      </w:pPr>
      <w:r w:rsidRPr="00490941">
        <w:rPr>
          <w:rFonts w:ascii="Arial" w:hAnsi="Arial" w:cs="Arial"/>
          <w:sz w:val="20"/>
          <w:szCs w:val="20"/>
        </w:rPr>
        <w:t>A</w:t>
      </w:r>
      <w:r>
        <w:rPr>
          <w:rFonts w:ascii="Arial" w:hAnsi="Arial" w:cs="Arial"/>
          <w:sz w:val="20"/>
          <w:szCs w:val="20"/>
        </w:rPr>
        <w:t>près avoir augmenté de 2</w:t>
      </w:r>
      <w:r w:rsidR="00C57088">
        <w:rPr>
          <w:rFonts w:ascii="Arial" w:hAnsi="Arial" w:cs="Arial"/>
          <w:sz w:val="20"/>
          <w:szCs w:val="20"/>
        </w:rPr>
        <w:t>,1</w:t>
      </w:r>
      <w:r>
        <w:rPr>
          <w:rFonts w:ascii="Arial" w:hAnsi="Arial" w:cs="Arial"/>
          <w:sz w:val="20"/>
          <w:szCs w:val="20"/>
        </w:rPr>
        <w:t>% a</w:t>
      </w:r>
      <w:r w:rsidRPr="00490941">
        <w:rPr>
          <w:rFonts w:ascii="Arial" w:hAnsi="Arial" w:cs="Arial"/>
          <w:sz w:val="20"/>
          <w:szCs w:val="20"/>
        </w:rPr>
        <w:t>u</w:t>
      </w:r>
      <w:r>
        <w:rPr>
          <w:rFonts w:ascii="Arial" w:hAnsi="Arial" w:cs="Arial"/>
          <w:sz w:val="20"/>
          <w:szCs w:val="20"/>
        </w:rPr>
        <w:t xml:space="preserve"> début de l’année, </w:t>
      </w:r>
      <w:r w:rsidRPr="00490941">
        <w:rPr>
          <w:rFonts w:ascii="Arial" w:hAnsi="Arial" w:cs="Arial"/>
          <w:sz w:val="20"/>
          <w:szCs w:val="20"/>
        </w:rPr>
        <w:t xml:space="preserve">les </w:t>
      </w:r>
      <w:r w:rsidRPr="00490941">
        <w:rPr>
          <w:rFonts w:ascii="Arial" w:hAnsi="Arial" w:cs="Arial"/>
          <w:b/>
          <w:bCs/>
          <w:sz w:val="20"/>
          <w:szCs w:val="20"/>
        </w:rPr>
        <w:t>prix à la consommation</w:t>
      </w:r>
      <w:r w:rsidRPr="00490941">
        <w:rPr>
          <w:rFonts w:ascii="Arial" w:hAnsi="Arial" w:cs="Arial"/>
          <w:sz w:val="20"/>
          <w:szCs w:val="20"/>
        </w:rPr>
        <w:t xml:space="preserve"> auraient </w:t>
      </w:r>
      <w:r>
        <w:rPr>
          <w:rFonts w:ascii="Arial" w:hAnsi="Arial" w:cs="Arial"/>
          <w:sz w:val="20"/>
          <w:szCs w:val="20"/>
        </w:rPr>
        <w:t>progressé</w:t>
      </w:r>
      <w:r w:rsidRPr="00490941">
        <w:rPr>
          <w:rFonts w:ascii="Arial" w:hAnsi="Arial" w:cs="Arial"/>
          <w:sz w:val="20"/>
          <w:szCs w:val="20"/>
        </w:rPr>
        <w:t xml:space="preserve"> de 2</w:t>
      </w:r>
      <w:r>
        <w:rPr>
          <w:rFonts w:ascii="Arial" w:hAnsi="Arial" w:cs="Arial"/>
          <w:sz w:val="20"/>
          <w:szCs w:val="20"/>
        </w:rPr>
        <w:t>,6</w:t>
      </w:r>
      <w:r w:rsidRPr="00490941">
        <w:rPr>
          <w:rFonts w:ascii="Arial" w:hAnsi="Arial" w:cs="Arial"/>
          <w:sz w:val="20"/>
          <w:szCs w:val="20"/>
        </w:rPr>
        <w:t xml:space="preserve">%, </w:t>
      </w:r>
      <w:r>
        <w:rPr>
          <w:rFonts w:ascii="Arial" w:hAnsi="Arial" w:cs="Arial"/>
          <w:sz w:val="20"/>
          <w:szCs w:val="20"/>
        </w:rPr>
        <w:t>au</w:t>
      </w:r>
      <w:r w:rsidR="00241EFE">
        <w:rPr>
          <w:rFonts w:ascii="Arial" w:hAnsi="Arial" w:cs="Arial"/>
          <w:sz w:val="20"/>
          <w:szCs w:val="20"/>
        </w:rPr>
        <w:t xml:space="preserve"> </w:t>
      </w:r>
      <w:r>
        <w:rPr>
          <w:rFonts w:ascii="Arial" w:hAnsi="Arial" w:cs="Arial"/>
          <w:sz w:val="20"/>
          <w:szCs w:val="20"/>
        </w:rPr>
        <w:t>deuxième</w:t>
      </w:r>
      <w:r w:rsidRPr="00490941">
        <w:rPr>
          <w:rFonts w:ascii="Arial" w:hAnsi="Arial" w:cs="Arial"/>
          <w:sz w:val="20"/>
          <w:szCs w:val="20"/>
        </w:rPr>
        <w:t xml:space="preserve"> trimestre 2018, </w:t>
      </w:r>
      <w:r>
        <w:rPr>
          <w:rFonts w:ascii="Arial" w:hAnsi="Arial" w:cs="Arial"/>
          <w:sz w:val="20"/>
          <w:szCs w:val="20"/>
        </w:rPr>
        <w:t xml:space="preserve">se situant à leur niveau le plus haut depuis l’année 2008. </w:t>
      </w:r>
      <w:r w:rsidRPr="00490941">
        <w:rPr>
          <w:rFonts w:ascii="Arial" w:hAnsi="Arial" w:cs="Arial"/>
          <w:sz w:val="20"/>
          <w:szCs w:val="20"/>
        </w:rPr>
        <w:t xml:space="preserve">Cette </w:t>
      </w:r>
      <w:r>
        <w:rPr>
          <w:rFonts w:ascii="Arial" w:hAnsi="Arial" w:cs="Arial"/>
          <w:sz w:val="20"/>
          <w:szCs w:val="20"/>
        </w:rPr>
        <w:t>évolut</w:t>
      </w:r>
      <w:r w:rsidRPr="00490941">
        <w:rPr>
          <w:rFonts w:ascii="Arial" w:hAnsi="Arial" w:cs="Arial"/>
          <w:sz w:val="20"/>
          <w:szCs w:val="20"/>
        </w:rPr>
        <w:t xml:space="preserve">ion </w:t>
      </w:r>
      <w:r w:rsidR="00D86E62">
        <w:rPr>
          <w:rFonts w:ascii="Arial" w:hAnsi="Arial" w:cs="Arial"/>
          <w:sz w:val="20"/>
          <w:szCs w:val="20"/>
        </w:rPr>
        <w:t>se</w:t>
      </w:r>
      <w:r w:rsidRPr="00490941">
        <w:rPr>
          <w:rFonts w:ascii="Arial" w:hAnsi="Arial" w:cs="Arial"/>
          <w:sz w:val="20"/>
          <w:szCs w:val="20"/>
        </w:rPr>
        <w:t xml:space="preserve">rait </w:t>
      </w:r>
      <w:r w:rsidR="004522B2" w:rsidRPr="00490941">
        <w:rPr>
          <w:rFonts w:ascii="Arial" w:hAnsi="Arial" w:cs="Arial"/>
          <w:sz w:val="20"/>
          <w:szCs w:val="20"/>
        </w:rPr>
        <w:t>résulté</w:t>
      </w:r>
      <w:r w:rsidRPr="00490941">
        <w:rPr>
          <w:rFonts w:ascii="Arial" w:hAnsi="Arial" w:cs="Arial"/>
          <w:sz w:val="20"/>
          <w:szCs w:val="20"/>
        </w:rPr>
        <w:t xml:space="preserve">, </w:t>
      </w:r>
      <w:r w:rsidR="00D215B7">
        <w:rPr>
          <w:rFonts w:ascii="Arial" w:hAnsi="Arial" w:cs="Arial"/>
          <w:sz w:val="20"/>
          <w:szCs w:val="20"/>
        </w:rPr>
        <w:t>particulière</w:t>
      </w:r>
      <w:r>
        <w:rPr>
          <w:rFonts w:ascii="Arial" w:hAnsi="Arial" w:cs="Arial"/>
          <w:sz w:val="20"/>
          <w:szCs w:val="20"/>
        </w:rPr>
        <w:t>ment</w:t>
      </w:r>
      <w:r w:rsidRPr="00490941">
        <w:rPr>
          <w:rFonts w:ascii="Arial" w:hAnsi="Arial" w:cs="Arial"/>
          <w:sz w:val="20"/>
          <w:szCs w:val="20"/>
        </w:rPr>
        <w:t xml:space="preserve">, de la hausse de </w:t>
      </w:r>
      <w:r>
        <w:rPr>
          <w:rFonts w:ascii="Arial" w:hAnsi="Arial" w:cs="Arial"/>
          <w:sz w:val="20"/>
          <w:szCs w:val="20"/>
        </w:rPr>
        <w:t>3</w:t>
      </w:r>
      <w:r w:rsidRPr="00490941">
        <w:rPr>
          <w:rFonts w:ascii="Arial" w:hAnsi="Arial" w:cs="Arial"/>
          <w:sz w:val="20"/>
          <w:szCs w:val="20"/>
        </w:rPr>
        <w:t>,</w:t>
      </w:r>
      <w:r>
        <w:rPr>
          <w:rFonts w:ascii="Arial" w:hAnsi="Arial" w:cs="Arial"/>
          <w:sz w:val="20"/>
          <w:szCs w:val="20"/>
        </w:rPr>
        <w:t>4</w:t>
      </w:r>
      <w:r w:rsidRPr="00490941">
        <w:rPr>
          <w:rFonts w:ascii="Arial" w:hAnsi="Arial" w:cs="Arial"/>
          <w:sz w:val="20"/>
          <w:szCs w:val="20"/>
        </w:rPr>
        <w:t>% des prix des</w:t>
      </w:r>
      <w:r>
        <w:rPr>
          <w:rFonts w:ascii="Arial" w:hAnsi="Arial" w:cs="Arial"/>
          <w:sz w:val="20"/>
          <w:szCs w:val="20"/>
        </w:rPr>
        <w:t xml:space="preserve"> produits alimentaires, suite </w:t>
      </w:r>
      <w:r w:rsidR="00D215B7">
        <w:rPr>
          <w:rFonts w:ascii="Arial" w:hAnsi="Arial" w:cs="Arial"/>
          <w:sz w:val="20"/>
          <w:szCs w:val="20"/>
        </w:rPr>
        <w:t xml:space="preserve">notamment </w:t>
      </w:r>
      <w:r>
        <w:rPr>
          <w:rFonts w:ascii="Arial" w:hAnsi="Arial" w:cs="Arial"/>
          <w:sz w:val="20"/>
          <w:szCs w:val="20"/>
        </w:rPr>
        <w:t>au renchérissement de</w:t>
      </w:r>
      <w:r w:rsidR="005965D9">
        <w:rPr>
          <w:rFonts w:ascii="Arial" w:hAnsi="Arial" w:cs="Arial"/>
          <w:sz w:val="20"/>
          <w:szCs w:val="20"/>
        </w:rPr>
        <w:t xml:space="preserve"> ceux</w:t>
      </w:r>
      <w:r>
        <w:rPr>
          <w:rFonts w:ascii="Arial" w:hAnsi="Arial" w:cs="Arial"/>
          <w:sz w:val="20"/>
          <w:szCs w:val="20"/>
        </w:rPr>
        <w:t xml:space="preserve"> des produits frais. Les prix </w:t>
      </w:r>
      <w:r w:rsidRPr="00490941">
        <w:rPr>
          <w:rFonts w:ascii="Arial" w:hAnsi="Arial" w:cs="Arial"/>
          <w:sz w:val="20"/>
          <w:szCs w:val="20"/>
        </w:rPr>
        <w:t>des produits non-alimentaires</w:t>
      </w:r>
      <w:r>
        <w:rPr>
          <w:rFonts w:ascii="Arial" w:hAnsi="Arial" w:cs="Arial"/>
          <w:sz w:val="20"/>
          <w:szCs w:val="20"/>
        </w:rPr>
        <w:t xml:space="preserve"> auraient, pour leur part, crû de 1,9</w:t>
      </w:r>
      <w:r w:rsidRPr="00490941">
        <w:rPr>
          <w:rFonts w:ascii="Arial" w:hAnsi="Arial" w:cs="Arial"/>
          <w:sz w:val="20"/>
          <w:szCs w:val="20"/>
        </w:rPr>
        <w:t>%</w:t>
      </w:r>
      <w:r>
        <w:rPr>
          <w:rFonts w:ascii="Arial" w:hAnsi="Arial" w:cs="Arial"/>
          <w:sz w:val="20"/>
          <w:szCs w:val="20"/>
        </w:rPr>
        <w:t>, en variation annuelle, portés par l</w:t>
      </w:r>
      <w:r w:rsidR="0009549D">
        <w:rPr>
          <w:rFonts w:ascii="Arial" w:hAnsi="Arial" w:cs="Arial"/>
          <w:sz w:val="20"/>
          <w:szCs w:val="20"/>
        </w:rPr>
        <w:t>e renchérissement</w:t>
      </w:r>
      <w:r>
        <w:rPr>
          <w:rFonts w:ascii="Arial" w:hAnsi="Arial" w:cs="Arial"/>
          <w:sz w:val="20"/>
          <w:szCs w:val="20"/>
        </w:rPr>
        <w:t xml:space="preserve"> des prix des produits énergétiques et l’augmentation modérée des </w:t>
      </w:r>
      <w:r w:rsidR="00F025F1">
        <w:rPr>
          <w:rFonts w:ascii="Arial" w:hAnsi="Arial" w:cs="Arial"/>
          <w:sz w:val="20"/>
          <w:szCs w:val="20"/>
        </w:rPr>
        <w:t xml:space="preserve">prix des </w:t>
      </w:r>
      <w:r>
        <w:rPr>
          <w:rFonts w:ascii="Arial" w:hAnsi="Arial" w:cs="Arial"/>
          <w:sz w:val="20"/>
          <w:szCs w:val="20"/>
        </w:rPr>
        <w:t>produits alimentaires hors frais et</w:t>
      </w:r>
      <w:r w:rsidR="00241EFE">
        <w:rPr>
          <w:rFonts w:ascii="Arial" w:hAnsi="Arial" w:cs="Arial"/>
          <w:sz w:val="20"/>
          <w:szCs w:val="20"/>
        </w:rPr>
        <w:t xml:space="preserve"> </w:t>
      </w:r>
      <w:r>
        <w:rPr>
          <w:rFonts w:ascii="Arial" w:hAnsi="Arial" w:cs="Arial"/>
          <w:sz w:val="20"/>
          <w:szCs w:val="20"/>
        </w:rPr>
        <w:t>des produits manufacturés</w:t>
      </w:r>
      <w:r w:rsidRPr="00490941">
        <w:rPr>
          <w:rFonts w:ascii="Arial" w:hAnsi="Arial" w:cs="Arial"/>
          <w:sz w:val="20"/>
          <w:szCs w:val="20"/>
        </w:rPr>
        <w:t xml:space="preserve">. </w:t>
      </w:r>
      <w:r w:rsidRPr="004B2C1D">
        <w:rPr>
          <w:rFonts w:ascii="Arial" w:eastAsiaTheme="minorHAnsi" w:hAnsi="Arial" w:cs="Arial"/>
          <w:sz w:val="20"/>
          <w:szCs w:val="20"/>
          <w:lang w:eastAsia="en-US"/>
        </w:rPr>
        <w:t xml:space="preserve">Hors énergie et produits </w:t>
      </w:r>
      <w:r>
        <w:rPr>
          <w:rFonts w:ascii="Arial" w:eastAsiaTheme="minorHAnsi" w:hAnsi="Arial" w:cs="Arial"/>
          <w:sz w:val="20"/>
          <w:szCs w:val="20"/>
          <w:lang w:eastAsia="en-US"/>
        </w:rPr>
        <w:t xml:space="preserve">à prix </w:t>
      </w:r>
      <w:r w:rsidR="00D215B7">
        <w:rPr>
          <w:rFonts w:ascii="Arial" w:hAnsi="Arial" w:cs="Arial"/>
          <w:sz w:val="20"/>
          <w:szCs w:val="20"/>
        </w:rPr>
        <w:t xml:space="preserve">administrés ou </w:t>
      </w:r>
      <w:r w:rsidRPr="004B2C1D">
        <w:rPr>
          <w:rFonts w:ascii="Arial" w:eastAsiaTheme="minorHAnsi" w:hAnsi="Arial" w:cs="Arial"/>
          <w:sz w:val="20"/>
          <w:szCs w:val="20"/>
          <w:lang w:eastAsia="en-US"/>
        </w:rPr>
        <w:t xml:space="preserve">volatils, l’inflation sous-jacente se serait </w:t>
      </w:r>
      <w:r>
        <w:rPr>
          <w:rFonts w:ascii="Arial" w:hAnsi="Arial" w:cs="Arial"/>
          <w:sz w:val="20"/>
          <w:szCs w:val="20"/>
        </w:rPr>
        <w:t>établi</w:t>
      </w:r>
      <w:r w:rsidRPr="004B2C1D">
        <w:rPr>
          <w:rFonts w:ascii="Arial" w:eastAsiaTheme="minorHAnsi" w:hAnsi="Arial" w:cs="Arial"/>
          <w:sz w:val="20"/>
          <w:szCs w:val="20"/>
          <w:lang w:eastAsia="en-US"/>
        </w:rPr>
        <w:t>e en de</w:t>
      </w:r>
      <w:r>
        <w:rPr>
          <w:rFonts w:ascii="Arial" w:hAnsi="Arial" w:cs="Arial"/>
          <w:sz w:val="20"/>
          <w:szCs w:val="20"/>
        </w:rPr>
        <w:t xml:space="preserve">ssous </w:t>
      </w:r>
      <w:r w:rsidRPr="004B2C1D">
        <w:rPr>
          <w:rFonts w:ascii="Arial" w:eastAsiaTheme="minorHAnsi" w:hAnsi="Arial" w:cs="Arial"/>
          <w:sz w:val="20"/>
          <w:szCs w:val="20"/>
          <w:lang w:eastAsia="en-US"/>
        </w:rPr>
        <w:t xml:space="preserve">de 1%, </w:t>
      </w:r>
      <w:r w:rsidR="00D215B7">
        <w:rPr>
          <w:rFonts w:ascii="Arial" w:eastAsiaTheme="minorHAnsi" w:hAnsi="Arial" w:cs="Arial"/>
          <w:sz w:val="20"/>
          <w:szCs w:val="20"/>
          <w:lang w:eastAsia="en-US"/>
        </w:rPr>
        <w:t xml:space="preserve">au deuxième trimestre 2018, </w:t>
      </w:r>
      <w:r>
        <w:rPr>
          <w:rFonts w:ascii="Arial" w:eastAsiaTheme="minorHAnsi" w:hAnsi="Arial" w:cs="Arial"/>
          <w:sz w:val="20"/>
          <w:szCs w:val="20"/>
          <w:lang w:eastAsia="en-US"/>
        </w:rPr>
        <w:t xml:space="preserve">dans le sillage de l’évolution modérée </w:t>
      </w:r>
      <w:r w:rsidRPr="004B2C1D">
        <w:rPr>
          <w:rFonts w:ascii="Arial" w:eastAsiaTheme="minorHAnsi" w:hAnsi="Arial" w:cs="Arial"/>
          <w:sz w:val="20"/>
          <w:szCs w:val="20"/>
          <w:lang w:eastAsia="en-US"/>
        </w:rPr>
        <w:t xml:space="preserve">des prix de </w:t>
      </w:r>
      <w:r>
        <w:rPr>
          <w:rFonts w:ascii="Arial" w:eastAsiaTheme="minorHAnsi" w:hAnsi="Arial" w:cs="Arial"/>
          <w:sz w:val="20"/>
          <w:szCs w:val="20"/>
          <w:lang w:eastAsia="en-US"/>
        </w:rPr>
        <w:t xml:space="preserve">la plupart de </w:t>
      </w:r>
      <w:r w:rsidRPr="004B2C1D">
        <w:rPr>
          <w:rFonts w:ascii="Arial" w:eastAsiaTheme="minorHAnsi" w:hAnsi="Arial" w:cs="Arial"/>
          <w:sz w:val="20"/>
          <w:szCs w:val="20"/>
          <w:lang w:eastAsia="en-US"/>
        </w:rPr>
        <w:t xml:space="preserve">ses composantes. </w:t>
      </w:r>
    </w:p>
    <w:p w:rsidR="00A27CE8" w:rsidRPr="00490941" w:rsidRDefault="00A27CE8" w:rsidP="004740E4">
      <w:pPr>
        <w:jc w:val="both"/>
        <w:rPr>
          <w:rFonts w:ascii="Arial" w:hAnsi="Arial" w:cs="Arial"/>
          <w:color w:val="FF0000"/>
          <w:sz w:val="20"/>
          <w:szCs w:val="20"/>
        </w:rPr>
      </w:pPr>
    </w:p>
    <w:p w:rsidR="00C011C4" w:rsidRDefault="00C011C4" w:rsidP="00AE59EE">
      <w:pPr>
        <w:tabs>
          <w:tab w:val="left" w:pos="5245"/>
        </w:tabs>
        <w:jc w:val="both"/>
        <w:rPr>
          <w:rFonts w:ascii="Arial" w:hAnsi="Arial" w:cs="Arial"/>
          <w:b/>
          <w:bCs/>
          <w:color w:val="800000"/>
          <w:kern w:val="28"/>
          <w:sz w:val="20"/>
          <w:szCs w:val="20"/>
        </w:rPr>
      </w:pPr>
    </w:p>
    <w:p w:rsidR="00AE59EE" w:rsidRPr="00995E77" w:rsidRDefault="00AE59EE" w:rsidP="00AE59EE">
      <w:pPr>
        <w:tabs>
          <w:tab w:val="left" w:pos="5245"/>
        </w:tabs>
        <w:jc w:val="both"/>
        <w:rPr>
          <w:rFonts w:ascii="Arial" w:hAnsi="Arial" w:cs="Arial"/>
          <w:b/>
          <w:bCs/>
          <w:color w:val="800000"/>
          <w:kern w:val="28"/>
          <w:sz w:val="20"/>
          <w:szCs w:val="20"/>
        </w:rPr>
      </w:pPr>
      <w:r w:rsidRPr="00995E77">
        <w:rPr>
          <w:rFonts w:ascii="Arial" w:hAnsi="Arial" w:cs="Arial"/>
          <w:b/>
          <w:bCs/>
          <w:color w:val="800000"/>
          <w:kern w:val="28"/>
          <w:sz w:val="20"/>
          <w:szCs w:val="20"/>
        </w:rPr>
        <w:t>Nette décélération des créances sur l’économie</w:t>
      </w:r>
    </w:p>
    <w:p w:rsidR="00AE59EE" w:rsidRPr="00995E77" w:rsidRDefault="00AE59EE" w:rsidP="00AE59EE">
      <w:pPr>
        <w:jc w:val="both"/>
        <w:rPr>
          <w:rFonts w:ascii="Arial" w:hAnsi="Arial" w:cs="Arial"/>
          <w:sz w:val="20"/>
          <w:szCs w:val="20"/>
        </w:rPr>
      </w:pPr>
    </w:p>
    <w:p w:rsidR="00AE59EE" w:rsidRPr="00995E77" w:rsidRDefault="00AE59EE" w:rsidP="00B47309">
      <w:pPr>
        <w:jc w:val="both"/>
        <w:rPr>
          <w:rFonts w:ascii="Arial" w:hAnsi="Arial" w:cs="Arial"/>
          <w:sz w:val="20"/>
          <w:szCs w:val="20"/>
        </w:rPr>
      </w:pPr>
      <w:r w:rsidRPr="00995E77">
        <w:rPr>
          <w:rFonts w:ascii="Arial" w:hAnsi="Arial" w:cs="Arial"/>
          <w:sz w:val="20"/>
          <w:szCs w:val="20"/>
        </w:rPr>
        <w:t xml:space="preserve">Au deuxième trimestre 2018, la croissance de la masse monétaire </w:t>
      </w:r>
      <w:r w:rsidR="008E2284">
        <w:rPr>
          <w:rFonts w:ascii="Arial" w:hAnsi="Arial" w:cs="Arial"/>
          <w:sz w:val="20"/>
          <w:szCs w:val="20"/>
        </w:rPr>
        <w:t>aurait ralenti</w:t>
      </w:r>
      <w:r w:rsidRPr="00995E77">
        <w:rPr>
          <w:rFonts w:ascii="Arial" w:hAnsi="Arial" w:cs="Arial"/>
          <w:sz w:val="20"/>
          <w:szCs w:val="20"/>
        </w:rPr>
        <w:t xml:space="preserve"> à 5%</w:t>
      </w:r>
      <w:r w:rsidR="00B47309">
        <w:rPr>
          <w:rFonts w:ascii="Arial" w:hAnsi="Arial" w:cs="Arial"/>
          <w:sz w:val="20"/>
          <w:szCs w:val="20"/>
        </w:rPr>
        <w:t>,</w:t>
      </w:r>
      <w:r w:rsidRPr="00995E77">
        <w:rPr>
          <w:rFonts w:ascii="Arial" w:hAnsi="Arial" w:cs="Arial"/>
          <w:sz w:val="20"/>
          <w:szCs w:val="20"/>
        </w:rPr>
        <w:t xml:space="preserve"> en glissement annuel, au lieu de </w:t>
      </w:r>
      <w:r w:rsidR="00B47309">
        <w:rPr>
          <w:rFonts w:ascii="Arial" w:hAnsi="Arial" w:cs="Arial"/>
          <w:sz w:val="20"/>
          <w:szCs w:val="20"/>
        </w:rPr>
        <w:t>+</w:t>
      </w:r>
      <w:r w:rsidRPr="00995E77">
        <w:rPr>
          <w:rFonts w:ascii="Arial" w:hAnsi="Arial" w:cs="Arial"/>
          <w:sz w:val="20"/>
          <w:szCs w:val="20"/>
        </w:rPr>
        <w:t>5,5%</w:t>
      </w:r>
      <w:r w:rsidR="00B47309">
        <w:rPr>
          <w:rFonts w:ascii="Arial" w:hAnsi="Arial" w:cs="Arial"/>
          <w:sz w:val="20"/>
          <w:szCs w:val="20"/>
        </w:rPr>
        <w:t>,</w:t>
      </w:r>
      <w:r w:rsidRPr="00995E77">
        <w:rPr>
          <w:rFonts w:ascii="Arial" w:hAnsi="Arial" w:cs="Arial"/>
          <w:sz w:val="20"/>
          <w:szCs w:val="20"/>
        </w:rPr>
        <w:t xml:space="preserve"> un trimestre auparavant. Le </w:t>
      </w:r>
      <w:r w:rsidRPr="00995E77">
        <w:rPr>
          <w:rFonts w:ascii="Arial" w:hAnsi="Arial" w:cs="Arial"/>
          <w:b/>
          <w:bCs/>
          <w:sz w:val="20"/>
          <w:szCs w:val="20"/>
        </w:rPr>
        <w:t>besoin de liquidité</w:t>
      </w:r>
      <w:r w:rsidRPr="00995E77">
        <w:rPr>
          <w:rFonts w:ascii="Arial" w:hAnsi="Arial" w:cs="Arial"/>
          <w:sz w:val="20"/>
          <w:szCs w:val="20"/>
        </w:rPr>
        <w:t xml:space="preserve"> des banques se serait accentué, malgré l</w:t>
      </w:r>
      <w:r w:rsidR="008E2284">
        <w:rPr>
          <w:rFonts w:ascii="Arial" w:hAnsi="Arial" w:cs="Arial"/>
          <w:sz w:val="20"/>
          <w:szCs w:val="20"/>
        </w:rPr>
        <w:t>e redressement</w:t>
      </w:r>
      <w:r w:rsidRPr="00995E77">
        <w:rPr>
          <w:rFonts w:ascii="Arial" w:hAnsi="Arial" w:cs="Arial"/>
          <w:sz w:val="20"/>
          <w:szCs w:val="20"/>
        </w:rPr>
        <w:t xml:space="preserve"> mécanique des réserves internationales nettes. Ces</w:t>
      </w:r>
      <w:r w:rsidR="00B47309">
        <w:rPr>
          <w:rFonts w:ascii="Arial" w:hAnsi="Arial" w:cs="Arial"/>
          <w:sz w:val="20"/>
          <w:szCs w:val="20"/>
        </w:rPr>
        <w:t xml:space="preserve"> dernières</w:t>
      </w:r>
      <w:r w:rsidRPr="00995E77">
        <w:rPr>
          <w:rFonts w:ascii="Arial" w:hAnsi="Arial" w:cs="Arial"/>
          <w:sz w:val="20"/>
          <w:szCs w:val="20"/>
        </w:rPr>
        <w:t xml:space="preserve"> auraient augmenté de 8,2%, contre un repli de 5% un trimestre plus tôt. Les créances nettes sur l’administration centrale auraient poursuivi leur progression, </w:t>
      </w:r>
      <w:r w:rsidR="00B47309">
        <w:rPr>
          <w:rFonts w:ascii="Arial" w:hAnsi="Arial" w:cs="Arial"/>
          <w:sz w:val="20"/>
          <w:szCs w:val="20"/>
        </w:rPr>
        <w:t xml:space="preserve">portant la </w:t>
      </w:r>
      <w:r w:rsidRPr="00995E77">
        <w:rPr>
          <w:rFonts w:ascii="Arial" w:hAnsi="Arial" w:cs="Arial"/>
          <w:sz w:val="20"/>
          <w:szCs w:val="20"/>
        </w:rPr>
        <w:t xml:space="preserve">hausse </w:t>
      </w:r>
      <w:r w:rsidR="00B47309" w:rsidRPr="00995E77">
        <w:rPr>
          <w:rFonts w:ascii="Arial" w:hAnsi="Arial" w:cs="Arial"/>
          <w:sz w:val="20"/>
          <w:szCs w:val="20"/>
        </w:rPr>
        <w:t xml:space="preserve">de l’endettement monétaire du Trésor </w:t>
      </w:r>
      <w:r w:rsidR="00B47309">
        <w:rPr>
          <w:rFonts w:ascii="Arial" w:hAnsi="Arial" w:cs="Arial"/>
          <w:sz w:val="20"/>
          <w:szCs w:val="20"/>
        </w:rPr>
        <w:t>à</w:t>
      </w:r>
      <w:r w:rsidRPr="00995E77">
        <w:rPr>
          <w:rFonts w:ascii="Arial" w:hAnsi="Arial" w:cs="Arial"/>
          <w:sz w:val="20"/>
          <w:szCs w:val="20"/>
        </w:rPr>
        <w:t xml:space="preserve"> 14%</w:t>
      </w:r>
      <w:r w:rsidR="00B47309">
        <w:rPr>
          <w:rFonts w:ascii="Arial" w:hAnsi="Arial" w:cs="Arial"/>
          <w:sz w:val="20"/>
          <w:szCs w:val="20"/>
        </w:rPr>
        <w:t>, en variation annuelle</w:t>
      </w:r>
      <w:r w:rsidRPr="00995E77">
        <w:rPr>
          <w:rFonts w:ascii="Arial" w:hAnsi="Arial" w:cs="Arial"/>
          <w:sz w:val="20"/>
          <w:szCs w:val="20"/>
        </w:rPr>
        <w:t>.</w:t>
      </w:r>
    </w:p>
    <w:p w:rsidR="00AE59EE" w:rsidRPr="00995E77" w:rsidRDefault="00AE59EE" w:rsidP="00AE59EE">
      <w:pPr>
        <w:jc w:val="both"/>
        <w:rPr>
          <w:rFonts w:ascii="Arial" w:hAnsi="Arial" w:cs="Arial"/>
          <w:sz w:val="20"/>
          <w:szCs w:val="20"/>
        </w:rPr>
      </w:pPr>
    </w:p>
    <w:p w:rsidR="00AE59EE" w:rsidRDefault="00AE59EE" w:rsidP="009060E9">
      <w:pPr>
        <w:jc w:val="both"/>
        <w:rPr>
          <w:rFonts w:ascii="Arial" w:hAnsi="Arial" w:cs="Arial"/>
          <w:sz w:val="20"/>
          <w:szCs w:val="20"/>
        </w:rPr>
      </w:pPr>
      <w:r w:rsidRPr="00995E77">
        <w:rPr>
          <w:rFonts w:ascii="Arial" w:hAnsi="Arial" w:cs="Arial"/>
          <w:sz w:val="20"/>
          <w:szCs w:val="20"/>
        </w:rPr>
        <w:t>L</w:t>
      </w:r>
      <w:r>
        <w:rPr>
          <w:rFonts w:ascii="Arial" w:hAnsi="Arial" w:cs="Arial"/>
          <w:sz w:val="20"/>
          <w:szCs w:val="20"/>
        </w:rPr>
        <w:t>e rythme de croissance d</w:t>
      </w:r>
      <w:r w:rsidRPr="00995E77">
        <w:rPr>
          <w:rFonts w:ascii="Arial" w:hAnsi="Arial" w:cs="Arial"/>
          <w:sz w:val="20"/>
          <w:szCs w:val="20"/>
        </w:rPr>
        <w:t xml:space="preserve">es créances sur l’économie aurait continué de décélérer pour </w:t>
      </w:r>
      <w:r>
        <w:rPr>
          <w:rFonts w:ascii="Arial" w:hAnsi="Arial" w:cs="Arial"/>
          <w:sz w:val="20"/>
          <w:szCs w:val="20"/>
        </w:rPr>
        <w:t>se situer à</w:t>
      </w:r>
      <w:r w:rsidR="000C69DF">
        <w:rPr>
          <w:rFonts w:ascii="Arial" w:hAnsi="Arial" w:cs="Arial"/>
          <w:sz w:val="20"/>
          <w:szCs w:val="20"/>
        </w:rPr>
        <w:t xml:space="preserve"> </w:t>
      </w:r>
      <w:r w:rsidR="00AA131D">
        <w:rPr>
          <w:rFonts w:ascii="Arial" w:hAnsi="Arial" w:cs="Arial"/>
          <w:sz w:val="20"/>
          <w:szCs w:val="20"/>
        </w:rPr>
        <w:t>+</w:t>
      </w:r>
      <w:r w:rsidRPr="00995E77">
        <w:rPr>
          <w:rFonts w:ascii="Arial" w:hAnsi="Arial" w:cs="Arial"/>
          <w:sz w:val="20"/>
          <w:szCs w:val="20"/>
        </w:rPr>
        <w:t xml:space="preserve">2,3%, au lieu de </w:t>
      </w:r>
      <w:r>
        <w:rPr>
          <w:rFonts w:ascii="Arial" w:hAnsi="Arial" w:cs="Arial"/>
          <w:sz w:val="20"/>
          <w:szCs w:val="20"/>
        </w:rPr>
        <w:t>+</w:t>
      </w:r>
      <w:r w:rsidRPr="00995E77">
        <w:rPr>
          <w:rFonts w:ascii="Arial" w:hAnsi="Arial" w:cs="Arial"/>
          <w:sz w:val="20"/>
          <w:szCs w:val="20"/>
        </w:rPr>
        <w:t>6,4% une année plus tôt. Ce r</w:t>
      </w:r>
      <w:r>
        <w:rPr>
          <w:rFonts w:ascii="Arial" w:hAnsi="Arial" w:cs="Arial"/>
          <w:sz w:val="20"/>
          <w:szCs w:val="20"/>
        </w:rPr>
        <w:t>alentissement</w:t>
      </w:r>
      <w:r w:rsidRPr="00995E77">
        <w:rPr>
          <w:rFonts w:ascii="Arial" w:hAnsi="Arial" w:cs="Arial"/>
          <w:sz w:val="20"/>
          <w:szCs w:val="20"/>
        </w:rPr>
        <w:t xml:space="preserve"> serait d</w:t>
      </w:r>
      <w:r>
        <w:rPr>
          <w:rFonts w:ascii="Arial" w:hAnsi="Arial" w:cs="Arial"/>
          <w:sz w:val="20"/>
          <w:szCs w:val="20"/>
        </w:rPr>
        <w:t>û</w:t>
      </w:r>
      <w:r w:rsidR="00AA131D">
        <w:rPr>
          <w:rFonts w:ascii="Arial" w:hAnsi="Arial" w:cs="Arial"/>
          <w:sz w:val="20"/>
          <w:szCs w:val="20"/>
        </w:rPr>
        <w:t>,</w:t>
      </w:r>
      <w:r w:rsidRPr="00995E77">
        <w:rPr>
          <w:rFonts w:ascii="Arial" w:hAnsi="Arial" w:cs="Arial"/>
          <w:sz w:val="20"/>
          <w:szCs w:val="20"/>
        </w:rPr>
        <w:t xml:space="preserve"> particulièrement</w:t>
      </w:r>
      <w:r w:rsidR="00AA131D">
        <w:rPr>
          <w:rFonts w:ascii="Arial" w:hAnsi="Arial" w:cs="Arial"/>
          <w:sz w:val="20"/>
          <w:szCs w:val="20"/>
        </w:rPr>
        <w:t>,</w:t>
      </w:r>
      <w:r w:rsidRPr="00995E77">
        <w:rPr>
          <w:rFonts w:ascii="Arial" w:hAnsi="Arial" w:cs="Arial"/>
          <w:sz w:val="20"/>
          <w:szCs w:val="20"/>
        </w:rPr>
        <w:t xml:space="preserve"> à la poursuite du recul des crédits accordés à la trésorerie des entreprises. Dans ce contexte, les taux d’intérêt sur le marché interbancaire se seraient </w:t>
      </w:r>
      <w:r>
        <w:rPr>
          <w:rFonts w:ascii="Arial" w:hAnsi="Arial" w:cs="Arial"/>
          <w:sz w:val="20"/>
          <w:szCs w:val="20"/>
        </w:rPr>
        <w:t>quasi</w:t>
      </w:r>
      <w:r w:rsidRPr="00995E77">
        <w:rPr>
          <w:rFonts w:ascii="Arial" w:hAnsi="Arial" w:cs="Arial"/>
          <w:sz w:val="20"/>
          <w:szCs w:val="20"/>
        </w:rPr>
        <w:t xml:space="preserve">ment stabilisés, évoluant </w:t>
      </w:r>
      <w:r w:rsidR="00AA131D">
        <w:rPr>
          <w:rFonts w:ascii="Arial" w:hAnsi="Arial" w:cs="Arial"/>
          <w:sz w:val="20"/>
          <w:szCs w:val="20"/>
        </w:rPr>
        <w:t>à un niveau</w:t>
      </w:r>
      <w:r w:rsidRPr="00995E77">
        <w:rPr>
          <w:rFonts w:ascii="Arial" w:hAnsi="Arial" w:cs="Arial"/>
          <w:sz w:val="20"/>
          <w:szCs w:val="20"/>
        </w:rPr>
        <w:t xml:space="preserve"> proche du taux directeur. </w:t>
      </w:r>
      <w:r w:rsidR="00096088">
        <w:rPr>
          <w:rFonts w:ascii="Arial" w:hAnsi="Arial" w:cs="Arial"/>
          <w:sz w:val="20"/>
          <w:szCs w:val="20"/>
        </w:rPr>
        <w:t>En revanche</w:t>
      </w:r>
      <w:r w:rsidRPr="00995E77">
        <w:rPr>
          <w:rFonts w:ascii="Arial" w:hAnsi="Arial" w:cs="Arial"/>
          <w:sz w:val="20"/>
          <w:szCs w:val="20"/>
        </w:rPr>
        <w:t xml:space="preserve">, les taux auraient différemment évolué sur le marché des bons du Trésor. </w:t>
      </w:r>
      <w:r>
        <w:rPr>
          <w:rFonts w:ascii="Arial" w:hAnsi="Arial" w:cs="Arial"/>
          <w:sz w:val="20"/>
          <w:szCs w:val="20"/>
        </w:rPr>
        <w:t>L</w:t>
      </w:r>
      <w:r w:rsidRPr="00995E77">
        <w:rPr>
          <w:rFonts w:ascii="Arial" w:hAnsi="Arial" w:cs="Arial"/>
          <w:sz w:val="20"/>
          <w:szCs w:val="20"/>
        </w:rPr>
        <w:t>es taux d’intérêt à un an auraient progressé, en moyenne, de 5 points de base, alors que ceux à 5 ans et à 10 ans auraient reculé de 3 et 5 points</w:t>
      </w:r>
      <w:r>
        <w:rPr>
          <w:rFonts w:ascii="Arial" w:hAnsi="Arial" w:cs="Arial"/>
          <w:sz w:val="20"/>
          <w:szCs w:val="20"/>
        </w:rPr>
        <w:t>,</w:t>
      </w:r>
      <w:r w:rsidRPr="00995E77">
        <w:rPr>
          <w:rFonts w:ascii="Arial" w:hAnsi="Arial" w:cs="Arial"/>
          <w:sz w:val="20"/>
          <w:szCs w:val="20"/>
        </w:rPr>
        <w:t xml:space="preserve"> respectivement.  </w:t>
      </w:r>
    </w:p>
    <w:p w:rsidR="00AE59EE" w:rsidRPr="00995E77" w:rsidRDefault="00AE59EE" w:rsidP="00AE59EE">
      <w:pPr>
        <w:jc w:val="both"/>
        <w:rPr>
          <w:rFonts w:ascii="Arial" w:hAnsi="Arial" w:cs="Arial"/>
          <w:sz w:val="20"/>
          <w:szCs w:val="20"/>
        </w:rPr>
      </w:pPr>
    </w:p>
    <w:p w:rsidR="00F51D6E" w:rsidRPr="005143DD" w:rsidRDefault="00F51D6E" w:rsidP="00F51D6E">
      <w:pPr>
        <w:jc w:val="both"/>
        <w:rPr>
          <w:rFonts w:ascii="Arial" w:hAnsi="Arial" w:cs="Arial"/>
          <w:b/>
          <w:bCs/>
          <w:color w:val="800000"/>
          <w:kern w:val="28"/>
          <w:sz w:val="20"/>
          <w:szCs w:val="20"/>
        </w:rPr>
      </w:pPr>
      <w:r w:rsidRPr="005143DD">
        <w:rPr>
          <w:rFonts w:ascii="Arial" w:hAnsi="Arial" w:cs="Arial"/>
          <w:b/>
          <w:bCs/>
          <w:color w:val="800000"/>
          <w:kern w:val="28"/>
          <w:sz w:val="20"/>
          <w:szCs w:val="20"/>
        </w:rPr>
        <w:t>Correction à la baisse des valeurs boursières</w:t>
      </w:r>
    </w:p>
    <w:p w:rsidR="00F51D6E" w:rsidRPr="005143DD" w:rsidRDefault="00F51D6E" w:rsidP="00F51D6E">
      <w:pPr>
        <w:jc w:val="both"/>
        <w:rPr>
          <w:rFonts w:ascii="Arial" w:hAnsi="Arial" w:cs="Arial"/>
          <w:sz w:val="20"/>
          <w:szCs w:val="20"/>
        </w:rPr>
      </w:pPr>
    </w:p>
    <w:p w:rsidR="00A25C09" w:rsidRDefault="00551DB0" w:rsidP="00A55655">
      <w:pPr>
        <w:jc w:val="both"/>
        <w:rPr>
          <w:rFonts w:ascii="Arial" w:hAnsi="Arial" w:cs="Arial"/>
          <w:sz w:val="20"/>
          <w:szCs w:val="20"/>
        </w:rPr>
      </w:pPr>
      <w:r>
        <w:rPr>
          <w:rFonts w:ascii="Arial" w:hAnsi="Arial" w:cs="Arial"/>
          <w:noProof/>
          <w:sz w:val="20"/>
          <w:szCs w:val="20"/>
        </w:rPr>
        <w:drawing>
          <wp:anchor distT="0" distB="0" distL="114300" distR="114300" simplePos="0" relativeHeight="251797504" behindDoc="0" locked="0" layoutInCell="1" allowOverlap="1">
            <wp:simplePos x="0" y="0"/>
            <wp:positionH relativeFrom="column">
              <wp:posOffset>4300220</wp:posOffset>
            </wp:positionH>
            <wp:positionV relativeFrom="paragraph">
              <wp:posOffset>69215</wp:posOffset>
            </wp:positionV>
            <wp:extent cx="2275205" cy="1992630"/>
            <wp:effectExtent l="19050" t="0" r="0" b="0"/>
            <wp:wrapSquare wrapText="bothSides"/>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275205" cy="1992630"/>
                    </a:xfrm>
                    <a:prstGeom prst="rect">
                      <a:avLst/>
                    </a:prstGeom>
                    <a:noFill/>
                    <a:ln w="9525">
                      <a:noFill/>
                      <a:miter lim="800000"/>
                      <a:headEnd/>
                      <a:tailEnd/>
                    </a:ln>
                  </pic:spPr>
                </pic:pic>
              </a:graphicData>
            </a:graphic>
          </wp:anchor>
        </w:drawing>
      </w:r>
      <w:r w:rsidR="00F51D6E">
        <w:rPr>
          <w:rFonts w:ascii="Arial" w:hAnsi="Arial" w:cs="Arial"/>
          <w:sz w:val="20"/>
          <w:szCs w:val="20"/>
        </w:rPr>
        <w:t>Après avoir réalisé de bonnes perfor</w:t>
      </w:r>
      <w:r w:rsidR="00997D12">
        <w:rPr>
          <w:rFonts w:ascii="Arial" w:hAnsi="Arial" w:cs="Arial"/>
          <w:sz w:val="20"/>
          <w:szCs w:val="20"/>
        </w:rPr>
        <w:t xml:space="preserve">mances depuis une année et </w:t>
      </w:r>
      <w:r w:rsidR="0044164C">
        <w:rPr>
          <w:rFonts w:ascii="Arial" w:hAnsi="Arial" w:cs="Arial"/>
          <w:sz w:val="20"/>
          <w:szCs w:val="20"/>
        </w:rPr>
        <w:t>demi</w:t>
      </w:r>
      <w:r w:rsidR="00F51D6E">
        <w:rPr>
          <w:rFonts w:ascii="Arial" w:hAnsi="Arial" w:cs="Arial"/>
          <w:sz w:val="20"/>
          <w:szCs w:val="20"/>
        </w:rPr>
        <w:t>, l</w:t>
      </w:r>
      <w:r w:rsidR="00F51D6E" w:rsidRPr="005143DD">
        <w:rPr>
          <w:rFonts w:ascii="Arial" w:hAnsi="Arial" w:cs="Arial"/>
          <w:sz w:val="20"/>
          <w:szCs w:val="20"/>
        </w:rPr>
        <w:t xml:space="preserve">e </w:t>
      </w:r>
      <w:r w:rsidR="00F51D6E" w:rsidRPr="005143DD">
        <w:rPr>
          <w:rFonts w:ascii="Arial" w:hAnsi="Arial" w:cs="Arial"/>
          <w:b/>
          <w:bCs/>
          <w:sz w:val="20"/>
          <w:szCs w:val="20"/>
        </w:rPr>
        <w:t>marché des actions</w:t>
      </w:r>
      <w:r w:rsidR="00F51D6E" w:rsidRPr="005143DD">
        <w:rPr>
          <w:rFonts w:ascii="Arial" w:hAnsi="Arial" w:cs="Arial"/>
          <w:sz w:val="20"/>
          <w:szCs w:val="20"/>
        </w:rPr>
        <w:t xml:space="preserve"> aurait </w:t>
      </w:r>
      <w:r w:rsidR="00F51D6E">
        <w:rPr>
          <w:rFonts w:ascii="Arial" w:hAnsi="Arial" w:cs="Arial"/>
          <w:sz w:val="20"/>
          <w:szCs w:val="20"/>
        </w:rPr>
        <w:t xml:space="preserve">renoué avec la baisse </w:t>
      </w:r>
      <w:r w:rsidR="00F51D6E" w:rsidRPr="005143DD">
        <w:rPr>
          <w:rFonts w:ascii="Arial" w:hAnsi="Arial" w:cs="Arial"/>
          <w:sz w:val="20"/>
          <w:szCs w:val="20"/>
        </w:rPr>
        <w:t>au cours du deuxième trimestre 2018</w:t>
      </w:r>
      <w:r w:rsidR="00F51D6E">
        <w:rPr>
          <w:rFonts w:ascii="Arial" w:hAnsi="Arial" w:cs="Arial"/>
          <w:sz w:val="20"/>
          <w:szCs w:val="20"/>
        </w:rPr>
        <w:t xml:space="preserve">, pâtissant du repli des cours d’une grande partie </w:t>
      </w:r>
      <w:r w:rsidR="00F51D6E" w:rsidRPr="005143DD">
        <w:rPr>
          <w:rFonts w:ascii="Arial" w:hAnsi="Arial" w:cs="Arial"/>
          <w:sz w:val="20"/>
          <w:szCs w:val="20"/>
        </w:rPr>
        <w:t>des valeurs cotées</w:t>
      </w:r>
      <w:r w:rsidR="00795C26">
        <w:rPr>
          <w:rFonts w:ascii="Arial" w:hAnsi="Arial" w:cs="Arial"/>
          <w:sz w:val="20"/>
          <w:szCs w:val="20"/>
        </w:rPr>
        <w:t>, en</w:t>
      </w:r>
      <w:r w:rsidR="00F51D6E">
        <w:rPr>
          <w:rFonts w:ascii="Arial" w:hAnsi="Arial" w:cs="Arial"/>
          <w:sz w:val="20"/>
          <w:szCs w:val="20"/>
        </w:rPr>
        <w:t xml:space="preserve"> dépit d’un </w:t>
      </w:r>
      <w:r w:rsidR="00F51D6E" w:rsidRPr="005143DD">
        <w:rPr>
          <w:rFonts w:ascii="Arial" w:hAnsi="Arial" w:cs="Arial"/>
          <w:sz w:val="20"/>
          <w:szCs w:val="20"/>
        </w:rPr>
        <w:t xml:space="preserve">environnement </w:t>
      </w:r>
      <w:r w:rsidR="00F51D6E">
        <w:rPr>
          <w:rFonts w:ascii="Arial" w:hAnsi="Arial" w:cs="Arial"/>
          <w:sz w:val="20"/>
          <w:szCs w:val="20"/>
        </w:rPr>
        <w:t>relativement</w:t>
      </w:r>
      <w:r w:rsidR="00F51D6E" w:rsidRPr="005143DD">
        <w:rPr>
          <w:rFonts w:ascii="Arial" w:hAnsi="Arial" w:cs="Arial"/>
          <w:sz w:val="20"/>
          <w:szCs w:val="20"/>
        </w:rPr>
        <w:t xml:space="preserve"> propice à l’investissement en bourse</w:t>
      </w:r>
      <w:r w:rsidR="00F51D6E">
        <w:rPr>
          <w:rFonts w:ascii="Arial" w:hAnsi="Arial" w:cs="Arial"/>
          <w:sz w:val="20"/>
          <w:szCs w:val="20"/>
        </w:rPr>
        <w:t>,</w:t>
      </w:r>
      <w:r w:rsidR="00F51D6E" w:rsidRPr="005143DD">
        <w:rPr>
          <w:rFonts w:ascii="Arial" w:hAnsi="Arial" w:cs="Arial"/>
          <w:sz w:val="20"/>
          <w:szCs w:val="20"/>
        </w:rPr>
        <w:t xml:space="preserve"> caractérisé par un niveau </w:t>
      </w:r>
      <w:r w:rsidR="00DA4E31">
        <w:rPr>
          <w:rFonts w:ascii="Arial" w:hAnsi="Arial" w:cs="Arial"/>
          <w:sz w:val="20"/>
          <w:szCs w:val="20"/>
        </w:rPr>
        <w:t>mod</w:t>
      </w:r>
      <w:r w:rsidR="009060E9">
        <w:rPr>
          <w:rFonts w:ascii="Arial" w:hAnsi="Arial" w:cs="Arial"/>
          <w:sz w:val="20"/>
          <w:szCs w:val="20"/>
        </w:rPr>
        <w:t>é</w:t>
      </w:r>
      <w:r w:rsidR="00DA4E31">
        <w:rPr>
          <w:rFonts w:ascii="Arial" w:hAnsi="Arial" w:cs="Arial"/>
          <w:sz w:val="20"/>
          <w:szCs w:val="20"/>
        </w:rPr>
        <w:t>ré</w:t>
      </w:r>
      <w:r w:rsidR="00F51D6E" w:rsidRPr="005143DD">
        <w:rPr>
          <w:rFonts w:ascii="Arial" w:hAnsi="Arial" w:cs="Arial"/>
          <w:sz w:val="20"/>
          <w:szCs w:val="20"/>
        </w:rPr>
        <w:t xml:space="preserve"> des taux d’intérêt</w:t>
      </w:r>
      <w:r w:rsidR="00795C26">
        <w:rPr>
          <w:rFonts w:ascii="Arial" w:hAnsi="Arial" w:cs="Arial"/>
          <w:sz w:val="20"/>
          <w:szCs w:val="20"/>
        </w:rPr>
        <w:t>.</w:t>
      </w:r>
      <w:r w:rsidR="000C69DF">
        <w:rPr>
          <w:rFonts w:ascii="Arial" w:hAnsi="Arial" w:cs="Arial"/>
          <w:sz w:val="20"/>
          <w:szCs w:val="20"/>
        </w:rPr>
        <w:t xml:space="preserve"> </w:t>
      </w:r>
      <w:r w:rsidR="00795C26">
        <w:rPr>
          <w:rFonts w:ascii="Arial" w:hAnsi="Arial" w:cs="Arial"/>
          <w:sz w:val="20"/>
          <w:szCs w:val="20"/>
        </w:rPr>
        <w:t>L</w:t>
      </w:r>
      <w:r w:rsidR="009C5D29">
        <w:rPr>
          <w:rFonts w:ascii="Arial" w:hAnsi="Arial" w:cs="Arial"/>
          <w:sz w:val="20"/>
          <w:szCs w:val="20"/>
        </w:rPr>
        <w:t>a baisse d</w:t>
      </w:r>
      <w:r w:rsidR="00F51D6E" w:rsidRPr="005143DD">
        <w:rPr>
          <w:rFonts w:ascii="Arial" w:hAnsi="Arial" w:cs="Arial"/>
          <w:sz w:val="20"/>
          <w:szCs w:val="20"/>
        </w:rPr>
        <w:t>es indices boursiers aurait</w:t>
      </w:r>
      <w:r w:rsidR="00795C26">
        <w:rPr>
          <w:rFonts w:ascii="Arial" w:hAnsi="Arial" w:cs="Arial"/>
          <w:sz w:val="20"/>
          <w:szCs w:val="20"/>
        </w:rPr>
        <w:t>, ainsi,</w:t>
      </w:r>
      <w:r w:rsidR="00F51D6E" w:rsidRPr="005143DD">
        <w:rPr>
          <w:rFonts w:ascii="Arial" w:hAnsi="Arial" w:cs="Arial"/>
          <w:sz w:val="20"/>
          <w:szCs w:val="20"/>
        </w:rPr>
        <w:t xml:space="preserve"> effacé tous les gains enregistrés au</w:t>
      </w:r>
      <w:r w:rsidR="00F51D6E">
        <w:rPr>
          <w:rFonts w:ascii="Arial" w:hAnsi="Arial" w:cs="Arial"/>
          <w:sz w:val="20"/>
          <w:szCs w:val="20"/>
        </w:rPr>
        <w:t xml:space="preserve"> cours des</w:t>
      </w:r>
      <w:r w:rsidR="00F51D6E" w:rsidRPr="005143DD">
        <w:rPr>
          <w:rFonts w:ascii="Arial" w:hAnsi="Arial" w:cs="Arial"/>
          <w:sz w:val="20"/>
          <w:szCs w:val="20"/>
        </w:rPr>
        <w:t xml:space="preserve"> trois derniers trimestres. Les indices MASI et MADEX auraient reculé de </w:t>
      </w:r>
      <w:r w:rsidR="006633BB">
        <w:rPr>
          <w:rFonts w:ascii="Arial" w:hAnsi="Arial" w:cs="Arial"/>
          <w:sz w:val="20"/>
          <w:szCs w:val="20"/>
        </w:rPr>
        <w:t>1</w:t>
      </w:r>
      <w:r w:rsidR="00F51D6E" w:rsidRPr="005143DD">
        <w:rPr>
          <w:rFonts w:ascii="Arial" w:hAnsi="Arial" w:cs="Arial"/>
          <w:sz w:val="20"/>
          <w:szCs w:val="20"/>
        </w:rPr>
        <w:t>,</w:t>
      </w:r>
      <w:r w:rsidR="006633BB">
        <w:rPr>
          <w:rFonts w:ascii="Arial" w:hAnsi="Arial" w:cs="Arial"/>
          <w:sz w:val="20"/>
          <w:szCs w:val="20"/>
        </w:rPr>
        <w:t>1</w:t>
      </w:r>
      <w:r w:rsidR="00F51D6E" w:rsidRPr="005143DD">
        <w:rPr>
          <w:rFonts w:ascii="Arial" w:hAnsi="Arial" w:cs="Arial"/>
          <w:sz w:val="20"/>
          <w:szCs w:val="20"/>
        </w:rPr>
        <w:t xml:space="preserve">% et </w:t>
      </w:r>
      <w:r w:rsidR="006633BB">
        <w:rPr>
          <w:rFonts w:ascii="Arial" w:hAnsi="Arial" w:cs="Arial"/>
          <w:sz w:val="20"/>
          <w:szCs w:val="20"/>
        </w:rPr>
        <w:t>2</w:t>
      </w:r>
      <w:r w:rsidR="00F51D6E" w:rsidRPr="005143DD">
        <w:rPr>
          <w:rFonts w:ascii="Arial" w:hAnsi="Arial" w:cs="Arial"/>
          <w:sz w:val="20"/>
          <w:szCs w:val="20"/>
        </w:rPr>
        <w:t>,</w:t>
      </w:r>
      <w:r w:rsidR="006633BB">
        <w:rPr>
          <w:rFonts w:ascii="Arial" w:hAnsi="Arial" w:cs="Arial"/>
          <w:sz w:val="20"/>
          <w:szCs w:val="20"/>
        </w:rPr>
        <w:t>2</w:t>
      </w:r>
      <w:r w:rsidR="00F51D6E" w:rsidRPr="005143DD">
        <w:rPr>
          <w:rFonts w:ascii="Arial" w:hAnsi="Arial" w:cs="Arial"/>
          <w:sz w:val="20"/>
          <w:szCs w:val="20"/>
        </w:rPr>
        <w:t xml:space="preserve">%, respectivement, en glissements annuels, après des hausses de 14,8% et 14,5%, un trimestre </w:t>
      </w:r>
      <w:r w:rsidR="00F51D6E">
        <w:rPr>
          <w:rFonts w:ascii="Arial" w:hAnsi="Arial" w:cs="Arial"/>
          <w:sz w:val="20"/>
          <w:szCs w:val="20"/>
        </w:rPr>
        <w:t>auparava</w:t>
      </w:r>
      <w:r w:rsidR="00F51D6E" w:rsidRPr="005143DD">
        <w:rPr>
          <w:rFonts w:ascii="Arial" w:hAnsi="Arial" w:cs="Arial"/>
          <w:sz w:val="20"/>
          <w:szCs w:val="20"/>
        </w:rPr>
        <w:t xml:space="preserve">nt. Ces évolutions </w:t>
      </w:r>
      <w:r w:rsidR="00F51D6E">
        <w:rPr>
          <w:rFonts w:ascii="Arial" w:hAnsi="Arial" w:cs="Arial"/>
          <w:sz w:val="20"/>
          <w:szCs w:val="20"/>
        </w:rPr>
        <w:t>auraient été attribuables</w:t>
      </w:r>
      <w:r w:rsidR="00F51D6E" w:rsidRPr="005143DD">
        <w:rPr>
          <w:rFonts w:ascii="Arial" w:hAnsi="Arial" w:cs="Arial"/>
          <w:sz w:val="20"/>
          <w:szCs w:val="20"/>
        </w:rPr>
        <w:t>, p</w:t>
      </w:r>
      <w:r w:rsidR="00F51D6E">
        <w:rPr>
          <w:rFonts w:ascii="Arial" w:hAnsi="Arial" w:cs="Arial"/>
          <w:sz w:val="20"/>
          <w:szCs w:val="20"/>
        </w:rPr>
        <w:t>articulièrement</w:t>
      </w:r>
      <w:r w:rsidR="00F51D6E" w:rsidRPr="005143DD">
        <w:rPr>
          <w:rFonts w:ascii="Arial" w:hAnsi="Arial" w:cs="Arial"/>
          <w:sz w:val="20"/>
          <w:szCs w:val="20"/>
        </w:rPr>
        <w:t>,</w:t>
      </w:r>
      <w:r w:rsidR="00F51D6E">
        <w:rPr>
          <w:rFonts w:ascii="Arial" w:hAnsi="Arial" w:cs="Arial"/>
          <w:sz w:val="20"/>
          <w:szCs w:val="20"/>
        </w:rPr>
        <w:t xml:space="preserve"> à</w:t>
      </w:r>
      <w:r w:rsidR="00F51D6E" w:rsidRPr="005143DD">
        <w:rPr>
          <w:rFonts w:ascii="Arial" w:hAnsi="Arial" w:cs="Arial"/>
          <w:sz w:val="20"/>
          <w:szCs w:val="20"/>
        </w:rPr>
        <w:t xml:space="preserve"> la régression des cours des </w:t>
      </w:r>
      <w:r w:rsidR="00F51D6E">
        <w:rPr>
          <w:rFonts w:ascii="Arial" w:hAnsi="Arial" w:cs="Arial"/>
          <w:sz w:val="20"/>
          <w:szCs w:val="20"/>
        </w:rPr>
        <w:t xml:space="preserve">actions du secteur </w:t>
      </w:r>
      <w:r w:rsidR="00F51D6E" w:rsidRPr="005143DD">
        <w:rPr>
          <w:rFonts w:ascii="Arial" w:hAnsi="Arial" w:cs="Arial"/>
          <w:sz w:val="20"/>
          <w:szCs w:val="20"/>
        </w:rPr>
        <w:t>immobilier, de</w:t>
      </w:r>
      <w:r w:rsidR="00F51D6E">
        <w:rPr>
          <w:rFonts w:ascii="Arial" w:hAnsi="Arial" w:cs="Arial"/>
          <w:sz w:val="20"/>
          <w:szCs w:val="20"/>
        </w:rPr>
        <w:t xml:space="preserve"> l’</w:t>
      </w:r>
      <w:r w:rsidR="00F51D6E" w:rsidRPr="005143DD">
        <w:rPr>
          <w:rFonts w:ascii="Arial" w:hAnsi="Arial" w:cs="Arial"/>
          <w:sz w:val="20"/>
          <w:szCs w:val="20"/>
        </w:rPr>
        <w:t xml:space="preserve">ingénierie des biens d’équipement industriels, de la sylviculture et papier et des équipements électroniques et électriques. Parallèlement, le marché boursier n’aurait pas offert assez d’intérêt aux investisseurs qui auraient pris des positions globalement vendeuses. Le volume des transactions aurait </w:t>
      </w:r>
      <w:r w:rsidR="009060E9">
        <w:rPr>
          <w:rFonts w:ascii="Arial" w:hAnsi="Arial" w:cs="Arial"/>
          <w:sz w:val="20"/>
          <w:szCs w:val="20"/>
        </w:rPr>
        <w:t>fléchi</w:t>
      </w:r>
      <w:r w:rsidR="00F51D6E" w:rsidRPr="005143DD">
        <w:rPr>
          <w:rFonts w:ascii="Arial" w:hAnsi="Arial" w:cs="Arial"/>
          <w:sz w:val="20"/>
          <w:szCs w:val="20"/>
        </w:rPr>
        <w:t xml:space="preserve"> de 2</w:t>
      </w:r>
      <w:r w:rsidR="006633BB">
        <w:rPr>
          <w:rFonts w:ascii="Arial" w:hAnsi="Arial" w:cs="Arial"/>
          <w:sz w:val="20"/>
          <w:szCs w:val="20"/>
        </w:rPr>
        <w:t>1</w:t>
      </w:r>
      <w:r w:rsidR="00F51D6E" w:rsidRPr="005143DD">
        <w:rPr>
          <w:rFonts w:ascii="Arial" w:hAnsi="Arial" w:cs="Arial"/>
          <w:sz w:val="20"/>
          <w:szCs w:val="20"/>
        </w:rPr>
        <w:t>,</w:t>
      </w:r>
      <w:r w:rsidR="006633BB">
        <w:rPr>
          <w:rFonts w:ascii="Arial" w:hAnsi="Arial" w:cs="Arial"/>
          <w:sz w:val="20"/>
          <w:szCs w:val="20"/>
        </w:rPr>
        <w:t>7</w:t>
      </w:r>
      <w:r w:rsidR="00F51D6E" w:rsidRPr="005143DD">
        <w:rPr>
          <w:rFonts w:ascii="Arial" w:hAnsi="Arial" w:cs="Arial"/>
          <w:sz w:val="20"/>
          <w:szCs w:val="20"/>
        </w:rPr>
        <w:t>%, en variation annuelle.</w:t>
      </w:r>
    </w:p>
    <w:p w:rsidR="00F51D6E" w:rsidRPr="00F033CB" w:rsidRDefault="00F51D6E" w:rsidP="00F51D6E">
      <w:pPr>
        <w:jc w:val="both"/>
        <w:rPr>
          <w:rFonts w:ascii="Arial" w:hAnsi="Arial" w:cs="Arial"/>
          <w:sz w:val="20"/>
          <w:szCs w:val="20"/>
        </w:rPr>
      </w:pPr>
    </w:p>
    <w:p w:rsidR="0097276B" w:rsidRDefault="00B56EBC" w:rsidP="00F21F26">
      <w:pPr>
        <w:jc w:val="both"/>
        <w:rPr>
          <w:rFonts w:ascii="Arial" w:hAnsi="Arial" w:cs="Arial"/>
          <w:b/>
          <w:bCs/>
          <w:color w:val="800000"/>
          <w:kern w:val="28"/>
          <w:sz w:val="20"/>
          <w:szCs w:val="20"/>
        </w:rPr>
      </w:pPr>
      <w:r>
        <w:rPr>
          <w:rFonts w:ascii="Arial" w:hAnsi="Arial" w:cs="Arial"/>
          <w:b/>
          <w:bCs/>
          <w:color w:val="800000"/>
          <w:kern w:val="28"/>
          <w:sz w:val="20"/>
          <w:szCs w:val="20"/>
        </w:rPr>
        <w:t xml:space="preserve">Légère </w:t>
      </w:r>
      <w:r w:rsidR="00791C76">
        <w:rPr>
          <w:rFonts w:ascii="Arial" w:hAnsi="Arial" w:cs="Arial"/>
          <w:b/>
          <w:bCs/>
          <w:color w:val="800000"/>
          <w:kern w:val="28"/>
          <w:sz w:val="20"/>
          <w:szCs w:val="20"/>
        </w:rPr>
        <w:t>hausse</w:t>
      </w:r>
      <w:r>
        <w:rPr>
          <w:rFonts w:ascii="Arial" w:hAnsi="Arial" w:cs="Arial"/>
          <w:b/>
          <w:bCs/>
          <w:color w:val="800000"/>
          <w:kern w:val="28"/>
          <w:sz w:val="20"/>
          <w:szCs w:val="20"/>
        </w:rPr>
        <w:t xml:space="preserve"> du rythme de</w:t>
      </w:r>
      <w:r w:rsidR="00975EB6">
        <w:rPr>
          <w:rFonts w:ascii="Arial" w:hAnsi="Arial" w:cs="Arial"/>
          <w:b/>
          <w:bCs/>
          <w:color w:val="800000"/>
          <w:kern w:val="28"/>
          <w:sz w:val="20"/>
          <w:szCs w:val="20"/>
        </w:rPr>
        <w:t xml:space="preserve"> </w:t>
      </w:r>
      <w:r w:rsidR="00B10EA4">
        <w:rPr>
          <w:rFonts w:ascii="Arial" w:hAnsi="Arial" w:cs="Arial"/>
          <w:b/>
          <w:bCs/>
          <w:color w:val="800000"/>
          <w:kern w:val="28"/>
          <w:sz w:val="20"/>
          <w:szCs w:val="20"/>
        </w:rPr>
        <w:t xml:space="preserve">la </w:t>
      </w:r>
      <w:r w:rsidR="0038690B">
        <w:rPr>
          <w:rFonts w:ascii="Arial" w:hAnsi="Arial" w:cs="Arial"/>
          <w:b/>
          <w:bCs/>
          <w:color w:val="800000"/>
          <w:kern w:val="28"/>
          <w:sz w:val="20"/>
          <w:szCs w:val="20"/>
        </w:rPr>
        <w:t>croissance</w:t>
      </w:r>
      <w:r w:rsidR="00975EB6">
        <w:rPr>
          <w:rFonts w:ascii="Arial" w:hAnsi="Arial" w:cs="Arial"/>
          <w:b/>
          <w:bCs/>
          <w:color w:val="800000"/>
          <w:kern w:val="28"/>
          <w:sz w:val="20"/>
          <w:szCs w:val="20"/>
        </w:rPr>
        <w:t xml:space="preserve"> </w:t>
      </w:r>
      <w:r w:rsidR="00B10EA4">
        <w:rPr>
          <w:rFonts w:ascii="Arial" w:hAnsi="Arial" w:cs="Arial"/>
          <w:b/>
          <w:bCs/>
          <w:color w:val="800000"/>
          <w:kern w:val="28"/>
          <w:sz w:val="20"/>
          <w:szCs w:val="20"/>
        </w:rPr>
        <w:t xml:space="preserve">économique </w:t>
      </w:r>
      <w:r w:rsidR="0097276B">
        <w:rPr>
          <w:rFonts w:ascii="Arial" w:hAnsi="Arial" w:cs="Arial"/>
          <w:b/>
          <w:bCs/>
          <w:color w:val="800000"/>
          <w:kern w:val="28"/>
          <w:sz w:val="20"/>
          <w:szCs w:val="20"/>
        </w:rPr>
        <w:t xml:space="preserve">au </w:t>
      </w:r>
      <w:r w:rsidR="00F21F26">
        <w:rPr>
          <w:rFonts w:ascii="Arial" w:hAnsi="Arial" w:cs="Arial"/>
          <w:b/>
          <w:bCs/>
          <w:color w:val="800000"/>
          <w:kern w:val="28"/>
          <w:sz w:val="20"/>
          <w:szCs w:val="20"/>
        </w:rPr>
        <w:t>trois</w:t>
      </w:r>
      <w:r w:rsidR="00EA2CD9">
        <w:rPr>
          <w:rFonts w:ascii="Arial" w:hAnsi="Arial" w:cs="Arial"/>
          <w:b/>
          <w:bCs/>
          <w:color w:val="800000"/>
          <w:kern w:val="28"/>
          <w:sz w:val="20"/>
          <w:szCs w:val="20"/>
        </w:rPr>
        <w:t>ième</w:t>
      </w:r>
      <w:r w:rsidR="0097276B" w:rsidRPr="001640A8">
        <w:rPr>
          <w:rFonts w:ascii="Arial" w:hAnsi="Arial" w:cs="Arial"/>
          <w:b/>
          <w:bCs/>
          <w:color w:val="800000"/>
          <w:kern w:val="28"/>
          <w:sz w:val="20"/>
          <w:szCs w:val="20"/>
        </w:rPr>
        <w:t xml:space="preserve"> trimestre 201</w:t>
      </w:r>
      <w:r w:rsidR="00264435">
        <w:rPr>
          <w:rFonts w:ascii="Arial" w:hAnsi="Arial" w:cs="Arial"/>
          <w:b/>
          <w:bCs/>
          <w:color w:val="800000"/>
          <w:kern w:val="28"/>
          <w:sz w:val="20"/>
          <w:szCs w:val="20"/>
        </w:rPr>
        <w:t>8</w:t>
      </w:r>
    </w:p>
    <w:p w:rsidR="0097276B" w:rsidRDefault="0097276B" w:rsidP="0032191A">
      <w:pPr>
        <w:jc w:val="both"/>
        <w:rPr>
          <w:rFonts w:ascii="Arial" w:hAnsi="Arial" w:cs="Arial"/>
          <w:b/>
          <w:bCs/>
          <w:color w:val="800000"/>
          <w:kern w:val="28"/>
          <w:sz w:val="20"/>
          <w:szCs w:val="20"/>
        </w:rPr>
      </w:pPr>
    </w:p>
    <w:p w:rsidR="005965D9" w:rsidRPr="005965D9" w:rsidRDefault="003559B6" w:rsidP="003559B6">
      <w:pPr>
        <w:jc w:val="both"/>
        <w:rPr>
          <w:rFonts w:ascii="Arial" w:hAnsi="Arial" w:cs="Arial"/>
          <w:iCs/>
          <w:sz w:val="20"/>
          <w:szCs w:val="20"/>
        </w:rPr>
      </w:pPr>
      <w:r>
        <w:rPr>
          <w:rFonts w:ascii="Arial" w:hAnsi="Arial" w:cs="Arial"/>
          <w:iCs/>
          <w:sz w:val="20"/>
          <w:szCs w:val="20"/>
        </w:rPr>
        <w:t>Au troisième trimestre 2018, l</w:t>
      </w:r>
      <w:r w:rsidR="003B3BE1" w:rsidRPr="00E35C12">
        <w:rPr>
          <w:rFonts w:ascii="Arial" w:hAnsi="Arial" w:cs="Arial"/>
          <w:iCs/>
          <w:sz w:val="20"/>
          <w:szCs w:val="20"/>
        </w:rPr>
        <w:t xml:space="preserve">e climat des affaires dans les économies avancées resterait subordonné </w:t>
      </w:r>
      <w:r w:rsidR="003B3BE1" w:rsidRPr="00022013">
        <w:rPr>
          <w:rFonts w:ascii="Arial" w:hAnsi="Arial" w:cs="Arial"/>
          <w:iCs/>
          <w:sz w:val="20"/>
          <w:szCs w:val="20"/>
        </w:rPr>
        <w:t xml:space="preserve">aux aléas économiques et financiers qui </w:t>
      </w:r>
      <w:r w:rsidR="00FA561F" w:rsidRPr="00022013">
        <w:rPr>
          <w:rFonts w:ascii="Arial" w:hAnsi="Arial" w:cs="Arial"/>
          <w:iCs/>
          <w:sz w:val="20"/>
          <w:szCs w:val="20"/>
        </w:rPr>
        <w:t xml:space="preserve">auraient </w:t>
      </w:r>
      <w:r w:rsidR="003B3BE1" w:rsidRPr="00022013">
        <w:rPr>
          <w:rFonts w:ascii="Arial" w:hAnsi="Arial" w:cs="Arial"/>
          <w:iCs/>
          <w:sz w:val="20"/>
          <w:szCs w:val="20"/>
        </w:rPr>
        <w:t>caractéris</w:t>
      </w:r>
      <w:r w:rsidR="00FA561F" w:rsidRPr="00022013">
        <w:rPr>
          <w:rFonts w:ascii="Arial" w:hAnsi="Arial" w:cs="Arial"/>
          <w:iCs/>
          <w:sz w:val="20"/>
          <w:szCs w:val="20"/>
        </w:rPr>
        <w:t xml:space="preserve">é </w:t>
      </w:r>
      <w:r w:rsidR="003B3BE1" w:rsidRPr="00022013">
        <w:rPr>
          <w:rFonts w:ascii="Arial" w:hAnsi="Arial" w:cs="Arial"/>
          <w:iCs/>
          <w:sz w:val="20"/>
          <w:szCs w:val="20"/>
        </w:rPr>
        <w:t>l'environnement international, dont notamment la re</w:t>
      </w:r>
      <w:r w:rsidR="003B3BE1" w:rsidRPr="00E35C12">
        <w:rPr>
          <w:rFonts w:ascii="Arial" w:hAnsi="Arial" w:cs="Arial"/>
          <w:iCs/>
          <w:sz w:val="20"/>
          <w:szCs w:val="20"/>
        </w:rPr>
        <w:t>montée de l'inflation et des cours du pétrole, l'évolution des marchés financiers</w:t>
      </w:r>
      <w:r w:rsidR="003B3BE1">
        <w:rPr>
          <w:rFonts w:ascii="Arial" w:hAnsi="Arial" w:cs="Arial"/>
          <w:iCs/>
          <w:sz w:val="20"/>
          <w:szCs w:val="20"/>
        </w:rPr>
        <w:t xml:space="preserve"> et </w:t>
      </w:r>
      <w:r w:rsidR="003B3BE1" w:rsidRPr="00E35C12">
        <w:rPr>
          <w:rFonts w:ascii="Arial" w:hAnsi="Arial" w:cs="Arial"/>
          <w:iCs/>
          <w:sz w:val="20"/>
          <w:szCs w:val="20"/>
        </w:rPr>
        <w:t>des politiques monétaires</w:t>
      </w:r>
      <w:r w:rsidR="003B3BE1">
        <w:rPr>
          <w:rFonts w:ascii="Arial" w:hAnsi="Arial" w:cs="Arial"/>
          <w:iCs/>
          <w:sz w:val="20"/>
          <w:szCs w:val="20"/>
        </w:rPr>
        <w:t xml:space="preserve">, ainsi que </w:t>
      </w:r>
      <w:r w:rsidR="003B3BE1" w:rsidRPr="00E35C12">
        <w:rPr>
          <w:rFonts w:ascii="Arial" w:hAnsi="Arial" w:cs="Arial"/>
          <w:iCs/>
          <w:sz w:val="20"/>
          <w:szCs w:val="20"/>
        </w:rPr>
        <w:t>les tensions sur l'offre</w:t>
      </w:r>
      <w:r w:rsidR="003B3BE1">
        <w:rPr>
          <w:rFonts w:ascii="Arial" w:hAnsi="Arial" w:cs="Arial"/>
          <w:iCs/>
          <w:sz w:val="20"/>
          <w:szCs w:val="20"/>
        </w:rPr>
        <w:t xml:space="preserve"> de production dans certains pays comme l'Allemagne</w:t>
      </w:r>
      <w:r w:rsidR="003B3BE1" w:rsidRPr="00E35C12">
        <w:rPr>
          <w:rFonts w:ascii="Arial" w:hAnsi="Arial" w:cs="Arial"/>
          <w:iCs/>
          <w:sz w:val="20"/>
          <w:szCs w:val="20"/>
        </w:rPr>
        <w:t xml:space="preserve">. </w:t>
      </w:r>
      <w:r w:rsidR="00F64221">
        <w:rPr>
          <w:rFonts w:ascii="Arial" w:hAnsi="Arial" w:cs="Arial"/>
          <w:iCs/>
          <w:sz w:val="20"/>
          <w:szCs w:val="20"/>
        </w:rPr>
        <w:t>Toutefois</w:t>
      </w:r>
      <w:r w:rsidR="003B3BE1" w:rsidRPr="00E35C12">
        <w:rPr>
          <w:rFonts w:ascii="Arial" w:hAnsi="Arial" w:cs="Arial"/>
          <w:iCs/>
          <w:sz w:val="20"/>
          <w:szCs w:val="20"/>
        </w:rPr>
        <w:t xml:space="preserve">, la demande mondiale adressée au Maroc </w:t>
      </w:r>
      <w:r w:rsidR="00CB4A86">
        <w:rPr>
          <w:rFonts w:ascii="Arial" w:hAnsi="Arial" w:cs="Arial"/>
          <w:iCs/>
          <w:sz w:val="20"/>
          <w:szCs w:val="20"/>
        </w:rPr>
        <w:t>poursuivrait son amélioration</w:t>
      </w:r>
      <w:r w:rsidR="0054521B">
        <w:rPr>
          <w:rFonts w:ascii="Arial" w:hAnsi="Arial" w:cs="Arial"/>
          <w:iCs/>
          <w:sz w:val="20"/>
          <w:szCs w:val="20"/>
        </w:rPr>
        <w:t xml:space="preserve">, affichant une hausse </w:t>
      </w:r>
      <w:r w:rsidR="003B3BE1" w:rsidRPr="00E35C12">
        <w:rPr>
          <w:rFonts w:ascii="Arial" w:hAnsi="Arial" w:cs="Arial"/>
          <w:iCs/>
          <w:sz w:val="20"/>
          <w:szCs w:val="20"/>
        </w:rPr>
        <w:t>de 5,4%</w:t>
      </w:r>
      <w:r>
        <w:rPr>
          <w:rFonts w:ascii="Arial" w:hAnsi="Arial" w:cs="Arial"/>
          <w:iCs/>
          <w:sz w:val="20"/>
          <w:szCs w:val="20"/>
        </w:rPr>
        <w:t xml:space="preserve">, profitant </w:t>
      </w:r>
      <w:r w:rsidR="005965D9" w:rsidRPr="005965D9">
        <w:rPr>
          <w:rFonts w:ascii="Arial" w:hAnsi="Arial" w:cs="Arial"/>
          <w:iCs/>
          <w:sz w:val="20"/>
          <w:szCs w:val="20"/>
        </w:rPr>
        <w:t>notamment aux industries automobile</w:t>
      </w:r>
      <w:r>
        <w:rPr>
          <w:rFonts w:ascii="Arial" w:hAnsi="Arial" w:cs="Arial"/>
          <w:iCs/>
          <w:sz w:val="20"/>
          <w:szCs w:val="20"/>
        </w:rPr>
        <w:t xml:space="preserve"> et</w:t>
      </w:r>
      <w:r w:rsidR="005965D9" w:rsidRPr="005965D9">
        <w:rPr>
          <w:rFonts w:ascii="Arial" w:hAnsi="Arial" w:cs="Arial"/>
          <w:iCs/>
          <w:sz w:val="20"/>
          <w:szCs w:val="20"/>
        </w:rPr>
        <w:t xml:space="preserve"> aéronautique et </w:t>
      </w:r>
      <w:r>
        <w:rPr>
          <w:rFonts w:ascii="Arial" w:hAnsi="Arial" w:cs="Arial"/>
          <w:iCs/>
          <w:sz w:val="20"/>
          <w:szCs w:val="20"/>
        </w:rPr>
        <w:t>à</w:t>
      </w:r>
      <w:bookmarkStart w:id="0" w:name="_GoBack"/>
      <w:bookmarkEnd w:id="0"/>
      <w:r w:rsidR="005965D9" w:rsidRPr="005965D9">
        <w:rPr>
          <w:rFonts w:ascii="Arial" w:hAnsi="Arial" w:cs="Arial"/>
          <w:iCs/>
          <w:sz w:val="20"/>
          <w:szCs w:val="20"/>
        </w:rPr>
        <w:t xml:space="preserve"> la confection. Le renchérissement des cours mondiaux du pétrole prévu à 80$/baril, au lieu de 52$/baril un an plus tôt</w:t>
      </w:r>
      <w:r w:rsidR="008F424B">
        <w:rPr>
          <w:rFonts w:ascii="Arial" w:hAnsi="Arial" w:cs="Arial"/>
          <w:iCs/>
          <w:sz w:val="20"/>
          <w:szCs w:val="20"/>
        </w:rPr>
        <w:t>,</w:t>
      </w:r>
      <w:r w:rsidR="005965D9" w:rsidRPr="005965D9">
        <w:rPr>
          <w:rFonts w:ascii="Arial" w:hAnsi="Arial" w:cs="Arial"/>
          <w:iCs/>
          <w:sz w:val="20"/>
          <w:szCs w:val="20"/>
        </w:rPr>
        <w:t xml:space="preserve"> continuerait à peser sur la balance commerciale et les importations des produits énergétiques.</w:t>
      </w:r>
    </w:p>
    <w:p w:rsidR="00F64221" w:rsidRDefault="00F64221" w:rsidP="00DA4E31">
      <w:pPr>
        <w:jc w:val="both"/>
        <w:rPr>
          <w:rFonts w:ascii="Arial" w:hAnsi="Arial" w:cs="Arial"/>
          <w:iCs/>
          <w:sz w:val="20"/>
          <w:szCs w:val="20"/>
        </w:rPr>
      </w:pPr>
    </w:p>
    <w:p w:rsidR="008771F2" w:rsidRDefault="008771F2" w:rsidP="00A55655">
      <w:pPr>
        <w:jc w:val="both"/>
        <w:rPr>
          <w:rFonts w:ascii="Arial" w:hAnsi="Arial" w:cs="Arial"/>
          <w:sz w:val="20"/>
          <w:szCs w:val="20"/>
        </w:rPr>
      </w:pPr>
      <w:r>
        <w:rPr>
          <w:rFonts w:ascii="Arial" w:hAnsi="Arial" w:cs="Arial"/>
          <w:noProof/>
          <w:sz w:val="20"/>
          <w:szCs w:val="20"/>
        </w:rPr>
        <w:drawing>
          <wp:anchor distT="0" distB="0" distL="114300" distR="114300" simplePos="0" relativeHeight="251794432" behindDoc="0" locked="0" layoutInCell="1" allowOverlap="1">
            <wp:simplePos x="0" y="0"/>
            <wp:positionH relativeFrom="column">
              <wp:posOffset>4407535</wp:posOffset>
            </wp:positionH>
            <wp:positionV relativeFrom="paragraph">
              <wp:posOffset>541655</wp:posOffset>
            </wp:positionV>
            <wp:extent cx="2100580" cy="1853565"/>
            <wp:effectExtent l="19050" t="0" r="0" b="0"/>
            <wp:wrapSquare wrapText="bothSides"/>
            <wp:docPr id="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2100580" cy="1853565"/>
                    </a:xfrm>
                    <a:prstGeom prst="rect">
                      <a:avLst/>
                    </a:prstGeom>
                    <a:noFill/>
                    <a:ln w="9525">
                      <a:noFill/>
                      <a:miter lim="800000"/>
                      <a:headEnd/>
                      <a:tailEnd/>
                    </a:ln>
                  </pic:spPr>
                </pic:pic>
              </a:graphicData>
            </a:graphic>
          </wp:anchor>
        </w:drawing>
      </w:r>
      <w:r w:rsidR="00EC0211">
        <w:rPr>
          <w:rFonts w:ascii="Arial" w:hAnsi="Arial" w:cs="Arial"/>
          <w:sz w:val="20"/>
          <w:szCs w:val="20"/>
        </w:rPr>
        <w:t>Dans ce contexte</w:t>
      </w:r>
      <w:r w:rsidR="00800C85">
        <w:rPr>
          <w:rFonts w:ascii="Arial" w:hAnsi="Arial" w:cs="Arial"/>
          <w:sz w:val="20"/>
          <w:szCs w:val="20"/>
        </w:rPr>
        <w:t xml:space="preserve">, </w:t>
      </w:r>
      <w:r w:rsidR="00936A58" w:rsidRPr="00936A58">
        <w:rPr>
          <w:rFonts w:ascii="Arial" w:hAnsi="Arial" w:cs="Arial"/>
          <w:sz w:val="20"/>
          <w:szCs w:val="20"/>
        </w:rPr>
        <w:t>la valeur ajoutée industrielle r</w:t>
      </w:r>
      <w:r w:rsidR="00F3511B">
        <w:rPr>
          <w:rFonts w:ascii="Arial" w:hAnsi="Arial" w:cs="Arial"/>
          <w:sz w:val="20"/>
          <w:szCs w:val="20"/>
        </w:rPr>
        <w:t>éaliserait un accroissement de 3</w:t>
      </w:r>
      <w:r w:rsidR="00936A58" w:rsidRPr="00936A58">
        <w:rPr>
          <w:rFonts w:ascii="Arial" w:hAnsi="Arial" w:cs="Arial"/>
          <w:sz w:val="20"/>
          <w:szCs w:val="20"/>
        </w:rPr>
        <w:t>,</w:t>
      </w:r>
      <w:r w:rsidR="00F3511B">
        <w:rPr>
          <w:rFonts w:ascii="Arial" w:hAnsi="Arial" w:cs="Arial"/>
          <w:sz w:val="20"/>
          <w:szCs w:val="20"/>
        </w:rPr>
        <w:t>1</w:t>
      </w:r>
      <w:r w:rsidR="00936A58" w:rsidRPr="00936A58">
        <w:rPr>
          <w:rFonts w:ascii="Arial" w:hAnsi="Arial" w:cs="Arial"/>
          <w:sz w:val="20"/>
          <w:szCs w:val="20"/>
        </w:rPr>
        <w:t xml:space="preserve">%, au </w:t>
      </w:r>
      <w:r w:rsidR="00F21F26">
        <w:rPr>
          <w:rFonts w:ascii="Arial" w:hAnsi="Arial" w:cs="Arial"/>
          <w:sz w:val="20"/>
          <w:szCs w:val="20"/>
        </w:rPr>
        <w:t>trois</w:t>
      </w:r>
      <w:r w:rsidR="00936A58" w:rsidRPr="00936A58">
        <w:rPr>
          <w:rFonts w:ascii="Arial" w:hAnsi="Arial" w:cs="Arial"/>
          <w:sz w:val="20"/>
          <w:szCs w:val="20"/>
        </w:rPr>
        <w:t xml:space="preserve">ième trimestre 2018, en variation annuelle, tandis que </w:t>
      </w:r>
      <w:r w:rsidR="00936A58" w:rsidRPr="00936A58">
        <w:rPr>
          <w:rFonts w:asciiTheme="minorBidi" w:hAnsiTheme="minorBidi" w:cstheme="minorBidi"/>
          <w:sz w:val="20"/>
          <w:szCs w:val="20"/>
        </w:rPr>
        <w:t xml:space="preserve">l’activité minière </w:t>
      </w:r>
      <w:r w:rsidR="008320B5">
        <w:rPr>
          <w:rFonts w:asciiTheme="minorBidi" w:hAnsiTheme="minorBidi" w:cstheme="minorBidi"/>
          <w:sz w:val="20"/>
          <w:szCs w:val="20"/>
        </w:rPr>
        <w:t>progress</w:t>
      </w:r>
      <w:r w:rsidR="0054521B">
        <w:rPr>
          <w:rFonts w:asciiTheme="minorBidi" w:hAnsiTheme="minorBidi" w:cstheme="minorBidi"/>
          <w:sz w:val="20"/>
          <w:szCs w:val="20"/>
        </w:rPr>
        <w:t>erait</w:t>
      </w:r>
      <w:r w:rsidR="00A55655">
        <w:rPr>
          <w:rFonts w:asciiTheme="minorBidi" w:hAnsiTheme="minorBidi" w:cstheme="minorBidi"/>
          <w:sz w:val="20"/>
          <w:szCs w:val="20"/>
        </w:rPr>
        <w:t xml:space="preserve"> </w:t>
      </w:r>
      <w:r w:rsidR="0054521B">
        <w:rPr>
          <w:rFonts w:asciiTheme="minorBidi" w:hAnsiTheme="minorBidi" w:cstheme="minorBidi"/>
          <w:sz w:val="20"/>
          <w:szCs w:val="20"/>
        </w:rPr>
        <w:t xml:space="preserve">de </w:t>
      </w:r>
      <w:r w:rsidR="003F5EB5">
        <w:rPr>
          <w:rFonts w:asciiTheme="minorBidi" w:hAnsiTheme="minorBidi" w:cstheme="minorBidi"/>
          <w:sz w:val="20"/>
          <w:szCs w:val="20"/>
        </w:rPr>
        <w:t>0</w:t>
      </w:r>
      <w:r w:rsidR="00936A58" w:rsidRPr="00936A58">
        <w:rPr>
          <w:rFonts w:asciiTheme="minorBidi" w:hAnsiTheme="minorBidi" w:cstheme="minorBidi"/>
          <w:sz w:val="20"/>
          <w:szCs w:val="20"/>
        </w:rPr>
        <w:t>,</w:t>
      </w:r>
      <w:r w:rsidR="003F5EB5">
        <w:rPr>
          <w:rFonts w:asciiTheme="minorBidi" w:hAnsiTheme="minorBidi" w:cstheme="minorBidi"/>
          <w:sz w:val="20"/>
          <w:szCs w:val="20"/>
        </w:rPr>
        <w:t>6</w:t>
      </w:r>
      <w:r w:rsidR="00936A58" w:rsidRPr="00936A58">
        <w:rPr>
          <w:rFonts w:asciiTheme="minorBidi" w:hAnsiTheme="minorBidi" w:cstheme="minorBidi"/>
          <w:sz w:val="20"/>
          <w:szCs w:val="20"/>
        </w:rPr>
        <w:t xml:space="preserve">%, </w:t>
      </w:r>
      <w:r w:rsidR="004309BB" w:rsidRPr="00BB7D2A">
        <w:rPr>
          <w:rFonts w:asciiTheme="minorBidi" w:hAnsiTheme="minorBidi" w:cstheme="minorBidi"/>
          <w:sz w:val="20"/>
          <w:szCs w:val="20"/>
        </w:rPr>
        <w:t xml:space="preserve">en ligne avec la poursuite de </w:t>
      </w:r>
      <w:r w:rsidR="004309BB">
        <w:rPr>
          <w:rFonts w:asciiTheme="minorBidi" w:hAnsiTheme="minorBidi"/>
          <w:sz w:val="20"/>
          <w:szCs w:val="20"/>
        </w:rPr>
        <w:t xml:space="preserve">la </w:t>
      </w:r>
      <w:r w:rsidR="004309BB" w:rsidRPr="00BB7D2A">
        <w:rPr>
          <w:rFonts w:asciiTheme="minorBidi" w:hAnsiTheme="minorBidi" w:cstheme="minorBidi"/>
          <w:sz w:val="20"/>
          <w:szCs w:val="20"/>
        </w:rPr>
        <w:t xml:space="preserve">modération de la production du phosphate brut. La croissance de </w:t>
      </w:r>
      <w:r w:rsidR="004309BB">
        <w:rPr>
          <w:rFonts w:asciiTheme="minorBidi" w:hAnsiTheme="minorBidi"/>
          <w:sz w:val="20"/>
          <w:szCs w:val="20"/>
        </w:rPr>
        <w:t xml:space="preserve">la </w:t>
      </w:r>
      <w:r w:rsidR="004309BB" w:rsidRPr="00BB7D2A">
        <w:rPr>
          <w:rFonts w:asciiTheme="minorBidi" w:hAnsiTheme="minorBidi" w:cstheme="minorBidi"/>
          <w:sz w:val="20"/>
          <w:szCs w:val="20"/>
        </w:rPr>
        <w:t>demande internationale des fertilisants resterait modérée, mais l</w:t>
      </w:r>
      <w:r w:rsidR="008320B5">
        <w:rPr>
          <w:rFonts w:asciiTheme="minorBidi" w:hAnsiTheme="minorBidi" w:cstheme="minorBidi"/>
          <w:sz w:val="20"/>
          <w:szCs w:val="20"/>
        </w:rPr>
        <w:t>a</w:t>
      </w:r>
      <w:r w:rsidR="004309BB" w:rsidRPr="00BB7D2A">
        <w:rPr>
          <w:rFonts w:asciiTheme="minorBidi" w:hAnsiTheme="minorBidi" w:cstheme="minorBidi"/>
          <w:sz w:val="20"/>
          <w:szCs w:val="20"/>
        </w:rPr>
        <w:t xml:space="preserve"> poursuite de </w:t>
      </w:r>
      <w:r w:rsidR="008D6F39">
        <w:rPr>
          <w:rFonts w:asciiTheme="minorBidi" w:hAnsiTheme="minorBidi" w:cstheme="minorBidi"/>
          <w:sz w:val="20"/>
          <w:szCs w:val="20"/>
        </w:rPr>
        <w:t xml:space="preserve">la </w:t>
      </w:r>
      <w:r w:rsidR="004309BB" w:rsidRPr="00BB7D2A">
        <w:rPr>
          <w:rFonts w:asciiTheme="minorBidi" w:hAnsiTheme="minorBidi" w:cstheme="minorBidi"/>
          <w:sz w:val="20"/>
          <w:szCs w:val="20"/>
        </w:rPr>
        <w:t>hausse de la demande des pays de l’Afrique Sub-saharienne maintiendrait les exportations nationales des engrais phosphatés sur</w:t>
      </w:r>
      <w:r w:rsidR="00A55655">
        <w:rPr>
          <w:rFonts w:asciiTheme="minorBidi" w:hAnsiTheme="minorBidi" w:cstheme="minorBidi"/>
          <w:sz w:val="20"/>
          <w:szCs w:val="20"/>
        </w:rPr>
        <w:t xml:space="preserve"> un rythme de croissance positif</w:t>
      </w:r>
      <w:r w:rsidR="004309BB" w:rsidRPr="00BB7D2A">
        <w:rPr>
          <w:rFonts w:asciiTheme="minorBidi" w:hAnsiTheme="minorBidi" w:cstheme="minorBidi"/>
          <w:sz w:val="20"/>
          <w:szCs w:val="20"/>
        </w:rPr>
        <w:t xml:space="preserve"> de près de 1,1%</w:t>
      </w:r>
      <w:r w:rsidR="004309BB">
        <w:rPr>
          <w:rFonts w:asciiTheme="minorBidi" w:hAnsiTheme="minorBidi"/>
          <w:sz w:val="20"/>
          <w:szCs w:val="20"/>
        </w:rPr>
        <w:t>,</w:t>
      </w:r>
      <w:r w:rsidR="004309BB" w:rsidRPr="00BB7D2A">
        <w:rPr>
          <w:rFonts w:asciiTheme="minorBidi" w:hAnsiTheme="minorBidi" w:cstheme="minorBidi"/>
          <w:sz w:val="20"/>
          <w:szCs w:val="20"/>
        </w:rPr>
        <w:t xml:space="preserve"> au</w:t>
      </w:r>
      <w:r w:rsidR="004309BB">
        <w:rPr>
          <w:rFonts w:asciiTheme="minorBidi" w:hAnsiTheme="minorBidi"/>
          <w:sz w:val="20"/>
          <w:szCs w:val="20"/>
        </w:rPr>
        <w:t xml:space="preserve"> cours de la même période</w:t>
      </w:r>
      <w:r w:rsidR="004309BB" w:rsidRPr="00BB7D2A">
        <w:rPr>
          <w:rFonts w:asciiTheme="minorBidi" w:hAnsiTheme="minorBidi" w:cstheme="minorBidi"/>
          <w:sz w:val="20"/>
          <w:szCs w:val="20"/>
        </w:rPr>
        <w:t>.</w:t>
      </w:r>
      <w:r w:rsidR="00975EB6">
        <w:rPr>
          <w:rFonts w:asciiTheme="minorBidi" w:hAnsiTheme="minorBidi" w:cstheme="minorBidi"/>
          <w:sz w:val="20"/>
          <w:szCs w:val="20"/>
        </w:rPr>
        <w:t xml:space="preserve"> </w:t>
      </w:r>
      <w:r w:rsidR="002155FC" w:rsidRPr="00936A58">
        <w:rPr>
          <w:rFonts w:ascii="Arial" w:hAnsi="Arial" w:cs="Arial"/>
          <w:sz w:val="20"/>
          <w:szCs w:val="20"/>
        </w:rPr>
        <w:t>Quant au secteur tertiaire, sa valeur ajoutée croîtrait de 3,</w:t>
      </w:r>
      <w:r w:rsidR="002155FC">
        <w:rPr>
          <w:rFonts w:ascii="Arial" w:hAnsi="Arial" w:cs="Arial" w:hint="cs"/>
          <w:sz w:val="20"/>
          <w:szCs w:val="20"/>
          <w:rtl/>
        </w:rPr>
        <w:t>4</w:t>
      </w:r>
      <w:r w:rsidR="002155FC" w:rsidRPr="00936A58">
        <w:rPr>
          <w:rFonts w:ascii="Arial" w:hAnsi="Arial" w:cs="Arial"/>
          <w:sz w:val="20"/>
          <w:szCs w:val="20"/>
        </w:rPr>
        <w:t>%, contribuant pour environ +1,6 point à la croissance globale du PIB.</w:t>
      </w:r>
    </w:p>
    <w:p w:rsidR="008771F2" w:rsidRDefault="008771F2" w:rsidP="005965D9">
      <w:pPr>
        <w:jc w:val="both"/>
        <w:rPr>
          <w:rFonts w:ascii="Arial" w:hAnsi="Arial" w:cs="Arial"/>
          <w:sz w:val="20"/>
          <w:szCs w:val="20"/>
        </w:rPr>
      </w:pPr>
    </w:p>
    <w:p w:rsidR="00F64221" w:rsidRPr="00936A58" w:rsidRDefault="00F21672" w:rsidP="00273DCB">
      <w:pPr>
        <w:jc w:val="both"/>
        <w:rPr>
          <w:rFonts w:ascii="Arial" w:hAnsi="Arial" w:cs="Arial"/>
          <w:sz w:val="20"/>
          <w:szCs w:val="20"/>
        </w:rPr>
      </w:pPr>
      <w:r>
        <w:rPr>
          <w:rFonts w:ascii="Arial" w:hAnsi="Arial" w:cs="Arial"/>
          <w:sz w:val="20"/>
          <w:szCs w:val="20"/>
        </w:rPr>
        <w:t xml:space="preserve">Dans </w:t>
      </w:r>
      <w:r w:rsidR="00C510E0">
        <w:rPr>
          <w:rFonts w:ascii="Arial" w:hAnsi="Arial" w:cs="Arial"/>
          <w:sz w:val="20"/>
          <w:szCs w:val="20"/>
        </w:rPr>
        <w:t>l’ensemble</w:t>
      </w:r>
      <w:r>
        <w:rPr>
          <w:rFonts w:ascii="Arial" w:hAnsi="Arial" w:cs="Arial"/>
          <w:sz w:val="20"/>
          <w:szCs w:val="20"/>
        </w:rPr>
        <w:t xml:space="preserve">, </w:t>
      </w:r>
      <w:r w:rsidRPr="00936A58">
        <w:rPr>
          <w:rFonts w:ascii="Arial" w:hAnsi="Arial" w:cs="Arial"/>
          <w:sz w:val="20"/>
          <w:szCs w:val="20"/>
        </w:rPr>
        <w:t>l</w:t>
      </w:r>
      <w:r>
        <w:rPr>
          <w:rFonts w:ascii="Arial" w:hAnsi="Arial" w:cs="Arial"/>
          <w:sz w:val="20"/>
          <w:szCs w:val="20"/>
        </w:rPr>
        <w:t>e PIB non-agricole</w:t>
      </w:r>
      <w:r w:rsidRPr="00936A58">
        <w:rPr>
          <w:rFonts w:ascii="Arial" w:hAnsi="Arial" w:cs="Arial"/>
          <w:sz w:val="20"/>
          <w:szCs w:val="20"/>
        </w:rPr>
        <w:t xml:space="preserve"> s’améliorerait de 3,</w:t>
      </w:r>
      <w:r>
        <w:rPr>
          <w:rFonts w:ascii="Arial" w:hAnsi="Arial" w:cs="Arial"/>
          <w:sz w:val="20"/>
          <w:szCs w:val="20"/>
        </w:rPr>
        <w:t>3</w:t>
      </w:r>
      <w:r w:rsidRPr="00936A58">
        <w:rPr>
          <w:rFonts w:ascii="Arial" w:hAnsi="Arial" w:cs="Arial"/>
          <w:sz w:val="20"/>
          <w:szCs w:val="20"/>
        </w:rPr>
        <w:t xml:space="preserve">%, au </w:t>
      </w:r>
      <w:r>
        <w:rPr>
          <w:rFonts w:ascii="Arial" w:hAnsi="Arial" w:cs="Arial"/>
          <w:sz w:val="20"/>
          <w:szCs w:val="20"/>
        </w:rPr>
        <w:t>trois</w:t>
      </w:r>
      <w:r w:rsidRPr="00936A58">
        <w:rPr>
          <w:rFonts w:ascii="Arial" w:hAnsi="Arial" w:cs="Arial"/>
          <w:sz w:val="20"/>
          <w:szCs w:val="20"/>
        </w:rPr>
        <w:t xml:space="preserve">ième trimestre 2018, </w:t>
      </w:r>
      <w:r>
        <w:rPr>
          <w:rFonts w:ascii="Arial" w:hAnsi="Arial" w:cs="Arial"/>
          <w:sz w:val="20"/>
          <w:szCs w:val="20"/>
        </w:rPr>
        <w:t>au lieu de 3% un trimestre plus tôt</w:t>
      </w:r>
      <w:r w:rsidR="005965D9">
        <w:rPr>
          <w:rFonts w:ascii="Arial" w:hAnsi="Arial" w:cs="Arial"/>
          <w:sz w:val="20"/>
          <w:szCs w:val="20"/>
        </w:rPr>
        <w:t>.</w:t>
      </w:r>
      <w:r w:rsidR="00A55655">
        <w:rPr>
          <w:rFonts w:ascii="Arial" w:hAnsi="Arial" w:cs="Arial"/>
          <w:sz w:val="20"/>
          <w:szCs w:val="20"/>
        </w:rPr>
        <w:t xml:space="preserve"> </w:t>
      </w:r>
      <w:r>
        <w:rPr>
          <w:rFonts w:ascii="Arial" w:hAnsi="Arial" w:cs="Arial"/>
          <w:sz w:val="20"/>
          <w:szCs w:val="20"/>
        </w:rPr>
        <w:t>Compte tenu d’une progression de 2,6% de l</w:t>
      </w:r>
      <w:r w:rsidR="00F64221">
        <w:rPr>
          <w:rFonts w:ascii="Arial" w:hAnsi="Arial" w:cs="Arial"/>
          <w:sz w:val="20"/>
          <w:szCs w:val="20"/>
        </w:rPr>
        <w:t xml:space="preserve">a valeur ajoutée </w:t>
      </w:r>
      <w:r w:rsidR="00F64221" w:rsidRPr="002A1388">
        <w:rPr>
          <w:rFonts w:ascii="Arial" w:hAnsi="Arial" w:cs="Arial"/>
          <w:sz w:val="20"/>
          <w:szCs w:val="20"/>
        </w:rPr>
        <w:t>agricole</w:t>
      </w:r>
      <w:r w:rsidR="0054521B">
        <w:rPr>
          <w:rFonts w:ascii="Arial" w:hAnsi="Arial" w:cs="Arial"/>
          <w:sz w:val="20"/>
          <w:szCs w:val="20"/>
        </w:rPr>
        <w:t xml:space="preserve">, </w:t>
      </w:r>
      <w:r>
        <w:rPr>
          <w:rFonts w:ascii="Arial" w:hAnsi="Arial" w:cs="Arial"/>
          <w:sz w:val="20"/>
          <w:szCs w:val="20"/>
        </w:rPr>
        <w:t>tirée</w:t>
      </w:r>
      <w:r w:rsidR="00F64221" w:rsidRPr="00BB7D2A">
        <w:rPr>
          <w:rFonts w:asciiTheme="minorBidi" w:hAnsiTheme="minorBidi" w:cstheme="minorBidi"/>
          <w:sz w:val="20"/>
          <w:szCs w:val="20"/>
        </w:rPr>
        <w:t xml:space="preserve"> principalement </w:t>
      </w:r>
      <w:r>
        <w:rPr>
          <w:rFonts w:asciiTheme="minorBidi" w:hAnsiTheme="minorBidi" w:cstheme="minorBidi"/>
          <w:sz w:val="20"/>
          <w:szCs w:val="20"/>
        </w:rPr>
        <w:t>par</w:t>
      </w:r>
      <w:r w:rsidR="00F64221" w:rsidRPr="00BB7D2A">
        <w:rPr>
          <w:rFonts w:asciiTheme="minorBidi" w:hAnsiTheme="minorBidi" w:cstheme="minorBidi"/>
          <w:sz w:val="20"/>
          <w:szCs w:val="20"/>
        </w:rPr>
        <w:t xml:space="preserve"> l’affermissement de la production des cultures fruitières et des activités d’élevage</w:t>
      </w:r>
      <w:r>
        <w:rPr>
          <w:rFonts w:asciiTheme="minorBidi" w:hAnsiTheme="minorBidi" w:cstheme="minorBidi"/>
          <w:sz w:val="20"/>
          <w:szCs w:val="20"/>
        </w:rPr>
        <w:t xml:space="preserve">, </w:t>
      </w:r>
      <w:r w:rsidR="00C510E0">
        <w:rPr>
          <w:rFonts w:asciiTheme="minorBidi" w:hAnsiTheme="minorBidi" w:cstheme="minorBidi"/>
          <w:sz w:val="20"/>
          <w:szCs w:val="20"/>
        </w:rPr>
        <w:t>la croissance économique nationale serait de</w:t>
      </w:r>
      <w:r w:rsidR="00936A58" w:rsidRPr="00936A58">
        <w:rPr>
          <w:rFonts w:ascii="Arial" w:hAnsi="Arial" w:cs="Arial"/>
          <w:sz w:val="20"/>
          <w:szCs w:val="20"/>
        </w:rPr>
        <w:t xml:space="preserve"> 3</w:t>
      </w:r>
      <w:r w:rsidR="00F3511B">
        <w:rPr>
          <w:rFonts w:ascii="Arial" w:hAnsi="Arial" w:cs="Arial"/>
          <w:sz w:val="20"/>
          <w:szCs w:val="20"/>
        </w:rPr>
        <w:t>,</w:t>
      </w:r>
      <w:r w:rsidR="001C396D">
        <w:rPr>
          <w:rFonts w:ascii="Arial" w:hAnsi="Arial" w:cs="Arial"/>
          <w:sz w:val="20"/>
          <w:szCs w:val="20"/>
        </w:rPr>
        <w:t>2</w:t>
      </w:r>
      <w:r w:rsidR="00936A58" w:rsidRPr="00936A58">
        <w:rPr>
          <w:rFonts w:ascii="Arial" w:hAnsi="Arial" w:cs="Arial"/>
          <w:sz w:val="20"/>
          <w:szCs w:val="20"/>
        </w:rPr>
        <w:t>%</w:t>
      </w:r>
      <w:r w:rsidR="00C510E0">
        <w:rPr>
          <w:rFonts w:ascii="Arial" w:hAnsi="Arial" w:cs="Arial"/>
          <w:sz w:val="20"/>
          <w:szCs w:val="20"/>
        </w:rPr>
        <w:t>, au troisième trimestre 2018</w:t>
      </w:r>
      <w:r w:rsidR="00FA6910">
        <w:rPr>
          <w:rFonts w:ascii="Arial" w:hAnsi="Arial" w:cs="Arial"/>
          <w:sz w:val="20"/>
          <w:szCs w:val="20"/>
        </w:rPr>
        <w:t>, au lieu de 3</w:t>
      </w:r>
      <w:r w:rsidR="009220DD">
        <w:rPr>
          <w:rFonts w:ascii="Arial" w:hAnsi="Arial" w:cs="Arial"/>
          <w:sz w:val="20"/>
          <w:szCs w:val="20"/>
        </w:rPr>
        <w:t>,9</w:t>
      </w:r>
      <w:r w:rsidR="00FA6910">
        <w:rPr>
          <w:rFonts w:ascii="Arial" w:hAnsi="Arial" w:cs="Arial"/>
          <w:sz w:val="20"/>
          <w:szCs w:val="20"/>
        </w:rPr>
        <w:t xml:space="preserve">% </w:t>
      </w:r>
      <w:r w:rsidR="000910ED">
        <w:rPr>
          <w:rFonts w:ascii="Arial" w:hAnsi="Arial" w:cs="Arial"/>
          <w:sz w:val="20"/>
          <w:szCs w:val="20"/>
        </w:rPr>
        <w:t xml:space="preserve">la même période </w:t>
      </w:r>
      <w:r w:rsidR="00FA6910">
        <w:rPr>
          <w:rFonts w:ascii="Arial" w:hAnsi="Arial" w:cs="Arial"/>
          <w:sz w:val="20"/>
          <w:szCs w:val="20"/>
        </w:rPr>
        <w:t>un</w:t>
      </w:r>
      <w:r w:rsidR="009220DD">
        <w:rPr>
          <w:rFonts w:ascii="Arial" w:hAnsi="Arial" w:cs="Arial"/>
          <w:sz w:val="20"/>
          <w:szCs w:val="20"/>
        </w:rPr>
        <w:t>e année</w:t>
      </w:r>
      <w:r w:rsidR="00FA6910">
        <w:rPr>
          <w:rFonts w:ascii="Arial" w:hAnsi="Arial" w:cs="Arial"/>
          <w:sz w:val="20"/>
          <w:szCs w:val="20"/>
        </w:rPr>
        <w:t xml:space="preserve"> auparavant</w:t>
      </w:r>
      <w:r w:rsidR="003A0007">
        <w:rPr>
          <w:rFonts w:ascii="Arial" w:hAnsi="Arial" w:cs="Arial"/>
          <w:sz w:val="20"/>
          <w:szCs w:val="20"/>
        </w:rPr>
        <w:t>.</w:t>
      </w:r>
    </w:p>
    <w:sectPr w:rsidR="00F64221" w:rsidRPr="00936A58" w:rsidSect="00C011C4">
      <w:footerReference w:type="even" r:id="rId19"/>
      <w:footerReference w:type="default" r:id="rId20"/>
      <w:headerReference w:type="first" r:id="rId21"/>
      <w:footerReference w:type="first" r:id="rId22"/>
      <w:pgSz w:w="11906" w:h="16838"/>
      <w:pgMar w:top="993"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974" w:rsidRDefault="00A40974">
      <w:r>
        <w:separator/>
      </w:r>
    </w:p>
  </w:endnote>
  <w:endnote w:type="continuationSeparator" w:id="1">
    <w:p w:rsidR="00A40974" w:rsidRDefault="00A409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CS AL SHAMAL">
    <w:altName w:val="Times New Roman"/>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6E6A45" w:rsidP="00CB05C8">
    <w:pPr>
      <w:pStyle w:val="Pieddepage"/>
      <w:framePr w:wrap="auto" w:vAnchor="text" w:hAnchor="margin" w:xAlign="center" w:y="1"/>
      <w:rPr>
        <w:rStyle w:val="Numrodepage"/>
      </w:rPr>
    </w:pPr>
    <w:r>
      <w:rPr>
        <w:rStyle w:val="Numrodepage"/>
      </w:rPr>
      <w:fldChar w:fldCharType="begin"/>
    </w:r>
    <w:r w:rsidR="0097276B">
      <w:rPr>
        <w:rStyle w:val="Numrodepage"/>
      </w:rPr>
      <w:instrText xml:space="preserve">PAGE  </w:instrText>
    </w:r>
    <w:r>
      <w:rPr>
        <w:rStyle w:val="Numrodepage"/>
      </w:rPr>
      <w:fldChar w:fldCharType="end"/>
    </w:r>
  </w:p>
  <w:p w:rsidR="0097276B" w:rsidRDefault="009727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Pr="006D7FA4" w:rsidRDefault="006E6A45"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97276B" w:rsidRPr="006D7FA4">
      <w:rPr>
        <w:rStyle w:val="Numrodepage"/>
        <w:sz w:val="20"/>
        <w:szCs w:val="20"/>
      </w:rPr>
      <w:instrText xml:space="preserve">PAGE  </w:instrText>
    </w:r>
    <w:r w:rsidRPr="006D7FA4">
      <w:rPr>
        <w:rStyle w:val="Numrodepage"/>
        <w:sz w:val="20"/>
        <w:szCs w:val="20"/>
      </w:rPr>
      <w:fldChar w:fldCharType="separate"/>
    </w:r>
    <w:r w:rsidR="00D01A76">
      <w:rPr>
        <w:rStyle w:val="Numrodepage"/>
        <w:noProof/>
        <w:sz w:val="20"/>
        <w:szCs w:val="20"/>
      </w:rPr>
      <w:t>2</w:t>
    </w:r>
    <w:r w:rsidRPr="006D7FA4">
      <w:rPr>
        <w:rStyle w:val="Numrodepage"/>
        <w:sz w:val="20"/>
        <w:szCs w:val="20"/>
      </w:rPr>
      <w:fldChar w:fldCharType="end"/>
    </w:r>
    <w:r w:rsidR="0097276B" w:rsidRPr="006D7FA4">
      <w:rPr>
        <w:rStyle w:val="Numrodepage"/>
        <w:sz w:val="20"/>
        <w:szCs w:val="20"/>
      </w:rPr>
      <w:t>/</w:t>
    </w:r>
    <w:r w:rsidRPr="006D7FA4">
      <w:rPr>
        <w:rStyle w:val="Numrodepage"/>
        <w:sz w:val="20"/>
        <w:szCs w:val="20"/>
      </w:rPr>
      <w:fldChar w:fldCharType="begin"/>
    </w:r>
    <w:r w:rsidR="0097276B" w:rsidRPr="006D7FA4">
      <w:rPr>
        <w:rStyle w:val="Numrodepage"/>
        <w:sz w:val="20"/>
        <w:szCs w:val="20"/>
      </w:rPr>
      <w:instrText xml:space="preserve"> NUMPAGES </w:instrText>
    </w:r>
    <w:r w:rsidRPr="006D7FA4">
      <w:rPr>
        <w:rStyle w:val="Numrodepage"/>
        <w:sz w:val="20"/>
        <w:szCs w:val="20"/>
      </w:rPr>
      <w:fldChar w:fldCharType="separate"/>
    </w:r>
    <w:r w:rsidR="00D01A76">
      <w:rPr>
        <w:rStyle w:val="Numrodepage"/>
        <w:noProof/>
        <w:sz w:val="20"/>
        <w:szCs w:val="20"/>
      </w:rPr>
      <w:t>4</w:t>
    </w:r>
    <w:r w:rsidRPr="006D7FA4">
      <w:rPr>
        <w:rStyle w:val="Numrodepage"/>
        <w:sz w:val="20"/>
        <w:szCs w:val="20"/>
      </w:rPr>
      <w:fldChar w:fldCharType="end"/>
    </w:r>
  </w:p>
  <w:p w:rsidR="0097276B" w:rsidRDefault="0097276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6E6A45">
    <w:pPr>
      <w:pStyle w:val="Pieddepage"/>
    </w:pPr>
    <w:r>
      <w:rPr>
        <w:noProof/>
      </w:rPr>
      <w:pict>
        <v:shapetype id="_x0000_t202" coordsize="21600,21600" o:spt="202" path="m,l,21600r21600,l21600,xe">
          <v:stroke joinstyle="miter"/>
          <v:path gradientshapeok="t" o:connecttype="rect"/>
        </v:shapetype>
        <v:shape id="Text Box 2" o:spid="_x0000_s4102" type="#_x0000_t202" style="position:absolute;margin-left:198pt;margin-top:20.55pt;width:1in;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qsAIAALk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" filled="f" stroked="f">
          <v:textbox>
            <w:txbxContent>
              <w:p w:rsidR="0097276B" w:rsidRPr="00350C40" w:rsidRDefault="0097276B"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4101" type="#_x0000_t202" style="position:absolute;margin-left:171pt;margin-top:2.55pt;width:126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" stroked="f">
          <v:textbox>
            <w:txbxContent>
              <w:p w:rsidR="0097276B" w:rsidRPr="00350C40" w:rsidRDefault="0097276B"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4100" type="#_x0000_t202" style="position:absolute;margin-left:252pt;margin-top:-15.45pt;width:234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2cgwIAABc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" stroked="f">
          <v:textbox>
            <w:txbxContent>
              <w:p w:rsidR="0097276B" w:rsidRPr="00773F09" w:rsidRDefault="0097276B" w:rsidP="00350C40">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الرباط–المغربص.</w:t>
                </w:r>
                <w:r>
                  <w:rPr>
                    <w:rFonts w:ascii="Arial" w:hAnsi="Arial" w:cs="Arial"/>
                    <w:color w:val="993366"/>
                    <w:sz w:val="20"/>
                    <w:szCs w:val="20"/>
                    <w:rtl/>
                    <w:lang w:bidi="ar-MA"/>
                  </w:rPr>
                  <w:t>ب </w:t>
                </w:r>
                <w:r w:rsidRPr="00773F09">
                  <w:rPr>
                    <w:rFonts w:ascii="Arial" w:hAnsi="Arial" w:cs="MCS AL SHAMAL"/>
                    <w:color w:val="993366"/>
                    <w:sz w:val="20"/>
                    <w:szCs w:val="20"/>
                    <w:rtl/>
                    <w:lang w:bidi="ar-MA"/>
                  </w:rPr>
                  <w:t xml:space="preserve">: </w:t>
                </w:r>
              </w:p>
            </w:txbxContent>
          </v:textbox>
        </v:shape>
      </w:pict>
    </w:r>
    <w:r>
      <w:rPr>
        <w:noProof/>
      </w:rPr>
      <w:pict>
        <v:shape id="Text Box 5" o:spid="_x0000_s4099" type="#_x0000_t202" style="position:absolute;margin-left:-9pt;margin-top:-15.45pt;width:270pt;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" stroked="f">
          <v:textbox>
            <w:txbxContent>
              <w:p w:rsidR="0097276B" w:rsidRPr="00350C40" w:rsidRDefault="0097276B" w:rsidP="00350C40">
                <w:pPr>
                  <w:rPr>
                    <w:rFonts w:ascii="Arial" w:hAnsi="Arial" w:cs="Arial"/>
                    <w:color w:val="993366"/>
                    <w:sz w:val="18"/>
                    <w:szCs w:val="18"/>
                    <w:lang w:val="en-US"/>
                  </w:rPr>
                </w:pPr>
                <w:r w:rsidRPr="00350C40">
                  <w:rPr>
                    <w:rFonts w:ascii="Arial" w:hAnsi="Arial" w:cs="Arial"/>
                    <w:color w:val="993366"/>
                    <w:sz w:val="18"/>
                    <w:szCs w:val="18"/>
                    <w:lang w:val="en-US"/>
                  </w:rPr>
                  <w:t xml:space="preserve">Ilot 31-3, secteur 16, Hay Riad, 10001, </w:t>
                </w:r>
                <w:smartTag w:uri="urn:schemas-microsoft-com:office:smarttags" w:element="City">
                  <w:smartTag w:uri="urn:schemas-microsoft-com:office:smarttags" w:element="place">
                    <w:r w:rsidRPr="00350C40">
                      <w:rPr>
                        <w:rFonts w:ascii="Arial" w:hAnsi="Arial" w:cs="Arial"/>
                        <w:color w:val="993366"/>
                        <w:sz w:val="18"/>
                        <w:szCs w:val="18"/>
                        <w:lang w:val="en-US"/>
                      </w:rPr>
                      <w:t>Rabat</w:t>
                    </w:r>
                  </w:smartTag>
                </w:smartTag>
                <w:r w:rsidRPr="00350C40">
                  <w:rPr>
                    <w:rFonts w:ascii="Arial" w:hAnsi="Arial" w:cs="Arial"/>
                    <w:color w:val="993366"/>
                    <w:sz w:val="18"/>
                    <w:szCs w:val="18"/>
                    <w:lang w:val="en-US"/>
                  </w:rPr>
                  <w:t xml:space="preserve"> - Maroc BP : 178 </w:t>
                </w:r>
              </w:p>
              <w:p w:rsidR="0097276B" w:rsidRPr="00773F09" w:rsidRDefault="0097276B" w:rsidP="00DB293A">
                <w:pPr>
                  <w:jc w:val="center"/>
                  <w:rPr>
                    <w:rFonts w:ascii="Arial" w:hAnsi="Arial" w:cs="Arial"/>
                    <w:color w:val="993366"/>
                    <w:sz w:val="20"/>
                    <w:szCs w:val="20"/>
                    <w:lang w:val="en-US"/>
                  </w:rPr>
                </w:pPr>
              </w:p>
            </w:txbxContent>
          </v:textbox>
        </v:shape>
      </w:pict>
    </w:r>
    <w:r>
      <w:rPr>
        <w:noProof/>
      </w:rPr>
      <w:pict>
        <v:shape id="Text Box 6" o:spid="_x0000_s4098" type="#_x0000_t202" style="position:absolute;margin-left:0;margin-top:2.05pt;width:171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rs9gwIAABY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" stroked="f">
          <v:textbox>
            <w:txbxContent>
              <w:p w:rsidR="0097276B" w:rsidRPr="00F94487" w:rsidRDefault="0097276B"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Text Box 7" o:spid="_x0000_s4097"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SN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" stroked="f">
          <v:textbox>
            <w:txbxContent>
              <w:p w:rsidR="0097276B" w:rsidRPr="00350C40" w:rsidRDefault="0097276B" w:rsidP="00350C40">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الهاتف : 04 69 57 37 05   (212+) – 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974" w:rsidRDefault="00A40974">
      <w:r>
        <w:separator/>
      </w:r>
    </w:p>
  </w:footnote>
  <w:footnote w:type="continuationSeparator" w:id="1">
    <w:p w:rsidR="00A40974" w:rsidRDefault="00A409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2E0986" w:rsidP="001C7C18">
    <w:pPr>
      <w:pStyle w:val="En-tte"/>
    </w:pPr>
    <w:r>
      <w:rPr>
        <w:noProof/>
      </w:rPr>
      <w:drawing>
        <wp:anchor distT="0" distB="0" distL="114300" distR="114300" simplePos="0" relativeHeight="251660800" behindDoc="0" locked="0" layoutInCell="1" allowOverlap="1">
          <wp:simplePos x="0" y="0"/>
          <wp:positionH relativeFrom="column">
            <wp:posOffset>-989508</wp:posOffset>
          </wp:positionH>
          <wp:positionV relativeFrom="paragraph">
            <wp:posOffset>-150292</wp:posOffset>
          </wp:positionV>
          <wp:extent cx="8707984" cy="5040173"/>
          <wp:effectExtent l="19050" t="0" r="0"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984" cy="5040173"/>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ar-MA" w:vendorID="64" w:dllVersion="131078" w:nlCheck="1" w:checkStyle="0"/>
  <w:activeWritingStyle w:appName="MSWord" w:lang="fr-FR" w:vendorID="64" w:dllVersion="131078" w:nlCheck="1" w:checkStyle="1"/>
  <w:activeWritingStyle w:appName="MSWord" w:lang="en-US" w:vendorID="64" w:dllVersion="131078" w:nlCheck="1" w:checkStyle="1"/>
  <w:stylePaneFormatFilter w:val="3F01"/>
  <w:defaultTabStop w:val="708"/>
  <w:hyphenationZone w:val="425"/>
  <w:doNotHyphenateCaps/>
  <w:characterSpacingControl w:val="doNotCompress"/>
  <w:doNotValidateAgainstSchema/>
  <w:doNotDemarcateInvalidXml/>
  <w:hdrShapeDefaults>
    <o:shapedefaults v:ext="edit" spidmax="11266"/>
    <o:shapelayout v:ext="edit">
      <o:idmap v:ext="edit" data="4"/>
    </o:shapelayout>
  </w:hdrShapeDefaults>
  <w:footnotePr>
    <w:footnote w:id="0"/>
    <w:footnote w:id="1"/>
  </w:footnotePr>
  <w:endnotePr>
    <w:endnote w:id="0"/>
    <w:endnote w:id="1"/>
  </w:endnotePr>
  <w:compat/>
  <w:rsids>
    <w:rsidRoot w:val="00A7067D"/>
    <w:rsid w:val="000005D6"/>
    <w:rsid w:val="00000BA6"/>
    <w:rsid w:val="000017C7"/>
    <w:rsid w:val="00001D6D"/>
    <w:rsid w:val="00001D8E"/>
    <w:rsid w:val="00002517"/>
    <w:rsid w:val="000025B3"/>
    <w:rsid w:val="00002878"/>
    <w:rsid w:val="00002CA4"/>
    <w:rsid w:val="00003123"/>
    <w:rsid w:val="00003781"/>
    <w:rsid w:val="000037BD"/>
    <w:rsid w:val="00003B57"/>
    <w:rsid w:val="0000471A"/>
    <w:rsid w:val="0000510A"/>
    <w:rsid w:val="00005213"/>
    <w:rsid w:val="00006244"/>
    <w:rsid w:val="000064D1"/>
    <w:rsid w:val="00006EB1"/>
    <w:rsid w:val="00006EB7"/>
    <w:rsid w:val="00006EDF"/>
    <w:rsid w:val="00007079"/>
    <w:rsid w:val="00007544"/>
    <w:rsid w:val="00007945"/>
    <w:rsid w:val="00007F2B"/>
    <w:rsid w:val="0001024A"/>
    <w:rsid w:val="00010615"/>
    <w:rsid w:val="00010C4A"/>
    <w:rsid w:val="00010FFC"/>
    <w:rsid w:val="000114B3"/>
    <w:rsid w:val="000115A6"/>
    <w:rsid w:val="000119BC"/>
    <w:rsid w:val="00011B9F"/>
    <w:rsid w:val="00011C2F"/>
    <w:rsid w:val="00011EB7"/>
    <w:rsid w:val="0001202E"/>
    <w:rsid w:val="0001207A"/>
    <w:rsid w:val="0001261B"/>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6FE"/>
    <w:rsid w:val="00016BD3"/>
    <w:rsid w:val="0001761A"/>
    <w:rsid w:val="000178C1"/>
    <w:rsid w:val="00017B37"/>
    <w:rsid w:val="00017FF8"/>
    <w:rsid w:val="000205FA"/>
    <w:rsid w:val="00020B70"/>
    <w:rsid w:val="000211C4"/>
    <w:rsid w:val="000214AF"/>
    <w:rsid w:val="0002158D"/>
    <w:rsid w:val="00021C8C"/>
    <w:rsid w:val="00021F86"/>
    <w:rsid w:val="00022013"/>
    <w:rsid w:val="000223AA"/>
    <w:rsid w:val="000223DD"/>
    <w:rsid w:val="0002259B"/>
    <w:rsid w:val="000229BA"/>
    <w:rsid w:val="0002327D"/>
    <w:rsid w:val="00024095"/>
    <w:rsid w:val="00024268"/>
    <w:rsid w:val="0002444F"/>
    <w:rsid w:val="00024574"/>
    <w:rsid w:val="000245ED"/>
    <w:rsid w:val="0002477A"/>
    <w:rsid w:val="000247DC"/>
    <w:rsid w:val="00024901"/>
    <w:rsid w:val="00024945"/>
    <w:rsid w:val="00024B06"/>
    <w:rsid w:val="00024FBE"/>
    <w:rsid w:val="00025026"/>
    <w:rsid w:val="0002516D"/>
    <w:rsid w:val="00025552"/>
    <w:rsid w:val="00025B47"/>
    <w:rsid w:val="00025D9E"/>
    <w:rsid w:val="00025DC7"/>
    <w:rsid w:val="000266D8"/>
    <w:rsid w:val="0002686C"/>
    <w:rsid w:val="00026D88"/>
    <w:rsid w:val="000270E0"/>
    <w:rsid w:val="0002751B"/>
    <w:rsid w:val="000275DD"/>
    <w:rsid w:val="0002766D"/>
    <w:rsid w:val="00027850"/>
    <w:rsid w:val="00027B99"/>
    <w:rsid w:val="000301D2"/>
    <w:rsid w:val="0003099D"/>
    <w:rsid w:val="00031B9A"/>
    <w:rsid w:val="00031D25"/>
    <w:rsid w:val="00032582"/>
    <w:rsid w:val="00032899"/>
    <w:rsid w:val="0003300A"/>
    <w:rsid w:val="00033123"/>
    <w:rsid w:val="0003349D"/>
    <w:rsid w:val="0003420B"/>
    <w:rsid w:val="000344E3"/>
    <w:rsid w:val="0003456C"/>
    <w:rsid w:val="00034671"/>
    <w:rsid w:val="000348FD"/>
    <w:rsid w:val="00034EAB"/>
    <w:rsid w:val="00034EE3"/>
    <w:rsid w:val="00034EE5"/>
    <w:rsid w:val="0003559E"/>
    <w:rsid w:val="0003561F"/>
    <w:rsid w:val="00035FA3"/>
    <w:rsid w:val="000365D0"/>
    <w:rsid w:val="0003680E"/>
    <w:rsid w:val="00036A9C"/>
    <w:rsid w:val="00037668"/>
    <w:rsid w:val="00037B80"/>
    <w:rsid w:val="000405AC"/>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358"/>
    <w:rsid w:val="0004444E"/>
    <w:rsid w:val="0004447B"/>
    <w:rsid w:val="0004487A"/>
    <w:rsid w:val="000448E5"/>
    <w:rsid w:val="00044A2A"/>
    <w:rsid w:val="00044A9F"/>
    <w:rsid w:val="00044D29"/>
    <w:rsid w:val="00044D54"/>
    <w:rsid w:val="00044F23"/>
    <w:rsid w:val="00044FEE"/>
    <w:rsid w:val="0004533B"/>
    <w:rsid w:val="00045461"/>
    <w:rsid w:val="00045579"/>
    <w:rsid w:val="0004624E"/>
    <w:rsid w:val="00046322"/>
    <w:rsid w:val="00046404"/>
    <w:rsid w:val="000466FD"/>
    <w:rsid w:val="00046C0A"/>
    <w:rsid w:val="00046DEC"/>
    <w:rsid w:val="00046F56"/>
    <w:rsid w:val="0004718B"/>
    <w:rsid w:val="00047ECA"/>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2AEA"/>
    <w:rsid w:val="00053171"/>
    <w:rsid w:val="000534D0"/>
    <w:rsid w:val="00053736"/>
    <w:rsid w:val="000543FD"/>
    <w:rsid w:val="00054B65"/>
    <w:rsid w:val="00054BDD"/>
    <w:rsid w:val="00054C6C"/>
    <w:rsid w:val="00054F53"/>
    <w:rsid w:val="000550D8"/>
    <w:rsid w:val="0005517A"/>
    <w:rsid w:val="000551FC"/>
    <w:rsid w:val="000554EE"/>
    <w:rsid w:val="000558C2"/>
    <w:rsid w:val="00055C1A"/>
    <w:rsid w:val="00055D92"/>
    <w:rsid w:val="000568AD"/>
    <w:rsid w:val="00056FFA"/>
    <w:rsid w:val="000570B2"/>
    <w:rsid w:val="0005775E"/>
    <w:rsid w:val="000579D0"/>
    <w:rsid w:val="00057B97"/>
    <w:rsid w:val="000601D4"/>
    <w:rsid w:val="000602E9"/>
    <w:rsid w:val="00060321"/>
    <w:rsid w:val="00060436"/>
    <w:rsid w:val="000606EF"/>
    <w:rsid w:val="00060896"/>
    <w:rsid w:val="00060E08"/>
    <w:rsid w:val="00060F0D"/>
    <w:rsid w:val="00061060"/>
    <w:rsid w:val="00061164"/>
    <w:rsid w:val="00061CE4"/>
    <w:rsid w:val="0006213D"/>
    <w:rsid w:val="0006264E"/>
    <w:rsid w:val="00062880"/>
    <w:rsid w:val="000628A8"/>
    <w:rsid w:val="00062925"/>
    <w:rsid w:val="00062AFD"/>
    <w:rsid w:val="000632C2"/>
    <w:rsid w:val="000633F7"/>
    <w:rsid w:val="0006348D"/>
    <w:rsid w:val="0006383C"/>
    <w:rsid w:val="00064386"/>
    <w:rsid w:val="0006442F"/>
    <w:rsid w:val="00064BCC"/>
    <w:rsid w:val="0006553F"/>
    <w:rsid w:val="00065712"/>
    <w:rsid w:val="000658EF"/>
    <w:rsid w:val="00065935"/>
    <w:rsid w:val="00065F87"/>
    <w:rsid w:val="00065FE2"/>
    <w:rsid w:val="00066C89"/>
    <w:rsid w:val="00066D6B"/>
    <w:rsid w:val="00066E4B"/>
    <w:rsid w:val="000671B0"/>
    <w:rsid w:val="000674D7"/>
    <w:rsid w:val="00070037"/>
    <w:rsid w:val="00070595"/>
    <w:rsid w:val="00070861"/>
    <w:rsid w:val="00071EFF"/>
    <w:rsid w:val="000721C3"/>
    <w:rsid w:val="00072320"/>
    <w:rsid w:val="000723B5"/>
    <w:rsid w:val="000728D2"/>
    <w:rsid w:val="000728FA"/>
    <w:rsid w:val="00072B60"/>
    <w:rsid w:val="00072B88"/>
    <w:rsid w:val="00072EBF"/>
    <w:rsid w:val="000730EC"/>
    <w:rsid w:val="000732CB"/>
    <w:rsid w:val="0007340C"/>
    <w:rsid w:val="00073805"/>
    <w:rsid w:val="00074130"/>
    <w:rsid w:val="00074314"/>
    <w:rsid w:val="00074401"/>
    <w:rsid w:val="00074FF0"/>
    <w:rsid w:val="000754E3"/>
    <w:rsid w:val="00075616"/>
    <w:rsid w:val="00075B34"/>
    <w:rsid w:val="00075F5C"/>
    <w:rsid w:val="000761D8"/>
    <w:rsid w:val="00076587"/>
    <w:rsid w:val="00076AC1"/>
    <w:rsid w:val="0007711B"/>
    <w:rsid w:val="0007757C"/>
    <w:rsid w:val="0007798B"/>
    <w:rsid w:val="00077D70"/>
    <w:rsid w:val="000801F4"/>
    <w:rsid w:val="0008035D"/>
    <w:rsid w:val="0008084B"/>
    <w:rsid w:val="000808D0"/>
    <w:rsid w:val="00080A06"/>
    <w:rsid w:val="00081456"/>
    <w:rsid w:val="00081BE5"/>
    <w:rsid w:val="00081DB6"/>
    <w:rsid w:val="000821F2"/>
    <w:rsid w:val="000824CD"/>
    <w:rsid w:val="00082561"/>
    <w:rsid w:val="000827BA"/>
    <w:rsid w:val="00082856"/>
    <w:rsid w:val="00082F34"/>
    <w:rsid w:val="000832C9"/>
    <w:rsid w:val="0008339B"/>
    <w:rsid w:val="0008388A"/>
    <w:rsid w:val="000839B9"/>
    <w:rsid w:val="000842CE"/>
    <w:rsid w:val="000847F4"/>
    <w:rsid w:val="0008484E"/>
    <w:rsid w:val="000848D2"/>
    <w:rsid w:val="0008495C"/>
    <w:rsid w:val="00084B30"/>
    <w:rsid w:val="00084E9D"/>
    <w:rsid w:val="00085524"/>
    <w:rsid w:val="00085895"/>
    <w:rsid w:val="000859F9"/>
    <w:rsid w:val="00085DC6"/>
    <w:rsid w:val="00085E86"/>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017"/>
    <w:rsid w:val="000910ED"/>
    <w:rsid w:val="000913B3"/>
    <w:rsid w:val="00091532"/>
    <w:rsid w:val="00091A3B"/>
    <w:rsid w:val="00091D36"/>
    <w:rsid w:val="000921CD"/>
    <w:rsid w:val="00092466"/>
    <w:rsid w:val="00092EFE"/>
    <w:rsid w:val="000931A9"/>
    <w:rsid w:val="000931F8"/>
    <w:rsid w:val="000935C8"/>
    <w:rsid w:val="00093B91"/>
    <w:rsid w:val="00093F9E"/>
    <w:rsid w:val="00094498"/>
    <w:rsid w:val="00094694"/>
    <w:rsid w:val="00094710"/>
    <w:rsid w:val="00094806"/>
    <w:rsid w:val="0009549D"/>
    <w:rsid w:val="0009560D"/>
    <w:rsid w:val="00095E4E"/>
    <w:rsid w:val="00096088"/>
    <w:rsid w:val="00096239"/>
    <w:rsid w:val="00096A77"/>
    <w:rsid w:val="00096CD1"/>
    <w:rsid w:val="00096CE5"/>
    <w:rsid w:val="00097007"/>
    <w:rsid w:val="0009781A"/>
    <w:rsid w:val="00097D9C"/>
    <w:rsid w:val="00097FF5"/>
    <w:rsid w:val="000A0205"/>
    <w:rsid w:val="000A0209"/>
    <w:rsid w:val="000A068A"/>
    <w:rsid w:val="000A0948"/>
    <w:rsid w:val="000A0D23"/>
    <w:rsid w:val="000A11E5"/>
    <w:rsid w:val="000A141E"/>
    <w:rsid w:val="000A1CCD"/>
    <w:rsid w:val="000A1DAF"/>
    <w:rsid w:val="000A1E2C"/>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F23"/>
    <w:rsid w:val="000A6F7B"/>
    <w:rsid w:val="000A7249"/>
    <w:rsid w:val="000A7281"/>
    <w:rsid w:val="000A7660"/>
    <w:rsid w:val="000A79CD"/>
    <w:rsid w:val="000B0102"/>
    <w:rsid w:val="000B0183"/>
    <w:rsid w:val="000B0626"/>
    <w:rsid w:val="000B07C1"/>
    <w:rsid w:val="000B08E9"/>
    <w:rsid w:val="000B091D"/>
    <w:rsid w:val="000B0F43"/>
    <w:rsid w:val="000B0F81"/>
    <w:rsid w:val="000B106E"/>
    <w:rsid w:val="000B12C2"/>
    <w:rsid w:val="000B1DE6"/>
    <w:rsid w:val="000B241E"/>
    <w:rsid w:val="000B2498"/>
    <w:rsid w:val="000B28B6"/>
    <w:rsid w:val="000B2A3E"/>
    <w:rsid w:val="000B2C65"/>
    <w:rsid w:val="000B3183"/>
    <w:rsid w:val="000B31FB"/>
    <w:rsid w:val="000B3843"/>
    <w:rsid w:val="000B4618"/>
    <w:rsid w:val="000B46AD"/>
    <w:rsid w:val="000B56FE"/>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91A"/>
    <w:rsid w:val="000C29D8"/>
    <w:rsid w:val="000C2DCE"/>
    <w:rsid w:val="000C2F16"/>
    <w:rsid w:val="000C30D9"/>
    <w:rsid w:val="000C3365"/>
    <w:rsid w:val="000C3419"/>
    <w:rsid w:val="000C36F2"/>
    <w:rsid w:val="000C379A"/>
    <w:rsid w:val="000C3807"/>
    <w:rsid w:val="000C3D76"/>
    <w:rsid w:val="000C3ED5"/>
    <w:rsid w:val="000C3F6E"/>
    <w:rsid w:val="000C4271"/>
    <w:rsid w:val="000C467D"/>
    <w:rsid w:val="000C48BD"/>
    <w:rsid w:val="000C4C8C"/>
    <w:rsid w:val="000C509F"/>
    <w:rsid w:val="000C50CD"/>
    <w:rsid w:val="000C52F2"/>
    <w:rsid w:val="000C52FB"/>
    <w:rsid w:val="000C55E1"/>
    <w:rsid w:val="000C5C87"/>
    <w:rsid w:val="000C5E10"/>
    <w:rsid w:val="000C5E54"/>
    <w:rsid w:val="000C672C"/>
    <w:rsid w:val="000C68E3"/>
    <w:rsid w:val="000C69DF"/>
    <w:rsid w:val="000C6BAB"/>
    <w:rsid w:val="000C6ED9"/>
    <w:rsid w:val="000C7682"/>
    <w:rsid w:val="000C76B5"/>
    <w:rsid w:val="000C7A76"/>
    <w:rsid w:val="000C7E13"/>
    <w:rsid w:val="000D0202"/>
    <w:rsid w:val="000D04BB"/>
    <w:rsid w:val="000D0544"/>
    <w:rsid w:val="000D0EDD"/>
    <w:rsid w:val="000D13F1"/>
    <w:rsid w:val="000D1585"/>
    <w:rsid w:val="000D19DC"/>
    <w:rsid w:val="000D1CBD"/>
    <w:rsid w:val="000D1D9A"/>
    <w:rsid w:val="000D1F90"/>
    <w:rsid w:val="000D25AF"/>
    <w:rsid w:val="000D2930"/>
    <w:rsid w:val="000D2EA1"/>
    <w:rsid w:val="000D354F"/>
    <w:rsid w:val="000D3623"/>
    <w:rsid w:val="000D3736"/>
    <w:rsid w:val="000D3FC6"/>
    <w:rsid w:val="000D403A"/>
    <w:rsid w:val="000D4277"/>
    <w:rsid w:val="000D4B12"/>
    <w:rsid w:val="000D5297"/>
    <w:rsid w:val="000D53E5"/>
    <w:rsid w:val="000D57C6"/>
    <w:rsid w:val="000D5971"/>
    <w:rsid w:val="000D6113"/>
    <w:rsid w:val="000D6400"/>
    <w:rsid w:val="000D6907"/>
    <w:rsid w:val="000D6980"/>
    <w:rsid w:val="000D6F0F"/>
    <w:rsid w:val="000D6F67"/>
    <w:rsid w:val="000D6F73"/>
    <w:rsid w:val="000D6F94"/>
    <w:rsid w:val="000D7304"/>
    <w:rsid w:val="000D75CE"/>
    <w:rsid w:val="000D7ACC"/>
    <w:rsid w:val="000D7B58"/>
    <w:rsid w:val="000D7B8B"/>
    <w:rsid w:val="000D7D65"/>
    <w:rsid w:val="000D7F7C"/>
    <w:rsid w:val="000E01FC"/>
    <w:rsid w:val="000E05BC"/>
    <w:rsid w:val="000E0614"/>
    <w:rsid w:val="000E1618"/>
    <w:rsid w:val="000E1C51"/>
    <w:rsid w:val="000E1D64"/>
    <w:rsid w:val="000E21D3"/>
    <w:rsid w:val="000E26F5"/>
    <w:rsid w:val="000E2711"/>
    <w:rsid w:val="000E29D8"/>
    <w:rsid w:val="000E2B65"/>
    <w:rsid w:val="000E3E08"/>
    <w:rsid w:val="000E41EC"/>
    <w:rsid w:val="000E485F"/>
    <w:rsid w:val="000E4CB6"/>
    <w:rsid w:val="000E4E59"/>
    <w:rsid w:val="000E4FE5"/>
    <w:rsid w:val="000E5A13"/>
    <w:rsid w:val="000E631F"/>
    <w:rsid w:val="000E6811"/>
    <w:rsid w:val="000E698E"/>
    <w:rsid w:val="000E6AF3"/>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BD2"/>
    <w:rsid w:val="000F2C69"/>
    <w:rsid w:val="000F3330"/>
    <w:rsid w:val="000F3768"/>
    <w:rsid w:val="000F3899"/>
    <w:rsid w:val="000F4256"/>
    <w:rsid w:val="000F4582"/>
    <w:rsid w:val="000F476D"/>
    <w:rsid w:val="000F605C"/>
    <w:rsid w:val="000F64F3"/>
    <w:rsid w:val="000F6A4A"/>
    <w:rsid w:val="000F6D6C"/>
    <w:rsid w:val="000F6E2A"/>
    <w:rsid w:val="000F6E40"/>
    <w:rsid w:val="000F7023"/>
    <w:rsid w:val="000F765F"/>
    <w:rsid w:val="000F76C6"/>
    <w:rsid w:val="000F7A90"/>
    <w:rsid w:val="000F7C56"/>
    <w:rsid w:val="00100069"/>
    <w:rsid w:val="0010029B"/>
    <w:rsid w:val="00100944"/>
    <w:rsid w:val="00100AF5"/>
    <w:rsid w:val="00100CF6"/>
    <w:rsid w:val="0010121C"/>
    <w:rsid w:val="0010176B"/>
    <w:rsid w:val="00101A1F"/>
    <w:rsid w:val="00101EAA"/>
    <w:rsid w:val="00102385"/>
    <w:rsid w:val="00103315"/>
    <w:rsid w:val="00103353"/>
    <w:rsid w:val="001035A6"/>
    <w:rsid w:val="001035EB"/>
    <w:rsid w:val="001036A2"/>
    <w:rsid w:val="0010414A"/>
    <w:rsid w:val="00104151"/>
    <w:rsid w:val="001043ED"/>
    <w:rsid w:val="0010454D"/>
    <w:rsid w:val="0010474F"/>
    <w:rsid w:val="00104865"/>
    <w:rsid w:val="00104A16"/>
    <w:rsid w:val="00105259"/>
    <w:rsid w:val="00105452"/>
    <w:rsid w:val="0010548F"/>
    <w:rsid w:val="00105497"/>
    <w:rsid w:val="001056ED"/>
    <w:rsid w:val="0010587F"/>
    <w:rsid w:val="001063C7"/>
    <w:rsid w:val="00106B8D"/>
    <w:rsid w:val="00106FC0"/>
    <w:rsid w:val="00107113"/>
    <w:rsid w:val="0010714B"/>
    <w:rsid w:val="00107751"/>
    <w:rsid w:val="00107A4F"/>
    <w:rsid w:val="0011075B"/>
    <w:rsid w:val="00110AD7"/>
    <w:rsid w:val="00110B8D"/>
    <w:rsid w:val="00110C63"/>
    <w:rsid w:val="0011192F"/>
    <w:rsid w:val="00111A12"/>
    <w:rsid w:val="00111FE3"/>
    <w:rsid w:val="0011249B"/>
    <w:rsid w:val="0011266E"/>
    <w:rsid w:val="00113142"/>
    <w:rsid w:val="001134AF"/>
    <w:rsid w:val="00113928"/>
    <w:rsid w:val="00113BA3"/>
    <w:rsid w:val="00113D02"/>
    <w:rsid w:val="00114033"/>
    <w:rsid w:val="00114209"/>
    <w:rsid w:val="00114235"/>
    <w:rsid w:val="00114A43"/>
    <w:rsid w:val="00114C6B"/>
    <w:rsid w:val="00114C7E"/>
    <w:rsid w:val="00115490"/>
    <w:rsid w:val="001155EE"/>
    <w:rsid w:val="00115709"/>
    <w:rsid w:val="00115798"/>
    <w:rsid w:val="00115AC1"/>
    <w:rsid w:val="001164AC"/>
    <w:rsid w:val="00116A90"/>
    <w:rsid w:val="00116B4A"/>
    <w:rsid w:val="0011730B"/>
    <w:rsid w:val="001174BE"/>
    <w:rsid w:val="001178E8"/>
    <w:rsid w:val="00117CCB"/>
    <w:rsid w:val="0012006B"/>
    <w:rsid w:val="001200E8"/>
    <w:rsid w:val="001201BB"/>
    <w:rsid w:val="0012067C"/>
    <w:rsid w:val="00120AF1"/>
    <w:rsid w:val="00120AF9"/>
    <w:rsid w:val="00120BC3"/>
    <w:rsid w:val="00120BD7"/>
    <w:rsid w:val="00120CC5"/>
    <w:rsid w:val="00121C07"/>
    <w:rsid w:val="00122001"/>
    <w:rsid w:val="00122298"/>
    <w:rsid w:val="001222E9"/>
    <w:rsid w:val="0012250D"/>
    <w:rsid w:val="0012265F"/>
    <w:rsid w:val="001227D1"/>
    <w:rsid w:val="00122813"/>
    <w:rsid w:val="00122A75"/>
    <w:rsid w:val="00122C48"/>
    <w:rsid w:val="00123512"/>
    <w:rsid w:val="00124572"/>
    <w:rsid w:val="001247F6"/>
    <w:rsid w:val="00124CD0"/>
    <w:rsid w:val="00124D01"/>
    <w:rsid w:val="00124D81"/>
    <w:rsid w:val="00124DEE"/>
    <w:rsid w:val="0012515E"/>
    <w:rsid w:val="0012549C"/>
    <w:rsid w:val="00125A1B"/>
    <w:rsid w:val="00126059"/>
    <w:rsid w:val="0012616E"/>
    <w:rsid w:val="001264CB"/>
    <w:rsid w:val="0012690A"/>
    <w:rsid w:val="00126B15"/>
    <w:rsid w:val="00127635"/>
    <w:rsid w:val="00127861"/>
    <w:rsid w:val="00127B2D"/>
    <w:rsid w:val="00127BB0"/>
    <w:rsid w:val="00127C34"/>
    <w:rsid w:val="00127C36"/>
    <w:rsid w:val="0013025A"/>
    <w:rsid w:val="00130421"/>
    <w:rsid w:val="001305AD"/>
    <w:rsid w:val="00130A54"/>
    <w:rsid w:val="00130C4A"/>
    <w:rsid w:val="00131257"/>
    <w:rsid w:val="00131839"/>
    <w:rsid w:val="00132203"/>
    <w:rsid w:val="001322B6"/>
    <w:rsid w:val="00132700"/>
    <w:rsid w:val="00132AE5"/>
    <w:rsid w:val="00132D5E"/>
    <w:rsid w:val="00132DD9"/>
    <w:rsid w:val="00132F46"/>
    <w:rsid w:val="001330FB"/>
    <w:rsid w:val="00133181"/>
    <w:rsid w:val="001334EE"/>
    <w:rsid w:val="00133879"/>
    <w:rsid w:val="0013390F"/>
    <w:rsid w:val="00133A30"/>
    <w:rsid w:val="00133C95"/>
    <w:rsid w:val="001343D8"/>
    <w:rsid w:val="00134611"/>
    <w:rsid w:val="001348AD"/>
    <w:rsid w:val="0013497A"/>
    <w:rsid w:val="00134ACB"/>
    <w:rsid w:val="0013515A"/>
    <w:rsid w:val="0013554E"/>
    <w:rsid w:val="00135840"/>
    <w:rsid w:val="00135CDC"/>
    <w:rsid w:val="00135E71"/>
    <w:rsid w:val="00136243"/>
    <w:rsid w:val="001363AC"/>
    <w:rsid w:val="001364F4"/>
    <w:rsid w:val="001365F9"/>
    <w:rsid w:val="00136AE5"/>
    <w:rsid w:val="00136E6A"/>
    <w:rsid w:val="00136F4D"/>
    <w:rsid w:val="00137169"/>
    <w:rsid w:val="00137652"/>
    <w:rsid w:val="001379C2"/>
    <w:rsid w:val="00137BD3"/>
    <w:rsid w:val="00137CAD"/>
    <w:rsid w:val="00137D8F"/>
    <w:rsid w:val="00137FF2"/>
    <w:rsid w:val="00140182"/>
    <w:rsid w:val="001404C2"/>
    <w:rsid w:val="00140CD2"/>
    <w:rsid w:val="00140E1A"/>
    <w:rsid w:val="00141170"/>
    <w:rsid w:val="00141592"/>
    <w:rsid w:val="00141788"/>
    <w:rsid w:val="00141D26"/>
    <w:rsid w:val="0014289F"/>
    <w:rsid w:val="0014338E"/>
    <w:rsid w:val="0014360D"/>
    <w:rsid w:val="001437B0"/>
    <w:rsid w:val="00143BBC"/>
    <w:rsid w:val="00144480"/>
    <w:rsid w:val="00144578"/>
    <w:rsid w:val="0014485F"/>
    <w:rsid w:val="00144B79"/>
    <w:rsid w:val="00145A0E"/>
    <w:rsid w:val="00145C07"/>
    <w:rsid w:val="00145EE4"/>
    <w:rsid w:val="00145F4D"/>
    <w:rsid w:val="00146C7E"/>
    <w:rsid w:val="00147262"/>
    <w:rsid w:val="00147283"/>
    <w:rsid w:val="001472F8"/>
    <w:rsid w:val="0014749F"/>
    <w:rsid w:val="00147EEB"/>
    <w:rsid w:val="0015075E"/>
    <w:rsid w:val="00150C13"/>
    <w:rsid w:val="00150E32"/>
    <w:rsid w:val="00151281"/>
    <w:rsid w:val="00151B07"/>
    <w:rsid w:val="00151FA7"/>
    <w:rsid w:val="001522F1"/>
    <w:rsid w:val="001525A5"/>
    <w:rsid w:val="001525CA"/>
    <w:rsid w:val="00152858"/>
    <w:rsid w:val="001529A7"/>
    <w:rsid w:val="001534CE"/>
    <w:rsid w:val="00153A6D"/>
    <w:rsid w:val="00153DC3"/>
    <w:rsid w:val="00153DC7"/>
    <w:rsid w:val="001541B1"/>
    <w:rsid w:val="001545FC"/>
    <w:rsid w:val="001547A3"/>
    <w:rsid w:val="00154A61"/>
    <w:rsid w:val="00154B18"/>
    <w:rsid w:val="00154B64"/>
    <w:rsid w:val="00154B92"/>
    <w:rsid w:val="00155095"/>
    <w:rsid w:val="00155EBB"/>
    <w:rsid w:val="0015633D"/>
    <w:rsid w:val="001563BE"/>
    <w:rsid w:val="001563CC"/>
    <w:rsid w:val="0015643E"/>
    <w:rsid w:val="001565C3"/>
    <w:rsid w:val="0015676A"/>
    <w:rsid w:val="00156B63"/>
    <w:rsid w:val="00156B7B"/>
    <w:rsid w:val="00156C44"/>
    <w:rsid w:val="00156CEC"/>
    <w:rsid w:val="00157569"/>
    <w:rsid w:val="00157BF8"/>
    <w:rsid w:val="00157DEC"/>
    <w:rsid w:val="00157E9B"/>
    <w:rsid w:val="001600E5"/>
    <w:rsid w:val="00160B88"/>
    <w:rsid w:val="00160D0F"/>
    <w:rsid w:val="00161678"/>
    <w:rsid w:val="00162421"/>
    <w:rsid w:val="0016271E"/>
    <w:rsid w:val="00162A89"/>
    <w:rsid w:val="00162BD9"/>
    <w:rsid w:val="00162E2E"/>
    <w:rsid w:val="00163073"/>
    <w:rsid w:val="001630F0"/>
    <w:rsid w:val="00163242"/>
    <w:rsid w:val="0016342D"/>
    <w:rsid w:val="001634DC"/>
    <w:rsid w:val="0016363C"/>
    <w:rsid w:val="00163F02"/>
    <w:rsid w:val="001640A8"/>
    <w:rsid w:val="001640AC"/>
    <w:rsid w:val="00164E14"/>
    <w:rsid w:val="0016504E"/>
    <w:rsid w:val="00165D57"/>
    <w:rsid w:val="0016605D"/>
    <w:rsid w:val="00166479"/>
    <w:rsid w:val="001666F0"/>
    <w:rsid w:val="00167CD8"/>
    <w:rsid w:val="00167F77"/>
    <w:rsid w:val="00170E5C"/>
    <w:rsid w:val="00171020"/>
    <w:rsid w:val="00171065"/>
    <w:rsid w:val="001712FF"/>
    <w:rsid w:val="00171484"/>
    <w:rsid w:val="00171694"/>
    <w:rsid w:val="00171B90"/>
    <w:rsid w:val="00171D37"/>
    <w:rsid w:val="00172514"/>
    <w:rsid w:val="001726B1"/>
    <w:rsid w:val="00172D78"/>
    <w:rsid w:val="001732B6"/>
    <w:rsid w:val="00173482"/>
    <w:rsid w:val="001735DE"/>
    <w:rsid w:val="001736E1"/>
    <w:rsid w:val="001739F3"/>
    <w:rsid w:val="00173BFF"/>
    <w:rsid w:val="00173DF2"/>
    <w:rsid w:val="00173E34"/>
    <w:rsid w:val="001741F2"/>
    <w:rsid w:val="00174719"/>
    <w:rsid w:val="00174F4F"/>
    <w:rsid w:val="0017502C"/>
    <w:rsid w:val="00175540"/>
    <w:rsid w:val="00175B80"/>
    <w:rsid w:val="0017603A"/>
    <w:rsid w:val="00176051"/>
    <w:rsid w:val="00176842"/>
    <w:rsid w:val="00176B63"/>
    <w:rsid w:val="00176C25"/>
    <w:rsid w:val="00176CC0"/>
    <w:rsid w:val="00176F41"/>
    <w:rsid w:val="00176FC3"/>
    <w:rsid w:val="00177956"/>
    <w:rsid w:val="00177BC9"/>
    <w:rsid w:val="00177C97"/>
    <w:rsid w:val="00177EC0"/>
    <w:rsid w:val="0018006D"/>
    <w:rsid w:val="00180277"/>
    <w:rsid w:val="001818AB"/>
    <w:rsid w:val="00181EFF"/>
    <w:rsid w:val="0018221C"/>
    <w:rsid w:val="0018259A"/>
    <w:rsid w:val="00182841"/>
    <w:rsid w:val="001828C4"/>
    <w:rsid w:val="00182DF5"/>
    <w:rsid w:val="00183006"/>
    <w:rsid w:val="00183325"/>
    <w:rsid w:val="001835A9"/>
    <w:rsid w:val="00183612"/>
    <w:rsid w:val="001839FB"/>
    <w:rsid w:val="0018413F"/>
    <w:rsid w:val="0018461F"/>
    <w:rsid w:val="00185BC2"/>
    <w:rsid w:val="00185D58"/>
    <w:rsid w:val="00185D73"/>
    <w:rsid w:val="0018601D"/>
    <w:rsid w:val="00186D74"/>
    <w:rsid w:val="00186DD8"/>
    <w:rsid w:val="00186E82"/>
    <w:rsid w:val="001873B4"/>
    <w:rsid w:val="00187BC3"/>
    <w:rsid w:val="00190068"/>
    <w:rsid w:val="0019029B"/>
    <w:rsid w:val="00190FF5"/>
    <w:rsid w:val="0019122F"/>
    <w:rsid w:val="0019172A"/>
    <w:rsid w:val="00191FD1"/>
    <w:rsid w:val="00192295"/>
    <w:rsid w:val="00193188"/>
    <w:rsid w:val="00193485"/>
    <w:rsid w:val="0019380C"/>
    <w:rsid w:val="00193D92"/>
    <w:rsid w:val="001941E5"/>
    <w:rsid w:val="00194390"/>
    <w:rsid w:val="00194927"/>
    <w:rsid w:val="00194B01"/>
    <w:rsid w:val="00194FAC"/>
    <w:rsid w:val="00195392"/>
    <w:rsid w:val="0019592D"/>
    <w:rsid w:val="00196310"/>
    <w:rsid w:val="001969FA"/>
    <w:rsid w:val="00196CF2"/>
    <w:rsid w:val="00196FED"/>
    <w:rsid w:val="0019727D"/>
    <w:rsid w:val="001A037A"/>
    <w:rsid w:val="001A0449"/>
    <w:rsid w:val="001A1A9C"/>
    <w:rsid w:val="001A1B4C"/>
    <w:rsid w:val="001A1BE0"/>
    <w:rsid w:val="001A309F"/>
    <w:rsid w:val="001A33DE"/>
    <w:rsid w:val="001A3C55"/>
    <w:rsid w:val="001A3E80"/>
    <w:rsid w:val="001A4339"/>
    <w:rsid w:val="001A447C"/>
    <w:rsid w:val="001A4A63"/>
    <w:rsid w:val="001A4DC4"/>
    <w:rsid w:val="001A4FEF"/>
    <w:rsid w:val="001A5156"/>
    <w:rsid w:val="001A614A"/>
    <w:rsid w:val="001A68AB"/>
    <w:rsid w:val="001A7093"/>
    <w:rsid w:val="001A711D"/>
    <w:rsid w:val="001A7936"/>
    <w:rsid w:val="001A7C7E"/>
    <w:rsid w:val="001B081E"/>
    <w:rsid w:val="001B0903"/>
    <w:rsid w:val="001B0A39"/>
    <w:rsid w:val="001B0CBD"/>
    <w:rsid w:val="001B0DD2"/>
    <w:rsid w:val="001B110A"/>
    <w:rsid w:val="001B12AF"/>
    <w:rsid w:val="001B1827"/>
    <w:rsid w:val="001B191E"/>
    <w:rsid w:val="001B1A97"/>
    <w:rsid w:val="001B1AEF"/>
    <w:rsid w:val="001B1D9A"/>
    <w:rsid w:val="001B2B15"/>
    <w:rsid w:val="001B2BE8"/>
    <w:rsid w:val="001B2E7B"/>
    <w:rsid w:val="001B2FF8"/>
    <w:rsid w:val="001B31CB"/>
    <w:rsid w:val="001B32E2"/>
    <w:rsid w:val="001B355E"/>
    <w:rsid w:val="001B3DD2"/>
    <w:rsid w:val="001B3E09"/>
    <w:rsid w:val="001B401E"/>
    <w:rsid w:val="001B40CB"/>
    <w:rsid w:val="001B42E2"/>
    <w:rsid w:val="001B430A"/>
    <w:rsid w:val="001B4329"/>
    <w:rsid w:val="001B4542"/>
    <w:rsid w:val="001B4E03"/>
    <w:rsid w:val="001B5011"/>
    <w:rsid w:val="001B506B"/>
    <w:rsid w:val="001B5072"/>
    <w:rsid w:val="001B50DF"/>
    <w:rsid w:val="001B6286"/>
    <w:rsid w:val="001B6A8F"/>
    <w:rsid w:val="001B6D2A"/>
    <w:rsid w:val="001B6D9B"/>
    <w:rsid w:val="001B6EC9"/>
    <w:rsid w:val="001B6F64"/>
    <w:rsid w:val="001C006D"/>
    <w:rsid w:val="001C0375"/>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687"/>
    <w:rsid w:val="001C38C6"/>
    <w:rsid w:val="001C3920"/>
    <w:rsid w:val="001C393F"/>
    <w:rsid w:val="001C396D"/>
    <w:rsid w:val="001C42B6"/>
    <w:rsid w:val="001C4793"/>
    <w:rsid w:val="001C4A4F"/>
    <w:rsid w:val="001C4BE1"/>
    <w:rsid w:val="001C51D8"/>
    <w:rsid w:val="001C58AD"/>
    <w:rsid w:val="001C5963"/>
    <w:rsid w:val="001C5E9E"/>
    <w:rsid w:val="001C6191"/>
    <w:rsid w:val="001C6199"/>
    <w:rsid w:val="001C62AD"/>
    <w:rsid w:val="001C6705"/>
    <w:rsid w:val="001C6D03"/>
    <w:rsid w:val="001C6E90"/>
    <w:rsid w:val="001C7200"/>
    <w:rsid w:val="001C74AC"/>
    <w:rsid w:val="001C7C18"/>
    <w:rsid w:val="001D0340"/>
    <w:rsid w:val="001D0374"/>
    <w:rsid w:val="001D0712"/>
    <w:rsid w:val="001D07F7"/>
    <w:rsid w:val="001D08BB"/>
    <w:rsid w:val="001D0B13"/>
    <w:rsid w:val="001D0C90"/>
    <w:rsid w:val="001D0F1F"/>
    <w:rsid w:val="001D1847"/>
    <w:rsid w:val="001D18E1"/>
    <w:rsid w:val="001D1FC0"/>
    <w:rsid w:val="001D2986"/>
    <w:rsid w:val="001D31CC"/>
    <w:rsid w:val="001D342E"/>
    <w:rsid w:val="001D34E6"/>
    <w:rsid w:val="001D3CEC"/>
    <w:rsid w:val="001D3F51"/>
    <w:rsid w:val="001D4041"/>
    <w:rsid w:val="001D479B"/>
    <w:rsid w:val="001D4D7B"/>
    <w:rsid w:val="001D4DBB"/>
    <w:rsid w:val="001D55C1"/>
    <w:rsid w:val="001D57E1"/>
    <w:rsid w:val="001D67FA"/>
    <w:rsid w:val="001D6B6A"/>
    <w:rsid w:val="001D6DD2"/>
    <w:rsid w:val="001D72FF"/>
    <w:rsid w:val="001D7311"/>
    <w:rsid w:val="001D7A90"/>
    <w:rsid w:val="001E0012"/>
    <w:rsid w:val="001E04AA"/>
    <w:rsid w:val="001E05D5"/>
    <w:rsid w:val="001E0CBF"/>
    <w:rsid w:val="001E13F3"/>
    <w:rsid w:val="001E1405"/>
    <w:rsid w:val="001E1780"/>
    <w:rsid w:val="001E1FE8"/>
    <w:rsid w:val="001E21E4"/>
    <w:rsid w:val="001E2204"/>
    <w:rsid w:val="001E2469"/>
    <w:rsid w:val="001E29C3"/>
    <w:rsid w:val="001E2CAE"/>
    <w:rsid w:val="001E2E19"/>
    <w:rsid w:val="001E3168"/>
    <w:rsid w:val="001E3430"/>
    <w:rsid w:val="001E37B2"/>
    <w:rsid w:val="001E3B10"/>
    <w:rsid w:val="001E3DF2"/>
    <w:rsid w:val="001E3E88"/>
    <w:rsid w:val="001E457D"/>
    <w:rsid w:val="001E45D1"/>
    <w:rsid w:val="001E46D8"/>
    <w:rsid w:val="001E4A5F"/>
    <w:rsid w:val="001E4AC2"/>
    <w:rsid w:val="001E5C77"/>
    <w:rsid w:val="001E5D17"/>
    <w:rsid w:val="001E6122"/>
    <w:rsid w:val="001E7076"/>
    <w:rsid w:val="001E70D5"/>
    <w:rsid w:val="001E728E"/>
    <w:rsid w:val="001E75BA"/>
    <w:rsid w:val="001E7BE4"/>
    <w:rsid w:val="001E7E56"/>
    <w:rsid w:val="001F0B5C"/>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4836"/>
    <w:rsid w:val="001F4B9B"/>
    <w:rsid w:val="001F4E0B"/>
    <w:rsid w:val="001F4F2A"/>
    <w:rsid w:val="001F54B2"/>
    <w:rsid w:val="001F576A"/>
    <w:rsid w:val="001F5D94"/>
    <w:rsid w:val="001F632E"/>
    <w:rsid w:val="001F67D5"/>
    <w:rsid w:val="001F69CF"/>
    <w:rsid w:val="001F6DCA"/>
    <w:rsid w:val="001F6EFC"/>
    <w:rsid w:val="001F6F8A"/>
    <w:rsid w:val="001F7291"/>
    <w:rsid w:val="001F74A8"/>
    <w:rsid w:val="001F760B"/>
    <w:rsid w:val="001F7C00"/>
    <w:rsid w:val="0020014E"/>
    <w:rsid w:val="00200A13"/>
    <w:rsid w:val="00200AB3"/>
    <w:rsid w:val="00200C0E"/>
    <w:rsid w:val="00200D02"/>
    <w:rsid w:val="002015A8"/>
    <w:rsid w:val="00201A20"/>
    <w:rsid w:val="00201D83"/>
    <w:rsid w:val="002021D7"/>
    <w:rsid w:val="00202523"/>
    <w:rsid w:val="002028D3"/>
    <w:rsid w:val="002028D5"/>
    <w:rsid w:val="00202CF1"/>
    <w:rsid w:val="00202CFF"/>
    <w:rsid w:val="00203BF4"/>
    <w:rsid w:val="00203E48"/>
    <w:rsid w:val="002042CD"/>
    <w:rsid w:val="00204307"/>
    <w:rsid w:val="00204366"/>
    <w:rsid w:val="002045F9"/>
    <w:rsid w:val="002048C2"/>
    <w:rsid w:val="00204C16"/>
    <w:rsid w:val="00204EAF"/>
    <w:rsid w:val="00204EC8"/>
    <w:rsid w:val="00204EF4"/>
    <w:rsid w:val="00204F0A"/>
    <w:rsid w:val="00205257"/>
    <w:rsid w:val="0020543C"/>
    <w:rsid w:val="00205484"/>
    <w:rsid w:val="00205A6A"/>
    <w:rsid w:val="002062EB"/>
    <w:rsid w:val="002063A8"/>
    <w:rsid w:val="00206591"/>
    <w:rsid w:val="00206659"/>
    <w:rsid w:val="00206B20"/>
    <w:rsid w:val="00206BAE"/>
    <w:rsid w:val="00207097"/>
    <w:rsid w:val="002076B5"/>
    <w:rsid w:val="002078F3"/>
    <w:rsid w:val="0021019B"/>
    <w:rsid w:val="00210221"/>
    <w:rsid w:val="0021027B"/>
    <w:rsid w:val="002103EF"/>
    <w:rsid w:val="00210504"/>
    <w:rsid w:val="00210576"/>
    <w:rsid w:val="0021194C"/>
    <w:rsid w:val="00211A62"/>
    <w:rsid w:val="00211BB6"/>
    <w:rsid w:val="00212491"/>
    <w:rsid w:val="00213134"/>
    <w:rsid w:val="002134B6"/>
    <w:rsid w:val="00213925"/>
    <w:rsid w:val="002139B6"/>
    <w:rsid w:val="00213B90"/>
    <w:rsid w:val="0021417E"/>
    <w:rsid w:val="00214B72"/>
    <w:rsid w:val="00214F78"/>
    <w:rsid w:val="0021541E"/>
    <w:rsid w:val="002155FC"/>
    <w:rsid w:val="0021573C"/>
    <w:rsid w:val="002157EF"/>
    <w:rsid w:val="0021608C"/>
    <w:rsid w:val="00216D2A"/>
    <w:rsid w:val="00216D9D"/>
    <w:rsid w:val="00217187"/>
    <w:rsid w:val="0021782D"/>
    <w:rsid w:val="0022010C"/>
    <w:rsid w:val="00220131"/>
    <w:rsid w:val="00220549"/>
    <w:rsid w:val="00220739"/>
    <w:rsid w:val="002207AB"/>
    <w:rsid w:val="00220DF6"/>
    <w:rsid w:val="00221087"/>
    <w:rsid w:val="0022116C"/>
    <w:rsid w:val="0022170D"/>
    <w:rsid w:val="00222462"/>
    <w:rsid w:val="002226BF"/>
    <w:rsid w:val="00222936"/>
    <w:rsid w:val="0022299E"/>
    <w:rsid w:val="00223311"/>
    <w:rsid w:val="002235C6"/>
    <w:rsid w:val="00223B71"/>
    <w:rsid w:val="00223D57"/>
    <w:rsid w:val="00223DAD"/>
    <w:rsid w:val="0022444A"/>
    <w:rsid w:val="00224F7F"/>
    <w:rsid w:val="0022525E"/>
    <w:rsid w:val="002255B8"/>
    <w:rsid w:val="00225611"/>
    <w:rsid w:val="0022562A"/>
    <w:rsid w:val="0022597E"/>
    <w:rsid w:val="00226111"/>
    <w:rsid w:val="00226BDC"/>
    <w:rsid w:val="00227F0A"/>
    <w:rsid w:val="0023043F"/>
    <w:rsid w:val="0023061A"/>
    <w:rsid w:val="00230C16"/>
    <w:rsid w:val="00230C49"/>
    <w:rsid w:val="00230D38"/>
    <w:rsid w:val="00231293"/>
    <w:rsid w:val="002313AF"/>
    <w:rsid w:val="002315AA"/>
    <w:rsid w:val="002315AE"/>
    <w:rsid w:val="00231716"/>
    <w:rsid w:val="00231757"/>
    <w:rsid w:val="00231990"/>
    <w:rsid w:val="0023289B"/>
    <w:rsid w:val="00232927"/>
    <w:rsid w:val="00232AD6"/>
    <w:rsid w:val="00232C44"/>
    <w:rsid w:val="00232F1C"/>
    <w:rsid w:val="0023322D"/>
    <w:rsid w:val="00233328"/>
    <w:rsid w:val="002333F3"/>
    <w:rsid w:val="002334D2"/>
    <w:rsid w:val="00233515"/>
    <w:rsid w:val="0023373D"/>
    <w:rsid w:val="00233815"/>
    <w:rsid w:val="002339B2"/>
    <w:rsid w:val="0023442A"/>
    <w:rsid w:val="0023494C"/>
    <w:rsid w:val="00234B63"/>
    <w:rsid w:val="00234CDC"/>
    <w:rsid w:val="00235418"/>
    <w:rsid w:val="00235903"/>
    <w:rsid w:val="00235E22"/>
    <w:rsid w:val="00235FAF"/>
    <w:rsid w:val="00236009"/>
    <w:rsid w:val="00236272"/>
    <w:rsid w:val="002363E9"/>
    <w:rsid w:val="0023650B"/>
    <w:rsid w:val="00236DF3"/>
    <w:rsid w:val="00237269"/>
    <w:rsid w:val="002373DD"/>
    <w:rsid w:val="002378E6"/>
    <w:rsid w:val="00237FA9"/>
    <w:rsid w:val="00237FD4"/>
    <w:rsid w:val="00240C9A"/>
    <w:rsid w:val="00240CC6"/>
    <w:rsid w:val="00240FBB"/>
    <w:rsid w:val="00241064"/>
    <w:rsid w:val="00241292"/>
    <w:rsid w:val="00241484"/>
    <w:rsid w:val="00241925"/>
    <w:rsid w:val="002419BA"/>
    <w:rsid w:val="00241EFE"/>
    <w:rsid w:val="0024272F"/>
    <w:rsid w:val="002427A5"/>
    <w:rsid w:val="00242C76"/>
    <w:rsid w:val="00242CBE"/>
    <w:rsid w:val="0024389A"/>
    <w:rsid w:val="00243C7A"/>
    <w:rsid w:val="00243DBD"/>
    <w:rsid w:val="00243E0E"/>
    <w:rsid w:val="00244218"/>
    <w:rsid w:val="00244367"/>
    <w:rsid w:val="002443AA"/>
    <w:rsid w:val="002444AA"/>
    <w:rsid w:val="00244652"/>
    <w:rsid w:val="002446C4"/>
    <w:rsid w:val="00244809"/>
    <w:rsid w:val="00244825"/>
    <w:rsid w:val="00244890"/>
    <w:rsid w:val="00244AAF"/>
    <w:rsid w:val="00244D2F"/>
    <w:rsid w:val="00244F63"/>
    <w:rsid w:val="00245041"/>
    <w:rsid w:val="0024586A"/>
    <w:rsid w:val="00245A8B"/>
    <w:rsid w:val="00245D6E"/>
    <w:rsid w:val="002462D7"/>
    <w:rsid w:val="002462FC"/>
    <w:rsid w:val="002464E5"/>
    <w:rsid w:val="002465D0"/>
    <w:rsid w:val="00247069"/>
    <w:rsid w:val="0024744A"/>
    <w:rsid w:val="00247675"/>
    <w:rsid w:val="00247F25"/>
    <w:rsid w:val="00250801"/>
    <w:rsid w:val="00250998"/>
    <w:rsid w:val="00250D0A"/>
    <w:rsid w:val="0025220D"/>
    <w:rsid w:val="00252581"/>
    <w:rsid w:val="00252C3C"/>
    <w:rsid w:val="00252D80"/>
    <w:rsid w:val="00253159"/>
    <w:rsid w:val="002534FB"/>
    <w:rsid w:val="002538D1"/>
    <w:rsid w:val="0025503A"/>
    <w:rsid w:val="00255615"/>
    <w:rsid w:val="002558CC"/>
    <w:rsid w:val="00256291"/>
    <w:rsid w:val="00256534"/>
    <w:rsid w:val="0025654F"/>
    <w:rsid w:val="002565D7"/>
    <w:rsid w:val="00256601"/>
    <w:rsid w:val="00256702"/>
    <w:rsid w:val="002569F2"/>
    <w:rsid w:val="00256B7B"/>
    <w:rsid w:val="00257243"/>
    <w:rsid w:val="002572FD"/>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29E3"/>
    <w:rsid w:val="00262AA7"/>
    <w:rsid w:val="00262B92"/>
    <w:rsid w:val="00262DFD"/>
    <w:rsid w:val="00262F1D"/>
    <w:rsid w:val="00263304"/>
    <w:rsid w:val="00263AD6"/>
    <w:rsid w:val="00263C9E"/>
    <w:rsid w:val="00263D87"/>
    <w:rsid w:val="00263F12"/>
    <w:rsid w:val="002640A8"/>
    <w:rsid w:val="00264343"/>
    <w:rsid w:val="0026439C"/>
    <w:rsid w:val="00264435"/>
    <w:rsid w:val="002647E7"/>
    <w:rsid w:val="00264D30"/>
    <w:rsid w:val="00264E4B"/>
    <w:rsid w:val="00265CC9"/>
    <w:rsid w:val="002667BA"/>
    <w:rsid w:val="00266E07"/>
    <w:rsid w:val="00267342"/>
    <w:rsid w:val="00267435"/>
    <w:rsid w:val="00267509"/>
    <w:rsid w:val="0026763A"/>
    <w:rsid w:val="00267D1B"/>
    <w:rsid w:val="00270128"/>
    <w:rsid w:val="002709BA"/>
    <w:rsid w:val="00270BDF"/>
    <w:rsid w:val="00270DDD"/>
    <w:rsid w:val="00271092"/>
    <w:rsid w:val="0027114B"/>
    <w:rsid w:val="00271633"/>
    <w:rsid w:val="00271922"/>
    <w:rsid w:val="00271ED8"/>
    <w:rsid w:val="00272739"/>
    <w:rsid w:val="0027292B"/>
    <w:rsid w:val="002729D6"/>
    <w:rsid w:val="00272BD9"/>
    <w:rsid w:val="00272D15"/>
    <w:rsid w:val="00272E07"/>
    <w:rsid w:val="00273DCB"/>
    <w:rsid w:val="00273FAF"/>
    <w:rsid w:val="0027408D"/>
    <w:rsid w:val="002743C5"/>
    <w:rsid w:val="00275817"/>
    <w:rsid w:val="002758A5"/>
    <w:rsid w:val="002765A6"/>
    <w:rsid w:val="0027662C"/>
    <w:rsid w:val="002768CD"/>
    <w:rsid w:val="002769D6"/>
    <w:rsid w:val="00276B45"/>
    <w:rsid w:val="00277402"/>
    <w:rsid w:val="00277821"/>
    <w:rsid w:val="002779FE"/>
    <w:rsid w:val="00277C2B"/>
    <w:rsid w:val="00280244"/>
    <w:rsid w:val="002803E2"/>
    <w:rsid w:val="00280427"/>
    <w:rsid w:val="0028091A"/>
    <w:rsid w:val="00280992"/>
    <w:rsid w:val="0028158F"/>
    <w:rsid w:val="00281698"/>
    <w:rsid w:val="00281A57"/>
    <w:rsid w:val="00281CA6"/>
    <w:rsid w:val="0028280E"/>
    <w:rsid w:val="0028291C"/>
    <w:rsid w:val="0028297C"/>
    <w:rsid w:val="00282B8C"/>
    <w:rsid w:val="00282BA5"/>
    <w:rsid w:val="00282C9C"/>
    <w:rsid w:val="00282E6D"/>
    <w:rsid w:val="0028307D"/>
    <w:rsid w:val="002832B8"/>
    <w:rsid w:val="00283376"/>
    <w:rsid w:val="00283507"/>
    <w:rsid w:val="00283933"/>
    <w:rsid w:val="00283C27"/>
    <w:rsid w:val="002845B4"/>
    <w:rsid w:val="00284880"/>
    <w:rsid w:val="00284D8F"/>
    <w:rsid w:val="0028501B"/>
    <w:rsid w:val="0028585A"/>
    <w:rsid w:val="00285C4C"/>
    <w:rsid w:val="00285C8D"/>
    <w:rsid w:val="00286104"/>
    <w:rsid w:val="002864D6"/>
    <w:rsid w:val="002867C3"/>
    <w:rsid w:val="0028696C"/>
    <w:rsid w:val="00286B68"/>
    <w:rsid w:val="00286F23"/>
    <w:rsid w:val="0028778B"/>
    <w:rsid w:val="00290055"/>
    <w:rsid w:val="00290292"/>
    <w:rsid w:val="002907E8"/>
    <w:rsid w:val="002908CB"/>
    <w:rsid w:val="00290B88"/>
    <w:rsid w:val="00290D9E"/>
    <w:rsid w:val="0029139F"/>
    <w:rsid w:val="00291911"/>
    <w:rsid w:val="00292008"/>
    <w:rsid w:val="0029207E"/>
    <w:rsid w:val="0029229A"/>
    <w:rsid w:val="0029288F"/>
    <w:rsid w:val="002929DF"/>
    <w:rsid w:val="002934D2"/>
    <w:rsid w:val="00293C15"/>
    <w:rsid w:val="00293D4A"/>
    <w:rsid w:val="00293ED6"/>
    <w:rsid w:val="002942F2"/>
    <w:rsid w:val="00294367"/>
    <w:rsid w:val="00294424"/>
    <w:rsid w:val="00294B02"/>
    <w:rsid w:val="002950AB"/>
    <w:rsid w:val="00295318"/>
    <w:rsid w:val="0029579A"/>
    <w:rsid w:val="002958ED"/>
    <w:rsid w:val="00295A86"/>
    <w:rsid w:val="00295A9E"/>
    <w:rsid w:val="00295B5B"/>
    <w:rsid w:val="00295C9F"/>
    <w:rsid w:val="00295CD7"/>
    <w:rsid w:val="00296898"/>
    <w:rsid w:val="00296A74"/>
    <w:rsid w:val="00296C29"/>
    <w:rsid w:val="0029758C"/>
    <w:rsid w:val="00297ED3"/>
    <w:rsid w:val="002A05D8"/>
    <w:rsid w:val="002A0CCC"/>
    <w:rsid w:val="002A1027"/>
    <w:rsid w:val="002A1315"/>
    <w:rsid w:val="002A2203"/>
    <w:rsid w:val="002A25B2"/>
    <w:rsid w:val="002A281B"/>
    <w:rsid w:val="002A297C"/>
    <w:rsid w:val="002A2ECE"/>
    <w:rsid w:val="002A30E4"/>
    <w:rsid w:val="002A32AB"/>
    <w:rsid w:val="002A3A04"/>
    <w:rsid w:val="002A40F3"/>
    <w:rsid w:val="002A414D"/>
    <w:rsid w:val="002A4202"/>
    <w:rsid w:val="002A44E8"/>
    <w:rsid w:val="002A5048"/>
    <w:rsid w:val="002A570C"/>
    <w:rsid w:val="002A5A7C"/>
    <w:rsid w:val="002A5E39"/>
    <w:rsid w:val="002A5F14"/>
    <w:rsid w:val="002A636A"/>
    <w:rsid w:val="002A688F"/>
    <w:rsid w:val="002A6C31"/>
    <w:rsid w:val="002A6CC7"/>
    <w:rsid w:val="002A6CDA"/>
    <w:rsid w:val="002A6D16"/>
    <w:rsid w:val="002A6E43"/>
    <w:rsid w:val="002A6F8B"/>
    <w:rsid w:val="002A7103"/>
    <w:rsid w:val="002A7770"/>
    <w:rsid w:val="002A7B89"/>
    <w:rsid w:val="002B00AB"/>
    <w:rsid w:val="002B013E"/>
    <w:rsid w:val="002B0505"/>
    <w:rsid w:val="002B086B"/>
    <w:rsid w:val="002B0C22"/>
    <w:rsid w:val="002B10D9"/>
    <w:rsid w:val="002B1565"/>
    <w:rsid w:val="002B196E"/>
    <w:rsid w:val="002B1EB3"/>
    <w:rsid w:val="002B216C"/>
    <w:rsid w:val="002B2748"/>
    <w:rsid w:val="002B2A9A"/>
    <w:rsid w:val="002B2C1F"/>
    <w:rsid w:val="002B336E"/>
    <w:rsid w:val="002B3931"/>
    <w:rsid w:val="002B396D"/>
    <w:rsid w:val="002B42B7"/>
    <w:rsid w:val="002B4CFA"/>
    <w:rsid w:val="002B5142"/>
    <w:rsid w:val="002B59B8"/>
    <w:rsid w:val="002B5AF5"/>
    <w:rsid w:val="002B5D9D"/>
    <w:rsid w:val="002B6019"/>
    <w:rsid w:val="002B6423"/>
    <w:rsid w:val="002B644C"/>
    <w:rsid w:val="002B67DF"/>
    <w:rsid w:val="002B6922"/>
    <w:rsid w:val="002B6CD7"/>
    <w:rsid w:val="002B7263"/>
    <w:rsid w:val="002B7742"/>
    <w:rsid w:val="002B7A91"/>
    <w:rsid w:val="002B7E07"/>
    <w:rsid w:val="002C0055"/>
    <w:rsid w:val="002C02CC"/>
    <w:rsid w:val="002C09B2"/>
    <w:rsid w:val="002C1942"/>
    <w:rsid w:val="002C1C74"/>
    <w:rsid w:val="002C1CBD"/>
    <w:rsid w:val="002C1D8F"/>
    <w:rsid w:val="002C2121"/>
    <w:rsid w:val="002C25CA"/>
    <w:rsid w:val="002C268F"/>
    <w:rsid w:val="002C2950"/>
    <w:rsid w:val="002C318B"/>
    <w:rsid w:val="002C32A4"/>
    <w:rsid w:val="002C336D"/>
    <w:rsid w:val="002C3B5F"/>
    <w:rsid w:val="002C3CD6"/>
    <w:rsid w:val="002C3E10"/>
    <w:rsid w:val="002C3F0E"/>
    <w:rsid w:val="002C3FB3"/>
    <w:rsid w:val="002C44D1"/>
    <w:rsid w:val="002C46B4"/>
    <w:rsid w:val="002C4B20"/>
    <w:rsid w:val="002C4E7A"/>
    <w:rsid w:val="002C55C1"/>
    <w:rsid w:val="002C5766"/>
    <w:rsid w:val="002C5795"/>
    <w:rsid w:val="002C57A1"/>
    <w:rsid w:val="002C5A26"/>
    <w:rsid w:val="002C5C8A"/>
    <w:rsid w:val="002C5DCC"/>
    <w:rsid w:val="002C62E9"/>
    <w:rsid w:val="002C6301"/>
    <w:rsid w:val="002C6663"/>
    <w:rsid w:val="002C6CA0"/>
    <w:rsid w:val="002C6DD3"/>
    <w:rsid w:val="002C71B8"/>
    <w:rsid w:val="002C744D"/>
    <w:rsid w:val="002C7571"/>
    <w:rsid w:val="002C784A"/>
    <w:rsid w:val="002D0137"/>
    <w:rsid w:val="002D022C"/>
    <w:rsid w:val="002D0A0D"/>
    <w:rsid w:val="002D0D03"/>
    <w:rsid w:val="002D1138"/>
    <w:rsid w:val="002D115E"/>
    <w:rsid w:val="002D194F"/>
    <w:rsid w:val="002D1ABE"/>
    <w:rsid w:val="002D1AF1"/>
    <w:rsid w:val="002D1E06"/>
    <w:rsid w:val="002D1FE3"/>
    <w:rsid w:val="002D21E5"/>
    <w:rsid w:val="002D224B"/>
    <w:rsid w:val="002D23D5"/>
    <w:rsid w:val="002D25BE"/>
    <w:rsid w:val="002D26F9"/>
    <w:rsid w:val="002D271E"/>
    <w:rsid w:val="002D2CDD"/>
    <w:rsid w:val="002D2D8B"/>
    <w:rsid w:val="002D31D1"/>
    <w:rsid w:val="002D33BF"/>
    <w:rsid w:val="002D3AF5"/>
    <w:rsid w:val="002D3BD2"/>
    <w:rsid w:val="002D40D9"/>
    <w:rsid w:val="002D417C"/>
    <w:rsid w:val="002D4615"/>
    <w:rsid w:val="002D4933"/>
    <w:rsid w:val="002D49EF"/>
    <w:rsid w:val="002D4D22"/>
    <w:rsid w:val="002D4DF4"/>
    <w:rsid w:val="002D4E20"/>
    <w:rsid w:val="002D54B6"/>
    <w:rsid w:val="002D5525"/>
    <w:rsid w:val="002D571E"/>
    <w:rsid w:val="002D5F62"/>
    <w:rsid w:val="002D643D"/>
    <w:rsid w:val="002D6444"/>
    <w:rsid w:val="002E00AA"/>
    <w:rsid w:val="002E070B"/>
    <w:rsid w:val="002E07D6"/>
    <w:rsid w:val="002E0986"/>
    <w:rsid w:val="002E0A2D"/>
    <w:rsid w:val="002E0B77"/>
    <w:rsid w:val="002E0BDA"/>
    <w:rsid w:val="002E0EAB"/>
    <w:rsid w:val="002E164D"/>
    <w:rsid w:val="002E16E5"/>
    <w:rsid w:val="002E16FB"/>
    <w:rsid w:val="002E1766"/>
    <w:rsid w:val="002E253C"/>
    <w:rsid w:val="002E2A2C"/>
    <w:rsid w:val="002E2D22"/>
    <w:rsid w:val="002E379A"/>
    <w:rsid w:val="002E38E3"/>
    <w:rsid w:val="002E4117"/>
    <w:rsid w:val="002E4400"/>
    <w:rsid w:val="002E4A33"/>
    <w:rsid w:val="002E4FE3"/>
    <w:rsid w:val="002E5098"/>
    <w:rsid w:val="002E52B0"/>
    <w:rsid w:val="002E5B97"/>
    <w:rsid w:val="002E5BCA"/>
    <w:rsid w:val="002E62F1"/>
    <w:rsid w:val="002E68FE"/>
    <w:rsid w:val="002E69C8"/>
    <w:rsid w:val="002E6D51"/>
    <w:rsid w:val="002E7169"/>
    <w:rsid w:val="002E7184"/>
    <w:rsid w:val="002E7900"/>
    <w:rsid w:val="002E7F2B"/>
    <w:rsid w:val="002E7F72"/>
    <w:rsid w:val="002F05C4"/>
    <w:rsid w:val="002F0656"/>
    <w:rsid w:val="002F0BE2"/>
    <w:rsid w:val="002F0E31"/>
    <w:rsid w:val="002F15E0"/>
    <w:rsid w:val="002F171E"/>
    <w:rsid w:val="002F1787"/>
    <w:rsid w:val="002F21D5"/>
    <w:rsid w:val="002F25EC"/>
    <w:rsid w:val="002F28C5"/>
    <w:rsid w:val="002F2C13"/>
    <w:rsid w:val="002F2E3D"/>
    <w:rsid w:val="002F32E7"/>
    <w:rsid w:val="002F356F"/>
    <w:rsid w:val="002F372C"/>
    <w:rsid w:val="002F37C3"/>
    <w:rsid w:val="002F395A"/>
    <w:rsid w:val="002F3B72"/>
    <w:rsid w:val="002F3DD8"/>
    <w:rsid w:val="002F435E"/>
    <w:rsid w:val="002F43B1"/>
    <w:rsid w:val="002F44E9"/>
    <w:rsid w:val="002F4644"/>
    <w:rsid w:val="002F4800"/>
    <w:rsid w:val="002F4874"/>
    <w:rsid w:val="002F49AD"/>
    <w:rsid w:val="002F4EFD"/>
    <w:rsid w:val="002F50B8"/>
    <w:rsid w:val="002F50D2"/>
    <w:rsid w:val="002F5AAD"/>
    <w:rsid w:val="002F5BAF"/>
    <w:rsid w:val="002F5CEF"/>
    <w:rsid w:val="002F5F86"/>
    <w:rsid w:val="002F628D"/>
    <w:rsid w:val="002F63FB"/>
    <w:rsid w:val="002F64F6"/>
    <w:rsid w:val="002F667B"/>
    <w:rsid w:val="002F6773"/>
    <w:rsid w:val="002F6A92"/>
    <w:rsid w:val="002F73DA"/>
    <w:rsid w:val="002F7AE9"/>
    <w:rsid w:val="003003CB"/>
    <w:rsid w:val="00300A3F"/>
    <w:rsid w:val="00300B1C"/>
    <w:rsid w:val="003010FB"/>
    <w:rsid w:val="00301364"/>
    <w:rsid w:val="003014AC"/>
    <w:rsid w:val="003017FB"/>
    <w:rsid w:val="00301BE0"/>
    <w:rsid w:val="00301D2D"/>
    <w:rsid w:val="00301F32"/>
    <w:rsid w:val="003024DC"/>
    <w:rsid w:val="00302AFC"/>
    <w:rsid w:val="003031AE"/>
    <w:rsid w:val="003032D8"/>
    <w:rsid w:val="00303912"/>
    <w:rsid w:val="0030397E"/>
    <w:rsid w:val="00303B25"/>
    <w:rsid w:val="00303DFC"/>
    <w:rsid w:val="00303F4A"/>
    <w:rsid w:val="00303F6F"/>
    <w:rsid w:val="00304CBB"/>
    <w:rsid w:val="00305C04"/>
    <w:rsid w:val="00305D9C"/>
    <w:rsid w:val="0030605C"/>
    <w:rsid w:val="00306B9D"/>
    <w:rsid w:val="00306D78"/>
    <w:rsid w:val="00306E33"/>
    <w:rsid w:val="00307E8D"/>
    <w:rsid w:val="0031062E"/>
    <w:rsid w:val="00310CC9"/>
    <w:rsid w:val="003111EE"/>
    <w:rsid w:val="00311556"/>
    <w:rsid w:val="003118AF"/>
    <w:rsid w:val="00311AA0"/>
    <w:rsid w:val="00311DEA"/>
    <w:rsid w:val="003121A0"/>
    <w:rsid w:val="00312237"/>
    <w:rsid w:val="00312338"/>
    <w:rsid w:val="00312A29"/>
    <w:rsid w:val="00312A4F"/>
    <w:rsid w:val="00312A58"/>
    <w:rsid w:val="0031310C"/>
    <w:rsid w:val="00314191"/>
    <w:rsid w:val="00314300"/>
    <w:rsid w:val="00314AE4"/>
    <w:rsid w:val="0031507F"/>
    <w:rsid w:val="00315466"/>
    <w:rsid w:val="0031557D"/>
    <w:rsid w:val="00315AA2"/>
    <w:rsid w:val="00315E06"/>
    <w:rsid w:val="00316030"/>
    <w:rsid w:val="00316A57"/>
    <w:rsid w:val="00316F85"/>
    <w:rsid w:val="0031709A"/>
    <w:rsid w:val="0031735D"/>
    <w:rsid w:val="003173FC"/>
    <w:rsid w:val="003174FB"/>
    <w:rsid w:val="00317710"/>
    <w:rsid w:val="003204A1"/>
    <w:rsid w:val="003207C5"/>
    <w:rsid w:val="003208CE"/>
    <w:rsid w:val="00320A3E"/>
    <w:rsid w:val="00321028"/>
    <w:rsid w:val="003210B5"/>
    <w:rsid w:val="0032191A"/>
    <w:rsid w:val="00321A72"/>
    <w:rsid w:val="00321E42"/>
    <w:rsid w:val="00321FC9"/>
    <w:rsid w:val="003227A2"/>
    <w:rsid w:val="00322AF4"/>
    <w:rsid w:val="0032376B"/>
    <w:rsid w:val="00323A39"/>
    <w:rsid w:val="00323CF1"/>
    <w:rsid w:val="00323F5F"/>
    <w:rsid w:val="0032434D"/>
    <w:rsid w:val="003243B5"/>
    <w:rsid w:val="003244DB"/>
    <w:rsid w:val="00324633"/>
    <w:rsid w:val="003249E4"/>
    <w:rsid w:val="00324D5E"/>
    <w:rsid w:val="003250AB"/>
    <w:rsid w:val="003258E3"/>
    <w:rsid w:val="003259D2"/>
    <w:rsid w:val="003259FA"/>
    <w:rsid w:val="0032628B"/>
    <w:rsid w:val="00326408"/>
    <w:rsid w:val="00326623"/>
    <w:rsid w:val="00326824"/>
    <w:rsid w:val="0032687F"/>
    <w:rsid w:val="0032689C"/>
    <w:rsid w:val="00326B38"/>
    <w:rsid w:val="00326BA1"/>
    <w:rsid w:val="00326D98"/>
    <w:rsid w:val="00326FCA"/>
    <w:rsid w:val="00327972"/>
    <w:rsid w:val="00327DAD"/>
    <w:rsid w:val="003304A6"/>
    <w:rsid w:val="00330C4D"/>
    <w:rsid w:val="00331569"/>
    <w:rsid w:val="00331693"/>
    <w:rsid w:val="003316B0"/>
    <w:rsid w:val="0033179B"/>
    <w:rsid w:val="003323DB"/>
    <w:rsid w:val="00332422"/>
    <w:rsid w:val="00332D84"/>
    <w:rsid w:val="003331B9"/>
    <w:rsid w:val="0033332D"/>
    <w:rsid w:val="00333418"/>
    <w:rsid w:val="003339D9"/>
    <w:rsid w:val="00334273"/>
    <w:rsid w:val="00334574"/>
    <w:rsid w:val="003345E8"/>
    <w:rsid w:val="003347C0"/>
    <w:rsid w:val="003348D8"/>
    <w:rsid w:val="00334B79"/>
    <w:rsid w:val="00334BD2"/>
    <w:rsid w:val="00334DEF"/>
    <w:rsid w:val="003359DF"/>
    <w:rsid w:val="00335D8A"/>
    <w:rsid w:val="003361ED"/>
    <w:rsid w:val="00336336"/>
    <w:rsid w:val="003365E3"/>
    <w:rsid w:val="00336F11"/>
    <w:rsid w:val="0033724B"/>
    <w:rsid w:val="00337546"/>
    <w:rsid w:val="00337638"/>
    <w:rsid w:val="00337B49"/>
    <w:rsid w:val="003400C9"/>
    <w:rsid w:val="0034042D"/>
    <w:rsid w:val="003409C4"/>
    <w:rsid w:val="00340FB5"/>
    <w:rsid w:val="00341745"/>
    <w:rsid w:val="0034184F"/>
    <w:rsid w:val="00341BE6"/>
    <w:rsid w:val="00341E22"/>
    <w:rsid w:val="00342146"/>
    <w:rsid w:val="0034236C"/>
    <w:rsid w:val="00342938"/>
    <w:rsid w:val="00342DB5"/>
    <w:rsid w:val="00343151"/>
    <w:rsid w:val="003439DB"/>
    <w:rsid w:val="00343A6D"/>
    <w:rsid w:val="0034430A"/>
    <w:rsid w:val="003446D7"/>
    <w:rsid w:val="003449BA"/>
    <w:rsid w:val="00344A6C"/>
    <w:rsid w:val="00344ABB"/>
    <w:rsid w:val="00345220"/>
    <w:rsid w:val="0034539A"/>
    <w:rsid w:val="00345A64"/>
    <w:rsid w:val="00345B8C"/>
    <w:rsid w:val="00346358"/>
    <w:rsid w:val="003463CC"/>
    <w:rsid w:val="003464B2"/>
    <w:rsid w:val="003465A5"/>
    <w:rsid w:val="0034687E"/>
    <w:rsid w:val="00346B56"/>
    <w:rsid w:val="00346F33"/>
    <w:rsid w:val="00346FAA"/>
    <w:rsid w:val="0034794E"/>
    <w:rsid w:val="00347B61"/>
    <w:rsid w:val="00347E46"/>
    <w:rsid w:val="00347E5D"/>
    <w:rsid w:val="00350073"/>
    <w:rsid w:val="003501AB"/>
    <w:rsid w:val="003506BE"/>
    <w:rsid w:val="00350C40"/>
    <w:rsid w:val="00350E9E"/>
    <w:rsid w:val="00350FBE"/>
    <w:rsid w:val="0035116A"/>
    <w:rsid w:val="00351306"/>
    <w:rsid w:val="00351A98"/>
    <w:rsid w:val="00351D4C"/>
    <w:rsid w:val="00351D66"/>
    <w:rsid w:val="00352378"/>
    <w:rsid w:val="00352408"/>
    <w:rsid w:val="003525A9"/>
    <w:rsid w:val="0035268C"/>
    <w:rsid w:val="00353128"/>
    <w:rsid w:val="00353517"/>
    <w:rsid w:val="0035465E"/>
    <w:rsid w:val="00354790"/>
    <w:rsid w:val="00354A56"/>
    <w:rsid w:val="00354CDC"/>
    <w:rsid w:val="00354E8B"/>
    <w:rsid w:val="003550E7"/>
    <w:rsid w:val="00355262"/>
    <w:rsid w:val="003553D7"/>
    <w:rsid w:val="003557D2"/>
    <w:rsid w:val="003559B6"/>
    <w:rsid w:val="00355DAB"/>
    <w:rsid w:val="0035630C"/>
    <w:rsid w:val="00356BE4"/>
    <w:rsid w:val="0035706C"/>
    <w:rsid w:val="00357164"/>
    <w:rsid w:val="00360207"/>
    <w:rsid w:val="00360296"/>
    <w:rsid w:val="003605CF"/>
    <w:rsid w:val="00360732"/>
    <w:rsid w:val="003608E6"/>
    <w:rsid w:val="00360B71"/>
    <w:rsid w:val="003616B6"/>
    <w:rsid w:val="00361796"/>
    <w:rsid w:val="00361814"/>
    <w:rsid w:val="003619D3"/>
    <w:rsid w:val="003623B6"/>
    <w:rsid w:val="003627F1"/>
    <w:rsid w:val="0036288F"/>
    <w:rsid w:val="00363079"/>
    <w:rsid w:val="0036329C"/>
    <w:rsid w:val="003634A8"/>
    <w:rsid w:val="00363BCF"/>
    <w:rsid w:val="00363CB8"/>
    <w:rsid w:val="00363DD9"/>
    <w:rsid w:val="00363F52"/>
    <w:rsid w:val="0036416B"/>
    <w:rsid w:val="0036439E"/>
    <w:rsid w:val="00364554"/>
    <w:rsid w:val="00364B01"/>
    <w:rsid w:val="00364C7E"/>
    <w:rsid w:val="00364CD1"/>
    <w:rsid w:val="0036525E"/>
    <w:rsid w:val="00365395"/>
    <w:rsid w:val="003656A8"/>
    <w:rsid w:val="00365EB4"/>
    <w:rsid w:val="00366246"/>
    <w:rsid w:val="00366569"/>
    <w:rsid w:val="00366C79"/>
    <w:rsid w:val="00366E1C"/>
    <w:rsid w:val="003670A0"/>
    <w:rsid w:val="003671BE"/>
    <w:rsid w:val="0036767B"/>
    <w:rsid w:val="0037024F"/>
    <w:rsid w:val="00370A87"/>
    <w:rsid w:val="00370DBC"/>
    <w:rsid w:val="003711BC"/>
    <w:rsid w:val="003717DF"/>
    <w:rsid w:val="00371955"/>
    <w:rsid w:val="003719E6"/>
    <w:rsid w:val="00371C99"/>
    <w:rsid w:val="00371FFD"/>
    <w:rsid w:val="00373371"/>
    <w:rsid w:val="00373477"/>
    <w:rsid w:val="003736E1"/>
    <w:rsid w:val="00374013"/>
    <w:rsid w:val="00374196"/>
    <w:rsid w:val="00374461"/>
    <w:rsid w:val="00374467"/>
    <w:rsid w:val="00374C7B"/>
    <w:rsid w:val="00374CE1"/>
    <w:rsid w:val="00374D2A"/>
    <w:rsid w:val="00374EDB"/>
    <w:rsid w:val="00375144"/>
    <w:rsid w:val="003754B5"/>
    <w:rsid w:val="003755A7"/>
    <w:rsid w:val="00375953"/>
    <w:rsid w:val="00375CCC"/>
    <w:rsid w:val="00376957"/>
    <w:rsid w:val="00376C2C"/>
    <w:rsid w:val="00376C4A"/>
    <w:rsid w:val="00376C4F"/>
    <w:rsid w:val="00376EDC"/>
    <w:rsid w:val="00377B07"/>
    <w:rsid w:val="00377D63"/>
    <w:rsid w:val="00380347"/>
    <w:rsid w:val="00380572"/>
    <w:rsid w:val="00380605"/>
    <w:rsid w:val="00380611"/>
    <w:rsid w:val="003808E5"/>
    <w:rsid w:val="003810A0"/>
    <w:rsid w:val="003814FD"/>
    <w:rsid w:val="00381A1C"/>
    <w:rsid w:val="00381EEE"/>
    <w:rsid w:val="0038252C"/>
    <w:rsid w:val="00382752"/>
    <w:rsid w:val="0038283B"/>
    <w:rsid w:val="00382BB0"/>
    <w:rsid w:val="00382BF2"/>
    <w:rsid w:val="00382F66"/>
    <w:rsid w:val="00382F7F"/>
    <w:rsid w:val="00383005"/>
    <w:rsid w:val="0038300E"/>
    <w:rsid w:val="003830C6"/>
    <w:rsid w:val="00383421"/>
    <w:rsid w:val="00383865"/>
    <w:rsid w:val="00383E16"/>
    <w:rsid w:val="00383EDF"/>
    <w:rsid w:val="003847E7"/>
    <w:rsid w:val="00384882"/>
    <w:rsid w:val="00384A77"/>
    <w:rsid w:val="00384AEA"/>
    <w:rsid w:val="00385013"/>
    <w:rsid w:val="00385A65"/>
    <w:rsid w:val="00385FA7"/>
    <w:rsid w:val="00386634"/>
    <w:rsid w:val="0038690B"/>
    <w:rsid w:val="0038715C"/>
    <w:rsid w:val="003871E5"/>
    <w:rsid w:val="003875A2"/>
    <w:rsid w:val="0038762C"/>
    <w:rsid w:val="00387D8B"/>
    <w:rsid w:val="00390215"/>
    <w:rsid w:val="00390240"/>
    <w:rsid w:val="003902A7"/>
    <w:rsid w:val="00390393"/>
    <w:rsid w:val="0039063A"/>
    <w:rsid w:val="0039082D"/>
    <w:rsid w:val="00391724"/>
    <w:rsid w:val="0039194D"/>
    <w:rsid w:val="003919E2"/>
    <w:rsid w:val="00392D8D"/>
    <w:rsid w:val="003931C9"/>
    <w:rsid w:val="00393293"/>
    <w:rsid w:val="003936EE"/>
    <w:rsid w:val="00393B90"/>
    <w:rsid w:val="00393D84"/>
    <w:rsid w:val="00393DF4"/>
    <w:rsid w:val="00393EF8"/>
    <w:rsid w:val="00394336"/>
    <w:rsid w:val="003945AC"/>
    <w:rsid w:val="00394B80"/>
    <w:rsid w:val="0039595A"/>
    <w:rsid w:val="00395A2B"/>
    <w:rsid w:val="00396D01"/>
    <w:rsid w:val="00396DD4"/>
    <w:rsid w:val="00397186"/>
    <w:rsid w:val="00397C32"/>
    <w:rsid w:val="00397F3B"/>
    <w:rsid w:val="003A0007"/>
    <w:rsid w:val="003A015F"/>
    <w:rsid w:val="003A0651"/>
    <w:rsid w:val="003A068E"/>
    <w:rsid w:val="003A0DCE"/>
    <w:rsid w:val="003A0E3A"/>
    <w:rsid w:val="003A1006"/>
    <w:rsid w:val="003A14B5"/>
    <w:rsid w:val="003A18EE"/>
    <w:rsid w:val="003A1E9A"/>
    <w:rsid w:val="003A2191"/>
    <w:rsid w:val="003A240E"/>
    <w:rsid w:val="003A2441"/>
    <w:rsid w:val="003A24A1"/>
    <w:rsid w:val="003A2617"/>
    <w:rsid w:val="003A2864"/>
    <w:rsid w:val="003A2B7E"/>
    <w:rsid w:val="003A2B8C"/>
    <w:rsid w:val="003A326A"/>
    <w:rsid w:val="003A38B6"/>
    <w:rsid w:val="003A3B82"/>
    <w:rsid w:val="003A4060"/>
    <w:rsid w:val="003A419F"/>
    <w:rsid w:val="003A472F"/>
    <w:rsid w:val="003A4B7C"/>
    <w:rsid w:val="003A50C7"/>
    <w:rsid w:val="003A562F"/>
    <w:rsid w:val="003A58B5"/>
    <w:rsid w:val="003A58E2"/>
    <w:rsid w:val="003A5CB2"/>
    <w:rsid w:val="003A5D55"/>
    <w:rsid w:val="003A5DF3"/>
    <w:rsid w:val="003A6281"/>
    <w:rsid w:val="003A62CF"/>
    <w:rsid w:val="003A64C5"/>
    <w:rsid w:val="003A69BA"/>
    <w:rsid w:val="003A7AE2"/>
    <w:rsid w:val="003A7B67"/>
    <w:rsid w:val="003B022D"/>
    <w:rsid w:val="003B029A"/>
    <w:rsid w:val="003B09E5"/>
    <w:rsid w:val="003B09EF"/>
    <w:rsid w:val="003B12E7"/>
    <w:rsid w:val="003B1A1F"/>
    <w:rsid w:val="003B1A56"/>
    <w:rsid w:val="003B1AFF"/>
    <w:rsid w:val="003B220F"/>
    <w:rsid w:val="003B2E7A"/>
    <w:rsid w:val="003B2F78"/>
    <w:rsid w:val="003B3913"/>
    <w:rsid w:val="003B3BE1"/>
    <w:rsid w:val="003B3BF0"/>
    <w:rsid w:val="003B3C18"/>
    <w:rsid w:val="003B3E4B"/>
    <w:rsid w:val="003B43D2"/>
    <w:rsid w:val="003B455D"/>
    <w:rsid w:val="003B464F"/>
    <w:rsid w:val="003B48C1"/>
    <w:rsid w:val="003B48D9"/>
    <w:rsid w:val="003B49D6"/>
    <w:rsid w:val="003B4E31"/>
    <w:rsid w:val="003B5195"/>
    <w:rsid w:val="003B52CD"/>
    <w:rsid w:val="003B5812"/>
    <w:rsid w:val="003B5CE3"/>
    <w:rsid w:val="003B6792"/>
    <w:rsid w:val="003B69CD"/>
    <w:rsid w:val="003B6D25"/>
    <w:rsid w:val="003B7047"/>
    <w:rsid w:val="003B7158"/>
    <w:rsid w:val="003B755E"/>
    <w:rsid w:val="003B7B02"/>
    <w:rsid w:val="003B7C9A"/>
    <w:rsid w:val="003B7DFF"/>
    <w:rsid w:val="003C010C"/>
    <w:rsid w:val="003C04D6"/>
    <w:rsid w:val="003C0557"/>
    <w:rsid w:val="003C0559"/>
    <w:rsid w:val="003C119B"/>
    <w:rsid w:val="003C1975"/>
    <w:rsid w:val="003C29C0"/>
    <w:rsid w:val="003C2B72"/>
    <w:rsid w:val="003C2E24"/>
    <w:rsid w:val="003C30C8"/>
    <w:rsid w:val="003C3132"/>
    <w:rsid w:val="003C357A"/>
    <w:rsid w:val="003C3D34"/>
    <w:rsid w:val="003C42AE"/>
    <w:rsid w:val="003C441B"/>
    <w:rsid w:val="003C4661"/>
    <w:rsid w:val="003C4F40"/>
    <w:rsid w:val="003C524C"/>
    <w:rsid w:val="003C58C2"/>
    <w:rsid w:val="003C593F"/>
    <w:rsid w:val="003C595B"/>
    <w:rsid w:val="003C5C66"/>
    <w:rsid w:val="003C5DB4"/>
    <w:rsid w:val="003C5DD2"/>
    <w:rsid w:val="003C6A7C"/>
    <w:rsid w:val="003C6AEF"/>
    <w:rsid w:val="003C6B6B"/>
    <w:rsid w:val="003C6BA6"/>
    <w:rsid w:val="003C6CBD"/>
    <w:rsid w:val="003C6D97"/>
    <w:rsid w:val="003C6E40"/>
    <w:rsid w:val="003C6E84"/>
    <w:rsid w:val="003C7428"/>
    <w:rsid w:val="003C7651"/>
    <w:rsid w:val="003C795E"/>
    <w:rsid w:val="003C7C64"/>
    <w:rsid w:val="003C7F93"/>
    <w:rsid w:val="003D031E"/>
    <w:rsid w:val="003D03CB"/>
    <w:rsid w:val="003D0450"/>
    <w:rsid w:val="003D078E"/>
    <w:rsid w:val="003D1281"/>
    <w:rsid w:val="003D1740"/>
    <w:rsid w:val="003D17FE"/>
    <w:rsid w:val="003D18AE"/>
    <w:rsid w:val="003D1B91"/>
    <w:rsid w:val="003D1BB3"/>
    <w:rsid w:val="003D1F6E"/>
    <w:rsid w:val="003D21C3"/>
    <w:rsid w:val="003D21C5"/>
    <w:rsid w:val="003D236F"/>
    <w:rsid w:val="003D2432"/>
    <w:rsid w:val="003D2643"/>
    <w:rsid w:val="003D28BE"/>
    <w:rsid w:val="003D30DB"/>
    <w:rsid w:val="003D312F"/>
    <w:rsid w:val="003D31DC"/>
    <w:rsid w:val="003D3A90"/>
    <w:rsid w:val="003D3B62"/>
    <w:rsid w:val="003D3DB7"/>
    <w:rsid w:val="003D3F77"/>
    <w:rsid w:val="003D4283"/>
    <w:rsid w:val="003D4918"/>
    <w:rsid w:val="003D4A00"/>
    <w:rsid w:val="003D4D47"/>
    <w:rsid w:val="003D501D"/>
    <w:rsid w:val="003D534E"/>
    <w:rsid w:val="003D602D"/>
    <w:rsid w:val="003D64AD"/>
    <w:rsid w:val="003D64B7"/>
    <w:rsid w:val="003D6EF6"/>
    <w:rsid w:val="003D706E"/>
    <w:rsid w:val="003D7869"/>
    <w:rsid w:val="003E0073"/>
    <w:rsid w:val="003E0947"/>
    <w:rsid w:val="003E1216"/>
    <w:rsid w:val="003E137C"/>
    <w:rsid w:val="003E1380"/>
    <w:rsid w:val="003E15E5"/>
    <w:rsid w:val="003E1A40"/>
    <w:rsid w:val="003E1AD6"/>
    <w:rsid w:val="003E1CB0"/>
    <w:rsid w:val="003E1CF4"/>
    <w:rsid w:val="003E1E85"/>
    <w:rsid w:val="003E208F"/>
    <w:rsid w:val="003E2190"/>
    <w:rsid w:val="003E2641"/>
    <w:rsid w:val="003E2D4B"/>
    <w:rsid w:val="003E3169"/>
    <w:rsid w:val="003E3929"/>
    <w:rsid w:val="003E3BFB"/>
    <w:rsid w:val="003E3CCF"/>
    <w:rsid w:val="003E3D8C"/>
    <w:rsid w:val="003E424F"/>
    <w:rsid w:val="003E43BB"/>
    <w:rsid w:val="003E44E7"/>
    <w:rsid w:val="003E4C2D"/>
    <w:rsid w:val="003E51D3"/>
    <w:rsid w:val="003E53D9"/>
    <w:rsid w:val="003E5DDB"/>
    <w:rsid w:val="003E6DA1"/>
    <w:rsid w:val="003E705C"/>
    <w:rsid w:val="003E79A3"/>
    <w:rsid w:val="003E7AAD"/>
    <w:rsid w:val="003E7BC6"/>
    <w:rsid w:val="003F019A"/>
    <w:rsid w:val="003F0294"/>
    <w:rsid w:val="003F078F"/>
    <w:rsid w:val="003F101D"/>
    <w:rsid w:val="003F130B"/>
    <w:rsid w:val="003F15D9"/>
    <w:rsid w:val="003F1CD7"/>
    <w:rsid w:val="003F2314"/>
    <w:rsid w:val="003F27BD"/>
    <w:rsid w:val="003F28EA"/>
    <w:rsid w:val="003F2932"/>
    <w:rsid w:val="003F2933"/>
    <w:rsid w:val="003F29F2"/>
    <w:rsid w:val="003F2D72"/>
    <w:rsid w:val="003F2E24"/>
    <w:rsid w:val="003F33B2"/>
    <w:rsid w:val="003F3A5C"/>
    <w:rsid w:val="003F3BD3"/>
    <w:rsid w:val="003F3D2B"/>
    <w:rsid w:val="003F46F3"/>
    <w:rsid w:val="003F47BC"/>
    <w:rsid w:val="003F4B55"/>
    <w:rsid w:val="003F4C2E"/>
    <w:rsid w:val="003F5197"/>
    <w:rsid w:val="003F5AE6"/>
    <w:rsid w:val="003F5C35"/>
    <w:rsid w:val="003F5EB5"/>
    <w:rsid w:val="003F660A"/>
    <w:rsid w:val="003F673C"/>
    <w:rsid w:val="003F6B32"/>
    <w:rsid w:val="003F70F5"/>
    <w:rsid w:val="003F71A9"/>
    <w:rsid w:val="003F7BEC"/>
    <w:rsid w:val="003F7E49"/>
    <w:rsid w:val="0040014D"/>
    <w:rsid w:val="004001A2"/>
    <w:rsid w:val="0040055D"/>
    <w:rsid w:val="004007AB"/>
    <w:rsid w:val="00400B36"/>
    <w:rsid w:val="00400B86"/>
    <w:rsid w:val="00400C34"/>
    <w:rsid w:val="004019E3"/>
    <w:rsid w:val="00401B1B"/>
    <w:rsid w:val="00401BA6"/>
    <w:rsid w:val="00401D3E"/>
    <w:rsid w:val="004021D5"/>
    <w:rsid w:val="00402579"/>
    <w:rsid w:val="00402DB0"/>
    <w:rsid w:val="004032E0"/>
    <w:rsid w:val="00403870"/>
    <w:rsid w:val="00403A20"/>
    <w:rsid w:val="00403B9E"/>
    <w:rsid w:val="00403D3B"/>
    <w:rsid w:val="00403D8A"/>
    <w:rsid w:val="00404420"/>
    <w:rsid w:val="00405111"/>
    <w:rsid w:val="00405428"/>
    <w:rsid w:val="0040560C"/>
    <w:rsid w:val="004062D3"/>
    <w:rsid w:val="004063F2"/>
    <w:rsid w:val="004068D4"/>
    <w:rsid w:val="00407226"/>
    <w:rsid w:val="0040728C"/>
    <w:rsid w:val="00407302"/>
    <w:rsid w:val="004107E7"/>
    <w:rsid w:val="0041096A"/>
    <w:rsid w:val="00410B05"/>
    <w:rsid w:val="0041106B"/>
    <w:rsid w:val="00411302"/>
    <w:rsid w:val="00411314"/>
    <w:rsid w:val="004114BD"/>
    <w:rsid w:val="004114D3"/>
    <w:rsid w:val="004117BE"/>
    <w:rsid w:val="00411FE7"/>
    <w:rsid w:val="004126E9"/>
    <w:rsid w:val="004128B1"/>
    <w:rsid w:val="00412C11"/>
    <w:rsid w:val="004133BF"/>
    <w:rsid w:val="00413B52"/>
    <w:rsid w:val="004140A0"/>
    <w:rsid w:val="00414557"/>
    <w:rsid w:val="00414632"/>
    <w:rsid w:val="00414B39"/>
    <w:rsid w:val="00415012"/>
    <w:rsid w:val="00415499"/>
    <w:rsid w:val="00415B2B"/>
    <w:rsid w:val="00415D00"/>
    <w:rsid w:val="00416455"/>
    <w:rsid w:val="004165BB"/>
    <w:rsid w:val="0041746F"/>
    <w:rsid w:val="00417A5B"/>
    <w:rsid w:val="00417F64"/>
    <w:rsid w:val="004202D5"/>
    <w:rsid w:val="0042082C"/>
    <w:rsid w:val="00420961"/>
    <w:rsid w:val="00420BD2"/>
    <w:rsid w:val="00420FEA"/>
    <w:rsid w:val="0042115D"/>
    <w:rsid w:val="00421A38"/>
    <w:rsid w:val="00422019"/>
    <w:rsid w:val="00422355"/>
    <w:rsid w:val="0042253A"/>
    <w:rsid w:val="00422687"/>
    <w:rsid w:val="004229AA"/>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6ECF"/>
    <w:rsid w:val="004275D6"/>
    <w:rsid w:val="004278E5"/>
    <w:rsid w:val="00427B8D"/>
    <w:rsid w:val="00427F1E"/>
    <w:rsid w:val="00430414"/>
    <w:rsid w:val="004304CA"/>
    <w:rsid w:val="004305BC"/>
    <w:rsid w:val="00430720"/>
    <w:rsid w:val="004308B2"/>
    <w:rsid w:val="0043097D"/>
    <w:rsid w:val="004309BB"/>
    <w:rsid w:val="00430C54"/>
    <w:rsid w:val="00431EBB"/>
    <w:rsid w:val="004321A6"/>
    <w:rsid w:val="00432557"/>
    <w:rsid w:val="00432916"/>
    <w:rsid w:val="00432B66"/>
    <w:rsid w:val="00432F5F"/>
    <w:rsid w:val="00433BFC"/>
    <w:rsid w:val="00433CBE"/>
    <w:rsid w:val="00433D4E"/>
    <w:rsid w:val="00433EE1"/>
    <w:rsid w:val="004342E2"/>
    <w:rsid w:val="004346C0"/>
    <w:rsid w:val="00435537"/>
    <w:rsid w:val="00435C3D"/>
    <w:rsid w:val="004364B6"/>
    <w:rsid w:val="004366D6"/>
    <w:rsid w:val="004367EB"/>
    <w:rsid w:val="004375C7"/>
    <w:rsid w:val="00437730"/>
    <w:rsid w:val="00437B22"/>
    <w:rsid w:val="00440248"/>
    <w:rsid w:val="00440384"/>
    <w:rsid w:val="00440669"/>
    <w:rsid w:val="00440687"/>
    <w:rsid w:val="0044076F"/>
    <w:rsid w:val="00440876"/>
    <w:rsid w:val="004412B1"/>
    <w:rsid w:val="00441338"/>
    <w:rsid w:val="0044164C"/>
    <w:rsid w:val="00441992"/>
    <w:rsid w:val="0044235E"/>
    <w:rsid w:val="004424A1"/>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DB7"/>
    <w:rsid w:val="00446E71"/>
    <w:rsid w:val="004471BA"/>
    <w:rsid w:val="00447FBC"/>
    <w:rsid w:val="00450C21"/>
    <w:rsid w:val="00450D13"/>
    <w:rsid w:val="004512B6"/>
    <w:rsid w:val="0045217B"/>
    <w:rsid w:val="004522B2"/>
    <w:rsid w:val="004523B1"/>
    <w:rsid w:val="00452677"/>
    <w:rsid w:val="004528E3"/>
    <w:rsid w:val="00452C0A"/>
    <w:rsid w:val="00453384"/>
    <w:rsid w:val="0045354D"/>
    <w:rsid w:val="0045402C"/>
    <w:rsid w:val="00455990"/>
    <w:rsid w:val="00455C09"/>
    <w:rsid w:val="0045601C"/>
    <w:rsid w:val="004567ED"/>
    <w:rsid w:val="00457672"/>
    <w:rsid w:val="0045794E"/>
    <w:rsid w:val="00457CE6"/>
    <w:rsid w:val="00457D12"/>
    <w:rsid w:val="00457E66"/>
    <w:rsid w:val="00457E78"/>
    <w:rsid w:val="00460984"/>
    <w:rsid w:val="00461335"/>
    <w:rsid w:val="00461421"/>
    <w:rsid w:val="004617BF"/>
    <w:rsid w:val="00461898"/>
    <w:rsid w:val="004618BB"/>
    <w:rsid w:val="00461AC3"/>
    <w:rsid w:val="00461D0B"/>
    <w:rsid w:val="00461D82"/>
    <w:rsid w:val="00461E07"/>
    <w:rsid w:val="004622FB"/>
    <w:rsid w:val="004623A7"/>
    <w:rsid w:val="004625AB"/>
    <w:rsid w:val="004625B7"/>
    <w:rsid w:val="004625D3"/>
    <w:rsid w:val="004626C5"/>
    <w:rsid w:val="004626D9"/>
    <w:rsid w:val="004629AF"/>
    <w:rsid w:val="00462B75"/>
    <w:rsid w:val="00463073"/>
    <w:rsid w:val="004631BF"/>
    <w:rsid w:val="00463331"/>
    <w:rsid w:val="004634A4"/>
    <w:rsid w:val="00463534"/>
    <w:rsid w:val="00463870"/>
    <w:rsid w:val="00463E58"/>
    <w:rsid w:val="00464601"/>
    <w:rsid w:val="00464D1E"/>
    <w:rsid w:val="00464E9F"/>
    <w:rsid w:val="0046561C"/>
    <w:rsid w:val="00465F6A"/>
    <w:rsid w:val="00466376"/>
    <w:rsid w:val="004664F3"/>
    <w:rsid w:val="004665B2"/>
    <w:rsid w:val="004672E1"/>
    <w:rsid w:val="00467618"/>
    <w:rsid w:val="00467A93"/>
    <w:rsid w:val="00467EA7"/>
    <w:rsid w:val="00470190"/>
    <w:rsid w:val="0047019C"/>
    <w:rsid w:val="0047019F"/>
    <w:rsid w:val="004702E6"/>
    <w:rsid w:val="00470737"/>
    <w:rsid w:val="00470BC1"/>
    <w:rsid w:val="00470FAF"/>
    <w:rsid w:val="0047181D"/>
    <w:rsid w:val="00471CD4"/>
    <w:rsid w:val="00471E92"/>
    <w:rsid w:val="0047207F"/>
    <w:rsid w:val="00472290"/>
    <w:rsid w:val="00472442"/>
    <w:rsid w:val="00472717"/>
    <w:rsid w:val="00472940"/>
    <w:rsid w:val="0047294B"/>
    <w:rsid w:val="004729E0"/>
    <w:rsid w:val="00472C88"/>
    <w:rsid w:val="00472E04"/>
    <w:rsid w:val="00473177"/>
    <w:rsid w:val="004732D5"/>
    <w:rsid w:val="004734C0"/>
    <w:rsid w:val="00473CB7"/>
    <w:rsid w:val="00473D5D"/>
    <w:rsid w:val="004740E4"/>
    <w:rsid w:val="004744FF"/>
    <w:rsid w:val="004751DD"/>
    <w:rsid w:val="00475347"/>
    <w:rsid w:val="00475375"/>
    <w:rsid w:val="00475DA9"/>
    <w:rsid w:val="004762F5"/>
    <w:rsid w:val="00476BD6"/>
    <w:rsid w:val="004771B9"/>
    <w:rsid w:val="004778FB"/>
    <w:rsid w:val="004800BF"/>
    <w:rsid w:val="00480191"/>
    <w:rsid w:val="004802DA"/>
    <w:rsid w:val="004807C4"/>
    <w:rsid w:val="00480F0B"/>
    <w:rsid w:val="00481173"/>
    <w:rsid w:val="0048146B"/>
    <w:rsid w:val="004814EB"/>
    <w:rsid w:val="004815BC"/>
    <w:rsid w:val="004816CB"/>
    <w:rsid w:val="00481E24"/>
    <w:rsid w:val="004825E6"/>
    <w:rsid w:val="004829F7"/>
    <w:rsid w:val="00482B28"/>
    <w:rsid w:val="00482D95"/>
    <w:rsid w:val="00483229"/>
    <w:rsid w:val="00483348"/>
    <w:rsid w:val="004834D9"/>
    <w:rsid w:val="004838EF"/>
    <w:rsid w:val="00483F9B"/>
    <w:rsid w:val="004843D0"/>
    <w:rsid w:val="004845A8"/>
    <w:rsid w:val="00484C20"/>
    <w:rsid w:val="00484E8D"/>
    <w:rsid w:val="00485022"/>
    <w:rsid w:val="0048521D"/>
    <w:rsid w:val="004853D3"/>
    <w:rsid w:val="00485691"/>
    <w:rsid w:val="004857F1"/>
    <w:rsid w:val="00485A1F"/>
    <w:rsid w:val="00485D00"/>
    <w:rsid w:val="004861BD"/>
    <w:rsid w:val="00486796"/>
    <w:rsid w:val="00486BE7"/>
    <w:rsid w:val="00486C74"/>
    <w:rsid w:val="00487582"/>
    <w:rsid w:val="00487615"/>
    <w:rsid w:val="00487EB1"/>
    <w:rsid w:val="004901CB"/>
    <w:rsid w:val="004904D6"/>
    <w:rsid w:val="00490941"/>
    <w:rsid w:val="00490BCC"/>
    <w:rsid w:val="004910AC"/>
    <w:rsid w:val="00491321"/>
    <w:rsid w:val="00491B58"/>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542"/>
    <w:rsid w:val="00496642"/>
    <w:rsid w:val="004966A6"/>
    <w:rsid w:val="0049688E"/>
    <w:rsid w:val="00496B37"/>
    <w:rsid w:val="00496CDF"/>
    <w:rsid w:val="00496F86"/>
    <w:rsid w:val="004973C4"/>
    <w:rsid w:val="004977F8"/>
    <w:rsid w:val="00497A89"/>
    <w:rsid w:val="004A0525"/>
    <w:rsid w:val="004A0D52"/>
    <w:rsid w:val="004A10EB"/>
    <w:rsid w:val="004A10F1"/>
    <w:rsid w:val="004A1173"/>
    <w:rsid w:val="004A13C3"/>
    <w:rsid w:val="004A225B"/>
    <w:rsid w:val="004A2535"/>
    <w:rsid w:val="004A2542"/>
    <w:rsid w:val="004A25B1"/>
    <w:rsid w:val="004A2710"/>
    <w:rsid w:val="004A2951"/>
    <w:rsid w:val="004A2955"/>
    <w:rsid w:val="004A3487"/>
    <w:rsid w:val="004A352F"/>
    <w:rsid w:val="004A3701"/>
    <w:rsid w:val="004A3D3C"/>
    <w:rsid w:val="004A40D2"/>
    <w:rsid w:val="004A4111"/>
    <w:rsid w:val="004A4332"/>
    <w:rsid w:val="004A4361"/>
    <w:rsid w:val="004A4451"/>
    <w:rsid w:val="004A50BB"/>
    <w:rsid w:val="004A5FD5"/>
    <w:rsid w:val="004A6269"/>
    <w:rsid w:val="004A641E"/>
    <w:rsid w:val="004A66C0"/>
    <w:rsid w:val="004A6B78"/>
    <w:rsid w:val="004A6C23"/>
    <w:rsid w:val="004A6DC4"/>
    <w:rsid w:val="004A73C5"/>
    <w:rsid w:val="004A7657"/>
    <w:rsid w:val="004A7AAD"/>
    <w:rsid w:val="004A7B48"/>
    <w:rsid w:val="004A7E5A"/>
    <w:rsid w:val="004A7F99"/>
    <w:rsid w:val="004B0228"/>
    <w:rsid w:val="004B02C8"/>
    <w:rsid w:val="004B0521"/>
    <w:rsid w:val="004B0EDD"/>
    <w:rsid w:val="004B10AB"/>
    <w:rsid w:val="004B171C"/>
    <w:rsid w:val="004B1B53"/>
    <w:rsid w:val="004B2602"/>
    <w:rsid w:val="004B2746"/>
    <w:rsid w:val="004B2EBB"/>
    <w:rsid w:val="004B322C"/>
    <w:rsid w:val="004B3775"/>
    <w:rsid w:val="004B3780"/>
    <w:rsid w:val="004B3B09"/>
    <w:rsid w:val="004B3E33"/>
    <w:rsid w:val="004B42B1"/>
    <w:rsid w:val="004B42BC"/>
    <w:rsid w:val="004B49E6"/>
    <w:rsid w:val="004B4D2F"/>
    <w:rsid w:val="004B4D92"/>
    <w:rsid w:val="004B4E09"/>
    <w:rsid w:val="004B4FE1"/>
    <w:rsid w:val="004B5569"/>
    <w:rsid w:val="004B5839"/>
    <w:rsid w:val="004B5ED7"/>
    <w:rsid w:val="004B5EDE"/>
    <w:rsid w:val="004B5FB0"/>
    <w:rsid w:val="004B6126"/>
    <w:rsid w:val="004B66EA"/>
    <w:rsid w:val="004B691E"/>
    <w:rsid w:val="004B69E7"/>
    <w:rsid w:val="004B6C18"/>
    <w:rsid w:val="004B7570"/>
    <w:rsid w:val="004B794F"/>
    <w:rsid w:val="004B7AF8"/>
    <w:rsid w:val="004C02A5"/>
    <w:rsid w:val="004C0779"/>
    <w:rsid w:val="004C086C"/>
    <w:rsid w:val="004C0DC3"/>
    <w:rsid w:val="004C0E56"/>
    <w:rsid w:val="004C159A"/>
    <w:rsid w:val="004C1793"/>
    <w:rsid w:val="004C2259"/>
    <w:rsid w:val="004C2335"/>
    <w:rsid w:val="004C233E"/>
    <w:rsid w:val="004C2B5A"/>
    <w:rsid w:val="004C2BF2"/>
    <w:rsid w:val="004C2C6D"/>
    <w:rsid w:val="004C2C6F"/>
    <w:rsid w:val="004C3426"/>
    <w:rsid w:val="004C35F7"/>
    <w:rsid w:val="004C3F70"/>
    <w:rsid w:val="004C40C5"/>
    <w:rsid w:val="004C43FD"/>
    <w:rsid w:val="004C4566"/>
    <w:rsid w:val="004C4E56"/>
    <w:rsid w:val="004C4E85"/>
    <w:rsid w:val="004C51CB"/>
    <w:rsid w:val="004C537A"/>
    <w:rsid w:val="004C54F5"/>
    <w:rsid w:val="004C5776"/>
    <w:rsid w:val="004C5DC8"/>
    <w:rsid w:val="004C614E"/>
    <w:rsid w:val="004C6301"/>
    <w:rsid w:val="004C7217"/>
    <w:rsid w:val="004C7620"/>
    <w:rsid w:val="004C7908"/>
    <w:rsid w:val="004C7BD9"/>
    <w:rsid w:val="004D0159"/>
    <w:rsid w:val="004D053D"/>
    <w:rsid w:val="004D08F1"/>
    <w:rsid w:val="004D0A4A"/>
    <w:rsid w:val="004D0A75"/>
    <w:rsid w:val="004D10F8"/>
    <w:rsid w:val="004D116B"/>
    <w:rsid w:val="004D12FA"/>
    <w:rsid w:val="004D1698"/>
    <w:rsid w:val="004D3228"/>
    <w:rsid w:val="004D3330"/>
    <w:rsid w:val="004D35BD"/>
    <w:rsid w:val="004D4335"/>
    <w:rsid w:val="004D44EE"/>
    <w:rsid w:val="004D45A9"/>
    <w:rsid w:val="004D46A3"/>
    <w:rsid w:val="004D47E7"/>
    <w:rsid w:val="004D5437"/>
    <w:rsid w:val="004D5988"/>
    <w:rsid w:val="004D5CCF"/>
    <w:rsid w:val="004D5CE9"/>
    <w:rsid w:val="004D64C7"/>
    <w:rsid w:val="004D7646"/>
    <w:rsid w:val="004D781F"/>
    <w:rsid w:val="004D7A09"/>
    <w:rsid w:val="004D7B32"/>
    <w:rsid w:val="004E0161"/>
    <w:rsid w:val="004E084F"/>
    <w:rsid w:val="004E09C4"/>
    <w:rsid w:val="004E0FB0"/>
    <w:rsid w:val="004E10DA"/>
    <w:rsid w:val="004E117C"/>
    <w:rsid w:val="004E118B"/>
    <w:rsid w:val="004E1DD2"/>
    <w:rsid w:val="004E1F22"/>
    <w:rsid w:val="004E21D7"/>
    <w:rsid w:val="004E2F2C"/>
    <w:rsid w:val="004E3057"/>
    <w:rsid w:val="004E316F"/>
    <w:rsid w:val="004E3244"/>
    <w:rsid w:val="004E36E2"/>
    <w:rsid w:val="004E39DE"/>
    <w:rsid w:val="004E3BA0"/>
    <w:rsid w:val="004E3CEE"/>
    <w:rsid w:val="004E3FC4"/>
    <w:rsid w:val="004E40EF"/>
    <w:rsid w:val="004E436A"/>
    <w:rsid w:val="004E458B"/>
    <w:rsid w:val="004E46CD"/>
    <w:rsid w:val="004E4A70"/>
    <w:rsid w:val="004E5031"/>
    <w:rsid w:val="004E5333"/>
    <w:rsid w:val="004E579C"/>
    <w:rsid w:val="004E5B29"/>
    <w:rsid w:val="004E60B1"/>
    <w:rsid w:val="004E67F8"/>
    <w:rsid w:val="004E6BF1"/>
    <w:rsid w:val="004E6C91"/>
    <w:rsid w:val="004E7953"/>
    <w:rsid w:val="004E7B4B"/>
    <w:rsid w:val="004F0B46"/>
    <w:rsid w:val="004F0C84"/>
    <w:rsid w:val="004F0CAD"/>
    <w:rsid w:val="004F0E48"/>
    <w:rsid w:val="004F1302"/>
    <w:rsid w:val="004F160F"/>
    <w:rsid w:val="004F165E"/>
    <w:rsid w:val="004F17BB"/>
    <w:rsid w:val="004F1D88"/>
    <w:rsid w:val="004F24E7"/>
    <w:rsid w:val="004F25D5"/>
    <w:rsid w:val="004F2896"/>
    <w:rsid w:val="004F295F"/>
    <w:rsid w:val="004F2DD1"/>
    <w:rsid w:val="004F2FF9"/>
    <w:rsid w:val="004F3379"/>
    <w:rsid w:val="004F3534"/>
    <w:rsid w:val="004F379E"/>
    <w:rsid w:val="004F3CB1"/>
    <w:rsid w:val="004F3CDC"/>
    <w:rsid w:val="004F4916"/>
    <w:rsid w:val="004F4F21"/>
    <w:rsid w:val="004F572F"/>
    <w:rsid w:val="004F57F8"/>
    <w:rsid w:val="004F59B2"/>
    <w:rsid w:val="004F5A08"/>
    <w:rsid w:val="004F5C0C"/>
    <w:rsid w:val="004F5C70"/>
    <w:rsid w:val="004F5DB6"/>
    <w:rsid w:val="004F5E34"/>
    <w:rsid w:val="004F636D"/>
    <w:rsid w:val="004F7335"/>
    <w:rsid w:val="004F749A"/>
    <w:rsid w:val="004F750D"/>
    <w:rsid w:val="004F751F"/>
    <w:rsid w:val="004F7774"/>
    <w:rsid w:val="004F7A6E"/>
    <w:rsid w:val="004F7C39"/>
    <w:rsid w:val="005005AB"/>
    <w:rsid w:val="00500B43"/>
    <w:rsid w:val="00500F36"/>
    <w:rsid w:val="005015F7"/>
    <w:rsid w:val="00501998"/>
    <w:rsid w:val="00501B13"/>
    <w:rsid w:val="00501BEF"/>
    <w:rsid w:val="00502240"/>
    <w:rsid w:val="00502E10"/>
    <w:rsid w:val="00502F61"/>
    <w:rsid w:val="00504604"/>
    <w:rsid w:val="00504969"/>
    <w:rsid w:val="0050508C"/>
    <w:rsid w:val="005052E3"/>
    <w:rsid w:val="00505313"/>
    <w:rsid w:val="00505806"/>
    <w:rsid w:val="00505897"/>
    <w:rsid w:val="00505A0C"/>
    <w:rsid w:val="00505E0C"/>
    <w:rsid w:val="00505F47"/>
    <w:rsid w:val="00506280"/>
    <w:rsid w:val="0050660F"/>
    <w:rsid w:val="0050671A"/>
    <w:rsid w:val="0050690A"/>
    <w:rsid w:val="00506918"/>
    <w:rsid w:val="00506ABD"/>
    <w:rsid w:val="00506C96"/>
    <w:rsid w:val="00506EE2"/>
    <w:rsid w:val="005070B1"/>
    <w:rsid w:val="005070DE"/>
    <w:rsid w:val="00507838"/>
    <w:rsid w:val="005078CD"/>
    <w:rsid w:val="005079E5"/>
    <w:rsid w:val="00507ABF"/>
    <w:rsid w:val="00507C14"/>
    <w:rsid w:val="00507EEA"/>
    <w:rsid w:val="00507EF5"/>
    <w:rsid w:val="00507F00"/>
    <w:rsid w:val="0051011C"/>
    <w:rsid w:val="0051018E"/>
    <w:rsid w:val="005108AE"/>
    <w:rsid w:val="00510BBA"/>
    <w:rsid w:val="00511577"/>
    <w:rsid w:val="005115E9"/>
    <w:rsid w:val="00511C9B"/>
    <w:rsid w:val="00511E3A"/>
    <w:rsid w:val="005120A2"/>
    <w:rsid w:val="00512668"/>
    <w:rsid w:val="005126CC"/>
    <w:rsid w:val="005129BA"/>
    <w:rsid w:val="005130B9"/>
    <w:rsid w:val="0051319A"/>
    <w:rsid w:val="00513303"/>
    <w:rsid w:val="0051376C"/>
    <w:rsid w:val="00513B09"/>
    <w:rsid w:val="00514856"/>
    <w:rsid w:val="005149E8"/>
    <w:rsid w:val="00514BED"/>
    <w:rsid w:val="00514DF4"/>
    <w:rsid w:val="005151FD"/>
    <w:rsid w:val="005157F8"/>
    <w:rsid w:val="0051581A"/>
    <w:rsid w:val="0051583D"/>
    <w:rsid w:val="00515FA3"/>
    <w:rsid w:val="0051620F"/>
    <w:rsid w:val="00516482"/>
    <w:rsid w:val="00516A95"/>
    <w:rsid w:val="00516B16"/>
    <w:rsid w:val="00516BC3"/>
    <w:rsid w:val="00516EAB"/>
    <w:rsid w:val="00517225"/>
    <w:rsid w:val="005174A3"/>
    <w:rsid w:val="005178FE"/>
    <w:rsid w:val="00517F8F"/>
    <w:rsid w:val="00517FA3"/>
    <w:rsid w:val="00520726"/>
    <w:rsid w:val="00520978"/>
    <w:rsid w:val="00520B6D"/>
    <w:rsid w:val="00520D97"/>
    <w:rsid w:val="00520E00"/>
    <w:rsid w:val="00521796"/>
    <w:rsid w:val="0052189E"/>
    <w:rsid w:val="00521F90"/>
    <w:rsid w:val="005226AE"/>
    <w:rsid w:val="0052339B"/>
    <w:rsid w:val="00523617"/>
    <w:rsid w:val="005239D6"/>
    <w:rsid w:val="00523BEF"/>
    <w:rsid w:val="00523C13"/>
    <w:rsid w:val="00524745"/>
    <w:rsid w:val="005249F5"/>
    <w:rsid w:val="00524BFD"/>
    <w:rsid w:val="00524E49"/>
    <w:rsid w:val="0052535D"/>
    <w:rsid w:val="005254B4"/>
    <w:rsid w:val="00525941"/>
    <w:rsid w:val="0052635A"/>
    <w:rsid w:val="005270F8"/>
    <w:rsid w:val="00530011"/>
    <w:rsid w:val="005303DB"/>
    <w:rsid w:val="005304DD"/>
    <w:rsid w:val="0053071C"/>
    <w:rsid w:val="00530BE8"/>
    <w:rsid w:val="00530F4A"/>
    <w:rsid w:val="005311B1"/>
    <w:rsid w:val="005312C1"/>
    <w:rsid w:val="005316F4"/>
    <w:rsid w:val="00531793"/>
    <w:rsid w:val="0053190B"/>
    <w:rsid w:val="00531DB5"/>
    <w:rsid w:val="005322FC"/>
    <w:rsid w:val="0053266A"/>
    <w:rsid w:val="0053288F"/>
    <w:rsid w:val="00532B0C"/>
    <w:rsid w:val="00532F80"/>
    <w:rsid w:val="00533025"/>
    <w:rsid w:val="00533262"/>
    <w:rsid w:val="0053330B"/>
    <w:rsid w:val="005336EB"/>
    <w:rsid w:val="00533A1E"/>
    <w:rsid w:val="00534786"/>
    <w:rsid w:val="00534D18"/>
    <w:rsid w:val="00535864"/>
    <w:rsid w:val="0053598F"/>
    <w:rsid w:val="00536292"/>
    <w:rsid w:val="00536B5C"/>
    <w:rsid w:val="00536FD6"/>
    <w:rsid w:val="005374F4"/>
    <w:rsid w:val="00537883"/>
    <w:rsid w:val="00537897"/>
    <w:rsid w:val="00537DE9"/>
    <w:rsid w:val="00537EA3"/>
    <w:rsid w:val="00540A15"/>
    <w:rsid w:val="00540BB9"/>
    <w:rsid w:val="0054109E"/>
    <w:rsid w:val="005412C9"/>
    <w:rsid w:val="005413B1"/>
    <w:rsid w:val="005414BB"/>
    <w:rsid w:val="00541A89"/>
    <w:rsid w:val="00541C46"/>
    <w:rsid w:val="00542043"/>
    <w:rsid w:val="0054221F"/>
    <w:rsid w:val="005429F7"/>
    <w:rsid w:val="00542DDD"/>
    <w:rsid w:val="00542DFE"/>
    <w:rsid w:val="00542E3A"/>
    <w:rsid w:val="00543511"/>
    <w:rsid w:val="0054358F"/>
    <w:rsid w:val="00543B65"/>
    <w:rsid w:val="00544472"/>
    <w:rsid w:val="0054468D"/>
    <w:rsid w:val="005446B5"/>
    <w:rsid w:val="00544952"/>
    <w:rsid w:val="0054520C"/>
    <w:rsid w:val="0054521B"/>
    <w:rsid w:val="00545419"/>
    <w:rsid w:val="005458EF"/>
    <w:rsid w:val="00545C73"/>
    <w:rsid w:val="00546389"/>
    <w:rsid w:val="0054685C"/>
    <w:rsid w:val="00547582"/>
    <w:rsid w:val="00547ECD"/>
    <w:rsid w:val="00550169"/>
    <w:rsid w:val="00550528"/>
    <w:rsid w:val="005506DA"/>
    <w:rsid w:val="0055079E"/>
    <w:rsid w:val="005507DA"/>
    <w:rsid w:val="00550EE4"/>
    <w:rsid w:val="00551750"/>
    <w:rsid w:val="00551A22"/>
    <w:rsid w:val="00551AE3"/>
    <w:rsid w:val="00551DB0"/>
    <w:rsid w:val="0055203D"/>
    <w:rsid w:val="005527BD"/>
    <w:rsid w:val="00552881"/>
    <w:rsid w:val="00552ED9"/>
    <w:rsid w:val="00553984"/>
    <w:rsid w:val="00553B3E"/>
    <w:rsid w:val="00553B89"/>
    <w:rsid w:val="00553CEE"/>
    <w:rsid w:val="005542EB"/>
    <w:rsid w:val="0055439E"/>
    <w:rsid w:val="00554827"/>
    <w:rsid w:val="00554A45"/>
    <w:rsid w:val="00554CB7"/>
    <w:rsid w:val="00554DCA"/>
    <w:rsid w:val="0055502E"/>
    <w:rsid w:val="00555557"/>
    <w:rsid w:val="00555949"/>
    <w:rsid w:val="00555F15"/>
    <w:rsid w:val="005561FF"/>
    <w:rsid w:val="005565E3"/>
    <w:rsid w:val="0055668C"/>
    <w:rsid w:val="005567E5"/>
    <w:rsid w:val="0055689B"/>
    <w:rsid w:val="005568C0"/>
    <w:rsid w:val="00556CAA"/>
    <w:rsid w:val="005578A2"/>
    <w:rsid w:val="005578EE"/>
    <w:rsid w:val="00557F03"/>
    <w:rsid w:val="00557F75"/>
    <w:rsid w:val="00560504"/>
    <w:rsid w:val="00560695"/>
    <w:rsid w:val="00561524"/>
    <w:rsid w:val="0056182D"/>
    <w:rsid w:val="00561A65"/>
    <w:rsid w:val="00561B04"/>
    <w:rsid w:val="00561C23"/>
    <w:rsid w:val="00561D95"/>
    <w:rsid w:val="00561E0C"/>
    <w:rsid w:val="00561FBE"/>
    <w:rsid w:val="0056244F"/>
    <w:rsid w:val="005626F3"/>
    <w:rsid w:val="00563569"/>
    <w:rsid w:val="0056385D"/>
    <w:rsid w:val="00563B13"/>
    <w:rsid w:val="0056419F"/>
    <w:rsid w:val="0056469A"/>
    <w:rsid w:val="00564AE3"/>
    <w:rsid w:val="00564B1C"/>
    <w:rsid w:val="00564D2F"/>
    <w:rsid w:val="005655A5"/>
    <w:rsid w:val="00565794"/>
    <w:rsid w:val="00565D32"/>
    <w:rsid w:val="00566906"/>
    <w:rsid w:val="005673AD"/>
    <w:rsid w:val="005673B5"/>
    <w:rsid w:val="005676A8"/>
    <w:rsid w:val="00567B37"/>
    <w:rsid w:val="00567FBB"/>
    <w:rsid w:val="005703C0"/>
    <w:rsid w:val="00570561"/>
    <w:rsid w:val="00570A04"/>
    <w:rsid w:val="00570A93"/>
    <w:rsid w:val="00570A9A"/>
    <w:rsid w:val="00570EAB"/>
    <w:rsid w:val="00571032"/>
    <w:rsid w:val="0057148E"/>
    <w:rsid w:val="0057172D"/>
    <w:rsid w:val="00571918"/>
    <w:rsid w:val="00571AF9"/>
    <w:rsid w:val="00571C42"/>
    <w:rsid w:val="00571D9E"/>
    <w:rsid w:val="0057211F"/>
    <w:rsid w:val="0057221F"/>
    <w:rsid w:val="00572A7F"/>
    <w:rsid w:val="00572B0E"/>
    <w:rsid w:val="00572E80"/>
    <w:rsid w:val="0057360B"/>
    <w:rsid w:val="00573997"/>
    <w:rsid w:val="00573FD3"/>
    <w:rsid w:val="005746EB"/>
    <w:rsid w:val="005754A6"/>
    <w:rsid w:val="005757BB"/>
    <w:rsid w:val="005758DC"/>
    <w:rsid w:val="00575EE0"/>
    <w:rsid w:val="00576239"/>
    <w:rsid w:val="005762BC"/>
    <w:rsid w:val="00576374"/>
    <w:rsid w:val="00576D98"/>
    <w:rsid w:val="00577110"/>
    <w:rsid w:val="0057727E"/>
    <w:rsid w:val="0057736E"/>
    <w:rsid w:val="00577560"/>
    <w:rsid w:val="0058001A"/>
    <w:rsid w:val="0058097B"/>
    <w:rsid w:val="00581210"/>
    <w:rsid w:val="005812E4"/>
    <w:rsid w:val="005814DE"/>
    <w:rsid w:val="00581859"/>
    <w:rsid w:val="00581939"/>
    <w:rsid w:val="00581954"/>
    <w:rsid w:val="00581E80"/>
    <w:rsid w:val="00582403"/>
    <w:rsid w:val="00582577"/>
    <w:rsid w:val="0058284C"/>
    <w:rsid w:val="00582D6E"/>
    <w:rsid w:val="00583507"/>
    <w:rsid w:val="00583574"/>
    <w:rsid w:val="00583645"/>
    <w:rsid w:val="00583A1E"/>
    <w:rsid w:val="00583DF0"/>
    <w:rsid w:val="00583E43"/>
    <w:rsid w:val="0058475F"/>
    <w:rsid w:val="00584B44"/>
    <w:rsid w:val="00584B6A"/>
    <w:rsid w:val="00584D39"/>
    <w:rsid w:val="00584F77"/>
    <w:rsid w:val="0058510D"/>
    <w:rsid w:val="00585153"/>
    <w:rsid w:val="00585EC9"/>
    <w:rsid w:val="00585F2C"/>
    <w:rsid w:val="0058643B"/>
    <w:rsid w:val="00586595"/>
    <w:rsid w:val="00586691"/>
    <w:rsid w:val="00586BAD"/>
    <w:rsid w:val="00586BDE"/>
    <w:rsid w:val="00586C79"/>
    <w:rsid w:val="00586E67"/>
    <w:rsid w:val="00586F5E"/>
    <w:rsid w:val="005878DF"/>
    <w:rsid w:val="0059000D"/>
    <w:rsid w:val="00590083"/>
    <w:rsid w:val="005900BF"/>
    <w:rsid w:val="005908F5"/>
    <w:rsid w:val="00590C1C"/>
    <w:rsid w:val="00590E1B"/>
    <w:rsid w:val="00591220"/>
    <w:rsid w:val="00591659"/>
    <w:rsid w:val="00591935"/>
    <w:rsid w:val="00591C85"/>
    <w:rsid w:val="00591CAD"/>
    <w:rsid w:val="0059257E"/>
    <w:rsid w:val="00592CCD"/>
    <w:rsid w:val="00592D6B"/>
    <w:rsid w:val="0059338B"/>
    <w:rsid w:val="0059392E"/>
    <w:rsid w:val="0059398E"/>
    <w:rsid w:val="00593A2C"/>
    <w:rsid w:val="00594250"/>
    <w:rsid w:val="00594951"/>
    <w:rsid w:val="00594D60"/>
    <w:rsid w:val="00594FD0"/>
    <w:rsid w:val="00595235"/>
    <w:rsid w:val="005954D0"/>
    <w:rsid w:val="00595679"/>
    <w:rsid w:val="00595770"/>
    <w:rsid w:val="00595855"/>
    <w:rsid w:val="00595FD2"/>
    <w:rsid w:val="005965D9"/>
    <w:rsid w:val="005967D8"/>
    <w:rsid w:val="005968B1"/>
    <w:rsid w:val="00596AF9"/>
    <w:rsid w:val="00596EDF"/>
    <w:rsid w:val="00596FDB"/>
    <w:rsid w:val="00597046"/>
    <w:rsid w:val="005974C2"/>
    <w:rsid w:val="00597776"/>
    <w:rsid w:val="00597B7D"/>
    <w:rsid w:val="005A0DE0"/>
    <w:rsid w:val="005A10FB"/>
    <w:rsid w:val="005A1289"/>
    <w:rsid w:val="005A1331"/>
    <w:rsid w:val="005A1792"/>
    <w:rsid w:val="005A1982"/>
    <w:rsid w:val="005A1C09"/>
    <w:rsid w:val="005A26C1"/>
    <w:rsid w:val="005A2D5B"/>
    <w:rsid w:val="005A2DF4"/>
    <w:rsid w:val="005A3203"/>
    <w:rsid w:val="005A35C7"/>
    <w:rsid w:val="005A3943"/>
    <w:rsid w:val="005A3CA5"/>
    <w:rsid w:val="005A3D80"/>
    <w:rsid w:val="005A41A6"/>
    <w:rsid w:val="005A497F"/>
    <w:rsid w:val="005A4F47"/>
    <w:rsid w:val="005A53A0"/>
    <w:rsid w:val="005A557B"/>
    <w:rsid w:val="005A6161"/>
    <w:rsid w:val="005A66A0"/>
    <w:rsid w:val="005A69D5"/>
    <w:rsid w:val="005A6F07"/>
    <w:rsid w:val="005A764C"/>
    <w:rsid w:val="005A7D60"/>
    <w:rsid w:val="005A7FC1"/>
    <w:rsid w:val="005B01E3"/>
    <w:rsid w:val="005B03EF"/>
    <w:rsid w:val="005B0675"/>
    <w:rsid w:val="005B0E8F"/>
    <w:rsid w:val="005B1270"/>
    <w:rsid w:val="005B129D"/>
    <w:rsid w:val="005B1D8D"/>
    <w:rsid w:val="005B1DA9"/>
    <w:rsid w:val="005B1E18"/>
    <w:rsid w:val="005B1EA3"/>
    <w:rsid w:val="005B22D0"/>
    <w:rsid w:val="005B2626"/>
    <w:rsid w:val="005B29E3"/>
    <w:rsid w:val="005B2B0F"/>
    <w:rsid w:val="005B2C05"/>
    <w:rsid w:val="005B2C7A"/>
    <w:rsid w:val="005B32CD"/>
    <w:rsid w:val="005B3AFB"/>
    <w:rsid w:val="005B3B08"/>
    <w:rsid w:val="005B3B12"/>
    <w:rsid w:val="005B401B"/>
    <w:rsid w:val="005B48EA"/>
    <w:rsid w:val="005B48F5"/>
    <w:rsid w:val="005B5344"/>
    <w:rsid w:val="005B60C2"/>
    <w:rsid w:val="005B6941"/>
    <w:rsid w:val="005B6DA0"/>
    <w:rsid w:val="005B6E38"/>
    <w:rsid w:val="005B76BB"/>
    <w:rsid w:val="005B778A"/>
    <w:rsid w:val="005B77E0"/>
    <w:rsid w:val="005B7885"/>
    <w:rsid w:val="005B7D0D"/>
    <w:rsid w:val="005C0542"/>
    <w:rsid w:val="005C05DC"/>
    <w:rsid w:val="005C0A48"/>
    <w:rsid w:val="005C11B9"/>
    <w:rsid w:val="005C14A1"/>
    <w:rsid w:val="005C179A"/>
    <w:rsid w:val="005C1973"/>
    <w:rsid w:val="005C1B36"/>
    <w:rsid w:val="005C1C71"/>
    <w:rsid w:val="005C1C85"/>
    <w:rsid w:val="005C246F"/>
    <w:rsid w:val="005C28E5"/>
    <w:rsid w:val="005C293A"/>
    <w:rsid w:val="005C3179"/>
    <w:rsid w:val="005C318A"/>
    <w:rsid w:val="005C3493"/>
    <w:rsid w:val="005C4751"/>
    <w:rsid w:val="005C4965"/>
    <w:rsid w:val="005C4E0C"/>
    <w:rsid w:val="005C50F9"/>
    <w:rsid w:val="005C5E68"/>
    <w:rsid w:val="005C5FA7"/>
    <w:rsid w:val="005C6137"/>
    <w:rsid w:val="005C6181"/>
    <w:rsid w:val="005C63A9"/>
    <w:rsid w:val="005C67E6"/>
    <w:rsid w:val="005C68C1"/>
    <w:rsid w:val="005C68E2"/>
    <w:rsid w:val="005C691B"/>
    <w:rsid w:val="005C6A07"/>
    <w:rsid w:val="005C6E1D"/>
    <w:rsid w:val="005C6F0C"/>
    <w:rsid w:val="005C707A"/>
    <w:rsid w:val="005C71DB"/>
    <w:rsid w:val="005C749E"/>
    <w:rsid w:val="005C7D21"/>
    <w:rsid w:val="005D0235"/>
    <w:rsid w:val="005D036D"/>
    <w:rsid w:val="005D0550"/>
    <w:rsid w:val="005D0709"/>
    <w:rsid w:val="005D113E"/>
    <w:rsid w:val="005D11A4"/>
    <w:rsid w:val="005D11BE"/>
    <w:rsid w:val="005D14CD"/>
    <w:rsid w:val="005D15AE"/>
    <w:rsid w:val="005D16E3"/>
    <w:rsid w:val="005D17E6"/>
    <w:rsid w:val="005D1AE7"/>
    <w:rsid w:val="005D1E19"/>
    <w:rsid w:val="005D1F76"/>
    <w:rsid w:val="005D1FC2"/>
    <w:rsid w:val="005D23CD"/>
    <w:rsid w:val="005D2591"/>
    <w:rsid w:val="005D25DA"/>
    <w:rsid w:val="005D2708"/>
    <w:rsid w:val="005D31F4"/>
    <w:rsid w:val="005D3C7D"/>
    <w:rsid w:val="005D3C80"/>
    <w:rsid w:val="005D3F6F"/>
    <w:rsid w:val="005D4424"/>
    <w:rsid w:val="005D47FD"/>
    <w:rsid w:val="005D49EC"/>
    <w:rsid w:val="005D548D"/>
    <w:rsid w:val="005D5CE6"/>
    <w:rsid w:val="005D69BB"/>
    <w:rsid w:val="005D6AA2"/>
    <w:rsid w:val="005D6D05"/>
    <w:rsid w:val="005D6DA6"/>
    <w:rsid w:val="005D6DF1"/>
    <w:rsid w:val="005D6FDE"/>
    <w:rsid w:val="005D71A1"/>
    <w:rsid w:val="005D72D0"/>
    <w:rsid w:val="005D7374"/>
    <w:rsid w:val="005D741C"/>
    <w:rsid w:val="005D7DD2"/>
    <w:rsid w:val="005E03E0"/>
    <w:rsid w:val="005E06A7"/>
    <w:rsid w:val="005E0760"/>
    <w:rsid w:val="005E07BC"/>
    <w:rsid w:val="005E09A6"/>
    <w:rsid w:val="005E0A01"/>
    <w:rsid w:val="005E16F8"/>
    <w:rsid w:val="005E17F8"/>
    <w:rsid w:val="005E1DE6"/>
    <w:rsid w:val="005E2267"/>
    <w:rsid w:val="005E2C0B"/>
    <w:rsid w:val="005E35B0"/>
    <w:rsid w:val="005E3BDC"/>
    <w:rsid w:val="005E4078"/>
    <w:rsid w:val="005E4433"/>
    <w:rsid w:val="005E4938"/>
    <w:rsid w:val="005E510F"/>
    <w:rsid w:val="005E529A"/>
    <w:rsid w:val="005E5645"/>
    <w:rsid w:val="005E5976"/>
    <w:rsid w:val="005E59E4"/>
    <w:rsid w:val="005E61F9"/>
    <w:rsid w:val="005E6455"/>
    <w:rsid w:val="005E65F9"/>
    <w:rsid w:val="005E695F"/>
    <w:rsid w:val="005E7343"/>
    <w:rsid w:val="005E75D7"/>
    <w:rsid w:val="005E7957"/>
    <w:rsid w:val="005E7B70"/>
    <w:rsid w:val="005F0372"/>
    <w:rsid w:val="005F0BF2"/>
    <w:rsid w:val="005F0D4C"/>
    <w:rsid w:val="005F1297"/>
    <w:rsid w:val="005F1682"/>
    <w:rsid w:val="005F1A43"/>
    <w:rsid w:val="005F20FD"/>
    <w:rsid w:val="005F2239"/>
    <w:rsid w:val="005F22F2"/>
    <w:rsid w:val="005F2599"/>
    <w:rsid w:val="005F2947"/>
    <w:rsid w:val="005F3D95"/>
    <w:rsid w:val="005F3F2E"/>
    <w:rsid w:val="005F4575"/>
    <w:rsid w:val="005F459F"/>
    <w:rsid w:val="005F4BB3"/>
    <w:rsid w:val="005F52E5"/>
    <w:rsid w:val="005F52E8"/>
    <w:rsid w:val="005F55B7"/>
    <w:rsid w:val="005F5933"/>
    <w:rsid w:val="005F5AB2"/>
    <w:rsid w:val="005F6195"/>
    <w:rsid w:val="005F62E3"/>
    <w:rsid w:val="005F659B"/>
    <w:rsid w:val="005F7442"/>
    <w:rsid w:val="005F74A4"/>
    <w:rsid w:val="005F7658"/>
    <w:rsid w:val="005F7D05"/>
    <w:rsid w:val="0060033C"/>
    <w:rsid w:val="00600415"/>
    <w:rsid w:val="00600575"/>
    <w:rsid w:val="00600D44"/>
    <w:rsid w:val="00601054"/>
    <w:rsid w:val="006015C2"/>
    <w:rsid w:val="00601C3D"/>
    <w:rsid w:val="00601E14"/>
    <w:rsid w:val="00602711"/>
    <w:rsid w:val="00602875"/>
    <w:rsid w:val="0060300E"/>
    <w:rsid w:val="0060304D"/>
    <w:rsid w:val="006030E6"/>
    <w:rsid w:val="0060331F"/>
    <w:rsid w:val="00603BFC"/>
    <w:rsid w:val="00603C30"/>
    <w:rsid w:val="006040EB"/>
    <w:rsid w:val="006041ED"/>
    <w:rsid w:val="006041F2"/>
    <w:rsid w:val="006043C0"/>
    <w:rsid w:val="00604836"/>
    <w:rsid w:val="00604872"/>
    <w:rsid w:val="00604ABD"/>
    <w:rsid w:val="00605444"/>
    <w:rsid w:val="006054F2"/>
    <w:rsid w:val="006061CA"/>
    <w:rsid w:val="0060635C"/>
    <w:rsid w:val="00606B2F"/>
    <w:rsid w:val="00606E05"/>
    <w:rsid w:val="006073F3"/>
    <w:rsid w:val="006074E0"/>
    <w:rsid w:val="006074E2"/>
    <w:rsid w:val="00607C7F"/>
    <w:rsid w:val="00610072"/>
    <w:rsid w:val="00610ADF"/>
    <w:rsid w:val="00610C29"/>
    <w:rsid w:val="00610FD1"/>
    <w:rsid w:val="006113B3"/>
    <w:rsid w:val="0061186B"/>
    <w:rsid w:val="006118F0"/>
    <w:rsid w:val="00611B94"/>
    <w:rsid w:val="00611CEE"/>
    <w:rsid w:val="00612159"/>
    <w:rsid w:val="0061226C"/>
    <w:rsid w:val="006128F8"/>
    <w:rsid w:val="00612A25"/>
    <w:rsid w:val="00612F65"/>
    <w:rsid w:val="006133BE"/>
    <w:rsid w:val="00613644"/>
    <w:rsid w:val="006137FE"/>
    <w:rsid w:val="00613A63"/>
    <w:rsid w:val="00613C23"/>
    <w:rsid w:val="00613D9D"/>
    <w:rsid w:val="00614208"/>
    <w:rsid w:val="0061442D"/>
    <w:rsid w:val="006145F0"/>
    <w:rsid w:val="00614943"/>
    <w:rsid w:val="00614AEC"/>
    <w:rsid w:val="00614B29"/>
    <w:rsid w:val="00614DF1"/>
    <w:rsid w:val="00614F78"/>
    <w:rsid w:val="006159F2"/>
    <w:rsid w:val="00616250"/>
    <w:rsid w:val="006163B4"/>
    <w:rsid w:val="0061640B"/>
    <w:rsid w:val="00616872"/>
    <w:rsid w:val="00616F0F"/>
    <w:rsid w:val="00617202"/>
    <w:rsid w:val="006175B7"/>
    <w:rsid w:val="00617863"/>
    <w:rsid w:val="00617D0E"/>
    <w:rsid w:val="006201D1"/>
    <w:rsid w:val="00620769"/>
    <w:rsid w:val="0062093D"/>
    <w:rsid w:val="006211E2"/>
    <w:rsid w:val="00621336"/>
    <w:rsid w:val="006214D2"/>
    <w:rsid w:val="00621607"/>
    <w:rsid w:val="00621F5D"/>
    <w:rsid w:val="00622004"/>
    <w:rsid w:val="0062207D"/>
    <w:rsid w:val="0062236C"/>
    <w:rsid w:val="00622495"/>
    <w:rsid w:val="0062262A"/>
    <w:rsid w:val="00622DF5"/>
    <w:rsid w:val="006235E5"/>
    <w:rsid w:val="00623932"/>
    <w:rsid w:val="00623CA4"/>
    <w:rsid w:val="0062406F"/>
    <w:rsid w:val="00624644"/>
    <w:rsid w:val="0062482E"/>
    <w:rsid w:val="00625471"/>
    <w:rsid w:val="00625844"/>
    <w:rsid w:val="00625882"/>
    <w:rsid w:val="00625A11"/>
    <w:rsid w:val="00625B69"/>
    <w:rsid w:val="00626368"/>
    <w:rsid w:val="006265D1"/>
    <w:rsid w:val="006266CD"/>
    <w:rsid w:val="006269C2"/>
    <w:rsid w:val="00627911"/>
    <w:rsid w:val="00627AB1"/>
    <w:rsid w:val="006300FE"/>
    <w:rsid w:val="0063059D"/>
    <w:rsid w:val="00630D22"/>
    <w:rsid w:val="00630E13"/>
    <w:rsid w:val="00630EFD"/>
    <w:rsid w:val="00630F3A"/>
    <w:rsid w:val="0063123E"/>
    <w:rsid w:val="00631280"/>
    <w:rsid w:val="00631285"/>
    <w:rsid w:val="0063197B"/>
    <w:rsid w:val="00631984"/>
    <w:rsid w:val="006319A7"/>
    <w:rsid w:val="00632480"/>
    <w:rsid w:val="00632505"/>
    <w:rsid w:val="006326AF"/>
    <w:rsid w:val="00632A3D"/>
    <w:rsid w:val="00632CC9"/>
    <w:rsid w:val="006330C9"/>
    <w:rsid w:val="00633614"/>
    <w:rsid w:val="00633726"/>
    <w:rsid w:val="00633846"/>
    <w:rsid w:val="00633897"/>
    <w:rsid w:val="006338AB"/>
    <w:rsid w:val="00633BBA"/>
    <w:rsid w:val="00633D84"/>
    <w:rsid w:val="0063416F"/>
    <w:rsid w:val="00634285"/>
    <w:rsid w:val="00634FE2"/>
    <w:rsid w:val="00635566"/>
    <w:rsid w:val="00635854"/>
    <w:rsid w:val="00635AEC"/>
    <w:rsid w:val="006362FD"/>
    <w:rsid w:val="006363A0"/>
    <w:rsid w:val="00636BAD"/>
    <w:rsid w:val="00636F25"/>
    <w:rsid w:val="00637491"/>
    <w:rsid w:val="0063762D"/>
    <w:rsid w:val="006404E0"/>
    <w:rsid w:val="00640680"/>
    <w:rsid w:val="006406CE"/>
    <w:rsid w:val="006408D7"/>
    <w:rsid w:val="00640B07"/>
    <w:rsid w:val="00641781"/>
    <w:rsid w:val="006418B5"/>
    <w:rsid w:val="00641B1D"/>
    <w:rsid w:val="00641E3D"/>
    <w:rsid w:val="00641EAB"/>
    <w:rsid w:val="0064202F"/>
    <w:rsid w:val="0064214F"/>
    <w:rsid w:val="0064246B"/>
    <w:rsid w:val="00642552"/>
    <w:rsid w:val="006426A1"/>
    <w:rsid w:val="006428DA"/>
    <w:rsid w:val="00642A16"/>
    <w:rsid w:val="00642AA4"/>
    <w:rsid w:val="00642D86"/>
    <w:rsid w:val="00643B9E"/>
    <w:rsid w:val="00643BDC"/>
    <w:rsid w:val="0064406F"/>
    <w:rsid w:val="006443AC"/>
    <w:rsid w:val="0064491C"/>
    <w:rsid w:val="00645D28"/>
    <w:rsid w:val="00645ED5"/>
    <w:rsid w:val="00646C5B"/>
    <w:rsid w:val="0064707E"/>
    <w:rsid w:val="00647198"/>
    <w:rsid w:val="006471A4"/>
    <w:rsid w:val="00647227"/>
    <w:rsid w:val="006476A1"/>
    <w:rsid w:val="00647DBC"/>
    <w:rsid w:val="00647E2C"/>
    <w:rsid w:val="00650073"/>
    <w:rsid w:val="006508D0"/>
    <w:rsid w:val="00650A4D"/>
    <w:rsid w:val="00650B09"/>
    <w:rsid w:val="00650DB0"/>
    <w:rsid w:val="00650FBE"/>
    <w:rsid w:val="0065188B"/>
    <w:rsid w:val="006523B2"/>
    <w:rsid w:val="00652513"/>
    <w:rsid w:val="006528C9"/>
    <w:rsid w:val="0065295A"/>
    <w:rsid w:val="00652BF3"/>
    <w:rsid w:val="00653403"/>
    <w:rsid w:val="0065342C"/>
    <w:rsid w:val="00653952"/>
    <w:rsid w:val="00653C41"/>
    <w:rsid w:val="006542A4"/>
    <w:rsid w:val="006549E5"/>
    <w:rsid w:val="00654B72"/>
    <w:rsid w:val="00654F57"/>
    <w:rsid w:val="00654FD5"/>
    <w:rsid w:val="006553B3"/>
    <w:rsid w:val="006558A7"/>
    <w:rsid w:val="006558BE"/>
    <w:rsid w:val="00655E2E"/>
    <w:rsid w:val="006560C3"/>
    <w:rsid w:val="00656750"/>
    <w:rsid w:val="00656983"/>
    <w:rsid w:val="00656D23"/>
    <w:rsid w:val="00656EDF"/>
    <w:rsid w:val="00657376"/>
    <w:rsid w:val="00657EFF"/>
    <w:rsid w:val="0066022E"/>
    <w:rsid w:val="00660337"/>
    <w:rsid w:val="00660463"/>
    <w:rsid w:val="0066053B"/>
    <w:rsid w:val="00660AB4"/>
    <w:rsid w:val="006616BF"/>
    <w:rsid w:val="00661780"/>
    <w:rsid w:val="00661B0F"/>
    <w:rsid w:val="00661B48"/>
    <w:rsid w:val="00662030"/>
    <w:rsid w:val="00662238"/>
    <w:rsid w:val="00662C80"/>
    <w:rsid w:val="00662CB1"/>
    <w:rsid w:val="006633BB"/>
    <w:rsid w:val="006633CF"/>
    <w:rsid w:val="00663528"/>
    <w:rsid w:val="006638DC"/>
    <w:rsid w:val="00663991"/>
    <w:rsid w:val="00663F4D"/>
    <w:rsid w:val="006645C3"/>
    <w:rsid w:val="0066489E"/>
    <w:rsid w:val="00664E25"/>
    <w:rsid w:val="00665088"/>
    <w:rsid w:val="00665592"/>
    <w:rsid w:val="0066600D"/>
    <w:rsid w:val="0066627E"/>
    <w:rsid w:val="00666AC9"/>
    <w:rsid w:val="00667150"/>
    <w:rsid w:val="006675F6"/>
    <w:rsid w:val="00667E75"/>
    <w:rsid w:val="00667ECC"/>
    <w:rsid w:val="00667FF9"/>
    <w:rsid w:val="00670290"/>
    <w:rsid w:val="006707C0"/>
    <w:rsid w:val="00670A1C"/>
    <w:rsid w:val="00671B6B"/>
    <w:rsid w:val="00671C60"/>
    <w:rsid w:val="0067273C"/>
    <w:rsid w:val="00672B17"/>
    <w:rsid w:val="00672B1E"/>
    <w:rsid w:val="006730B2"/>
    <w:rsid w:val="006732B3"/>
    <w:rsid w:val="0067341D"/>
    <w:rsid w:val="00674172"/>
    <w:rsid w:val="006741C8"/>
    <w:rsid w:val="006743CB"/>
    <w:rsid w:val="00674DF2"/>
    <w:rsid w:val="006754FF"/>
    <w:rsid w:val="0067556B"/>
    <w:rsid w:val="006755B5"/>
    <w:rsid w:val="00675E6D"/>
    <w:rsid w:val="00676FF0"/>
    <w:rsid w:val="006776D8"/>
    <w:rsid w:val="006800AE"/>
    <w:rsid w:val="006802A9"/>
    <w:rsid w:val="006809B9"/>
    <w:rsid w:val="00680FE1"/>
    <w:rsid w:val="00681327"/>
    <w:rsid w:val="00681765"/>
    <w:rsid w:val="00681DD0"/>
    <w:rsid w:val="00681E1E"/>
    <w:rsid w:val="00682878"/>
    <w:rsid w:val="00682D4E"/>
    <w:rsid w:val="00682DA0"/>
    <w:rsid w:val="00682F1B"/>
    <w:rsid w:val="0068349F"/>
    <w:rsid w:val="006838A7"/>
    <w:rsid w:val="00683CCD"/>
    <w:rsid w:val="00684832"/>
    <w:rsid w:val="00684D15"/>
    <w:rsid w:val="00684FEA"/>
    <w:rsid w:val="0068506D"/>
    <w:rsid w:val="006851E2"/>
    <w:rsid w:val="00685418"/>
    <w:rsid w:val="00686110"/>
    <w:rsid w:val="00686344"/>
    <w:rsid w:val="0068647B"/>
    <w:rsid w:val="00686573"/>
    <w:rsid w:val="00686695"/>
    <w:rsid w:val="00687075"/>
    <w:rsid w:val="006873C9"/>
    <w:rsid w:val="006874A5"/>
    <w:rsid w:val="006875E9"/>
    <w:rsid w:val="006878B1"/>
    <w:rsid w:val="00687A8F"/>
    <w:rsid w:val="00690224"/>
    <w:rsid w:val="00690248"/>
    <w:rsid w:val="00690427"/>
    <w:rsid w:val="00690640"/>
    <w:rsid w:val="00690733"/>
    <w:rsid w:val="00690CED"/>
    <w:rsid w:val="006914C9"/>
    <w:rsid w:val="006917D1"/>
    <w:rsid w:val="00691865"/>
    <w:rsid w:val="00691DF8"/>
    <w:rsid w:val="00691FCE"/>
    <w:rsid w:val="0069212D"/>
    <w:rsid w:val="0069250A"/>
    <w:rsid w:val="00692513"/>
    <w:rsid w:val="00692552"/>
    <w:rsid w:val="006926DF"/>
    <w:rsid w:val="006927E3"/>
    <w:rsid w:val="00692B9F"/>
    <w:rsid w:val="00692CF0"/>
    <w:rsid w:val="00692D55"/>
    <w:rsid w:val="00692DED"/>
    <w:rsid w:val="00692E3D"/>
    <w:rsid w:val="006940D2"/>
    <w:rsid w:val="00694111"/>
    <w:rsid w:val="006943D0"/>
    <w:rsid w:val="00694FF6"/>
    <w:rsid w:val="00695102"/>
    <w:rsid w:val="00695660"/>
    <w:rsid w:val="00695BAE"/>
    <w:rsid w:val="00695EFD"/>
    <w:rsid w:val="00695F98"/>
    <w:rsid w:val="00696356"/>
    <w:rsid w:val="0069682C"/>
    <w:rsid w:val="00696A14"/>
    <w:rsid w:val="00696A8C"/>
    <w:rsid w:val="00696B74"/>
    <w:rsid w:val="00696FE6"/>
    <w:rsid w:val="0069702A"/>
    <w:rsid w:val="00697F0E"/>
    <w:rsid w:val="00697F38"/>
    <w:rsid w:val="006A0106"/>
    <w:rsid w:val="006A0727"/>
    <w:rsid w:val="006A0946"/>
    <w:rsid w:val="006A0973"/>
    <w:rsid w:val="006A0A53"/>
    <w:rsid w:val="006A0B31"/>
    <w:rsid w:val="006A0BDA"/>
    <w:rsid w:val="006A11ED"/>
    <w:rsid w:val="006A1663"/>
    <w:rsid w:val="006A1D7D"/>
    <w:rsid w:val="006A1D8A"/>
    <w:rsid w:val="006A22D5"/>
    <w:rsid w:val="006A2388"/>
    <w:rsid w:val="006A2763"/>
    <w:rsid w:val="006A2B9C"/>
    <w:rsid w:val="006A3190"/>
    <w:rsid w:val="006A3265"/>
    <w:rsid w:val="006A33C9"/>
    <w:rsid w:val="006A3883"/>
    <w:rsid w:val="006A41A0"/>
    <w:rsid w:val="006A4320"/>
    <w:rsid w:val="006A462A"/>
    <w:rsid w:val="006A47BB"/>
    <w:rsid w:val="006A4928"/>
    <w:rsid w:val="006A4C9D"/>
    <w:rsid w:val="006A4D68"/>
    <w:rsid w:val="006A5386"/>
    <w:rsid w:val="006A551B"/>
    <w:rsid w:val="006A58DC"/>
    <w:rsid w:val="006A5B63"/>
    <w:rsid w:val="006A5B68"/>
    <w:rsid w:val="006A6A19"/>
    <w:rsid w:val="006A6A96"/>
    <w:rsid w:val="006A6BE2"/>
    <w:rsid w:val="006A6C52"/>
    <w:rsid w:val="006A6EA1"/>
    <w:rsid w:val="006A6EF1"/>
    <w:rsid w:val="006A7163"/>
    <w:rsid w:val="006A7295"/>
    <w:rsid w:val="006A74F0"/>
    <w:rsid w:val="006A75B6"/>
    <w:rsid w:val="006B0175"/>
    <w:rsid w:val="006B0420"/>
    <w:rsid w:val="006B04A7"/>
    <w:rsid w:val="006B120A"/>
    <w:rsid w:val="006B204C"/>
    <w:rsid w:val="006B2238"/>
    <w:rsid w:val="006B2AEC"/>
    <w:rsid w:val="006B395B"/>
    <w:rsid w:val="006B3B74"/>
    <w:rsid w:val="006B3F3C"/>
    <w:rsid w:val="006B48EB"/>
    <w:rsid w:val="006B4BB6"/>
    <w:rsid w:val="006B5887"/>
    <w:rsid w:val="006B5F0C"/>
    <w:rsid w:val="006B5F68"/>
    <w:rsid w:val="006B6332"/>
    <w:rsid w:val="006B635D"/>
    <w:rsid w:val="006B6786"/>
    <w:rsid w:val="006B6844"/>
    <w:rsid w:val="006B6DAD"/>
    <w:rsid w:val="006B6E02"/>
    <w:rsid w:val="006B70FA"/>
    <w:rsid w:val="006B7364"/>
    <w:rsid w:val="006B74BC"/>
    <w:rsid w:val="006B7F33"/>
    <w:rsid w:val="006C029B"/>
    <w:rsid w:val="006C0640"/>
    <w:rsid w:val="006C11FF"/>
    <w:rsid w:val="006C1438"/>
    <w:rsid w:val="006C182A"/>
    <w:rsid w:val="006C1861"/>
    <w:rsid w:val="006C1A15"/>
    <w:rsid w:val="006C221D"/>
    <w:rsid w:val="006C23D5"/>
    <w:rsid w:val="006C2B07"/>
    <w:rsid w:val="006C2DB9"/>
    <w:rsid w:val="006C2E8C"/>
    <w:rsid w:val="006C3452"/>
    <w:rsid w:val="006C3725"/>
    <w:rsid w:val="006C3F20"/>
    <w:rsid w:val="006C3FF5"/>
    <w:rsid w:val="006C4129"/>
    <w:rsid w:val="006C4458"/>
    <w:rsid w:val="006C458E"/>
    <w:rsid w:val="006C48D4"/>
    <w:rsid w:val="006C4D6D"/>
    <w:rsid w:val="006C5037"/>
    <w:rsid w:val="006C5241"/>
    <w:rsid w:val="006C5F2E"/>
    <w:rsid w:val="006C6113"/>
    <w:rsid w:val="006C6900"/>
    <w:rsid w:val="006C6EF7"/>
    <w:rsid w:val="006C7193"/>
    <w:rsid w:val="006C7993"/>
    <w:rsid w:val="006C7D68"/>
    <w:rsid w:val="006D01DE"/>
    <w:rsid w:val="006D0575"/>
    <w:rsid w:val="006D06B3"/>
    <w:rsid w:val="006D0727"/>
    <w:rsid w:val="006D0A89"/>
    <w:rsid w:val="006D0B63"/>
    <w:rsid w:val="006D0B99"/>
    <w:rsid w:val="006D173B"/>
    <w:rsid w:val="006D1C0C"/>
    <w:rsid w:val="006D1D9F"/>
    <w:rsid w:val="006D21E9"/>
    <w:rsid w:val="006D22BC"/>
    <w:rsid w:val="006D2849"/>
    <w:rsid w:val="006D2F60"/>
    <w:rsid w:val="006D3131"/>
    <w:rsid w:val="006D31B1"/>
    <w:rsid w:val="006D3342"/>
    <w:rsid w:val="006D34CC"/>
    <w:rsid w:val="006D34D5"/>
    <w:rsid w:val="006D3C52"/>
    <w:rsid w:val="006D3C9E"/>
    <w:rsid w:val="006D3DFC"/>
    <w:rsid w:val="006D40D6"/>
    <w:rsid w:val="006D455E"/>
    <w:rsid w:val="006D46BF"/>
    <w:rsid w:val="006D4B30"/>
    <w:rsid w:val="006D4F49"/>
    <w:rsid w:val="006D5EE4"/>
    <w:rsid w:val="006D5F16"/>
    <w:rsid w:val="006D636C"/>
    <w:rsid w:val="006D6BDA"/>
    <w:rsid w:val="006D6D9B"/>
    <w:rsid w:val="006D6DF1"/>
    <w:rsid w:val="006D6DFA"/>
    <w:rsid w:val="006D6F8C"/>
    <w:rsid w:val="006D73AF"/>
    <w:rsid w:val="006D78B9"/>
    <w:rsid w:val="006D7ACB"/>
    <w:rsid w:val="006D7AEF"/>
    <w:rsid w:val="006D7F55"/>
    <w:rsid w:val="006D7FA4"/>
    <w:rsid w:val="006E0232"/>
    <w:rsid w:val="006E1163"/>
    <w:rsid w:val="006E124F"/>
    <w:rsid w:val="006E15F6"/>
    <w:rsid w:val="006E1814"/>
    <w:rsid w:val="006E1B88"/>
    <w:rsid w:val="006E1D00"/>
    <w:rsid w:val="006E1D54"/>
    <w:rsid w:val="006E2194"/>
    <w:rsid w:val="006E2B01"/>
    <w:rsid w:val="006E2C7A"/>
    <w:rsid w:val="006E32D6"/>
    <w:rsid w:val="006E42DC"/>
    <w:rsid w:val="006E445C"/>
    <w:rsid w:val="006E456F"/>
    <w:rsid w:val="006E4A47"/>
    <w:rsid w:val="006E52D5"/>
    <w:rsid w:val="006E5335"/>
    <w:rsid w:val="006E552D"/>
    <w:rsid w:val="006E5679"/>
    <w:rsid w:val="006E5742"/>
    <w:rsid w:val="006E57AB"/>
    <w:rsid w:val="006E57B7"/>
    <w:rsid w:val="006E62A6"/>
    <w:rsid w:val="006E6405"/>
    <w:rsid w:val="006E685B"/>
    <w:rsid w:val="006E6A45"/>
    <w:rsid w:val="006E6AA0"/>
    <w:rsid w:val="006E6D41"/>
    <w:rsid w:val="006E6E3D"/>
    <w:rsid w:val="006E746E"/>
    <w:rsid w:val="006E7909"/>
    <w:rsid w:val="006E7AA2"/>
    <w:rsid w:val="006E7B1F"/>
    <w:rsid w:val="006E7D8C"/>
    <w:rsid w:val="006E7F29"/>
    <w:rsid w:val="006F019B"/>
    <w:rsid w:val="006F0B44"/>
    <w:rsid w:val="006F0C3E"/>
    <w:rsid w:val="006F1041"/>
    <w:rsid w:val="006F15CD"/>
    <w:rsid w:val="006F172C"/>
    <w:rsid w:val="006F1A05"/>
    <w:rsid w:val="006F1E4A"/>
    <w:rsid w:val="006F266D"/>
    <w:rsid w:val="006F27F1"/>
    <w:rsid w:val="006F2E11"/>
    <w:rsid w:val="006F33CA"/>
    <w:rsid w:val="006F3447"/>
    <w:rsid w:val="006F3CC9"/>
    <w:rsid w:val="006F4317"/>
    <w:rsid w:val="006F438F"/>
    <w:rsid w:val="006F48C0"/>
    <w:rsid w:val="006F4F6B"/>
    <w:rsid w:val="006F5AB5"/>
    <w:rsid w:val="006F639A"/>
    <w:rsid w:val="006F6AAD"/>
    <w:rsid w:val="006F6B84"/>
    <w:rsid w:val="006F6E22"/>
    <w:rsid w:val="006F7C9F"/>
    <w:rsid w:val="00700305"/>
    <w:rsid w:val="00700310"/>
    <w:rsid w:val="00700E75"/>
    <w:rsid w:val="00701175"/>
    <w:rsid w:val="007016D1"/>
    <w:rsid w:val="007017CB"/>
    <w:rsid w:val="007017F0"/>
    <w:rsid w:val="00701915"/>
    <w:rsid w:val="00702F08"/>
    <w:rsid w:val="00702FBB"/>
    <w:rsid w:val="007032B2"/>
    <w:rsid w:val="007033A1"/>
    <w:rsid w:val="007036C9"/>
    <w:rsid w:val="00703836"/>
    <w:rsid w:val="00703C35"/>
    <w:rsid w:val="00703C75"/>
    <w:rsid w:val="00703D37"/>
    <w:rsid w:val="0070427B"/>
    <w:rsid w:val="007042FA"/>
    <w:rsid w:val="007055A7"/>
    <w:rsid w:val="007056F2"/>
    <w:rsid w:val="00705B00"/>
    <w:rsid w:val="00705B44"/>
    <w:rsid w:val="007060C1"/>
    <w:rsid w:val="007066F4"/>
    <w:rsid w:val="00706A61"/>
    <w:rsid w:val="00706AC3"/>
    <w:rsid w:val="007072B8"/>
    <w:rsid w:val="007100FB"/>
    <w:rsid w:val="007103A1"/>
    <w:rsid w:val="007108E3"/>
    <w:rsid w:val="007110A3"/>
    <w:rsid w:val="00711F41"/>
    <w:rsid w:val="00711F7D"/>
    <w:rsid w:val="007123A3"/>
    <w:rsid w:val="0071247E"/>
    <w:rsid w:val="00712A73"/>
    <w:rsid w:val="00712D0E"/>
    <w:rsid w:val="0071313E"/>
    <w:rsid w:val="007132BD"/>
    <w:rsid w:val="00713497"/>
    <w:rsid w:val="00713575"/>
    <w:rsid w:val="00714331"/>
    <w:rsid w:val="00714678"/>
    <w:rsid w:val="00714BC0"/>
    <w:rsid w:val="00714F10"/>
    <w:rsid w:val="00714FAA"/>
    <w:rsid w:val="00715726"/>
    <w:rsid w:val="007159BA"/>
    <w:rsid w:val="007165E3"/>
    <w:rsid w:val="00716882"/>
    <w:rsid w:val="00716BA3"/>
    <w:rsid w:val="00717906"/>
    <w:rsid w:val="007206D4"/>
    <w:rsid w:val="007207CA"/>
    <w:rsid w:val="0072137D"/>
    <w:rsid w:val="00721384"/>
    <w:rsid w:val="007213A3"/>
    <w:rsid w:val="00721647"/>
    <w:rsid w:val="0072179D"/>
    <w:rsid w:val="00721969"/>
    <w:rsid w:val="00721CAE"/>
    <w:rsid w:val="007222F1"/>
    <w:rsid w:val="00722C53"/>
    <w:rsid w:val="00722CD2"/>
    <w:rsid w:val="00722FCA"/>
    <w:rsid w:val="00723EE0"/>
    <w:rsid w:val="007248E6"/>
    <w:rsid w:val="00725032"/>
    <w:rsid w:val="00725403"/>
    <w:rsid w:val="00725508"/>
    <w:rsid w:val="00725A96"/>
    <w:rsid w:val="00725C78"/>
    <w:rsid w:val="0072692D"/>
    <w:rsid w:val="00726E93"/>
    <w:rsid w:val="0072721B"/>
    <w:rsid w:val="0072723E"/>
    <w:rsid w:val="007273F0"/>
    <w:rsid w:val="007275C3"/>
    <w:rsid w:val="0072766A"/>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F2"/>
    <w:rsid w:val="007322CD"/>
    <w:rsid w:val="0073295E"/>
    <w:rsid w:val="00732994"/>
    <w:rsid w:val="00732D94"/>
    <w:rsid w:val="007331C7"/>
    <w:rsid w:val="00733342"/>
    <w:rsid w:val="0073374C"/>
    <w:rsid w:val="007342C5"/>
    <w:rsid w:val="007349B4"/>
    <w:rsid w:val="007349D3"/>
    <w:rsid w:val="0073535F"/>
    <w:rsid w:val="00735461"/>
    <w:rsid w:val="00735A95"/>
    <w:rsid w:val="00735D5D"/>
    <w:rsid w:val="007361CC"/>
    <w:rsid w:val="007368FB"/>
    <w:rsid w:val="00736D15"/>
    <w:rsid w:val="00737166"/>
    <w:rsid w:val="007373C4"/>
    <w:rsid w:val="00737D26"/>
    <w:rsid w:val="00740015"/>
    <w:rsid w:val="0074037C"/>
    <w:rsid w:val="007404DE"/>
    <w:rsid w:val="0074063B"/>
    <w:rsid w:val="007406D6"/>
    <w:rsid w:val="00740F00"/>
    <w:rsid w:val="00741292"/>
    <w:rsid w:val="007418E0"/>
    <w:rsid w:val="00741936"/>
    <w:rsid w:val="00741CC4"/>
    <w:rsid w:val="0074228A"/>
    <w:rsid w:val="00742312"/>
    <w:rsid w:val="00742349"/>
    <w:rsid w:val="0074247C"/>
    <w:rsid w:val="00742585"/>
    <w:rsid w:val="00742BE8"/>
    <w:rsid w:val="00742C2A"/>
    <w:rsid w:val="00742C95"/>
    <w:rsid w:val="00742CA5"/>
    <w:rsid w:val="00742DA6"/>
    <w:rsid w:val="00743846"/>
    <w:rsid w:val="00743A7F"/>
    <w:rsid w:val="00743B56"/>
    <w:rsid w:val="0074404A"/>
    <w:rsid w:val="00744075"/>
    <w:rsid w:val="0074443B"/>
    <w:rsid w:val="0074486C"/>
    <w:rsid w:val="00744A10"/>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1D33"/>
    <w:rsid w:val="00751DBE"/>
    <w:rsid w:val="00751E14"/>
    <w:rsid w:val="00752224"/>
    <w:rsid w:val="007523A5"/>
    <w:rsid w:val="00752B53"/>
    <w:rsid w:val="00752E42"/>
    <w:rsid w:val="00753393"/>
    <w:rsid w:val="007538A2"/>
    <w:rsid w:val="00753B4B"/>
    <w:rsid w:val="00754728"/>
    <w:rsid w:val="00755029"/>
    <w:rsid w:val="007553CB"/>
    <w:rsid w:val="007555A2"/>
    <w:rsid w:val="00755A0F"/>
    <w:rsid w:val="00755D76"/>
    <w:rsid w:val="007564EE"/>
    <w:rsid w:val="00756A77"/>
    <w:rsid w:val="00756B59"/>
    <w:rsid w:val="0075702B"/>
    <w:rsid w:val="007575A9"/>
    <w:rsid w:val="0075766A"/>
    <w:rsid w:val="0076039C"/>
    <w:rsid w:val="007603D4"/>
    <w:rsid w:val="007604F1"/>
    <w:rsid w:val="00760A33"/>
    <w:rsid w:val="00760A9A"/>
    <w:rsid w:val="00760C00"/>
    <w:rsid w:val="00760F26"/>
    <w:rsid w:val="00761428"/>
    <w:rsid w:val="00761D0E"/>
    <w:rsid w:val="00762594"/>
    <w:rsid w:val="00762728"/>
    <w:rsid w:val="007627CC"/>
    <w:rsid w:val="00762A2D"/>
    <w:rsid w:val="00763262"/>
    <w:rsid w:val="00763527"/>
    <w:rsid w:val="0076370A"/>
    <w:rsid w:val="00763A45"/>
    <w:rsid w:val="00763A6F"/>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67EE2"/>
    <w:rsid w:val="00770508"/>
    <w:rsid w:val="00770681"/>
    <w:rsid w:val="007706D4"/>
    <w:rsid w:val="007706DE"/>
    <w:rsid w:val="00770797"/>
    <w:rsid w:val="007712EB"/>
    <w:rsid w:val="00771765"/>
    <w:rsid w:val="00771B10"/>
    <w:rsid w:val="00772673"/>
    <w:rsid w:val="00773327"/>
    <w:rsid w:val="00773A7C"/>
    <w:rsid w:val="00773BA7"/>
    <w:rsid w:val="00773F09"/>
    <w:rsid w:val="00774414"/>
    <w:rsid w:val="00774608"/>
    <w:rsid w:val="0077485B"/>
    <w:rsid w:val="00774B41"/>
    <w:rsid w:val="007750A6"/>
    <w:rsid w:val="00775441"/>
    <w:rsid w:val="00775828"/>
    <w:rsid w:val="00775AD2"/>
    <w:rsid w:val="00775B80"/>
    <w:rsid w:val="00775E64"/>
    <w:rsid w:val="007760AE"/>
    <w:rsid w:val="00776177"/>
    <w:rsid w:val="00776576"/>
    <w:rsid w:val="007766F6"/>
    <w:rsid w:val="0077680F"/>
    <w:rsid w:val="00776F25"/>
    <w:rsid w:val="00776F26"/>
    <w:rsid w:val="007775DC"/>
    <w:rsid w:val="00777CDD"/>
    <w:rsid w:val="00777FA8"/>
    <w:rsid w:val="00780464"/>
    <w:rsid w:val="007804D2"/>
    <w:rsid w:val="007807C7"/>
    <w:rsid w:val="00780EE2"/>
    <w:rsid w:val="00780F78"/>
    <w:rsid w:val="00781112"/>
    <w:rsid w:val="00781223"/>
    <w:rsid w:val="007813B4"/>
    <w:rsid w:val="007819AB"/>
    <w:rsid w:val="00781C86"/>
    <w:rsid w:val="00781DD8"/>
    <w:rsid w:val="00781E98"/>
    <w:rsid w:val="0078204D"/>
    <w:rsid w:val="00782073"/>
    <w:rsid w:val="00782208"/>
    <w:rsid w:val="007824BB"/>
    <w:rsid w:val="00782749"/>
    <w:rsid w:val="0078295D"/>
    <w:rsid w:val="00783AA0"/>
    <w:rsid w:val="00783D81"/>
    <w:rsid w:val="007846ED"/>
    <w:rsid w:val="00784724"/>
    <w:rsid w:val="0078480C"/>
    <w:rsid w:val="00784DA8"/>
    <w:rsid w:val="00785044"/>
    <w:rsid w:val="00785179"/>
    <w:rsid w:val="00785275"/>
    <w:rsid w:val="0078548D"/>
    <w:rsid w:val="00785E90"/>
    <w:rsid w:val="00785EFE"/>
    <w:rsid w:val="00786364"/>
    <w:rsid w:val="00786A04"/>
    <w:rsid w:val="00786CBD"/>
    <w:rsid w:val="00786DFF"/>
    <w:rsid w:val="0078709C"/>
    <w:rsid w:val="00787968"/>
    <w:rsid w:val="00787F11"/>
    <w:rsid w:val="007900CD"/>
    <w:rsid w:val="00790A3D"/>
    <w:rsid w:val="00790AAA"/>
    <w:rsid w:val="00790B01"/>
    <w:rsid w:val="00790C4F"/>
    <w:rsid w:val="00791243"/>
    <w:rsid w:val="00791486"/>
    <w:rsid w:val="00791540"/>
    <w:rsid w:val="00791B1D"/>
    <w:rsid w:val="00791C76"/>
    <w:rsid w:val="00791D8B"/>
    <w:rsid w:val="00791EB6"/>
    <w:rsid w:val="00791EE6"/>
    <w:rsid w:val="00792147"/>
    <w:rsid w:val="00792408"/>
    <w:rsid w:val="00792A4A"/>
    <w:rsid w:val="00792C62"/>
    <w:rsid w:val="0079359B"/>
    <w:rsid w:val="00793A20"/>
    <w:rsid w:val="00793CEE"/>
    <w:rsid w:val="00794197"/>
    <w:rsid w:val="00794AF5"/>
    <w:rsid w:val="00794B9C"/>
    <w:rsid w:val="007957DF"/>
    <w:rsid w:val="00795AE0"/>
    <w:rsid w:val="00795C26"/>
    <w:rsid w:val="007962DE"/>
    <w:rsid w:val="00796547"/>
    <w:rsid w:val="007967CB"/>
    <w:rsid w:val="007967CE"/>
    <w:rsid w:val="0079682D"/>
    <w:rsid w:val="00796ADD"/>
    <w:rsid w:val="00796CD8"/>
    <w:rsid w:val="0079708C"/>
    <w:rsid w:val="007972E1"/>
    <w:rsid w:val="00797362"/>
    <w:rsid w:val="0079799C"/>
    <w:rsid w:val="00797E37"/>
    <w:rsid w:val="007A0401"/>
    <w:rsid w:val="007A042E"/>
    <w:rsid w:val="007A0832"/>
    <w:rsid w:val="007A0EA5"/>
    <w:rsid w:val="007A101D"/>
    <w:rsid w:val="007A163D"/>
    <w:rsid w:val="007A1A5D"/>
    <w:rsid w:val="007A1AF2"/>
    <w:rsid w:val="007A1D44"/>
    <w:rsid w:val="007A21AA"/>
    <w:rsid w:val="007A26A2"/>
    <w:rsid w:val="007A29C6"/>
    <w:rsid w:val="007A2A30"/>
    <w:rsid w:val="007A2ACF"/>
    <w:rsid w:val="007A32DB"/>
    <w:rsid w:val="007A353D"/>
    <w:rsid w:val="007A36BB"/>
    <w:rsid w:val="007A3834"/>
    <w:rsid w:val="007A3A90"/>
    <w:rsid w:val="007A3E8E"/>
    <w:rsid w:val="007A4361"/>
    <w:rsid w:val="007A466F"/>
    <w:rsid w:val="007A4A18"/>
    <w:rsid w:val="007A4B3D"/>
    <w:rsid w:val="007A4BAD"/>
    <w:rsid w:val="007A4F07"/>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BC4"/>
    <w:rsid w:val="007B0C68"/>
    <w:rsid w:val="007B0E89"/>
    <w:rsid w:val="007B19D0"/>
    <w:rsid w:val="007B21FF"/>
    <w:rsid w:val="007B22A8"/>
    <w:rsid w:val="007B2384"/>
    <w:rsid w:val="007B27BF"/>
    <w:rsid w:val="007B28F1"/>
    <w:rsid w:val="007B3165"/>
    <w:rsid w:val="007B33EC"/>
    <w:rsid w:val="007B37A8"/>
    <w:rsid w:val="007B39A8"/>
    <w:rsid w:val="007B41ED"/>
    <w:rsid w:val="007B4208"/>
    <w:rsid w:val="007B4E11"/>
    <w:rsid w:val="007B4EE1"/>
    <w:rsid w:val="007B4F31"/>
    <w:rsid w:val="007B5417"/>
    <w:rsid w:val="007B5686"/>
    <w:rsid w:val="007B5A71"/>
    <w:rsid w:val="007B5CF1"/>
    <w:rsid w:val="007B5F3B"/>
    <w:rsid w:val="007B68AF"/>
    <w:rsid w:val="007B68B0"/>
    <w:rsid w:val="007B6986"/>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98"/>
    <w:rsid w:val="007C1FF3"/>
    <w:rsid w:val="007C21B0"/>
    <w:rsid w:val="007C282E"/>
    <w:rsid w:val="007C2F75"/>
    <w:rsid w:val="007C304B"/>
    <w:rsid w:val="007C339A"/>
    <w:rsid w:val="007C3480"/>
    <w:rsid w:val="007C36A0"/>
    <w:rsid w:val="007C402D"/>
    <w:rsid w:val="007C40EA"/>
    <w:rsid w:val="007C4BD9"/>
    <w:rsid w:val="007C4D40"/>
    <w:rsid w:val="007C5545"/>
    <w:rsid w:val="007C556E"/>
    <w:rsid w:val="007C59B0"/>
    <w:rsid w:val="007C5B87"/>
    <w:rsid w:val="007C60AC"/>
    <w:rsid w:val="007C6380"/>
    <w:rsid w:val="007C659C"/>
    <w:rsid w:val="007C6A02"/>
    <w:rsid w:val="007C6B83"/>
    <w:rsid w:val="007C6C82"/>
    <w:rsid w:val="007C72E4"/>
    <w:rsid w:val="007C78C8"/>
    <w:rsid w:val="007D0044"/>
    <w:rsid w:val="007D0401"/>
    <w:rsid w:val="007D064B"/>
    <w:rsid w:val="007D0AAE"/>
    <w:rsid w:val="007D1EBF"/>
    <w:rsid w:val="007D20BA"/>
    <w:rsid w:val="007D292B"/>
    <w:rsid w:val="007D295D"/>
    <w:rsid w:val="007D2B6B"/>
    <w:rsid w:val="007D2ED9"/>
    <w:rsid w:val="007D3310"/>
    <w:rsid w:val="007D39E9"/>
    <w:rsid w:val="007D3FAD"/>
    <w:rsid w:val="007D4262"/>
    <w:rsid w:val="007D485D"/>
    <w:rsid w:val="007D4DE4"/>
    <w:rsid w:val="007D4FC1"/>
    <w:rsid w:val="007D5A80"/>
    <w:rsid w:val="007D64FE"/>
    <w:rsid w:val="007D6BCF"/>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E97"/>
    <w:rsid w:val="007E6587"/>
    <w:rsid w:val="007E66FB"/>
    <w:rsid w:val="007E691C"/>
    <w:rsid w:val="007E6C40"/>
    <w:rsid w:val="007F0535"/>
    <w:rsid w:val="007F05FB"/>
    <w:rsid w:val="007F061E"/>
    <w:rsid w:val="007F1377"/>
    <w:rsid w:val="007F2A06"/>
    <w:rsid w:val="007F39EE"/>
    <w:rsid w:val="007F3ACC"/>
    <w:rsid w:val="007F3D50"/>
    <w:rsid w:val="007F3F12"/>
    <w:rsid w:val="007F475F"/>
    <w:rsid w:val="007F478E"/>
    <w:rsid w:val="007F4A8D"/>
    <w:rsid w:val="007F5000"/>
    <w:rsid w:val="007F5A28"/>
    <w:rsid w:val="007F5E60"/>
    <w:rsid w:val="007F6255"/>
    <w:rsid w:val="007F66C2"/>
    <w:rsid w:val="007F795A"/>
    <w:rsid w:val="007F79CE"/>
    <w:rsid w:val="007F7ABF"/>
    <w:rsid w:val="0080084F"/>
    <w:rsid w:val="00800C85"/>
    <w:rsid w:val="00801871"/>
    <w:rsid w:val="00801A48"/>
    <w:rsid w:val="00801DEB"/>
    <w:rsid w:val="0080272D"/>
    <w:rsid w:val="0080308C"/>
    <w:rsid w:val="00803256"/>
    <w:rsid w:val="00803479"/>
    <w:rsid w:val="0080364D"/>
    <w:rsid w:val="008039AD"/>
    <w:rsid w:val="00803FC2"/>
    <w:rsid w:val="008048FE"/>
    <w:rsid w:val="00804F88"/>
    <w:rsid w:val="0080511F"/>
    <w:rsid w:val="008053AA"/>
    <w:rsid w:val="0080593A"/>
    <w:rsid w:val="008059E3"/>
    <w:rsid w:val="00806349"/>
    <w:rsid w:val="008065D7"/>
    <w:rsid w:val="00806641"/>
    <w:rsid w:val="00806744"/>
    <w:rsid w:val="008068C9"/>
    <w:rsid w:val="0080690E"/>
    <w:rsid w:val="00807837"/>
    <w:rsid w:val="00807908"/>
    <w:rsid w:val="00807C1A"/>
    <w:rsid w:val="00807DC4"/>
    <w:rsid w:val="0081001D"/>
    <w:rsid w:val="00811055"/>
    <w:rsid w:val="0081112E"/>
    <w:rsid w:val="0081113F"/>
    <w:rsid w:val="00811C0E"/>
    <w:rsid w:val="00811CEF"/>
    <w:rsid w:val="008120ED"/>
    <w:rsid w:val="008121ED"/>
    <w:rsid w:val="008123C0"/>
    <w:rsid w:val="008127E4"/>
    <w:rsid w:val="00812826"/>
    <w:rsid w:val="0081287C"/>
    <w:rsid w:val="008128E9"/>
    <w:rsid w:val="00812DBB"/>
    <w:rsid w:val="00813679"/>
    <w:rsid w:val="008147CE"/>
    <w:rsid w:val="008148E1"/>
    <w:rsid w:val="0081494C"/>
    <w:rsid w:val="00814C26"/>
    <w:rsid w:val="00814CCD"/>
    <w:rsid w:val="00814E0C"/>
    <w:rsid w:val="00814F96"/>
    <w:rsid w:val="008151FD"/>
    <w:rsid w:val="00816377"/>
    <w:rsid w:val="00816740"/>
    <w:rsid w:val="0081695C"/>
    <w:rsid w:val="008169DF"/>
    <w:rsid w:val="00816D0C"/>
    <w:rsid w:val="00816E32"/>
    <w:rsid w:val="00817695"/>
    <w:rsid w:val="00817905"/>
    <w:rsid w:val="0081799F"/>
    <w:rsid w:val="00817D3A"/>
    <w:rsid w:val="00817E11"/>
    <w:rsid w:val="00817FFD"/>
    <w:rsid w:val="00820102"/>
    <w:rsid w:val="00820190"/>
    <w:rsid w:val="00820F53"/>
    <w:rsid w:val="0082139E"/>
    <w:rsid w:val="00821558"/>
    <w:rsid w:val="00821A5B"/>
    <w:rsid w:val="00821C57"/>
    <w:rsid w:val="00821E69"/>
    <w:rsid w:val="0082237F"/>
    <w:rsid w:val="00822386"/>
    <w:rsid w:val="0082247A"/>
    <w:rsid w:val="008226C7"/>
    <w:rsid w:val="00822A86"/>
    <w:rsid w:val="00823FFD"/>
    <w:rsid w:val="0082437F"/>
    <w:rsid w:val="0082446C"/>
    <w:rsid w:val="00824B3B"/>
    <w:rsid w:val="00824BC4"/>
    <w:rsid w:val="00825039"/>
    <w:rsid w:val="0082570F"/>
    <w:rsid w:val="00825885"/>
    <w:rsid w:val="00825B71"/>
    <w:rsid w:val="00825EED"/>
    <w:rsid w:val="0082660C"/>
    <w:rsid w:val="008267A8"/>
    <w:rsid w:val="00826C7C"/>
    <w:rsid w:val="00826CE9"/>
    <w:rsid w:val="008271AA"/>
    <w:rsid w:val="00827337"/>
    <w:rsid w:val="008275B6"/>
    <w:rsid w:val="00827BE1"/>
    <w:rsid w:val="00827E6D"/>
    <w:rsid w:val="00827FC2"/>
    <w:rsid w:val="00830520"/>
    <w:rsid w:val="00830681"/>
    <w:rsid w:val="008307B6"/>
    <w:rsid w:val="0083082C"/>
    <w:rsid w:val="00831290"/>
    <w:rsid w:val="00831319"/>
    <w:rsid w:val="00831629"/>
    <w:rsid w:val="008317AF"/>
    <w:rsid w:val="008317DB"/>
    <w:rsid w:val="00831D54"/>
    <w:rsid w:val="00831F27"/>
    <w:rsid w:val="008320B5"/>
    <w:rsid w:val="00832695"/>
    <w:rsid w:val="008328CD"/>
    <w:rsid w:val="00832AB5"/>
    <w:rsid w:val="00832D5C"/>
    <w:rsid w:val="00834CAC"/>
    <w:rsid w:val="0083531B"/>
    <w:rsid w:val="00835847"/>
    <w:rsid w:val="00835853"/>
    <w:rsid w:val="008359E9"/>
    <w:rsid w:val="00835AE2"/>
    <w:rsid w:val="00835B52"/>
    <w:rsid w:val="00835DAE"/>
    <w:rsid w:val="0083660E"/>
    <w:rsid w:val="00836C38"/>
    <w:rsid w:val="00837218"/>
    <w:rsid w:val="008373A3"/>
    <w:rsid w:val="008373FA"/>
    <w:rsid w:val="0083768E"/>
    <w:rsid w:val="0083782A"/>
    <w:rsid w:val="008379F0"/>
    <w:rsid w:val="00837A42"/>
    <w:rsid w:val="00837AA7"/>
    <w:rsid w:val="00837BEE"/>
    <w:rsid w:val="00837C17"/>
    <w:rsid w:val="00837D9D"/>
    <w:rsid w:val="00840A05"/>
    <w:rsid w:val="00840DC5"/>
    <w:rsid w:val="008410F6"/>
    <w:rsid w:val="0084132F"/>
    <w:rsid w:val="00841576"/>
    <w:rsid w:val="0084167F"/>
    <w:rsid w:val="008422E2"/>
    <w:rsid w:val="0084269C"/>
    <w:rsid w:val="0084345A"/>
    <w:rsid w:val="0084387B"/>
    <w:rsid w:val="00843C20"/>
    <w:rsid w:val="008440FA"/>
    <w:rsid w:val="0084411F"/>
    <w:rsid w:val="00844358"/>
    <w:rsid w:val="00844766"/>
    <w:rsid w:val="00844E00"/>
    <w:rsid w:val="00845CE7"/>
    <w:rsid w:val="00846115"/>
    <w:rsid w:val="00846DB2"/>
    <w:rsid w:val="008473BB"/>
    <w:rsid w:val="00847455"/>
    <w:rsid w:val="00847A13"/>
    <w:rsid w:val="00847D80"/>
    <w:rsid w:val="00847DF4"/>
    <w:rsid w:val="00851336"/>
    <w:rsid w:val="008523F8"/>
    <w:rsid w:val="008523FE"/>
    <w:rsid w:val="00852402"/>
    <w:rsid w:val="008525AC"/>
    <w:rsid w:val="0085297B"/>
    <w:rsid w:val="00852D31"/>
    <w:rsid w:val="0085331E"/>
    <w:rsid w:val="0085351A"/>
    <w:rsid w:val="00853928"/>
    <w:rsid w:val="00853DE4"/>
    <w:rsid w:val="00854343"/>
    <w:rsid w:val="008545AF"/>
    <w:rsid w:val="00854BDA"/>
    <w:rsid w:val="00854E80"/>
    <w:rsid w:val="008551B4"/>
    <w:rsid w:val="00855313"/>
    <w:rsid w:val="0085534C"/>
    <w:rsid w:val="00856137"/>
    <w:rsid w:val="00856F45"/>
    <w:rsid w:val="008572C1"/>
    <w:rsid w:val="00857C77"/>
    <w:rsid w:val="00857E5F"/>
    <w:rsid w:val="00857F55"/>
    <w:rsid w:val="008604F7"/>
    <w:rsid w:val="0086177A"/>
    <w:rsid w:val="00861786"/>
    <w:rsid w:val="008618FA"/>
    <w:rsid w:val="00861D01"/>
    <w:rsid w:val="00861DDA"/>
    <w:rsid w:val="008624FA"/>
    <w:rsid w:val="008627D1"/>
    <w:rsid w:val="00862B55"/>
    <w:rsid w:val="00863290"/>
    <w:rsid w:val="008635CE"/>
    <w:rsid w:val="00863B80"/>
    <w:rsid w:val="00863E0B"/>
    <w:rsid w:val="00863E27"/>
    <w:rsid w:val="00863ED8"/>
    <w:rsid w:val="008649A0"/>
    <w:rsid w:val="00864E7F"/>
    <w:rsid w:val="00865BEC"/>
    <w:rsid w:val="00866410"/>
    <w:rsid w:val="008669B3"/>
    <w:rsid w:val="00866B44"/>
    <w:rsid w:val="00866E62"/>
    <w:rsid w:val="00867A30"/>
    <w:rsid w:val="00867ABD"/>
    <w:rsid w:val="00867F82"/>
    <w:rsid w:val="00870033"/>
    <w:rsid w:val="008702BD"/>
    <w:rsid w:val="0087042E"/>
    <w:rsid w:val="008705DA"/>
    <w:rsid w:val="008705EE"/>
    <w:rsid w:val="0087094D"/>
    <w:rsid w:val="00870EC7"/>
    <w:rsid w:val="008712A1"/>
    <w:rsid w:val="00871355"/>
    <w:rsid w:val="008716B8"/>
    <w:rsid w:val="00871B7F"/>
    <w:rsid w:val="008721FB"/>
    <w:rsid w:val="00872648"/>
    <w:rsid w:val="0087282F"/>
    <w:rsid w:val="00872A19"/>
    <w:rsid w:val="00872BB0"/>
    <w:rsid w:val="00872CDB"/>
    <w:rsid w:val="0087314A"/>
    <w:rsid w:val="00873491"/>
    <w:rsid w:val="0087350E"/>
    <w:rsid w:val="0087361F"/>
    <w:rsid w:val="008738CC"/>
    <w:rsid w:val="008739D1"/>
    <w:rsid w:val="00873AEF"/>
    <w:rsid w:val="00873F28"/>
    <w:rsid w:val="00873F8C"/>
    <w:rsid w:val="0087409F"/>
    <w:rsid w:val="00874325"/>
    <w:rsid w:val="00874425"/>
    <w:rsid w:val="0087466E"/>
    <w:rsid w:val="00874742"/>
    <w:rsid w:val="0087498C"/>
    <w:rsid w:val="008749AE"/>
    <w:rsid w:val="00874AFE"/>
    <w:rsid w:val="00874CC7"/>
    <w:rsid w:val="00875217"/>
    <w:rsid w:val="008752A0"/>
    <w:rsid w:val="008752CE"/>
    <w:rsid w:val="008753B1"/>
    <w:rsid w:val="0087551F"/>
    <w:rsid w:val="0087623D"/>
    <w:rsid w:val="008763DC"/>
    <w:rsid w:val="00876419"/>
    <w:rsid w:val="008765BF"/>
    <w:rsid w:val="00876F64"/>
    <w:rsid w:val="00876FCC"/>
    <w:rsid w:val="008771F2"/>
    <w:rsid w:val="008772ED"/>
    <w:rsid w:val="00877951"/>
    <w:rsid w:val="00877A6C"/>
    <w:rsid w:val="00877E3C"/>
    <w:rsid w:val="0088015C"/>
    <w:rsid w:val="0088110C"/>
    <w:rsid w:val="00881D65"/>
    <w:rsid w:val="00882556"/>
    <w:rsid w:val="00883300"/>
    <w:rsid w:val="00883A1F"/>
    <w:rsid w:val="0088425B"/>
    <w:rsid w:val="0088425D"/>
    <w:rsid w:val="00884545"/>
    <w:rsid w:val="00884A8F"/>
    <w:rsid w:val="00884BC0"/>
    <w:rsid w:val="00884C20"/>
    <w:rsid w:val="00885516"/>
    <w:rsid w:val="008857D5"/>
    <w:rsid w:val="00885BBB"/>
    <w:rsid w:val="00885D94"/>
    <w:rsid w:val="008860B7"/>
    <w:rsid w:val="0088639D"/>
    <w:rsid w:val="00886A65"/>
    <w:rsid w:val="00886AD7"/>
    <w:rsid w:val="00886C4F"/>
    <w:rsid w:val="008872D1"/>
    <w:rsid w:val="00887471"/>
    <w:rsid w:val="008874E8"/>
    <w:rsid w:val="008875D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AA"/>
    <w:rsid w:val="00893B46"/>
    <w:rsid w:val="00894426"/>
    <w:rsid w:val="0089451B"/>
    <w:rsid w:val="008946E5"/>
    <w:rsid w:val="00894A15"/>
    <w:rsid w:val="00894A1D"/>
    <w:rsid w:val="00894C3A"/>
    <w:rsid w:val="00894CDD"/>
    <w:rsid w:val="008951BF"/>
    <w:rsid w:val="00895366"/>
    <w:rsid w:val="0089562E"/>
    <w:rsid w:val="00895F1D"/>
    <w:rsid w:val="008964D1"/>
    <w:rsid w:val="008970CF"/>
    <w:rsid w:val="008977ED"/>
    <w:rsid w:val="00897985"/>
    <w:rsid w:val="008A0284"/>
    <w:rsid w:val="008A0B0D"/>
    <w:rsid w:val="008A15C7"/>
    <w:rsid w:val="008A2878"/>
    <w:rsid w:val="008A28DB"/>
    <w:rsid w:val="008A2B70"/>
    <w:rsid w:val="008A2B99"/>
    <w:rsid w:val="008A2CAA"/>
    <w:rsid w:val="008A308B"/>
    <w:rsid w:val="008A37E4"/>
    <w:rsid w:val="008A3E10"/>
    <w:rsid w:val="008A4459"/>
    <w:rsid w:val="008A452F"/>
    <w:rsid w:val="008A4898"/>
    <w:rsid w:val="008A4CDA"/>
    <w:rsid w:val="008A4CF7"/>
    <w:rsid w:val="008A57FE"/>
    <w:rsid w:val="008A58D7"/>
    <w:rsid w:val="008A5967"/>
    <w:rsid w:val="008A6046"/>
    <w:rsid w:val="008A62F2"/>
    <w:rsid w:val="008A6877"/>
    <w:rsid w:val="008A69D1"/>
    <w:rsid w:val="008A6A9C"/>
    <w:rsid w:val="008A73C5"/>
    <w:rsid w:val="008A74E0"/>
    <w:rsid w:val="008A76D1"/>
    <w:rsid w:val="008B01C2"/>
    <w:rsid w:val="008B0EE2"/>
    <w:rsid w:val="008B2234"/>
    <w:rsid w:val="008B2A3E"/>
    <w:rsid w:val="008B2CB8"/>
    <w:rsid w:val="008B3036"/>
    <w:rsid w:val="008B313C"/>
    <w:rsid w:val="008B32BE"/>
    <w:rsid w:val="008B32CA"/>
    <w:rsid w:val="008B364A"/>
    <w:rsid w:val="008B3B40"/>
    <w:rsid w:val="008B3E7A"/>
    <w:rsid w:val="008B464B"/>
    <w:rsid w:val="008B5548"/>
    <w:rsid w:val="008B574F"/>
    <w:rsid w:val="008B5BB4"/>
    <w:rsid w:val="008B61F8"/>
    <w:rsid w:val="008B6643"/>
    <w:rsid w:val="008B6B6B"/>
    <w:rsid w:val="008B6BD0"/>
    <w:rsid w:val="008B75F4"/>
    <w:rsid w:val="008B79FF"/>
    <w:rsid w:val="008B7AA2"/>
    <w:rsid w:val="008B7EB0"/>
    <w:rsid w:val="008C0193"/>
    <w:rsid w:val="008C05D6"/>
    <w:rsid w:val="008C0A74"/>
    <w:rsid w:val="008C0B49"/>
    <w:rsid w:val="008C0CED"/>
    <w:rsid w:val="008C0DB2"/>
    <w:rsid w:val="008C0DF1"/>
    <w:rsid w:val="008C0EEE"/>
    <w:rsid w:val="008C11B5"/>
    <w:rsid w:val="008C128A"/>
    <w:rsid w:val="008C14D7"/>
    <w:rsid w:val="008C1989"/>
    <w:rsid w:val="008C1F55"/>
    <w:rsid w:val="008C22BF"/>
    <w:rsid w:val="008C247E"/>
    <w:rsid w:val="008C251B"/>
    <w:rsid w:val="008C2B4C"/>
    <w:rsid w:val="008C2C3C"/>
    <w:rsid w:val="008C317D"/>
    <w:rsid w:val="008C364D"/>
    <w:rsid w:val="008C3CB5"/>
    <w:rsid w:val="008C4E81"/>
    <w:rsid w:val="008C591D"/>
    <w:rsid w:val="008C6340"/>
    <w:rsid w:val="008C6ACF"/>
    <w:rsid w:val="008C6B42"/>
    <w:rsid w:val="008C72D1"/>
    <w:rsid w:val="008C79BB"/>
    <w:rsid w:val="008C7EB5"/>
    <w:rsid w:val="008C7FB1"/>
    <w:rsid w:val="008C7FC5"/>
    <w:rsid w:val="008D00EB"/>
    <w:rsid w:val="008D0337"/>
    <w:rsid w:val="008D0551"/>
    <w:rsid w:val="008D069A"/>
    <w:rsid w:val="008D0C14"/>
    <w:rsid w:val="008D0E4F"/>
    <w:rsid w:val="008D0FBC"/>
    <w:rsid w:val="008D1B92"/>
    <w:rsid w:val="008D1ED5"/>
    <w:rsid w:val="008D25F8"/>
    <w:rsid w:val="008D2BB8"/>
    <w:rsid w:val="008D36E3"/>
    <w:rsid w:val="008D38D9"/>
    <w:rsid w:val="008D3C8F"/>
    <w:rsid w:val="008D3EFF"/>
    <w:rsid w:val="008D417E"/>
    <w:rsid w:val="008D4263"/>
    <w:rsid w:val="008D4618"/>
    <w:rsid w:val="008D49EC"/>
    <w:rsid w:val="008D5334"/>
    <w:rsid w:val="008D5342"/>
    <w:rsid w:val="008D5618"/>
    <w:rsid w:val="008D635B"/>
    <w:rsid w:val="008D6632"/>
    <w:rsid w:val="008D674C"/>
    <w:rsid w:val="008D6F39"/>
    <w:rsid w:val="008D7448"/>
    <w:rsid w:val="008D75D5"/>
    <w:rsid w:val="008D767F"/>
    <w:rsid w:val="008D7681"/>
    <w:rsid w:val="008D7EA5"/>
    <w:rsid w:val="008E0E5D"/>
    <w:rsid w:val="008E1867"/>
    <w:rsid w:val="008E1C63"/>
    <w:rsid w:val="008E2284"/>
    <w:rsid w:val="008E23CE"/>
    <w:rsid w:val="008E28F1"/>
    <w:rsid w:val="008E2BD5"/>
    <w:rsid w:val="008E34A8"/>
    <w:rsid w:val="008E3724"/>
    <w:rsid w:val="008E3979"/>
    <w:rsid w:val="008E3A13"/>
    <w:rsid w:val="008E3C93"/>
    <w:rsid w:val="008E4143"/>
    <w:rsid w:val="008E41BF"/>
    <w:rsid w:val="008E42E5"/>
    <w:rsid w:val="008E4A4E"/>
    <w:rsid w:val="008E5556"/>
    <w:rsid w:val="008E5564"/>
    <w:rsid w:val="008E5603"/>
    <w:rsid w:val="008E57C2"/>
    <w:rsid w:val="008E5F18"/>
    <w:rsid w:val="008E6723"/>
    <w:rsid w:val="008E676C"/>
    <w:rsid w:val="008E7379"/>
    <w:rsid w:val="008E7660"/>
    <w:rsid w:val="008E79C3"/>
    <w:rsid w:val="008E79F1"/>
    <w:rsid w:val="008E7C75"/>
    <w:rsid w:val="008F04B1"/>
    <w:rsid w:val="008F0528"/>
    <w:rsid w:val="008F0775"/>
    <w:rsid w:val="008F097F"/>
    <w:rsid w:val="008F0A39"/>
    <w:rsid w:val="008F194A"/>
    <w:rsid w:val="008F2136"/>
    <w:rsid w:val="008F2340"/>
    <w:rsid w:val="008F2557"/>
    <w:rsid w:val="008F2673"/>
    <w:rsid w:val="008F2C20"/>
    <w:rsid w:val="008F2E21"/>
    <w:rsid w:val="008F3700"/>
    <w:rsid w:val="008F3B5F"/>
    <w:rsid w:val="008F3BD3"/>
    <w:rsid w:val="008F40E0"/>
    <w:rsid w:val="008F416D"/>
    <w:rsid w:val="008F424B"/>
    <w:rsid w:val="008F43C3"/>
    <w:rsid w:val="008F46FC"/>
    <w:rsid w:val="008F4814"/>
    <w:rsid w:val="008F4B6B"/>
    <w:rsid w:val="008F4D21"/>
    <w:rsid w:val="008F5114"/>
    <w:rsid w:val="008F5900"/>
    <w:rsid w:val="008F5F65"/>
    <w:rsid w:val="008F612A"/>
    <w:rsid w:val="008F67BB"/>
    <w:rsid w:val="008F69C3"/>
    <w:rsid w:val="008F6A99"/>
    <w:rsid w:val="008F6AC1"/>
    <w:rsid w:val="008F6D54"/>
    <w:rsid w:val="008F6FAE"/>
    <w:rsid w:val="008F6FE7"/>
    <w:rsid w:val="008F740B"/>
    <w:rsid w:val="008F7807"/>
    <w:rsid w:val="008F7A1F"/>
    <w:rsid w:val="008F7B75"/>
    <w:rsid w:val="008F7C00"/>
    <w:rsid w:val="008F7D89"/>
    <w:rsid w:val="00900744"/>
    <w:rsid w:val="00900B2E"/>
    <w:rsid w:val="00901240"/>
    <w:rsid w:val="0090207E"/>
    <w:rsid w:val="0090211E"/>
    <w:rsid w:val="009021E7"/>
    <w:rsid w:val="0090232C"/>
    <w:rsid w:val="0090246C"/>
    <w:rsid w:val="009025B4"/>
    <w:rsid w:val="0090301E"/>
    <w:rsid w:val="00903594"/>
    <w:rsid w:val="00903A2C"/>
    <w:rsid w:val="00903B71"/>
    <w:rsid w:val="00903E88"/>
    <w:rsid w:val="00903F70"/>
    <w:rsid w:val="00903F9B"/>
    <w:rsid w:val="00904B67"/>
    <w:rsid w:val="00904F7F"/>
    <w:rsid w:val="00905036"/>
    <w:rsid w:val="0090577B"/>
    <w:rsid w:val="00905A4B"/>
    <w:rsid w:val="00905B2B"/>
    <w:rsid w:val="00905CE4"/>
    <w:rsid w:val="009060E9"/>
    <w:rsid w:val="00906159"/>
    <w:rsid w:val="00906472"/>
    <w:rsid w:val="009068B4"/>
    <w:rsid w:val="00906998"/>
    <w:rsid w:val="00906D22"/>
    <w:rsid w:val="009072BB"/>
    <w:rsid w:val="009079A0"/>
    <w:rsid w:val="00907B07"/>
    <w:rsid w:val="00910044"/>
    <w:rsid w:val="00910184"/>
    <w:rsid w:val="009102E3"/>
    <w:rsid w:val="0091042B"/>
    <w:rsid w:val="0091058F"/>
    <w:rsid w:val="0091059B"/>
    <w:rsid w:val="00910B40"/>
    <w:rsid w:val="009112B8"/>
    <w:rsid w:val="009122EC"/>
    <w:rsid w:val="00912421"/>
    <w:rsid w:val="00912593"/>
    <w:rsid w:val="009126B7"/>
    <w:rsid w:val="00912B94"/>
    <w:rsid w:val="00912BDB"/>
    <w:rsid w:val="009131B4"/>
    <w:rsid w:val="009134F9"/>
    <w:rsid w:val="00913532"/>
    <w:rsid w:val="00913585"/>
    <w:rsid w:val="0091387C"/>
    <w:rsid w:val="00913DEB"/>
    <w:rsid w:val="009148F7"/>
    <w:rsid w:val="009149E4"/>
    <w:rsid w:val="00914F90"/>
    <w:rsid w:val="00914FF7"/>
    <w:rsid w:val="009150FD"/>
    <w:rsid w:val="00915968"/>
    <w:rsid w:val="00915B8E"/>
    <w:rsid w:val="00916038"/>
    <w:rsid w:val="00916343"/>
    <w:rsid w:val="00916AF4"/>
    <w:rsid w:val="00916C6C"/>
    <w:rsid w:val="00917528"/>
    <w:rsid w:val="009177F4"/>
    <w:rsid w:val="00917D4C"/>
    <w:rsid w:val="009203C2"/>
    <w:rsid w:val="00920F94"/>
    <w:rsid w:val="009211FB"/>
    <w:rsid w:val="00921818"/>
    <w:rsid w:val="00921DAA"/>
    <w:rsid w:val="00921F31"/>
    <w:rsid w:val="009220DD"/>
    <w:rsid w:val="0092254A"/>
    <w:rsid w:val="00922B44"/>
    <w:rsid w:val="00922DC8"/>
    <w:rsid w:val="00922FE0"/>
    <w:rsid w:val="00923174"/>
    <w:rsid w:val="00923232"/>
    <w:rsid w:val="0092366B"/>
    <w:rsid w:val="00923824"/>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ED3"/>
    <w:rsid w:val="0093023E"/>
    <w:rsid w:val="0093026F"/>
    <w:rsid w:val="0093027B"/>
    <w:rsid w:val="0093046B"/>
    <w:rsid w:val="009306FC"/>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8E5"/>
    <w:rsid w:val="009339D1"/>
    <w:rsid w:val="009339FE"/>
    <w:rsid w:val="00933CBA"/>
    <w:rsid w:val="00933E15"/>
    <w:rsid w:val="0093414E"/>
    <w:rsid w:val="00934B1D"/>
    <w:rsid w:val="00934F3D"/>
    <w:rsid w:val="00935104"/>
    <w:rsid w:val="00935419"/>
    <w:rsid w:val="00935BBC"/>
    <w:rsid w:val="00935DBB"/>
    <w:rsid w:val="00935DE6"/>
    <w:rsid w:val="009363AB"/>
    <w:rsid w:val="009367A5"/>
    <w:rsid w:val="00936978"/>
    <w:rsid w:val="00936A58"/>
    <w:rsid w:val="0093719F"/>
    <w:rsid w:val="00937937"/>
    <w:rsid w:val="00937BE7"/>
    <w:rsid w:val="00937E8B"/>
    <w:rsid w:val="009400C7"/>
    <w:rsid w:val="009409F7"/>
    <w:rsid w:val="00940E3E"/>
    <w:rsid w:val="00940FFD"/>
    <w:rsid w:val="00941791"/>
    <w:rsid w:val="009417A8"/>
    <w:rsid w:val="00941A72"/>
    <w:rsid w:val="00943A91"/>
    <w:rsid w:val="00943DE8"/>
    <w:rsid w:val="0094451C"/>
    <w:rsid w:val="0094481F"/>
    <w:rsid w:val="00944B4F"/>
    <w:rsid w:val="00944B57"/>
    <w:rsid w:val="009450A9"/>
    <w:rsid w:val="00945138"/>
    <w:rsid w:val="00945844"/>
    <w:rsid w:val="00945ACF"/>
    <w:rsid w:val="00945E96"/>
    <w:rsid w:val="00945F91"/>
    <w:rsid w:val="00946382"/>
    <w:rsid w:val="00946B1C"/>
    <w:rsid w:val="00947630"/>
    <w:rsid w:val="0094768B"/>
    <w:rsid w:val="009478FD"/>
    <w:rsid w:val="00950A09"/>
    <w:rsid w:val="00950C4E"/>
    <w:rsid w:val="00950C9F"/>
    <w:rsid w:val="0095153B"/>
    <w:rsid w:val="009517ED"/>
    <w:rsid w:val="00951C62"/>
    <w:rsid w:val="0095204B"/>
    <w:rsid w:val="009522EE"/>
    <w:rsid w:val="00952799"/>
    <w:rsid w:val="00952D4B"/>
    <w:rsid w:val="00952E01"/>
    <w:rsid w:val="00952FF8"/>
    <w:rsid w:val="009531F3"/>
    <w:rsid w:val="00953434"/>
    <w:rsid w:val="00953DB4"/>
    <w:rsid w:val="00954293"/>
    <w:rsid w:val="00954708"/>
    <w:rsid w:val="00954A38"/>
    <w:rsid w:val="00955204"/>
    <w:rsid w:val="0095527C"/>
    <w:rsid w:val="00955806"/>
    <w:rsid w:val="00955975"/>
    <w:rsid w:val="00955BC2"/>
    <w:rsid w:val="009561B0"/>
    <w:rsid w:val="0095620F"/>
    <w:rsid w:val="00956540"/>
    <w:rsid w:val="00956687"/>
    <w:rsid w:val="0095685E"/>
    <w:rsid w:val="00956A6C"/>
    <w:rsid w:val="0095711B"/>
    <w:rsid w:val="0095731D"/>
    <w:rsid w:val="009573C9"/>
    <w:rsid w:val="00957410"/>
    <w:rsid w:val="009575A1"/>
    <w:rsid w:val="00957876"/>
    <w:rsid w:val="00957AFE"/>
    <w:rsid w:val="00960090"/>
    <w:rsid w:val="00960472"/>
    <w:rsid w:val="0096067F"/>
    <w:rsid w:val="00960BE1"/>
    <w:rsid w:val="00960BED"/>
    <w:rsid w:val="00960C53"/>
    <w:rsid w:val="0096120B"/>
    <w:rsid w:val="00961216"/>
    <w:rsid w:val="009613BD"/>
    <w:rsid w:val="00961698"/>
    <w:rsid w:val="00961BB0"/>
    <w:rsid w:val="0096234E"/>
    <w:rsid w:val="009623CD"/>
    <w:rsid w:val="009625B1"/>
    <w:rsid w:val="00962ECD"/>
    <w:rsid w:val="00962F33"/>
    <w:rsid w:val="009630E3"/>
    <w:rsid w:val="00963CDD"/>
    <w:rsid w:val="009647AF"/>
    <w:rsid w:val="00964CAB"/>
    <w:rsid w:val="00965074"/>
    <w:rsid w:val="00965092"/>
    <w:rsid w:val="00965163"/>
    <w:rsid w:val="0096540B"/>
    <w:rsid w:val="009658FA"/>
    <w:rsid w:val="0096590C"/>
    <w:rsid w:val="00965931"/>
    <w:rsid w:val="00966695"/>
    <w:rsid w:val="00966846"/>
    <w:rsid w:val="00966D90"/>
    <w:rsid w:val="00966E2C"/>
    <w:rsid w:val="00966E3C"/>
    <w:rsid w:val="00967081"/>
    <w:rsid w:val="009670BB"/>
    <w:rsid w:val="009672CB"/>
    <w:rsid w:val="00967D5B"/>
    <w:rsid w:val="00967EC1"/>
    <w:rsid w:val="009700AD"/>
    <w:rsid w:val="00970294"/>
    <w:rsid w:val="00970303"/>
    <w:rsid w:val="00970396"/>
    <w:rsid w:val="00970460"/>
    <w:rsid w:val="009707FE"/>
    <w:rsid w:val="009715A4"/>
    <w:rsid w:val="00971EB3"/>
    <w:rsid w:val="00972361"/>
    <w:rsid w:val="0097238A"/>
    <w:rsid w:val="009724D2"/>
    <w:rsid w:val="0097258C"/>
    <w:rsid w:val="0097276B"/>
    <w:rsid w:val="009727B9"/>
    <w:rsid w:val="00972845"/>
    <w:rsid w:val="00972E15"/>
    <w:rsid w:val="00972FFC"/>
    <w:rsid w:val="009731EC"/>
    <w:rsid w:val="009738E5"/>
    <w:rsid w:val="00973AF0"/>
    <w:rsid w:val="00973B5C"/>
    <w:rsid w:val="00974017"/>
    <w:rsid w:val="009741FD"/>
    <w:rsid w:val="009742A5"/>
    <w:rsid w:val="009745A9"/>
    <w:rsid w:val="0097487B"/>
    <w:rsid w:val="009749D1"/>
    <w:rsid w:val="00974B79"/>
    <w:rsid w:val="00974EF9"/>
    <w:rsid w:val="0097500A"/>
    <w:rsid w:val="009750B7"/>
    <w:rsid w:val="0097514D"/>
    <w:rsid w:val="00975348"/>
    <w:rsid w:val="00975569"/>
    <w:rsid w:val="0097593E"/>
    <w:rsid w:val="00975EB6"/>
    <w:rsid w:val="00976BC8"/>
    <w:rsid w:val="00976C10"/>
    <w:rsid w:val="00976CEE"/>
    <w:rsid w:val="00976E91"/>
    <w:rsid w:val="009774F2"/>
    <w:rsid w:val="009775C3"/>
    <w:rsid w:val="009775ED"/>
    <w:rsid w:val="0097770E"/>
    <w:rsid w:val="00977BAC"/>
    <w:rsid w:val="00977FEB"/>
    <w:rsid w:val="00980122"/>
    <w:rsid w:val="009801E4"/>
    <w:rsid w:val="009802FA"/>
    <w:rsid w:val="00980834"/>
    <w:rsid w:val="00980862"/>
    <w:rsid w:val="00980992"/>
    <w:rsid w:val="00980BBE"/>
    <w:rsid w:val="00981A52"/>
    <w:rsid w:val="00981DEF"/>
    <w:rsid w:val="0098217D"/>
    <w:rsid w:val="00982368"/>
    <w:rsid w:val="009825F8"/>
    <w:rsid w:val="00982B41"/>
    <w:rsid w:val="00982FE8"/>
    <w:rsid w:val="009837C7"/>
    <w:rsid w:val="00984042"/>
    <w:rsid w:val="00984091"/>
    <w:rsid w:val="00984371"/>
    <w:rsid w:val="0098446A"/>
    <w:rsid w:val="00984621"/>
    <w:rsid w:val="00984714"/>
    <w:rsid w:val="00984C53"/>
    <w:rsid w:val="009858DF"/>
    <w:rsid w:val="00986187"/>
    <w:rsid w:val="0098630C"/>
    <w:rsid w:val="009871A3"/>
    <w:rsid w:val="00987408"/>
    <w:rsid w:val="009875D9"/>
    <w:rsid w:val="00987F1D"/>
    <w:rsid w:val="009901D1"/>
    <w:rsid w:val="009901F8"/>
    <w:rsid w:val="0099021E"/>
    <w:rsid w:val="0099042F"/>
    <w:rsid w:val="009904CA"/>
    <w:rsid w:val="009909B7"/>
    <w:rsid w:val="00990C6F"/>
    <w:rsid w:val="0099141D"/>
    <w:rsid w:val="009914DB"/>
    <w:rsid w:val="00991769"/>
    <w:rsid w:val="00992AE4"/>
    <w:rsid w:val="009930E8"/>
    <w:rsid w:val="00993BDB"/>
    <w:rsid w:val="00994680"/>
    <w:rsid w:val="009949E2"/>
    <w:rsid w:val="00994A19"/>
    <w:rsid w:val="00994A59"/>
    <w:rsid w:val="00994E8D"/>
    <w:rsid w:val="0099517C"/>
    <w:rsid w:val="009953AB"/>
    <w:rsid w:val="009953B7"/>
    <w:rsid w:val="00995F17"/>
    <w:rsid w:val="0099605F"/>
    <w:rsid w:val="009965BD"/>
    <w:rsid w:val="00996AA9"/>
    <w:rsid w:val="00996DBB"/>
    <w:rsid w:val="00996F92"/>
    <w:rsid w:val="00996FF8"/>
    <w:rsid w:val="009970A9"/>
    <w:rsid w:val="00997349"/>
    <w:rsid w:val="009973FD"/>
    <w:rsid w:val="0099758D"/>
    <w:rsid w:val="00997B3B"/>
    <w:rsid w:val="00997C60"/>
    <w:rsid w:val="00997C84"/>
    <w:rsid w:val="00997D12"/>
    <w:rsid w:val="009A032A"/>
    <w:rsid w:val="009A0A22"/>
    <w:rsid w:val="009A0D55"/>
    <w:rsid w:val="009A0F1A"/>
    <w:rsid w:val="009A1887"/>
    <w:rsid w:val="009A205F"/>
    <w:rsid w:val="009A28DF"/>
    <w:rsid w:val="009A2B72"/>
    <w:rsid w:val="009A2F32"/>
    <w:rsid w:val="009A2F6C"/>
    <w:rsid w:val="009A32C1"/>
    <w:rsid w:val="009A374A"/>
    <w:rsid w:val="009A3A8A"/>
    <w:rsid w:val="009A3FD6"/>
    <w:rsid w:val="009A3FF2"/>
    <w:rsid w:val="009A4A80"/>
    <w:rsid w:val="009A505F"/>
    <w:rsid w:val="009A512F"/>
    <w:rsid w:val="009A5484"/>
    <w:rsid w:val="009A54CC"/>
    <w:rsid w:val="009A56B6"/>
    <w:rsid w:val="009A59AB"/>
    <w:rsid w:val="009A5A93"/>
    <w:rsid w:val="009A5DC0"/>
    <w:rsid w:val="009A680E"/>
    <w:rsid w:val="009A70D9"/>
    <w:rsid w:val="009A72D2"/>
    <w:rsid w:val="009A7647"/>
    <w:rsid w:val="009B0067"/>
    <w:rsid w:val="009B0212"/>
    <w:rsid w:val="009B0384"/>
    <w:rsid w:val="009B0575"/>
    <w:rsid w:val="009B0FBF"/>
    <w:rsid w:val="009B1251"/>
    <w:rsid w:val="009B1263"/>
    <w:rsid w:val="009B1B97"/>
    <w:rsid w:val="009B1C97"/>
    <w:rsid w:val="009B1EBA"/>
    <w:rsid w:val="009B2251"/>
    <w:rsid w:val="009B2288"/>
    <w:rsid w:val="009B24B8"/>
    <w:rsid w:val="009B2679"/>
    <w:rsid w:val="009B27D8"/>
    <w:rsid w:val="009B29C0"/>
    <w:rsid w:val="009B29DB"/>
    <w:rsid w:val="009B2B2B"/>
    <w:rsid w:val="009B2F6F"/>
    <w:rsid w:val="009B31DA"/>
    <w:rsid w:val="009B3A65"/>
    <w:rsid w:val="009B4A8E"/>
    <w:rsid w:val="009B4DB9"/>
    <w:rsid w:val="009B4E1C"/>
    <w:rsid w:val="009B4EE5"/>
    <w:rsid w:val="009B4F85"/>
    <w:rsid w:val="009B5040"/>
    <w:rsid w:val="009B53FB"/>
    <w:rsid w:val="009B58D5"/>
    <w:rsid w:val="009B5A36"/>
    <w:rsid w:val="009B5D16"/>
    <w:rsid w:val="009B5E94"/>
    <w:rsid w:val="009B620E"/>
    <w:rsid w:val="009B6DEF"/>
    <w:rsid w:val="009B73A5"/>
    <w:rsid w:val="009B7C96"/>
    <w:rsid w:val="009C0244"/>
    <w:rsid w:val="009C02E6"/>
    <w:rsid w:val="009C04D6"/>
    <w:rsid w:val="009C06B6"/>
    <w:rsid w:val="009C0882"/>
    <w:rsid w:val="009C08DA"/>
    <w:rsid w:val="009C0E61"/>
    <w:rsid w:val="009C33C1"/>
    <w:rsid w:val="009C440C"/>
    <w:rsid w:val="009C446B"/>
    <w:rsid w:val="009C5136"/>
    <w:rsid w:val="009C5D29"/>
    <w:rsid w:val="009C5E52"/>
    <w:rsid w:val="009C5E9E"/>
    <w:rsid w:val="009C605C"/>
    <w:rsid w:val="009C665E"/>
    <w:rsid w:val="009C6E90"/>
    <w:rsid w:val="009C7536"/>
    <w:rsid w:val="009C75DE"/>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EE6"/>
    <w:rsid w:val="009D3F74"/>
    <w:rsid w:val="009D4AEB"/>
    <w:rsid w:val="009D4C0D"/>
    <w:rsid w:val="009D4EF0"/>
    <w:rsid w:val="009D5103"/>
    <w:rsid w:val="009D5118"/>
    <w:rsid w:val="009D53B9"/>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E39"/>
    <w:rsid w:val="009E0F63"/>
    <w:rsid w:val="009E13B8"/>
    <w:rsid w:val="009E14D7"/>
    <w:rsid w:val="009E1925"/>
    <w:rsid w:val="009E19AC"/>
    <w:rsid w:val="009E1C5B"/>
    <w:rsid w:val="009E2589"/>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797"/>
    <w:rsid w:val="009E5B6B"/>
    <w:rsid w:val="009E5F8F"/>
    <w:rsid w:val="009E5FD1"/>
    <w:rsid w:val="009E6D3C"/>
    <w:rsid w:val="009E6F7A"/>
    <w:rsid w:val="009E76B8"/>
    <w:rsid w:val="009E7903"/>
    <w:rsid w:val="009E791E"/>
    <w:rsid w:val="009E7C7D"/>
    <w:rsid w:val="009F0008"/>
    <w:rsid w:val="009F071E"/>
    <w:rsid w:val="009F0B4F"/>
    <w:rsid w:val="009F11E9"/>
    <w:rsid w:val="009F1440"/>
    <w:rsid w:val="009F14D3"/>
    <w:rsid w:val="009F179F"/>
    <w:rsid w:val="009F2222"/>
    <w:rsid w:val="009F22CC"/>
    <w:rsid w:val="009F231A"/>
    <w:rsid w:val="009F2709"/>
    <w:rsid w:val="009F3157"/>
    <w:rsid w:val="009F4274"/>
    <w:rsid w:val="009F427D"/>
    <w:rsid w:val="009F462C"/>
    <w:rsid w:val="009F4A78"/>
    <w:rsid w:val="009F4E84"/>
    <w:rsid w:val="009F52BE"/>
    <w:rsid w:val="009F5840"/>
    <w:rsid w:val="009F5937"/>
    <w:rsid w:val="009F594B"/>
    <w:rsid w:val="009F5B2D"/>
    <w:rsid w:val="009F5BEB"/>
    <w:rsid w:val="009F6006"/>
    <w:rsid w:val="009F63E6"/>
    <w:rsid w:val="009F649D"/>
    <w:rsid w:val="009F6B6D"/>
    <w:rsid w:val="009F72A4"/>
    <w:rsid w:val="009F7731"/>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668"/>
    <w:rsid w:val="00A028B9"/>
    <w:rsid w:val="00A03537"/>
    <w:rsid w:val="00A0370E"/>
    <w:rsid w:val="00A037EB"/>
    <w:rsid w:val="00A03B6A"/>
    <w:rsid w:val="00A03BBB"/>
    <w:rsid w:val="00A043D2"/>
    <w:rsid w:val="00A050A2"/>
    <w:rsid w:val="00A0515E"/>
    <w:rsid w:val="00A05B34"/>
    <w:rsid w:val="00A064DA"/>
    <w:rsid w:val="00A06644"/>
    <w:rsid w:val="00A06820"/>
    <w:rsid w:val="00A06843"/>
    <w:rsid w:val="00A06A1B"/>
    <w:rsid w:val="00A06BCD"/>
    <w:rsid w:val="00A06F06"/>
    <w:rsid w:val="00A07365"/>
    <w:rsid w:val="00A07B72"/>
    <w:rsid w:val="00A07E32"/>
    <w:rsid w:val="00A07FCD"/>
    <w:rsid w:val="00A101EF"/>
    <w:rsid w:val="00A104DF"/>
    <w:rsid w:val="00A10E11"/>
    <w:rsid w:val="00A114CB"/>
    <w:rsid w:val="00A11972"/>
    <w:rsid w:val="00A11B47"/>
    <w:rsid w:val="00A11B59"/>
    <w:rsid w:val="00A124D3"/>
    <w:rsid w:val="00A1281B"/>
    <w:rsid w:val="00A12C08"/>
    <w:rsid w:val="00A12EF3"/>
    <w:rsid w:val="00A130C7"/>
    <w:rsid w:val="00A13CE9"/>
    <w:rsid w:val="00A140FA"/>
    <w:rsid w:val="00A141D0"/>
    <w:rsid w:val="00A1423C"/>
    <w:rsid w:val="00A14252"/>
    <w:rsid w:val="00A145C7"/>
    <w:rsid w:val="00A14604"/>
    <w:rsid w:val="00A1491A"/>
    <w:rsid w:val="00A14EC1"/>
    <w:rsid w:val="00A14F03"/>
    <w:rsid w:val="00A151C8"/>
    <w:rsid w:val="00A1525D"/>
    <w:rsid w:val="00A15A68"/>
    <w:rsid w:val="00A1619E"/>
    <w:rsid w:val="00A16299"/>
    <w:rsid w:val="00A1659A"/>
    <w:rsid w:val="00A165EA"/>
    <w:rsid w:val="00A1671D"/>
    <w:rsid w:val="00A16DEC"/>
    <w:rsid w:val="00A17294"/>
    <w:rsid w:val="00A172DC"/>
    <w:rsid w:val="00A17CEA"/>
    <w:rsid w:val="00A17DC7"/>
    <w:rsid w:val="00A2045C"/>
    <w:rsid w:val="00A20C9A"/>
    <w:rsid w:val="00A20CC8"/>
    <w:rsid w:val="00A20F08"/>
    <w:rsid w:val="00A21820"/>
    <w:rsid w:val="00A21895"/>
    <w:rsid w:val="00A21E16"/>
    <w:rsid w:val="00A22283"/>
    <w:rsid w:val="00A225E1"/>
    <w:rsid w:val="00A23386"/>
    <w:rsid w:val="00A2394D"/>
    <w:rsid w:val="00A24009"/>
    <w:rsid w:val="00A24F04"/>
    <w:rsid w:val="00A24F14"/>
    <w:rsid w:val="00A24F87"/>
    <w:rsid w:val="00A250DB"/>
    <w:rsid w:val="00A2526E"/>
    <w:rsid w:val="00A2546D"/>
    <w:rsid w:val="00A2550D"/>
    <w:rsid w:val="00A25C09"/>
    <w:rsid w:val="00A25FE3"/>
    <w:rsid w:val="00A2612A"/>
    <w:rsid w:val="00A2658E"/>
    <w:rsid w:val="00A26781"/>
    <w:rsid w:val="00A26BFC"/>
    <w:rsid w:val="00A26C01"/>
    <w:rsid w:val="00A26D97"/>
    <w:rsid w:val="00A26F14"/>
    <w:rsid w:val="00A27103"/>
    <w:rsid w:val="00A273D8"/>
    <w:rsid w:val="00A27474"/>
    <w:rsid w:val="00A27CE8"/>
    <w:rsid w:val="00A27F33"/>
    <w:rsid w:val="00A3037C"/>
    <w:rsid w:val="00A30514"/>
    <w:rsid w:val="00A31379"/>
    <w:rsid w:val="00A31479"/>
    <w:rsid w:val="00A31C18"/>
    <w:rsid w:val="00A3223F"/>
    <w:rsid w:val="00A322D1"/>
    <w:rsid w:val="00A322FF"/>
    <w:rsid w:val="00A323BB"/>
    <w:rsid w:val="00A32529"/>
    <w:rsid w:val="00A32949"/>
    <w:rsid w:val="00A3345D"/>
    <w:rsid w:val="00A33577"/>
    <w:rsid w:val="00A33AF2"/>
    <w:rsid w:val="00A33FD1"/>
    <w:rsid w:val="00A340F3"/>
    <w:rsid w:val="00A3434A"/>
    <w:rsid w:val="00A3456E"/>
    <w:rsid w:val="00A34B80"/>
    <w:rsid w:val="00A35027"/>
    <w:rsid w:val="00A3515A"/>
    <w:rsid w:val="00A35182"/>
    <w:rsid w:val="00A35638"/>
    <w:rsid w:val="00A3588D"/>
    <w:rsid w:val="00A35C04"/>
    <w:rsid w:val="00A36084"/>
    <w:rsid w:val="00A3612C"/>
    <w:rsid w:val="00A366E3"/>
    <w:rsid w:val="00A368EB"/>
    <w:rsid w:val="00A36E13"/>
    <w:rsid w:val="00A37327"/>
    <w:rsid w:val="00A37370"/>
    <w:rsid w:val="00A373FC"/>
    <w:rsid w:val="00A374D4"/>
    <w:rsid w:val="00A378D4"/>
    <w:rsid w:val="00A37E02"/>
    <w:rsid w:val="00A37E64"/>
    <w:rsid w:val="00A37F13"/>
    <w:rsid w:val="00A37F6C"/>
    <w:rsid w:val="00A37F6E"/>
    <w:rsid w:val="00A40612"/>
    <w:rsid w:val="00A40974"/>
    <w:rsid w:val="00A40AD1"/>
    <w:rsid w:val="00A40BD5"/>
    <w:rsid w:val="00A40F99"/>
    <w:rsid w:val="00A412CB"/>
    <w:rsid w:val="00A41B75"/>
    <w:rsid w:val="00A41F8A"/>
    <w:rsid w:val="00A41FD5"/>
    <w:rsid w:val="00A42948"/>
    <w:rsid w:val="00A429C4"/>
    <w:rsid w:val="00A430A1"/>
    <w:rsid w:val="00A430DE"/>
    <w:rsid w:val="00A4367A"/>
    <w:rsid w:val="00A43CFC"/>
    <w:rsid w:val="00A44098"/>
    <w:rsid w:val="00A443BB"/>
    <w:rsid w:val="00A44584"/>
    <w:rsid w:val="00A44D77"/>
    <w:rsid w:val="00A463BB"/>
    <w:rsid w:val="00A46788"/>
    <w:rsid w:val="00A46BB7"/>
    <w:rsid w:val="00A4709A"/>
    <w:rsid w:val="00A504D3"/>
    <w:rsid w:val="00A505C4"/>
    <w:rsid w:val="00A50781"/>
    <w:rsid w:val="00A511EB"/>
    <w:rsid w:val="00A51597"/>
    <w:rsid w:val="00A517F5"/>
    <w:rsid w:val="00A518BC"/>
    <w:rsid w:val="00A51E07"/>
    <w:rsid w:val="00A51EF8"/>
    <w:rsid w:val="00A5235C"/>
    <w:rsid w:val="00A52B6A"/>
    <w:rsid w:val="00A52FB0"/>
    <w:rsid w:val="00A530D9"/>
    <w:rsid w:val="00A54073"/>
    <w:rsid w:val="00A543FE"/>
    <w:rsid w:val="00A544E0"/>
    <w:rsid w:val="00A5496C"/>
    <w:rsid w:val="00A54AA0"/>
    <w:rsid w:val="00A54B2F"/>
    <w:rsid w:val="00A54ECE"/>
    <w:rsid w:val="00A5511E"/>
    <w:rsid w:val="00A55655"/>
    <w:rsid w:val="00A55770"/>
    <w:rsid w:val="00A56246"/>
    <w:rsid w:val="00A57816"/>
    <w:rsid w:val="00A57A1D"/>
    <w:rsid w:val="00A57ADB"/>
    <w:rsid w:val="00A60023"/>
    <w:rsid w:val="00A608D2"/>
    <w:rsid w:val="00A60E89"/>
    <w:rsid w:val="00A60EAC"/>
    <w:rsid w:val="00A610E0"/>
    <w:rsid w:val="00A61440"/>
    <w:rsid w:val="00A614AC"/>
    <w:rsid w:val="00A61DC8"/>
    <w:rsid w:val="00A6210F"/>
    <w:rsid w:val="00A62B89"/>
    <w:rsid w:val="00A62D59"/>
    <w:rsid w:val="00A62DD4"/>
    <w:rsid w:val="00A62EAF"/>
    <w:rsid w:val="00A62F6B"/>
    <w:rsid w:val="00A63F50"/>
    <w:rsid w:val="00A643DA"/>
    <w:rsid w:val="00A64A4D"/>
    <w:rsid w:val="00A64C36"/>
    <w:rsid w:val="00A6522F"/>
    <w:rsid w:val="00A65361"/>
    <w:rsid w:val="00A654D2"/>
    <w:rsid w:val="00A654F4"/>
    <w:rsid w:val="00A65A35"/>
    <w:rsid w:val="00A65A3C"/>
    <w:rsid w:val="00A65F6C"/>
    <w:rsid w:val="00A66217"/>
    <w:rsid w:val="00A66289"/>
    <w:rsid w:val="00A66350"/>
    <w:rsid w:val="00A6665F"/>
    <w:rsid w:val="00A669E4"/>
    <w:rsid w:val="00A66B5D"/>
    <w:rsid w:val="00A67687"/>
    <w:rsid w:val="00A67771"/>
    <w:rsid w:val="00A67950"/>
    <w:rsid w:val="00A67AE3"/>
    <w:rsid w:val="00A67E7D"/>
    <w:rsid w:val="00A7059D"/>
    <w:rsid w:val="00A7067D"/>
    <w:rsid w:val="00A7087C"/>
    <w:rsid w:val="00A708F1"/>
    <w:rsid w:val="00A709D8"/>
    <w:rsid w:val="00A70FE9"/>
    <w:rsid w:val="00A70FEB"/>
    <w:rsid w:val="00A7186B"/>
    <w:rsid w:val="00A71F2D"/>
    <w:rsid w:val="00A71F75"/>
    <w:rsid w:val="00A7205C"/>
    <w:rsid w:val="00A7269A"/>
    <w:rsid w:val="00A72D03"/>
    <w:rsid w:val="00A730A9"/>
    <w:rsid w:val="00A73280"/>
    <w:rsid w:val="00A7332C"/>
    <w:rsid w:val="00A73847"/>
    <w:rsid w:val="00A74081"/>
    <w:rsid w:val="00A7488D"/>
    <w:rsid w:val="00A74905"/>
    <w:rsid w:val="00A74A2D"/>
    <w:rsid w:val="00A74BBA"/>
    <w:rsid w:val="00A74F2D"/>
    <w:rsid w:val="00A7526F"/>
    <w:rsid w:val="00A752DA"/>
    <w:rsid w:val="00A75CAA"/>
    <w:rsid w:val="00A75CC4"/>
    <w:rsid w:val="00A765B0"/>
    <w:rsid w:val="00A7666D"/>
    <w:rsid w:val="00A767EE"/>
    <w:rsid w:val="00A76AEE"/>
    <w:rsid w:val="00A76B9F"/>
    <w:rsid w:val="00A76E4B"/>
    <w:rsid w:val="00A76F8C"/>
    <w:rsid w:val="00A7758A"/>
    <w:rsid w:val="00A775B3"/>
    <w:rsid w:val="00A77A29"/>
    <w:rsid w:val="00A77DEF"/>
    <w:rsid w:val="00A80087"/>
    <w:rsid w:val="00A80486"/>
    <w:rsid w:val="00A80931"/>
    <w:rsid w:val="00A81438"/>
    <w:rsid w:val="00A8163B"/>
    <w:rsid w:val="00A8189B"/>
    <w:rsid w:val="00A81938"/>
    <w:rsid w:val="00A8195B"/>
    <w:rsid w:val="00A81AAE"/>
    <w:rsid w:val="00A81CF7"/>
    <w:rsid w:val="00A821C4"/>
    <w:rsid w:val="00A825CA"/>
    <w:rsid w:val="00A82691"/>
    <w:rsid w:val="00A827F1"/>
    <w:rsid w:val="00A82A83"/>
    <w:rsid w:val="00A82AFC"/>
    <w:rsid w:val="00A82B64"/>
    <w:rsid w:val="00A82C94"/>
    <w:rsid w:val="00A82FE3"/>
    <w:rsid w:val="00A8308B"/>
    <w:rsid w:val="00A834E9"/>
    <w:rsid w:val="00A83B15"/>
    <w:rsid w:val="00A84AD5"/>
    <w:rsid w:val="00A84F26"/>
    <w:rsid w:val="00A8581E"/>
    <w:rsid w:val="00A85D65"/>
    <w:rsid w:val="00A85D7B"/>
    <w:rsid w:val="00A86236"/>
    <w:rsid w:val="00A862A3"/>
    <w:rsid w:val="00A8669F"/>
    <w:rsid w:val="00A86B53"/>
    <w:rsid w:val="00A86F50"/>
    <w:rsid w:val="00A872BB"/>
    <w:rsid w:val="00A8736B"/>
    <w:rsid w:val="00A8775D"/>
    <w:rsid w:val="00A87B84"/>
    <w:rsid w:val="00A90014"/>
    <w:rsid w:val="00A90371"/>
    <w:rsid w:val="00A9058A"/>
    <w:rsid w:val="00A9075A"/>
    <w:rsid w:val="00A90B9B"/>
    <w:rsid w:val="00A90F07"/>
    <w:rsid w:val="00A90F91"/>
    <w:rsid w:val="00A9109C"/>
    <w:rsid w:val="00A9152E"/>
    <w:rsid w:val="00A918AD"/>
    <w:rsid w:val="00A92A92"/>
    <w:rsid w:val="00A932F3"/>
    <w:rsid w:val="00A9361E"/>
    <w:rsid w:val="00A93DFD"/>
    <w:rsid w:val="00A9400A"/>
    <w:rsid w:val="00A94262"/>
    <w:rsid w:val="00A9431F"/>
    <w:rsid w:val="00A949DC"/>
    <w:rsid w:val="00A94B9F"/>
    <w:rsid w:val="00A94F47"/>
    <w:rsid w:val="00A95198"/>
    <w:rsid w:val="00A9527A"/>
    <w:rsid w:val="00A955AB"/>
    <w:rsid w:val="00A95637"/>
    <w:rsid w:val="00A95917"/>
    <w:rsid w:val="00A95A05"/>
    <w:rsid w:val="00A96016"/>
    <w:rsid w:val="00A968E3"/>
    <w:rsid w:val="00A96922"/>
    <w:rsid w:val="00A97364"/>
    <w:rsid w:val="00A9751B"/>
    <w:rsid w:val="00A976EB"/>
    <w:rsid w:val="00A97774"/>
    <w:rsid w:val="00A97AC1"/>
    <w:rsid w:val="00A97CA9"/>
    <w:rsid w:val="00AA08D3"/>
    <w:rsid w:val="00AA0CA6"/>
    <w:rsid w:val="00AA131D"/>
    <w:rsid w:val="00AA152B"/>
    <w:rsid w:val="00AA186D"/>
    <w:rsid w:val="00AA3221"/>
    <w:rsid w:val="00AA355C"/>
    <w:rsid w:val="00AA3575"/>
    <w:rsid w:val="00AA39AB"/>
    <w:rsid w:val="00AA3E6A"/>
    <w:rsid w:val="00AA4652"/>
    <w:rsid w:val="00AA46C6"/>
    <w:rsid w:val="00AA47A8"/>
    <w:rsid w:val="00AA48F7"/>
    <w:rsid w:val="00AA4C64"/>
    <w:rsid w:val="00AA5B5F"/>
    <w:rsid w:val="00AA5E79"/>
    <w:rsid w:val="00AA60C2"/>
    <w:rsid w:val="00AA64B6"/>
    <w:rsid w:val="00AA65C3"/>
    <w:rsid w:val="00AA68CB"/>
    <w:rsid w:val="00AA6D86"/>
    <w:rsid w:val="00AA70C8"/>
    <w:rsid w:val="00AA71E0"/>
    <w:rsid w:val="00AA723E"/>
    <w:rsid w:val="00AA747F"/>
    <w:rsid w:val="00AB05FD"/>
    <w:rsid w:val="00AB0953"/>
    <w:rsid w:val="00AB0F57"/>
    <w:rsid w:val="00AB1266"/>
    <w:rsid w:val="00AB12B8"/>
    <w:rsid w:val="00AB15CA"/>
    <w:rsid w:val="00AB16AA"/>
    <w:rsid w:val="00AB19DD"/>
    <w:rsid w:val="00AB1A2A"/>
    <w:rsid w:val="00AB1AB6"/>
    <w:rsid w:val="00AB1C13"/>
    <w:rsid w:val="00AB1F28"/>
    <w:rsid w:val="00AB1FCD"/>
    <w:rsid w:val="00AB2336"/>
    <w:rsid w:val="00AB26AF"/>
    <w:rsid w:val="00AB2720"/>
    <w:rsid w:val="00AB2B91"/>
    <w:rsid w:val="00AB2BD3"/>
    <w:rsid w:val="00AB2C2B"/>
    <w:rsid w:val="00AB3043"/>
    <w:rsid w:val="00AB32C3"/>
    <w:rsid w:val="00AB33B9"/>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8D7"/>
    <w:rsid w:val="00AB7CFD"/>
    <w:rsid w:val="00AC000D"/>
    <w:rsid w:val="00AC0558"/>
    <w:rsid w:val="00AC09CB"/>
    <w:rsid w:val="00AC0EDC"/>
    <w:rsid w:val="00AC14A7"/>
    <w:rsid w:val="00AC1564"/>
    <w:rsid w:val="00AC1651"/>
    <w:rsid w:val="00AC1771"/>
    <w:rsid w:val="00AC198C"/>
    <w:rsid w:val="00AC1F37"/>
    <w:rsid w:val="00AC20AD"/>
    <w:rsid w:val="00AC288D"/>
    <w:rsid w:val="00AC30E4"/>
    <w:rsid w:val="00AC3133"/>
    <w:rsid w:val="00AC3408"/>
    <w:rsid w:val="00AC3641"/>
    <w:rsid w:val="00AC3B49"/>
    <w:rsid w:val="00AC3ED3"/>
    <w:rsid w:val="00AC3EF4"/>
    <w:rsid w:val="00AC44F5"/>
    <w:rsid w:val="00AC4F4A"/>
    <w:rsid w:val="00AC4F83"/>
    <w:rsid w:val="00AC5717"/>
    <w:rsid w:val="00AC5A68"/>
    <w:rsid w:val="00AC5B9D"/>
    <w:rsid w:val="00AC5CD7"/>
    <w:rsid w:val="00AC5D37"/>
    <w:rsid w:val="00AC7306"/>
    <w:rsid w:val="00AC7ADA"/>
    <w:rsid w:val="00AD04A7"/>
    <w:rsid w:val="00AD0B0D"/>
    <w:rsid w:val="00AD1CDE"/>
    <w:rsid w:val="00AD1F86"/>
    <w:rsid w:val="00AD2369"/>
    <w:rsid w:val="00AD2652"/>
    <w:rsid w:val="00AD26B0"/>
    <w:rsid w:val="00AD2946"/>
    <w:rsid w:val="00AD2B11"/>
    <w:rsid w:val="00AD2CF0"/>
    <w:rsid w:val="00AD34B5"/>
    <w:rsid w:val="00AD3E33"/>
    <w:rsid w:val="00AD3FE4"/>
    <w:rsid w:val="00AD4646"/>
    <w:rsid w:val="00AD4BCD"/>
    <w:rsid w:val="00AD4D58"/>
    <w:rsid w:val="00AD52D9"/>
    <w:rsid w:val="00AD533D"/>
    <w:rsid w:val="00AD53C3"/>
    <w:rsid w:val="00AD5749"/>
    <w:rsid w:val="00AD5BE5"/>
    <w:rsid w:val="00AD656F"/>
    <w:rsid w:val="00AD67C0"/>
    <w:rsid w:val="00AD6A05"/>
    <w:rsid w:val="00AD6DC7"/>
    <w:rsid w:val="00AD730D"/>
    <w:rsid w:val="00AD767D"/>
    <w:rsid w:val="00AD78C6"/>
    <w:rsid w:val="00AD7B02"/>
    <w:rsid w:val="00AD7BD5"/>
    <w:rsid w:val="00AD7BD7"/>
    <w:rsid w:val="00AD7D28"/>
    <w:rsid w:val="00AD7DDC"/>
    <w:rsid w:val="00AE0197"/>
    <w:rsid w:val="00AE0310"/>
    <w:rsid w:val="00AE05A7"/>
    <w:rsid w:val="00AE111A"/>
    <w:rsid w:val="00AE138A"/>
    <w:rsid w:val="00AE2687"/>
    <w:rsid w:val="00AE28FF"/>
    <w:rsid w:val="00AE30BE"/>
    <w:rsid w:val="00AE31CF"/>
    <w:rsid w:val="00AE40F8"/>
    <w:rsid w:val="00AE4320"/>
    <w:rsid w:val="00AE44C7"/>
    <w:rsid w:val="00AE523D"/>
    <w:rsid w:val="00AE525F"/>
    <w:rsid w:val="00AE59EE"/>
    <w:rsid w:val="00AE5C67"/>
    <w:rsid w:val="00AE5D87"/>
    <w:rsid w:val="00AE61B8"/>
    <w:rsid w:val="00AE61E0"/>
    <w:rsid w:val="00AE6F67"/>
    <w:rsid w:val="00AE7DCF"/>
    <w:rsid w:val="00AF01A8"/>
    <w:rsid w:val="00AF04BB"/>
    <w:rsid w:val="00AF05F1"/>
    <w:rsid w:val="00AF088A"/>
    <w:rsid w:val="00AF0F47"/>
    <w:rsid w:val="00AF1935"/>
    <w:rsid w:val="00AF20E0"/>
    <w:rsid w:val="00AF20FC"/>
    <w:rsid w:val="00AF2A5A"/>
    <w:rsid w:val="00AF2C35"/>
    <w:rsid w:val="00AF2E10"/>
    <w:rsid w:val="00AF2E17"/>
    <w:rsid w:val="00AF3197"/>
    <w:rsid w:val="00AF32D1"/>
    <w:rsid w:val="00AF3ED6"/>
    <w:rsid w:val="00AF41C9"/>
    <w:rsid w:val="00AF442C"/>
    <w:rsid w:val="00AF46FA"/>
    <w:rsid w:val="00AF4C0F"/>
    <w:rsid w:val="00AF4C42"/>
    <w:rsid w:val="00AF4C74"/>
    <w:rsid w:val="00AF4CE5"/>
    <w:rsid w:val="00AF5337"/>
    <w:rsid w:val="00AF5415"/>
    <w:rsid w:val="00AF5A6F"/>
    <w:rsid w:val="00AF5C86"/>
    <w:rsid w:val="00AF5DB1"/>
    <w:rsid w:val="00AF6440"/>
    <w:rsid w:val="00AF68CE"/>
    <w:rsid w:val="00AF6A18"/>
    <w:rsid w:val="00AF6CF5"/>
    <w:rsid w:val="00AF700E"/>
    <w:rsid w:val="00AF70D9"/>
    <w:rsid w:val="00AF74CA"/>
    <w:rsid w:val="00AF79AB"/>
    <w:rsid w:val="00AF7CDB"/>
    <w:rsid w:val="00B006AE"/>
    <w:rsid w:val="00B006F4"/>
    <w:rsid w:val="00B00D56"/>
    <w:rsid w:val="00B01060"/>
    <w:rsid w:val="00B01E39"/>
    <w:rsid w:val="00B01F0D"/>
    <w:rsid w:val="00B020BF"/>
    <w:rsid w:val="00B0274B"/>
    <w:rsid w:val="00B029CB"/>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AF8"/>
    <w:rsid w:val="00B0507E"/>
    <w:rsid w:val="00B0550E"/>
    <w:rsid w:val="00B058BC"/>
    <w:rsid w:val="00B05BFC"/>
    <w:rsid w:val="00B05DF5"/>
    <w:rsid w:val="00B05F63"/>
    <w:rsid w:val="00B06181"/>
    <w:rsid w:val="00B064FD"/>
    <w:rsid w:val="00B06578"/>
    <w:rsid w:val="00B065DA"/>
    <w:rsid w:val="00B066D4"/>
    <w:rsid w:val="00B0691A"/>
    <w:rsid w:val="00B0691D"/>
    <w:rsid w:val="00B06BAB"/>
    <w:rsid w:val="00B07046"/>
    <w:rsid w:val="00B07808"/>
    <w:rsid w:val="00B07ED4"/>
    <w:rsid w:val="00B101C1"/>
    <w:rsid w:val="00B10250"/>
    <w:rsid w:val="00B10AFC"/>
    <w:rsid w:val="00B10E05"/>
    <w:rsid w:val="00B10EA4"/>
    <w:rsid w:val="00B115F5"/>
    <w:rsid w:val="00B11DB3"/>
    <w:rsid w:val="00B11F8D"/>
    <w:rsid w:val="00B12082"/>
    <w:rsid w:val="00B126B1"/>
    <w:rsid w:val="00B12783"/>
    <w:rsid w:val="00B12E19"/>
    <w:rsid w:val="00B12FAC"/>
    <w:rsid w:val="00B1336C"/>
    <w:rsid w:val="00B13438"/>
    <w:rsid w:val="00B137E8"/>
    <w:rsid w:val="00B146DE"/>
    <w:rsid w:val="00B1470F"/>
    <w:rsid w:val="00B148CE"/>
    <w:rsid w:val="00B14A2B"/>
    <w:rsid w:val="00B14FFD"/>
    <w:rsid w:val="00B15566"/>
    <w:rsid w:val="00B15EC2"/>
    <w:rsid w:val="00B15FD7"/>
    <w:rsid w:val="00B16AFB"/>
    <w:rsid w:val="00B170F5"/>
    <w:rsid w:val="00B17224"/>
    <w:rsid w:val="00B17256"/>
    <w:rsid w:val="00B177D7"/>
    <w:rsid w:val="00B17DF2"/>
    <w:rsid w:val="00B17E09"/>
    <w:rsid w:val="00B17E98"/>
    <w:rsid w:val="00B20A18"/>
    <w:rsid w:val="00B20BD1"/>
    <w:rsid w:val="00B20D93"/>
    <w:rsid w:val="00B21272"/>
    <w:rsid w:val="00B2137E"/>
    <w:rsid w:val="00B21F76"/>
    <w:rsid w:val="00B226CB"/>
    <w:rsid w:val="00B237C2"/>
    <w:rsid w:val="00B247B4"/>
    <w:rsid w:val="00B2495B"/>
    <w:rsid w:val="00B24A65"/>
    <w:rsid w:val="00B24FE8"/>
    <w:rsid w:val="00B25040"/>
    <w:rsid w:val="00B2538D"/>
    <w:rsid w:val="00B259E3"/>
    <w:rsid w:val="00B259E9"/>
    <w:rsid w:val="00B263CF"/>
    <w:rsid w:val="00B264A9"/>
    <w:rsid w:val="00B26676"/>
    <w:rsid w:val="00B26B96"/>
    <w:rsid w:val="00B26D6F"/>
    <w:rsid w:val="00B2723A"/>
    <w:rsid w:val="00B273B4"/>
    <w:rsid w:val="00B278DF"/>
    <w:rsid w:val="00B27A65"/>
    <w:rsid w:val="00B27A86"/>
    <w:rsid w:val="00B3027A"/>
    <w:rsid w:val="00B306B2"/>
    <w:rsid w:val="00B307C7"/>
    <w:rsid w:val="00B30962"/>
    <w:rsid w:val="00B30BD5"/>
    <w:rsid w:val="00B30DF6"/>
    <w:rsid w:val="00B30F7E"/>
    <w:rsid w:val="00B31022"/>
    <w:rsid w:val="00B316FF"/>
    <w:rsid w:val="00B317EB"/>
    <w:rsid w:val="00B31D24"/>
    <w:rsid w:val="00B31E9B"/>
    <w:rsid w:val="00B3215F"/>
    <w:rsid w:val="00B325AF"/>
    <w:rsid w:val="00B325F9"/>
    <w:rsid w:val="00B32835"/>
    <w:rsid w:val="00B329F5"/>
    <w:rsid w:val="00B32C33"/>
    <w:rsid w:val="00B32E6D"/>
    <w:rsid w:val="00B334E6"/>
    <w:rsid w:val="00B3366C"/>
    <w:rsid w:val="00B336D0"/>
    <w:rsid w:val="00B3382F"/>
    <w:rsid w:val="00B33C41"/>
    <w:rsid w:val="00B3418E"/>
    <w:rsid w:val="00B3432C"/>
    <w:rsid w:val="00B345B7"/>
    <w:rsid w:val="00B34BF5"/>
    <w:rsid w:val="00B34C56"/>
    <w:rsid w:val="00B34CF8"/>
    <w:rsid w:val="00B35013"/>
    <w:rsid w:val="00B350D0"/>
    <w:rsid w:val="00B358FC"/>
    <w:rsid w:val="00B35983"/>
    <w:rsid w:val="00B35A48"/>
    <w:rsid w:val="00B35F68"/>
    <w:rsid w:val="00B363CD"/>
    <w:rsid w:val="00B36A22"/>
    <w:rsid w:val="00B36D7B"/>
    <w:rsid w:val="00B36DB6"/>
    <w:rsid w:val="00B36F81"/>
    <w:rsid w:val="00B372D0"/>
    <w:rsid w:val="00B37459"/>
    <w:rsid w:val="00B3766B"/>
    <w:rsid w:val="00B37707"/>
    <w:rsid w:val="00B377D6"/>
    <w:rsid w:val="00B3783F"/>
    <w:rsid w:val="00B4007A"/>
    <w:rsid w:val="00B4045A"/>
    <w:rsid w:val="00B408CC"/>
    <w:rsid w:val="00B4097A"/>
    <w:rsid w:val="00B40DEA"/>
    <w:rsid w:val="00B410F4"/>
    <w:rsid w:val="00B4148E"/>
    <w:rsid w:val="00B417BE"/>
    <w:rsid w:val="00B41948"/>
    <w:rsid w:val="00B41E3D"/>
    <w:rsid w:val="00B4235F"/>
    <w:rsid w:val="00B42470"/>
    <w:rsid w:val="00B4254C"/>
    <w:rsid w:val="00B42EA6"/>
    <w:rsid w:val="00B42ED4"/>
    <w:rsid w:val="00B42F0C"/>
    <w:rsid w:val="00B42FAE"/>
    <w:rsid w:val="00B43C5F"/>
    <w:rsid w:val="00B43FE2"/>
    <w:rsid w:val="00B44036"/>
    <w:rsid w:val="00B4407D"/>
    <w:rsid w:val="00B4429C"/>
    <w:rsid w:val="00B44501"/>
    <w:rsid w:val="00B4473D"/>
    <w:rsid w:val="00B448D0"/>
    <w:rsid w:val="00B453CF"/>
    <w:rsid w:val="00B4570C"/>
    <w:rsid w:val="00B4583D"/>
    <w:rsid w:val="00B4644B"/>
    <w:rsid w:val="00B46520"/>
    <w:rsid w:val="00B46C1A"/>
    <w:rsid w:val="00B46D00"/>
    <w:rsid w:val="00B47309"/>
    <w:rsid w:val="00B473B8"/>
    <w:rsid w:val="00B476C7"/>
    <w:rsid w:val="00B47CD5"/>
    <w:rsid w:val="00B47E43"/>
    <w:rsid w:val="00B47EB5"/>
    <w:rsid w:val="00B47FC7"/>
    <w:rsid w:val="00B50773"/>
    <w:rsid w:val="00B50BDA"/>
    <w:rsid w:val="00B50D43"/>
    <w:rsid w:val="00B50E75"/>
    <w:rsid w:val="00B5167D"/>
    <w:rsid w:val="00B5173B"/>
    <w:rsid w:val="00B51919"/>
    <w:rsid w:val="00B52A61"/>
    <w:rsid w:val="00B52C89"/>
    <w:rsid w:val="00B531F3"/>
    <w:rsid w:val="00B5364E"/>
    <w:rsid w:val="00B537D4"/>
    <w:rsid w:val="00B53811"/>
    <w:rsid w:val="00B5395E"/>
    <w:rsid w:val="00B53C58"/>
    <w:rsid w:val="00B53E99"/>
    <w:rsid w:val="00B54229"/>
    <w:rsid w:val="00B5463D"/>
    <w:rsid w:val="00B54D71"/>
    <w:rsid w:val="00B55737"/>
    <w:rsid w:val="00B5589F"/>
    <w:rsid w:val="00B55FC1"/>
    <w:rsid w:val="00B56261"/>
    <w:rsid w:val="00B56EBC"/>
    <w:rsid w:val="00B56F2F"/>
    <w:rsid w:val="00B57068"/>
    <w:rsid w:val="00B5750C"/>
    <w:rsid w:val="00B57644"/>
    <w:rsid w:val="00B601CE"/>
    <w:rsid w:val="00B6035E"/>
    <w:rsid w:val="00B604D6"/>
    <w:rsid w:val="00B607B2"/>
    <w:rsid w:val="00B60C29"/>
    <w:rsid w:val="00B60E17"/>
    <w:rsid w:val="00B610BA"/>
    <w:rsid w:val="00B612BB"/>
    <w:rsid w:val="00B61401"/>
    <w:rsid w:val="00B61910"/>
    <w:rsid w:val="00B61AF3"/>
    <w:rsid w:val="00B62EC5"/>
    <w:rsid w:val="00B62ED5"/>
    <w:rsid w:val="00B62F94"/>
    <w:rsid w:val="00B639E9"/>
    <w:rsid w:val="00B63C5A"/>
    <w:rsid w:val="00B63E6B"/>
    <w:rsid w:val="00B643DC"/>
    <w:rsid w:val="00B6441B"/>
    <w:rsid w:val="00B64732"/>
    <w:rsid w:val="00B6482C"/>
    <w:rsid w:val="00B64F93"/>
    <w:rsid w:val="00B6516A"/>
    <w:rsid w:val="00B6597F"/>
    <w:rsid w:val="00B65B14"/>
    <w:rsid w:val="00B65B60"/>
    <w:rsid w:val="00B663D0"/>
    <w:rsid w:val="00B663E3"/>
    <w:rsid w:val="00B66FB4"/>
    <w:rsid w:val="00B673C2"/>
    <w:rsid w:val="00B674E5"/>
    <w:rsid w:val="00B678BE"/>
    <w:rsid w:val="00B678FE"/>
    <w:rsid w:val="00B679AD"/>
    <w:rsid w:val="00B70238"/>
    <w:rsid w:val="00B7041C"/>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A9F"/>
    <w:rsid w:val="00B752DB"/>
    <w:rsid w:val="00B7568C"/>
    <w:rsid w:val="00B75E08"/>
    <w:rsid w:val="00B7681C"/>
    <w:rsid w:val="00B7698B"/>
    <w:rsid w:val="00B769F0"/>
    <w:rsid w:val="00B76B20"/>
    <w:rsid w:val="00B76B3A"/>
    <w:rsid w:val="00B76BF4"/>
    <w:rsid w:val="00B76D6C"/>
    <w:rsid w:val="00B77A92"/>
    <w:rsid w:val="00B77BBD"/>
    <w:rsid w:val="00B77C1D"/>
    <w:rsid w:val="00B77FA2"/>
    <w:rsid w:val="00B800D1"/>
    <w:rsid w:val="00B8069D"/>
    <w:rsid w:val="00B807D2"/>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56"/>
    <w:rsid w:val="00B855EA"/>
    <w:rsid w:val="00B8692F"/>
    <w:rsid w:val="00B86CF5"/>
    <w:rsid w:val="00B8754B"/>
    <w:rsid w:val="00B87D92"/>
    <w:rsid w:val="00B9087D"/>
    <w:rsid w:val="00B90AAF"/>
    <w:rsid w:val="00B910C2"/>
    <w:rsid w:val="00B910FC"/>
    <w:rsid w:val="00B918FD"/>
    <w:rsid w:val="00B91CCA"/>
    <w:rsid w:val="00B92336"/>
    <w:rsid w:val="00B929FB"/>
    <w:rsid w:val="00B92AB1"/>
    <w:rsid w:val="00B92E43"/>
    <w:rsid w:val="00B92FF0"/>
    <w:rsid w:val="00B937A6"/>
    <w:rsid w:val="00B93A6C"/>
    <w:rsid w:val="00B93BB4"/>
    <w:rsid w:val="00B94055"/>
    <w:rsid w:val="00B9409D"/>
    <w:rsid w:val="00B94413"/>
    <w:rsid w:val="00B9479E"/>
    <w:rsid w:val="00B94AEE"/>
    <w:rsid w:val="00B94F06"/>
    <w:rsid w:val="00B94F2C"/>
    <w:rsid w:val="00B95147"/>
    <w:rsid w:val="00B959A3"/>
    <w:rsid w:val="00B96A21"/>
    <w:rsid w:val="00B97254"/>
    <w:rsid w:val="00B9775E"/>
    <w:rsid w:val="00B979B2"/>
    <w:rsid w:val="00B97D52"/>
    <w:rsid w:val="00BA0371"/>
    <w:rsid w:val="00BA06B8"/>
    <w:rsid w:val="00BA1726"/>
    <w:rsid w:val="00BA198C"/>
    <w:rsid w:val="00BA21CD"/>
    <w:rsid w:val="00BA2257"/>
    <w:rsid w:val="00BA225D"/>
    <w:rsid w:val="00BA2354"/>
    <w:rsid w:val="00BA28C6"/>
    <w:rsid w:val="00BA2C67"/>
    <w:rsid w:val="00BA3A12"/>
    <w:rsid w:val="00BA3A2F"/>
    <w:rsid w:val="00BA3B13"/>
    <w:rsid w:val="00BA415E"/>
    <w:rsid w:val="00BA4409"/>
    <w:rsid w:val="00BA45BE"/>
    <w:rsid w:val="00BA48D2"/>
    <w:rsid w:val="00BA48FE"/>
    <w:rsid w:val="00BA4B6F"/>
    <w:rsid w:val="00BA5318"/>
    <w:rsid w:val="00BA56A5"/>
    <w:rsid w:val="00BA56AF"/>
    <w:rsid w:val="00BA571C"/>
    <w:rsid w:val="00BA5D08"/>
    <w:rsid w:val="00BA5F9D"/>
    <w:rsid w:val="00BA7B91"/>
    <w:rsid w:val="00BA7C22"/>
    <w:rsid w:val="00BA7EE2"/>
    <w:rsid w:val="00BB054C"/>
    <w:rsid w:val="00BB0A9C"/>
    <w:rsid w:val="00BB0AFF"/>
    <w:rsid w:val="00BB0B61"/>
    <w:rsid w:val="00BB101C"/>
    <w:rsid w:val="00BB110B"/>
    <w:rsid w:val="00BB136F"/>
    <w:rsid w:val="00BB1783"/>
    <w:rsid w:val="00BB17F8"/>
    <w:rsid w:val="00BB20EE"/>
    <w:rsid w:val="00BB2551"/>
    <w:rsid w:val="00BB27CA"/>
    <w:rsid w:val="00BB2BCF"/>
    <w:rsid w:val="00BB32AB"/>
    <w:rsid w:val="00BB3A83"/>
    <w:rsid w:val="00BB3AB1"/>
    <w:rsid w:val="00BB3C89"/>
    <w:rsid w:val="00BB4602"/>
    <w:rsid w:val="00BB4980"/>
    <w:rsid w:val="00BB4AAB"/>
    <w:rsid w:val="00BB5B2B"/>
    <w:rsid w:val="00BB5E91"/>
    <w:rsid w:val="00BB5EB6"/>
    <w:rsid w:val="00BB682A"/>
    <w:rsid w:val="00BB6F89"/>
    <w:rsid w:val="00BB725A"/>
    <w:rsid w:val="00BB738E"/>
    <w:rsid w:val="00BB77CC"/>
    <w:rsid w:val="00BB7832"/>
    <w:rsid w:val="00BC0350"/>
    <w:rsid w:val="00BC0430"/>
    <w:rsid w:val="00BC0E1B"/>
    <w:rsid w:val="00BC10C2"/>
    <w:rsid w:val="00BC1A3B"/>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CC"/>
    <w:rsid w:val="00BC42EB"/>
    <w:rsid w:val="00BC46BC"/>
    <w:rsid w:val="00BC481F"/>
    <w:rsid w:val="00BC49B4"/>
    <w:rsid w:val="00BC4DFD"/>
    <w:rsid w:val="00BC4F63"/>
    <w:rsid w:val="00BC5D66"/>
    <w:rsid w:val="00BC5DD5"/>
    <w:rsid w:val="00BC5E4C"/>
    <w:rsid w:val="00BC65C0"/>
    <w:rsid w:val="00BC69D1"/>
    <w:rsid w:val="00BC6BE9"/>
    <w:rsid w:val="00BC6DC6"/>
    <w:rsid w:val="00BC6E6E"/>
    <w:rsid w:val="00BC6F4B"/>
    <w:rsid w:val="00BC7094"/>
    <w:rsid w:val="00BC70AF"/>
    <w:rsid w:val="00BC712E"/>
    <w:rsid w:val="00BD0386"/>
    <w:rsid w:val="00BD0435"/>
    <w:rsid w:val="00BD05AA"/>
    <w:rsid w:val="00BD0640"/>
    <w:rsid w:val="00BD0CBE"/>
    <w:rsid w:val="00BD1588"/>
    <w:rsid w:val="00BD158A"/>
    <w:rsid w:val="00BD18CE"/>
    <w:rsid w:val="00BD1A5E"/>
    <w:rsid w:val="00BD1BDB"/>
    <w:rsid w:val="00BD1CE9"/>
    <w:rsid w:val="00BD2022"/>
    <w:rsid w:val="00BD25EA"/>
    <w:rsid w:val="00BD2D56"/>
    <w:rsid w:val="00BD2FA7"/>
    <w:rsid w:val="00BD2FE9"/>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D7"/>
    <w:rsid w:val="00BD7B29"/>
    <w:rsid w:val="00BD7BA6"/>
    <w:rsid w:val="00BD7ECE"/>
    <w:rsid w:val="00BE0534"/>
    <w:rsid w:val="00BE0DAA"/>
    <w:rsid w:val="00BE12C8"/>
    <w:rsid w:val="00BE1B2C"/>
    <w:rsid w:val="00BE1B5A"/>
    <w:rsid w:val="00BE1C12"/>
    <w:rsid w:val="00BE218B"/>
    <w:rsid w:val="00BE289F"/>
    <w:rsid w:val="00BE29E3"/>
    <w:rsid w:val="00BE379E"/>
    <w:rsid w:val="00BE4908"/>
    <w:rsid w:val="00BE4CB0"/>
    <w:rsid w:val="00BE4DAF"/>
    <w:rsid w:val="00BE5301"/>
    <w:rsid w:val="00BE53D6"/>
    <w:rsid w:val="00BE5591"/>
    <w:rsid w:val="00BE57E5"/>
    <w:rsid w:val="00BE5941"/>
    <w:rsid w:val="00BE5EF9"/>
    <w:rsid w:val="00BE62D5"/>
    <w:rsid w:val="00BE6DCC"/>
    <w:rsid w:val="00BE748F"/>
    <w:rsid w:val="00BE7A15"/>
    <w:rsid w:val="00BE7A8A"/>
    <w:rsid w:val="00BE7D13"/>
    <w:rsid w:val="00BE7E58"/>
    <w:rsid w:val="00BF001F"/>
    <w:rsid w:val="00BF00D5"/>
    <w:rsid w:val="00BF0173"/>
    <w:rsid w:val="00BF0587"/>
    <w:rsid w:val="00BF05A2"/>
    <w:rsid w:val="00BF17BA"/>
    <w:rsid w:val="00BF183B"/>
    <w:rsid w:val="00BF20F8"/>
    <w:rsid w:val="00BF2AAD"/>
    <w:rsid w:val="00BF2EE4"/>
    <w:rsid w:val="00BF316B"/>
    <w:rsid w:val="00BF3218"/>
    <w:rsid w:val="00BF3E30"/>
    <w:rsid w:val="00BF426A"/>
    <w:rsid w:val="00BF4A8F"/>
    <w:rsid w:val="00BF52F0"/>
    <w:rsid w:val="00BF5337"/>
    <w:rsid w:val="00BF54E6"/>
    <w:rsid w:val="00BF58D8"/>
    <w:rsid w:val="00BF5B30"/>
    <w:rsid w:val="00BF5DCF"/>
    <w:rsid w:val="00BF6468"/>
    <w:rsid w:val="00BF64BE"/>
    <w:rsid w:val="00BF6541"/>
    <w:rsid w:val="00BF6687"/>
    <w:rsid w:val="00BF69F4"/>
    <w:rsid w:val="00BF6A3F"/>
    <w:rsid w:val="00BF758A"/>
    <w:rsid w:val="00BF7B43"/>
    <w:rsid w:val="00C005F2"/>
    <w:rsid w:val="00C008F0"/>
    <w:rsid w:val="00C00F89"/>
    <w:rsid w:val="00C01091"/>
    <w:rsid w:val="00C011C4"/>
    <w:rsid w:val="00C013B5"/>
    <w:rsid w:val="00C02084"/>
    <w:rsid w:val="00C02288"/>
    <w:rsid w:val="00C026CC"/>
    <w:rsid w:val="00C02872"/>
    <w:rsid w:val="00C02B51"/>
    <w:rsid w:val="00C02BDF"/>
    <w:rsid w:val="00C0341D"/>
    <w:rsid w:val="00C035B6"/>
    <w:rsid w:val="00C037CF"/>
    <w:rsid w:val="00C03E14"/>
    <w:rsid w:val="00C03EC8"/>
    <w:rsid w:val="00C03ECD"/>
    <w:rsid w:val="00C0419C"/>
    <w:rsid w:val="00C0422A"/>
    <w:rsid w:val="00C04377"/>
    <w:rsid w:val="00C04484"/>
    <w:rsid w:val="00C04857"/>
    <w:rsid w:val="00C04C8F"/>
    <w:rsid w:val="00C04E8F"/>
    <w:rsid w:val="00C051F2"/>
    <w:rsid w:val="00C05D52"/>
    <w:rsid w:val="00C06BAF"/>
    <w:rsid w:val="00C06E56"/>
    <w:rsid w:val="00C072DA"/>
    <w:rsid w:val="00C07A9D"/>
    <w:rsid w:val="00C07B2B"/>
    <w:rsid w:val="00C07D12"/>
    <w:rsid w:val="00C10294"/>
    <w:rsid w:val="00C1070F"/>
    <w:rsid w:val="00C10731"/>
    <w:rsid w:val="00C10807"/>
    <w:rsid w:val="00C10B85"/>
    <w:rsid w:val="00C10BA1"/>
    <w:rsid w:val="00C112BC"/>
    <w:rsid w:val="00C115E7"/>
    <w:rsid w:val="00C116D8"/>
    <w:rsid w:val="00C1189E"/>
    <w:rsid w:val="00C11A16"/>
    <w:rsid w:val="00C11B3A"/>
    <w:rsid w:val="00C12433"/>
    <w:rsid w:val="00C1280E"/>
    <w:rsid w:val="00C13462"/>
    <w:rsid w:val="00C1350F"/>
    <w:rsid w:val="00C13951"/>
    <w:rsid w:val="00C13992"/>
    <w:rsid w:val="00C13BF6"/>
    <w:rsid w:val="00C13C1D"/>
    <w:rsid w:val="00C1406E"/>
    <w:rsid w:val="00C141A1"/>
    <w:rsid w:val="00C14226"/>
    <w:rsid w:val="00C147CF"/>
    <w:rsid w:val="00C147DD"/>
    <w:rsid w:val="00C1482E"/>
    <w:rsid w:val="00C14DCE"/>
    <w:rsid w:val="00C15017"/>
    <w:rsid w:val="00C15156"/>
    <w:rsid w:val="00C15313"/>
    <w:rsid w:val="00C154A2"/>
    <w:rsid w:val="00C160E3"/>
    <w:rsid w:val="00C16751"/>
    <w:rsid w:val="00C16D3B"/>
    <w:rsid w:val="00C170B9"/>
    <w:rsid w:val="00C17586"/>
    <w:rsid w:val="00C17DEC"/>
    <w:rsid w:val="00C2072D"/>
    <w:rsid w:val="00C2096F"/>
    <w:rsid w:val="00C21599"/>
    <w:rsid w:val="00C215E1"/>
    <w:rsid w:val="00C21A07"/>
    <w:rsid w:val="00C21BE5"/>
    <w:rsid w:val="00C21DC2"/>
    <w:rsid w:val="00C22F8C"/>
    <w:rsid w:val="00C23450"/>
    <w:rsid w:val="00C23900"/>
    <w:rsid w:val="00C240EC"/>
    <w:rsid w:val="00C24420"/>
    <w:rsid w:val="00C244E9"/>
    <w:rsid w:val="00C245BE"/>
    <w:rsid w:val="00C249C0"/>
    <w:rsid w:val="00C24B4F"/>
    <w:rsid w:val="00C25064"/>
    <w:rsid w:val="00C25240"/>
    <w:rsid w:val="00C25301"/>
    <w:rsid w:val="00C25A02"/>
    <w:rsid w:val="00C25D09"/>
    <w:rsid w:val="00C26145"/>
    <w:rsid w:val="00C269C3"/>
    <w:rsid w:val="00C26A70"/>
    <w:rsid w:val="00C26BF2"/>
    <w:rsid w:val="00C27362"/>
    <w:rsid w:val="00C276E6"/>
    <w:rsid w:val="00C30014"/>
    <w:rsid w:val="00C30900"/>
    <w:rsid w:val="00C30E11"/>
    <w:rsid w:val="00C31082"/>
    <w:rsid w:val="00C31290"/>
    <w:rsid w:val="00C316AE"/>
    <w:rsid w:val="00C31B7A"/>
    <w:rsid w:val="00C31EF5"/>
    <w:rsid w:val="00C3205E"/>
    <w:rsid w:val="00C321D3"/>
    <w:rsid w:val="00C3256B"/>
    <w:rsid w:val="00C325CB"/>
    <w:rsid w:val="00C3289B"/>
    <w:rsid w:val="00C337FB"/>
    <w:rsid w:val="00C33FAC"/>
    <w:rsid w:val="00C3457F"/>
    <w:rsid w:val="00C34B8C"/>
    <w:rsid w:val="00C34B9C"/>
    <w:rsid w:val="00C352A5"/>
    <w:rsid w:val="00C35696"/>
    <w:rsid w:val="00C35B4E"/>
    <w:rsid w:val="00C35CE9"/>
    <w:rsid w:val="00C35DF6"/>
    <w:rsid w:val="00C35F2F"/>
    <w:rsid w:val="00C36299"/>
    <w:rsid w:val="00C36349"/>
    <w:rsid w:val="00C36569"/>
    <w:rsid w:val="00C36CAE"/>
    <w:rsid w:val="00C36D15"/>
    <w:rsid w:val="00C36DEE"/>
    <w:rsid w:val="00C37E49"/>
    <w:rsid w:val="00C37E53"/>
    <w:rsid w:val="00C40225"/>
    <w:rsid w:val="00C402EA"/>
    <w:rsid w:val="00C40466"/>
    <w:rsid w:val="00C4073D"/>
    <w:rsid w:val="00C40C69"/>
    <w:rsid w:val="00C40E2A"/>
    <w:rsid w:val="00C41584"/>
    <w:rsid w:val="00C41A54"/>
    <w:rsid w:val="00C423DD"/>
    <w:rsid w:val="00C424A4"/>
    <w:rsid w:val="00C42763"/>
    <w:rsid w:val="00C42837"/>
    <w:rsid w:val="00C42C27"/>
    <w:rsid w:val="00C42FF9"/>
    <w:rsid w:val="00C43AEC"/>
    <w:rsid w:val="00C43B56"/>
    <w:rsid w:val="00C44510"/>
    <w:rsid w:val="00C44661"/>
    <w:rsid w:val="00C455CF"/>
    <w:rsid w:val="00C45986"/>
    <w:rsid w:val="00C45E08"/>
    <w:rsid w:val="00C4608A"/>
    <w:rsid w:val="00C46873"/>
    <w:rsid w:val="00C469F3"/>
    <w:rsid w:val="00C4722C"/>
    <w:rsid w:val="00C47540"/>
    <w:rsid w:val="00C47A99"/>
    <w:rsid w:val="00C47C80"/>
    <w:rsid w:val="00C47E4A"/>
    <w:rsid w:val="00C500C2"/>
    <w:rsid w:val="00C503BE"/>
    <w:rsid w:val="00C50673"/>
    <w:rsid w:val="00C50913"/>
    <w:rsid w:val="00C509B9"/>
    <w:rsid w:val="00C50F4C"/>
    <w:rsid w:val="00C50FFD"/>
    <w:rsid w:val="00C51000"/>
    <w:rsid w:val="00C510C4"/>
    <w:rsid w:val="00C510E0"/>
    <w:rsid w:val="00C51490"/>
    <w:rsid w:val="00C5163E"/>
    <w:rsid w:val="00C51752"/>
    <w:rsid w:val="00C517C6"/>
    <w:rsid w:val="00C51A0B"/>
    <w:rsid w:val="00C52906"/>
    <w:rsid w:val="00C529F0"/>
    <w:rsid w:val="00C52C2C"/>
    <w:rsid w:val="00C53044"/>
    <w:rsid w:val="00C540AD"/>
    <w:rsid w:val="00C540CB"/>
    <w:rsid w:val="00C555C5"/>
    <w:rsid w:val="00C5584A"/>
    <w:rsid w:val="00C5604A"/>
    <w:rsid w:val="00C56391"/>
    <w:rsid w:val="00C564E7"/>
    <w:rsid w:val="00C569B9"/>
    <w:rsid w:val="00C57088"/>
    <w:rsid w:val="00C571D6"/>
    <w:rsid w:val="00C57C29"/>
    <w:rsid w:val="00C57C5C"/>
    <w:rsid w:val="00C57DE2"/>
    <w:rsid w:val="00C605BF"/>
    <w:rsid w:val="00C60971"/>
    <w:rsid w:val="00C60BD6"/>
    <w:rsid w:val="00C60C7F"/>
    <w:rsid w:val="00C60DC5"/>
    <w:rsid w:val="00C611AF"/>
    <w:rsid w:val="00C6155E"/>
    <w:rsid w:val="00C616F5"/>
    <w:rsid w:val="00C61B88"/>
    <w:rsid w:val="00C61BBC"/>
    <w:rsid w:val="00C62084"/>
    <w:rsid w:val="00C6219E"/>
    <w:rsid w:val="00C622E1"/>
    <w:rsid w:val="00C6241F"/>
    <w:rsid w:val="00C62563"/>
    <w:rsid w:val="00C628D3"/>
    <w:rsid w:val="00C6311F"/>
    <w:rsid w:val="00C6382C"/>
    <w:rsid w:val="00C63F03"/>
    <w:rsid w:val="00C64402"/>
    <w:rsid w:val="00C64429"/>
    <w:rsid w:val="00C64BA3"/>
    <w:rsid w:val="00C64E5C"/>
    <w:rsid w:val="00C652E6"/>
    <w:rsid w:val="00C654AB"/>
    <w:rsid w:val="00C65687"/>
    <w:rsid w:val="00C659E7"/>
    <w:rsid w:val="00C66752"/>
    <w:rsid w:val="00C66887"/>
    <w:rsid w:val="00C66AA2"/>
    <w:rsid w:val="00C66C72"/>
    <w:rsid w:val="00C67460"/>
    <w:rsid w:val="00C67848"/>
    <w:rsid w:val="00C70697"/>
    <w:rsid w:val="00C708B6"/>
    <w:rsid w:val="00C70971"/>
    <w:rsid w:val="00C70995"/>
    <w:rsid w:val="00C70B2F"/>
    <w:rsid w:val="00C70E81"/>
    <w:rsid w:val="00C712F8"/>
    <w:rsid w:val="00C71389"/>
    <w:rsid w:val="00C714C1"/>
    <w:rsid w:val="00C7155F"/>
    <w:rsid w:val="00C71606"/>
    <w:rsid w:val="00C71609"/>
    <w:rsid w:val="00C7176D"/>
    <w:rsid w:val="00C71B88"/>
    <w:rsid w:val="00C71C3C"/>
    <w:rsid w:val="00C72386"/>
    <w:rsid w:val="00C7243D"/>
    <w:rsid w:val="00C72522"/>
    <w:rsid w:val="00C729FA"/>
    <w:rsid w:val="00C72D64"/>
    <w:rsid w:val="00C730B8"/>
    <w:rsid w:val="00C7313B"/>
    <w:rsid w:val="00C73B19"/>
    <w:rsid w:val="00C73D86"/>
    <w:rsid w:val="00C73EEC"/>
    <w:rsid w:val="00C73F39"/>
    <w:rsid w:val="00C73F5D"/>
    <w:rsid w:val="00C74071"/>
    <w:rsid w:val="00C74170"/>
    <w:rsid w:val="00C746A8"/>
    <w:rsid w:val="00C74774"/>
    <w:rsid w:val="00C74868"/>
    <w:rsid w:val="00C74D58"/>
    <w:rsid w:val="00C75915"/>
    <w:rsid w:val="00C76837"/>
    <w:rsid w:val="00C770CB"/>
    <w:rsid w:val="00C77802"/>
    <w:rsid w:val="00C77AA4"/>
    <w:rsid w:val="00C77F2C"/>
    <w:rsid w:val="00C803B9"/>
    <w:rsid w:val="00C80765"/>
    <w:rsid w:val="00C818CA"/>
    <w:rsid w:val="00C81907"/>
    <w:rsid w:val="00C81B3D"/>
    <w:rsid w:val="00C81CF4"/>
    <w:rsid w:val="00C821AC"/>
    <w:rsid w:val="00C82AE6"/>
    <w:rsid w:val="00C82BC5"/>
    <w:rsid w:val="00C83D15"/>
    <w:rsid w:val="00C84161"/>
    <w:rsid w:val="00C84194"/>
    <w:rsid w:val="00C841BC"/>
    <w:rsid w:val="00C845C4"/>
    <w:rsid w:val="00C84CBE"/>
    <w:rsid w:val="00C85089"/>
    <w:rsid w:val="00C85156"/>
    <w:rsid w:val="00C8530E"/>
    <w:rsid w:val="00C86895"/>
    <w:rsid w:val="00C8692F"/>
    <w:rsid w:val="00C86C48"/>
    <w:rsid w:val="00C87129"/>
    <w:rsid w:val="00C87470"/>
    <w:rsid w:val="00C8753F"/>
    <w:rsid w:val="00C87D3C"/>
    <w:rsid w:val="00C87DC0"/>
    <w:rsid w:val="00C9002C"/>
    <w:rsid w:val="00C90294"/>
    <w:rsid w:val="00C90C69"/>
    <w:rsid w:val="00C91415"/>
    <w:rsid w:val="00C91657"/>
    <w:rsid w:val="00C9206A"/>
    <w:rsid w:val="00C9248C"/>
    <w:rsid w:val="00C92504"/>
    <w:rsid w:val="00C9298B"/>
    <w:rsid w:val="00C92B11"/>
    <w:rsid w:val="00C92E38"/>
    <w:rsid w:val="00C9303F"/>
    <w:rsid w:val="00C932A3"/>
    <w:rsid w:val="00C93A23"/>
    <w:rsid w:val="00C93AC7"/>
    <w:rsid w:val="00C93C64"/>
    <w:rsid w:val="00C945E9"/>
    <w:rsid w:val="00C9464E"/>
    <w:rsid w:val="00C94AD2"/>
    <w:rsid w:val="00C94C1E"/>
    <w:rsid w:val="00C94D6B"/>
    <w:rsid w:val="00C95639"/>
    <w:rsid w:val="00C9586B"/>
    <w:rsid w:val="00C959CC"/>
    <w:rsid w:val="00C95F18"/>
    <w:rsid w:val="00C95F2B"/>
    <w:rsid w:val="00C965EA"/>
    <w:rsid w:val="00C97627"/>
    <w:rsid w:val="00C976BF"/>
    <w:rsid w:val="00C97A6C"/>
    <w:rsid w:val="00C97D03"/>
    <w:rsid w:val="00C97EC6"/>
    <w:rsid w:val="00CA001B"/>
    <w:rsid w:val="00CA0CAB"/>
    <w:rsid w:val="00CA0D82"/>
    <w:rsid w:val="00CA0F96"/>
    <w:rsid w:val="00CA113C"/>
    <w:rsid w:val="00CA1188"/>
    <w:rsid w:val="00CA12BF"/>
    <w:rsid w:val="00CA1470"/>
    <w:rsid w:val="00CA1C56"/>
    <w:rsid w:val="00CA2232"/>
    <w:rsid w:val="00CA228A"/>
    <w:rsid w:val="00CA2FD9"/>
    <w:rsid w:val="00CA32AD"/>
    <w:rsid w:val="00CA344A"/>
    <w:rsid w:val="00CA3520"/>
    <w:rsid w:val="00CA377E"/>
    <w:rsid w:val="00CA3CC8"/>
    <w:rsid w:val="00CA3F70"/>
    <w:rsid w:val="00CA46B4"/>
    <w:rsid w:val="00CA4DA3"/>
    <w:rsid w:val="00CA50DB"/>
    <w:rsid w:val="00CA599D"/>
    <w:rsid w:val="00CA5AF0"/>
    <w:rsid w:val="00CA6475"/>
    <w:rsid w:val="00CA69EF"/>
    <w:rsid w:val="00CA6F30"/>
    <w:rsid w:val="00CA713B"/>
    <w:rsid w:val="00CA75F7"/>
    <w:rsid w:val="00CA77D5"/>
    <w:rsid w:val="00CA78E3"/>
    <w:rsid w:val="00CA7C3D"/>
    <w:rsid w:val="00CB050C"/>
    <w:rsid w:val="00CB05C0"/>
    <w:rsid w:val="00CB05C8"/>
    <w:rsid w:val="00CB073B"/>
    <w:rsid w:val="00CB10D5"/>
    <w:rsid w:val="00CB1193"/>
    <w:rsid w:val="00CB1555"/>
    <w:rsid w:val="00CB1717"/>
    <w:rsid w:val="00CB1773"/>
    <w:rsid w:val="00CB2181"/>
    <w:rsid w:val="00CB2336"/>
    <w:rsid w:val="00CB2607"/>
    <w:rsid w:val="00CB2707"/>
    <w:rsid w:val="00CB2747"/>
    <w:rsid w:val="00CB2A56"/>
    <w:rsid w:val="00CB2BB1"/>
    <w:rsid w:val="00CB2FD4"/>
    <w:rsid w:val="00CB3534"/>
    <w:rsid w:val="00CB3675"/>
    <w:rsid w:val="00CB36CC"/>
    <w:rsid w:val="00CB3976"/>
    <w:rsid w:val="00CB3A44"/>
    <w:rsid w:val="00CB3CB7"/>
    <w:rsid w:val="00CB3F01"/>
    <w:rsid w:val="00CB4084"/>
    <w:rsid w:val="00CB41B9"/>
    <w:rsid w:val="00CB41C3"/>
    <w:rsid w:val="00CB4578"/>
    <w:rsid w:val="00CB48DE"/>
    <w:rsid w:val="00CB491D"/>
    <w:rsid w:val="00CB4A86"/>
    <w:rsid w:val="00CB4CE8"/>
    <w:rsid w:val="00CB4CF7"/>
    <w:rsid w:val="00CB59C0"/>
    <w:rsid w:val="00CB5BEB"/>
    <w:rsid w:val="00CB5CCE"/>
    <w:rsid w:val="00CB5CCF"/>
    <w:rsid w:val="00CB624B"/>
    <w:rsid w:val="00CB638E"/>
    <w:rsid w:val="00CB668C"/>
    <w:rsid w:val="00CB669D"/>
    <w:rsid w:val="00CB684E"/>
    <w:rsid w:val="00CB690D"/>
    <w:rsid w:val="00CB6998"/>
    <w:rsid w:val="00CB6CF6"/>
    <w:rsid w:val="00CB6F97"/>
    <w:rsid w:val="00CB70C6"/>
    <w:rsid w:val="00CB71C9"/>
    <w:rsid w:val="00CB7685"/>
    <w:rsid w:val="00CB7714"/>
    <w:rsid w:val="00CB7A53"/>
    <w:rsid w:val="00CC063F"/>
    <w:rsid w:val="00CC08FC"/>
    <w:rsid w:val="00CC0956"/>
    <w:rsid w:val="00CC0AF7"/>
    <w:rsid w:val="00CC0D94"/>
    <w:rsid w:val="00CC0DED"/>
    <w:rsid w:val="00CC1232"/>
    <w:rsid w:val="00CC13E8"/>
    <w:rsid w:val="00CC154B"/>
    <w:rsid w:val="00CC15B8"/>
    <w:rsid w:val="00CC1AAF"/>
    <w:rsid w:val="00CC1BA2"/>
    <w:rsid w:val="00CC1CEA"/>
    <w:rsid w:val="00CC213B"/>
    <w:rsid w:val="00CC25A8"/>
    <w:rsid w:val="00CC277A"/>
    <w:rsid w:val="00CC289A"/>
    <w:rsid w:val="00CC3271"/>
    <w:rsid w:val="00CC35BA"/>
    <w:rsid w:val="00CC39F7"/>
    <w:rsid w:val="00CC3AB5"/>
    <w:rsid w:val="00CC3CA2"/>
    <w:rsid w:val="00CC4189"/>
    <w:rsid w:val="00CC43D4"/>
    <w:rsid w:val="00CC4590"/>
    <w:rsid w:val="00CC4810"/>
    <w:rsid w:val="00CC49C2"/>
    <w:rsid w:val="00CC50F5"/>
    <w:rsid w:val="00CC5A17"/>
    <w:rsid w:val="00CC5D38"/>
    <w:rsid w:val="00CC5F3B"/>
    <w:rsid w:val="00CC616B"/>
    <w:rsid w:val="00CC63B7"/>
    <w:rsid w:val="00CC64AB"/>
    <w:rsid w:val="00CC65C4"/>
    <w:rsid w:val="00CC6C8A"/>
    <w:rsid w:val="00CC6D61"/>
    <w:rsid w:val="00CC6F2C"/>
    <w:rsid w:val="00CC6FCF"/>
    <w:rsid w:val="00CC711B"/>
    <w:rsid w:val="00CC75D6"/>
    <w:rsid w:val="00CC7ABE"/>
    <w:rsid w:val="00CC7BF4"/>
    <w:rsid w:val="00CD068D"/>
    <w:rsid w:val="00CD0C0D"/>
    <w:rsid w:val="00CD0F2B"/>
    <w:rsid w:val="00CD1135"/>
    <w:rsid w:val="00CD1230"/>
    <w:rsid w:val="00CD1FBB"/>
    <w:rsid w:val="00CD2608"/>
    <w:rsid w:val="00CD2ACB"/>
    <w:rsid w:val="00CD2CC7"/>
    <w:rsid w:val="00CD36F5"/>
    <w:rsid w:val="00CD3B88"/>
    <w:rsid w:val="00CD49F4"/>
    <w:rsid w:val="00CD5333"/>
    <w:rsid w:val="00CD547F"/>
    <w:rsid w:val="00CD5502"/>
    <w:rsid w:val="00CD5605"/>
    <w:rsid w:val="00CD563F"/>
    <w:rsid w:val="00CD578D"/>
    <w:rsid w:val="00CD5E65"/>
    <w:rsid w:val="00CD6E24"/>
    <w:rsid w:val="00CD6E99"/>
    <w:rsid w:val="00CD724B"/>
    <w:rsid w:val="00CD72FE"/>
    <w:rsid w:val="00CD7813"/>
    <w:rsid w:val="00CD7C5C"/>
    <w:rsid w:val="00CE04F4"/>
    <w:rsid w:val="00CE08CE"/>
    <w:rsid w:val="00CE0AA9"/>
    <w:rsid w:val="00CE135C"/>
    <w:rsid w:val="00CE13C2"/>
    <w:rsid w:val="00CE1532"/>
    <w:rsid w:val="00CE1B63"/>
    <w:rsid w:val="00CE1F3A"/>
    <w:rsid w:val="00CE2240"/>
    <w:rsid w:val="00CE22F2"/>
    <w:rsid w:val="00CE2334"/>
    <w:rsid w:val="00CE2F81"/>
    <w:rsid w:val="00CE2FED"/>
    <w:rsid w:val="00CE3014"/>
    <w:rsid w:val="00CE346D"/>
    <w:rsid w:val="00CE3AEA"/>
    <w:rsid w:val="00CE3C6F"/>
    <w:rsid w:val="00CE424E"/>
    <w:rsid w:val="00CE438D"/>
    <w:rsid w:val="00CE4911"/>
    <w:rsid w:val="00CE4A30"/>
    <w:rsid w:val="00CE5312"/>
    <w:rsid w:val="00CE54A6"/>
    <w:rsid w:val="00CE56F8"/>
    <w:rsid w:val="00CE662E"/>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243"/>
    <w:rsid w:val="00CF2541"/>
    <w:rsid w:val="00CF2CFD"/>
    <w:rsid w:val="00CF2D97"/>
    <w:rsid w:val="00CF2E27"/>
    <w:rsid w:val="00CF3217"/>
    <w:rsid w:val="00CF35FF"/>
    <w:rsid w:val="00CF3669"/>
    <w:rsid w:val="00CF38F0"/>
    <w:rsid w:val="00CF4FE4"/>
    <w:rsid w:val="00CF522D"/>
    <w:rsid w:val="00CF56EA"/>
    <w:rsid w:val="00CF5941"/>
    <w:rsid w:val="00CF5996"/>
    <w:rsid w:val="00CF5B84"/>
    <w:rsid w:val="00CF65C3"/>
    <w:rsid w:val="00CF68CE"/>
    <w:rsid w:val="00CF6E46"/>
    <w:rsid w:val="00CF70B1"/>
    <w:rsid w:val="00CF71D8"/>
    <w:rsid w:val="00CF731D"/>
    <w:rsid w:val="00CF77D7"/>
    <w:rsid w:val="00CF77E6"/>
    <w:rsid w:val="00D00690"/>
    <w:rsid w:val="00D00728"/>
    <w:rsid w:val="00D00B10"/>
    <w:rsid w:val="00D00CC5"/>
    <w:rsid w:val="00D00CC8"/>
    <w:rsid w:val="00D01031"/>
    <w:rsid w:val="00D011FD"/>
    <w:rsid w:val="00D01362"/>
    <w:rsid w:val="00D0141D"/>
    <w:rsid w:val="00D01A76"/>
    <w:rsid w:val="00D01D1A"/>
    <w:rsid w:val="00D026DC"/>
    <w:rsid w:val="00D02AA2"/>
    <w:rsid w:val="00D02EC1"/>
    <w:rsid w:val="00D02FCA"/>
    <w:rsid w:val="00D0351E"/>
    <w:rsid w:val="00D03D68"/>
    <w:rsid w:val="00D03F38"/>
    <w:rsid w:val="00D0402F"/>
    <w:rsid w:val="00D05825"/>
    <w:rsid w:val="00D06185"/>
    <w:rsid w:val="00D06667"/>
    <w:rsid w:val="00D072F4"/>
    <w:rsid w:val="00D0781D"/>
    <w:rsid w:val="00D07982"/>
    <w:rsid w:val="00D07E75"/>
    <w:rsid w:val="00D07E79"/>
    <w:rsid w:val="00D07F90"/>
    <w:rsid w:val="00D104B5"/>
    <w:rsid w:val="00D10887"/>
    <w:rsid w:val="00D10F09"/>
    <w:rsid w:val="00D1125C"/>
    <w:rsid w:val="00D12200"/>
    <w:rsid w:val="00D1255F"/>
    <w:rsid w:val="00D12D13"/>
    <w:rsid w:val="00D12DEF"/>
    <w:rsid w:val="00D12FA1"/>
    <w:rsid w:val="00D13358"/>
    <w:rsid w:val="00D133DF"/>
    <w:rsid w:val="00D14278"/>
    <w:rsid w:val="00D1491A"/>
    <w:rsid w:val="00D14C61"/>
    <w:rsid w:val="00D14D07"/>
    <w:rsid w:val="00D14F86"/>
    <w:rsid w:val="00D14FCF"/>
    <w:rsid w:val="00D14FF9"/>
    <w:rsid w:val="00D152C8"/>
    <w:rsid w:val="00D155D2"/>
    <w:rsid w:val="00D158E0"/>
    <w:rsid w:val="00D15A6A"/>
    <w:rsid w:val="00D15E0E"/>
    <w:rsid w:val="00D15EC7"/>
    <w:rsid w:val="00D16350"/>
    <w:rsid w:val="00D1646C"/>
    <w:rsid w:val="00D16B2C"/>
    <w:rsid w:val="00D16D78"/>
    <w:rsid w:val="00D16DE1"/>
    <w:rsid w:val="00D16E0C"/>
    <w:rsid w:val="00D179D3"/>
    <w:rsid w:val="00D17BB8"/>
    <w:rsid w:val="00D200DC"/>
    <w:rsid w:val="00D200F3"/>
    <w:rsid w:val="00D20588"/>
    <w:rsid w:val="00D208E7"/>
    <w:rsid w:val="00D20BD2"/>
    <w:rsid w:val="00D20D3B"/>
    <w:rsid w:val="00D20F77"/>
    <w:rsid w:val="00D2111D"/>
    <w:rsid w:val="00D215B7"/>
    <w:rsid w:val="00D21C3F"/>
    <w:rsid w:val="00D21DEE"/>
    <w:rsid w:val="00D22184"/>
    <w:rsid w:val="00D224CC"/>
    <w:rsid w:val="00D22999"/>
    <w:rsid w:val="00D22A9F"/>
    <w:rsid w:val="00D22DE7"/>
    <w:rsid w:val="00D2309E"/>
    <w:rsid w:val="00D231E1"/>
    <w:rsid w:val="00D23770"/>
    <w:rsid w:val="00D23C65"/>
    <w:rsid w:val="00D23C7F"/>
    <w:rsid w:val="00D24829"/>
    <w:rsid w:val="00D24D4A"/>
    <w:rsid w:val="00D24DA1"/>
    <w:rsid w:val="00D257E2"/>
    <w:rsid w:val="00D25D86"/>
    <w:rsid w:val="00D267B7"/>
    <w:rsid w:val="00D26EC1"/>
    <w:rsid w:val="00D271AE"/>
    <w:rsid w:val="00D27BF1"/>
    <w:rsid w:val="00D27C4A"/>
    <w:rsid w:val="00D27D79"/>
    <w:rsid w:val="00D3050E"/>
    <w:rsid w:val="00D30672"/>
    <w:rsid w:val="00D30B74"/>
    <w:rsid w:val="00D311E7"/>
    <w:rsid w:val="00D3131F"/>
    <w:rsid w:val="00D31350"/>
    <w:rsid w:val="00D319BF"/>
    <w:rsid w:val="00D31A68"/>
    <w:rsid w:val="00D32C97"/>
    <w:rsid w:val="00D32FB1"/>
    <w:rsid w:val="00D330C0"/>
    <w:rsid w:val="00D33A2F"/>
    <w:rsid w:val="00D33E43"/>
    <w:rsid w:val="00D3405A"/>
    <w:rsid w:val="00D34F9F"/>
    <w:rsid w:val="00D35398"/>
    <w:rsid w:val="00D35896"/>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67F"/>
    <w:rsid w:val="00D41839"/>
    <w:rsid w:val="00D41993"/>
    <w:rsid w:val="00D41B19"/>
    <w:rsid w:val="00D41D23"/>
    <w:rsid w:val="00D41E9B"/>
    <w:rsid w:val="00D42142"/>
    <w:rsid w:val="00D42503"/>
    <w:rsid w:val="00D4250B"/>
    <w:rsid w:val="00D42840"/>
    <w:rsid w:val="00D428F0"/>
    <w:rsid w:val="00D429F5"/>
    <w:rsid w:val="00D4349E"/>
    <w:rsid w:val="00D43788"/>
    <w:rsid w:val="00D4417F"/>
    <w:rsid w:val="00D44379"/>
    <w:rsid w:val="00D44396"/>
    <w:rsid w:val="00D446B6"/>
    <w:rsid w:val="00D44852"/>
    <w:rsid w:val="00D44987"/>
    <w:rsid w:val="00D44B7A"/>
    <w:rsid w:val="00D44EF6"/>
    <w:rsid w:val="00D450FB"/>
    <w:rsid w:val="00D45FF8"/>
    <w:rsid w:val="00D46E38"/>
    <w:rsid w:val="00D472BF"/>
    <w:rsid w:val="00D4763E"/>
    <w:rsid w:val="00D50F05"/>
    <w:rsid w:val="00D52072"/>
    <w:rsid w:val="00D52347"/>
    <w:rsid w:val="00D52A14"/>
    <w:rsid w:val="00D52E93"/>
    <w:rsid w:val="00D53167"/>
    <w:rsid w:val="00D539BE"/>
    <w:rsid w:val="00D53B2A"/>
    <w:rsid w:val="00D53BD6"/>
    <w:rsid w:val="00D53FD1"/>
    <w:rsid w:val="00D5427F"/>
    <w:rsid w:val="00D543F6"/>
    <w:rsid w:val="00D548B2"/>
    <w:rsid w:val="00D54A8A"/>
    <w:rsid w:val="00D54CA5"/>
    <w:rsid w:val="00D55001"/>
    <w:rsid w:val="00D55152"/>
    <w:rsid w:val="00D554AA"/>
    <w:rsid w:val="00D55605"/>
    <w:rsid w:val="00D55973"/>
    <w:rsid w:val="00D56BF6"/>
    <w:rsid w:val="00D573BB"/>
    <w:rsid w:val="00D574F1"/>
    <w:rsid w:val="00D57770"/>
    <w:rsid w:val="00D57959"/>
    <w:rsid w:val="00D57B4B"/>
    <w:rsid w:val="00D60382"/>
    <w:rsid w:val="00D6042E"/>
    <w:rsid w:val="00D6059C"/>
    <w:rsid w:val="00D607B7"/>
    <w:rsid w:val="00D608FE"/>
    <w:rsid w:val="00D60AA7"/>
    <w:rsid w:val="00D60DE3"/>
    <w:rsid w:val="00D60E63"/>
    <w:rsid w:val="00D61448"/>
    <w:rsid w:val="00D6155A"/>
    <w:rsid w:val="00D6162F"/>
    <w:rsid w:val="00D6187F"/>
    <w:rsid w:val="00D619C3"/>
    <w:rsid w:val="00D621DA"/>
    <w:rsid w:val="00D62B98"/>
    <w:rsid w:val="00D62DBB"/>
    <w:rsid w:val="00D631A8"/>
    <w:rsid w:val="00D63541"/>
    <w:rsid w:val="00D6396B"/>
    <w:rsid w:val="00D63D71"/>
    <w:rsid w:val="00D643F8"/>
    <w:rsid w:val="00D650CC"/>
    <w:rsid w:val="00D66840"/>
    <w:rsid w:val="00D668FD"/>
    <w:rsid w:val="00D66ACA"/>
    <w:rsid w:val="00D66B66"/>
    <w:rsid w:val="00D66E4D"/>
    <w:rsid w:val="00D6731A"/>
    <w:rsid w:val="00D6751F"/>
    <w:rsid w:val="00D67B90"/>
    <w:rsid w:val="00D67EA0"/>
    <w:rsid w:val="00D67EA6"/>
    <w:rsid w:val="00D70697"/>
    <w:rsid w:val="00D706CB"/>
    <w:rsid w:val="00D70E59"/>
    <w:rsid w:val="00D70E80"/>
    <w:rsid w:val="00D71288"/>
    <w:rsid w:val="00D712A2"/>
    <w:rsid w:val="00D71405"/>
    <w:rsid w:val="00D71FF6"/>
    <w:rsid w:val="00D72040"/>
    <w:rsid w:val="00D72B41"/>
    <w:rsid w:val="00D72BA3"/>
    <w:rsid w:val="00D72CBA"/>
    <w:rsid w:val="00D72D7E"/>
    <w:rsid w:val="00D7367E"/>
    <w:rsid w:val="00D73E40"/>
    <w:rsid w:val="00D73F3A"/>
    <w:rsid w:val="00D73F3E"/>
    <w:rsid w:val="00D73F68"/>
    <w:rsid w:val="00D73FB0"/>
    <w:rsid w:val="00D742ED"/>
    <w:rsid w:val="00D7430B"/>
    <w:rsid w:val="00D7458F"/>
    <w:rsid w:val="00D755C5"/>
    <w:rsid w:val="00D756E3"/>
    <w:rsid w:val="00D75918"/>
    <w:rsid w:val="00D763D0"/>
    <w:rsid w:val="00D764F6"/>
    <w:rsid w:val="00D76908"/>
    <w:rsid w:val="00D76E1F"/>
    <w:rsid w:val="00D77240"/>
    <w:rsid w:val="00D77544"/>
    <w:rsid w:val="00D77819"/>
    <w:rsid w:val="00D77B9E"/>
    <w:rsid w:val="00D80438"/>
    <w:rsid w:val="00D8061F"/>
    <w:rsid w:val="00D80842"/>
    <w:rsid w:val="00D80889"/>
    <w:rsid w:val="00D80D05"/>
    <w:rsid w:val="00D80E1F"/>
    <w:rsid w:val="00D80E37"/>
    <w:rsid w:val="00D80F6F"/>
    <w:rsid w:val="00D81354"/>
    <w:rsid w:val="00D81490"/>
    <w:rsid w:val="00D815B0"/>
    <w:rsid w:val="00D818D5"/>
    <w:rsid w:val="00D820EB"/>
    <w:rsid w:val="00D82174"/>
    <w:rsid w:val="00D825BE"/>
    <w:rsid w:val="00D826C8"/>
    <w:rsid w:val="00D82990"/>
    <w:rsid w:val="00D829C0"/>
    <w:rsid w:val="00D8303A"/>
    <w:rsid w:val="00D8391E"/>
    <w:rsid w:val="00D8394C"/>
    <w:rsid w:val="00D83C6D"/>
    <w:rsid w:val="00D8417D"/>
    <w:rsid w:val="00D845B9"/>
    <w:rsid w:val="00D8465F"/>
    <w:rsid w:val="00D84838"/>
    <w:rsid w:val="00D8484A"/>
    <w:rsid w:val="00D852CF"/>
    <w:rsid w:val="00D8542E"/>
    <w:rsid w:val="00D85606"/>
    <w:rsid w:val="00D85FAA"/>
    <w:rsid w:val="00D8636F"/>
    <w:rsid w:val="00D86806"/>
    <w:rsid w:val="00D86979"/>
    <w:rsid w:val="00D869D2"/>
    <w:rsid w:val="00D86BC9"/>
    <w:rsid w:val="00D86DB1"/>
    <w:rsid w:val="00D86E62"/>
    <w:rsid w:val="00D87026"/>
    <w:rsid w:val="00D87989"/>
    <w:rsid w:val="00D87AB3"/>
    <w:rsid w:val="00D90093"/>
    <w:rsid w:val="00D9025B"/>
    <w:rsid w:val="00D905C5"/>
    <w:rsid w:val="00D90683"/>
    <w:rsid w:val="00D9080C"/>
    <w:rsid w:val="00D9093D"/>
    <w:rsid w:val="00D90A30"/>
    <w:rsid w:val="00D91539"/>
    <w:rsid w:val="00D9159F"/>
    <w:rsid w:val="00D915EB"/>
    <w:rsid w:val="00D91A9E"/>
    <w:rsid w:val="00D91BF1"/>
    <w:rsid w:val="00D91ED1"/>
    <w:rsid w:val="00D921EB"/>
    <w:rsid w:val="00D92905"/>
    <w:rsid w:val="00D92CD8"/>
    <w:rsid w:val="00D931F2"/>
    <w:rsid w:val="00D940AF"/>
    <w:rsid w:val="00D94459"/>
    <w:rsid w:val="00D94FCF"/>
    <w:rsid w:val="00D950F9"/>
    <w:rsid w:val="00D95505"/>
    <w:rsid w:val="00D95558"/>
    <w:rsid w:val="00D955B9"/>
    <w:rsid w:val="00D96070"/>
    <w:rsid w:val="00D966C1"/>
    <w:rsid w:val="00D967B7"/>
    <w:rsid w:val="00D96B6F"/>
    <w:rsid w:val="00D972C7"/>
    <w:rsid w:val="00D9742F"/>
    <w:rsid w:val="00D97533"/>
    <w:rsid w:val="00D97859"/>
    <w:rsid w:val="00D97F48"/>
    <w:rsid w:val="00DA0034"/>
    <w:rsid w:val="00DA0FA4"/>
    <w:rsid w:val="00DA10DF"/>
    <w:rsid w:val="00DA163F"/>
    <w:rsid w:val="00DA1BA9"/>
    <w:rsid w:val="00DA20B7"/>
    <w:rsid w:val="00DA2776"/>
    <w:rsid w:val="00DA288D"/>
    <w:rsid w:val="00DA2D08"/>
    <w:rsid w:val="00DA2DBF"/>
    <w:rsid w:val="00DA3421"/>
    <w:rsid w:val="00DA38EF"/>
    <w:rsid w:val="00DA49D4"/>
    <w:rsid w:val="00DA4CD6"/>
    <w:rsid w:val="00DA4E31"/>
    <w:rsid w:val="00DA5047"/>
    <w:rsid w:val="00DA5503"/>
    <w:rsid w:val="00DA5B25"/>
    <w:rsid w:val="00DA5F97"/>
    <w:rsid w:val="00DA610C"/>
    <w:rsid w:val="00DA636F"/>
    <w:rsid w:val="00DA63E7"/>
    <w:rsid w:val="00DA6948"/>
    <w:rsid w:val="00DA6EE1"/>
    <w:rsid w:val="00DA7ECB"/>
    <w:rsid w:val="00DB0147"/>
    <w:rsid w:val="00DB0241"/>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C6A"/>
    <w:rsid w:val="00DB3D03"/>
    <w:rsid w:val="00DB3F5B"/>
    <w:rsid w:val="00DB41D2"/>
    <w:rsid w:val="00DB434E"/>
    <w:rsid w:val="00DB448E"/>
    <w:rsid w:val="00DB511F"/>
    <w:rsid w:val="00DB54A7"/>
    <w:rsid w:val="00DB5DD0"/>
    <w:rsid w:val="00DB623B"/>
    <w:rsid w:val="00DB6AB4"/>
    <w:rsid w:val="00DB6BA9"/>
    <w:rsid w:val="00DB7C3F"/>
    <w:rsid w:val="00DC0C38"/>
    <w:rsid w:val="00DC0E7F"/>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5D2F"/>
    <w:rsid w:val="00DC63C6"/>
    <w:rsid w:val="00DC687D"/>
    <w:rsid w:val="00DC6A96"/>
    <w:rsid w:val="00DC6CCC"/>
    <w:rsid w:val="00DC71AF"/>
    <w:rsid w:val="00DC75E2"/>
    <w:rsid w:val="00DC7DB3"/>
    <w:rsid w:val="00DC7DE8"/>
    <w:rsid w:val="00DD044E"/>
    <w:rsid w:val="00DD0C04"/>
    <w:rsid w:val="00DD0D9C"/>
    <w:rsid w:val="00DD0E8A"/>
    <w:rsid w:val="00DD1685"/>
    <w:rsid w:val="00DD324B"/>
    <w:rsid w:val="00DD3360"/>
    <w:rsid w:val="00DD340D"/>
    <w:rsid w:val="00DD3967"/>
    <w:rsid w:val="00DD3D43"/>
    <w:rsid w:val="00DD3D8E"/>
    <w:rsid w:val="00DD3F39"/>
    <w:rsid w:val="00DD4048"/>
    <w:rsid w:val="00DD4344"/>
    <w:rsid w:val="00DD4371"/>
    <w:rsid w:val="00DD4484"/>
    <w:rsid w:val="00DD4C30"/>
    <w:rsid w:val="00DD4C78"/>
    <w:rsid w:val="00DD5082"/>
    <w:rsid w:val="00DD57ED"/>
    <w:rsid w:val="00DD57FF"/>
    <w:rsid w:val="00DD584A"/>
    <w:rsid w:val="00DD5A2F"/>
    <w:rsid w:val="00DD5D24"/>
    <w:rsid w:val="00DD5EBE"/>
    <w:rsid w:val="00DD745A"/>
    <w:rsid w:val="00DD79B6"/>
    <w:rsid w:val="00DD7B66"/>
    <w:rsid w:val="00DD7C43"/>
    <w:rsid w:val="00DE061D"/>
    <w:rsid w:val="00DE07AC"/>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A31"/>
    <w:rsid w:val="00DE3DAE"/>
    <w:rsid w:val="00DE3E2E"/>
    <w:rsid w:val="00DE4071"/>
    <w:rsid w:val="00DE4393"/>
    <w:rsid w:val="00DE4783"/>
    <w:rsid w:val="00DE4C01"/>
    <w:rsid w:val="00DE55E7"/>
    <w:rsid w:val="00DE61C3"/>
    <w:rsid w:val="00DE635A"/>
    <w:rsid w:val="00DE657E"/>
    <w:rsid w:val="00DE6912"/>
    <w:rsid w:val="00DE7286"/>
    <w:rsid w:val="00DE7437"/>
    <w:rsid w:val="00DE76B0"/>
    <w:rsid w:val="00DE7A69"/>
    <w:rsid w:val="00DE7B93"/>
    <w:rsid w:val="00DF008E"/>
    <w:rsid w:val="00DF06EF"/>
    <w:rsid w:val="00DF08B0"/>
    <w:rsid w:val="00DF0ABB"/>
    <w:rsid w:val="00DF1311"/>
    <w:rsid w:val="00DF1AC4"/>
    <w:rsid w:val="00DF1C1D"/>
    <w:rsid w:val="00DF1C9C"/>
    <w:rsid w:val="00DF1E3C"/>
    <w:rsid w:val="00DF1E98"/>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160"/>
    <w:rsid w:val="00DF64CF"/>
    <w:rsid w:val="00DF6BD0"/>
    <w:rsid w:val="00DF7473"/>
    <w:rsid w:val="00DF780D"/>
    <w:rsid w:val="00DF7A21"/>
    <w:rsid w:val="00DF7A73"/>
    <w:rsid w:val="00DF7D17"/>
    <w:rsid w:val="00DF7F9A"/>
    <w:rsid w:val="00E00084"/>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37F"/>
    <w:rsid w:val="00E03590"/>
    <w:rsid w:val="00E03842"/>
    <w:rsid w:val="00E03AAB"/>
    <w:rsid w:val="00E03B7C"/>
    <w:rsid w:val="00E03C06"/>
    <w:rsid w:val="00E03C08"/>
    <w:rsid w:val="00E044C7"/>
    <w:rsid w:val="00E052C6"/>
    <w:rsid w:val="00E0535D"/>
    <w:rsid w:val="00E05A54"/>
    <w:rsid w:val="00E05BF4"/>
    <w:rsid w:val="00E06256"/>
    <w:rsid w:val="00E0656D"/>
    <w:rsid w:val="00E06B73"/>
    <w:rsid w:val="00E07497"/>
    <w:rsid w:val="00E076B8"/>
    <w:rsid w:val="00E1014B"/>
    <w:rsid w:val="00E101DB"/>
    <w:rsid w:val="00E10663"/>
    <w:rsid w:val="00E10773"/>
    <w:rsid w:val="00E1164B"/>
    <w:rsid w:val="00E118A6"/>
    <w:rsid w:val="00E1280C"/>
    <w:rsid w:val="00E139AF"/>
    <w:rsid w:val="00E13FA3"/>
    <w:rsid w:val="00E142B5"/>
    <w:rsid w:val="00E1478F"/>
    <w:rsid w:val="00E1582D"/>
    <w:rsid w:val="00E158CF"/>
    <w:rsid w:val="00E15CE1"/>
    <w:rsid w:val="00E15DA9"/>
    <w:rsid w:val="00E1692E"/>
    <w:rsid w:val="00E16BA6"/>
    <w:rsid w:val="00E1711E"/>
    <w:rsid w:val="00E17499"/>
    <w:rsid w:val="00E204CC"/>
    <w:rsid w:val="00E21660"/>
    <w:rsid w:val="00E21AFF"/>
    <w:rsid w:val="00E21F3B"/>
    <w:rsid w:val="00E22397"/>
    <w:rsid w:val="00E22463"/>
    <w:rsid w:val="00E2252B"/>
    <w:rsid w:val="00E225AC"/>
    <w:rsid w:val="00E228B1"/>
    <w:rsid w:val="00E22DBE"/>
    <w:rsid w:val="00E22ED4"/>
    <w:rsid w:val="00E23194"/>
    <w:rsid w:val="00E240A1"/>
    <w:rsid w:val="00E240E6"/>
    <w:rsid w:val="00E241A7"/>
    <w:rsid w:val="00E2452C"/>
    <w:rsid w:val="00E2472D"/>
    <w:rsid w:val="00E24BC6"/>
    <w:rsid w:val="00E24DC2"/>
    <w:rsid w:val="00E25858"/>
    <w:rsid w:val="00E25D2A"/>
    <w:rsid w:val="00E25D38"/>
    <w:rsid w:val="00E25DDB"/>
    <w:rsid w:val="00E25F71"/>
    <w:rsid w:val="00E26006"/>
    <w:rsid w:val="00E2612E"/>
    <w:rsid w:val="00E2668F"/>
    <w:rsid w:val="00E26722"/>
    <w:rsid w:val="00E26FB1"/>
    <w:rsid w:val="00E2726B"/>
    <w:rsid w:val="00E27304"/>
    <w:rsid w:val="00E273CC"/>
    <w:rsid w:val="00E27587"/>
    <w:rsid w:val="00E27A75"/>
    <w:rsid w:val="00E27F4D"/>
    <w:rsid w:val="00E302DF"/>
    <w:rsid w:val="00E30663"/>
    <w:rsid w:val="00E30992"/>
    <w:rsid w:val="00E30FA5"/>
    <w:rsid w:val="00E3267E"/>
    <w:rsid w:val="00E32B34"/>
    <w:rsid w:val="00E32D1F"/>
    <w:rsid w:val="00E32F6A"/>
    <w:rsid w:val="00E33393"/>
    <w:rsid w:val="00E33477"/>
    <w:rsid w:val="00E3371A"/>
    <w:rsid w:val="00E33995"/>
    <w:rsid w:val="00E339EB"/>
    <w:rsid w:val="00E33D5D"/>
    <w:rsid w:val="00E33E12"/>
    <w:rsid w:val="00E34243"/>
    <w:rsid w:val="00E343C3"/>
    <w:rsid w:val="00E344F1"/>
    <w:rsid w:val="00E348F5"/>
    <w:rsid w:val="00E34C4D"/>
    <w:rsid w:val="00E34F79"/>
    <w:rsid w:val="00E35681"/>
    <w:rsid w:val="00E35E6F"/>
    <w:rsid w:val="00E36374"/>
    <w:rsid w:val="00E363AE"/>
    <w:rsid w:val="00E364C6"/>
    <w:rsid w:val="00E365BC"/>
    <w:rsid w:val="00E36A8F"/>
    <w:rsid w:val="00E36EF4"/>
    <w:rsid w:val="00E37047"/>
    <w:rsid w:val="00E375CD"/>
    <w:rsid w:val="00E40104"/>
    <w:rsid w:val="00E403B6"/>
    <w:rsid w:val="00E40883"/>
    <w:rsid w:val="00E40EFF"/>
    <w:rsid w:val="00E4118F"/>
    <w:rsid w:val="00E41A5C"/>
    <w:rsid w:val="00E41A7B"/>
    <w:rsid w:val="00E41D4C"/>
    <w:rsid w:val="00E42427"/>
    <w:rsid w:val="00E424BD"/>
    <w:rsid w:val="00E426D0"/>
    <w:rsid w:val="00E42C26"/>
    <w:rsid w:val="00E42F58"/>
    <w:rsid w:val="00E4370A"/>
    <w:rsid w:val="00E43723"/>
    <w:rsid w:val="00E4374C"/>
    <w:rsid w:val="00E43973"/>
    <w:rsid w:val="00E43EE2"/>
    <w:rsid w:val="00E44122"/>
    <w:rsid w:val="00E44307"/>
    <w:rsid w:val="00E443E4"/>
    <w:rsid w:val="00E457E3"/>
    <w:rsid w:val="00E45D31"/>
    <w:rsid w:val="00E462C3"/>
    <w:rsid w:val="00E4691D"/>
    <w:rsid w:val="00E46DA5"/>
    <w:rsid w:val="00E478B1"/>
    <w:rsid w:val="00E506A1"/>
    <w:rsid w:val="00E507C3"/>
    <w:rsid w:val="00E50A0F"/>
    <w:rsid w:val="00E50C58"/>
    <w:rsid w:val="00E511CD"/>
    <w:rsid w:val="00E51374"/>
    <w:rsid w:val="00E517C4"/>
    <w:rsid w:val="00E51EA9"/>
    <w:rsid w:val="00E51FDF"/>
    <w:rsid w:val="00E52033"/>
    <w:rsid w:val="00E52038"/>
    <w:rsid w:val="00E526B1"/>
    <w:rsid w:val="00E526E9"/>
    <w:rsid w:val="00E52A17"/>
    <w:rsid w:val="00E52D67"/>
    <w:rsid w:val="00E53D99"/>
    <w:rsid w:val="00E543EB"/>
    <w:rsid w:val="00E54BF6"/>
    <w:rsid w:val="00E54E88"/>
    <w:rsid w:val="00E5515A"/>
    <w:rsid w:val="00E55889"/>
    <w:rsid w:val="00E558E1"/>
    <w:rsid w:val="00E55994"/>
    <w:rsid w:val="00E56361"/>
    <w:rsid w:val="00E56954"/>
    <w:rsid w:val="00E57308"/>
    <w:rsid w:val="00E5737F"/>
    <w:rsid w:val="00E57545"/>
    <w:rsid w:val="00E576A7"/>
    <w:rsid w:val="00E57B7D"/>
    <w:rsid w:val="00E57BB6"/>
    <w:rsid w:val="00E60256"/>
    <w:rsid w:val="00E6029E"/>
    <w:rsid w:val="00E609FC"/>
    <w:rsid w:val="00E612DB"/>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4EE4"/>
    <w:rsid w:val="00E6507D"/>
    <w:rsid w:val="00E65523"/>
    <w:rsid w:val="00E6596F"/>
    <w:rsid w:val="00E65BB8"/>
    <w:rsid w:val="00E65D35"/>
    <w:rsid w:val="00E65E35"/>
    <w:rsid w:val="00E66D2C"/>
    <w:rsid w:val="00E66DD0"/>
    <w:rsid w:val="00E6711D"/>
    <w:rsid w:val="00E67561"/>
    <w:rsid w:val="00E67721"/>
    <w:rsid w:val="00E703B9"/>
    <w:rsid w:val="00E7049B"/>
    <w:rsid w:val="00E716FD"/>
    <w:rsid w:val="00E7176B"/>
    <w:rsid w:val="00E719D0"/>
    <w:rsid w:val="00E71B76"/>
    <w:rsid w:val="00E71F1C"/>
    <w:rsid w:val="00E7217C"/>
    <w:rsid w:val="00E723B3"/>
    <w:rsid w:val="00E72B74"/>
    <w:rsid w:val="00E736DD"/>
    <w:rsid w:val="00E73B61"/>
    <w:rsid w:val="00E73C2D"/>
    <w:rsid w:val="00E73CCF"/>
    <w:rsid w:val="00E73E0D"/>
    <w:rsid w:val="00E7408E"/>
    <w:rsid w:val="00E74131"/>
    <w:rsid w:val="00E7464E"/>
    <w:rsid w:val="00E74CC3"/>
    <w:rsid w:val="00E74EBC"/>
    <w:rsid w:val="00E74F22"/>
    <w:rsid w:val="00E7501A"/>
    <w:rsid w:val="00E75F4A"/>
    <w:rsid w:val="00E75F8E"/>
    <w:rsid w:val="00E7691D"/>
    <w:rsid w:val="00E76C3A"/>
    <w:rsid w:val="00E771B1"/>
    <w:rsid w:val="00E773FF"/>
    <w:rsid w:val="00E774F8"/>
    <w:rsid w:val="00E776E9"/>
    <w:rsid w:val="00E77915"/>
    <w:rsid w:val="00E77F40"/>
    <w:rsid w:val="00E80201"/>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D02"/>
    <w:rsid w:val="00E85B18"/>
    <w:rsid w:val="00E85B28"/>
    <w:rsid w:val="00E86900"/>
    <w:rsid w:val="00E8691F"/>
    <w:rsid w:val="00E86B1E"/>
    <w:rsid w:val="00E86FBE"/>
    <w:rsid w:val="00E87454"/>
    <w:rsid w:val="00E90450"/>
    <w:rsid w:val="00E907F0"/>
    <w:rsid w:val="00E9099F"/>
    <w:rsid w:val="00E90C05"/>
    <w:rsid w:val="00E91572"/>
    <w:rsid w:val="00E91931"/>
    <w:rsid w:val="00E91A7E"/>
    <w:rsid w:val="00E91B22"/>
    <w:rsid w:val="00E91C33"/>
    <w:rsid w:val="00E923EE"/>
    <w:rsid w:val="00E924D1"/>
    <w:rsid w:val="00E928AF"/>
    <w:rsid w:val="00E92948"/>
    <w:rsid w:val="00E92CBD"/>
    <w:rsid w:val="00E92E2C"/>
    <w:rsid w:val="00E932D0"/>
    <w:rsid w:val="00E9347C"/>
    <w:rsid w:val="00E934FB"/>
    <w:rsid w:val="00E93F69"/>
    <w:rsid w:val="00E947A6"/>
    <w:rsid w:val="00E95296"/>
    <w:rsid w:val="00E95480"/>
    <w:rsid w:val="00E959AA"/>
    <w:rsid w:val="00E96243"/>
    <w:rsid w:val="00E972CB"/>
    <w:rsid w:val="00E9733C"/>
    <w:rsid w:val="00E97B24"/>
    <w:rsid w:val="00E97FDD"/>
    <w:rsid w:val="00EA0499"/>
    <w:rsid w:val="00EA0ADE"/>
    <w:rsid w:val="00EA0C50"/>
    <w:rsid w:val="00EA171D"/>
    <w:rsid w:val="00EA175D"/>
    <w:rsid w:val="00EA1762"/>
    <w:rsid w:val="00EA1AE0"/>
    <w:rsid w:val="00EA2086"/>
    <w:rsid w:val="00EA2265"/>
    <w:rsid w:val="00EA2CD9"/>
    <w:rsid w:val="00EA2D3A"/>
    <w:rsid w:val="00EA2EB4"/>
    <w:rsid w:val="00EA3085"/>
    <w:rsid w:val="00EA3182"/>
    <w:rsid w:val="00EA42D4"/>
    <w:rsid w:val="00EA45C1"/>
    <w:rsid w:val="00EA472D"/>
    <w:rsid w:val="00EA4998"/>
    <w:rsid w:val="00EA49B7"/>
    <w:rsid w:val="00EA5644"/>
    <w:rsid w:val="00EA5715"/>
    <w:rsid w:val="00EA5AF2"/>
    <w:rsid w:val="00EA5F34"/>
    <w:rsid w:val="00EA6559"/>
    <w:rsid w:val="00EA65D6"/>
    <w:rsid w:val="00EA67EA"/>
    <w:rsid w:val="00EA6F94"/>
    <w:rsid w:val="00EA7231"/>
    <w:rsid w:val="00EA7690"/>
    <w:rsid w:val="00EA7837"/>
    <w:rsid w:val="00EA78E3"/>
    <w:rsid w:val="00EB04E7"/>
    <w:rsid w:val="00EB1731"/>
    <w:rsid w:val="00EB2151"/>
    <w:rsid w:val="00EB25C9"/>
    <w:rsid w:val="00EB29CF"/>
    <w:rsid w:val="00EB2CC8"/>
    <w:rsid w:val="00EB308A"/>
    <w:rsid w:val="00EB3A34"/>
    <w:rsid w:val="00EB3ADA"/>
    <w:rsid w:val="00EB420C"/>
    <w:rsid w:val="00EB430D"/>
    <w:rsid w:val="00EB48DF"/>
    <w:rsid w:val="00EB497B"/>
    <w:rsid w:val="00EB4C21"/>
    <w:rsid w:val="00EB537F"/>
    <w:rsid w:val="00EB58BF"/>
    <w:rsid w:val="00EB5A8A"/>
    <w:rsid w:val="00EB5AC5"/>
    <w:rsid w:val="00EB61FD"/>
    <w:rsid w:val="00EB6201"/>
    <w:rsid w:val="00EB6365"/>
    <w:rsid w:val="00EB68C5"/>
    <w:rsid w:val="00EB6F83"/>
    <w:rsid w:val="00EB76DC"/>
    <w:rsid w:val="00EB7741"/>
    <w:rsid w:val="00EB77BC"/>
    <w:rsid w:val="00EB7E3B"/>
    <w:rsid w:val="00EC0211"/>
    <w:rsid w:val="00EC033C"/>
    <w:rsid w:val="00EC0842"/>
    <w:rsid w:val="00EC0B62"/>
    <w:rsid w:val="00EC0E04"/>
    <w:rsid w:val="00EC0F46"/>
    <w:rsid w:val="00EC1453"/>
    <w:rsid w:val="00EC16B9"/>
    <w:rsid w:val="00EC17CD"/>
    <w:rsid w:val="00EC18B3"/>
    <w:rsid w:val="00EC1913"/>
    <w:rsid w:val="00EC1EA3"/>
    <w:rsid w:val="00EC2481"/>
    <w:rsid w:val="00EC2792"/>
    <w:rsid w:val="00EC2A2E"/>
    <w:rsid w:val="00EC2B44"/>
    <w:rsid w:val="00EC3068"/>
    <w:rsid w:val="00EC30DE"/>
    <w:rsid w:val="00EC3324"/>
    <w:rsid w:val="00EC3344"/>
    <w:rsid w:val="00EC3571"/>
    <w:rsid w:val="00EC35D1"/>
    <w:rsid w:val="00EC3814"/>
    <w:rsid w:val="00EC3A5B"/>
    <w:rsid w:val="00EC3EFB"/>
    <w:rsid w:val="00EC404D"/>
    <w:rsid w:val="00EC41AE"/>
    <w:rsid w:val="00EC4246"/>
    <w:rsid w:val="00EC4351"/>
    <w:rsid w:val="00EC4B41"/>
    <w:rsid w:val="00EC4CE2"/>
    <w:rsid w:val="00EC5185"/>
    <w:rsid w:val="00EC52BC"/>
    <w:rsid w:val="00EC5DC5"/>
    <w:rsid w:val="00EC5F6C"/>
    <w:rsid w:val="00EC602E"/>
    <w:rsid w:val="00EC6472"/>
    <w:rsid w:val="00EC650B"/>
    <w:rsid w:val="00EC6712"/>
    <w:rsid w:val="00EC67AD"/>
    <w:rsid w:val="00EC6871"/>
    <w:rsid w:val="00EC6ECE"/>
    <w:rsid w:val="00EC73F7"/>
    <w:rsid w:val="00EC751C"/>
    <w:rsid w:val="00EC7F52"/>
    <w:rsid w:val="00ED0C1F"/>
    <w:rsid w:val="00ED112B"/>
    <w:rsid w:val="00ED133A"/>
    <w:rsid w:val="00ED19F6"/>
    <w:rsid w:val="00ED1E3B"/>
    <w:rsid w:val="00ED2166"/>
    <w:rsid w:val="00ED25DD"/>
    <w:rsid w:val="00ED2639"/>
    <w:rsid w:val="00ED2899"/>
    <w:rsid w:val="00ED2A65"/>
    <w:rsid w:val="00ED3546"/>
    <w:rsid w:val="00ED35AA"/>
    <w:rsid w:val="00ED36BC"/>
    <w:rsid w:val="00ED38FF"/>
    <w:rsid w:val="00ED3F28"/>
    <w:rsid w:val="00ED3F56"/>
    <w:rsid w:val="00ED4848"/>
    <w:rsid w:val="00ED6611"/>
    <w:rsid w:val="00ED67C4"/>
    <w:rsid w:val="00ED6B86"/>
    <w:rsid w:val="00ED6E73"/>
    <w:rsid w:val="00ED772D"/>
    <w:rsid w:val="00ED78A2"/>
    <w:rsid w:val="00EE0006"/>
    <w:rsid w:val="00EE0046"/>
    <w:rsid w:val="00EE04B3"/>
    <w:rsid w:val="00EE09E6"/>
    <w:rsid w:val="00EE0AA4"/>
    <w:rsid w:val="00EE0E2F"/>
    <w:rsid w:val="00EE170D"/>
    <w:rsid w:val="00EE1AAE"/>
    <w:rsid w:val="00EE21B7"/>
    <w:rsid w:val="00EE227C"/>
    <w:rsid w:val="00EE3065"/>
    <w:rsid w:val="00EE3148"/>
    <w:rsid w:val="00EE31EE"/>
    <w:rsid w:val="00EE349A"/>
    <w:rsid w:val="00EE3761"/>
    <w:rsid w:val="00EE46E7"/>
    <w:rsid w:val="00EE4A2A"/>
    <w:rsid w:val="00EE4B8F"/>
    <w:rsid w:val="00EE4DC2"/>
    <w:rsid w:val="00EE549F"/>
    <w:rsid w:val="00EE566E"/>
    <w:rsid w:val="00EE5D39"/>
    <w:rsid w:val="00EE5F84"/>
    <w:rsid w:val="00EE5F8A"/>
    <w:rsid w:val="00EE5FEC"/>
    <w:rsid w:val="00EE6605"/>
    <w:rsid w:val="00EE6806"/>
    <w:rsid w:val="00EE6FC4"/>
    <w:rsid w:val="00EE7269"/>
    <w:rsid w:val="00EE72DE"/>
    <w:rsid w:val="00EE75E6"/>
    <w:rsid w:val="00EE76DE"/>
    <w:rsid w:val="00EE7718"/>
    <w:rsid w:val="00EE7A36"/>
    <w:rsid w:val="00EF04A7"/>
    <w:rsid w:val="00EF0C12"/>
    <w:rsid w:val="00EF0E63"/>
    <w:rsid w:val="00EF110D"/>
    <w:rsid w:val="00EF13CA"/>
    <w:rsid w:val="00EF1589"/>
    <w:rsid w:val="00EF1728"/>
    <w:rsid w:val="00EF25F1"/>
    <w:rsid w:val="00EF2623"/>
    <w:rsid w:val="00EF2C08"/>
    <w:rsid w:val="00EF2E98"/>
    <w:rsid w:val="00EF3165"/>
    <w:rsid w:val="00EF31AE"/>
    <w:rsid w:val="00EF36A3"/>
    <w:rsid w:val="00EF39A2"/>
    <w:rsid w:val="00EF3C5D"/>
    <w:rsid w:val="00EF43F9"/>
    <w:rsid w:val="00EF4526"/>
    <w:rsid w:val="00EF4B9F"/>
    <w:rsid w:val="00EF4D7F"/>
    <w:rsid w:val="00EF4DD6"/>
    <w:rsid w:val="00EF5CE5"/>
    <w:rsid w:val="00EF6244"/>
    <w:rsid w:val="00EF6498"/>
    <w:rsid w:val="00EF64C7"/>
    <w:rsid w:val="00EF6EAC"/>
    <w:rsid w:val="00EF6F59"/>
    <w:rsid w:val="00EF79AB"/>
    <w:rsid w:val="00F00777"/>
    <w:rsid w:val="00F0090D"/>
    <w:rsid w:val="00F00CF6"/>
    <w:rsid w:val="00F01418"/>
    <w:rsid w:val="00F01604"/>
    <w:rsid w:val="00F016E3"/>
    <w:rsid w:val="00F0183B"/>
    <w:rsid w:val="00F018A9"/>
    <w:rsid w:val="00F01A2E"/>
    <w:rsid w:val="00F01C04"/>
    <w:rsid w:val="00F01C5F"/>
    <w:rsid w:val="00F0235A"/>
    <w:rsid w:val="00F023EF"/>
    <w:rsid w:val="00F025F1"/>
    <w:rsid w:val="00F0272D"/>
    <w:rsid w:val="00F02732"/>
    <w:rsid w:val="00F02823"/>
    <w:rsid w:val="00F02AE6"/>
    <w:rsid w:val="00F02DF3"/>
    <w:rsid w:val="00F030A1"/>
    <w:rsid w:val="00F033CB"/>
    <w:rsid w:val="00F0345D"/>
    <w:rsid w:val="00F034D5"/>
    <w:rsid w:val="00F0364A"/>
    <w:rsid w:val="00F03AD9"/>
    <w:rsid w:val="00F040CE"/>
    <w:rsid w:val="00F04275"/>
    <w:rsid w:val="00F058A4"/>
    <w:rsid w:val="00F05BFE"/>
    <w:rsid w:val="00F05F8F"/>
    <w:rsid w:val="00F0655A"/>
    <w:rsid w:val="00F0657A"/>
    <w:rsid w:val="00F0673B"/>
    <w:rsid w:val="00F06A09"/>
    <w:rsid w:val="00F06AAF"/>
    <w:rsid w:val="00F06F50"/>
    <w:rsid w:val="00F0707A"/>
    <w:rsid w:val="00F077D1"/>
    <w:rsid w:val="00F07A77"/>
    <w:rsid w:val="00F1016F"/>
    <w:rsid w:val="00F10263"/>
    <w:rsid w:val="00F10579"/>
    <w:rsid w:val="00F1058A"/>
    <w:rsid w:val="00F10D19"/>
    <w:rsid w:val="00F11331"/>
    <w:rsid w:val="00F11837"/>
    <w:rsid w:val="00F11855"/>
    <w:rsid w:val="00F11D7C"/>
    <w:rsid w:val="00F11F19"/>
    <w:rsid w:val="00F11FB7"/>
    <w:rsid w:val="00F123E6"/>
    <w:rsid w:val="00F127BD"/>
    <w:rsid w:val="00F12D97"/>
    <w:rsid w:val="00F13493"/>
    <w:rsid w:val="00F146C7"/>
    <w:rsid w:val="00F14C82"/>
    <w:rsid w:val="00F14CCE"/>
    <w:rsid w:val="00F14DD0"/>
    <w:rsid w:val="00F14E37"/>
    <w:rsid w:val="00F15042"/>
    <w:rsid w:val="00F1508D"/>
    <w:rsid w:val="00F15329"/>
    <w:rsid w:val="00F15464"/>
    <w:rsid w:val="00F154BD"/>
    <w:rsid w:val="00F15891"/>
    <w:rsid w:val="00F15E3F"/>
    <w:rsid w:val="00F16832"/>
    <w:rsid w:val="00F176D2"/>
    <w:rsid w:val="00F178F3"/>
    <w:rsid w:val="00F20117"/>
    <w:rsid w:val="00F20653"/>
    <w:rsid w:val="00F209A5"/>
    <w:rsid w:val="00F21106"/>
    <w:rsid w:val="00F21326"/>
    <w:rsid w:val="00F2162D"/>
    <w:rsid w:val="00F21672"/>
    <w:rsid w:val="00F21678"/>
    <w:rsid w:val="00F216DB"/>
    <w:rsid w:val="00F217C5"/>
    <w:rsid w:val="00F21AF2"/>
    <w:rsid w:val="00F21BE3"/>
    <w:rsid w:val="00F21F26"/>
    <w:rsid w:val="00F22A2C"/>
    <w:rsid w:val="00F22FED"/>
    <w:rsid w:val="00F23657"/>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A9"/>
    <w:rsid w:val="00F31832"/>
    <w:rsid w:val="00F31974"/>
    <w:rsid w:val="00F31B33"/>
    <w:rsid w:val="00F31C2A"/>
    <w:rsid w:val="00F31E41"/>
    <w:rsid w:val="00F31E86"/>
    <w:rsid w:val="00F32423"/>
    <w:rsid w:val="00F337D7"/>
    <w:rsid w:val="00F3413B"/>
    <w:rsid w:val="00F34214"/>
    <w:rsid w:val="00F344DB"/>
    <w:rsid w:val="00F344E5"/>
    <w:rsid w:val="00F34B2A"/>
    <w:rsid w:val="00F34BBC"/>
    <w:rsid w:val="00F34E2E"/>
    <w:rsid w:val="00F3509B"/>
    <w:rsid w:val="00F3511B"/>
    <w:rsid w:val="00F355A0"/>
    <w:rsid w:val="00F356D9"/>
    <w:rsid w:val="00F359A8"/>
    <w:rsid w:val="00F35B0B"/>
    <w:rsid w:val="00F35C32"/>
    <w:rsid w:val="00F35F40"/>
    <w:rsid w:val="00F36004"/>
    <w:rsid w:val="00F3606C"/>
    <w:rsid w:val="00F36AAE"/>
    <w:rsid w:val="00F36D09"/>
    <w:rsid w:val="00F3763A"/>
    <w:rsid w:val="00F37C34"/>
    <w:rsid w:val="00F37DA7"/>
    <w:rsid w:val="00F37FBF"/>
    <w:rsid w:val="00F40690"/>
    <w:rsid w:val="00F40CEE"/>
    <w:rsid w:val="00F40F4B"/>
    <w:rsid w:val="00F4158C"/>
    <w:rsid w:val="00F41846"/>
    <w:rsid w:val="00F418B8"/>
    <w:rsid w:val="00F41AB2"/>
    <w:rsid w:val="00F41E08"/>
    <w:rsid w:val="00F42617"/>
    <w:rsid w:val="00F428CD"/>
    <w:rsid w:val="00F4349A"/>
    <w:rsid w:val="00F437A3"/>
    <w:rsid w:val="00F43966"/>
    <w:rsid w:val="00F43DED"/>
    <w:rsid w:val="00F44095"/>
    <w:rsid w:val="00F4496D"/>
    <w:rsid w:val="00F44BF2"/>
    <w:rsid w:val="00F44CBA"/>
    <w:rsid w:val="00F44E13"/>
    <w:rsid w:val="00F452D4"/>
    <w:rsid w:val="00F45627"/>
    <w:rsid w:val="00F45B88"/>
    <w:rsid w:val="00F468FD"/>
    <w:rsid w:val="00F46D78"/>
    <w:rsid w:val="00F4704E"/>
    <w:rsid w:val="00F4730F"/>
    <w:rsid w:val="00F47658"/>
    <w:rsid w:val="00F47A55"/>
    <w:rsid w:val="00F47A71"/>
    <w:rsid w:val="00F47EC6"/>
    <w:rsid w:val="00F50142"/>
    <w:rsid w:val="00F50473"/>
    <w:rsid w:val="00F508F9"/>
    <w:rsid w:val="00F50AA4"/>
    <w:rsid w:val="00F50F10"/>
    <w:rsid w:val="00F51740"/>
    <w:rsid w:val="00F51D6E"/>
    <w:rsid w:val="00F52760"/>
    <w:rsid w:val="00F52F2E"/>
    <w:rsid w:val="00F53009"/>
    <w:rsid w:val="00F5304E"/>
    <w:rsid w:val="00F53071"/>
    <w:rsid w:val="00F534A6"/>
    <w:rsid w:val="00F53A63"/>
    <w:rsid w:val="00F53D6B"/>
    <w:rsid w:val="00F549CF"/>
    <w:rsid w:val="00F54F92"/>
    <w:rsid w:val="00F550D7"/>
    <w:rsid w:val="00F553B8"/>
    <w:rsid w:val="00F55D13"/>
    <w:rsid w:val="00F55DA1"/>
    <w:rsid w:val="00F5610D"/>
    <w:rsid w:val="00F5622F"/>
    <w:rsid w:val="00F563FD"/>
    <w:rsid w:val="00F566E9"/>
    <w:rsid w:val="00F57091"/>
    <w:rsid w:val="00F57877"/>
    <w:rsid w:val="00F57CD9"/>
    <w:rsid w:val="00F60622"/>
    <w:rsid w:val="00F60656"/>
    <w:rsid w:val="00F6077D"/>
    <w:rsid w:val="00F60794"/>
    <w:rsid w:val="00F60903"/>
    <w:rsid w:val="00F612F7"/>
    <w:rsid w:val="00F61667"/>
    <w:rsid w:val="00F616F4"/>
    <w:rsid w:val="00F61829"/>
    <w:rsid w:val="00F61A63"/>
    <w:rsid w:val="00F61F18"/>
    <w:rsid w:val="00F61F8F"/>
    <w:rsid w:val="00F62135"/>
    <w:rsid w:val="00F62338"/>
    <w:rsid w:val="00F6292D"/>
    <w:rsid w:val="00F62B30"/>
    <w:rsid w:val="00F63188"/>
    <w:rsid w:val="00F6366D"/>
    <w:rsid w:val="00F6398F"/>
    <w:rsid w:val="00F63B2E"/>
    <w:rsid w:val="00F64221"/>
    <w:rsid w:val="00F64416"/>
    <w:rsid w:val="00F64509"/>
    <w:rsid w:val="00F64592"/>
    <w:rsid w:val="00F648C5"/>
    <w:rsid w:val="00F64AC1"/>
    <w:rsid w:val="00F64B79"/>
    <w:rsid w:val="00F6505A"/>
    <w:rsid w:val="00F650C9"/>
    <w:rsid w:val="00F65DEA"/>
    <w:rsid w:val="00F66232"/>
    <w:rsid w:val="00F665CF"/>
    <w:rsid w:val="00F6714E"/>
    <w:rsid w:val="00F67445"/>
    <w:rsid w:val="00F6767E"/>
    <w:rsid w:val="00F701E5"/>
    <w:rsid w:val="00F70270"/>
    <w:rsid w:val="00F7058C"/>
    <w:rsid w:val="00F71379"/>
    <w:rsid w:val="00F71486"/>
    <w:rsid w:val="00F71795"/>
    <w:rsid w:val="00F72024"/>
    <w:rsid w:val="00F72425"/>
    <w:rsid w:val="00F72EC6"/>
    <w:rsid w:val="00F72ED7"/>
    <w:rsid w:val="00F72FBD"/>
    <w:rsid w:val="00F7355C"/>
    <w:rsid w:val="00F73ABB"/>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E5"/>
    <w:rsid w:val="00F76269"/>
    <w:rsid w:val="00F76735"/>
    <w:rsid w:val="00F76E10"/>
    <w:rsid w:val="00F76F39"/>
    <w:rsid w:val="00F771FC"/>
    <w:rsid w:val="00F7736C"/>
    <w:rsid w:val="00F7755C"/>
    <w:rsid w:val="00F77875"/>
    <w:rsid w:val="00F778DA"/>
    <w:rsid w:val="00F77AD4"/>
    <w:rsid w:val="00F80027"/>
    <w:rsid w:val="00F80069"/>
    <w:rsid w:val="00F80526"/>
    <w:rsid w:val="00F80963"/>
    <w:rsid w:val="00F80B83"/>
    <w:rsid w:val="00F80F5E"/>
    <w:rsid w:val="00F81A28"/>
    <w:rsid w:val="00F81CC1"/>
    <w:rsid w:val="00F826BC"/>
    <w:rsid w:val="00F8273B"/>
    <w:rsid w:val="00F82D37"/>
    <w:rsid w:val="00F82F26"/>
    <w:rsid w:val="00F839A3"/>
    <w:rsid w:val="00F83A4A"/>
    <w:rsid w:val="00F841D2"/>
    <w:rsid w:val="00F84648"/>
    <w:rsid w:val="00F846BA"/>
    <w:rsid w:val="00F8487D"/>
    <w:rsid w:val="00F848AF"/>
    <w:rsid w:val="00F84FCB"/>
    <w:rsid w:val="00F8513B"/>
    <w:rsid w:val="00F853F7"/>
    <w:rsid w:val="00F855DA"/>
    <w:rsid w:val="00F85BCC"/>
    <w:rsid w:val="00F86045"/>
    <w:rsid w:val="00F86149"/>
    <w:rsid w:val="00F86277"/>
    <w:rsid w:val="00F86382"/>
    <w:rsid w:val="00F864B2"/>
    <w:rsid w:val="00F86639"/>
    <w:rsid w:val="00F8683B"/>
    <w:rsid w:val="00F86E17"/>
    <w:rsid w:val="00F87624"/>
    <w:rsid w:val="00F878EA"/>
    <w:rsid w:val="00F87F23"/>
    <w:rsid w:val="00F900AF"/>
    <w:rsid w:val="00F900B7"/>
    <w:rsid w:val="00F909B1"/>
    <w:rsid w:val="00F90C11"/>
    <w:rsid w:val="00F90DE9"/>
    <w:rsid w:val="00F90EB4"/>
    <w:rsid w:val="00F925BA"/>
    <w:rsid w:val="00F92725"/>
    <w:rsid w:val="00F9292E"/>
    <w:rsid w:val="00F92A08"/>
    <w:rsid w:val="00F92F4A"/>
    <w:rsid w:val="00F937F9"/>
    <w:rsid w:val="00F9384B"/>
    <w:rsid w:val="00F93D40"/>
    <w:rsid w:val="00F94487"/>
    <w:rsid w:val="00F945EF"/>
    <w:rsid w:val="00F9461E"/>
    <w:rsid w:val="00F9492C"/>
    <w:rsid w:val="00F94B38"/>
    <w:rsid w:val="00F94BFA"/>
    <w:rsid w:val="00F94D21"/>
    <w:rsid w:val="00F94D48"/>
    <w:rsid w:val="00F9536D"/>
    <w:rsid w:val="00F9570A"/>
    <w:rsid w:val="00F95A8B"/>
    <w:rsid w:val="00F95D57"/>
    <w:rsid w:val="00F95EE7"/>
    <w:rsid w:val="00F96421"/>
    <w:rsid w:val="00F96746"/>
    <w:rsid w:val="00F96A77"/>
    <w:rsid w:val="00F96E43"/>
    <w:rsid w:val="00F9737A"/>
    <w:rsid w:val="00F9760B"/>
    <w:rsid w:val="00F9774B"/>
    <w:rsid w:val="00F97EEE"/>
    <w:rsid w:val="00FA05F0"/>
    <w:rsid w:val="00FA07E5"/>
    <w:rsid w:val="00FA0B7D"/>
    <w:rsid w:val="00FA1111"/>
    <w:rsid w:val="00FA1545"/>
    <w:rsid w:val="00FA1FD9"/>
    <w:rsid w:val="00FA2717"/>
    <w:rsid w:val="00FA2B84"/>
    <w:rsid w:val="00FA2CFC"/>
    <w:rsid w:val="00FA3312"/>
    <w:rsid w:val="00FA35ED"/>
    <w:rsid w:val="00FA3E52"/>
    <w:rsid w:val="00FA416F"/>
    <w:rsid w:val="00FA419A"/>
    <w:rsid w:val="00FA4504"/>
    <w:rsid w:val="00FA4606"/>
    <w:rsid w:val="00FA4B25"/>
    <w:rsid w:val="00FA4D14"/>
    <w:rsid w:val="00FA4F73"/>
    <w:rsid w:val="00FA561F"/>
    <w:rsid w:val="00FA57D0"/>
    <w:rsid w:val="00FA5B77"/>
    <w:rsid w:val="00FA5E02"/>
    <w:rsid w:val="00FA5E4D"/>
    <w:rsid w:val="00FA6242"/>
    <w:rsid w:val="00FA6473"/>
    <w:rsid w:val="00FA6910"/>
    <w:rsid w:val="00FA6A37"/>
    <w:rsid w:val="00FA6AFC"/>
    <w:rsid w:val="00FA7019"/>
    <w:rsid w:val="00FA71D6"/>
    <w:rsid w:val="00FA7BC3"/>
    <w:rsid w:val="00FA7EE6"/>
    <w:rsid w:val="00FB00B3"/>
    <w:rsid w:val="00FB0155"/>
    <w:rsid w:val="00FB1030"/>
    <w:rsid w:val="00FB15D1"/>
    <w:rsid w:val="00FB18F5"/>
    <w:rsid w:val="00FB217F"/>
    <w:rsid w:val="00FB243B"/>
    <w:rsid w:val="00FB2470"/>
    <w:rsid w:val="00FB270C"/>
    <w:rsid w:val="00FB274F"/>
    <w:rsid w:val="00FB2840"/>
    <w:rsid w:val="00FB28B1"/>
    <w:rsid w:val="00FB29C2"/>
    <w:rsid w:val="00FB2C55"/>
    <w:rsid w:val="00FB3235"/>
    <w:rsid w:val="00FB367B"/>
    <w:rsid w:val="00FB3ABE"/>
    <w:rsid w:val="00FB3BD3"/>
    <w:rsid w:val="00FB3F56"/>
    <w:rsid w:val="00FB3FEA"/>
    <w:rsid w:val="00FB4586"/>
    <w:rsid w:val="00FB4688"/>
    <w:rsid w:val="00FB4A99"/>
    <w:rsid w:val="00FB4D83"/>
    <w:rsid w:val="00FB4D99"/>
    <w:rsid w:val="00FB4E87"/>
    <w:rsid w:val="00FB5979"/>
    <w:rsid w:val="00FB5AE9"/>
    <w:rsid w:val="00FB5FD8"/>
    <w:rsid w:val="00FB647D"/>
    <w:rsid w:val="00FB69A5"/>
    <w:rsid w:val="00FB6C63"/>
    <w:rsid w:val="00FB6E37"/>
    <w:rsid w:val="00FB7120"/>
    <w:rsid w:val="00FB7393"/>
    <w:rsid w:val="00FC0362"/>
    <w:rsid w:val="00FC0CA7"/>
    <w:rsid w:val="00FC1261"/>
    <w:rsid w:val="00FC134D"/>
    <w:rsid w:val="00FC1377"/>
    <w:rsid w:val="00FC13F0"/>
    <w:rsid w:val="00FC1620"/>
    <w:rsid w:val="00FC18C8"/>
    <w:rsid w:val="00FC1BEE"/>
    <w:rsid w:val="00FC1D54"/>
    <w:rsid w:val="00FC20C3"/>
    <w:rsid w:val="00FC252B"/>
    <w:rsid w:val="00FC26BA"/>
    <w:rsid w:val="00FC2AB7"/>
    <w:rsid w:val="00FC2CD7"/>
    <w:rsid w:val="00FC2CE1"/>
    <w:rsid w:val="00FC2D32"/>
    <w:rsid w:val="00FC320F"/>
    <w:rsid w:val="00FC38F3"/>
    <w:rsid w:val="00FC3EBD"/>
    <w:rsid w:val="00FC44F8"/>
    <w:rsid w:val="00FC45B5"/>
    <w:rsid w:val="00FC4779"/>
    <w:rsid w:val="00FC48C2"/>
    <w:rsid w:val="00FC4A26"/>
    <w:rsid w:val="00FC5115"/>
    <w:rsid w:val="00FC585F"/>
    <w:rsid w:val="00FC59E5"/>
    <w:rsid w:val="00FC5CB0"/>
    <w:rsid w:val="00FC5E2E"/>
    <w:rsid w:val="00FC601C"/>
    <w:rsid w:val="00FC6365"/>
    <w:rsid w:val="00FC63E6"/>
    <w:rsid w:val="00FC6760"/>
    <w:rsid w:val="00FC6C56"/>
    <w:rsid w:val="00FC779A"/>
    <w:rsid w:val="00FC7859"/>
    <w:rsid w:val="00FD0230"/>
    <w:rsid w:val="00FD03EC"/>
    <w:rsid w:val="00FD0507"/>
    <w:rsid w:val="00FD06B2"/>
    <w:rsid w:val="00FD07E0"/>
    <w:rsid w:val="00FD08CF"/>
    <w:rsid w:val="00FD0925"/>
    <w:rsid w:val="00FD0A5A"/>
    <w:rsid w:val="00FD0B98"/>
    <w:rsid w:val="00FD0D76"/>
    <w:rsid w:val="00FD0E71"/>
    <w:rsid w:val="00FD0EDB"/>
    <w:rsid w:val="00FD0F47"/>
    <w:rsid w:val="00FD1760"/>
    <w:rsid w:val="00FD1B57"/>
    <w:rsid w:val="00FD1C20"/>
    <w:rsid w:val="00FD2B5E"/>
    <w:rsid w:val="00FD2DA9"/>
    <w:rsid w:val="00FD307D"/>
    <w:rsid w:val="00FD3095"/>
    <w:rsid w:val="00FD3CCA"/>
    <w:rsid w:val="00FD3E9B"/>
    <w:rsid w:val="00FD458C"/>
    <w:rsid w:val="00FD46D2"/>
    <w:rsid w:val="00FD4C31"/>
    <w:rsid w:val="00FD4E57"/>
    <w:rsid w:val="00FD58CB"/>
    <w:rsid w:val="00FD5A9A"/>
    <w:rsid w:val="00FD5C34"/>
    <w:rsid w:val="00FD6256"/>
    <w:rsid w:val="00FD66AE"/>
    <w:rsid w:val="00FD6DF1"/>
    <w:rsid w:val="00FD6F01"/>
    <w:rsid w:val="00FD7373"/>
    <w:rsid w:val="00FD7697"/>
    <w:rsid w:val="00FD76E2"/>
    <w:rsid w:val="00FD7FA6"/>
    <w:rsid w:val="00FE027C"/>
    <w:rsid w:val="00FE0957"/>
    <w:rsid w:val="00FE1069"/>
    <w:rsid w:val="00FE1481"/>
    <w:rsid w:val="00FE16CD"/>
    <w:rsid w:val="00FE17A5"/>
    <w:rsid w:val="00FE18C9"/>
    <w:rsid w:val="00FE1FC9"/>
    <w:rsid w:val="00FE265B"/>
    <w:rsid w:val="00FE278C"/>
    <w:rsid w:val="00FE35CB"/>
    <w:rsid w:val="00FE36DE"/>
    <w:rsid w:val="00FE3972"/>
    <w:rsid w:val="00FE4AC9"/>
    <w:rsid w:val="00FE5033"/>
    <w:rsid w:val="00FE5044"/>
    <w:rsid w:val="00FE51EC"/>
    <w:rsid w:val="00FE5374"/>
    <w:rsid w:val="00FE58A0"/>
    <w:rsid w:val="00FE5DD9"/>
    <w:rsid w:val="00FE5EAB"/>
    <w:rsid w:val="00FE619F"/>
    <w:rsid w:val="00FE6238"/>
    <w:rsid w:val="00FE6A9F"/>
    <w:rsid w:val="00FE6E69"/>
    <w:rsid w:val="00FE7314"/>
    <w:rsid w:val="00FE751C"/>
    <w:rsid w:val="00FE77CA"/>
    <w:rsid w:val="00FE7A83"/>
    <w:rsid w:val="00FF070B"/>
    <w:rsid w:val="00FF0B11"/>
    <w:rsid w:val="00FF0DB8"/>
    <w:rsid w:val="00FF109E"/>
    <w:rsid w:val="00FF1CA9"/>
    <w:rsid w:val="00FF1CEC"/>
    <w:rsid w:val="00FF1E45"/>
    <w:rsid w:val="00FF29C4"/>
    <w:rsid w:val="00FF29FF"/>
    <w:rsid w:val="00FF2AB0"/>
    <w:rsid w:val="00FF2B0D"/>
    <w:rsid w:val="00FF2CA2"/>
    <w:rsid w:val="00FF2EE6"/>
    <w:rsid w:val="00FF380B"/>
    <w:rsid w:val="00FF3C7F"/>
    <w:rsid w:val="00FF454F"/>
    <w:rsid w:val="00FF461C"/>
    <w:rsid w:val="00FF4681"/>
    <w:rsid w:val="00FF5386"/>
    <w:rsid w:val="00FF5AA9"/>
    <w:rsid w:val="00FF5C48"/>
    <w:rsid w:val="00FF5D46"/>
    <w:rsid w:val="00FF5E9E"/>
    <w:rsid w:val="00FF6708"/>
    <w:rsid w:val="00FF67B8"/>
    <w:rsid w:val="00FF6887"/>
    <w:rsid w:val="00FF6F4D"/>
    <w:rsid w:val="00FF71D3"/>
    <w:rsid w:val="00FF757C"/>
    <w:rsid w:val="00FF766A"/>
    <w:rsid w:val="00FF76DD"/>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basedOn w:val="Policepardfaut"/>
    <w:link w:val="Corpsdetexte"/>
    <w:locked/>
    <w:rsid w:val="000862E0"/>
    <w:rPr>
      <w:rFonts w:cs="Times New Roman"/>
      <w:sz w:val="24"/>
      <w:szCs w:val="24"/>
    </w:rPr>
  </w:style>
  <w:style w:type="paragraph" w:styleId="Titre">
    <w:name w:val="Title"/>
    <w:basedOn w:val="Normal"/>
    <w:link w:val="TitreCar"/>
    <w:qFormat/>
    <w:rsid w:val="00AC3133"/>
    <w:pPr>
      <w:jc w:val="center"/>
    </w:pPr>
    <w:rPr>
      <w:b/>
      <w:bCs/>
      <w:szCs w:val="28"/>
    </w:rPr>
  </w:style>
  <w:style w:type="character" w:customStyle="1" w:styleId="TitreCar">
    <w:name w:val="Titre Car"/>
    <w:basedOn w:val="Policepardfaut"/>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 w:type="character" w:customStyle="1" w:styleId="ebo1e">
    <w:name w:val="ebo1e"/>
    <w:basedOn w:val="Policepardfaut"/>
    <w:uiPriority w:val="99"/>
    <w:rsid w:val="001712FF"/>
    <w:rPr>
      <w:rFonts w:cs="Times New Roman"/>
    </w:rPr>
  </w:style>
  <w:style w:type="character" w:customStyle="1" w:styleId="fc0t1x20a">
    <w:name w:val="fc0t1x20a"/>
    <w:basedOn w:val="Policepardfaut"/>
    <w:uiPriority w:val="99"/>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D1484-8962-4AF2-AE1D-CCE5417F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2647</Words>
  <Characters>14561</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2</cp:revision>
  <cp:lastPrinted>2018-07-02T10:35:00Z</cp:lastPrinted>
  <dcterms:created xsi:type="dcterms:W3CDTF">2018-07-02T11:59:00Z</dcterms:created>
  <dcterms:modified xsi:type="dcterms:W3CDTF">2018-07-02T11:59:00Z</dcterms:modified>
</cp:coreProperties>
</file>