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4F160F" w:rsidRDefault="004F160F" w:rsidP="0032191A">
      <w:pPr>
        <w:pStyle w:val="NormalWeb"/>
        <w:spacing w:before="0" w:beforeAutospacing="0" w:after="0" w:afterAutospacing="0"/>
        <w:jc w:val="center"/>
        <w:rPr>
          <w:b/>
          <w:bCs/>
          <w:sz w:val="14"/>
          <w:szCs w:val="14"/>
        </w:rPr>
      </w:pPr>
    </w:p>
    <w:p w:rsidR="00F9384B" w:rsidRDefault="00F9384B" w:rsidP="0032191A">
      <w:pPr>
        <w:pStyle w:val="NormalWeb"/>
        <w:spacing w:before="0" w:beforeAutospacing="0" w:after="0" w:afterAutospacing="0"/>
        <w:jc w:val="center"/>
        <w:rPr>
          <w:b/>
          <w:bCs/>
          <w:sz w:val="14"/>
          <w:szCs w:val="14"/>
        </w:rPr>
      </w:pPr>
    </w:p>
    <w:p w:rsidR="0097276B" w:rsidRPr="00E8197C" w:rsidRDefault="003A4060" w:rsidP="003A4060">
      <w:pPr>
        <w:pStyle w:val="NormalWeb"/>
        <w:spacing w:before="0" w:beforeAutospacing="0" w:after="0" w:afterAutospacing="0"/>
        <w:jc w:val="center"/>
        <w:rPr>
          <w:b/>
          <w:bCs/>
          <w:sz w:val="28"/>
          <w:szCs w:val="28"/>
        </w:rPr>
      </w:pPr>
      <w:r>
        <w:rPr>
          <w:b/>
          <w:bCs/>
          <w:sz w:val="28"/>
          <w:szCs w:val="28"/>
        </w:rPr>
        <w:t>Note de</w:t>
      </w:r>
      <w:r w:rsidR="0097276B" w:rsidRPr="00E8197C">
        <w:rPr>
          <w:b/>
          <w:bCs/>
          <w:sz w:val="28"/>
          <w:szCs w:val="28"/>
        </w:rPr>
        <w:t xml:space="preserve"> conjoncture</w:t>
      </w:r>
      <w:r w:rsidR="0097276B">
        <w:rPr>
          <w:b/>
          <w:bCs/>
          <w:sz w:val="28"/>
          <w:szCs w:val="28"/>
        </w:rPr>
        <w:t xml:space="preserve"> </w:t>
      </w:r>
    </w:p>
    <w:p w:rsidR="0097276B" w:rsidRDefault="0097276B" w:rsidP="003A4060">
      <w:pPr>
        <w:pStyle w:val="NormalWeb"/>
        <w:spacing w:before="0" w:beforeAutospacing="0" w:after="0" w:afterAutospacing="0"/>
        <w:jc w:val="center"/>
        <w:rPr>
          <w:b/>
          <w:bCs/>
        </w:rPr>
      </w:pPr>
      <w:r>
        <w:rPr>
          <w:b/>
          <w:bCs/>
        </w:rPr>
        <w:t xml:space="preserve">- </w:t>
      </w:r>
      <w:r w:rsidR="003A4060">
        <w:rPr>
          <w:b/>
          <w:bCs/>
        </w:rPr>
        <w:t>Octobre</w:t>
      </w:r>
      <w:r w:rsidR="005C318A">
        <w:rPr>
          <w:b/>
          <w:bCs/>
        </w:rPr>
        <w:t xml:space="preserve"> </w:t>
      </w:r>
      <w:r w:rsidRPr="00E82E2E">
        <w:rPr>
          <w:b/>
          <w:bCs/>
        </w:rPr>
        <w:t>201</w:t>
      </w:r>
      <w:r w:rsidR="008F6FE7">
        <w:rPr>
          <w:b/>
          <w:bCs/>
        </w:rPr>
        <w:t>7</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6133BE" w:rsidRDefault="00954293" w:rsidP="0032191A">
      <w:pPr>
        <w:pStyle w:val="NormalWeb"/>
        <w:spacing w:before="0" w:beforeAutospacing="0" w:after="0" w:afterAutospacing="0"/>
        <w:jc w:val="center"/>
        <w:rPr>
          <w:b/>
          <w:bCs/>
        </w:rPr>
      </w:pPr>
      <w:r>
        <w:rPr>
          <w:b/>
          <w:bCs/>
        </w:rPr>
        <w:t xml:space="preserve">              </w:t>
      </w:r>
    </w:p>
    <w:p w:rsidR="00C13BF6" w:rsidRDefault="00C13BF6" w:rsidP="008B5548">
      <w:pPr>
        <w:jc w:val="both"/>
        <w:rPr>
          <w:rFonts w:ascii="Arial" w:hAnsi="Arial" w:cs="Arial"/>
          <w:sz w:val="20"/>
          <w:szCs w:val="20"/>
        </w:rPr>
      </w:pPr>
      <w:r>
        <w:rPr>
          <w:rFonts w:ascii="Arial" w:hAnsi="Arial" w:cs="Arial"/>
          <w:sz w:val="20"/>
          <w:szCs w:val="20"/>
        </w:rPr>
        <w:t xml:space="preserve">L’économie nationale aurait </w:t>
      </w:r>
      <w:r w:rsidR="002F7AE9">
        <w:rPr>
          <w:rFonts w:ascii="Arial" w:hAnsi="Arial" w:cs="Arial"/>
          <w:sz w:val="20"/>
          <w:szCs w:val="20"/>
        </w:rPr>
        <w:t>réalisé une croissance de</w:t>
      </w:r>
      <w:r>
        <w:rPr>
          <w:rFonts w:ascii="Arial" w:hAnsi="Arial" w:cs="Arial"/>
          <w:sz w:val="20"/>
          <w:szCs w:val="20"/>
        </w:rPr>
        <w:t xml:space="preserve"> </w:t>
      </w:r>
      <w:r w:rsidR="00CF5941">
        <w:rPr>
          <w:rFonts w:ascii="Arial" w:hAnsi="Arial" w:cs="Arial"/>
          <w:sz w:val="20"/>
          <w:szCs w:val="20"/>
        </w:rPr>
        <w:t>3</w:t>
      </w:r>
      <w:r w:rsidR="002E00AA">
        <w:rPr>
          <w:rFonts w:ascii="Arial" w:hAnsi="Arial" w:cs="Arial"/>
          <w:sz w:val="20"/>
          <w:szCs w:val="20"/>
        </w:rPr>
        <w:t>,</w:t>
      </w:r>
      <w:r w:rsidR="000365D0">
        <w:rPr>
          <w:rFonts w:ascii="Arial" w:hAnsi="Arial" w:cs="Arial"/>
          <w:sz w:val="20"/>
          <w:szCs w:val="20"/>
        </w:rPr>
        <w:t>8</w:t>
      </w:r>
      <w:r>
        <w:rPr>
          <w:rFonts w:ascii="Arial" w:hAnsi="Arial" w:cs="Arial"/>
          <w:sz w:val="20"/>
          <w:szCs w:val="20"/>
        </w:rPr>
        <w:t xml:space="preserve">%, au </w:t>
      </w:r>
      <w:r w:rsidR="009E7903">
        <w:rPr>
          <w:rFonts w:ascii="Arial" w:hAnsi="Arial" w:cs="Arial"/>
          <w:sz w:val="20"/>
          <w:szCs w:val="20"/>
        </w:rPr>
        <w:t>trois</w:t>
      </w:r>
      <w:r w:rsidR="00C803B9">
        <w:rPr>
          <w:rFonts w:ascii="Arial" w:hAnsi="Arial" w:cs="Arial"/>
          <w:sz w:val="20"/>
          <w:szCs w:val="20"/>
        </w:rPr>
        <w:t>ième</w:t>
      </w:r>
      <w:r>
        <w:rPr>
          <w:rFonts w:ascii="Arial" w:hAnsi="Arial" w:cs="Arial"/>
          <w:sz w:val="20"/>
          <w:szCs w:val="20"/>
        </w:rPr>
        <w:t xml:space="preserve"> trimestre 2017, au lieu de +</w:t>
      </w:r>
      <w:r w:rsidR="006D01DE">
        <w:rPr>
          <w:rFonts w:ascii="Arial" w:hAnsi="Arial" w:cs="Arial"/>
          <w:sz w:val="20"/>
          <w:szCs w:val="20"/>
        </w:rPr>
        <w:t>1</w:t>
      </w:r>
      <w:r w:rsidR="00706A61">
        <w:rPr>
          <w:rFonts w:ascii="Arial" w:hAnsi="Arial" w:cs="Arial"/>
          <w:sz w:val="20"/>
          <w:szCs w:val="20"/>
        </w:rPr>
        <w:t>,3</w:t>
      </w:r>
      <w:r>
        <w:rPr>
          <w:rFonts w:ascii="Arial" w:hAnsi="Arial" w:cs="Arial"/>
          <w:sz w:val="20"/>
          <w:szCs w:val="20"/>
        </w:rPr>
        <w:t xml:space="preserve">% </w:t>
      </w:r>
      <w:r w:rsidR="00791243">
        <w:rPr>
          <w:rFonts w:ascii="Arial" w:hAnsi="Arial" w:cs="Arial"/>
          <w:sz w:val="20"/>
          <w:szCs w:val="20"/>
        </w:rPr>
        <w:t>une année</w:t>
      </w:r>
      <w:r>
        <w:rPr>
          <w:rFonts w:ascii="Arial" w:hAnsi="Arial" w:cs="Arial"/>
          <w:sz w:val="20"/>
          <w:szCs w:val="20"/>
        </w:rPr>
        <w:t xml:space="preserve"> auparavant</w:t>
      </w:r>
      <w:r w:rsidR="00EB48DF">
        <w:rPr>
          <w:rFonts w:ascii="Arial" w:hAnsi="Arial" w:cs="Arial"/>
          <w:sz w:val="20"/>
          <w:szCs w:val="20"/>
        </w:rPr>
        <w:t xml:space="preserve">, </w:t>
      </w:r>
      <w:r w:rsidR="002F7AE9">
        <w:rPr>
          <w:rFonts w:ascii="Arial" w:hAnsi="Arial" w:cs="Arial"/>
          <w:sz w:val="20"/>
          <w:szCs w:val="20"/>
        </w:rPr>
        <w:t>tirée</w:t>
      </w:r>
      <w:r>
        <w:rPr>
          <w:rFonts w:ascii="Arial" w:hAnsi="Arial" w:cs="Arial"/>
          <w:sz w:val="20"/>
          <w:szCs w:val="20"/>
        </w:rPr>
        <w:t xml:space="preserve">, </w:t>
      </w:r>
      <w:r w:rsidR="002F7AE9">
        <w:rPr>
          <w:rFonts w:ascii="Arial" w:hAnsi="Arial" w:cs="Arial"/>
          <w:sz w:val="20"/>
          <w:szCs w:val="20"/>
        </w:rPr>
        <w:t>notamment</w:t>
      </w:r>
      <w:r>
        <w:rPr>
          <w:rFonts w:ascii="Arial" w:hAnsi="Arial" w:cs="Arial"/>
          <w:sz w:val="20"/>
          <w:szCs w:val="20"/>
        </w:rPr>
        <w:t xml:space="preserve">, par </w:t>
      </w:r>
      <w:r w:rsidR="00383E16">
        <w:rPr>
          <w:rFonts w:ascii="Arial" w:hAnsi="Arial" w:cs="Arial"/>
          <w:sz w:val="20"/>
          <w:szCs w:val="20"/>
        </w:rPr>
        <w:t>l</w:t>
      </w:r>
      <w:r w:rsidR="002F7AE9">
        <w:rPr>
          <w:rFonts w:ascii="Arial" w:hAnsi="Arial" w:cs="Arial"/>
          <w:sz w:val="20"/>
          <w:szCs w:val="20"/>
        </w:rPr>
        <w:t xml:space="preserve">’amélioration </w:t>
      </w:r>
      <w:r>
        <w:rPr>
          <w:rFonts w:ascii="Arial" w:hAnsi="Arial" w:cs="Arial"/>
          <w:sz w:val="20"/>
          <w:szCs w:val="20"/>
        </w:rPr>
        <w:t xml:space="preserve">de </w:t>
      </w:r>
      <w:r w:rsidR="00F34B2A">
        <w:rPr>
          <w:rFonts w:ascii="Arial" w:hAnsi="Arial" w:cs="Arial"/>
          <w:sz w:val="20"/>
          <w:szCs w:val="20"/>
        </w:rPr>
        <w:t>1</w:t>
      </w:r>
      <w:r w:rsidR="002F7AE9">
        <w:rPr>
          <w:rFonts w:ascii="Arial" w:hAnsi="Arial" w:cs="Arial"/>
          <w:sz w:val="20"/>
          <w:szCs w:val="20"/>
        </w:rPr>
        <w:t>4</w:t>
      </w:r>
      <w:r w:rsidR="00F34B2A">
        <w:rPr>
          <w:rFonts w:ascii="Arial" w:hAnsi="Arial" w:cs="Arial"/>
          <w:sz w:val="20"/>
          <w:szCs w:val="20"/>
        </w:rPr>
        <w:t>,</w:t>
      </w:r>
      <w:r w:rsidR="00CF5941">
        <w:rPr>
          <w:rFonts w:ascii="Arial" w:hAnsi="Arial" w:cs="Arial"/>
          <w:sz w:val="20"/>
          <w:szCs w:val="20"/>
        </w:rPr>
        <w:t>7</w:t>
      </w:r>
      <w:r>
        <w:rPr>
          <w:rFonts w:ascii="Arial" w:hAnsi="Arial" w:cs="Arial"/>
          <w:sz w:val="20"/>
          <w:szCs w:val="20"/>
        </w:rPr>
        <w:t xml:space="preserve">% de la valeur ajoutée agricole, </w:t>
      </w:r>
      <w:r w:rsidR="00791243">
        <w:rPr>
          <w:rFonts w:ascii="Arial" w:hAnsi="Arial" w:cs="Arial"/>
          <w:sz w:val="20"/>
          <w:szCs w:val="20"/>
        </w:rPr>
        <w:t>au lieu d’</w:t>
      </w:r>
      <w:r>
        <w:rPr>
          <w:rFonts w:ascii="Arial" w:hAnsi="Arial" w:cs="Arial"/>
          <w:sz w:val="20"/>
          <w:szCs w:val="20"/>
        </w:rPr>
        <w:t xml:space="preserve">une </w:t>
      </w:r>
      <w:r w:rsidR="00960BED">
        <w:rPr>
          <w:rFonts w:ascii="Arial" w:hAnsi="Arial" w:cs="Arial"/>
          <w:sz w:val="20"/>
          <w:szCs w:val="20"/>
        </w:rPr>
        <w:t xml:space="preserve">baisse de </w:t>
      </w:r>
      <w:r w:rsidR="00EB48DF">
        <w:rPr>
          <w:rFonts w:ascii="Arial" w:hAnsi="Arial" w:cs="Arial"/>
          <w:sz w:val="20"/>
          <w:szCs w:val="20"/>
        </w:rPr>
        <w:t>1</w:t>
      </w:r>
      <w:r w:rsidR="00684FEA">
        <w:rPr>
          <w:rFonts w:ascii="Arial" w:hAnsi="Arial" w:cs="Arial"/>
          <w:sz w:val="20"/>
          <w:szCs w:val="20"/>
        </w:rPr>
        <w:t>3</w:t>
      </w:r>
      <w:r w:rsidR="00EB48DF">
        <w:rPr>
          <w:rFonts w:ascii="Arial" w:hAnsi="Arial" w:cs="Arial"/>
          <w:sz w:val="20"/>
          <w:szCs w:val="20"/>
        </w:rPr>
        <w:t>,</w:t>
      </w:r>
      <w:r w:rsidR="00684FEA">
        <w:rPr>
          <w:rFonts w:ascii="Arial" w:hAnsi="Arial" w:cs="Arial"/>
          <w:sz w:val="20"/>
          <w:szCs w:val="20"/>
        </w:rPr>
        <w:t>6</w:t>
      </w:r>
      <w:r w:rsidR="00791243">
        <w:rPr>
          <w:rFonts w:ascii="Arial" w:hAnsi="Arial" w:cs="Arial"/>
          <w:sz w:val="20"/>
          <w:szCs w:val="20"/>
        </w:rPr>
        <w:t>% au cours de la même période de 2016</w:t>
      </w:r>
      <w:r>
        <w:rPr>
          <w:rFonts w:ascii="Arial" w:hAnsi="Arial" w:cs="Arial"/>
          <w:sz w:val="20"/>
          <w:szCs w:val="20"/>
        </w:rPr>
        <w:t xml:space="preserve">. </w:t>
      </w:r>
      <w:r w:rsidR="00EB48DF">
        <w:rPr>
          <w:rFonts w:ascii="Arial" w:hAnsi="Arial" w:cs="Arial"/>
          <w:sz w:val="20"/>
          <w:szCs w:val="20"/>
        </w:rPr>
        <w:t xml:space="preserve">La valeur ajoutée des activités hors </w:t>
      </w:r>
      <w:r w:rsidR="00383E16">
        <w:rPr>
          <w:rFonts w:ascii="Arial" w:hAnsi="Arial" w:cs="Arial"/>
          <w:sz w:val="20"/>
          <w:szCs w:val="20"/>
        </w:rPr>
        <w:t>agriculture</w:t>
      </w:r>
      <w:r w:rsidR="003D312F">
        <w:rPr>
          <w:rFonts w:ascii="Arial" w:hAnsi="Arial" w:cs="Arial"/>
          <w:sz w:val="20"/>
          <w:szCs w:val="20"/>
        </w:rPr>
        <w:t xml:space="preserve"> </w:t>
      </w:r>
      <w:r w:rsidR="000A6476">
        <w:rPr>
          <w:rFonts w:ascii="Arial" w:hAnsi="Arial" w:cs="Arial"/>
          <w:sz w:val="20"/>
          <w:szCs w:val="20"/>
        </w:rPr>
        <w:t>aurait</w:t>
      </w:r>
      <w:r w:rsidR="000A6476" w:rsidRPr="00DB7C3F">
        <w:rPr>
          <w:rFonts w:ascii="Arial" w:hAnsi="Arial" w:cs="Arial"/>
          <w:sz w:val="20"/>
          <w:szCs w:val="20"/>
        </w:rPr>
        <w:t xml:space="preserve"> </w:t>
      </w:r>
      <w:r w:rsidR="000A6476">
        <w:rPr>
          <w:rFonts w:ascii="Arial" w:hAnsi="Arial" w:cs="Arial"/>
          <w:sz w:val="20"/>
          <w:szCs w:val="20"/>
        </w:rPr>
        <w:t>affich</w:t>
      </w:r>
      <w:r w:rsidR="00EF25F1">
        <w:rPr>
          <w:rFonts w:ascii="Arial" w:hAnsi="Arial" w:cs="Arial"/>
          <w:sz w:val="20"/>
          <w:szCs w:val="20"/>
        </w:rPr>
        <w:t>é</w:t>
      </w:r>
      <w:r w:rsidR="00EB48DF">
        <w:rPr>
          <w:rFonts w:ascii="Arial" w:hAnsi="Arial" w:cs="Arial"/>
          <w:sz w:val="20"/>
          <w:szCs w:val="20"/>
        </w:rPr>
        <w:t>, pour sa part,</w:t>
      </w:r>
      <w:r w:rsidR="000A6476">
        <w:rPr>
          <w:rFonts w:ascii="Arial" w:hAnsi="Arial" w:cs="Arial"/>
          <w:sz w:val="20"/>
          <w:szCs w:val="20"/>
        </w:rPr>
        <w:t xml:space="preserve"> un</w:t>
      </w:r>
      <w:r w:rsidR="002F7AE9">
        <w:rPr>
          <w:rFonts w:ascii="Arial" w:hAnsi="Arial" w:cs="Arial"/>
          <w:sz w:val="20"/>
          <w:szCs w:val="20"/>
        </w:rPr>
        <w:t xml:space="preserve"> accroissement</w:t>
      </w:r>
      <w:r w:rsidR="000A6476">
        <w:rPr>
          <w:rFonts w:ascii="Arial" w:hAnsi="Arial" w:cs="Arial"/>
          <w:sz w:val="20"/>
          <w:szCs w:val="20"/>
        </w:rPr>
        <w:t xml:space="preserve"> de </w:t>
      </w:r>
      <w:r w:rsidR="00684FEA">
        <w:rPr>
          <w:rFonts w:ascii="Arial" w:hAnsi="Arial" w:cs="Arial"/>
          <w:sz w:val="20"/>
          <w:szCs w:val="20"/>
        </w:rPr>
        <w:t>2</w:t>
      </w:r>
      <w:r w:rsidR="006D01DE">
        <w:rPr>
          <w:rFonts w:ascii="Arial" w:hAnsi="Arial" w:cs="Arial"/>
          <w:sz w:val="20"/>
          <w:szCs w:val="20"/>
        </w:rPr>
        <w:t>,</w:t>
      </w:r>
      <w:r w:rsidR="000365D0">
        <w:rPr>
          <w:rFonts w:ascii="Arial" w:hAnsi="Arial" w:cs="Arial"/>
          <w:sz w:val="20"/>
          <w:szCs w:val="20"/>
        </w:rPr>
        <w:t>6</w:t>
      </w:r>
      <w:r w:rsidR="000A6476">
        <w:rPr>
          <w:rFonts w:ascii="Arial" w:hAnsi="Arial" w:cs="Arial"/>
          <w:sz w:val="20"/>
          <w:szCs w:val="20"/>
        </w:rPr>
        <w:t xml:space="preserve">%, </w:t>
      </w:r>
      <w:r w:rsidR="002F7AE9">
        <w:rPr>
          <w:rFonts w:ascii="Arial" w:hAnsi="Arial" w:cs="Arial"/>
          <w:sz w:val="20"/>
          <w:szCs w:val="20"/>
        </w:rPr>
        <w:t>porté</w:t>
      </w:r>
      <w:r w:rsidR="00F93D40">
        <w:rPr>
          <w:rFonts w:ascii="Arial" w:hAnsi="Arial" w:cs="Arial"/>
          <w:sz w:val="20"/>
          <w:szCs w:val="20"/>
        </w:rPr>
        <w:t xml:space="preserve"> par </w:t>
      </w:r>
      <w:r w:rsidR="00A07FCD">
        <w:rPr>
          <w:rFonts w:ascii="Arial" w:hAnsi="Arial" w:cs="Arial"/>
          <w:sz w:val="20"/>
          <w:szCs w:val="20"/>
        </w:rPr>
        <w:t xml:space="preserve">le secteur tertiaire et </w:t>
      </w:r>
      <w:r w:rsidR="009F7A3A">
        <w:rPr>
          <w:rFonts w:ascii="Arial" w:hAnsi="Arial" w:cs="Arial"/>
          <w:sz w:val="20"/>
          <w:szCs w:val="20"/>
        </w:rPr>
        <w:t>les mines</w:t>
      </w:r>
      <w:r w:rsidR="000A6476">
        <w:rPr>
          <w:rFonts w:ascii="Arial" w:hAnsi="Arial" w:cs="Arial"/>
          <w:sz w:val="20"/>
          <w:szCs w:val="20"/>
        </w:rPr>
        <w:t xml:space="preserve">. </w:t>
      </w:r>
      <w:r>
        <w:rPr>
          <w:rFonts w:ascii="Arial" w:hAnsi="Arial" w:cs="Arial"/>
          <w:sz w:val="20"/>
          <w:szCs w:val="20"/>
        </w:rPr>
        <w:t xml:space="preserve">Au </w:t>
      </w:r>
      <w:r w:rsidR="002F7AE9">
        <w:rPr>
          <w:rFonts w:ascii="Arial" w:hAnsi="Arial" w:cs="Arial"/>
          <w:sz w:val="20"/>
          <w:szCs w:val="20"/>
        </w:rPr>
        <w:t>quatr</w:t>
      </w:r>
      <w:r>
        <w:rPr>
          <w:rFonts w:ascii="Arial" w:hAnsi="Arial" w:cs="Arial"/>
          <w:sz w:val="20"/>
          <w:szCs w:val="20"/>
        </w:rPr>
        <w:t>ième trimestre 2</w:t>
      </w:r>
      <w:r w:rsidR="003D312F">
        <w:rPr>
          <w:rFonts w:ascii="Arial" w:hAnsi="Arial" w:cs="Arial"/>
          <w:sz w:val="20"/>
          <w:szCs w:val="20"/>
        </w:rPr>
        <w:t>017, l</w:t>
      </w:r>
      <w:r w:rsidR="00114A43">
        <w:rPr>
          <w:rFonts w:ascii="Arial" w:hAnsi="Arial" w:cs="Arial"/>
          <w:sz w:val="20"/>
          <w:szCs w:val="20"/>
        </w:rPr>
        <w:t>a</w:t>
      </w:r>
      <w:r w:rsidR="003D312F">
        <w:rPr>
          <w:rFonts w:ascii="Arial" w:hAnsi="Arial" w:cs="Arial"/>
          <w:sz w:val="20"/>
          <w:szCs w:val="20"/>
        </w:rPr>
        <w:t xml:space="preserve"> croissance des activités </w:t>
      </w:r>
      <w:r>
        <w:rPr>
          <w:rFonts w:ascii="Arial" w:hAnsi="Arial" w:cs="Arial"/>
          <w:sz w:val="20"/>
          <w:szCs w:val="20"/>
        </w:rPr>
        <w:t>non-agricole</w:t>
      </w:r>
      <w:r w:rsidR="0015676A">
        <w:rPr>
          <w:rFonts w:ascii="Arial" w:hAnsi="Arial" w:cs="Arial"/>
          <w:sz w:val="20"/>
          <w:szCs w:val="20"/>
        </w:rPr>
        <w:t>s</w:t>
      </w:r>
      <w:r>
        <w:rPr>
          <w:rFonts w:ascii="Arial" w:hAnsi="Arial" w:cs="Arial"/>
          <w:sz w:val="20"/>
          <w:szCs w:val="20"/>
        </w:rPr>
        <w:t xml:space="preserve"> </w:t>
      </w:r>
      <w:r w:rsidR="003D312F">
        <w:rPr>
          <w:rFonts w:ascii="Arial" w:hAnsi="Arial" w:cs="Arial"/>
          <w:sz w:val="20"/>
          <w:szCs w:val="20"/>
        </w:rPr>
        <w:t xml:space="preserve">se poursuivrait </w:t>
      </w:r>
      <w:r w:rsidR="00383E16">
        <w:rPr>
          <w:rFonts w:ascii="Arial" w:hAnsi="Arial" w:cs="Arial"/>
          <w:sz w:val="20"/>
          <w:szCs w:val="20"/>
        </w:rPr>
        <w:t>au</w:t>
      </w:r>
      <w:r w:rsidR="003D312F">
        <w:rPr>
          <w:rFonts w:ascii="Arial" w:hAnsi="Arial" w:cs="Arial"/>
          <w:sz w:val="20"/>
          <w:szCs w:val="20"/>
        </w:rPr>
        <w:t xml:space="preserve"> rythme de</w:t>
      </w:r>
      <w:r>
        <w:rPr>
          <w:rFonts w:ascii="Arial" w:hAnsi="Arial" w:cs="Arial"/>
          <w:sz w:val="20"/>
          <w:szCs w:val="20"/>
        </w:rPr>
        <w:t xml:space="preserve"> +</w:t>
      </w:r>
      <w:r w:rsidR="006D01DE">
        <w:rPr>
          <w:rFonts w:ascii="Arial" w:hAnsi="Arial" w:cs="Arial"/>
          <w:sz w:val="20"/>
          <w:szCs w:val="20"/>
        </w:rPr>
        <w:t>2,</w:t>
      </w:r>
      <w:r w:rsidR="000365D0">
        <w:rPr>
          <w:rFonts w:ascii="Arial" w:hAnsi="Arial" w:cs="Arial"/>
          <w:sz w:val="20"/>
          <w:szCs w:val="20"/>
        </w:rPr>
        <w:t>7</w:t>
      </w:r>
      <w:r>
        <w:rPr>
          <w:rFonts w:ascii="Arial" w:hAnsi="Arial" w:cs="Arial"/>
          <w:sz w:val="20"/>
          <w:szCs w:val="20"/>
        </w:rPr>
        <w:t>%. Avec une hausse de 1</w:t>
      </w:r>
      <w:r w:rsidR="002F7AE9">
        <w:rPr>
          <w:rFonts w:ascii="Arial" w:hAnsi="Arial" w:cs="Arial"/>
          <w:sz w:val="20"/>
          <w:szCs w:val="20"/>
        </w:rPr>
        <w:t>3</w:t>
      </w:r>
      <w:r>
        <w:rPr>
          <w:rFonts w:ascii="Arial" w:hAnsi="Arial" w:cs="Arial"/>
          <w:sz w:val="20"/>
          <w:szCs w:val="20"/>
        </w:rPr>
        <w:t>,</w:t>
      </w:r>
      <w:r w:rsidR="00CF5941">
        <w:rPr>
          <w:rFonts w:ascii="Arial" w:hAnsi="Arial" w:cs="Arial"/>
          <w:sz w:val="20"/>
          <w:szCs w:val="20"/>
        </w:rPr>
        <w:t>5</w:t>
      </w:r>
      <w:r>
        <w:rPr>
          <w:rFonts w:ascii="Arial" w:hAnsi="Arial" w:cs="Arial"/>
          <w:sz w:val="20"/>
          <w:szCs w:val="20"/>
        </w:rPr>
        <w:t xml:space="preserve">% de la valeur ajoutée agricole, l’économie nationale </w:t>
      </w:r>
      <w:r w:rsidR="00BA2257">
        <w:rPr>
          <w:rFonts w:ascii="Arial" w:hAnsi="Arial" w:cs="Arial"/>
          <w:sz w:val="20"/>
          <w:szCs w:val="20"/>
        </w:rPr>
        <w:t>s’améliorerait</w:t>
      </w:r>
      <w:r>
        <w:rPr>
          <w:rFonts w:ascii="Arial" w:hAnsi="Arial" w:cs="Arial"/>
          <w:sz w:val="20"/>
          <w:szCs w:val="20"/>
        </w:rPr>
        <w:t xml:space="preserve"> de </w:t>
      </w:r>
      <w:r w:rsidR="000365D0">
        <w:rPr>
          <w:rFonts w:ascii="Arial" w:hAnsi="Arial" w:cs="Arial"/>
          <w:sz w:val="20"/>
          <w:szCs w:val="20"/>
        </w:rPr>
        <w:t>3</w:t>
      </w:r>
      <w:r w:rsidR="00684FEA">
        <w:rPr>
          <w:rFonts w:ascii="Arial" w:hAnsi="Arial" w:cs="Arial"/>
          <w:sz w:val="20"/>
          <w:szCs w:val="20"/>
        </w:rPr>
        <w:t>,</w:t>
      </w:r>
      <w:r w:rsidR="000365D0">
        <w:rPr>
          <w:rFonts w:ascii="Arial" w:hAnsi="Arial" w:cs="Arial"/>
          <w:sz w:val="20"/>
          <w:szCs w:val="20"/>
        </w:rPr>
        <w:t>9</w:t>
      </w:r>
      <w:r>
        <w:rPr>
          <w:rFonts w:ascii="Arial" w:hAnsi="Arial" w:cs="Arial"/>
          <w:sz w:val="20"/>
          <w:szCs w:val="20"/>
        </w:rPr>
        <w:t>%, au lieu de +</w:t>
      </w:r>
      <w:r w:rsidR="006D01DE">
        <w:rPr>
          <w:rFonts w:ascii="Arial" w:hAnsi="Arial" w:cs="Arial"/>
          <w:sz w:val="20"/>
          <w:szCs w:val="20"/>
        </w:rPr>
        <w:t>1</w:t>
      </w:r>
      <w:r>
        <w:rPr>
          <w:rFonts w:ascii="Arial" w:hAnsi="Arial" w:cs="Arial"/>
          <w:sz w:val="20"/>
          <w:szCs w:val="20"/>
        </w:rPr>
        <w:t>% une année plus tôt.</w:t>
      </w:r>
    </w:p>
    <w:p w:rsidR="000A6476" w:rsidRDefault="000A6476" w:rsidP="00C13BF6">
      <w:pPr>
        <w:jc w:val="both"/>
        <w:rPr>
          <w:rFonts w:ascii="Arial" w:hAnsi="Arial" w:cs="Arial"/>
          <w:sz w:val="20"/>
          <w:szCs w:val="20"/>
        </w:rPr>
      </w:pPr>
    </w:p>
    <w:p w:rsidR="006133BE" w:rsidRPr="008065D7" w:rsidRDefault="006133BE" w:rsidP="00692B9F">
      <w:pPr>
        <w:jc w:val="both"/>
        <w:rPr>
          <w:rFonts w:ascii="Arial" w:hAnsi="Arial" w:cs="Arial"/>
          <w:b/>
          <w:bCs/>
          <w:color w:val="800000"/>
          <w:kern w:val="28"/>
          <w:sz w:val="20"/>
          <w:szCs w:val="20"/>
        </w:rPr>
      </w:pPr>
      <w:r>
        <w:rPr>
          <w:rFonts w:ascii="Arial" w:hAnsi="Arial" w:cs="Arial"/>
          <w:b/>
          <w:bCs/>
          <w:color w:val="800000"/>
          <w:kern w:val="28"/>
          <w:sz w:val="20"/>
          <w:szCs w:val="20"/>
        </w:rPr>
        <w:t xml:space="preserve">Poursuite </w:t>
      </w:r>
      <w:r w:rsidR="007A6EF9">
        <w:rPr>
          <w:rFonts w:ascii="Arial" w:hAnsi="Arial" w:cs="Arial"/>
          <w:b/>
          <w:bCs/>
          <w:color w:val="800000"/>
          <w:kern w:val="28"/>
          <w:sz w:val="20"/>
          <w:szCs w:val="20"/>
        </w:rPr>
        <w:t>du raffermissement</w:t>
      </w:r>
      <w:r>
        <w:rPr>
          <w:rFonts w:ascii="Arial" w:hAnsi="Arial" w:cs="Arial"/>
          <w:b/>
          <w:bCs/>
          <w:color w:val="800000"/>
          <w:kern w:val="28"/>
          <w:sz w:val="20"/>
          <w:szCs w:val="20"/>
        </w:rPr>
        <w:t xml:space="preserve"> de </w:t>
      </w:r>
      <w:r w:rsidR="00692B9F">
        <w:rPr>
          <w:rFonts w:ascii="Arial" w:hAnsi="Arial" w:cs="Arial"/>
          <w:b/>
          <w:bCs/>
          <w:color w:val="800000"/>
          <w:kern w:val="28"/>
          <w:sz w:val="20"/>
          <w:szCs w:val="20"/>
        </w:rPr>
        <w:t>la demande</w:t>
      </w:r>
      <w:r>
        <w:rPr>
          <w:rFonts w:ascii="Arial" w:hAnsi="Arial" w:cs="Arial"/>
          <w:b/>
          <w:bCs/>
          <w:color w:val="800000"/>
          <w:kern w:val="28"/>
          <w:sz w:val="20"/>
          <w:szCs w:val="20"/>
        </w:rPr>
        <w:t xml:space="preserve"> mondiale </w:t>
      </w:r>
      <w:r w:rsidR="00692B9F">
        <w:rPr>
          <w:rFonts w:ascii="Arial" w:hAnsi="Arial" w:cs="Arial"/>
          <w:b/>
          <w:bCs/>
          <w:color w:val="800000"/>
          <w:kern w:val="28"/>
          <w:sz w:val="20"/>
          <w:szCs w:val="20"/>
        </w:rPr>
        <w:t xml:space="preserve">adressée au Maroc </w:t>
      </w:r>
    </w:p>
    <w:p w:rsidR="006133BE" w:rsidRDefault="006133BE" w:rsidP="006133BE">
      <w:pPr>
        <w:jc w:val="both"/>
        <w:rPr>
          <w:rFonts w:ascii="Arial" w:hAnsi="Arial" w:cs="Arial"/>
          <w:sz w:val="20"/>
          <w:szCs w:val="20"/>
        </w:rPr>
      </w:pPr>
    </w:p>
    <w:p w:rsidR="006133BE" w:rsidRPr="007117E6" w:rsidRDefault="006133BE" w:rsidP="00194B01">
      <w:pPr>
        <w:jc w:val="both"/>
        <w:rPr>
          <w:rFonts w:ascii="Arial" w:hAnsi="Arial" w:cs="Arial"/>
          <w:iCs/>
          <w:sz w:val="20"/>
          <w:szCs w:val="20"/>
          <w:lang w:eastAsia="en-US"/>
        </w:rPr>
      </w:pPr>
      <w:r>
        <w:rPr>
          <w:rFonts w:ascii="Arial" w:hAnsi="Arial" w:cs="Arial"/>
          <w:noProof/>
          <w:sz w:val="20"/>
          <w:szCs w:val="20"/>
        </w:rPr>
        <w:drawing>
          <wp:anchor distT="0" distB="0" distL="114300" distR="114300" simplePos="0" relativeHeight="251739136" behindDoc="0" locked="0" layoutInCell="1" allowOverlap="1">
            <wp:simplePos x="0" y="0"/>
            <wp:positionH relativeFrom="column">
              <wp:posOffset>4350385</wp:posOffset>
            </wp:positionH>
            <wp:positionV relativeFrom="paragraph">
              <wp:posOffset>560070</wp:posOffset>
            </wp:positionV>
            <wp:extent cx="2219325" cy="1798955"/>
            <wp:effectExtent l="19050" t="0" r="9525" b="0"/>
            <wp:wrapSquare wrapText="bothSides"/>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219325" cy="1798955"/>
                    </a:xfrm>
                    <a:prstGeom prst="rect">
                      <a:avLst/>
                    </a:prstGeom>
                    <a:noFill/>
                    <a:ln w="9525">
                      <a:noFill/>
                      <a:miter lim="800000"/>
                      <a:headEnd/>
                      <a:tailEnd/>
                    </a:ln>
                  </pic:spPr>
                </pic:pic>
              </a:graphicData>
            </a:graphic>
          </wp:anchor>
        </w:drawing>
      </w:r>
      <w:r w:rsidRPr="007117E6">
        <w:rPr>
          <w:rFonts w:ascii="Arial" w:hAnsi="Arial" w:cs="Arial"/>
          <w:sz w:val="20"/>
          <w:szCs w:val="20"/>
        </w:rPr>
        <w:t>Le climat des affaires dans les économies avancées aurait continué à s'améliorer au troisième trimestre 2017. L</w:t>
      </w:r>
      <w:r w:rsidR="00A07FCD">
        <w:rPr>
          <w:rFonts w:ascii="Arial" w:hAnsi="Arial" w:cs="Arial"/>
          <w:sz w:val="20"/>
          <w:szCs w:val="20"/>
        </w:rPr>
        <w:t xml:space="preserve">es </w:t>
      </w:r>
      <w:r w:rsidRPr="007117E6">
        <w:rPr>
          <w:rFonts w:ascii="Arial" w:hAnsi="Arial" w:cs="Arial"/>
          <w:sz w:val="20"/>
          <w:szCs w:val="20"/>
        </w:rPr>
        <w:t>économie</w:t>
      </w:r>
      <w:r w:rsidR="00A07FCD">
        <w:rPr>
          <w:rFonts w:ascii="Arial" w:hAnsi="Arial" w:cs="Arial"/>
          <w:sz w:val="20"/>
          <w:szCs w:val="20"/>
        </w:rPr>
        <w:t>s</w:t>
      </w:r>
      <w:r w:rsidRPr="007117E6">
        <w:rPr>
          <w:rFonts w:ascii="Arial" w:hAnsi="Arial" w:cs="Arial"/>
          <w:sz w:val="20"/>
          <w:szCs w:val="20"/>
        </w:rPr>
        <w:t xml:space="preserve"> américaine et nippone aurai</w:t>
      </w:r>
      <w:r w:rsidR="00A07FCD">
        <w:rPr>
          <w:rFonts w:ascii="Arial" w:hAnsi="Arial" w:cs="Arial"/>
          <w:sz w:val="20"/>
          <w:szCs w:val="20"/>
        </w:rPr>
        <w:t>en</w:t>
      </w:r>
      <w:r w:rsidRPr="007117E6">
        <w:rPr>
          <w:rFonts w:ascii="Arial" w:hAnsi="Arial" w:cs="Arial"/>
          <w:sz w:val="20"/>
          <w:szCs w:val="20"/>
        </w:rPr>
        <w:t xml:space="preserve">t profité de la relance de la consommation des ménages, alors qu'en </w:t>
      </w:r>
      <w:r w:rsidRPr="007117E6">
        <w:rPr>
          <w:rFonts w:ascii="Arial" w:hAnsi="Arial" w:cs="Arial"/>
          <w:iCs/>
          <w:sz w:val="20"/>
          <w:szCs w:val="20"/>
          <w:lang w:eastAsia="en-US"/>
        </w:rPr>
        <w:t xml:space="preserve">zone euro, l'activité aurait </w:t>
      </w:r>
      <w:r w:rsidR="001035A6">
        <w:rPr>
          <w:rFonts w:ascii="Arial" w:hAnsi="Arial" w:cs="Arial"/>
          <w:iCs/>
          <w:sz w:val="20"/>
          <w:szCs w:val="20"/>
          <w:lang w:eastAsia="en-US"/>
        </w:rPr>
        <w:t>progressé de 2,4%, en rythme annualisé, profitant</w:t>
      </w:r>
      <w:r w:rsidRPr="007117E6">
        <w:rPr>
          <w:rFonts w:ascii="Arial" w:hAnsi="Arial" w:cs="Arial"/>
          <w:iCs/>
          <w:sz w:val="20"/>
          <w:szCs w:val="20"/>
          <w:lang w:eastAsia="en-US"/>
        </w:rPr>
        <w:t xml:space="preserve"> de la reprise de l'investissement en construction et en équipement et du renforcement de la consommation privée.</w:t>
      </w:r>
      <w:r w:rsidRPr="007117E6">
        <w:rPr>
          <w:rFonts w:ascii="Arial" w:hAnsi="Arial" w:cs="Arial"/>
          <w:sz w:val="20"/>
          <w:szCs w:val="20"/>
        </w:rPr>
        <w:t xml:space="preserve"> </w:t>
      </w:r>
      <w:r w:rsidRPr="007117E6">
        <w:rPr>
          <w:rFonts w:ascii="Arial" w:hAnsi="Arial" w:cs="Arial"/>
          <w:iCs/>
          <w:sz w:val="20"/>
          <w:szCs w:val="20"/>
          <w:lang w:eastAsia="en-US"/>
        </w:rPr>
        <w:t>La même tendance aurait marqué l'activité dans l</w:t>
      </w:r>
      <w:r w:rsidRPr="007117E6">
        <w:rPr>
          <w:rFonts w:ascii="Arial" w:hAnsi="Arial" w:cs="Arial"/>
          <w:sz w:val="20"/>
          <w:szCs w:val="20"/>
        </w:rPr>
        <w:t xml:space="preserve">es </w:t>
      </w:r>
      <w:r w:rsidRPr="007117E6">
        <w:rPr>
          <w:rFonts w:ascii="Arial" w:hAnsi="Arial" w:cs="Arial"/>
          <w:iCs/>
          <w:sz w:val="20"/>
          <w:szCs w:val="20"/>
          <w:lang w:eastAsia="en-US"/>
        </w:rPr>
        <w:t xml:space="preserve">pays émergents, particulièrement en Chine, où la production industrielle aurait </w:t>
      </w:r>
      <w:r>
        <w:rPr>
          <w:rFonts w:ascii="Arial" w:hAnsi="Arial" w:cs="Arial"/>
          <w:iCs/>
          <w:sz w:val="20"/>
          <w:szCs w:val="20"/>
          <w:lang w:eastAsia="en-US"/>
        </w:rPr>
        <w:t>progress</w:t>
      </w:r>
      <w:r w:rsidRPr="007117E6">
        <w:rPr>
          <w:rFonts w:ascii="Arial" w:hAnsi="Arial" w:cs="Arial"/>
          <w:iCs/>
          <w:sz w:val="20"/>
          <w:szCs w:val="20"/>
          <w:lang w:eastAsia="en-US"/>
        </w:rPr>
        <w:t xml:space="preserve">é, tirée par l'investissement en construction et en produits manufacturés. En Russie et au Brésil, le recul de l'inflation aurait favorisé la reprise progressive de la consommation des ménages et la sortie de </w:t>
      </w:r>
      <w:r w:rsidR="00A07FCD">
        <w:rPr>
          <w:rFonts w:ascii="Arial" w:hAnsi="Arial" w:cs="Arial"/>
          <w:iCs/>
          <w:sz w:val="20"/>
          <w:szCs w:val="20"/>
          <w:lang w:eastAsia="en-US"/>
        </w:rPr>
        <w:t>leur</w:t>
      </w:r>
      <w:r w:rsidR="00AD52D9">
        <w:rPr>
          <w:rFonts w:ascii="Arial" w:hAnsi="Arial" w:cs="Arial"/>
          <w:iCs/>
          <w:sz w:val="20"/>
          <w:szCs w:val="20"/>
          <w:lang w:eastAsia="en-US"/>
        </w:rPr>
        <w:t>s</w:t>
      </w:r>
      <w:r w:rsidR="00A07FCD">
        <w:rPr>
          <w:rFonts w:ascii="Arial" w:hAnsi="Arial" w:cs="Arial"/>
          <w:iCs/>
          <w:sz w:val="20"/>
          <w:szCs w:val="20"/>
          <w:lang w:eastAsia="en-US"/>
        </w:rPr>
        <w:t xml:space="preserve"> économie</w:t>
      </w:r>
      <w:r w:rsidR="00AD52D9">
        <w:rPr>
          <w:rFonts w:ascii="Arial" w:hAnsi="Arial" w:cs="Arial"/>
          <w:iCs/>
          <w:sz w:val="20"/>
          <w:szCs w:val="20"/>
          <w:lang w:eastAsia="en-US"/>
        </w:rPr>
        <w:t>s</w:t>
      </w:r>
      <w:r w:rsidR="00A07FCD">
        <w:rPr>
          <w:rFonts w:ascii="Arial" w:hAnsi="Arial" w:cs="Arial"/>
          <w:iCs/>
          <w:sz w:val="20"/>
          <w:szCs w:val="20"/>
          <w:lang w:eastAsia="en-US"/>
        </w:rPr>
        <w:t xml:space="preserve"> de la </w:t>
      </w:r>
      <w:r w:rsidRPr="007117E6">
        <w:rPr>
          <w:rFonts w:ascii="Arial" w:hAnsi="Arial" w:cs="Arial"/>
          <w:iCs/>
          <w:sz w:val="20"/>
          <w:szCs w:val="20"/>
          <w:lang w:eastAsia="en-US"/>
        </w:rPr>
        <w:t xml:space="preserve">récession se serait confirmée. </w:t>
      </w:r>
    </w:p>
    <w:p w:rsidR="006133BE" w:rsidRPr="007117E6" w:rsidRDefault="006133BE" w:rsidP="006133BE">
      <w:pPr>
        <w:jc w:val="both"/>
        <w:rPr>
          <w:rFonts w:ascii="Arial" w:hAnsi="Arial" w:cs="Arial"/>
          <w:b/>
          <w:bCs/>
          <w:iCs/>
          <w:color w:val="000000"/>
          <w:sz w:val="20"/>
          <w:szCs w:val="20"/>
          <w:lang w:eastAsia="en-US"/>
        </w:rPr>
      </w:pPr>
    </w:p>
    <w:p w:rsidR="006133BE" w:rsidRPr="003F4D95" w:rsidRDefault="006133BE" w:rsidP="00194B01">
      <w:pPr>
        <w:jc w:val="both"/>
        <w:rPr>
          <w:rFonts w:asciiTheme="minorBidi" w:hAnsiTheme="minorBidi" w:cstheme="minorBidi"/>
          <w:sz w:val="20"/>
          <w:szCs w:val="20"/>
        </w:rPr>
      </w:pPr>
      <w:r>
        <w:rPr>
          <w:rFonts w:ascii="Arial" w:hAnsi="Arial" w:cs="Arial"/>
          <w:iCs/>
          <w:color w:val="000000"/>
          <w:sz w:val="20"/>
          <w:szCs w:val="20"/>
          <w:lang w:eastAsia="en-US"/>
        </w:rPr>
        <w:t>La relance</w:t>
      </w:r>
      <w:r w:rsidRPr="00A94D35">
        <w:rPr>
          <w:rFonts w:ascii="Arial" w:hAnsi="Arial" w:cs="Arial"/>
          <w:iCs/>
          <w:color w:val="000000"/>
          <w:sz w:val="20"/>
          <w:szCs w:val="20"/>
          <w:lang w:eastAsia="en-US"/>
        </w:rPr>
        <w:t xml:space="preserve"> des </w:t>
      </w:r>
      <w:r>
        <w:rPr>
          <w:rFonts w:ascii="Arial" w:hAnsi="Arial" w:cs="Arial"/>
          <w:iCs/>
          <w:color w:val="000000"/>
          <w:sz w:val="20"/>
          <w:szCs w:val="20"/>
          <w:lang w:eastAsia="en-US"/>
        </w:rPr>
        <w:t xml:space="preserve">importations des pays émergents aurait </w:t>
      </w:r>
      <w:r w:rsidR="00194B01">
        <w:rPr>
          <w:rFonts w:ascii="Arial" w:hAnsi="Arial" w:cs="Arial"/>
          <w:iCs/>
          <w:color w:val="000000"/>
          <w:sz w:val="20"/>
          <w:szCs w:val="20"/>
          <w:lang w:eastAsia="en-US"/>
        </w:rPr>
        <w:t>soutenu</w:t>
      </w:r>
      <w:r>
        <w:rPr>
          <w:rFonts w:ascii="Arial" w:hAnsi="Arial" w:cs="Arial"/>
          <w:iCs/>
          <w:color w:val="000000"/>
          <w:sz w:val="20"/>
          <w:szCs w:val="20"/>
          <w:lang w:eastAsia="en-US"/>
        </w:rPr>
        <w:t xml:space="preserve"> l</w:t>
      </w:r>
      <w:r w:rsidRPr="00A94D35">
        <w:rPr>
          <w:rFonts w:ascii="Arial" w:hAnsi="Arial" w:cs="Arial"/>
          <w:iCs/>
          <w:color w:val="000000"/>
          <w:sz w:val="20"/>
          <w:szCs w:val="20"/>
          <w:lang w:eastAsia="en-US"/>
        </w:rPr>
        <w:t xml:space="preserve">e </w:t>
      </w:r>
      <w:r w:rsidRPr="008B5548">
        <w:rPr>
          <w:rFonts w:ascii="Arial" w:hAnsi="Arial" w:cs="Arial"/>
          <w:iCs/>
          <w:color w:val="000000"/>
          <w:sz w:val="20"/>
          <w:szCs w:val="20"/>
          <w:lang w:eastAsia="en-US"/>
        </w:rPr>
        <w:t>commerce mondial</w:t>
      </w:r>
      <w:r w:rsidRPr="00A94D35">
        <w:rPr>
          <w:rFonts w:ascii="Arial" w:hAnsi="Arial" w:cs="Arial"/>
          <w:iCs/>
          <w:color w:val="000000"/>
          <w:sz w:val="20"/>
          <w:szCs w:val="20"/>
          <w:lang w:eastAsia="en-US"/>
        </w:rPr>
        <w:t xml:space="preserve"> de biens </w:t>
      </w:r>
      <w:r>
        <w:rPr>
          <w:rFonts w:ascii="Arial" w:hAnsi="Arial" w:cs="Arial"/>
          <w:iCs/>
          <w:color w:val="000000"/>
          <w:sz w:val="20"/>
          <w:szCs w:val="20"/>
          <w:lang w:eastAsia="en-US"/>
        </w:rPr>
        <w:t>qui</w:t>
      </w:r>
      <w:r w:rsidRPr="00A94D35">
        <w:rPr>
          <w:rFonts w:ascii="Arial" w:hAnsi="Arial" w:cs="Arial"/>
          <w:iCs/>
          <w:color w:val="000000"/>
          <w:sz w:val="20"/>
          <w:szCs w:val="20"/>
          <w:lang w:eastAsia="en-US"/>
        </w:rPr>
        <w:t xml:space="preserve"> </w:t>
      </w:r>
      <w:r>
        <w:rPr>
          <w:rFonts w:ascii="Arial" w:hAnsi="Arial" w:cs="Arial"/>
          <w:iCs/>
          <w:color w:val="000000"/>
          <w:sz w:val="20"/>
          <w:szCs w:val="20"/>
          <w:lang w:eastAsia="en-US"/>
        </w:rPr>
        <w:t>aurait progressé de 6% au troisième</w:t>
      </w:r>
      <w:r w:rsidRPr="00A94D35">
        <w:rPr>
          <w:rFonts w:ascii="Arial" w:hAnsi="Arial" w:cs="Arial"/>
          <w:iCs/>
          <w:color w:val="000000"/>
          <w:sz w:val="20"/>
          <w:szCs w:val="20"/>
          <w:lang w:eastAsia="en-US"/>
        </w:rPr>
        <w:t xml:space="preserve"> trimestre</w:t>
      </w:r>
      <w:r>
        <w:rPr>
          <w:rFonts w:ascii="Arial" w:hAnsi="Arial" w:cs="Arial"/>
          <w:iCs/>
          <w:color w:val="000000"/>
          <w:sz w:val="20"/>
          <w:szCs w:val="20"/>
          <w:lang w:eastAsia="en-US"/>
        </w:rPr>
        <w:t xml:space="preserve"> 2017</w:t>
      </w:r>
      <w:r w:rsidRPr="00A94D35">
        <w:rPr>
          <w:rFonts w:ascii="Arial" w:hAnsi="Arial" w:cs="Arial"/>
          <w:iCs/>
          <w:color w:val="000000"/>
          <w:sz w:val="20"/>
          <w:szCs w:val="20"/>
          <w:lang w:eastAsia="en-US"/>
        </w:rPr>
        <w:t xml:space="preserve">, </w:t>
      </w:r>
      <w:r>
        <w:rPr>
          <w:rFonts w:ascii="Arial" w:hAnsi="Arial" w:cs="Arial"/>
          <w:iCs/>
          <w:color w:val="000000"/>
          <w:sz w:val="20"/>
          <w:szCs w:val="20"/>
          <w:lang w:eastAsia="en-US"/>
        </w:rPr>
        <w:t>au lieu de +1% une année plus tôt. E</w:t>
      </w:r>
      <w:r w:rsidRPr="003F4D95">
        <w:rPr>
          <w:rFonts w:asciiTheme="minorBidi" w:hAnsiTheme="minorBidi" w:cstheme="minorBidi"/>
          <w:sz w:val="20"/>
          <w:szCs w:val="20"/>
        </w:rPr>
        <w:t xml:space="preserve">n ligne avec </w:t>
      </w:r>
      <w:r>
        <w:rPr>
          <w:rFonts w:asciiTheme="minorBidi" w:hAnsiTheme="minorBidi" w:cstheme="minorBidi"/>
          <w:sz w:val="20"/>
          <w:szCs w:val="20"/>
        </w:rPr>
        <w:t>l'évolution du commerce mondial, l</w:t>
      </w:r>
      <w:r w:rsidRPr="003F4D95">
        <w:rPr>
          <w:rFonts w:asciiTheme="minorBidi" w:hAnsiTheme="minorBidi" w:cstheme="minorBidi"/>
          <w:sz w:val="20"/>
          <w:szCs w:val="20"/>
        </w:rPr>
        <w:t xml:space="preserve">a </w:t>
      </w:r>
      <w:r w:rsidRPr="003C58F2">
        <w:rPr>
          <w:rFonts w:asciiTheme="minorBidi" w:hAnsiTheme="minorBidi" w:cstheme="minorBidi"/>
          <w:b/>
          <w:bCs/>
          <w:sz w:val="20"/>
          <w:szCs w:val="20"/>
        </w:rPr>
        <w:t xml:space="preserve">demande étrangère adressée au Maroc </w:t>
      </w:r>
      <w:r w:rsidRPr="003F4D95">
        <w:rPr>
          <w:rFonts w:asciiTheme="minorBidi" w:hAnsiTheme="minorBidi" w:cstheme="minorBidi"/>
          <w:sz w:val="20"/>
          <w:szCs w:val="20"/>
        </w:rPr>
        <w:t xml:space="preserve">se serait </w:t>
      </w:r>
      <w:r>
        <w:rPr>
          <w:rFonts w:asciiTheme="minorBidi" w:hAnsiTheme="minorBidi" w:cstheme="minorBidi"/>
          <w:sz w:val="20"/>
          <w:szCs w:val="20"/>
        </w:rPr>
        <w:t>affermie</w:t>
      </w:r>
      <w:r w:rsidRPr="003F4D95">
        <w:rPr>
          <w:rFonts w:asciiTheme="minorBidi" w:hAnsiTheme="minorBidi" w:cstheme="minorBidi"/>
          <w:sz w:val="20"/>
          <w:szCs w:val="20"/>
        </w:rPr>
        <w:t xml:space="preserve"> de </w:t>
      </w:r>
      <w:r>
        <w:rPr>
          <w:rFonts w:asciiTheme="minorBidi" w:hAnsiTheme="minorBidi" w:cstheme="minorBidi"/>
          <w:sz w:val="20"/>
          <w:szCs w:val="20"/>
        </w:rPr>
        <w:t>6,2</w:t>
      </w:r>
      <w:r w:rsidRPr="003F4D95">
        <w:rPr>
          <w:rFonts w:asciiTheme="minorBidi" w:hAnsiTheme="minorBidi" w:cstheme="minorBidi"/>
          <w:sz w:val="20"/>
          <w:szCs w:val="20"/>
        </w:rPr>
        <w:t>%, en glissement annuel</w:t>
      </w:r>
      <w:r>
        <w:rPr>
          <w:rFonts w:asciiTheme="minorBidi" w:hAnsiTheme="minorBidi" w:cstheme="minorBidi"/>
          <w:sz w:val="20"/>
          <w:szCs w:val="20"/>
        </w:rPr>
        <w:t>, lors de la même période.</w:t>
      </w:r>
    </w:p>
    <w:p w:rsidR="006133BE" w:rsidRDefault="006133BE" w:rsidP="006133BE">
      <w:pPr>
        <w:jc w:val="both"/>
        <w:rPr>
          <w:rFonts w:ascii="Arial" w:hAnsi="Arial" w:cs="Arial"/>
          <w:iCs/>
          <w:color w:val="000000"/>
          <w:sz w:val="20"/>
          <w:szCs w:val="20"/>
          <w:lang w:eastAsia="en-US"/>
        </w:rPr>
      </w:pPr>
    </w:p>
    <w:p w:rsidR="006133BE" w:rsidRPr="00C3526D" w:rsidRDefault="006133BE" w:rsidP="006133BE">
      <w:pPr>
        <w:jc w:val="both"/>
        <w:rPr>
          <w:rFonts w:ascii="Arial" w:hAnsi="Arial" w:cs="Arial"/>
          <w:b/>
          <w:bCs/>
          <w:color w:val="800000"/>
          <w:kern w:val="28"/>
          <w:sz w:val="20"/>
          <w:szCs w:val="20"/>
        </w:rPr>
      </w:pPr>
      <w:r w:rsidRPr="00C3526D">
        <w:rPr>
          <w:rFonts w:ascii="Arial" w:hAnsi="Arial" w:cs="Arial"/>
          <w:b/>
          <w:bCs/>
          <w:color w:val="800000"/>
          <w:kern w:val="28"/>
          <w:sz w:val="20"/>
          <w:szCs w:val="20"/>
        </w:rPr>
        <w:t xml:space="preserve">Allègement du déficit commercial </w:t>
      </w:r>
    </w:p>
    <w:p w:rsidR="006133BE" w:rsidRDefault="006133BE" w:rsidP="006133BE">
      <w:pPr>
        <w:jc w:val="both"/>
        <w:rPr>
          <w:rFonts w:ascii="Arial" w:hAnsi="Arial" w:cs="Arial"/>
          <w:iCs/>
          <w:color w:val="000000"/>
          <w:sz w:val="20"/>
          <w:szCs w:val="20"/>
          <w:lang w:eastAsia="en-US"/>
        </w:rPr>
      </w:pPr>
    </w:p>
    <w:p w:rsidR="006133BE" w:rsidRDefault="006133BE" w:rsidP="00075616">
      <w:pPr>
        <w:jc w:val="both"/>
        <w:rPr>
          <w:rFonts w:ascii="Arial" w:hAnsi="Arial" w:cs="Arial"/>
          <w:iCs/>
          <w:color w:val="000000"/>
          <w:sz w:val="20"/>
          <w:szCs w:val="20"/>
          <w:lang w:eastAsia="en-US"/>
        </w:rPr>
      </w:pPr>
      <w:r>
        <w:rPr>
          <w:rFonts w:ascii="Arial" w:hAnsi="Arial" w:cs="Arial"/>
          <w:kern w:val="28"/>
          <w:sz w:val="20"/>
          <w:szCs w:val="20"/>
        </w:rPr>
        <w:t>Au niveau national,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sidRPr="00013C37">
        <w:rPr>
          <w:rFonts w:ascii="Arial" w:hAnsi="Arial" w:cs="Arial"/>
          <w:kern w:val="28"/>
          <w:sz w:val="20"/>
          <w:szCs w:val="20"/>
        </w:rPr>
        <w:t>de biens</w:t>
      </w:r>
      <w:r>
        <w:rPr>
          <w:rFonts w:ascii="Arial" w:hAnsi="Arial" w:cs="Arial"/>
          <w:kern w:val="28"/>
          <w:sz w:val="20"/>
          <w:szCs w:val="20"/>
        </w:rPr>
        <w:t xml:space="preserve"> se seraient améliorées de 11% au troisième trimestre 2017, </w:t>
      </w:r>
      <w:r w:rsidR="00075616">
        <w:rPr>
          <w:rFonts w:ascii="Arial" w:hAnsi="Arial" w:cs="Arial"/>
          <w:kern w:val="28"/>
          <w:sz w:val="20"/>
          <w:szCs w:val="20"/>
        </w:rPr>
        <w:t>après s’être repliées</w:t>
      </w:r>
      <w:r>
        <w:rPr>
          <w:rFonts w:ascii="Arial" w:hAnsi="Arial" w:cs="Arial"/>
          <w:kern w:val="28"/>
          <w:sz w:val="20"/>
          <w:szCs w:val="20"/>
        </w:rPr>
        <w:t xml:space="preserve"> de 1,6% un an plus tôt.</w:t>
      </w:r>
      <w:r w:rsidRPr="00D806B4">
        <w:rPr>
          <w:rFonts w:ascii="Arial" w:hAnsi="Arial" w:cs="Arial"/>
          <w:kern w:val="28"/>
          <w:sz w:val="20"/>
          <w:szCs w:val="20"/>
        </w:rPr>
        <w:t xml:space="preserve"> </w:t>
      </w:r>
      <w:r>
        <w:rPr>
          <w:rFonts w:ascii="Arial" w:hAnsi="Arial" w:cs="Arial"/>
          <w:kern w:val="28"/>
          <w:sz w:val="20"/>
          <w:szCs w:val="20"/>
        </w:rPr>
        <w:t>La bonne performance des ventes extérieures des produits agricoles et agro-alimentaires (agrumes, pastèques et melons, conserves de légumes) aurait été favorisée par une offre agricole relativement abondante et une demande extérieure plus soutenue. L’orientation favorable de la demande extérieure aurait, également, profité au</w:t>
      </w:r>
      <w:r w:rsidR="00482B28">
        <w:rPr>
          <w:rFonts w:ascii="Arial" w:hAnsi="Arial" w:cs="Arial"/>
          <w:kern w:val="28"/>
          <w:sz w:val="20"/>
          <w:szCs w:val="20"/>
        </w:rPr>
        <w:t>x</w:t>
      </w:r>
      <w:r>
        <w:rPr>
          <w:rFonts w:ascii="Arial" w:hAnsi="Arial" w:cs="Arial"/>
          <w:kern w:val="28"/>
          <w:sz w:val="20"/>
          <w:szCs w:val="20"/>
        </w:rPr>
        <w:t xml:space="preserve"> secteur</w:t>
      </w:r>
      <w:r w:rsidR="00482B28">
        <w:rPr>
          <w:rFonts w:ascii="Arial" w:hAnsi="Arial" w:cs="Arial"/>
          <w:kern w:val="28"/>
          <w:sz w:val="20"/>
          <w:szCs w:val="20"/>
        </w:rPr>
        <w:t>s</w:t>
      </w:r>
      <w:r>
        <w:rPr>
          <w:rFonts w:ascii="Arial" w:hAnsi="Arial" w:cs="Arial"/>
          <w:kern w:val="28"/>
          <w:sz w:val="20"/>
          <w:szCs w:val="20"/>
        </w:rPr>
        <w:t xml:space="preserve"> de la confection, </w:t>
      </w:r>
      <w:r w:rsidR="00482B28">
        <w:rPr>
          <w:rFonts w:ascii="Arial" w:hAnsi="Arial" w:cs="Arial"/>
          <w:kern w:val="28"/>
          <w:sz w:val="20"/>
          <w:szCs w:val="20"/>
        </w:rPr>
        <w:t>de l’</w:t>
      </w:r>
      <w:r>
        <w:rPr>
          <w:rFonts w:ascii="Arial" w:hAnsi="Arial" w:cs="Arial"/>
          <w:kern w:val="28"/>
          <w:sz w:val="20"/>
          <w:szCs w:val="20"/>
        </w:rPr>
        <w:t>aéronautique</w:t>
      </w:r>
      <w:r w:rsidR="00482B28">
        <w:rPr>
          <w:rFonts w:ascii="Arial" w:hAnsi="Arial" w:cs="Arial"/>
          <w:kern w:val="28"/>
          <w:sz w:val="20"/>
          <w:szCs w:val="20"/>
        </w:rPr>
        <w:t xml:space="preserve"> et</w:t>
      </w:r>
      <w:r>
        <w:rPr>
          <w:rFonts w:ascii="Arial" w:hAnsi="Arial" w:cs="Arial"/>
          <w:kern w:val="28"/>
          <w:sz w:val="20"/>
          <w:szCs w:val="20"/>
        </w:rPr>
        <w:t xml:space="preserve"> </w:t>
      </w:r>
      <w:r w:rsidR="00482B28">
        <w:rPr>
          <w:rFonts w:ascii="Arial" w:hAnsi="Arial" w:cs="Arial"/>
          <w:kern w:val="28"/>
          <w:sz w:val="20"/>
          <w:szCs w:val="20"/>
        </w:rPr>
        <w:t>de l’</w:t>
      </w:r>
      <w:r>
        <w:rPr>
          <w:rFonts w:ascii="Arial" w:hAnsi="Arial" w:cs="Arial"/>
          <w:kern w:val="28"/>
          <w:sz w:val="20"/>
          <w:szCs w:val="20"/>
        </w:rPr>
        <w:t xml:space="preserve">automobile. Le secteur </w:t>
      </w:r>
      <w:proofErr w:type="spellStart"/>
      <w:r>
        <w:rPr>
          <w:rFonts w:ascii="Arial" w:hAnsi="Arial" w:cs="Arial"/>
          <w:kern w:val="28"/>
          <w:sz w:val="20"/>
          <w:szCs w:val="20"/>
        </w:rPr>
        <w:t>phosphatier</w:t>
      </w:r>
      <w:proofErr w:type="spellEnd"/>
      <w:r>
        <w:rPr>
          <w:rFonts w:ascii="Arial" w:hAnsi="Arial" w:cs="Arial"/>
          <w:kern w:val="28"/>
          <w:sz w:val="20"/>
          <w:szCs w:val="20"/>
        </w:rPr>
        <w:t xml:space="preserve"> aurait continué à bénéficier d'une demande </w:t>
      </w:r>
      <w:r w:rsidR="00482B28">
        <w:rPr>
          <w:rFonts w:ascii="Arial" w:hAnsi="Arial" w:cs="Arial"/>
          <w:kern w:val="28"/>
          <w:sz w:val="20"/>
          <w:szCs w:val="20"/>
        </w:rPr>
        <w:t>soutenue</w:t>
      </w:r>
      <w:r>
        <w:rPr>
          <w:rFonts w:ascii="Arial" w:hAnsi="Arial" w:cs="Arial"/>
          <w:kern w:val="28"/>
          <w:sz w:val="20"/>
          <w:szCs w:val="20"/>
        </w:rPr>
        <w:t xml:space="preserve"> émanant des pays de l’Afrique</w:t>
      </w:r>
      <w:r w:rsidR="00482B28">
        <w:rPr>
          <w:rFonts w:ascii="Arial" w:hAnsi="Arial" w:cs="Arial"/>
          <w:kern w:val="28"/>
          <w:sz w:val="20"/>
          <w:szCs w:val="20"/>
        </w:rPr>
        <w:t xml:space="preserve"> subsaharienne et</w:t>
      </w:r>
      <w:r>
        <w:rPr>
          <w:rFonts w:ascii="Arial" w:hAnsi="Arial" w:cs="Arial"/>
          <w:kern w:val="28"/>
          <w:sz w:val="20"/>
          <w:szCs w:val="20"/>
        </w:rPr>
        <w:t xml:space="preserve"> de l'Amérique latine. La hausse des expéditions en valeur </w:t>
      </w:r>
      <w:r>
        <w:rPr>
          <w:rFonts w:ascii="Arial" w:hAnsi="Arial" w:cs="Arial"/>
          <w:iCs/>
          <w:color w:val="000000"/>
          <w:sz w:val="20"/>
          <w:szCs w:val="20"/>
          <w:lang w:eastAsia="en-US"/>
        </w:rPr>
        <w:t>du phosphate brut aurait atteint près de 13% et ce</w:t>
      </w:r>
      <w:r w:rsidR="00AD52D9">
        <w:rPr>
          <w:rFonts w:ascii="Arial" w:hAnsi="Arial" w:cs="Arial"/>
          <w:iCs/>
          <w:color w:val="000000"/>
          <w:sz w:val="20"/>
          <w:szCs w:val="20"/>
          <w:lang w:eastAsia="en-US"/>
        </w:rPr>
        <w:t>,</w:t>
      </w:r>
      <w:r w:rsidRPr="00986412">
        <w:rPr>
          <w:rFonts w:ascii="Arial" w:hAnsi="Arial" w:cs="Arial"/>
          <w:kern w:val="28"/>
          <w:sz w:val="20"/>
          <w:szCs w:val="20"/>
        </w:rPr>
        <w:t xml:space="preserve"> </w:t>
      </w:r>
      <w:r>
        <w:rPr>
          <w:rFonts w:ascii="Arial" w:hAnsi="Arial" w:cs="Arial"/>
          <w:kern w:val="28"/>
          <w:sz w:val="20"/>
          <w:szCs w:val="20"/>
        </w:rPr>
        <w:t>malgré le recul des cours sur le marché mondial de 22%, en glissement annuel.</w:t>
      </w:r>
    </w:p>
    <w:p w:rsidR="006133BE" w:rsidRDefault="006133BE" w:rsidP="006133BE">
      <w:pPr>
        <w:jc w:val="both"/>
        <w:rPr>
          <w:rFonts w:ascii="Arial" w:hAnsi="Arial" w:cs="Arial"/>
          <w:iCs/>
          <w:color w:val="000000"/>
          <w:sz w:val="20"/>
          <w:szCs w:val="20"/>
          <w:lang w:eastAsia="en-US"/>
        </w:rPr>
      </w:pPr>
    </w:p>
    <w:p w:rsidR="006133BE" w:rsidRDefault="006133BE" w:rsidP="006133BE">
      <w:pPr>
        <w:jc w:val="both"/>
        <w:rPr>
          <w:rFonts w:ascii="Arial" w:hAnsi="Arial" w:cs="Arial"/>
          <w:kern w:val="28"/>
          <w:sz w:val="20"/>
          <w:szCs w:val="20"/>
        </w:rPr>
      </w:pPr>
      <w:r w:rsidRPr="00743722">
        <w:rPr>
          <w:rFonts w:ascii="Arial" w:hAnsi="Arial" w:cs="Arial"/>
          <w:kern w:val="28"/>
          <w:sz w:val="20"/>
          <w:szCs w:val="20"/>
        </w:rPr>
        <w:t>L</w:t>
      </w:r>
      <w:r w:rsidRPr="00743722">
        <w:rPr>
          <w:rFonts w:ascii="Arial" w:hAnsi="Arial" w:cs="Arial"/>
          <w:sz w:val="20"/>
          <w:szCs w:val="20"/>
        </w:rPr>
        <w:t>es</w:t>
      </w:r>
      <w:r w:rsidRPr="00743722">
        <w:rPr>
          <w:rFonts w:ascii="Arial" w:hAnsi="Arial" w:cs="Arial"/>
          <w:b/>
          <w:bCs/>
          <w:sz w:val="20"/>
          <w:szCs w:val="20"/>
        </w:rPr>
        <w:t xml:space="preserve"> importations</w:t>
      </w:r>
      <w:r w:rsidRPr="00743722">
        <w:rPr>
          <w:rFonts w:ascii="Arial" w:hAnsi="Arial" w:cs="Arial"/>
          <w:kern w:val="28"/>
          <w:sz w:val="20"/>
          <w:szCs w:val="20"/>
        </w:rPr>
        <w:t xml:space="preserve"> </w:t>
      </w:r>
      <w:r>
        <w:rPr>
          <w:rFonts w:ascii="Arial" w:hAnsi="Arial" w:cs="Arial"/>
          <w:kern w:val="28"/>
          <w:sz w:val="20"/>
          <w:szCs w:val="20"/>
        </w:rPr>
        <w:t>se seraient tempérées pour le deuxième trimestre consécutif, affichant un accroissement de 2,2% lors de la même période. Ce ralentissement trouve son origine dans le recul des importations hors énergie, en particulier celles des biens de consommation (voitures de tourisme, médicaments), des produits alimentaires (repli de la facture céréalière) et des demi-produits (produits chimiques). La facture énergétique aurait, à l'inverse, continué à grever la balance commerciale, contribuant pour près de 2,3 points à l’augmentation des importations.</w:t>
      </w:r>
    </w:p>
    <w:p w:rsidR="008D7EA5" w:rsidRDefault="008D7EA5" w:rsidP="006133BE">
      <w:pPr>
        <w:jc w:val="both"/>
        <w:rPr>
          <w:rFonts w:ascii="Arial" w:hAnsi="Arial" w:cs="Arial"/>
          <w:kern w:val="28"/>
          <w:sz w:val="20"/>
          <w:szCs w:val="20"/>
        </w:rPr>
      </w:pPr>
    </w:p>
    <w:p w:rsidR="00C07D12" w:rsidRDefault="00C07D12" w:rsidP="00C07D12">
      <w:pPr>
        <w:jc w:val="both"/>
        <w:rPr>
          <w:rFonts w:ascii="Arial" w:hAnsi="Arial" w:cs="Arial"/>
          <w:kern w:val="28"/>
          <w:sz w:val="20"/>
          <w:szCs w:val="20"/>
        </w:rPr>
      </w:pPr>
      <w:r>
        <w:rPr>
          <w:rFonts w:ascii="Arial" w:hAnsi="Arial" w:cs="Arial"/>
          <w:kern w:val="28"/>
          <w:sz w:val="20"/>
          <w:szCs w:val="20"/>
        </w:rPr>
        <w:t xml:space="preserve">La hausse plus conséquente des exportations par rapport aux importations aurait permis un allègement du </w:t>
      </w:r>
      <w:r w:rsidRPr="003F4D95">
        <w:rPr>
          <w:rFonts w:ascii="Arial" w:hAnsi="Arial" w:cs="Arial"/>
          <w:kern w:val="28"/>
          <w:sz w:val="20"/>
          <w:szCs w:val="20"/>
        </w:rPr>
        <w:t>déficit commercial</w:t>
      </w:r>
      <w:r>
        <w:rPr>
          <w:rFonts w:ascii="Arial" w:hAnsi="Arial" w:cs="Arial"/>
          <w:kern w:val="28"/>
          <w:sz w:val="20"/>
          <w:szCs w:val="20"/>
        </w:rPr>
        <w:t xml:space="preserve"> de 6,4%, en variation annuelle, </w:t>
      </w:r>
      <w:r w:rsidRPr="003F4D95">
        <w:rPr>
          <w:rFonts w:ascii="Arial" w:hAnsi="Arial" w:cs="Arial"/>
          <w:kern w:val="28"/>
          <w:sz w:val="20"/>
          <w:szCs w:val="20"/>
        </w:rPr>
        <w:t xml:space="preserve">au </w:t>
      </w:r>
      <w:r>
        <w:rPr>
          <w:rFonts w:ascii="Arial" w:hAnsi="Arial" w:cs="Arial"/>
          <w:kern w:val="28"/>
          <w:sz w:val="20"/>
          <w:szCs w:val="20"/>
        </w:rPr>
        <w:t xml:space="preserve">troisième </w:t>
      </w:r>
      <w:r w:rsidRPr="003F4D95">
        <w:rPr>
          <w:rFonts w:ascii="Arial" w:hAnsi="Arial" w:cs="Arial"/>
          <w:kern w:val="28"/>
          <w:sz w:val="20"/>
          <w:szCs w:val="20"/>
        </w:rPr>
        <w:t>trimestre 2017</w:t>
      </w:r>
      <w:r>
        <w:rPr>
          <w:rFonts w:ascii="Arial" w:hAnsi="Arial" w:cs="Arial"/>
          <w:kern w:val="28"/>
          <w:sz w:val="20"/>
          <w:szCs w:val="20"/>
        </w:rPr>
        <w:t xml:space="preserve">, et une amélioration du taux de </w:t>
      </w:r>
      <w:r w:rsidRPr="003F4D95">
        <w:rPr>
          <w:rFonts w:ascii="Arial" w:hAnsi="Arial" w:cs="Arial"/>
          <w:kern w:val="28"/>
          <w:sz w:val="20"/>
          <w:szCs w:val="20"/>
        </w:rPr>
        <w:t>couverture</w:t>
      </w:r>
      <w:r>
        <w:rPr>
          <w:rFonts w:ascii="Arial" w:hAnsi="Arial" w:cs="Arial"/>
          <w:kern w:val="28"/>
          <w:sz w:val="20"/>
          <w:szCs w:val="20"/>
        </w:rPr>
        <w:t xml:space="preserve"> de 4,3 points, pour se situer à 53,9</w:t>
      </w:r>
      <w:r w:rsidRPr="003F4D95">
        <w:rPr>
          <w:rFonts w:ascii="Arial" w:hAnsi="Arial" w:cs="Arial"/>
          <w:kern w:val="28"/>
          <w:sz w:val="20"/>
          <w:szCs w:val="20"/>
        </w:rPr>
        <w:t>%</w:t>
      </w:r>
      <w:r>
        <w:rPr>
          <w:rFonts w:ascii="Arial" w:hAnsi="Arial" w:cs="Arial"/>
          <w:kern w:val="28"/>
          <w:sz w:val="20"/>
          <w:szCs w:val="20"/>
        </w:rPr>
        <w:t>.</w:t>
      </w:r>
    </w:p>
    <w:p w:rsidR="007712EB" w:rsidRPr="007766F6" w:rsidRDefault="007712EB" w:rsidP="007712EB">
      <w:pPr>
        <w:jc w:val="both"/>
        <w:rPr>
          <w:rFonts w:ascii="Arial" w:hAnsi="Arial" w:cs="Arial"/>
          <w:iCs/>
          <w:kern w:val="28"/>
          <w:sz w:val="8"/>
          <w:szCs w:val="8"/>
        </w:rPr>
      </w:pPr>
    </w:p>
    <w:p w:rsidR="007712EB" w:rsidRPr="001E70D5" w:rsidRDefault="007712EB" w:rsidP="003A4060">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w:t>
      </w:r>
      <w:r w:rsidR="003A4060">
        <w:rPr>
          <w:rFonts w:ascii="Arial" w:hAnsi="Arial" w:cs="Arial"/>
          <w:bCs/>
          <w:i/>
          <w:kern w:val="28"/>
          <w:sz w:val="14"/>
          <w:szCs w:val="14"/>
        </w:rPr>
        <w:t>Note</w:t>
      </w:r>
      <w:r w:rsidRPr="001E70D5">
        <w:rPr>
          <w:rFonts w:ascii="Arial" w:hAnsi="Arial" w:cs="Arial"/>
          <w:bCs/>
          <w:i/>
          <w:kern w:val="28"/>
          <w:sz w:val="14"/>
          <w:szCs w:val="14"/>
        </w:rPr>
        <w:t xml:space="preserve"> de conjoncture N°</w:t>
      </w:r>
      <w:r>
        <w:rPr>
          <w:rFonts w:ascii="Arial" w:hAnsi="Arial" w:cs="Arial"/>
          <w:bCs/>
          <w:i/>
          <w:kern w:val="28"/>
          <w:sz w:val="14"/>
          <w:szCs w:val="14"/>
        </w:rPr>
        <w:t>3</w:t>
      </w:r>
      <w:r w:rsidR="003A4060">
        <w:rPr>
          <w:rFonts w:ascii="Arial" w:hAnsi="Arial" w:cs="Arial"/>
          <w:bCs/>
          <w:i/>
          <w:kern w:val="28"/>
          <w:sz w:val="14"/>
          <w:szCs w:val="14"/>
        </w:rPr>
        <w:t>1</w:t>
      </w:r>
      <w:r w:rsidRPr="001E70D5">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7712EB" w:rsidRDefault="007712EB" w:rsidP="007712EB">
      <w:pPr>
        <w:jc w:val="both"/>
        <w:rPr>
          <w:rFonts w:ascii="Arial" w:hAnsi="Arial" w:cs="Arial"/>
          <w:b/>
          <w:bCs/>
          <w:color w:val="800000"/>
          <w:kern w:val="28"/>
          <w:sz w:val="20"/>
          <w:szCs w:val="20"/>
        </w:rPr>
      </w:pPr>
    </w:p>
    <w:p w:rsidR="005B6941" w:rsidRDefault="00483F9B" w:rsidP="00CA1470">
      <w:pPr>
        <w:jc w:val="both"/>
        <w:rPr>
          <w:rFonts w:ascii="Arial" w:hAnsi="Arial" w:cs="Arial"/>
          <w:b/>
          <w:bCs/>
          <w:color w:val="800000"/>
          <w:kern w:val="28"/>
          <w:sz w:val="20"/>
          <w:szCs w:val="20"/>
        </w:rPr>
      </w:pPr>
      <w:r>
        <w:rPr>
          <w:rFonts w:ascii="Arial" w:hAnsi="Arial" w:cs="Arial"/>
          <w:b/>
          <w:bCs/>
          <w:color w:val="800000"/>
          <w:kern w:val="28"/>
          <w:sz w:val="20"/>
          <w:szCs w:val="20"/>
        </w:rPr>
        <w:lastRenderedPageBreak/>
        <w:t>Progress</w:t>
      </w:r>
      <w:r w:rsidR="005B6941" w:rsidRPr="0085628E">
        <w:rPr>
          <w:rFonts w:ascii="Arial" w:hAnsi="Arial" w:cs="Arial"/>
          <w:b/>
          <w:bCs/>
          <w:color w:val="800000"/>
          <w:kern w:val="28"/>
          <w:sz w:val="20"/>
          <w:szCs w:val="20"/>
        </w:rPr>
        <w:t>ion</w:t>
      </w:r>
      <w:r w:rsidR="005B6941">
        <w:rPr>
          <w:rFonts w:ascii="Arial" w:hAnsi="Arial" w:cs="Arial"/>
          <w:b/>
          <w:bCs/>
          <w:color w:val="800000"/>
          <w:kern w:val="28"/>
          <w:sz w:val="20"/>
          <w:szCs w:val="20"/>
        </w:rPr>
        <w:t xml:space="preserve"> de l</w:t>
      </w:r>
      <w:r w:rsidR="005B6941" w:rsidRPr="00DB7C3F">
        <w:rPr>
          <w:rFonts w:ascii="Arial" w:hAnsi="Arial" w:cs="Arial"/>
          <w:b/>
          <w:bCs/>
          <w:color w:val="800000"/>
          <w:kern w:val="28"/>
          <w:sz w:val="20"/>
          <w:szCs w:val="20"/>
        </w:rPr>
        <w:t>a demande intérieure</w:t>
      </w:r>
      <w:r w:rsidR="005B6941">
        <w:rPr>
          <w:rFonts w:ascii="Arial" w:hAnsi="Arial" w:cs="Arial"/>
          <w:b/>
          <w:bCs/>
          <w:color w:val="800000"/>
          <w:kern w:val="28"/>
          <w:sz w:val="20"/>
          <w:szCs w:val="20"/>
        </w:rPr>
        <w:t xml:space="preserve"> </w:t>
      </w:r>
    </w:p>
    <w:p w:rsidR="005B6941" w:rsidRDefault="005B6941" w:rsidP="005B6941">
      <w:pPr>
        <w:autoSpaceDE w:val="0"/>
        <w:autoSpaceDN w:val="0"/>
        <w:adjustRightInd w:val="0"/>
        <w:jc w:val="both"/>
        <w:rPr>
          <w:rFonts w:ascii="Arial" w:hAnsi="Arial" w:cs="Arial"/>
          <w:b/>
          <w:bCs/>
          <w:color w:val="800000"/>
          <w:kern w:val="28"/>
          <w:sz w:val="20"/>
          <w:szCs w:val="20"/>
        </w:rPr>
      </w:pPr>
    </w:p>
    <w:p w:rsidR="008765BF" w:rsidRDefault="00FB243B" w:rsidP="000B241E">
      <w:pPr>
        <w:jc w:val="both"/>
        <w:rPr>
          <w:rFonts w:ascii="Arial" w:hAnsi="Arial" w:cs="Arial"/>
          <w:sz w:val="20"/>
          <w:szCs w:val="20"/>
        </w:rPr>
      </w:pPr>
      <w:r>
        <w:rPr>
          <w:rFonts w:ascii="Arial" w:hAnsi="Arial" w:cs="Arial"/>
          <w:noProof/>
          <w:sz w:val="20"/>
          <w:szCs w:val="20"/>
        </w:rPr>
        <w:drawing>
          <wp:anchor distT="0" distB="0" distL="114300" distR="114300" simplePos="0" relativeHeight="251732992" behindDoc="0" locked="0" layoutInCell="1" allowOverlap="1">
            <wp:simplePos x="0" y="0"/>
            <wp:positionH relativeFrom="column">
              <wp:posOffset>4350385</wp:posOffset>
            </wp:positionH>
            <wp:positionV relativeFrom="paragraph">
              <wp:posOffset>321945</wp:posOffset>
            </wp:positionV>
            <wp:extent cx="2175510" cy="1886585"/>
            <wp:effectExtent l="19050" t="0" r="0" b="0"/>
            <wp:wrapSquare wrapText="bothSides"/>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175510" cy="1886585"/>
                    </a:xfrm>
                    <a:prstGeom prst="rect">
                      <a:avLst/>
                    </a:prstGeom>
                    <a:noFill/>
                    <a:ln w="9525">
                      <a:noFill/>
                      <a:miter lim="800000"/>
                      <a:headEnd/>
                      <a:tailEnd/>
                    </a:ln>
                  </pic:spPr>
                </pic:pic>
              </a:graphicData>
            </a:graphic>
          </wp:anchor>
        </w:drawing>
      </w:r>
      <w:r w:rsidR="008765BF" w:rsidRPr="00696C03">
        <w:rPr>
          <w:rFonts w:ascii="Arial" w:hAnsi="Arial" w:cs="Arial"/>
          <w:sz w:val="20"/>
          <w:szCs w:val="20"/>
        </w:rPr>
        <w:t>Au troisième trimestre 2017, la demande intérieure, notamment celle émanant des ménages, aurait poursuivi son redressement amorcé en 2016.</w:t>
      </w:r>
      <w:r w:rsidR="008765BF" w:rsidRPr="00F079BD">
        <w:rPr>
          <w:rStyle w:val="Accentuation"/>
          <w:i w:val="0"/>
          <w:iCs w:val="0"/>
          <w:sz w:val="22"/>
          <w:szCs w:val="22"/>
        </w:rPr>
        <w:t xml:space="preserve"> </w:t>
      </w:r>
      <w:r w:rsidR="008765BF">
        <w:rPr>
          <w:rFonts w:ascii="Arial" w:hAnsi="Arial" w:cs="Arial"/>
          <w:sz w:val="20"/>
          <w:szCs w:val="20"/>
        </w:rPr>
        <w:t>La</w:t>
      </w:r>
      <w:r w:rsidR="008765BF" w:rsidRPr="00BA28C6">
        <w:rPr>
          <w:rFonts w:ascii="Arial" w:hAnsi="Arial" w:cs="Arial"/>
          <w:sz w:val="20"/>
          <w:szCs w:val="20"/>
        </w:rPr>
        <w:t xml:space="preserve"> </w:t>
      </w:r>
      <w:r w:rsidR="008765BF">
        <w:rPr>
          <w:rFonts w:ascii="Arial" w:hAnsi="Arial" w:cs="Arial"/>
          <w:b/>
          <w:sz w:val="20"/>
          <w:szCs w:val="20"/>
        </w:rPr>
        <w:t>consommation domestique</w:t>
      </w:r>
      <w:r w:rsidR="008765BF">
        <w:rPr>
          <w:rFonts w:ascii="Arial" w:hAnsi="Arial" w:cs="Arial"/>
          <w:sz w:val="20"/>
          <w:szCs w:val="20"/>
        </w:rPr>
        <w:t xml:space="preserve"> </w:t>
      </w:r>
      <w:r w:rsidR="008765BF" w:rsidRPr="00B24AA5">
        <w:rPr>
          <w:rFonts w:ascii="Arial" w:hAnsi="Arial" w:cs="Arial"/>
          <w:sz w:val="20"/>
          <w:szCs w:val="20"/>
        </w:rPr>
        <w:t xml:space="preserve">aurait bénéficié </w:t>
      </w:r>
      <w:r w:rsidR="008765BF">
        <w:rPr>
          <w:rFonts w:ascii="Arial" w:hAnsi="Arial" w:cs="Arial"/>
          <w:sz w:val="20"/>
          <w:szCs w:val="20"/>
        </w:rPr>
        <w:t xml:space="preserve">d’une </w:t>
      </w:r>
      <w:r w:rsidR="00CA1470">
        <w:rPr>
          <w:rFonts w:ascii="Arial" w:hAnsi="Arial" w:cs="Arial"/>
          <w:sz w:val="20"/>
          <w:szCs w:val="20"/>
        </w:rPr>
        <w:t>détente</w:t>
      </w:r>
      <w:r w:rsidR="008765BF">
        <w:rPr>
          <w:rFonts w:ascii="Arial" w:hAnsi="Arial" w:cs="Arial"/>
          <w:sz w:val="20"/>
          <w:szCs w:val="20"/>
        </w:rPr>
        <w:t xml:space="preserve"> des prix </w:t>
      </w:r>
      <w:r w:rsidR="00CA1470">
        <w:rPr>
          <w:rFonts w:ascii="Arial" w:hAnsi="Arial" w:cs="Arial"/>
          <w:sz w:val="20"/>
          <w:szCs w:val="20"/>
        </w:rPr>
        <w:t>à la consommation</w:t>
      </w:r>
      <w:r w:rsidR="008765BF" w:rsidRPr="00B24AA5">
        <w:rPr>
          <w:rFonts w:ascii="Arial" w:hAnsi="Arial" w:cs="Arial"/>
          <w:sz w:val="20"/>
          <w:szCs w:val="20"/>
        </w:rPr>
        <w:t xml:space="preserve">. </w:t>
      </w:r>
      <w:r w:rsidR="002045F9">
        <w:rPr>
          <w:rFonts w:ascii="Arial" w:hAnsi="Arial" w:cs="Arial"/>
          <w:sz w:val="20"/>
          <w:szCs w:val="20"/>
        </w:rPr>
        <w:t xml:space="preserve">Elle </w:t>
      </w:r>
      <w:r w:rsidR="002045F9" w:rsidRPr="005A66A0">
        <w:rPr>
          <w:rFonts w:ascii="Arial" w:hAnsi="Arial" w:cs="Arial"/>
          <w:sz w:val="20"/>
          <w:szCs w:val="20"/>
        </w:rPr>
        <w:t>aurait profité, en grande partie, aux produits locaux</w:t>
      </w:r>
      <w:r w:rsidR="002045F9">
        <w:rPr>
          <w:rFonts w:ascii="Arial" w:hAnsi="Arial" w:cs="Arial"/>
          <w:sz w:val="20"/>
          <w:szCs w:val="20"/>
        </w:rPr>
        <w:t> ;</w:t>
      </w:r>
      <w:r w:rsidR="002045F9" w:rsidRPr="005A66A0">
        <w:rPr>
          <w:rFonts w:ascii="Arial" w:hAnsi="Arial" w:cs="Arial"/>
          <w:sz w:val="20"/>
          <w:szCs w:val="20"/>
        </w:rPr>
        <w:t xml:space="preserve"> </w:t>
      </w:r>
      <w:r w:rsidR="002045F9">
        <w:rPr>
          <w:rFonts w:ascii="Arial" w:hAnsi="Arial" w:cs="Arial"/>
          <w:sz w:val="20"/>
          <w:szCs w:val="20"/>
        </w:rPr>
        <w:t>l</w:t>
      </w:r>
      <w:r w:rsidR="002045F9" w:rsidRPr="005A66A0">
        <w:rPr>
          <w:rFonts w:ascii="Arial" w:hAnsi="Arial" w:cs="Arial"/>
          <w:sz w:val="20"/>
          <w:szCs w:val="20"/>
        </w:rPr>
        <w:t xml:space="preserve">es importations de </w:t>
      </w:r>
      <w:r w:rsidR="00CA1470">
        <w:rPr>
          <w:rFonts w:ascii="Arial" w:hAnsi="Arial" w:cs="Arial"/>
          <w:sz w:val="20"/>
          <w:szCs w:val="20"/>
        </w:rPr>
        <w:t>biens de consommation</w:t>
      </w:r>
      <w:r w:rsidR="002045F9" w:rsidRPr="005A66A0">
        <w:rPr>
          <w:rFonts w:ascii="Arial" w:hAnsi="Arial" w:cs="Arial"/>
          <w:sz w:val="20"/>
          <w:szCs w:val="20"/>
        </w:rPr>
        <w:t xml:space="preserve"> a</w:t>
      </w:r>
      <w:r w:rsidR="00CA1470">
        <w:rPr>
          <w:rFonts w:ascii="Arial" w:hAnsi="Arial" w:cs="Arial"/>
          <w:sz w:val="20"/>
          <w:szCs w:val="20"/>
        </w:rPr>
        <w:t>ya</w:t>
      </w:r>
      <w:r w:rsidR="002045F9" w:rsidRPr="005A66A0">
        <w:rPr>
          <w:rFonts w:ascii="Arial" w:hAnsi="Arial" w:cs="Arial"/>
          <w:sz w:val="20"/>
          <w:szCs w:val="20"/>
        </w:rPr>
        <w:t xml:space="preserve">nt </w:t>
      </w:r>
      <w:r w:rsidR="002045F9">
        <w:rPr>
          <w:rFonts w:ascii="Arial" w:hAnsi="Arial" w:cs="Arial"/>
          <w:sz w:val="20"/>
          <w:szCs w:val="20"/>
        </w:rPr>
        <w:t>ré</w:t>
      </w:r>
      <w:r w:rsidR="002045F9" w:rsidRPr="005A66A0">
        <w:rPr>
          <w:rFonts w:ascii="Arial" w:hAnsi="Arial" w:cs="Arial"/>
          <w:sz w:val="20"/>
          <w:szCs w:val="20"/>
        </w:rPr>
        <w:t>gressé d</w:t>
      </w:r>
      <w:r w:rsidR="00CA1470">
        <w:rPr>
          <w:rFonts w:ascii="Arial" w:hAnsi="Arial" w:cs="Arial"/>
          <w:sz w:val="20"/>
          <w:szCs w:val="20"/>
        </w:rPr>
        <w:t>’</w:t>
      </w:r>
      <w:r w:rsidR="002045F9" w:rsidRPr="005A66A0">
        <w:rPr>
          <w:rFonts w:ascii="Arial" w:hAnsi="Arial" w:cs="Arial"/>
          <w:sz w:val="20"/>
          <w:szCs w:val="20"/>
        </w:rPr>
        <w:t>e</w:t>
      </w:r>
      <w:r w:rsidR="00CA1470">
        <w:rPr>
          <w:rFonts w:ascii="Arial" w:hAnsi="Arial" w:cs="Arial"/>
          <w:sz w:val="20"/>
          <w:szCs w:val="20"/>
        </w:rPr>
        <w:t>nviron</w:t>
      </w:r>
      <w:r w:rsidR="002045F9">
        <w:rPr>
          <w:rFonts w:ascii="Arial" w:hAnsi="Arial" w:cs="Arial"/>
          <w:sz w:val="20"/>
          <w:szCs w:val="20"/>
        </w:rPr>
        <w:t xml:space="preserve"> </w:t>
      </w:r>
      <w:r w:rsidR="00CA1470">
        <w:rPr>
          <w:rFonts w:ascii="Arial" w:hAnsi="Arial" w:cs="Arial"/>
          <w:sz w:val="20"/>
          <w:szCs w:val="20"/>
        </w:rPr>
        <w:t>11</w:t>
      </w:r>
      <w:r w:rsidR="002045F9" w:rsidRPr="005A66A0">
        <w:rPr>
          <w:rFonts w:ascii="Arial" w:hAnsi="Arial" w:cs="Arial"/>
          <w:sz w:val="20"/>
          <w:szCs w:val="20"/>
        </w:rPr>
        <w:t xml:space="preserve">%, </w:t>
      </w:r>
      <w:r w:rsidR="00CA1470">
        <w:rPr>
          <w:rFonts w:ascii="Arial" w:hAnsi="Arial" w:cs="Arial"/>
          <w:sz w:val="20"/>
          <w:szCs w:val="20"/>
        </w:rPr>
        <w:t>en glissement annuel</w:t>
      </w:r>
      <w:r w:rsidR="002045F9" w:rsidRPr="005A66A0">
        <w:rPr>
          <w:rFonts w:ascii="Arial" w:hAnsi="Arial" w:cs="Arial"/>
          <w:sz w:val="20"/>
          <w:szCs w:val="20"/>
        </w:rPr>
        <w:t>.</w:t>
      </w:r>
      <w:r w:rsidR="002045F9" w:rsidRPr="00696C03">
        <w:rPr>
          <w:rFonts w:ascii="Arial" w:hAnsi="Arial" w:cs="Arial"/>
          <w:sz w:val="20"/>
          <w:szCs w:val="20"/>
        </w:rPr>
        <w:t xml:space="preserve"> </w:t>
      </w:r>
      <w:r w:rsidR="00610FD1">
        <w:rPr>
          <w:rFonts w:ascii="Arial" w:hAnsi="Arial" w:cs="Arial"/>
          <w:sz w:val="20"/>
          <w:szCs w:val="20"/>
        </w:rPr>
        <w:t>Dans l’ensemble, l</w:t>
      </w:r>
      <w:r w:rsidR="008765BF">
        <w:rPr>
          <w:rFonts w:ascii="Arial" w:hAnsi="Arial" w:cs="Arial"/>
          <w:sz w:val="20"/>
          <w:szCs w:val="20"/>
        </w:rPr>
        <w:t>es dépenses de consommation des ménages, en volume, se seraient accrues de 4,</w:t>
      </w:r>
      <w:r w:rsidR="00044D54">
        <w:rPr>
          <w:rFonts w:ascii="Arial" w:hAnsi="Arial" w:cs="Arial"/>
          <w:sz w:val="20"/>
          <w:szCs w:val="20"/>
        </w:rPr>
        <w:t>5</w:t>
      </w:r>
      <w:r w:rsidR="008765BF">
        <w:rPr>
          <w:rFonts w:ascii="Arial" w:hAnsi="Arial" w:cs="Arial"/>
          <w:sz w:val="20"/>
          <w:szCs w:val="20"/>
        </w:rPr>
        <w:t xml:space="preserve">%, </w:t>
      </w:r>
      <w:r w:rsidR="008765BF" w:rsidRPr="005A66A0">
        <w:rPr>
          <w:rFonts w:ascii="Arial" w:hAnsi="Arial" w:cs="Arial"/>
          <w:sz w:val="20"/>
          <w:szCs w:val="20"/>
        </w:rPr>
        <w:t>en variation annuelle, au lieu de +</w:t>
      </w:r>
      <w:r w:rsidR="00044D54">
        <w:rPr>
          <w:rFonts w:ascii="Arial" w:hAnsi="Arial" w:cs="Arial"/>
          <w:sz w:val="20"/>
          <w:szCs w:val="20"/>
        </w:rPr>
        <w:t>3</w:t>
      </w:r>
      <w:r w:rsidR="008765BF" w:rsidRPr="005A66A0">
        <w:rPr>
          <w:rFonts w:ascii="Arial" w:hAnsi="Arial" w:cs="Arial"/>
          <w:sz w:val="20"/>
          <w:szCs w:val="20"/>
        </w:rPr>
        <w:t>,</w:t>
      </w:r>
      <w:r w:rsidR="00044D54">
        <w:rPr>
          <w:rFonts w:ascii="Arial" w:hAnsi="Arial" w:cs="Arial"/>
          <w:sz w:val="20"/>
          <w:szCs w:val="20"/>
        </w:rPr>
        <w:t>5</w:t>
      </w:r>
      <w:r w:rsidR="008765BF" w:rsidRPr="005A66A0">
        <w:rPr>
          <w:rFonts w:ascii="Arial" w:hAnsi="Arial" w:cs="Arial"/>
          <w:sz w:val="20"/>
          <w:szCs w:val="20"/>
        </w:rPr>
        <w:t xml:space="preserve">% </w:t>
      </w:r>
      <w:r w:rsidR="008765BF">
        <w:rPr>
          <w:rFonts w:ascii="Arial" w:hAnsi="Arial" w:cs="Arial"/>
          <w:sz w:val="20"/>
          <w:szCs w:val="20"/>
        </w:rPr>
        <w:t>une année plus tôt</w:t>
      </w:r>
      <w:r w:rsidR="008765BF" w:rsidRPr="005A66A0">
        <w:rPr>
          <w:rFonts w:ascii="Arial" w:hAnsi="Arial" w:cs="Arial"/>
          <w:sz w:val="20"/>
          <w:szCs w:val="20"/>
        </w:rPr>
        <w:t xml:space="preserve">, </w:t>
      </w:r>
      <w:r w:rsidR="008765BF">
        <w:rPr>
          <w:rFonts w:ascii="Arial" w:hAnsi="Arial" w:cs="Arial"/>
          <w:sz w:val="20"/>
          <w:szCs w:val="20"/>
        </w:rPr>
        <w:t>contribuant pour environ +2,</w:t>
      </w:r>
      <w:r w:rsidR="00B50773">
        <w:rPr>
          <w:rFonts w:ascii="Arial" w:hAnsi="Arial" w:cs="Arial"/>
          <w:sz w:val="20"/>
          <w:szCs w:val="20"/>
        </w:rPr>
        <w:t>7</w:t>
      </w:r>
      <w:r w:rsidR="008765BF">
        <w:rPr>
          <w:rFonts w:ascii="Arial" w:hAnsi="Arial" w:cs="Arial"/>
          <w:sz w:val="20"/>
          <w:szCs w:val="20"/>
        </w:rPr>
        <w:t xml:space="preserve"> point</w:t>
      </w:r>
      <w:r w:rsidR="00B50773">
        <w:rPr>
          <w:rFonts w:ascii="Arial" w:hAnsi="Arial" w:cs="Arial"/>
          <w:sz w:val="20"/>
          <w:szCs w:val="20"/>
        </w:rPr>
        <w:t>s</w:t>
      </w:r>
      <w:r w:rsidR="008765BF">
        <w:rPr>
          <w:rFonts w:ascii="Arial" w:hAnsi="Arial" w:cs="Arial"/>
          <w:sz w:val="20"/>
          <w:szCs w:val="20"/>
        </w:rPr>
        <w:t xml:space="preserve"> à la croissance globale du PIB, au lieu de +</w:t>
      </w:r>
      <w:r w:rsidR="00B50773">
        <w:rPr>
          <w:rFonts w:ascii="Arial" w:hAnsi="Arial" w:cs="Arial"/>
          <w:sz w:val="20"/>
          <w:szCs w:val="20"/>
        </w:rPr>
        <w:t>2</w:t>
      </w:r>
      <w:r w:rsidR="008765BF">
        <w:rPr>
          <w:rFonts w:ascii="Arial" w:hAnsi="Arial" w:cs="Arial"/>
          <w:sz w:val="20"/>
          <w:szCs w:val="20"/>
        </w:rPr>
        <w:t xml:space="preserve"> point</w:t>
      </w:r>
      <w:r w:rsidR="00B50773">
        <w:rPr>
          <w:rFonts w:ascii="Arial" w:hAnsi="Arial" w:cs="Arial"/>
          <w:sz w:val="20"/>
          <w:szCs w:val="20"/>
        </w:rPr>
        <w:t>s</w:t>
      </w:r>
      <w:r w:rsidR="008765BF">
        <w:rPr>
          <w:rFonts w:ascii="Arial" w:hAnsi="Arial" w:cs="Arial"/>
          <w:sz w:val="20"/>
          <w:szCs w:val="20"/>
        </w:rPr>
        <w:t xml:space="preserve"> un an plus tôt. </w:t>
      </w:r>
    </w:p>
    <w:p w:rsidR="008765BF" w:rsidRDefault="008765BF" w:rsidP="008765BF">
      <w:pPr>
        <w:jc w:val="both"/>
        <w:rPr>
          <w:rFonts w:ascii="Arial" w:hAnsi="Arial" w:cs="Arial"/>
          <w:sz w:val="20"/>
          <w:szCs w:val="20"/>
        </w:rPr>
      </w:pPr>
    </w:p>
    <w:p w:rsidR="008765BF" w:rsidRPr="005A66A0" w:rsidRDefault="008765BF" w:rsidP="00CA1470">
      <w:pPr>
        <w:jc w:val="both"/>
        <w:rPr>
          <w:rFonts w:ascii="Arial" w:hAnsi="Arial" w:cs="Arial"/>
          <w:sz w:val="20"/>
          <w:szCs w:val="20"/>
        </w:rPr>
      </w:pPr>
      <w:r w:rsidRPr="005A66A0">
        <w:rPr>
          <w:rFonts w:ascii="Arial" w:hAnsi="Arial" w:cs="Arial"/>
          <w:sz w:val="20"/>
          <w:szCs w:val="20"/>
        </w:rPr>
        <w:t xml:space="preserve">Cette progression de la consommation </w:t>
      </w:r>
      <w:r>
        <w:rPr>
          <w:rFonts w:ascii="Arial" w:hAnsi="Arial" w:cs="Arial"/>
          <w:sz w:val="20"/>
          <w:szCs w:val="20"/>
        </w:rPr>
        <w:t xml:space="preserve">aurait été </w:t>
      </w:r>
      <w:r w:rsidRPr="005A66A0">
        <w:rPr>
          <w:rFonts w:ascii="Arial" w:hAnsi="Arial" w:cs="Arial"/>
          <w:sz w:val="20"/>
          <w:szCs w:val="20"/>
        </w:rPr>
        <w:t>alimentée</w:t>
      </w:r>
      <w:r>
        <w:rPr>
          <w:rFonts w:ascii="Arial" w:hAnsi="Arial" w:cs="Arial"/>
          <w:sz w:val="20"/>
          <w:szCs w:val="20"/>
        </w:rPr>
        <w:t>, entre autres,</w:t>
      </w:r>
      <w:r w:rsidRPr="005A66A0">
        <w:rPr>
          <w:rFonts w:ascii="Arial" w:hAnsi="Arial" w:cs="Arial"/>
          <w:sz w:val="20"/>
          <w:szCs w:val="20"/>
        </w:rPr>
        <w:t xml:space="preserve"> par un accroissement de </w:t>
      </w:r>
      <w:r>
        <w:rPr>
          <w:rFonts w:ascii="Arial" w:hAnsi="Arial" w:cs="Arial"/>
          <w:sz w:val="20"/>
          <w:szCs w:val="20"/>
        </w:rPr>
        <w:t>4</w:t>
      </w:r>
      <w:r w:rsidRPr="005A66A0">
        <w:rPr>
          <w:rFonts w:ascii="Arial" w:hAnsi="Arial" w:cs="Arial"/>
          <w:sz w:val="20"/>
          <w:szCs w:val="20"/>
        </w:rPr>
        <w:t>,</w:t>
      </w:r>
      <w:r w:rsidR="00363CB8">
        <w:rPr>
          <w:rFonts w:ascii="Arial" w:hAnsi="Arial" w:cs="Arial"/>
          <w:sz w:val="20"/>
          <w:szCs w:val="20"/>
        </w:rPr>
        <w:t>5</w:t>
      </w:r>
      <w:r w:rsidRPr="005A66A0">
        <w:rPr>
          <w:rFonts w:ascii="Arial" w:hAnsi="Arial" w:cs="Arial"/>
          <w:sz w:val="20"/>
          <w:szCs w:val="20"/>
        </w:rPr>
        <w:t>% des crédits à la consommation</w:t>
      </w:r>
      <w:r>
        <w:rPr>
          <w:rFonts w:ascii="Arial" w:hAnsi="Arial" w:cs="Arial"/>
          <w:sz w:val="20"/>
          <w:szCs w:val="20"/>
        </w:rPr>
        <w:t xml:space="preserve"> et</w:t>
      </w:r>
      <w:r w:rsidRPr="005A66A0">
        <w:rPr>
          <w:rFonts w:ascii="Arial" w:hAnsi="Arial" w:cs="Arial"/>
          <w:sz w:val="20"/>
          <w:szCs w:val="20"/>
        </w:rPr>
        <w:t xml:space="preserve"> </w:t>
      </w:r>
      <w:r>
        <w:rPr>
          <w:rFonts w:ascii="Arial" w:hAnsi="Arial" w:cs="Arial"/>
          <w:sz w:val="20"/>
          <w:szCs w:val="20"/>
        </w:rPr>
        <w:t xml:space="preserve">un redressement de </w:t>
      </w:r>
      <w:r w:rsidR="00CA1470">
        <w:rPr>
          <w:rFonts w:ascii="Arial" w:hAnsi="Arial" w:cs="Arial"/>
          <w:sz w:val="20"/>
          <w:szCs w:val="20"/>
        </w:rPr>
        <w:t>6</w:t>
      </w:r>
      <w:r>
        <w:rPr>
          <w:rFonts w:ascii="Arial" w:hAnsi="Arial" w:cs="Arial"/>
          <w:sz w:val="20"/>
          <w:szCs w:val="20"/>
        </w:rPr>
        <w:t>,</w:t>
      </w:r>
      <w:r w:rsidR="00CA1470">
        <w:rPr>
          <w:rFonts w:ascii="Arial" w:hAnsi="Arial" w:cs="Arial"/>
          <w:sz w:val="20"/>
          <w:szCs w:val="20"/>
        </w:rPr>
        <w:t>5</w:t>
      </w:r>
      <w:r>
        <w:rPr>
          <w:rFonts w:ascii="Arial" w:hAnsi="Arial" w:cs="Arial"/>
          <w:sz w:val="20"/>
          <w:szCs w:val="20"/>
        </w:rPr>
        <w:t>% des recettes des MRE</w:t>
      </w:r>
      <w:r w:rsidR="00CA1470">
        <w:rPr>
          <w:rFonts w:ascii="Arial" w:hAnsi="Arial" w:cs="Arial"/>
          <w:sz w:val="20"/>
          <w:szCs w:val="20"/>
        </w:rPr>
        <w:t>, au troisième trimestre</w:t>
      </w:r>
      <w:r>
        <w:rPr>
          <w:rFonts w:ascii="Arial" w:hAnsi="Arial" w:cs="Arial"/>
          <w:sz w:val="20"/>
          <w:szCs w:val="20"/>
        </w:rPr>
        <w:t xml:space="preserve">. </w:t>
      </w:r>
      <w:r w:rsidRPr="00696C03">
        <w:rPr>
          <w:rFonts w:ascii="Arial" w:hAnsi="Arial" w:cs="Arial"/>
          <w:sz w:val="20"/>
          <w:szCs w:val="20"/>
        </w:rPr>
        <w:t xml:space="preserve">En revanche, la demande des administrations publiques </w:t>
      </w:r>
      <w:r>
        <w:rPr>
          <w:rFonts w:ascii="Arial" w:hAnsi="Arial" w:cs="Arial"/>
          <w:sz w:val="20"/>
          <w:szCs w:val="20"/>
        </w:rPr>
        <w:t>serai</w:t>
      </w:r>
      <w:r w:rsidRPr="00696C03">
        <w:rPr>
          <w:rFonts w:ascii="Arial" w:hAnsi="Arial" w:cs="Arial"/>
          <w:sz w:val="20"/>
          <w:szCs w:val="20"/>
        </w:rPr>
        <w:t>t restée modérée</w:t>
      </w:r>
      <w:r w:rsidR="0004281E">
        <w:rPr>
          <w:rFonts w:ascii="Arial" w:hAnsi="Arial" w:cs="Arial"/>
          <w:sz w:val="20"/>
          <w:szCs w:val="20"/>
        </w:rPr>
        <w:t xml:space="preserve"> (+</w:t>
      </w:r>
      <w:r w:rsidR="00F81A28">
        <w:rPr>
          <w:rFonts w:ascii="Arial" w:hAnsi="Arial" w:cs="Arial"/>
          <w:sz w:val="20"/>
          <w:szCs w:val="20"/>
        </w:rPr>
        <w:t>0</w:t>
      </w:r>
      <w:r w:rsidR="0004281E">
        <w:rPr>
          <w:rFonts w:ascii="Arial" w:hAnsi="Arial" w:cs="Arial"/>
          <w:sz w:val="20"/>
          <w:szCs w:val="20"/>
        </w:rPr>
        <w:t>,</w:t>
      </w:r>
      <w:r w:rsidR="00F81A28">
        <w:rPr>
          <w:rFonts w:ascii="Arial" w:hAnsi="Arial" w:cs="Arial"/>
          <w:sz w:val="20"/>
          <w:szCs w:val="20"/>
        </w:rPr>
        <w:t>9</w:t>
      </w:r>
      <w:r w:rsidR="0004281E">
        <w:rPr>
          <w:rFonts w:ascii="Arial" w:hAnsi="Arial" w:cs="Arial"/>
          <w:sz w:val="20"/>
          <w:szCs w:val="20"/>
        </w:rPr>
        <w:t>%)</w:t>
      </w:r>
      <w:r w:rsidRPr="00696C03">
        <w:rPr>
          <w:rFonts w:ascii="Arial" w:hAnsi="Arial" w:cs="Arial"/>
          <w:sz w:val="20"/>
          <w:szCs w:val="20"/>
        </w:rPr>
        <w:t xml:space="preserve">, </w:t>
      </w:r>
      <w:r w:rsidR="0004281E">
        <w:rPr>
          <w:rFonts w:ascii="Arial" w:hAnsi="Arial" w:cs="Arial"/>
          <w:sz w:val="20"/>
          <w:szCs w:val="20"/>
        </w:rPr>
        <w:t>sous l’effet</w:t>
      </w:r>
      <w:r w:rsidRPr="00696C03">
        <w:rPr>
          <w:rFonts w:ascii="Arial" w:hAnsi="Arial" w:cs="Arial"/>
          <w:sz w:val="20"/>
          <w:szCs w:val="20"/>
        </w:rPr>
        <w:t xml:space="preserve"> d</w:t>
      </w:r>
      <w:r w:rsidR="004B42BC">
        <w:rPr>
          <w:rFonts w:ascii="Arial" w:hAnsi="Arial" w:cs="Arial"/>
          <w:sz w:val="20"/>
          <w:szCs w:val="20"/>
        </w:rPr>
        <w:t>’</w:t>
      </w:r>
      <w:r w:rsidRPr="00696C03">
        <w:rPr>
          <w:rFonts w:ascii="Arial" w:hAnsi="Arial" w:cs="Arial"/>
          <w:sz w:val="20"/>
          <w:szCs w:val="20"/>
        </w:rPr>
        <w:t>u</w:t>
      </w:r>
      <w:r w:rsidR="004B42BC">
        <w:rPr>
          <w:rFonts w:ascii="Arial" w:hAnsi="Arial" w:cs="Arial"/>
          <w:sz w:val="20"/>
          <w:szCs w:val="20"/>
        </w:rPr>
        <w:t>n</w:t>
      </w:r>
      <w:r w:rsidR="00B81D22">
        <w:rPr>
          <w:rFonts w:ascii="Arial" w:hAnsi="Arial" w:cs="Arial"/>
          <w:sz w:val="20"/>
          <w:szCs w:val="20"/>
        </w:rPr>
        <w:t>e baisse</w:t>
      </w:r>
      <w:r w:rsidRPr="00696C03">
        <w:rPr>
          <w:rFonts w:ascii="Arial" w:hAnsi="Arial" w:cs="Arial"/>
          <w:sz w:val="20"/>
          <w:szCs w:val="20"/>
        </w:rPr>
        <w:t xml:space="preserve"> des dépenses de fonctionnement (</w:t>
      </w:r>
      <w:r>
        <w:rPr>
          <w:rFonts w:ascii="Arial" w:hAnsi="Arial" w:cs="Arial"/>
          <w:sz w:val="20"/>
          <w:szCs w:val="20"/>
        </w:rPr>
        <w:t>-0,4</w:t>
      </w:r>
      <w:r w:rsidRPr="00696C03">
        <w:rPr>
          <w:rFonts w:ascii="Arial" w:hAnsi="Arial" w:cs="Arial"/>
          <w:sz w:val="20"/>
          <w:szCs w:val="20"/>
        </w:rPr>
        <w:t>%,</w:t>
      </w:r>
      <w:r>
        <w:rPr>
          <w:rFonts w:ascii="Arial" w:hAnsi="Arial" w:cs="Arial"/>
          <w:sz w:val="20"/>
          <w:szCs w:val="20"/>
        </w:rPr>
        <w:t xml:space="preserve"> à fin août </w:t>
      </w:r>
      <w:r w:rsidRPr="00696C03">
        <w:rPr>
          <w:rFonts w:ascii="Arial" w:hAnsi="Arial" w:cs="Arial"/>
          <w:sz w:val="20"/>
          <w:szCs w:val="20"/>
        </w:rPr>
        <w:t>20</w:t>
      </w:r>
      <w:r>
        <w:rPr>
          <w:rFonts w:ascii="Arial" w:hAnsi="Arial" w:cs="Arial"/>
          <w:sz w:val="20"/>
          <w:szCs w:val="20"/>
        </w:rPr>
        <w:t>17</w:t>
      </w:r>
      <w:r w:rsidRPr="00696C03">
        <w:rPr>
          <w:rFonts w:ascii="Arial" w:hAnsi="Arial" w:cs="Arial"/>
          <w:sz w:val="20"/>
          <w:szCs w:val="20"/>
        </w:rPr>
        <w:t>).</w:t>
      </w:r>
    </w:p>
    <w:p w:rsidR="008765BF" w:rsidRDefault="008765BF" w:rsidP="008765BF">
      <w:pPr>
        <w:jc w:val="both"/>
        <w:rPr>
          <w:rFonts w:ascii="Arial" w:hAnsi="Arial" w:cs="Arial"/>
          <w:sz w:val="20"/>
          <w:szCs w:val="20"/>
        </w:rPr>
      </w:pPr>
    </w:p>
    <w:p w:rsidR="008765BF" w:rsidRPr="00696C03" w:rsidRDefault="008765BF" w:rsidP="000B241E">
      <w:pPr>
        <w:jc w:val="both"/>
        <w:rPr>
          <w:rFonts w:ascii="Arial" w:hAnsi="Arial" w:cs="Arial"/>
          <w:sz w:val="20"/>
          <w:szCs w:val="20"/>
        </w:rPr>
      </w:pPr>
      <w:r w:rsidRPr="00B81D22">
        <w:rPr>
          <w:rFonts w:ascii="Arial" w:hAnsi="Arial" w:cs="Arial"/>
          <w:sz w:val="20"/>
          <w:szCs w:val="20"/>
        </w:rPr>
        <w:t>L</w:t>
      </w:r>
      <w:r w:rsidR="00B81D22" w:rsidRPr="00B81D22">
        <w:rPr>
          <w:rFonts w:ascii="Arial" w:hAnsi="Arial" w:cs="Arial"/>
          <w:sz w:val="20"/>
          <w:szCs w:val="20"/>
        </w:rPr>
        <w:t>a</w:t>
      </w:r>
      <w:r w:rsidRPr="00B81D22">
        <w:rPr>
          <w:rFonts w:ascii="Arial" w:hAnsi="Arial" w:cs="Arial"/>
          <w:sz w:val="20"/>
          <w:szCs w:val="20"/>
        </w:rPr>
        <w:t xml:space="preserve"> croissance de</w:t>
      </w:r>
      <w:r>
        <w:rPr>
          <w:rFonts w:ascii="Arial" w:hAnsi="Arial" w:cs="Arial"/>
          <w:b/>
          <w:bCs/>
          <w:sz w:val="20"/>
          <w:szCs w:val="20"/>
        </w:rPr>
        <w:t xml:space="preserve"> l’investissement</w:t>
      </w:r>
      <w:r w:rsidRPr="00F64509">
        <w:rPr>
          <w:rFonts w:ascii="Arial" w:hAnsi="Arial" w:cs="Arial"/>
          <w:sz w:val="20"/>
          <w:szCs w:val="20"/>
        </w:rPr>
        <w:t xml:space="preserve"> aurait</w:t>
      </w:r>
      <w:r>
        <w:rPr>
          <w:rFonts w:ascii="Arial" w:hAnsi="Arial" w:cs="Arial"/>
          <w:sz w:val="20"/>
          <w:szCs w:val="20"/>
        </w:rPr>
        <w:t xml:space="preserve"> </w:t>
      </w:r>
      <w:r w:rsidR="00B50773">
        <w:rPr>
          <w:rFonts w:ascii="Arial" w:hAnsi="Arial" w:cs="Arial"/>
          <w:sz w:val="20"/>
          <w:szCs w:val="20"/>
        </w:rPr>
        <w:t>dé</w:t>
      </w:r>
      <w:r>
        <w:rPr>
          <w:rFonts w:ascii="Arial" w:hAnsi="Arial" w:cs="Arial"/>
          <w:sz w:val="20"/>
          <w:szCs w:val="20"/>
        </w:rPr>
        <w:t xml:space="preserve">céléré par rapport </w:t>
      </w:r>
      <w:r w:rsidR="00B50773">
        <w:rPr>
          <w:rFonts w:ascii="Arial" w:hAnsi="Arial" w:cs="Arial"/>
          <w:sz w:val="20"/>
          <w:szCs w:val="20"/>
        </w:rPr>
        <w:t>à l’année précédente</w:t>
      </w:r>
      <w:r>
        <w:rPr>
          <w:rFonts w:ascii="Arial" w:hAnsi="Arial" w:cs="Arial"/>
          <w:sz w:val="20"/>
          <w:szCs w:val="20"/>
        </w:rPr>
        <w:t xml:space="preserve">, </w:t>
      </w:r>
      <w:r w:rsidR="00E55889">
        <w:rPr>
          <w:rFonts w:ascii="Arial" w:hAnsi="Arial" w:cs="Arial"/>
          <w:sz w:val="20"/>
          <w:szCs w:val="20"/>
        </w:rPr>
        <w:t>pour se situer à</w:t>
      </w:r>
      <w:r w:rsidRPr="00F64509">
        <w:rPr>
          <w:rFonts w:ascii="Arial" w:hAnsi="Arial" w:cs="Arial"/>
          <w:sz w:val="20"/>
          <w:szCs w:val="20"/>
        </w:rPr>
        <w:t xml:space="preserve"> </w:t>
      </w:r>
      <w:r w:rsidR="00E55889">
        <w:rPr>
          <w:rFonts w:ascii="Arial" w:hAnsi="Arial" w:cs="Arial"/>
          <w:sz w:val="20"/>
          <w:szCs w:val="20"/>
        </w:rPr>
        <w:t xml:space="preserve">environ </w:t>
      </w:r>
      <w:r w:rsidR="00B50773">
        <w:rPr>
          <w:rFonts w:ascii="Arial" w:hAnsi="Arial" w:cs="Arial"/>
          <w:sz w:val="20"/>
          <w:szCs w:val="20"/>
        </w:rPr>
        <w:t>2,8</w:t>
      </w:r>
      <w:r w:rsidRPr="00F64509">
        <w:rPr>
          <w:rFonts w:ascii="Arial" w:hAnsi="Arial" w:cs="Arial"/>
          <w:sz w:val="20"/>
          <w:szCs w:val="20"/>
        </w:rPr>
        <w:t xml:space="preserve">%, en </w:t>
      </w:r>
      <w:r>
        <w:rPr>
          <w:rFonts w:ascii="Arial" w:hAnsi="Arial" w:cs="Arial"/>
          <w:sz w:val="20"/>
          <w:szCs w:val="20"/>
        </w:rPr>
        <w:t>variation annuelle, au lieu de +</w:t>
      </w:r>
      <w:r w:rsidR="00B50773">
        <w:rPr>
          <w:rFonts w:ascii="Arial" w:hAnsi="Arial" w:cs="Arial"/>
          <w:sz w:val="20"/>
          <w:szCs w:val="20"/>
        </w:rPr>
        <w:t>10,9</w:t>
      </w:r>
      <w:r>
        <w:rPr>
          <w:rFonts w:ascii="Arial" w:hAnsi="Arial" w:cs="Arial"/>
          <w:sz w:val="20"/>
          <w:szCs w:val="20"/>
        </w:rPr>
        <w:t>% une année auparavant, contribuant, ainsi, pour près de +</w:t>
      </w:r>
      <w:r w:rsidR="00B50773">
        <w:rPr>
          <w:rFonts w:ascii="Arial" w:hAnsi="Arial" w:cs="Arial"/>
          <w:sz w:val="20"/>
          <w:szCs w:val="20"/>
        </w:rPr>
        <w:t xml:space="preserve">0,8 </w:t>
      </w:r>
      <w:r>
        <w:rPr>
          <w:rFonts w:ascii="Arial" w:hAnsi="Arial" w:cs="Arial"/>
          <w:sz w:val="20"/>
          <w:szCs w:val="20"/>
        </w:rPr>
        <w:t xml:space="preserve">point à la croissance du PIB. </w:t>
      </w:r>
      <w:r w:rsidRPr="00F64509">
        <w:rPr>
          <w:rFonts w:ascii="Arial" w:hAnsi="Arial" w:cs="Arial"/>
          <w:sz w:val="20"/>
          <w:szCs w:val="20"/>
        </w:rPr>
        <w:t>Ce</w:t>
      </w:r>
      <w:r>
        <w:rPr>
          <w:rFonts w:ascii="Arial" w:hAnsi="Arial" w:cs="Arial"/>
          <w:sz w:val="20"/>
          <w:szCs w:val="20"/>
        </w:rPr>
        <w:t>tte évolution serait</w:t>
      </w:r>
      <w:r w:rsidRPr="00F64509">
        <w:rPr>
          <w:rFonts w:ascii="Arial" w:hAnsi="Arial" w:cs="Arial"/>
          <w:sz w:val="20"/>
          <w:szCs w:val="20"/>
        </w:rPr>
        <w:t xml:space="preserve">, particulièrement, </w:t>
      </w:r>
      <w:r>
        <w:rPr>
          <w:rFonts w:ascii="Arial" w:hAnsi="Arial" w:cs="Arial"/>
          <w:sz w:val="20"/>
          <w:szCs w:val="20"/>
        </w:rPr>
        <w:t>attribuable</w:t>
      </w:r>
      <w:r w:rsidRPr="00F64509">
        <w:rPr>
          <w:rFonts w:ascii="Arial" w:hAnsi="Arial" w:cs="Arial"/>
          <w:sz w:val="20"/>
          <w:szCs w:val="20"/>
        </w:rPr>
        <w:t xml:space="preserve"> </w:t>
      </w:r>
      <w:r>
        <w:rPr>
          <w:rFonts w:ascii="Arial" w:hAnsi="Arial" w:cs="Arial"/>
          <w:sz w:val="20"/>
          <w:szCs w:val="20"/>
        </w:rPr>
        <w:t xml:space="preserve">au </w:t>
      </w:r>
      <w:r w:rsidR="00E426D0">
        <w:rPr>
          <w:rFonts w:ascii="Arial" w:hAnsi="Arial" w:cs="Arial"/>
          <w:sz w:val="20"/>
          <w:szCs w:val="20"/>
        </w:rPr>
        <w:t>r</w:t>
      </w:r>
      <w:r w:rsidR="00CA1470">
        <w:rPr>
          <w:rFonts w:ascii="Arial" w:hAnsi="Arial" w:cs="Arial"/>
          <w:sz w:val="20"/>
          <w:szCs w:val="20"/>
        </w:rPr>
        <w:t>alentiss</w:t>
      </w:r>
      <w:r w:rsidR="00E426D0">
        <w:rPr>
          <w:rFonts w:ascii="Arial" w:hAnsi="Arial" w:cs="Arial"/>
          <w:sz w:val="20"/>
          <w:szCs w:val="20"/>
        </w:rPr>
        <w:t xml:space="preserve">ement </w:t>
      </w:r>
      <w:r w:rsidR="007C4D40">
        <w:rPr>
          <w:rFonts w:ascii="Arial" w:hAnsi="Arial" w:cs="Arial"/>
          <w:sz w:val="20"/>
          <w:szCs w:val="20"/>
        </w:rPr>
        <w:t>de l‘</w:t>
      </w:r>
      <w:r w:rsidR="007C4D40" w:rsidRPr="00F64509">
        <w:rPr>
          <w:rFonts w:ascii="Arial" w:hAnsi="Arial" w:cs="Arial"/>
          <w:sz w:val="20"/>
          <w:szCs w:val="20"/>
        </w:rPr>
        <w:t xml:space="preserve">investissement en </w:t>
      </w:r>
      <w:r w:rsidR="007C4D40">
        <w:rPr>
          <w:rFonts w:ascii="Arial" w:hAnsi="Arial" w:cs="Arial"/>
          <w:sz w:val="20"/>
          <w:szCs w:val="20"/>
        </w:rPr>
        <w:t>produits industriels</w:t>
      </w:r>
      <w:r w:rsidR="00F154BD">
        <w:rPr>
          <w:rFonts w:ascii="Arial" w:hAnsi="Arial" w:cs="Arial"/>
          <w:sz w:val="20"/>
          <w:szCs w:val="20"/>
        </w:rPr>
        <w:t xml:space="preserve">. </w:t>
      </w:r>
      <w:r w:rsidR="009C08DA">
        <w:rPr>
          <w:rFonts w:ascii="Arial" w:hAnsi="Arial" w:cs="Arial"/>
          <w:sz w:val="20"/>
          <w:szCs w:val="20"/>
        </w:rPr>
        <w:t>L’</w:t>
      </w:r>
      <w:r w:rsidR="009C08DA" w:rsidRPr="00F64509">
        <w:rPr>
          <w:rFonts w:ascii="Arial" w:hAnsi="Arial" w:cs="Arial"/>
          <w:sz w:val="20"/>
          <w:szCs w:val="20"/>
        </w:rPr>
        <w:t xml:space="preserve">investissement </w:t>
      </w:r>
      <w:r w:rsidR="009C08DA">
        <w:rPr>
          <w:rFonts w:ascii="Arial" w:hAnsi="Arial" w:cs="Arial"/>
          <w:sz w:val="20"/>
          <w:szCs w:val="20"/>
        </w:rPr>
        <w:t xml:space="preserve">public </w:t>
      </w:r>
      <w:r w:rsidR="009C08DA" w:rsidRPr="00696C03">
        <w:rPr>
          <w:rFonts w:ascii="Arial" w:hAnsi="Arial" w:cs="Arial"/>
          <w:sz w:val="20"/>
          <w:szCs w:val="20"/>
        </w:rPr>
        <w:t>en infrastructure</w:t>
      </w:r>
      <w:r w:rsidR="00AD52D9">
        <w:rPr>
          <w:rFonts w:ascii="Arial" w:hAnsi="Arial" w:cs="Arial"/>
          <w:sz w:val="20"/>
          <w:szCs w:val="20"/>
        </w:rPr>
        <w:t>s</w:t>
      </w:r>
      <w:r w:rsidR="009C08DA" w:rsidRPr="00696C03">
        <w:rPr>
          <w:rFonts w:ascii="Arial" w:hAnsi="Arial" w:cs="Arial"/>
          <w:sz w:val="20"/>
          <w:szCs w:val="20"/>
        </w:rPr>
        <w:t xml:space="preserve"> de base</w:t>
      </w:r>
      <w:r w:rsidR="009C08DA">
        <w:rPr>
          <w:rFonts w:ascii="Arial" w:hAnsi="Arial" w:cs="Arial"/>
          <w:sz w:val="20"/>
          <w:szCs w:val="20"/>
        </w:rPr>
        <w:t xml:space="preserve"> aurait, à l’inverse, légèrement accéléré par rapport au début de l’année, tandis que</w:t>
      </w:r>
      <w:r w:rsidR="00E426D0">
        <w:rPr>
          <w:rFonts w:ascii="Arial" w:hAnsi="Arial" w:cs="Arial"/>
          <w:sz w:val="20"/>
          <w:szCs w:val="20"/>
        </w:rPr>
        <w:t xml:space="preserve"> l</w:t>
      </w:r>
      <w:r w:rsidRPr="00696C03">
        <w:rPr>
          <w:rFonts w:ascii="Arial" w:hAnsi="Arial" w:cs="Arial"/>
          <w:sz w:val="20"/>
          <w:szCs w:val="20"/>
        </w:rPr>
        <w:t xml:space="preserve">’investissement en </w:t>
      </w:r>
      <w:r>
        <w:rPr>
          <w:rFonts w:ascii="Arial" w:hAnsi="Arial" w:cs="Arial"/>
          <w:sz w:val="20"/>
          <w:szCs w:val="20"/>
        </w:rPr>
        <w:t>construction</w:t>
      </w:r>
      <w:r w:rsidRPr="00696C03">
        <w:rPr>
          <w:rFonts w:ascii="Arial" w:hAnsi="Arial" w:cs="Arial"/>
          <w:sz w:val="20"/>
          <w:szCs w:val="20"/>
        </w:rPr>
        <w:t>, en ralentissement depuis la mi-2008, a</w:t>
      </w:r>
      <w:r>
        <w:rPr>
          <w:rFonts w:ascii="Arial" w:hAnsi="Arial" w:cs="Arial"/>
          <w:sz w:val="20"/>
          <w:szCs w:val="20"/>
        </w:rPr>
        <w:t>urait</w:t>
      </w:r>
      <w:r w:rsidRPr="00696C03">
        <w:rPr>
          <w:rFonts w:ascii="Arial" w:hAnsi="Arial" w:cs="Arial"/>
          <w:sz w:val="20"/>
          <w:szCs w:val="20"/>
        </w:rPr>
        <w:t xml:space="preserve"> été marqué par l’hésitation et l’attentisme des investisseurs, suite à </w:t>
      </w:r>
      <w:r w:rsidR="000B241E">
        <w:rPr>
          <w:rFonts w:ascii="Arial" w:hAnsi="Arial" w:cs="Arial"/>
          <w:sz w:val="20"/>
          <w:szCs w:val="20"/>
        </w:rPr>
        <w:t>la</w:t>
      </w:r>
      <w:r w:rsidRPr="00696C03">
        <w:rPr>
          <w:rFonts w:ascii="Arial" w:hAnsi="Arial" w:cs="Arial"/>
          <w:sz w:val="20"/>
          <w:szCs w:val="20"/>
        </w:rPr>
        <w:t xml:space="preserve"> faiblesse de la demande adressée</w:t>
      </w:r>
      <w:r w:rsidR="00AD52D9">
        <w:rPr>
          <w:rFonts w:ascii="Arial" w:hAnsi="Arial" w:cs="Arial"/>
          <w:sz w:val="20"/>
          <w:szCs w:val="20"/>
        </w:rPr>
        <w:t>,</w:t>
      </w:r>
      <w:r w:rsidRPr="00696C03">
        <w:rPr>
          <w:rFonts w:ascii="Arial" w:hAnsi="Arial" w:cs="Arial"/>
          <w:sz w:val="20"/>
          <w:szCs w:val="20"/>
        </w:rPr>
        <w:t xml:space="preserve"> notamment</w:t>
      </w:r>
      <w:r w:rsidR="00AD52D9">
        <w:rPr>
          <w:rFonts w:ascii="Arial" w:hAnsi="Arial" w:cs="Arial"/>
          <w:sz w:val="20"/>
          <w:szCs w:val="20"/>
        </w:rPr>
        <w:t>,</w:t>
      </w:r>
      <w:r w:rsidRPr="00696C03">
        <w:rPr>
          <w:rFonts w:ascii="Arial" w:hAnsi="Arial" w:cs="Arial"/>
          <w:sz w:val="20"/>
          <w:szCs w:val="20"/>
        </w:rPr>
        <w:t xml:space="preserve"> à l'immobilier</w:t>
      </w:r>
      <w:r>
        <w:rPr>
          <w:rFonts w:ascii="Arial" w:hAnsi="Arial" w:cs="Arial"/>
          <w:sz w:val="20"/>
          <w:szCs w:val="20"/>
        </w:rPr>
        <w:t xml:space="preserve"> résidentiel</w:t>
      </w:r>
      <w:r w:rsidRPr="00696C03">
        <w:rPr>
          <w:rFonts w:ascii="Arial" w:hAnsi="Arial" w:cs="Arial"/>
          <w:sz w:val="20"/>
          <w:szCs w:val="20"/>
        </w:rPr>
        <w:t xml:space="preserve">. </w:t>
      </w:r>
    </w:p>
    <w:p w:rsidR="0081799F" w:rsidRPr="00CB3F01" w:rsidRDefault="0081799F" w:rsidP="0081799F">
      <w:pPr>
        <w:autoSpaceDE w:val="0"/>
        <w:autoSpaceDN w:val="0"/>
        <w:adjustRightInd w:val="0"/>
        <w:jc w:val="both"/>
        <w:rPr>
          <w:rFonts w:asciiTheme="minorBidi" w:hAnsiTheme="minorBidi" w:cstheme="minorBidi"/>
        </w:rPr>
      </w:pPr>
    </w:p>
    <w:p w:rsidR="0081799F" w:rsidRDefault="0081799F" w:rsidP="00483F9B">
      <w:pPr>
        <w:jc w:val="both"/>
        <w:rPr>
          <w:rFonts w:ascii="Arial" w:hAnsi="Arial" w:cs="Arial"/>
          <w:b/>
          <w:bCs/>
          <w:color w:val="800000"/>
          <w:sz w:val="20"/>
          <w:szCs w:val="20"/>
        </w:rPr>
      </w:pPr>
      <w:r>
        <w:rPr>
          <w:rFonts w:ascii="Arial" w:hAnsi="Arial" w:cs="Arial"/>
          <w:b/>
          <w:bCs/>
          <w:color w:val="800000"/>
          <w:sz w:val="20"/>
          <w:szCs w:val="20"/>
        </w:rPr>
        <w:t xml:space="preserve">Poursuite </w:t>
      </w:r>
      <w:r w:rsidR="00483F9B">
        <w:rPr>
          <w:rFonts w:ascii="Arial" w:hAnsi="Arial" w:cs="Arial"/>
          <w:b/>
          <w:bCs/>
          <w:color w:val="800000"/>
          <w:sz w:val="20"/>
          <w:szCs w:val="20"/>
        </w:rPr>
        <w:t>de l’amélioration</w:t>
      </w:r>
      <w:r>
        <w:rPr>
          <w:rFonts w:ascii="Arial" w:hAnsi="Arial" w:cs="Arial"/>
          <w:b/>
          <w:bCs/>
          <w:color w:val="800000"/>
          <w:sz w:val="20"/>
          <w:szCs w:val="20"/>
        </w:rPr>
        <w:t xml:space="preserve"> des activités agricoles </w:t>
      </w:r>
    </w:p>
    <w:p w:rsidR="0081799F" w:rsidRPr="00392D8D" w:rsidRDefault="0081799F" w:rsidP="0081799F">
      <w:pPr>
        <w:jc w:val="both"/>
        <w:rPr>
          <w:rFonts w:ascii="Arial" w:hAnsi="Arial" w:cs="Arial"/>
          <w:b/>
          <w:bCs/>
          <w:color w:val="800000"/>
          <w:sz w:val="20"/>
          <w:szCs w:val="20"/>
        </w:rPr>
      </w:pPr>
    </w:p>
    <w:p w:rsidR="00D60AA7" w:rsidRPr="00553484" w:rsidRDefault="004D7A09" w:rsidP="000B241E">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38112" behindDoc="0" locked="0" layoutInCell="1" allowOverlap="1">
            <wp:simplePos x="0" y="0"/>
            <wp:positionH relativeFrom="column">
              <wp:posOffset>4408805</wp:posOffset>
            </wp:positionH>
            <wp:positionV relativeFrom="paragraph">
              <wp:posOffset>351790</wp:posOffset>
            </wp:positionV>
            <wp:extent cx="2160270" cy="182880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60270" cy="1828800"/>
                    </a:xfrm>
                    <a:prstGeom prst="rect">
                      <a:avLst/>
                    </a:prstGeom>
                    <a:noFill/>
                    <a:ln w="9525">
                      <a:noFill/>
                      <a:miter lim="800000"/>
                      <a:headEnd/>
                      <a:tailEnd/>
                    </a:ln>
                  </pic:spPr>
                </pic:pic>
              </a:graphicData>
            </a:graphic>
          </wp:anchor>
        </w:drawing>
      </w:r>
      <w:r w:rsidR="00D60AA7" w:rsidRPr="00553484">
        <w:rPr>
          <w:rFonts w:asciiTheme="minorBidi" w:hAnsiTheme="minorBidi" w:cstheme="minorBidi"/>
          <w:sz w:val="20"/>
          <w:szCs w:val="20"/>
        </w:rPr>
        <w:t xml:space="preserve">La valeur ajoutée </w:t>
      </w:r>
      <w:r w:rsidR="00D60AA7" w:rsidRPr="00553484">
        <w:rPr>
          <w:rFonts w:asciiTheme="minorBidi" w:hAnsiTheme="minorBidi" w:cstheme="minorBidi"/>
          <w:b/>
          <w:bCs/>
          <w:sz w:val="20"/>
          <w:szCs w:val="20"/>
        </w:rPr>
        <w:t>agricole</w:t>
      </w:r>
      <w:r w:rsidR="00D60AA7" w:rsidRPr="00553484">
        <w:rPr>
          <w:rFonts w:asciiTheme="minorBidi" w:hAnsiTheme="minorBidi" w:cstheme="minorBidi"/>
          <w:sz w:val="20"/>
          <w:szCs w:val="20"/>
        </w:rPr>
        <w:t xml:space="preserve"> aurait crû de 14,7%, au troisième trimestre 2017, en variation annuelle, portée par une sensible augmentation de la production végétale, après une baisse de 12,8% en 2016. Les productions des cultures mara</w:t>
      </w:r>
      <w:r w:rsidR="00F74F1F">
        <w:rPr>
          <w:rFonts w:asciiTheme="minorBidi" w:hAnsiTheme="minorBidi" w:cstheme="minorBidi"/>
          <w:sz w:val="20"/>
          <w:szCs w:val="20"/>
        </w:rPr>
        <w:t>î</w:t>
      </w:r>
      <w:r w:rsidR="00D60AA7" w:rsidRPr="00553484">
        <w:rPr>
          <w:rFonts w:asciiTheme="minorBidi" w:hAnsiTheme="minorBidi" w:cstheme="minorBidi"/>
          <w:sz w:val="20"/>
          <w:szCs w:val="20"/>
        </w:rPr>
        <w:t xml:space="preserve">chères et fruitières auraient évolué au rythme de leur croissance tendancielle (+4,1%), </w:t>
      </w:r>
      <w:r w:rsidR="00AB6D41">
        <w:rPr>
          <w:rFonts w:asciiTheme="minorBidi" w:hAnsiTheme="minorBidi" w:cstheme="minorBidi"/>
          <w:sz w:val="20"/>
          <w:szCs w:val="20"/>
        </w:rPr>
        <w:t>alor</w:t>
      </w:r>
      <w:r w:rsidR="00D60AA7" w:rsidRPr="00553484">
        <w:rPr>
          <w:rFonts w:asciiTheme="minorBidi" w:hAnsiTheme="minorBidi" w:cstheme="minorBidi"/>
          <w:sz w:val="20"/>
          <w:szCs w:val="20"/>
        </w:rPr>
        <w:t>s</w:t>
      </w:r>
      <w:r w:rsidR="00AB6D41">
        <w:rPr>
          <w:rFonts w:asciiTheme="minorBidi" w:hAnsiTheme="minorBidi" w:cstheme="minorBidi"/>
          <w:sz w:val="20"/>
          <w:szCs w:val="20"/>
        </w:rPr>
        <w:t xml:space="preserve"> que</w:t>
      </w:r>
      <w:r w:rsidR="00D60AA7" w:rsidRPr="00553484">
        <w:rPr>
          <w:rFonts w:asciiTheme="minorBidi" w:hAnsiTheme="minorBidi" w:cstheme="minorBidi"/>
          <w:sz w:val="20"/>
          <w:szCs w:val="20"/>
        </w:rPr>
        <w:t xml:space="preserve"> celles des céréales et des légumineuses auraient presque triplé par rapport à 2016, tirées par des rendements au dessus de la moyenne quinquennale dans les régions du Gharb, du Saïs  et du Tadla. Ce raffermissement de l’offre, qui aurait ramené l’activité agricole au-delà de son niveau tendanciel de moyen terme, se serait accompagné </w:t>
      </w:r>
      <w:r w:rsidR="00EF64C7">
        <w:rPr>
          <w:rFonts w:asciiTheme="minorBidi" w:hAnsiTheme="minorBidi" w:cstheme="minorBidi"/>
          <w:sz w:val="20"/>
          <w:szCs w:val="20"/>
        </w:rPr>
        <w:t>d’</w:t>
      </w:r>
      <w:r w:rsidR="00D60AA7" w:rsidRPr="00553484">
        <w:rPr>
          <w:rFonts w:asciiTheme="minorBidi" w:hAnsiTheme="minorBidi" w:cstheme="minorBidi"/>
          <w:sz w:val="20"/>
          <w:szCs w:val="20"/>
        </w:rPr>
        <w:t xml:space="preserve">une amélioration de la balance commerciale agricole, consécutive à une baisse de 14,1% des </w:t>
      </w:r>
      <w:r w:rsidR="00EF64C7">
        <w:rPr>
          <w:rFonts w:asciiTheme="minorBidi" w:hAnsiTheme="minorBidi" w:cstheme="minorBidi"/>
          <w:sz w:val="20"/>
          <w:szCs w:val="20"/>
        </w:rPr>
        <w:t xml:space="preserve">quantités </w:t>
      </w:r>
      <w:r w:rsidR="00D60AA7" w:rsidRPr="00553484">
        <w:rPr>
          <w:rFonts w:asciiTheme="minorBidi" w:hAnsiTheme="minorBidi" w:cstheme="minorBidi"/>
          <w:sz w:val="20"/>
          <w:szCs w:val="20"/>
        </w:rPr>
        <w:t>import</w:t>
      </w:r>
      <w:r w:rsidR="00EF64C7">
        <w:rPr>
          <w:rFonts w:asciiTheme="minorBidi" w:hAnsiTheme="minorBidi" w:cstheme="minorBidi"/>
          <w:sz w:val="20"/>
          <w:szCs w:val="20"/>
        </w:rPr>
        <w:t>ée</w:t>
      </w:r>
      <w:r w:rsidR="00D60AA7" w:rsidRPr="00553484">
        <w:rPr>
          <w:rFonts w:asciiTheme="minorBidi" w:hAnsiTheme="minorBidi" w:cstheme="minorBidi"/>
          <w:sz w:val="20"/>
          <w:szCs w:val="20"/>
        </w:rPr>
        <w:t>s de céréales et une hausse de plus que le double des exportations d</w:t>
      </w:r>
      <w:r w:rsidR="00EF64C7">
        <w:rPr>
          <w:rFonts w:asciiTheme="minorBidi" w:hAnsiTheme="minorBidi" w:cstheme="minorBidi"/>
          <w:sz w:val="20"/>
          <w:szCs w:val="20"/>
        </w:rPr>
        <w:t>’</w:t>
      </w:r>
      <w:r w:rsidR="00D60AA7" w:rsidRPr="00553484">
        <w:rPr>
          <w:rFonts w:asciiTheme="minorBidi" w:hAnsiTheme="minorBidi" w:cstheme="minorBidi"/>
          <w:sz w:val="20"/>
          <w:szCs w:val="20"/>
        </w:rPr>
        <w:t>agrumes. Il aurait, en outre, favorisé une diminution des prix agricoles, notamment ceux des céréales,</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des</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agrumes</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 xml:space="preserve"> et</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 xml:space="preserve">des </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 xml:space="preserve">fruits </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 xml:space="preserve">frais </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(-2,9%,</w:t>
      </w:r>
      <w:r w:rsidR="00D23C65">
        <w:rPr>
          <w:rFonts w:asciiTheme="minorBidi" w:hAnsiTheme="minorBidi" w:cstheme="minorBidi"/>
          <w:sz w:val="20"/>
          <w:szCs w:val="20"/>
        </w:rPr>
        <w:t xml:space="preserve"> </w:t>
      </w:r>
      <w:r w:rsidR="00D60AA7" w:rsidRPr="00553484">
        <w:rPr>
          <w:rFonts w:asciiTheme="minorBidi" w:hAnsiTheme="minorBidi" w:cstheme="minorBidi"/>
          <w:sz w:val="20"/>
          <w:szCs w:val="20"/>
        </w:rPr>
        <w:t xml:space="preserve">-25% et -13%, respectivement, en variations annuelles). Seuls les prix des légumes frais se seraient inscrits à contre courant, affichant une hausse de 1,8%, au cours de la même période. </w:t>
      </w:r>
    </w:p>
    <w:p w:rsidR="0081799F" w:rsidRPr="00D34739" w:rsidRDefault="0081799F" w:rsidP="00B04AF8">
      <w:pPr>
        <w:jc w:val="both"/>
        <w:rPr>
          <w:rFonts w:asciiTheme="minorBidi" w:hAnsiTheme="minorBidi" w:cstheme="minorBidi"/>
          <w:sz w:val="20"/>
          <w:szCs w:val="20"/>
        </w:rPr>
      </w:pPr>
    </w:p>
    <w:p w:rsidR="0097276B" w:rsidRDefault="00186DD8" w:rsidP="00186DD8">
      <w:pPr>
        <w:jc w:val="both"/>
        <w:rPr>
          <w:rFonts w:ascii="Arial" w:hAnsi="Arial" w:cs="Arial"/>
          <w:b/>
          <w:bCs/>
          <w:color w:val="800000"/>
          <w:kern w:val="28"/>
          <w:sz w:val="20"/>
          <w:szCs w:val="20"/>
        </w:rPr>
      </w:pPr>
      <w:r>
        <w:rPr>
          <w:rFonts w:ascii="Arial" w:hAnsi="Arial" w:cs="Arial"/>
          <w:b/>
          <w:bCs/>
          <w:color w:val="800000"/>
          <w:kern w:val="28"/>
          <w:sz w:val="20"/>
          <w:szCs w:val="20"/>
        </w:rPr>
        <w:t>Légère progression</w:t>
      </w:r>
      <w:r w:rsidR="00DF7F9A">
        <w:rPr>
          <w:rFonts w:ascii="Arial" w:hAnsi="Arial" w:cs="Arial"/>
          <w:b/>
          <w:bCs/>
          <w:color w:val="800000"/>
          <w:kern w:val="28"/>
          <w:sz w:val="20"/>
          <w:szCs w:val="20"/>
        </w:rPr>
        <w:t xml:space="preserve"> </w:t>
      </w:r>
      <w:r w:rsidR="00D16D78">
        <w:rPr>
          <w:rFonts w:ascii="Arial" w:hAnsi="Arial" w:cs="Arial"/>
          <w:b/>
          <w:bCs/>
          <w:color w:val="800000"/>
          <w:kern w:val="28"/>
          <w:sz w:val="20"/>
          <w:szCs w:val="20"/>
        </w:rPr>
        <w:t xml:space="preserve">du rythme de croissance </w:t>
      </w:r>
      <w:r w:rsidR="0097276B">
        <w:rPr>
          <w:rFonts w:ascii="Arial" w:hAnsi="Arial" w:cs="Arial"/>
          <w:b/>
          <w:bCs/>
          <w:color w:val="800000"/>
          <w:kern w:val="28"/>
          <w:sz w:val="20"/>
          <w:szCs w:val="20"/>
        </w:rPr>
        <w:t>des activités hors agriculture</w:t>
      </w:r>
    </w:p>
    <w:p w:rsidR="0097276B" w:rsidRDefault="0097276B" w:rsidP="005F2599">
      <w:pPr>
        <w:jc w:val="both"/>
        <w:rPr>
          <w:rFonts w:ascii="Arial" w:hAnsi="Arial" w:cs="Arial"/>
          <w:sz w:val="20"/>
          <w:szCs w:val="20"/>
        </w:rPr>
      </w:pPr>
    </w:p>
    <w:p w:rsidR="00573FD3" w:rsidRPr="005F2599" w:rsidRDefault="00A62EAF" w:rsidP="00BC46BC">
      <w:pPr>
        <w:jc w:val="both"/>
        <w:rPr>
          <w:rFonts w:ascii="Arial" w:hAnsi="Arial" w:cs="Arial"/>
          <w:sz w:val="20"/>
          <w:szCs w:val="20"/>
        </w:rPr>
      </w:pPr>
      <w:r>
        <w:rPr>
          <w:rFonts w:ascii="Arial" w:hAnsi="Arial" w:cs="Arial"/>
          <w:noProof/>
          <w:sz w:val="20"/>
          <w:szCs w:val="20"/>
        </w:rPr>
        <w:t>L</w:t>
      </w:r>
      <w:r w:rsidR="001365F9">
        <w:rPr>
          <w:rFonts w:ascii="Arial" w:hAnsi="Arial" w:cs="Arial"/>
          <w:noProof/>
          <w:sz w:val="20"/>
          <w:szCs w:val="20"/>
        </w:rPr>
        <w:t xml:space="preserve">a valeur ajoutée hors </w:t>
      </w:r>
      <w:r w:rsidR="00C555C5">
        <w:rPr>
          <w:rFonts w:ascii="Arial" w:hAnsi="Arial" w:cs="Arial"/>
          <w:sz w:val="20"/>
          <w:szCs w:val="20"/>
        </w:rPr>
        <w:t>agric</w:t>
      </w:r>
      <w:r w:rsidR="001365F9">
        <w:rPr>
          <w:rFonts w:ascii="Arial" w:hAnsi="Arial" w:cs="Arial"/>
          <w:sz w:val="20"/>
          <w:szCs w:val="20"/>
        </w:rPr>
        <w:t>ulture</w:t>
      </w:r>
      <w:r w:rsidR="00C07B2B">
        <w:rPr>
          <w:rFonts w:ascii="Arial" w:hAnsi="Arial" w:cs="Arial"/>
          <w:sz w:val="20"/>
          <w:szCs w:val="20"/>
        </w:rPr>
        <w:t xml:space="preserve"> </w:t>
      </w:r>
      <w:r w:rsidR="00686110">
        <w:rPr>
          <w:rFonts w:ascii="Arial" w:hAnsi="Arial" w:cs="Arial"/>
          <w:sz w:val="20"/>
          <w:szCs w:val="20"/>
        </w:rPr>
        <w:t xml:space="preserve">se serait </w:t>
      </w:r>
      <w:r w:rsidR="001365F9">
        <w:rPr>
          <w:rFonts w:ascii="Arial" w:hAnsi="Arial" w:cs="Arial"/>
          <w:sz w:val="20"/>
          <w:szCs w:val="20"/>
        </w:rPr>
        <w:t xml:space="preserve">accrue de </w:t>
      </w:r>
      <w:r w:rsidR="00186DD8">
        <w:rPr>
          <w:rFonts w:ascii="Arial" w:hAnsi="Arial" w:cs="Arial"/>
          <w:sz w:val="20"/>
          <w:szCs w:val="20"/>
        </w:rPr>
        <w:t>2,</w:t>
      </w:r>
      <w:r w:rsidR="002758A5">
        <w:rPr>
          <w:rFonts w:ascii="Arial" w:hAnsi="Arial" w:cs="Arial"/>
          <w:sz w:val="20"/>
          <w:szCs w:val="20"/>
        </w:rPr>
        <w:t>6</w:t>
      </w:r>
      <w:r w:rsidR="001365F9">
        <w:rPr>
          <w:rFonts w:ascii="Arial" w:hAnsi="Arial" w:cs="Arial"/>
          <w:sz w:val="20"/>
          <w:szCs w:val="20"/>
        </w:rPr>
        <w:t xml:space="preserve">%, </w:t>
      </w:r>
      <w:r w:rsidR="00C07B2B">
        <w:rPr>
          <w:rFonts w:ascii="Arial" w:hAnsi="Arial" w:cs="Arial"/>
          <w:sz w:val="20"/>
          <w:szCs w:val="20"/>
        </w:rPr>
        <w:t xml:space="preserve">au </w:t>
      </w:r>
      <w:r w:rsidR="0063762D">
        <w:rPr>
          <w:rFonts w:ascii="Arial" w:hAnsi="Arial" w:cs="Arial"/>
          <w:sz w:val="20"/>
          <w:szCs w:val="20"/>
        </w:rPr>
        <w:t>troisième</w:t>
      </w:r>
      <w:r w:rsidR="00CC75D6">
        <w:rPr>
          <w:rFonts w:ascii="Arial" w:hAnsi="Arial" w:cs="Arial"/>
          <w:iCs/>
          <w:color w:val="000000"/>
          <w:sz w:val="20"/>
          <w:szCs w:val="20"/>
          <w:lang w:eastAsia="en-US"/>
        </w:rPr>
        <w:t xml:space="preserve"> trimestre 2017</w:t>
      </w:r>
      <w:r>
        <w:rPr>
          <w:rFonts w:ascii="Arial" w:hAnsi="Arial" w:cs="Arial"/>
          <w:sz w:val="20"/>
          <w:szCs w:val="20"/>
        </w:rPr>
        <w:t xml:space="preserve">, </w:t>
      </w:r>
      <w:r w:rsidR="00686110">
        <w:rPr>
          <w:rFonts w:ascii="Arial" w:hAnsi="Arial" w:cs="Arial"/>
          <w:sz w:val="20"/>
          <w:szCs w:val="20"/>
        </w:rPr>
        <w:t xml:space="preserve">au lieu de </w:t>
      </w:r>
      <w:r w:rsidR="00F217C5">
        <w:rPr>
          <w:rFonts w:ascii="Arial" w:hAnsi="Arial" w:cs="Arial"/>
          <w:sz w:val="20"/>
          <w:szCs w:val="20"/>
        </w:rPr>
        <w:t>+</w:t>
      </w:r>
      <w:r w:rsidR="00186DD8">
        <w:rPr>
          <w:rFonts w:ascii="Arial" w:hAnsi="Arial" w:cs="Arial"/>
          <w:sz w:val="20"/>
          <w:szCs w:val="20"/>
        </w:rPr>
        <w:t>2</w:t>
      </w:r>
      <w:r w:rsidR="00CA69EF">
        <w:rPr>
          <w:rFonts w:ascii="Arial" w:hAnsi="Arial" w:cs="Arial"/>
          <w:sz w:val="20"/>
          <w:szCs w:val="20"/>
        </w:rPr>
        <w:t>,</w:t>
      </w:r>
      <w:r w:rsidR="00186DD8">
        <w:rPr>
          <w:rFonts w:ascii="Arial" w:hAnsi="Arial" w:cs="Arial"/>
          <w:sz w:val="20"/>
          <w:szCs w:val="20"/>
        </w:rPr>
        <w:t>3</w:t>
      </w:r>
      <w:r w:rsidR="00686110">
        <w:rPr>
          <w:rFonts w:ascii="Arial" w:hAnsi="Arial" w:cs="Arial"/>
          <w:sz w:val="20"/>
          <w:szCs w:val="20"/>
        </w:rPr>
        <w:t>% un</w:t>
      </w:r>
      <w:r w:rsidR="00CA69EF">
        <w:rPr>
          <w:rFonts w:ascii="Arial" w:hAnsi="Arial" w:cs="Arial"/>
          <w:sz w:val="20"/>
          <w:szCs w:val="20"/>
        </w:rPr>
        <w:t>e</w:t>
      </w:r>
      <w:r w:rsidR="00686110">
        <w:rPr>
          <w:rFonts w:ascii="Arial" w:hAnsi="Arial" w:cs="Arial"/>
          <w:sz w:val="20"/>
          <w:szCs w:val="20"/>
        </w:rPr>
        <w:t xml:space="preserve"> </w:t>
      </w:r>
      <w:r w:rsidR="00CA69EF">
        <w:rPr>
          <w:rFonts w:ascii="Arial" w:hAnsi="Arial" w:cs="Arial"/>
          <w:sz w:val="20"/>
          <w:szCs w:val="20"/>
        </w:rPr>
        <w:t>année</w:t>
      </w:r>
      <w:r w:rsidR="00686110">
        <w:rPr>
          <w:rFonts w:ascii="Arial" w:hAnsi="Arial" w:cs="Arial"/>
          <w:sz w:val="20"/>
          <w:szCs w:val="20"/>
        </w:rPr>
        <w:t xml:space="preserve"> auparavant</w:t>
      </w:r>
      <w:r w:rsidR="0097276B" w:rsidRPr="00873491">
        <w:rPr>
          <w:rFonts w:ascii="Arial" w:hAnsi="Arial" w:cs="Arial"/>
          <w:sz w:val="20"/>
          <w:szCs w:val="20"/>
        </w:rPr>
        <w:t xml:space="preserve">. </w:t>
      </w:r>
      <w:r w:rsidR="003C119B">
        <w:rPr>
          <w:rFonts w:ascii="Arial" w:hAnsi="Arial" w:cs="Arial"/>
          <w:sz w:val="20"/>
          <w:szCs w:val="20"/>
        </w:rPr>
        <w:t>Contribuant pour près de 1,</w:t>
      </w:r>
      <w:r w:rsidR="002758A5">
        <w:rPr>
          <w:rFonts w:ascii="Arial" w:hAnsi="Arial" w:cs="Arial"/>
          <w:sz w:val="20"/>
          <w:szCs w:val="20"/>
        </w:rPr>
        <w:t>2</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3C119B">
        <w:rPr>
          <w:rFonts w:ascii="Arial" w:hAnsi="Arial" w:cs="Arial"/>
          <w:sz w:val="20"/>
          <w:szCs w:val="20"/>
        </w:rPr>
        <w:t>, l</w:t>
      </w:r>
      <w:r w:rsidR="002765A6">
        <w:rPr>
          <w:rFonts w:ascii="Arial" w:hAnsi="Arial" w:cs="Arial"/>
          <w:sz w:val="20"/>
          <w:szCs w:val="20"/>
        </w:rPr>
        <w:t xml:space="preserve">es branches tertiaires auraient continué de soutenir l’activité économique, grâce notamment à la </w:t>
      </w:r>
      <w:r w:rsidR="00E044C7">
        <w:rPr>
          <w:rFonts w:ascii="Arial" w:hAnsi="Arial" w:cs="Arial"/>
          <w:sz w:val="20"/>
          <w:szCs w:val="20"/>
        </w:rPr>
        <w:t>bonne 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et des activités touristiques</w:t>
      </w:r>
      <w:r w:rsidR="00502E10">
        <w:rPr>
          <w:rFonts w:ascii="Arial" w:hAnsi="Arial" w:cs="Arial"/>
          <w:sz w:val="20"/>
          <w:szCs w:val="20"/>
        </w:rPr>
        <w:t xml:space="preserve">. </w:t>
      </w:r>
      <w:r w:rsidR="00573FD3">
        <w:rPr>
          <w:rFonts w:ascii="Arial" w:hAnsi="Arial" w:cs="Arial"/>
          <w:sz w:val="20"/>
          <w:szCs w:val="20"/>
        </w:rPr>
        <w:t xml:space="preserve">La valeur ajoutée de ces dernières se serait accrue de 5,2%, en variation annuelle, au lieu de </w:t>
      </w:r>
      <w:r w:rsidR="00437B22">
        <w:rPr>
          <w:rFonts w:ascii="Arial" w:hAnsi="Arial" w:cs="Arial"/>
          <w:sz w:val="20"/>
          <w:szCs w:val="20"/>
        </w:rPr>
        <w:t>+</w:t>
      </w:r>
      <w:r w:rsidR="008F2E21">
        <w:rPr>
          <w:rFonts w:ascii="Arial" w:hAnsi="Arial" w:cs="Arial"/>
          <w:sz w:val="20"/>
          <w:szCs w:val="20"/>
        </w:rPr>
        <w:t>7,7</w:t>
      </w:r>
      <w:r w:rsidR="00573FD3">
        <w:rPr>
          <w:rFonts w:ascii="Arial" w:hAnsi="Arial" w:cs="Arial"/>
          <w:sz w:val="20"/>
          <w:szCs w:val="20"/>
        </w:rPr>
        <w:t xml:space="preserve">% une année auparavant. Cette </w:t>
      </w:r>
      <w:r w:rsidR="00B81D22">
        <w:rPr>
          <w:rFonts w:ascii="Arial" w:hAnsi="Arial" w:cs="Arial"/>
          <w:sz w:val="20"/>
          <w:szCs w:val="20"/>
        </w:rPr>
        <w:t>évolut</w:t>
      </w:r>
      <w:r w:rsidR="00573FD3">
        <w:rPr>
          <w:rFonts w:ascii="Arial" w:hAnsi="Arial" w:cs="Arial"/>
          <w:sz w:val="20"/>
          <w:szCs w:val="20"/>
        </w:rPr>
        <w:t>ion aurait été portée par une hausse de 9,6% des recettes voyages et de +6,4% des nuitées touristiques. Les arrivées touristiques auraient, pour leur part, augmenté de 5,4%.</w:t>
      </w:r>
    </w:p>
    <w:p w:rsidR="005F2599" w:rsidRDefault="005F2599" w:rsidP="00573FD3">
      <w:pPr>
        <w:ind w:right="170"/>
        <w:jc w:val="both"/>
        <w:rPr>
          <w:rFonts w:ascii="Arial" w:hAnsi="Arial" w:cs="Arial"/>
          <w:sz w:val="20"/>
          <w:szCs w:val="20"/>
        </w:rPr>
      </w:pPr>
    </w:p>
    <w:p w:rsidR="00DD4C78" w:rsidRPr="00553484" w:rsidRDefault="001A037A" w:rsidP="00F12D97">
      <w:pPr>
        <w:tabs>
          <w:tab w:val="left" w:pos="3706"/>
        </w:tabs>
        <w:jc w:val="both"/>
        <w:rPr>
          <w:rFonts w:asciiTheme="minorBidi" w:hAnsiTheme="minorBidi" w:cstheme="minorBidi"/>
          <w:sz w:val="20"/>
          <w:szCs w:val="20"/>
        </w:rPr>
      </w:pPr>
      <w:r>
        <w:rPr>
          <w:rFonts w:ascii="Arial" w:hAnsi="Arial" w:cs="Arial"/>
          <w:sz w:val="20"/>
          <w:szCs w:val="20"/>
        </w:rPr>
        <w:t xml:space="preserve">La </w:t>
      </w:r>
      <w:r w:rsidR="00502E10">
        <w:rPr>
          <w:rFonts w:ascii="Arial" w:hAnsi="Arial" w:cs="Arial"/>
          <w:sz w:val="20"/>
          <w:szCs w:val="20"/>
        </w:rPr>
        <w:t xml:space="preserve">valeur ajoutée </w:t>
      </w:r>
      <w:r>
        <w:rPr>
          <w:rFonts w:ascii="Arial" w:hAnsi="Arial" w:cs="Arial"/>
          <w:sz w:val="20"/>
          <w:szCs w:val="20"/>
        </w:rPr>
        <w:t xml:space="preserve">du secteur secondaire </w:t>
      </w:r>
      <w:r w:rsidR="00502E10">
        <w:rPr>
          <w:rFonts w:ascii="Arial" w:hAnsi="Arial" w:cs="Arial"/>
          <w:sz w:val="20"/>
          <w:szCs w:val="20"/>
        </w:rPr>
        <w:t xml:space="preserve">se serait améliorée de </w:t>
      </w:r>
      <w:r w:rsidR="002F0656">
        <w:rPr>
          <w:rFonts w:ascii="Arial" w:hAnsi="Arial" w:cs="Arial" w:hint="cs"/>
          <w:sz w:val="20"/>
          <w:szCs w:val="20"/>
          <w:rtl/>
        </w:rPr>
        <w:t>2</w:t>
      </w:r>
      <w:r w:rsidR="00502E10">
        <w:rPr>
          <w:rFonts w:ascii="Arial" w:hAnsi="Arial" w:cs="Arial"/>
          <w:sz w:val="20"/>
          <w:szCs w:val="20"/>
        </w:rPr>
        <w:t>,</w:t>
      </w:r>
      <w:r w:rsidR="00BA21CD">
        <w:rPr>
          <w:rFonts w:ascii="Arial" w:hAnsi="Arial" w:cs="Arial"/>
          <w:sz w:val="20"/>
          <w:szCs w:val="20"/>
        </w:rPr>
        <w:t>8</w:t>
      </w:r>
      <w:r w:rsidR="00502E10">
        <w:rPr>
          <w:rFonts w:ascii="Arial" w:hAnsi="Arial" w:cs="Arial"/>
          <w:sz w:val="20"/>
          <w:szCs w:val="20"/>
        </w:rPr>
        <w:t xml:space="preserve">% au </w:t>
      </w:r>
      <w:r w:rsidR="0063762D">
        <w:rPr>
          <w:rFonts w:ascii="Arial" w:hAnsi="Arial" w:cs="Arial"/>
          <w:sz w:val="20"/>
          <w:szCs w:val="20"/>
        </w:rPr>
        <w:t>troisième</w:t>
      </w:r>
      <w:r w:rsidR="00502E10">
        <w:rPr>
          <w:rFonts w:ascii="Arial" w:hAnsi="Arial" w:cs="Arial"/>
          <w:sz w:val="20"/>
          <w:szCs w:val="20"/>
        </w:rPr>
        <w:t xml:space="preserve"> trimestre 2017</w:t>
      </w:r>
      <w:r w:rsidR="00F12D97">
        <w:rPr>
          <w:rFonts w:ascii="Arial" w:hAnsi="Arial" w:cs="Arial"/>
          <w:sz w:val="20"/>
          <w:szCs w:val="20"/>
        </w:rPr>
        <w:t>,</w:t>
      </w:r>
      <w:r w:rsidR="00502E10">
        <w:rPr>
          <w:rFonts w:ascii="Arial" w:hAnsi="Arial" w:cs="Arial"/>
          <w:sz w:val="20"/>
          <w:szCs w:val="20"/>
        </w:rPr>
        <w:t xml:space="preserve"> </w:t>
      </w:r>
      <w:r w:rsidR="00437B22">
        <w:rPr>
          <w:rFonts w:ascii="Arial" w:hAnsi="Arial" w:cs="Arial"/>
          <w:sz w:val="20"/>
          <w:szCs w:val="20"/>
        </w:rPr>
        <w:t>soutenu</w:t>
      </w:r>
      <w:r w:rsidR="00A97AC1">
        <w:rPr>
          <w:rFonts w:ascii="Arial" w:hAnsi="Arial" w:cs="Arial"/>
          <w:sz w:val="20"/>
          <w:szCs w:val="20"/>
        </w:rPr>
        <w:t>e</w:t>
      </w:r>
      <w:r w:rsidR="00502E10">
        <w:rPr>
          <w:rFonts w:ascii="Arial" w:hAnsi="Arial" w:cs="Arial"/>
          <w:sz w:val="20"/>
          <w:szCs w:val="20"/>
        </w:rPr>
        <w:t xml:space="preserve"> notamment par l</w:t>
      </w:r>
      <w:r>
        <w:rPr>
          <w:rFonts w:ascii="Arial" w:hAnsi="Arial" w:cs="Arial"/>
          <w:sz w:val="20"/>
          <w:szCs w:val="20"/>
        </w:rPr>
        <w:t>a poursuite du</w:t>
      </w:r>
      <w:r w:rsidR="00502E10">
        <w:rPr>
          <w:rFonts w:ascii="Arial" w:hAnsi="Arial" w:cs="Arial"/>
          <w:sz w:val="20"/>
          <w:szCs w:val="20"/>
        </w:rPr>
        <w:t xml:space="preserve"> dynamisme des activités </w:t>
      </w:r>
      <w:r w:rsidR="00437B22">
        <w:rPr>
          <w:rFonts w:ascii="Arial" w:hAnsi="Arial" w:cs="Arial"/>
          <w:sz w:val="20"/>
          <w:szCs w:val="20"/>
        </w:rPr>
        <w:t>d’extraction</w:t>
      </w:r>
      <w:r w:rsidR="00502E10">
        <w:rPr>
          <w:rFonts w:ascii="Arial" w:hAnsi="Arial" w:cs="Arial"/>
          <w:sz w:val="20"/>
          <w:szCs w:val="20"/>
        </w:rPr>
        <w:t>.</w:t>
      </w:r>
      <w:r w:rsidR="00141788">
        <w:rPr>
          <w:rFonts w:ascii="Arial" w:hAnsi="Arial" w:cs="Arial"/>
          <w:sz w:val="20"/>
          <w:szCs w:val="20"/>
        </w:rPr>
        <w:t xml:space="preserve"> </w:t>
      </w:r>
      <w:r w:rsidR="004523B1" w:rsidRPr="003410B6">
        <w:rPr>
          <w:rFonts w:asciiTheme="minorBidi" w:hAnsiTheme="minorBidi" w:cstheme="minorBidi"/>
          <w:sz w:val="20"/>
          <w:szCs w:val="20"/>
        </w:rPr>
        <w:t>L</w:t>
      </w:r>
      <w:r w:rsidR="004523B1">
        <w:rPr>
          <w:rFonts w:asciiTheme="minorBidi" w:hAnsiTheme="minorBidi" w:cstheme="minorBidi"/>
          <w:sz w:val="20"/>
          <w:szCs w:val="20"/>
        </w:rPr>
        <w:t>a valeur ajouté</w:t>
      </w:r>
      <w:r w:rsidR="004523B1" w:rsidRPr="003410B6">
        <w:rPr>
          <w:rFonts w:asciiTheme="minorBidi" w:hAnsiTheme="minorBidi" w:cstheme="minorBidi"/>
          <w:sz w:val="20"/>
          <w:szCs w:val="20"/>
        </w:rPr>
        <w:t>e</w:t>
      </w:r>
      <w:r w:rsidR="004523B1">
        <w:rPr>
          <w:rFonts w:asciiTheme="minorBidi" w:hAnsiTheme="minorBidi" w:cstheme="minorBidi"/>
          <w:sz w:val="20"/>
          <w:szCs w:val="20"/>
        </w:rPr>
        <w:t xml:space="preserve"> </w:t>
      </w:r>
      <w:r w:rsidR="004523B1" w:rsidRPr="0030478A">
        <w:rPr>
          <w:rFonts w:asciiTheme="minorBidi" w:hAnsiTheme="minorBidi" w:cstheme="minorBidi"/>
          <w:b/>
          <w:bCs/>
          <w:sz w:val="20"/>
          <w:szCs w:val="20"/>
        </w:rPr>
        <w:t>minière</w:t>
      </w:r>
      <w:r w:rsidR="004523B1" w:rsidRPr="003410B6">
        <w:rPr>
          <w:rFonts w:asciiTheme="minorBidi" w:hAnsiTheme="minorBidi" w:cstheme="minorBidi"/>
          <w:sz w:val="20"/>
          <w:szCs w:val="20"/>
        </w:rPr>
        <w:t xml:space="preserve"> aurait affich</w:t>
      </w:r>
      <w:r w:rsidR="00D14D07">
        <w:rPr>
          <w:rFonts w:asciiTheme="minorBidi" w:hAnsiTheme="minorBidi" w:cstheme="minorBidi"/>
          <w:sz w:val="20"/>
          <w:szCs w:val="20"/>
        </w:rPr>
        <w:t>é</w:t>
      </w:r>
      <w:r w:rsidR="004523B1" w:rsidRPr="003410B6">
        <w:rPr>
          <w:rFonts w:asciiTheme="minorBidi" w:hAnsiTheme="minorBidi" w:cstheme="minorBidi"/>
          <w:sz w:val="20"/>
          <w:szCs w:val="20"/>
        </w:rPr>
        <w:t xml:space="preserve"> une croissance de </w:t>
      </w:r>
      <w:r w:rsidR="002F0656">
        <w:rPr>
          <w:rFonts w:asciiTheme="minorBidi" w:hAnsiTheme="minorBidi" w:cstheme="minorBidi"/>
          <w:sz w:val="20"/>
          <w:szCs w:val="20"/>
        </w:rPr>
        <w:t>16</w:t>
      </w:r>
      <w:r w:rsidR="004523B1" w:rsidRPr="003410B6">
        <w:rPr>
          <w:rFonts w:asciiTheme="minorBidi" w:hAnsiTheme="minorBidi" w:cstheme="minorBidi"/>
          <w:sz w:val="20"/>
          <w:szCs w:val="20"/>
        </w:rPr>
        <w:t>,</w:t>
      </w:r>
      <w:r w:rsidR="002F0656">
        <w:rPr>
          <w:rFonts w:asciiTheme="minorBidi" w:hAnsiTheme="minorBidi" w:cstheme="minorBidi"/>
          <w:sz w:val="20"/>
          <w:szCs w:val="20"/>
        </w:rPr>
        <w:t>1</w:t>
      </w:r>
      <w:r w:rsidR="004523B1" w:rsidRPr="003410B6">
        <w:rPr>
          <w:rFonts w:asciiTheme="minorBidi" w:hAnsiTheme="minorBidi" w:cstheme="minorBidi"/>
          <w:sz w:val="20"/>
          <w:szCs w:val="20"/>
        </w:rPr>
        <w:t>% en variation annuelle</w:t>
      </w:r>
      <w:r w:rsidR="00DD4C78" w:rsidRPr="00553484">
        <w:rPr>
          <w:rFonts w:asciiTheme="minorBidi" w:hAnsiTheme="minorBidi" w:cstheme="minorBidi"/>
          <w:sz w:val="20"/>
          <w:szCs w:val="20"/>
        </w:rPr>
        <w:t>. Les facteurs favorables qui avaient soutenu le redressement de la production du phosphate au cours du deuxième trimestre 2017, en l’occurrence l’augmentation de la capacité productive des industries locales de transformation, le rétablissement de la demande européenne et le renforcement des exportations des engrais phosphatés destinés aux pays de l’Afrique subsaharienne, notamment le Nigeria, l’Ethiopie et le Kenya, auraient continué de doper l’activité d’extraction du phosphate au troisième trimestre. Toutefois, l’inflexion à la baisse des cours internationaux des prix agricoles et la reprise des exportations chinoises de fertilisants, auraient</w:t>
      </w:r>
      <w:r w:rsidR="00C7155F">
        <w:rPr>
          <w:rFonts w:asciiTheme="minorBidi" w:hAnsiTheme="minorBidi" w:cstheme="minorBidi"/>
          <w:sz w:val="20"/>
          <w:szCs w:val="20"/>
        </w:rPr>
        <w:t>,</w:t>
      </w:r>
      <w:r w:rsidR="00DD4C78" w:rsidRPr="00553484">
        <w:rPr>
          <w:rFonts w:asciiTheme="minorBidi" w:hAnsiTheme="minorBidi" w:cstheme="minorBidi"/>
          <w:sz w:val="20"/>
          <w:szCs w:val="20"/>
        </w:rPr>
        <w:t xml:space="preserve"> quelque peu</w:t>
      </w:r>
      <w:r w:rsidR="00C7155F">
        <w:rPr>
          <w:rFonts w:asciiTheme="minorBidi" w:hAnsiTheme="minorBidi" w:cstheme="minorBidi"/>
          <w:sz w:val="20"/>
          <w:szCs w:val="20"/>
        </w:rPr>
        <w:t>,</w:t>
      </w:r>
      <w:r w:rsidR="00DD4C78" w:rsidRPr="00553484">
        <w:rPr>
          <w:rFonts w:asciiTheme="minorBidi" w:hAnsiTheme="minorBidi" w:cstheme="minorBidi"/>
          <w:sz w:val="20"/>
          <w:szCs w:val="20"/>
        </w:rPr>
        <w:t xml:space="preserve"> pesé sur les performances de la branche </w:t>
      </w:r>
      <w:proofErr w:type="spellStart"/>
      <w:r w:rsidR="00DD4C78" w:rsidRPr="00553484">
        <w:rPr>
          <w:rFonts w:asciiTheme="minorBidi" w:hAnsiTheme="minorBidi" w:cstheme="minorBidi"/>
          <w:sz w:val="20"/>
          <w:szCs w:val="20"/>
        </w:rPr>
        <w:t>phosphatière</w:t>
      </w:r>
      <w:proofErr w:type="spellEnd"/>
      <w:r w:rsidR="00DD4C78" w:rsidRPr="00553484">
        <w:rPr>
          <w:rFonts w:asciiTheme="minorBidi" w:hAnsiTheme="minorBidi" w:cstheme="minorBidi"/>
          <w:sz w:val="20"/>
          <w:szCs w:val="20"/>
        </w:rPr>
        <w:t>. C’est ainsi que la production du phosphate brut aurait crû de 19,7% au troisième trimestre 2017, en  variation annuelle, au lieu de 34% un trimestre auparavant.</w:t>
      </w:r>
    </w:p>
    <w:p w:rsidR="007712EB" w:rsidRDefault="00BF2EE4" w:rsidP="00DD4C78">
      <w:pPr>
        <w:jc w:val="both"/>
        <w:rPr>
          <w:rFonts w:asciiTheme="minorBidi" w:hAnsiTheme="minorBidi" w:cstheme="minorBidi"/>
          <w:sz w:val="20"/>
          <w:szCs w:val="20"/>
        </w:rPr>
      </w:pPr>
      <w:r w:rsidRPr="00E83DFE">
        <w:rPr>
          <w:rFonts w:asciiTheme="minorBidi" w:hAnsiTheme="minorBidi" w:cstheme="minorBidi"/>
          <w:sz w:val="20"/>
          <w:szCs w:val="20"/>
        </w:rPr>
        <w:t xml:space="preserve"> </w:t>
      </w:r>
    </w:p>
    <w:p w:rsidR="00E81529" w:rsidRDefault="00821C57" w:rsidP="00C7155F">
      <w:pPr>
        <w:jc w:val="both"/>
        <w:rPr>
          <w:rFonts w:ascii="Arial" w:hAnsi="Arial"/>
          <w:sz w:val="20"/>
          <w:szCs w:val="20"/>
        </w:rPr>
      </w:pPr>
      <w:r>
        <w:rPr>
          <w:rFonts w:asciiTheme="minorBidi" w:hAnsiTheme="minorBidi" w:cstheme="minorBidi"/>
          <w:noProof/>
          <w:sz w:val="20"/>
          <w:szCs w:val="20"/>
        </w:rPr>
        <w:drawing>
          <wp:anchor distT="0" distB="0" distL="114300" distR="114300" simplePos="0" relativeHeight="251731968" behindDoc="0" locked="0" layoutInCell="1" allowOverlap="1">
            <wp:simplePos x="0" y="0"/>
            <wp:positionH relativeFrom="column">
              <wp:posOffset>4298950</wp:posOffset>
            </wp:positionH>
            <wp:positionV relativeFrom="paragraph">
              <wp:posOffset>315595</wp:posOffset>
            </wp:positionV>
            <wp:extent cx="2275205" cy="2004060"/>
            <wp:effectExtent l="1905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75205" cy="2004060"/>
                    </a:xfrm>
                    <a:prstGeom prst="rect">
                      <a:avLst/>
                    </a:prstGeom>
                    <a:noFill/>
                    <a:ln w="9525">
                      <a:noFill/>
                      <a:miter lim="800000"/>
                      <a:headEnd/>
                      <a:tailEnd/>
                    </a:ln>
                  </pic:spPr>
                </pic:pic>
              </a:graphicData>
            </a:graphic>
          </wp:anchor>
        </w:drawing>
      </w:r>
      <w:r w:rsidR="00E81529" w:rsidRPr="00630E0B">
        <w:rPr>
          <w:rFonts w:asciiTheme="minorBidi" w:hAnsiTheme="minorBidi" w:cstheme="minorBidi"/>
          <w:sz w:val="20"/>
          <w:szCs w:val="20"/>
        </w:rPr>
        <w:t xml:space="preserve">Les </w:t>
      </w:r>
      <w:r w:rsidR="00E81529" w:rsidRPr="007D1527">
        <w:rPr>
          <w:rFonts w:asciiTheme="minorBidi" w:hAnsiTheme="minorBidi" w:cstheme="minorBidi"/>
          <w:b/>
          <w:bCs/>
          <w:sz w:val="20"/>
          <w:szCs w:val="20"/>
        </w:rPr>
        <w:t>industries manufacturières</w:t>
      </w:r>
      <w:r w:rsidR="00E81529" w:rsidRPr="00630E0B">
        <w:rPr>
          <w:rFonts w:asciiTheme="minorBidi" w:hAnsiTheme="minorBidi" w:cstheme="minorBidi"/>
          <w:sz w:val="20"/>
          <w:szCs w:val="20"/>
        </w:rPr>
        <w:t xml:space="preserve"> auraient poursuivi leur redressement, amorcé </w:t>
      </w:r>
      <w:r w:rsidR="0038762C">
        <w:rPr>
          <w:rFonts w:asciiTheme="minorBidi" w:hAnsiTheme="minorBidi" w:cstheme="minorBidi"/>
          <w:sz w:val="20"/>
          <w:szCs w:val="20"/>
        </w:rPr>
        <w:t>à</w:t>
      </w:r>
      <w:r w:rsidR="00E81529" w:rsidRPr="00630E0B">
        <w:rPr>
          <w:rFonts w:asciiTheme="minorBidi" w:hAnsiTheme="minorBidi" w:cstheme="minorBidi"/>
          <w:sz w:val="20"/>
          <w:szCs w:val="20"/>
        </w:rPr>
        <w:t xml:space="preserve"> fin </w:t>
      </w:r>
      <w:r w:rsidR="00E81529">
        <w:rPr>
          <w:rFonts w:asciiTheme="minorBidi" w:hAnsiTheme="minorBidi" w:cstheme="minorBidi"/>
          <w:sz w:val="20"/>
          <w:szCs w:val="20"/>
        </w:rPr>
        <w:t>2016</w:t>
      </w:r>
      <w:r w:rsidR="00E81529" w:rsidRPr="00630E0B">
        <w:rPr>
          <w:rFonts w:asciiTheme="minorBidi" w:hAnsiTheme="minorBidi" w:cstheme="minorBidi"/>
          <w:sz w:val="20"/>
          <w:szCs w:val="20"/>
        </w:rPr>
        <w:t xml:space="preserve">, affichant une croissance de 2,2%, au troisième trimestre 2017, au lieu de +0,4% la même période une année auparavant. </w:t>
      </w:r>
      <w:r w:rsidR="00E81529">
        <w:rPr>
          <w:rFonts w:ascii="Arial" w:hAnsi="Arial"/>
          <w:sz w:val="20"/>
          <w:szCs w:val="20"/>
        </w:rPr>
        <w:t xml:space="preserve">Cette évolution aurait été </w:t>
      </w:r>
      <w:r w:rsidR="006D5F16">
        <w:rPr>
          <w:rFonts w:ascii="Arial" w:hAnsi="Arial"/>
          <w:sz w:val="20"/>
          <w:szCs w:val="20"/>
        </w:rPr>
        <w:t>soutenu</w:t>
      </w:r>
      <w:r w:rsidR="00E81529">
        <w:rPr>
          <w:rFonts w:ascii="Arial" w:hAnsi="Arial"/>
          <w:sz w:val="20"/>
          <w:szCs w:val="20"/>
        </w:rPr>
        <w:t xml:space="preserve">e par </w:t>
      </w:r>
      <w:r w:rsidR="00E81529" w:rsidRPr="00630E0B">
        <w:rPr>
          <w:rFonts w:asciiTheme="minorBidi" w:hAnsiTheme="minorBidi" w:cstheme="minorBidi"/>
          <w:sz w:val="20"/>
          <w:szCs w:val="20"/>
        </w:rPr>
        <w:t xml:space="preserve">la consolidation de </w:t>
      </w:r>
      <w:r w:rsidR="00E81529">
        <w:rPr>
          <w:rFonts w:asciiTheme="minorBidi" w:hAnsiTheme="minorBidi" w:cstheme="minorBidi"/>
          <w:sz w:val="20"/>
          <w:szCs w:val="20"/>
        </w:rPr>
        <w:t xml:space="preserve">4,8% </w:t>
      </w:r>
      <w:r w:rsidR="00E81529" w:rsidRPr="00630E0B">
        <w:rPr>
          <w:rFonts w:asciiTheme="minorBidi" w:hAnsiTheme="minorBidi" w:cstheme="minorBidi"/>
          <w:sz w:val="20"/>
          <w:szCs w:val="20"/>
        </w:rPr>
        <w:t>de</w:t>
      </w:r>
      <w:r w:rsidR="00E81529">
        <w:rPr>
          <w:rFonts w:asciiTheme="minorBidi" w:hAnsiTheme="minorBidi" w:cstheme="minorBidi"/>
          <w:sz w:val="20"/>
          <w:szCs w:val="20"/>
        </w:rPr>
        <w:t>s</w:t>
      </w:r>
      <w:r w:rsidR="00E81529" w:rsidRPr="00630E0B">
        <w:rPr>
          <w:rFonts w:asciiTheme="minorBidi" w:hAnsiTheme="minorBidi" w:cstheme="minorBidi"/>
          <w:sz w:val="20"/>
          <w:szCs w:val="20"/>
        </w:rPr>
        <w:t xml:space="preserve"> industrie</w:t>
      </w:r>
      <w:r w:rsidR="00E81529">
        <w:rPr>
          <w:rFonts w:asciiTheme="minorBidi" w:hAnsiTheme="minorBidi" w:cstheme="minorBidi"/>
          <w:sz w:val="20"/>
          <w:szCs w:val="20"/>
        </w:rPr>
        <w:t>s</w:t>
      </w:r>
      <w:r w:rsidR="00E81529" w:rsidRPr="00630E0B">
        <w:rPr>
          <w:rFonts w:asciiTheme="minorBidi" w:hAnsiTheme="minorBidi" w:cstheme="minorBidi"/>
          <w:sz w:val="20"/>
          <w:szCs w:val="20"/>
        </w:rPr>
        <w:t xml:space="preserve"> agroalimentaire</w:t>
      </w:r>
      <w:r w:rsidR="00E81529">
        <w:rPr>
          <w:rFonts w:asciiTheme="minorBidi" w:hAnsiTheme="minorBidi" w:cstheme="minorBidi"/>
          <w:sz w:val="20"/>
          <w:szCs w:val="20"/>
        </w:rPr>
        <w:t>s,</w:t>
      </w:r>
      <w:r w:rsidR="00E81529" w:rsidRPr="00630E0B">
        <w:rPr>
          <w:rFonts w:asciiTheme="minorBidi" w:hAnsiTheme="minorBidi" w:cstheme="minorBidi"/>
          <w:sz w:val="20"/>
          <w:szCs w:val="20"/>
        </w:rPr>
        <w:t xml:space="preserve"> </w:t>
      </w:r>
      <w:r w:rsidR="00E81529">
        <w:rPr>
          <w:rFonts w:ascii="Arial" w:hAnsi="Arial"/>
          <w:sz w:val="20"/>
          <w:szCs w:val="20"/>
        </w:rPr>
        <w:t xml:space="preserve">au lieu de </w:t>
      </w:r>
      <w:r w:rsidR="0038762C">
        <w:rPr>
          <w:rFonts w:ascii="Arial" w:hAnsi="Arial"/>
          <w:sz w:val="20"/>
          <w:szCs w:val="20"/>
        </w:rPr>
        <w:t>+</w:t>
      </w:r>
      <w:r w:rsidR="00E81529">
        <w:rPr>
          <w:rFonts w:ascii="Arial" w:hAnsi="Arial"/>
          <w:sz w:val="20"/>
          <w:szCs w:val="20"/>
        </w:rPr>
        <w:t>0,6% une année auparavant, contribuant pour 1,7 point à la croissance globale du secteur</w:t>
      </w:r>
      <w:r w:rsidR="00E81529" w:rsidRPr="00630E0B">
        <w:rPr>
          <w:rFonts w:asciiTheme="minorBidi" w:hAnsiTheme="minorBidi" w:cstheme="minorBidi"/>
          <w:sz w:val="20"/>
          <w:szCs w:val="20"/>
        </w:rPr>
        <w:t xml:space="preserve">. </w:t>
      </w:r>
      <w:r w:rsidR="0038762C">
        <w:rPr>
          <w:rFonts w:asciiTheme="minorBidi" w:hAnsiTheme="minorBidi" w:cstheme="minorBidi"/>
          <w:sz w:val="20"/>
          <w:szCs w:val="20"/>
        </w:rPr>
        <w:t>L</w:t>
      </w:r>
      <w:r w:rsidR="00E81529">
        <w:rPr>
          <w:rFonts w:asciiTheme="minorBidi" w:hAnsiTheme="minorBidi" w:cstheme="minorBidi"/>
          <w:sz w:val="20"/>
          <w:szCs w:val="20"/>
        </w:rPr>
        <w:t xml:space="preserve">es </w:t>
      </w:r>
      <w:r w:rsidR="00E81529" w:rsidRPr="00885C94">
        <w:rPr>
          <w:rFonts w:ascii="Arial" w:hAnsi="Arial"/>
          <w:sz w:val="20"/>
          <w:szCs w:val="20"/>
        </w:rPr>
        <w:t xml:space="preserve">industries chimiques et parachimiques </w:t>
      </w:r>
      <w:r w:rsidR="00E81529">
        <w:rPr>
          <w:rFonts w:ascii="Arial" w:hAnsi="Arial"/>
          <w:sz w:val="20"/>
          <w:szCs w:val="20"/>
        </w:rPr>
        <w:t>auraient poursuivi leur dynamisme amorcé au début de l’année, marquant un accroissement de 6</w:t>
      </w:r>
      <w:r w:rsidR="00E81529" w:rsidRPr="00885C94">
        <w:rPr>
          <w:rFonts w:ascii="Arial" w:hAnsi="Arial"/>
          <w:sz w:val="20"/>
          <w:szCs w:val="20"/>
        </w:rPr>
        <w:t>,</w:t>
      </w:r>
      <w:r w:rsidR="00E81529">
        <w:rPr>
          <w:rFonts w:ascii="Arial" w:hAnsi="Arial"/>
          <w:sz w:val="20"/>
          <w:szCs w:val="20"/>
        </w:rPr>
        <w:t>4</w:t>
      </w:r>
      <w:r w:rsidR="00E81529" w:rsidRPr="00885C94">
        <w:rPr>
          <w:rFonts w:ascii="Arial" w:hAnsi="Arial"/>
          <w:sz w:val="20"/>
          <w:szCs w:val="20"/>
        </w:rPr>
        <w:t>%</w:t>
      </w:r>
      <w:r w:rsidR="00E81529">
        <w:rPr>
          <w:rFonts w:ascii="Arial" w:hAnsi="Arial"/>
          <w:sz w:val="20"/>
          <w:szCs w:val="20"/>
        </w:rPr>
        <w:t>,</w:t>
      </w:r>
      <w:r w:rsidR="00E81529" w:rsidRPr="00885C94">
        <w:rPr>
          <w:rFonts w:ascii="Arial" w:hAnsi="Arial"/>
          <w:sz w:val="20"/>
          <w:szCs w:val="20"/>
        </w:rPr>
        <w:t xml:space="preserve"> </w:t>
      </w:r>
      <w:r w:rsidR="00E81529">
        <w:rPr>
          <w:rFonts w:ascii="Arial" w:hAnsi="Arial"/>
          <w:sz w:val="20"/>
          <w:szCs w:val="20"/>
        </w:rPr>
        <w:t xml:space="preserve">en glissement annuel. </w:t>
      </w:r>
      <w:r w:rsidR="0038762C">
        <w:rPr>
          <w:rFonts w:ascii="Arial" w:hAnsi="Arial"/>
          <w:sz w:val="20"/>
          <w:szCs w:val="20"/>
        </w:rPr>
        <w:t>Pour sa part, l</w:t>
      </w:r>
      <w:r w:rsidR="0039595A">
        <w:rPr>
          <w:rFonts w:ascii="Arial" w:hAnsi="Arial"/>
          <w:sz w:val="20"/>
          <w:szCs w:val="20"/>
        </w:rPr>
        <w:t>a</w:t>
      </w:r>
      <w:r w:rsidR="00E81529">
        <w:rPr>
          <w:rFonts w:ascii="Arial" w:hAnsi="Arial"/>
          <w:sz w:val="20"/>
          <w:szCs w:val="20"/>
        </w:rPr>
        <w:t xml:space="preserve"> croissance des industries « </w:t>
      </w:r>
      <w:r w:rsidR="00E81529" w:rsidRPr="00885C94">
        <w:rPr>
          <w:rFonts w:ascii="Arial" w:hAnsi="Arial"/>
          <w:sz w:val="20"/>
          <w:szCs w:val="20"/>
        </w:rPr>
        <w:t>textile</w:t>
      </w:r>
      <w:r w:rsidR="00E81529">
        <w:rPr>
          <w:rFonts w:ascii="Arial" w:hAnsi="Arial"/>
          <w:sz w:val="20"/>
          <w:szCs w:val="20"/>
        </w:rPr>
        <w:t xml:space="preserve"> et cuir » aurait légèrement accéléré, pour se situer à 5,3%, au lieu d’une baisse de 2,1%, une année plus tôt. En revanche, la valeur ajoutée des </w:t>
      </w:r>
      <w:r w:rsidR="00E81529" w:rsidRPr="00885C94">
        <w:rPr>
          <w:rFonts w:ascii="Arial" w:hAnsi="Arial"/>
          <w:sz w:val="20"/>
          <w:szCs w:val="20"/>
        </w:rPr>
        <w:t xml:space="preserve">IMME </w:t>
      </w:r>
      <w:r w:rsidR="00E81529">
        <w:rPr>
          <w:rFonts w:ascii="Arial" w:hAnsi="Arial"/>
          <w:sz w:val="20"/>
          <w:szCs w:val="20"/>
        </w:rPr>
        <w:t xml:space="preserve">aurait </w:t>
      </w:r>
      <w:r w:rsidR="00E81529" w:rsidRPr="00630E0B">
        <w:rPr>
          <w:rFonts w:asciiTheme="minorBidi" w:hAnsiTheme="minorBidi" w:cstheme="minorBidi"/>
          <w:sz w:val="20"/>
          <w:szCs w:val="20"/>
        </w:rPr>
        <w:t>continué de tirer l’industrie vers le bas</w:t>
      </w:r>
      <w:r w:rsidR="00E81529">
        <w:rPr>
          <w:rFonts w:asciiTheme="minorBidi" w:hAnsiTheme="minorBidi" w:cstheme="minorBidi"/>
          <w:sz w:val="20"/>
          <w:szCs w:val="20"/>
        </w:rPr>
        <w:t>, avec une baisse</w:t>
      </w:r>
      <w:r w:rsidR="00E81529" w:rsidRPr="00885C94">
        <w:rPr>
          <w:rFonts w:ascii="Arial" w:hAnsi="Arial"/>
          <w:sz w:val="20"/>
          <w:szCs w:val="20"/>
        </w:rPr>
        <w:t xml:space="preserve"> de </w:t>
      </w:r>
      <w:r w:rsidR="00E81529">
        <w:rPr>
          <w:rFonts w:ascii="Arial" w:hAnsi="Arial"/>
          <w:sz w:val="20"/>
          <w:szCs w:val="20"/>
        </w:rPr>
        <w:t>3,5</w:t>
      </w:r>
      <w:r w:rsidR="00E81529" w:rsidRPr="00885C94">
        <w:rPr>
          <w:rFonts w:ascii="Arial" w:hAnsi="Arial"/>
          <w:sz w:val="20"/>
          <w:szCs w:val="20"/>
        </w:rPr>
        <w:t>%</w:t>
      </w:r>
      <w:r w:rsidR="00E81529">
        <w:rPr>
          <w:rFonts w:ascii="Arial" w:hAnsi="Arial"/>
          <w:sz w:val="20"/>
          <w:szCs w:val="20"/>
        </w:rPr>
        <w:t xml:space="preserve">, </w:t>
      </w:r>
      <w:r w:rsidR="0038762C">
        <w:rPr>
          <w:rFonts w:ascii="Arial" w:hAnsi="Arial"/>
          <w:sz w:val="20"/>
          <w:szCs w:val="20"/>
        </w:rPr>
        <w:t>pâtissant</w:t>
      </w:r>
      <w:r w:rsidR="00E81529">
        <w:rPr>
          <w:rFonts w:ascii="Arial" w:hAnsi="Arial"/>
          <w:sz w:val="20"/>
          <w:szCs w:val="20"/>
        </w:rPr>
        <w:t xml:space="preserve">, notamment, </w:t>
      </w:r>
      <w:r w:rsidR="0038762C">
        <w:rPr>
          <w:rFonts w:ascii="Arial" w:hAnsi="Arial"/>
          <w:sz w:val="20"/>
          <w:szCs w:val="20"/>
        </w:rPr>
        <w:t>de</w:t>
      </w:r>
      <w:r w:rsidR="00E81529">
        <w:rPr>
          <w:rFonts w:ascii="Arial" w:hAnsi="Arial"/>
          <w:sz w:val="20"/>
          <w:szCs w:val="20"/>
        </w:rPr>
        <w:t xml:space="preserve"> la contraction de la production des industries métalliques, alors que la branche des « autres industries », serait restée atone (-0,8%) subissant le relâchement des industries des matériaux de construction, en particulier du ciment.</w:t>
      </w:r>
      <w:r w:rsidR="00E81529" w:rsidRPr="00885C94">
        <w:rPr>
          <w:rFonts w:ascii="Arial" w:hAnsi="Arial"/>
          <w:sz w:val="20"/>
          <w:szCs w:val="20"/>
        </w:rPr>
        <w:t xml:space="preserve"> </w:t>
      </w:r>
    </w:p>
    <w:p w:rsidR="00E81529" w:rsidRDefault="008F7A1F" w:rsidP="00E81529">
      <w:r>
        <w:rPr>
          <w:noProof/>
        </w:rPr>
        <w:drawing>
          <wp:anchor distT="0" distB="0" distL="114300" distR="114300" simplePos="0" relativeHeight="251735040" behindDoc="0" locked="0" layoutInCell="1" allowOverlap="1">
            <wp:simplePos x="0" y="0"/>
            <wp:positionH relativeFrom="column">
              <wp:posOffset>4298950</wp:posOffset>
            </wp:positionH>
            <wp:positionV relativeFrom="paragraph">
              <wp:posOffset>122555</wp:posOffset>
            </wp:positionV>
            <wp:extent cx="2277745" cy="2091690"/>
            <wp:effectExtent l="19050" t="0" r="8255"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77745" cy="2091690"/>
                    </a:xfrm>
                    <a:prstGeom prst="rect">
                      <a:avLst/>
                    </a:prstGeom>
                    <a:noFill/>
                    <a:ln w="9525">
                      <a:noFill/>
                      <a:miter lim="800000"/>
                      <a:headEnd/>
                      <a:tailEnd/>
                    </a:ln>
                  </pic:spPr>
                </pic:pic>
              </a:graphicData>
            </a:graphic>
          </wp:anchor>
        </w:drawing>
      </w:r>
    </w:p>
    <w:p w:rsidR="00E142B5" w:rsidRPr="008370FE" w:rsidRDefault="00E142B5" w:rsidP="00324633">
      <w:pPr>
        <w:jc w:val="both"/>
        <w:rPr>
          <w:rFonts w:asciiTheme="minorBidi" w:hAnsiTheme="minorBidi" w:cstheme="minorBidi"/>
          <w:sz w:val="20"/>
          <w:szCs w:val="20"/>
        </w:rPr>
      </w:pPr>
      <w:r w:rsidRPr="008370FE">
        <w:rPr>
          <w:rFonts w:asciiTheme="minorBidi" w:hAnsiTheme="minorBidi" w:cstheme="minorBidi"/>
          <w:sz w:val="20"/>
          <w:szCs w:val="20"/>
        </w:rPr>
        <w:t xml:space="preserve">Le secteur de la </w:t>
      </w:r>
      <w:r w:rsidRPr="008370FE">
        <w:rPr>
          <w:rFonts w:asciiTheme="minorBidi" w:hAnsiTheme="minorBidi" w:cstheme="minorBidi"/>
          <w:b/>
          <w:bCs/>
          <w:sz w:val="20"/>
          <w:szCs w:val="20"/>
        </w:rPr>
        <w:t>construction</w:t>
      </w:r>
      <w:r w:rsidRPr="008370FE">
        <w:rPr>
          <w:rFonts w:asciiTheme="minorBidi" w:hAnsiTheme="minorBidi" w:cstheme="minorBidi"/>
          <w:sz w:val="20"/>
          <w:szCs w:val="20"/>
        </w:rPr>
        <w:t xml:space="preserve"> aurait </w:t>
      </w:r>
      <w:r w:rsidR="00130C4A">
        <w:rPr>
          <w:rFonts w:asciiTheme="minorBidi" w:hAnsiTheme="minorBidi" w:cstheme="minorBidi"/>
          <w:sz w:val="20"/>
          <w:szCs w:val="20"/>
        </w:rPr>
        <w:t>maintenu</w:t>
      </w:r>
      <w:r>
        <w:rPr>
          <w:rFonts w:asciiTheme="minorBidi" w:hAnsiTheme="minorBidi" w:cstheme="minorBidi"/>
          <w:sz w:val="20"/>
          <w:szCs w:val="20"/>
        </w:rPr>
        <w:t xml:space="preserve"> sa tendance baissière pour le troisième trimestre successif, </w:t>
      </w:r>
      <w:r w:rsidR="00324633">
        <w:rPr>
          <w:rFonts w:asciiTheme="minorBidi" w:hAnsiTheme="minorBidi" w:cstheme="minorBidi"/>
          <w:sz w:val="20"/>
          <w:szCs w:val="20"/>
        </w:rPr>
        <w:t>affich</w:t>
      </w:r>
      <w:r>
        <w:rPr>
          <w:rFonts w:asciiTheme="minorBidi" w:hAnsiTheme="minorBidi" w:cstheme="minorBidi"/>
          <w:sz w:val="20"/>
          <w:szCs w:val="20"/>
        </w:rPr>
        <w:t>ant une baisse de 1% de sa</w:t>
      </w:r>
      <w:r w:rsidRPr="008370FE">
        <w:rPr>
          <w:rFonts w:asciiTheme="minorBidi" w:hAnsiTheme="minorBidi" w:cstheme="minorBidi"/>
          <w:sz w:val="20"/>
          <w:szCs w:val="20"/>
        </w:rPr>
        <w:t xml:space="preserve"> valeur ajoutée, au </w:t>
      </w:r>
      <w:r>
        <w:rPr>
          <w:rFonts w:ascii="Arial" w:hAnsi="Arial" w:cs="Arial"/>
          <w:sz w:val="20"/>
          <w:szCs w:val="20"/>
        </w:rPr>
        <w:t>troisième</w:t>
      </w:r>
      <w:r w:rsidRPr="008370FE">
        <w:rPr>
          <w:rFonts w:asciiTheme="minorBidi" w:hAnsiTheme="minorBidi" w:cstheme="minorBidi"/>
          <w:sz w:val="20"/>
          <w:szCs w:val="20"/>
        </w:rPr>
        <w:t xml:space="preserve"> trimestre </w:t>
      </w:r>
      <w:r>
        <w:rPr>
          <w:rFonts w:asciiTheme="minorBidi" w:hAnsiTheme="minorBidi" w:cstheme="minorBidi"/>
          <w:sz w:val="20"/>
          <w:szCs w:val="20"/>
        </w:rPr>
        <w:t>2017, au lieu d’une hausse de 1,2%, l’année précédente.</w:t>
      </w:r>
      <w:r w:rsidRPr="008370FE">
        <w:rPr>
          <w:rFonts w:asciiTheme="minorBidi" w:hAnsiTheme="minorBidi" w:cstheme="minorBidi"/>
          <w:sz w:val="20"/>
          <w:szCs w:val="20"/>
        </w:rPr>
        <w:t xml:space="preserve"> Cette évolution aurait été confirmée par</w:t>
      </w:r>
      <w:r>
        <w:rPr>
          <w:rFonts w:asciiTheme="minorBidi" w:hAnsiTheme="minorBidi" w:cstheme="minorBidi"/>
          <w:sz w:val="20"/>
          <w:szCs w:val="20"/>
        </w:rPr>
        <w:t xml:space="preserve"> la baisse de</w:t>
      </w:r>
      <w:r w:rsidRPr="008370FE">
        <w:rPr>
          <w:rFonts w:asciiTheme="minorBidi" w:hAnsiTheme="minorBidi" w:cstheme="minorBidi"/>
          <w:sz w:val="20"/>
          <w:szCs w:val="20"/>
        </w:rPr>
        <w:t xml:space="preserve"> l’utilisation des facteurs de production</w:t>
      </w:r>
      <w:r>
        <w:rPr>
          <w:rFonts w:asciiTheme="minorBidi" w:hAnsiTheme="minorBidi" w:cstheme="minorBidi"/>
          <w:sz w:val="20"/>
          <w:szCs w:val="20"/>
        </w:rPr>
        <w:t xml:space="preserve">, notamment </w:t>
      </w:r>
      <w:r w:rsidR="00B81D22">
        <w:rPr>
          <w:rFonts w:asciiTheme="minorBidi" w:hAnsiTheme="minorBidi" w:cstheme="minorBidi"/>
          <w:sz w:val="20"/>
          <w:szCs w:val="20"/>
        </w:rPr>
        <w:t>le</w:t>
      </w:r>
      <w:r w:rsidRPr="008370FE">
        <w:rPr>
          <w:rFonts w:asciiTheme="minorBidi" w:hAnsiTheme="minorBidi" w:cstheme="minorBidi"/>
          <w:sz w:val="20"/>
          <w:szCs w:val="20"/>
        </w:rPr>
        <w:t xml:space="preserve"> ciment</w:t>
      </w:r>
      <w:r>
        <w:rPr>
          <w:rFonts w:asciiTheme="minorBidi" w:hAnsiTheme="minorBidi" w:cstheme="minorBidi"/>
          <w:sz w:val="20"/>
          <w:szCs w:val="20"/>
        </w:rPr>
        <w:t>, dont les ventes auraient poursuivi leur repli</w:t>
      </w:r>
      <w:r w:rsidR="00324633">
        <w:rPr>
          <w:rFonts w:asciiTheme="minorBidi" w:hAnsiTheme="minorBidi" w:cstheme="minorBidi"/>
          <w:sz w:val="20"/>
          <w:szCs w:val="20"/>
        </w:rPr>
        <w:t>,</w:t>
      </w:r>
      <w:r>
        <w:rPr>
          <w:rFonts w:asciiTheme="minorBidi" w:hAnsiTheme="minorBidi" w:cstheme="minorBidi"/>
          <w:sz w:val="20"/>
          <w:szCs w:val="20"/>
        </w:rPr>
        <w:t xml:space="preserve"> après avoir </w:t>
      </w:r>
      <w:r w:rsidRPr="008370FE">
        <w:rPr>
          <w:rFonts w:asciiTheme="minorBidi" w:hAnsiTheme="minorBidi" w:cstheme="minorBidi"/>
          <w:sz w:val="20"/>
          <w:szCs w:val="20"/>
        </w:rPr>
        <w:t>recul</w:t>
      </w:r>
      <w:r>
        <w:rPr>
          <w:rFonts w:asciiTheme="minorBidi" w:hAnsiTheme="minorBidi" w:cstheme="minorBidi"/>
          <w:sz w:val="20"/>
          <w:szCs w:val="20"/>
        </w:rPr>
        <w:t>é</w:t>
      </w:r>
      <w:r w:rsidRPr="008370FE">
        <w:rPr>
          <w:rFonts w:asciiTheme="minorBidi" w:hAnsiTheme="minorBidi" w:cstheme="minorBidi"/>
          <w:sz w:val="20"/>
          <w:szCs w:val="20"/>
        </w:rPr>
        <w:t xml:space="preserve"> de </w:t>
      </w:r>
      <w:r>
        <w:rPr>
          <w:rFonts w:asciiTheme="minorBidi" w:hAnsiTheme="minorBidi" w:cstheme="minorBidi"/>
          <w:sz w:val="20"/>
          <w:szCs w:val="20"/>
        </w:rPr>
        <w:t>13</w:t>
      </w:r>
      <w:r w:rsidRPr="008370FE">
        <w:rPr>
          <w:rFonts w:asciiTheme="minorBidi" w:hAnsiTheme="minorBidi" w:cstheme="minorBidi"/>
          <w:sz w:val="20"/>
          <w:szCs w:val="20"/>
        </w:rPr>
        <w:t xml:space="preserve">,7% au </w:t>
      </w:r>
      <w:r>
        <w:rPr>
          <w:rFonts w:asciiTheme="minorBidi" w:hAnsiTheme="minorBidi" w:cstheme="minorBidi"/>
          <w:sz w:val="20"/>
          <w:szCs w:val="20"/>
        </w:rPr>
        <w:t>deuxième</w:t>
      </w:r>
      <w:r w:rsidRPr="008370FE">
        <w:rPr>
          <w:rFonts w:asciiTheme="minorBidi" w:hAnsiTheme="minorBidi" w:cstheme="minorBidi"/>
          <w:sz w:val="20"/>
          <w:szCs w:val="20"/>
        </w:rPr>
        <w:t xml:space="preserve"> trimestre. Par ailleurs, les anticipations des professionnels </w:t>
      </w:r>
      <w:r w:rsidR="00324633">
        <w:rPr>
          <w:rFonts w:asciiTheme="minorBidi" w:hAnsiTheme="minorBidi" w:cstheme="minorBidi"/>
          <w:sz w:val="20"/>
          <w:szCs w:val="20"/>
        </w:rPr>
        <w:t>de la construction</w:t>
      </w:r>
      <w:r>
        <w:rPr>
          <w:rFonts w:asciiTheme="minorBidi" w:hAnsiTheme="minorBidi" w:cstheme="minorBidi"/>
          <w:sz w:val="20"/>
          <w:szCs w:val="20"/>
        </w:rPr>
        <w:t>, dans le cadre de la dernière enquête de conjoncture du HCP,</w:t>
      </w:r>
      <w:r w:rsidRPr="008370FE">
        <w:rPr>
          <w:rFonts w:asciiTheme="minorBidi" w:hAnsiTheme="minorBidi" w:cstheme="minorBidi"/>
          <w:sz w:val="20"/>
          <w:szCs w:val="20"/>
        </w:rPr>
        <w:t xml:space="preserve"> </w:t>
      </w:r>
      <w:r w:rsidR="00324633">
        <w:rPr>
          <w:rFonts w:asciiTheme="minorBidi" w:hAnsiTheme="minorBidi" w:cstheme="minorBidi"/>
          <w:sz w:val="20"/>
          <w:szCs w:val="20"/>
        </w:rPr>
        <w:t>auraient confirmé</w:t>
      </w:r>
      <w:r>
        <w:rPr>
          <w:rFonts w:asciiTheme="minorBidi" w:hAnsiTheme="minorBidi" w:cstheme="minorBidi"/>
          <w:sz w:val="20"/>
          <w:szCs w:val="20"/>
        </w:rPr>
        <w:t xml:space="preserve"> </w:t>
      </w:r>
      <w:r w:rsidR="00324633">
        <w:rPr>
          <w:rFonts w:asciiTheme="minorBidi" w:hAnsiTheme="minorBidi" w:cstheme="minorBidi"/>
          <w:sz w:val="20"/>
          <w:szCs w:val="20"/>
        </w:rPr>
        <w:t>la</w:t>
      </w:r>
      <w:r>
        <w:rPr>
          <w:rFonts w:asciiTheme="minorBidi" w:hAnsiTheme="minorBidi" w:cstheme="minorBidi"/>
          <w:sz w:val="20"/>
          <w:szCs w:val="20"/>
        </w:rPr>
        <w:t xml:space="preserve"> poursuite d</w:t>
      </w:r>
      <w:r w:rsidR="00324633">
        <w:rPr>
          <w:rFonts w:asciiTheme="minorBidi" w:hAnsiTheme="minorBidi" w:cstheme="minorBidi"/>
          <w:sz w:val="20"/>
          <w:szCs w:val="20"/>
        </w:rPr>
        <w:t>u recul des</w:t>
      </w:r>
      <w:r w:rsidRPr="008370FE">
        <w:rPr>
          <w:rFonts w:asciiTheme="minorBidi" w:hAnsiTheme="minorBidi" w:cstheme="minorBidi"/>
          <w:sz w:val="20"/>
          <w:szCs w:val="20"/>
        </w:rPr>
        <w:t xml:space="preserve"> carnets de commandes des entrepreneurs du bâtiment</w:t>
      </w:r>
      <w:r>
        <w:rPr>
          <w:rFonts w:asciiTheme="minorBidi" w:hAnsiTheme="minorBidi" w:cstheme="minorBidi"/>
          <w:sz w:val="20"/>
          <w:szCs w:val="20"/>
        </w:rPr>
        <w:t xml:space="preserve">, en ligne avec la </w:t>
      </w:r>
      <w:r w:rsidRPr="008370FE">
        <w:rPr>
          <w:rFonts w:asciiTheme="minorBidi" w:hAnsiTheme="minorBidi" w:cstheme="minorBidi"/>
          <w:sz w:val="20"/>
          <w:szCs w:val="20"/>
        </w:rPr>
        <w:t xml:space="preserve">baisse des prix des actifs immobiliers et le recul des transactions </w:t>
      </w:r>
      <w:r>
        <w:rPr>
          <w:rFonts w:asciiTheme="minorBidi" w:hAnsiTheme="minorBidi" w:cstheme="minorBidi"/>
          <w:sz w:val="20"/>
          <w:szCs w:val="20"/>
        </w:rPr>
        <w:t>immobilières.</w:t>
      </w:r>
    </w:p>
    <w:p w:rsidR="0081799F" w:rsidRDefault="0081799F" w:rsidP="00847D80">
      <w:pPr>
        <w:pStyle w:val="NormalWeb"/>
        <w:spacing w:before="0" w:beforeAutospacing="0" w:after="0" w:afterAutospacing="0"/>
        <w:jc w:val="both"/>
        <w:rPr>
          <w:rFonts w:ascii="Arial" w:hAnsi="Arial" w:cs="Arial"/>
          <w:sz w:val="20"/>
          <w:szCs w:val="20"/>
        </w:rPr>
      </w:pPr>
    </w:p>
    <w:p w:rsidR="0097276B" w:rsidRDefault="0097276B" w:rsidP="007C21B0">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Globalement et compte tenu des </w:t>
      </w:r>
      <w:r w:rsidR="007C21B0">
        <w:rPr>
          <w:rFonts w:ascii="Arial" w:hAnsi="Arial" w:cs="Arial"/>
          <w:sz w:val="20"/>
          <w:szCs w:val="20"/>
        </w:rPr>
        <w:t xml:space="preserve">estimations sectorielles et des </w:t>
      </w:r>
      <w:r>
        <w:rPr>
          <w:rFonts w:ascii="Arial" w:hAnsi="Arial" w:cs="Arial"/>
          <w:sz w:val="20"/>
          <w:szCs w:val="20"/>
        </w:rPr>
        <w:t xml:space="preserve">indicateurs collectés jusqu’à fin </w:t>
      </w:r>
      <w:r w:rsidR="007036C9">
        <w:rPr>
          <w:rFonts w:ascii="Arial" w:hAnsi="Arial" w:cs="Arial"/>
          <w:sz w:val="20"/>
          <w:szCs w:val="20"/>
        </w:rPr>
        <w:t>septembre</w:t>
      </w:r>
      <w:r w:rsidR="00205484">
        <w:rPr>
          <w:rFonts w:ascii="Arial" w:hAnsi="Arial" w:cs="Arial"/>
          <w:sz w:val="20"/>
          <w:szCs w:val="20"/>
        </w:rPr>
        <w:t xml:space="preserve"> </w:t>
      </w:r>
      <w:r>
        <w:rPr>
          <w:rFonts w:ascii="Arial" w:hAnsi="Arial" w:cs="Arial"/>
          <w:sz w:val="20"/>
          <w:szCs w:val="20"/>
        </w:rPr>
        <w:t>201</w:t>
      </w:r>
      <w:r w:rsidR="002028D3">
        <w:rPr>
          <w:rFonts w:ascii="Arial" w:hAnsi="Arial" w:cs="Arial"/>
          <w:sz w:val="20"/>
          <w:szCs w:val="20"/>
        </w:rPr>
        <w:t>7</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85534C">
        <w:rPr>
          <w:rFonts w:ascii="Arial" w:hAnsi="Arial" w:cs="Arial"/>
          <w:sz w:val="20"/>
          <w:szCs w:val="20"/>
        </w:rPr>
        <w:t>3</w:t>
      </w:r>
      <w:r w:rsidR="00DA38EF">
        <w:rPr>
          <w:rFonts w:ascii="Arial" w:hAnsi="Arial" w:cs="Arial"/>
          <w:sz w:val="20"/>
          <w:szCs w:val="20"/>
        </w:rPr>
        <w:t>,</w:t>
      </w:r>
      <w:r w:rsidR="00E90450">
        <w:rPr>
          <w:rFonts w:ascii="Arial" w:hAnsi="Arial" w:cs="Arial"/>
          <w:sz w:val="20"/>
          <w:szCs w:val="20"/>
        </w:rPr>
        <w:t>8</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7C21B0">
        <w:rPr>
          <w:rFonts w:ascii="Arial" w:hAnsi="Arial" w:cs="Arial"/>
          <w:sz w:val="20"/>
          <w:szCs w:val="20"/>
        </w:rPr>
        <w:t>trois</w:t>
      </w:r>
      <w:r w:rsidR="00F86E17">
        <w:rPr>
          <w:rFonts w:ascii="Arial" w:hAnsi="Arial" w:cs="Arial"/>
          <w:sz w:val="20"/>
          <w:szCs w:val="20"/>
        </w:rPr>
        <w:t>ième</w:t>
      </w:r>
      <w:r w:rsidR="00EE75E6">
        <w:rPr>
          <w:rFonts w:ascii="Arial" w:hAnsi="Arial" w:cs="Arial"/>
          <w:sz w:val="20"/>
          <w:szCs w:val="20"/>
        </w:rPr>
        <w:t xml:space="preserve"> </w:t>
      </w:r>
      <w:r>
        <w:rPr>
          <w:rFonts w:ascii="Arial" w:hAnsi="Arial" w:cs="Arial"/>
          <w:sz w:val="20"/>
          <w:szCs w:val="20"/>
        </w:rPr>
        <w:t>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5414BB">
        <w:rPr>
          <w:rFonts w:ascii="Arial" w:hAnsi="Arial" w:cs="Arial"/>
          <w:sz w:val="20"/>
          <w:szCs w:val="20"/>
        </w:rPr>
        <w:t>1</w:t>
      </w:r>
      <w:r w:rsidR="00003B57">
        <w:rPr>
          <w:rFonts w:ascii="Arial" w:hAnsi="Arial" w:cs="Arial"/>
          <w:sz w:val="20"/>
          <w:szCs w:val="20"/>
        </w:rPr>
        <w:t>,3</w:t>
      </w:r>
      <w:r w:rsidRPr="00DB7C3F">
        <w:rPr>
          <w:rFonts w:ascii="Arial" w:hAnsi="Arial" w:cs="Arial"/>
          <w:sz w:val="20"/>
          <w:szCs w:val="20"/>
        </w:rPr>
        <w:t xml:space="preserve">%, </w:t>
      </w:r>
      <w:r w:rsidR="003755A7">
        <w:rPr>
          <w:rFonts w:ascii="Arial" w:hAnsi="Arial" w:cs="Arial"/>
          <w:sz w:val="20"/>
          <w:szCs w:val="20"/>
        </w:rPr>
        <w:t>l’année</w:t>
      </w:r>
      <w:r>
        <w:rPr>
          <w:rFonts w:ascii="Arial" w:hAnsi="Arial" w:cs="Arial"/>
          <w:sz w:val="20"/>
          <w:szCs w:val="20"/>
        </w:rPr>
        <w:t xml:space="preserve"> précédent</w:t>
      </w:r>
      <w:r w:rsidR="003755A7">
        <w:rPr>
          <w:rFonts w:ascii="Arial" w:hAnsi="Arial" w:cs="Arial"/>
          <w:sz w:val="20"/>
          <w:szCs w:val="20"/>
        </w:rPr>
        <w:t>e</w:t>
      </w:r>
      <w:r>
        <w:rPr>
          <w:rFonts w:ascii="Arial" w:hAnsi="Arial" w:cs="Arial"/>
          <w:sz w:val="20"/>
          <w:szCs w:val="20"/>
        </w:rPr>
        <w:t xml:space="preserve">. </w:t>
      </w:r>
    </w:p>
    <w:p w:rsidR="00E73CCF" w:rsidRDefault="00E73CCF" w:rsidP="00F53071">
      <w:pPr>
        <w:jc w:val="both"/>
        <w:rPr>
          <w:rFonts w:ascii="Arial" w:hAnsi="Arial" w:cs="Arial"/>
          <w:b/>
          <w:bCs/>
          <w:color w:val="800000"/>
          <w:sz w:val="20"/>
          <w:szCs w:val="20"/>
        </w:rPr>
      </w:pPr>
    </w:p>
    <w:p w:rsidR="0097276B" w:rsidRPr="004625B7" w:rsidRDefault="00483F9B" w:rsidP="00B52A61">
      <w:pPr>
        <w:jc w:val="both"/>
        <w:rPr>
          <w:rFonts w:ascii="Arial" w:hAnsi="Arial" w:cs="Arial"/>
          <w:b/>
          <w:bCs/>
          <w:color w:val="800000"/>
          <w:sz w:val="20"/>
          <w:szCs w:val="20"/>
        </w:rPr>
      </w:pPr>
      <w:r>
        <w:rPr>
          <w:rFonts w:ascii="Arial" w:hAnsi="Arial" w:cs="Arial"/>
          <w:b/>
          <w:bCs/>
          <w:color w:val="800000"/>
          <w:sz w:val="20"/>
          <w:szCs w:val="20"/>
        </w:rPr>
        <w:t>Mod</w:t>
      </w:r>
      <w:r w:rsidR="00C47540">
        <w:rPr>
          <w:rFonts w:ascii="Arial" w:hAnsi="Arial" w:cs="Arial"/>
          <w:b/>
          <w:bCs/>
          <w:color w:val="800000"/>
          <w:sz w:val="20"/>
          <w:szCs w:val="20"/>
        </w:rPr>
        <w:t>ération</w:t>
      </w:r>
      <w:r w:rsidR="000E26F5">
        <w:rPr>
          <w:rFonts w:ascii="Arial" w:hAnsi="Arial" w:cs="Arial"/>
          <w:b/>
          <w:bCs/>
          <w:color w:val="800000"/>
          <w:sz w:val="20"/>
          <w:szCs w:val="20"/>
        </w:rPr>
        <w:t xml:space="preserve">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2F50D2" w:rsidP="0032191A">
      <w:pPr>
        <w:jc w:val="both"/>
        <w:rPr>
          <w:rFonts w:ascii="Arial" w:hAnsi="Arial" w:cs="Arial"/>
          <w:sz w:val="20"/>
          <w:szCs w:val="20"/>
        </w:rPr>
      </w:pPr>
      <w:r>
        <w:rPr>
          <w:rFonts w:ascii="Arial" w:hAnsi="Arial" w:cs="Arial"/>
          <w:noProof/>
          <w:sz w:val="20"/>
          <w:szCs w:val="20"/>
        </w:rPr>
        <w:drawing>
          <wp:anchor distT="0" distB="0" distL="114300" distR="114300" simplePos="0" relativeHeight="251736064" behindDoc="0" locked="0" layoutInCell="1" allowOverlap="1">
            <wp:simplePos x="0" y="0"/>
            <wp:positionH relativeFrom="column">
              <wp:posOffset>4298950</wp:posOffset>
            </wp:positionH>
            <wp:positionV relativeFrom="paragraph">
              <wp:posOffset>113665</wp:posOffset>
            </wp:positionV>
            <wp:extent cx="2277745" cy="1894205"/>
            <wp:effectExtent l="19050" t="0" r="825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277745" cy="1894205"/>
                    </a:xfrm>
                    <a:prstGeom prst="rect">
                      <a:avLst/>
                    </a:prstGeom>
                    <a:noFill/>
                    <a:ln w="9525">
                      <a:noFill/>
                      <a:miter lim="800000"/>
                      <a:headEnd/>
                      <a:tailEnd/>
                    </a:ln>
                  </pic:spPr>
                </pic:pic>
              </a:graphicData>
            </a:graphic>
          </wp:anchor>
        </w:drawing>
      </w:r>
    </w:p>
    <w:p w:rsidR="002C1C74" w:rsidRDefault="002C1C74" w:rsidP="00FF71D3">
      <w:pPr>
        <w:jc w:val="both"/>
        <w:rPr>
          <w:rFonts w:ascii="Arial" w:hAnsi="Arial" w:cs="Arial"/>
          <w:sz w:val="20"/>
          <w:szCs w:val="20"/>
        </w:rPr>
      </w:pPr>
      <w:r w:rsidRPr="00201D83">
        <w:rPr>
          <w:rFonts w:ascii="Arial" w:hAnsi="Arial" w:cs="Arial"/>
          <w:sz w:val="20"/>
          <w:szCs w:val="20"/>
        </w:rPr>
        <w:t xml:space="preserve">Au </w:t>
      </w:r>
      <w:r>
        <w:rPr>
          <w:rFonts w:ascii="Arial" w:hAnsi="Arial" w:cs="Arial"/>
          <w:sz w:val="20"/>
          <w:szCs w:val="20"/>
        </w:rPr>
        <w:t>troisième</w:t>
      </w:r>
      <w:r w:rsidRPr="00201D83">
        <w:rPr>
          <w:rFonts w:ascii="Arial" w:hAnsi="Arial" w:cs="Arial"/>
          <w:sz w:val="20"/>
          <w:szCs w:val="20"/>
        </w:rPr>
        <w:t xml:space="preserve"> trimestre 2017, </w:t>
      </w:r>
      <w:r>
        <w:rPr>
          <w:rFonts w:ascii="Arial" w:hAnsi="Arial" w:cs="Arial"/>
          <w:sz w:val="20"/>
          <w:szCs w:val="20"/>
        </w:rPr>
        <w:t>l</w:t>
      </w:r>
      <w:r w:rsidRPr="007D04E3">
        <w:rPr>
          <w:rFonts w:ascii="Arial" w:hAnsi="Arial" w:cs="Arial"/>
          <w:sz w:val="20"/>
          <w:szCs w:val="20"/>
        </w:rPr>
        <w:t xml:space="preserve">es </w:t>
      </w:r>
      <w:r w:rsidRPr="007D04E3">
        <w:rPr>
          <w:rFonts w:ascii="Arial" w:hAnsi="Arial" w:cs="Arial"/>
          <w:b/>
          <w:bCs/>
          <w:sz w:val="20"/>
          <w:szCs w:val="20"/>
        </w:rPr>
        <w:t>prix à la consommation</w:t>
      </w:r>
      <w:r w:rsidRPr="007D04E3">
        <w:rPr>
          <w:rFonts w:ascii="Arial" w:hAnsi="Arial" w:cs="Arial"/>
          <w:sz w:val="20"/>
          <w:szCs w:val="20"/>
        </w:rPr>
        <w:t xml:space="preserve"> auraient poursuivi leur ralentissement pour le quatrième trimestre successif, affichant une hausse de 0,1%, en glissement annuel, au lieu de +0,3% un trimestre plus tôt. Cette décélération </w:t>
      </w:r>
      <w:r w:rsidR="00A51597">
        <w:rPr>
          <w:rFonts w:ascii="Arial" w:hAnsi="Arial" w:cs="Arial"/>
          <w:sz w:val="20"/>
          <w:szCs w:val="20"/>
        </w:rPr>
        <w:t>au</w:t>
      </w:r>
      <w:r w:rsidRPr="00201D83">
        <w:rPr>
          <w:rFonts w:ascii="Arial" w:hAnsi="Arial" w:cs="Arial"/>
          <w:sz w:val="20"/>
          <w:szCs w:val="20"/>
        </w:rPr>
        <w:t>rait</w:t>
      </w:r>
      <w:r w:rsidR="00A51597">
        <w:rPr>
          <w:rFonts w:ascii="Arial" w:hAnsi="Arial" w:cs="Arial"/>
          <w:sz w:val="20"/>
          <w:szCs w:val="20"/>
        </w:rPr>
        <w:t xml:space="preserve"> été</w:t>
      </w:r>
      <w:r w:rsidRPr="00201D83">
        <w:rPr>
          <w:rFonts w:ascii="Arial" w:hAnsi="Arial" w:cs="Arial"/>
          <w:sz w:val="20"/>
          <w:szCs w:val="20"/>
        </w:rPr>
        <w:t xml:space="preserve"> la conséquence de la baisse de </w:t>
      </w:r>
      <w:r>
        <w:rPr>
          <w:rFonts w:ascii="Arial" w:hAnsi="Arial" w:cs="Arial"/>
          <w:sz w:val="20"/>
          <w:szCs w:val="20"/>
        </w:rPr>
        <w:t>1</w:t>
      </w:r>
      <w:r w:rsidRPr="00201D83">
        <w:rPr>
          <w:rFonts w:ascii="Arial" w:hAnsi="Arial" w:cs="Arial"/>
          <w:sz w:val="20"/>
          <w:szCs w:val="20"/>
        </w:rPr>
        <w:t>,</w:t>
      </w:r>
      <w:r w:rsidR="00B81D22">
        <w:rPr>
          <w:rFonts w:ascii="Arial" w:hAnsi="Arial" w:cs="Arial"/>
          <w:sz w:val="20"/>
          <w:szCs w:val="20"/>
        </w:rPr>
        <w:t>3</w:t>
      </w:r>
      <w:r w:rsidRPr="00201D83">
        <w:rPr>
          <w:rFonts w:ascii="Arial" w:hAnsi="Arial" w:cs="Arial"/>
          <w:sz w:val="20"/>
          <w:szCs w:val="20"/>
        </w:rPr>
        <w:t>%</w:t>
      </w:r>
      <w:r>
        <w:rPr>
          <w:rFonts w:ascii="Arial" w:hAnsi="Arial" w:cs="Arial"/>
          <w:sz w:val="20"/>
          <w:szCs w:val="20"/>
        </w:rPr>
        <w:t xml:space="preserve"> </w:t>
      </w:r>
      <w:r w:rsidRPr="00201D83">
        <w:rPr>
          <w:rFonts w:ascii="Arial" w:hAnsi="Arial" w:cs="Arial"/>
          <w:sz w:val="20"/>
          <w:szCs w:val="20"/>
        </w:rPr>
        <w:t>des prix des produits alimentaires</w:t>
      </w:r>
      <w:r w:rsidR="00FF71D3">
        <w:rPr>
          <w:rFonts w:ascii="Arial" w:hAnsi="Arial" w:cs="Arial"/>
          <w:sz w:val="20"/>
          <w:szCs w:val="20"/>
        </w:rPr>
        <w:t>, due</w:t>
      </w:r>
      <w:r w:rsidRPr="00201D83">
        <w:rPr>
          <w:rFonts w:ascii="Arial" w:hAnsi="Arial" w:cs="Arial"/>
          <w:sz w:val="20"/>
          <w:szCs w:val="20"/>
        </w:rPr>
        <w:t xml:space="preserve"> </w:t>
      </w:r>
      <w:r w:rsidR="00D6396B">
        <w:rPr>
          <w:rFonts w:ascii="Arial" w:hAnsi="Arial" w:cs="Arial"/>
          <w:sz w:val="20"/>
          <w:szCs w:val="20"/>
        </w:rPr>
        <w:t>notam</w:t>
      </w:r>
      <w:r w:rsidRPr="00201D83">
        <w:rPr>
          <w:rFonts w:ascii="Arial" w:hAnsi="Arial" w:cs="Arial"/>
          <w:sz w:val="20"/>
          <w:szCs w:val="20"/>
        </w:rPr>
        <w:t xml:space="preserve">ment </w:t>
      </w:r>
      <w:r w:rsidR="00FF71D3">
        <w:rPr>
          <w:rFonts w:ascii="Arial" w:hAnsi="Arial" w:cs="Arial"/>
          <w:sz w:val="20"/>
          <w:szCs w:val="20"/>
        </w:rPr>
        <w:t>au</w:t>
      </w:r>
      <w:r w:rsidRPr="00201D83">
        <w:rPr>
          <w:rFonts w:ascii="Arial" w:hAnsi="Arial" w:cs="Arial"/>
          <w:sz w:val="20"/>
          <w:szCs w:val="20"/>
        </w:rPr>
        <w:t xml:space="preserve"> </w:t>
      </w:r>
      <w:r>
        <w:rPr>
          <w:rFonts w:ascii="Arial" w:hAnsi="Arial" w:cs="Arial"/>
          <w:sz w:val="20"/>
          <w:szCs w:val="20"/>
        </w:rPr>
        <w:t>fléchissement</w:t>
      </w:r>
      <w:r w:rsidRPr="00201D83">
        <w:rPr>
          <w:rFonts w:ascii="Arial" w:hAnsi="Arial" w:cs="Arial"/>
          <w:sz w:val="20"/>
          <w:szCs w:val="20"/>
        </w:rPr>
        <w:t xml:space="preserve"> des prix des produits frais</w:t>
      </w:r>
      <w:r>
        <w:rPr>
          <w:rFonts w:ascii="Arial" w:hAnsi="Arial" w:cs="Arial"/>
          <w:sz w:val="20"/>
          <w:szCs w:val="20"/>
        </w:rPr>
        <w:t>,</w:t>
      </w:r>
      <w:r w:rsidRPr="00201D83">
        <w:rPr>
          <w:rFonts w:ascii="Arial" w:hAnsi="Arial" w:cs="Arial"/>
          <w:sz w:val="20"/>
          <w:szCs w:val="20"/>
        </w:rPr>
        <w:t xml:space="preserve"> </w:t>
      </w:r>
      <w:r w:rsidRPr="007D04E3">
        <w:rPr>
          <w:rFonts w:ascii="Arial" w:hAnsi="Arial" w:cs="Arial"/>
          <w:sz w:val="20"/>
          <w:szCs w:val="20"/>
        </w:rPr>
        <w:t xml:space="preserve">alors que </w:t>
      </w:r>
      <w:r w:rsidR="00A51597">
        <w:rPr>
          <w:rFonts w:ascii="Arial" w:hAnsi="Arial" w:cs="Arial"/>
          <w:sz w:val="20"/>
          <w:szCs w:val="20"/>
        </w:rPr>
        <w:t>ceux</w:t>
      </w:r>
      <w:r w:rsidRPr="007D04E3">
        <w:rPr>
          <w:rFonts w:ascii="Arial" w:hAnsi="Arial" w:cs="Arial"/>
          <w:sz w:val="20"/>
          <w:szCs w:val="20"/>
        </w:rPr>
        <w:t xml:space="preserve"> des produits non-alimentaires auraient progress</w:t>
      </w:r>
      <w:r w:rsidR="00A51597">
        <w:rPr>
          <w:rFonts w:ascii="Arial" w:hAnsi="Arial" w:cs="Arial"/>
          <w:sz w:val="20"/>
          <w:szCs w:val="20"/>
        </w:rPr>
        <w:t>é</w:t>
      </w:r>
      <w:r w:rsidRPr="007D04E3">
        <w:rPr>
          <w:rFonts w:ascii="Arial" w:hAnsi="Arial" w:cs="Arial"/>
          <w:sz w:val="20"/>
          <w:szCs w:val="20"/>
        </w:rPr>
        <w:t xml:space="preserve"> de 1,1%, au lieu de +1,2% au trimestre précédent. </w:t>
      </w:r>
      <w:r w:rsidRPr="00201D83">
        <w:rPr>
          <w:rFonts w:ascii="Arial" w:hAnsi="Arial" w:cs="Arial"/>
          <w:sz w:val="20"/>
          <w:szCs w:val="20"/>
        </w:rPr>
        <w:t xml:space="preserve">L’inflation sous-jacente qui exclut les tarifs publics et les produits frais aurait, </w:t>
      </w:r>
      <w:r w:rsidR="00FF71D3">
        <w:rPr>
          <w:rFonts w:ascii="Arial" w:hAnsi="Arial" w:cs="Arial"/>
          <w:sz w:val="20"/>
          <w:szCs w:val="20"/>
        </w:rPr>
        <w:t>également</w:t>
      </w:r>
      <w:r w:rsidRPr="00201D83">
        <w:rPr>
          <w:rFonts w:ascii="Arial" w:hAnsi="Arial" w:cs="Arial"/>
          <w:sz w:val="20"/>
          <w:szCs w:val="20"/>
        </w:rPr>
        <w:t xml:space="preserve">, </w:t>
      </w:r>
      <w:r w:rsidRPr="007D04E3">
        <w:rPr>
          <w:rFonts w:ascii="Arial" w:hAnsi="Arial" w:cs="Arial"/>
          <w:sz w:val="20"/>
          <w:szCs w:val="20"/>
        </w:rPr>
        <w:t xml:space="preserve">décéléré, pour </w:t>
      </w:r>
      <w:r>
        <w:rPr>
          <w:rFonts w:ascii="Arial" w:hAnsi="Arial" w:cs="Arial"/>
          <w:sz w:val="20"/>
          <w:szCs w:val="20"/>
        </w:rPr>
        <w:t>se situer à</w:t>
      </w:r>
      <w:r w:rsidRPr="007D04E3">
        <w:rPr>
          <w:rFonts w:ascii="Arial" w:hAnsi="Arial" w:cs="Arial"/>
          <w:sz w:val="20"/>
          <w:szCs w:val="20"/>
        </w:rPr>
        <w:t xml:space="preserve"> +0,8%, après +1%, au deuxième trimestre 2017, sous l’effet de la poursuite d</w:t>
      </w:r>
      <w:r>
        <w:rPr>
          <w:rFonts w:ascii="Arial" w:hAnsi="Arial" w:cs="Arial"/>
          <w:sz w:val="20"/>
          <w:szCs w:val="20"/>
        </w:rPr>
        <w:t>u</w:t>
      </w:r>
      <w:r w:rsidRPr="007D04E3">
        <w:rPr>
          <w:rFonts w:ascii="Arial" w:hAnsi="Arial" w:cs="Arial"/>
          <w:sz w:val="20"/>
          <w:szCs w:val="20"/>
        </w:rPr>
        <w:t xml:space="preserve"> recul des prix des produits hors frais qui aurait compensé, en partie, l’augmentation des prix des services, en particulier ceux des loyers et des services ambulatoires. </w:t>
      </w:r>
    </w:p>
    <w:p w:rsidR="00576374" w:rsidRPr="007D04E3" w:rsidRDefault="00576374" w:rsidP="00A51597">
      <w:pPr>
        <w:jc w:val="both"/>
        <w:rPr>
          <w:rFonts w:ascii="Arial" w:hAnsi="Arial" w:cs="Arial"/>
          <w:sz w:val="20"/>
          <w:szCs w:val="20"/>
        </w:rPr>
      </w:pPr>
    </w:p>
    <w:p w:rsidR="0072723E" w:rsidRPr="0072723E" w:rsidRDefault="0072723E" w:rsidP="0072723E">
      <w:pPr>
        <w:tabs>
          <w:tab w:val="left" w:pos="5245"/>
        </w:tabs>
        <w:jc w:val="both"/>
        <w:rPr>
          <w:rFonts w:ascii="Arial" w:hAnsi="Arial" w:cs="Arial"/>
          <w:b/>
          <w:bCs/>
          <w:color w:val="800000"/>
          <w:kern w:val="28"/>
          <w:sz w:val="20"/>
          <w:szCs w:val="20"/>
        </w:rPr>
      </w:pPr>
      <w:r w:rsidRPr="0072723E">
        <w:rPr>
          <w:rFonts w:ascii="Arial" w:hAnsi="Arial" w:cs="Arial"/>
          <w:b/>
          <w:bCs/>
          <w:color w:val="800000"/>
          <w:kern w:val="28"/>
          <w:sz w:val="20"/>
          <w:szCs w:val="20"/>
        </w:rPr>
        <w:t>Accentuation du besoin de liquidité des banques</w:t>
      </w:r>
    </w:p>
    <w:p w:rsidR="0072723E" w:rsidRPr="0072723E" w:rsidRDefault="0072723E" w:rsidP="0072723E">
      <w:pPr>
        <w:jc w:val="both"/>
        <w:rPr>
          <w:rFonts w:ascii="Arial" w:hAnsi="Arial" w:cs="Arial"/>
          <w:sz w:val="20"/>
          <w:szCs w:val="20"/>
        </w:rPr>
      </w:pPr>
    </w:p>
    <w:p w:rsidR="009630E3" w:rsidRDefault="00E25DDB" w:rsidP="00FB270C">
      <w:pPr>
        <w:jc w:val="both"/>
        <w:rPr>
          <w:rFonts w:ascii="Arial" w:hAnsi="Arial" w:cs="Arial"/>
          <w:sz w:val="20"/>
          <w:szCs w:val="20"/>
        </w:rPr>
      </w:pPr>
      <w:r>
        <w:rPr>
          <w:rFonts w:ascii="Arial" w:hAnsi="Arial" w:cs="Arial"/>
          <w:sz w:val="20"/>
          <w:szCs w:val="20"/>
        </w:rPr>
        <w:t>A</w:t>
      </w:r>
      <w:r w:rsidRPr="0072723E">
        <w:rPr>
          <w:rFonts w:ascii="Arial" w:hAnsi="Arial" w:cs="Arial"/>
          <w:sz w:val="20"/>
          <w:szCs w:val="20"/>
        </w:rPr>
        <w:t>u troisième trimestre 2017</w:t>
      </w:r>
      <w:r>
        <w:rPr>
          <w:rFonts w:ascii="Arial" w:hAnsi="Arial" w:cs="Arial"/>
          <w:sz w:val="20"/>
          <w:szCs w:val="20"/>
        </w:rPr>
        <w:t xml:space="preserve">, la croissance de la </w:t>
      </w:r>
      <w:r w:rsidRPr="005A6161">
        <w:rPr>
          <w:rFonts w:ascii="Arial" w:hAnsi="Arial" w:cs="Arial"/>
          <w:sz w:val="20"/>
          <w:szCs w:val="20"/>
        </w:rPr>
        <w:t>masse monétaire</w:t>
      </w:r>
      <w:r>
        <w:rPr>
          <w:rFonts w:ascii="Arial" w:hAnsi="Arial" w:cs="Arial"/>
          <w:sz w:val="20"/>
          <w:szCs w:val="20"/>
        </w:rPr>
        <w:t xml:space="preserve"> aurait ralenti</w:t>
      </w:r>
      <w:r w:rsidRPr="0072723E">
        <w:rPr>
          <w:rFonts w:ascii="Arial" w:hAnsi="Arial" w:cs="Arial"/>
          <w:sz w:val="20"/>
          <w:szCs w:val="20"/>
        </w:rPr>
        <w:t xml:space="preserve">, </w:t>
      </w:r>
      <w:r>
        <w:rPr>
          <w:rFonts w:ascii="Arial" w:hAnsi="Arial" w:cs="Arial"/>
          <w:sz w:val="20"/>
          <w:szCs w:val="20"/>
        </w:rPr>
        <w:t>par rapport à</w:t>
      </w:r>
      <w:r w:rsidRPr="0072723E">
        <w:rPr>
          <w:rFonts w:ascii="Arial" w:hAnsi="Arial" w:cs="Arial"/>
          <w:sz w:val="20"/>
          <w:szCs w:val="20"/>
        </w:rPr>
        <w:t xml:space="preserve"> l’année 2016</w:t>
      </w:r>
      <w:r>
        <w:rPr>
          <w:rFonts w:ascii="Arial" w:hAnsi="Arial" w:cs="Arial"/>
          <w:sz w:val="20"/>
          <w:szCs w:val="20"/>
        </w:rPr>
        <w:t>, se situant à</w:t>
      </w:r>
      <w:r w:rsidRPr="0072723E">
        <w:rPr>
          <w:rFonts w:ascii="Arial" w:hAnsi="Arial" w:cs="Arial"/>
          <w:sz w:val="20"/>
          <w:szCs w:val="20"/>
        </w:rPr>
        <w:t xml:space="preserve"> 4,7% en glissement annuel</w:t>
      </w:r>
      <w:r w:rsidR="00576374">
        <w:rPr>
          <w:rFonts w:ascii="Arial" w:hAnsi="Arial" w:cs="Arial"/>
          <w:sz w:val="20"/>
          <w:szCs w:val="20"/>
        </w:rPr>
        <w:t>, au lieu de 5,5%, une année auparavant</w:t>
      </w:r>
      <w:r>
        <w:rPr>
          <w:rFonts w:ascii="Arial" w:hAnsi="Arial" w:cs="Arial"/>
          <w:sz w:val="20"/>
          <w:szCs w:val="20"/>
        </w:rPr>
        <w:t>. Pour sa part, l</w:t>
      </w:r>
      <w:r w:rsidR="0072723E" w:rsidRPr="0072723E">
        <w:rPr>
          <w:rFonts w:ascii="Arial" w:hAnsi="Arial" w:cs="Arial"/>
          <w:sz w:val="20"/>
          <w:szCs w:val="20"/>
        </w:rPr>
        <w:t xml:space="preserve">e </w:t>
      </w:r>
      <w:r w:rsidR="0072723E" w:rsidRPr="005A6161">
        <w:rPr>
          <w:rFonts w:ascii="Arial" w:hAnsi="Arial" w:cs="Arial"/>
          <w:b/>
          <w:bCs/>
          <w:sz w:val="20"/>
          <w:szCs w:val="20"/>
        </w:rPr>
        <w:t>besoin de liquidité</w:t>
      </w:r>
      <w:r w:rsidR="0072723E" w:rsidRPr="009630E3">
        <w:rPr>
          <w:rFonts w:ascii="Arial" w:hAnsi="Arial" w:cs="Arial"/>
          <w:sz w:val="20"/>
          <w:szCs w:val="20"/>
        </w:rPr>
        <w:t xml:space="preserve"> des banques</w:t>
      </w:r>
      <w:r w:rsidR="0072723E" w:rsidRPr="0072723E">
        <w:rPr>
          <w:rFonts w:ascii="Arial" w:hAnsi="Arial" w:cs="Arial"/>
          <w:sz w:val="20"/>
          <w:szCs w:val="20"/>
        </w:rPr>
        <w:t xml:space="preserve"> aurait continué de se creuser</w:t>
      </w:r>
      <w:r w:rsidR="005A6161">
        <w:rPr>
          <w:rFonts w:ascii="Arial" w:hAnsi="Arial" w:cs="Arial"/>
          <w:sz w:val="20"/>
          <w:szCs w:val="20"/>
        </w:rPr>
        <w:t xml:space="preserve"> </w:t>
      </w:r>
      <w:r w:rsidR="00F80F5E" w:rsidRPr="00F80F5E">
        <w:rPr>
          <w:rFonts w:ascii="Arial" w:hAnsi="Arial" w:cs="Arial"/>
          <w:sz w:val="20"/>
          <w:szCs w:val="20"/>
        </w:rPr>
        <w:t xml:space="preserve">sous l’effet du repli </w:t>
      </w:r>
      <w:r w:rsidR="00174F4F">
        <w:rPr>
          <w:rFonts w:ascii="Arial" w:hAnsi="Arial" w:cs="Arial"/>
          <w:sz w:val="20"/>
          <w:szCs w:val="20"/>
        </w:rPr>
        <w:t>de 1</w:t>
      </w:r>
      <w:r w:rsidR="00FB270C">
        <w:rPr>
          <w:rFonts w:ascii="Arial" w:hAnsi="Arial" w:cs="Arial"/>
          <w:sz w:val="20"/>
          <w:szCs w:val="20"/>
        </w:rPr>
        <w:t>1</w:t>
      </w:r>
      <w:r w:rsidR="00174F4F">
        <w:rPr>
          <w:rFonts w:ascii="Arial" w:hAnsi="Arial" w:cs="Arial"/>
          <w:sz w:val="20"/>
          <w:szCs w:val="20"/>
        </w:rPr>
        <w:t>,</w:t>
      </w:r>
      <w:r w:rsidR="00FB270C">
        <w:rPr>
          <w:rFonts w:ascii="Arial" w:hAnsi="Arial" w:cs="Arial"/>
          <w:sz w:val="20"/>
          <w:szCs w:val="20"/>
        </w:rPr>
        <w:t>7</w:t>
      </w:r>
      <w:r w:rsidR="00174F4F">
        <w:rPr>
          <w:rFonts w:ascii="Arial" w:hAnsi="Arial" w:cs="Arial"/>
          <w:sz w:val="20"/>
          <w:szCs w:val="20"/>
        </w:rPr>
        <w:t xml:space="preserve">% </w:t>
      </w:r>
      <w:r w:rsidR="00F80F5E" w:rsidRPr="00F80F5E">
        <w:rPr>
          <w:rFonts w:ascii="Arial" w:hAnsi="Arial" w:cs="Arial"/>
          <w:sz w:val="20"/>
          <w:szCs w:val="20"/>
        </w:rPr>
        <w:t>des réserves internationales nettes</w:t>
      </w:r>
      <w:r w:rsidR="00345B8C">
        <w:rPr>
          <w:rFonts w:ascii="Arial" w:hAnsi="Arial" w:cs="Arial"/>
          <w:sz w:val="20"/>
          <w:szCs w:val="20"/>
        </w:rPr>
        <w:t xml:space="preserve"> de la Banque Centrale</w:t>
      </w:r>
      <w:r w:rsidR="00174F4F">
        <w:rPr>
          <w:rFonts w:ascii="Arial" w:hAnsi="Arial" w:cs="Arial"/>
          <w:sz w:val="20"/>
          <w:szCs w:val="20"/>
        </w:rPr>
        <w:t xml:space="preserve">, à fin </w:t>
      </w:r>
      <w:r w:rsidR="00FB270C">
        <w:rPr>
          <w:rFonts w:ascii="Arial" w:hAnsi="Arial" w:cs="Arial"/>
          <w:sz w:val="20"/>
          <w:szCs w:val="20"/>
        </w:rPr>
        <w:t>août</w:t>
      </w:r>
      <w:r w:rsidR="00F80F5E" w:rsidRPr="00F80F5E">
        <w:rPr>
          <w:rFonts w:ascii="Arial" w:hAnsi="Arial" w:cs="Arial"/>
          <w:sz w:val="20"/>
          <w:szCs w:val="20"/>
        </w:rPr>
        <w:t xml:space="preserve">. </w:t>
      </w:r>
      <w:r w:rsidR="009630E3">
        <w:rPr>
          <w:rFonts w:ascii="Arial" w:hAnsi="Arial" w:cs="Arial"/>
          <w:sz w:val="20"/>
          <w:szCs w:val="20"/>
        </w:rPr>
        <w:t>A l’origine de cette évolution</w:t>
      </w:r>
      <w:r w:rsidR="00174F4F">
        <w:rPr>
          <w:rFonts w:ascii="Arial" w:hAnsi="Arial" w:cs="Arial"/>
          <w:sz w:val="20"/>
          <w:szCs w:val="20"/>
        </w:rPr>
        <w:t>,</w:t>
      </w:r>
      <w:r w:rsidR="009630E3">
        <w:rPr>
          <w:rFonts w:ascii="Arial" w:hAnsi="Arial" w:cs="Arial"/>
          <w:sz w:val="20"/>
          <w:szCs w:val="20"/>
        </w:rPr>
        <w:t xml:space="preserve"> </w:t>
      </w:r>
      <w:r w:rsidR="00174F4F">
        <w:rPr>
          <w:rFonts w:ascii="Arial" w:hAnsi="Arial" w:cs="Arial"/>
          <w:sz w:val="20"/>
          <w:szCs w:val="20"/>
        </w:rPr>
        <w:t>l</w:t>
      </w:r>
      <w:r w:rsidR="009630E3" w:rsidRPr="0072723E">
        <w:rPr>
          <w:rFonts w:ascii="Arial" w:hAnsi="Arial" w:cs="Arial"/>
          <w:sz w:val="20"/>
          <w:szCs w:val="20"/>
        </w:rPr>
        <w:t>es achats massifs des devises sur le marché de change</w:t>
      </w:r>
      <w:r w:rsidR="00174F4F">
        <w:rPr>
          <w:rFonts w:ascii="Arial" w:hAnsi="Arial" w:cs="Arial"/>
          <w:sz w:val="20"/>
          <w:szCs w:val="20"/>
        </w:rPr>
        <w:t xml:space="preserve"> par les banques commerciales</w:t>
      </w:r>
      <w:r w:rsidR="009630E3" w:rsidRPr="0072723E">
        <w:rPr>
          <w:rFonts w:ascii="Arial" w:hAnsi="Arial" w:cs="Arial"/>
          <w:sz w:val="20"/>
          <w:szCs w:val="20"/>
        </w:rPr>
        <w:t>, à la veille de la migration vers la flexibilité du régime de change</w:t>
      </w:r>
      <w:r w:rsidR="00174F4F">
        <w:rPr>
          <w:rFonts w:ascii="Arial" w:hAnsi="Arial" w:cs="Arial"/>
          <w:sz w:val="20"/>
          <w:szCs w:val="20"/>
        </w:rPr>
        <w:t>.</w:t>
      </w:r>
    </w:p>
    <w:p w:rsidR="001C117E" w:rsidRDefault="001C117E" w:rsidP="001C117E">
      <w:pPr>
        <w:jc w:val="both"/>
        <w:rPr>
          <w:rFonts w:ascii="Arial" w:hAnsi="Arial" w:cs="Arial"/>
          <w:sz w:val="20"/>
          <w:szCs w:val="20"/>
        </w:rPr>
      </w:pPr>
    </w:p>
    <w:p w:rsidR="0072723E" w:rsidRPr="0072723E" w:rsidRDefault="00A06820" w:rsidP="00D53BD6">
      <w:pPr>
        <w:jc w:val="both"/>
        <w:rPr>
          <w:rFonts w:ascii="Arial" w:hAnsi="Arial" w:cs="Arial"/>
          <w:sz w:val="20"/>
          <w:szCs w:val="20"/>
        </w:rPr>
      </w:pPr>
      <w:r w:rsidRPr="0072723E">
        <w:rPr>
          <w:rFonts w:ascii="Arial" w:hAnsi="Arial" w:cs="Arial"/>
          <w:sz w:val="20"/>
          <w:szCs w:val="20"/>
        </w:rPr>
        <w:t>Les créances sur l’économie auraient poursuivi leur sentier de croissance ascendant</w:t>
      </w:r>
      <w:r>
        <w:rPr>
          <w:rFonts w:ascii="Arial" w:hAnsi="Arial" w:cs="Arial"/>
          <w:sz w:val="20"/>
          <w:szCs w:val="20"/>
        </w:rPr>
        <w:t xml:space="preserve">, tirées </w:t>
      </w:r>
      <w:r w:rsidRPr="0072723E">
        <w:rPr>
          <w:rFonts w:ascii="Arial" w:hAnsi="Arial" w:cs="Arial"/>
          <w:sz w:val="20"/>
          <w:szCs w:val="20"/>
        </w:rPr>
        <w:t xml:space="preserve">particulièrement par </w:t>
      </w:r>
      <w:r>
        <w:rPr>
          <w:rFonts w:ascii="Arial" w:hAnsi="Arial" w:cs="Arial"/>
          <w:sz w:val="20"/>
          <w:szCs w:val="20"/>
        </w:rPr>
        <w:t>la hausse d</w:t>
      </w:r>
      <w:r w:rsidRPr="0072723E">
        <w:rPr>
          <w:rFonts w:ascii="Arial" w:hAnsi="Arial" w:cs="Arial"/>
          <w:sz w:val="20"/>
          <w:szCs w:val="20"/>
        </w:rPr>
        <w:t xml:space="preserve">es crédits </w:t>
      </w:r>
      <w:r>
        <w:rPr>
          <w:rFonts w:ascii="Arial" w:hAnsi="Arial" w:cs="Arial"/>
          <w:sz w:val="20"/>
          <w:szCs w:val="20"/>
        </w:rPr>
        <w:t xml:space="preserve">accordés </w:t>
      </w:r>
      <w:r w:rsidRPr="0072723E">
        <w:rPr>
          <w:rFonts w:ascii="Arial" w:hAnsi="Arial" w:cs="Arial"/>
          <w:sz w:val="20"/>
          <w:szCs w:val="20"/>
        </w:rPr>
        <w:t xml:space="preserve">à l’équipement </w:t>
      </w:r>
      <w:r>
        <w:rPr>
          <w:rFonts w:ascii="Arial" w:hAnsi="Arial" w:cs="Arial"/>
          <w:sz w:val="20"/>
          <w:szCs w:val="20"/>
        </w:rPr>
        <w:t>des</w:t>
      </w:r>
      <w:r w:rsidRPr="0072723E">
        <w:rPr>
          <w:rFonts w:ascii="Arial" w:hAnsi="Arial" w:cs="Arial"/>
          <w:sz w:val="20"/>
          <w:szCs w:val="20"/>
        </w:rPr>
        <w:t xml:space="preserve"> entreprises et à l’habitat aux ménages.</w:t>
      </w:r>
      <w:r>
        <w:rPr>
          <w:rFonts w:ascii="Arial" w:hAnsi="Arial" w:cs="Arial"/>
          <w:sz w:val="20"/>
          <w:szCs w:val="20"/>
        </w:rPr>
        <w:t xml:space="preserve"> </w:t>
      </w:r>
      <w:r w:rsidR="009630E3">
        <w:rPr>
          <w:rFonts w:ascii="Arial" w:hAnsi="Arial" w:cs="Arial"/>
          <w:sz w:val="20"/>
          <w:szCs w:val="20"/>
        </w:rPr>
        <w:t>Dans ce contexte</w:t>
      </w:r>
      <w:r w:rsidR="0072723E" w:rsidRPr="0072723E">
        <w:rPr>
          <w:rFonts w:ascii="Arial" w:hAnsi="Arial" w:cs="Arial"/>
          <w:sz w:val="20"/>
          <w:szCs w:val="20"/>
        </w:rPr>
        <w:t xml:space="preserve">, les taux d’intérêt interbancaires auraient </w:t>
      </w:r>
      <w:r w:rsidR="0072723E">
        <w:rPr>
          <w:rFonts w:ascii="Arial" w:hAnsi="Arial" w:cs="Arial"/>
          <w:sz w:val="20"/>
          <w:szCs w:val="20"/>
        </w:rPr>
        <w:t>progressé</w:t>
      </w:r>
      <w:r w:rsidR="0072723E" w:rsidRPr="0072723E">
        <w:rPr>
          <w:rFonts w:ascii="Arial" w:hAnsi="Arial" w:cs="Arial"/>
          <w:sz w:val="20"/>
          <w:szCs w:val="20"/>
        </w:rPr>
        <w:t>, s’écartant légèrement du niveau du taux directeur. La même tendance aurait marqué l’évolution des taux des adjudications des bons du Trésor. Le taux moyen interbancaire aurait</w:t>
      </w:r>
      <w:r w:rsidR="004E117C">
        <w:rPr>
          <w:rFonts w:ascii="Arial" w:hAnsi="Arial" w:cs="Arial"/>
          <w:sz w:val="20"/>
          <w:szCs w:val="20"/>
        </w:rPr>
        <w:t>, ainsi,</w:t>
      </w:r>
      <w:r w:rsidR="0072723E" w:rsidRPr="0072723E">
        <w:rPr>
          <w:rFonts w:ascii="Arial" w:hAnsi="Arial" w:cs="Arial"/>
          <w:sz w:val="20"/>
          <w:szCs w:val="20"/>
        </w:rPr>
        <w:t xml:space="preserve"> cr</w:t>
      </w:r>
      <w:r w:rsidR="00D53BD6">
        <w:rPr>
          <w:rFonts w:ascii="Arial" w:hAnsi="Arial" w:cs="Arial"/>
          <w:sz w:val="20"/>
          <w:szCs w:val="20"/>
        </w:rPr>
        <w:t>û</w:t>
      </w:r>
      <w:r w:rsidR="0072723E" w:rsidRPr="0072723E">
        <w:rPr>
          <w:rFonts w:ascii="Arial" w:hAnsi="Arial" w:cs="Arial"/>
          <w:sz w:val="20"/>
          <w:szCs w:val="20"/>
        </w:rPr>
        <w:t xml:space="preserve"> de 8 points, en variation annuelle et les taux des adjudications des bons du Trésor à un et à cinq ans auraient augmenté de 4 et 14 points, respectivement. </w:t>
      </w:r>
    </w:p>
    <w:p w:rsidR="0072723E" w:rsidRPr="0072723E" w:rsidRDefault="0072723E" w:rsidP="0072723E">
      <w:pPr>
        <w:jc w:val="both"/>
        <w:rPr>
          <w:rFonts w:ascii="Arial" w:hAnsi="Arial" w:cs="Arial"/>
          <w:sz w:val="20"/>
          <w:szCs w:val="20"/>
        </w:rPr>
      </w:pPr>
    </w:p>
    <w:p w:rsidR="009F11E9" w:rsidRPr="00F3410E" w:rsidRDefault="009F11E9" w:rsidP="00FC7859">
      <w:pPr>
        <w:jc w:val="both"/>
        <w:rPr>
          <w:rFonts w:ascii="Arial" w:hAnsi="Arial" w:cs="Arial"/>
          <w:b/>
          <w:bCs/>
          <w:color w:val="800000"/>
          <w:kern w:val="28"/>
          <w:sz w:val="20"/>
          <w:szCs w:val="20"/>
        </w:rPr>
      </w:pPr>
      <w:r>
        <w:rPr>
          <w:rFonts w:ascii="Arial" w:hAnsi="Arial" w:cs="Arial"/>
          <w:b/>
          <w:bCs/>
          <w:color w:val="800000"/>
          <w:kern w:val="28"/>
          <w:sz w:val="20"/>
          <w:szCs w:val="20"/>
        </w:rPr>
        <w:t>Léger r</w:t>
      </w:r>
      <w:r w:rsidRPr="00F3410E">
        <w:rPr>
          <w:rFonts w:ascii="Arial" w:hAnsi="Arial" w:cs="Arial"/>
          <w:b/>
          <w:bCs/>
          <w:color w:val="800000"/>
          <w:kern w:val="28"/>
          <w:sz w:val="20"/>
          <w:szCs w:val="20"/>
        </w:rPr>
        <w:t xml:space="preserve">alentissement </w:t>
      </w:r>
      <w:r w:rsidR="00A323BB">
        <w:rPr>
          <w:rFonts w:ascii="Arial" w:hAnsi="Arial" w:cs="Arial"/>
          <w:b/>
          <w:bCs/>
          <w:color w:val="800000"/>
          <w:kern w:val="28"/>
          <w:sz w:val="20"/>
          <w:szCs w:val="20"/>
        </w:rPr>
        <w:t>de</w:t>
      </w:r>
      <w:r w:rsidR="00FC7859">
        <w:rPr>
          <w:rFonts w:ascii="Arial" w:hAnsi="Arial" w:cs="Arial"/>
          <w:b/>
          <w:bCs/>
          <w:color w:val="800000"/>
          <w:kern w:val="28"/>
          <w:sz w:val="20"/>
          <w:szCs w:val="20"/>
        </w:rPr>
        <w:t xml:space="preserve"> la</w:t>
      </w:r>
      <w:r w:rsidR="00A323BB">
        <w:rPr>
          <w:rFonts w:ascii="Arial" w:hAnsi="Arial" w:cs="Arial"/>
          <w:b/>
          <w:bCs/>
          <w:color w:val="800000"/>
          <w:kern w:val="28"/>
          <w:sz w:val="20"/>
          <w:szCs w:val="20"/>
        </w:rPr>
        <w:t xml:space="preserve"> croissance </w:t>
      </w:r>
      <w:r w:rsidRPr="00F3410E">
        <w:rPr>
          <w:rFonts w:ascii="Arial" w:hAnsi="Arial" w:cs="Arial"/>
          <w:b/>
          <w:bCs/>
          <w:color w:val="800000"/>
          <w:kern w:val="28"/>
          <w:sz w:val="20"/>
          <w:szCs w:val="20"/>
        </w:rPr>
        <w:t>des indices boursiers</w:t>
      </w:r>
    </w:p>
    <w:p w:rsidR="009F11E9" w:rsidRPr="00F3410E" w:rsidRDefault="009F11E9" w:rsidP="009F11E9">
      <w:pPr>
        <w:jc w:val="both"/>
        <w:rPr>
          <w:rFonts w:ascii="Arial" w:hAnsi="Arial" w:cs="Arial"/>
          <w:sz w:val="20"/>
          <w:szCs w:val="20"/>
        </w:rPr>
      </w:pPr>
    </w:p>
    <w:p w:rsidR="009F11E9" w:rsidRPr="00F3410E" w:rsidRDefault="00CC7BF4" w:rsidP="00C841BC">
      <w:pPr>
        <w:jc w:val="both"/>
        <w:rPr>
          <w:rFonts w:ascii="Arial" w:hAnsi="Arial" w:cs="Arial"/>
          <w:sz w:val="20"/>
          <w:szCs w:val="20"/>
        </w:rPr>
      </w:pPr>
      <w:r>
        <w:rPr>
          <w:rFonts w:ascii="Arial" w:hAnsi="Arial" w:cs="Arial"/>
          <w:noProof/>
          <w:sz w:val="20"/>
          <w:szCs w:val="20"/>
        </w:rPr>
        <w:drawing>
          <wp:anchor distT="0" distB="0" distL="114300" distR="114300" simplePos="0" relativeHeight="251734016" behindDoc="0" locked="0" layoutInCell="1" allowOverlap="1">
            <wp:simplePos x="0" y="0"/>
            <wp:positionH relativeFrom="column">
              <wp:posOffset>4277360</wp:posOffset>
            </wp:positionH>
            <wp:positionV relativeFrom="paragraph">
              <wp:posOffset>229870</wp:posOffset>
            </wp:positionV>
            <wp:extent cx="2336165" cy="1821180"/>
            <wp:effectExtent l="19050" t="0" r="6985" b="0"/>
            <wp:wrapSquare wrapText="bothSides"/>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336165" cy="1821180"/>
                    </a:xfrm>
                    <a:prstGeom prst="rect">
                      <a:avLst/>
                    </a:prstGeom>
                    <a:noFill/>
                    <a:ln w="9525">
                      <a:noFill/>
                      <a:miter lim="800000"/>
                      <a:headEnd/>
                      <a:tailEnd/>
                    </a:ln>
                  </pic:spPr>
                </pic:pic>
              </a:graphicData>
            </a:graphic>
          </wp:anchor>
        </w:drawing>
      </w:r>
      <w:r w:rsidR="009F11E9" w:rsidRPr="00F3410E">
        <w:rPr>
          <w:rFonts w:ascii="Arial" w:hAnsi="Arial" w:cs="Arial"/>
          <w:sz w:val="20"/>
          <w:szCs w:val="20"/>
        </w:rPr>
        <w:t xml:space="preserve">Le </w:t>
      </w:r>
      <w:r w:rsidR="009F11E9" w:rsidRPr="00A37FD5">
        <w:rPr>
          <w:rFonts w:ascii="Arial" w:hAnsi="Arial" w:cs="Arial"/>
          <w:b/>
          <w:bCs/>
          <w:sz w:val="20"/>
          <w:szCs w:val="20"/>
        </w:rPr>
        <w:t>marché des actions</w:t>
      </w:r>
      <w:r w:rsidR="009F11E9" w:rsidRPr="00F3410E">
        <w:rPr>
          <w:rFonts w:ascii="Arial" w:hAnsi="Arial" w:cs="Arial"/>
          <w:sz w:val="20"/>
          <w:szCs w:val="20"/>
        </w:rPr>
        <w:t xml:space="preserve"> aurait </w:t>
      </w:r>
      <w:r w:rsidR="009F11E9">
        <w:rPr>
          <w:rFonts w:ascii="Arial" w:hAnsi="Arial" w:cs="Arial"/>
          <w:sz w:val="20"/>
          <w:szCs w:val="20"/>
        </w:rPr>
        <w:t xml:space="preserve">légèrement </w:t>
      </w:r>
      <w:r w:rsidR="009F11E9" w:rsidRPr="00F3410E">
        <w:rPr>
          <w:rFonts w:ascii="Arial" w:hAnsi="Arial" w:cs="Arial"/>
          <w:sz w:val="20"/>
          <w:szCs w:val="20"/>
        </w:rPr>
        <w:t xml:space="preserve">réduit ses gains annuels au cours du troisième trimestre 2017. Les indices MASI et MADEX auraient progressé de 20,9% et 20,2%, respectivement, en glissements annuels, après des hausses de 26,4% et 26,6%, un trimestre </w:t>
      </w:r>
      <w:r w:rsidR="00C841BC">
        <w:rPr>
          <w:rFonts w:ascii="Arial" w:hAnsi="Arial" w:cs="Arial"/>
          <w:sz w:val="20"/>
          <w:szCs w:val="20"/>
        </w:rPr>
        <w:t>plus tô</w:t>
      </w:r>
      <w:r w:rsidR="009F11E9" w:rsidRPr="00F3410E">
        <w:rPr>
          <w:rFonts w:ascii="Arial" w:hAnsi="Arial" w:cs="Arial"/>
          <w:sz w:val="20"/>
          <w:szCs w:val="20"/>
        </w:rPr>
        <w:t>t. Les cours des valeurs auraient subi des ajustements</w:t>
      </w:r>
      <w:r w:rsidR="00622495">
        <w:rPr>
          <w:rFonts w:ascii="Arial" w:hAnsi="Arial" w:cs="Arial"/>
          <w:sz w:val="20"/>
          <w:szCs w:val="20"/>
        </w:rPr>
        <w:t xml:space="preserve"> à la baisse</w:t>
      </w:r>
      <w:r w:rsidR="009F11E9" w:rsidRPr="00F3410E">
        <w:rPr>
          <w:rFonts w:ascii="Arial" w:hAnsi="Arial" w:cs="Arial"/>
          <w:sz w:val="20"/>
          <w:szCs w:val="20"/>
        </w:rPr>
        <w:t xml:space="preserve">, </w:t>
      </w:r>
      <w:r w:rsidR="00622495">
        <w:rPr>
          <w:rFonts w:ascii="Arial" w:hAnsi="Arial" w:cs="Arial"/>
          <w:sz w:val="20"/>
          <w:szCs w:val="20"/>
        </w:rPr>
        <w:t>attribuables à des</w:t>
      </w:r>
      <w:r w:rsidR="00622495" w:rsidRPr="00F3410E">
        <w:rPr>
          <w:rFonts w:ascii="Arial" w:hAnsi="Arial" w:cs="Arial"/>
          <w:sz w:val="20"/>
          <w:szCs w:val="20"/>
        </w:rPr>
        <w:t xml:space="preserve"> </w:t>
      </w:r>
      <w:r w:rsidR="00622495">
        <w:rPr>
          <w:rFonts w:ascii="Arial" w:hAnsi="Arial" w:cs="Arial"/>
          <w:sz w:val="20"/>
          <w:szCs w:val="20"/>
        </w:rPr>
        <w:t>résultats</w:t>
      </w:r>
      <w:r w:rsidR="00622495" w:rsidRPr="00F3410E">
        <w:rPr>
          <w:rFonts w:ascii="Arial" w:hAnsi="Arial" w:cs="Arial"/>
          <w:sz w:val="20"/>
          <w:szCs w:val="20"/>
        </w:rPr>
        <w:t xml:space="preserve"> comptables des sociétés cotées </w:t>
      </w:r>
      <w:r w:rsidR="00622495">
        <w:rPr>
          <w:rFonts w:ascii="Arial" w:hAnsi="Arial" w:cs="Arial"/>
          <w:sz w:val="20"/>
          <w:szCs w:val="20"/>
        </w:rPr>
        <w:t xml:space="preserve">en bourse </w:t>
      </w:r>
      <w:r w:rsidR="00622495" w:rsidRPr="00F3410E">
        <w:rPr>
          <w:rFonts w:ascii="Arial" w:hAnsi="Arial" w:cs="Arial"/>
          <w:sz w:val="20"/>
          <w:szCs w:val="20"/>
        </w:rPr>
        <w:t>moindre</w:t>
      </w:r>
      <w:r w:rsidR="00622495">
        <w:rPr>
          <w:rFonts w:ascii="Arial" w:hAnsi="Arial" w:cs="Arial"/>
          <w:sz w:val="20"/>
          <w:szCs w:val="20"/>
        </w:rPr>
        <w:t>s que prévus</w:t>
      </w:r>
      <w:r w:rsidR="00622495" w:rsidRPr="00F3410E">
        <w:rPr>
          <w:rFonts w:ascii="Arial" w:hAnsi="Arial" w:cs="Arial"/>
          <w:sz w:val="20"/>
          <w:szCs w:val="20"/>
        </w:rPr>
        <w:t xml:space="preserve"> </w:t>
      </w:r>
      <w:r w:rsidR="00622495">
        <w:rPr>
          <w:rFonts w:ascii="Arial" w:hAnsi="Arial" w:cs="Arial"/>
          <w:sz w:val="20"/>
          <w:szCs w:val="20"/>
        </w:rPr>
        <w:t>par l</w:t>
      </w:r>
      <w:r w:rsidR="009F11E9" w:rsidRPr="00F3410E">
        <w:rPr>
          <w:rFonts w:ascii="Arial" w:hAnsi="Arial" w:cs="Arial"/>
          <w:sz w:val="20"/>
          <w:szCs w:val="20"/>
        </w:rPr>
        <w:t xml:space="preserve">es investisseurs. </w:t>
      </w:r>
      <w:r w:rsidR="00622495">
        <w:rPr>
          <w:rFonts w:ascii="Arial" w:hAnsi="Arial" w:cs="Arial"/>
          <w:sz w:val="20"/>
          <w:szCs w:val="20"/>
        </w:rPr>
        <w:t>Dans le même sillage, le rythme de croissance de l</w:t>
      </w:r>
      <w:r w:rsidR="009F11E9" w:rsidRPr="00F3410E">
        <w:rPr>
          <w:rFonts w:ascii="Arial" w:hAnsi="Arial" w:cs="Arial"/>
          <w:sz w:val="20"/>
          <w:szCs w:val="20"/>
        </w:rPr>
        <w:t xml:space="preserve">a capitalisation boursière aurait </w:t>
      </w:r>
      <w:r w:rsidR="00622495">
        <w:rPr>
          <w:rFonts w:ascii="Arial" w:hAnsi="Arial" w:cs="Arial"/>
          <w:sz w:val="20"/>
          <w:szCs w:val="20"/>
        </w:rPr>
        <w:t xml:space="preserve">légèrement </w:t>
      </w:r>
      <w:r w:rsidR="009F11E9" w:rsidRPr="00F3410E">
        <w:rPr>
          <w:rFonts w:ascii="Arial" w:hAnsi="Arial" w:cs="Arial"/>
          <w:sz w:val="20"/>
          <w:szCs w:val="20"/>
        </w:rPr>
        <w:t xml:space="preserve">ralenti, </w:t>
      </w:r>
      <w:r w:rsidR="00622495">
        <w:rPr>
          <w:rFonts w:ascii="Arial" w:hAnsi="Arial" w:cs="Arial"/>
          <w:sz w:val="20"/>
          <w:szCs w:val="20"/>
        </w:rPr>
        <w:t>pa</w:t>
      </w:r>
      <w:r w:rsidR="00120CC5">
        <w:rPr>
          <w:rFonts w:ascii="Arial" w:hAnsi="Arial" w:cs="Arial"/>
          <w:sz w:val="20"/>
          <w:szCs w:val="20"/>
        </w:rPr>
        <w:t xml:space="preserve">ssant </w:t>
      </w:r>
      <w:r w:rsidR="00120CC5" w:rsidRPr="00F3410E">
        <w:rPr>
          <w:rFonts w:ascii="Arial" w:hAnsi="Arial" w:cs="Arial"/>
          <w:sz w:val="20"/>
          <w:szCs w:val="20"/>
        </w:rPr>
        <w:t xml:space="preserve">de </w:t>
      </w:r>
      <w:r w:rsidR="00622495" w:rsidRPr="00F3410E">
        <w:rPr>
          <w:rFonts w:ascii="Arial" w:hAnsi="Arial" w:cs="Arial"/>
          <w:sz w:val="20"/>
          <w:szCs w:val="20"/>
        </w:rPr>
        <w:t>26,9%</w:t>
      </w:r>
      <w:r w:rsidR="00622495">
        <w:rPr>
          <w:rFonts w:ascii="Arial" w:hAnsi="Arial" w:cs="Arial"/>
          <w:sz w:val="20"/>
          <w:szCs w:val="20"/>
        </w:rPr>
        <w:t>, au deuxième trimestre 2017, à</w:t>
      </w:r>
      <w:r w:rsidR="009F11E9" w:rsidRPr="00F3410E">
        <w:rPr>
          <w:rFonts w:ascii="Arial" w:hAnsi="Arial" w:cs="Arial"/>
          <w:sz w:val="20"/>
          <w:szCs w:val="20"/>
        </w:rPr>
        <w:t xml:space="preserve"> </w:t>
      </w:r>
      <w:r w:rsidR="00622495" w:rsidRPr="00F3410E">
        <w:rPr>
          <w:rFonts w:ascii="Arial" w:hAnsi="Arial" w:cs="Arial"/>
          <w:sz w:val="20"/>
          <w:szCs w:val="20"/>
        </w:rPr>
        <w:t>21,3%</w:t>
      </w:r>
      <w:r w:rsidR="00622495">
        <w:rPr>
          <w:rFonts w:ascii="Arial" w:hAnsi="Arial" w:cs="Arial"/>
          <w:sz w:val="20"/>
          <w:szCs w:val="20"/>
        </w:rPr>
        <w:t>, au</w:t>
      </w:r>
      <w:r w:rsidR="009F11E9" w:rsidRPr="00F3410E">
        <w:rPr>
          <w:rFonts w:ascii="Arial" w:hAnsi="Arial" w:cs="Arial"/>
          <w:sz w:val="20"/>
          <w:szCs w:val="20"/>
        </w:rPr>
        <w:t xml:space="preserve"> </w:t>
      </w:r>
      <w:r w:rsidR="00622495">
        <w:rPr>
          <w:rFonts w:ascii="Arial" w:hAnsi="Arial" w:cs="Arial"/>
          <w:sz w:val="20"/>
          <w:szCs w:val="20"/>
        </w:rPr>
        <w:t xml:space="preserve">troisième </w:t>
      </w:r>
      <w:r w:rsidR="009F11E9" w:rsidRPr="00F3410E">
        <w:rPr>
          <w:rFonts w:ascii="Arial" w:hAnsi="Arial" w:cs="Arial"/>
          <w:sz w:val="20"/>
          <w:szCs w:val="20"/>
        </w:rPr>
        <w:t xml:space="preserve">trimestre. Ces évolutions </w:t>
      </w:r>
      <w:r w:rsidR="009F11E9">
        <w:rPr>
          <w:rFonts w:ascii="Arial" w:hAnsi="Arial" w:cs="Arial"/>
          <w:sz w:val="20"/>
          <w:szCs w:val="20"/>
        </w:rPr>
        <w:t>au</w:t>
      </w:r>
      <w:r w:rsidR="009F11E9" w:rsidRPr="00F3410E">
        <w:rPr>
          <w:rFonts w:ascii="Arial" w:hAnsi="Arial" w:cs="Arial"/>
          <w:sz w:val="20"/>
          <w:szCs w:val="20"/>
        </w:rPr>
        <w:t>raient</w:t>
      </w:r>
      <w:r w:rsidR="009F11E9">
        <w:rPr>
          <w:rFonts w:ascii="Arial" w:hAnsi="Arial" w:cs="Arial"/>
          <w:sz w:val="20"/>
          <w:szCs w:val="20"/>
        </w:rPr>
        <w:t xml:space="preserve"> été </w:t>
      </w:r>
      <w:r w:rsidR="00120CC5">
        <w:rPr>
          <w:rFonts w:ascii="Arial" w:hAnsi="Arial" w:cs="Arial"/>
          <w:sz w:val="20"/>
          <w:szCs w:val="20"/>
        </w:rPr>
        <w:t>tir</w:t>
      </w:r>
      <w:r w:rsidR="009F11E9">
        <w:rPr>
          <w:rFonts w:ascii="Arial" w:hAnsi="Arial" w:cs="Arial"/>
          <w:sz w:val="20"/>
          <w:szCs w:val="20"/>
        </w:rPr>
        <w:t>ées</w:t>
      </w:r>
      <w:r w:rsidR="009F11E9" w:rsidRPr="00F3410E">
        <w:rPr>
          <w:rFonts w:ascii="Arial" w:hAnsi="Arial" w:cs="Arial"/>
          <w:sz w:val="20"/>
          <w:szCs w:val="20"/>
        </w:rPr>
        <w:t xml:space="preserve">, </w:t>
      </w:r>
      <w:r w:rsidR="00120CC5">
        <w:rPr>
          <w:rFonts w:ascii="Arial" w:hAnsi="Arial" w:cs="Arial"/>
          <w:sz w:val="20"/>
          <w:szCs w:val="20"/>
        </w:rPr>
        <w:t>notam</w:t>
      </w:r>
      <w:r w:rsidR="009F11E9" w:rsidRPr="00F3410E">
        <w:rPr>
          <w:rFonts w:ascii="Arial" w:hAnsi="Arial" w:cs="Arial"/>
          <w:sz w:val="20"/>
          <w:szCs w:val="20"/>
        </w:rPr>
        <w:t xml:space="preserve">ment, </w:t>
      </w:r>
      <w:r w:rsidR="009F11E9">
        <w:rPr>
          <w:rFonts w:ascii="Arial" w:hAnsi="Arial" w:cs="Arial"/>
          <w:sz w:val="20"/>
          <w:szCs w:val="20"/>
        </w:rPr>
        <w:t xml:space="preserve">par </w:t>
      </w:r>
      <w:r w:rsidR="009F11E9" w:rsidRPr="00F3410E">
        <w:rPr>
          <w:rFonts w:ascii="Arial" w:hAnsi="Arial" w:cs="Arial"/>
          <w:sz w:val="20"/>
          <w:szCs w:val="20"/>
        </w:rPr>
        <w:t xml:space="preserve">la croissance des cours des secteurs de la chimie, de l’agroalimentaire, des mines et du matériel et logiciels informatiques. Parallèlement, le marché </w:t>
      </w:r>
      <w:r w:rsidR="00120CC5">
        <w:rPr>
          <w:rFonts w:ascii="Arial" w:hAnsi="Arial" w:cs="Arial"/>
          <w:sz w:val="20"/>
          <w:szCs w:val="20"/>
        </w:rPr>
        <w:t>des actions</w:t>
      </w:r>
      <w:r w:rsidR="009F11E9" w:rsidRPr="00F3410E">
        <w:rPr>
          <w:rFonts w:ascii="Arial" w:hAnsi="Arial" w:cs="Arial"/>
          <w:sz w:val="20"/>
          <w:szCs w:val="20"/>
        </w:rPr>
        <w:t xml:space="preserve"> aurait enregistré une </w:t>
      </w:r>
      <w:r w:rsidR="00120CC5">
        <w:rPr>
          <w:rFonts w:ascii="Arial" w:hAnsi="Arial" w:cs="Arial"/>
          <w:sz w:val="20"/>
          <w:szCs w:val="20"/>
        </w:rPr>
        <w:t>sensible progression</w:t>
      </w:r>
      <w:r w:rsidR="009F11E9" w:rsidRPr="00F3410E">
        <w:rPr>
          <w:rFonts w:ascii="Arial" w:hAnsi="Arial" w:cs="Arial"/>
          <w:sz w:val="20"/>
          <w:szCs w:val="20"/>
        </w:rPr>
        <w:t xml:space="preserve"> des échanges et le volume des transactions aurait augmenté de 35%</w:t>
      </w:r>
      <w:r w:rsidR="009F11E9">
        <w:rPr>
          <w:rFonts w:ascii="Arial" w:hAnsi="Arial" w:cs="Arial"/>
          <w:sz w:val="20"/>
          <w:szCs w:val="20"/>
        </w:rPr>
        <w:t>,</w:t>
      </w:r>
      <w:r w:rsidR="009F11E9" w:rsidRPr="00F3410E">
        <w:rPr>
          <w:rFonts w:ascii="Arial" w:hAnsi="Arial" w:cs="Arial"/>
          <w:sz w:val="20"/>
          <w:szCs w:val="20"/>
        </w:rPr>
        <w:t xml:space="preserve"> en variation annuelle. </w:t>
      </w:r>
    </w:p>
    <w:p w:rsidR="00592D6B" w:rsidRPr="00F20957" w:rsidRDefault="00592D6B" w:rsidP="00592D6B">
      <w:pPr>
        <w:jc w:val="both"/>
        <w:rPr>
          <w:rFonts w:ascii="Arial" w:hAnsi="Arial" w:cs="Arial"/>
          <w:sz w:val="20"/>
          <w:szCs w:val="20"/>
        </w:rPr>
      </w:pPr>
    </w:p>
    <w:p w:rsidR="0097276B" w:rsidRDefault="00D21DEE" w:rsidP="007036C9">
      <w:pPr>
        <w:jc w:val="both"/>
        <w:rPr>
          <w:rFonts w:ascii="Arial" w:hAnsi="Arial" w:cs="Arial"/>
          <w:b/>
          <w:bCs/>
          <w:color w:val="800000"/>
          <w:kern w:val="28"/>
          <w:sz w:val="20"/>
          <w:szCs w:val="20"/>
        </w:rPr>
      </w:pPr>
      <w:r>
        <w:rPr>
          <w:rFonts w:ascii="Arial" w:hAnsi="Arial" w:cs="Arial"/>
          <w:b/>
          <w:bCs/>
          <w:color w:val="800000"/>
          <w:kern w:val="28"/>
          <w:sz w:val="20"/>
          <w:szCs w:val="20"/>
        </w:rPr>
        <w:t>Poursuite de l’amélioration de l’activité économique</w:t>
      </w:r>
      <w:r w:rsidR="0097276B">
        <w:rPr>
          <w:rFonts w:ascii="Arial" w:hAnsi="Arial" w:cs="Arial"/>
          <w:b/>
          <w:bCs/>
          <w:color w:val="800000"/>
          <w:kern w:val="28"/>
          <w:sz w:val="20"/>
          <w:szCs w:val="20"/>
        </w:rPr>
        <w:t xml:space="preserve"> au </w:t>
      </w:r>
      <w:r w:rsidR="007036C9">
        <w:rPr>
          <w:rFonts w:ascii="Arial" w:hAnsi="Arial" w:cs="Arial"/>
          <w:b/>
          <w:bCs/>
          <w:color w:val="800000"/>
          <w:kern w:val="28"/>
          <w:sz w:val="20"/>
          <w:szCs w:val="20"/>
        </w:rPr>
        <w:t>quatr</w:t>
      </w:r>
      <w:r w:rsidR="00854BDA">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3D1F6E">
        <w:rPr>
          <w:rFonts w:ascii="Arial" w:hAnsi="Arial" w:cs="Arial"/>
          <w:b/>
          <w:bCs/>
          <w:color w:val="800000"/>
          <w:kern w:val="28"/>
          <w:sz w:val="20"/>
          <w:szCs w:val="20"/>
        </w:rPr>
        <w:t>7</w:t>
      </w:r>
    </w:p>
    <w:p w:rsidR="0097276B" w:rsidRDefault="0097276B" w:rsidP="0032191A">
      <w:pPr>
        <w:jc w:val="both"/>
        <w:rPr>
          <w:rFonts w:ascii="Arial" w:hAnsi="Arial" w:cs="Arial"/>
          <w:b/>
          <w:bCs/>
          <w:color w:val="800000"/>
          <w:kern w:val="28"/>
          <w:sz w:val="20"/>
          <w:szCs w:val="20"/>
        </w:rPr>
      </w:pPr>
    </w:p>
    <w:p w:rsidR="006D3131" w:rsidRDefault="001B6EC9" w:rsidP="004567ED">
      <w:pPr>
        <w:jc w:val="both"/>
        <w:rPr>
          <w:rFonts w:ascii="Arial" w:hAnsi="Arial" w:cs="Arial"/>
          <w:sz w:val="20"/>
          <w:szCs w:val="20"/>
        </w:rPr>
      </w:pPr>
      <w:r>
        <w:rPr>
          <w:rFonts w:ascii="Arial" w:hAnsi="Arial" w:cs="Arial"/>
          <w:sz w:val="20"/>
          <w:szCs w:val="20"/>
        </w:rPr>
        <w:t>L</w:t>
      </w:r>
      <w:r w:rsidR="004D08F1">
        <w:rPr>
          <w:rFonts w:ascii="Arial" w:hAnsi="Arial" w:cs="Arial"/>
          <w:sz w:val="20"/>
          <w:szCs w:val="20"/>
        </w:rPr>
        <w:t>a</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sidR="004D08F1">
        <w:rPr>
          <w:rFonts w:ascii="Arial" w:hAnsi="Arial" w:cs="Arial"/>
          <w:sz w:val="20"/>
          <w:szCs w:val="20"/>
        </w:rPr>
        <w:t xml:space="preserve">se poursuivre à un rythme </w:t>
      </w:r>
      <w:r w:rsidR="00136E6A">
        <w:rPr>
          <w:rFonts w:ascii="Arial" w:hAnsi="Arial" w:cs="Arial"/>
          <w:sz w:val="20"/>
          <w:szCs w:val="20"/>
        </w:rPr>
        <w:t>toujours</w:t>
      </w:r>
      <w:r w:rsidR="001534CE">
        <w:rPr>
          <w:rFonts w:ascii="Arial" w:hAnsi="Arial" w:cs="Arial"/>
          <w:sz w:val="20"/>
          <w:szCs w:val="20"/>
        </w:rPr>
        <w:t xml:space="preserve"> soutenu</w:t>
      </w:r>
      <w:r w:rsidR="0097276B">
        <w:rPr>
          <w:rFonts w:ascii="Arial" w:hAnsi="Arial" w:cs="Arial"/>
          <w:sz w:val="20"/>
          <w:szCs w:val="20"/>
        </w:rPr>
        <w:t xml:space="preserve"> au </w:t>
      </w:r>
      <w:r w:rsidR="007036C9">
        <w:rPr>
          <w:rFonts w:ascii="Arial" w:hAnsi="Arial" w:cs="Arial"/>
          <w:sz w:val="20"/>
          <w:szCs w:val="20"/>
        </w:rPr>
        <w:t>quatr</w:t>
      </w:r>
      <w:r w:rsidR="00854BDA">
        <w:rPr>
          <w:rFonts w:ascii="Arial" w:hAnsi="Arial" w:cs="Arial"/>
          <w:sz w:val="20"/>
          <w:szCs w:val="20"/>
        </w:rPr>
        <w:t>ième</w:t>
      </w:r>
      <w:r w:rsidR="0097276B">
        <w:rPr>
          <w:rFonts w:ascii="Arial" w:hAnsi="Arial" w:cs="Arial"/>
          <w:sz w:val="20"/>
          <w:szCs w:val="20"/>
        </w:rPr>
        <w:t xml:space="preserve"> trimestre 201</w:t>
      </w:r>
      <w:r w:rsidR="00721969">
        <w:rPr>
          <w:rFonts w:ascii="Arial" w:hAnsi="Arial" w:cs="Arial"/>
          <w:sz w:val="20"/>
          <w:szCs w:val="20"/>
        </w:rPr>
        <w:t>7</w:t>
      </w:r>
      <w:r w:rsidR="0097276B">
        <w:rPr>
          <w:rFonts w:ascii="Arial" w:hAnsi="Arial" w:cs="Arial"/>
          <w:sz w:val="20"/>
          <w:szCs w:val="20"/>
        </w:rPr>
        <w:t xml:space="preserve">, </w:t>
      </w:r>
      <w:r w:rsidR="00D14F86">
        <w:rPr>
          <w:rFonts w:ascii="Arial" w:hAnsi="Arial" w:cs="Arial"/>
          <w:sz w:val="20"/>
          <w:szCs w:val="20"/>
        </w:rPr>
        <w:t xml:space="preserve">sous l’effet </w:t>
      </w:r>
      <w:r w:rsidR="00446A4A">
        <w:rPr>
          <w:rFonts w:ascii="Arial" w:hAnsi="Arial" w:cs="Arial"/>
          <w:sz w:val="20"/>
          <w:szCs w:val="20"/>
        </w:rPr>
        <w:t>d’un</w:t>
      </w:r>
      <w:r w:rsidR="00721969">
        <w:rPr>
          <w:rFonts w:ascii="Arial" w:hAnsi="Arial" w:cs="Arial"/>
          <w:sz w:val="20"/>
          <w:szCs w:val="20"/>
        </w:rPr>
        <w:t xml:space="preserve"> </w:t>
      </w:r>
      <w:r w:rsidR="004D08F1">
        <w:rPr>
          <w:rFonts w:ascii="Arial" w:hAnsi="Arial" w:cs="Arial"/>
          <w:sz w:val="20"/>
          <w:szCs w:val="20"/>
        </w:rPr>
        <w:t>accroi</w:t>
      </w:r>
      <w:r w:rsidR="00721969">
        <w:rPr>
          <w:rFonts w:ascii="Arial" w:hAnsi="Arial" w:cs="Arial"/>
          <w:sz w:val="20"/>
          <w:szCs w:val="20"/>
        </w:rPr>
        <w:t>ssement</w:t>
      </w:r>
      <w:r w:rsidR="0014485F">
        <w:rPr>
          <w:rFonts w:ascii="Arial" w:hAnsi="Arial" w:cs="Arial"/>
          <w:sz w:val="20"/>
          <w:szCs w:val="20"/>
        </w:rPr>
        <w:t xml:space="preserve"> de </w:t>
      </w:r>
      <w:r w:rsidR="003623B6">
        <w:rPr>
          <w:rFonts w:ascii="Arial" w:hAnsi="Arial" w:cs="Arial"/>
          <w:sz w:val="20"/>
          <w:szCs w:val="20"/>
        </w:rPr>
        <w:t>1</w:t>
      </w:r>
      <w:r w:rsidR="00CF5941">
        <w:rPr>
          <w:rFonts w:ascii="Arial" w:hAnsi="Arial" w:cs="Arial"/>
          <w:sz w:val="20"/>
          <w:szCs w:val="20"/>
        </w:rPr>
        <w:t>3</w:t>
      </w:r>
      <w:r w:rsidR="00C9248C" w:rsidRPr="00D91862">
        <w:rPr>
          <w:rFonts w:asciiTheme="minorBidi" w:hAnsiTheme="minorBidi" w:cstheme="minorBidi"/>
          <w:sz w:val="20"/>
          <w:szCs w:val="20"/>
        </w:rPr>
        <w:t>,</w:t>
      </w:r>
      <w:r w:rsidR="00CF5941">
        <w:rPr>
          <w:rFonts w:asciiTheme="minorBidi" w:hAnsiTheme="minorBidi" w:cstheme="minorBidi"/>
          <w:sz w:val="20"/>
          <w:szCs w:val="20"/>
        </w:rPr>
        <w:t>5</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B04AF8" w:rsidRPr="003410B6">
        <w:rPr>
          <w:rFonts w:asciiTheme="minorBidi" w:hAnsiTheme="minorBidi" w:cstheme="minorBidi"/>
          <w:sz w:val="20"/>
          <w:szCs w:val="20"/>
        </w:rPr>
        <w:t xml:space="preserve">. </w:t>
      </w:r>
      <w:r w:rsidR="00B170F5" w:rsidRPr="0030397E">
        <w:rPr>
          <w:rFonts w:ascii="Arial" w:hAnsi="Arial" w:cs="Arial"/>
          <w:sz w:val="20"/>
          <w:szCs w:val="20"/>
        </w:rPr>
        <w:t xml:space="preserve">Par ailleurs, </w:t>
      </w:r>
      <w:r w:rsidR="00B170F5" w:rsidRPr="003F4D95">
        <w:rPr>
          <w:rFonts w:ascii="Arial" w:hAnsi="Arial" w:cs="Arial"/>
          <w:sz w:val="20"/>
          <w:szCs w:val="20"/>
        </w:rPr>
        <w:t>l'amélioration du climat des affaires aussi bien dans les économies émergentes qu'</w:t>
      </w:r>
      <w:r w:rsidR="006D3131">
        <w:rPr>
          <w:rFonts w:ascii="Arial" w:hAnsi="Arial" w:cs="Arial"/>
          <w:sz w:val="20"/>
          <w:szCs w:val="20"/>
        </w:rPr>
        <w:t>en zone euro</w:t>
      </w:r>
      <w:r w:rsidR="00B170F5" w:rsidRPr="003F4D95">
        <w:rPr>
          <w:rFonts w:ascii="Arial" w:hAnsi="Arial" w:cs="Arial"/>
          <w:sz w:val="20"/>
          <w:szCs w:val="20"/>
        </w:rPr>
        <w:t xml:space="preserve"> </w:t>
      </w:r>
      <w:r w:rsidR="00B170F5">
        <w:rPr>
          <w:rFonts w:ascii="Arial" w:hAnsi="Arial" w:cs="Arial"/>
          <w:sz w:val="20"/>
          <w:szCs w:val="20"/>
        </w:rPr>
        <w:t>devrait se poursuivre au</w:t>
      </w:r>
      <w:r w:rsidR="00B170F5" w:rsidRPr="003F4D95">
        <w:rPr>
          <w:rFonts w:ascii="Arial" w:hAnsi="Arial" w:cs="Arial"/>
          <w:sz w:val="20"/>
          <w:szCs w:val="20"/>
        </w:rPr>
        <w:t xml:space="preserve"> </w:t>
      </w:r>
      <w:r w:rsidR="007036C9">
        <w:rPr>
          <w:rFonts w:ascii="Arial" w:hAnsi="Arial" w:cs="Arial"/>
          <w:sz w:val="20"/>
          <w:szCs w:val="20"/>
        </w:rPr>
        <w:t>quatrième</w:t>
      </w:r>
      <w:r w:rsidR="00B170F5" w:rsidRPr="003F4D95">
        <w:rPr>
          <w:rFonts w:ascii="Arial" w:hAnsi="Arial" w:cs="Arial"/>
          <w:sz w:val="20"/>
          <w:szCs w:val="20"/>
        </w:rPr>
        <w:t xml:space="preserve"> trimestre 2017</w:t>
      </w:r>
      <w:r w:rsidR="006D3131">
        <w:rPr>
          <w:rFonts w:ascii="Arial" w:hAnsi="Arial" w:cs="Arial"/>
          <w:sz w:val="20"/>
          <w:szCs w:val="20"/>
        </w:rPr>
        <w:t xml:space="preserve">. La hausse des prix rognerait quelque peu </w:t>
      </w:r>
      <w:r w:rsidR="006D3131" w:rsidRPr="00A94D35">
        <w:rPr>
          <w:rFonts w:ascii="Arial" w:hAnsi="Arial" w:cs="Arial"/>
          <w:sz w:val="20"/>
          <w:szCs w:val="20"/>
        </w:rPr>
        <w:t>le pouvoir d'achat des ménages européens</w:t>
      </w:r>
      <w:r w:rsidR="006D3131">
        <w:rPr>
          <w:rFonts w:ascii="Arial" w:hAnsi="Arial" w:cs="Arial"/>
          <w:sz w:val="20"/>
          <w:szCs w:val="20"/>
        </w:rPr>
        <w:t>, qui maintiendraient leur consommation mais réduiraient quelque peu leur épargne</w:t>
      </w:r>
      <w:r w:rsidR="006D3131" w:rsidRPr="00A94D35">
        <w:rPr>
          <w:rFonts w:ascii="Arial" w:hAnsi="Arial" w:cs="Arial"/>
          <w:sz w:val="20"/>
          <w:szCs w:val="20"/>
        </w:rPr>
        <w:t>.</w:t>
      </w:r>
      <w:r w:rsidR="006D3131" w:rsidRPr="003F4D95">
        <w:rPr>
          <w:rFonts w:ascii="Arial" w:hAnsi="Arial" w:cs="Arial"/>
          <w:sz w:val="20"/>
          <w:szCs w:val="20"/>
        </w:rPr>
        <w:t xml:space="preserve"> </w:t>
      </w:r>
      <w:r w:rsidR="006D3131">
        <w:rPr>
          <w:rFonts w:ascii="Arial" w:hAnsi="Arial" w:cs="Arial"/>
          <w:sz w:val="20"/>
          <w:szCs w:val="20"/>
        </w:rPr>
        <w:t>Le commerce mondial continuerait d'être bien orienté, soutenu par la vigueur d</w:t>
      </w:r>
      <w:r w:rsidR="006D3131" w:rsidRPr="003F4D95">
        <w:rPr>
          <w:rFonts w:ascii="Arial" w:hAnsi="Arial" w:cs="Arial"/>
          <w:sz w:val="20"/>
          <w:szCs w:val="20"/>
        </w:rPr>
        <w:t>es importations des pays émergents</w:t>
      </w:r>
      <w:r w:rsidR="006D3131">
        <w:rPr>
          <w:rFonts w:ascii="Arial" w:hAnsi="Arial" w:cs="Arial"/>
          <w:sz w:val="20"/>
          <w:szCs w:val="20"/>
        </w:rPr>
        <w:t>.</w:t>
      </w:r>
      <w:r w:rsidR="006D3131" w:rsidRPr="003F4D95">
        <w:rPr>
          <w:rFonts w:ascii="Arial" w:hAnsi="Arial" w:cs="Arial"/>
          <w:sz w:val="20"/>
          <w:szCs w:val="20"/>
        </w:rPr>
        <w:t xml:space="preserve"> Dans ce contexte, la demande mondiale adress</w:t>
      </w:r>
      <w:r w:rsidR="006D3131">
        <w:rPr>
          <w:rFonts w:ascii="Arial" w:hAnsi="Arial" w:cs="Arial"/>
          <w:sz w:val="20"/>
          <w:szCs w:val="20"/>
        </w:rPr>
        <w:t>ée au Maroc devrait progresser à un rythme proche de 5,2</w:t>
      </w:r>
      <w:r w:rsidR="006D3131" w:rsidRPr="003F4D95">
        <w:rPr>
          <w:rFonts w:ascii="Arial" w:hAnsi="Arial" w:cs="Arial"/>
          <w:sz w:val="20"/>
          <w:szCs w:val="20"/>
        </w:rPr>
        <w:t>%, en glissement annuel.</w:t>
      </w:r>
    </w:p>
    <w:p w:rsidR="00B170F5" w:rsidRDefault="00B170F5" w:rsidP="006D3131">
      <w:pPr>
        <w:jc w:val="both"/>
        <w:rPr>
          <w:rFonts w:ascii="Arial" w:hAnsi="Arial" w:cs="Arial"/>
          <w:sz w:val="20"/>
          <w:szCs w:val="20"/>
        </w:rPr>
      </w:pPr>
    </w:p>
    <w:p w:rsidR="00C26BF2" w:rsidRDefault="00B00D56" w:rsidP="00542DDD">
      <w:pPr>
        <w:jc w:val="both"/>
        <w:rPr>
          <w:rFonts w:ascii="Arial" w:hAnsi="Arial" w:cs="Arial"/>
          <w:kern w:val="28"/>
          <w:sz w:val="20"/>
          <w:szCs w:val="20"/>
        </w:rPr>
      </w:pPr>
      <w:r>
        <w:rPr>
          <w:rFonts w:ascii="Arial" w:hAnsi="Arial" w:cs="Arial"/>
          <w:iCs/>
          <w:noProof/>
          <w:kern w:val="28"/>
          <w:sz w:val="20"/>
          <w:szCs w:val="20"/>
        </w:rPr>
        <w:drawing>
          <wp:anchor distT="0" distB="0" distL="114300" distR="114300" simplePos="0" relativeHeight="251737088" behindDoc="0" locked="0" layoutInCell="1" allowOverlap="1">
            <wp:simplePos x="0" y="0"/>
            <wp:positionH relativeFrom="column">
              <wp:posOffset>4277360</wp:posOffset>
            </wp:positionH>
            <wp:positionV relativeFrom="paragraph">
              <wp:posOffset>430530</wp:posOffset>
            </wp:positionV>
            <wp:extent cx="2277745" cy="1952625"/>
            <wp:effectExtent l="19050" t="0" r="8255"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77745" cy="1952625"/>
                    </a:xfrm>
                    <a:prstGeom prst="rect">
                      <a:avLst/>
                    </a:prstGeom>
                    <a:noFill/>
                    <a:ln w="9525">
                      <a:noFill/>
                      <a:miter lim="800000"/>
                      <a:headEnd/>
                      <a:tailEnd/>
                    </a:ln>
                  </pic:spPr>
                </pic:pic>
              </a:graphicData>
            </a:graphic>
          </wp:anchor>
        </w:drawing>
      </w:r>
      <w:r w:rsidR="00542DDD">
        <w:rPr>
          <w:rFonts w:ascii="Arial" w:hAnsi="Arial" w:cs="Arial"/>
          <w:iCs/>
          <w:kern w:val="28"/>
          <w:sz w:val="20"/>
          <w:szCs w:val="20"/>
        </w:rPr>
        <w:t>L</w:t>
      </w:r>
      <w:r w:rsidR="00307E8D">
        <w:rPr>
          <w:rFonts w:ascii="Arial" w:hAnsi="Arial" w:cs="Arial"/>
          <w:iCs/>
          <w:kern w:val="28"/>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 réaliser</w:t>
      </w:r>
      <w:r w:rsidR="006C0640">
        <w:rPr>
          <w:rFonts w:ascii="Arial" w:hAnsi="Arial" w:cs="Arial"/>
          <w:sz w:val="20"/>
          <w:szCs w:val="20"/>
        </w:rPr>
        <w:t>ait</w:t>
      </w:r>
      <w:r w:rsidR="00307E8D">
        <w:rPr>
          <w:rFonts w:ascii="Arial" w:hAnsi="Arial" w:cs="Arial"/>
          <w:sz w:val="20"/>
          <w:szCs w:val="20"/>
        </w:rPr>
        <w:t xml:space="preserve"> un accroissement de </w:t>
      </w:r>
      <w:r w:rsidR="00CB1717">
        <w:rPr>
          <w:rFonts w:ascii="Arial" w:hAnsi="Arial" w:cs="Arial"/>
          <w:sz w:val="20"/>
          <w:szCs w:val="20"/>
        </w:rPr>
        <w:t>1</w:t>
      </w:r>
      <w:r w:rsidR="00307E8D">
        <w:rPr>
          <w:rFonts w:ascii="Arial" w:hAnsi="Arial" w:cs="Arial"/>
          <w:sz w:val="20"/>
          <w:szCs w:val="20"/>
        </w:rPr>
        <w:t>,</w:t>
      </w:r>
      <w:r w:rsidR="008E5556">
        <w:rPr>
          <w:rFonts w:ascii="Arial" w:hAnsi="Arial" w:cs="Arial"/>
          <w:sz w:val="20"/>
          <w:szCs w:val="20"/>
        </w:rPr>
        <w:t>7</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7036C9">
        <w:rPr>
          <w:rFonts w:ascii="Arial" w:hAnsi="Arial" w:cs="Arial"/>
          <w:sz w:val="20"/>
          <w:szCs w:val="20"/>
        </w:rPr>
        <w:t>quatrième</w:t>
      </w:r>
      <w:r w:rsidR="00721969">
        <w:rPr>
          <w:rFonts w:ascii="Arial" w:hAnsi="Arial" w:cs="Arial"/>
          <w:sz w:val="20"/>
          <w:szCs w:val="20"/>
        </w:rPr>
        <w:t xml:space="preserve"> trimestre 2017</w:t>
      </w:r>
      <w:r w:rsidR="00307E8D">
        <w:rPr>
          <w:rFonts w:ascii="Arial" w:hAnsi="Arial" w:cs="Arial"/>
          <w:sz w:val="20"/>
          <w:szCs w:val="20"/>
        </w:rPr>
        <w:t>, en variation annuelle</w:t>
      </w:r>
      <w:r w:rsidR="00FC7859">
        <w:rPr>
          <w:rFonts w:ascii="Arial" w:hAnsi="Arial" w:cs="Arial"/>
          <w:sz w:val="20"/>
          <w:szCs w:val="20"/>
        </w:rPr>
        <w:t>,</w:t>
      </w:r>
      <w:r w:rsidR="008317AF">
        <w:rPr>
          <w:rFonts w:ascii="Arial" w:hAnsi="Arial" w:cs="Arial"/>
          <w:sz w:val="20"/>
          <w:szCs w:val="20"/>
        </w:rPr>
        <w:t xml:space="preserve"> et </w:t>
      </w:r>
      <w:r w:rsidR="00C97A6C">
        <w:rPr>
          <w:rFonts w:ascii="Arial" w:hAnsi="Arial" w:cs="Arial"/>
          <w:sz w:val="20"/>
          <w:szCs w:val="20"/>
        </w:rPr>
        <w:t>l</w:t>
      </w:r>
      <w:r w:rsidR="00967EC1" w:rsidRPr="00E83DFE">
        <w:rPr>
          <w:rFonts w:asciiTheme="minorBidi" w:hAnsiTheme="minorBidi" w:cstheme="minorBidi"/>
          <w:sz w:val="20"/>
          <w:szCs w:val="20"/>
        </w:rPr>
        <w:t xml:space="preserve">es activités minières </w:t>
      </w:r>
      <w:r w:rsidR="00C97A6C">
        <w:rPr>
          <w:rFonts w:asciiTheme="minorBidi" w:hAnsiTheme="minorBidi" w:cstheme="minorBidi"/>
          <w:sz w:val="20"/>
          <w:szCs w:val="20"/>
        </w:rPr>
        <w:t>affiche</w:t>
      </w:r>
      <w:r w:rsidR="00C97A6C" w:rsidRPr="00E83DFE">
        <w:rPr>
          <w:rFonts w:asciiTheme="minorBidi" w:hAnsiTheme="minorBidi" w:cstheme="minorBidi"/>
          <w:sz w:val="20"/>
          <w:szCs w:val="20"/>
        </w:rPr>
        <w:t>raient</w:t>
      </w:r>
      <w:r w:rsidR="00967EC1" w:rsidRPr="00E83DFE">
        <w:rPr>
          <w:rFonts w:asciiTheme="minorBidi" w:hAnsiTheme="minorBidi" w:cstheme="minorBidi"/>
          <w:sz w:val="20"/>
          <w:szCs w:val="20"/>
        </w:rPr>
        <w:t xml:space="preserve"> </w:t>
      </w:r>
      <w:r w:rsidR="00C97A6C">
        <w:rPr>
          <w:rFonts w:asciiTheme="minorBidi" w:hAnsiTheme="minorBidi" w:cstheme="minorBidi"/>
          <w:sz w:val="20"/>
          <w:szCs w:val="20"/>
        </w:rPr>
        <w:t>une hausse de</w:t>
      </w:r>
      <w:r w:rsidR="00967EC1" w:rsidRPr="00E83DFE">
        <w:rPr>
          <w:rFonts w:asciiTheme="minorBidi" w:hAnsiTheme="minorBidi" w:cstheme="minorBidi"/>
          <w:sz w:val="20"/>
          <w:szCs w:val="20"/>
        </w:rPr>
        <w:t xml:space="preserve"> </w:t>
      </w:r>
      <w:r w:rsidR="00912593">
        <w:rPr>
          <w:rFonts w:asciiTheme="minorBidi" w:hAnsiTheme="minorBidi" w:cstheme="minorBidi"/>
          <w:sz w:val="20"/>
          <w:szCs w:val="20"/>
        </w:rPr>
        <w:t>1</w:t>
      </w:r>
      <w:r w:rsidR="00D53B2A">
        <w:rPr>
          <w:rFonts w:asciiTheme="minorBidi" w:hAnsiTheme="minorBidi" w:cstheme="minorBidi"/>
          <w:sz w:val="20"/>
          <w:szCs w:val="20"/>
        </w:rPr>
        <w:t>5</w:t>
      </w:r>
      <w:r w:rsidR="00967EC1" w:rsidRPr="00E83DFE">
        <w:rPr>
          <w:rFonts w:asciiTheme="minorBidi" w:hAnsiTheme="minorBidi" w:cstheme="minorBidi"/>
          <w:sz w:val="20"/>
          <w:szCs w:val="20"/>
        </w:rPr>
        <w:t>,</w:t>
      </w:r>
      <w:r w:rsidR="00D53B2A">
        <w:rPr>
          <w:rFonts w:asciiTheme="minorBidi" w:hAnsiTheme="minorBidi" w:cstheme="minorBidi"/>
          <w:sz w:val="20"/>
          <w:szCs w:val="20"/>
        </w:rPr>
        <w:t>1</w:t>
      </w:r>
      <w:r w:rsidR="00967EC1" w:rsidRPr="00E83DFE">
        <w:rPr>
          <w:rFonts w:asciiTheme="minorBidi" w:hAnsiTheme="minorBidi" w:cstheme="minorBidi"/>
          <w:sz w:val="20"/>
          <w:szCs w:val="20"/>
        </w:rPr>
        <w:t>%</w:t>
      </w:r>
      <w:r w:rsidR="001D0340">
        <w:rPr>
          <w:rFonts w:asciiTheme="minorBidi" w:hAnsiTheme="minorBidi" w:cstheme="minorBidi"/>
          <w:sz w:val="20"/>
          <w:szCs w:val="20"/>
        </w:rPr>
        <w:t xml:space="preserve">, </w:t>
      </w:r>
      <w:r w:rsidR="001D0340" w:rsidRPr="00553484">
        <w:rPr>
          <w:rFonts w:asciiTheme="minorBidi" w:hAnsiTheme="minorBidi" w:cstheme="minorBidi"/>
          <w:sz w:val="20"/>
          <w:szCs w:val="20"/>
        </w:rPr>
        <w:t>portée par le raffermissement de la production des minerais non métalliques.</w:t>
      </w:r>
      <w:r w:rsidR="00C26BF2">
        <w:rPr>
          <w:rFonts w:asciiTheme="minorBidi" w:hAnsiTheme="minorBidi" w:cstheme="minorBidi"/>
          <w:sz w:val="20"/>
          <w:szCs w:val="20"/>
        </w:rPr>
        <w:t xml:space="preserve"> </w:t>
      </w:r>
      <w:r w:rsidR="00C26BF2" w:rsidRPr="00553484">
        <w:rPr>
          <w:rFonts w:asciiTheme="minorBidi" w:hAnsiTheme="minorBidi" w:cstheme="minorBidi"/>
          <w:sz w:val="20"/>
          <w:szCs w:val="20"/>
        </w:rPr>
        <w:t xml:space="preserve">La valeur ajoutée électrique croîtrait, pour sa part, de </w:t>
      </w:r>
      <w:r w:rsidR="00820190">
        <w:rPr>
          <w:rFonts w:asciiTheme="minorBidi" w:hAnsiTheme="minorBidi" w:cstheme="minorBidi"/>
          <w:sz w:val="20"/>
          <w:szCs w:val="20"/>
        </w:rPr>
        <w:t>3</w:t>
      </w:r>
      <w:r w:rsidR="00C26BF2" w:rsidRPr="00553484">
        <w:rPr>
          <w:rFonts w:asciiTheme="minorBidi" w:hAnsiTheme="minorBidi" w:cstheme="minorBidi"/>
          <w:sz w:val="20"/>
          <w:szCs w:val="20"/>
        </w:rPr>
        <w:t>,</w:t>
      </w:r>
      <w:r w:rsidR="00820190">
        <w:rPr>
          <w:rFonts w:asciiTheme="minorBidi" w:hAnsiTheme="minorBidi" w:cstheme="minorBidi"/>
          <w:sz w:val="20"/>
          <w:szCs w:val="20"/>
        </w:rPr>
        <w:t>4</w:t>
      </w:r>
      <w:r w:rsidR="00C26BF2" w:rsidRPr="00553484">
        <w:rPr>
          <w:rFonts w:asciiTheme="minorBidi" w:hAnsiTheme="minorBidi" w:cstheme="minorBidi"/>
          <w:sz w:val="20"/>
          <w:szCs w:val="20"/>
        </w:rPr>
        <w:t xml:space="preserve">%, </w:t>
      </w:r>
      <w:r w:rsidR="006A75B6">
        <w:rPr>
          <w:rFonts w:asciiTheme="minorBidi" w:hAnsiTheme="minorBidi" w:cstheme="minorBidi"/>
          <w:sz w:val="20"/>
          <w:szCs w:val="20"/>
        </w:rPr>
        <w:t>grâce à</w:t>
      </w:r>
      <w:r w:rsidR="00C26BF2" w:rsidRPr="00553484">
        <w:rPr>
          <w:rFonts w:asciiTheme="minorBidi" w:hAnsiTheme="minorBidi" w:cstheme="minorBidi"/>
          <w:sz w:val="20"/>
          <w:szCs w:val="20"/>
        </w:rPr>
        <w:t xml:space="preserve"> </w:t>
      </w:r>
      <w:r w:rsidR="00C26BF2">
        <w:rPr>
          <w:rFonts w:asciiTheme="minorBidi" w:hAnsiTheme="minorBidi" w:cstheme="minorBidi"/>
          <w:sz w:val="20"/>
          <w:szCs w:val="20"/>
        </w:rPr>
        <w:t>la</w:t>
      </w:r>
      <w:r w:rsidR="00C26BF2" w:rsidRPr="00553484">
        <w:rPr>
          <w:rFonts w:asciiTheme="minorBidi" w:hAnsiTheme="minorBidi" w:cstheme="minorBidi"/>
          <w:sz w:val="20"/>
          <w:szCs w:val="20"/>
        </w:rPr>
        <w:t xml:space="preserve"> poursuite du redressement des activités des centrales thermique</w:t>
      </w:r>
      <w:r w:rsidR="00FC7859">
        <w:rPr>
          <w:rFonts w:asciiTheme="minorBidi" w:hAnsiTheme="minorBidi" w:cstheme="minorBidi"/>
          <w:sz w:val="20"/>
          <w:szCs w:val="20"/>
        </w:rPr>
        <w:t>s</w:t>
      </w:r>
      <w:r w:rsidR="00C26BF2" w:rsidRPr="00553484">
        <w:rPr>
          <w:rFonts w:asciiTheme="minorBidi" w:hAnsiTheme="minorBidi" w:cstheme="minorBidi"/>
          <w:sz w:val="20"/>
          <w:szCs w:val="20"/>
        </w:rPr>
        <w:t xml:space="preserve"> à base de carburants.</w:t>
      </w:r>
      <w:r w:rsidR="00C26BF2">
        <w:rPr>
          <w:rFonts w:asciiTheme="minorBidi" w:hAnsiTheme="minorBidi" w:cstheme="minorBidi"/>
          <w:sz w:val="20"/>
          <w:szCs w:val="20"/>
        </w:rPr>
        <w:t xml:space="preserve"> </w:t>
      </w:r>
      <w:r w:rsidR="00307E8D">
        <w:rPr>
          <w:rFonts w:ascii="Arial" w:hAnsi="Arial" w:cs="Arial"/>
          <w:kern w:val="28"/>
          <w:sz w:val="20"/>
          <w:szCs w:val="20"/>
        </w:rPr>
        <w:t>Quant au</w:t>
      </w:r>
      <w:r w:rsidR="008E5556">
        <w:rPr>
          <w:rFonts w:ascii="Arial" w:hAnsi="Arial" w:cs="Arial"/>
          <w:kern w:val="28"/>
          <w:sz w:val="20"/>
          <w:szCs w:val="20"/>
        </w:rPr>
        <w:t xml:space="preserve"> secteur tertiaire</w:t>
      </w:r>
      <w:r w:rsidR="00307E8D">
        <w:rPr>
          <w:rFonts w:ascii="Arial" w:hAnsi="Arial" w:cs="Arial"/>
          <w:kern w:val="28"/>
          <w:sz w:val="20"/>
          <w:szCs w:val="20"/>
        </w:rPr>
        <w:t xml:space="preserve">, </w:t>
      </w:r>
      <w:r w:rsidR="008E5556">
        <w:rPr>
          <w:rFonts w:ascii="Arial" w:hAnsi="Arial" w:cs="Arial"/>
          <w:kern w:val="28"/>
          <w:sz w:val="20"/>
          <w:szCs w:val="20"/>
        </w:rPr>
        <w:t>sa</w:t>
      </w:r>
      <w:r w:rsidR="00307E8D">
        <w:rPr>
          <w:rFonts w:ascii="Arial" w:hAnsi="Arial" w:cs="Arial"/>
          <w:kern w:val="28"/>
          <w:sz w:val="20"/>
          <w:szCs w:val="20"/>
        </w:rPr>
        <w:t xml:space="preserve"> valeur ajoutée croîtr</w:t>
      </w:r>
      <w:r w:rsidR="00C97A6C">
        <w:rPr>
          <w:rFonts w:ascii="Arial" w:hAnsi="Arial" w:cs="Arial"/>
          <w:kern w:val="28"/>
          <w:sz w:val="20"/>
          <w:szCs w:val="20"/>
        </w:rPr>
        <w:t>ait de 2,</w:t>
      </w:r>
      <w:r w:rsidR="00D53B2A">
        <w:rPr>
          <w:rFonts w:ascii="Arial" w:hAnsi="Arial" w:cs="Arial"/>
          <w:kern w:val="28"/>
          <w:sz w:val="20"/>
          <w:szCs w:val="20"/>
        </w:rPr>
        <w:t>9</w:t>
      </w:r>
      <w:r w:rsidR="00C97A6C">
        <w:rPr>
          <w:rFonts w:ascii="Arial" w:hAnsi="Arial" w:cs="Arial"/>
          <w:kern w:val="28"/>
          <w:sz w:val="20"/>
          <w:szCs w:val="20"/>
        </w:rPr>
        <w:t>%</w:t>
      </w:r>
      <w:r w:rsidR="006C2DB9">
        <w:rPr>
          <w:rFonts w:ascii="Arial" w:hAnsi="Arial" w:cs="Arial"/>
          <w:kern w:val="28"/>
          <w:sz w:val="20"/>
          <w:szCs w:val="20"/>
        </w:rPr>
        <w:t xml:space="preserve">, </w:t>
      </w:r>
      <w:r w:rsidR="00307E8D">
        <w:rPr>
          <w:rFonts w:ascii="Arial" w:hAnsi="Arial" w:cs="Arial"/>
          <w:kern w:val="28"/>
          <w:sz w:val="20"/>
          <w:szCs w:val="20"/>
        </w:rPr>
        <w:t xml:space="preserve">contribuant pour </w:t>
      </w:r>
      <w:r w:rsidR="00967EC1">
        <w:rPr>
          <w:rFonts w:ascii="Arial" w:hAnsi="Arial" w:cs="Arial"/>
          <w:kern w:val="28"/>
          <w:sz w:val="20"/>
          <w:szCs w:val="20"/>
        </w:rPr>
        <w:t xml:space="preserve">environ </w:t>
      </w:r>
      <w:r w:rsidR="008E5556">
        <w:rPr>
          <w:rFonts w:ascii="Arial" w:hAnsi="Arial" w:cs="Arial"/>
          <w:kern w:val="28"/>
          <w:sz w:val="20"/>
          <w:szCs w:val="20"/>
        </w:rPr>
        <w:t>+</w:t>
      </w:r>
      <w:r w:rsidR="00967EC1">
        <w:rPr>
          <w:rFonts w:ascii="Arial" w:hAnsi="Arial" w:cs="Arial"/>
          <w:kern w:val="28"/>
          <w:sz w:val="20"/>
          <w:szCs w:val="20"/>
        </w:rPr>
        <w:t>1,</w:t>
      </w:r>
      <w:r w:rsidR="00D53B2A">
        <w:rPr>
          <w:rFonts w:ascii="Arial" w:hAnsi="Arial" w:cs="Arial"/>
          <w:kern w:val="28"/>
          <w:sz w:val="20"/>
          <w:szCs w:val="20"/>
        </w:rPr>
        <w:t>4</w:t>
      </w:r>
      <w:r w:rsidR="00967EC1">
        <w:rPr>
          <w:rFonts w:ascii="Arial" w:hAnsi="Arial" w:cs="Arial"/>
          <w:kern w:val="28"/>
          <w:sz w:val="20"/>
          <w:szCs w:val="20"/>
        </w:rPr>
        <w:t xml:space="preserve"> point à la croissance globale du PIB</w:t>
      </w:r>
      <w:r w:rsidR="00307E8D">
        <w:rPr>
          <w:rFonts w:ascii="Arial" w:hAnsi="Arial" w:cs="Arial"/>
          <w:kern w:val="28"/>
          <w:sz w:val="20"/>
          <w:szCs w:val="20"/>
        </w:rPr>
        <w:t>.</w:t>
      </w:r>
    </w:p>
    <w:p w:rsidR="00307E8D" w:rsidRDefault="00307E8D" w:rsidP="00C26BF2">
      <w:pPr>
        <w:jc w:val="both"/>
        <w:rPr>
          <w:rFonts w:ascii="Arial" w:hAnsi="Arial" w:cs="Arial"/>
          <w:kern w:val="28"/>
          <w:sz w:val="20"/>
          <w:szCs w:val="20"/>
        </w:rPr>
      </w:pPr>
      <w:r>
        <w:rPr>
          <w:rFonts w:ascii="Arial" w:hAnsi="Arial" w:cs="Arial"/>
          <w:kern w:val="28"/>
          <w:sz w:val="20"/>
          <w:szCs w:val="20"/>
        </w:rPr>
        <w:t xml:space="preserve"> </w:t>
      </w:r>
    </w:p>
    <w:p w:rsidR="004567ED" w:rsidRDefault="0097276B" w:rsidP="00240CC6">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912593">
        <w:rPr>
          <w:rFonts w:ascii="Arial" w:hAnsi="Arial" w:cs="Arial"/>
          <w:sz w:val="20"/>
          <w:szCs w:val="20"/>
        </w:rPr>
        <w:t>2</w:t>
      </w:r>
      <w:r w:rsidR="00002878">
        <w:rPr>
          <w:rFonts w:ascii="Arial" w:hAnsi="Arial" w:cs="Arial"/>
          <w:sz w:val="20"/>
          <w:szCs w:val="20"/>
        </w:rPr>
        <w:t>,</w:t>
      </w:r>
      <w:r w:rsidR="006A11ED">
        <w:rPr>
          <w:rFonts w:ascii="Arial" w:hAnsi="Arial" w:cs="Arial"/>
          <w:sz w:val="20"/>
          <w:szCs w:val="20"/>
        </w:rPr>
        <w:t>7</w:t>
      </w:r>
      <w:r>
        <w:rPr>
          <w:rFonts w:ascii="Arial" w:hAnsi="Arial" w:cs="Arial"/>
          <w:sz w:val="20"/>
          <w:szCs w:val="20"/>
        </w:rPr>
        <w:t xml:space="preserve">%, au </w:t>
      </w:r>
      <w:r w:rsidR="007036C9">
        <w:rPr>
          <w:rFonts w:ascii="Arial" w:hAnsi="Arial" w:cs="Arial"/>
          <w:sz w:val="20"/>
          <w:szCs w:val="20"/>
        </w:rPr>
        <w:t>quatrième</w:t>
      </w:r>
      <w:r>
        <w:rPr>
          <w:rFonts w:ascii="Arial" w:hAnsi="Arial" w:cs="Arial"/>
          <w:sz w:val="20"/>
          <w:szCs w:val="20"/>
        </w:rPr>
        <w:t xml:space="preserve"> trimestre 201</w:t>
      </w:r>
      <w:r w:rsidR="00721969">
        <w:rPr>
          <w:rFonts w:ascii="Arial" w:hAnsi="Arial" w:cs="Arial"/>
          <w:sz w:val="20"/>
          <w:szCs w:val="20"/>
        </w:rPr>
        <w:t>7</w:t>
      </w:r>
      <w:r>
        <w:rPr>
          <w:rFonts w:ascii="Arial" w:hAnsi="Arial" w:cs="Arial"/>
          <w:sz w:val="20"/>
          <w:szCs w:val="20"/>
        </w:rPr>
        <w:t xml:space="preserve">,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6A11ED">
        <w:rPr>
          <w:rFonts w:ascii="Arial" w:hAnsi="Arial" w:cs="Arial"/>
          <w:sz w:val="20"/>
          <w:szCs w:val="20"/>
        </w:rPr>
        <w:t>3</w:t>
      </w:r>
      <w:r w:rsidR="001534CE">
        <w:rPr>
          <w:rFonts w:ascii="Arial" w:hAnsi="Arial" w:cs="Arial"/>
          <w:sz w:val="20"/>
          <w:szCs w:val="20"/>
        </w:rPr>
        <w:t>,</w:t>
      </w:r>
      <w:r w:rsidR="006A11ED">
        <w:rPr>
          <w:rFonts w:ascii="Arial" w:hAnsi="Arial" w:cs="Arial"/>
          <w:sz w:val="20"/>
          <w:szCs w:val="20"/>
        </w:rPr>
        <w:t>9</w:t>
      </w:r>
      <w:r>
        <w:rPr>
          <w:rFonts w:ascii="Arial" w:hAnsi="Arial" w:cs="Arial"/>
          <w:sz w:val="20"/>
          <w:szCs w:val="20"/>
        </w:rPr>
        <w:t xml:space="preserve">%, au cours de la même période, au lieu de </w:t>
      </w:r>
      <w:r w:rsidR="00E52038">
        <w:rPr>
          <w:rFonts w:ascii="Arial" w:hAnsi="Arial" w:cs="Arial"/>
          <w:sz w:val="20"/>
          <w:szCs w:val="20"/>
        </w:rPr>
        <w:t>+</w:t>
      </w:r>
      <w:r w:rsidR="00912593">
        <w:rPr>
          <w:rFonts w:ascii="Arial" w:hAnsi="Arial" w:cs="Arial"/>
          <w:sz w:val="20"/>
          <w:szCs w:val="20"/>
        </w:rPr>
        <w:t>1</w:t>
      </w:r>
      <w:r>
        <w:rPr>
          <w:rFonts w:ascii="Arial" w:hAnsi="Arial" w:cs="Arial"/>
          <w:sz w:val="20"/>
          <w:szCs w:val="20"/>
        </w:rPr>
        <w:t>% une année auparavant.</w:t>
      </w:r>
      <w:r w:rsidR="00B679AD">
        <w:rPr>
          <w:rFonts w:ascii="Arial" w:hAnsi="Arial" w:cs="Arial"/>
          <w:sz w:val="20"/>
          <w:szCs w:val="20"/>
        </w:rPr>
        <w:t xml:space="preserve"> </w:t>
      </w:r>
    </w:p>
    <w:p w:rsidR="004567ED" w:rsidRDefault="004567ED" w:rsidP="00240CC6">
      <w:pPr>
        <w:autoSpaceDE w:val="0"/>
        <w:autoSpaceDN w:val="0"/>
        <w:adjustRightInd w:val="0"/>
        <w:jc w:val="both"/>
        <w:rPr>
          <w:rFonts w:ascii="Arial" w:hAnsi="Arial" w:cs="Arial"/>
          <w:sz w:val="20"/>
          <w:szCs w:val="20"/>
        </w:rPr>
      </w:pPr>
    </w:p>
    <w:p w:rsidR="0097276B" w:rsidRDefault="0002751B" w:rsidP="0077680F">
      <w:pPr>
        <w:autoSpaceDE w:val="0"/>
        <w:autoSpaceDN w:val="0"/>
        <w:adjustRightInd w:val="0"/>
        <w:jc w:val="both"/>
        <w:rPr>
          <w:rFonts w:ascii="Arial" w:hAnsi="Arial" w:cs="Arial"/>
          <w:sz w:val="20"/>
          <w:szCs w:val="20"/>
        </w:rPr>
      </w:pPr>
      <w:r>
        <w:rPr>
          <w:rFonts w:ascii="Arial" w:hAnsi="Arial" w:cs="Arial"/>
          <w:sz w:val="20"/>
          <w:szCs w:val="20"/>
        </w:rPr>
        <w:t>Nous rappelons qu</w:t>
      </w:r>
      <w:r w:rsidR="0077680F">
        <w:rPr>
          <w:rFonts w:ascii="Arial" w:hAnsi="Arial" w:cs="Arial"/>
          <w:sz w:val="20"/>
          <w:szCs w:val="20"/>
        </w:rPr>
        <w:t xml:space="preserve">e compte tenu </w:t>
      </w:r>
      <w:r w:rsidR="00B679AD">
        <w:rPr>
          <w:rFonts w:ascii="Arial" w:hAnsi="Arial" w:cs="Arial"/>
          <w:sz w:val="20"/>
          <w:szCs w:val="20"/>
        </w:rPr>
        <w:t xml:space="preserve">des </w:t>
      </w:r>
      <w:r w:rsidR="00240CC6">
        <w:rPr>
          <w:rFonts w:ascii="Arial" w:hAnsi="Arial" w:cs="Arial"/>
          <w:sz w:val="20"/>
          <w:szCs w:val="20"/>
        </w:rPr>
        <w:t>estim</w:t>
      </w:r>
      <w:r w:rsidR="00B679AD">
        <w:rPr>
          <w:rFonts w:ascii="Arial" w:hAnsi="Arial" w:cs="Arial"/>
          <w:sz w:val="20"/>
          <w:szCs w:val="20"/>
        </w:rPr>
        <w:t xml:space="preserve">ations </w:t>
      </w:r>
      <w:r w:rsidR="0077680F">
        <w:rPr>
          <w:rFonts w:ascii="Arial" w:hAnsi="Arial" w:cs="Arial"/>
          <w:sz w:val="20"/>
          <w:szCs w:val="20"/>
        </w:rPr>
        <w:t>du</w:t>
      </w:r>
      <w:r w:rsidR="004567ED">
        <w:rPr>
          <w:rFonts w:ascii="Arial" w:hAnsi="Arial" w:cs="Arial"/>
          <w:sz w:val="20"/>
          <w:szCs w:val="20"/>
        </w:rPr>
        <w:t xml:space="preserve"> troisième et </w:t>
      </w:r>
      <w:r w:rsidR="0077680F">
        <w:rPr>
          <w:rFonts w:ascii="Arial" w:hAnsi="Arial" w:cs="Arial"/>
          <w:sz w:val="20"/>
          <w:szCs w:val="20"/>
        </w:rPr>
        <w:t>du</w:t>
      </w:r>
      <w:r w:rsidR="004567ED">
        <w:rPr>
          <w:rFonts w:ascii="Arial" w:hAnsi="Arial" w:cs="Arial"/>
          <w:sz w:val="20"/>
          <w:szCs w:val="20"/>
        </w:rPr>
        <w:t xml:space="preserve"> quatrième trimestres 2017</w:t>
      </w:r>
      <w:r w:rsidR="00B679AD">
        <w:rPr>
          <w:rFonts w:ascii="Arial" w:hAnsi="Arial" w:cs="Arial"/>
          <w:sz w:val="20"/>
          <w:szCs w:val="20"/>
        </w:rPr>
        <w:t xml:space="preserve">, </w:t>
      </w:r>
      <w:r>
        <w:rPr>
          <w:rFonts w:ascii="Arial" w:hAnsi="Arial" w:cs="Arial"/>
          <w:sz w:val="20"/>
          <w:szCs w:val="20"/>
        </w:rPr>
        <w:t xml:space="preserve">nous ne serions pas appelés à changer, avant décembre 2017, les prévisions annoncées </w:t>
      </w:r>
      <w:r w:rsidR="00240CC6">
        <w:rPr>
          <w:rFonts w:ascii="Arial" w:hAnsi="Arial" w:cs="Arial"/>
          <w:sz w:val="20"/>
          <w:szCs w:val="20"/>
        </w:rPr>
        <w:t>dans le cadre du budget économique exploratoire de juin 2017</w:t>
      </w:r>
      <w:r w:rsidR="00B679AD">
        <w:rPr>
          <w:rFonts w:ascii="Arial" w:hAnsi="Arial" w:cs="Arial"/>
          <w:sz w:val="20"/>
          <w:szCs w:val="20"/>
        </w:rPr>
        <w:t>.</w:t>
      </w:r>
      <w:r w:rsidR="00A7186B" w:rsidRPr="00F016E3">
        <w:rPr>
          <w:rFonts w:ascii="Arial" w:hAnsi="Arial" w:cs="Arial"/>
          <w:sz w:val="20"/>
          <w:szCs w:val="20"/>
        </w:rPr>
        <w:t xml:space="preserve"> </w:t>
      </w:r>
    </w:p>
    <w:sectPr w:rsidR="0097276B"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2F" w:rsidRDefault="00244D2F">
      <w:r>
        <w:separator/>
      </w:r>
    </w:p>
  </w:endnote>
  <w:endnote w:type="continuationSeparator" w:id="0">
    <w:p w:rsidR="00244D2F" w:rsidRDefault="0024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9B1251"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9B1251"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954293">
      <w:rPr>
        <w:rStyle w:val="Numrodepage"/>
        <w:noProof/>
        <w:sz w:val="20"/>
        <w:szCs w:val="20"/>
      </w:rPr>
      <w:t>3</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954293">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9B125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proofErr w:type="spellStart"/>
                <w:r w:rsidRPr="00350C40">
                  <w:rPr>
                    <w:rFonts w:ascii="Arial" w:hAnsi="Arial" w:cs="Arial"/>
                    <w:color w:val="993366"/>
                    <w:sz w:val="18"/>
                    <w:szCs w:val="18"/>
                    <w:rtl/>
                    <w:lang w:bidi="ar-MA"/>
                  </w:rPr>
                  <w:t>ايلو</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31-3،</w:t>
                </w:r>
                <w:proofErr w:type="spellEnd"/>
                <w:r w:rsidRPr="00350C40">
                  <w:rPr>
                    <w:rFonts w:ascii="Arial" w:hAnsi="Arial" w:cs="Arial"/>
                    <w:color w:val="993366"/>
                    <w:sz w:val="18"/>
                    <w:szCs w:val="18"/>
                    <w:rtl/>
                    <w:lang w:bidi="ar-MA"/>
                  </w:rPr>
                  <w:t xml:space="preserve"> قطاع </w:t>
                </w:r>
                <w:proofErr w:type="spellStart"/>
                <w:r w:rsidRPr="00350C40">
                  <w:rPr>
                    <w:rFonts w:ascii="Arial" w:hAnsi="Arial" w:cs="Arial"/>
                    <w:color w:val="993366"/>
                    <w:sz w:val="18"/>
                    <w:szCs w:val="18"/>
                    <w:rtl/>
                    <w:lang w:bidi="ar-MA"/>
                  </w:rPr>
                  <w:t>16،</w:t>
                </w:r>
                <w:proofErr w:type="spellEnd"/>
                <w:r w:rsidRPr="00350C40">
                  <w:rPr>
                    <w:rFonts w:ascii="Arial" w:hAnsi="Arial" w:cs="Arial"/>
                    <w:color w:val="993366"/>
                    <w:sz w:val="18"/>
                    <w:szCs w:val="18"/>
                    <w:rtl/>
                    <w:lang w:bidi="ar-MA"/>
                  </w:rPr>
                  <w:t xml:space="preserve"> حي الرياض 10001 الرباط</w:t>
                </w:r>
                <w:r w:rsidRPr="00350C40">
                  <w:rPr>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proofErr w:type="spellStart"/>
                <w:r w:rsidRPr="00350C40">
                  <w:rPr>
                    <w:rFonts w:ascii="Arial" w:hAnsi="Arial" w:cs="Arial"/>
                    <w:color w:val="993366"/>
                    <w:sz w:val="18"/>
                    <w:szCs w:val="18"/>
                    <w:rtl/>
                    <w:lang w:bidi="ar-MA"/>
                  </w:rPr>
                  <w:t>ص.</w:t>
                </w:r>
                <w:r>
                  <w:rPr>
                    <w:rFonts w:ascii="Arial" w:hAnsi="Arial" w:cs="Arial"/>
                    <w:color w:val="993366"/>
                    <w:sz w:val="20"/>
                    <w:szCs w:val="20"/>
                    <w:rtl/>
                    <w:lang w:bidi="ar-MA"/>
                  </w:rPr>
                  <w:t>ب </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proofErr w:type="gramStart"/>
                <w:r w:rsidRPr="00350C40">
                  <w:rPr>
                    <w:rFonts w:ascii="Arial" w:hAnsi="Arial" w:cs="Arial"/>
                    <w:color w:val="993366"/>
                    <w:sz w:val="18"/>
                    <w:szCs w:val="18"/>
                    <w:rtl/>
                    <w:lang w:bidi="ar-MA"/>
                  </w:rPr>
                  <w:t>الهاتف :</w:t>
                </w:r>
                <w:proofErr w:type="gramEnd"/>
                <w:r w:rsidRPr="00350C40">
                  <w:rPr>
                    <w:rFonts w:ascii="Arial" w:hAnsi="Arial" w:cs="Arial"/>
                    <w:color w:val="993366"/>
                    <w:sz w:val="18"/>
                    <w:szCs w:val="18"/>
                    <w:rtl/>
                    <w:lang w:bidi="ar-MA"/>
                  </w:rPr>
                  <w:t xml:space="preserve"> 04 69 57 37 05   </w:t>
                </w:r>
                <w:proofErr w:type="spellStart"/>
                <w:r w:rsidRPr="00350C40">
                  <w:rPr>
                    <w:rFonts w:ascii="Arial" w:hAnsi="Arial" w:cs="Arial"/>
                    <w:color w:val="993366"/>
                    <w:sz w:val="18"/>
                    <w:szCs w:val="18"/>
                    <w:rtl/>
                    <w:lang w:bidi="ar-MA"/>
                  </w:rPr>
                  <w:t>(212+)</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Arial"/>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roofErr w:type="spellStart"/>
                <w:r w:rsidRPr="00350C40">
                  <w:rPr>
                    <w:rFonts w:ascii="Arial" w:hAnsi="Arial" w:cs="MCS AL SHAMAL"/>
                    <w:color w:val="993366"/>
                    <w:sz w:val="18"/>
                    <w:szCs w:val="18"/>
                    <w:rtl/>
                    <w:lang w:bidi="ar-MA"/>
                  </w:rPr>
                  <w:t>:</w:t>
                </w:r>
                <w:proofErr w:type="spellEnd"/>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2F" w:rsidRDefault="00244D2F">
      <w:r>
        <w:separator/>
      </w:r>
    </w:p>
  </w:footnote>
  <w:footnote w:type="continuationSeparator" w:id="0">
    <w:p w:rsidR="00244D2F" w:rsidRDefault="00244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hyphenationZone w:val="425"/>
  <w:doNotHyphenateCaps/>
  <w:characterSpacingControl w:val="doNotCompress"/>
  <w:savePreviewPicture/>
  <w:doNotValidateAgainstSchema/>
  <w:doNotDemarcateInvalidXml/>
  <w:hdrShapeDefaults>
    <o:shapedefaults v:ext="edit" spidmax="120834"/>
    <o:shapelayout v:ext="edit">
      <o:idmap v:ext="edit" data="2"/>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E3"/>
    <w:rsid w:val="00075616"/>
    <w:rsid w:val="00075B34"/>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39B9"/>
    <w:rsid w:val="000842CE"/>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1A9"/>
    <w:rsid w:val="000935C8"/>
    <w:rsid w:val="00093B91"/>
    <w:rsid w:val="00093F9E"/>
    <w:rsid w:val="00094694"/>
    <w:rsid w:val="00094710"/>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6ED9"/>
    <w:rsid w:val="000C7682"/>
    <w:rsid w:val="000C76B5"/>
    <w:rsid w:val="000C7E13"/>
    <w:rsid w:val="000D0202"/>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1592"/>
    <w:rsid w:val="00141788"/>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DD8"/>
    <w:rsid w:val="00186E82"/>
    <w:rsid w:val="001873B4"/>
    <w:rsid w:val="00187BC3"/>
    <w:rsid w:val="00190068"/>
    <w:rsid w:val="00190FF5"/>
    <w:rsid w:val="0019122F"/>
    <w:rsid w:val="0019172A"/>
    <w:rsid w:val="00191FD1"/>
    <w:rsid w:val="00192295"/>
    <w:rsid w:val="00193188"/>
    <w:rsid w:val="00193485"/>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BB6"/>
    <w:rsid w:val="00212491"/>
    <w:rsid w:val="00213134"/>
    <w:rsid w:val="00213925"/>
    <w:rsid w:val="002139B6"/>
    <w:rsid w:val="00213B90"/>
    <w:rsid w:val="00214B72"/>
    <w:rsid w:val="00214F78"/>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2B"/>
    <w:rsid w:val="002729D6"/>
    <w:rsid w:val="00272BD9"/>
    <w:rsid w:val="00272D15"/>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0D2"/>
    <w:rsid w:val="002F5AAD"/>
    <w:rsid w:val="002F5BAF"/>
    <w:rsid w:val="002F5CEF"/>
    <w:rsid w:val="002F628D"/>
    <w:rsid w:val="002F63FB"/>
    <w:rsid w:val="002F64F6"/>
    <w:rsid w:val="002F667B"/>
    <w:rsid w:val="002F6773"/>
    <w:rsid w:val="002F6A92"/>
    <w:rsid w:val="002F7AE9"/>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B5"/>
    <w:rsid w:val="0032191A"/>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595A"/>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060"/>
    <w:rsid w:val="003A419F"/>
    <w:rsid w:val="003A472F"/>
    <w:rsid w:val="003A50C7"/>
    <w:rsid w:val="003A562F"/>
    <w:rsid w:val="003A58B5"/>
    <w:rsid w:val="003A58E2"/>
    <w:rsid w:val="003A5CB2"/>
    <w:rsid w:val="003A5D55"/>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E31"/>
    <w:rsid w:val="003B5195"/>
    <w:rsid w:val="003B52CD"/>
    <w:rsid w:val="003B5812"/>
    <w:rsid w:val="003B5CE3"/>
    <w:rsid w:val="003B6792"/>
    <w:rsid w:val="003B69CD"/>
    <w:rsid w:val="003B6D25"/>
    <w:rsid w:val="003B7047"/>
    <w:rsid w:val="003B7158"/>
    <w:rsid w:val="003B755E"/>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6F4"/>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0FD1"/>
    <w:rsid w:val="006113B3"/>
    <w:rsid w:val="0061186B"/>
    <w:rsid w:val="006118F0"/>
    <w:rsid w:val="00611B94"/>
    <w:rsid w:val="00611CEE"/>
    <w:rsid w:val="00612159"/>
    <w:rsid w:val="006128F8"/>
    <w:rsid w:val="00612A25"/>
    <w:rsid w:val="006133BE"/>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82E"/>
    <w:rsid w:val="00625471"/>
    <w:rsid w:val="00625844"/>
    <w:rsid w:val="00625882"/>
    <w:rsid w:val="00625B69"/>
    <w:rsid w:val="00626368"/>
    <w:rsid w:val="006265D1"/>
    <w:rsid w:val="006266CD"/>
    <w:rsid w:val="006269C2"/>
    <w:rsid w:val="00627AB1"/>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4FE2"/>
    <w:rsid w:val="00635566"/>
    <w:rsid w:val="00635AEC"/>
    <w:rsid w:val="006362FD"/>
    <w:rsid w:val="006363A0"/>
    <w:rsid w:val="00636F25"/>
    <w:rsid w:val="0063762D"/>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204C"/>
    <w:rsid w:val="006B2238"/>
    <w:rsid w:val="006B2AEC"/>
    <w:rsid w:val="006B395B"/>
    <w:rsid w:val="006B3B74"/>
    <w:rsid w:val="006B48EB"/>
    <w:rsid w:val="006B4BB6"/>
    <w:rsid w:val="006B5887"/>
    <w:rsid w:val="006B5F68"/>
    <w:rsid w:val="006B6332"/>
    <w:rsid w:val="006B635D"/>
    <w:rsid w:val="006B6786"/>
    <w:rsid w:val="006B6844"/>
    <w:rsid w:val="006B6DAD"/>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6C9"/>
    <w:rsid w:val="00703836"/>
    <w:rsid w:val="00703C35"/>
    <w:rsid w:val="00703D37"/>
    <w:rsid w:val="0070427B"/>
    <w:rsid w:val="007042FA"/>
    <w:rsid w:val="007055A7"/>
    <w:rsid w:val="007056F2"/>
    <w:rsid w:val="00705B00"/>
    <w:rsid w:val="00705B44"/>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9BA"/>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531B"/>
    <w:rsid w:val="00835853"/>
    <w:rsid w:val="008359E9"/>
    <w:rsid w:val="00835B52"/>
    <w:rsid w:val="00835DA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B2B"/>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2E21"/>
    <w:rsid w:val="008F3700"/>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0C7"/>
    <w:rsid w:val="009409F7"/>
    <w:rsid w:val="00940E3E"/>
    <w:rsid w:val="00940FFD"/>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788"/>
    <w:rsid w:val="00A4709A"/>
    <w:rsid w:val="00A504D3"/>
    <w:rsid w:val="00A505C4"/>
    <w:rsid w:val="00A51597"/>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F50"/>
    <w:rsid w:val="00A643DA"/>
    <w:rsid w:val="00A64C36"/>
    <w:rsid w:val="00A6522F"/>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7306"/>
    <w:rsid w:val="00AC7ADA"/>
    <w:rsid w:val="00AD04A7"/>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5F"/>
    <w:rsid w:val="00AE5C67"/>
    <w:rsid w:val="00AE5D87"/>
    <w:rsid w:val="00AE61E0"/>
    <w:rsid w:val="00AE6F67"/>
    <w:rsid w:val="00AE7DCF"/>
    <w:rsid w:val="00AF01A8"/>
    <w:rsid w:val="00AF04BB"/>
    <w:rsid w:val="00AF05F1"/>
    <w:rsid w:val="00AF088A"/>
    <w:rsid w:val="00AF0F47"/>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783"/>
    <w:rsid w:val="00BB17F8"/>
    <w:rsid w:val="00BB20EE"/>
    <w:rsid w:val="00BB2551"/>
    <w:rsid w:val="00BB27CA"/>
    <w:rsid w:val="00BB2BCF"/>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32AD"/>
    <w:rsid w:val="00CA344A"/>
    <w:rsid w:val="00CA3520"/>
    <w:rsid w:val="00CA377E"/>
    <w:rsid w:val="00CA3CC8"/>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692E"/>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27"/>
    <w:rsid w:val="00F80069"/>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1D3"/>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C99D-BE15-43D7-BF23-7DCA8499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2471</Words>
  <Characters>13596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2017-10-06T16:28:00Z</cp:lastPrinted>
  <dcterms:created xsi:type="dcterms:W3CDTF">2017-10-07T16:35:00Z</dcterms:created>
  <dcterms:modified xsi:type="dcterms:W3CDTF">2017-10-07T16:35:00Z</dcterms:modified>
</cp:coreProperties>
</file>