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6B" w:rsidRDefault="00647198" w:rsidP="0032191A">
      <w:pPr>
        <w:pStyle w:val="NormalWeb"/>
        <w:spacing w:before="0" w:beforeAutospacing="0" w:after="0" w:afterAutospacing="0"/>
        <w:jc w:val="center"/>
        <w:rPr>
          <w:b/>
          <w:bCs/>
        </w:rPr>
      </w:pPr>
      <w:r>
        <w:rPr>
          <w:b/>
          <w:bCs/>
        </w:rPr>
        <w:tab/>
      </w:r>
      <w:r w:rsidR="0097276B">
        <w:rPr>
          <w:b/>
          <w:bCs/>
        </w:rPr>
        <w:t xml:space="preserve"> </w:t>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570A93" w:rsidRDefault="00570A93" w:rsidP="0032191A">
      <w:pPr>
        <w:pStyle w:val="NormalWeb"/>
        <w:spacing w:before="0" w:beforeAutospacing="0" w:after="0" w:afterAutospacing="0"/>
        <w:jc w:val="center"/>
        <w:rPr>
          <w:b/>
          <w:bCs/>
          <w:sz w:val="14"/>
          <w:szCs w:val="14"/>
        </w:rPr>
      </w:pPr>
    </w:p>
    <w:p w:rsidR="005F7A81" w:rsidRDefault="005F7A81" w:rsidP="0032191A">
      <w:pPr>
        <w:pStyle w:val="NormalWeb"/>
        <w:spacing w:before="0" w:beforeAutospacing="0" w:after="0" w:afterAutospacing="0"/>
        <w:jc w:val="center"/>
        <w:rPr>
          <w:b/>
          <w:bCs/>
          <w:sz w:val="14"/>
          <w:szCs w:val="14"/>
        </w:rPr>
      </w:pPr>
    </w:p>
    <w:p w:rsidR="00F9384B" w:rsidRDefault="00F9384B" w:rsidP="0032191A">
      <w:pPr>
        <w:pStyle w:val="NormalWeb"/>
        <w:spacing w:before="0" w:beforeAutospacing="0" w:after="0" w:afterAutospacing="0"/>
        <w:jc w:val="center"/>
        <w:rPr>
          <w:b/>
          <w:bCs/>
          <w:sz w:val="14"/>
          <w:szCs w:val="14"/>
        </w:rPr>
      </w:pPr>
    </w:p>
    <w:p w:rsidR="0097276B" w:rsidRDefault="00752E42" w:rsidP="007712EB">
      <w:pPr>
        <w:pStyle w:val="NormalWeb"/>
        <w:spacing w:before="0" w:beforeAutospacing="0" w:after="0" w:afterAutospacing="0"/>
        <w:jc w:val="center"/>
        <w:rPr>
          <w:b/>
          <w:bCs/>
          <w:sz w:val="28"/>
          <w:szCs w:val="28"/>
        </w:rPr>
      </w:pPr>
      <w:r>
        <w:rPr>
          <w:b/>
          <w:bCs/>
          <w:sz w:val="28"/>
          <w:szCs w:val="28"/>
        </w:rPr>
        <w:t>Point</w:t>
      </w:r>
      <w:r w:rsidR="0097276B" w:rsidRPr="00E8197C">
        <w:rPr>
          <w:b/>
          <w:bCs/>
          <w:sz w:val="28"/>
          <w:szCs w:val="28"/>
        </w:rPr>
        <w:t xml:space="preserve"> de conjoncture</w:t>
      </w:r>
      <w:r w:rsidR="0097276B">
        <w:rPr>
          <w:b/>
          <w:bCs/>
          <w:sz w:val="28"/>
          <w:szCs w:val="28"/>
        </w:rPr>
        <w:t xml:space="preserve"> </w:t>
      </w:r>
    </w:p>
    <w:p w:rsidR="001A2AFC" w:rsidRPr="00E8197C" w:rsidRDefault="001A2AFC" w:rsidP="007712EB">
      <w:pPr>
        <w:pStyle w:val="NormalWeb"/>
        <w:spacing w:before="0" w:beforeAutospacing="0" w:after="0" w:afterAutospacing="0"/>
        <w:jc w:val="center"/>
        <w:rPr>
          <w:b/>
          <w:bCs/>
          <w:sz w:val="28"/>
          <w:szCs w:val="28"/>
        </w:rPr>
      </w:pPr>
      <w:r>
        <w:rPr>
          <w:b/>
          <w:bCs/>
          <w:sz w:val="28"/>
          <w:szCs w:val="28"/>
        </w:rPr>
        <w:t>Juillet 2017</w:t>
      </w:r>
    </w:p>
    <w:p w:rsidR="0097276B" w:rsidRDefault="0097276B" w:rsidP="00AD08B7">
      <w:pPr>
        <w:pStyle w:val="NormalWeb"/>
        <w:spacing w:before="0" w:beforeAutospacing="0" w:after="0" w:afterAutospacing="0"/>
        <w:jc w:val="center"/>
        <w:rPr>
          <w:b/>
          <w:bCs/>
        </w:rPr>
      </w:pPr>
      <w:r>
        <w:rPr>
          <w:b/>
          <w:bCs/>
        </w:rPr>
        <w:t xml:space="preserve">- </w:t>
      </w:r>
      <w:r w:rsidR="00EF7045">
        <w:rPr>
          <w:b/>
          <w:bCs/>
        </w:rPr>
        <w:t>Estim</w:t>
      </w:r>
      <w:r w:rsidR="001A2AFC">
        <w:rPr>
          <w:b/>
          <w:bCs/>
        </w:rPr>
        <w:t>ation</w:t>
      </w:r>
      <w:r w:rsidR="00AD08B7">
        <w:rPr>
          <w:b/>
          <w:bCs/>
        </w:rPr>
        <w:t>s</w:t>
      </w:r>
      <w:r w:rsidR="001A2AFC">
        <w:rPr>
          <w:b/>
          <w:bCs/>
        </w:rPr>
        <w:t xml:space="preserve"> </w:t>
      </w:r>
      <w:r w:rsidR="007D6095">
        <w:rPr>
          <w:b/>
          <w:bCs/>
        </w:rPr>
        <w:t xml:space="preserve">du </w:t>
      </w:r>
      <w:r w:rsidR="001A2AFC">
        <w:rPr>
          <w:b/>
          <w:bCs/>
        </w:rPr>
        <w:t>2</w:t>
      </w:r>
      <w:r w:rsidR="001A2AFC" w:rsidRPr="001A2AFC">
        <w:rPr>
          <w:b/>
          <w:bCs/>
          <w:vertAlign w:val="superscript"/>
        </w:rPr>
        <w:t>ème</w:t>
      </w:r>
      <w:r w:rsidR="001A2AFC">
        <w:rPr>
          <w:b/>
          <w:bCs/>
        </w:rPr>
        <w:t xml:space="preserve"> trimestre et prévision</w:t>
      </w:r>
      <w:r w:rsidR="00AD08B7">
        <w:rPr>
          <w:b/>
          <w:bCs/>
        </w:rPr>
        <w:t>s</w:t>
      </w:r>
      <w:r w:rsidR="001A2AFC">
        <w:rPr>
          <w:b/>
          <w:bCs/>
        </w:rPr>
        <w:t xml:space="preserve"> </w:t>
      </w:r>
      <w:r w:rsidR="007D6095">
        <w:rPr>
          <w:b/>
          <w:bCs/>
        </w:rPr>
        <w:t xml:space="preserve">du </w:t>
      </w:r>
      <w:r w:rsidR="001A2AFC">
        <w:rPr>
          <w:b/>
          <w:bCs/>
        </w:rPr>
        <w:t>3</w:t>
      </w:r>
      <w:r w:rsidR="001A2AFC" w:rsidRPr="001A2AFC">
        <w:rPr>
          <w:b/>
          <w:bCs/>
          <w:vertAlign w:val="superscript"/>
        </w:rPr>
        <w:t>ème</w:t>
      </w:r>
      <w:r w:rsidR="001A2AFC">
        <w:rPr>
          <w:b/>
          <w:bCs/>
        </w:rPr>
        <w:t xml:space="preserve"> trimestre</w:t>
      </w:r>
      <w:r w:rsidR="005C318A">
        <w:rPr>
          <w:b/>
          <w:bCs/>
        </w:rPr>
        <w:t xml:space="preserve"> </w:t>
      </w:r>
      <w:r w:rsidRPr="00E82E2E">
        <w:rPr>
          <w:b/>
          <w:bCs/>
        </w:rPr>
        <w:t>201</w:t>
      </w:r>
      <w:r w:rsidR="008F6FE7">
        <w:rPr>
          <w:b/>
          <w:bCs/>
        </w:rPr>
        <w:t>7</w:t>
      </w:r>
      <w:r w:rsidRPr="00E82E2E">
        <w:rPr>
          <w:b/>
          <w:bCs/>
        </w:rPr>
        <w:t xml:space="preserve"> </w:t>
      </w:r>
      <w:r w:rsidR="00084E9D">
        <w:rPr>
          <w:b/>
          <w:bCs/>
        </w:rPr>
        <w:t>–</w:t>
      </w:r>
    </w:p>
    <w:p w:rsidR="005F7A81" w:rsidRDefault="005F7A81" w:rsidP="0032191A">
      <w:pPr>
        <w:pStyle w:val="NormalWeb"/>
        <w:spacing w:before="0" w:beforeAutospacing="0" w:after="0" w:afterAutospacing="0"/>
        <w:jc w:val="center"/>
        <w:rPr>
          <w:b/>
          <w:bCs/>
        </w:rPr>
      </w:pPr>
    </w:p>
    <w:p w:rsidR="005F7A81" w:rsidRPr="004732D5" w:rsidRDefault="005F7A81" w:rsidP="0032191A">
      <w:pPr>
        <w:pStyle w:val="NormalWeb"/>
        <w:spacing w:before="0" w:beforeAutospacing="0" w:after="0" w:afterAutospacing="0"/>
        <w:jc w:val="center"/>
        <w:rPr>
          <w:b/>
          <w:bCs/>
        </w:rPr>
      </w:pPr>
    </w:p>
    <w:p w:rsidR="00C13BF6" w:rsidRDefault="00216EA2" w:rsidP="004240E2">
      <w:pPr>
        <w:jc w:val="both"/>
        <w:rPr>
          <w:rFonts w:ascii="Arial" w:hAnsi="Arial" w:cs="Arial"/>
          <w:sz w:val="20"/>
          <w:szCs w:val="20"/>
        </w:rPr>
      </w:pPr>
      <w:r>
        <w:rPr>
          <w:rFonts w:ascii="Arial" w:hAnsi="Arial" w:cs="Arial"/>
          <w:sz w:val="20"/>
          <w:szCs w:val="20"/>
        </w:rPr>
        <w:t>La croissance économique</w:t>
      </w:r>
      <w:r w:rsidR="00B266DB">
        <w:rPr>
          <w:rFonts w:ascii="Arial" w:hAnsi="Arial" w:cs="Arial"/>
          <w:sz w:val="20"/>
          <w:szCs w:val="20"/>
        </w:rPr>
        <w:t xml:space="preserve"> nationale</w:t>
      </w:r>
      <w:r>
        <w:rPr>
          <w:rFonts w:ascii="Arial" w:hAnsi="Arial" w:cs="Arial"/>
          <w:sz w:val="20"/>
          <w:szCs w:val="20"/>
        </w:rPr>
        <w:t xml:space="preserve"> se serait accélérée</w:t>
      </w:r>
      <w:r w:rsidR="00C13BF6">
        <w:rPr>
          <w:rFonts w:ascii="Arial" w:hAnsi="Arial" w:cs="Arial"/>
          <w:sz w:val="20"/>
          <w:szCs w:val="20"/>
        </w:rPr>
        <w:t xml:space="preserve"> au </w:t>
      </w:r>
      <w:r w:rsidR="00C803B9">
        <w:rPr>
          <w:rFonts w:ascii="Arial" w:hAnsi="Arial" w:cs="Arial"/>
          <w:sz w:val="20"/>
          <w:szCs w:val="20"/>
        </w:rPr>
        <w:t>deuxième</w:t>
      </w:r>
      <w:r w:rsidR="00C13BF6">
        <w:rPr>
          <w:rFonts w:ascii="Arial" w:hAnsi="Arial" w:cs="Arial"/>
          <w:sz w:val="20"/>
          <w:szCs w:val="20"/>
        </w:rPr>
        <w:t xml:space="preserve"> trimestre 2017</w:t>
      </w:r>
      <w:r w:rsidR="00FC771B">
        <w:rPr>
          <w:rFonts w:ascii="Arial" w:hAnsi="Arial" w:cs="Arial"/>
          <w:sz w:val="20"/>
          <w:szCs w:val="20"/>
        </w:rPr>
        <w:t>,</w:t>
      </w:r>
      <w:r w:rsidR="00C13BF6">
        <w:rPr>
          <w:rFonts w:ascii="Arial" w:hAnsi="Arial" w:cs="Arial"/>
          <w:sz w:val="20"/>
          <w:szCs w:val="20"/>
        </w:rPr>
        <w:t xml:space="preserve"> </w:t>
      </w:r>
      <w:r w:rsidR="00324947">
        <w:rPr>
          <w:rFonts w:ascii="Arial" w:hAnsi="Arial" w:cs="Arial"/>
          <w:sz w:val="20"/>
          <w:szCs w:val="20"/>
        </w:rPr>
        <w:t>pour s’établir</w:t>
      </w:r>
      <w:r>
        <w:rPr>
          <w:rFonts w:ascii="Arial" w:hAnsi="Arial" w:cs="Arial"/>
          <w:sz w:val="20"/>
          <w:szCs w:val="20"/>
        </w:rPr>
        <w:t xml:space="preserve"> </w:t>
      </w:r>
      <w:proofErr w:type="gramStart"/>
      <w:r w:rsidR="004240E2">
        <w:rPr>
          <w:rFonts w:ascii="Arial" w:hAnsi="Arial" w:cs="Arial"/>
          <w:sz w:val="20"/>
          <w:szCs w:val="20"/>
        </w:rPr>
        <w:t>à</w:t>
      </w:r>
      <w:proofErr w:type="gramEnd"/>
      <w:r w:rsidR="004240E2">
        <w:rPr>
          <w:rFonts w:ascii="Arial" w:hAnsi="Arial" w:cs="Arial"/>
          <w:sz w:val="20"/>
          <w:szCs w:val="20"/>
        </w:rPr>
        <w:t xml:space="preserve"> +</w:t>
      </w:r>
      <w:r>
        <w:rPr>
          <w:rFonts w:ascii="Arial" w:hAnsi="Arial" w:cs="Arial"/>
          <w:sz w:val="20"/>
          <w:szCs w:val="20"/>
        </w:rPr>
        <w:t xml:space="preserve">4,8%, </w:t>
      </w:r>
      <w:r w:rsidR="00C13BF6">
        <w:rPr>
          <w:rFonts w:ascii="Arial" w:hAnsi="Arial" w:cs="Arial"/>
          <w:sz w:val="20"/>
          <w:szCs w:val="20"/>
        </w:rPr>
        <w:t xml:space="preserve">au lieu de </w:t>
      </w:r>
      <w:r w:rsidR="004240E2">
        <w:rPr>
          <w:rFonts w:ascii="Arial" w:hAnsi="Arial" w:cs="Arial"/>
          <w:sz w:val="20"/>
          <w:szCs w:val="20"/>
        </w:rPr>
        <w:t>+</w:t>
      </w:r>
      <w:r>
        <w:rPr>
          <w:rFonts w:ascii="Arial" w:hAnsi="Arial" w:cs="Arial"/>
          <w:sz w:val="20"/>
          <w:szCs w:val="20"/>
        </w:rPr>
        <w:t>3,8%</w:t>
      </w:r>
      <w:r w:rsidR="00C13BF6">
        <w:rPr>
          <w:rFonts w:ascii="Arial" w:hAnsi="Arial" w:cs="Arial"/>
          <w:sz w:val="20"/>
          <w:szCs w:val="20"/>
        </w:rPr>
        <w:t xml:space="preserve"> </w:t>
      </w:r>
      <w:r>
        <w:rPr>
          <w:rFonts w:ascii="Arial" w:hAnsi="Arial" w:cs="Arial"/>
          <w:sz w:val="20"/>
          <w:szCs w:val="20"/>
        </w:rPr>
        <w:t>au premier trimestre</w:t>
      </w:r>
      <w:r w:rsidR="00FC771B">
        <w:rPr>
          <w:rFonts w:ascii="Arial" w:hAnsi="Arial" w:cs="Arial"/>
          <w:sz w:val="20"/>
          <w:szCs w:val="20"/>
        </w:rPr>
        <w:t>. Cette performance aurait été particulièrement dopée par la</w:t>
      </w:r>
      <w:r>
        <w:rPr>
          <w:rFonts w:ascii="Arial" w:hAnsi="Arial" w:cs="Arial"/>
          <w:sz w:val="20"/>
          <w:szCs w:val="20"/>
        </w:rPr>
        <w:t xml:space="preserve"> progression</w:t>
      </w:r>
      <w:r w:rsidR="00C13BF6">
        <w:rPr>
          <w:rFonts w:ascii="Arial" w:hAnsi="Arial" w:cs="Arial"/>
          <w:sz w:val="20"/>
          <w:szCs w:val="20"/>
        </w:rPr>
        <w:t xml:space="preserve"> de </w:t>
      </w:r>
      <w:r w:rsidR="00F34B2A">
        <w:rPr>
          <w:rFonts w:ascii="Arial" w:hAnsi="Arial" w:cs="Arial"/>
          <w:sz w:val="20"/>
          <w:szCs w:val="20"/>
        </w:rPr>
        <w:t>1</w:t>
      </w:r>
      <w:r w:rsidR="006D01DE">
        <w:rPr>
          <w:rFonts w:ascii="Arial" w:hAnsi="Arial" w:cs="Arial"/>
          <w:sz w:val="20"/>
          <w:szCs w:val="20"/>
        </w:rPr>
        <w:t>7</w:t>
      </w:r>
      <w:r w:rsidR="00F34B2A">
        <w:rPr>
          <w:rFonts w:ascii="Arial" w:hAnsi="Arial" w:cs="Arial"/>
          <w:sz w:val="20"/>
          <w:szCs w:val="20"/>
        </w:rPr>
        <w:t>,</w:t>
      </w:r>
      <w:r w:rsidR="006D01DE">
        <w:rPr>
          <w:rFonts w:ascii="Arial" w:hAnsi="Arial" w:cs="Arial"/>
          <w:sz w:val="20"/>
          <w:szCs w:val="20"/>
        </w:rPr>
        <w:t>4</w:t>
      </w:r>
      <w:r w:rsidR="00C13BF6">
        <w:rPr>
          <w:rFonts w:ascii="Arial" w:hAnsi="Arial" w:cs="Arial"/>
          <w:sz w:val="20"/>
          <w:szCs w:val="20"/>
        </w:rPr>
        <w:t xml:space="preserve">% de la valeur ajoutée agricole, </w:t>
      </w:r>
      <w:r w:rsidR="00791243">
        <w:rPr>
          <w:rFonts w:ascii="Arial" w:hAnsi="Arial" w:cs="Arial"/>
          <w:sz w:val="20"/>
          <w:szCs w:val="20"/>
        </w:rPr>
        <w:t xml:space="preserve">au lieu </w:t>
      </w:r>
      <w:r>
        <w:rPr>
          <w:rFonts w:ascii="Arial" w:hAnsi="Arial" w:cs="Arial"/>
          <w:sz w:val="20"/>
          <w:szCs w:val="20"/>
        </w:rPr>
        <w:t>d</w:t>
      </w:r>
      <w:r w:rsidR="00960BED">
        <w:rPr>
          <w:rFonts w:ascii="Arial" w:hAnsi="Arial" w:cs="Arial"/>
          <w:sz w:val="20"/>
          <w:szCs w:val="20"/>
        </w:rPr>
        <w:t xml:space="preserve">e </w:t>
      </w:r>
      <w:r w:rsidR="004240E2">
        <w:rPr>
          <w:rFonts w:ascii="Arial" w:hAnsi="Arial" w:cs="Arial"/>
          <w:sz w:val="20"/>
          <w:szCs w:val="20"/>
        </w:rPr>
        <w:t>+</w:t>
      </w:r>
      <w:r w:rsidR="00EB48DF">
        <w:rPr>
          <w:rFonts w:ascii="Arial" w:hAnsi="Arial" w:cs="Arial"/>
          <w:sz w:val="20"/>
          <w:szCs w:val="20"/>
        </w:rPr>
        <w:t>1</w:t>
      </w:r>
      <w:r>
        <w:rPr>
          <w:rFonts w:ascii="Arial" w:hAnsi="Arial" w:cs="Arial"/>
          <w:sz w:val="20"/>
          <w:szCs w:val="20"/>
        </w:rPr>
        <w:t>4</w:t>
      </w:r>
      <w:r w:rsidR="00EB48DF">
        <w:rPr>
          <w:rFonts w:ascii="Arial" w:hAnsi="Arial" w:cs="Arial"/>
          <w:sz w:val="20"/>
          <w:szCs w:val="20"/>
        </w:rPr>
        <w:t>,</w:t>
      </w:r>
      <w:r>
        <w:rPr>
          <w:rFonts w:ascii="Arial" w:hAnsi="Arial" w:cs="Arial"/>
          <w:sz w:val="20"/>
          <w:szCs w:val="20"/>
        </w:rPr>
        <w:t xml:space="preserve">2% le trimestre </w:t>
      </w:r>
      <w:r w:rsidR="00994FC8">
        <w:rPr>
          <w:rFonts w:ascii="Arial" w:hAnsi="Arial" w:cs="Arial"/>
          <w:sz w:val="20"/>
          <w:szCs w:val="20"/>
        </w:rPr>
        <w:t>précédent</w:t>
      </w:r>
      <w:r w:rsidR="00C13BF6">
        <w:rPr>
          <w:rFonts w:ascii="Arial" w:hAnsi="Arial" w:cs="Arial"/>
          <w:sz w:val="20"/>
          <w:szCs w:val="20"/>
        </w:rPr>
        <w:t xml:space="preserve">. </w:t>
      </w:r>
      <w:r w:rsidR="00EB48DF">
        <w:rPr>
          <w:rFonts w:ascii="Arial" w:hAnsi="Arial" w:cs="Arial"/>
          <w:sz w:val="20"/>
          <w:szCs w:val="20"/>
        </w:rPr>
        <w:t xml:space="preserve">La valeur ajoutée des activités hors </w:t>
      </w:r>
      <w:r w:rsidR="00383E16">
        <w:rPr>
          <w:rFonts w:ascii="Arial" w:hAnsi="Arial" w:cs="Arial"/>
          <w:sz w:val="20"/>
          <w:szCs w:val="20"/>
        </w:rPr>
        <w:t>agriculture</w:t>
      </w:r>
      <w:r w:rsidR="003D312F">
        <w:rPr>
          <w:rFonts w:ascii="Arial" w:hAnsi="Arial" w:cs="Arial"/>
          <w:sz w:val="20"/>
          <w:szCs w:val="20"/>
        </w:rPr>
        <w:t xml:space="preserve"> </w:t>
      </w:r>
      <w:r w:rsidR="000A6476">
        <w:rPr>
          <w:rFonts w:ascii="Arial" w:hAnsi="Arial" w:cs="Arial"/>
          <w:sz w:val="20"/>
          <w:szCs w:val="20"/>
        </w:rPr>
        <w:t>aurait</w:t>
      </w:r>
      <w:r w:rsidR="00994FC8">
        <w:rPr>
          <w:rFonts w:ascii="Arial" w:hAnsi="Arial" w:cs="Arial"/>
          <w:sz w:val="20"/>
          <w:szCs w:val="20"/>
        </w:rPr>
        <w:t xml:space="preserve">, pour sa part, </w:t>
      </w:r>
      <w:r w:rsidR="00B266DB">
        <w:rPr>
          <w:rFonts w:ascii="Arial" w:hAnsi="Arial" w:cs="Arial"/>
          <w:sz w:val="20"/>
          <w:szCs w:val="20"/>
        </w:rPr>
        <w:t xml:space="preserve">enregistré </w:t>
      </w:r>
      <w:r w:rsidR="000A6476">
        <w:rPr>
          <w:rFonts w:ascii="Arial" w:hAnsi="Arial" w:cs="Arial"/>
          <w:sz w:val="20"/>
          <w:szCs w:val="20"/>
        </w:rPr>
        <w:t xml:space="preserve">une hausse de </w:t>
      </w:r>
      <w:r w:rsidR="009F7A3A">
        <w:rPr>
          <w:rFonts w:ascii="Arial" w:hAnsi="Arial" w:cs="Arial"/>
          <w:sz w:val="20"/>
          <w:szCs w:val="20"/>
        </w:rPr>
        <w:t>3</w:t>
      </w:r>
      <w:r w:rsidR="006D01DE">
        <w:rPr>
          <w:rFonts w:ascii="Arial" w:hAnsi="Arial" w:cs="Arial"/>
          <w:sz w:val="20"/>
          <w:szCs w:val="20"/>
        </w:rPr>
        <w:t>,</w:t>
      </w:r>
      <w:r w:rsidR="009F7A3A">
        <w:rPr>
          <w:rFonts w:ascii="Arial" w:hAnsi="Arial" w:cs="Arial"/>
          <w:sz w:val="20"/>
          <w:szCs w:val="20"/>
        </w:rPr>
        <w:t>3</w:t>
      </w:r>
      <w:r w:rsidR="000A6476">
        <w:rPr>
          <w:rFonts w:ascii="Arial" w:hAnsi="Arial" w:cs="Arial"/>
          <w:sz w:val="20"/>
          <w:szCs w:val="20"/>
        </w:rPr>
        <w:t xml:space="preserve">%, </w:t>
      </w:r>
      <w:r w:rsidR="00F93D40">
        <w:rPr>
          <w:rFonts w:ascii="Arial" w:hAnsi="Arial" w:cs="Arial"/>
          <w:sz w:val="20"/>
          <w:szCs w:val="20"/>
        </w:rPr>
        <w:t xml:space="preserve">tirée </w:t>
      </w:r>
      <w:r w:rsidR="00994FC8">
        <w:rPr>
          <w:rFonts w:ascii="Arial" w:hAnsi="Arial" w:cs="Arial"/>
          <w:sz w:val="20"/>
          <w:szCs w:val="20"/>
        </w:rPr>
        <w:t>principalement</w:t>
      </w:r>
      <w:r w:rsidR="00F93D40">
        <w:rPr>
          <w:rFonts w:ascii="Arial" w:hAnsi="Arial" w:cs="Arial"/>
          <w:sz w:val="20"/>
          <w:szCs w:val="20"/>
        </w:rPr>
        <w:t xml:space="preserve"> par </w:t>
      </w:r>
      <w:r w:rsidR="009F7A3A">
        <w:rPr>
          <w:rFonts w:ascii="Arial" w:hAnsi="Arial" w:cs="Arial"/>
          <w:sz w:val="20"/>
          <w:szCs w:val="20"/>
        </w:rPr>
        <w:t xml:space="preserve">les mines et </w:t>
      </w:r>
      <w:r w:rsidR="00994FC8">
        <w:rPr>
          <w:rFonts w:ascii="Arial" w:hAnsi="Arial" w:cs="Arial"/>
          <w:sz w:val="20"/>
          <w:szCs w:val="20"/>
        </w:rPr>
        <w:t>les services marchands</w:t>
      </w:r>
      <w:r w:rsidR="000A6476">
        <w:rPr>
          <w:rFonts w:ascii="Arial" w:hAnsi="Arial" w:cs="Arial"/>
          <w:sz w:val="20"/>
          <w:szCs w:val="20"/>
        </w:rPr>
        <w:t xml:space="preserve">. </w:t>
      </w:r>
      <w:r w:rsidR="00C13BF6">
        <w:rPr>
          <w:rFonts w:ascii="Arial" w:hAnsi="Arial" w:cs="Arial"/>
          <w:sz w:val="20"/>
          <w:szCs w:val="20"/>
        </w:rPr>
        <w:t xml:space="preserve">Au </w:t>
      </w:r>
      <w:r w:rsidR="00CB05C0">
        <w:rPr>
          <w:rFonts w:ascii="Arial" w:hAnsi="Arial" w:cs="Arial"/>
          <w:sz w:val="20"/>
          <w:szCs w:val="20"/>
        </w:rPr>
        <w:t>trois</w:t>
      </w:r>
      <w:r w:rsidR="00C13BF6">
        <w:rPr>
          <w:rFonts w:ascii="Arial" w:hAnsi="Arial" w:cs="Arial"/>
          <w:sz w:val="20"/>
          <w:szCs w:val="20"/>
        </w:rPr>
        <w:t>ième trimestre 2</w:t>
      </w:r>
      <w:r w:rsidR="003D312F">
        <w:rPr>
          <w:rFonts w:ascii="Arial" w:hAnsi="Arial" w:cs="Arial"/>
          <w:sz w:val="20"/>
          <w:szCs w:val="20"/>
        </w:rPr>
        <w:t>017, l</w:t>
      </w:r>
      <w:r w:rsidR="00114A43">
        <w:rPr>
          <w:rFonts w:ascii="Arial" w:hAnsi="Arial" w:cs="Arial"/>
          <w:sz w:val="20"/>
          <w:szCs w:val="20"/>
        </w:rPr>
        <w:t>a</w:t>
      </w:r>
      <w:r w:rsidR="003D312F">
        <w:rPr>
          <w:rFonts w:ascii="Arial" w:hAnsi="Arial" w:cs="Arial"/>
          <w:sz w:val="20"/>
          <w:szCs w:val="20"/>
        </w:rPr>
        <w:t xml:space="preserve"> croissance des activités </w:t>
      </w:r>
      <w:r w:rsidR="00C13BF6">
        <w:rPr>
          <w:rFonts w:ascii="Arial" w:hAnsi="Arial" w:cs="Arial"/>
          <w:sz w:val="20"/>
          <w:szCs w:val="20"/>
        </w:rPr>
        <w:t>non-agricole</w:t>
      </w:r>
      <w:r w:rsidR="00B266DB">
        <w:rPr>
          <w:rFonts w:ascii="Arial" w:hAnsi="Arial" w:cs="Arial"/>
          <w:sz w:val="20"/>
          <w:szCs w:val="20"/>
        </w:rPr>
        <w:t>s</w:t>
      </w:r>
      <w:r w:rsidR="00994FC8">
        <w:rPr>
          <w:rFonts w:ascii="Arial" w:hAnsi="Arial" w:cs="Arial"/>
          <w:sz w:val="20"/>
          <w:szCs w:val="20"/>
        </w:rPr>
        <w:t xml:space="preserve"> se poursui</w:t>
      </w:r>
      <w:r w:rsidR="003D312F">
        <w:rPr>
          <w:rFonts w:ascii="Arial" w:hAnsi="Arial" w:cs="Arial"/>
          <w:sz w:val="20"/>
          <w:szCs w:val="20"/>
        </w:rPr>
        <w:t xml:space="preserve">vrait </w:t>
      </w:r>
      <w:r w:rsidR="00383E16">
        <w:rPr>
          <w:rFonts w:ascii="Arial" w:hAnsi="Arial" w:cs="Arial"/>
          <w:sz w:val="20"/>
          <w:szCs w:val="20"/>
        </w:rPr>
        <w:t>au</w:t>
      </w:r>
      <w:r w:rsidR="003D312F">
        <w:rPr>
          <w:rFonts w:ascii="Arial" w:hAnsi="Arial" w:cs="Arial"/>
          <w:sz w:val="20"/>
          <w:szCs w:val="20"/>
        </w:rPr>
        <w:t xml:space="preserve"> rythme de</w:t>
      </w:r>
      <w:r w:rsidR="00C13BF6">
        <w:rPr>
          <w:rFonts w:ascii="Arial" w:hAnsi="Arial" w:cs="Arial"/>
          <w:sz w:val="20"/>
          <w:szCs w:val="20"/>
        </w:rPr>
        <w:t xml:space="preserve"> </w:t>
      </w:r>
      <w:r w:rsidR="006D01DE">
        <w:rPr>
          <w:rFonts w:ascii="Arial" w:hAnsi="Arial" w:cs="Arial"/>
          <w:sz w:val="20"/>
          <w:szCs w:val="20"/>
        </w:rPr>
        <w:t>2,</w:t>
      </w:r>
      <w:r w:rsidR="00B45412">
        <w:rPr>
          <w:rFonts w:ascii="Arial" w:hAnsi="Arial" w:cs="Arial"/>
          <w:sz w:val="20"/>
          <w:szCs w:val="20"/>
        </w:rPr>
        <w:t>7</w:t>
      </w:r>
      <w:r w:rsidR="00C13BF6">
        <w:rPr>
          <w:rFonts w:ascii="Arial" w:hAnsi="Arial" w:cs="Arial"/>
          <w:sz w:val="20"/>
          <w:szCs w:val="20"/>
        </w:rPr>
        <w:t>%. Avec une hausse de 1</w:t>
      </w:r>
      <w:r w:rsidR="002E00AA">
        <w:rPr>
          <w:rFonts w:ascii="Arial" w:hAnsi="Arial" w:cs="Arial"/>
          <w:sz w:val="20"/>
          <w:szCs w:val="20"/>
        </w:rPr>
        <w:t>4</w:t>
      </w:r>
      <w:r w:rsidR="00C13BF6">
        <w:rPr>
          <w:rFonts w:ascii="Arial" w:hAnsi="Arial" w:cs="Arial"/>
          <w:sz w:val="20"/>
          <w:szCs w:val="20"/>
        </w:rPr>
        <w:t>,</w:t>
      </w:r>
      <w:r w:rsidR="006D01DE">
        <w:rPr>
          <w:rFonts w:ascii="Arial" w:hAnsi="Arial" w:cs="Arial"/>
          <w:sz w:val="20"/>
          <w:szCs w:val="20"/>
        </w:rPr>
        <w:t>9</w:t>
      </w:r>
      <w:r w:rsidR="00C13BF6">
        <w:rPr>
          <w:rFonts w:ascii="Arial" w:hAnsi="Arial" w:cs="Arial"/>
          <w:sz w:val="20"/>
          <w:szCs w:val="20"/>
        </w:rPr>
        <w:t xml:space="preserve">% de la valeur ajoutée agricole, l’économie nationale </w:t>
      </w:r>
      <w:r w:rsidR="00994FC8">
        <w:rPr>
          <w:rFonts w:ascii="Arial" w:hAnsi="Arial" w:cs="Arial"/>
          <w:sz w:val="20"/>
          <w:szCs w:val="20"/>
        </w:rPr>
        <w:t>afficherait une croissance</w:t>
      </w:r>
      <w:r w:rsidR="00C13BF6">
        <w:rPr>
          <w:rFonts w:ascii="Arial" w:hAnsi="Arial" w:cs="Arial"/>
          <w:sz w:val="20"/>
          <w:szCs w:val="20"/>
        </w:rPr>
        <w:t xml:space="preserve"> de </w:t>
      </w:r>
      <w:r w:rsidR="0059338B">
        <w:rPr>
          <w:rFonts w:ascii="Arial" w:hAnsi="Arial" w:cs="Arial"/>
          <w:sz w:val="20"/>
          <w:szCs w:val="20"/>
        </w:rPr>
        <w:t>4</w:t>
      </w:r>
      <w:r w:rsidR="00C13BF6">
        <w:rPr>
          <w:rFonts w:ascii="Arial" w:hAnsi="Arial" w:cs="Arial"/>
          <w:sz w:val="20"/>
          <w:szCs w:val="20"/>
        </w:rPr>
        <w:t>,</w:t>
      </w:r>
      <w:r w:rsidR="006D01DE">
        <w:rPr>
          <w:rFonts w:ascii="Arial" w:hAnsi="Arial" w:cs="Arial"/>
          <w:sz w:val="20"/>
          <w:szCs w:val="20"/>
        </w:rPr>
        <w:t>1</w:t>
      </w:r>
      <w:r w:rsidR="00C13BF6">
        <w:rPr>
          <w:rFonts w:ascii="Arial" w:hAnsi="Arial" w:cs="Arial"/>
          <w:sz w:val="20"/>
          <w:szCs w:val="20"/>
        </w:rPr>
        <w:t xml:space="preserve">%, au </w:t>
      </w:r>
      <w:r w:rsidR="00EB48DF">
        <w:rPr>
          <w:rFonts w:ascii="Arial" w:hAnsi="Arial" w:cs="Arial"/>
          <w:sz w:val="20"/>
          <w:szCs w:val="20"/>
        </w:rPr>
        <w:t>trois</w:t>
      </w:r>
      <w:r w:rsidR="00C13BF6">
        <w:rPr>
          <w:rFonts w:ascii="Arial" w:hAnsi="Arial" w:cs="Arial"/>
          <w:sz w:val="20"/>
          <w:szCs w:val="20"/>
        </w:rPr>
        <w:t xml:space="preserve">ième trimestre 2017, au lieu de </w:t>
      </w:r>
      <w:r w:rsidR="00B35D6A">
        <w:rPr>
          <w:rFonts w:ascii="Arial" w:hAnsi="Arial" w:cs="Arial"/>
          <w:sz w:val="20"/>
          <w:szCs w:val="20"/>
        </w:rPr>
        <w:t>+</w:t>
      </w:r>
      <w:r w:rsidR="006D01DE">
        <w:rPr>
          <w:rFonts w:ascii="Arial" w:hAnsi="Arial" w:cs="Arial"/>
          <w:sz w:val="20"/>
          <w:szCs w:val="20"/>
        </w:rPr>
        <w:t>1</w:t>
      </w:r>
      <w:r w:rsidR="00C13BF6">
        <w:rPr>
          <w:rFonts w:ascii="Arial" w:hAnsi="Arial" w:cs="Arial"/>
          <w:sz w:val="20"/>
          <w:szCs w:val="20"/>
        </w:rPr>
        <w:t>,</w:t>
      </w:r>
      <w:r w:rsidR="006D01DE">
        <w:rPr>
          <w:rFonts w:ascii="Arial" w:hAnsi="Arial" w:cs="Arial"/>
          <w:sz w:val="20"/>
          <w:szCs w:val="20"/>
        </w:rPr>
        <w:t>3</w:t>
      </w:r>
      <w:r w:rsidR="00C13BF6">
        <w:rPr>
          <w:rFonts w:ascii="Arial" w:hAnsi="Arial" w:cs="Arial"/>
          <w:sz w:val="20"/>
          <w:szCs w:val="20"/>
        </w:rPr>
        <w:t>% une année plus tôt.</w:t>
      </w:r>
    </w:p>
    <w:p w:rsidR="000A6476" w:rsidRDefault="000A6476" w:rsidP="00C13BF6">
      <w:pPr>
        <w:jc w:val="both"/>
        <w:rPr>
          <w:rFonts w:ascii="Arial" w:hAnsi="Arial" w:cs="Arial"/>
          <w:sz w:val="20"/>
          <w:szCs w:val="20"/>
        </w:rPr>
      </w:pPr>
    </w:p>
    <w:p w:rsidR="00C97459" w:rsidRPr="008065D7" w:rsidRDefault="00C97459" w:rsidP="00B45412">
      <w:pPr>
        <w:jc w:val="both"/>
        <w:rPr>
          <w:rFonts w:ascii="Arial" w:hAnsi="Arial" w:cs="Arial"/>
          <w:b/>
          <w:bCs/>
          <w:color w:val="800000"/>
          <w:kern w:val="28"/>
          <w:sz w:val="20"/>
          <w:szCs w:val="20"/>
        </w:rPr>
      </w:pPr>
      <w:r>
        <w:rPr>
          <w:rFonts w:ascii="Arial" w:hAnsi="Arial" w:cs="Arial"/>
          <w:b/>
          <w:bCs/>
          <w:color w:val="800000"/>
          <w:kern w:val="28"/>
          <w:sz w:val="20"/>
          <w:szCs w:val="20"/>
        </w:rPr>
        <w:t>Une conjoncture extérieure favorable</w:t>
      </w:r>
      <w:r w:rsidRPr="008065D7">
        <w:rPr>
          <w:rFonts w:ascii="Arial" w:hAnsi="Arial" w:cs="Arial"/>
          <w:b/>
          <w:bCs/>
          <w:color w:val="800000"/>
          <w:kern w:val="28"/>
          <w:sz w:val="20"/>
          <w:szCs w:val="20"/>
        </w:rPr>
        <w:t xml:space="preserve"> </w:t>
      </w:r>
      <w:r>
        <w:rPr>
          <w:rFonts w:ascii="Arial" w:hAnsi="Arial" w:cs="Arial"/>
          <w:b/>
          <w:bCs/>
          <w:color w:val="800000"/>
          <w:kern w:val="28"/>
          <w:sz w:val="20"/>
          <w:szCs w:val="20"/>
        </w:rPr>
        <w:t>au deuxième trimestre</w:t>
      </w:r>
      <w:r w:rsidRPr="008065D7">
        <w:rPr>
          <w:rFonts w:ascii="Arial" w:hAnsi="Arial" w:cs="Arial"/>
          <w:b/>
          <w:bCs/>
          <w:color w:val="800000"/>
          <w:kern w:val="28"/>
          <w:sz w:val="20"/>
          <w:szCs w:val="20"/>
        </w:rPr>
        <w:t xml:space="preserve"> 201</w:t>
      </w:r>
      <w:r>
        <w:rPr>
          <w:rFonts w:ascii="Arial" w:hAnsi="Arial" w:cs="Arial"/>
          <w:b/>
          <w:bCs/>
          <w:color w:val="800000"/>
          <w:kern w:val="28"/>
          <w:sz w:val="20"/>
          <w:szCs w:val="20"/>
        </w:rPr>
        <w:t xml:space="preserve">7 </w:t>
      </w:r>
    </w:p>
    <w:p w:rsidR="00C97459" w:rsidRDefault="00C97459" w:rsidP="00C97459">
      <w:pPr>
        <w:jc w:val="both"/>
        <w:rPr>
          <w:rFonts w:ascii="Arial" w:hAnsi="Arial" w:cs="Arial"/>
          <w:sz w:val="20"/>
          <w:szCs w:val="20"/>
        </w:rPr>
      </w:pPr>
    </w:p>
    <w:p w:rsidR="00C97459" w:rsidRPr="001B2B15" w:rsidRDefault="00C97459" w:rsidP="00E4130F">
      <w:pPr>
        <w:jc w:val="both"/>
        <w:rPr>
          <w:rFonts w:ascii="Arial" w:hAnsi="Arial" w:cs="Arial"/>
          <w:sz w:val="20"/>
          <w:szCs w:val="20"/>
        </w:rPr>
      </w:pPr>
      <w:r>
        <w:rPr>
          <w:rFonts w:ascii="Arial" w:hAnsi="Arial" w:cs="Arial"/>
          <w:sz w:val="20"/>
          <w:szCs w:val="20"/>
        </w:rPr>
        <w:t>L</w:t>
      </w:r>
      <w:r w:rsidRPr="001B2B15">
        <w:rPr>
          <w:rFonts w:ascii="Arial" w:hAnsi="Arial" w:cs="Arial"/>
          <w:sz w:val="20"/>
          <w:szCs w:val="20"/>
        </w:rPr>
        <w:t xml:space="preserve">e climat des affaires </w:t>
      </w:r>
      <w:r>
        <w:rPr>
          <w:rFonts w:ascii="Arial" w:hAnsi="Arial" w:cs="Arial"/>
          <w:sz w:val="20"/>
          <w:szCs w:val="20"/>
        </w:rPr>
        <w:t>dans les</w:t>
      </w:r>
      <w:r w:rsidRPr="001B2B15">
        <w:rPr>
          <w:rFonts w:ascii="Arial" w:hAnsi="Arial" w:cs="Arial"/>
          <w:sz w:val="20"/>
          <w:szCs w:val="20"/>
        </w:rPr>
        <w:t xml:space="preserve"> </w:t>
      </w:r>
      <w:r w:rsidRPr="0050499C">
        <w:rPr>
          <w:rFonts w:ascii="Arial" w:hAnsi="Arial" w:cs="Arial"/>
          <w:b/>
          <w:bCs/>
          <w:sz w:val="20"/>
          <w:szCs w:val="20"/>
        </w:rPr>
        <w:t>économies avancées</w:t>
      </w:r>
      <w:r>
        <w:rPr>
          <w:rFonts w:ascii="Arial" w:hAnsi="Arial" w:cs="Arial"/>
          <w:sz w:val="20"/>
          <w:szCs w:val="20"/>
        </w:rPr>
        <w:t xml:space="preserve"> se serait davantage consolidé au deuxième</w:t>
      </w:r>
      <w:r w:rsidRPr="001B2B15">
        <w:rPr>
          <w:rFonts w:ascii="Arial" w:hAnsi="Arial" w:cs="Arial"/>
          <w:sz w:val="20"/>
          <w:szCs w:val="20"/>
        </w:rPr>
        <w:t xml:space="preserve"> trimestre 201</w:t>
      </w:r>
      <w:r>
        <w:rPr>
          <w:rFonts w:ascii="Arial" w:hAnsi="Arial" w:cs="Arial"/>
          <w:sz w:val="20"/>
          <w:szCs w:val="20"/>
        </w:rPr>
        <w:t>7 et la croissance aurait atteint +2%, en rythme annualisé, au lieu de +1,6% un trimestre auparavant</w:t>
      </w:r>
      <w:r w:rsidRPr="001B2B15">
        <w:rPr>
          <w:rFonts w:ascii="Arial" w:hAnsi="Arial" w:cs="Arial"/>
          <w:sz w:val="20"/>
          <w:szCs w:val="20"/>
        </w:rPr>
        <w:t>. L’</w:t>
      </w:r>
      <w:r>
        <w:rPr>
          <w:rFonts w:ascii="Arial" w:hAnsi="Arial" w:cs="Arial"/>
          <w:sz w:val="20"/>
          <w:szCs w:val="20"/>
        </w:rPr>
        <w:t>économie américaine aurait profité de la reprise des dépenses publiques et de la consommation des ménages</w:t>
      </w:r>
      <w:r w:rsidR="00B45412">
        <w:rPr>
          <w:rFonts w:ascii="Arial" w:hAnsi="Arial" w:cs="Arial"/>
          <w:sz w:val="20"/>
          <w:szCs w:val="20"/>
        </w:rPr>
        <w:t xml:space="preserve">, alors qu’en </w:t>
      </w:r>
      <w:r w:rsidRPr="001B2B15">
        <w:rPr>
          <w:rFonts w:ascii="Arial" w:hAnsi="Arial" w:cs="Arial"/>
          <w:sz w:val="20"/>
          <w:szCs w:val="20"/>
        </w:rPr>
        <w:t xml:space="preserve"> </w:t>
      </w:r>
      <w:r w:rsidRPr="001B2B15">
        <w:rPr>
          <w:rFonts w:ascii="Arial" w:hAnsi="Arial" w:cs="Arial"/>
          <w:iCs/>
          <w:color w:val="000000"/>
          <w:sz w:val="20"/>
          <w:szCs w:val="20"/>
          <w:lang w:eastAsia="en-US"/>
        </w:rPr>
        <w:t xml:space="preserve">zone euro, </w:t>
      </w:r>
      <w:r>
        <w:rPr>
          <w:rFonts w:ascii="Arial" w:hAnsi="Arial" w:cs="Arial"/>
          <w:iCs/>
          <w:color w:val="000000"/>
          <w:sz w:val="20"/>
          <w:szCs w:val="20"/>
          <w:lang w:eastAsia="en-US"/>
        </w:rPr>
        <w:t xml:space="preserve">l’activité aurait progressé de 2%, </w:t>
      </w:r>
      <w:r w:rsidR="00B45412">
        <w:rPr>
          <w:rFonts w:ascii="Arial" w:hAnsi="Arial" w:cs="Arial"/>
          <w:iCs/>
          <w:color w:val="000000"/>
          <w:sz w:val="20"/>
          <w:szCs w:val="20"/>
          <w:lang w:eastAsia="en-US"/>
        </w:rPr>
        <w:t>tirée par le</w:t>
      </w:r>
      <w:r>
        <w:rPr>
          <w:rFonts w:ascii="Arial" w:hAnsi="Arial" w:cs="Arial"/>
          <w:iCs/>
          <w:color w:val="000000"/>
          <w:sz w:val="20"/>
          <w:szCs w:val="20"/>
          <w:lang w:eastAsia="en-US"/>
        </w:rPr>
        <w:t xml:space="preserve"> renforcement de l'investissement et de la consommation privée </w:t>
      </w:r>
      <w:r w:rsidRPr="00F5438E">
        <w:rPr>
          <w:rFonts w:ascii="Arial" w:hAnsi="Arial" w:cs="Arial"/>
          <w:iCs/>
          <w:sz w:val="20"/>
          <w:szCs w:val="20"/>
          <w:lang w:eastAsia="en-US"/>
        </w:rPr>
        <w:t xml:space="preserve">malgré </w:t>
      </w:r>
      <w:r w:rsidR="00B45412">
        <w:rPr>
          <w:rFonts w:ascii="Arial" w:hAnsi="Arial" w:cs="Arial"/>
          <w:iCs/>
          <w:sz w:val="20"/>
          <w:szCs w:val="20"/>
          <w:lang w:eastAsia="en-US"/>
        </w:rPr>
        <w:t>un</w:t>
      </w:r>
      <w:r w:rsidRPr="00F5438E">
        <w:rPr>
          <w:rFonts w:ascii="Arial" w:hAnsi="Arial" w:cs="Arial"/>
          <w:iCs/>
          <w:sz w:val="20"/>
          <w:szCs w:val="20"/>
          <w:lang w:eastAsia="en-US"/>
        </w:rPr>
        <w:t xml:space="preserve"> léger regain </w:t>
      </w:r>
      <w:r w:rsidR="00E4130F">
        <w:rPr>
          <w:rFonts w:ascii="Arial" w:hAnsi="Arial" w:cs="Arial"/>
          <w:iCs/>
          <w:sz w:val="20"/>
          <w:szCs w:val="20"/>
          <w:lang w:eastAsia="en-US"/>
        </w:rPr>
        <w:t>de l</w:t>
      </w:r>
      <w:r w:rsidRPr="00F5438E">
        <w:rPr>
          <w:rFonts w:ascii="Arial" w:hAnsi="Arial" w:cs="Arial"/>
          <w:iCs/>
          <w:sz w:val="20"/>
          <w:szCs w:val="20"/>
          <w:lang w:eastAsia="en-US"/>
        </w:rPr>
        <w:t>'inflation</w:t>
      </w:r>
      <w:r>
        <w:rPr>
          <w:rFonts w:ascii="Arial" w:hAnsi="Arial" w:cs="Arial"/>
          <w:iCs/>
          <w:color w:val="000000"/>
          <w:sz w:val="20"/>
          <w:szCs w:val="20"/>
          <w:lang w:eastAsia="en-US"/>
        </w:rPr>
        <w:t xml:space="preserve">. </w:t>
      </w:r>
    </w:p>
    <w:p w:rsidR="00C97459" w:rsidRPr="008D4618" w:rsidRDefault="00C97459" w:rsidP="00C97459">
      <w:pPr>
        <w:jc w:val="both"/>
        <w:rPr>
          <w:rFonts w:ascii="Arial" w:hAnsi="Arial" w:cs="Arial"/>
          <w:sz w:val="20"/>
          <w:szCs w:val="20"/>
          <w:u w:val="single"/>
        </w:rPr>
      </w:pPr>
    </w:p>
    <w:p w:rsidR="00C97459" w:rsidRDefault="00C97459" w:rsidP="007C259A">
      <w:pPr>
        <w:jc w:val="both"/>
        <w:rPr>
          <w:rFonts w:ascii="Arial" w:hAnsi="Arial" w:cs="Arial"/>
          <w:iCs/>
          <w:color w:val="000000"/>
          <w:sz w:val="20"/>
          <w:szCs w:val="20"/>
          <w:lang w:eastAsia="en-US"/>
        </w:rPr>
      </w:pPr>
      <w:r>
        <w:rPr>
          <w:rFonts w:ascii="Arial" w:hAnsi="Arial" w:cs="Arial"/>
          <w:iCs/>
          <w:color w:val="000000"/>
          <w:sz w:val="20"/>
          <w:szCs w:val="20"/>
          <w:lang w:eastAsia="en-US"/>
        </w:rPr>
        <w:t>Dans l</w:t>
      </w:r>
      <w:r>
        <w:rPr>
          <w:rFonts w:ascii="Arial" w:hAnsi="Arial" w:cs="Arial"/>
          <w:sz w:val="20"/>
          <w:szCs w:val="20"/>
        </w:rPr>
        <w:t>es</w:t>
      </w:r>
      <w:r w:rsidRPr="00013C37">
        <w:rPr>
          <w:rFonts w:ascii="Arial" w:hAnsi="Arial" w:cs="Arial"/>
          <w:sz w:val="20"/>
          <w:szCs w:val="20"/>
        </w:rPr>
        <w:t xml:space="preserve"> </w:t>
      </w:r>
      <w:r w:rsidRPr="00013C37">
        <w:rPr>
          <w:rFonts w:ascii="Arial" w:hAnsi="Arial" w:cs="Arial"/>
          <w:iCs/>
          <w:color w:val="000000"/>
          <w:sz w:val="20"/>
          <w:szCs w:val="20"/>
          <w:lang w:eastAsia="en-US"/>
        </w:rPr>
        <w:t>pays émergents</w:t>
      </w:r>
      <w:r>
        <w:rPr>
          <w:rFonts w:ascii="Arial" w:hAnsi="Arial" w:cs="Arial"/>
          <w:iCs/>
          <w:color w:val="000000"/>
          <w:sz w:val="20"/>
          <w:szCs w:val="20"/>
          <w:lang w:eastAsia="en-US"/>
        </w:rPr>
        <w:t>, le climat conjoncturel</w:t>
      </w:r>
      <w:r w:rsidRPr="00013C37">
        <w:rPr>
          <w:rFonts w:ascii="Arial" w:hAnsi="Arial" w:cs="Arial"/>
          <w:iCs/>
          <w:color w:val="000000"/>
          <w:sz w:val="20"/>
          <w:szCs w:val="20"/>
          <w:lang w:eastAsia="en-US"/>
        </w:rPr>
        <w:t xml:space="preserve"> </w:t>
      </w:r>
      <w:r>
        <w:rPr>
          <w:rFonts w:ascii="Arial" w:hAnsi="Arial" w:cs="Arial"/>
          <w:iCs/>
          <w:color w:val="000000"/>
          <w:sz w:val="20"/>
          <w:szCs w:val="20"/>
          <w:lang w:eastAsia="en-US"/>
        </w:rPr>
        <w:t>aurait continué à s'améliorer, avec le rebond des cours des matières premières et la reprise du commerce mondial. En Chine, la croissance s'est renforcée de 6,8%, au lieu de +5,2% un trimestre plus tôt, portée par la demande intérieure surtout l'investissement en construction et en produits manufacturés.</w:t>
      </w:r>
      <w:r w:rsidRPr="00013C37">
        <w:rPr>
          <w:rFonts w:ascii="Arial" w:hAnsi="Arial" w:cs="Arial"/>
          <w:iCs/>
          <w:color w:val="000000"/>
          <w:sz w:val="20"/>
          <w:szCs w:val="20"/>
          <w:lang w:eastAsia="en-US"/>
        </w:rPr>
        <w:t xml:space="preserve"> </w:t>
      </w:r>
      <w:r>
        <w:rPr>
          <w:rFonts w:ascii="Arial" w:hAnsi="Arial" w:cs="Arial"/>
          <w:iCs/>
          <w:color w:val="000000"/>
          <w:sz w:val="20"/>
          <w:szCs w:val="20"/>
          <w:lang w:eastAsia="en-US"/>
        </w:rPr>
        <w:t xml:space="preserve">En </w:t>
      </w:r>
      <w:r w:rsidRPr="00013C37">
        <w:rPr>
          <w:rFonts w:ascii="Arial" w:hAnsi="Arial" w:cs="Arial"/>
          <w:iCs/>
          <w:color w:val="000000"/>
          <w:sz w:val="20"/>
          <w:szCs w:val="20"/>
          <w:lang w:eastAsia="en-US"/>
        </w:rPr>
        <w:t>Russie</w:t>
      </w:r>
      <w:r>
        <w:rPr>
          <w:rFonts w:ascii="Arial" w:hAnsi="Arial" w:cs="Arial"/>
          <w:iCs/>
          <w:color w:val="000000"/>
          <w:sz w:val="20"/>
          <w:szCs w:val="20"/>
          <w:lang w:eastAsia="en-US"/>
        </w:rPr>
        <w:t>, l'activité aurait repris, avec la hausse des prix des matières premières, des exportations et de la demande intérieure</w:t>
      </w:r>
      <w:r w:rsidR="00E4130F">
        <w:rPr>
          <w:rFonts w:ascii="Arial" w:hAnsi="Arial" w:cs="Arial"/>
          <w:iCs/>
          <w:color w:val="000000"/>
          <w:sz w:val="20"/>
          <w:szCs w:val="20"/>
          <w:lang w:eastAsia="en-US"/>
        </w:rPr>
        <w:t xml:space="preserve">, alors qu’au </w:t>
      </w:r>
      <w:r>
        <w:rPr>
          <w:rFonts w:ascii="Arial" w:hAnsi="Arial" w:cs="Arial"/>
          <w:iCs/>
          <w:color w:val="000000"/>
          <w:sz w:val="20"/>
          <w:szCs w:val="20"/>
          <w:lang w:eastAsia="en-US"/>
        </w:rPr>
        <w:t xml:space="preserve">Brésil, la sortie de récession se serait confirmée, </w:t>
      </w:r>
      <w:r w:rsidR="007C259A">
        <w:rPr>
          <w:rFonts w:ascii="Arial" w:hAnsi="Arial" w:cs="Arial"/>
          <w:iCs/>
          <w:color w:val="000000"/>
          <w:sz w:val="20"/>
          <w:szCs w:val="20"/>
          <w:lang w:eastAsia="en-US"/>
        </w:rPr>
        <w:t xml:space="preserve">dans le sillage de </w:t>
      </w:r>
      <w:r>
        <w:rPr>
          <w:rFonts w:ascii="Arial" w:hAnsi="Arial" w:cs="Arial"/>
          <w:iCs/>
          <w:color w:val="000000"/>
          <w:sz w:val="20"/>
          <w:szCs w:val="20"/>
          <w:lang w:eastAsia="en-US"/>
        </w:rPr>
        <w:t>la relance de la production industrielle et des exportations et l'amélioration progressive du pouvoir d'achat des ménages.</w:t>
      </w:r>
      <w:r w:rsidRPr="00805AD5">
        <w:rPr>
          <w:rFonts w:ascii="Arial" w:hAnsi="Arial" w:cs="Arial"/>
          <w:iCs/>
          <w:color w:val="000000"/>
          <w:sz w:val="20"/>
          <w:szCs w:val="20"/>
          <w:lang w:eastAsia="en-US"/>
        </w:rPr>
        <w:t xml:space="preserve"> </w:t>
      </w:r>
      <w:r>
        <w:rPr>
          <w:rFonts w:ascii="Arial" w:hAnsi="Arial" w:cs="Arial"/>
          <w:iCs/>
          <w:color w:val="000000"/>
          <w:sz w:val="20"/>
          <w:szCs w:val="20"/>
          <w:lang w:eastAsia="en-US"/>
        </w:rPr>
        <w:t xml:space="preserve">Dans les pays d’Europe centrale et orientale, le PIB aurait continué de croître vigoureusement, soutenu par une solide production industrielle tirée par la demande en provenance de la zone euro. </w:t>
      </w:r>
    </w:p>
    <w:p w:rsidR="00C97459" w:rsidRDefault="00C97459" w:rsidP="00C97459">
      <w:pPr>
        <w:jc w:val="both"/>
        <w:rPr>
          <w:rFonts w:ascii="Arial" w:hAnsi="Arial" w:cs="Arial"/>
          <w:iCs/>
          <w:color w:val="000000"/>
          <w:sz w:val="20"/>
          <w:szCs w:val="20"/>
          <w:lang w:eastAsia="en-US"/>
        </w:rPr>
      </w:pPr>
    </w:p>
    <w:p w:rsidR="00C97459" w:rsidRDefault="00C97459" w:rsidP="00C97459">
      <w:pPr>
        <w:jc w:val="both"/>
        <w:rPr>
          <w:rFonts w:ascii="Arial" w:hAnsi="Arial" w:cs="Arial"/>
          <w:iCs/>
          <w:color w:val="000000"/>
          <w:sz w:val="20"/>
          <w:szCs w:val="20"/>
          <w:lang w:eastAsia="en-US"/>
        </w:rPr>
      </w:pPr>
      <w:r>
        <w:rPr>
          <w:rFonts w:ascii="Arial" w:hAnsi="Arial" w:cs="Arial"/>
          <w:iCs/>
          <w:noProof/>
          <w:color w:val="000000"/>
          <w:sz w:val="20"/>
          <w:szCs w:val="20"/>
        </w:rPr>
        <w:drawing>
          <wp:anchor distT="0" distB="0" distL="114300" distR="114300" simplePos="0" relativeHeight="251730944" behindDoc="0" locked="0" layoutInCell="1" allowOverlap="1">
            <wp:simplePos x="0" y="0"/>
            <wp:positionH relativeFrom="column">
              <wp:posOffset>4225925</wp:posOffset>
            </wp:positionH>
            <wp:positionV relativeFrom="paragraph">
              <wp:posOffset>550545</wp:posOffset>
            </wp:positionV>
            <wp:extent cx="2270125" cy="1894205"/>
            <wp:effectExtent l="19050" t="0" r="0" b="0"/>
            <wp:wrapSquare wrapText="bothSides"/>
            <wp:docPr id="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270125" cy="1894205"/>
                    </a:xfrm>
                    <a:prstGeom prst="rect">
                      <a:avLst/>
                    </a:prstGeom>
                    <a:noFill/>
                    <a:ln w="9525">
                      <a:noFill/>
                      <a:miter lim="800000"/>
                      <a:headEnd/>
                      <a:tailEnd/>
                    </a:ln>
                  </pic:spPr>
                </pic:pic>
              </a:graphicData>
            </a:graphic>
          </wp:anchor>
        </w:drawing>
      </w:r>
      <w:r>
        <w:rPr>
          <w:rFonts w:ascii="Arial" w:hAnsi="Arial" w:cs="Arial"/>
          <w:iCs/>
          <w:color w:val="000000"/>
          <w:sz w:val="20"/>
          <w:szCs w:val="20"/>
          <w:lang w:eastAsia="en-US"/>
        </w:rPr>
        <w:t>Sur le marché des matières premières, le cours du pétrole s'est établi en moyenne à 51,9$/baril aux mois d'avril-mai 2017, en hausse de 16,2% en variation annuelle, après l'entrée en vigueur, au premier trimestre 2017, de l'accord de réduction de la production des pays de l'OPEP. Les prix des autres matières premières industrielles auraient continué à augmenter, notamment ceux du fer, de l'acier et de l'aluminium, alimentés par une demande chinoise plus soutenue. A l'inverse, ceux des céréales auraient légèrement reflué. Dans ces conditions, l'inflation aurait atteint +2,1% aux Etats-Unis et +1,6% en zone euro au deuxième trimestre 2017, au lieu de +1% et -0,1% respectivement, un an auparavant.</w:t>
      </w:r>
    </w:p>
    <w:p w:rsidR="00C97459" w:rsidRDefault="00C97459" w:rsidP="00C97459">
      <w:pPr>
        <w:jc w:val="both"/>
        <w:rPr>
          <w:rFonts w:ascii="Arial" w:hAnsi="Arial" w:cs="Arial"/>
          <w:iCs/>
          <w:color w:val="000000"/>
          <w:sz w:val="20"/>
          <w:szCs w:val="20"/>
          <w:lang w:eastAsia="en-US"/>
        </w:rPr>
      </w:pPr>
    </w:p>
    <w:p w:rsidR="00C97459" w:rsidRPr="003F4D95" w:rsidRDefault="00C97459" w:rsidP="007C259A">
      <w:pPr>
        <w:jc w:val="both"/>
        <w:rPr>
          <w:rFonts w:asciiTheme="minorBidi" w:hAnsiTheme="minorBidi" w:cstheme="minorBidi"/>
          <w:sz w:val="20"/>
          <w:szCs w:val="20"/>
        </w:rPr>
      </w:pPr>
      <w:r>
        <w:rPr>
          <w:rFonts w:ascii="Arial" w:hAnsi="Arial" w:cs="Arial"/>
          <w:iCs/>
          <w:color w:val="000000"/>
          <w:sz w:val="20"/>
          <w:szCs w:val="20"/>
          <w:lang w:eastAsia="en-US"/>
        </w:rPr>
        <w:t>L</w:t>
      </w:r>
      <w:r w:rsidRPr="00A94D35">
        <w:rPr>
          <w:rFonts w:ascii="Arial" w:hAnsi="Arial" w:cs="Arial"/>
          <w:iCs/>
          <w:color w:val="000000"/>
          <w:sz w:val="20"/>
          <w:szCs w:val="20"/>
          <w:lang w:eastAsia="en-US"/>
        </w:rPr>
        <w:t xml:space="preserve">e </w:t>
      </w:r>
      <w:r w:rsidRPr="003C58F2">
        <w:rPr>
          <w:rFonts w:ascii="Arial" w:hAnsi="Arial" w:cs="Arial"/>
          <w:b/>
          <w:bCs/>
          <w:iCs/>
          <w:color w:val="000000"/>
          <w:sz w:val="20"/>
          <w:szCs w:val="20"/>
          <w:lang w:eastAsia="en-US"/>
        </w:rPr>
        <w:t>commerce mondial</w:t>
      </w:r>
      <w:r w:rsidRPr="00A94D35">
        <w:rPr>
          <w:rFonts w:ascii="Arial" w:hAnsi="Arial" w:cs="Arial"/>
          <w:iCs/>
          <w:color w:val="000000"/>
          <w:sz w:val="20"/>
          <w:szCs w:val="20"/>
          <w:lang w:eastAsia="en-US"/>
        </w:rPr>
        <w:t xml:space="preserve"> de biens aurait </w:t>
      </w:r>
      <w:r>
        <w:rPr>
          <w:rFonts w:ascii="Arial" w:hAnsi="Arial" w:cs="Arial"/>
          <w:iCs/>
          <w:color w:val="000000"/>
          <w:sz w:val="20"/>
          <w:szCs w:val="20"/>
          <w:lang w:eastAsia="en-US"/>
        </w:rPr>
        <w:t>poursuivi sa dynamique entamée depuis le début de l'année, a</w:t>
      </w:r>
      <w:r w:rsidRPr="00A94D35">
        <w:rPr>
          <w:rFonts w:ascii="Arial" w:hAnsi="Arial" w:cs="Arial"/>
          <w:iCs/>
          <w:color w:val="000000"/>
          <w:sz w:val="20"/>
          <w:szCs w:val="20"/>
          <w:lang w:eastAsia="en-US"/>
        </w:rPr>
        <w:t xml:space="preserve">près une évolution atone </w:t>
      </w:r>
      <w:r>
        <w:rPr>
          <w:rFonts w:ascii="Arial" w:hAnsi="Arial" w:cs="Arial"/>
          <w:iCs/>
          <w:color w:val="000000"/>
          <w:sz w:val="20"/>
          <w:szCs w:val="20"/>
          <w:lang w:eastAsia="en-US"/>
        </w:rPr>
        <w:t>en 2016. Porté par</w:t>
      </w:r>
      <w:r w:rsidRPr="00A94D35">
        <w:rPr>
          <w:rFonts w:ascii="Arial" w:hAnsi="Arial" w:cs="Arial"/>
          <w:iCs/>
          <w:color w:val="000000"/>
          <w:sz w:val="20"/>
          <w:szCs w:val="20"/>
          <w:lang w:eastAsia="en-US"/>
        </w:rPr>
        <w:t xml:space="preserve"> la reprise des </w:t>
      </w:r>
      <w:r>
        <w:rPr>
          <w:rFonts w:ascii="Arial" w:hAnsi="Arial" w:cs="Arial"/>
          <w:iCs/>
          <w:color w:val="000000"/>
          <w:sz w:val="20"/>
          <w:szCs w:val="20"/>
          <w:lang w:eastAsia="en-US"/>
        </w:rPr>
        <w:t>importations des pays émergents, surtout de la Chine, il aurait progressé de 6,1% au deuxième</w:t>
      </w:r>
      <w:r w:rsidRPr="00A94D35">
        <w:rPr>
          <w:rFonts w:ascii="Arial" w:hAnsi="Arial" w:cs="Arial"/>
          <w:iCs/>
          <w:color w:val="000000"/>
          <w:sz w:val="20"/>
          <w:szCs w:val="20"/>
          <w:lang w:eastAsia="en-US"/>
        </w:rPr>
        <w:t xml:space="preserve"> trimestre</w:t>
      </w:r>
      <w:r>
        <w:rPr>
          <w:rFonts w:ascii="Arial" w:hAnsi="Arial" w:cs="Arial"/>
          <w:iCs/>
          <w:color w:val="000000"/>
          <w:sz w:val="20"/>
          <w:szCs w:val="20"/>
          <w:lang w:eastAsia="en-US"/>
        </w:rPr>
        <w:t xml:space="preserve"> 2017</w:t>
      </w:r>
      <w:r w:rsidRPr="00A94D35">
        <w:rPr>
          <w:rFonts w:ascii="Arial" w:hAnsi="Arial" w:cs="Arial"/>
          <w:iCs/>
          <w:color w:val="000000"/>
          <w:sz w:val="20"/>
          <w:szCs w:val="20"/>
          <w:lang w:eastAsia="en-US"/>
        </w:rPr>
        <w:t xml:space="preserve">, </w:t>
      </w:r>
      <w:r>
        <w:rPr>
          <w:rFonts w:ascii="Arial" w:hAnsi="Arial" w:cs="Arial"/>
          <w:iCs/>
          <w:color w:val="000000"/>
          <w:sz w:val="20"/>
          <w:szCs w:val="20"/>
          <w:lang w:eastAsia="en-US"/>
        </w:rPr>
        <w:t xml:space="preserve">au lieu de +1,3% une année plus tôt. </w:t>
      </w:r>
      <w:r w:rsidRPr="003F4D95">
        <w:rPr>
          <w:rFonts w:asciiTheme="minorBidi" w:hAnsiTheme="minorBidi" w:cstheme="minorBidi"/>
          <w:sz w:val="20"/>
          <w:szCs w:val="20"/>
        </w:rPr>
        <w:t xml:space="preserve">En ligne avec l'évolution du commerce mondial, la </w:t>
      </w:r>
      <w:r w:rsidRPr="003C58F2">
        <w:rPr>
          <w:rFonts w:asciiTheme="minorBidi" w:hAnsiTheme="minorBidi" w:cstheme="minorBidi"/>
          <w:b/>
          <w:bCs/>
          <w:sz w:val="20"/>
          <w:szCs w:val="20"/>
        </w:rPr>
        <w:t xml:space="preserve">demande étrangère adressée au Maroc </w:t>
      </w:r>
      <w:r w:rsidRPr="003F4D95">
        <w:rPr>
          <w:rFonts w:asciiTheme="minorBidi" w:hAnsiTheme="minorBidi" w:cstheme="minorBidi"/>
          <w:sz w:val="20"/>
          <w:szCs w:val="20"/>
        </w:rPr>
        <w:t xml:space="preserve">se serait </w:t>
      </w:r>
      <w:r>
        <w:rPr>
          <w:rFonts w:asciiTheme="minorBidi" w:hAnsiTheme="minorBidi" w:cstheme="minorBidi"/>
          <w:sz w:val="20"/>
          <w:szCs w:val="20"/>
        </w:rPr>
        <w:t>affermie</w:t>
      </w:r>
      <w:r w:rsidRPr="003F4D95">
        <w:rPr>
          <w:rFonts w:asciiTheme="minorBidi" w:hAnsiTheme="minorBidi" w:cstheme="minorBidi"/>
          <w:sz w:val="20"/>
          <w:szCs w:val="20"/>
        </w:rPr>
        <w:t xml:space="preserve"> de </w:t>
      </w:r>
      <w:r>
        <w:rPr>
          <w:rFonts w:asciiTheme="minorBidi" w:hAnsiTheme="minorBidi" w:cstheme="minorBidi"/>
          <w:sz w:val="20"/>
          <w:szCs w:val="20"/>
        </w:rPr>
        <w:t>5,5</w:t>
      </w:r>
      <w:r w:rsidRPr="003F4D95">
        <w:rPr>
          <w:rFonts w:asciiTheme="minorBidi" w:hAnsiTheme="minorBidi" w:cstheme="minorBidi"/>
          <w:sz w:val="20"/>
          <w:szCs w:val="20"/>
        </w:rPr>
        <w:t xml:space="preserve">%, </w:t>
      </w:r>
      <w:r w:rsidR="005F7A81">
        <w:rPr>
          <w:rFonts w:asciiTheme="minorBidi" w:hAnsiTheme="minorBidi" w:cstheme="minorBidi"/>
          <w:sz w:val="20"/>
          <w:szCs w:val="20"/>
        </w:rPr>
        <w:t>en glissement annuel, l</w:t>
      </w:r>
      <w:r>
        <w:rPr>
          <w:rFonts w:asciiTheme="minorBidi" w:hAnsiTheme="minorBidi" w:cstheme="minorBidi"/>
          <w:sz w:val="20"/>
          <w:szCs w:val="20"/>
        </w:rPr>
        <w:t>ors de la même période.</w:t>
      </w:r>
    </w:p>
    <w:p w:rsidR="005F7A81" w:rsidRDefault="005F7A81" w:rsidP="005F7A81">
      <w:pPr>
        <w:jc w:val="both"/>
        <w:rPr>
          <w:rFonts w:ascii="Arial" w:hAnsi="Arial" w:cs="Arial"/>
          <w:kern w:val="28"/>
          <w:sz w:val="20"/>
          <w:szCs w:val="20"/>
        </w:rPr>
      </w:pPr>
    </w:p>
    <w:p w:rsidR="007C259A" w:rsidRDefault="007C259A" w:rsidP="005F7A81">
      <w:pPr>
        <w:jc w:val="both"/>
        <w:rPr>
          <w:rFonts w:ascii="Arial" w:hAnsi="Arial" w:cs="Arial"/>
          <w:kern w:val="28"/>
          <w:sz w:val="20"/>
          <w:szCs w:val="20"/>
        </w:rPr>
      </w:pPr>
    </w:p>
    <w:p w:rsidR="005F7A81" w:rsidRPr="007766F6" w:rsidRDefault="005F7A81" w:rsidP="005F7A81">
      <w:pPr>
        <w:jc w:val="both"/>
        <w:rPr>
          <w:rFonts w:ascii="Arial" w:hAnsi="Arial" w:cs="Arial"/>
          <w:iCs/>
          <w:kern w:val="28"/>
          <w:sz w:val="8"/>
          <w:szCs w:val="8"/>
        </w:rPr>
      </w:pPr>
    </w:p>
    <w:p w:rsidR="005F7A81" w:rsidRPr="001E70D5" w:rsidRDefault="005F7A81" w:rsidP="005F7A81">
      <w:pPr>
        <w:pBdr>
          <w:top w:val="single" w:sz="4" w:space="3" w:color="auto"/>
        </w:pBdr>
        <w:jc w:val="both"/>
        <w:rPr>
          <w:rFonts w:ascii="Arial" w:hAnsi="Arial" w:cs="Arial"/>
          <w:bCs/>
          <w:i/>
          <w:kern w:val="28"/>
          <w:sz w:val="14"/>
          <w:szCs w:val="14"/>
        </w:rPr>
      </w:pPr>
      <w:r w:rsidRPr="001E70D5">
        <w:rPr>
          <w:rFonts w:ascii="Arial" w:hAnsi="Arial" w:cs="Arial"/>
          <w:bCs/>
          <w:i/>
          <w:kern w:val="28"/>
          <w:sz w:val="14"/>
          <w:szCs w:val="14"/>
        </w:rPr>
        <w:t>Pour plus de détails, se référer à la publication « </w:t>
      </w:r>
      <w:r>
        <w:rPr>
          <w:rFonts w:ascii="Arial" w:hAnsi="Arial" w:cs="Arial"/>
          <w:bCs/>
          <w:i/>
          <w:kern w:val="28"/>
          <w:sz w:val="14"/>
          <w:szCs w:val="14"/>
        </w:rPr>
        <w:t>Point</w:t>
      </w:r>
      <w:r w:rsidRPr="001E70D5">
        <w:rPr>
          <w:rFonts w:ascii="Arial" w:hAnsi="Arial" w:cs="Arial"/>
          <w:bCs/>
          <w:i/>
          <w:kern w:val="28"/>
          <w:sz w:val="14"/>
          <w:szCs w:val="14"/>
        </w:rPr>
        <w:t xml:space="preserve"> de conjoncture N°</w:t>
      </w:r>
      <w:r>
        <w:rPr>
          <w:rFonts w:ascii="Arial" w:hAnsi="Arial" w:cs="Arial"/>
          <w:bCs/>
          <w:i/>
          <w:kern w:val="28"/>
          <w:sz w:val="14"/>
          <w:szCs w:val="14"/>
        </w:rPr>
        <w:t>32</w:t>
      </w:r>
      <w:r w:rsidRPr="001E70D5">
        <w:rPr>
          <w:rFonts w:ascii="Arial" w:hAnsi="Arial" w:cs="Arial"/>
          <w:bCs/>
          <w:i/>
          <w:kern w:val="28"/>
          <w:sz w:val="14"/>
          <w:szCs w:val="14"/>
        </w:rPr>
        <w:t>» qui sera incessamment hébergée sur le site du HCP. La reproduction des informations, contenues dans cette publication, est autorisée, sous réserve d’en mentionner expressément la source.</w:t>
      </w:r>
    </w:p>
    <w:p w:rsidR="00C97459" w:rsidRDefault="00C97459" w:rsidP="00C97459">
      <w:pPr>
        <w:jc w:val="both"/>
        <w:rPr>
          <w:rFonts w:ascii="Arial" w:hAnsi="Arial" w:cs="Arial"/>
          <w:iCs/>
          <w:color w:val="000000"/>
          <w:sz w:val="20"/>
          <w:szCs w:val="20"/>
          <w:lang w:eastAsia="en-US"/>
        </w:rPr>
      </w:pPr>
    </w:p>
    <w:p w:rsidR="005F7A81" w:rsidRDefault="005F7A81" w:rsidP="00C97459">
      <w:pPr>
        <w:jc w:val="both"/>
        <w:rPr>
          <w:rFonts w:ascii="Arial" w:hAnsi="Arial" w:cs="Arial"/>
          <w:iCs/>
          <w:color w:val="000000"/>
          <w:sz w:val="20"/>
          <w:szCs w:val="20"/>
          <w:lang w:eastAsia="en-US"/>
        </w:rPr>
      </w:pPr>
    </w:p>
    <w:p w:rsidR="00C97459" w:rsidRPr="00C97459" w:rsidRDefault="007C259A" w:rsidP="00641190">
      <w:pPr>
        <w:jc w:val="both"/>
        <w:rPr>
          <w:rFonts w:ascii="Arial" w:hAnsi="Arial" w:cs="Arial"/>
          <w:b/>
          <w:bCs/>
          <w:color w:val="800000"/>
          <w:kern w:val="28"/>
          <w:sz w:val="20"/>
          <w:szCs w:val="20"/>
        </w:rPr>
      </w:pPr>
      <w:r>
        <w:rPr>
          <w:rFonts w:ascii="Arial" w:hAnsi="Arial" w:cs="Arial"/>
          <w:b/>
          <w:bCs/>
          <w:color w:val="800000"/>
          <w:kern w:val="28"/>
          <w:sz w:val="20"/>
          <w:szCs w:val="20"/>
        </w:rPr>
        <w:lastRenderedPageBreak/>
        <w:t>Atténuation</w:t>
      </w:r>
      <w:r w:rsidR="00B45412">
        <w:rPr>
          <w:rFonts w:ascii="Arial" w:hAnsi="Arial" w:cs="Arial"/>
          <w:b/>
          <w:bCs/>
          <w:color w:val="800000"/>
          <w:kern w:val="28"/>
          <w:sz w:val="20"/>
          <w:szCs w:val="20"/>
        </w:rPr>
        <w:t xml:space="preserve"> </w:t>
      </w:r>
      <w:r w:rsidR="000C78FE">
        <w:rPr>
          <w:rFonts w:ascii="Arial" w:hAnsi="Arial" w:cs="Arial"/>
          <w:b/>
          <w:bCs/>
          <w:color w:val="800000"/>
          <w:kern w:val="28"/>
          <w:sz w:val="20"/>
          <w:szCs w:val="20"/>
        </w:rPr>
        <w:t xml:space="preserve">de la progression </w:t>
      </w:r>
      <w:r w:rsidR="00C97459" w:rsidRPr="00C97459">
        <w:rPr>
          <w:rFonts w:ascii="Arial" w:hAnsi="Arial" w:cs="Arial"/>
          <w:b/>
          <w:bCs/>
          <w:color w:val="800000"/>
          <w:kern w:val="28"/>
          <w:sz w:val="20"/>
          <w:szCs w:val="20"/>
        </w:rPr>
        <w:t xml:space="preserve">du déficit commercial </w:t>
      </w:r>
    </w:p>
    <w:p w:rsidR="00C97459" w:rsidRDefault="00C97459" w:rsidP="00C97459">
      <w:pPr>
        <w:jc w:val="both"/>
        <w:rPr>
          <w:rFonts w:ascii="Arial" w:hAnsi="Arial" w:cs="Arial"/>
          <w:iCs/>
          <w:color w:val="000000"/>
          <w:sz w:val="20"/>
          <w:szCs w:val="20"/>
          <w:lang w:eastAsia="en-US"/>
        </w:rPr>
      </w:pPr>
    </w:p>
    <w:p w:rsidR="00C97459" w:rsidRPr="00DE3FD2" w:rsidRDefault="00C97459" w:rsidP="007C259A">
      <w:pPr>
        <w:jc w:val="both"/>
        <w:rPr>
          <w:rFonts w:ascii="Arial" w:hAnsi="Arial" w:cs="Arial"/>
          <w:sz w:val="20"/>
          <w:szCs w:val="20"/>
        </w:rPr>
      </w:pPr>
      <w:r>
        <w:rPr>
          <w:rFonts w:ascii="Arial" w:hAnsi="Arial" w:cs="Arial"/>
          <w:kern w:val="28"/>
          <w:sz w:val="20"/>
          <w:szCs w:val="20"/>
        </w:rPr>
        <w:t>Au niveau national, l</w:t>
      </w:r>
      <w:r w:rsidRPr="00013C37">
        <w:rPr>
          <w:rFonts w:ascii="Arial" w:hAnsi="Arial" w:cs="Arial"/>
          <w:kern w:val="28"/>
          <w:sz w:val="20"/>
          <w:szCs w:val="20"/>
        </w:rPr>
        <w:t xml:space="preserve">es </w:t>
      </w:r>
      <w:r w:rsidRPr="00013C37">
        <w:rPr>
          <w:rFonts w:ascii="Arial" w:hAnsi="Arial" w:cs="Arial"/>
          <w:b/>
          <w:bCs/>
          <w:kern w:val="28"/>
          <w:sz w:val="20"/>
          <w:szCs w:val="20"/>
        </w:rPr>
        <w:t xml:space="preserve">exportations </w:t>
      </w:r>
      <w:r w:rsidRPr="00013C37">
        <w:rPr>
          <w:rFonts w:ascii="Arial" w:hAnsi="Arial" w:cs="Arial"/>
          <w:kern w:val="28"/>
          <w:sz w:val="20"/>
          <w:szCs w:val="20"/>
        </w:rPr>
        <w:t>de biens</w:t>
      </w:r>
      <w:r>
        <w:rPr>
          <w:rFonts w:ascii="Arial" w:hAnsi="Arial" w:cs="Arial"/>
          <w:kern w:val="28"/>
          <w:sz w:val="20"/>
          <w:szCs w:val="20"/>
        </w:rPr>
        <w:t xml:space="preserve"> se seraient </w:t>
      </w:r>
      <w:r w:rsidR="00B45412">
        <w:rPr>
          <w:rFonts w:ascii="Arial" w:hAnsi="Arial" w:cs="Arial"/>
          <w:kern w:val="28"/>
          <w:sz w:val="20"/>
          <w:szCs w:val="20"/>
        </w:rPr>
        <w:t>inscrites</w:t>
      </w:r>
      <w:r>
        <w:rPr>
          <w:rFonts w:ascii="Arial" w:hAnsi="Arial" w:cs="Arial"/>
          <w:kern w:val="28"/>
          <w:sz w:val="20"/>
          <w:szCs w:val="20"/>
        </w:rPr>
        <w:t xml:space="preserve"> en hausse estimée à 2% au deuxième trimestre 2016, après +7,6% réalisée un trimestre auparavant, profitant de l’orientation relativement favorable de la demande extérieure adressée au  secteur automobile, </w:t>
      </w:r>
      <w:r w:rsidRPr="00013C37">
        <w:rPr>
          <w:rFonts w:ascii="Arial" w:hAnsi="Arial" w:cs="Arial"/>
          <w:kern w:val="28"/>
          <w:sz w:val="20"/>
          <w:szCs w:val="20"/>
        </w:rPr>
        <w:t xml:space="preserve">notamment </w:t>
      </w:r>
      <w:r>
        <w:rPr>
          <w:rFonts w:ascii="Arial" w:hAnsi="Arial" w:cs="Arial"/>
          <w:kern w:val="28"/>
          <w:sz w:val="20"/>
          <w:szCs w:val="20"/>
        </w:rPr>
        <w:t xml:space="preserve">pour le </w:t>
      </w:r>
      <w:r w:rsidRPr="00013C37">
        <w:rPr>
          <w:rFonts w:ascii="Arial" w:hAnsi="Arial" w:cs="Arial"/>
          <w:kern w:val="28"/>
          <w:sz w:val="20"/>
          <w:szCs w:val="20"/>
        </w:rPr>
        <w:t xml:space="preserve">segment </w:t>
      </w:r>
      <w:r>
        <w:rPr>
          <w:rFonts w:ascii="Arial" w:hAnsi="Arial" w:cs="Arial"/>
          <w:kern w:val="28"/>
          <w:sz w:val="20"/>
          <w:szCs w:val="20"/>
        </w:rPr>
        <w:t xml:space="preserve">de la </w:t>
      </w:r>
      <w:r w:rsidRPr="00013C37">
        <w:rPr>
          <w:rFonts w:ascii="Arial" w:hAnsi="Arial" w:cs="Arial"/>
          <w:kern w:val="28"/>
          <w:sz w:val="20"/>
          <w:szCs w:val="20"/>
        </w:rPr>
        <w:t>construction</w:t>
      </w:r>
      <w:r>
        <w:rPr>
          <w:rFonts w:ascii="Arial" w:hAnsi="Arial" w:cs="Arial"/>
          <w:kern w:val="28"/>
          <w:sz w:val="20"/>
          <w:szCs w:val="20"/>
        </w:rPr>
        <w:t xml:space="preserve"> et, dans une moindre mesure, pour le secteur aéronautique et pharmaceutique. </w:t>
      </w:r>
      <w:r w:rsidR="00B45412">
        <w:rPr>
          <w:rFonts w:ascii="Arial" w:hAnsi="Arial" w:cs="Arial"/>
          <w:kern w:val="28"/>
          <w:sz w:val="20"/>
          <w:szCs w:val="20"/>
        </w:rPr>
        <w:t>Les</w:t>
      </w:r>
      <w:r>
        <w:rPr>
          <w:rFonts w:ascii="Arial" w:hAnsi="Arial" w:cs="Arial"/>
          <w:kern w:val="28"/>
          <w:sz w:val="20"/>
          <w:szCs w:val="20"/>
        </w:rPr>
        <w:t xml:space="preserve"> expéditions </w:t>
      </w:r>
      <w:r w:rsidRPr="003F4D95">
        <w:rPr>
          <w:rFonts w:ascii="Arial" w:hAnsi="Arial" w:cs="Arial"/>
          <w:kern w:val="28"/>
          <w:sz w:val="20"/>
          <w:szCs w:val="20"/>
        </w:rPr>
        <w:t xml:space="preserve">des engrais naturels et chimiques </w:t>
      </w:r>
      <w:r>
        <w:rPr>
          <w:rFonts w:ascii="Arial" w:hAnsi="Arial" w:cs="Arial"/>
          <w:kern w:val="28"/>
          <w:sz w:val="20"/>
          <w:szCs w:val="20"/>
        </w:rPr>
        <w:t>auraient poursuivi leur hausse, bénéficiant d</w:t>
      </w:r>
      <w:r w:rsidR="007C259A">
        <w:rPr>
          <w:rFonts w:ascii="Arial" w:hAnsi="Arial" w:cs="Arial"/>
          <w:kern w:val="28"/>
          <w:sz w:val="20"/>
          <w:szCs w:val="20"/>
        </w:rPr>
        <w:t>’un</w:t>
      </w:r>
      <w:r>
        <w:rPr>
          <w:rFonts w:ascii="Arial" w:hAnsi="Arial" w:cs="Arial"/>
          <w:kern w:val="28"/>
          <w:sz w:val="20"/>
          <w:szCs w:val="20"/>
        </w:rPr>
        <w:t>e augmentation des prix à l'export</w:t>
      </w:r>
      <w:r w:rsidRPr="003F4D95">
        <w:rPr>
          <w:rFonts w:ascii="Arial" w:hAnsi="Arial" w:cs="Arial"/>
          <w:kern w:val="28"/>
          <w:sz w:val="20"/>
          <w:szCs w:val="20"/>
        </w:rPr>
        <w:t xml:space="preserve"> et </w:t>
      </w:r>
      <w:r>
        <w:rPr>
          <w:rFonts w:ascii="Arial" w:hAnsi="Arial" w:cs="Arial"/>
          <w:kern w:val="28"/>
          <w:sz w:val="20"/>
          <w:szCs w:val="20"/>
        </w:rPr>
        <w:t>d'une demande extérieure soutenue</w:t>
      </w:r>
      <w:r w:rsidRPr="00A94D35">
        <w:rPr>
          <w:rFonts w:ascii="Arial" w:hAnsi="Arial" w:cs="Arial"/>
          <w:iCs/>
          <w:color w:val="000000"/>
          <w:sz w:val="20"/>
          <w:szCs w:val="20"/>
          <w:lang w:eastAsia="en-US"/>
        </w:rPr>
        <w:t>.</w:t>
      </w:r>
    </w:p>
    <w:p w:rsidR="007712EB" w:rsidRDefault="007712EB" w:rsidP="007712EB">
      <w:pPr>
        <w:jc w:val="both"/>
        <w:rPr>
          <w:rFonts w:ascii="Arial" w:hAnsi="Arial" w:cs="Arial"/>
          <w:b/>
          <w:bCs/>
          <w:color w:val="800000"/>
          <w:kern w:val="28"/>
          <w:sz w:val="20"/>
          <w:szCs w:val="20"/>
        </w:rPr>
      </w:pPr>
    </w:p>
    <w:p w:rsidR="00C97459" w:rsidRDefault="00C97459" w:rsidP="007C259A">
      <w:pPr>
        <w:jc w:val="both"/>
        <w:rPr>
          <w:rFonts w:ascii="Arial" w:hAnsi="Arial" w:cs="Arial"/>
          <w:kern w:val="28"/>
          <w:sz w:val="20"/>
          <w:szCs w:val="20"/>
        </w:rPr>
      </w:pPr>
      <w:r w:rsidRPr="00743722">
        <w:rPr>
          <w:rFonts w:ascii="Arial" w:hAnsi="Arial" w:cs="Arial"/>
          <w:kern w:val="28"/>
          <w:sz w:val="20"/>
          <w:szCs w:val="20"/>
        </w:rPr>
        <w:t>L</w:t>
      </w:r>
      <w:r w:rsidRPr="00743722">
        <w:rPr>
          <w:rFonts w:ascii="Arial" w:hAnsi="Arial" w:cs="Arial"/>
          <w:sz w:val="20"/>
          <w:szCs w:val="20"/>
        </w:rPr>
        <w:t>es</w:t>
      </w:r>
      <w:r w:rsidRPr="00743722">
        <w:rPr>
          <w:rFonts w:ascii="Arial" w:hAnsi="Arial" w:cs="Arial"/>
          <w:b/>
          <w:bCs/>
          <w:sz w:val="20"/>
          <w:szCs w:val="20"/>
        </w:rPr>
        <w:t xml:space="preserve"> importations</w:t>
      </w:r>
      <w:r w:rsidRPr="00743722">
        <w:rPr>
          <w:rFonts w:ascii="Arial" w:hAnsi="Arial" w:cs="Arial"/>
          <w:kern w:val="28"/>
          <w:sz w:val="20"/>
          <w:szCs w:val="20"/>
        </w:rPr>
        <w:t xml:space="preserve"> </w:t>
      </w:r>
      <w:r>
        <w:rPr>
          <w:rFonts w:ascii="Arial" w:hAnsi="Arial" w:cs="Arial"/>
          <w:kern w:val="28"/>
          <w:sz w:val="20"/>
          <w:szCs w:val="20"/>
        </w:rPr>
        <w:t xml:space="preserve">auraient, pour leur part, augmenté moins rapidement au deuxième trimestre 2017, après trois trimestres successifs de fortes hausses, affichant un accroissement de 3,6%, au lieu de +12,2% un trimestre plus tôt. Elles auraient été impactées par </w:t>
      </w:r>
      <w:r w:rsidR="007C259A">
        <w:rPr>
          <w:rFonts w:ascii="Arial" w:hAnsi="Arial" w:cs="Arial"/>
          <w:kern w:val="28"/>
          <w:sz w:val="20"/>
          <w:szCs w:val="20"/>
        </w:rPr>
        <w:t>le ralentissement</w:t>
      </w:r>
      <w:r>
        <w:rPr>
          <w:rFonts w:ascii="Arial" w:hAnsi="Arial" w:cs="Arial"/>
          <w:kern w:val="28"/>
          <w:sz w:val="20"/>
          <w:szCs w:val="20"/>
        </w:rPr>
        <w:t xml:space="preserve"> des importations hors énergie, en particulier des biens de consommation (voitures de tourisme), des demi-produits (produits chimiques) et des produits bruts (bois bruts, huile de soja). La facture énergétique aurait, à l'inverse, continué à grever la balance commerciale, contribuant pour près de 4 points à la hausse des importations.</w:t>
      </w:r>
    </w:p>
    <w:p w:rsidR="00C97459" w:rsidRDefault="00C97459" w:rsidP="00C97459">
      <w:pPr>
        <w:jc w:val="both"/>
        <w:rPr>
          <w:rFonts w:ascii="Arial" w:hAnsi="Arial" w:cs="Arial"/>
          <w:kern w:val="28"/>
          <w:sz w:val="20"/>
          <w:szCs w:val="20"/>
          <w:rtl/>
        </w:rPr>
      </w:pPr>
    </w:p>
    <w:p w:rsidR="00C97459" w:rsidRDefault="00C97459" w:rsidP="007C259A">
      <w:pPr>
        <w:jc w:val="both"/>
        <w:rPr>
          <w:rFonts w:ascii="Arial" w:hAnsi="Arial" w:cs="Arial"/>
          <w:kern w:val="28"/>
          <w:sz w:val="20"/>
          <w:szCs w:val="20"/>
        </w:rPr>
      </w:pPr>
      <w:r>
        <w:rPr>
          <w:rFonts w:ascii="Arial" w:hAnsi="Arial" w:cs="Arial"/>
          <w:kern w:val="28"/>
          <w:sz w:val="20"/>
          <w:szCs w:val="20"/>
        </w:rPr>
        <w:t>Le creusement du</w:t>
      </w:r>
      <w:r w:rsidRPr="003F4D95">
        <w:rPr>
          <w:rFonts w:ascii="Arial" w:hAnsi="Arial" w:cs="Arial"/>
          <w:kern w:val="28"/>
          <w:sz w:val="20"/>
          <w:szCs w:val="20"/>
        </w:rPr>
        <w:t xml:space="preserve"> déficit commercial</w:t>
      </w:r>
      <w:r>
        <w:rPr>
          <w:rFonts w:ascii="Arial" w:hAnsi="Arial" w:cs="Arial"/>
          <w:kern w:val="28"/>
          <w:sz w:val="20"/>
          <w:szCs w:val="20"/>
        </w:rPr>
        <w:t xml:space="preserve"> se serait atténué </w:t>
      </w:r>
      <w:r w:rsidRPr="003F4D95">
        <w:rPr>
          <w:rFonts w:ascii="Arial" w:hAnsi="Arial" w:cs="Arial"/>
          <w:kern w:val="28"/>
          <w:sz w:val="20"/>
          <w:szCs w:val="20"/>
        </w:rPr>
        <w:t xml:space="preserve">au </w:t>
      </w:r>
      <w:r>
        <w:rPr>
          <w:rFonts w:ascii="Arial" w:hAnsi="Arial" w:cs="Arial"/>
          <w:kern w:val="28"/>
          <w:sz w:val="20"/>
          <w:szCs w:val="20"/>
        </w:rPr>
        <w:t>deuxième</w:t>
      </w:r>
      <w:r w:rsidRPr="003F4D95">
        <w:rPr>
          <w:rFonts w:ascii="Arial" w:hAnsi="Arial" w:cs="Arial"/>
          <w:kern w:val="28"/>
          <w:sz w:val="20"/>
          <w:szCs w:val="20"/>
        </w:rPr>
        <w:t xml:space="preserve"> trimestre 2017</w:t>
      </w:r>
      <w:r>
        <w:rPr>
          <w:rFonts w:ascii="Arial" w:hAnsi="Arial" w:cs="Arial"/>
          <w:kern w:val="28"/>
          <w:sz w:val="20"/>
          <w:szCs w:val="20"/>
        </w:rPr>
        <w:t xml:space="preserve"> (+5,6%</w:t>
      </w:r>
      <w:r w:rsidRPr="003F4D95">
        <w:rPr>
          <w:rFonts w:ascii="Arial" w:hAnsi="Arial" w:cs="Arial"/>
          <w:kern w:val="28"/>
          <w:sz w:val="20"/>
          <w:szCs w:val="20"/>
        </w:rPr>
        <w:t>,</w:t>
      </w:r>
      <w:r>
        <w:rPr>
          <w:rFonts w:ascii="Arial" w:hAnsi="Arial" w:cs="Arial"/>
          <w:kern w:val="28"/>
          <w:sz w:val="20"/>
          <w:szCs w:val="20"/>
        </w:rPr>
        <w:t xml:space="preserve"> au lieu de +19,3% un trimestre auparavant)</w:t>
      </w:r>
      <w:r w:rsidRPr="003F4D95">
        <w:rPr>
          <w:rFonts w:ascii="Arial" w:hAnsi="Arial" w:cs="Arial"/>
          <w:kern w:val="28"/>
          <w:sz w:val="20"/>
          <w:szCs w:val="20"/>
        </w:rPr>
        <w:t xml:space="preserve">, </w:t>
      </w:r>
      <w:r>
        <w:rPr>
          <w:rFonts w:ascii="Arial" w:hAnsi="Arial" w:cs="Arial"/>
          <w:kern w:val="28"/>
          <w:sz w:val="20"/>
          <w:szCs w:val="20"/>
        </w:rPr>
        <w:t>en raison d'une progression moins vigoureuse des importations</w:t>
      </w:r>
      <w:r w:rsidR="007C259A">
        <w:rPr>
          <w:rFonts w:ascii="Arial" w:hAnsi="Arial" w:cs="Arial"/>
          <w:kern w:val="28"/>
          <w:sz w:val="20"/>
          <w:szCs w:val="20"/>
        </w:rPr>
        <w:t xml:space="preserve"> par rapport au trimestre précédent</w:t>
      </w:r>
      <w:r>
        <w:rPr>
          <w:rFonts w:ascii="Arial" w:hAnsi="Arial" w:cs="Arial"/>
          <w:kern w:val="28"/>
          <w:sz w:val="20"/>
          <w:szCs w:val="20"/>
        </w:rPr>
        <w:t xml:space="preserve"> et le taux de </w:t>
      </w:r>
      <w:r w:rsidRPr="003F4D95">
        <w:rPr>
          <w:rFonts w:ascii="Arial" w:hAnsi="Arial" w:cs="Arial"/>
          <w:kern w:val="28"/>
          <w:sz w:val="20"/>
          <w:szCs w:val="20"/>
        </w:rPr>
        <w:t>couverture</w:t>
      </w:r>
      <w:r>
        <w:rPr>
          <w:rFonts w:ascii="Arial" w:hAnsi="Arial" w:cs="Arial"/>
          <w:kern w:val="28"/>
          <w:sz w:val="20"/>
          <w:szCs w:val="20"/>
        </w:rPr>
        <w:t xml:space="preserve"> se serait situé à 53,2</w:t>
      </w:r>
      <w:r w:rsidRPr="003F4D95">
        <w:rPr>
          <w:rFonts w:ascii="Arial" w:hAnsi="Arial" w:cs="Arial"/>
          <w:kern w:val="28"/>
          <w:sz w:val="20"/>
          <w:szCs w:val="20"/>
        </w:rPr>
        <w:t>%</w:t>
      </w:r>
      <w:r>
        <w:rPr>
          <w:rFonts w:ascii="Arial" w:hAnsi="Arial" w:cs="Arial"/>
          <w:kern w:val="28"/>
          <w:sz w:val="20"/>
          <w:szCs w:val="20"/>
        </w:rPr>
        <w:t>.</w:t>
      </w:r>
    </w:p>
    <w:p w:rsidR="00761428" w:rsidRPr="003F4D95" w:rsidRDefault="00761428" w:rsidP="00761428">
      <w:pPr>
        <w:jc w:val="both"/>
        <w:rPr>
          <w:rFonts w:ascii="Arial" w:hAnsi="Arial" w:cs="Arial"/>
          <w:kern w:val="28"/>
          <w:sz w:val="20"/>
          <w:szCs w:val="20"/>
        </w:rPr>
      </w:pPr>
    </w:p>
    <w:p w:rsidR="005B6941" w:rsidRDefault="007200E8" w:rsidP="005D15AE">
      <w:pPr>
        <w:jc w:val="both"/>
        <w:rPr>
          <w:rFonts w:ascii="Arial" w:hAnsi="Arial" w:cs="Arial"/>
          <w:b/>
          <w:bCs/>
          <w:color w:val="800000"/>
          <w:kern w:val="28"/>
          <w:sz w:val="20"/>
          <w:szCs w:val="20"/>
        </w:rPr>
      </w:pPr>
      <w:r>
        <w:rPr>
          <w:rFonts w:ascii="Arial" w:hAnsi="Arial" w:cs="Arial"/>
          <w:b/>
          <w:bCs/>
          <w:color w:val="800000"/>
          <w:kern w:val="28"/>
          <w:sz w:val="20"/>
          <w:szCs w:val="20"/>
        </w:rPr>
        <w:t>Poursuite de l’expansion</w:t>
      </w:r>
      <w:r w:rsidR="005B6941">
        <w:rPr>
          <w:rFonts w:ascii="Arial" w:hAnsi="Arial" w:cs="Arial"/>
          <w:b/>
          <w:bCs/>
          <w:color w:val="800000"/>
          <w:kern w:val="28"/>
          <w:sz w:val="20"/>
          <w:szCs w:val="20"/>
        </w:rPr>
        <w:t xml:space="preserve"> de l</w:t>
      </w:r>
      <w:r w:rsidR="005B6941" w:rsidRPr="00DB7C3F">
        <w:rPr>
          <w:rFonts w:ascii="Arial" w:hAnsi="Arial" w:cs="Arial"/>
          <w:b/>
          <w:bCs/>
          <w:color w:val="800000"/>
          <w:kern w:val="28"/>
          <w:sz w:val="20"/>
          <w:szCs w:val="20"/>
        </w:rPr>
        <w:t>a demande intérieure</w:t>
      </w:r>
      <w:r w:rsidR="00F22FED">
        <w:rPr>
          <w:rFonts w:ascii="Arial" w:hAnsi="Arial" w:cs="Arial"/>
          <w:b/>
          <w:bCs/>
          <w:color w:val="800000"/>
          <w:kern w:val="28"/>
          <w:sz w:val="20"/>
          <w:szCs w:val="20"/>
        </w:rPr>
        <w:t xml:space="preserve"> au </w:t>
      </w:r>
      <w:r w:rsidR="00F86E17">
        <w:rPr>
          <w:rFonts w:ascii="Arial" w:hAnsi="Arial" w:cs="Arial"/>
          <w:b/>
          <w:bCs/>
          <w:color w:val="800000"/>
          <w:kern w:val="28"/>
          <w:sz w:val="20"/>
          <w:szCs w:val="20"/>
        </w:rPr>
        <w:t>deuxième</w:t>
      </w:r>
      <w:r w:rsidR="00F22FED">
        <w:rPr>
          <w:rFonts w:ascii="Arial" w:hAnsi="Arial" w:cs="Arial"/>
          <w:b/>
          <w:bCs/>
          <w:color w:val="800000"/>
          <w:kern w:val="28"/>
          <w:sz w:val="20"/>
          <w:szCs w:val="20"/>
        </w:rPr>
        <w:t xml:space="preserve"> trimestre 201</w:t>
      </w:r>
      <w:r w:rsidR="00236009">
        <w:rPr>
          <w:rFonts w:ascii="Arial" w:hAnsi="Arial" w:cs="Arial"/>
          <w:b/>
          <w:bCs/>
          <w:color w:val="800000"/>
          <w:kern w:val="28"/>
          <w:sz w:val="20"/>
          <w:szCs w:val="20"/>
        </w:rPr>
        <w:t>7</w:t>
      </w:r>
      <w:r w:rsidR="005B6941">
        <w:rPr>
          <w:rFonts w:ascii="Arial" w:hAnsi="Arial" w:cs="Arial"/>
          <w:b/>
          <w:bCs/>
          <w:color w:val="800000"/>
          <w:kern w:val="28"/>
          <w:sz w:val="20"/>
          <w:szCs w:val="20"/>
        </w:rPr>
        <w:t xml:space="preserve"> </w:t>
      </w:r>
    </w:p>
    <w:p w:rsidR="005B6941" w:rsidRDefault="001C1F61" w:rsidP="005B6941">
      <w:pPr>
        <w:autoSpaceDE w:val="0"/>
        <w:autoSpaceDN w:val="0"/>
        <w:adjustRightInd w:val="0"/>
        <w:jc w:val="both"/>
        <w:rPr>
          <w:rFonts w:ascii="Arial" w:hAnsi="Arial" w:cs="Arial"/>
          <w:b/>
          <w:bCs/>
          <w:color w:val="800000"/>
          <w:kern w:val="28"/>
          <w:sz w:val="20"/>
          <w:szCs w:val="20"/>
        </w:rPr>
      </w:pPr>
      <w:r>
        <w:rPr>
          <w:rFonts w:ascii="Arial" w:hAnsi="Arial" w:cs="Arial"/>
          <w:b/>
          <w:bCs/>
          <w:noProof/>
          <w:color w:val="800000"/>
          <w:kern w:val="28"/>
          <w:sz w:val="20"/>
          <w:szCs w:val="20"/>
        </w:rPr>
        <w:drawing>
          <wp:anchor distT="0" distB="0" distL="114300" distR="114300" simplePos="0" relativeHeight="251724800" behindDoc="0" locked="0" layoutInCell="1" allowOverlap="1">
            <wp:simplePos x="0" y="0"/>
            <wp:positionH relativeFrom="column">
              <wp:posOffset>4262755</wp:posOffset>
            </wp:positionH>
            <wp:positionV relativeFrom="paragraph">
              <wp:posOffset>72390</wp:posOffset>
            </wp:positionV>
            <wp:extent cx="2306955" cy="1858010"/>
            <wp:effectExtent l="19050" t="0" r="0" b="0"/>
            <wp:wrapSquare wrapText="bothSides"/>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306955" cy="1858010"/>
                    </a:xfrm>
                    <a:prstGeom prst="rect">
                      <a:avLst/>
                    </a:prstGeom>
                    <a:noFill/>
                    <a:ln w="9525">
                      <a:noFill/>
                      <a:miter lim="800000"/>
                      <a:headEnd/>
                      <a:tailEnd/>
                    </a:ln>
                  </pic:spPr>
                </pic:pic>
              </a:graphicData>
            </a:graphic>
          </wp:anchor>
        </w:drawing>
      </w:r>
    </w:p>
    <w:p w:rsidR="0097276B" w:rsidRDefault="005B6941" w:rsidP="00E422A2">
      <w:pPr>
        <w:jc w:val="both"/>
        <w:rPr>
          <w:rFonts w:ascii="Arial" w:hAnsi="Arial" w:cs="Arial"/>
          <w:sz w:val="20"/>
          <w:szCs w:val="20"/>
        </w:rPr>
      </w:pPr>
      <w:r>
        <w:rPr>
          <w:rFonts w:ascii="Arial" w:hAnsi="Arial" w:cs="Arial"/>
          <w:sz w:val="20"/>
          <w:szCs w:val="20"/>
        </w:rPr>
        <w:t>La</w:t>
      </w:r>
      <w:r w:rsidRPr="00BA28C6">
        <w:rPr>
          <w:rFonts w:ascii="Arial" w:hAnsi="Arial" w:cs="Arial"/>
          <w:sz w:val="20"/>
          <w:szCs w:val="20"/>
        </w:rPr>
        <w:t xml:space="preserve"> </w:t>
      </w:r>
      <w:r w:rsidR="00573997">
        <w:rPr>
          <w:rFonts w:ascii="Arial" w:hAnsi="Arial" w:cs="Arial"/>
          <w:b/>
          <w:sz w:val="20"/>
          <w:szCs w:val="20"/>
        </w:rPr>
        <w:t>consommation finale</w:t>
      </w:r>
      <w:r>
        <w:rPr>
          <w:rFonts w:ascii="Arial" w:hAnsi="Arial" w:cs="Arial"/>
          <w:sz w:val="20"/>
          <w:szCs w:val="20"/>
        </w:rPr>
        <w:t xml:space="preserve"> </w:t>
      </w:r>
      <w:r w:rsidR="00E95974">
        <w:rPr>
          <w:rFonts w:ascii="Arial" w:hAnsi="Arial" w:cs="Arial"/>
          <w:sz w:val="20"/>
          <w:szCs w:val="20"/>
        </w:rPr>
        <w:t>aurait été le principal moteur de l’activité économique au deuxième trimestre 2017, contribuant pour environ 2,4 point</w:t>
      </w:r>
      <w:r w:rsidR="00240469">
        <w:rPr>
          <w:rFonts w:ascii="Arial" w:hAnsi="Arial" w:cs="Arial"/>
          <w:sz w:val="20"/>
          <w:szCs w:val="20"/>
        </w:rPr>
        <w:t>s</w:t>
      </w:r>
      <w:r w:rsidR="00E95974">
        <w:rPr>
          <w:rFonts w:ascii="Arial" w:hAnsi="Arial" w:cs="Arial"/>
          <w:sz w:val="20"/>
          <w:szCs w:val="20"/>
        </w:rPr>
        <w:t xml:space="preserve"> à la croissance globale du PIB, au lieu de +1,6 point un an plus tôt. Les dépenses de consommation des ménages, en volume, se seraient accrues de 4,2%, </w:t>
      </w:r>
      <w:r w:rsidR="00E95974" w:rsidRPr="005A66A0">
        <w:rPr>
          <w:rFonts w:ascii="Arial" w:hAnsi="Arial" w:cs="Arial"/>
          <w:sz w:val="20"/>
          <w:szCs w:val="20"/>
        </w:rPr>
        <w:t xml:space="preserve">en variation annuelle, </w:t>
      </w:r>
      <w:r w:rsidR="002B3931">
        <w:rPr>
          <w:rFonts w:ascii="Arial" w:hAnsi="Arial" w:cs="Arial"/>
          <w:sz w:val="20"/>
          <w:szCs w:val="20"/>
        </w:rPr>
        <w:t>d</w:t>
      </w:r>
      <w:r w:rsidR="00294424">
        <w:rPr>
          <w:rFonts w:ascii="Arial" w:hAnsi="Arial" w:cs="Arial"/>
          <w:sz w:val="20"/>
          <w:szCs w:val="20"/>
        </w:rPr>
        <w:t xml:space="preserve">ans un contexte </w:t>
      </w:r>
      <w:r w:rsidR="00E95974">
        <w:rPr>
          <w:rFonts w:ascii="Arial" w:hAnsi="Arial" w:cs="Arial"/>
          <w:sz w:val="20"/>
          <w:szCs w:val="20"/>
        </w:rPr>
        <w:t>de</w:t>
      </w:r>
      <w:r w:rsidR="00294424">
        <w:rPr>
          <w:rFonts w:ascii="Arial" w:hAnsi="Arial" w:cs="Arial"/>
          <w:sz w:val="20"/>
          <w:szCs w:val="20"/>
        </w:rPr>
        <w:t xml:space="preserve"> </w:t>
      </w:r>
      <w:r w:rsidR="00E95974">
        <w:rPr>
          <w:rFonts w:ascii="Arial" w:hAnsi="Arial" w:cs="Arial"/>
          <w:sz w:val="20"/>
          <w:szCs w:val="20"/>
        </w:rPr>
        <w:t xml:space="preserve">reprise de l’emploi rural et de </w:t>
      </w:r>
      <w:r w:rsidR="00662030">
        <w:rPr>
          <w:rFonts w:ascii="Arial" w:hAnsi="Arial" w:cs="Arial"/>
          <w:sz w:val="20"/>
          <w:szCs w:val="20"/>
        </w:rPr>
        <w:t>décélération</w:t>
      </w:r>
      <w:r w:rsidR="00B307C7">
        <w:rPr>
          <w:rFonts w:ascii="Arial" w:hAnsi="Arial" w:cs="Arial"/>
          <w:sz w:val="20"/>
          <w:szCs w:val="20"/>
        </w:rPr>
        <w:t xml:space="preserve"> </w:t>
      </w:r>
      <w:r w:rsidR="00294424">
        <w:rPr>
          <w:rFonts w:ascii="Arial" w:hAnsi="Arial" w:cs="Arial"/>
          <w:sz w:val="20"/>
          <w:szCs w:val="20"/>
        </w:rPr>
        <w:t>des prix à la consommation</w:t>
      </w:r>
      <w:r w:rsidR="002B3931">
        <w:rPr>
          <w:rFonts w:ascii="Arial" w:hAnsi="Arial" w:cs="Arial"/>
          <w:sz w:val="20"/>
          <w:szCs w:val="20"/>
        </w:rPr>
        <w:t xml:space="preserve"> </w:t>
      </w:r>
      <w:r w:rsidR="00E95974">
        <w:rPr>
          <w:rFonts w:ascii="Arial" w:hAnsi="Arial" w:cs="Arial"/>
          <w:sz w:val="20"/>
          <w:szCs w:val="20"/>
        </w:rPr>
        <w:t>(+0,3%)</w:t>
      </w:r>
      <w:r w:rsidR="002B3931">
        <w:rPr>
          <w:rFonts w:ascii="Arial" w:hAnsi="Arial" w:cs="Arial"/>
          <w:sz w:val="20"/>
          <w:szCs w:val="20"/>
        </w:rPr>
        <w:t>.</w:t>
      </w:r>
      <w:r w:rsidR="00590C1C">
        <w:rPr>
          <w:rFonts w:ascii="Arial" w:hAnsi="Arial" w:cs="Arial"/>
          <w:sz w:val="20"/>
          <w:szCs w:val="20"/>
        </w:rPr>
        <w:t xml:space="preserve"> </w:t>
      </w:r>
      <w:r w:rsidR="00590C1C" w:rsidRPr="005A66A0">
        <w:rPr>
          <w:rFonts w:ascii="Arial" w:hAnsi="Arial" w:cs="Arial"/>
          <w:sz w:val="20"/>
          <w:szCs w:val="20"/>
        </w:rPr>
        <w:t xml:space="preserve">Cette progression de la consommation domestique </w:t>
      </w:r>
      <w:r w:rsidR="00590C1C">
        <w:rPr>
          <w:rFonts w:ascii="Arial" w:hAnsi="Arial" w:cs="Arial"/>
          <w:sz w:val="20"/>
          <w:szCs w:val="20"/>
        </w:rPr>
        <w:t xml:space="preserve">aurait été </w:t>
      </w:r>
      <w:r w:rsidR="0052189E" w:rsidRPr="005A66A0">
        <w:rPr>
          <w:rFonts w:ascii="Arial" w:hAnsi="Arial" w:cs="Arial"/>
          <w:sz w:val="20"/>
          <w:szCs w:val="20"/>
        </w:rPr>
        <w:t>alimentée</w:t>
      </w:r>
      <w:r w:rsidR="0050690A">
        <w:rPr>
          <w:rFonts w:ascii="Arial" w:hAnsi="Arial" w:cs="Arial"/>
          <w:sz w:val="20"/>
          <w:szCs w:val="20"/>
        </w:rPr>
        <w:t>, entre autres,</w:t>
      </w:r>
      <w:r w:rsidR="0052189E" w:rsidRPr="005A66A0">
        <w:rPr>
          <w:rFonts w:ascii="Arial" w:hAnsi="Arial" w:cs="Arial"/>
          <w:sz w:val="20"/>
          <w:szCs w:val="20"/>
        </w:rPr>
        <w:t xml:space="preserve"> par </w:t>
      </w:r>
      <w:r w:rsidR="00E91C33" w:rsidRPr="005A66A0">
        <w:rPr>
          <w:rFonts w:ascii="Arial" w:hAnsi="Arial" w:cs="Arial"/>
          <w:sz w:val="20"/>
          <w:szCs w:val="20"/>
        </w:rPr>
        <w:t xml:space="preserve">un </w:t>
      </w:r>
      <w:r w:rsidRPr="005A66A0">
        <w:rPr>
          <w:rFonts w:ascii="Arial" w:hAnsi="Arial" w:cs="Arial"/>
          <w:sz w:val="20"/>
          <w:szCs w:val="20"/>
        </w:rPr>
        <w:t xml:space="preserve">accroissement de </w:t>
      </w:r>
      <w:r w:rsidR="003A24A1">
        <w:rPr>
          <w:rFonts w:ascii="Arial" w:hAnsi="Arial" w:cs="Arial"/>
          <w:sz w:val="20"/>
          <w:szCs w:val="20"/>
        </w:rPr>
        <w:t>4</w:t>
      </w:r>
      <w:r w:rsidRPr="005A66A0">
        <w:rPr>
          <w:rFonts w:ascii="Arial" w:hAnsi="Arial" w:cs="Arial"/>
          <w:sz w:val="20"/>
          <w:szCs w:val="20"/>
        </w:rPr>
        <w:t>,</w:t>
      </w:r>
      <w:r w:rsidR="003A24A1">
        <w:rPr>
          <w:rFonts w:ascii="Arial" w:hAnsi="Arial" w:cs="Arial"/>
          <w:sz w:val="20"/>
          <w:szCs w:val="20"/>
        </w:rPr>
        <w:t>8</w:t>
      </w:r>
      <w:r w:rsidRPr="005A66A0">
        <w:rPr>
          <w:rFonts w:ascii="Arial" w:hAnsi="Arial" w:cs="Arial"/>
          <w:sz w:val="20"/>
          <w:szCs w:val="20"/>
        </w:rPr>
        <w:t>% de l’encours des crédits à la consommation</w:t>
      </w:r>
      <w:r w:rsidR="00590C1C">
        <w:rPr>
          <w:rFonts w:ascii="Arial" w:hAnsi="Arial" w:cs="Arial"/>
          <w:sz w:val="20"/>
          <w:szCs w:val="20"/>
        </w:rPr>
        <w:t xml:space="preserve"> et</w:t>
      </w:r>
      <w:r w:rsidRPr="005A66A0">
        <w:rPr>
          <w:rFonts w:ascii="Arial" w:hAnsi="Arial" w:cs="Arial"/>
          <w:sz w:val="20"/>
          <w:szCs w:val="20"/>
        </w:rPr>
        <w:t xml:space="preserve"> </w:t>
      </w:r>
      <w:r w:rsidR="00BB5B2B">
        <w:rPr>
          <w:rFonts w:ascii="Arial" w:hAnsi="Arial" w:cs="Arial"/>
          <w:sz w:val="20"/>
          <w:szCs w:val="20"/>
        </w:rPr>
        <w:t xml:space="preserve">un redressement de </w:t>
      </w:r>
      <w:r w:rsidR="00385FA7">
        <w:rPr>
          <w:rFonts w:ascii="Arial" w:hAnsi="Arial" w:cs="Arial"/>
          <w:sz w:val="20"/>
          <w:szCs w:val="20"/>
        </w:rPr>
        <w:t>4,4</w:t>
      </w:r>
      <w:r w:rsidR="00BB5B2B">
        <w:rPr>
          <w:rFonts w:ascii="Arial" w:hAnsi="Arial" w:cs="Arial"/>
          <w:sz w:val="20"/>
          <w:szCs w:val="20"/>
        </w:rPr>
        <w:t xml:space="preserve">% des </w:t>
      </w:r>
      <w:r w:rsidR="00385FA7">
        <w:rPr>
          <w:rFonts w:ascii="Arial" w:hAnsi="Arial" w:cs="Arial"/>
          <w:sz w:val="20"/>
          <w:szCs w:val="20"/>
        </w:rPr>
        <w:t>recettes des MRE</w:t>
      </w:r>
      <w:r w:rsidR="00BB5B2B">
        <w:rPr>
          <w:rFonts w:ascii="Arial" w:hAnsi="Arial" w:cs="Arial"/>
          <w:sz w:val="20"/>
          <w:szCs w:val="20"/>
        </w:rPr>
        <w:t xml:space="preserve">. Elle </w:t>
      </w:r>
      <w:r w:rsidRPr="005A66A0">
        <w:rPr>
          <w:rFonts w:ascii="Arial" w:hAnsi="Arial" w:cs="Arial"/>
          <w:sz w:val="20"/>
          <w:szCs w:val="20"/>
        </w:rPr>
        <w:t xml:space="preserve">aurait </w:t>
      </w:r>
      <w:r w:rsidR="0052189E" w:rsidRPr="005A66A0">
        <w:rPr>
          <w:rFonts w:ascii="Arial" w:hAnsi="Arial" w:cs="Arial"/>
          <w:sz w:val="20"/>
          <w:szCs w:val="20"/>
        </w:rPr>
        <w:t>profité, en grande partie,</w:t>
      </w:r>
      <w:r w:rsidRPr="005A66A0">
        <w:rPr>
          <w:rFonts w:ascii="Arial" w:hAnsi="Arial" w:cs="Arial"/>
          <w:sz w:val="20"/>
          <w:szCs w:val="20"/>
        </w:rPr>
        <w:t xml:space="preserve"> aux </w:t>
      </w:r>
      <w:r w:rsidR="0052189E" w:rsidRPr="005A66A0">
        <w:rPr>
          <w:rFonts w:ascii="Arial" w:hAnsi="Arial" w:cs="Arial"/>
          <w:sz w:val="20"/>
          <w:szCs w:val="20"/>
        </w:rPr>
        <w:t>produits locaux</w:t>
      </w:r>
      <w:r w:rsidR="00E422A2">
        <w:rPr>
          <w:rFonts w:ascii="Arial" w:hAnsi="Arial" w:cs="Arial"/>
          <w:sz w:val="20"/>
          <w:szCs w:val="20"/>
        </w:rPr>
        <w:t>, notamment agricoles</w:t>
      </w:r>
      <w:r w:rsidR="00435C3D">
        <w:rPr>
          <w:rFonts w:ascii="Arial" w:hAnsi="Arial" w:cs="Arial"/>
          <w:sz w:val="20"/>
          <w:szCs w:val="20"/>
        </w:rPr>
        <w:t> ;</w:t>
      </w:r>
      <w:r w:rsidR="0052189E" w:rsidRPr="005A66A0">
        <w:rPr>
          <w:rFonts w:ascii="Arial" w:hAnsi="Arial" w:cs="Arial"/>
          <w:sz w:val="20"/>
          <w:szCs w:val="20"/>
        </w:rPr>
        <w:t xml:space="preserve"> </w:t>
      </w:r>
      <w:r w:rsidR="00E422A2">
        <w:rPr>
          <w:rFonts w:ascii="Arial" w:hAnsi="Arial" w:cs="Arial"/>
          <w:sz w:val="20"/>
          <w:szCs w:val="20"/>
        </w:rPr>
        <w:t>la croissance des</w:t>
      </w:r>
      <w:r w:rsidR="0052189E" w:rsidRPr="005A66A0">
        <w:rPr>
          <w:rFonts w:ascii="Arial" w:hAnsi="Arial" w:cs="Arial"/>
          <w:sz w:val="20"/>
          <w:szCs w:val="20"/>
        </w:rPr>
        <w:t xml:space="preserve"> </w:t>
      </w:r>
      <w:r w:rsidRPr="005A66A0">
        <w:rPr>
          <w:rFonts w:ascii="Arial" w:hAnsi="Arial" w:cs="Arial"/>
          <w:sz w:val="20"/>
          <w:szCs w:val="20"/>
        </w:rPr>
        <w:t xml:space="preserve">importations de biens </w:t>
      </w:r>
      <w:r w:rsidR="004E1F22" w:rsidRPr="005A66A0">
        <w:rPr>
          <w:rFonts w:ascii="Arial" w:hAnsi="Arial" w:cs="Arial"/>
          <w:sz w:val="20"/>
          <w:szCs w:val="20"/>
        </w:rPr>
        <w:t xml:space="preserve">finis </w:t>
      </w:r>
      <w:r w:rsidRPr="005A66A0">
        <w:rPr>
          <w:rFonts w:ascii="Arial" w:hAnsi="Arial" w:cs="Arial"/>
          <w:sz w:val="20"/>
          <w:szCs w:val="20"/>
        </w:rPr>
        <w:t>de consommation</w:t>
      </w:r>
      <w:r w:rsidR="0052189E" w:rsidRPr="005A66A0">
        <w:rPr>
          <w:rFonts w:ascii="Arial" w:hAnsi="Arial" w:cs="Arial"/>
          <w:sz w:val="20"/>
          <w:szCs w:val="20"/>
        </w:rPr>
        <w:t xml:space="preserve"> </w:t>
      </w:r>
      <w:r w:rsidR="00E422A2">
        <w:rPr>
          <w:rFonts w:ascii="Arial" w:hAnsi="Arial" w:cs="Arial"/>
          <w:sz w:val="20"/>
          <w:szCs w:val="20"/>
        </w:rPr>
        <w:t>s’étant limitée</w:t>
      </w:r>
      <w:r w:rsidR="0052189E" w:rsidRPr="005A66A0">
        <w:rPr>
          <w:rFonts w:ascii="Arial" w:hAnsi="Arial" w:cs="Arial"/>
          <w:sz w:val="20"/>
          <w:szCs w:val="20"/>
        </w:rPr>
        <w:t xml:space="preserve"> </w:t>
      </w:r>
      <w:proofErr w:type="gramStart"/>
      <w:r w:rsidR="00E422A2">
        <w:rPr>
          <w:rFonts w:ascii="Arial" w:hAnsi="Arial" w:cs="Arial"/>
          <w:sz w:val="20"/>
          <w:szCs w:val="20"/>
        </w:rPr>
        <w:t>à</w:t>
      </w:r>
      <w:proofErr w:type="gramEnd"/>
      <w:r w:rsidR="00E422A2">
        <w:rPr>
          <w:rFonts w:ascii="Arial" w:hAnsi="Arial" w:cs="Arial"/>
          <w:sz w:val="20"/>
          <w:szCs w:val="20"/>
        </w:rPr>
        <w:t xml:space="preserve"> +</w:t>
      </w:r>
      <w:r w:rsidR="003439DB">
        <w:rPr>
          <w:rFonts w:ascii="Arial" w:hAnsi="Arial" w:cs="Arial"/>
          <w:sz w:val="20"/>
          <w:szCs w:val="20"/>
        </w:rPr>
        <w:t>1,</w:t>
      </w:r>
      <w:r w:rsidR="00AA3575" w:rsidRPr="005A66A0">
        <w:rPr>
          <w:rFonts w:ascii="Arial" w:hAnsi="Arial" w:cs="Arial"/>
          <w:sz w:val="20"/>
          <w:szCs w:val="20"/>
        </w:rPr>
        <w:t>2</w:t>
      </w:r>
      <w:r w:rsidRPr="005A66A0">
        <w:rPr>
          <w:rFonts w:ascii="Arial" w:hAnsi="Arial" w:cs="Arial"/>
          <w:sz w:val="20"/>
          <w:szCs w:val="20"/>
        </w:rPr>
        <w:t xml:space="preserve">%, </w:t>
      </w:r>
      <w:r w:rsidR="00BE57E5">
        <w:rPr>
          <w:rFonts w:ascii="Arial" w:hAnsi="Arial" w:cs="Arial"/>
          <w:sz w:val="20"/>
          <w:szCs w:val="20"/>
        </w:rPr>
        <w:t xml:space="preserve">à fin </w:t>
      </w:r>
      <w:r w:rsidR="003439DB">
        <w:rPr>
          <w:rFonts w:ascii="Arial" w:hAnsi="Arial" w:cs="Arial"/>
          <w:sz w:val="20"/>
          <w:szCs w:val="20"/>
        </w:rPr>
        <w:t>mai</w:t>
      </w:r>
      <w:r w:rsidR="00CC75D6" w:rsidRPr="005A66A0">
        <w:rPr>
          <w:rFonts w:ascii="Arial" w:hAnsi="Arial" w:cs="Arial"/>
          <w:color w:val="000000"/>
          <w:sz w:val="20"/>
          <w:szCs w:val="20"/>
          <w:lang w:eastAsia="en-US"/>
        </w:rPr>
        <w:t xml:space="preserve"> 2017</w:t>
      </w:r>
      <w:r w:rsidRPr="005A66A0">
        <w:rPr>
          <w:rFonts w:ascii="Arial" w:hAnsi="Arial" w:cs="Arial"/>
          <w:sz w:val="20"/>
          <w:szCs w:val="20"/>
        </w:rPr>
        <w:t>.</w:t>
      </w:r>
    </w:p>
    <w:p w:rsidR="002A3C2F" w:rsidRPr="005A66A0" w:rsidRDefault="002A3C2F" w:rsidP="00E422A2">
      <w:pPr>
        <w:jc w:val="both"/>
        <w:rPr>
          <w:rFonts w:ascii="Arial" w:hAnsi="Arial" w:cs="Arial"/>
          <w:sz w:val="20"/>
          <w:szCs w:val="20"/>
        </w:rPr>
      </w:pPr>
    </w:p>
    <w:p w:rsidR="0097276B" w:rsidRDefault="009B212B" w:rsidP="004B514B">
      <w:pPr>
        <w:autoSpaceDE w:val="0"/>
        <w:autoSpaceDN w:val="0"/>
        <w:adjustRightInd w:val="0"/>
        <w:jc w:val="both"/>
        <w:rPr>
          <w:rFonts w:ascii="Arial" w:hAnsi="Arial" w:cs="Arial"/>
          <w:sz w:val="20"/>
          <w:szCs w:val="20"/>
        </w:rPr>
      </w:pPr>
      <w:r>
        <w:rPr>
          <w:rFonts w:ascii="Arial" w:hAnsi="Arial" w:cs="Arial"/>
          <w:sz w:val="20"/>
          <w:szCs w:val="20"/>
        </w:rPr>
        <w:t>La croissance</w:t>
      </w:r>
      <w:r w:rsidR="00836A1A" w:rsidRPr="00836A1A">
        <w:rPr>
          <w:rFonts w:ascii="Arial" w:hAnsi="Arial" w:cs="Arial"/>
          <w:sz w:val="20"/>
          <w:szCs w:val="20"/>
        </w:rPr>
        <w:t xml:space="preserve"> de l’investissement serait resté</w:t>
      </w:r>
      <w:r>
        <w:rPr>
          <w:rFonts w:ascii="Arial" w:hAnsi="Arial" w:cs="Arial"/>
          <w:sz w:val="20"/>
          <w:szCs w:val="20"/>
        </w:rPr>
        <w:t>e</w:t>
      </w:r>
      <w:r w:rsidR="00836A1A" w:rsidRPr="00836A1A">
        <w:rPr>
          <w:rFonts w:ascii="Arial" w:hAnsi="Arial" w:cs="Arial"/>
          <w:sz w:val="20"/>
          <w:szCs w:val="20"/>
        </w:rPr>
        <w:t xml:space="preserve"> soutenu</w:t>
      </w:r>
      <w:r>
        <w:rPr>
          <w:rFonts w:ascii="Arial" w:hAnsi="Arial" w:cs="Arial"/>
          <w:sz w:val="20"/>
          <w:szCs w:val="20"/>
        </w:rPr>
        <w:t>e</w:t>
      </w:r>
      <w:r w:rsidR="00836A1A" w:rsidRPr="00836A1A">
        <w:rPr>
          <w:rFonts w:ascii="Arial" w:hAnsi="Arial" w:cs="Arial"/>
          <w:sz w:val="20"/>
          <w:szCs w:val="20"/>
        </w:rPr>
        <w:t xml:space="preserve"> au deuxième trimestre 2017, bien qu’en ralentissement par rapport à la m</w:t>
      </w:r>
      <w:r w:rsidR="00836A1A">
        <w:rPr>
          <w:rFonts w:ascii="Arial" w:hAnsi="Arial" w:cs="Arial"/>
          <w:sz w:val="20"/>
          <w:szCs w:val="20"/>
        </w:rPr>
        <w:t>ê</w:t>
      </w:r>
      <w:r w:rsidR="00836A1A" w:rsidRPr="00836A1A">
        <w:rPr>
          <w:rFonts w:ascii="Arial" w:hAnsi="Arial" w:cs="Arial"/>
          <w:sz w:val="20"/>
          <w:szCs w:val="20"/>
        </w:rPr>
        <w:t>me pér</w:t>
      </w:r>
      <w:r w:rsidR="00836A1A">
        <w:rPr>
          <w:rFonts w:ascii="Arial" w:hAnsi="Arial" w:cs="Arial"/>
          <w:sz w:val="20"/>
          <w:szCs w:val="20"/>
        </w:rPr>
        <w:t>iode de l’année passée. En rythme annuel, elle aurait atteint</w:t>
      </w:r>
      <w:r w:rsidR="0097276B" w:rsidRPr="00836A1A">
        <w:rPr>
          <w:rFonts w:ascii="Arial" w:hAnsi="Arial" w:cs="Arial"/>
          <w:sz w:val="20"/>
          <w:szCs w:val="20"/>
        </w:rPr>
        <w:t xml:space="preserve"> </w:t>
      </w:r>
      <w:r w:rsidR="00836A1A">
        <w:rPr>
          <w:rFonts w:ascii="Arial" w:hAnsi="Arial" w:cs="Arial"/>
          <w:sz w:val="20"/>
          <w:szCs w:val="20"/>
        </w:rPr>
        <w:t>+</w:t>
      </w:r>
      <w:r w:rsidR="00A27474" w:rsidRPr="00836A1A">
        <w:rPr>
          <w:rFonts w:ascii="Arial" w:hAnsi="Arial" w:cs="Arial"/>
          <w:sz w:val="20"/>
          <w:szCs w:val="20"/>
        </w:rPr>
        <w:t>5,5</w:t>
      </w:r>
      <w:r>
        <w:rPr>
          <w:rFonts w:ascii="Arial" w:hAnsi="Arial" w:cs="Arial"/>
          <w:sz w:val="20"/>
          <w:szCs w:val="20"/>
        </w:rPr>
        <w:t xml:space="preserve">%, </w:t>
      </w:r>
      <w:r w:rsidR="004B514B">
        <w:rPr>
          <w:rFonts w:ascii="Arial" w:hAnsi="Arial" w:cs="Arial"/>
          <w:sz w:val="20"/>
          <w:szCs w:val="20"/>
        </w:rPr>
        <w:t xml:space="preserve">au lieu de </w:t>
      </w:r>
      <w:r w:rsidR="00AF14B9">
        <w:rPr>
          <w:rFonts w:ascii="Arial" w:hAnsi="Arial" w:cs="Arial"/>
          <w:sz w:val="20"/>
          <w:szCs w:val="20"/>
        </w:rPr>
        <w:t>+</w:t>
      </w:r>
      <w:r w:rsidR="004B514B">
        <w:rPr>
          <w:rFonts w:ascii="Arial" w:hAnsi="Arial" w:cs="Arial"/>
          <w:sz w:val="20"/>
          <w:szCs w:val="20"/>
        </w:rPr>
        <w:t>8,4%, une année auparavant</w:t>
      </w:r>
      <w:r w:rsidR="00BB7832">
        <w:rPr>
          <w:rFonts w:ascii="Arial" w:hAnsi="Arial" w:cs="Arial"/>
          <w:sz w:val="20"/>
          <w:szCs w:val="20"/>
        </w:rPr>
        <w:t xml:space="preserve">. </w:t>
      </w:r>
      <w:r w:rsidR="0097276B" w:rsidRPr="00F64509">
        <w:rPr>
          <w:rFonts w:ascii="Arial" w:hAnsi="Arial" w:cs="Arial"/>
          <w:sz w:val="20"/>
          <w:szCs w:val="20"/>
        </w:rPr>
        <w:t>Ce</w:t>
      </w:r>
      <w:r w:rsidR="007A2ACF">
        <w:rPr>
          <w:rFonts w:ascii="Arial" w:hAnsi="Arial" w:cs="Arial"/>
          <w:sz w:val="20"/>
          <w:szCs w:val="20"/>
        </w:rPr>
        <w:t>tte évolution</w:t>
      </w:r>
      <w:r w:rsidR="003A240E">
        <w:rPr>
          <w:rFonts w:ascii="Arial" w:hAnsi="Arial" w:cs="Arial"/>
          <w:sz w:val="20"/>
          <w:szCs w:val="20"/>
        </w:rPr>
        <w:t xml:space="preserve"> </w:t>
      </w:r>
      <w:r>
        <w:rPr>
          <w:rFonts w:ascii="Arial" w:hAnsi="Arial" w:cs="Arial"/>
          <w:sz w:val="20"/>
          <w:szCs w:val="20"/>
        </w:rPr>
        <w:t>aurait été</w:t>
      </w:r>
      <w:r w:rsidR="0097276B" w:rsidRPr="00F64509">
        <w:rPr>
          <w:rFonts w:ascii="Arial" w:hAnsi="Arial" w:cs="Arial"/>
          <w:sz w:val="20"/>
          <w:szCs w:val="20"/>
        </w:rPr>
        <w:t xml:space="preserve">, particulièrement, </w:t>
      </w:r>
      <w:r w:rsidR="0014485F">
        <w:rPr>
          <w:rFonts w:ascii="Arial" w:hAnsi="Arial" w:cs="Arial"/>
          <w:sz w:val="20"/>
          <w:szCs w:val="20"/>
        </w:rPr>
        <w:t>attribuable</w:t>
      </w:r>
      <w:r w:rsidR="0097276B" w:rsidRPr="00F64509">
        <w:rPr>
          <w:rFonts w:ascii="Arial" w:hAnsi="Arial" w:cs="Arial"/>
          <w:sz w:val="20"/>
          <w:szCs w:val="20"/>
        </w:rPr>
        <w:t xml:space="preserve"> </w:t>
      </w:r>
      <w:r>
        <w:rPr>
          <w:rFonts w:ascii="Arial" w:hAnsi="Arial" w:cs="Arial"/>
          <w:sz w:val="20"/>
          <w:szCs w:val="20"/>
        </w:rPr>
        <w:t>à la décélération</w:t>
      </w:r>
      <w:r w:rsidR="003A240E">
        <w:rPr>
          <w:rFonts w:ascii="Arial" w:hAnsi="Arial" w:cs="Arial"/>
          <w:sz w:val="20"/>
          <w:szCs w:val="20"/>
        </w:rPr>
        <w:t xml:space="preserve"> </w:t>
      </w:r>
      <w:r>
        <w:rPr>
          <w:rFonts w:ascii="Arial" w:hAnsi="Arial" w:cs="Arial"/>
          <w:sz w:val="20"/>
          <w:szCs w:val="20"/>
        </w:rPr>
        <w:t xml:space="preserve">des investissements en construction, dans le sillage de </w:t>
      </w:r>
      <w:r w:rsidR="00124362">
        <w:rPr>
          <w:rFonts w:ascii="Arial" w:hAnsi="Arial" w:cs="Arial"/>
          <w:sz w:val="20"/>
          <w:szCs w:val="20"/>
        </w:rPr>
        <w:t xml:space="preserve">la </w:t>
      </w:r>
      <w:r>
        <w:rPr>
          <w:rFonts w:ascii="Arial" w:hAnsi="Arial" w:cs="Arial"/>
          <w:sz w:val="20"/>
          <w:szCs w:val="20"/>
        </w:rPr>
        <w:t>faible reprise de l’immobilier résidentiel</w:t>
      </w:r>
      <w:r w:rsidR="007A2ACF">
        <w:rPr>
          <w:rFonts w:ascii="Arial" w:hAnsi="Arial" w:cs="Arial"/>
          <w:sz w:val="20"/>
          <w:szCs w:val="20"/>
        </w:rPr>
        <w:t xml:space="preserve">. </w:t>
      </w:r>
      <w:r w:rsidR="003A240E">
        <w:rPr>
          <w:rFonts w:ascii="Arial" w:hAnsi="Arial" w:cs="Arial"/>
          <w:sz w:val="20"/>
          <w:szCs w:val="20"/>
        </w:rPr>
        <w:t>L‘</w:t>
      </w:r>
      <w:r w:rsidR="003A240E" w:rsidRPr="00F64509">
        <w:rPr>
          <w:rFonts w:ascii="Arial" w:hAnsi="Arial" w:cs="Arial"/>
          <w:sz w:val="20"/>
          <w:szCs w:val="20"/>
        </w:rPr>
        <w:t xml:space="preserve">investissement en </w:t>
      </w:r>
      <w:r w:rsidR="00374C7B">
        <w:rPr>
          <w:rFonts w:ascii="Arial" w:hAnsi="Arial" w:cs="Arial"/>
          <w:sz w:val="20"/>
          <w:szCs w:val="20"/>
        </w:rPr>
        <w:t xml:space="preserve">produits industriels </w:t>
      </w:r>
      <w:r w:rsidR="003A240E">
        <w:rPr>
          <w:rFonts w:ascii="Arial" w:hAnsi="Arial" w:cs="Arial"/>
          <w:sz w:val="20"/>
          <w:szCs w:val="20"/>
        </w:rPr>
        <w:t>aurait</w:t>
      </w:r>
      <w:r>
        <w:rPr>
          <w:rFonts w:ascii="Arial" w:hAnsi="Arial" w:cs="Arial"/>
          <w:sz w:val="20"/>
          <w:szCs w:val="20"/>
        </w:rPr>
        <w:t>, pour sa part,</w:t>
      </w:r>
      <w:r w:rsidR="003A240E">
        <w:rPr>
          <w:rFonts w:ascii="Arial" w:hAnsi="Arial" w:cs="Arial"/>
          <w:sz w:val="20"/>
          <w:szCs w:val="20"/>
        </w:rPr>
        <w:t xml:space="preserve"> poursuivi s</w:t>
      </w:r>
      <w:r w:rsidR="00A27474">
        <w:rPr>
          <w:rFonts w:ascii="Arial" w:hAnsi="Arial" w:cs="Arial"/>
          <w:sz w:val="20"/>
          <w:szCs w:val="20"/>
        </w:rPr>
        <w:t>a dynamique</w:t>
      </w:r>
      <w:r w:rsidR="003A240E" w:rsidRPr="00F64509">
        <w:rPr>
          <w:rFonts w:ascii="Arial" w:hAnsi="Arial" w:cs="Arial"/>
          <w:sz w:val="20"/>
          <w:szCs w:val="20"/>
        </w:rPr>
        <w:t xml:space="preserve">, </w:t>
      </w:r>
      <w:r>
        <w:rPr>
          <w:rFonts w:ascii="Arial" w:hAnsi="Arial" w:cs="Arial"/>
          <w:sz w:val="20"/>
          <w:szCs w:val="20"/>
        </w:rPr>
        <w:t>favorisant une hausse de</w:t>
      </w:r>
      <w:r w:rsidR="00374C7B">
        <w:rPr>
          <w:rFonts w:ascii="Arial" w:hAnsi="Arial" w:cs="Arial"/>
          <w:sz w:val="20"/>
          <w:szCs w:val="20"/>
        </w:rPr>
        <w:t xml:space="preserve"> </w:t>
      </w:r>
      <w:r w:rsidR="00A27474">
        <w:rPr>
          <w:rFonts w:ascii="Arial" w:hAnsi="Arial" w:cs="Arial"/>
          <w:sz w:val="20"/>
          <w:szCs w:val="20"/>
        </w:rPr>
        <w:t>8</w:t>
      </w:r>
      <w:r w:rsidR="00BA1726">
        <w:rPr>
          <w:rFonts w:ascii="Arial" w:hAnsi="Arial" w:cs="Arial"/>
          <w:sz w:val="20"/>
          <w:szCs w:val="20"/>
        </w:rPr>
        <w:t>,</w:t>
      </w:r>
      <w:r w:rsidR="00A27474">
        <w:rPr>
          <w:rFonts w:ascii="Arial" w:hAnsi="Arial" w:cs="Arial"/>
          <w:sz w:val="20"/>
          <w:szCs w:val="20"/>
        </w:rPr>
        <w:t>1</w:t>
      </w:r>
      <w:r w:rsidR="00374C7B">
        <w:rPr>
          <w:rFonts w:ascii="Arial" w:hAnsi="Arial" w:cs="Arial"/>
          <w:sz w:val="20"/>
          <w:szCs w:val="20"/>
        </w:rPr>
        <w:t>% des imp</w:t>
      </w:r>
      <w:r>
        <w:rPr>
          <w:rFonts w:ascii="Arial" w:hAnsi="Arial" w:cs="Arial"/>
          <w:sz w:val="20"/>
          <w:szCs w:val="20"/>
        </w:rPr>
        <w:t>ortations de biens d’équipement</w:t>
      </w:r>
      <w:r w:rsidR="002C5D41">
        <w:rPr>
          <w:rFonts w:ascii="Arial" w:hAnsi="Arial" w:cs="Arial"/>
          <w:sz w:val="20"/>
          <w:szCs w:val="20"/>
        </w:rPr>
        <w:t>, à fin mai</w:t>
      </w:r>
      <w:r>
        <w:rPr>
          <w:rFonts w:ascii="Arial" w:hAnsi="Arial" w:cs="Arial"/>
          <w:sz w:val="20"/>
          <w:szCs w:val="20"/>
        </w:rPr>
        <w:t>.</w:t>
      </w:r>
    </w:p>
    <w:p w:rsidR="0081799F" w:rsidRPr="00CB3F01" w:rsidRDefault="0081799F" w:rsidP="0081799F">
      <w:pPr>
        <w:autoSpaceDE w:val="0"/>
        <w:autoSpaceDN w:val="0"/>
        <w:adjustRightInd w:val="0"/>
        <w:jc w:val="both"/>
        <w:rPr>
          <w:rFonts w:asciiTheme="minorBidi" w:hAnsiTheme="minorBidi" w:cstheme="minorBidi"/>
        </w:rPr>
      </w:pPr>
    </w:p>
    <w:p w:rsidR="0081799F" w:rsidRDefault="00D4132B" w:rsidP="00D4132B">
      <w:pPr>
        <w:jc w:val="both"/>
        <w:rPr>
          <w:rFonts w:ascii="Arial" w:hAnsi="Arial" w:cs="Arial"/>
          <w:b/>
          <w:bCs/>
          <w:color w:val="800000"/>
          <w:sz w:val="20"/>
          <w:szCs w:val="20"/>
        </w:rPr>
      </w:pPr>
      <w:r>
        <w:rPr>
          <w:rFonts w:ascii="Arial" w:hAnsi="Arial" w:cs="Arial"/>
          <w:b/>
          <w:bCs/>
          <w:color w:val="800000"/>
          <w:sz w:val="20"/>
          <w:szCs w:val="20"/>
        </w:rPr>
        <w:t>Raffermissement de l’activité agricole malgré les perturbations climatiques</w:t>
      </w:r>
      <w:r w:rsidR="0081799F">
        <w:rPr>
          <w:rFonts w:ascii="Arial" w:hAnsi="Arial" w:cs="Arial"/>
          <w:b/>
          <w:bCs/>
          <w:color w:val="800000"/>
          <w:sz w:val="20"/>
          <w:szCs w:val="20"/>
        </w:rPr>
        <w:t xml:space="preserve"> </w:t>
      </w:r>
    </w:p>
    <w:p w:rsidR="0081799F" w:rsidRPr="00392D8D" w:rsidRDefault="001C1F61" w:rsidP="0081799F">
      <w:pPr>
        <w:jc w:val="both"/>
        <w:rPr>
          <w:rFonts w:ascii="Arial" w:hAnsi="Arial" w:cs="Arial"/>
          <w:b/>
          <w:bCs/>
          <w:color w:val="800000"/>
          <w:sz w:val="20"/>
          <w:szCs w:val="20"/>
        </w:rPr>
      </w:pPr>
      <w:r>
        <w:rPr>
          <w:rFonts w:ascii="Arial" w:hAnsi="Arial" w:cs="Arial"/>
          <w:b/>
          <w:bCs/>
          <w:noProof/>
          <w:color w:val="800000"/>
          <w:sz w:val="20"/>
          <w:szCs w:val="20"/>
        </w:rPr>
        <w:drawing>
          <wp:anchor distT="0" distB="0" distL="114300" distR="114300" simplePos="0" relativeHeight="251728896" behindDoc="0" locked="0" layoutInCell="1" allowOverlap="1">
            <wp:simplePos x="0" y="0"/>
            <wp:positionH relativeFrom="column">
              <wp:posOffset>4350385</wp:posOffset>
            </wp:positionH>
            <wp:positionV relativeFrom="paragraph">
              <wp:posOffset>94615</wp:posOffset>
            </wp:positionV>
            <wp:extent cx="2160270" cy="1835785"/>
            <wp:effectExtent l="19050" t="0" r="0" b="0"/>
            <wp:wrapSquare wrapText="bothSides"/>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160270" cy="1835785"/>
                    </a:xfrm>
                    <a:prstGeom prst="rect">
                      <a:avLst/>
                    </a:prstGeom>
                    <a:noFill/>
                    <a:ln w="9525">
                      <a:noFill/>
                      <a:miter lim="800000"/>
                      <a:headEnd/>
                      <a:tailEnd/>
                    </a:ln>
                  </pic:spPr>
                </pic:pic>
              </a:graphicData>
            </a:graphic>
          </wp:anchor>
        </w:drawing>
      </w:r>
    </w:p>
    <w:p w:rsidR="00B04AF8" w:rsidRPr="003410B6" w:rsidRDefault="00B04AF8" w:rsidP="00B35D6A">
      <w:pPr>
        <w:jc w:val="both"/>
        <w:rPr>
          <w:rFonts w:asciiTheme="minorBidi" w:hAnsiTheme="minorBidi" w:cstheme="minorBidi"/>
          <w:sz w:val="20"/>
          <w:szCs w:val="20"/>
        </w:rPr>
      </w:pPr>
      <w:r w:rsidRPr="003410B6">
        <w:rPr>
          <w:rFonts w:asciiTheme="minorBidi" w:hAnsiTheme="minorBidi" w:cstheme="minorBidi"/>
          <w:sz w:val="20"/>
          <w:szCs w:val="20"/>
        </w:rPr>
        <w:t xml:space="preserve">La valeur ajoutée </w:t>
      </w:r>
      <w:r w:rsidRPr="0030478A">
        <w:rPr>
          <w:rFonts w:asciiTheme="minorBidi" w:hAnsiTheme="minorBidi" w:cstheme="minorBidi"/>
          <w:b/>
          <w:bCs/>
          <w:sz w:val="20"/>
          <w:szCs w:val="20"/>
        </w:rPr>
        <w:t>agricole</w:t>
      </w:r>
      <w:r w:rsidRPr="003410B6">
        <w:rPr>
          <w:rFonts w:asciiTheme="minorBidi" w:hAnsiTheme="minorBidi" w:cstheme="minorBidi"/>
          <w:sz w:val="20"/>
          <w:szCs w:val="20"/>
        </w:rPr>
        <w:t xml:space="preserve"> aurait progressé de 17,4%, au deuxième trimestre 2017, en variation annuelle, </w:t>
      </w:r>
      <w:r w:rsidR="00D4132B">
        <w:rPr>
          <w:rFonts w:asciiTheme="minorBidi" w:hAnsiTheme="minorBidi" w:cstheme="minorBidi"/>
          <w:sz w:val="20"/>
          <w:szCs w:val="20"/>
        </w:rPr>
        <w:t>relevant, ainsi, sa contribution à la croissance économique globale à 1,9 point, au lieu de 1,6 point le trimestre passé. E</w:t>
      </w:r>
      <w:r w:rsidRPr="003410B6">
        <w:rPr>
          <w:rFonts w:asciiTheme="minorBidi" w:hAnsiTheme="minorBidi" w:cstheme="minorBidi"/>
          <w:sz w:val="20"/>
          <w:szCs w:val="20"/>
        </w:rPr>
        <w:t xml:space="preserve">n dépit d’une réduction des apports pluviométriques </w:t>
      </w:r>
      <w:r w:rsidR="00D4132B">
        <w:rPr>
          <w:rFonts w:asciiTheme="minorBidi" w:hAnsiTheme="minorBidi" w:cstheme="minorBidi"/>
          <w:sz w:val="20"/>
          <w:szCs w:val="20"/>
        </w:rPr>
        <w:t>des mois d’avril et mai 2017 et</w:t>
      </w:r>
      <w:r w:rsidRPr="003410B6">
        <w:rPr>
          <w:rFonts w:asciiTheme="minorBidi" w:hAnsiTheme="minorBidi" w:cstheme="minorBidi"/>
          <w:sz w:val="20"/>
          <w:szCs w:val="20"/>
        </w:rPr>
        <w:t xml:space="preserve"> d’une augmentation sensible des températures saisonnières ayant </w:t>
      </w:r>
      <w:r w:rsidR="009C2E67">
        <w:rPr>
          <w:rFonts w:asciiTheme="minorBidi" w:hAnsiTheme="minorBidi" w:cstheme="minorBidi"/>
          <w:sz w:val="20"/>
          <w:szCs w:val="20"/>
        </w:rPr>
        <w:t xml:space="preserve">contrarié </w:t>
      </w:r>
      <w:r w:rsidR="009C2E67" w:rsidRPr="003410B6">
        <w:rPr>
          <w:rFonts w:asciiTheme="minorBidi" w:hAnsiTheme="minorBidi" w:cstheme="minorBidi"/>
          <w:sz w:val="20"/>
          <w:szCs w:val="20"/>
        </w:rPr>
        <w:t>le développement</w:t>
      </w:r>
      <w:r w:rsidR="009C2E67">
        <w:rPr>
          <w:rFonts w:asciiTheme="minorBidi" w:hAnsiTheme="minorBidi" w:cstheme="minorBidi"/>
          <w:sz w:val="20"/>
          <w:szCs w:val="20"/>
        </w:rPr>
        <w:t xml:space="preserve"> </w:t>
      </w:r>
      <w:r w:rsidR="009C2E67" w:rsidRPr="003410B6">
        <w:rPr>
          <w:rFonts w:asciiTheme="minorBidi" w:hAnsiTheme="minorBidi" w:cstheme="minorBidi"/>
          <w:sz w:val="20"/>
          <w:szCs w:val="20"/>
        </w:rPr>
        <w:t>des cultures printanières</w:t>
      </w:r>
      <w:r w:rsidR="00D54B1E">
        <w:rPr>
          <w:rFonts w:asciiTheme="minorBidi" w:hAnsiTheme="minorBidi" w:cstheme="minorBidi"/>
          <w:sz w:val="20"/>
          <w:szCs w:val="20"/>
        </w:rPr>
        <w:t>, notamment</w:t>
      </w:r>
      <w:r w:rsidR="009C2E67" w:rsidRPr="003410B6">
        <w:rPr>
          <w:rFonts w:asciiTheme="minorBidi" w:hAnsiTheme="minorBidi" w:cstheme="minorBidi"/>
          <w:sz w:val="20"/>
          <w:szCs w:val="20"/>
        </w:rPr>
        <w:t xml:space="preserve"> dans les régions du Saïs, du Tadla et de </w:t>
      </w:r>
      <w:proofErr w:type="spellStart"/>
      <w:r w:rsidR="009C2E67" w:rsidRPr="003410B6">
        <w:rPr>
          <w:rFonts w:asciiTheme="minorBidi" w:hAnsiTheme="minorBidi" w:cstheme="minorBidi"/>
          <w:sz w:val="20"/>
          <w:szCs w:val="20"/>
        </w:rPr>
        <w:t>Doukkala</w:t>
      </w:r>
      <w:proofErr w:type="spellEnd"/>
      <w:r w:rsidR="009C2E67">
        <w:rPr>
          <w:rFonts w:asciiTheme="minorBidi" w:hAnsiTheme="minorBidi" w:cstheme="minorBidi"/>
          <w:sz w:val="20"/>
          <w:szCs w:val="20"/>
        </w:rPr>
        <w:t xml:space="preserve">, la production agricole aurait poursuivi son affermissement pour le deuxième trimestre consécutif. Elle aurait </w:t>
      </w:r>
      <w:r w:rsidR="002A3C2F">
        <w:rPr>
          <w:rFonts w:asciiTheme="minorBidi" w:hAnsiTheme="minorBidi" w:cstheme="minorBidi"/>
          <w:sz w:val="20"/>
          <w:szCs w:val="20"/>
        </w:rPr>
        <w:t>été</w:t>
      </w:r>
      <w:r w:rsidR="00E6618A">
        <w:rPr>
          <w:rFonts w:asciiTheme="minorBidi" w:hAnsiTheme="minorBidi" w:cstheme="minorBidi"/>
          <w:sz w:val="20"/>
          <w:szCs w:val="20"/>
        </w:rPr>
        <w:t>,</w:t>
      </w:r>
      <w:r w:rsidR="002A3C2F">
        <w:rPr>
          <w:rFonts w:asciiTheme="minorBidi" w:hAnsiTheme="minorBidi" w:cstheme="minorBidi"/>
          <w:sz w:val="20"/>
          <w:szCs w:val="20"/>
        </w:rPr>
        <w:t xml:space="preserve"> </w:t>
      </w:r>
      <w:r w:rsidR="009C2E67">
        <w:rPr>
          <w:rFonts w:asciiTheme="minorBidi" w:hAnsiTheme="minorBidi" w:cstheme="minorBidi"/>
          <w:sz w:val="20"/>
          <w:szCs w:val="20"/>
        </w:rPr>
        <w:t>particulièrement</w:t>
      </w:r>
      <w:r w:rsidR="00E6618A">
        <w:rPr>
          <w:rFonts w:asciiTheme="minorBidi" w:hAnsiTheme="minorBidi" w:cstheme="minorBidi"/>
          <w:sz w:val="20"/>
          <w:szCs w:val="20"/>
        </w:rPr>
        <w:t>,</w:t>
      </w:r>
      <w:r w:rsidR="009C2E67">
        <w:rPr>
          <w:rFonts w:asciiTheme="minorBidi" w:hAnsiTheme="minorBidi" w:cstheme="minorBidi"/>
          <w:sz w:val="20"/>
          <w:szCs w:val="20"/>
        </w:rPr>
        <w:t xml:space="preserve"> dopée par </w:t>
      </w:r>
      <w:r w:rsidR="009C2E67" w:rsidRPr="003410B6">
        <w:rPr>
          <w:rFonts w:asciiTheme="minorBidi" w:hAnsiTheme="minorBidi" w:cstheme="minorBidi"/>
          <w:sz w:val="20"/>
          <w:szCs w:val="20"/>
        </w:rPr>
        <w:t>le redressement de la production des céréales et des légumineuse</w:t>
      </w:r>
      <w:r w:rsidR="009C2E67">
        <w:rPr>
          <w:rFonts w:asciiTheme="minorBidi" w:hAnsiTheme="minorBidi" w:cstheme="minorBidi"/>
          <w:sz w:val="20"/>
          <w:szCs w:val="20"/>
        </w:rPr>
        <w:t>s et</w:t>
      </w:r>
      <w:r w:rsidRPr="003410B6">
        <w:rPr>
          <w:rFonts w:asciiTheme="minorBidi" w:hAnsiTheme="minorBidi" w:cstheme="minorBidi"/>
          <w:sz w:val="20"/>
          <w:szCs w:val="20"/>
        </w:rPr>
        <w:t xml:space="preserve"> par la reprise notable de la production animale. La fin de la crise subie par la filière avicole </w:t>
      </w:r>
      <w:r w:rsidR="00B35D6A">
        <w:rPr>
          <w:rFonts w:asciiTheme="minorBidi" w:hAnsiTheme="minorBidi" w:cstheme="minorBidi"/>
          <w:sz w:val="20"/>
          <w:szCs w:val="20"/>
        </w:rPr>
        <w:t>à</w:t>
      </w:r>
      <w:r w:rsidRPr="003410B6">
        <w:rPr>
          <w:rFonts w:asciiTheme="minorBidi" w:hAnsiTheme="minorBidi" w:cstheme="minorBidi"/>
          <w:sz w:val="20"/>
          <w:szCs w:val="20"/>
        </w:rPr>
        <w:t xml:space="preserve"> fin 2015 et début de 2016, due à la présence de </w:t>
      </w:r>
      <w:r w:rsidR="009C2E67">
        <w:rPr>
          <w:rFonts w:asciiTheme="minorBidi" w:hAnsiTheme="minorBidi" w:cstheme="minorBidi"/>
          <w:sz w:val="20"/>
          <w:szCs w:val="20"/>
        </w:rPr>
        <w:t>la grippe</w:t>
      </w:r>
      <w:r w:rsidRPr="003410B6">
        <w:rPr>
          <w:rFonts w:asciiTheme="minorBidi" w:hAnsiTheme="minorBidi" w:cstheme="minorBidi"/>
          <w:sz w:val="20"/>
          <w:szCs w:val="20"/>
        </w:rPr>
        <w:t xml:space="preserve"> aviaire, se serait traduite par une sensible amélioration de la production de </w:t>
      </w:r>
      <w:r w:rsidR="00D82172">
        <w:rPr>
          <w:rFonts w:asciiTheme="minorBidi" w:hAnsiTheme="minorBidi" w:cstheme="minorBidi"/>
          <w:sz w:val="20"/>
          <w:szCs w:val="20"/>
        </w:rPr>
        <w:t xml:space="preserve">la </w:t>
      </w:r>
      <w:r w:rsidRPr="003410B6">
        <w:rPr>
          <w:rFonts w:asciiTheme="minorBidi" w:hAnsiTheme="minorBidi" w:cstheme="minorBidi"/>
          <w:sz w:val="20"/>
          <w:szCs w:val="20"/>
        </w:rPr>
        <w:t>viande blanche et des œufs, après des baisses respectives de 7% et 16% en 2016. Les difficultés d’élevage du grand cheptel se seraient,</w:t>
      </w:r>
      <w:r>
        <w:rPr>
          <w:rFonts w:asciiTheme="minorBidi" w:hAnsiTheme="minorBidi"/>
          <w:sz w:val="20"/>
          <w:szCs w:val="20"/>
        </w:rPr>
        <w:t xml:space="preserve"> </w:t>
      </w:r>
      <w:r w:rsidRPr="003410B6">
        <w:rPr>
          <w:rFonts w:asciiTheme="minorBidi" w:hAnsiTheme="minorBidi" w:cstheme="minorBidi"/>
          <w:sz w:val="20"/>
          <w:szCs w:val="20"/>
        </w:rPr>
        <w:t xml:space="preserve">également, atténuées dans un contexte </w:t>
      </w:r>
      <w:r w:rsidR="00E6618A">
        <w:rPr>
          <w:rFonts w:asciiTheme="minorBidi" w:hAnsiTheme="minorBidi" w:cstheme="minorBidi"/>
          <w:sz w:val="20"/>
          <w:szCs w:val="20"/>
        </w:rPr>
        <w:t>de baisse</w:t>
      </w:r>
      <w:r w:rsidRPr="003410B6">
        <w:rPr>
          <w:rFonts w:asciiTheme="minorBidi" w:hAnsiTheme="minorBidi" w:cstheme="minorBidi"/>
          <w:sz w:val="20"/>
          <w:szCs w:val="20"/>
        </w:rPr>
        <w:t xml:space="preserve"> des prix des aliments de bétail, notamment le son et le PSB</w:t>
      </w:r>
      <w:r w:rsidR="009C2E67">
        <w:rPr>
          <w:rFonts w:asciiTheme="minorBidi" w:hAnsiTheme="minorBidi" w:cstheme="minorBidi"/>
          <w:sz w:val="20"/>
          <w:szCs w:val="20"/>
        </w:rPr>
        <w:t xml:space="preserve"> et de reprise de l’offre local</w:t>
      </w:r>
      <w:r w:rsidR="000C78FE">
        <w:rPr>
          <w:rFonts w:asciiTheme="minorBidi" w:hAnsiTheme="minorBidi" w:cstheme="minorBidi"/>
          <w:sz w:val="20"/>
          <w:szCs w:val="20"/>
        </w:rPr>
        <w:t>e</w:t>
      </w:r>
      <w:r w:rsidR="009C2E67">
        <w:rPr>
          <w:rFonts w:asciiTheme="minorBidi" w:hAnsiTheme="minorBidi" w:cstheme="minorBidi"/>
          <w:sz w:val="20"/>
          <w:szCs w:val="20"/>
        </w:rPr>
        <w:t xml:space="preserve"> de l’orge et de la paille</w:t>
      </w:r>
      <w:r w:rsidRPr="003410B6">
        <w:rPr>
          <w:rFonts w:asciiTheme="minorBidi" w:hAnsiTheme="minorBidi" w:cstheme="minorBidi"/>
          <w:sz w:val="20"/>
          <w:szCs w:val="20"/>
        </w:rPr>
        <w:t xml:space="preserve">. </w:t>
      </w:r>
    </w:p>
    <w:p w:rsidR="0081799F" w:rsidRPr="00D34739" w:rsidRDefault="0081799F" w:rsidP="00B04AF8">
      <w:pPr>
        <w:jc w:val="both"/>
        <w:rPr>
          <w:rFonts w:asciiTheme="minorBidi" w:hAnsiTheme="minorBidi" w:cstheme="minorBidi"/>
          <w:sz w:val="20"/>
          <w:szCs w:val="20"/>
        </w:rPr>
      </w:pPr>
    </w:p>
    <w:p w:rsidR="006B703B" w:rsidRDefault="006B703B" w:rsidP="002A6F8B">
      <w:pPr>
        <w:jc w:val="both"/>
        <w:rPr>
          <w:rFonts w:ascii="Arial" w:hAnsi="Arial" w:cs="Arial"/>
          <w:b/>
          <w:bCs/>
          <w:color w:val="800000"/>
          <w:kern w:val="28"/>
          <w:sz w:val="20"/>
          <w:szCs w:val="20"/>
        </w:rPr>
      </w:pPr>
    </w:p>
    <w:p w:rsidR="000930FC" w:rsidRDefault="000930FC" w:rsidP="002A6F8B">
      <w:pPr>
        <w:jc w:val="both"/>
        <w:rPr>
          <w:rFonts w:ascii="Arial" w:hAnsi="Arial" w:cs="Arial"/>
          <w:b/>
          <w:bCs/>
          <w:color w:val="800000"/>
          <w:kern w:val="28"/>
          <w:sz w:val="20"/>
          <w:szCs w:val="20"/>
        </w:rPr>
      </w:pPr>
    </w:p>
    <w:p w:rsidR="000930FC" w:rsidRDefault="000930FC" w:rsidP="002A6F8B">
      <w:pPr>
        <w:jc w:val="both"/>
        <w:rPr>
          <w:rFonts w:ascii="Arial" w:hAnsi="Arial" w:cs="Arial"/>
          <w:b/>
          <w:bCs/>
          <w:color w:val="800000"/>
          <w:kern w:val="28"/>
          <w:sz w:val="20"/>
          <w:szCs w:val="20"/>
        </w:rPr>
      </w:pPr>
      <w:bookmarkStart w:id="0" w:name="_GoBack"/>
      <w:bookmarkEnd w:id="0"/>
    </w:p>
    <w:p w:rsidR="0097276B" w:rsidRDefault="00D82172" w:rsidP="002A6F8B">
      <w:pPr>
        <w:jc w:val="both"/>
        <w:rPr>
          <w:rFonts w:ascii="Arial" w:hAnsi="Arial" w:cs="Arial"/>
          <w:b/>
          <w:bCs/>
          <w:color w:val="800000"/>
          <w:kern w:val="28"/>
          <w:sz w:val="20"/>
          <w:szCs w:val="20"/>
        </w:rPr>
      </w:pPr>
      <w:r>
        <w:rPr>
          <w:rFonts w:ascii="Arial" w:hAnsi="Arial" w:cs="Arial"/>
          <w:b/>
          <w:bCs/>
          <w:color w:val="800000"/>
          <w:kern w:val="28"/>
          <w:sz w:val="20"/>
          <w:szCs w:val="20"/>
        </w:rPr>
        <w:lastRenderedPageBreak/>
        <w:t>Accroissement</w:t>
      </w:r>
      <w:r w:rsidR="006B703B">
        <w:rPr>
          <w:rFonts w:ascii="Arial" w:hAnsi="Arial" w:cs="Arial"/>
          <w:b/>
          <w:bCs/>
          <w:color w:val="800000"/>
          <w:kern w:val="28"/>
          <w:sz w:val="20"/>
          <w:szCs w:val="20"/>
        </w:rPr>
        <w:t xml:space="preserve"> plus soutenue</w:t>
      </w:r>
      <w:r w:rsidR="00DF7F9A">
        <w:rPr>
          <w:rFonts w:ascii="Arial" w:hAnsi="Arial" w:cs="Arial"/>
          <w:b/>
          <w:bCs/>
          <w:color w:val="800000"/>
          <w:kern w:val="28"/>
          <w:sz w:val="20"/>
          <w:szCs w:val="20"/>
        </w:rPr>
        <w:t xml:space="preserve"> </w:t>
      </w:r>
      <w:r w:rsidR="0097276B">
        <w:rPr>
          <w:rFonts w:ascii="Arial" w:hAnsi="Arial" w:cs="Arial"/>
          <w:b/>
          <w:bCs/>
          <w:color w:val="800000"/>
          <w:kern w:val="28"/>
          <w:sz w:val="20"/>
          <w:szCs w:val="20"/>
        </w:rPr>
        <w:t>des activités hors agriculture</w:t>
      </w:r>
    </w:p>
    <w:p w:rsidR="0097276B" w:rsidRDefault="0097276B" w:rsidP="005F2599">
      <w:pPr>
        <w:jc w:val="both"/>
        <w:rPr>
          <w:rFonts w:ascii="Arial" w:hAnsi="Arial" w:cs="Arial"/>
          <w:sz w:val="20"/>
          <w:szCs w:val="20"/>
        </w:rPr>
      </w:pPr>
    </w:p>
    <w:p w:rsidR="005F2599" w:rsidRPr="005F2599" w:rsidRDefault="00A62EAF" w:rsidP="00F11BD3">
      <w:pPr>
        <w:ind w:right="170"/>
        <w:jc w:val="both"/>
        <w:rPr>
          <w:rFonts w:ascii="Arial" w:hAnsi="Arial" w:cs="Arial"/>
          <w:sz w:val="20"/>
          <w:szCs w:val="20"/>
        </w:rPr>
      </w:pPr>
      <w:r>
        <w:rPr>
          <w:rFonts w:ascii="Arial" w:hAnsi="Arial" w:cs="Arial"/>
          <w:noProof/>
          <w:sz w:val="20"/>
          <w:szCs w:val="20"/>
        </w:rPr>
        <w:t>L</w:t>
      </w:r>
      <w:r w:rsidR="001365F9">
        <w:rPr>
          <w:rFonts w:ascii="Arial" w:hAnsi="Arial" w:cs="Arial"/>
          <w:noProof/>
          <w:sz w:val="20"/>
          <w:szCs w:val="20"/>
        </w:rPr>
        <w:t xml:space="preserve">a valeur ajoutée hors </w:t>
      </w:r>
      <w:r w:rsidR="00C555C5">
        <w:rPr>
          <w:rFonts w:ascii="Arial" w:hAnsi="Arial" w:cs="Arial"/>
          <w:sz w:val="20"/>
          <w:szCs w:val="20"/>
        </w:rPr>
        <w:t>agric</w:t>
      </w:r>
      <w:r w:rsidR="001365F9">
        <w:rPr>
          <w:rFonts w:ascii="Arial" w:hAnsi="Arial" w:cs="Arial"/>
          <w:sz w:val="20"/>
          <w:szCs w:val="20"/>
        </w:rPr>
        <w:t>ulture</w:t>
      </w:r>
      <w:r w:rsidR="00C07B2B">
        <w:rPr>
          <w:rFonts w:ascii="Arial" w:hAnsi="Arial" w:cs="Arial"/>
          <w:sz w:val="20"/>
          <w:szCs w:val="20"/>
        </w:rPr>
        <w:t xml:space="preserve"> </w:t>
      </w:r>
      <w:r w:rsidR="00686110">
        <w:rPr>
          <w:rFonts w:ascii="Arial" w:hAnsi="Arial" w:cs="Arial"/>
          <w:sz w:val="20"/>
          <w:szCs w:val="20"/>
        </w:rPr>
        <w:t xml:space="preserve">se serait </w:t>
      </w:r>
      <w:r w:rsidR="001365F9">
        <w:rPr>
          <w:rFonts w:ascii="Arial" w:hAnsi="Arial" w:cs="Arial"/>
          <w:sz w:val="20"/>
          <w:szCs w:val="20"/>
        </w:rPr>
        <w:t xml:space="preserve">accrue de </w:t>
      </w:r>
      <w:r w:rsidR="00BA21CD">
        <w:rPr>
          <w:rFonts w:ascii="Arial" w:hAnsi="Arial" w:cs="Arial"/>
          <w:sz w:val="20"/>
          <w:szCs w:val="20"/>
        </w:rPr>
        <w:t>3</w:t>
      </w:r>
      <w:r w:rsidR="00CA69EF">
        <w:rPr>
          <w:rFonts w:ascii="Arial" w:hAnsi="Arial" w:cs="Arial"/>
          <w:sz w:val="20"/>
          <w:szCs w:val="20"/>
        </w:rPr>
        <w:t>,</w:t>
      </w:r>
      <w:r w:rsidR="00BA21CD">
        <w:rPr>
          <w:rFonts w:ascii="Arial" w:hAnsi="Arial" w:cs="Arial"/>
          <w:sz w:val="20"/>
          <w:szCs w:val="20"/>
        </w:rPr>
        <w:t>3</w:t>
      </w:r>
      <w:r w:rsidR="001365F9">
        <w:rPr>
          <w:rFonts w:ascii="Arial" w:hAnsi="Arial" w:cs="Arial"/>
          <w:sz w:val="20"/>
          <w:szCs w:val="20"/>
        </w:rPr>
        <w:t xml:space="preserve">%, </w:t>
      </w:r>
      <w:r w:rsidR="00C07B2B">
        <w:rPr>
          <w:rFonts w:ascii="Arial" w:hAnsi="Arial" w:cs="Arial"/>
          <w:sz w:val="20"/>
          <w:szCs w:val="20"/>
        </w:rPr>
        <w:t xml:space="preserve">au </w:t>
      </w:r>
      <w:r w:rsidR="00F86E17">
        <w:rPr>
          <w:rFonts w:ascii="Arial" w:hAnsi="Arial" w:cs="Arial"/>
          <w:iCs/>
          <w:color w:val="000000"/>
          <w:sz w:val="20"/>
          <w:szCs w:val="20"/>
          <w:lang w:eastAsia="en-US"/>
        </w:rPr>
        <w:t>deuxième</w:t>
      </w:r>
      <w:r w:rsidR="00CC75D6">
        <w:rPr>
          <w:rFonts w:ascii="Arial" w:hAnsi="Arial" w:cs="Arial"/>
          <w:iCs/>
          <w:color w:val="000000"/>
          <w:sz w:val="20"/>
          <w:szCs w:val="20"/>
          <w:lang w:eastAsia="en-US"/>
        </w:rPr>
        <w:t xml:space="preserve"> trimestre 2017</w:t>
      </w:r>
      <w:r>
        <w:rPr>
          <w:rFonts w:ascii="Arial" w:hAnsi="Arial" w:cs="Arial"/>
          <w:sz w:val="20"/>
          <w:szCs w:val="20"/>
        </w:rPr>
        <w:t xml:space="preserve">, </w:t>
      </w:r>
      <w:r w:rsidR="00686110">
        <w:rPr>
          <w:rFonts w:ascii="Arial" w:hAnsi="Arial" w:cs="Arial"/>
          <w:sz w:val="20"/>
          <w:szCs w:val="20"/>
        </w:rPr>
        <w:t xml:space="preserve">au lieu de </w:t>
      </w:r>
      <w:r w:rsidR="00F217C5">
        <w:rPr>
          <w:rFonts w:ascii="Arial" w:hAnsi="Arial" w:cs="Arial"/>
          <w:sz w:val="20"/>
          <w:szCs w:val="20"/>
        </w:rPr>
        <w:t>+</w:t>
      </w:r>
      <w:r w:rsidR="00CA69EF">
        <w:rPr>
          <w:rFonts w:ascii="Arial" w:hAnsi="Arial" w:cs="Arial"/>
          <w:sz w:val="20"/>
          <w:szCs w:val="20"/>
        </w:rPr>
        <w:t>1,7</w:t>
      </w:r>
      <w:r w:rsidR="00686110">
        <w:rPr>
          <w:rFonts w:ascii="Arial" w:hAnsi="Arial" w:cs="Arial"/>
          <w:sz w:val="20"/>
          <w:szCs w:val="20"/>
        </w:rPr>
        <w:t>% un</w:t>
      </w:r>
      <w:r w:rsidR="00CA69EF">
        <w:rPr>
          <w:rFonts w:ascii="Arial" w:hAnsi="Arial" w:cs="Arial"/>
          <w:sz w:val="20"/>
          <w:szCs w:val="20"/>
        </w:rPr>
        <w:t>e</w:t>
      </w:r>
      <w:r w:rsidR="00686110">
        <w:rPr>
          <w:rFonts w:ascii="Arial" w:hAnsi="Arial" w:cs="Arial"/>
          <w:sz w:val="20"/>
          <w:szCs w:val="20"/>
        </w:rPr>
        <w:t xml:space="preserve"> </w:t>
      </w:r>
      <w:r w:rsidR="00CA69EF">
        <w:rPr>
          <w:rFonts w:ascii="Arial" w:hAnsi="Arial" w:cs="Arial"/>
          <w:sz w:val="20"/>
          <w:szCs w:val="20"/>
        </w:rPr>
        <w:t>année</w:t>
      </w:r>
      <w:r w:rsidR="00686110">
        <w:rPr>
          <w:rFonts w:ascii="Arial" w:hAnsi="Arial" w:cs="Arial"/>
          <w:sz w:val="20"/>
          <w:szCs w:val="20"/>
        </w:rPr>
        <w:t xml:space="preserve"> auparavant</w:t>
      </w:r>
      <w:r w:rsidR="0097276B" w:rsidRPr="00873491">
        <w:rPr>
          <w:rFonts w:ascii="Arial" w:hAnsi="Arial" w:cs="Arial"/>
          <w:sz w:val="20"/>
          <w:szCs w:val="20"/>
        </w:rPr>
        <w:t xml:space="preserve">. </w:t>
      </w:r>
      <w:r w:rsidR="003C119B">
        <w:rPr>
          <w:rFonts w:ascii="Arial" w:hAnsi="Arial" w:cs="Arial"/>
          <w:sz w:val="20"/>
          <w:szCs w:val="20"/>
        </w:rPr>
        <w:t>Contribuant pour près de 1,</w:t>
      </w:r>
      <w:r w:rsidR="00BA21CD">
        <w:rPr>
          <w:rFonts w:ascii="Arial" w:hAnsi="Arial" w:cs="Arial"/>
          <w:sz w:val="20"/>
          <w:szCs w:val="20"/>
        </w:rPr>
        <w:t>3</w:t>
      </w:r>
      <w:r w:rsidR="003C119B">
        <w:rPr>
          <w:rFonts w:ascii="Arial" w:hAnsi="Arial" w:cs="Arial"/>
          <w:sz w:val="20"/>
          <w:szCs w:val="20"/>
        </w:rPr>
        <w:t xml:space="preserve"> point, l</w:t>
      </w:r>
      <w:r w:rsidR="002765A6">
        <w:rPr>
          <w:rFonts w:ascii="Arial" w:hAnsi="Arial" w:cs="Arial"/>
          <w:sz w:val="20"/>
          <w:szCs w:val="20"/>
        </w:rPr>
        <w:t>e</w:t>
      </w:r>
      <w:r w:rsidR="00F11BD3">
        <w:rPr>
          <w:rFonts w:ascii="Arial" w:hAnsi="Arial" w:cs="Arial"/>
          <w:sz w:val="20"/>
          <w:szCs w:val="20"/>
        </w:rPr>
        <w:t xml:space="preserve"> secteur</w:t>
      </w:r>
      <w:r w:rsidR="002765A6">
        <w:rPr>
          <w:rFonts w:ascii="Arial" w:hAnsi="Arial" w:cs="Arial"/>
          <w:sz w:val="20"/>
          <w:szCs w:val="20"/>
        </w:rPr>
        <w:t xml:space="preserve"> tertiaire aurait continué de soutenir l’activité économique, grâce notamment à la </w:t>
      </w:r>
      <w:r w:rsidR="00E044C7">
        <w:rPr>
          <w:rFonts w:ascii="Arial" w:hAnsi="Arial" w:cs="Arial"/>
          <w:sz w:val="20"/>
          <w:szCs w:val="20"/>
        </w:rPr>
        <w:t>bonne orientation</w:t>
      </w:r>
      <w:r w:rsidR="002765A6">
        <w:rPr>
          <w:rFonts w:ascii="Arial" w:hAnsi="Arial" w:cs="Arial"/>
          <w:sz w:val="20"/>
          <w:szCs w:val="20"/>
        </w:rPr>
        <w:t xml:space="preserve"> des activités du commerce et d</w:t>
      </w:r>
      <w:r w:rsidR="00A40F99">
        <w:rPr>
          <w:rFonts w:ascii="Arial" w:hAnsi="Arial" w:cs="Arial"/>
          <w:sz w:val="20"/>
          <w:szCs w:val="20"/>
        </w:rPr>
        <w:t>u transport</w:t>
      </w:r>
      <w:r w:rsidR="002765A6">
        <w:rPr>
          <w:rFonts w:ascii="Arial" w:hAnsi="Arial" w:cs="Arial"/>
          <w:sz w:val="20"/>
          <w:szCs w:val="20"/>
        </w:rPr>
        <w:t xml:space="preserve"> et de la </w:t>
      </w:r>
      <w:r w:rsidR="004D5CE9">
        <w:rPr>
          <w:rFonts w:ascii="Arial" w:hAnsi="Arial" w:cs="Arial"/>
          <w:sz w:val="20"/>
          <w:szCs w:val="20"/>
        </w:rPr>
        <w:t xml:space="preserve">poursuite </w:t>
      </w:r>
      <w:r w:rsidR="00A97AC1">
        <w:rPr>
          <w:rFonts w:ascii="Arial" w:hAnsi="Arial" w:cs="Arial"/>
          <w:sz w:val="20"/>
          <w:szCs w:val="20"/>
        </w:rPr>
        <w:t>de la dynamique</w:t>
      </w:r>
      <w:r w:rsidR="002765A6">
        <w:rPr>
          <w:rFonts w:ascii="Arial" w:hAnsi="Arial" w:cs="Arial"/>
          <w:sz w:val="20"/>
          <w:szCs w:val="20"/>
        </w:rPr>
        <w:t xml:space="preserve"> des activités touristiques</w:t>
      </w:r>
      <w:r w:rsidR="00502E10">
        <w:rPr>
          <w:rFonts w:ascii="Arial" w:hAnsi="Arial" w:cs="Arial"/>
          <w:sz w:val="20"/>
          <w:szCs w:val="20"/>
        </w:rPr>
        <w:t>. La v</w:t>
      </w:r>
      <w:r w:rsidR="00FF454F">
        <w:rPr>
          <w:rFonts w:ascii="Arial" w:hAnsi="Arial" w:cs="Arial"/>
          <w:sz w:val="20"/>
          <w:szCs w:val="20"/>
        </w:rPr>
        <w:t xml:space="preserve">aleur ajoutée </w:t>
      </w:r>
      <w:r w:rsidR="00502E10">
        <w:rPr>
          <w:rFonts w:ascii="Arial" w:hAnsi="Arial" w:cs="Arial"/>
          <w:sz w:val="20"/>
          <w:szCs w:val="20"/>
        </w:rPr>
        <w:t>de ce</w:t>
      </w:r>
      <w:r w:rsidR="00A97AC1">
        <w:rPr>
          <w:rFonts w:ascii="Arial" w:hAnsi="Arial" w:cs="Arial"/>
          <w:sz w:val="20"/>
          <w:szCs w:val="20"/>
        </w:rPr>
        <w:t>s</w:t>
      </w:r>
      <w:r w:rsidR="00502E10">
        <w:rPr>
          <w:rFonts w:ascii="Arial" w:hAnsi="Arial" w:cs="Arial"/>
          <w:sz w:val="20"/>
          <w:szCs w:val="20"/>
        </w:rPr>
        <w:t xml:space="preserve"> dernière</w:t>
      </w:r>
      <w:r w:rsidR="00A97AC1">
        <w:rPr>
          <w:rFonts w:ascii="Arial" w:hAnsi="Arial" w:cs="Arial"/>
          <w:sz w:val="20"/>
          <w:szCs w:val="20"/>
        </w:rPr>
        <w:t>s</w:t>
      </w:r>
      <w:r w:rsidR="00502E10">
        <w:rPr>
          <w:rFonts w:ascii="Arial" w:hAnsi="Arial" w:cs="Arial"/>
          <w:sz w:val="20"/>
          <w:szCs w:val="20"/>
        </w:rPr>
        <w:t xml:space="preserve"> </w:t>
      </w:r>
      <w:r w:rsidR="00FF454F">
        <w:rPr>
          <w:rFonts w:ascii="Arial" w:hAnsi="Arial" w:cs="Arial"/>
          <w:sz w:val="20"/>
          <w:szCs w:val="20"/>
        </w:rPr>
        <w:t>se</w:t>
      </w:r>
      <w:r w:rsidR="002765A6">
        <w:rPr>
          <w:rFonts w:ascii="Arial" w:hAnsi="Arial" w:cs="Arial"/>
          <w:sz w:val="20"/>
          <w:szCs w:val="20"/>
        </w:rPr>
        <w:t xml:space="preserve"> serait </w:t>
      </w:r>
      <w:r w:rsidR="00594FD0">
        <w:rPr>
          <w:rFonts w:ascii="Arial" w:hAnsi="Arial" w:cs="Arial"/>
          <w:sz w:val="20"/>
          <w:szCs w:val="20"/>
        </w:rPr>
        <w:t>accru</w:t>
      </w:r>
      <w:r w:rsidR="002765A6">
        <w:rPr>
          <w:rFonts w:ascii="Arial" w:hAnsi="Arial" w:cs="Arial"/>
          <w:sz w:val="20"/>
          <w:szCs w:val="20"/>
        </w:rPr>
        <w:t xml:space="preserve">e de </w:t>
      </w:r>
      <w:r w:rsidR="00FD0230">
        <w:rPr>
          <w:rFonts w:ascii="Arial" w:hAnsi="Arial" w:cs="Arial"/>
          <w:sz w:val="20"/>
          <w:szCs w:val="20"/>
        </w:rPr>
        <w:t>9</w:t>
      </w:r>
      <w:r w:rsidR="008F194A">
        <w:rPr>
          <w:rFonts w:ascii="Arial" w:hAnsi="Arial" w:cs="Arial"/>
          <w:sz w:val="20"/>
          <w:szCs w:val="20"/>
        </w:rPr>
        <w:t>,</w:t>
      </w:r>
      <w:r w:rsidR="00653403">
        <w:rPr>
          <w:rFonts w:ascii="Arial" w:hAnsi="Arial" w:cs="Arial"/>
          <w:sz w:val="20"/>
          <w:szCs w:val="20"/>
        </w:rPr>
        <w:t>6</w:t>
      </w:r>
      <w:r w:rsidR="002765A6">
        <w:rPr>
          <w:rFonts w:ascii="Arial" w:hAnsi="Arial" w:cs="Arial"/>
          <w:sz w:val="20"/>
          <w:szCs w:val="20"/>
        </w:rPr>
        <w:t xml:space="preserve">%, en variation annuelle, </w:t>
      </w:r>
      <w:r w:rsidR="007A101D">
        <w:rPr>
          <w:rFonts w:ascii="Arial" w:hAnsi="Arial" w:cs="Arial"/>
          <w:sz w:val="20"/>
          <w:szCs w:val="20"/>
        </w:rPr>
        <w:t xml:space="preserve">au lieu de </w:t>
      </w:r>
      <w:r w:rsidR="00653403">
        <w:rPr>
          <w:rFonts w:ascii="Arial" w:hAnsi="Arial" w:cs="Arial"/>
          <w:sz w:val="20"/>
          <w:szCs w:val="20"/>
        </w:rPr>
        <w:t>-</w:t>
      </w:r>
      <w:r w:rsidR="007A101D">
        <w:rPr>
          <w:rFonts w:ascii="Arial" w:hAnsi="Arial" w:cs="Arial"/>
          <w:sz w:val="20"/>
          <w:szCs w:val="20"/>
        </w:rPr>
        <w:t>2% une année auparavant</w:t>
      </w:r>
      <w:r w:rsidR="002765A6">
        <w:rPr>
          <w:rFonts w:ascii="Arial" w:hAnsi="Arial" w:cs="Arial"/>
          <w:sz w:val="20"/>
          <w:szCs w:val="20"/>
        </w:rPr>
        <w:t xml:space="preserve">. </w:t>
      </w:r>
      <w:r w:rsidR="0028291C">
        <w:rPr>
          <w:rFonts w:ascii="Arial" w:hAnsi="Arial" w:cs="Arial"/>
          <w:sz w:val="20"/>
          <w:szCs w:val="20"/>
        </w:rPr>
        <w:t xml:space="preserve">Cette </w:t>
      </w:r>
      <w:r w:rsidR="005C749E">
        <w:rPr>
          <w:rFonts w:ascii="Arial" w:hAnsi="Arial" w:cs="Arial"/>
          <w:sz w:val="20"/>
          <w:szCs w:val="20"/>
        </w:rPr>
        <w:t>performanc</w:t>
      </w:r>
      <w:r w:rsidR="0028291C">
        <w:rPr>
          <w:rFonts w:ascii="Arial" w:hAnsi="Arial" w:cs="Arial"/>
          <w:sz w:val="20"/>
          <w:szCs w:val="20"/>
        </w:rPr>
        <w:t xml:space="preserve">e </w:t>
      </w:r>
      <w:r w:rsidR="002765A6">
        <w:rPr>
          <w:rFonts w:ascii="Arial" w:hAnsi="Arial" w:cs="Arial"/>
          <w:sz w:val="20"/>
          <w:szCs w:val="20"/>
        </w:rPr>
        <w:t xml:space="preserve">aurait été </w:t>
      </w:r>
      <w:r w:rsidR="006B703B">
        <w:rPr>
          <w:rFonts w:ascii="Arial" w:hAnsi="Arial" w:cs="Arial"/>
          <w:sz w:val="20"/>
          <w:szCs w:val="20"/>
        </w:rPr>
        <w:t>favorisée</w:t>
      </w:r>
      <w:r w:rsidR="002765A6">
        <w:rPr>
          <w:rFonts w:ascii="Arial" w:hAnsi="Arial" w:cs="Arial"/>
          <w:sz w:val="20"/>
          <w:szCs w:val="20"/>
        </w:rPr>
        <w:t xml:space="preserve"> par une hausse </w:t>
      </w:r>
      <w:r w:rsidR="00B336D0">
        <w:rPr>
          <w:rFonts w:ascii="Arial" w:hAnsi="Arial" w:cs="Arial"/>
          <w:sz w:val="20"/>
          <w:szCs w:val="20"/>
        </w:rPr>
        <w:t xml:space="preserve">de 4,3% des recettes </w:t>
      </w:r>
      <w:r w:rsidR="003C0559">
        <w:rPr>
          <w:rFonts w:ascii="Arial" w:hAnsi="Arial" w:cs="Arial"/>
          <w:sz w:val="20"/>
          <w:szCs w:val="20"/>
        </w:rPr>
        <w:t>de voyages</w:t>
      </w:r>
      <w:r w:rsidR="00B336D0">
        <w:rPr>
          <w:rFonts w:ascii="Arial" w:hAnsi="Arial" w:cs="Arial"/>
          <w:sz w:val="20"/>
          <w:szCs w:val="20"/>
        </w:rPr>
        <w:t xml:space="preserve"> et </w:t>
      </w:r>
      <w:r w:rsidR="002765A6">
        <w:rPr>
          <w:rFonts w:ascii="Arial" w:hAnsi="Arial" w:cs="Arial"/>
          <w:sz w:val="20"/>
          <w:szCs w:val="20"/>
        </w:rPr>
        <w:t xml:space="preserve">de </w:t>
      </w:r>
      <w:r w:rsidR="00653403">
        <w:rPr>
          <w:rFonts w:ascii="Arial" w:hAnsi="Arial" w:cs="Arial"/>
          <w:sz w:val="20"/>
          <w:szCs w:val="20"/>
        </w:rPr>
        <w:t>21,7</w:t>
      </w:r>
      <w:r w:rsidR="002765A6">
        <w:rPr>
          <w:rFonts w:ascii="Arial" w:hAnsi="Arial" w:cs="Arial"/>
          <w:sz w:val="20"/>
          <w:szCs w:val="20"/>
        </w:rPr>
        <w:t xml:space="preserve">% des nuitées touristiques. </w:t>
      </w:r>
    </w:p>
    <w:p w:rsidR="005F2599" w:rsidRPr="005F2599" w:rsidRDefault="005F2599" w:rsidP="005F2599">
      <w:pPr>
        <w:ind w:right="170"/>
        <w:jc w:val="both"/>
        <w:rPr>
          <w:rFonts w:ascii="Arial" w:hAnsi="Arial" w:cs="Arial"/>
          <w:sz w:val="20"/>
          <w:szCs w:val="20"/>
        </w:rPr>
      </w:pPr>
    </w:p>
    <w:p w:rsidR="004523B1" w:rsidRPr="003410B6" w:rsidRDefault="001A037A" w:rsidP="00316F92">
      <w:pPr>
        <w:jc w:val="both"/>
        <w:rPr>
          <w:rFonts w:asciiTheme="minorBidi" w:hAnsiTheme="minorBidi" w:cstheme="minorBidi"/>
          <w:sz w:val="20"/>
          <w:szCs w:val="20"/>
        </w:rPr>
      </w:pPr>
      <w:r>
        <w:rPr>
          <w:rFonts w:ascii="Arial" w:hAnsi="Arial" w:cs="Arial"/>
          <w:sz w:val="20"/>
          <w:szCs w:val="20"/>
        </w:rPr>
        <w:t xml:space="preserve">La </w:t>
      </w:r>
      <w:r w:rsidR="00502E10">
        <w:rPr>
          <w:rFonts w:ascii="Arial" w:hAnsi="Arial" w:cs="Arial"/>
          <w:sz w:val="20"/>
          <w:szCs w:val="20"/>
        </w:rPr>
        <w:t xml:space="preserve">valeur ajoutée </w:t>
      </w:r>
      <w:r>
        <w:rPr>
          <w:rFonts w:ascii="Arial" w:hAnsi="Arial" w:cs="Arial"/>
          <w:sz w:val="20"/>
          <w:szCs w:val="20"/>
        </w:rPr>
        <w:t xml:space="preserve">du secteur secondaire </w:t>
      </w:r>
      <w:r w:rsidR="00502E10">
        <w:rPr>
          <w:rFonts w:ascii="Arial" w:hAnsi="Arial" w:cs="Arial"/>
          <w:sz w:val="20"/>
          <w:szCs w:val="20"/>
        </w:rPr>
        <w:t xml:space="preserve">se serait améliorée de </w:t>
      </w:r>
      <w:r w:rsidR="00BA21CD">
        <w:rPr>
          <w:rFonts w:ascii="Arial" w:hAnsi="Arial" w:cs="Arial"/>
          <w:sz w:val="20"/>
          <w:szCs w:val="20"/>
        </w:rPr>
        <w:t>3</w:t>
      </w:r>
      <w:r w:rsidR="00502E10">
        <w:rPr>
          <w:rFonts w:ascii="Arial" w:hAnsi="Arial" w:cs="Arial"/>
          <w:sz w:val="20"/>
          <w:szCs w:val="20"/>
        </w:rPr>
        <w:t>,</w:t>
      </w:r>
      <w:r w:rsidR="00BA21CD">
        <w:rPr>
          <w:rFonts w:ascii="Arial" w:hAnsi="Arial" w:cs="Arial"/>
          <w:sz w:val="20"/>
          <w:szCs w:val="20"/>
        </w:rPr>
        <w:t>8</w:t>
      </w:r>
      <w:r w:rsidR="00502E10">
        <w:rPr>
          <w:rFonts w:ascii="Arial" w:hAnsi="Arial" w:cs="Arial"/>
          <w:sz w:val="20"/>
          <w:szCs w:val="20"/>
        </w:rPr>
        <w:t xml:space="preserve">% au </w:t>
      </w:r>
      <w:r w:rsidR="00F86E17">
        <w:rPr>
          <w:rFonts w:ascii="Arial" w:hAnsi="Arial" w:cs="Arial"/>
          <w:iCs/>
          <w:color w:val="000000"/>
          <w:sz w:val="20"/>
          <w:szCs w:val="20"/>
          <w:lang w:eastAsia="en-US"/>
        </w:rPr>
        <w:t>deuxième</w:t>
      </w:r>
      <w:r w:rsidR="00502E10">
        <w:rPr>
          <w:rFonts w:ascii="Arial" w:hAnsi="Arial" w:cs="Arial"/>
          <w:sz w:val="20"/>
          <w:szCs w:val="20"/>
        </w:rPr>
        <w:t xml:space="preserve"> trimestre 2017, en variation annuelle, porté</w:t>
      </w:r>
      <w:r w:rsidR="00A97AC1">
        <w:rPr>
          <w:rFonts w:ascii="Arial" w:hAnsi="Arial" w:cs="Arial"/>
          <w:sz w:val="20"/>
          <w:szCs w:val="20"/>
        </w:rPr>
        <w:t>e</w:t>
      </w:r>
      <w:r w:rsidR="00502E10">
        <w:rPr>
          <w:rFonts w:ascii="Arial" w:hAnsi="Arial" w:cs="Arial"/>
          <w:sz w:val="20"/>
          <w:szCs w:val="20"/>
        </w:rPr>
        <w:t xml:space="preserve"> notamment par </w:t>
      </w:r>
      <w:r w:rsidR="00E67C8E">
        <w:rPr>
          <w:rFonts w:ascii="Arial" w:hAnsi="Arial" w:cs="Arial"/>
          <w:sz w:val="20"/>
          <w:szCs w:val="20"/>
        </w:rPr>
        <w:t>les mines et les industries de transformation</w:t>
      </w:r>
      <w:r w:rsidR="00502E10">
        <w:rPr>
          <w:rFonts w:ascii="Arial" w:hAnsi="Arial" w:cs="Arial"/>
          <w:sz w:val="20"/>
          <w:szCs w:val="20"/>
        </w:rPr>
        <w:t>.</w:t>
      </w:r>
      <w:r w:rsidR="00141788">
        <w:rPr>
          <w:rFonts w:ascii="Arial" w:hAnsi="Arial" w:cs="Arial"/>
          <w:sz w:val="20"/>
          <w:szCs w:val="20"/>
        </w:rPr>
        <w:t xml:space="preserve"> </w:t>
      </w:r>
      <w:r w:rsidR="004523B1" w:rsidRPr="003410B6">
        <w:rPr>
          <w:rFonts w:asciiTheme="minorBidi" w:hAnsiTheme="minorBidi" w:cstheme="minorBidi"/>
          <w:sz w:val="20"/>
          <w:szCs w:val="20"/>
        </w:rPr>
        <w:t>L</w:t>
      </w:r>
      <w:r w:rsidR="004523B1">
        <w:rPr>
          <w:rFonts w:asciiTheme="minorBidi" w:hAnsiTheme="minorBidi" w:cstheme="minorBidi"/>
          <w:sz w:val="20"/>
          <w:szCs w:val="20"/>
        </w:rPr>
        <w:t>a valeur ajouté</w:t>
      </w:r>
      <w:r w:rsidR="004523B1" w:rsidRPr="003410B6">
        <w:rPr>
          <w:rFonts w:asciiTheme="minorBidi" w:hAnsiTheme="minorBidi" w:cstheme="minorBidi"/>
          <w:sz w:val="20"/>
          <w:szCs w:val="20"/>
        </w:rPr>
        <w:t>e</w:t>
      </w:r>
      <w:r w:rsidR="004523B1">
        <w:rPr>
          <w:rFonts w:asciiTheme="minorBidi" w:hAnsiTheme="minorBidi" w:cstheme="minorBidi"/>
          <w:sz w:val="20"/>
          <w:szCs w:val="20"/>
        </w:rPr>
        <w:t xml:space="preserve"> </w:t>
      </w:r>
      <w:r w:rsidR="004523B1" w:rsidRPr="0030478A">
        <w:rPr>
          <w:rFonts w:asciiTheme="minorBidi" w:hAnsiTheme="minorBidi" w:cstheme="minorBidi"/>
          <w:b/>
          <w:bCs/>
          <w:sz w:val="20"/>
          <w:szCs w:val="20"/>
        </w:rPr>
        <w:t>minière</w:t>
      </w:r>
      <w:r w:rsidR="004523B1" w:rsidRPr="003410B6">
        <w:rPr>
          <w:rFonts w:asciiTheme="minorBidi" w:hAnsiTheme="minorBidi" w:cstheme="minorBidi"/>
          <w:sz w:val="20"/>
          <w:szCs w:val="20"/>
        </w:rPr>
        <w:t xml:space="preserve"> aurait été plus dynamique</w:t>
      </w:r>
      <w:r w:rsidR="00865548" w:rsidRPr="00865548">
        <w:rPr>
          <w:rFonts w:asciiTheme="minorBidi" w:hAnsiTheme="minorBidi" w:cstheme="minorBidi"/>
          <w:sz w:val="20"/>
          <w:szCs w:val="20"/>
        </w:rPr>
        <w:t xml:space="preserve"> </w:t>
      </w:r>
      <w:r w:rsidR="00865548" w:rsidRPr="003410B6">
        <w:rPr>
          <w:rFonts w:asciiTheme="minorBidi" w:hAnsiTheme="minorBidi" w:cstheme="minorBidi"/>
          <w:sz w:val="20"/>
          <w:szCs w:val="20"/>
        </w:rPr>
        <w:t>au deuxième trimestre 2017</w:t>
      </w:r>
      <w:r w:rsidR="004523B1" w:rsidRPr="003410B6">
        <w:rPr>
          <w:rFonts w:asciiTheme="minorBidi" w:hAnsiTheme="minorBidi" w:cstheme="minorBidi"/>
          <w:sz w:val="20"/>
          <w:szCs w:val="20"/>
        </w:rPr>
        <w:t>, affichant une croissance de 23,7%</w:t>
      </w:r>
      <w:r w:rsidR="00E67C8E">
        <w:rPr>
          <w:rFonts w:asciiTheme="minorBidi" w:hAnsiTheme="minorBidi" w:cstheme="minorBidi"/>
          <w:sz w:val="20"/>
          <w:szCs w:val="20"/>
        </w:rPr>
        <w:t xml:space="preserve">, </w:t>
      </w:r>
      <w:r w:rsidR="004523B1" w:rsidRPr="003410B6">
        <w:rPr>
          <w:rFonts w:asciiTheme="minorBidi" w:hAnsiTheme="minorBidi" w:cstheme="minorBidi"/>
          <w:sz w:val="20"/>
          <w:szCs w:val="20"/>
        </w:rPr>
        <w:t xml:space="preserve">en variation annuelle, après </w:t>
      </w:r>
      <w:r w:rsidR="00E67C8E">
        <w:rPr>
          <w:rFonts w:asciiTheme="minorBidi" w:hAnsiTheme="minorBidi" w:cstheme="minorBidi"/>
          <w:sz w:val="20"/>
          <w:szCs w:val="20"/>
        </w:rPr>
        <w:t>s’être affermi</w:t>
      </w:r>
      <w:r w:rsidR="00AF14B9">
        <w:rPr>
          <w:rFonts w:asciiTheme="minorBidi" w:hAnsiTheme="minorBidi" w:cstheme="minorBidi"/>
          <w:sz w:val="20"/>
          <w:szCs w:val="20"/>
        </w:rPr>
        <w:t>e</w:t>
      </w:r>
      <w:r w:rsidR="004523B1" w:rsidRPr="003410B6">
        <w:rPr>
          <w:rFonts w:asciiTheme="minorBidi" w:hAnsiTheme="minorBidi" w:cstheme="minorBidi"/>
          <w:sz w:val="20"/>
          <w:szCs w:val="20"/>
        </w:rPr>
        <w:t xml:space="preserve"> de 6,1% </w:t>
      </w:r>
      <w:r w:rsidR="00E67C8E">
        <w:rPr>
          <w:rFonts w:asciiTheme="minorBidi" w:hAnsiTheme="minorBidi" w:cstheme="minorBidi"/>
          <w:sz w:val="20"/>
          <w:szCs w:val="20"/>
        </w:rPr>
        <w:t>le</w:t>
      </w:r>
      <w:r w:rsidR="004523B1" w:rsidRPr="003410B6">
        <w:rPr>
          <w:rFonts w:asciiTheme="minorBidi" w:hAnsiTheme="minorBidi" w:cstheme="minorBidi"/>
          <w:sz w:val="20"/>
          <w:szCs w:val="20"/>
        </w:rPr>
        <w:t xml:space="preserve"> trimestre </w:t>
      </w:r>
      <w:r w:rsidR="00E67C8E">
        <w:rPr>
          <w:rFonts w:asciiTheme="minorBidi" w:hAnsiTheme="minorBidi" w:cstheme="minorBidi"/>
          <w:sz w:val="20"/>
          <w:szCs w:val="20"/>
        </w:rPr>
        <w:t>passé</w:t>
      </w:r>
      <w:r w:rsidR="004523B1" w:rsidRPr="003410B6">
        <w:rPr>
          <w:rFonts w:asciiTheme="minorBidi" w:hAnsiTheme="minorBidi" w:cstheme="minorBidi"/>
          <w:sz w:val="20"/>
          <w:szCs w:val="20"/>
        </w:rPr>
        <w:t xml:space="preserve">. La demande des industries chimiques locales aurait été plus </w:t>
      </w:r>
      <w:r w:rsidR="00E67C8E">
        <w:rPr>
          <w:rFonts w:asciiTheme="minorBidi" w:hAnsiTheme="minorBidi" w:cstheme="minorBidi"/>
          <w:sz w:val="20"/>
          <w:szCs w:val="20"/>
        </w:rPr>
        <w:t>solide</w:t>
      </w:r>
      <w:r w:rsidR="004523B1" w:rsidRPr="003410B6">
        <w:rPr>
          <w:rFonts w:asciiTheme="minorBidi" w:hAnsiTheme="minorBidi" w:cstheme="minorBidi"/>
          <w:sz w:val="20"/>
          <w:szCs w:val="20"/>
        </w:rPr>
        <w:t>, en réponse au raffermissement</w:t>
      </w:r>
      <w:r w:rsidR="004523B1">
        <w:rPr>
          <w:rFonts w:asciiTheme="minorBidi" w:hAnsiTheme="minorBidi" w:cstheme="minorBidi"/>
          <w:sz w:val="20"/>
          <w:szCs w:val="20"/>
        </w:rPr>
        <w:t xml:space="preserve"> </w:t>
      </w:r>
      <w:r w:rsidR="004523B1" w:rsidRPr="003410B6">
        <w:rPr>
          <w:rFonts w:asciiTheme="minorBidi" w:hAnsiTheme="minorBidi" w:cstheme="minorBidi"/>
          <w:sz w:val="20"/>
          <w:szCs w:val="20"/>
        </w:rPr>
        <w:t>du commerce mondial des engrais phosphatés, notamment suite aux effets</w:t>
      </w:r>
      <w:r w:rsidR="004523B1">
        <w:rPr>
          <w:rFonts w:asciiTheme="minorBidi" w:hAnsiTheme="minorBidi" w:cstheme="minorBidi"/>
          <w:sz w:val="20"/>
          <w:szCs w:val="20"/>
        </w:rPr>
        <w:t xml:space="preserve"> </w:t>
      </w:r>
      <w:r w:rsidR="004523B1" w:rsidRPr="003410B6">
        <w:rPr>
          <w:rFonts w:asciiTheme="minorBidi" w:hAnsiTheme="minorBidi" w:cstheme="minorBidi"/>
          <w:sz w:val="20"/>
          <w:szCs w:val="20"/>
        </w:rPr>
        <w:t xml:space="preserve">du phénomène El Niño exceptionnellement fort et aux perspectives de baisse des stocks mondiaux de céréales et des oléagineuses, après </w:t>
      </w:r>
      <w:r w:rsidR="00316F92">
        <w:rPr>
          <w:rFonts w:asciiTheme="minorBidi" w:hAnsiTheme="minorBidi" w:cstheme="minorBidi"/>
          <w:sz w:val="20"/>
          <w:szCs w:val="20"/>
        </w:rPr>
        <w:t>quatre</w:t>
      </w:r>
      <w:r w:rsidR="004523B1" w:rsidRPr="003410B6">
        <w:rPr>
          <w:rFonts w:asciiTheme="minorBidi" w:hAnsiTheme="minorBidi" w:cstheme="minorBidi"/>
          <w:sz w:val="20"/>
          <w:szCs w:val="20"/>
        </w:rPr>
        <w:t xml:space="preserve"> années de hausses consécutives.</w:t>
      </w:r>
      <w:r w:rsidR="004523B1">
        <w:rPr>
          <w:rFonts w:asciiTheme="minorBidi" w:hAnsiTheme="minorBidi" w:cstheme="minorBidi"/>
          <w:sz w:val="20"/>
          <w:szCs w:val="20"/>
        </w:rPr>
        <w:t xml:space="preserve"> </w:t>
      </w:r>
      <w:r w:rsidR="004523B1" w:rsidRPr="003410B6">
        <w:rPr>
          <w:rFonts w:asciiTheme="minorBidi" w:hAnsiTheme="minorBidi" w:cstheme="minorBidi"/>
          <w:sz w:val="20"/>
          <w:szCs w:val="20"/>
        </w:rPr>
        <w:t>Le</w:t>
      </w:r>
      <w:r w:rsidR="004523B1">
        <w:rPr>
          <w:rFonts w:asciiTheme="minorBidi" w:hAnsiTheme="minorBidi" w:cstheme="minorBidi"/>
          <w:sz w:val="20"/>
          <w:szCs w:val="20"/>
        </w:rPr>
        <w:t xml:space="preserve"> </w:t>
      </w:r>
      <w:r w:rsidR="004523B1" w:rsidRPr="003410B6">
        <w:rPr>
          <w:rFonts w:asciiTheme="minorBidi" w:hAnsiTheme="minorBidi" w:cstheme="minorBidi"/>
          <w:sz w:val="20"/>
          <w:szCs w:val="20"/>
        </w:rPr>
        <w:t xml:space="preserve">soutien apporté par la demande étrangère adressée aux produits </w:t>
      </w:r>
      <w:r w:rsidR="001613B4">
        <w:rPr>
          <w:rFonts w:asciiTheme="minorBidi" w:hAnsiTheme="minorBidi" w:cstheme="minorBidi"/>
          <w:sz w:val="20"/>
          <w:szCs w:val="20"/>
        </w:rPr>
        <w:t xml:space="preserve">miniers </w:t>
      </w:r>
      <w:r w:rsidR="004523B1" w:rsidRPr="003410B6">
        <w:rPr>
          <w:rFonts w:asciiTheme="minorBidi" w:hAnsiTheme="minorBidi" w:cstheme="minorBidi"/>
          <w:sz w:val="20"/>
          <w:szCs w:val="20"/>
        </w:rPr>
        <w:t>bruts</w:t>
      </w:r>
      <w:r w:rsidR="004523B1">
        <w:rPr>
          <w:rFonts w:asciiTheme="minorBidi" w:hAnsiTheme="minorBidi" w:cstheme="minorBidi"/>
          <w:sz w:val="20"/>
          <w:szCs w:val="20"/>
        </w:rPr>
        <w:t xml:space="preserve"> </w:t>
      </w:r>
      <w:r w:rsidR="004523B1" w:rsidRPr="003410B6">
        <w:rPr>
          <w:rFonts w:asciiTheme="minorBidi" w:hAnsiTheme="minorBidi" w:cstheme="minorBidi"/>
          <w:sz w:val="20"/>
          <w:szCs w:val="20"/>
        </w:rPr>
        <w:t>aurait été</w:t>
      </w:r>
      <w:r w:rsidR="00E67C8E">
        <w:rPr>
          <w:rFonts w:asciiTheme="minorBidi" w:hAnsiTheme="minorBidi" w:cstheme="minorBidi"/>
          <w:sz w:val="20"/>
          <w:szCs w:val="20"/>
        </w:rPr>
        <w:t>,</w:t>
      </w:r>
      <w:r w:rsidR="004523B1" w:rsidRPr="003410B6">
        <w:rPr>
          <w:rFonts w:asciiTheme="minorBidi" w:hAnsiTheme="minorBidi" w:cstheme="minorBidi"/>
          <w:sz w:val="20"/>
          <w:szCs w:val="20"/>
        </w:rPr>
        <w:t xml:space="preserve"> également</w:t>
      </w:r>
      <w:r w:rsidR="00E67C8E">
        <w:rPr>
          <w:rFonts w:asciiTheme="minorBidi" w:hAnsiTheme="minorBidi" w:cstheme="minorBidi"/>
          <w:sz w:val="20"/>
          <w:szCs w:val="20"/>
        </w:rPr>
        <w:t>,</w:t>
      </w:r>
      <w:r w:rsidR="004523B1">
        <w:rPr>
          <w:rFonts w:asciiTheme="minorBidi" w:hAnsiTheme="minorBidi" w:cstheme="minorBidi"/>
          <w:sz w:val="20"/>
          <w:szCs w:val="20"/>
        </w:rPr>
        <w:t xml:space="preserve"> </w:t>
      </w:r>
      <w:r w:rsidR="004523B1" w:rsidRPr="003410B6">
        <w:rPr>
          <w:rFonts w:asciiTheme="minorBidi" w:hAnsiTheme="minorBidi" w:cstheme="minorBidi"/>
          <w:sz w:val="20"/>
          <w:szCs w:val="20"/>
        </w:rPr>
        <w:t>plus important qu’au cours des trois dernières années, en raison notamment du retrait de l’offre chinois</w:t>
      </w:r>
      <w:r w:rsidR="00316F92">
        <w:rPr>
          <w:rFonts w:asciiTheme="minorBidi" w:hAnsiTheme="minorBidi" w:cstheme="minorBidi"/>
          <w:sz w:val="20"/>
          <w:szCs w:val="20"/>
        </w:rPr>
        <w:t>e</w:t>
      </w:r>
      <w:r w:rsidR="004523B1" w:rsidRPr="003410B6">
        <w:rPr>
          <w:rFonts w:asciiTheme="minorBidi" w:hAnsiTheme="minorBidi" w:cstheme="minorBidi"/>
          <w:sz w:val="20"/>
          <w:szCs w:val="20"/>
        </w:rPr>
        <w:t>. Les quantités exportées d</w:t>
      </w:r>
      <w:r w:rsidR="001613B4">
        <w:rPr>
          <w:rFonts w:asciiTheme="minorBidi" w:hAnsiTheme="minorBidi" w:cstheme="minorBidi"/>
          <w:sz w:val="20"/>
          <w:szCs w:val="20"/>
        </w:rPr>
        <w:t>u</w:t>
      </w:r>
      <w:r w:rsidR="004523B1" w:rsidRPr="003410B6">
        <w:rPr>
          <w:rFonts w:asciiTheme="minorBidi" w:hAnsiTheme="minorBidi" w:cstheme="minorBidi"/>
          <w:sz w:val="20"/>
          <w:szCs w:val="20"/>
        </w:rPr>
        <w:t xml:space="preserve"> phosphate brut auraient, dans ce contexte, enregistré une hausse de 29,4%, au deuxième trimestre 2017, en variation annuelle, portées notamment par la vigueur des importations des pays de l’Amérique Latine et du </w:t>
      </w:r>
      <w:r w:rsidR="00E67C8E" w:rsidRPr="003410B6">
        <w:rPr>
          <w:rFonts w:asciiTheme="minorBidi" w:hAnsiTheme="minorBidi" w:cstheme="minorBidi"/>
          <w:sz w:val="20"/>
          <w:szCs w:val="20"/>
        </w:rPr>
        <w:t>Sud-est</w:t>
      </w:r>
      <w:r w:rsidR="004523B1" w:rsidRPr="003410B6">
        <w:rPr>
          <w:rFonts w:asciiTheme="minorBidi" w:hAnsiTheme="minorBidi" w:cstheme="minorBidi"/>
          <w:sz w:val="20"/>
          <w:szCs w:val="20"/>
        </w:rPr>
        <w:t xml:space="preserve"> de l’Asie.</w:t>
      </w:r>
    </w:p>
    <w:p w:rsidR="007712EB" w:rsidRDefault="00BF2EE4" w:rsidP="00C945E9">
      <w:pPr>
        <w:jc w:val="both"/>
        <w:rPr>
          <w:rFonts w:asciiTheme="minorBidi" w:hAnsiTheme="minorBidi" w:cstheme="minorBidi"/>
          <w:sz w:val="20"/>
          <w:szCs w:val="20"/>
        </w:rPr>
      </w:pPr>
      <w:r w:rsidRPr="00E83DFE">
        <w:rPr>
          <w:rFonts w:asciiTheme="minorBidi" w:hAnsiTheme="minorBidi" w:cstheme="minorBidi"/>
          <w:sz w:val="20"/>
          <w:szCs w:val="20"/>
        </w:rPr>
        <w:t xml:space="preserve"> </w:t>
      </w:r>
      <w:r w:rsidR="001C1F61">
        <w:rPr>
          <w:rFonts w:asciiTheme="minorBidi" w:hAnsiTheme="minorBidi" w:cstheme="minorBidi"/>
          <w:noProof/>
          <w:sz w:val="20"/>
          <w:szCs w:val="20"/>
        </w:rPr>
        <w:drawing>
          <wp:anchor distT="0" distB="0" distL="114300" distR="114300" simplePos="0" relativeHeight="251722752" behindDoc="0" locked="0" layoutInCell="1" allowOverlap="1">
            <wp:simplePos x="0" y="0"/>
            <wp:positionH relativeFrom="column">
              <wp:posOffset>4298950</wp:posOffset>
            </wp:positionH>
            <wp:positionV relativeFrom="paragraph">
              <wp:posOffset>138430</wp:posOffset>
            </wp:positionV>
            <wp:extent cx="2248535" cy="1952625"/>
            <wp:effectExtent l="19050" t="0" r="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248535" cy="1952625"/>
                    </a:xfrm>
                    <a:prstGeom prst="rect">
                      <a:avLst/>
                    </a:prstGeom>
                    <a:noFill/>
                    <a:ln w="9525">
                      <a:noFill/>
                      <a:miter lim="800000"/>
                      <a:headEnd/>
                      <a:tailEnd/>
                    </a:ln>
                  </pic:spPr>
                </pic:pic>
              </a:graphicData>
            </a:graphic>
          </wp:anchor>
        </w:drawing>
      </w:r>
    </w:p>
    <w:p w:rsidR="00031B9A" w:rsidRDefault="00886AD7" w:rsidP="00D96FC6">
      <w:pPr>
        <w:jc w:val="both"/>
        <w:rPr>
          <w:rFonts w:ascii="Arial" w:hAnsi="Arial"/>
          <w:sz w:val="20"/>
          <w:szCs w:val="20"/>
        </w:rPr>
      </w:pPr>
      <w:r w:rsidRPr="00885C94">
        <w:rPr>
          <w:rFonts w:ascii="Arial" w:hAnsi="Arial"/>
          <w:sz w:val="20"/>
          <w:szCs w:val="20"/>
        </w:rPr>
        <w:t>L</w:t>
      </w:r>
      <w:r>
        <w:rPr>
          <w:rFonts w:ascii="Arial" w:hAnsi="Arial"/>
          <w:sz w:val="20"/>
          <w:szCs w:val="20"/>
        </w:rPr>
        <w:t>e</w:t>
      </w:r>
      <w:r w:rsidR="004007AB">
        <w:rPr>
          <w:rFonts w:ascii="Arial" w:hAnsi="Arial"/>
          <w:sz w:val="20"/>
          <w:szCs w:val="20"/>
        </w:rPr>
        <w:t>s</w:t>
      </w:r>
      <w:r w:rsidRPr="00885C94">
        <w:rPr>
          <w:rFonts w:ascii="Arial" w:hAnsi="Arial"/>
          <w:sz w:val="20"/>
          <w:szCs w:val="20"/>
        </w:rPr>
        <w:t xml:space="preserve"> </w:t>
      </w:r>
      <w:r w:rsidRPr="009C06B3">
        <w:rPr>
          <w:rFonts w:ascii="Arial" w:hAnsi="Arial"/>
          <w:b/>
          <w:bCs/>
          <w:sz w:val="20"/>
          <w:szCs w:val="20"/>
        </w:rPr>
        <w:t>industries manufacturières</w:t>
      </w:r>
      <w:r w:rsidRPr="00885C94">
        <w:rPr>
          <w:rFonts w:ascii="Arial" w:hAnsi="Arial"/>
          <w:sz w:val="20"/>
          <w:szCs w:val="20"/>
        </w:rPr>
        <w:t xml:space="preserve"> </w:t>
      </w:r>
      <w:r w:rsidR="003C0559">
        <w:rPr>
          <w:rFonts w:ascii="Arial" w:hAnsi="Arial"/>
          <w:sz w:val="20"/>
          <w:szCs w:val="20"/>
        </w:rPr>
        <w:t>au</w:t>
      </w:r>
      <w:r w:rsidR="00E044C7">
        <w:rPr>
          <w:rFonts w:ascii="Arial" w:hAnsi="Arial"/>
          <w:sz w:val="20"/>
          <w:szCs w:val="20"/>
        </w:rPr>
        <w:t>rai</w:t>
      </w:r>
      <w:r w:rsidR="004007AB">
        <w:rPr>
          <w:rFonts w:ascii="Arial" w:hAnsi="Arial"/>
          <w:sz w:val="20"/>
          <w:szCs w:val="20"/>
        </w:rPr>
        <w:t>en</w:t>
      </w:r>
      <w:r w:rsidR="00502E10">
        <w:rPr>
          <w:rFonts w:ascii="Arial" w:hAnsi="Arial"/>
          <w:sz w:val="20"/>
          <w:szCs w:val="20"/>
        </w:rPr>
        <w:t>t</w:t>
      </w:r>
      <w:r w:rsidR="00D96FC6">
        <w:rPr>
          <w:rFonts w:ascii="Arial" w:hAnsi="Arial"/>
          <w:sz w:val="20"/>
          <w:szCs w:val="20"/>
        </w:rPr>
        <w:t xml:space="preserve"> </w:t>
      </w:r>
      <w:r w:rsidR="003C0559">
        <w:rPr>
          <w:rFonts w:ascii="Arial" w:hAnsi="Arial"/>
          <w:sz w:val="20"/>
          <w:szCs w:val="20"/>
        </w:rPr>
        <w:t>poursuivi leur</w:t>
      </w:r>
      <w:r w:rsidR="00502E10">
        <w:rPr>
          <w:rFonts w:ascii="Arial" w:hAnsi="Arial"/>
          <w:sz w:val="20"/>
          <w:szCs w:val="20"/>
        </w:rPr>
        <w:t xml:space="preserve"> </w:t>
      </w:r>
      <w:r w:rsidR="00E044C7">
        <w:rPr>
          <w:rFonts w:ascii="Arial" w:hAnsi="Arial"/>
          <w:sz w:val="20"/>
          <w:szCs w:val="20"/>
        </w:rPr>
        <w:t>redress</w:t>
      </w:r>
      <w:r w:rsidR="003C0559">
        <w:rPr>
          <w:rFonts w:ascii="Arial" w:hAnsi="Arial"/>
          <w:sz w:val="20"/>
          <w:szCs w:val="20"/>
        </w:rPr>
        <w:t>ement pour le troisième trimestre successif, affichant un accroissement de</w:t>
      </w:r>
      <w:r w:rsidR="00502E10">
        <w:rPr>
          <w:rFonts w:ascii="Arial" w:hAnsi="Arial"/>
          <w:sz w:val="20"/>
          <w:szCs w:val="20"/>
        </w:rPr>
        <w:t xml:space="preserve"> </w:t>
      </w:r>
      <w:r w:rsidR="003C0559">
        <w:rPr>
          <w:rFonts w:ascii="Arial" w:hAnsi="Arial"/>
          <w:sz w:val="20"/>
          <w:szCs w:val="20"/>
        </w:rPr>
        <w:t>2,5</w:t>
      </w:r>
      <w:r w:rsidR="00502E10">
        <w:rPr>
          <w:rFonts w:ascii="Arial" w:hAnsi="Arial"/>
          <w:sz w:val="20"/>
          <w:szCs w:val="20"/>
        </w:rPr>
        <w:t>%</w:t>
      </w:r>
      <w:r w:rsidR="00FA7019">
        <w:rPr>
          <w:rFonts w:ascii="Arial" w:hAnsi="Arial"/>
          <w:sz w:val="20"/>
          <w:szCs w:val="20"/>
        </w:rPr>
        <w:t xml:space="preserve">, </w:t>
      </w:r>
      <w:r w:rsidR="00502E10">
        <w:rPr>
          <w:rFonts w:ascii="Arial" w:hAnsi="Arial"/>
          <w:sz w:val="20"/>
          <w:szCs w:val="20"/>
        </w:rPr>
        <w:t xml:space="preserve">au </w:t>
      </w:r>
      <w:r w:rsidR="00F86E17">
        <w:rPr>
          <w:rFonts w:ascii="Arial" w:hAnsi="Arial"/>
          <w:sz w:val="20"/>
          <w:szCs w:val="20"/>
        </w:rPr>
        <w:t>deuxième</w:t>
      </w:r>
      <w:r w:rsidR="00502E10">
        <w:rPr>
          <w:rFonts w:ascii="Arial" w:hAnsi="Arial"/>
          <w:sz w:val="20"/>
          <w:szCs w:val="20"/>
        </w:rPr>
        <w:t xml:space="preserve"> trimestre 2017, au lieu de</w:t>
      </w:r>
      <w:r w:rsidR="00FA7019">
        <w:rPr>
          <w:rFonts w:ascii="Arial" w:hAnsi="Arial"/>
          <w:sz w:val="20"/>
          <w:szCs w:val="20"/>
        </w:rPr>
        <w:t xml:space="preserve"> </w:t>
      </w:r>
      <w:r w:rsidR="00763C9C">
        <w:rPr>
          <w:rFonts w:ascii="Arial" w:hAnsi="Arial"/>
          <w:sz w:val="20"/>
          <w:szCs w:val="20"/>
        </w:rPr>
        <w:t>-</w:t>
      </w:r>
      <w:r w:rsidR="003C0559">
        <w:rPr>
          <w:rFonts w:ascii="Arial" w:hAnsi="Arial"/>
          <w:sz w:val="20"/>
          <w:szCs w:val="20"/>
        </w:rPr>
        <w:t>0</w:t>
      </w:r>
      <w:r w:rsidR="00FA7019">
        <w:rPr>
          <w:rFonts w:ascii="Arial" w:hAnsi="Arial"/>
          <w:sz w:val="20"/>
          <w:szCs w:val="20"/>
        </w:rPr>
        <w:t>,</w:t>
      </w:r>
      <w:r w:rsidR="00763C9C">
        <w:rPr>
          <w:rFonts w:ascii="Arial" w:hAnsi="Arial"/>
          <w:sz w:val="20"/>
          <w:szCs w:val="20"/>
        </w:rPr>
        <w:t>2</w:t>
      </w:r>
      <w:r w:rsidR="00FA7019">
        <w:rPr>
          <w:rFonts w:ascii="Arial" w:hAnsi="Arial"/>
          <w:sz w:val="20"/>
          <w:szCs w:val="20"/>
        </w:rPr>
        <w:t>%</w:t>
      </w:r>
      <w:r w:rsidR="00502E10">
        <w:rPr>
          <w:rFonts w:ascii="Arial" w:hAnsi="Arial"/>
          <w:sz w:val="20"/>
          <w:szCs w:val="20"/>
        </w:rPr>
        <w:t>,</w:t>
      </w:r>
      <w:r w:rsidR="00FA7019">
        <w:rPr>
          <w:rFonts w:ascii="Arial" w:hAnsi="Arial"/>
          <w:sz w:val="20"/>
          <w:szCs w:val="20"/>
        </w:rPr>
        <w:t xml:space="preserve"> </w:t>
      </w:r>
      <w:r w:rsidR="003C0559">
        <w:rPr>
          <w:rFonts w:ascii="Arial" w:hAnsi="Arial"/>
          <w:sz w:val="20"/>
          <w:szCs w:val="20"/>
        </w:rPr>
        <w:t>la même période de l’année précédente</w:t>
      </w:r>
      <w:r w:rsidRPr="00885C94">
        <w:rPr>
          <w:rFonts w:ascii="Arial" w:hAnsi="Arial"/>
          <w:sz w:val="20"/>
          <w:szCs w:val="20"/>
        </w:rPr>
        <w:t xml:space="preserve">. </w:t>
      </w:r>
      <w:r>
        <w:rPr>
          <w:rFonts w:ascii="Arial" w:hAnsi="Arial"/>
          <w:sz w:val="20"/>
          <w:szCs w:val="20"/>
        </w:rPr>
        <w:t xml:space="preserve">Cette évolution </w:t>
      </w:r>
      <w:r w:rsidR="00502E10">
        <w:rPr>
          <w:rFonts w:ascii="Arial" w:hAnsi="Arial"/>
          <w:sz w:val="20"/>
          <w:szCs w:val="20"/>
        </w:rPr>
        <w:t xml:space="preserve">aurait été le fait de </w:t>
      </w:r>
      <w:r w:rsidR="00502E10" w:rsidRPr="00885C94">
        <w:rPr>
          <w:rFonts w:ascii="Arial" w:hAnsi="Arial"/>
          <w:sz w:val="20"/>
          <w:szCs w:val="20"/>
        </w:rPr>
        <w:t xml:space="preserve">la poursuite </w:t>
      </w:r>
      <w:r w:rsidR="00502E10">
        <w:rPr>
          <w:rFonts w:ascii="Arial" w:hAnsi="Arial"/>
          <w:sz w:val="20"/>
          <w:szCs w:val="20"/>
        </w:rPr>
        <w:t>d</w:t>
      </w:r>
      <w:r w:rsidR="00763C9C">
        <w:rPr>
          <w:rFonts w:ascii="Arial" w:hAnsi="Arial"/>
          <w:sz w:val="20"/>
          <w:szCs w:val="20"/>
        </w:rPr>
        <w:t>u dynamisme</w:t>
      </w:r>
      <w:r w:rsidR="00502E10" w:rsidRPr="00885C94">
        <w:rPr>
          <w:rFonts w:ascii="Arial" w:hAnsi="Arial"/>
          <w:sz w:val="20"/>
          <w:szCs w:val="20"/>
        </w:rPr>
        <w:t xml:space="preserve"> des industries chimiques et parachimiques (+</w:t>
      </w:r>
      <w:r w:rsidR="00763C9C">
        <w:rPr>
          <w:rFonts w:ascii="Arial" w:hAnsi="Arial"/>
          <w:sz w:val="20"/>
          <w:szCs w:val="20"/>
        </w:rPr>
        <w:t>6</w:t>
      </w:r>
      <w:r w:rsidR="00502E10" w:rsidRPr="00885C94">
        <w:rPr>
          <w:rFonts w:ascii="Arial" w:hAnsi="Arial"/>
          <w:sz w:val="20"/>
          <w:szCs w:val="20"/>
        </w:rPr>
        <w:t>,</w:t>
      </w:r>
      <w:r w:rsidR="00763C9C">
        <w:rPr>
          <w:rFonts w:ascii="Arial" w:hAnsi="Arial"/>
          <w:sz w:val="20"/>
          <w:szCs w:val="20"/>
        </w:rPr>
        <w:t>8</w:t>
      </w:r>
      <w:r w:rsidR="00502E10" w:rsidRPr="00885C94">
        <w:rPr>
          <w:rFonts w:ascii="Arial" w:hAnsi="Arial"/>
          <w:sz w:val="20"/>
          <w:szCs w:val="20"/>
        </w:rPr>
        <w:t>%)</w:t>
      </w:r>
      <w:r w:rsidR="00502E10">
        <w:rPr>
          <w:rFonts w:ascii="Arial" w:hAnsi="Arial"/>
          <w:sz w:val="20"/>
          <w:szCs w:val="20"/>
        </w:rPr>
        <w:t>,</w:t>
      </w:r>
      <w:r w:rsidR="00502E10" w:rsidRPr="00885C94">
        <w:rPr>
          <w:rFonts w:ascii="Arial" w:hAnsi="Arial"/>
          <w:sz w:val="20"/>
          <w:szCs w:val="20"/>
        </w:rPr>
        <w:t xml:space="preserve"> </w:t>
      </w:r>
      <w:r w:rsidRPr="00885C94">
        <w:rPr>
          <w:rFonts w:ascii="Arial" w:hAnsi="Arial"/>
          <w:sz w:val="20"/>
          <w:szCs w:val="20"/>
        </w:rPr>
        <w:t xml:space="preserve">d’une part, </w:t>
      </w:r>
      <w:r w:rsidR="00502E10">
        <w:rPr>
          <w:rFonts w:ascii="Arial" w:hAnsi="Arial"/>
          <w:sz w:val="20"/>
          <w:szCs w:val="20"/>
        </w:rPr>
        <w:t>et de</w:t>
      </w:r>
      <w:r w:rsidR="00763C9C">
        <w:rPr>
          <w:rFonts w:ascii="Arial" w:hAnsi="Arial"/>
          <w:sz w:val="20"/>
          <w:szCs w:val="20"/>
        </w:rPr>
        <w:t xml:space="preserve"> la reprise de</w:t>
      </w:r>
      <w:r w:rsidR="00502E10">
        <w:rPr>
          <w:rFonts w:ascii="Arial" w:hAnsi="Arial"/>
          <w:sz w:val="20"/>
          <w:szCs w:val="20"/>
        </w:rPr>
        <w:t xml:space="preserve">s </w:t>
      </w:r>
      <w:r w:rsidR="00763C9C">
        <w:rPr>
          <w:rFonts w:ascii="Arial" w:hAnsi="Arial"/>
          <w:sz w:val="20"/>
          <w:szCs w:val="20"/>
        </w:rPr>
        <w:t xml:space="preserve">industries alimentaires de 3,2%, </w:t>
      </w:r>
      <w:r w:rsidR="00BE5941">
        <w:rPr>
          <w:rFonts w:ascii="Arial" w:hAnsi="Arial"/>
          <w:sz w:val="20"/>
          <w:szCs w:val="20"/>
        </w:rPr>
        <w:t>d’autre part</w:t>
      </w:r>
      <w:r w:rsidR="00763C9C">
        <w:rPr>
          <w:rFonts w:ascii="Arial" w:hAnsi="Arial"/>
          <w:sz w:val="20"/>
          <w:szCs w:val="20"/>
        </w:rPr>
        <w:t xml:space="preserve">, au lieu de -3,8%, une année auparavant. </w:t>
      </w:r>
      <w:r w:rsidR="002A6F8B">
        <w:rPr>
          <w:rFonts w:ascii="Arial" w:hAnsi="Arial"/>
          <w:sz w:val="20"/>
          <w:szCs w:val="20"/>
        </w:rPr>
        <w:t xml:space="preserve">La </w:t>
      </w:r>
      <w:r w:rsidR="00235418">
        <w:rPr>
          <w:rFonts w:ascii="Arial" w:hAnsi="Arial"/>
          <w:sz w:val="20"/>
          <w:szCs w:val="20"/>
        </w:rPr>
        <w:t xml:space="preserve">valeur ajoutée </w:t>
      </w:r>
      <w:r w:rsidR="00763C9C">
        <w:rPr>
          <w:rFonts w:ascii="Arial" w:hAnsi="Arial"/>
          <w:sz w:val="20"/>
          <w:szCs w:val="20"/>
        </w:rPr>
        <w:t xml:space="preserve">des </w:t>
      </w:r>
      <w:r w:rsidR="00763C9C" w:rsidRPr="00885C94">
        <w:rPr>
          <w:rFonts w:ascii="Arial" w:hAnsi="Arial"/>
          <w:sz w:val="20"/>
          <w:szCs w:val="20"/>
        </w:rPr>
        <w:t xml:space="preserve">IMME </w:t>
      </w:r>
      <w:r w:rsidR="00763C9C">
        <w:rPr>
          <w:rFonts w:ascii="Arial" w:hAnsi="Arial"/>
          <w:sz w:val="20"/>
          <w:szCs w:val="20"/>
        </w:rPr>
        <w:t xml:space="preserve">aurait </w:t>
      </w:r>
      <w:r w:rsidR="00763C9C" w:rsidRPr="00885C94">
        <w:rPr>
          <w:rFonts w:ascii="Arial" w:hAnsi="Arial"/>
          <w:sz w:val="20"/>
          <w:szCs w:val="20"/>
        </w:rPr>
        <w:t xml:space="preserve">augmenté de </w:t>
      </w:r>
      <w:r w:rsidR="00763C9C">
        <w:rPr>
          <w:rFonts w:ascii="Arial" w:hAnsi="Arial"/>
          <w:sz w:val="20"/>
          <w:szCs w:val="20"/>
        </w:rPr>
        <w:t>2</w:t>
      </w:r>
      <w:r w:rsidR="00763C9C" w:rsidRPr="00885C94">
        <w:rPr>
          <w:rFonts w:ascii="Arial" w:hAnsi="Arial"/>
          <w:sz w:val="20"/>
          <w:szCs w:val="20"/>
        </w:rPr>
        <w:t>,</w:t>
      </w:r>
      <w:r w:rsidR="00763C9C">
        <w:rPr>
          <w:rFonts w:ascii="Arial" w:hAnsi="Arial"/>
          <w:sz w:val="20"/>
          <w:szCs w:val="20"/>
        </w:rPr>
        <w:t>4</w:t>
      </w:r>
      <w:r w:rsidR="00763C9C" w:rsidRPr="00885C94">
        <w:rPr>
          <w:rFonts w:ascii="Arial" w:hAnsi="Arial"/>
          <w:sz w:val="20"/>
          <w:szCs w:val="20"/>
        </w:rPr>
        <w:t xml:space="preserve">% </w:t>
      </w:r>
      <w:r w:rsidR="00763C9C">
        <w:rPr>
          <w:rFonts w:ascii="Arial" w:hAnsi="Arial"/>
          <w:sz w:val="20"/>
          <w:szCs w:val="20"/>
        </w:rPr>
        <w:t xml:space="preserve">portée, notamment, par </w:t>
      </w:r>
      <w:r w:rsidR="00763C9C" w:rsidRPr="00885C94">
        <w:rPr>
          <w:rFonts w:ascii="Arial" w:hAnsi="Arial"/>
          <w:sz w:val="20"/>
          <w:szCs w:val="20"/>
        </w:rPr>
        <w:t xml:space="preserve">une demande extérieure </w:t>
      </w:r>
      <w:r w:rsidR="00763C9C">
        <w:rPr>
          <w:rFonts w:ascii="Arial" w:hAnsi="Arial"/>
          <w:sz w:val="20"/>
          <w:szCs w:val="20"/>
        </w:rPr>
        <w:t>bien</w:t>
      </w:r>
      <w:r w:rsidR="00763C9C" w:rsidRPr="00885C94">
        <w:rPr>
          <w:rFonts w:ascii="Arial" w:hAnsi="Arial"/>
          <w:sz w:val="20"/>
          <w:szCs w:val="20"/>
        </w:rPr>
        <w:t xml:space="preserve"> orientée pour les </w:t>
      </w:r>
      <w:r w:rsidR="00763C9C">
        <w:rPr>
          <w:rFonts w:ascii="Arial" w:hAnsi="Arial"/>
          <w:sz w:val="20"/>
          <w:szCs w:val="20"/>
        </w:rPr>
        <w:t>composants électroniques et l’aéronautique</w:t>
      </w:r>
      <w:r w:rsidR="00763C9C" w:rsidRPr="00885C94">
        <w:rPr>
          <w:rFonts w:ascii="Arial" w:hAnsi="Arial"/>
          <w:sz w:val="20"/>
          <w:szCs w:val="20"/>
        </w:rPr>
        <w:t xml:space="preserve"> (</w:t>
      </w:r>
      <w:r w:rsidR="00763C9C">
        <w:rPr>
          <w:rFonts w:ascii="Arial" w:hAnsi="Arial"/>
          <w:sz w:val="20"/>
          <w:szCs w:val="20"/>
        </w:rPr>
        <w:t>+</w:t>
      </w:r>
      <w:r w:rsidR="00290055">
        <w:rPr>
          <w:rFonts w:ascii="Arial" w:hAnsi="Arial"/>
          <w:sz w:val="20"/>
          <w:szCs w:val="20"/>
        </w:rPr>
        <w:t>4</w:t>
      </w:r>
      <w:r w:rsidR="00763C9C">
        <w:rPr>
          <w:rFonts w:ascii="Arial" w:hAnsi="Arial"/>
          <w:sz w:val="20"/>
          <w:szCs w:val="20"/>
        </w:rPr>
        <w:t>,</w:t>
      </w:r>
      <w:r w:rsidR="00290055">
        <w:rPr>
          <w:rFonts w:ascii="Arial" w:hAnsi="Arial"/>
          <w:sz w:val="20"/>
          <w:szCs w:val="20"/>
        </w:rPr>
        <w:t>9</w:t>
      </w:r>
      <w:r w:rsidR="00763C9C" w:rsidRPr="00885C94">
        <w:rPr>
          <w:rFonts w:ascii="Arial" w:hAnsi="Arial"/>
          <w:sz w:val="20"/>
          <w:szCs w:val="20"/>
        </w:rPr>
        <w:t xml:space="preserve">% </w:t>
      </w:r>
      <w:r w:rsidR="00763C9C">
        <w:rPr>
          <w:rFonts w:ascii="Arial" w:hAnsi="Arial"/>
          <w:sz w:val="20"/>
          <w:szCs w:val="20"/>
        </w:rPr>
        <w:t>et +</w:t>
      </w:r>
      <w:r w:rsidR="00290055">
        <w:rPr>
          <w:rFonts w:ascii="Arial" w:hAnsi="Arial"/>
          <w:sz w:val="20"/>
          <w:szCs w:val="20"/>
        </w:rPr>
        <w:t>9</w:t>
      </w:r>
      <w:r w:rsidR="00763C9C">
        <w:rPr>
          <w:rFonts w:ascii="Arial" w:hAnsi="Arial"/>
          <w:sz w:val="20"/>
          <w:szCs w:val="20"/>
        </w:rPr>
        <w:t xml:space="preserve">%, respectivement, à fin </w:t>
      </w:r>
      <w:r w:rsidR="00290055">
        <w:rPr>
          <w:rFonts w:ascii="Arial" w:hAnsi="Arial"/>
          <w:sz w:val="20"/>
          <w:szCs w:val="20"/>
        </w:rPr>
        <w:t>mai</w:t>
      </w:r>
      <w:r w:rsidR="00763C9C">
        <w:rPr>
          <w:rFonts w:ascii="Arial" w:hAnsi="Arial"/>
          <w:sz w:val="20"/>
          <w:szCs w:val="20"/>
        </w:rPr>
        <w:t xml:space="preserve"> 2017</w:t>
      </w:r>
      <w:r w:rsidR="00763C9C" w:rsidRPr="00885C94">
        <w:rPr>
          <w:rFonts w:ascii="Arial" w:hAnsi="Arial"/>
          <w:sz w:val="20"/>
          <w:szCs w:val="20"/>
        </w:rPr>
        <w:t xml:space="preserve">). </w:t>
      </w:r>
      <w:r w:rsidR="00290055">
        <w:rPr>
          <w:rFonts w:ascii="Arial" w:hAnsi="Arial"/>
          <w:sz w:val="20"/>
          <w:szCs w:val="20"/>
        </w:rPr>
        <w:t>L</w:t>
      </w:r>
      <w:r w:rsidR="002A0CCC">
        <w:rPr>
          <w:rFonts w:ascii="Arial" w:hAnsi="Arial"/>
          <w:sz w:val="20"/>
          <w:szCs w:val="20"/>
        </w:rPr>
        <w:t>e rythme de croissance des industries</w:t>
      </w:r>
      <w:r w:rsidR="00290055">
        <w:rPr>
          <w:rFonts w:ascii="Arial" w:hAnsi="Arial"/>
          <w:sz w:val="20"/>
          <w:szCs w:val="20"/>
        </w:rPr>
        <w:t xml:space="preserve"> </w:t>
      </w:r>
      <w:r>
        <w:rPr>
          <w:rFonts w:ascii="Arial" w:hAnsi="Arial"/>
          <w:sz w:val="20"/>
          <w:szCs w:val="20"/>
        </w:rPr>
        <w:t>« </w:t>
      </w:r>
      <w:r w:rsidRPr="00885C94">
        <w:rPr>
          <w:rFonts w:ascii="Arial" w:hAnsi="Arial"/>
          <w:sz w:val="20"/>
          <w:szCs w:val="20"/>
        </w:rPr>
        <w:t>textile</w:t>
      </w:r>
      <w:r>
        <w:rPr>
          <w:rFonts w:ascii="Arial" w:hAnsi="Arial"/>
          <w:sz w:val="20"/>
          <w:szCs w:val="20"/>
        </w:rPr>
        <w:t xml:space="preserve"> et cuir » </w:t>
      </w:r>
      <w:r w:rsidR="00290055">
        <w:rPr>
          <w:rFonts w:ascii="Arial" w:hAnsi="Arial"/>
          <w:sz w:val="20"/>
          <w:szCs w:val="20"/>
        </w:rPr>
        <w:t xml:space="preserve">aurait légèrement décéléré, </w:t>
      </w:r>
      <w:r w:rsidR="002A0CCC">
        <w:rPr>
          <w:rFonts w:ascii="Arial" w:hAnsi="Arial"/>
          <w:sz w:val="20"/>
          <w:szCs w:val="20"/>
        </w:rPr>
        <w:t xml:space="preserve">marquant une hausse de 2%, au lieu de </w:t>
      </w:r>
      <w:r w:rsidR="00076AE3">
        <w:rPr>
          <w:rFonts w:ascii="Arial" w:hAnsi="Arial"/>
          <w:sz w:val="20"/>
          <w:szCs w:val="20"/>
        </w:rPr>
        <w:t>+</w:t>
      </w:r>
      <w:r w:rsidR="002A0CCC">
        <w:rPr>
          <w:rFonts w:ascii="Arial" w:hAnsi="Arial"/>
          <w:sz w:val="20"/>
          <w:szCs w:val="20"/>
        </w:rPr>
        <w:t>4,1%, une année plus tôt, tandis que la branche</w:t>
      </w:r>
      <w:r>
        <w:rPr>
          <w:rFonts w:ascii="Arial" w:hAnsi="Arial"/>
          <w:sz w:val="20"/>
          <w:szCs w:val="20"/>
        </w:rPr>
        <w:t xml:space="preserve"> des « autres industries »</w:t>
      </w:r>
      <w:r w:rsidR="00502E10">
        <w:rPr>
          <w:rFonts w:ascii="Arial" w:hAnsi="Arial"/>
          <w:sz w:val="20"/>
          <w:szCs w:val="20"/>
        </w:rPr>
        <w:t xml:space="preserve">, </w:t>
      </w:r>
      <w:r w:rsidR="002A0CCC">
        <w:rPr>
          <w:rFonts w:ascii="Arial" w:hAnsi="Arial"/>
          <w:sz w:val="20"/>
          <w:szCs w:val="20"/>
        </w:rPr>
        <w:t>serait restée atone (-1,8%)</w:t>
      </w:r>
      <w:r w:rsidR="00E10FA4">
        <w:rPr>
          <w:rFonts w:ascii="Arial" w:hAnsi="Arial"/>
          <w:sz w:val="20"/>
          <w:szCs w:val="20"/>
        </w:rPr>
        <w:t>,</w:t>
      </w:r>
      <w:r w:rsidR="002A0CCC">
        <w:rPr>
          <w:rFonts w:ascii="Arial" w:hAnsi="Arial"/>
          <w:sz w:val="20"/>
          <w:szCs w:val="20"/>
        </w:rPr>
        <w:t xml:space="preserve"> subissant </w:t>
      </w:r>
      <w:r w:rsidR="007A466F">
        <w:rPr>
          <w:rFonts w:ascii="Arial" w:hAnsi="Arial"/>
          <w:sz w:val="20"/>
          <w:szCs w:val="20"/>
        </w:rPr>
        <w:t>le relâchement</w:t>
      </w:r>
      <w:r w:rsidR="002A0CCC">
        <w:rPr>
          <w:rFonts w:ascii="Arial" w:hAnsi="Arial"/>
          <w:sz w:val="20"/>
          <w:szCs w:val="20"/>
        </w:rPr>
        <w:t xml:space="preserve"> des industries des matériaux de construction</w:t>
      </w:r>
      <w:r w:rsidR="00E10FA4">
        <w:rPr>
          <w:rFonts w:ascii="Arial" w:hAnsi="Arial"/>
          <w:sz w:val="20"/>
          <w:szCs w:val="20"/>
        </w:rPr>
        <w:t>.</w:t>
      </w:r>
    </w:p>
    <w:p w:rsidR="00886AD7" w:rsidRPr="00885C94" w:rsidRDefault="00B06181" w:rsidP="00886AD7">
      <w:pPr>
        <w:jc w:val="both"/>
        <w:rPr>
          <w:rFonts w:ascii="Arial" w:hAnsi="Arial"/>
          <w:sz w:val="20"/>
          <w:szCs w:val="20"/>
        </w:rPr>
      </w:pPr>
      <w:r>
        <w:rPr>
          <w:rFonts w:ascii="Arial" w:hAnsi="Arial"/>
          <w:noProof/>
          <w:sz w:val="20"/>
          <w:szCs w:val="20"/>
        </w:rPr>
        <w:drawing>
          <wp:anchor distT="0" distB="0" distL="114300" distR="114300" simplePos="0" relativeHeight="251725824" behindDoc="0" locked="0" layoutInCell="1" allowOverlap="1">
            <wp:simplePos x="0" y="0"/>
            <wp:positionH relativeFrom="column">
              <wp:posOffset>4298950</wp:posOffset>
            </wp:positionH>
            <wp:positionV relativeFrom="paragraph">
              <wp:posOffset>51435</wp:posOffset>
            </wp:positionV>
            <wp:extent cx="2277745" cy="1974850"/>
            <wp:effectExtent l="19050" t="0" r="825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277745" cy="1974850"/>
                    </a:xfrm>
                    <a:prstGeom prst="rect">
                      <a:avLst/>
                    </a:prstGeom>
                    <a:noFill/>
                    <a:ln w="9525">
                      <a:noFill/>
                      <a:miter lim="800000"/>
                      <a:headEnd/>
                      <a:tailEnd/>
                    </a:ln>
                  </pic:spPr>
                </pic:pic>
              </a:graphicData>
            </a:graphic>
          </wp:anchor>
        </w:drawing>
      </w:r>
    </w:p>
    <w:p w:rsidR="003D3A90" w:rsidRPr="008370FE" w:rsidRDefault="00E10FA4" w:rsidP="006D52F6">
      <w:pPr>
        <w:jc w:val="both"/>
        <w:rPr>
          <w:rFonts w:asciiTheme="minorBidi" w:hAnsiTheme="minorBidi" w:cstheme="minorBidi"/>
          <w:sz w:val="20"/>
          <w:szCs w:val="20"/>
        </w:rPr>
      </w:pPr>
      <w:r>
        <w:rPr>
          <w:rFonts w:asciiTheme="minorBidi" w:hAnsiTheme="minorBidi" w:cstheme="minorBidi"/>
          <w:sz w:val="20"/>
          <w:szCs w:val="20"/>
        </w:rPr>
        <w:t>En revanche, et après avoir régressé de 0,4% au premier trimestre 2017, l</w:t>
      </w:r>
      <w:r w:rsidR="003D3A90" w:rsidRPr="008370FE">
        <w:rPr>
          <w:rFonts w:asciiTheme="minorBidi" w:hAnsiTheme="minorBidi" w:cstheme="minorBidi"/>
          <w:sz w:val="20"/>
          <w:szCs w:val="20"/>
        </w:rPr>
        <w:t xml:space="preserve">e secteur de la </w:t>
      </w:r>
      <w:r w:rsidR="003D3A90" w:rsidRPr="008370FE">
        <w:rPr>
          <w:rFonts w:asciiTheme="minorBidi" w:hAnsiTheme="minorBidi" w:cstheme="minorBidi"/>
          <w:b/>
          <w:bCs/>
          <w:sz w:val="20"/>
          <w:szCs w:val="20"/>
        </w:rPr>
        <w:t>construction</w:t>
      </w:r>
      <w:r w:rsidR="003D3A90" w:rsidRPr="008370FE">
        <w:rPr>
          <w:rFonts w:asciiTheme="minorBidi" w:hAnsiTheme="minorBidi" w:cstheme="minorBidi"/>
          <w:sz w:val="20"/>
          <w:szCs w:val="20"/>
        </w:rPr>
        <w:t xml:space="preserve"> aurait </w:t>
      </w:r>
      <w:r>
        <w:rPr>
          <w:rFonts w:asciiTheme="minorBidi" w:hAnsiTheme="minorBidi" w:cstheme="minorBidi"/>
          <w:sz w:val="20"/>
          <w:szCs w:val="20"/>
        </w:rPr>
        <w:t>accusé une baisse</w:t>
      </w:r>
      <w:r w:rsidR="003D3A90" w:rsidRPr="00E2589D">
        <w:rPr>
          <w:rFonts w:asciiTheme="minorBidi" w:hAnsiTheme="minorBidi" w:cstheme="minorBidi"/>
          <w:sz w:val="20"/>
          <w:szCs w:val="20"/>
        </w:rPr>
        <w:t xml:space="preserve"> </w:t>
      </w:r>
      <w:r w:rsidR="003D3A90" w:rsidRPr="008370FE">
        <w:rPr>
          <w:rFonts w:asciiTheme="minorBidi" w:hAnsiTheme="minorBidi" w:cstheme="minorBidi"/>
          <w:sz w:val="20"/>
          <w:szCs w:val="20"/>
        </w:rPr>
        <w:t>de 0,6%, au deuxième trimestre</w:t>
      </w:r>
      <w:r w:rsidR="006D52F6">
        <w:rPr>
          <w:rFonts w:asciiTheme="minorBidi" w:hAnsiTheme="minorBidi" w:cstheme="minorBidi"/>
          <w:sz w:val="20"/>
          <w:szCs w:val="20"/>
        </w:rPr>
        <w:t>, en variation annuelle</w:t>
      </w:r>
      <w:r w:rsidR="003D3A90">
        <w:rPr>
          <w:rFonts w:asciiTheme="minorBidi" w:hAnsiTheme="minorBidi" w:cstheme="minorBidi"/>
          <w:sz w:val="20"/>
          <w:szCs w:val="20"/>
        </w:rPr>
        <w:t>.</w:t>
      </w:r>
      <w:r w:rsidR="003D3A90" w:rsidRPr="008370FE">
        <w:rPr>
          <w:rFonts w:asciiTheme="minorBidi" w:hAnsiTheme="minorBidi" w:cstheme="minorBidi"/>
          <w:sz w:val="20"/>
          <w:szCs w:val="20"/>
        </w:rPr>
        <w:t xml:space="preserve"> </w:t>
      </w:r>
      <w:r>
        <w:rPr>
          <w:rFonts w:asciiTheme="minorBidi" w:hAnsiTheme="minorBidi" w:cstheme="minorBidi"/>
          <w:sz w:val="20"/>
          <w:szCs w:val="20"/>
        </w:rPr>
        <w:t>C’est ainsi que</w:t>
      </w:r>
      <w:r w:rsidR="003D3A90" w:rsidRPr="008370FE">
        <w:rPr>
          <w:rFonts w:asciiTheme="minorBidi" w:hAnsiTheme="minorBidi" w:cstheme="minorBidi"/>
          <w:sz w:val="20"/>
          <w:szCs w:val="20"/>
        </w:rPr>
        <w:t xml:space="preserve"> l’utilisation des facteurs de production</w:t>
      </w:r>
      <w:r>
        <w:rPr>
          <w:rFonts w:asciiTheme="minorBidi" w:hAnsiTheme="minorBidi" w:cstheme="minorBidi"/>
          <w:sz w:val="20"/>
          <w:szCs w:val="20"/>
        </w:rPr>
        <w:t xml:space="preserve"> d’origine locale se serait </w:t>
      </w:r>
      <w:r w:rsidR="00097013">
        <w:rPr>
          <w:rFonts w:asciiTheme="minorBidi" w:hAnsiTheme="minorBidi" w:cstheme="minorBidi"/>
          <w:sz w:val="20"/>
          <w:szCs w:val="20"/>
        </w:rPr>
        <w:t xml:space="preserve">de nouveau </w:t>
      </w:r>
      <w:r>
        <w:rPr>
          <w:rFonts w:asciiTheme="minorBidi" w:hAnsiTheme="minorBidi" w:cstheme="minorBidi"/>
          <w:sz w:val="20"/>
          <w:szCs w:val="20"/>
        </w:rPr>
        <w:t>contractée</w:t>
      </w:r>
      <w:r w:rsidR="003D3A90">
        <w:rPr>
          <w:rFonts w:asciiTheme="minorBidi" w:hAnsiTheme="minorBidi" w:cstheme="minorBidi"/>
          <w:sz w:val="20"/>
          <w:szCs w:val="20"/>
        </w:rPr>
        <w:t xml:space="preserve">, </w:t>
      </w:r>
      <w:r w:rsidR="00097013">
        <w:rPr>
          <w:rFonts w:asciiTheme="minorBidi" w:hAnsiTheme="minorBidi" w:cstheme="minorBidi"/>
          <w:sz w:val="20"/>
          <w:szCs w:val="20"/>
        </w:rPr>
        <w:t xml:space="preserve">en l’occurrence </w:t>
      </w:r>
      <w:r>
        <w:rPr>
          <w:rFonts w:asciiTheme="minorBidi" w:hAnsiTheme="minorBidi" w:cstheme="minorBidi"/>
          <w:sz w:val="20"/>
          <w:szCs w:val="20"/>
        </w:rPr>
        <w:t>le</w:t>
      </w:r>
      <w:r w:rsidR="003D3A90" w:rsidRPr="008370FE">
        <w:rPr>
          <w:rFonts w:asciiTheme="minorBidi" w:hAnsiTheme="minorBidi" w:cstheme="minorBidi"/>
          <w:sz w:val="20"/>
          <w:szCs w:val="20"/>
        </w:rPr>
        <w:t xml:space="preserve"> ciment</w:t>
      </w:r>
      <w:r w:rsidR="00097013">
        <w:rPr>
          <w:rFonts w:asciiTheme="minorBidi" w:hAnsiTheme="minorBidi" w:cstheme="minorBidi"/>
          <w:sz w:val="20"/>
          <w:szCs w:val="20"/>
        </w:rPr>
        <w:t xml:space="preserve">, </w:t>
      </w:r>
      <w:r w:rsidR="003D3A90">
        <w:rPr>
          <w:rFonts w:asciiTheme="minorBidi" w:hAnsiTheme="minorBidi" w:cstheme="minorBidi"/>
          <w:sz w:val="20"/>
          <w:szCs w:val="20"/>
        </w:rPr>
        <w:t xml:space="preserve">dont les ventes </w:t>
      </w:r>
      <w:r>
        <w:rPr>
          <w:rFonts w:asciiTheme="minorBidi" w:hAnsiTheme="minorBidi" w:cstheme="minorBidi"/>
          <w:sz w:val="20"/>
          <w:szCs w:val="20"/>
        </w:rPr>
        <w:t xml:space="preserve">se seraient inscrites en </w:t>
      </w:r>
      <w:r w:rsidR="00097013">
        <w:rPr>
          <w:rFonts w:asciiTheme="minorBidi" w:hAnsiTheme="minorBidi" w:cstheme="minorBidi"/>
          <w:sz w:val="20"/>
          <w:szCs w:val="20"/>
        </w:rPr>
        <w:t>diminution, après une baisse de</w:t>
      </w:r>
      <w:r w:rsidR="003D3A90" w:rsidRPr="008370FE">
        <w:rPr>
          <w:rFonts w:asciiTheme="minorBidi" w:hAnsiTheme="minorBidi" w:cstheme="minorBidi"/>
          <w:sz w:val="20"/>
          <w:szCs w:val="20"/>
        </w:rPr>
        <w:t xml:space="preserve"> 4,7% au premier trimestre. </w:t>
      </w:r>
      <w:r w:rsidRPr="008370FE">
        <w:rPr>
          <w:rFonts w:asciiTheme="minorBidi" w:hAnsiTheme="minorBidi" w:cstheme="minorBidi"/>
          <w:sz w:val="20"/>
          <w:szCs w:val="20"/>
        </w:rPr>
        <w:t xml:space="preserve">Cette </w:t>
      </w:r>
      <w:r>
        <w:rPr>
          <w:rFonts w:asciiTheme="minorBidi" w:hAnsiTheme="minorBidi" w:cstheme="minorBidi"/>
          <w:sz w:val="20"/>
          <w:szCs w:val="20"/>
        </w:rPr>
        <w:t>contre-performance</w:t>
      </w:r>
      <w:r w:rsidRPr="008370FE">
        <w:rPr>
          <w:rFonts w:asciiTheme="minorBidi" w:hAnsiTheme="minorBidi" w:cstheme="minorBidi"/>
          <w:sz w:val="20"/>
          <w:szCs w:val="20"/>
        </w:rPr>
        <w:t xml:space="preserve"> aurait été confirmée par</w:t>
      </w:r>
      <w:r>
        <w:rPr>
          <w:rFonts w:asciiTheme="minorBidi" w:hAnsiTheme="minorBidi" w:cstheme="minorBidi"/>
          <w:sz w:val="20"/>
          <w:szCs w:val="20"/>
        </w:rPr>
        <w:t xml:space="preserve"> </w:t>
      </w:r>
      <w:r w:rsidR="00097013">
        <w:rPr>
          <w:rFonts w:asciiTheme="minorBidi" w:hAnsiTheme="minorBidi" w:cstheme="minorBidi"/>
          <w:sz w:val="20"/>
          <w:szCs w:val="20"/>
        </w:rPr>
        <w:t>les résultats de la dernière enquête de conjoncture du HCP :</w:t>
      </w:r>
      <w:r w:rsidR="00097013" w:rsidRPr="008370FE">
        <w:rPr>
          <w:rFonts w:asciiTheme="minorBidi" w:hAnsiTheme="minorBidi" w:cstheme="minorBidi"/>
          <w:sz w:val="20"/>
          <w:szCs w:val="20"/>
        </w:rPr>
        <w:t xml:space="preserve"> </w:t>
      </w:r>
      <w:r w:rsidR="003D3A90" w:rsidRPr="008370FE">
        <w:rPr>
          <w:rFonts w:asciiTheme="minorBidi" w:hAnsiTheme="minorBidi" w:cstheme="minorBidi"/>
          <w:sz w:val="20"/>
          <w:szCs w:val="20"/>
        </w:rPr>
        <w:t xml:space="preserve">les anticipations des professionnels </w:t>
      </w:r>
      <w:r w:rsidR="006D52F6">
        <w:rPr>
          <w:rFonts w:asciiTheme="minorBidi" w:hAnsiTheme="minorBidi" w:cstheme="minorBidi"/>
          <w:sz w:val="20"/>
          <w:szCs w:val="20"/>
        </w:rPr>
        <w:t>de la construction</w:t>
      </w:r>
      <w:r w:rsidR="00097013">
        <w:rPr>
          <w:rFonts w:asciiTheme="minorBidi" w:hAnsiTheme="minorBidi" w:cstheme="minorBidi"/>
          <w:sz w:val="20"/>
          <w:szCs w:val="20"/>
        </w:rPr>
        <w:t xml:space="preserve"> auraient révélé</w:t>
      </w:r>
      <w:r w:rsidR="003D3A90">
        <w:rPr>
          <w:rFonts w:asciiTheme="minorBidi" w:hAnsiTheme="minorBidi" w:cstheme="minorBidi"/>
          <w:sz w:val="20"/>
          <w:szCs w:val="20"/>
        </w:rPr>
        <w:t xml:space="preserve"> une poursuite de la tendance baissière des</w:t>
      </w:r>
      <w:r w:rsidR="003D3A90" w:rsidRPr="008370FE">
        <w:rPr>
          <w:rFonts w:asciiTheme="minorBidi" w:hAnsiTheme="minorBidi" w:cstheme="minorBidi"/>
          <w:sz w:val="20"/>
          <w:szCs w:val="20"/>
        </w:rPr>
        <w:t xml:space="preserve"> carnets de commandes </w:t>
      </w:r>
      <w:r w:rsidR="00097013">
        <w:rPr>
          <w:rFonts w:asciiTheme="minorBidi" w:hAnsiTheme="minorBidi" w:cstheme="minorBidi"/>
          <w:sz w:val="20"/>
          <w:szCs w:val="20"/>
        </w:rPr>
        <w:t>dans le</w:t>
      </w:r>
      <w:r w:rsidR="003D3A90" w:rsidRPr="008370FE">
        <w:rPr>
          <w:rFonts w:asciiTheme="minorBidi" w:hAnsiTheme="minorBidi" w:cstheme="minorBidi"/>
          <w:sz w:val="20"/>
          <w:szCs w:val="20"/>
        </w:rPr>
        <w:t xml:space="preserve"> bâtiment</w:t>
      </w:r>
      <w:r w:rsidR="003D3A90">
        <w:rPr>
          <w:rFonts w:asciiTheme="minorBidi" w:hAnsiTheme="minorBidi" w:cstheme="minorBidi"/>
          <w:sz w:val="20"/>
          <w:szCs w:val="20"/>
        </w:rPr>
        <w:t xml:space="preserve">, en ligne avec la </w:t>
      </w:r>
      <w:r w:rsidR="003D3A90" w:rsidRPr="008370FE">
        <w:rPr>
          <w:rFonts w:asciiTheme="minorBidi" w:hAnsiTheme="minorBidi" w:cstheme="minorBidi"/>
          <w:sz w:val="20"/>
          <w:szCs w:val="20"/>
        </w:rPr>
        <w:t xml:space="preserve">baisse des prix des actifs immobiliers et le recul des transactions </w:t>
      </w:r>
      <w:r w:rsidR="003D3A90">
        <w:rPr>
          <w:rFonts w:asciiTheme="minorBidi" w:hAnsiTheme="minorBidi" w:cstheme="minorBidi"/>
          <w:sz w:val="20"/>
          <w:szCs w:val="20"/>
        </w:rPr>
        <w:t>immobilières</w:t>
      </w:r>
      <w:r w:rsidR="006D52F6">
        <w:rPr>
          <w:rFonts w:asciiTheme="minorBidi" w:hAnsiTheme="minorBidi" w:cstheme="minorBidi"/>
          <w:sz w:val="20"/>
          <w:szCs w:val="20"/>
        </w:rPr>
        <w:t xml:space="preserve"> enregistrés au début de l’année</w:t>
      </w:r>
      <w:r w:rsidR="00097013">
        <w:rPr>
          <w:rFonts w:asciiTheme="minorBidi" w:hAnsiTheme="minorBidi" w:cstheme="minorBidi"/>
          <w:sz w:val="20"/>
          <w:szCs w:val="20"/>
        </w:rPr>
        <w:t>.</w:t>
      </w:r>
    </w:p>
    <w:p w:rsidR="0081799F" w:rsidRDefault="0081799F" w:rsidP="00847D80">
      <w:pPr>
        <w:pStyle w:val="NormalWeb"/>
        <w:spacing w:before="0" w:beforeAutospacing="0" w:after="0" w:afterAutospacing="0"/>
        <w:jc w:val="both"/>
        <w:rPr>
          <w:rFonts w:ascii="Arial" w:hAnsi="Arial" w:cs="Arial"/>
          <w:sz w:val="20"/>
          <w:szCs w:val="20"/>
        </w:rPr>
      </w:pPr>
    </w:p>
    <w:p w:rsidR="0097276B" w:rsidRDefault="0097276B" w:rsidP="00BA21CD">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Globalement et compte tenu des indicateurs collectés jusqu’à fin </w:t>
      </w:r>
      <w:r w:rsidR="003755A7">
        <w:rPr>
          <w:rFonts w:ascii="Arial" w:hAnsi="Arial" w:cs="Arial"/>
          <w:sz w:val="20"/>
          <w:szCs w:val="20"/>
        </w:rPr>
        <w:t>mai</w:t>
      </w:r>
      <w:r w:rsidR="00205484">
        <w:rPr>
          <w:rFonts w:ascii="Arial" w:hAnsi="Arial" w:cs="Arial"/>
          <w:sz w:val="20"/>
          <w:szCs w:val="20"/>
        </w:rPr>
        <w:t xml:space="preserve"> </w:t>
      </w:r>
      <w:r>
        <w:rPr>
          <w:rFonts w:ascii="Arial" w:hAnsi="Arial" w:cs="Arial"/>
          <w:sz w:val="20"/>
          <w:szCs w:val="20"/>
        </w:rPr>
        <w:t>201</w:t>
      </w:r>
      <w:r w:rsidR="002028D3">
        <w:rPr>
          <w:rFonts w:ascii="Arial" w:hAnsi="Arial" w:cs="Arial"/>
          <w:sz w:val="20"/>
          <w:szCs w:val="20"/>
        </w:rPr>
        <w:t>7</w:t>
      </w:r>
      <w:r>
        <w:rPr>
          <w:rFonts w:ascii="Arial" w:hAnsi="Arial" w:cs="Arial"/>
          <w:sz w:val="20"/>
          <w:szCs w:val="20"/>
        </w:rPr>
        <w:t xml:space="preserve">, ainsi que des estimations sectorielles établies pour le </w:t>
      </w:r>
      <w:r w:rsidR="00F86E17">
        <w:rPr>
          <w:rFonts w:ascii="Arial" w:hAnsi="Arial" w:cs="Arial"/>
          <w:sz w:val="20"/>
          <w:szCs w:val="20"/>
        </w:rPr>
        <w:t>deuxième</w:t>
      </w:r>
      <w:r>
        <w:rPr>
          <w:rFonts w:ascii="Arial" w:hAnsi="Arial" w:cs="Arial"/>
          <w:sz w:val="20"/>
          <w:szCs w:val="20"/>
        </w:rPr>
        <w:t xml:space="preserve"> trimestre 201</w:t>
      </w:r>
      <w:r w:rsidR="002028D3">
        <w:rPr>
          <w:rFonts w:ascii="Arial" w:hAnsi="Arial" w:cs="Arial"/>
          <w:sz w:val="20"/>
          <w:szCs w:val="20"/>
        </w:rPr>
        <w:t>7</w:t>
      </w:r>
      <w:r>
        <w:rPr>
          <w:rFonts w:ascii="Arial" w:hAnsi="Arial" w:cs="Arial"/>
          <w:sz w:val="20"/>
          <w:szCs w:val="20"/>
        </w:rPr>
        <w:t>, l</w:t>
      </w:r>
      <w:r w:rsidRPr="00DB7C3F">
        <w:rPr>
          <w:rFonts w:ascii="Arial" w:hAnsi="Arial" w:cs="Arial"/>
          <w:sz w:val="20"/>
          <w:szCs w:val="20"/>
        </w:rPr>
        <w:t xml:space="preserve">a croissance économique nationale </w:t>
      </w:r>
      <w:r>
        <w:rPr>
          <w:rFonts w:ascii="Arial" w:hAnsi="Arial" w:cs="Arial"/>
          <w:sz w:val="20"/>
          <w:szCs w:val="20"/>
        </w:rPr>
        <w:t xml:space="preserve">se </w:t>
      </w:r>
      <w:r w:rsidRPr="00DB7C3F">
        <w:rPr>
          <w:rFonts w:ascii="Arial" w:hAnsi="Arial" w:cs="Arial"/>
          <w:sz w:val="20"/>
          <w:szCs w:val="20"/>
        </w:rPr>
        <w:t xml:space="preserve">serait </w:t>
      </w:r>
      <w:r>
        <w:rPr>
          <w:rFonts w:ascii="Arial" w:hAnsi="Arial" w:cs="Arial"/>
          <w:sz w:val="20"/>
          <w:szCs w:val="20"/>
        </w:rPr>
        <w:t xml:space="preserve">établie à </w:t>
      </w:r>
      <w:r w:rsidR="00847D80">
        <w:rPr>
          <w:rFonts w:ascii="Arial" w:hAnsi="Arial" w:cs="Arial"/>
          <w:sz w:val="20"/>
          <w:szCs w:val="20"/>
        </w:rPr>
        <w:t>4</w:t>
      </w:r>
      <w:r w:rsidR="00DA38EF">
        <w:rPr>
          <w:rFonts w:ascii="Arial" w:hAnsi="Arial" w:cs="Arial"/>
          <w:sz w:val="20"/>
          <w:szCs w:val="20"/>
        </w:rPr>
        <w:t>,</w:t>
      </w:r>
      <w:r w:rsidR="00BA21CD">
        <w:rPr>
          <w:rFonts w:ascii="Arial" w:hAnsi="Arial" w:cs="Arial"/>
          <w:sz w:val="20"/>
          <w:szCs w:val="20"/>
        </w:rPr>
        <w:t>8</w:t>
      </w:r>
      <w:r>
        <w:rPr>
          <w:rFonts w:ascii="Arial" w:hAnsi="Arial" w:cs="Arial"/>
          <w:sz w:val="20"/>
          <w:szCs w:val="20"/>
        </w:rPr>
        <w:t>%</w:t>
      </w:r>
      <w:r w:rsidRPr="00DB7C3F">
        <w:rPr>
          <w:rFonts w:ascii="Arial" w:hAnsi="Arial" w:cs="Arial"/>
          <w:sz w:val="20"/>
          <w:szCs w:val="20"/>
        </w:rPr>
        <w:t xml:space="preserve">, </w:t>
      </w:r>
      <w:r>
        <w:rPr>
          <w:rFonts w:ascii="Arial" w:hAnsi="Arial" w:cs="Arial"/>
          <w:sz w:val="20"/>
          <w:szCs w:val="20"/>
        </w:rPr>
        <w:t xml:space="preserve">au </w:t>
      </w:r>
      <w:r w:rsidR="00F86E17">
        <w:rPr>
          <w:rFonts w:ascii="Arial" w:hAnsi="Arial" w:cs="Arial"/>
          <w:sz w:val="20"/>
          <w:szCs w:val="20"/>
        </w:rPr>
        <w:t>deuxième</w:t>
      </w:r>
      <w:r w:rsidR="00EE75E6">
        <w:rPr>
          <w:rFonts w:ascii="Arial" w:hAnsi="Arial" w:cs="Arial"/>
          <w:sz w:val="20"/>
          <w:szCs w:val="20"/>
        </w:rPr>
        <w:t xml:space="preserve"> </w:t>
      </w:r>
      <w:r>
        <w:rPr>
          <w:rFonts w:ascii="Arial" w:hAnsi="Arial" w:cs="Arial"/>
          <w:sz w:val="20"/>
          <w:szCs w:val="20"/>
        </w:rPr>
        <w:t>trimestre</w:t>
      </w:r>
      <w:r w:rsidRPr="00DB7C3F">
        <w:rPr>
          <w:rFonts w:ascii="Arial" w:hAnsi="Arial" w:cs="Arial"/>
          <w:sz w:val="20"/>
          <w:szCs w:val="20"/>
        </w:rPr>
        <w:t xml:space="preserve">, </w:t>
      </w:r>
      <w:r>
        <w:rPr>
          <w:rFonts w:ascii="Arial" w:hAnsi="Arial" w:cs="Arial"/>
          <w:sz w:val="20"/>
          <w:szCs w:val="20"/>
        </w:rPr>
        <w:t>au lieu de</w:t>
      </w:r>
      <w:r w:rsidRPr="00DB7C3F">
        <w:rPr>
          <w:rFonts w:ascii="Arial" w:hAnsi="Arial" w:cs="Arial"/>
          <w:sz w:val="20"/>
          <w:szCs w:val="20"/>
        </w:rPr>
        <w:t xml:space="preserve"> +</w:t>
      </w:r>
      <w:r w:rsidR="005414BB">
        <w:rPr>
          <w:rFonts w:ascii="Arial" w:hAnsi="Arial" w:cs="Arial"/>
          <w:sz w:val="20"/>
          <w:szCs w:val="20"/>
        </w:rPr>
        <w:t>1</w:t>
      </w:r>
      <w:r w:rsidRPr="00DB7C3F">
        <w:rPr>
          <w:rFonts w:ascii="Arial" w:hAnsi="Arial" w:cs="Arial"/>
          <w:sz w:val="20"/>
          <w:szCs w:val="20"/>
        </w:rPr>
        <w:t xml:space="preserve">%, </w:t>
      </w:r>
      <w:r w:rsidR="003755A7">
        <w:rPr>
          <w:rFonts w:ascii="Arial" w:hAnsi="Arial" w:cs="Arial"/>
          <w:sz w:val="20"/>
          <w:szCs w:val="20"/>
        </w:rPr>
        <w:t>l’année</w:t>
      </w:r>
      <w:r>
        <w:rPr>
          <w:rFonts w:ascii="Arial" w:hAnsi="Arial" w:cs="Arial"/>
          <w:sz w:val="20"/>
          <w:szCs w:val="20"/>
        </w:rPr>
        <w:t xml:space="preserve"> précédent</w:t>
      </w:r>
      <w:r w:rsidR="003755A7">
        <w:rPr>
          <w:rFonts w:ascii="Arial" w:hAnsi="Arial" w:cs="Arial"/>
          <w:sz w:val="20"/>
          <w:szCs w:val="20"/>
        </w:rPr>
        <w:t>e</w:t>
      </w:r>
      <w:r>
        <w:rPr>
          <w:rFonts w:ascii="Arial" w:hAnsi="Arial" w:cs="Arial"/>
          <w:sz w:val="20"/>
          <w:szCs w:val="20"/>
        </w:rPr>
        <w:t xml:space="preserve">. </w:t>
      </w:r>
    </w:p>
    <w:p w:rsidR="00E73CCF" w:rsidRDefault="008266E5" w:rsidP="00F53071">
      <w:pPr>
        <w:jc w:val="both"/>
        <w:rPr>
          <w:rFonts w:ascii="Arial" w:hAnsi="Arial" w:cs="Arial"/>
          <w:b/>
          <w:bCs/>
          <w:color w:val="800000"/>
          <w:sz w:val="20"/>
          <w:szCs w:val="20"/>
        </w:rPr>
      </w:pPr>
      <w:r>
        <w:rPr>
          <w:rFonts w:ascii="Arial" w:hAnsi="Arial" w:cs="Arial"/>
          <w:b/>
          <w:bCs/>
          <w:noProof/>
          <w:color w:val="800000"/>
          <w:sz w:val="20"/>
          <w:szCs w:val="20"/>
        </w:rPr>
        <w:drawing>
          <wp:anchor distT="0" distB="0" distL="114300" distR="114300" simplePos="0" relativeHeight="251721728" behindDoc="0" locked="0" layoutInCell="1" allowOverlap="1">
            <wp:simplePos x="0" y="0"/>
            <wp:positionH relativeFrom="column">
              <wp:posOffset>4255135</wp:posOffset>
            </wp:positionH>
            <wp:positionV relativeFrom="paragraph">
              <wp:posOffset>5080</wp:posOffset>
            </wp:positionV>
            <wp:extent cx="2292350" cy="1806575"/>
            <wp:effectExtent l="19050" t="0" r="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292350" cy="1806575"/>
                    </a:xfrm>
                    <a:prstGeom prst="rect">
                      <a:avLst/>
                    </a:prstGeom>
                    <a:noFill/>
                    <a:ln w="9525">
                      <a:noFill/>
                      <a:miter lim="800000"/>
                      <a:headEnd/>
                      <a:tailEnd/>
                    </a:ln>
                  </pic:spPr>
                </pic:pic>
              </a:graphicData>
            </a:graphic>
          </wp:anchor>
        </w:drawing>
      </w:r>
    </w:p>
    <w:p w:rsidR="0097276B" w:rsidRPr="004625B7" w:rsidRDefault="003755A7" w:rsidP="00B52A61">
      <w:pPr>
        <w:jc w:val="both"/>
        <w:rPr>
          <w:rFonts w:ascii="Arial" w:hAnsi="Arial" w:cs="Arial"/>
          <w:b/>
          <w:bCs/>
          <w:color w:val="800000"/>
          <w:sz w:val="20"/>
          <w:szCs w:val="20"/>
        </w:rPr>
      </w:pPr>
      <w:r>
        <w:rPr>
          <w:rFonts w:ascii="Arial" w:hAnsi="Arial" w:cs="Arial"/>
          <w:b/>
          <w:bCs/>
          <w:color w:val="800000"/>
          <w:sz w:val="20"/>
          <w:szCs w:val="20"/>
        </w:rPr>
        <w:t>D</w:t>
      </w:r>
      <w:r w:rsidR="00F53071">
        <w:rPr>
          <w:rFonts w:ascii="Arial" w:hAnsi="Arial" w:cs="Arial"/>
          <w:b/>
          <w:bCs/>
          <w:color w:val="800000"/>
          <w:sz w:val="20"/>
          <w:szCs w:val="20"/>
        </w:rPr>
        <w:t>é</w:t>
      </w:r>
      <w:r w:rsidR="001363AC">
        <w:rPr>
          <w:rFonts w:ascii="Arial" w:hAnsi="Arial" w:cs="Arial"/>
          <w:b/>
          <w:bCs/>
          <w:color w:val="800000"/>
          <w:sz w:val="20"/>
          <w:szCs w:val="20"/>
        </w:rPr>
        <w:t>c</w:t>
      </w:r>
      <w:r w:rsidR="00C47540">
        <w:rPr>
          <w:rFonts w:ascii="Arial" w:hAnsi="Arial" w:cs="Arial"/>
          <w:b/>
          <w:bCs/>
          <w:color w:val="800000"/>
          <w:sz w:val="20"/>
          <w:szCs w:val="20"/>
        </w:rPr>
        <w:t>élération</w:t>
      </w:r>
      <w:r w:rsidR="000E26F5">
        <w:rPr>
          <w:rFonts w:ascii="Arial" w:hAnsi="Arial" w:cs="Arial"/>
          <w:b/>
          <w:bCs/>
          <w:color w:val="800000"/>
          <w:sz w:val="20"/>
          <w:szCs w:val="20"/>
        </w:rPr>
        <w:t xml:space="preserve"> </w:t>
      </w:r>
      <w:r w:rsidR="0097276B">
        <w:rPr>
          <w:rFonts w:ascii="Arial" w:hAnsi="Arial" w:cs="Arial"/>
          <w:b/>
          <w:bCs/>
          <w:color w:val="800000"/>
          <w:sz w:val="20"/>
          <w:szCs w:val="20"/>
        </w:rPr>
        <w:t>d</w:t>
      </w:r>
      <w:r w:rsidR="0097276B" w:rsidRPr="004625B7">
        <w:rPr>
          <w:rFonts w:ascii="Arial" w:hAnsi="Arial" w:cs="Arial"/>
          <w:b/>
          <w:bCs/>
          <w:color w:val="800000"/>
          <w:sz w:val="20"/>
          <w:szCs w:val="20"/>
        </w:rPr>
        <w:t>e</w:t>
      </w:r>
      <w:r w:rsidR="0097276B">
        <w:rPr>
          <w:rFonts w:ascii="Arial" w:hAnsi="Arial" w:cs="Arial"/>
          <w:b/>
          <w:bCs/>
          <w:color w:val="800000"/>
          <w:sz w:val="20"/>
          <w:szCs w:val="20"/>
        </w:rPr>
        <w:t>s prix à la consommation</w:t>
      </w:r>
    </w:p>
    <w:p w:rsidR="0097276B" w:rsidRPr="000A1CCD" w:rsidRDefault="0097276B" w:rsidP="0032191A">
      <w:pPr>
        <w:jc w:val="both"/>
        <w:rPr>
          <w:rFonts w:ascii="Arial" w:hAnsi="Arial" w:cs="Arial"/>
          <w:sz w:val="20"/>
          <w:szCs w:val="20"/>
        </w:rPr>
      </w:pPr>
    </w:p>
    <w:p w:rsidR="00201D83" w:rsidRDefault="00C849F6" w:rsidP="00D96FC6">
      <w:pPr>
        <w:jc w:val="both"/>
        <w:rPr>
          <w:rFonts w:ascii="Arial" w:hAnsi="Arial" w:cs="Arial"/>
          <w:sz w:val="20"/>
          <w:szCs w:val="20"/>
          <w:rtl/>
        </w:rPr>
      </w:pPr>
      <w:r>
        <w:rPr>
          <w:rFonts w:ascii="Arial" w:hAnsi="Arial" w:cs="Arial"/>
          <w:sz w:val="20"/>
          <w:szCs w:val="20"/>
        </w:rPr>
        <w:t>L</w:t>
      </w:r>
      <w:r w:rsidRPr="00201D83">
        <w:rPr>
          <w:rFonts w:ascii="Arial" w:hAnsi="Arial" w:cs="Arial"/>
          <w:sz w:val="20"/>
          <w:szCs w:val="20"/>
        </w:rPr>
        <w:t xml:space="preserve">e rythme de progression des </w:t>
      </w:r>
      <w:r w:rsidRPr="00201D83">
        <w:rPr>
          <w:rFonts w:ascii="Arial" w:hAnsi="Arial" w:cs="Arial"/>
          <w:b/>
          <w:bCs/>
          <w:sz w:val="20"/>
          <w:szCs w:val="20"/>
        </w:rPr>
        <w:t>prix à la consommation</w:t>
      </w:r>
      <w:r w:rsidRPr="00201D83">
        <w:rPr>
          <w:rFonts w:ascii="Arial" w:hAnsi="Arial" w:cs="Arial"/>
          <w:sz w:val="20"/>
          <w:szCs w:val="20"/>
        </w:rPr>
        <w:t xml:space="preserve"> aurait </w:t>
      </w:r>
      <w:r>
        <w:rPr>
          <w:rFonts w:ascii="Arial" w:hAnsi="Arial" w:cs="Arial"/>
          <w:sz w:val="20"/>
          <w:szCs w:val="20"/>
        </w:rPr>
        <w:t>sensiblement</w:t>
      </w:r>
      <w:r w:rsidRPr="00201D83">
        <w:rPr>
          <w:rFonts w:ascii="Arial" w:hAnsi="Arial" w:cs="Arial"/>
          <w:sz w:val="20"/>
          <w:szCs w:val="20"/>
        </w:rPr>
        <w:t xml:space="preserve"> ralenti</w:t>
      </w:r>
      <w:r>
        <w:rPr>
          <w:rFonts w:ascii="Arial" w:hAnsi="Arial" w:cs="Arial"/>
          <w:sz w:val="20"/>
          <w:szCs w:val="20"/>
        </w:rPr>
        <w:t xml:space="preserve"> au deuxième trimestre 2017, </w:t>
      </w:r>
      <w:r w:rsidR="00201D83" w:rsidRPr="00201D83">
        <w:rPr>
          <w:rFonts w:ascii="Arial" w:hAnsi="Arial" w:cs="Arial"/>
          <w:sz w:val="20"/>
          <w:szCs w:val="20"/>
        </w:rPr>
        <w:t xml:space="preserve">pour se situer </w:t>
      </w:r>
      <w:proofErr w:type="gramStart"/>
      <w:r w:rsidR="00201D83" w:rsidRPr="00201D83">
        <w:rPr>
          <w:rFonts w:ascii="Arial" w:hAnsi="Arial" w:cs="Arial"/>
          <w:sz w:val="20"/>
          <w:szCs w:val="20"/>
        </w:rPr>
        <w:t>à</w:t>
      </w:r>
      <w:proofErr w:type="gramEnd"/>
      <w:r w:rsidR="00201D83" w:rsidRPr="00201D83">
        <w:rPr>
          <w:rFonts w:ascii="Arial" w:hAnsi="Arial" w:cs="Arial"/>
          <w:sz w:val="20"/>
          <w:szCs w:val="20"/>
        </w:rPr>
        <w:t xml:space="preserve"> +0,3%, en glissement annuel, au lieu de +1,3% au premier trimestre. Ce ralentissement serait la conséquence de la baisse </w:t>
      </w:r>
      <w:r w:rsidR="00E9099F" w:rsidRPr="00201D83">
        <w:rPr>
          <w:rFonts w:ascii="Arial" w:hAnsi="Arial" w:cs="Arial"/>
          <w:sz w:val="20"/>
          <w:szCs w:val="20"/>
        </w:rPr>
        <w:t>de 0,9%</w:t>
      </w:r>
      <w:r w:rsidR="00E9099F">
        <w:rPr>
          <w:rFonts w:ascii="Arial" w:hAnsi="Arial" w:cs="Arial"/>
          <w:sz w:val="20"/>
          <w:szCs w:val="20"/>
        </w:rPr>
        <w:t xml:space="preserve"> </w:t>
      </w:r>
      <w:r w:rsidR="00201D83" w:rsidRPr="00201D83">
        <w:rPr>
          <w:rFonts w:ascii="Arial" w:hAnsi="Arial" w:cs="Arial"/>
          <w:sz w:val="20"/>
          <w:szCs w:val="20"/>
        </w:rPr>
        <w:t xml:space="preserve">des prix des produits alimentaires, </w:t>
      </w:r>
      <w:r w:rsidR="00865548">
        <w:rPr>
          <w:rFonts w:ascii="Arial" w:hAnsi="Arial" w:cs="Arial"/>
          <w:sz w:val="20"/>
          <w:szCs w:val="20"/>
        </w:rPr>
        <w:t>suite au</w:t>
      </w:r>
      <w:r w:rsidR="00201D83" w:rsidRPr="00201D83">
        <w:rPr>
          <w:rFonts w:ascii="Arial" w:hAnsi="Arial" w:cs="Arial"/>
          <w:sz w:val="20"/>
          <w:szCs w:val="20"/>
        </w:rPr>
        <w:t xml:space="preserve"> </w:t>
      </w:r>
      <w:r w:rsidR="00E9099F">
        <w:rPr>
          <w:rFonts w:ascii="Arial" w:hAnsi="Arial" w:cs="Arial"/>
          <w:sz w:val="20"/>
          <w:szCs w:val="20"/>
        </w:rPr>
        <w:t>fléchissement</w:t>
      </w:r>
      <w:r w:rsidR="00201D83" w:rsidRPr="00201D83">
        <w:rPr>
          <w:rFonts w:ascii="Arial" w:hAnsi="Arial" w:cs="Arial"/>
          <w:sz w:val="20"/>
          <w:szCs w:val="20"/>
        </w:rPr>
        <w:t xml:space="preserve"> des prix des produits frais. Dans le même sillage, le rythme de croissance des prix des produits non-alimentaires aurait décéléré, passant de +1,7% à +1,2% au deuxième trimestre, suite notamment au léger repli des prix de</w:t>
      </w:r>
      <w:r w:rsidR="00EE6FC4">
        <w:rPr>
          <w:rFonts w:ascii="Arial" w:hAnsi="Arial" w:cs="Arial"/>
          <w:sz w:val="20"/>
          <w:szCs w:val="20"/>
        </w:rPr>
        <w:t>s produits</w:t>
      </w:r>
      <w:r w:rsidR="00201D83" w:rsidRPr="00201D83">
        <w:rPr>
          <w:rFonts w:ascii="Arial" w:hAnsi="Arial" w:cs="Arial"/>
          <w:sz w:val="20"/>
          <w:szCs w:val="20"/>
        </w:rPr>
        <w:t xml:space="preserve"> énerg</w:t>
      </w:r>
      <w:r w:rsidR="00EE6FC4">
        <w:rPr>
          <w:rFonts w:ascii="Arial" w:hAnsi="Arial" w:cs="Arial"/>
          <w:sz w:val="20"/>
          <w:szCs w:val="20"/>
        </w:rPr>
        <w:t>étiqu</w:t>
      </w:r>
      <w:r w:rsidR="00201D83" w:rsidRPr="00201D83">
        <w:rPr>
          <w:rFonts w:ascii="Arial" w:hAnsi="Arial" w:cs="Arial"/>
          <w:sz w:val="20"/>
          <w:szCs w:val="20"/>
        </w:rPr>
        <w:t>e</w:t>
      </w:r>
      <w:r w:rsidR="00EE6FC4">
        <w:rPr>
          <w:rFonts w:ascii="Arial" w:hAnsi="Arial" w:cs="Arial"/>
          <w:sz w:val="20"/>
          <w:szCs w:val="20"/>
        </w:rPr>
        <w:t>s</w:t>
      </w:r>
      <w:r w:rsidR="00201D83" w:rsidRPr="00201D83">
        <w:rPr>
          <w:rFonts w:ascii="Arial" w:hAnsi="Arial" w:cs="Arial"/>
          <w:sz w:val="20"/>
          <w:szCs w:val="20"/>
        </w:rPr>
        <w:t xml:space="preserve">. L’inflation sous-jacente qui exclut les tarifs publics et les </w:t>
      </w:r>
      <w:r w:rsidR="00201D83" w:rsidRPr="00201D83">
        <w:rPr>
          <w:rFonts w:ascii="Arial" w:hAnsi="Arial" w:cs="Arial"/>
          <w:sz w:val="20"/>
          <w:szCs w:val="20"/>
        </w:rPr>
        <w:lastRenderedPageBreak/>
        <w:t xml:space="preserve">produits frais aurait, pour sa part, évolué dans le même sens, marquant une hausse  de +0,9%, au lieu de +1,3%, un trimestre auparavant. La diminution des prix des produits alimentaires hors frais, aurait contribué pour une grande partie à cette </w:t>
      </w:r>
      <w:r w:rsidR="00EE6FC4">
        <w:rPr>
          <w:rFonts w:ascii="Arial" w:hAnsi="Arial" w:cs="Arial"/>
          <w:sz w:val="20"/>
          <w:szCs w:val="20"/>
        </w:rPr>
        <w:t>décéléra</w:t>
      </w:r>
      <w:r w:rsidR="00201D83" w:rsidRPr="00201D83">
        <w:rPr>
          <w:rFonts w:ascii="Arial" w:hAnsi="Arial" w:cs="Arial"/>
          <w:sz w:val="20"/>
          <w:szCs w:val="20"/>
        </w:rPr>
        <w:t>tion.</w:t>
      </w:r>
    </w:p>
    <w:p w:rsidR="00074314" w:rsidRDefault="00074314" w:rsidP="00E9099F">
      <w:pPr>
        <w:jc w:val="both"/>
      </w:pPr>
    </w:p>
    <w:p w:rsidR="003E1AD6" w:rsidRPr="003E1AD6" w:rsidRDefault="00D96FC6" w:rsidP="00D96FC6">
      <w:pPr>
        <w:tabs>
          <w:tab w:val="left" w:pos="5245"/>
        </w:tabs>
        <w:jc w:val="both"/>
        <w:rPr>
          <w:rFonts w:ascii="Arial" w:hAnsi="Arial" w:cs="Arial"/>
          <w:b/>
          <w:bCs/>
          <w:color w:val="800000"/>
          <w:kern w:val="28"/>
          <w:sz w:val="20"/>
          <w:szCs w:val="20"/>
        </w:rPr>
      </w:pPr>
      <w:r>
        <w:rPr>
          <w:rFonts w:ascii="Arial" w:hAnsi="Arial" w:cs="Arial"/>
          <w:b/>
          <w:bCs/>
          <w:color w:val="800000"/>
          <w:kern w:val="28"/>
          <w:sz w:val="20"/>
          <w:szCs w:val="20"/>
        </w:rPr>
        <w:t xml:space="preserve">Expansion </w:t>
      </w:r>
      <w:r w:rsidR="003E1AD6" w:rsidRPr="003E1AD6">
        <w:rPr>
          <w:rFonts w:ascii="Arial" w:hAnsi="Arial" w:cs="Arial"/>
          <w:b/>
          <w:bCs/>
          <w:color w:val="800000"/>
          <w:kern w:val="28"/>
          <w:sz w:val="20"/>
          <w:szCs w:val="20"/>
        </w:rPr>
        <w:t>des crédits à l’économie</w:t>
      </w:r>
    </w:p>
    <w:p w:rsidR="003E1AD6" w:rsidRPr="003E1AD6" w:rsidRDefault="003E1AD6" w:rsidP="003E1AD6">
      <w:pPr>
        <w:jc w:val="both"/>
        <w:rPr>
          <w:rFonts w:ascii="Arial" w:hAnsi="Arial" w:cs="Arial"/>
          <w:sz w:val="20"/>
          <w:szCs w:val="20"/>
        </w:rPr>
      </w:pPr>
    </w:p>
    <w:p w:rsidR="003E1AD6" w:rsidRDefault="003E1AD6" w:rsidP="003E1AD6">
      <w:pPr>
        <w:jc w:val="both"/>
        <w:rPr>
          <w:rFonts w:ascii="Arial" w:hAnsi="Arial" w:cs="Arial"/>
          <w:sz w:val="20"/>
          <w:szCs w:val="20"/>
        </w:rPr>
      </w:pPr>
      <w:r w:rsidRPr="003E1AD6">
        <w:rPr>
          <w:rFonts w:ascii="Arial" w:hAnsi="Arial" w:cs="Arial"/>
          <w:sz w:val="20"/>
          <w:szCs w:val="20"/>
        </w:rPr>
        <w:t xml:space="preserve">Les </w:t>
      </w:r>
      <w:r w:rsidRPr="003E1AD6">
        <w:rPr>
          <w:rFonts w:ascii="Arial" w:hAnsi="Arial" w:cs="Arial"/>
          <w:b/>
          <w:bCs/>
          <w:sz w:val="20"/>
          <w:szCs w:val="20"/>
        </w:rPr>
        <w:t>créances sur l’économie</w:t>
      </w:r>
      <w:r w:rsidRPr="003E1AD6">
        <w:rPr>
          <w:rFonts w:ascii="Arial" w:hAnsi="Arial" w:cs="Arial"/>
          <w:sz w:val="20"/>
          <w:szCs w:val="20"/>
        </w:rPr>
        <w:t xml:space="preserve"> auraient continué d’évoluer sur un sentier de croissance ascendant, au deuxième trimestre 2017. Les crédits bancaires auraient poursuivi leur amélioration, portés notamment par la hausse de 5,8% des crédits à l’équipement et de 4,8% des crédits à la consommation des ménages. Dans ce sillage, les taux d’intérêt interbancaires et ceux des adjudications des bons du Trésor auraient augmenté, par rapport à l’année précédente, mais sans pour autant s’écarter du taux directeur. Le taux moyen interbancaire se serait élevé de 17 points de base et celui des adjudications des bons du Trésor à deux et à cinq ans auraient bondi de 36 et 46 points, respectivement.</w:t>
      </w:r>
    </w:p>
    <w:p w:rsidR="00B92AB1" w:rsidRPr="003E1AD6" w:rsidRDefault="00B92AB1" w:rsidP="003E1AD6">
      <w:pPr>
        <w:jc w:val="both"/>
        <w:rPr>
          <w:rFonts w:ascii="Arial" w:hAnsi="Arial" w:cs="Arial"/>
          <w:sz w:val="20"/>
          <w:szCs w:val="20"/>
        </w:rPr>
      </w:pPr>
    </w:p>
    <w:p w:rsidR="003E1AD6" w:rsidRPr="003E1AD6" w:rsidRDefault="003E1AD6" w:rsidP="00C56E40">
      <w:pPr>
        <w:jc w:val="both"/>
        <w:rPr>
          <w:rFonts w:ascii="Arial" w:hAnsi="Arial" w:cs="Arial"/>
          <w:sz w:val="20"/>
          <w:szCs w:val="20"/>
        </w:rPr>
      </w:pPr>
      <w:r w:rsidRPr="003E1AD6">
        <w:rPr>
          <w:rFonts w:ascii="Arial" w:hAnsi="Arial" w:cs="Arial"/>
          <w:sz w:val="20"/>
          <w:szCs w:val="20"/>
        </w:rPr>
        <w:t>Le besoin de liquidité des banques se serait remarquablement creusé au deuxième trimestre 2017, sous l’effet du repli des réserves internationales nettes. L</w:t>
      </w:r>
      <w:r w:rsidR="00977FEB">
        <w:rPr>
          <w:rFonts w:ascii="Arial" w:hAnsi="Arial" w:cs="Arial"/>
          <w:sz w:val="20"/>
          <w:szCs w:val="20"/>
        </w:rPr>
        <w:t>e rythme de croissance de l</w:t>
      </w:r>
      <w:r w:rsidRPr="003E1AD6">
        <w:rPr>
          <w:rFonts w:ascii="Arial" w:hAnsi="Arial" w:cs="Arial"/>
          <w:sz w:val="20"/>
          <w:szCs w:val="20"/>
        </w:rPr>
        <w:t xml:space="preserve">a masse monétaire aurait, ainsi, </w:t>
      </w:r>
      <w:r w:rsidR="00977FEB">
        <w:rPr>
          <w:rFonts w:ascii="Arial" w:hAnsi="Arial" w:cs="Arial"/>
          <w:sz w:val="20"/>
          <w:szCs w:val="20"/>
        </w:rPr>
        <w:t>ralenti, par rapport à celui de l’année précédente, se situant à</w:t>
      </w:r>
      <w:r w:rsidRPr="003E1AD6">
        <w:rPr>
          <w:rFonts w:ascii="Arial" w:hAnsi="Arial" w:cs="Arial"/>
          <w:sz w:val="20"/>
          <w:szCs w:val="20"/>
        </w:rPr>
        <w:t xml:space="preserve"> 5,6% en glissement annuel. Cette croissance aurait été atténuée par la baisse inattendue des </w:t>
      </w:r>
      <w:r w:rsidR="00183612">
        <w:rPr>
          <w:rFonts w:ascii="Arial" w:hAnsi="Arial" w:cs="Arial"/>
          <w:sz w:val="20"/>
          <w:szCs w:val="20"/>
        </w:rPr>
        <w:t>avoirs extérieurs</w:t>
      </w:r>
      <w:r w:rsidRPr="003E1AD6">
        <w:rPr>
          <w:rFonts w:ascii="Arial" w:hAnsi="Arial" w:cs="Arial"/>
          <w:sz w:val="20"/>
          <w:szCs w:val="20"/>
        </w:rPr>
        <w:t xml:space="preserve"> </w:t>
      </w:r>
      <w:r w:rsidR="00B52A61">
        <w:rPr>
          <w:rFonts w:ascii="Arial" w:hAnsi="Arial" w:cs="Arial"/>
          <w:sz w:val="20"/>
          <w:szCs w:val="20"/>
        </w:rPr>
        <w:t>sous l’effet</w:t>
      </w:r>
      <w:r w:rsidR="00C56E40">
        <w:rPr>
          <w:rFonts w:ascii="Arial" w:hAnsi="Arial" w:cs="Arial"/>
          <w:sz w:val="20"/>
          <w:szCs w:val="20"/>
        </w:rPr>
        <w:t xml:space="preserve"> notamment</w:t>
      </w:r>
      <w:r w:rsidRPr="003E1AD6">
        <w:rPr>
          <w:rFonts w:ascii="Arial" w:hAnsi="Arial" w:cs="Arial"/>
          <w:sz w:val="20"/>
          <w:szCs w:val="20"/>
        </w:rPr>
        <w:t xml:space="preserve"> des achats massifs des devises sur le marché de change, sous forme d’opérations spéculatives</w:t>
      </w:r>
      <w:r w:rsidR="008D5618">
        <w:rPr>
          <w:rFonts w:ascii="Arial" w:hAnsi="Arial" w:cs="Arial"/>
          <w:sz w:val="20"/>
          <w:szCs w:val="20"/>
        </w:rPr>
        <w:t xml:space="preserve"> </w:t>
      </w:r>
      <w:r w:rsidRPr="003E1AD6">
        <w:rPr>
          <w:rFonts w:ascii="Arial" w:hAnsi="Arial" w:cs="Arial"/>
          <w:sz w:val="20"/>
          <w:szCs w:val="20"/>
        </w:rPr>
        <w:t>à la veille de la migration vers la flexibilité du régime de change</w:t>
      </w:r>
      <w:r w:rsidR="003B755E">
        <w:rPr>
          <w:rFonts w:ascii="Arial" w:hAnsi="Arial" w:cs="Arial"/>
          <w:sz w:val="20"/>
          <w:szCs w:val="20"/>
        </w:rPr>
        <w:t xml:space="preserve">, </w:t>
      </w:r>
      <w:r w:rsidR="005414BB">
        <w:rPr>
          <w:rFonts w:ascii="Arial" w:hAnsi="Arial" w:cs="Arial"/>
          <w:sz w:val="20"/>
          <w:szCs w:val="20"/>
        </w:rPr>
        <w:t xml:space="preserve">prévue </w:t>
      </w:r>
      <w:r w:rsidR="003B755E">
        <w:rPr>
          <w:rFonts w:ascii="Arial" w:hAnsi="Arial" w:cs="Arial"/>
          <w:sz w:val="20"/>
          <w:szCs w:val="20"/>
        </w:rPr>
        <w:t>au troisième trimestre 2017</w:t>
      </w:r>
      <w:r w:rsidRPr="003E1AD6">
        <w:rPr>
          <w:rFonts w:ascii="Arial" w:hAnsi="Arial" w:cs="Arial"/>
          <w:sz w:val="20"/>
          <w:szCs w:val="20"/>
        </w:rPr>
        <w:t>.</w:t>
      </w:r>
    </w:p>
    <w:p w:rsidR="003E1AD6" w:rsidRPr="003E1AD6" w:rsidRDefault="003E1AD6" w:rsidP="003E1AD6">
      <w:pPr>
        <w:jc w:val="both"/>
        <w:rPr>
          <w:rFonts w:ascii="Arial" w:hAnsi="Arial" w:cs="Arial"/>
          <w:sz w:val="20"/>
          <w:szCs w:val="20"/>
        </w:rPr>
      </w:pPr>
    </w:p>
    <w:p w:rsidR="00D8391E" w:rsidRPr="00D8391E" w:rsidRDefault="00E34F79" w:rsidP="003B09E5">
      <w:pPr>
        <w:jc w:val="both"/>
        <w:rPr>
          <w:rFonts w:ascii="Arial" w:hAnsi="Arial" w:cs="Arial"/>
          <w:b/>
          <w:bCs/>
          <w:color w:val="800000"/>
          <w:kern w:val="28"/>
          <w:sz w:val="20"/>
          <w:szCs w:val="20"/>
        </w:rPr>
      </w:pPr>
      <w:r>
        <w:rPr>
          <w:rFonts w:ascii="Arial" w:hAnsi="Arial" w:cs="Arial"/>
          <w:b/>
          <w:bCs/>
          <w:color w:val="800000"/>
          <w:kern w:val="28"/>
          <w:sz w:val="20"/>
          <w:szCs w:val="20"/>
        </w:rPr>
        <w:t>Accélération</w:t>
      </w:r>
      <w:r w:rsidR="00D8391E" w:rsidRPr="00D8391E">
        <w:rPr>
          <w:rFonts w:ascii="Arial" w:hAnsi="Arial" w:cs="Arial"/>
          <w:b/>
          <w:bCs/>
          <w:color w:val="800000"/>
          <w:kern w:val="28"/>
          <w:sz w:val="20"/>
          <w:szCs w:val="20"/>
        </w:rPr>
        <w:t xml:space="preserve"> du rythme de croissance des indices boursiers</w:t>
      </w:r>
    </w:p>
    <w:p w:rsidR="00D8391E" w:rsidRPr="00D8391E" w:rsidRDefault="001C1F61" w:rsidP="00D8391E">
      <w:pPr>
        <w:jc w:val="both"/>
        <w:rPr>
          <w:rFonts w:ascii="Arial" w:hAnsi="Arial" w:cs="Arial"/>
          <w:sz w:val="20"/>
          <w:szCs w:val="20"/>
        </w:rPr>
      </w:pPr>
      <w:r>
        <w:rPr>
          <w:rFonts w:ascii="Arial" w:hAnsi="Arial" w:cs="Arial"/>
          <w:noProof/>
          <w:sz w:val="20"/>
          <w:szCs w:val="20"/>
        </w:rPr>
        <w:drawing>
          <wp:anchor distT="0" distB="0" distL="114300" distR="114300" simplePos="0" relativeHeight="251726848" behindDoc="0" locked="0" layoutInCell="1" allowOverlap="1">
            <wp:simplePos x="0" y="0"/>
            <wp:positionH relativeFrom="column">
              <wp:posOffset>4189095</wp:posOffset>
            </wp:positionH>
            <wp:positionV relativeFrom="paragraph">
              <wp:posOffset>73660</wp:posOffset>
            </wp:positionV>
            <wp:extent cx="2437130" cy="1916430"/>
            <wp:effectExtent l="19050" t="0" r="127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437130" cy="1916430"/>
                    </a:xfrm>
                    <a:prstGeom prst="rect">
                      <a:avLst/>
                    </a:prstGeom>
                    <a:noFill/>
                    <a:ln w="9525">
                      <a:noFill/>
                      <a:miter lim="800000"/>
                      <a:headEnd/>
                      <a:tailEnd/>
                    </a:ln>
                  </pic:spPr>
                </pic:pic>
              </a:graphicData>
            </a:graphic>
          </wp:anchor>
        </w:drawing>
      </w:r>
    </w:p>
    <w:p w:rsidR="00C77F2C" w:rsidRPr="002F38A8" w:rsidRDefault="00C77F2C" w:rsidP="00B52A61">
      <w:pPr>
        <w:jc w:val="both"/>
        <w:rPr>
          <w:rFonts w:ascii="Arial" w:hAnsi="Arial" w:cs="Arial"/>
          <w:sz w:val="20"/>
          <w:szCs w:val="20"/>
        </w:rPr>
      </w:pPr>
      <w:r w:rsidRPr="002F38A8">
        <w:rPr>
          <w:rFonts w:ascii="Arial" w:hAnsi="Arial" w:cs="Arial"/>
          <w:sz w:val="20"/>
          <w:szCs w:val="20"/>
        </w:rPr>
        <w:t xml:space="preserve">Le marché des </w:t>
      </w:r>
      <w:r w:rsidRPr="002F38A8">
        <w:rPr>
          <w:rFonts w:ascii="Arial" w:hAnsi="Arial" w:cs="Arial"/>
          <w:b/>
          <w:bCs/>
          <w:sz w:val="20"/>
          <w:szCs w:val="20"/>
        </w:rPr>
        <w:t>actions</w:t>
      </w:r>
      <w:r w:rsidRPr="002F38A8">
        <w:rPr>
          <w:rFonts w:ascii="Arial" w:hAnsi="Arial" w:cs="Arial"/>
          <w:sz w:val="20"/>
          <w:szCs w:val="20"/>
        </w:rPr>
        <w:t xml:space="preserve"> aurait amélioré ses gains annuels au cours du deuxième trimestre 2017, dans un environnement propice à l’investissement en bourse. La croissance enregistrée émanerait des anticipations favorables des investisseurs, concernant les résultats comptables des sociétés cotées durant l’année 2017. Les indices MASI et MADEX auraient</w:t>
      </w:r>
      <w:r w:rsidR="00B52A61">
        <w:rPr>
          <w:rFonts w:ascii="Arial" w:hAnsi="Arial" w:cs="Arial"/>
          <w:sz w:val="20"/>
          <w:szCs w:val="20"/>
        </w:rPr>
        <w:t>, ainsi,</w:t>
      </w:r>
      <w:r w:rsidRPr="002F38A8">
        <w:rPr>
          <w:rFonts w:ascii="Arial" w:hAnsi="Arial" w:cs="Arial"/>
          <w:sz w:val="20"/>
          <w:szCs w:val="20"/>
        </w:rPr>
        <w:t xml:space="preserve"> progressé de 26,8% et 27%, respectivement, en glissements annuels, après des hausses de 22% et 21,7%, </w:t>
      </w:r>
      <w:r w:rsidR="00B52A61">
        <w:rPr>
          <w:rFonts w:ascii="Arial" w:hAnsi="Arial" w:cs="Arial"/>
          <w:sz w:val="20"/>
          <w:szCs w:val="20"/>
        </w:rPr>
        <w:t>au</w:t>
      </w:r>
      <w:r w:rsidRPr="002F38A8">
        <w:rPr>
          <w:rFonts w:ascii="Arial" w:hAnsi="Arial" w:cs="Arial"/>
          <w:sz w:val="20"/>
          <w:szCs w:val="20"/>
        </w:rPr>
        <w:t xml:space="preserve"> trimestre précédent. La capitalisation boursière se serait aussi appréciée, évoluant de </w:t>
      </w:r>
      <w:r w:rsidR="00B52A61">
        <w:rPr>
          <w:rFonts w:ascii="Arial" w:hAnsi="Arial" w:cs="Arial"/>
          <w:sz w:val="20"/>
          <w:szCs w:val="20"/>
        </w:rPr>
        <w:t>+</w:t>
      </w:r>
      <w:r w:rsidRPr="002F38A8">
        <w:rPr>
          <w:rFonts w:ascii="Arial" w:hAnsi="Arial" w:cs="Arial"/>
          <w:sz w:val="20"/>
          <w:szCs w:val="20"/>
        </w:rPr>
        <w:t xml:space="preserve">22,1% à </w:t>
      </w:r>
      <w:r w:rsidR="00B52A61">
        <w:rPr>
          <w:rFonts w:ascii="Arial" w:hAnsi="Arial" w:cs="Arial"/>
          <w:sz w:val="20"/>
          <w:szCs w:val="20"/>
        </w:rPr>
        <w:t>+</w:t>
      </w:r>
      <w:r w:rsidRPr="002F38A8">
        <w:rPr>
          <w:rFonts w:ascii="Arial" w:hAnsi="Arial" w:cs="Arial"/>
          <w:sz w:val="20"/>
          <w:szCs w:val="20"/>
        </w:rPr>
        <w:t xml:space="preserve">27,3% entre les deux trimestres successifs. Ces évolutions traduiraient, principalement, la croissance des cours boursiers des secteurs de la chimie, du papier, de l’agroalimentaire et du matériel et logiciels informatiques. Parallèlement, le marché boursier aurait enregistré une augmentation des échanges et le volume des transactions aurait augmenté de 25,4%, en variation annuelle. </w:t>
      </w:r>
    </w:p>
    <w:p w:rsidR="00D8391E" w:rsidRDefault="00D8391E" w:rsidP="00C97A6C">
      <w:pPr>
        <w:jc w:val="both"/>
        <w:rPr>
          <w:rFonts w:ascii="Arial" w:hAnsi="Arial" w:cs="Arial"/>
          <w:sz w:val="20"/>
          <w:szCs w:val="20"/>
        </w:rPr>
      </w:pPr>
    </w:p>
    <w:p w:rsidR="00D10A1D" w:rsidRPr="00D8391E" w:rsidRDefault="00D10A1D" w:rsidP="00C97A6C">
      <w:pPr>
        <w:jc w:val="both"/>
        <w:rPr>
          <w:rFonts w:ascii="Arial" w:hAnsi="Arial" w:cs="Arial"/>
          <w:sz w:val="20"/>
          <w:szCs w:val="20"/>
        </w:rPr>
      </w:pPr>
    </w:p>
    <w:p w:rsidR="00592D6B" w:rsidRPr="00F20957" w:rsidRDefault="00592D6B" w:rsidP="00592D6B">
      <w:pPr>
        <w:jc w:val="both"/>
        <w:rPr>
          <w:rFonts w:ascii="Arial" w:hAnsi="Arial" w:cs="Arial"/>
          <w:sz w:val="20"/>
          <w:szCs w:val="20"/>
        </w:rPr>
      </w:pPr>
    </w:p>
    <w:p w:rsidR="0097276B" w:rsidRDefault="00D21DEE" w:rsidP="00D21DEE">
      <w:pPr>
        <w:jc w:val="both"/>
        <w:rPr>
          <w:rFonts w:ascii="Arial" w:hAnsi="Arial" w:cs="Arial"/>
          <w:b/>
          <w:bCs/>
          <w:color w:val="800000"/>
          <w:kern w:val="28"/>
          <w:sz w:val="20"/>
          <w:szCs w:val="20"/>
        </w:rPr>
      </w:pPr>
      <w:r>
        <w:rPr>
          <w:rFonts w:ascii="Arial" w:hAnsi="Arial" w:cs="Arial"/>
          <w:b/>
          <w:bCs/>
          <w:color w:val="800000"/>
          <w:kern w:val="28"/>
          <w:sz w:val="20"/>
          <w:szCs w:val="20"/>
        </w:rPr>
        <w:t>Poursuite de l’amélioration de l’activité économique</w:t>
      </w:r>
      <w:r w:rsidR="0097276B">
        <w:rPr>
          <w:rFonts w:ascii="Arial" w:hAnsi="Arial" w:cs="Arial"/>
          <w:b/>
          <w:bCs/>
          <w:color w:val="800000"/>
          <w:kern w:val="28"/>
          <w:sz w:val="20"/>
          <w:szCs w:val="20"/>
        </w:rPr>
        <w:t xml:space="preserve"> au </w:t>
      </w:r>
      <w:r w:rsidR="00F86E17">
        <w:rPr>
          <w:rFonts w:ascii="Arial" w:hAnsi="Arial" w:cs="Arial"/>
          <w:b/>
          <w:bCs/>
          <w:color w:val="800000"/>
          <w:kern w:val="28"/>
          <w:sz w:val="20"/>
          <w:szCs w:val="20"/>
        </w:rPr>
        <w:t>trois</w:t>
      </w:r>
      <w:r w:rsidR="00854BDA">
        <w:rPr>
          <w:rFonts w:ascii="Arial" w:hAnsi="Arial" w:cs="Arial"/>
          <w:b/>
          <w:bCs/>
          <w:color w:val="800000"/>
          <w:kern w:val="28"/>
          <w:sz w:val="20"/>
          <w:szCs w:val="20"/>
        </w:rPr>
        <w:t>ième</w:t>
      </w:r>
      <w:r w:rsidR="0097276B" w:rsidRPr="001640A8">
        <w:rPr>
          <w:rFonts w:ascii="Arial" w:hAnsi="Arial" w:cs="Arial"/>
          <w:b/>
          <w:bCs/>
          <w:color w:val="800000"/>
          <w:kern w:val="28"/>
          <w:sz w:val="20"/>
          <w:szCs w:val="20"/>
        </w:rPr>
        <w:t xml:space="preserve"> trimestre 201</w:t>
      </w:r>
      <w:r w:rsidR="003D1F6E">
        <w:rPr>
          <w:rFonts w:ascii="Arial" w:hAnsi="Arial" w:cs="Arial"/>
          <w:b/>
          <w:bCs/>
          <w:color w:val="800000"/>
          <w:kern w:val="28"/>
          <w:sz w:val="20"/>
          <w:szCs w:val="20"/>
        </w:rPr>
        <w:t>7</w:t>
      </w:r>
    </w:p>
    <w:p w:rsidR="0097276B" w:rsidRDefault="0097276B" w:rsidP="0032191A">
      <w:pPr>
        <w:jc w:val="both"/>
        <w:rPr>
          <w:rFonts w:ascii="Arial" w:hAnsi="Arial" w:cs="Arial"/>
          <w:b/>
          <w:bCs/>
          <w:color w:val="800000"/>
          <w:kern w:val="28"/>
          <w:sz w:val="20"/>
          <w:szCs w:val="20"/>
        </w:rPr>
      </w:pPr>
    </w:p>
    <w:p w:rsidR="000E4AD3" w:rsidRPr="003410B6" w:rsidRDefault="001B6EC9" w:rsidP="00865548">
      <w:pPr>
        <w:jc w:val="both"/>
        <w:rPr>
          <w:rFonts w:asciiTheme="minorBidi" w:hAnsiTheme="minorBidi"/>
          <w:sz w:val="20"/>
          <w:szCs w:val="20"/>
        </w:rPr>
      </w:pPr>
      <w:r>
        <w:rPr>
          <w:rFonts w:ascii="Arial" w:hAnsi="Arial" w:cs="Arial"/>
          <w:sz w:val="20"/>
          <w:szCs w:val="20"/>
        </w:rPr>
        <w:t>L</w:t>
      </w:r>
      <w:r w:rsidR="004D08F1">
        <w:rPr>
          <w:rFonts w:ascii="Arial" w:hAnsi="Arial" w:cs="Arial"/>
          <w:sz w:val="20"/>
          <w:szCs w:val="20"/>
        </w:rPr>
        <w:t>a</w:t>
      </w:r>
      <w:r>
        <w:rPr>
          <w:rFonts w:ascii="Arial" w:hAnsi="Arial" w:cs="Arial"/>
          <w:sz w:val="20"/>
          <w:szCs w:val="20"/>
        </w:rPr>
        <w:t xml:space="preserve"> croissance économique</w:t>
      </w:r>
      <w:r w:rsidR="0097276B">
        <w:rPr>
          <w:rFonts w:ascii="Arial" w:hAnsi="Arial" w:cs="Arial"/>
          <w:sz w:val="20"/>
          <w:szCs w:val="20"/>
        </w:rPr>
        <w:t xml:space="preserve"> nationale </w:t>
      </w:r>
      <w:r w:rsidR="00F01418">
        <w:rPr>
          <w:rFonts w:ascii="Arial" w:hAnsi="Arial" w:cs="Arial"/>
          <w:sz w:val="20"/>
          <w:szCs w:val="20"/>
        </w:rPr>
        <w:t xml:space="preserve">devrait </w:t>
      </w:r>
      <w:r w:rsidR="004D08F1">
        <w:rPr>
          <w:rFonts w:ascii="Arial" w:hAnsi="Arial" w:cs="Arial"/>
          <w:sz w:val="20"/>
          <w:szCs w:val="20"/>
        </w:rPr>
        <w:t xml:space="preserve">se poursuivre à un rythme </w:t>
      </w:r>
      <w:r w:rsidR="00136E6A">
        <w:rPr>
          <w:rFonts w:ascii="Arial" w:hAnsi="Arial" w:cs="Arial"/>
          <w:sz w:val="20"/>
          <w:szCs w:val="20"/>
        </w:rPr>
        <w:t>toujours</w:t>
      </w:r>
      <w:r w:rsidR="001534CE">
        <w:rPr>
          <w:rFonts w:ascii="Arial" w:hAnsi="Arial" w:cs="Arial"/>
          <w:sz w:val="20"/>
          <w:szCs w:val="20"/>
        </w:rPr>
        <w:t xml:space="preserve"> soutenu</w:t>
      </w:r>
      <w:r w:rsidR="0097276B">
        <w:rPr>
          <w:rFonts w:ascii="Arial" w:hAnsi="Arial" w:cs="Arial"/>
          <w:sz w:val="20"/>
          <w:szCs w:val="20"/>
        </w:rPr>
        <w:t xml:space="preserve"> au </w:t>
      </w:r>
      <w:r w:rsidR="00F86E17">
        <w:rPr>
          <w:rFonts w:ascii="Arial" w:hAnsi="Arial" w:cs="Arial"/>
          <w:sz w:val="20"/>
          <w:szCs w:val="20"/>
        </w:rPr>
        <w:t>trois</w:t>
      </w:r>
      <w:r w:rsidR="00854BDA">
        <w:rPr>
          <w:rFonts w:ascii="Arial" w:hAnsi="Arial" w:cs="Arial"/>
          <w:sz w:val="20"/>
          <w:szCs w:val="20"/>
        </w:rPr>
        <w:t>ième</w:t>
      </w:r>
      <w:r w:rsidR="0097276B">
        <w:rPr>
          <w:rFonts w:ascii="Arial" w:hAnsi="Arial" w:cs="Arial"/>
          <w:sz w:val="20"/>
          <w:szCs w:val="20"/>
        </w:rPr>
        <w:t xml:space="preserve"> trimestre 201</w:t>
      </w:r>
      <w:r w:rsidR="00721969">
        <w:rPr>
          <w:rFonts w:ascii="Arial" w:hAnsi="Arial" w:cs="Arial"/>
          <w:sz w:val="20"/>
          <w:szCs w:val="20"/>
        </w:rPr>
        <w:t>7</w:t>
      </w:r>
      <w:r w:rsidR="0097276B">
        <w:rPr>
          <w:rFonts w:ascii="Arial" w:hAnsi="Arial" w:cs="Arial"/>
          <w:sz w:val="20"/>
          <w:szCs w:val="20"/>
        </w:rPr>
        <w:t xml:space="preserve">, </w:t>
      </w:r>
      <w:r w:rsidR="00D14F86">
        <w:rPr>
          <w:rFonts w:ascii="Arial" w:hAnsi="Arial" w:cs="Arial"/>
          <w:sz w:val="20"/>
          <w:szCs w:val="20"/>
        </w:rPr>
        <w:t xml:space="preserve">sous l’effet </w:t>
      </w:r>
      <w:r w:rsidR="00446A4A">
        <w:rPr>
          <w:rFonts w:ascii="Arial" w:hAnsi="Arial" w:cs="Arial"/>
          <w:sz w:val="20"/>
          <w:szCs w:val="20"/>
        </w:rPr>
        <w:t>d’un</w:t>
      </w:r>
      <w:r w:rsidR="00721969">
        <w:rPr>
          <w:rFonts w:ascii="Arial" w:hAnsi="Arial" w:cs="Arial"/>
          <w:sz w:val="20"/>
          <w:szCs w:val="20"/>
        </w:rPr>
        <w:t xml:space="preserve"> </w:t>
      </w:r>
      <w:r w:rsidR="004D08F1">
        <w:rPr>
          <w:rFonts w:ascii="Arial" w:hAnsi="Arial" w:cs="Arial"/>
          <w:sz w:val="20"/>
          <w:szCs w:val="20"/>
        </w:rPr>
        <w:t>accroi</w:t>
      </w:r>
      <w:r w:rsidR="00721969">
        <w:rPr>
          <w:rFonts w:ascii="Arial" w:hAnsi="Arial" w:cs="Arial"/>
          <w:sz w:val="20"/>
          <w:szCs w:val="20"/>
        </w:rPr>
        <w:t>ssement</w:t>
      </w:r>
      <w:r w:rsidR="0014485F">
        <w:rPr>
          <w:rFonts w:ascii="Arial" w:hAnsi="Arial" w:cs="Arial"/>
          <w:sz w:val="20"/>
          <w:szCs w:val="20"/>
        </w:rPr>
        <w:t xml:space="preserve"> de </w:t>
      </w:r>
      <w:r w:rsidR="003623B6">
        <w:rPr>
          <w:rFonts w:ascii="Arial" w:hAnsi="Arial" w:cs="Arial"/>
          <w:sz w:val="20"/>
          <w:szCs w:val="20"/>
        </w:rPr>
        <w:t>1</w:t>
      </w:r>
      <w:r w:rsidR="001534CE">
        <w:rPr>
          <w:rFonts w:ascii="Arial" w:hAnsi="Arial" w:cs="Arial"/>
          <w:sz w:val="20"/>
          <w:szCs w:val="20"/>
        </w:rPr>
        <w:t>4</w:t>
      </w:r>
      <w:r w:rsidR="00C9248C" w:rsidRPr="00D91862">
        <w:rPr>
          <w:rFonts w:asciiTheme="minorBidi" w:hAnsiTheme="minorBidi" w:cstheme="minorBidi"/>
          <w:sz w:val="20"/>
          <w:szCs w:val="20"/>
        </w:rPr>
        <w:t>,</w:t>
      </w:r>
      <w:r w:rsidR="00B92AB1">
        <w:rPr>
          <w:rFonts w:asciiTheme="minorBidi" w:hAnsiTheme="minorBidi" w:cstheme="minorBidi"/>
          <w:sz w:val="20"/>
          <w:szCs w:val="20"/>
        </w:rPr>
        <w:t>9</w:t>
      </w:r>
      <w:r w:rsidR="00C9248C" w:rsidRPr="00D91862">
        <w:rPr>
          <w:rFonts w:asciiTheme="minorBidi" w:hAnsiTheme="minorBidi" w:cstheme="minorBidi"/>
          <w:sz w:val="20"/>
          <w:szCs w:val="20"/>
        </w:rPr>
        <w:t>%</w:t>
      </w:r>
      <w:r w:rsidR="00C9248C">
        <w:rPr>
          <w:rFonts w:asciiTheme="minorBidi" w:hAnsiTheme="minorBidi" w:cstheme="minorBidi"/>
          <w:sz w:val="20"/>
          <w:szCs w:val="20"/>
        </w:rPr>
        <w:t xml:space="preserve"> de</w:t>
      </w:r>
      <w:r w:rsidR="00C9248C">
        <w:rPr>
          <w:rFonts w:ascii="Arial" w:hAnsi="Arial" w:cs="Arial"/>
          <w:sz w:val="20"/>
          <w:szCs w:val="20"/>
        </w:rPr>
        <w:t xml:space="preserve"> </w:t>
      </w:r>
      <w:r w:rsidR="0014485F">
        <w:rPr>
          <w:rFonts w:ascii="Arial" w:hAnsi="Arial" w:cs="Arial"/>
          <w:sz w:val="20"/>
          <w:szCs w:val="20"/>
        </w:rPr>
        <w:t xml:space="preserve">la </w:t>
      </w:r>
      <w:r w:rsidR="0094768B">
        <w:rPr>
          <w:rFonts w:ascii="Arial" w:hAnsi="Arial" w:cs="Arial"/>
          <w:sz w:val="20"/>
          <w:szCs w:val="20"/>
        </w:rPr>
        <w:t>valeur ajoutée</w:t>
      </w:r>
      <w:r w:rsidR="0014485F">
        <w:rPr>
          <w:rFonts w:ascii="Arial" w:hAnsi="Arial" w:cs="Arial"/>
          <w:sz w:val="20"/>
          <w:szCs w:val="20"/>
        </w:rPr>
        <w:t xml:space="preserve"> agricole</w:t>
      </w:r>
      <w:r w:rsidR="00B04AF8" w:rsidRPr="003410B6">
        <w:rPr>
          <w:rFonts w:asciiTheme="minorBidi" w:hAnsiTheme="minorBidi" w:cstheme="minorBidi"/>
          <w:sz w:val="20"/>
          <w:szCs w:val="20"/>
        </w:rPr>
        <w:t xml:space="preserve">. </w:t>
      </w:r>
      <w:r w:rsidR="000E4AD3" w:rsidRPr="003410B6">
        <w:rPr>
          <w:rFonts w:asciiTheme="minorBidi" w:hAnsiTheme="minorBidi"/>
          <w:sz w:val="20"/>
          <w:szCs w:val="20"/>
        </w:rPr>
        <w:t xml:space="preserve">La dynamique de la production végétale </w:t>
      </w:r>
      <w:r w:rsidR="000E4AD3">
        <w:rPr>
          <w:rFonts w:asciiTheme="minorBidi" w:hAnsiTheme="minorBidi"/>
          <w:sz w:val="20"/>
          <w:szCs w:val="20"/>
        </w:rPr>
        <w:t>se poursuivrait</w:t>
      </w:r>
      <w:r w:rsidR="000E4AD3" w:rsidRPr="003410B6">
        <w:rPr>
          <w:rFonts w:asciiTheme="minorBidi" w:hAnsiTheme="minorBidi"/>
          <w:sz w:val="20"/>
          <w:szCs w:val="20"/>
        </w:rPr>
        <w:t xml:space="preserve">, </w:t>
      </w:r>
      <w:r w:rsidR="000E4AD3">
        <w:rPr>
          <w:rFonts w:asciiTheme="minorBidi" w:hAnsiTheme="minorBidi"/>
          <w:sz w:val="20"/>
          <w:szCs w:val="20"/>
        </w:rPr>
        <w:t xml:space="preserve">tandis que </w:t>
      </w:r>
      <w:r w:rsidR="000E4AD3" w:rsidRPr="003410B6">
        <w:rPr>
          <w:rFonts w:asciiTheme="minorBidi" w:hAnsiTheme="minorBidi"/>
          <w:sz w:val="20"/>
          <w:szCs w:val="20"/>
        </w:rPr>
        <w:t xml:space="preserve">la </w:t>
      </w:r>
      <w:r w:rsidR="000E4AD3">
        <w:rPr>
          <w:rFonts w:asciiTheme="minorBidi" w:hAnsiTheme="minorBidi"/>
          <w:sz w:val="20"/>
          <w:szCs w:val="20"/>
        </w:rPr>
        <w:t>hausse</w:t>
      </w:r>
      <w:r w:rsidR="000E4AD3" w:rsidRPr="003410B6">
        <w:rPr>
          <w:rFonts w:asciiTheme="minorBidi" w:hAnsiTheme="minorBidi"/>
          <w:sz w:val="20"/>
          <w:szCs w:val="20"/>
        </w:rPr>
        <w:t xml:space="preserve"> de la production animale enregistrée au deuxième trimestre 2017, s’amortirait progressivement au troisième trimestre, avec la dissipation des effets de la crise aviaire et le retour du secteur avicole à son rythme tendanciel de moyen terme.  </w:t>
      </w:r>
    </w:p>
    <w:p w:rsidR="00B04AF8" w:rsidRPr="00D34739" w:rsidRDefault="00B04AF8" w:rsidP="000E4AD3">
      <w:pPr>
        <w:jc w:val="both"/>
        <w:rPr>
          <w:rFonts w:asciiTheme="minorBidi" w:hAnsiTheme="minorBidi" w:cstheme="minorBidi"/>
          <w:sz w:val="20"/>
          <w:szCs w:val="20"/>
        </w:rPr>
      </w:pPr>
    </w:p>
    <w:p w:rsidR="00B170F5" w:rsidRPr="003F4D95" w:rsidRDefault="000A1EF8" w:rsidP="00277992">
      <w:pPr>
        <w:jc w:val="both"/>
        <w:rPr>
          <w:rFonts w:ascii="Arial" w:hAnsi="Arial" w:cs="Arial"/>
          <w:sz w:val="20"/>
          <w:szCs w:val="20"/>
        </w:rPr>
      </w:pPr>
      <w:r>
        <w:rPr>
          <w:rFonts w:ascii="Arial" w:hAnsi="Arial" w:cs="Arial"/>
          <w:noProof/>
          <w:sz w:val="20"/>
          <w:szCs w:val="20"/>
        </w:rPr>
        <w:drawing>
          <wp:anchor distT="0" distB="0" distL="114300" distR="114300" simplePos="0" relativeHeight="251729920" behindDoc="0" locked="0" layoutInCell="1" allowOverlap="1">
            <wp:simplePos x="0" y="0"/>
            <wp:positionH relativeFrom="column">
              <wp:posOffset>4125595</wp:posOffset>
            </wp:positionH>
            <wp:positionV relativeFrom="paragraph">
              <wp:posOffset>19050</wp:posOffset>
            </wp:positionV>
            <wp:extent cx="2372995" cy="2018665"/>
            <wp:effectExtent l="19050" t="0" r="8255" b="0"/>
            <wp:wrapSquare wrapText="bothSides"/>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372995" cy="2018665"/>
                    </a:xfrm>
                    <a:prstGeom prst="rect">
                      <a:avLst/>
                    </a:prstGeom>
                    <a:noFill/>
                    <a:ln w="9525">
                      <a:noFill/>
                      <a:miter lim="800000"/>
                      <a:headEnd/>
                      <a:tailEnd/>
                    </a:ln>
                  </pic:spPr>
                </pic:pic>
              </a:graphicData>
            </a:graphic>
          </wp:anchor>
        </w:drawing>
      </w:r>
      <w:r w:rsidR="000F1688" w:rsidRPr="0030397E">
        <w:rPr>
          <w:rFonts w:ascii="Arial" w:hAnsi="Arial" w:cs="Arial"/>
          <w:sz w:val="20"/>
          <w:szCs w:val="20"/>
        </w:rPr>
        <w:t xml:space="preserve">Par ailleurs, </w:t>
      </w:r>
      <w:r w:rsidR="000F1688" w:rsidRPr="003F4D95">
        <w:rPr>
          <w:rFonts w:ascii="Arial" w:hAnsi="Arial" w:cs="Arial"/>
          <w:sz w:val="20"/>
          <w:szCs w:val="20"/>
        </w:rPr>
        <w:t>l'amélioration du climat des affaires aussi bien dans les économies émergentes</w:t>
      </w:r>
      <w:r w:rsidR="000F1688">
        <w:rPr>
          <w:rFonts w:ascii="Arial" w:hAnsi="Arial" w:cs="Arial"/>
          <w:sz w:val="20"/>
          <w:szCs w:val="20"/>
        </w:rPr>
        <w:t xml:space="preserve"> qu'en zone euro se poursuivrait au troisième</w:t>
      </w:r>
      <w:r w:rsidR="000F1688" w:rsidRPr="003F4D95">
        <w:rPr>
          <w:rFonts w:ascii="Arial" w:hAnsi="Arial" w:cs="Arial"/>
          <w:sz w:val="20"/>
          <w:szCs w:val="20"/>
        </w:rPr>
        <w:t xml:space="preserve"> trimestre 2017</w:t>
      </w:r>
      <w:r w:rsidR="000F1688">
        <w:rPr>
          <w:rFonts w:ascii="Arial" w:hAnsi="Arial" w:cs="Arial"/>
          <w:sz w:val="20"/>
          <w:szCs w:val="20"/>
        </w:rPr>
        <w:t>. L</w:t>
      </w:r>
      <w:r w:rsidR="000F1688" w:rsidRPr="003F4D95">
        <w:rPr>
          <w:rFonts w:ascii="Arial" w:hAnsi="Arial" w:cs="Arial"/>
          <w:sz w:val="20"/>
          <w:szCs w:val="20"/>
        </w:rPr>
        <w:t>e léger regain d'inflation</w:t>
      </w:r>
      <w:r w:rsidR="000F1688">
        <w:rPr>
          <w:rFonts w:ascii="Arial" w:hAnsi="Arial" w:cs="Arial"/>
          <w:sz w:val="20"/>
          <w:szCs w:val="20"/>
        </w:rPr>
        <w:t xml:space="preserve">, </w:t>
      </w:r>
      <w:r w:rsidR="000F1688" w:rsidRPr="00A94D35">
        <w:rPr>
          <w:rFonts w:ascii="Arial" w:hAnsi="Arial" w:cs="Arial"/>
          <w:sz w:val="20"/>
          <w:szCs w:val="20"/>
        </w:rPr>
        <w:t xml:space="preserve">après </w:t>
      </w:r>
      <w:r w:rsidR="000F1688">
        <w:rPr>
          <w:rFonts w:ascii="Arial" w:hAnsi="Arial" w:cs="Arial"/>
          <w:sz w:val="20"/>
          <w:szCs w:val="20"/>
        </w:rPr>
        <w:t xml:space="preserve">deux années de quasi-stabilité, éroderait quelque peu </w:t>
      </w:r>
      <w:r w:rsidR="000F1688" w:rsidRPr="00A94D35">
        <w:rPr>
          <w:rFonts w:ascii="Arial" w:hAnsi="Arial" w:cs="Arial"/>
          <w:sz w:val="20"/>
          <w:szCs w:val="20"/>
        </w:rPr>
        <w:t>le pouvoir d'achat des ménages européens.</w:t>
      </w:r>
      <w:r w:rsidR="000F1688" w:rsidRPr="003F4D95">
        <w:rPr>
          <w:rFonts w:ascii="Arial" w:hAnsi="Arial" w:cs="Arial"/>
          <w:sz w:val="20"/>
          <w:szCs w:val="20"/>
        </w:rPr>
        <w:t xml:space="preserve"> </w:t>
      </w:r>
      <w:r w:rsidR="000F1688">
        <w:rPr>
          <w:rFonts w:ascii="Arial" w:hAnsi="Arial" w:cs="Arial"/>
          <w:sz w:val="20"/>
          <w:szCs w:val="20"/>
        </w:rPr>
        <w:t>Le commerce mondial continuerait sur sa lancée pour croître de 6,7%, alimenté par l</w:t>
      </w:r>
      <w:r w:rsidR="000F1688" w:rsidRPr="003F4D95">
        <w:rPr>
          <w:rFonts w:ascii="Arial" w:hAnsi="Arial" w:cs="Arial"/>
          <w:sz w:val="20"/>
          <w:szCs w:val="20"/>
        </w:rPr>
        <w:t>es importations des pays émergents, en particulier chinoises</w:t>
      </w:r>
      <w:r w:rsidR="000F1688">
        <w:rPr>
          <w:rFonts w:ascii="Arial" w:hAnsi="Arial" w:cs="Arial"/>
          <w:sz w:val="20"/>
          <w:szCs w:val="20"/>
        </w:rPr>
        <w:t>.</w:t>
      </w:r>
      <w:r w:rsidR="000F1688" w:rsidRPr="003F4D95">
        <w:rPr>
          <w:rFonts w:ascii="Arial" w:hAnsi="Arial" w:cs="Arial"/>
          <w:sz w:val="20"/>
          <w:szCs w:val="20"/>
        </w:rPr>
        <w:t xml:space="preserve"> Dans ce contexte, la demande mondiale adress</w:t>
      </w:r>
      <w:r w:rsidR="000F1688">
        <w:rPr>
          <w:rFonts w:ascii="Arial" w:hAnsi="Arial" w:cs="Arial"/>
          <w:sz w:val="20"/>
          <w:szCs w:val="20"/>
        </w:rPr>
        <w:t>ée au Maroc devrait continuerait à être bien orientée, en progressant de 5</w:t>
      </w:r>
      <w:r w:rsidR="000F1688" w:rsidRPr="003F4D95">
        <w:rPr>
          <w:rFonts w:ascii="Arial" w:hAnsi="Arial" w:cs="Arial"/>
          <w:sz w:val="20"/>
          <w:szCs w:val="20"/>
        </w:rPr>
        <w:t>,7%, en glissement annuel.</w:t>
      </w:r>
      <w:r w:rsidR="000F1688">
        <w:rPr>
          <w:rFonts w:ascii="Arial" w:hAnsi="Arial" w:cs="Arial"/>
          <w:sz w:val="20"/>
          <w:szCs w:val="20"/>
        </w:rPr>
        <w:t xml:space="preserve"> </w:t>
      </w:r>
      <w:r w:rsidR="00B170F5" w:rsidRPr="003F4D95">
        <w:rPr>
          <w:rFonts w:ascii="Arial" w:hAnsi="Arial" w:cs="Arial"/>
          <w:sz w:val="20"/>
          <w:szCs w:val="20"/>
        </w:rPr>
        <w:t>Toutefois, la dépréciation a</w:t>
      </w:r>
      <w:r w:rsidR="00214F78">
        <w:rPr>
          <w:rFonts w:ascii="Arial" w:hAnsi="Arial" w:cs="Arial"/>
          <w:sz w:val="20"/>
          <w:szCs w:val="20"/>
        </w:rPr>
        <w:t>nticipée du dirham par rapport aux autres devises</w:t>
      </w:r>
      <w:r w:rsidR="00B170F5" w:rsidRPr="003F4D95">
        <w:rPr>
          <w:rFonts w:ascii="Arial" w:hAnsi="Arial" w:cs="Arial"/>
          <w:sz w:val="20"/>
          <w:szCs w:val="20"/>
        </w:rPr>
        <w:t xml:space="preserve"> pourrait jouer en faveur de la compétitivité-prix de nos exportations</w:t>
      </w:r>
      <w:r w:rsidR="00214F78">
        <w:rPr>
          <w:rFonts w:ascii="Arial" w:hAnsi="Arial" w:cs="Arial"/>
          <w:sz w:val="20"/>
          <w:szCs w:val="20"/>
        </w:rPr>
        <w:t>, d’une part,</w:t>
      </w:r>
      <w:r w:rsidR="00B170F5" w:rsidRPr="003F4D95">
        <w:rPr>
          <w:rFonts w:ascii="Arial" w:hAnsi="Arial" w:cs="Arial"/>
          <w:sz w:val="20"/>
          <w:szCs w:val="20"/>
        </w:rPr>
        <w:t xml:space="preserve"> et renchérir nos importations de produits bruts</w:t>
      </w:r>
      <w:r w:rsidR="00214F78">
        <w:rPr>
          <w:rFonts w:ascii="Arial" w:hAnsi="Arial" w:cs="Arial"/>
          <w:sz w:val="20"/>
          <w:szCs w:val="20"/>
        </w:rPr>
        <w:t>,</w:t>
      </w:r>
      <w:r w:rsidR="00B170F5" w:rsidRPr="003F4D95">
        <w:rPr>
          <w:rFonts w:ascii="Arial" w:hAnsi="Arial" w:cs="Arial"/>
          <w:sz w:val="20"/>
          <w:szCs w:val="20"/>
        </w:rPr>
        <w:t xml:space="preserve"> d’autre part, </w:t>
      </w:r>
      <w:r w:rsidR="00136E6A">
        <w:rPr>
          <w:rFonts w:ascii="Arial" w:hAnsi="Arial" w:cs="Arial"/>
          <w:sz w:val="20"/>
          <w:szCs w:val="20"/>
        </w:rPr>
        <w:t>dans le sillage d’une progression</w:t>
      </w:r>
      <w:r w:rsidR="00B170F5" w:rsidRPr="003F4D95">
        <w:rPr>
          <w:rFonts w:ascii="Arial" w:hAnsi="Arial" w:cs="Arial"/>
          <w:sz w:val="20"/>
          <w:szCs w:val="20"/>
        </w:rPr>
        <w:t xml:space="preserve"> </w:t>
      </w:r>
      <w:r w:rsidR="000F1688">
        <w:rPr>
          <w:rFonts w:ascii="Arial" w:hAnsi="Arial" w:cs="Arial"/>
          <w:sz w:val="20"/>
          <w:szCs w:val="20"/>
        </w:rPr>
        <w:t xml:space="preserve">anticipée </w:t>
      </w:r>
      <w:r w:rsidR="00136E6A">
        <w:rPr>
          <w:rFonts w:ascii="Arial" w:hAnsi="Arial" w:cs="Arial"/>
          <w:sz w:val="20"/>
          <w:szCs w:val="20"/>
        </w:rPr>
        <w:t>d</w:t>
      </w:r>
      <w:r w:rsidR="00B170F5" w:rsidRPr="003F4D95">
        <w:rPr>
          <w:rFonts w:ascii="Arial" w:hAnsi="Arial" w:cs="Arial"/>
          <w:sz w:val="20"/>
          <w:szCs w:val="20"/>
        </w:rPr>
        <w:t xml:space="preserve">es </w:t>
      </w:r>
      <w:r w:rsidR="00B170F5" w:rsidRPr="003F4D95">
        <w:rPr>
          <w:rFonts w:ascii="Arial" w:hAnsi="Arial" w:cs="Arial"/>
          <w:iCs/>
          <w:kern w:val="28"/>
          <w:sz w:val="20"/>
          <w:szCs w:val="20"/>
        </w:rPr>
        <w:t xml:space="preserve">cours mondiaux des matières premières </w:t>
      </w:r>
      <w:r w:rsidR="00214F78">
        <w:rPr>
          <w:rFonts w:ascii="Arial" w:hAnsi="Arial" w:cs="Arial"/>
          <w:iCs/>
          <w:kern w:val="28"/>
          <w:sz w:val="20"/>
          <w:szCs w:val="20"/>
        </w:rPr>
        <w:t xml:space="preserve">énergétiques et </w:t>
      </w:r>
      <w:r w:rsidR="00B170F5" w:rsidRPr="003F4D95">
        <w:rPr>
          <w:rFonts w:ascii="Arial" w:hAnsi="Arial" w:cs="Arial"/>
          <w:iCs/>
          <w:kern w:val="28"/>
          <w:sz w:val="20"/>
          <w:szCs w:val="20"/>
        </w:rPr>
        <w:t>industrielles.</w:t>
      </w:r>
    </w:p>
    <w:p w:rsidR="00B170F5" w:rsidRDefault="00B170F5" w:rsidP="0063416F">
      <w:pPr>
        <w:jc w:val="both"/>
        <w:rPr>
          <w:rFonts w:ascii="Arial" w:hAnsi="Arial" w:cs="Arial"/>
          <w:sz w:val="20"/>
          <w:szCs w:val="20"/>
        </w:rPr>
      </w:pPr>
    </w:p>
    <w:p w:rsidR="00D10A1D" w:rsidRDefault="00D10A1D" w:rsidP="0063416F">
      <w:pPr>
        <w:jc w:val="both"/>
        <w:rPr>
          <w:rFonts w:ascii="Arial" w:hAnsi="Arial" w:cs="Arial"/>
          <w:sz w:val="20"/>
          <w:szCs w:val="20"/>
        </w:rPr>
      </w:pPr>
    </w:p>
    <w:p w:rsidR="00307E8D" w:rsidRDefault="006C0640" w:rsidP="00C945E9">
      <w:pPr>
        <w:jc w:val="both"/>
        <w:rPr>
          <w:rFonts w:ascii="Arial" w:hAnsi="Arial" w:cs="Arial"/>
          <w:kern w:val="28"/>
          <w:sz w:val="20"/>
          <w:szCs w:val="20"/>
        </w:rPr>
      </w:pPr>
      <w:r>
        <w:rPr>
          <w:rFonts w:ascii="Arial" w:hAnsi="Arial" w:cs="Arial"/>
          <w:iCs/>
          <w:kern w:val="28"/>
          <w:sz w:val="20"/>
          <w:szCs w:val="20"/>
        </w:rPr>
        <w:lastRenderedPageBreak/>
        <w:t>Dans ce contexte, l</w:t>
      </w:r>
      <w:r w:rsidR="00307E8D">
        <w:rPr>
          <w:rFonts w:ascii="Arial" w:hAnsi="Arial" w:cs="Arial"/>
          <w:iCs/>
          <w:kern w:val="28"/>
          <w:sz w:val="20"/>
          <w:szCs w:val="20"/>
        </w:rPr>
        <w:t>a</w:t>
      </w:r>
      <w:r w:rsidR="00307E8D">
        <w:rPr>
          <w:rFonts w:ascii="Arial" w:hAnsi="Arial" w:cs="Arial"/>
          <w:sz w:val="20"/>
          <w:szCs w:val="20"/>
        </w:rPr>
        <w:t xml:space="preserve"> valeur ajoutée</w:t>
      </w:r>
      <w:r w:rsidR="00307E8D" w:rsidRPr="00A67687">
        <w:rPr>
          <w:rFonts w:ascii="Arial" w:hAnsi="Arial" w:cs="Arial"/>
          <w:sz w:val="20"/>
          <w:szCs w:val="20"/>
        </w:rPr>
        <w:t xml:space="preserve"> </w:t>
      </w:r>
      <w:r w:rsidR="00307E8D">
        <w:rPr>
          <w:rFonts w:ascii="Arial" w:hAnsi="Arial" w:cs="Arial"/>
          <w:sz w:val="20"/>
          <w:szCs w:val="20"/>
        </w:rPr>
        <w:t>industrielle réaliser</w:t>
      </w:r>
      <w:r>
        <w:rPr>
          <w:rFonts w:ascii="Arial" w:hAnsi="Arial" w:cs="Arial"/>
          <w:sz w:val="20"/>
          <w:szCs w:val="20"/>
        </w:rPr>
        <w:t>ait</w:t>
      </w:r>
      <w:r w:rsidR="00307E8D">
        <w:rPr>
          <w:rFonts w:ascii="Arial" w:hAnsi="Arial" w:cs="Arial"/>
          <w:sz w:val="20"/>
          <w:szCs w:val="20"/>
        </w:rPr>
        <w:t xml:space="preserve"> un accroissement de </w:t>
      </w:r>
      <w:r w:rsidR="008E5556">
        <w:rPr>
          <w:rFonts w:ascii="Arial" w:hAnsi="Arial" w:cs="Arial"/>
          <w:sz w:val="20"/>
          <w:szCs w:val="20"/>
        </w:rPr>
        <w:t>2</w:t>
      </w:r>
      <w:r w:rsidR="00307E8D">
        <w:rPr>
          <w:rFonts w:ascii="Arial" w:hAnsi="Arial" w:cs="Arial"/>
          <w:sz w:val="20"/>
          <w:szCs w:val="20"/>
        </w:rPr>
        <w:t>,</w:t>
      </w:r>
      <w:r w:rsidR="008E5556">
        <w:rPr>
          <w:rFonts w:ascii="Arial" w:hAnsi="Arial" w:cs="Arial"/>
          <w:sz w:val="20"/>
          <w:szCs w:val="20"/>
        </w:rPr>
        <w:t>7</w:t>
      </w:r>
      <w:r w:rsidR="00307E8D" w:rsidRPr="00A67687">
        <w:rPr>
          <w:rFonts w:ascii="Arial" w:hAnsi="Arial" w:cs="Arial"/>
          <w:sz w:val="20"/>
          <w:szCs w:val="20"/>
        </w:rPr>
        <w:t>%</w:t>
      </w:r>
      <w:r w:rsidR="00307E8D">
        <w:rPr>
          <w:rFonts w:ascii="Arial" w:hAnsi="Arial" w:cs="Arial"/>
          <w:sz w:val="20"/>
          <w:szCs w:val="20"/>
        </w:rPr>
        <w:t>,</w:t>
      </w:r>
      <w:r w:rsidR="00307E8D" w:rsidRPr="00A67687">
        <w:rPr>
          <w:rFonts w:ascii="Arial" w:hAnsi="Arial" w:cs="Arial"/>
          <w:sz w:val="20"/>
          <w:szCs w:val="20"/>
        </w:rPr>
        <w:t xml:space="preserve"> au </w:t>
      </w:r>
      <w:r w:rsidR="00F86E17">
        <w:rPr>
          <w:rFonts w:ascii="Arial" w:hAnsi="Arial" w:cs="Arial"/>
          <w:sz w:val="20"/>
          <w:szCs w:val="20"/>
        </w:rPr>
        <w:t>troisième</w:t>
      </w:r>
      <w:r w:rsidR="00721969">
        <w:rPr>
          <w:rFonts w:ascii="Arial" w:hAnsi="Arial" w:cs="Arial"/>
          <w:sz w:val="20"/>
          <w:szCs w:val="20"/>
        </w:rPr>
        <w:t xml:space="preserve"> trimestre 2017</w:t>
      </w:r>
      <w:r w:rsidR="00307E8D">
        <w:rPr>
          <w:rFonts w:ascii="Arial" w:hAnsi="Arial" w:cs="Arial"/>
          <w:sz w:val="20"/>
          <w:szCs w:val="20"/>
        </w:rPr>
        <w:t>, en variation annuelle</w:t>
      </w:r>
      <w:r w:rsidR="008317AF">
        <w:rPr>
          <w:rFonts w:ascii="Arial" w:hAnsi="Arial" w:cs="Arial"/>
          <w:sz w:val="20"/>
          <w:szCs w:val="20"/>
        </w:rPr>
        <w:t xml:space="preserve"> et </w:t>
      </w:r>
      <w:r w:rsidR="00C97A6C">
        <w:rPr>
          <w:rFonts w:ascii="Arial" w:hAnsi="Arial" w:cs="Arial"/>
          <w:sz w:val="20"/>
          <w:szCs w:val="20"/>
        </w:rPr>
        <w:t>l</w:t>
      </w:r>
      <w:r w:rsidR="00967EC1" w:rsidRPr="00E83DFE">
        <w:rPr>
          <w:rFonts w:asciiTheme="minorBidi" w:hAnsiTheme="minorBidi" w:cstheme="minorBidi"/>
          <w:sz w:val="20"/>
          <w:szCs w:val="20"/>
        </w:rPr>
        <w:t xml:space="preserve">es activités minières </w:t>
      </w:r>
      <w:r w:rsidR="00C97A6C">
        <w:rPr>
          <w:rFonts w:asciiTheme="minorBidi" w:hAnsiTheme="minorBidi" w:cstheme="minorBidi"/>
          <w:sz w:val="20"/>
          <w:szCs w:val="20"/>
        </w:rPr>
        <w:t>affiche</w:t>
      </w:r>
      <w:r w:rsidR="00C97A6C" w:rsidRPr="00E83DFE">
        <w:rPr>
          <w:rFonts w:asciiTheme="minorBidi" w:hAnsiTheme="minorBidi" w:cstheme="minorBidi"/>
          <w:sz w:val="20"/>
          <w:szCs w:val="20"/>
        </w:rPr>
        <w:t>raient</w:t>
      </w:r>
      <w:r w:rsidR="00967EC1" w:rsidRPr="00E83DFE">
        <w:rPr>
          <w:rFonts w:asciiTheme="minorBidi" w:hAnsiTheme="minorBidi" w:cstheme="minorBidi"/>
          <w:sz w:val="20"/>
          <w:szCs w:val="20"/>
        </w:rPr>
        <w:t xml:space="preserve"> </w:t>
      </w:r>
      <w:r w:rsidR="00C97A6C">
        <w:rPr>
          <w:rFonts w:asciiTheme="minorBidi" w:hAnsiTheme="minorBidi" w:cstheme="minorBidi"/>
          <w:sz w:val="20"/>
          <w:szCs w:val="20"/>
        </w:rPr>
        <w:t>une hausse de</w:t>
      </w:r>
      <w:r w:rsidR="00967EC1" w:rsidRPr="00E83DFE">
        <w:rPr>
          <w:rFonts w:asciiTheme="minorBidi" w:hAnsiTheme="minorBidi" w:cstheme="minorBidi"/>
          <w:sz w:val="20"/>
          <w:szCs w:val="20"/>
        </w:rPr>
        <w:t xml:space="preserve"> </w:t>
      </w:r>
      <w:r w:rsidR="00912593">
        <w:rPr>
          <w:rFonts w:asciiTheme="minorBidi" w:hAnsiTheme="minorBidi" w:cstheme="minorBidi"/>
          <w:sz w:val="20"/>
          <w:szCs w:val="20"/>
        </w:rPr>
        <w:t>11</w:t>
      </w:r>
      <w:r w:rsidR="00967EC1" w:rsidRPr="00E83DFE">
        <w:rPr>
          <w:rFonts w:asciiTheme="minorBidi" w:hAnsiTheme="minorBidi" w:cstheme="minorBidi"/>
          <w:sz w:val="20"/>
          <w:szCs w:val="20"/>
        </w:rPr>
        <w:t>,</w:t>
      </w:r>
      <w:r w:rsidR="00912593">
        <w:rPr>
          <w:rFonts w:asciiTheme="minorBidi" w:hAnsiTheme="minorBidi" w:cstheme="minorBidi"/>
          <w:sz w:val="20"/>
          <w:szCs w:val="20"/>
        </w:rPr>
        <w:t>8</w:t>
      </w:r>
      <w:r w:rsidR="00967EC1" w:rsidRPr="00E83DFE">
        <w:rPr>
          <w:rFonts w:asciiTheme="minorBidi" w:hAnsiTheme="minorBidi" w:cstheme="minorBidi"/>
          <w:sz w:val="20"/>
          <w:szCs w:val="20"/>
        </w:rPr>
        <w:t xml:space="preserve">%, </w:t>
      </w:r>
      <w:r w:rsidR="00C945E9">
        <w:rPr>
          <w:rFonts w:asciiTheme="minorBidi" w:hAnsiTheme="minorBidi" w:cstheme="minorBidi"/>
          <w:sz w:val="20"/>
          <w:szCs w:val="20"/>
        </w:rPr>
        <w:t>en variation</w:t>
      </w:r>
      <w:r w:rsidR="00EA7719">
        <w:rPr>
          <w:rFonts w:asciiTheme="minorBidi" w:hAnsiTheme="minorBidi" w:cstheme="minorBidi"/>
          <w:sz w:val="20"/>
          <w:szCs w:val="20"/>
        </w:rPr>
        <w:t>s</w:t>
      </w:r>
      <w:r w:rsidR="00C945E9">
        <w:rPr>
          <w:rFonts w:asciiTheme="minorBidi" w:hAnsiTheme="minorBidi" w:cstheme="minorBidi"/>
          <w:sz w:val="20"/>
          <w:szCs w:val="20"/>
        </w:rPr>
        <w:t xml:space="preserve"> annuelle</w:t>
      </w:r>
      <w:r w:rsidR="00EA7719">
        <w:rPr>
          <w:rFonts w:asciiTheme="minorBidi" w:hAnsiTheme="minorBidi" w:cstheme="minorBidi"/>
          <w:sz w:val="20"/>
          <w:szCs w:val="20"/>
        </w:rPr>
        <w:t>s</w:t>
      </w:r>
      <w:r w:rsidR="00967EC1" w:rsidRPr="00E83DFE">
        <w:rPr>
          <w:rFonts w:asciiTheme="minorBidi" w:hAnsiTheme="minorBidi" w:cstheme="minorBidi"/>
          <w:sz w:val="20"/>
          <w:szCs w:val="20"/>
        </w:rPr>
        <w:t xml:space="preserve">. </w:t>
      </w:r>
      <w:r w:rsidR="00C945E9" w:rsidRPr="003410B6">
        <w:rPr>
          <w:rFonts w:asciiTheme="minorBidi" w:hAnsiTheme="minorBidi" w:cstheme="minorBidi"/>
          <w:sz w:val="20"/>
          <w:szCs w:val="20"/>
        </w:rPr>
        <w:t xml:space="preserve">Cette performance serait principalement le fait du raffermissement de la demande des industries chimiques locales, en ligne avec le relèvement de la capacité productive des unités de  transformation de </w:t>
      </w:r>
      <w:proofErr w:type="spellStart"/>
      <w:r w:rsidR="00C945E9" w:rsidRPr="003410B6">
        <w:rPr>
          <w:rFonts w:asciiTheme="minorBidi" w:hAnsiTheme="minorBidi" w:cstheme="minorBidi"/>
          <w:sz w:val="20"/>
          <w:szCs w:val="20"/>
        </w:rPr>
        <w:t>JorfLasfar</w:t>
      </w:r>
      <w:proofErr w:type="spellEnd"/>
      <w:r w:rsidR="00C945E9" w:rsidRPr="003410B6">
        <w:rPr>
          <w:rFonts w:asciiTheme="minorBidi" w:hAnsiTheme="minorBidi" w:cstheme="minorBidi"/>
          <w:sz w:val="20"/>
          <w:szCs w:val="20"/>
        </w:rPr>
        <w:t xml:space="preserve">. </w:t>
      </w:r>
      <w:r w:rsidR="00307E8D">
        <w:rPr>
          <w:rFonts w:ascii="Arial" w:hAnsi="Arial" w:cs="Arial"/>
          <w:kern w:val="28"/>
          <w:sz w:val="20"/>
          <w:szCs w:val="20"/>
        </w:rPr>
        <w:t>Quant au</w:t>
      </w:r>
      <w:r w:rsidR="008E5556">
        <w:rPr>
          <w:rFonts w:ascii="Arial" w:hAnsi="Arial" w:cs="Arial"/>
          <w:kern w:val="28"/>
          <w:sz w:val="20"/>
          <w:szCs w:val="20"/>
        </w:rPr>
        <w:t xml:space="preserve"> secteur tertiaire</w:t>
      </w:r>
      <w:r w:rsidR="00307E8D">
        <w:rPr>
          <w:rFonts w:ascii="Arial" w:hAnsi="Arial" w:cs="Arial"/>
          <w:kern w:val="28"/>
          <w:sz w:val="20"/>
          <w:szCs w:val="20"/>
        </w:rPr>
        <w:t xml:space="preserve">, </w:t>
      </w:r>
      <w:r w:rsidR="008E5556">
        <w:rPr>
          <w:rFonts w:ascii="Arial" w:hAnsi="Arial" w:cs="Arial"/>
          <w:kern w:val="28"/>
          <w:sz w:val="20"/>
          <w:szCs w:val="20"/>
        </w:rPr>
        <w:t>sa</w:t>
      </w:r>
      <w:r w:rsidR="00307E8D">
        <w:rPr>
          <w:rFonts w:ascii="Arial" w:hAnsi="Arial" w:cs="Arial"/>
          <w:kern w:val="28"/>
          <w:sz w:val="20"/>
          <w:szCs w:val="20"/>
        </w:rPr>
        <w:t xml:space="preserve"> valeur ajoutée croîtr</w:t>
      </w:r>
      <w:r w:rsidR="00C97A6C">
        <w:rPr>
          <w:rFonts w:ascii="Arial" w:hAnsi="Arial" w:cs="Arial"/>
          <w:kern w:val="28"/>
          <w:sz w:val="20"/>
          <w:szCs w:val="20"/>
        </w:rPr>
        <w:t>ait de 2,8%</w:t>
      </w:r>
      <w:r w:rsidR="006C2DB9">
        <w:rPr>
          <w:rFonts w:ascii="Arial" w:hAnsi="Arial" w:cs="Arial"/>
          <w:kern w:val="28"/>
          <w:sz w:val="20"/>
          <w:szCs w:val="20"/>
        </w:rPr>
        <w:t xml:space="preserve">, </w:t>
      </w:r>
      <w:r w:rsidR="00307E8D">
        <w:rPr>
          <w:rFonts w:ascii="Arial" w:hAnsi="Arial" w:cs="Arial"/>
          <w:kern w:val="28"/>
          <w:sz w:val="20"/>
          <w:szCs w:val="20"/>
        </w:rPr>
        <w:t xml:space="preserve">contribuant pour </w:t>
      </w:r>
      <w:r w:rsidR="00967EC1">
        <w:rPr>
          <w:rFonts w:ascii="Arial" w:hAnsi="Arial" w:cs="Arial"/>
          <w:kern w:val="28"/>
          <w:sz w:val="20"/>
          <w:szCs w:val="20"/>
        </w:rPr>
        <w:t xml:space="preserve">environ </w:t>
      </w:r>
      <w:r w:rsidR="008E5556">
        <w:rPr>
          <w:rFonts w:ascii="Arial" w:hAnsi="Arial" w:cs="Arial"/>
          <w:kern w:val="28"/>
          <w:sz w:val="20"/>
          <w:szCs w:val="20"/>
        </w:rPr>
        <w:t>+</w:t>
      </w:r>
      <w:r w:rsidR="00967EC1">
        <w:rPr>
          <w:rFonts w:ascii="Arial" w:hAnsi="Arial" w:cs="Arial"/>
          <w:kern w:val="28"/>
          <w:sz w:val="20"/>
          <w:szCs w:val="20"/>
        </w:rPr>
        <w:t>1,3 point à la croissance globale du PIB</w:t>
      </w:r>
      <w:r w:rsidR="00307E8D">
        <w:rPr>
          <w:rFonts w:ascii="Arial" w:hAnsi="Arial" w:cs="Arial"/>
          <w:kern w:val="28"/>
          <w:sz w:val="20"/>
          <w:szCs w:val="20"/>
        </w:rPr>
        <w:t xml:space="preserve">. </w:t>
      </w:r>
    </w:p>
    <w:p w:rsidR="009126B7" w:rsidRDefault="009126B7" w:rsidP="009825F8">
      <w:pPr>
        <w:jc w:val="both"/>
        <w:rPr>
          <w:rFonts w:ascii="Arial" w:hAnsi="Arial" w:cs="Arial"/>
          <w:kern w:val="28"/>
          <w:sz w:val="20"/>
          <w:szCs w:val="20"/>
        </w:rPr>
      </w:pPr>
    </w:p>
    <w:p w:rsidR="0097276B" w:rsidRDefault="0097276B" w:rsidP="002D6444">
      <w:pPr>
        <w:autoSpaceDE w:val="0"/>
        <w:autoSpaceDN w:val="0"/>
        <w:adjustRightInd w:val="0"/>
        <w:jc w:val="both"/>
        <w:rPr>
          <w:rFonts w:ascii="Arial" w:hAnsi="Arial" w:cs="Arial"/>
          <w:sz w:val="20"/>
          <w:szCs w:val="20"/>
        </w:rPr>
      </w:pPr>
      <w:r>
        <w:rPr>
          <w:rFonts w:ascii="Arial" w:hAnsi="Arial" w:cs="Arial"/>
          <w:sz w:val="20"/>
          <w:szCs w:val="20"/>
        </w:rPr>
        <w:t xml:space="preserve">Dans l’ensemble, la valeur ajoutée </w:t>
      </w:r>
      <w:r w:rsidRPr="00C95F2B">
        <w:rPr>
          <w:rFonts w:ascii="Arial" w:hAnsi="Arial" w:cs="Arial"/>
          <w:sz w:val="20"/>
          <w:szCs w:val="20"/>
        </w:rPr>
        <w:t xml:space="preserve">hors agriculture </w:t>
      </w:r>
      <w:r>
        <w:rPr>
          <w:rFonts w:ascii="Arial" w:hAnsi="Arial" w:cs="Arial"/>
          <w:sz w:val="20"/>
          <w:szCs w:val="20"/>
        </w:rPr>
        <w:t xml:space="preserve">devrait s’améliorer de </w:t>
      </w:r>
      <w:r w:rsidR="00912593">
        <w:rPr>
          <w:rFonts w:ascii="Arial" w:hAnsi="Arial" w:cs="Arial"/>
          <w:sz w:val="20"/>
          <w:szCs w:val="20"/>
        </w:rPr>
        <w:t>2</w:t>
      </w:r>
      <w:r w:rsidR="00002878">
        <w:rPr>
          <w:rFonts w:ascii="Arial" w:hAnsi="Arial" w:cs="Arial"/>
          <w:sz w:val="20"/>
          <w:szCs w:val="20"/>
        </w:rPr>
        <w:t>,</w:t>
      </w:r>
      <w:r w:rsidR="002D6444">
        <w:rPr>
          <w:rFonts w:ascii="Arial" w:hAnsi="Arial" w:cs="Arial" w:hint="cs"/>
          <w:sz w:val="20"/>
          <w:szCs w:val="20"/>
          <w:rtl/>
        </w:rPr>
        <w:t>7</w:t>
      </w:r>
      <w:r>
        <w:rPr>
          <w:rFonts w:ascii="Arial" w:hAnsi="Arial" w:cs="Arial"/>
          <w:sz w:val="20"/>
          <w:szCs w:val="20"/>
        </w:rPr>
        <w:t xml:space="preserve">%, au </w:t>
      </w:r>
      <w:r w:rsidR="00F86E17">
        <w:rPr>
          <w:rFonts w:ascii="Arial" w:hAnsi="Arial" w:cs="Arial"/>
          <w:sz w:val="20"/>
          <w:szCs w:val="20"/>
        </w:rPr>
        <w:t>troisième</w:t>
      </w:r>
      <w:r>
        <w:rPr>
          <w:rFonts w:ascii="Arial" w:hAnsi="Arial" w:cs="Arial"/>
          <w:sz w:val="20"/>
          <w:szCs w:val="20"/>
        </w:rPr>
        <w:t xml:space="preserve"> trimestre 201</w:t>
      </w:r>
      <w:r w:rsidR="00721969">
        <w:rPr>
          <w:rFonts w:ascii="Arial" w:hAnsi="Arial" w:cs="Arial"/>
          <w:sz w:val="20"/>
          <w:szCs w:val="20"/>
        </w:rPr>
        <w:t>7</w:t>
      </w:r>
      <w:r>
        <w:rPr>
          <w:rFonts w:ascii="Arial" w:hAnsi="Arial" w:cs="Arial"/>
          <w:sz w:val="20"/>
          <w:szCs w:val="20"/>
        </w:rPr>
        <w:t xml:space="preserve">, en variation annuelle, </w:t>
      </w:r>
      <w:r w:rsidR="00307E8D">
        <w:rPr>
          <w:rFonts w:ascii="Arial" w:hAnsi="Arial" w:cs="Arial"/>
          <w:sz w:val="20"/>
          <w:szCs w:val="20"/>
        </w:rPr>
        <w:t>favorisant, ainsi, une</w:t>
      </w:r>
      <w:r>
        <w:rPr>
          <w:rFonts w:ascii="Arial" w:hAnsi="Arial" w:cs="Arial"/>
          <w:sz w:val="20"/>
          <w:szCs w:val="20"/>
        </w:rPr>
        <w:t xml:space="preserve"> hausse du PIB global </w:t>
      </w:r>
      <w:r w:rsidR="00307E8D">
        <w:rPr>
          <w:rFonts w:ascii="Arial" w:hAnsi="Arial" w:cs="Arial"/>
          <w:sz w:val="20"/>
          <w:szCs w:val="20"/>
        </w:rPr>
        <w:t xml:space="preserve">de </w:t>
      </w:r>
      <w:r w:rsidR="008F0528">
        <w:rPr>
          <w:rFonts w:ascii="Arial" w:hAnsi="Arial" w:cs="Arial"/>
          <w:sz w:val="20"/>
          <w:szCs w:val="20"/>
        </w:rPr>
        <w:t>4</w:t>
      </w:r>
      <w:r w:rsidR="001534CE">
        <w:rPr>
          <w:rFonts w:ascii="Arial" w:hAnsi="Arial" w:cs="Arial"/>
          <w:sz w:val="20"/>
          <w:szCs w:val="20"/>
        </w:rPr>
        <w:t>,</w:t>
      </w:r>
      <w:r w:rsidR="00912593">
        <w:rPr>
          <w:rFonts w:ascii="Arial" w:hAnsi="Arial" w:cs="Arial"/>
          <w:sz w:val="20"/>
          <w:szCs w:val="20"/>
        </w:rPr>
        <w:t>1</w:t>
      </w:r>
      <w:r>
        <w:rPr>
          <w:rFonts w:ascii="Arial" w:hAnsi="Arial" w:cs="Arial"/>
          <w:sz w:val="20"/>
          <w:szCs w:val="20"/>
        </w:rPr>
        <w:t xml:space="preserve">%, au cours de la même période, au lieu de </w:t>
      </w:r>
      <w:r w:rsidR="00E52038">
        <w:rPr>
          <w:rFonts w:ascii="Arial" w:hAnsi="Arial" w:cs="Arial"/>
          <w:sz w:val="20"/>
          <w:szCs w:val="20"/>
        </w:rPr>
        <w:t>+</w:t>
      </w:r>
      <w:r w:rsidR="00912593">
        <w:rPr>
          <w:rFonts w:ascii="Arial" w:hAnsi="Arial" w:cs="Arial"/>
          <w:sz w:val="20"/>
          <w:szCs w:val="20"/>
        </w:rPr>
        <w:t>1</w:t>
      </w:r>
      <w:r>
        <w:rPr>
          <w:rFonts w:ascii="Arial" w:hAnsi="Arial" w:cs="Arial"/>
          <w:sz w:val="20"/>
          <w:szCs w:val="20"/>
        </w:rPr>
        <w:t>,</w:t>
      </w:r>
      <w:r w:rsidR="00912593">
        <w:rPr>
          <w:rFonts w:ascii="Arial" w:hAnsi="Arial" w:cs="Arial"/>
          <w:sz w:val="20"/>
          <w:szCs w:val="20"/>
        </w:rPr>
        <w:t>3</w:t>
      </w:r>
      <w:r>
        <w:rPr>
          <w:rFonts w:ascii="Arial" w:hAnsi="Arial" w:cs="Arial"/>
          <w:sz w:val="20"/>
          <w:szCs w:val="20"/>
        </w:rPr>
        <w:t>% une année auparavant.</w:t>
      </w:r>
      <w:r w:rsidR="00A7186B" w:rsidRPr="00F016E3">
        <w:rPr>
          <w:rFonts w:ascii="Arial" w:hAnsi="Arial" w:cs="Arial"/>
          <w:sz w:val="20"/>
          <w:szCs w:val="20"/>
        </w:rPr>
        <w:t xml:space="preserve"> </w:t>
      </w:r>
    </w:p>
    <w:sectPr w:rsidR="0097276B" w:rsidSect="007766F6">
      <w:footerReference w:type="even" r:id="rId18"/>
      <w:footerReference w:type="default" r:id="rId19"/>
      <w:headerReference w:type="first" r:id="rId20"/>
      <w:footerReference w:type="first" r:id="rId21"/>
      <w:pgSz w:w="11906" w:h="16838"/>
      <w:pgMar w:top="993" w:right="849" w:bottom="993"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B55" w:rsidRDefault="004B4B55">
      <w:r>
        <w:separator/>
      </w:r>
    </w:p>
  </w:endnote>
  <w:endnote w:type="continuationSeparator" w:id="0">
    <w:p w:rsidR="004B4B55" w:rsidRDefault="004B4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2D3B70"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2D3B70"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2C5D41">
      <w:rPr>
        <w:rStyle w:val="Numrodepage"/>
        <w:noProof/>
        <w:sz w:val="20"/>
        <w:szCs w:val="20"/>
      </w:rPr>
      <w:t>2</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2C5D41">
      <w:rPr>
        <w:rStyle w:val="Numrodepage"/>
        <w:noProof/>
        <w:sz w:val="20"/>
        <w:szCs w:val="20"/>
      </w:rPr>
      <w:t>5</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2D3B70">
    <w:pPr>
      <w:pStyle w:val="Pieddepage"/>
    </w:pPr>
    <w:r>
      <w:rPr>
        <w:noProof/>
      </w:rPr>
      <w:pict>
        <v:shapetype id="_x0000_t202" coordsize="21600,21600" o:spt="202" path="m,l,21600r21600,l21600,xe">
          <v:stroke joinstyle="miter"/>
          <v:path gradientshapeok="t" o:connecttype="rect"/>
        </v:shapetype>
        <v:shape id="Text Box 2" o:spid="_x0000_s4102" type="#_x0000_t202" style="position:absolute;margin-left:198pt;margin-top:20.55pt;width:1in;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UsQ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LMRK0hx7ds71BN3KPIluecdAZeN0N4Gf2cAyujqoebmX1TSMhly0VG3atlBxbRmtIL7Q3/bOr&#10;E462IOvxo6whDN0a6YD2jept7aAaCNChTQ+n1thUKjhMQ0ICsFRgiqIkhrWNQLPj5UFp857JHtlF&#10;jhV03oHT3a02k+vRxcYSsuRdB+c068SzA8CcTiA0XLU2m4Rr5mMapKtklRCPRPHKI0FReNflknhx&#10;Gc5nxbtiuSzCnzZuSLKW1zUTNsxRWCH5s8YdJD5J4iQtLTteWzibklab9bJTaEdB2KX7DgU5c/Of&#10;p+HqBVxeUAojEtxEqVfGydwjJZl56TxIvCBMb9I4ICkpyueUbrlg/04JjdDVWTSbtPRbboH7XnOj&#10;Wc8NjI6O9zlOTk40swpcidq11lDeTeuzUtj0n0oB7T422unVSnQSq9mv94BiRbyW9QMoV0lQFogQ&#10;5h0sWql+YDTC7Mix/r6limHUfRCgfidWGDZuQ2bzCO6oc8v63EJFBVA5NhhNy6WZBtR2UHzTQqTp&#10;vQl5DS+m4U7NT1kd3hnMB0fqMMvsADrfO6+nibv4BQAA//8DAFBLAwQUAAYACAAAACEA/go3sN0A&#10;AAAJAQAADwAAAGRycy9kb3ducmV2LnhtbEyPzU7DMBCE70i8g7VI3KgdSP9CNhUCcQW1QCVubrJN&#10;IuJ1FLtNeHuWExxnZzT7Tb6ZXKfONITWM0IyM6CIS1+1XCO8vz3frECFaLmynWdC+KYAm+LyIrdZ&#10;5Ufe0nkXayUlHDKL0MTYZ1qHsiFnw8z3xOId/eBsFDnUuhrsKOWu07fGLLSzLcuHxvb02FD5tTs5&#10;hI+X4+c+Na/1k5v3o5+MZrfWiNdX08M9qEhT/AvDL76gQyFMB3/iKqgO4W69kC0RIU0SUBKYp0YO&#10;B4TlMgFd5Pr/guIHAAD//wMAUEsBAi0AFAAGAAgAAAAhALaDOJL+AAAA4QEAABMAAAAAAAAAAAAA&#10;AAAAAAAAAFtDb250ZW50X1R5cGVzXS54bWxQSwECLQAUAAYACAAAACEAOP0h/9YAAACUAQAACwAA&#10;AAAAAAAAAAAAAAAvAQAAX3JlbHMvLnJlbHNQSwECLQAUAAYACAAAACEAv+kBFLECAAC5BQAADgAA&#10;AAAAAAAAAAAAAAAuAgAAZHJzL2Uyb0RvYy54bWxQSwECLQAUAAYACAAAACEA/go3sN0AAAAJAQAA&#10;DwAAAAAAAAAAAAAAAAALBQAAZHJzL2Rvd25yZXYueG1sUEsFBgAAAAAEAAQA8wAAABUGAAAAAA==&#10;" filled="f" stroked="f">
          <v:textbox>
            <w:txbxContent>
              <w:p w:rsidR="0097276B" w:rsidRPr="00350C40" w:rsidRDefault="0097276B"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4101" type="#_x0000_t202" style="position:absolute;margin-left:171pt;margin-top:2.55pt;width:126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x3hAIAABcFAAAOAAAAZHJzL2Uyb0RvYy54bWysVFtv2yAUfp+0/4B4T22n5GIrTtW0yzSp&#10;u0jtfgAxOEbDwIDE7qr99x1wkqa7SNM0P2Auh+9cvu+wuOpbifbcOqFVibOLFCOuKs2E2pb488N6&#10;NMfIeaoYlVrxEj9yh6+Wr18tOlPwsW60ZNwiAFGu6EyJG+9NkSSuanhL3YU2XMFhrW1LPSztNmGW&#10;doDeymScptOk05YZqyvuHOzeDod4GfHrmlf+Y1077pEsMcTm42jjuAljslzQYmupaUR1CIP+QxQt&#10;FQqcnqBuqadoZ8UvUK2orHa69heVbhNd16LiMQfIJkt/yua+oYbHXKA4zpzK5P4fbPVh/8kiwYC7&#10;CUaKtsDRA+89WukeXYbydMYVYHVvwM73sA2mMVVn7nT1xSGlbxqqtvzaWt01nDIILws3k7OrA44L&#10;IJvuvWbghu68jkB9bdtQO6gGAnSg6fFETQilCi6naQp8Y1TBGZmRSzKJLmhxvG2s82+5blGYlNgC&#10;9RGd7u+cD9HQ4mgSnDktBVsLKePCbjc30qI9BZms43dAf2EmVTBWOlwbEIcdCBJ8hLMQbqT9Kc/G&#10;JF2N89F6Op+NyJpMRvksnY/SLF/l05Tk5Hb9PQSYkaIRjHF1JxQ/SjAjf0fxoRkG8UQRoq7E+WQ8&#10;GSj6Y5Jp/H6XZCs8dKQUbYnnJyNaBGLfKAZp08JTIYd58jL8WGWowfEfqxJlEJgfNOD7TT8ILngP&#10;Etlo9gi6sBpoA4bhNYFJo+03jDrozBK7rztqOUbynQJt5RkhoZXjgkxmY1jY85PN+QlVFUCV2GM0&#10;TG/80P47Y8W2AU+DmpW+Bj3WIkrlOaqDiqH7Yk6HlyK09/k6Wj2/Z8sfAAAA//8DAFBLAwQUAAYA&#10;CAAAACEA3rTUNN0AAAAIAQAADwAAAGRycy9kb3ducmV2LnhtbEyPQU+DQBSE7yb+h80z8WLs0gql&#10;UJZGTTReW/sDHuwrkLJvCbst9N+7nvQ4mcnMN8VuNr240ug6ywqWiwgEcW11x42C4/fH8waE88ga&#10;e8uk4EYOduX9XYG5thPv6XrwjQgl7HJU0Ho/5FK6uiWDbmEH4uCd7GjQBzk2Uo84hXLTy1UUraXB&#10;jsNCiwO9t1SfDxej4PQ1PSXZVH36Y7qP12/YpZW9KfX4ML9uQXia/V8YfvEDOpSBqbIX1k70Cl7i&#10;VfjiFSRLEMFPsjjoSkGabUCWhfx/oPwBAAD//wMAUEsBAi0AFAAGAAgAAAAhALaDOJL+AAAA4QEA&#10;ABMAAAAAAAAAAAAAAAAAAAAAAFtDb250ZW50X1R5cGVzXS54bWxQSwECLQAUAAYACAAAACEAOP0h&#10;/9YAAACUAQAACwAAAAAAAAAAAAAAAAAvAQAAX3JlbHMvLnJlbHNQSwECLQAUAAYACAAAACEAAuVc&#10;d4QCAAAXBQAADgAAAAAAAAAAAAAAAAAuAgAAZHJzL2Uyb0RvYy54bWxQSwECLQAUAAYACAAAACEA&#10;3rTUNN0AAAAIAQAADwAAAAAAAAAAAAAAAADeBAAAZHJzL2Rvd25yZXYueG1sUEsFBgAAAAAEAAQA&#10;8wAAAOgFAAAAAA==&#10;" stroked="f">
          <v:textbox>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4100" type="#_x0000_t202" style="position:absolute;margin-left:252pt;margin-top:-15.45pt;width:234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qggwIAABc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MOCu&#10;wEiRDji654NHKz2gIpSnN64CrzsDfn6AbXCNqTpzq+kXh5Ret0Tt+LW1um85YRBeFk4mZ0dHHBdA&#10;tv17zeAasvc6Ag2N7ULtoBoI0IGmhydqQigUNvNyni1SMFGw5fliBvNwBalOp411/i3XHQqTGlug&#10;PqKTw63zo+vJJVzmtBRsI6SMC7vbrqVFBwIy2cTviP7CTargrHQ4NiKOOxAk3BFsIdxI+/cyy4t0&#10;lZeTzWwxnxSbYjop5+likmblqpylRVncbB5DgFlRtYIxrm6F4icJZsXfUXxshlE8UYSor3E5zacj&#10;RX9MMo3f75LshIeOlKKrMRQcvuBEqkDsG8Xi3BMhx3nyMvxICNTg9I9ViTIIzI8a8MN2iILLA3CQ&#10;yFazB9CF1UAbMAyvCUxabb9h1ENn1th93RPLMZLvFGirzIoitHJcFNN5Dgt7btmeW4iiAFVjj9E4&#10;Xfux/ffGil0LN41qVvoa9NiIKJXnqI4qhu6LOR1fitDe5+vo9fyeLX8AAAD//wMAUEsDBBQABgAI&#10;AAAAIQBaYsSG3gAAAAkBAAAPAAAAZHJzL2Rvd25yZXYueG1sTI/BTsMwEETvSPyDtUhcUGu3tA1J&#10;41SABOLa0g/YxNskamxHsdukf89yguPOjGbf5LvJduJKQ2i907CYKxDkKm9aV2s4fn/MXkCEiM5g&#10;5x1puFGAXXF/l2Nm/Oj2dD3EWnCJCxlqaGLsMylD1ZDFMPc9OfZOfrAY+RxqaQYcudx2cqnURlps&#10;HX9osKf3hqrz4WI1nL7Gp3U6lp/xmOxXmzdsk9LftH58mF63ICJN8S8Mv/iMDgUzlf7iTBCdhrVa&#10;8ZaoYfasUhCcSJMlKyVbC5BFLv8vKH4AAAD//wMAUEsBAi0AFAAGAAgAAAAhALaDOJL+AAAA4QEA&#10;ABMAAAAAAAAAAAAAAAAAAAAAAFtDb250ZW50X1R5cGVzXS54bWxQSwECLQAUAAYACAAAACEAOP0h&#10;/9YAAACUAQAACwAAAAAAAAAAAAAAAAAvAQAAX3JlbHMvLnJlbHNQSwECLQAUAAYACAAAACEAI7Uq&#10;oIMCAAAXBQAADgAAAAAAAAAAAAAAAAAuAgAAZHJzL2Uyb0RvYy54bWxQSwECLQAUAAYACAAAACEA&#10;WmLEht4AAAAJAQAADwAAAAAAAAAAAAAAAADdBAAAZHJzL2Rvd25yZXYueG1sUEsFBgAAAAAEAAQA&#10;8wAAAOgFAAAAAA==&#10;" stroked="f">
          <v:textbox>
            <w:txbxContent>
              <w:p w:rsidR="0097276B" w:rsidRPr="00773F09" w:rsidRDefault="0097276B" w:rsidP="00350C40">
                <w:pPr>
                  <w:bidi/>
                  <w:rPr>
                    <w:rFonts w:ascii="Arial" w:hAnsi="Arial" w:cs="MCS AL SHAMAL"/>
                    <w:color w:val="993366"/>
                    <w:sz w:val="20"/>
                    <w:szCs w:val="20"/>
                    <w:rtl/>
                    <w:lang w:bidi="ar-MA"/>
                  </w:rPr>
                </w:pPr>
                <w:proofErr w:type="spellStart"/>
                <w:r w:rsidRPr="00350C40">
                  <w:rPr>
                    <w:rFonts w:ascii="Arial" w:hAnsi="Arial" w:cs="Arial"/>
                    <w:color w:val="993366"/>
                    <w:sz w:val="18"/>
                    <w:szCs w:val="18"/>
                    <w:rtl/>
                    <w:lang w:bidi="ar-MA"/>
                  </w:rPr>
                  <w:t>ايلو</w:t>
                </w:r>
                <w:proofErr w:type="spellEnd"/>
                <w:r w:rsidRPr="00350C40">
                  <w:rPr>
                    <w:rFonts w:ascii="Arial" w:hAnsi="Arial" w:cs="Arial"/>
                    <w:color w:val="993366"/>
                    <w:sz w:val="18"/>
                    <w:szCs w:val="18"/>
                    <w:rtl/>
                    <w:lang w:bidi="ar-MA"/>
                  </w:rPr>
                  <w:t xml:space="preserve"> </w:t>
                </w:r>
                <w:proofErr w:type="spellStart"/>
                <w:r w:rsidRPr="00350C40">
                  <w:rPr>
                    <w:rFonts w:ascii="Arial" w:hAnsi="Arial" w:cs="Arial"/>
                    <w:color w:val="993366"/>
                    <w:sz w:val="18"/>
                    <w:szCs w:val="18"/>
                    <w:rtl/>
                    <w:lang w:bidi="ar-MA"/>
                  </w:rPr>
                  <w:t>31-3،</w:t>
                </w:r>
                <w:proofErr w:type="spellEnd"/>
                <w:r w:rsidRPr="00350C40">
                  <w:rPr>
                    <w:rFonts w:ascii="Arial" w:hAnsi="Arial" w:cs="Arial"/>
                    <w:color w:val="993366"/>
                    <w:sz w:val="18"/>
                    <w:szCs w:val="18"/>
                    <w:rtl/>
                    <w:lang w:bidi="ar-MA"/>
                  </w:rPr>
                  <w:t xml:space="preserve"> قطاع </w:t>
                </w:r>
                <w:proofErr w:type="spellStart"/>
                <w:r w:rsidRPr="00350C40">
                  <w:rPr>
                    <w:rFonts w:ascii="Arial" w:hAnsi="Arial" w:cs="Arial"/>
                    <w:color w:val="993366"/>
                    <w:sz w:val="18"/>
                    <w:szCs w:val="18"/>
                    <w:rtl/>
                    <w:lang w:bidi="ar-MA"/>
                  </w:rPr>
                  <w:t>16،</w:t>
                </w:r>
                <w:proofErr w:type="spellEnd"/>
                <w:r w:rsidRPr="00350C40">
                  <w:rPr>
                    <w:rFonts w:ascii="Arial" w:hAnsi="Arial" w:cs="Arial"/>
                    <w:color w:val="993366"/>
                    <w:sz w:val="18"/>
                    <w:szCs w:val="18"/>
                    <w:rtl/>
                    <w:lang w:bidi="ar-MA"/>
                  </w:rPr>
                  <w:t xml:space="preserve"> حي الرياض 10001 الرباط</w:t>
                </w:r>
                <w:r w:rsidRPr="00350C40">
                  <w:rPr>
                    <w:color w:val="993366"/>
                    <w:sz w:val="18"/>
                    <w:szCs w:val="18"/>
                    <w:rtl/>
                    <w:lang w:bidi="ar-MA"/>
                  </w:rPr>
                  <w:t xml:space="preserve"> </w:t>
                </w:r>
                <w:proofErr w:type="spellStart"/>
                <w:r w:rsidRPr="00350C40">
                  <w:rPr>
                    <w:rFonts w:ascii="Arial" w:hAnsi="Arial" w:cs="Arial"/>
                    <w:color w:val="993366"/>
                    <w:sz w:val="18"/>
                    <w:szCs w:val="18"/>
                    <w:rtl/>
                    <w:lang w:bidi="ar-MA"/>
                  </w:rPr>
                  <w:t>–</w:t>
                </w:r>
                <w:proofErr w:type="spellEnd"/>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proofErr w:type="spellStart"/>
                <w:r w:rsidRPr="00350C40">
                  <w:rPr>
                    <w:rFonts w:ascii="Arial" w:hAnsi="Arial" w:cs="Arial"/>
                    <w:color w:val="993366"/>
                    <w:sz w:val="18"/>
                    <w:szCs w:val="18"/>
                    <w:rtl/>
                    <w:lang w:bidi="ar-MA"/>
                  </w:rPr>
                  <w:t>ص.</w:t>
                </w:r>
                <w:r>
                  <w:rPr>
                    <w:rFonts w:ascii="Arial" w:hAnsi="Arial" w:cs="Arial"/>
                    <w:color w:val="993366"/>
                    <w:sz w:val="20"/>
                    <w:szCs w:val="20"/>
                    <w:rtl/>
                    <w:lang w:bidi="ar-MA"/>
                  </w:rPr>
                  <w:t>ب </w:t>
                </w:r>
                <w:proofErr w:type="spellEnd"/>
                <w:r w:rsidRPr="00773F09">
                  <w:rPr>
                    <w:rFonts w:ascii="Arial" w:hAnsi="Arial" w:cs="MCS AL SHAMAL"/>
                    <w:color w:val="993366"/>
                    <w:sz w:val="20"/>
                    <w:szCs w:val="20"/>
                    <w:rtl/>
                    <w:lang w:bidi="ar-MA"/>
                  </w:rPr>
                  <w:t xml:space="preserve">: </w:t>
                </w:r>
              </w:p>
            </w:txbxContent>
          </v:textbox>
        </v:shape>
      </w:pict>
    </w:r>
    <w:r>
      <w:rPr>
        <w:noProof/>
      </w:rPr>
      <w:pict>
        <v:shape id="Text Box 5" o:spid="_x0000_s4099" type="#_x0000_t202" style="position:absolute;margin-left:-9pt;margin-top:-15.45pt;width:270pt;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6KiQIAABcFAAAOAAAAZHJzL2Uyb0RvYy54bWysVG1v2yAQ/j5p/wHxPfVLnSa26lRNukyT&#10;uhep3Q8ggGM0GxiQ2N20/74DkiztNGma5g8YuOPh7p7nuL4Z+w7tubFCyRpnFylGXFLFhNzW+PPj&#10;ejLHyDoiGemU5DV+4hbfLF6/uh50xXPVqo5xgwBE2mrQNW6d01WSWNryntgLpbkEY6NMTxwszTZh&#10;hgyA3ndJnqZXyaAM00ZRbi3s3kUjXgT8puHUfWwayx3qagyxuTCaMG78mCyuSbU1RLeCHsIg/xBF&#10;T4SES09Qd8QRtDPiN6heUKOsatwFVX2imkZQHnKAbLL0RTYPLdE85ALFsfpUJvv/YOmH/SeDBAPu&#10;LjGSpAeOHvno0FKNaOrLM2hbgdeDBj83wja4hlStvlf0i0VSrVoit/zWGDW0nDAIL/Mnk7OjEcd6&#10;kM3wXjG4huycCkBjY3pfO6gGAnSg6elEjQ+FwuZlkZdpCiYKtjwr01kILiHV8bQ21r3lqkd+UmMD&#10;1Ad0sr+3zkdDqqOLv8yqTrC16LqwMNvNqjNoT0Am6/CFBF64ddI7S+WPRcS4A0HCHd7mww20fy+z&#10;vEiXeTlZX81nk2JdTCflLJ1P0qxclldpURZ36x8+wKyoWsEYl/dC8qMEs+LvKD40QxRPECEaalxO&#10;82mk6I9JQi19OWMWz2rRCwcd2Ym+xvOTE6k8sW8kgwOkckR0cZ48Dz9UGWpw/IeqBBl45qMG3LgZ&#10;g+Auj+raKPYEujAKaAOG4TWBSavMN4wG6Mwa2687YjhG3TsJ2iqzovCtHBbFdJbDwpxbNucWIilA&#10;1dhhFKcrF9t/p43YtnBTVLNUt6DHRgSpeOHGqA4qhu4LOR1eCt/e5+vg9es9W/wEAAD//wMAUEsD&#10;BBQABgAIAAAAIQCmReLq3wAAAAkBAAAPAAAAZHJzL2Rvd25yZXYueG1sTI/BTsNADETvSPzDykhc&#10;ULtpStM2ZFMBEohrSz/ASdwkIuuNstsm/XvMid5sz2j8JttNtlMXGnzr2MBiHoEiLl3Vcm3g+P0x&#10;24DyAbnCzjEZuJKHXX5/l2FauZH3dDmEWkkI+xQNNCH0qda+bMiin7ueWLSTGywGWYdaVwOOEm47&#10;HUdRoi22LB8a7Om9ofLncLYGTl/j02o7Fp/huN4/J2/Yrgt3NebxYXp9ARVoCv9m+MMXdMiFqXBn&#10;rrzqDMwWG+kSZFhGW1DiWMWxXAoDywR0nunbBvkvAAAA//8DAFBLAQItABQABgAIAAAAIQC2gziS&#10;/gAAAOEBAAATAAAAAAAAAAAAAAAAAAAAAABbQ29udGVudF9UeXBlc10ueG1sUEsBAi0AFAAGAAgA&#10;AAAhADj9If/WAAAAlAEAAAsAAAAAAAAAAAAAAAAALwEAAF9yZWxzLy5yZWxzUEsBAi0AFAAGAAgA&#10;AAAhAHctLoqJAgAAFwUAAA4AAAAAAAAAAAAAAAAALgIAAGRycy9lMm9Eb2MueG1sUEsBAi0AFAAG&#10;AAgAAAAhAKZF4urfAAAACQEAAA8AAAAAAAAAAAAAAAAA4wQAAGRycy9kb3ducmV2LnhtbFBLBQYA&#10;AAAABAAEAPMAAADvBQAAAAA=&#10;" stroked="f">
          <v:textbox>
            <w:txbxContent>
              <w:p w:rsidR="0097276B" w:rsidRPr="00350C40" w:rsidRDefault="0097276B" w:rsidP="00350C40">
                <w:pPr>
                  <w:rPr>
                    <w:rFonts w:ascii="Arial" w:hAnsi="Arial" w:cs="Arial"/>
                    <w:color w:val="993366"/>
                    <w:sz w:val="18"/>
                    <w:szCs w:val="18"/>
                    <w:lang w:val="en-US"/>
                  </w:rPr>
                </w:pPr>
                <w:proofErr w:type="spellStart"/>
                <w:r w:rsidRPr="00350C40">
                  <w:rPr>
                    <w:rFonts w:ascii="Arial" w:hAnsi="Arial" w:cs="Arial"/>
                    <w:color w:val="993366"/>
                    <w:sz w:val="18"/>
                    <w:szCs w:val="18"/>
                    <w:lang w:val="en-US"/>
                  </w:rPr>
                  <w:t>Ilot</w:t>
                </w:r>
                <w:proofErr w:type="spellEnd"/>
                <w:r w:rsidRPr="00350C40">
                  <w:rPr>
                    <w:rFonts w:ascii="Arial" w:hAnsi="Arial" w:cs="Arial"/>
                    <w:color w:val="993366"/>
                    <w:sz w:val="18"/>
                    <w:szCs w:val="18"/>
                    <w:lang w:val="en-US"/>
                  </w:rPr>
                  <w:t xml:space="preserve"> 31-3, </w:t>
                </w:r>
                <w:proofErr w:type="spellStart"/>
                <w:r w:rsidRPr="00350C40">
                  <w:rPr>
                    <w:rFonts w:ascii="Arial" w:hAnsi="Arial" w:cs="Arial"/>
                    <w:color w:val="993366"/>
                    <w:sz w:val="18"/>
                    <w:szCs w:val="18"/>
                    <w:lang w:val="en-US"/>
                  </w:rPr>
                  <w:t>secteur</w:t>
                </w:r>
                <w:proofErr w:type="spellEnd"/>
                <w:r w:rsidRPr="00350C40">
                  <w:rPr>
                    <w:rFonts w:ascii="Arial" w:hAnsi="Arial" w:cs="Arial"/>
                    <w:color w:val="993366"/>
                    <w:sz w:val="18"/>
                    <w:szCs w:val="18"/>
                    <w:lang w:val="en-US"/>
                  </w:rPr>
                  <w:t xml:space="preserve"> 16, Hay </w:t>
                </w:r>
                <w:proofErr w:type="spellStart"/>
                <w:r w:rsidRPr="00350C40">
                  <w:rPr>
                    <w:rFonts w:ascii="Arial" w:hAnsi="Arial" w:cs="Arial"/>
                    <w:color w:val="993366"/>
                    <w:sz w:val="18"/>
                    <w:szCs w:val="18"/>
                    <w:lang w:val="en-US"/>
                  </w:rPr>
                  <w:t>Riad</w:t>
                </w:r>
                <w:proofErr w:type="spellEnd"/>
                <w:r w:rsidRPr="00350C40">
                  <w:rPr>
                    <w:rFonts w:ascii="Arial" w:hAnsi="Arial" w:cs="Arial"/>
                    <w:color w:val="993366"/>
                    <w:sz w:val="18"/>
                    <w:szCs w:val="18"/>
                    <w:lang w:val="en-US"/>
                  </w:rPr>
                  <w:t xml:space="preserve">,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w:t>
                </w:r>
                <w:proofErr w:type="spellStart"/>
                <w:r w:rsidRPr="00350C40">
                  <w:rPr>
                    <w:rFonts w:ascii="Arial" w:hAnsi="Arial" w:cs="Arial"/>
                    <w:color w:val="993366"/>
                    <w:sz w:val="18"/>
                    <w:szCs w:val="18"/>
                    <w:lang w:val="en-US"/>
                  </w:rPr>
                  <w:t>Maroc</w:t>
                </w:r>
                <w:proofErr w:type="spellEnd"/>
                <w:r w:rsidRPr="00350C40">
                  <w:rPr>
                    <w:rFonts w:ascii="Arial" w:hAnsi="Arial" w:cs="Arial"/>
                    <w:color w:val="993366"/>
                    <w:sz w:val="18"/>
                    <w:szCs w:val="18"/>
                    <w:lang w:val="en-US"/>
                  </w:rPr>
                  <w:t xml:space="preserve"> </w:t>
                </w:r>
                <w:proofErr w:type="gramStart"/>
                <w:r w:rsidRPr="00350C40">
                  <w:rPr>
                    <w:rFonts w:ascii="Arial" w:hAnsi="Arial" w:cs="Arial"/>
                    <w:color w:val="993366"/>
                    <w:sz w:val="18"/>
                    <w:szCs w:val="18"/>
                    <w:lang w:val="en-US"/>
                  </w:rPr>
                  <w:t>BP :</w:t>
                </w:r>
                <w:proofErr w:type="gramEnd"/>
                <w:r w:rsidRPr="00350C40">
                  <w:rPr>
                    <w:rFonts w:ascii="Arial" w:hAnsi="Arial" w:cs="Arial"/>
                    <w:color w:val="993366"/>
                    <w:sz w:val="18"/>
                    <w:szCs w:val="18"/>
                    <w:lang w:val="en-US"/>
                  </w:rPr>
                  <w:t xml:space="preserve"> 178 </w:t>
                </w:r>
              </w:p>
              <w:p w:rsidR="0097276B" w:rsidRPr="00773F09" w:rsidRDefault="0097276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Text Box 6" o:spid="_x0000_s4098" type="#_x0000_t202" style="position:absolute;margin-left:0;margin-top:2.05pt;width:171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OSgg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kG3GUY&#10;KdIBRw988OhaD2gW2tMbV4HXvQE/P8AxuMZSnbnT9LNDSt+0RG35lbW6bzlhkF4WbiZnV0ccF0A2&#10;/TvNIAzZeR2BhsZ2oXfQDQToQNPjiZqQCoXDPJtn8xRMFGyviryEdQhBquNtY51/w3WHwqLGFqiP&#10;6GR/5/zoenQJwZyWgq2FlHFjt5sbadGegEzW8TmgP3OTKjgrHa6NiOMJJAkxgi2kG2n/VmZ5kV7n&#10;5WQ9W8wnxbqYTsp5upikWXldztKiLG7X30OCWVG1gjGu7oTiRwlmxd9RfBiGUTxRhKivcTnNpyNF&#10;fywyjc/viuyEh4mUoqvx4uREqkDsa8WgbFJ5IuS4Tp6nHwmBHhy/sStRBoH5UQN+2AxRcEWIHiSy&#10;0ewRdGE10AYMw98EFq22XzHqYTJr7L7siOUYybcKtFVmRRFGOW6K6TyHjT23bM4tRFGAqrHHaFze&#10;+HH8d8aKbQuRRjUrfQV6bESUylNWBxXD9MWaDn+KMN7n++j19D9b/QAAAP//AwBQSwMEFAAGAAgA&#10;AAAhADUX1vvbAAAABQEAAA8AAABkcnMvZG93bnJldi54bWxMj81OwzAQhO9IvIO1SFwQdVLSH9Js&#10;KkACcW3pAzjJNokar6PYbdK3ZznR42hGM99k28l26kKDbx0jxLMIFHHpqpZrhMPP5/MalA+GK9M5&#10;JoQredjm93eZSSs38o4u+1ArKWGfGoQmhD7V2pcNWeNnricW7+gGa4LIodbVYEYpt52eR9FSW9Oy&#10;LDSmp4+GytP+bBGO3+PT4nUsvsJhtUuW76ZdFe6K+PgwvW1ABZrCfxj+8AUdcmEq3JkrrzoEORIQ&#10;khiUmC/JXHSBsFjHoPNM39LnvwAAAP//AwBQSwECLQAUAAYACAAAACEAtoM4kv4AAADhAQAAEwAA&#10;AAAAAAAAAAAAAAAAAAAAW0NvbnRlbnRfVHlwZXNdLnhtbFBLAQItABQABgAIAAAAIQA4/SH/1gAA&#10;AJQBAAALAAAAAAAAAAAAAAAAAC8BAABfcmVscy8ucmVsc1BLAQItABQABgAIAAAAIQBeHBOSggIA&#10;ABcFAAAOAAAAAAAAAAAAAAAAAC4CAABkcnMvZTJvRG9jLnhtbFBLAQItABQABgAIAAAAIQA1F9b7&#10;2wAAAAUBAAAPAAAAAAAAAAAAAAAAANwEAABkcnMvZG93bnJldi54bWxQSwUGAAAAAAQABADzAAAA&#10;5AUAAAAA&#10;" stroked="f">
          <v:textbox>
            <w:txbxContent>
              <w:p w:rsidR="0097276B" w:rsidRPr="00F94487" w:rsidRDefault="0097276B"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Text Box 7" o:spid="_x0000_s4097"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4ThQ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lG&#10;inRA0QMfPLrWA5qH6vTGVWB0b8DMD7ANLMdMnbnT9ItDSt+0RG34lbW6bzlhEF0WbiYnV0ccF0DW&#10;/XvNwA3Zeh2BhsZ2oXRQDATowNLjkZkQCoXNfDY/LxdTjCicFfPivJhGF6Q63DbW+bdcdyhMamyB&#10;+YhOdnfOh2hIdTAJzpyWgq2ElHFhN+sbadGOgEpW8dujvzCTKhgrHa6NiOMOBAk+wlkIN7L+VGZ5&#10;kV7n5WQ1W8wnxaqYTsp5upikWXldztKiLG5X30OAWVG1gjGu7oTiBwVmxd8xvO+FUTtRg6ivcTnN&#10;pyNFf0wyjd/vkuyEh4aUoqvx4mhEqkDsG8UgbVJ5IuQ4T16GH6sMNTj8Y1WiDALzowb8sB6i3iKB&#10;QSJrzR5BF1YDbUA+PCYwabX9hlEPjVlj93VLLMdIvlOgrTIritDJcVFM5zks7OnJ+vSEKApQNfYY&#10;jdMbP3b/1lixacHTqGalr0CPjYhSeY5qr2JovpjT/qEI3X26jlbPz9nyBwAAAP//AwBQSwMEFAAG&#10;AAgAAAAhAPbWSzjdAAAACAEAAA8AAABkcnMvZG93bnJldi54bWxMj8FOwzAQRO9I/IO1SFwQdYra&#10;OAlxKkACcW3pBzjxNomI11HsNunfs5zgNqtZzbwpd4sbxAWn0HvSsF4lIJAab3tqNRy/3h8zECEa&#10;smbwhBquGGBX3d6UprB+pj1eDrEVHEKhMBq6GMdCytB06ExY+RGJvZOfnIl8Tq20k5k53A3yKUlS&#10;6UxP3NCZEd86bL4PZ6fh9Dk/bPO5/ohHtd+kr6ZXtb9qfX+3vDyDiLjEv2f4xWd0qJip9meyQQwa&#10;tirlLVHDZg2C/TxXLGoNKstAVqX8P6D6AQAA//8DAFBLAQItABQABgAIAAAAIQC2gziS/gAAAOEB&#10;AAATAAAAAAAAAAAAAAAAAAAAAABbQ29udGVudF9UeXBlc10ueG1sUEsBAi0AFAAGAAgAAAAhADj9&#10;If/WAAAAlAEAAAsAAAAAAAAAAAAAAAAALwEAAF9yZWxzLy5yZWxzUEsBAi0AFAAGAAgAAAAhAAIb&#10;/hOFAgAAFgUAAA4AAAAAAAAAAAAAAAAALgIAAGRycy9lMm9Eb2MueG1sUEsBAi0AFAAGAAgAAAAh&#10;APbWSzjdAAAACAEAAA8AAAAAAAAAAAAAAAAA3wQAAGRycy9kb3ducmV2LnhtbFBLBQYAAAAABAAE&#10;APMAAADpBQAAAAA=&#10;" stroked="f">
          <v:textbox>
            <w:txbxContent>
              <w:p w:rsidR="0097276B" w:rsidRPr="00350C40" w:rsidRDefault="0097276B" w:rsidP="00350C40">
                <w:pPr>
                  <w:bidi/>
                  <w:spacing w:before="60"/>
                  <w:jc w:val="center"/>
                  <w:rPr>
                    <w:rFonts w:ascii="Arial" w:hAnsi="Arial" w:cs="MCS AL SHAMAL"/>
                    <w:color w:val="993366"/>
                    <w:sz w:val="18"/>
                    <w:szCs w:val="18"/>
                    <w:rtl/>
                    <w:lang w:bidi="ar-MA"/>
                  </w:rPr>
                </w:pPr>
                <w:proofErr w:type="gramStart"/>
                <w:r w:rsidRPr="00350C40">
                  <w:rPr>
                    <w:rFonts w:ascii="Arial" w:hAnsi="Arial" w:cs="Arial"/>
                    <w:color w:val="993366"/>
                    <w:sz w:val="18"/>
                    <w:szCs w:val="18"/>
                    <w:rtl/>
                    <w:lang w:bidi="ar-MA"/>
                  </w:rPr>
                  <w:t xml:space="preserve">الهاتف </w:t>
                </w:r>
                <w:proofErr w:type="spellStart"/>
                <w:r w:rsidRPr="00350C40">
                  <w:rPr>
                    <w:rFonts w:ascii="Arial" w:hAnsi="Arial" w:cs="Arial"/>
                    <w:color w:val="993366"/>
                    <w:sz w:val="18"/>
                    <w:szCs w:val="18"/>
                    <w:rtl/>
                    <w:lang w:bidi="ar-MA"/>
                  </w:rPr>
                  <w:t>:</w:t>
                </w:r>
                <w:proofErr w:type="spellEnd"/>
                <w:proofErr w:type="gramEnd"/>
                <w:r w:rsidRPr="00350C40">
                  <w:rPr>
                    <w:rFonts w:ascii="Arial" w:hAnsi="Arial" w:cs="Arial"/>
                    <w:color w:val="993366"/>
                    <w:sz w:val="18"/>
                    <w:szCs w:val="18"/>
                    <w:rtl/>
                    <w:lang w:bidi="ar-MA"/>
                  </w:rPr>
                  <w:t xml:space="preserve"> 04 69 57 37 05   </w:t>
                </w:r>
                <w:proofErr w:type="spellStart"/>
                <w:r w:rsidRPr="00350C40">
                  <w:rPr>
                    <w:rFonts w:ascii="Arial" w:hAnsi="Arial" w:cs="Arial"/>
                    <w:color w:val="993366"/>
                    <w:sz w:val="18"/>
                    <w:szCs w:val="18"/>
                    <w:rtl/>
                    <w:lang w:bidi="ar-MA"/>
                  </w:rPr>
                  <w:t>(212+)</w:t>
                </w:r>
                <w:proofErr w:type="spellEnd"/>
                <w:r w:rsidRPr="00350C40">
                  <w:rPr>
                    <w:rFonts w:ascii="Arial" w:hAnsi="Arial" w:cs="Arial"/>
                    <w:color w:val="993366"/>
                    <w:sz w:val="18"/>
                    <w:szCs w:val="18"/>
                    <w:rtl/>
                    <w:lang w:bidi="ar-MA"/>
                  </w:rPr>
                  <w:t xml:space="preserve"> </w:t>
                </w:r>
                <w:proofErr w:type="spellStart"/>
                <w:r w:rsidRPr="00350C40">
                  <w:rPr>
                    <w:rFonts w:ascii="Arial" w:hAnsi="Arial" w:cs="Arial"/>
                    <w:color w:val="993366"/>
                    <w:sz w:val="18"/>
                    <w:szCs w:val="18"/>
                    <w:rtl/>
                    <w:lang w:bidi="ar-MA"/>
                  </w:rPr>
                  <w:t>–</w:t>
                </w:r>
                <w:proofErr w:type="spellEnd"/>
                <w:r w:rsidRPr="00350C40">
                  <w:rPr>
                    <w:rFonts w:ascii="Arial" w:hAnsi="Arial" w:cs="Arial"/>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roofErr w:type="spellStart"/>
                <w:r w:rsidRPr="00350C40">
                  <w:rPr>
                    <w:rFonts w:ascii="Arial" w:hAnsi="Arial" w:cs="MCS AL SHAMAL"/>
                    <w:color w:val="993366"/>
                    <w:sz w:val="18"/>
                    <w:szCs w:val="18"/>
                    <w:rtl/>
                    <w:lang w:bidi="ar-MA"/>
                  </w:rPr>
                  <w:t>:</w:t>
                </w:r>
                <w:proofErr w:type="spellEnd"/>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B55" w:rsidRDefault="004B4B55">
      <w:r>
        <w:separator/>
      </w:r>
    </w:p>
  </w:footnote>
  <w:footnote w:type="continuationSeparator" w:id="0">
    <w:p w:rsidR="004B4B55" w:rsidRDefault="004B4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2E0986" w:rsidP="001C7C18">
    <w:pPr>
      <w:pStyle w:val="En-tte"/>
    </w:pPr>
    <w:r>
      <w:rPr>
        <w:noProof/>
      </w:rPr>
      <w:drawing>
        <wp:anchor distT="0" distB="0" distL="114300" distR="114300" simplePos="0" relativeHeight="251660800" behindDoc="0" locked="0" layoutInCell="1" allowOverlap="1">
          <wp:simplePos x="0" y="0"/>
          <wp:positionH relativeFrom="column">
            <wp:posOffset>-989508</wp:posOffset>
          </wp:positionH>
          <wp:positionV relativeFrom="paragraph">
            <wp:posOffset>-150292</wp:posOffset>
          </wp:positionV>
          <wp:extent cx="8707984" cy="5040173"/>
          <wp:effectExtent l="19050" t="0" r="0"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984" cy="5040173"/>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9218"/>
    <o:shapelayout v:ext="edit">
      <o:idmap v:ext="edit" data="4"/>
    </o:shapelayout>
  </w:hdrShapeDefaults>
  <w:footnotePr>
    <w:footnote w:id="-1"/>
    <w:footnote w:id="0"/>
  </w:footnotePr>
  <w:endnotePr>
    <w:endnote w:id="-1"/>
    <w:endnote w:id="0"/>
  </w:endnotePr>
  <w:compat/>
  <w:rsids>
    <w:rsidRoot w:val="00A7067D"/>
    <w:rsid w:val="00000BA6"/>
    <w:rsid w:val="000017C7"/>
    <w:rsid w:val="00001D6D"/>
    <w:rsid w:val="00001D8E"/>
    <w:rsid w:val="000025B3"/>
    <w:rsid w:val="00002878"/>
    <w:rsid w:val="00002CA4"/>
    <w:rsid w:val="00003123"/>
    <w:rsid w:val="00003781"/>
    <w:rsid w:val="000037BD"/>
    <w:rsid w:val="0000471A"/>
    <w:rsid w:val="0000510A"/>
    <w:rsid w:val="00005213"/>
    <w:rsid w:val="00006244"/>
    <w:rsid w:val="000064D1"/>
    <w:rsid w:val="00006EB7"/>
    <w:rsid w:val="00006EDF"/>
    <w:rsid w:val="00007079"/>
    <w:rsid w:val="00007544"/>
    <w:rsid w:val="00007945"/>
    <w:rsid w:val="00007F2B"/>
    <w:rsid w:val="0001024A"/>
    <w:rsid w:val="00010615"/>
    <w:rsid w:val="00010C4A"/>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BF3"/>
    <w:rsid w:val="00014C35"/>
    <w:rsid w:val="00014FD6"/>
    <w:rsid w:val="000150B8"/>
    <w:rsid w:val="00015111"/>
    <w:rsid w:val="00015113"/>
    <w:rsid w:val="000151F6"/>
    <w:rsid w:val="000152BC"/>
    <w:rsid w:val="000152DE"/>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3AA"/>
    <w:rsid w:val="000223DD"/>
    <w:rsid w:val="0002259B"/>
    <w:rsid w:val="000229BA"/>
    <w:rsid w:val="0002327D"/>
    <w:rsid w:val="00024095"/>
    <w:rsid w:val="00024268"/>
    <w:rsid w:val="0002444F"/>
    <w:rsid w:val="00024574"/>
    <w:rsid w:val="000245ED"/>
    <w:rsid w:val="0002477A"/>
    <w:rsid w:val="00024945"/>
    <w:rsid w:val="00024FBE"/>
    <w:rsid w:val="00025026"/>
    <w:rsid w:val="0002516D"/>
    <w:rsid w:val="00025552"/>
    <w:rsid w:val="00025B47"/>
    <w:rsid w:val="00025DC7"/>
    <w:rsid w:val="000266D8"/>
    <w:rsid w:val="0002686C"/>
    <w:rsid w:val="00026D88"/>
    <w:rsid w:val="000270E0"/>
    <w:rsid w:val="000275DD"/>
    <w:rsid w:val="0002766D"/>
    <w:rsid w:val="00027850"/>
    <w:rsid w:val="000301D2"/>
    <w:rsid w:val="0003099D"/>
    <w:rsid w:val="00031B9A"/>
    <w:rsid w:val="00031D25"/>
    <w:rsid w:val="00032582"/>
    <w:rsid w:val="00032899"/>
    <w:rsid w:val="0003300A"/>
    <w:rsid w:val="00033123"/>
    <w:rsid w:val="0003349D"/>
    <w:rsid w:val="0003420B"/>
    <w:rsid w:val="000344E3"/>
    <w:rsid w:val="0003456C"/>
    <w:rsid w:val="00034671"/>
    <w:rsid w:val="000348FD"/>
    <w:rsid w:val="00034EAB"/>
    <w:rsid w:val="00034EE3"/>
    <w:rsid w:val="00034EE5"/>
    <w:rsid w:val="0003559E"/>
    <w:rsid w:val="00035FA3"/>
    <w:rsid w:val="0003680E"/>
    <w:rsid w:val="00036A9C"/>
    <w:rsid w:val="00037668"/>
    <w:rsid w:val="00037B80"/>
    <w:rsid w:val="000408C3"/>
    <w:rsid w:val="00040953"/>
    <w:rsid w:val="00040D62"/>
    <w:rsid w:val="00041285"/>
    <w:rsid w:val="00041524"/>
    <w:rsid w:val="000415AD"/>
    <w:rsid w:val="0004185B"/>
    <w:rsid w:val="000425ED"/>
    <w:rsid w:val="00042974"/>
    <w:rsid w:val="00042C94"/>
    <w:rsid w:val="0004311A"/>
    <w:rsid w:val="00043186"/>
    <w:rsid w:val="000431D8"/>
    <w:rsid w:val="0004391D"/>
    <w:rsid w:val="00043DE6"/>
    <w:rsid w:val="0004444E"/>
    <w:rsid w:val="0004447B"/>
    <w:rsid w:val="0004487A"/>
    <w:rsid w:val="00044A2A"/>
    <w:rsid w:val="00044A9F"/>
    <w:rsid w:val="00044D29"/>
    <w:rsid w:val="00044F23"/>
    <w:rsid w:val="0004533B"/>
    <w:rsid w:val="00045461"/>
    <w:rsid w:val="00045579"/>
    <w:rsid w:val="0004624E"/>
    <w:rsid w:val="00046322"/>
    <w:rsid w:val="00046404"/>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171"/>
    <w:rsid w:val="000534D0"/>
    <w:rsid w:val="000543FD"/>
    <w:rsid w:val="00054B65"/>
    <w:rsid w:val="00054C6C"/>
    <w:rsid w:val="00054F53"/>
    <w:rsid w:val="000550D8"/>
    <w:rsid w:val="0005517A"/>
    <w:rsid w:val="000551FC"/>
    <w:rsid w:val="000554EE"/>
    <w:rsid w:val="000558C2"/>
    <w:rsid w:val="00055C1A"/>
    <w:rsid w:val="000568AD"/>
    <w:rsid w:val="00056FFA"/>
    <w:rsid w:val="000570B2"/>
    <w:rsid w:val="0005775E"/>
    <w:rsid w:val="000579D0"/>
    <w:rsid w:val="00057B97"/>
    <w:rsid w:val="000601D4"/>
    <w:rsid w:val="000602E9"/>
    <w:rsid w:val="00060321"/>
    <w:rsid w:val="00060436"/>
    <w:rsid w:val="00060896"/>
    <w:rsid w:val="00060E08"/>
    <w:rsid w:val="00060F0D"/>
    <w:rsid w:val="00061060"/>
    <w:rsid w:val="00061164"/>
    <w:rsid w:val="00061CE4"/>
    <w:rsid w:val="0006213D"/>
    <w:rsid w:val="0006264E"/>
    <w:rsid w:val="00062880"/>
    <w:rsid w:val="000628A8"/>
    <w:rsid w:val="00062925"/>
    <w:rsid w:val="00062AFD"/>
    <w:rsid w:val="000632C2"/>
    <w:rsid w:val="0006348D"/>
    <w:rsid w:val="0006383C"/>
    <w:rsid w:val="00064386"/>
    <w:rsid w:val="0006442F"/>
    <w:rsid w:val="00064BCC"/>
    <w:rsid w:val="0006553F"/>
    <w:rsid w:val="00065712"/>
    <w:rsid w:val="00065935"/>
    <w:rsid w:val="00065F87"/>
    <w:rsid w:val="00065FE2"/>
    <w:rsid w:val="00066C89"/>
    <w:rsid w:val="00066E4B"/>
    <w:rsid w:val="000671B0"/>
    <w:rsid w:val="000674D7"/>
    <w:rsid w:val="00070037"/>
    <w:rsid w:val="00070595"/>
    <w:rsid w:val="00070861"/>
    <w:rsid w:val="00071EFF"/>
    <w:rsid w:val="000721C3"/>
    <w:rsid w:val="00072320"/>
    <w:rsid w:val="000723B5"/>
    <w:rsid w:val="000728D2"/>
    <w:rsid w:val="000728FA"/>
    <w:rsid w:val="00072B60"/>
    <w:rsid w:val="00072EBF"/>
    <w:rsid w:val="000730EC"/>
    <w:rsid w:val="000732CB"/>
    <w:rsid w:val="0007340C"/>
    <w:rsid w:val="00073805"/>
    <w:rsid w:val="00074130"/>
    <w:rsid w:val="00074314"/>
    <w:rsid w:val="00074401"/>
    <w:rsid w:val="00074FF0"/>
    <w:rsid w:val="000754E3"/>
    <w:rsid w:val="00075B34"/>
    <w:rsid w:val="00075F5C"/>
    <w:rsid w:val="000761D8"/>
    <w:rsid w:val="00076587"/>
    <w:rsid w:val="00076AE3"/>
    <w:rsid w:val="0007711B"/>
    <w:rsid w:val="0007757C"/>
    <w:rsid w:val="0007798B"/>
    <w:rsid w:val="00077D70"/>
    <w:rsid w:val="000801F4"/>
    <w:rsid w:val="0008035D"/>
    <w:rsid w:val="0008084B"/>
    <w:rsid w:val="000808D0"/>
    <w:rsid w:val="00080A06"/>
    <w:rsid w:val="00081456"/>
    <w:rsid w:val="00081BE5"/>
    <w:rsid w:val="000821F2"/>
    <w:rsid w:val="00082561"/>
    <w:rsid w:val="000827BA"/>
    <w:rsid w:val="00082856"/>
    <w:rsid w:val="00082F34"/>
    <w:rsid w:val="000832C9"/>
    <w:rsid w:val="0008339B"/>
    <w:rsid w:val="0008388A"/>
    <w:rsid w:val="000842CE"/>
    <w:rsid w:val="000847F4"/>
    <w:rsid w:val="0008484E"/>
    <w:rsid w:val="0008495C"/>
    <w:rsid w:val="00084B30"/>
    <w:rsid w:val="00084E9D"/>
    <w:rsid w:val="00085524"/>
    <w:rsid w:val="00085895"/>
    <w:rsid w:val="000859F9"/>
    <w:rsid w:val="00085E86"/>
    <w:rsid w:val="0008606C"/>
    <w:rsid w:val="000862E0"/>
    <w:rsid w:val="000873C3"/>
    <w:rsid w:val="00087554"/>
    <w:rsid w:val="00087F93"/>
    <w:rsid w:val="00090012"/>
    <w:rsid w:val="000900E8"/>
    <w:rsid w:val="000904A5"/>
    <w:rsid w:val="00090590"/>
    <w:rsid w:val="0009062C"/>
    <w:rsid w:val="000906B8"/>
    <w:rsid w:val="00090769"/>
    <w:rsid w:val="000909E7"/>
    <w:rsid w:val="00090C3A"/>
    <w:rsid w:val="00090DED"/>
    <w:rsid w:val="00091017"/>
    <w:rsid w:val="00091532"/>
    <w:rsid w:val="00091A3B"/>
    <w:rsid w:val="00091D36"/>
    <w:rsid w:val="000921CD"/>
    <w:rsid w:val="00092466"/>
    <w:rsid w:val="00092EFE"/>
    <w:rsid w:val="000930FC"/>
    <w:rsid w:val="000931A9"/>
    <w:rsid w:val="000935C8"/>
    <w:rsid w:val="00093B91"/>
    <w:rsid w:val="00093F9E"/>
    <w:rsid w:val="00094694"/>
    <w:rsid w:val="00094710"/>
    <w:rsid w:val="0009560D"/>
    <w:rsid w:val="00096239"/>
    <w:rsid w:val="00096A77"/>
    <w:rsid w:val="00096CD1"/>
    <w:rsid w:val="00096CE5"/>
    <w:rsid w:val="00097007"/>
    <w:rsid w:val="00097013"/>
    <w:rsid w:val="0009781A"/>
    <w:rsid w:val="00097D9C"/>
    <w:rsid w:val="00097FF5"/>
    <w:rsid w:val="000A0205"/>
    <w:rsid w:val="000A0209"/>
    <w:rsid w:val="000A068A"/>
    <w:rsid w:val="000A0948"/>
    <w:rsid w:val="000A0D23"/>
    <w:rsid w:val="000A11E5"/>
    <w:rsid w:val="000A141E"/>
    <w:rsid w:val="000A1CCD"/>
    <w:rsid w:val="000A1DAF"/>
    <w:rsid w:val="000A1E2C"/>
    <w:rsid w:val="000A1EF8"/>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9CD"/>
    <w:rsid w:val="000B0102"/>
    <w:rsid w:val="000B0626"/>
    <w:rsid w:val="000B07C1"/>
    <w:rsid w:val="000B08E9"/>
    <w:rsid w:val="000B0F43"/>
    <w:rsid w:val="000B0F81"/>
    <w:rsid w:val="000B106E"/>
    <w:rsid w:val="000B12C2"/>
    <w:rsid w:val="000B1DE6"/>
    <w:rsid w:val="000B2498"/>
    <w:rsid w:val="000B28B6"/>
    <w:rsid w:val="000B2A3E"/>
    <w:rsid w:val="000B2C65"/>
    <w:rsid w:val="000B3183"/>
    <w:rsid w:val="000B31FB"/>
    <w:rsid w:val="000B4618"/>
    <w:rsid w:val="000B46AD"/>
    <w:rsid w:val="000B711F"/>
    <w:rsid w:val="000B717A"/>
    <w:rsid w:val="000B71A7"/>
    <w:rsid w:val="000B71DE"/>
    <w:rsid w:val="000B797F"/>
    <w:rsid w:val="000C0879"/>
    <w:rsid w:val="000C0BF6"/>
    <w:rsid w:val="000C111B"/>
    <w:rsid w:val="000C1271"/>
    <w:rsid w:val="000C15E5"/>
    <w:rsid w:val="000C1880"/>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C8C"/>
    <w:rsid w:val="000C509F"/>
    <w:rsid w:val="000C50CD"/>
    <w:rsid w:val="000C52F2"/>
    <w:rsid w:val="000C52FB"/>
    <w:rsid w:val="000C55E1"/>
    <w:rsid w:val="000C5C87"/>
    <w:rsid w:val="000C5E10"/>
    <w:rsid w:val="000C5E54"/>
    <w:rsid w:val="000C6BAB"/>
    <w:rsid w:val="000C6ED9"/>
    <w:rsid w:val="000C7682"/>
    <w:rsid w:val="000C76B5"/>
    <w:rsid w:val="000C78FE"/>
    <w:rsid w:val="000C7E13"/>
    <w:rsid w:val="000D0202"/>
    <w:rsid w:val="000D04BB"/>
    <w:rsid w:val="000D0544"/>
    <w:rsid w:val="000D0EDD"/>
    <w:rsid w:val="000D13F1"/>
    <w:rsid w:val="000D1585"/>
    <w:rsid w:val="000D1CBD"/>
    <w:rsid w:val="000D1D9A"/>
    <w:rsid w:val="000D1F90"/>
    <w:rsid w:val="000D25AF"/>
    <w:rsid w:val="000D2930"/>
    <w:rsid w:val="000D2EA1"/>
    <w:rsid w:val="000D354F"/>
    <w:rsid w:val="000D3623"/>
    <w:rsid w:val="000D3736"/>
    <w:rsid w:val="000D3FC6"/>
    <w:rsid w:val="000D403A"/>
    <w:rsid w:val="000D4277"/>
    <w:rsid w:val="000D5297"/>
    <w:rsid w:val="000D53E5"/>
    <w:rsid w:val="000D57C6"/>
    <w:rsid w:val="000D5971"/>
    <w:rsid w:val="000D6113"/>
    <w:rsid w:val="000D6400"/>
    <w:rsid w:val="000D6907"/>
    <w:rsid w:val="000D6980"/>
    <w:rsid w:val="000D6F0F"/>
    <w:rsid w:val="000D6F73"/>
    <w:rsid w:val="000D6F94"/>
    <w:rsid w:val="000D75CE"/>
    <w:rsid w:val="000D7ACC"/>
    <w:rsid w:val="000D7B58"/>
    <w:rsid w:val="000D7B8B"/>
    <w:rsid w:val="000D7D65"/>
    <w:rsid w:val="000D7F7C"/>
    <w:rsid w:val="000E05BC"/>
    <w:rsid w:val="000E0614"/>
    <w:rsid w:val="000E1618"/>
    <w:rsid w:val="000E1C51"/>
    <w:rsid w:val="000E21D3"/>
    <w:rsid w:val="000E26F5"/>
    <w:rsid w:val="000E2711"/>
    <w:rsid w:val="000E29D8"/>
    <w:rsid w:val="000E2B65"/>
    <w:rsid w:val="000E3E08"/>
    <w:rsid w:val="000E41EC"/>
    <w:rsid w:val="000E485F"/>
    <w:rsid w:val="000E4AD3"/>
    <w:rsid w:val="000E4CB6"/>
    <w:rsid w:val="000E4E59"/>
    <w:rsid w:val="000E4FE5"/>
    <w:rsid w:val="000E5A13"/>
    <w:rsid w:val="000E631F"/>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688"/>
    <w:rsid w:val="000F1BCA"/>
    <w:rsid w:val="000F2BD2"/>
    <w:rsid w:val="000F2C69"/>
    <w:rsid w:val="000F3330"/>
    <w:rsid w:val="000F3768"/>
    <w:rsid w:val="000F3899"/>
    <w:rsid w:val="000F4582"/>
    <w:rsid w:val="000F476D"/>
    <w:rsid w:val="000F605C"/>
    <w:rsid w:val="000F6A4A"/>
    <w:rsid w:val="000F6E2A"/>
    <w:rsid w:val="000F6E40"/>
    <w:rsid w:val="000F765F"/>
    <w:rsid w:val="000F76C6"/>
    <w:rsid w:val="000F7A90"/>
    <w:rsid w:val="000F7C56"/>
    <w:rsid w:val="00100069"/>
    <w:rsid w:val="0010029B"/>
    <w:rsid w:val="00100944"/>
    <w:rsid w:val="00100AF5"/>
    <w:rsid w:val="00100CF6"/>
    <w:rsid w:val="0010121C"/>
    <w:rsid w:val="00101A1F"/>
    <w:rsid w:val="00101EAA"/>
    <w:rsid w:val="00102385"/>
    <w:rsid w:val="00103315"/>
    <w:rsid w:val="00103353"/>
    <w:rsid w:val="001035EB"/>
    <w:rsid w:val="001036A2"/>
    <w:rsid w:val="0010414A"/>
    <w:rsid w:val="001043ED"/>
    <w:rsid w:val="0010454D"/>
    <w:rsid w:val="0010474F"/>
    <w:rsid w:val="00104865"/>
    <w:rsid w:val="00104A16"/>
    <w:rsid w:val="00105259"/>
    <w:rsid w:val="00105452"/>
    <w:rsid w:val="0010548F"/>
    <w:rsid w:val="00105497"/>
    <w:rsid w:val="001056ED"/>
    <w:rsid w:val="0010587F"/>
    <w:rsid w:val="001063C7"/>
    <w:rsid w:val="00106B8D"/>
    <w:rsid w:val="00106FC0"/>
    <w:rsid w:val="00107113"/>
    <w:rsid w:val="0010714B"/>
    <w:rsid w:val="00107751"/>
    <w:rsid w:val="00107A4F"/>
    <w:rsid w:val="0011075B"/>
    <w:rsid w:val="00110B8D"/>
    <w:rsid w:val="0011192F"/>
    <w:rsid w:val="00111A12"/>
    <w:rsid w:val="00111FE3"/>
    <w:rsid w:val="0011249B"/>
    <w:rsid w:val="0011266E"/>
    <w:rsid w:val="00113142"/>
    <w:rsid w:val="001134AF"/>
    <w:rsid w:val="00113928"/>
    <w:rsid w:val="00114033"/>
    <w:rsid w:val="00114209"/>
    <w:rsid w:val="00114235"/>
    <w:rsid w:val="00114A43"/>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06B"/>
    <w:rsid w:val="001201BB"/>
    <w:rsid w:val="0012067C"/>
    <w:rsid w:val="00120AF1"/>
    <w:rsid w:val="00120AF9"/>
    <w:rsid w:val="00120BC3"/>
    <w:rsid w:val="00120BD7"/>
    <w:rsid w:val="00121C07"/>
    <w:rsid w:val="00122001"/>
    <w:rsid w:val="00122298"/>
    <w:rsid w:val="001222E9"/>
    <w:rsid w:val="0012250D"/>
    <w:rsid w:val="0012265F"/>
    <w:rsid w:val="001227D1"/>
    <w:rsid w:val="00122813"/>
    <w:rsid w:val="00122A75"/>
    <w:rsid w:val="00122C48"/>
    <w:rsid w:val="00124362"/>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B2D"/>
    <w:rsid w:val="00127BB0"/>
    <w:rsid w:val="00127C34"/>
    <w:rsid w:val="00127C36"/>
    <w:rsid w:val="0013025A"/>
    <w:rsid w:val="00130421"/>
    <w:rsid w:val="001305AD"/>
    <w:rsid w:val="001309DF"/>
    <w:rsid w:val="00130A54"/>
    <w:rsid w:val="00131257"/>
    <w:rsid w:val="00131839"/>
    <w:rsid w:val="00132203"/>
    <w:rsid w:val="001322B6"/>
    <w:rsid w:val="00132700"/>
    <w:rsid w:val="00132AE5"/>
    <w:rsid w:val="00132DD9"/>
    <w:rsid w:val="00132F46"/>
    <w:rsid w:val="001330FB"/>
    <w:rsid w:val="00133181"/>
    <w:rsid w:val="001334EE"/>
    <w:rsid w:val="00133879"/>
    <w:rsid w:val="0013390F"/>
    <w:rsid w:val="00133C95"/>
    <w:rsid w:val="001343D8"/>
    <w:rsid w:val="00134611"/>
    <w:rsid w:val="001348AD"/>
    <w:rsid w:val="00134ACB"/>
    <w:rsid w:val="0013515A"/>
    <w:rsid w:val="0013554E"/>
    <w:rsid w:val="00135840"/>
    <w:rsid w:val="00135CDC"/>
    <w:rsid w:val="00135E71"/>
    <w:rsid w:val="00136243"/>
    <w:rsid w:val="001363AC"/>
    <w:rsid w:val="001365F9"/>
    <w:rsid w:val="00136E6A"/>
    <w:rsid w:val="00136F4D"/>
    <w:rsid w:val="00137169"/>
    <w:rsid w:val="00137652"/>
    <w:rsid w:val="001379C2"/>
    <w:rsid w:val="00137CAD"/>
    <w:rsid w:val="00137D8F"/>
    <w:rsid w:val="00137FF2"/>
    <w:rsid w:val="001404C2"/>
    <w:rsid w:val="00140CD2"/>
    <w:rsid w:val="00141592"/>
    <w:rsid w:val="00141788"/>
    <w:rsid w:val="0014289F"/>
    <w:rsid w:val="0014338E"/>
    <w:rsid w:val="0014360D"/>
    <w:rsid w:val="001437B0"/>
    <w:rsid w:val="00143BBC"/>
    <w:rsid w:val="00144480"/>
    <w:rsid w:val="0014485F"/>
    <w:rsid w:val="00144B79"/>
    <w:rsid w:val="00145A0E"/>
    <w:rsid w:val="00145C07"/>
    <w:rsid w:val="00145EE4"/>
    <w:rsid w:val="00145F4D"/>
    <w:rsid w:val="00146C7E"/>
    <w:rsid w:val="00147262"/>
    <w:rsid w:val="001472F8"/>
    <w:rsid w:val="0014749F"/>
    <w:rsid w:val="00147EEB"/>
    <w:rsid w:val="0015075E"/>
    <w:rsid w:val="00150C13"/>
    <w:rsid w:val="00150E32"/>
    <w:rsid w:val="00151281"/>
    <w:rsid w:val="00151B07"/>
    <w:rsid w:val="00151FA7"/>
    <w:rsid w:val="001522F1"/>
    <w:rsid w:val="001525A5"/>
    <w:rsid w:val="001525CA"/>
    <w:rsid w:val="00152858"/>
    <w:rsid w:val="001529A7"/>
    <w:rsid w:val="001534CE"/>
    <w:rsid w:val="00153A6D"/>
    <w:rsid w:val="00153DC3"/>
    <w:rsid w:val="00153DC7"/>
    <w:rsid w:val="001545FC"/>
    <w:rsid w:val="001547A3"/>
    <w:rsid w:val="00154A61"/>
    <w:rsid w:val="00154B92"/>
    <w:rsid w:val="00155095"/>
    <w:rsid w:val="00155EBB"/>
    <w:rsid w:val="0015633D"/>
    <w:rsid w:val="001563BE"/>
    <w:rsid w:val="001563CC"/>
    <w:rsid w:val="001565C3"/>
    <w:rsid w:val="0015676A"/>
    <w:rsid w:val="00156B63"/>
    <w:rsid w:val="00156B7B"/>
    <w:rsid w:val="00156C44"/>
    <w:rsid w:val="00156CEC"/>
    <w:rsid w:val="00157569"/>
    <w:rsid w:val="00157BF8"/>
    <w:rsid w:val="00157DEC"/>
    <w:rsid w:val="00157E9B"/>
    <w:rsid w:val="001600E5"/>
    <w:rsid w:val="00160B88"/>
    <w:rsid w:val="00160D0F"/>
    <w:rsid w:val="001613B4"/>
    <w:rsid w:val="00161678"/>
    <w:rsid w:val="00162421"/>
    <w:rsid w:val="0016271E"/>
    <w:rsid w:val="00162BD9"/>
    <w:rsid w:val="00162E2E"/>
    <w:rsid w:val="00163073"/>
    <w:rsid w:val="001630F0"/>
    <w:rsid w:val="00163242"/>
    <w:rsid w:val="0016342D"/>
    <w:rsid w:val="001634DC"/>
    <w:rsid w:val="0016363C"/>
    <w:rsid w:val="00163F02"/>
    <w:rsid w:val="001640A8"/>
    <w:rsid w:val="001640AC"/>
    <w:rsid w:val="0016504E"/>
    <w:rsid w:val="00165D57"/>
    <w:rsid w:val="0016605D"/>
    <w:rsid w:val="00166479"/>
    <w:rsid w:val="001666F0"/>
    <w:rsid w:val="00167CD8"/>
    <w:rsid w:val="00167F77"/>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3F7F"/>
    <w:rsid w:val="001741F2"/>
    <w:rsid w:val="00174719"/>
    <w:rsid w:val="0017502C"/>
    <w:rsid w:val="00175540"/>
    <w:rsid w:val="00175B80"/>
    <w:rsid w:val="0017603A"/>
    <w:rsid w:val="00176051"/>
    <w:rsid w:val="00176B63"/>
    <w:rsid w:val="00176C25"/>
    <w:rsid w:val="00176CC0"/>
    <w:rsid w:val="00176F41"/>
    <w:rsid w:val="00177956"/>
    <w:rsid w:val="00177C97"/>
    <w:rsid w:val="00177EC0"/>
    <w:rsid w:val="00180277"/>
    <w:rsid w:val="001818AB"/>
    <w:rsid w:val="00181EFF"/>
    <w:rsid w:val="0018221C"/>
    <w:rsid w:val="0018259A"/>
    <w:rsid w:val="00182841"/>
    <w:rsid w:val="001828C4"/>
    <w:rsid w:val="00182DF5"/>
    <w:rsid w:val="00183006"/>
    <w:rsid w:val="00183325"/>
    <w:rsid w:val="001835A9"/>
    <w:rsid w:val="00183612"/>
    <w:rsid w:val="001839FB"/>
    <w:rsid w:val="0018413F"/>
    <w:rsid w:val="0018461F"/>
    <w:rsid w:val="00185BC2"/>
    <w:rsid w:val="00185D73"/>
    <w:rsid w:val="0018601D"/>
    <w:rsid w:val="00186D74"/>
    <w:rsid w:val="00186E82"/>
    <w:rsid w:val="001873B4"/>
    <w:rsid w:val="00187BC3"/>
    <w:rsid w:val="00190068"/>
    <w:rsid w:val="00190FF5"/>
    <w:rsid w:val="0019122F"/>
    <w:rsid w:val="0019172A"/>
    <w:rsid w:val="00191FD1"/>
    <w:rsid w:val="00192295"/>
    <w:rsid w:val="00193188"/>
    <w:rsid w:val="00193485"/>
    <w:rsid w:val="00193D92"/>
    <w:rsid w:val="00194390"/>
    <w:rsid w:val="00194927"/>
    <w:rsid w:val="00194FAC"/>
    <w:rsid w:val="00195392"/>
    <w:rsid w:val="0019592D"/>
    <w:rsid w:val="00196310"/>
    <w:rsid w:val="001963A3"/>
    <w:rsid w:val="001969FA"/>
    <w:rsid w:val="00196CF2"/>
    <w:rsid w:val="00196FED"/>
    <w:rsid w:val="0019727D"/>
    <w:rsid w:val="001A037A"/>
    <w:rsid w:val="001A0449"/>
    <w:rsid w:val="001A1A9C"/>
    <w:rsid w:val="001A1B4C"/>
    <w:rsid w:val="001A1BE0"/>
    <w:rsid w:val="001A2AFC"/>
    <w:rsid w:val="001A309F"/>
    <w:rsid w:val="001A33DE"/>
    <w:rsid w:val="001A3C55"/>
    <w:rsid w:val="001A3E80"/>
    <w:rsid w:val="001A4339"/>
    <w:rsid w:val="001A447C"/>
    <w:rsid w:val="001A4A63"/>
    <w:rsid w:val="001A4DC4"/>
    <w:rsid w:val="001A4FEF"/>
    <w:rsid w:val="001A614A"/>
    <w:rsid w:val="001A68AB"/>
    <w:rsid w:val="001A7093"/>
    <w:rsid w:val="001A711D"/>
    <w:rsid w:val="001A7936"/>
    <w:rsid w:val="001A7C7E"/>
    <w:rsid w:val="001B081E"/>
    <w:rsid w:val="001B0903"/>
    <w:rsid w:val="001B0A39"/>
    <w:rsid w:val="001B0CBD"/>
    <w:rsid w:val="001B0DD2"/>
    <w:rsid w:val="001B110A"/>
    <w:rsid w:val="001B12AF"/>
    <w:rsid w:val="001B1827"/>
    <w:rsid w:val="001B191E"/>
    <w:rsid w:val="001B1A97"/>
    <w:rsid w:val="001B1D9A"/>
    <w:rsid w:val="001B2B15"/>
    <w:rsid w:val="001B2BE8"/>
    <w:rsid w:val="001B2E7B"/>
    <w:rsid w:val="001B2FF8"/>
    <w:rsid w:val="001B31CB"/>
    <w:rsid w:val="001B32E2"/>
    <w:rsid w:val="001B355E"/>
    <w:rsid w:val="001B3E09"/>
    <w:rsid w:val="001B401E"/>
    <w:rsid w:val="001B40CB"/>
    <w:rsid w:val="001B42E2"/>
    <w:rsid w:val="001B430A"/>
    <w:rsid w:val="001B4329"/>
    <w:rsid w:val="001B4542"/>
    <w:rsid w:val="001B4E03"/>
    <w:rsid w:val="001B5011"/>
    <w:rsid w:val="001B506B"/>
    <w:rsid w:val="001B50DF"/>
    <w:rsid w:val="001B6286"/>
    <w:rsid w:val="001B6A8F"/>
    <w:rsid w:val="001B6D2A"/>
    <w:rsid w:val="001B6D9B"/>
    <w:rsid w:val="001B6EC9"/>
    <w:rsid w:val="001B6F64"/>
    <w:rsid w:val="001C006D"/>
    <w:rsid w:val="001C0375"/>
    <w:rsid w:val="001C07A5"/>
    <w:rsid w:val="001C0E3D"/>
    <w:rsid w:val="001C1435"/>
    <w:rsid w:val="001C1CF4"/>
    <w:rsid w:val="001C1EDB"/>
    <w:rsid w:val="001C1F61"/>
    <w:rsid w:val="001C2196"/>
    <w:rsid w:val="001C2876"/>
    <w:rsid w:val="001C2B14"/>
    <w:rsid w:val="001C2D08"/>
    <w:rsid w:val="001C2DE1"/>
    <w:rsid w:val="001C2DFD"/>
    <w:rsid w:val="001C2F4A"/>
    <w:rsid w:val="001C2FA8"/>
    <w:rsid w:val="001C38C6"/>
    <w:rsid w:val="001C3920"/>
    <w:rsid w:val="001C393F"/>
    <w:rsid w:val="001C42B6"/>
    <w:rsid w:val="001C4793"/>
    <w:rsid w:val="001C4A4F"/>
    <w:rsid w:val="001C4BE1"/>
    <w:rsid w:val="001C51D8"/>
    <w:rsid w:val="001C58AD"/>
    <w:rsid w:val="001C5963"/>
    <w:rsid w:val="001C5E9E"/>
    <w:rsid w:val="001C6199"/>
    <w:rsid w:val="001C62AD"/>
    <w:rsid w:val="001C6705"/>
    <w:rsid w:val="001C6D03"/>
    <w:rsid w:val="001C6E90"/>
    <w:rsid w:val="001C7200"/>
    <w:rsid w:val="001C74AC"/>
    <w:rsid w:val="001C7C18"/>
    <w:rsid w:val="001D0374"/>
    <w:rsid w:val="001D0712"/>
    <w:rsid w:val="001D07F7"/>
    <w:rsid w:val="001D08BB"/>
    <w:rsid w:val="001D0B13"/>
    <w:rsid w:val="001D0C90"/>
    <w:rsid w:val="001D0F1F"/>
    <w:rsid w:val="001D18E1"/>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311"/>
    <w:rsid w:val="001D7A90"/>
    <w:rsid w:val="001E0012"/>
    <w:rsid w:val="001E04AA"/>
    <w:rsid w:val="001E05D5"/>
    <w:rsid w:val="001E0CBF"/>
    <w:rsid w:val="001E13F3"/>
    <w:rsid w:val="001E1405"/>
    <w:rsid w:val="001E1780"/>
    <w:rsid w:val="001E1FE8"/>
    <w:rsid w:val="001E2204"/>
    <w:rsid w:val="001E2469"/>
    <w:rsid w:val="001E29C3"/>
    <w:rsid w:val="001E2CAE"/>
    <w:rsid w:val="001E2E19"/>
    <w:rsid w:val="001E3168"/>
    <w:rsid w:val="001E3430"/>
    <w:rsid w:val="001E37B2"/>
    <w:rsid w:val="001E3B10"/>
    <w:rsid w:val="001E3E88"/>
    <w:rsid w:val="001E457D"/>
    <w:rsid w:val="001E45D1"/>
    <w:rsid w:val="001E46D8"/>
    <w:rsid w:val="001E4A5F"/>
    <w:rsid w:val="001E4AC2"/>
    <w:rsid w:val="001E5C77"/>
    <w:rsid w:val="001E5D17"/>
    <w:rsid w:val="001E6122"/>
    <w:rsid w:val="001E7076"/>
    <w:rsid w:val="001E70D5"/>
    <w:rsid w:val="001E728E"/>
    <w:rsid w:val="001E75BA"/>
    <w:rsid w:val="001E7BE4"/>
    <w:rsid w:val="001E7E56"/>
    <w:rsid w:val="001F0B5C"/>
    <w:rsid w:val="001F0ECC"/>
    <w:rsid w:val="001F10DB"/>
    <w:rsid w:val="001F1343"/>
    <w:rsid w:val="001F14FD"/>
    <w:rsid w:val="001F1B91"/>
    <w:rsid w:val="001F1F6F"/>
    <w:rsid w:val="001F2B62"/>
    <w:rsid w:val="001F2E6F"/>
    <w:rsid w:val="001F3315"/>
    <w:rsid w:val="001F3482"/>
    <w:rsid w:val="001F38DF"/>
    <w:rsid w:val="001F3A25"/>
    <w:rsid w:val="001F4836"/>
    <w:rsid w:val="001F4B9B"/>
    <w:rsid w:val="001F4E0B"/>
    <w:rsid w:val="001F4F2A"/>
    <w:rsid w:val="001F54B2"/>
    <w:rsid w:val="001F5D94"/>
    <w:rsid w:val="001F632E"/>
    <w:rsid w:val="001F67D5"/>
    <w:rsid w:val="001F69CF"/>
    <w:rsid w:val="001F6DCA"/>
    <w:rsid w:val="001F6EFC"/>
    <w:rsid w:val="001F6F8A"/>
    <w:rsid w:val="001F7291"/>
    <w:rsid w:val="001F760B"/>
    <w:rsid w:val="001F7C00"/>
    <w:rsid w:val="0020014E"/>
    <w:rsid w:val="00200A13"/>
    <w:rsid w:val="00200AB3"/>
    <w:rsid w:val="00200C0E"/>
    <w:rsid w:val="00200D02"/>
    <w:rsid w:val="00201A20"/>
    <w:rsid w:val="00201D83"/>
    <w:rsid w:val="002021D7"/>
    <w:rsid w:val="00202523"/>
    <w:rsid w:val="002028D3"/>
    <w:rsid w:val="002028D5"/>
    <w:rsid w:val="00202CF1"/>
    <w:rsid w:val="00202CFF"/>
    <w:rsid w:val="00203BF4"/>
    <w:rsid w:val="00203E48"/>
    <w:rsid w:val="002042CD"/>
    <w:rsid w:val="00204307"/>
    <w:rsid w:val="00204366"/>
    <w:rsid w:val="002048C2"/>
    <w:rsid w:val="00204C16"/>
    <w:rsid w:val="00204EAF"/>
    <w:rsid w:val="00204EC8"/>
    <w:rsid w:val="00204F0A"/>
    <w:rsid w:val="00205257"/>
    <w:rsid w:val="0020543C"/>
    <w:rsid w:val="00205484"/>
    <w:rsid w:val="00205A6A"/>
    <w:rsid w:val="002062EB"/>
    <w:rsid w:val="002063A8"/>
    <w:rsid w:val="00206591"/>
    <w:rsid w:val="00206659"/>
    <w:rsid w:val="00206B20"/>
    <w:rsid w:val="00206BAE"/>
    <w:rsid w:val="00207097"/>
    <w:rsid w:val="002076B5"/>
    <w:rsid w:val="002078F3"/>
    <w:rsid w:val="00210221"/>
    <w:rsid w:val="0021027B"/>
    <w:rsid w:val="002103EF"/>
    <w:rsid w:val="00210504"/>
    <w:rsid w:val="00211BB6"/>
    <w:rsid w:val="00212491"/>
    <w:rsid w:val="00213134"/>
    <w:rsid w:val="00213925"/>
    <w:rsid w:val="002139B6"/>
    <w:rsid w:val="00213B90"/>
    <w:rsid w:val="00214B72"/>
    <w:rsid w:val="00214F78"/>
    <w:rsid w:val="0021541E"/>
    <w:rsid w:val="002157EF"/>
    <w:rsid w:val="00216D2A"/>
    <w:rsid w:val="00216EA2"/>
    <w:rsid w:val="00217187"/>
    <w:rsid w:val="0022010C"/>
    <w:rsid w:val="00220131"/>
    <w:rsid w:val="00220549"/>
    <w:rsid w:val="00220739"/>
    <w:rsid w:val="002207AB"/>
    <w:rsid w:val="00220DF6"/>
    <w:rsid w:val="00221087"/>
    <w:rsid w:val="0022116C"/>
    <w:rsid w:val="0022170D"/>
    <w:rsid w:val="00222462"/>
    <w:rsid w:val="00222936"/>
    <w:rsid w:val="0022299E"/>
    <w:rsid w:val="00223311"/>
    <w:rsid w:val="00223B71"/>
    <w:rsid w:val="00223D57"/>
    <w:rsid w:val="00223DAD"/>
    <w:rsid w:val="0022444A"/>
    <w:rsid w:val="0022525E"/>
    <w:rsid w:val="002255B8"/>
    <w:rsid w:val="00225611"/>
    <w:rsid w:val="0022562A"/>
    <w:rsid w:val="0022597E"/>
    <w:rsid w:val="00226111"/>
    <w:rsid w:val="00226BDC"/>
    <w:rsid w:val="00227F0A"/>
    <w:rsid w:val="0023043F"/>
    <w:rsid w:val="0023061A"/>
    <w:rsid w:val="00230C49"/>
    <w:rsid w:val="00230D38"/>
    <w:rsid w:val="00231293"/>
    <w:rsid w:val="002313AF"/>
    <w:rsid w:val="002315AA"/>
    <w:rsid w:val="002315AE"/>
    <w:rsid w:val="00231716"/>
    <w:rsid w:val="00231990"/>
    <w:rsid w:val="0023289B"/>
    <w:rsid w:val="00232927"/>
    <w:rsid w:val="00232AD6"/>
    <w:rsid w:val="0023322D"/>
    <w:rsid w:val="00233328"/>
    <w:rsid w:val="002333F3"/>
    <w:rsid w:val="002334D2"/>
    <w:rsid w:val="00233515"/>
    <w:rsid w:val="0023373D"/>
    <w:rsid w:val="00233815"/>
    <w:rsid w:val="002339B2"/>
    <w:rsid w:val="0023442A"/>
    <w:rsid w:val="0023494C"/>
    <w:rsid w:val="00234B63"/>
    <w:rsid w:val="00234CDC"/>
    <w:rsid w:val="00235418"/>
    <w:rsid w:val="00235903"/>
    <w:rsid w:val="00235E22"/>
    <w:rsid w:val="00236009"/>
    <w:rsid w:val="00236272"/>
    <w:rsid w:val="0023650B"/>
    <w:rsid w:val="00236DF3"/>
    <w:rsid w:val="00237269"/>
    <w:rsid w:val="002378E6"/>
    <w:rsid w:val="00237FA9"/>
    <w:rsid w:val="00237FD4"/>
    <w:rsid w:val="00240469"/>
    <w:rsid w:val="00240FBB"/>
    <w:rsid w:val="00241064"/>
    <w:rsid w:val="00241292"/>
    <w:rsid w:val="00241484"/>
    <w:rsid w:val="002419BA"/>
    <w:rsid w:val="0024272F"/>
    <w:rsid w:val="002427A5"/>
    <w:rsid w:val="00242C76"/>
    <w:rsid w:val="00242CBE"/>
    <w:rsid w:val="0024389A"/>
    <w:rsid w:val="00243C7A"/>
    <w:rsid w:val="00243DBD"/>
    <w:rsid w:val="00243E0E"/>
    <w:rsid w:val="00244218"/>
    <w:rsid w:val="00244367"/>
    <w:rsid w:val="002443AA"/>
    <w:rsid w:val="002444AA"/>
    <w:rsid w:val="00244652"/>
    <w:rsid w:val="002446C4"/>
    <w:rsid w:val="00244809"/>
    <w:rsid w:val="00244825"/>
    <w:rsid w:val="00244890"/>
    <w:rsid w:val="00244AAF"/>
    <w:rsid w:val="00244F63"/>
    <w:rsid w:val="00245041"/>
    <w:rsid w:val="0024586A"/>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54F"/>
    <w:rsid w:val="00256601"/>
    <w:rsid w:val="00256702"/>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30B"/>
    <w:rsid w:val="00261B05"/>
    <w:rsid w:val="00261B82"/>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342"/>
    <w:rsid w:val="00267435"/>
    <w:rsid w:val="00267509"/>
    <w:rsid w:val="0026763A"/>
    <w:rsid w:val="00267D1B"/>
    <w:rsid w:val="00270128"/>
    <w:rsid w:val="00270BDF"/>
    <w:rsid w:val="00270DDD"/>
    <w:rsid w:val="00271092"/>
    <w:rsid w:val="0027114B"/>
    <w:rsid w:val="00271633"/>
    <w:rsid w:val="00271922"/>
    <w:rsid w:val="00271ED8"/>
    <w:rsid w:val="00272739"/>
    <w:rsid w:val="002729D6"/>
    <w:rsid w:val="00272BD9"/>
    <w:rsid w:val="00272D15"/>
    <w:rsid w:val="00272E07"/>
    <w:rsid w:val="00273FAF"/>
    <w:rsid w:val="0027408D"/>
    <w:rsid w:val="002743C5"/>
    <w:rsid w:val="00275817"/>
    <w:rsid w:val="002765A6"/>
    <w:rsid w:val="0027662C"/>
    <w:rsid w:val="002768CD"/>
    <w:rsid w:val="002769D6"/>
    <w:rsid w:val="00276B45"/>
    <w:rsid w:val="00277402"/>
    <w:rsid w:val="00277821"/>
    <w:rsid w:val="00277992"/>
    <w:rsid w:val="002779FE"/>
    <w:rsid w:val="00277C2B"/>
    <w:rsid w:val="00280244"/>
    <w:rsid w:val="002803E2"/>
    <w:rsid w:val="00280427"/>
    <w:rsid w:val="0028091A"/>
    <w:rsid w:val="00280992"/>
    <w:rsid w:val="00281698"/>
    <w:rsid w:val="00281A57"/>
    <w:rsid w:val="00281CA6"/>
    <w:rsid w:val="0028280E"/>
    <w:rsid w:val="0028291C"/>
    <w:rsid w:val="0028297C"/>
    <w:rsid w:val="00282B8C"/>
    <w:rsid w:val="00282C9C"/>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96C"/>
    <w:rsid w:val="00286B68"/>
    <w:rsid w:val="00286F23"/>
    <w:rsid w:val="0028778B"/>
    <w:rsid w:val="00290055"/>
    <w:rsid w:val="00290292"/>
    <w:rsid w:val="002907E8"/>
    <w:rsid w:val="002908CB"/>
    <w:rsid w:val="00290B88"/>
    <w:rsid w:val="00290D9E"/>
    <w:rsid w:val="0029139F"/>
    <w:rsid w:val="00291911"/>
    <w:rsid w:val="00292008"/>
    <w:rsid w:val="0029207E"/>
    <w:rsid w:val="0029229A"/>
    <w:rsid w:val="0029288F"/>
    <w:rsid w:val="002929DF"/>
    <w:rsid w:val="002934D2"/>
    <w:rsid w:val="00293C15"/>
    <w:rsid w:val="00293D4A"/>
    <w:rsid w:val="00293ED6"/>
    <w:rsid w:val="002942F2"/>
    <w:rsid w:val="00294367"/>
    <w:rsid w:val="00294424"/>
    <w:rsid w:val="00294B02"/>
    <w:rsid w:val="002950AB"/>
    <w:rsid w:val="00295318"/>
    <w:rsid w:val="002958ED"/>
    <w:rsid w:val="00295A86"/>
    <w:rsid w:val="00295A9E"/>
    <w:rsid w:val="00295B5B"/>
    <w:rsid w:val="00295C9F"/>
    <w:rsid w:val="00295CD7"/>
    <w:rsid w:val="00296898"/>
    <w:rsid w:val="00296C29"/>
    <w:rsid w:val="0029758C"/>
    <w:rsid w:val="00297ED3"/>
    <w:rsid w:val="002A05D8"/>
    <w:rsid w:val="002A0CCC"/>
    <w:rsid w:val="002A1027"/>
    <w:rsid w:val="002A1315"/>
    <w:rsid w:val="002A2203"/>
    <w:rsid w:val="002A25B2"/>
    <w:rsid w:val="002A281B"/>
    <w:rsid w:val="002A297C"/>
    <w:rsid w:val="002A2ECE"/>
    <w:rsid w:val="002A30E4"/>
    <w:rsid w:val="002A3C2F"/>
    <w:rsid w:val="002A40F3"/>
    <w:rsid w:val="002A414D"/>
    <w:rsid w:val="002A4202"/>
    <w:rsid w:val="002A44E8"/>
    <w:rsid w:val="002A5048"/>
    <w:rsid w:val="002A570C"/>
    <w:rsid w:val="002A5A7C"/>
    <w:rsid w:val="002A5E39"/>
    <w:rsid w:val="002A5F14"/>
    <w:rsid w:val="002A636A"/>
    <w:rsid w:val="002A688F"/>
    <w:rsid w:val="002A6C31"/>
    <w:rsid w:val="002A6CDA"/>
    <w:rsid w:val="002A6D16"/>
    <w:rsid w:val="002A6E43"/>
    <w:rsid w:val="002A6F8B"/>
    <w:rsid w:val="002A7103"/>
    <w:rsid w:val="002A7770"/>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31"/>
    <w:rsid w:val="002B396D"/>
    <w:rsid w:val="002B4CFA"/>
    <w:rsid w:val="002B5142"/>
    <w:rsid w:val="002B59B8"/>
    <w:rsid w:val="002B5AF5"/>
    <w:rsid w:val="002B6019"/>
    <w:rsid w:val="002B644C"/>
    <w:rsid w:val="002B6922"/>
    <w:rsid w:val="002B6CD7"/>
    <w:rsid w:val="002B7263"/>
    <w:rsid w:val="002B7742"/>
    <w:rsid w:val="002B7A91"/>
    <w:rsid w:val="002B7E07"/>
    <w:rsid w:val="002C0055"/>
    <w:rsid w:val="002C02CC"/>
    <w:rsid w:val="002C09B2"/>
    <w:rsid w:val="002C1942"/>
    <w:rsid w:val="002C1CBD"/>
    <w:rsid w:val="002C1D8F"/>
    <w:rsid w:val="002C2121"/>
    <w:rsid w:val="002C25CA"/>
    <w:rsid w:val="002C268F"/>
    <w:rsid w:val="002C2950"/>
    <w:rsid w:val="002C318B"/>
    <w:rsid w:val="002C32A4"/>
    <w:rsid w:val="002C336D"/>
    <w:rsid w:val="002C3B5F"/>
    <w:rsid w:val="002C3CD6"/>
    <w:rsid w:val="002C3E10"/>
    <w:rsid w:val="002C3F0E"/>
    <w:rsid w:val="002C3FB3"/>
    <w:rsid w:val="002C44D1"/>
    <w:rsid w:val="002C46B4"/>
    <w:rsid w:val="002C4B20"/>
    <w:rsid w:val="002C55C1"/>
    <w:rsid w:val="002C5766"/>
    <w:rsid w:val="002C5795"/>
    <w:rsid w:val="002C57A1"/>
    <w:rsid w:val="002C5A26"/>
    <w:rsid w:val="002C5C8A"/>
    <w:rsid w:val="002C5D41"/>
    <w:rsid w:val="002C5DCC"/>
    <w:rsid w:val="002C62E9"/>
    <w:rsid w:val="002C6301"/>
    <w:rsid w:val="002C6663"/>
    <w:rsid w:val="002C6CA0"/>
    <w:rsid w:val="002C6DD3"/>
    <w:rsid w:val="002C71B8"/>
    <w:rsid w:val="002C744D"/>
    <w:rsid w:val="002C7571"/>
    <w:rsid w:val="002C784A"/>
    <w:rsid w:val="002D022C"/>
    <w:rsid w:val="002D0A0D"/>
    <w:rsid w:val="002D0D03"/>
    <w:rsid w:val="002D1138"/>
    <w:rsid w:val="002D115E"/>
    <w:rsid w:val="002D194F"/>
    <w:rsid w:val="002D1ABE"/>
    <w:rsid w:val="002D1AF1"/>
    <w:rsid w:val="002D1E06"/>
    <w:rsid w:val="002D1FE3"/>
    <w:rsid w:val="002D21E5"/>
    <w:rsid w:val="002D224B"/>
    <w:rsid w:val="002D23D5"/>
    <w:rsid w:val="002D271E"/>
    <w:rsid w:val="002D2CDD"/>
    <w:rsid w:val="002D2D8B"/>
    <w:rsid w:val="002D31D1"/>
    <w:rsid w:val="002D33BF"/>
    <w:rsid w:val="002D3AF5"/>
    <w:rsid w:val="002D3B70"/>
    <w:rsid w:val="002D3BD2"/>
    <w:rsid w:val="002D417C"/>
    <w:rsid w:val="002D4615"/>
    <w:rsid w:val="002D4933"/>
    <w:rsid w:val="002D49EF"/>
    <w:rsid w:val="002D4DF4"/>
    <w:rsid w:val="002D54B6"/>
    <w:rsid w:val="002D5525"/>
    <w:rsid w:val="002D5F62"/>
    <w:rsid w:val="002D643D"/>
    <w:rsid w:val="002D6444"/>
    <w:rsid w:val="002E00AA"/>
    <w:rsid w:val="002E07D6"/>
    <w:rsid w:val="002E0986"/>
    <w:rsid w:val="002E0A2D"/>
    <w:rsid w:val="002E0B77"/>
    <w:rsid w:val="002E0BDA"/>
    <w:rsid w:val="002E0EAB"/>
    <w:rsid w:val="002E164D"/>
    <w:rsid w:val="002E16E5"/>
    <w:rsid w:val="002E16FB"/>
    <w:rsid w:val="002E1766"/>
    <w:rsid w:val="002E2A2C"/>
    <w:rsid w:val="002E2D22"/>
    <w:rsid w:val="002E379A"/>
    <w:rsid w:val="002E38E3"/>
    <w:rsid w:val="002E4117"/>
    <w:rsid w:val="002E4400"/>
    <w:rsid w:val="002E4A33"/>
    <w:rsid w:val="002E4FE3"/>
    <w:rsid w:val="002E52B0"/>
    <w:rsid w:val="002E5B97"/>
    <w:rsid w:val="002E5BCA"/>
    <w:rsid w:val="002E62F1"/>
    <w:rsid w:val="002E69C8"/>
    <w:rsid w:val="002E6D51"/>
    <w:rsid w:val="002E7184"/>
    <w:rsid w:val="002E7900"/>
    <w:rsid w:val="002E7F2B"/>
    <w:rsid w:val="002E7F72"/>
    <w:rsid w:val="002F05C4"/>
    <w:rsid w:val="002F0BE2"/>
    <w:rsid w:val="002F0E31"/>
    <w:rsid w:val="002F15E0"/>
    <w:rsid w:val="002F171E"/>
    <w:rsid w:val="002F1787"/>
    <w:rsid w:val="002F25EC"/>
    <w:rsid w:val="002F2E3D"/>
    <w:rsid w:val="002F32E7"/>
    <w:rsid w:val="002F356F"/>
    <w:rsid w:val="002F372C"/>
    <w:rsid w:val="002F37C3"/>
    <w:rsid w:val="002F395A"/>
    <w:rsid w:val="002F3B72"/>
    <w:rsid w:val="002F3DD8"/>
    <w:rsid w:val="002F43B1"/>
    <w:rsid w:val="002F44E9"/>
    <w:rsid w:val="002F4644"/>
    <w:rsid w:val="002F4874"/>
    <w:rsid w:val="002F4EFD"/>
    <w:rsid w:val="002F50B8"/>
    <w:rsid w:val="002F5AAD"/>
    <w:rsid w:val="002F5BAF"/>
    <w:rsid w:val="002F5CEF"/>
    <w:rsid w:val="002F628D"/>
    <w:rsid w:val="002F63FB"/>
    <w:rsid w:val="002F64F6"/>
    <w:rsid w:val="002F667B"/>
    <w:rsid w:val="002F6773"/>
    <w:rsid w:val="002F6A92"/>
    <w:rsid w:val="003003CB"/>
    <w:rsid w:val="00300A3F"/>
    <w:rsid w:val="00300B1C"/>
    <w:rsid w:val="003010FB"/>
    <w:rsid w:val="00301364"/>
    <w:rsid w:val="003014AC"/>
    <w:rsid w:val="003017FB"/>
    <w:rsid w:val="00301BE0"/>
    <w:rsid w:val="00301D2D"/>
    <w:rsid w:val="00301F32"/>
    <w:rsid w:val="00302AFC"/>
    <w:rsid w:val="003031AE"/>
    <w:rsid w:val="003032D8"/>
    <w:rsid w:val="0030397E"/>
    <w:rsid w:val="00303B25"/>
    <w:rsid w:val="00303D5C"/>
    <w:rsid w:val="00303DFC"/>
    <w:rsid w:val="00303F4A"/>
    <w:rsid w:val="00304CBB"/>
    <w:rsid w:val="00305C04"/>
    <w:rsid w:val="00305D9C"/>
    <w:rsid w:val="0030605C"/>
    <w:rsid w:val="00306B9D"/>
    <w:rsid w:val="00306D78"/>
    <w:rsid w:val="00306E33"/>
    <w:rsid w:val="00307E8D"/>
    <w:rsid w:val="00310CC9"/>
    <w:rsid w:val="003111EE"/>
    <w:rsid w:val="00311556"/>
    <w:rsid w:val="003118AF"/>
    <w:rsid w:val="00311AA0"/>
    <w:rsid w:val="00311DEA"/>
    <w:rsid w:val="003121A0"/>
    <w:rsid w:val="00312237"/>
    <w:rsid w:val="00312A29"/>
    <w:rsid w:val="00312A4F"/>
    <w:rsid w:val="00312A58"/>
    <w:rsid w:val="0031310C"/>
    <w:rsid w:val="00314191"/>
    <w:rsid w:val="00314300"/>
    <w:rsid w:val="00314AE4"/>
    <w:rsid w:val="0031507F"/>
    <w:rsid w:val="00315466"/>
    <w:rsid w:val="0031557D"/>
    <w:rsid w:val="00315AA2"/>
    <w:rsid w:val="00315E06"/>
    <w:rsid w:val="00316030"/>
    <w:rsid w:val="00316A57"/>
    <w:rsid w:val="00316F85"/>
    <w:rsid w:val="00316F92"/>
    <w:rsid w:val="0031735D"/>
    <w:rsid w:val="003173FC"/>
    <w:rsid w:val="003174FB"/>
    <w:rsid w:val="00317710"/>
    <w:rsid w:val="003204A1"/>
    <w:rsid w:val="003208CE"/>
    <w:rsid w:val="00320A3E"/>
    <w:rsid w:val="003210B5"/>
    <w:rsid w:val="0032191A"/>
    <w:rsid w:val="00321E42"/>
    <w:rsid w:val="003227A2"/>
    <w:rsid w:val="00322AF4"/>
    <w:rsid w:val="0032376B"/>
    <w:rsid w:val="00323A39"/>
    <w:rsid w:val="00323CF1"/>
    <w:rsid w:val="00323F5F"/>
    <w:rsid w:val="0032434D"/>
    <w:rsid w:val="003243B5"/>
    <w:rsid w:val="003244DB"/>
    <w:rsid w:val="00324947"/>
    <w:rsid w:val="003249E4"/>
    <w:rsid w:val="003258E3"/>
    <w:rsid w:val="00326623"/>
    <w:rsid w:val="00326824"/>
    <w:rsid w:val="0032687F"/>
    <w:rsid w:val="00326B38"/>
    <w:rsid w:val="00326BA1"/>
    <w:rsid w:val="00326D98"/>
    <w:rsid w:val="00326FCA"/>
    <w:rsid w:val="00327972"/>
    <w:rsid w:val="00327DAD"/>
    <w:rsid w:val="003304A6"/>
    <w:rsid w:val="00330C4D"/>
    <w:rsid w:val="00331569"/>
    <w:rsid w:val="00331693"/>
    <w:rsid w:val="003316B0"/>
    <w:rsid w:val="0033179B"/>
    <w:rsid w:val="003323DB"/>
    <w:rsid w:val="00332D84"/>
    <w:rsid w:val="0033332D"/>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DB5"/>
    <w:rsid w:val="00343151"/>
    <w:rsid w:val="003439DB"/>
    <w:rsid w:val="0034430A"/>
    <w:rsid w:val="003446D7"/>
    <w:rsid w:val="003449BA"/>
    <w:rsid w:val="00344A6C"/>
    <w:rsid w:val="00345220"/>
    <w:rsid w:val="0034539A"/>
    <w:rsid w:val="00345A64"/>
    <w:rsid w:val="00346358"/>
    <w:rsid w:val="003463CC"/>
    <w:rsid w:val="003464B2"/>
    <w:rsid w:val="003465A5"/>
    <w:rsid w:val="0034687E"/>
    <w:rsid w:val="00346B56"/>
    <w:rsid w:val="00346F33"/>
    <w:rsid w:val="00346FAA"/>
    <w:rsid w:val="0034794E"/>
    <w:rsid w:val="00347B61"/>
    <w:rsid w:val="00347E46"/>
    <w:rsid w:val="00347E5D"/>
    <w:rsid w:val="00350073"/>
    <w:rsid w:val="003501AB"/>
    <w:rsid w:val="003506BE"/>
    <w:rsid w:val="00350C40"/>
    <w:rsid w:val="00350FBE"/>
    <w:rsid w:val="0035116A"/>
    <w:rsid w:val="00351A98"/>
    <w:rsid w:val="00351D4C"/>
    <w:rsid w:val="00351D66"/>
    <w:rsid w:val="00352378"/>
    <w:rsid w:val="00352408"/>
    <w:rsid w:val="003525A9"/>
    <w:rsid w:val="0035268C"/>
    <w:rsid w:val="00353128"/>
    <w:rsid w:val="0035465E"/>
    <w:rsid w:val="00354790"/>
    <w:rsid w:val="00354CDC"/>
    <w:rsid w:val="00354E8B"/>
    <w:rsid w:val="003550E7"/>
    <w:rsid w:val="00355262"/>
    <w:rsid w:val="003553D7"/>
    <w:rsid w:val="003557D2"/>
    <w:rsid w:val="00355DAB"/>
    <w:rsid w:val="0035630C"/>
    <w:rsid w:val="00356BE4"/>
    <w:rsid w:val="0035706C"/>
    <w:rsid w:val="00357164"/>
    <w:rsid w:val="00360207"/>
    <w:rsid w:val="00360296"/>
    <w:rsid w:val="003605CF"/>
    <w:rsid w:val="00360732"/>
    <w:rsid w:val="00360B71"/>
    <w:rsid w:val="00361796"/>
    <w:rsid w:val="00361814"/>
    <w:rsid w:val="003619D3"/>
    <w:rsid w:val="003623B6"/>
    <w:rsid w:val="003627F1"/>
    <w:rsid w:val="0036288F"/>
    <w:rsid w:val="00363079"/>
    <w:rsid w:val="0036329C"/>
    <w:rsid w:val="003634A8"/>
    <w:rsid w:val="00363BCF"/>
    <w:rsid w:val="00363DD9"/>
    <w:rsid w:val="00363F52"/>
    <w:rsid w:val="0036416B"/>
    <w:rsid w:val="0036439E"/>
    <w:rsid w:val="00364554"/>
    <w:rsid w:val="00364B01"/>
    <w:rsid w:val="00364C7E"/>
    <w:rsid w:val="00364CD1"/>
    <w:rsid w:val="0036525E"/>
    <w:rsid w:val="00365395"/>
    <w:rsid w:val="003656A8"/>
    <w:rsid w:val="00365EB4"/>
    <w:rsid w:val="00366246"/>
    <w:rsid w:val="00366569"/>
    <w:rsid w:val="00366C79"/>
    <w:rsid w:val="003671BE"/>
    <w:rsid w:val="0036767B"/>
    <w:rsid w:val="0037024F"/>
    <w:rsid w:val="00370A87"/>
    <w:rsid w:val="003711BC"/>
    <w:rsid w:val="003717DF"/>
    <w:rsid w:val="00371955"/>
    <w:rsid w:val="003719E6"/>
    <w:rsid w:val="00371C99"/>
    <w:rsid w:val="00371FFD"/>
    <w:rsid w:val="00373371"/>
    <w:rsid w:val="00373477"/>
    <w:rsid w:val="003736E1"/>
    <w:rsid w:val="00374013"/>
    <w:rsid w:val="00374196"/>
    <w:rsid w:val="00374461"/>
    <w:rsid w:val="00374467"/>
    <w:rsid w:val="00374C7B"/>
    <w:rsid w:val="00374CE1"/>
    <w:rsid w:val="00374D2A"/>
    <w:rsid w:val="00374EDB"/>
    <w:rsid w:val="00375144"/>
    <w:rsid w:val="003754B5"/>
    <w:rsid w:val="003755A7"/>
    <w:rsid w:val="00375953"/>
    <w:rsid w:val="00375CCC"/>
    <w:rsid w:val="00376957"/>
    <w:rsid w:val="00376C2C"/>
    <w:rsid w:val="00376C4A"/>
    <w:rsid w:val="00376C4F"/>
    <w:rsid w:val="00376EDC"/>
    <w:rsid w:val="00377D63"/>
    <w:rsid w:val="00380347"/>
    <w:rsid w:val="00380572"/>
    <w:rsid w:val="00380605"/>
    <w:rsid w:val="00380611"/>
    <w:rsid w:val="003808E5"/>
    <w:rsid w:val="003810A0"/>
    <w:rsid w:val="003814FD"/>
    <w:rsid w:val="00381A1C"/>
    <w:rsid w:val="00381EEE"/>
    <w:rsid w:val="00382752"/>
    <w:rsid w:val="0038283B"/>
    <w:rsid w:val="00382BB0"/>
    <w:rsid w:val="00382F66"/>
    <w:rsid w:val="00382F7F"/>
    <w:rsid w:val="00383005"/>
    <w:rsid w:val="0038300E"/>
    <w:rsid w:val="003830C6"/>
    <w:rsid w:val="00383421"/>
    <w:rsid w:val="00383865"/>
    <w:rsid w:val="00383E16"/>
    <w:rsid w:val="00383EDF"/>
    <w:rsid w:val="003847E7"/>
    <w:rsid w:val="00384882"/>
    <w:rsid w:val="00384AEA"/>
    <w:rsid w:val="00385013"/>
    <w:rsid w:val="00385A65"/>
    <w:rsid w:val="00385FA7"/>
    <w:rsid w:val="00386634"/>
    <w:rsid w:val="0038715C"/>
    <w:rsid w:val="003871E5"/>
    <w:rsid w:val="003875A2"/>
    <w:rsid w:val="00387D8B"/>
    <w:rsid w:val="00390215"/>
    <w:rsid w:val="00390240"/>
    <w:rsid w:val="003902A7"/>
    <w:rsid w:val="00390393"/>
    <w:rsid w:val="0039063A"/>
    <w:rsid w:val="0039082D"/>
    <w:rsid w:val="00391724"/>
    <w:rsid w:val="0039194D"/>
    <w:rsid w:val="003919E2"/>
    <w:rsid w:val="00392D8D"/>
    <w:rsid w:val="003931C9"/>
    <w:rsid w:val="00393293"/>
    <w:rsid w:val="00393B90"/>
    <w:rsid w:val="00393D84"/>
    <w:rsid w:val="00393DF4"/>
    <w:rsid w:val="00393EF8"/>
    <w:rsid w:val="00394336"/>
    <w:rsid w:val="003945AC"/>
    <w:rsid w:val="00394B80"/>
    <w:rsid w:val="00396D01"/>
    <w:rsid w:val="00396DD4"/>
    <w:rsid w:val="00397186"/>
    <w:rsid w:val="00397C32"/>
    <w:rsid w:val="00397F3B"/>
    <w:rsid w:val="003A0651"/>
    <w:rsid w:val="003A068E"/>
    <w:rsid w:val="003A0DCE"/>
    <w:rsid w:val="003A0E3A"/>
    <w:rsid w:val="003A1006"/>
    <w:rsid w:val="003A14B5"/>
    <w:rsid w:val="003A18EE"/>
    <w:rsid w:val="003A1E9A"/>
    <w:rsid w:val="003A2191"/>
    <w:rsid w:val="003A240E"/>
    <w:rsid w:val="003A2441"/>
    <w:rsid w:val="003A24A1"/>
    <w:rsid w:val="003A2864"/>
    <w:rsid w:val="003A2B7E"/>
    <w:rsid w:val="003A2B8C"/>
    <w:rsid w:val="003A38B6"/>
    <w:rsid w:val="003A3B82"/>
    <w:rsid w:val="003A419F"/>
    <w:rsid w:val="003A472F"/>
    <w:rsid w:val="003A50C7"/>
    <w:rsid w:val="003A562F"/>
    <w:rsid w:val="003A58B5"/>
    <w:rsid w:val="003A58E2"/>
    <w:rsid w:val="003A5CB2"/>
    <w:rsid w:val="003A5D55"/>
    <w:rsid w:val="003A6281"/>
    <w:rsid w:val="003A62CF"/>
    <w:rsid w:val="003A64C5"/>
    <w:rsid w:val="003A69BA"/>
    <w:rsid w:val="003A7AE2"/>
    <w:rsid w:val="003A7B67"/>
    <w:rsid w:val="003B022D"/>
    <w:rsid w:val="003B029A"/>
    <w:rsid w:val="003B09E5"/>
    <w:rsid w:val="003B09EF"/>
    <w:rsid w:val="003B12E7"/>
    <w:rsid w:val="003B1A1F"/>
    <w:rsid w:val="003B1A56"/>
    <w:rsid w:val="003B1AFF"/>
    <w:rsid w:val="003B220F"/>
    <w:rsid w:val="003B2E7A"/>
    <w:rsid w:val="003B2F78"/>
    <w:rsid w:val="003B3913"/>
    <w:rsid w:val="003B3BF0"/>
    <w:rsid w:val="003B3C18"/>
    <w:rsid w:val="003B43D2"/>
    <w:rsid w:val="003B455D"/>
    <w:rsid w:val="003B464F"/>
    <w:rsid w:val="003B48C1"/>
    <w:rsid w:val="003B48D9"/>
    <w:rsid w:val="003B4E31"/>
    <w:rsid w:val="003B5195"/>
    <w:rsid w:val="003B52CD"/>
    <w:rsid w:val="003B5812"/>
    <w:rsid w:val="003B5CE3"/>
    <w:rsid w:val="003B6792"/>
    <w:rsid w:val="003B69CD"/>
    <w:rsid w:val="003B6D25"/>
    <w:rsid w:val="003B7047"/>
    <w:rsid w:val="003B7158"/>
    <w:rsid w:val="003B755E"/>
    <w:rsid w:val="003B7C9A"/>
    <w:rsid w:val="003B7DFF"/>
    <w:rsid w:val="003C010C"/>
    <w:rsid w:val="003C04D6"/>
    <w:rsid w:val="003C0557"/>
    <w:rsid w:val="003C0559"/>
    <w:rsid w:val="003C119B"/>
    <w:rsid w:val="003C1975"/>
    <w:rsid w:val="003C2B72"/>
    <w:rsid w:val="003C2E24"/>
    <w:rsid w:val="003C30C8"/>
    <w:rsid w:val="003C3132"/>
    <w:rsid w:val="003C357A"/>
    <w:rsid w:val="003C3D34"/>
    <w:rsid w:val="003C42AE"/>
    <w:rsid w:val="003C441B"/>
    <w:rsid w:val="003C4661"/>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7428"/>
    <w:rsid w:val="003C795E"/>
    <w:rsid w:val="003C7C64"/>
    <w:rsid w:val="003C7F93"/>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643"/>
    <w:rsid w:val="003D28BE"/>
    <w:rsid w:val="003D30DB"/>
    <w:rsid w:val="003D312F"/>
    <w:rsid w:val="003D31DC"/>
    <w:rsid w:val="003D3A90"/>
    <w:rsid w:val="003D3B62"/>
    <w:rsid w:val="003D3F77"/>
    <w:rsid w:val="003D4283"/>
    <w:rsid w:val="003D4918"/>
    <w:rsid w:val="003D4A00"/>
    <w:rsid w:val="003D4D47"/>
    <w:rsid w:val="003D501D"/>
    <w:rsid w:val="003D534E"/>
    <w:rsid w:val="003D602D"/>
    <w:rsid w:val="003D64AD"/>
    <w:rsid w:val="003D64B7"/>
    <w:rsid w:val="003D6EF6"/>
    <w:rsid w:val="003D706E"/>
    <w:rsid w:val="003D7869"/>
    <w:rsid w:val="003E0073"/>
    <w:rsid w:val="003E0947"/>
    <w:rsid w:val="003E1216"/>
    <w:rsid w:val="003E137C"/>
    <w:rsid w:val="003E1380"/>
    <w:rsid w:val="003E1A40"/>
    <w:rsid w:val="003E1AD6"/>
    <w:rsid w:val="003E1CB0"/>
    <w:rsid w:val="003E1CF4"/>
    <w:rsid w:val="003E1E85"/>
    <w:rsid w:val="003E208F"/>
    <w:rsid w:val="003E2641"/>
    <w:rsid w:val="003E2D4B"/>
    <w:rsid w:val="003E3169"/>
    <w:rsid w:val="003E3929"/>
    <w:rsid w:val="003E3BFB"/>
    <w:rsid w:val="003E3CCF"/>
    <w:rsid w:val="003E3D8C"/>
    <w:rsid w:val="003E424F"/>
    <w:rsid w:val="003E43BB"/>
    <w:rsid w:val="003E44E7"/>
    <w:rsid w:val="003E53D9"/>
    <w:rsid w:val="003E5DDB"/>
    <w:rsid w:val="003E6DA1"/>
    <w:rsid w:val="003E705C"/>
    <w:rsid w:val="003E79A3"/>
    <w:rsid w:val="003E7AAD"/>
    <w:rsid w:val="003E7BC6"/>
    <w:rsid w:val="003F019A"/>
    <w:rsid w:val="003F0294"/>
    <w:rsid w:val="003F078F"/>
    <w:rsid w:val="003F101D"/>
    <w:rsid w:val="003F130B"/>
    <w:rsid w:val="003F15D9"/>
    <w:rsid w:val="003F1CD7"/>
    <w:rsid w:val="003F2314"/>
    <w:rsid w:val="003F28EA"/>
    <w:rsid w:val="003F2932"/>
    <w:rsid w:val="003F29F2"/>
    <w:rsid w:val="003F2E24"/>
    <w:rsid w:val="003F33B2"/>
    <w:rsid w:val="003F3A5C"/>
    <w:rsid w:val="003F3BD3"/>
    <w:rsid w:val="003F3D2B"/>
    <w:rsid w:val="003F46F3"/>
    <w:rsid w:val="003F47BC"/>
    <w:rsid w:val="003F4B55"/>
    <w:rsid w:val="003F4C2E"/>
    <w:rsid w:val="003F5197"/>
    <w:rsid w:val="003F5AE6"/>
    <w:rsid w:val="003F5C35"/>
    <w:rsid w:val="003F660A"/>
    <w:rsid w:val="003F673C"/>
    <w:rsid w:val="003F6B32"/>
    <w:rsid w:val="003F70F5"/>
    <w:rsid w:val="003F71A9"/>
    <w:rsid w:val="003F7BEC"/>
    <w:rsid w:val="003F7E49"/>
    <w:rsid w:val="0040014D"/>
    <w:rsid w:val="004001A2"/>
    <w:rsid w:val="004007AB"/>
    <w:rsid w:val="00400B36"/>
    <w:rsid w:val="00400B86"/>
    <w:rsid w:val="00400C34"/>
    <w:rsid w:val="004019E3"/>
    <w:rsid w:val="00401B1B"/>
    <w:rsid w:val="00401BA6"/>
    <w:rsid w:val="00401D3E"/>
    <w:rsid w:val="004021D5"/>
    <w:rsid w:val="00402579"/>
    <w:rsid w:val="00403870"/>
    <w:rsid w:val="00403A20"/>
    <w:rsid w:val="00403B9E"/>
    <w:rsid w:val="00403D3B"/>
    <w:rsid w:val="00403D8A"/>
    <w:rsid w:val="00404420"/>
    <w:rsid w:val="00405111"/>
    <w:rsid w:val="00405428"/>
    <w:rsid w:val="0040560C"/>
    <w:rsid w:val="004062D3"/>
    <w:rsid w:val="004063F2"/>
    <w:rsid w:val="004068D4"/>
    <w:rsid w:val="00407226"/>
    <w:rsid w:val="0040728C"/>
    <w:rsid w:val="00407302"/>
    <w:rsid w:val="0041096A"/>
    <w:rsid w:val="0041106B"/>
    <w:rsid w:val="00411302"/>
    <w:rsid w:val="00411314"/>
    <w:rsid w:val="004114D3"/>
    <w:rsid w:val="004117BE"/>
    <w:rsid w:val="00411FE7"/>
    <w:rsid w:val="004126E9"/>
    <w:rsid w:val="004128B1"/>
    <w:rsid w:val="00412C11"/>
    <w:rsid w:val="004133BF"/>
    <w:rsid w:val="00413B52"/>
    <w:rsid w:val="004140A0"/>
    <w:rsid w:val="00414557"/>
    <w:rsid w:val="00414B39"/>
    <w:rsid w:val="00415012"/>
    <w:rsid w:val="00415499"/>
    <w:rsid w:val="00415B2B"/>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B18"/>
    <w:rsid w:val="00422F0E"/>
    <w:rsid w:val="004231B8"/>
    <w:rsid w:val="0042333F"/>
    <w:rsid w:val="0042347B"/>
    <w:rsid w:val="00423845"/>
    <w:rsid w:val="00423B4C"/>
    <w:rsid w:val="004240E2"/>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720"/>
    <w:rsid w:val="00430C54"/>
    <w:rsid w:val="00431EBB"/>
    <w:rsid w:val="00432557"/>
    <w:rsid w:val="00432916"/>
    <w:rsid w:val="00432B66"/>
    <w:rsid w:val="00432F5F"/>
    <w:rsid w:val="00433CBE"/>
    <w:rsid w:val="00433D4E"/>
    <w:rsid w:val="00433EE1"/>
    <w:rsid w:val="004342E2"/>
    <w:rsid w:val="004346C0"/>
    <w:rsid w:val="00435537"/>
    <w:rsid w:val="00435C3D"/>
    <w:rsid w:val="004364B6"/>
    <w:rsid w:val="004366D6"/>
    <w:rsid w:val="004367EB"/>
    <w:rsid w:val="004375C7"/>
    <w:rsid w:val="00437730"/>
    <w:rsid w:val="00440248"/>
    <w:rsid w:val="00440669"/>
    <w:rsid w:val="00440687"/>
    <w:rsid w:val="0044076F"/>
    <w:rsid w:val="00440876"/>
    <w:rsid w:val="004412B1"/>
    <w:rsid w:val="00441338"/>
    <w:rsid w:val="00441992"/>
    <w:rsid w:val="0044235E"/>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509"/>
    <w:rsid w:val="004466E3"/>
    <w:rsid w:val="00446A1A"/>
    <w:rsid w:val="00446A28"/>
    <w:rsid w:val="00446A4A"/>
    <w:rsid w:val="00446DB7"/>
    <w:rsid w:val="004471BA"/>
    <w:rsid w:val="00447FBC"/>
    <w:rsid w:val="00450C21"/>
    <w:rsid w:val="004512B6"/>
    <w:rsid w:val="004523B1"/>
    <w:rsid w:val="00452677"/>
    <w:rsid w:val="004528E3"/>
    <w:rsid w:val="0045402C"/>
    <w:rsid w:val="00455990"/>
    <w:rsid w:val="00455C09"/>
    <w:rsid w:val="0045601C"/>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9AF"/>
    <w:rsid w:val="00462B75"/>
    <w:rsid w:val="004631BF"/>
    <w:rsid w:val="00463331"/>
    <w:rsid w:val="004634A4"/>
    <w:rsid w:val="00463534"/>
    <w:rsid w:val="00463870"/>
    <w:rsid w:val="00463E58"/>
    <w:rsid w:val="00464D1E"/>
    <w:rsid w:val="00464E9F"/>
    <w:rsid w:val="0046561C"/>
    <w:rsid w:val="00465F6A"/>
    <w:rsid w:val="00466376"/>
    <w:rsid w:val="004664F3"/>
    <w:rsid w:val="004665B2"/>
    <w:rsid w:val="004672E1"/>
    <w:rsid w:val="00467618"/>
    <w:rsid w:val="00467A93"/>
    <w:rsid w:val="00467EA7"/>
    <w:rsid w:val="0047019C"/>
    <w:rsid w:val="0047019F"/>
    <w:rsid w:val="004702E6"/>
    <w:rsid w:val="00470737"/>
    <w:rsid w:val="00470FAF"/>
    <w:rsid w:val="004715F0"/>
    <w:rsid w:val="0047181D"/>
    <w:rsid w:val="00471CD4"/>
    <w:rsid w:val="00471E92"/>
    <w:rsid w:val="0047207F"/>
    <w:rsid w:val="00472290"/>
    <w:rsid w:val="00472940"/>
    <w:rsid w:val="004729E0"/>
    <w:rsid w:val="00472C88"/>
    <w:rsid w:val="00472E04"/>
    <w:rsid w:val="004732D5"/>
    <w:rsid w:val="00473CB7"/>
    <w:rsid w:val="00473D5D"/>
    <w:rsid w:val="004744FF"/>
    <w:rsid w:val="004751DD"/>
    <w:rsid w:val="00475347"/>
    <w:rsid w:val="00475375"/>
    <w:rsid w:val="00475DA9"/>
    <w:rsid w:val="004762F5"/>
    <w:rsid w:val="00476BD6"/>
    <w:rsid w:val="004771B9"/>
    <w:rsid w:val="004778FB"/>
    <w:rsid w:val="004800BF"/>
    <w:rsid w:val="00480191"/>
    <w:rsid w:val="004802DA"/>
    <w:rsid w:val="004807C4"/>
    <w:rsid w:val="00481173"/>
    <w:rsid w:val="0048146B"/>
    <w:rsid w:val="004814EB"/>
    <w:rsid w:val="004815BC"/>
    <w:rsid w:val="004816CB"/>
    <w:rsid w:val="00481E24"/>
    <w:rsid w:val="004829F7"/>
    <w:rsid w:val="00482D95"/>
    <w:rsid w:val="00483348"/>
    <w:rsid w:val="004834D9"/>
    <w:rsid w:val="004838EF"/>
    <w:rsid w:val="004843D0"/>
    <w:rsid w:val="004845A8"/>
    <w:rsid w:val="00484C20"/>
    <w:rsid w:val="00484E8D"/>
    <w:rsid w:val="00485022"/>
    <w:rsid w:val="0048521D"/>
    <w:rsid w:val="004853D3"/>
    <w:rsid w:val="00485691"/>
    <w:rsid w:val="00485A1F"/>
    <w:rsid w:val="00485D00"/>
    <w:rsid w:val="004861BD"/>
    <w:rsid w:val="00486796"/>
    <w:rsid w:val="00486BE7"/>
    <w:rsid w:val="00486C74"/>
    <w:rsid w:val="00487582"/>
    <w:rsid w:val="00487EB1"/>
    <w:rsid w:val="004901CB"/>
    <w:rsid w:val="004904D6"/>
    <w:rsid w:val="00490BCC"/>
    <w:rsid w:val="004910AC"/>
    <w:rsid w:val="00491321"/>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535"/>
    <w:rsid w:val="004A2542"/>
    <w:rsid w:val="004A25B1"/>
    <w:rsid w:val="004A2710"/>
    <w:rsid w:val="004A2951"/>
    <w:rsid w:val="004A2955"/>
    <w:rsid w:val="004A3487"/>
    <w:rsid w:val="004A352F"/>
    <w:rsid w:val="004A3701"/>
    <w:rsid w:val="004A3D3C"/>
    <w:rsid w:val="004A40D2"/>
    <w:rsid w:val="004A4111"/>
    <w:rsid w:val="004A4332"/>
    <w:rsid w:val="004A4361"/>
    <w:rsid w:val="004A4451"/>
    <w:rsid w:val="004A50BB"/>
    <w:rsid w:val="004A5FD5"/>
    <w:rsid w:val="004A6269"/>
    <w:rsid w:val="004A6B78"/>
    <w:rsid w:val="004A6C23"/>
    <w:rsid w:val="004A6DC4"/>
    <w:rsid w:val="004A73C5"/>
    <w:rsid w:val="004A7AAD"/>
    <w:rsid w:val="004A7B48"/>
    <w:rsid w:val="004A7E5A"/>
    <w:rsid w:val="004A7F99"/>
    <w:rsid w:val="004B0228"/>
    <w:rsid w:val="004B02C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9E6"/>
    <w:rsid w:val="004B4B55"/>
    <w:rsid w:val="004B4D2F"/>
    <w:rsid w:val="004B4D92"/>
    <w:rsid w:val="004B4E09"/>
    <w:rsid w:val="004B514B"/>
    <w:rsid w:val="004B5569"/>
    <w:rsid w:val="004B5839"/>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2259"/>
    <w:rsid w:val="004C2335"/>
    <w:rsid w:val="004C2B5A"/>
    <w:rsid w:val="004C2C6D"/>
    <w:rsid w:val="004C3426"/>
    <w:rsid w:val="004C35F7"/>
    <w:rsid w:val="004C3F70"/>
    <w:rsid w:val="004C43FD"/>
    <w:rsid w:val="004C4566"/>
    <w:rsid w:val="004C4E56"/>
    <w:rsid w:val="004C4E85"/>
    <w:rsid w:val="004C51CB"/>
    <w:rsid w:val="004C537A"/>
    <w:rsid w:val="004C54F5"/>
    <w:rsid w:val="004C5776"/>
    <w:rsid w:val="004C6301"/>
    <w:rsid w:val="004C7217"/>
    <w:rsid w:val="004C7620"/>
    <w:rsid w:val="004C7BD9"/>
    <w:rsid w:val="004D053D"/>
    <w:rsid w:val="004D08F1"/>
    <w:rsid w:val="004D0A4A"/>
    <w:rsid w:val="004D0A75"/>
    <w:rsid w:val="004D10F8"/>
    <w:rsid w:val="004D116B"/>
    <w:rsid w:val="004D12FA"/>
    <w:rsid w:val="004D1698"/>
    <w:rsid w:val="004D3330"/>
    <w:rsid w:val="004D35BD"/>
    <w:rsid w:val="004D4335"/>
    <w:rsid w:val="004D44EE"/>
    <w:rsid w:val="004D45A9"/>
    <w:rsid w:val="004D46A3"/>
    <w:rsid w:val="004D5437"/>
    <w:rsid w:val="004D5988"/>
    <w:rsid w:val="004D5CCF"/>
    <w:rsid w:val="004D5CE9"/>
    <w:rsid w:val="004D64C7"/>
    <w:rsid w:val="004D7646"/>
    <w:rsid w:val="004D781F"/>
    <w:rsid w:val="004E0161"/>
    <w:rsid w:val="004E084F"/>
    <w:rsid w:val="004E09C4"/>
    <w:rsid w:val="004E0FB0"/>
    <w:rsid w:val="004E118B"/>
    <w:rsid w:val="004E1DD2"/>
    <w:rsid w:val="004E1F22"/>
    <w:rsid w:val="004E21D7"/>
    <w:rsid w:val="004E2482"/>
    <w:rsid w:val="004E2F2C"/>
    <w:rsid w:val="004E3057"/>
    <w:rsid w:val="004E316F"/>
    <w:rsid w:val="004E36E2"/>
    <w:rsid w:val="004E3BA0"/>
    <w:rsid w:val="004E3CEE"/>
    <w:rsid w:val="004E40EF"/>
    <w:rsid w:val="004E436A"/>
    <w:rsid w:val="004E458B"/>
    <w:rsid w:val="004E46CD"/>
    <w:rsid w:val="004E4A70"/>
    <w:rsid w:val="004E5031"/>
    <w:rsid w:val="004E5333"/>
    <w:rsid w:val="004E579C"/>
    <w:rsid w:val="004E5B29"/>
    <w:rsid w:val="004E60B1"/>
    <w:rsid w:val="004E67F8"/>
    <w:rsid w:val="004E6BF1"/>
    <w:rsid w:val="004E6C91"/>
    <w:rsid w:val="004E7953"/>
    <w:rsid w:val="004E7B4B"/>
    <w:rsid w:val="004F0B46"/>
    <w:rsid w:val="004F0C84"/>
    <w:rsid w:val="004F0CAD"/>
    <w:rsid w:val="004F0E48"/>
    <w:rsid w:val="004F1302"/>
    <w:rsid w:val="004F165E"/>
    <w:rsid w:val="004F17BB"/>
    <w:rsid w:val="004F1D88"/>
    <w:rsid w:val="004F24E7"/>
    <w:rsid w:val="004F25D5"/>
    <w:rsid w:val="004F2896"/>
    <w:rsid w:val="004F295F"/>
    <w:rsid w:val="004F2DD1"/>
    <w:rsid w:val="004F3379"/>
    <w:rsid w:val="004F3534"/>
    <w:rsid w:val="004F379E"/>
    <w:rsid w:val="004F3CB1"/>
    <w:rsid w:val="004F3CDC"/>
    <w:rsid w:val="004F4026"/>
    <w:rsid w:val="004F4916"/>
    <w:rsid w:val="004F4F21"/>
    <w:rsid w:val="004F572F"/>
    <w:rsid w:val="004F57F8"/>
    <w:rsid w:val="004F59B2"/>
    <w:rsid w:val="004F5A08"/>
    <w:rsid w:val="004F5C0C"/>
    <w:rsid w:val="004F5C70"/>
    <w:rsid w:val="004F5DB6"/>
    <w:rsid w:val="004F5E34"/>
    <w:rsid w:val="004F636D"/>
    <w:rsid w:val="004F7335"/>
    <w:rsid w:val="004F749A"/>
    <w:rsid w:val="004F750D"/>
    <w:rsid w:val="004F751F"/>
    <w:rsid w:val="004F7774"/>
    <w:rsid w:val="004F7C39"/>
    <w:rsid w:val="005005AB"/>
    <w:rsid w:val="00500B43"/>
    <w:rsid w:val="00500F36"/>
    <w:rsid w:val="005015F7"/>
    <w:rsid w:val="00501998"/>
    <w:rsid w:val="00501B13"/>
    <w:rsid w:val="00501BEF"/>
    <w:rsid w:val="00502240"/>
    <w:rsid w:val="00502E10"/>
    <w:rsid w:val="00502F61"/>
    <w:rsid w:val="00504604"/>
    <w:rsid w:val="00504969"/>
    <w:rsid w:val="0050508C"/>
    <w:rsid w:val="005052E3"/>
    <w:rsid w:val="00505313"/>
    <w:rsid w:val="00505806"/>
    <w:rsid w:val="00505897"/>
    <w:rsid w:val="00505A0C"/>
    <w:rsid w:val="00505F47"/>
    <w:rsid w:val="00506280"/>
    <w:rsid w:val="0050660F"/>
    <w:rsid w:val="0050671A"/>
    <w:rsid w:val="0050690A"/>
    <w:rsid w:val="00506918"/>
    <w:rsid w:val="00506ABD"/>
    <w:rsid w:val="00506EE2"/>
    <w:rsid w:val="005070B1"/>
    <w:rsid w:val="005070DE"/>
    <w:rsid w:val="005078CD"/>
    <w:rsid w:val="005079E5"/>
    <w:rsid w:val="00507ABF"/>
    <w:rsid w:val="00507C14"/>
    <w:rsid w:val="00507EEA"/>
    <w:rsid w:val="00507EF5"/>
    <w:rsid w:val="00507F00"/>
    <w:rsid w:val="0051011C"/>
    <w:rsid w:val="0051018E"/>
    <w:rsid w:val="005108AE"/>
    <w:rsid w:val="00510BBA"/>
    <w:rsid w:val="00511577"/>
    <w:rsid w:val="005115E9"/>
    <w:rsid w:val="00511C9B"/>
    <w:rsid w:val="005120A2"/>
    <w:rsid w:val="00512668"/>
    <w:rsid w:val="005126CC"/>
    <w:rsid w:val="005129BA"/>
    <w:rsid w:val="005130B9"/>
    <w:rsid w:val="0051319A"/>
    <w:rsid w:val="00513303"/>
    <w:rsid w:val="0051376C"/>
    <w:rsid w:val="00513B09"/>
    <w:rsid w:val="00514856"/>
    <w:rsid w:val="005149E8"/>
    <w:rsid w:val="00514BED"/>
    <w:rsid w:val="00514DF4"/>
    <w:rsid w:val="005151FD"/>
    <w:rsid w:val="005157F8"/>
    <w:rsid w:val="0051581A"/>
    <w:rsid w:val="00515FA3"/>
    <w:rsid w:val="0051620F"/>
    <w:rsid w:val="00516482"/>
    <w:rsid w:val="00516A95"/>
    <w:rsid w:val="00516B16"/>
    <w:rsid w:val="00516BC3"/>
    <w:rsid w:val="00516EAB"/>
    <w:rsid w:val="00517225"/>
    <w:rsid w:val="005174A3"/>
    <w:rsid w:val="005178FE"/>
    <w:rsid w:val="00517F8F"/>
    <w:rsid w:val="00517FA3"/>
    <w:rsid w:val="00520978"/>
    <w:rsid w:val="00520B6D"/>
    <w:rsid w:val="00520D97"/>
    <w:rsid w:val="00521796"/>
    <w:rsid w:val="0052189E"/>
    <w:rsid w:val="00521F90"/>
    <w:rsid w:val="005226AE"/>
    <w:rsid w:val="00523617"/>
    <w:rsid w:val="005239D6"/>
    <w:rsid w:val="00523BEF"/>
    <w:rsid w:val="00523C13"/>
    <w:rsid w:val="00524745"/>
    <w:rsid w:val="005249F5"/>
    <w:rsid w:val="00524BFD"/>
    <w:rsid w:val="005253A3"/>
    <w:rsid w:val="005254B4"/>
    <w:rsid w:val="00525941"/>
    <w:rsid w:val="0052635A"/>
    <w:rsid w:val="005270F8"/>
    <w:rsid w:val="00530011"/>
    <w:rsid w:val="005303DB"/>
    <w:rsid w:val="005304DD"/>
    <w:rsid w:val="0053071C"/>
    <w:rsid w:val="00530BE8"/>
    <w:rsid w:val="00530F4A"/>
    <w:rsid w:val="005311B1"/>
    <w:rsid w:val="00531793"/>
    <w:rsid w:val="0053190B"/>
    <w:rsid w:val="00531DB5"/>
    <w:rsid w:val="005322FC"/>
    <w:rsid w:val="0053266A"/>
    <w:rsid w:val="0053288F"/>
    <w:rsid w:val="00532F80"/>
    <w:rsid w:val="00533262"/>
    <w:rsid w:val="0053330B"/>
    <w:rsid w:val="005336EB"/>
    <w:rsid w:val="00533A1E"/>
    <w:rsid w:val="00534786"/>
    <w:rsid w:val="00534D18"/>
    <w:rsid w:val="00535864"/>
    <w:rsid w:val="00536292"/>
    <w:rsid w:val="00536B5C"/>
    <w:rsid w:val="00536FD6"/>
    <w:rsid w:val="005374F4"/>
    <w:rsid w:val="00537883"/>
    <w:rsid w:val="00537897"/>
    <w:rsid w:val="00537DE9"/>
    <w:rsid w:val="00537EA3"/>
    <w:rsid w:val="00540A15"/>
    <w:rsid w:val="00540BB9"/>
    <w:rsid w:val="0054109E"/>
    <w:rsid w:val="005412C9"/>
    <w:rsid w:val="005413B1"/>
    <w:rsid w:val="005414BB"/>
    <w:rsid w:val="00541A89"/>
    <w:rsid w:val="00541C46"/>
    <w:rsid w:val="00542043"/>
    <w:rsid w:val="0054221F"/>
    <w:rsid w:val="005429F7"/>
    <w:rsid w:val="00542DFE"/>
    <w:rsid w:val="00542E3A"/>
    <w:rsid w:val="00543511"/>
    <w:rsid w:val="0054358F"/>
    <w:rsid w:val="00543B65"/>
    <w:rsid w:val="00544472"/>
    <w:rsid w:val="0054468D"/>
    <w:rsid w:val="005446B5"/>
    <w:rsid w:val="00544952"/>
    <w:rsid w:val="0054520C"/>
    <w:rsid w:val="00545419"/>
    <w:rsid w:val="005458EF"/>
    <w:rsid w:val="00545C73"/>
    <w:rsid w:val="00546389"/>
    <w:rsid w:val="0054685C"/>
    <w:rsid w:val="00547582"/>
    <w:rsid w:val="00547ECD"/>
    <w:rsid w:val="00550169"/>
    <w:rsid w:val="00550528"/>
    <w:rsid w:val="0055079E"/>
    <w:rsid w:val="005507DA"/>
    <w:rsid w:val="00550EE4"/>
    <w:rsid w:val="00551750"/>
    <w:rsid w:val="00551A22"/>
    <w:rsid w:val="00551AE3"/>
    <w:rsid w:val="0055203D"/>
    <w:rsid w:val="005527BD"/>
    <w:rsid w:val="00552881"/>
    <w:rsid w:val="00553984"/>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CAA"/>
    <w:rsid w:val="005578A2"/>
    <w:rsid w:val="00557F75"/>
    <w:rsid w:val="00560504"/>
    <w:rsid w:val="00560695"/>
    <w:rsid w:val="00561524"/>
    <w:rsid w:val="0056182D"/>
    <w:rsid w:val="00561A65"/>
    <w:rsid w:val="00561B04"/>
    <w:rsid w:val="00561C23"/>
    <w:rsid w:val="00561D95"/>
    <w:rsid w:val="00561E0C"/>
    <w:rsid w:val="00561FBE"/>
    <w:rsid w:val="0056244F"/>
    <w:rsid w:val="005626F3"/>
    <w:rsid w:val="00563569"/>
    <w:rsid w:val="0056385D"/>
    <w:rsid w:val="00563B13"/>
    <w:rsid w:val="0056419F"/>
    <w:rsid w:val="0056469A"/>
    <w:rsid w:val="00564AE3"/>
    <w:rsid w:val="00564B1C"/>
    <w:rsid w:val="00564D2F"/>
    <w:rsid w:val="005655A5"/>
    <w:rsid w:val="00565794"/>
    <w:rsid w:val="00565D32"/>
    <w:rsid w:val="005673AD"/>
    <w:rsid w:val="005673B5"/>
    <w:rsid w:val="005676A8"/>
    <w:rsid w:val="00567B37"/>
    <w:rsid w:val="00567FBB"/>
    <w:rsid w:val="005703C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B0E"/>
    <w:rsid w:val="00572E80"/>
    <w:rsid w:val="0057360B"/>
    <w:rsid w:val="00573997"/>
    <w:rsid w:val="005746EB"/>
    <w:rsid w:val="005754A6"/>
    <w:rsid w:val="005757BB"/>
    <w:rsid w:val="005758DC"/>
    <w:rsid w:val="00575EE0"/>
    <w:rsid w:val="00576239"/>
    <w:rsid w:val="005762BC"/>
    <w:rsid w:val="00576D98"/>
    <w:rsid w:val="00577110"/>
    <w:rsid w:val="0057727E"/>
    <w:rsid w:val="0057736E"/>
    <w:rsid w:val="00577560"/>
    <w:rsid w:val="0058001A"/>
    <w:rsid w:val="0058097B"/>
    <w:rsid w:val="00581210"/>
    <w:rsid w:val="005812E4"/>
    <w:rsid w:val="005814DE"/>
    <w:rsid w:val="00581859"/>
    <w:rsid w:val="00581939"/>
    <w:rsid w:val="00581954"/>
    <w:rsid w:val="00581E80"/>
    <w:rsid w:val="00582403"/>
    <w:rsid w:val="00582577"/>
    <w:rsid w:val="0058284C"/>
    <w:rsid w:val="00582D6E"/>
    <w:rsid w:val="00583507"/>
    <w:rsid w:val="00583574"/>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9000D"/>
    <w:rsid w:val="00590083"/>
    <w:rsid w:val="005908F5"/>
    <w:rsid w:val="00590C1C"/>
    <w:rsid w:val="00590E1B"/>
    <w:rsid w:val="00591220"/>
    <w:rsid w:val="00591659"/>
    <w:rsid w:val="00591935"/>
    <w:rsid w:val="00591C85"/>
    <w:rsid w:val="00591CAD"/>
    <w:rsid w:val="0059257E"/>
    <w:rsid w:val="00592D6B"/>
    <w:rsid w:val="0059338B"/>
    <w:rsid w:val="0059398E"/>
    <w:rsid w:val="00593A2C"/>
    <w:rsid w:val="00594250"/>
    <w:rsid w:val="00594951"/>
    <w:rsid w:val="00594D60"/>
    <w:rsid w:val="00594FD0"/>
    <w:rsid w:val="00595235"/>
    <w:rsid w:val="005954D0"/>
    <w:rsid w:val="00595679"/>
    <w:rsid w:val="00595770"/>
    <w:rsid w:val="00595855"/>
    <w:rsid w:val="00595FD2"/>
    <w:rsid w:val="005967D8"/>
    <w:rsid w:val="005968B1"/>
    <w:rsid w:val="00596AF9"/>
    <w:rsid w:val="00596EDF"/>
    <w:rsid w:val="00596FDB"/>
    <w:rsid w:val="00597046"/>
    <w:rsid w:val="005974C2"/>
    <w:rsid w:val="00597776"/>
    <w:rsid w:val="00597B7D"/>
    <w:rsid w:val="005A0DE0"/>
    <w:rsid w:val="005A10FB"/>
    <w:rsid w:val="005A1289"/>
    <w:rsid w:val="005A1331"/>
    <w:rsid w:val="005A1792"/>
    <w:rsid w:val="005A1982"/>
    <w:rsid w:val="005A1C09"/>
    <w:rsid w:val="005A26C1"/>
    <w:rsid w:val="005A2D5B"/>
    <w:rsid w:val="005A2DF4"/>
    <w:rsid w:val="005A35C7"/>
    <w:rsid w:val="005A3943"/>
    <w:rsid w:val="005A3CA5"/>
    <w:rsid w:val="005A3D80"/>
    <w:rsid w:val="005A41A6"/>
    <w:rsid w:val="005A497F"/>
    <w:rsid w:val="005A4F47"/>
    <w:rsid w:val="005A53A0"/>
    <w:rsid w:val="005A557B"/>
    <w:rsid w:val="005A66A0"/>
    <w:rsid w:val="005A69D5"/>
    <w:rsid w:val="005A6F07"/>
    <w:rsid w:val="005A764C"/>
    <w:rsid w:val="005A7D60"/>
    <w:rsid w:val="005A7FC1"/>
    <w:rsid w:val="005B01E3"/>
    <w:rsid w:val="005B03EF"/>
    <w:rsid w:val="005B0675"/>
    <w:rsid w:val="005B0E8F"/>
    <w:rsid w:val="005B1270"/>
    <w:rsid w:val="005B129D"/>
    <w:rsid w:val="005B1D8D"/>
    <w:rsid w:val="005B1E18"/>
    <w:rsid w:val="005B1EA3"/>
    <w:rsid w:val="005B22D0"/>
    <w:rsid w:val="005B2626"/>
    <w:rsid w:val="005B29E3"/>
    <w:rsid w:val="005B2B0F"/>
    <w:rsid w:val="005B2C05"/>
    <w:rsid w:val="005B2C7A"/>
    <w:rsid w:val="005B32CD"/>
    <w:rsid w:val="005B3AFB"/>
    <w:rsid w:val="005B3B08"/>
    <w:rsid w:val="005B401B"/>
    <w:rsid w:val="005B48EA"/>
    <w:rsid w:val="005B48F5"/>
    <w:rsid w:val="005B5344"/>
    <w:rsid w:val="005B60C2"/>
    <w:rsid w:val="005B6941"/>
    <w:rsid w:val="005B6DA0"/>
    <w:rsid w:val="005B6E38"/>
    <w:rsid w:val="005B76BB"/>
    <w:rsid w:val="005B778A"/>
    <w:rsid w:val="005B77E0"/>
    <w:rsid w:val="005B7885"/>
    <w:rsid w:val="005B7D0D"/>
    <w:rsid w:val="005C0A48"/>
    <w:rsid w:val="005C11B9"/>
    <w:rsid w:val="005C179A"/>
    <w:rsid w:val="005C1973"/>
    <w:rsid w:val="005C1B36"/>
    <w:rsid w:val="005C1C71"/>
    <w:rsid w:val="005C1C85"/>
    <w:rsid w:val="005C1D41"/>
    <w:rsid w:val="005C246F"/>
    <w:rsid w:val="005C28E5"/>
    <w:rsid w:val="005C293A"/>
    <w:rsid w:val="005C3179"/>
    <w:rsid w:val="005C318A"/>
    <w:rsid w:val="005C4751"/>
    <w:rsid w:val="005C4965"/>
    <w:rsid w:val="005C4E0C"/>
    <w:rsid w:val="005C50F9"/>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D21"/>
    <w:rsid w:val="005D0235"/>
    <w:rsid w:val="005D036D"/>
    <w:rsid w:val="005D0550"/>
    <w:rsid w:val="005D113E"/>
    <w:rsid w:val="005D11A4"/>
    <w:rsid w:val="005D11BE"/>
    <w:rsid w:val="005D14CD"/>
    <w:rsid w:val="005D15AE"/>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7FD"/>
    <w:rsid w:val="005D49EC"/>
    <w:rsid w:val="005D548D"/>
    <w:rsid w:val="005D5CE6"/>
    <w:rsid w:val="005D69BB"/>
    <w:rsid w:val="005D6AA2"/>
    <w:rsid w:val="005D6D05"/>
    <w:rsid w:val="005D6DA6"/>
    <w:rsid w:val="005D6DF1"/>
    <w:rsid w:val="005D6FDE"/>
    <w:rsid w:val="005D71A1"/>
    <w:rsid w:val="005D72D0"/>
    <w:rsid w:val="005D741C"/>
    <w:rsid w:val="005D7DD2"/>
    <w:rsid w:val="005E03E0"/>
    <w:rsid w:val="005E06A7"/>
    <w:rsid w:val="005E0760"/>
    <w:rsid w:val="005E07BC"/>
    <w:rsid w:val="005E09A6"/>
    <w:rsid w:val="005E0A01"/>
    <w:rsid w:val="005E16F8"/>
    <w:rsid w:val="005E17F8"/>
    <w:rsid w:val="005E1DE6"/>
    <w:rsid w:val="005E2267"/>
    <w:rsid w:val="005E35B0"/>
    <w:rsid w:val="005E3BDC"/>
    <w:rsid w:val="005E4078"/>
    <w:rsid w:val="005E4433"/>
    <w:rsid w:val="005E4938"/>
    <w:rsid w:val="005E510F"/>
    <w:rsid w:val="005E529A"/>
    <w:rsid w:val="005E5645"/>
    <w:rsid w:val="005E5976"/>
    <w:rsid w:val="005E59E4"/>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F2E"/>
    <w:rsid w:val="005F4575"/>
    <w:rsid w:val="005F459F"/>
    <w:rsid w:val="005F4BB3"/>
    <w:rsid w:val="005F52E8"/>
    <w:rsid w:val="005F5933"/>
    <w:rsid w:val="005F5AB2"/>
    <w:rsid w:val="005F62E3"/>
    <w:rsid w:val="005F659B"/>
    <w:rsid w:val="005F7442"/>
    <w:rsid w:val="005F74A4"/>
    <w:rsid w:val="005F7658"/>
    <w:rsid w:val="005F7A81"/>
    <w:rsid w:val="005F7D05"/>
    <w:rsid w:val="0060033C"/>
    <w:rsid w:val="00600415"/>
    <w:rsid w:val="00600575"/>
    <w:rsid w:val="00600D44"/>
    <w:rsid w:val="00601054"/>
    <w:rsid w:val="006015C2"/>
    <w:rsid w:val="00601C3D"/>
    <w:rsid w:val="00601E14"/>
    <w:rsid w:val="00602875"/>
    <w:rsid w:val="0060300E"/>
    <w:rsid w:val="0060304D"/>
    <w:rsid w:val="006030E6"/>
    <w:rsid w:val="00603BFC"/>
    <w:rsid w:val="00603C30"/>
    <w:rsid w:val="006040EB"/>
    <w:rsid w:val="006041ED"/>
    <w:rsid w:val="006041F2"/>
    <w:rsid w:val="006043C0"/>
    <w:rsid w:val="00604836"/>
    <w:rsid w:val="00604872"/>
    <w:rsid w:val="006054F2"/>
    <w:rsid w:val="006061CA"/>
    <w:rsid w:val="0060635C"/>
    <w:rsid w:val="00606B2F"/>
    <w:rsid w:val="00606E05"/>
    <w:rsid w:val="006074E0"/>
    <w:rsid w:val="006074E2"/>
    <w:rsid w:val="00607C7F"/>
    <w:rsid w:val="00610072"/>
    <w:rsid w:val="00610ADF"/>
    <w:rsid w:val="00610C29"/>
    <w:rsid w:val="006113B3"/>
    <w:rsid w:val="0061186B"/>
    <w:rsid w:val="006118F0"/>
    <w:rsid w:val="00611B94"/>
    <w:rsid w:val="00611CEE"/>
    <w:rsid w:val="00612159"/>
    <w:rsid w:val="006128F8"/>
    <w:rsid w:val="00613644"/>
    <w:rsid w:val="00613A63"/>
    <w:rsid w:val="00613C23"/>
    <w:rsid w:val="00613D9D"/>
    <w:rsid w:val="00614208"/>
    <w:rsid w:val="0061442D"/>
    <w:rsid w:val="006145F0"/>
    <w:rsid w:val="00614943"/>
    <w:rsid w:val="00614AEC"/>
    <w:rsid w:val="00614B29"/>
    <w:rsid w:val="00614F78"/>
    <w:rsid w:val="006159F2"/>
    <w:rsid w:val="006163B4"/>
    <w:rsid w:val="0061640B"/>
    <w:rsid w:val="00616872"/>
    <w:rsid w:val="00616F0F"/>
    <w:rsid w:val="006175B7"/>
    <w:rsid w:val="00617863"/>
    <w:rsid w:val="00617D0E"/>
    <w:rsid w:val="006201D1"/>
    <w:rsid w:val="00620769"/>
    <w:rsid w:val="0062093D"/>
    <w:rsid w:val="006211E2"/>
    <w:rsid w:val="00621336"/>
    <w:rsid w:val="006214D2"/>
    <w:rsid w:val="00621F5D"/>
    <w:rsid w:val="0062207D"/>
    <w:rsid w:val="0062236C"/>
    <w:rsid w:val="0062262A"/>
    <w:rsid w:val="00622DF5"/>
    <w:rsid w:val="006235E5"/>
    <w:rsid w:val="00623932"/>
    <w:rsid w:val="00623CA4"/>
    <w:rsid w:val="0062406F"/>
    <w:rsid w:val="0062482E"/>
    <w:rsid w:val="00625471"/>
    <w:rsid w:val="00625844"/>
    <w:rsid w:val="00625882"/>
    <w:rsid w:val="00625B69"/>
    <w:rsid w:val="00626368"/>
    <w:rsid w:val="006265D1"/>
    <w:rsid w:val="006266CD"/>
    <w:rsid w:val="006269C2"/>
    <w:rsid w:val="00627AB1"/>
    <w:rsid w:val="006300FE"/>
    <w:rsid w:val="0063059D"/>
    <w:rsid w:val="00630D22"/>
    <w:rsid w:val="00630E13"/>
    <w:rsid w:val="00630F3A"/>
    <w:rsid w:val="0063123E"/>
    <w:rsid w:val="00631280"/>
    <w:rsid w:val="00631285"/>
    <w:rsid w:val="0063197B"/>
    <w:rsid w:val="00631984"/>
    <w:rsid w:val="006319A7"/>
    <w:rsid w:val="00632480"/>
    <w:rsid w:val="006326AF"/>
    <w:rsid w:val="00632A3D"/>
    <w:rsid w:val="00632CC9"/>
    <w:rsid w:val="006330C9"/>
    <w:rsid w:val="00633614"/>
    <w:rsid w:val="00633726"/>
    <w:rsid w:val="00633846"/>
    <w:rsid w:val="00633897"/>
    <w:rsid w:val="006338AB"/>
    <w:rsid w:val="00633BBA"/>
    <w:rsid w:val="00633D84"/>
    <w:rsid w:val="0063416F"/>
    <w:rsid w:val="00635566"/>
    <w:rsid w:val="00635AEC"/>
    <w:rsid w:val="006362FD"/>
    <w:rsid w:val="006363A0"/>
    <w:rsid w:val="00636F25"/>
    <w:rsid w:val="00640680"/>
    <w:rsid w:val="006406CE"/>
    <w:rsid w:val="006408D7"/>
    <w:rsid w:val="00640B07"/>
    <w:rsid w:val="00641190"/>
    <w:rsid w:val="00641781"/>
    <w:rsid w:val="006418B5"/>
    <w:rsid w:val="00641B1D"/>
    <w:rsid w:val="00641E3D"/>
    <w:rsid w:val="00641EAB"/>
    <w:rsid w:val="0064202F"/>
    <w:rsid w:val="0064214F"/>
    <w:rsid w:val="0064246B"/>
    <w:rsid w:val="00642552"/>
    <w:rsid w:val="00642A16"/>
    <w:rsid w:val="00642AA4"/>
    <w:rsid w:val="00642D86"/>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2513"/>
    <w:rsid w:val="006528C9"/>
    <w:rsid w:val="0065295A"/>
    <w:rsid w:val="00652BF3"/>
    <w:rsid w:val="00653403"/>
    <w:rsid w:val="0065342C"/>
    <w:rsid w:val="00653952"/>
    <w:rsid w:val="00653C41"/>
    <w:rsid w:val="006542A4"/>
    <w:rsid w:val="006549E5"/>
    <w:rsid w:val="00654B72"/>
    <w:rsid w:val="00654F57"/>
    <w:rsid w:val="00654FD5"/>
    <w:rsid w:val="006553B3"/>
    <w:rsid w:val="006558A7"/>
    <w:rsid w:val="006558BE"/>
    <w:rsid w:val="006560C3"/>
    <w:rsid w:val="00656750"/>
    <w:rsid w:val="00656983"/>
    <w:rsid w:val="00656EDF"/>
    <w:rsid w:val="00657376"/>
    <w:rsid w:val="00657EFF"/>
    <w:rsid w:val="0066022E"/>
    <w:rsid w:val="00660337"/>
    <w:rsid w:val="00660463"/>
    <w:rsid w:val="0066053B"/>
    <w:rsid w:val="00660AB4"/>
    <w:rsid w:val="006616BF"/>
    <w:rsid w:val="00661780"/>
    <w:rsid w:val="00661B0F"/>
    <w:rsid w:val="00661B48"/>
    <w:rsid w:val="00662030"/>
    <w:rsid w:val="00662238"/>
    <w:rsid w:val="00662C80"/>
    <w:rsid w:val="00662CB1"/>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B6B"/>
    <w:rsid w:val="00671C60"/>
    <w:rsid w:val="0067273C"/>
    <w:rsid w:val="00672B17"/>
    <w:rsid w:val="00672B1E"/>
    <w:rsid w:val="006730B2"/>
    <w:rsid w:val="006732B3"/>
    <w:rsid w:val="0067341D"/>
    <w:rsid w:val="00674172"/>
    <w:rsid w:val="006741C8"/>
    <w:rsid w:val="006743CB"/>
    <w:rsid w:val="00674DF2"/>
    <w:rsid w:val="0067556B"/>
    <w:rsid w:val="006755B5"/>
    <w:rsid w:val="00675E6D"/>
    <w:rsid w:val="00676FF0"/>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506D"/>
    <w:rsid w:val="006851E2"/>
    <w:rsid w:val="00685418"/>
    <w:rsid w:val="00686110"/>
    <w:rsid w:val="00686344"/>
    <w:rsid w:val="0068647B"/>
    <w:rsid w:val="00686573"/>
    <w:rsid w:val="00686695"/>
    <w:rsid w:val="0068707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50A"/>
    <w:rsid w:val="00692513"/>
    <w:rsid w:val="00692552"/>
    <w:rsid w:val="006926DF"/>
    <w:rsid w:val="006927E3"/>
    <w:rsid w:val="00692CF0"/>
    <w:rsid w:val="00692D55"/>
    <w:rsid w:val="00692DED"/>
    <w:rsid w:val="00692E3D"/>
    <w:rsid w:val="006940D2"/>
    <w:rsid w:val="00694111"/>
    <w:rsid w:val="006943D0"/>
    <w:rsid w:val="00694FF6"/>
    <w:rsid w:val="00695102"/>
    <w:rsid w:val="00695BAE"/>
    <w:rsid w:val="00695EFD"/>
    <w:rsid w:val="00695F98"/>
    <w:rsid w:val="0069682C"/>
    <w:rsid w:val="00696A14"/>
    <w:rsid w:val="00696A8C"/>
    <w:rsid w:val="00696B74"/>
    <w:rsid w:val="00696FE6"/>
    <w:rsid w:val="0069702A"/>
    <w:rsid w:val="00697F0E"/>
    <w:rsid w:val="00697F38"/>
    <w:rsid w:val="006A0106"/>
    <w:rsid w:val="006A0727"/>
    <w:rsid w:val="006A0946"/>
    <w:rsid w:val="006A0A53"/>
    <w:rsid w:val="006A0B31"/>
    <w:rsid w:val="006A0BDA"/>
    <w:rsid w:val="006A1663"/>
    <w:rsid w:val="006A1D8A"/>
    <w:rsid w:val="006A22D5"/>
    <w:rsid w:val="006A2388"/>
    <w:rsid w:val="006A2763"/>
    <w:rsid w:val="006A2B9C"/>
    <w:rsid w:val="006A3190"/>
    <w:rsid w:val="006A3265"/>
    <w:rsid w:val="006A33C9"/>
    <w:rsid w:val="006A3883"/>
    <w:rsid w:val="006A41A0"/>
    <w:rsid w:val="006A4320"/>
    <w:rsid w:val="006A47BB"/>
    <w:rsid w:val="006A4928"/>
    <w:rsid w:val="006A4C9D"/>
    <w:rsid w:val="006A4D68"/>
    <w:rsid w:val="006A5386"/>
    <w:rsid w:val="006A551B"/>
    <w:rsid w:val="006A58DC"/>
    <w:rsid w:val="006A5B63"/>
    <w:rsid w:val="006A5B68"/>
    <w:rsid w:val="006A6A19"/>
    <w:rsid w:val="006A6A96"/>
    <w:rsid w:val="006A6BE2"/>
    <w:rsid w:val="006A6C52"/>
    <w:rsid w:val="006A6EA1"/>
    <w:rsid w:val="006A6EF1"/>
    <w:rsid w:val="006A7163"/>
    <w:rsid w:val="006A7295"/>
    <w:rsid w:val="006A74F0"/>
    <w:rsid w:val="006B0175"/>
    <w:rsid w:val="006B0420"/>
    <w:rsid w:val="006B04A7"/>
    <w:rsid w:val="006B2238"/>
    <w:rsid w:val="006B2AEC"/>
    <w:rsid w:val="006B395B"/>
    <w:rsid w:val="006B3B74"/>
    <w:rsid w:val="006B48EB"/>
    <w:rsid w:val="006B4BB6"/>
    <w:rsid w:val="006B5887"/>
    <w:rsid w:val="006B5F68"/>
    <w:rsid w:val="006B6332"/>
    <w:rsid w:val="006B635D"/>
    <w:rsid w:val="006B6786"/>
    <w:rsid w:val="006B6844"/>
    <w:rsid w:val="006B6DAD"/>
    <w:rsid w:val="006B703B"/>
    <w:rsid w:val="006B7364"/>
    <w:rsid w:val="006B74BC"/>
    <w:rsid w:val="006B7F33"/>
    <w:rsid w:val="006C029B"/>
    <w:rsid w:val="006C0640"/>
    <w:rsid w:val="006C11FF"/>
    <w:rsid w:val="006C1438"/>
    <w:rsid w:val="006C182A"/>
    <w:rsid w:val="006C1861"/>
    <w:rsid w:val="006C1A15"/>
    <w:rsid w:val="006C221D"/>
    <w:rsid w:val="006C23D5"/>
    <w:rsid w:val="006C2DB9"/>
    <w:rsid w:val="006C3452"/>
    <w:rsid w:val="006C3725"/>
    <w:rsid w:val="006C3FF5"/>
    <w:rsid w:val="006C4458"/>
    <w:rsid w:val="006C458E"/>
    <w:rsid w:val="006C48D4"/>
    <w:rsid w:val="006C4D6D"/>
    <w:rsid w:val="006C5037"/>
    <w:rsid w:val="006C5241"/>
    <w:rsid w:val="006C6113"/>
    <w:rsid w:val="006C6900"/>
    <w:rsid w:val="006C6EF7"/>
    <w:rsid w:val="006C7193"/>
    <w:rsid w:val="006C7993"/>
    <w:rsid w:val="006C7D68"/>
    <w:rsid w:val="006D01DE"/>
    <w:rsid w:val="006D0575"/>
    <w:rsid w:val="006D0727"/>
    <w:rsid w:val="006D0A89"/>
    <w:rsid w:val="006D0B63"/>
    <w:rsid w:val="006D0B99"/>
    <w:rsid w:val="006D173B"/>
    <w:rsid w:val="006D1C0C"/>
    <w:rsid w:val="006D21E9"/>
    <w:rsid w:val="006D22BC"/>
    <w:rsid w:val="006D2849"/>
    <w:rsid w:val="006D2F60"/>
    <w:rsid w:val="006D31B1"/>
    <w:rsid w:val="006D3342"/>
    <w:rsid w:val="006D34CC"/>
    <w:rsid w:val="006D34D5"/>
    <w:rsid w:val="006D3C52"/>
    <w:rsid w:val="006D3C9E"/>
    <w:rsid w:val="006D3DFC"/>
    <w:rsid w:val="006D40D6"/>
    <w:rsid w:val="006D455E"/>
    <w:rsid w:val="006D46BF"/>
    <w:rsid w:val="006D4B30"/>
    <w:rsid w:val="006D4F49"/>
    <w:rsid w:val="006D52F6"/>
    <w:rsid w:val="006D5EE4"/>
    <w:rsid w:val="006D636C"/>
    <w:rsid w:val="006D6BDA"/>
    <w:rsid w:val="006D6DF1"/>
    <w:rsid w:val="006D6F8C"/>
    <w:rsid w:val="006D73AF"/>
    <w:rsid w:val="006D78B9"/>
    <w:rsid w:val="006D7ACB"/>
    <w:rsid w:val="006D7AEF"/>
    <w:rsid w:val="006D7F55"/>
    <w:rsid w:val="006D7FA4"/>
    <w:rsid w:val="006E1163"/>
    <w:rsid w:val="006E124F"/>
    <w:rsid w:val="006E15F6"/>
    <w:rsid w:val="006E1814"/>
    <w:rsid w:val="006E1B88"/>
    <w:rsid w:val="006E1D00"/>
    <w:rsid w:val="006E1D54"/>
    <w:rsid w:val="006E2C7A"/>
    <w:rsid w:val="006E32D6"/>
    <w:rsid w:val="006E42DC"/>
    <w:rsid w:val="006E445C"/>
    <w:rsid w:val="006E456F"/>
    <w:rsid w:val="006E52D5"/>
    <w:rsid w:val="006E5335"/>
    <w:rsid w:val="006E552D"/>
    <w:rsid w:val="006E5679"/>
    <w:rsid w:val="006E57AB"/>
    <w:rsid w:val="006E57B7"/>
    <w:rsid w:val="006E6405"/>
    <w:rsid w:val="006E685B"/>
    <w:rsid w:val="006E6AA0"/>
    <w:rsid w:val="006E6D41"/>
    <w:rsid w:val="006E6E3D"/>
    <w:rsid w:val="006E746E"/>
    <w:rsid w:val="006E7909"/>
    <w:rsid w:val="006E7AA2"/>
    <w:rsid w:val="006E7F29"/>
    <w:rsid w:val="006F019B"/>
    <w:rsid w:val="006F0B44"/>
    <w:rsid w:val="006F1041"/>
    <w:rsid w:val="006F172C"/>
    <w:rsid w:val="006F1A05"/>
    <w:rsid w:val="006F1E4A"/>
    <w:rsid w:val="006F266D"/>
    <w:rsid w:val="006F27F1"/>
    <w:rsid w:val="006F2888"/>
    <w:rsid w:val="006F2E11"/>
    <w:rsid w:val="006F33CA"/>
    <w:rsid w:val="006F3447"/>
    <w:rsid w:val="006F3CC9"/>
    <w:rsid w:val="006F4317"/>
    <w:rsid w:val="006F438F"/>
    <w:rsid w:val="006F48C0"/>
    <w:rsid w:val="006F4F6B"/>
    <w:rsid w:val="006F5AB5"/>
    <w:rsid w:val="006F6AAD"/>
    <w:rsid w:val="006F6B84"/>
    <w:rsid w:val="006F6E22"/>
    <w:rsid w:val="006F7C9F"/>
    <w:rsid w:val="00700305"/>
    <w:rsid w:val="00700E75"/>
    <w:rsid w:val="00701175"/>
    <w:rsid w:val="007016D1"/>
    <w:rsid w:val="007017F0"/>
    <w:rsid w:val="00701915"/>
    <w:rsid w:val="00702F08"/>
    <w:rsid w:val="00702FBB"/>
    <w:rsid w:val="007032B2"/>
    <w:rsid w:val="007033A1"/>
    <w:rsid w:val="00703836"/>
    <w:rsid w:val="00703C35"/>
    <w:rsid w:val="00703D37"/>
    <w:rsid w:val="0070427B"/>
    <w:rsid w:val="007042FA"/>
    <w:rsid w:val="007055A7"/>
    <w:rsid w:val="007056F2"/>
    <w:rsid w:val="00705B00"/>
    <w:rsid w:val="00705B44"/>
    <w:rsid w:val="007060C1"/>
    <w:rsid w:val="007066F4"/>
    <w:rsid w:val="007072B8"/>
    <w:rsid w:val="007100FB"/>
    <w:rsid w:val="007108E3"/>
    <w:rsid w:val="00711F41"/>
    <w:rsid w:val="00711F7D"/>
    <w:rsid w:val="007123A3"/>
    <w:rsid w:val="0071247E"/>
    <w:rsid w:val="00712A73"/>
    <w:rsid w:val="00712D0E"/>
    <w:rsid w:val="0071313E"/>
    <w:rsid w:val="00713497"/>
    <w:rsid w:val="00713575"/>
    <w:rsid w:val="00714331"/>
    <w:rsid w:val="00714BC0"/>
    <w:rsid w:val="00714FAA"/>
    <w:rsid w:val="007159BA"/>
    <w:rsid w:val="00716882"/>
    <w:rsid w:val="00716BA3"/>
    <w:rsid w:val="00717906"/>
    <w:rsid w:val="007200E8"/>
    <w:rsid w:val="007206D4"/>
    <w:rsid w:val="0072137D"/>
    <w:rsid w:val="00721384"/>
    <w:rsid w:val="007213A3"/>
    <w:rsid w:val="00721647"/>
    <w:rsid w:val="0072179D"/>
    <w:rsid w:val="00721969"/>
    <w:rsid w:val="00721CAE"/>
    <w:rsid w:val="007222F1"/>
    <w:rsid w:val="00722C53"/>
    <w:rsid w:val="00722CD2"/>
    <w:rsid w:val="00722FCA"/>
    <w:rsid w:val="00723EE0"/>
    <w:rsid w:val="007248E6"/>
    <w:rsid w:val="00725403"/>
    <w:rsid w:val="00725508"/>
    <w:rsid w:val="00725C78"/>
    <w:rsid w:val="0072692D"/>
    <w:rsid w:val="00726E93"/>
    <w:rsid w:val="0072721B"/>
    <w:rsid w:val="007273F0"/>
    <w:rsid w:val="007275C3"/>
    <w:rsid w:val="007276E7"/>
    <w:rsid w:val="007300B9"/>
    <w:rsid w:val="007300C3"/>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94"/>
    <w:rsid w:val="00732D94"/>
    <w:rsid w:val="007331C7"/>
    <w:rsid w:val="00733342"/>
    <w:rsid w:val="0073374C"/>
    <w:rsid w:val="007342C5"/>
    <w:rsid w:val="007349D3"/>
    <w:rsid w:val="0073535F"/>
    <w:rsid w:val="00735461"/>
    <w:rsid w:val="00735A95"/>
    <w:rsid w:val="00735D5D"/>
    <w:rsid w:val="00736D15"/>
    <w:rsid w:val="00737166"/>
    <w:rsid w:val="007373C4"/>
    <w:rsid w:val="00737D26"/>
    <w:rsid w:val="00740015"/>
    <w:rsid w:val="0074037C"/>
    <w:rsid w:val="007404DE"/>
    <w:rsid w:val="0074063B"/>
    <w:rsid w:val="00740F00"/>
    <w:rsid w:val="00741292"/>
    <w:rsid w:val="007418E0"/>
    <w:rsid w:val="00741936"/>
    <w:rsid w:val="00741CC4"/>
    <w:rsid w:val="00742312"/>
    <w:rsid w:val="00742349"/>
    <w:rsid w:val="0074247C"/>
    <w:rsid w:val="00742585"/>
    <w:rsid w:val="00742BE8"/>
    <w:rsid w:val="00742C2A"/>
    <w:rsid w:val="00742C95"/>
    <w:rsid w:val="00742CA5"/>
    <w:rsid w:val="00742DA6"/>
    <w:rsid w:val="00743846"/>
    <w:rsid w:val="00743A7F"/>
    <w:rsid w:val="00743B56"/>
    <w:rsid w:val="0074404A"/>
    <w:rsid w:val="00744075"/>
    <w:rsid w:val="0074443B"/>
    <w:rsid w:val="0074486C"/>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E14"/>
    <w:rsid w:val="00752224"/>
    <w:rsid w:val="00752E42"/>
    <w:rsid w:val="00753393"/>
    <w:rsid w:val="007538A2"/>
    <w:rsid w:val="00753B4B"/>
    <w:rsid w:val="00754728"/>
    <w:rsid w:val="00755029"/>
    <w:rsid w:val="007555A2"/>
    <w:rsid w:val="00755A0F"/>
    <w:rsid w:val="00755D76"/>
    <w:rsid w:val="007564EE"/>
    <w:rsid w:val="00756B59"/>
    <w:rsid w:val="0075702B"/>
    <w:rsid w:val="007575A9"/>
    <w:rsid w:val="0075766A"/>
    <w:rsid w:val="0076039C"/>
    <w:rsid w:val="007604F1"/>
    <w:rsid w:val="00760A33"/>
    <w:rsid w:val="00760A9A"/>
    <w:rsid w:val="00760C00"/>
    <w:rsid w:val="00760F26"/>
    <w:rsid w:val="00761428"/>
    <w:rsid w:val="00761D0E"/>
    <w:rsid w:val="00762594"/>
    <w:rsid w:val="00762728"/>
    <w:rsid w:val="007627CC"/>
    <w:rsid w:val="00763262"/>
    <w:rsid w:val="00763527"/>
    <w:rsid w:val="0076370A"/>
    <w:rsid w:val="00763A45"/>
    <w:rsid w:val="00763A6F"/>
    <w:rsid w:val="00763C9C"/>
    <w:rsid w:val="0076402B"/>
    <w:rsid w:val="007640D8"/>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EE2"/>
    <w:rsid w:val="00770508"/>
    <w:rsid w:val="00770681"/>
    <w:rsid w:val="007706D4"/>
    <w:rsid w:val="007706DE"/>
    <w:rsid w:val="00770797"/>
    <w:rsid w:val="007712EB"/>
    <w:rsid w:val="00771765"/>
    <w:rsid w:val="00771B10"/>
    <w:rsid w:val="00772673"/>
    <w:rsid w:val="00773327"/>
    <w:rsid w:val="00773A7C"/>
    <w:rsid w:val="00773BA7"/>
    <w:rsid w:val="00773F09"/>
    <w:rsid w:val="00774414"/>
    <w:rsid w:val="00774608"/>
    <w:rsid w:val="0077485B"/>
    <w:rsid w:val="00774B41"/>
    <w:rsid w:val="007750A6"/>
    <w:rsid w:val="00775AD2"/>
    <w:rsid w:val="00775B80"/>
    <w:rsid w:val="00775E64"/>
    <w:rsid w:val="007760AE"/>
    <w:rsid w:val="00776177"/>
    <w:rsid w:val="00776576"/>
    <w:rsid w:val="007766F6"/>
    <w:rsid w:val="00776F25"/>
    <w:rsid w:val="00776F26"/>
    <w:rsid w:val="007775DC"/>
    <w:rsid w:val="00777CDD"/>
    <w:rsid w:val="00777FA8"/>
    <w:rsid w:val="00780464"/>
    <w:rsid w:val="007804D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AA0"/>
    <w:rsid w:val="00783D81"/>
    <w:rsid w:val="007846ED"/>
    <w:rsid w:val="00784724"/>
    <w:rsid w:val="0078480C"/>
    <w:rsid w:val="00784DA8"/>
    <w:rsid w:val="00785044"/>
    <w:rsid w:val="00785179"/>
    <w:rsid w:val="00785275"/>
    <w:rsid w:val="0078548D"/>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243"/>
    <w:rsid w:val="00791486"/>
    <w:rsid w:val="00791540"/>
    <w:rsid w:val="00791B1D"/>
    <w:rsid w:val="00791D8B"/>
    <w:rsid w:val="00791EB6"/>
    <w:rsid w:val="00792408"/>
    <w:rsid w:val="00792A4A"/>
    <w:rsid w:val="00792C62"/>
    <w:rsid w:val="0079359B"/>
    <w:rsid w:val="00793A20"/>
    <w:rsid w:val="00793CEE"/>
    <w:rsid w:val="00794197"/>
    <w:rsid w:val="00794AF5"/>
    <w:rsid w:val="00794B9C"/>
    <w:rsid w:val="007957DF"/>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832"/>
    <w:rsid w:val="007A0EA5"/>
    <w:rsid w:val="007A101D"/>
    <w:rsid w:val="007A1A5D"/>
    <w:rsid w:val="007A1AF2"/>
    <w:rsid w:val="007A1D44"/>
    <w:rsid w:val="007A26A2"/>
    <w:rsid w:val="007A29C6"/>
    <w:rsid w:val="007A2A30"/>
    <w:rsid w:val="007A2ACF"/>
    <w:rsid w:val="007A32DB"/>
    <w:rsid w:val="007A353D"/>
    <w:rsid w:val="007A36BB"/>
    <w:rsid w:val="007A3834"/>
    <w:rsid w:val="007A3A90"/>
    <w:rsid w:val="007A3E8E"/>
    <w:rsid w:val="007A4361"/>
    <w:rsid w:val="007A466F"/>
    <w:rsid w:val="007A4A18"/>
    <w:rsid w:val="007A4B3D"/>
    <w:rsid w:val="007A4BAD"/>
    <w:rsid w:val="007A50DC"/>
    <w:rsid w:val="007A5EF4"/>
    <w:rsid w:val="007A623B"/>
    <w:rsid w:val="007A6298"/>
    <w:rsid w:val="007A645B"/>
    <w:rsid w:val="007A687E"/>
    <w:rsid w:val="007A6AEF"/>
    <w:rsid w:val="007A7277"/>
    <w:rsid w:val="007A739F"/>
    <w:rsid w:val="007A78CA"/>
    <w:rsid w:val="007A7CD4"/>
    <w:rsid w:val="007B0061"/>
    <w:rsid w:val="007B0066"/>
    <w:rsid w:val="007B0BC4"/>
    <w:rsid w:val="007B0C68"/>
    <w:rsid w:val="007B0E89"/>
    <w:rsid w:val="007B19D0"/>
    <w:rsid w:val="007B21FF"/>
    <w:rsid w:val="007B22A8"/>
    <w:rsid w:val="007B2384"/>
    <w:rsid w:val="007B27BF"/>
    <w:rsid w:val="007B28F1"/>
    <w:rsid w:val="007B3165"/>
    <w:rsid w:val="007B33EC"/>
    <w:rsid w:val="007B37A8"/>
    <w:rsid w:val="007B39A8"/>
    <w:rsid w:val="007B41ED"/>
    <w:rsid w:val="007B4208"/>
    <w:rsid w:val="007B4E11"/>
    <w:rsid w:val="007B4EE1"/>
    <w:rsid w:val="007B4F31"/>
    <w:rsid w:val="007B5417"/>
    <w:rsid w:val="007B5686"/>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FF3"/>
    <w:rsid w:val="007C259A"/>
    <w:rsid w:val="007C282E"/>
    <w:rsid w:val="007C2F3E"/>
    <w:rsid w:val="007C2F75"/>
    <w:rsid w:val="007C304B"/>
    <w:rsid w:val="007C339A"/>
    <w:rsid w:val="007C3480"/>
    <w:rsid w:val="007C36A0"/>
    <w:rsid w:val="007C402D"/>
    <w:rsid w:val="007C40EA"/>
    <w:rsid w:val="007C4BD9"/>
    <w:rsid w:val="007C5545"/>
    <w:rsid w:val="007C556E"/>
    <w:rsid w:val="007C59B0"/>
    <w:rsid w:val="007C5B87"/>
    <w:rsid w:val="007C6380"/>
    <w:rsid w:val="007C659C"/>
    <w:rsid w:val="007C6A02"/>
    <w:rsid w:val="007C6B83"/>
    <w:rsid w:val="007C6C82"/>
    <w:rsid w:val="007C78C8"/>
    <w:rsid w:val="007D0401"/>
    <w:rsid w:val="007D064B"/>
    <w:rsid w:val="007D20BA"/>
    <w:rsid w:val="007D292B"/>
    <w:rsid w:val="007D295D"/>
    <w:rsid w:val="007D2B6B"/>
    <w:rsid w:val="007D3310"/>
    <w:rsid w:val="007D39E9"/>
    <w:rsid w:val="007D485D"/>
    <w:rsid w:val="007D4FC1"/>
    <w:rsid w:val="007D5A80"/>
    <w:rsid w:val="007D6095"/>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E6C40"/>
    <w:rsid w:val="007F0535"/>
    <w:rsid w:val="007F05FB"/>
    <w:rsid w:val="007F061E"/>
    <w:rsid w:val="007F39EE"/>
    <w:rsid w:val="007F3ACC"/>
    <w:rsid w:val="007F3D50"/>
    <w:rsid w:val="007F475F"/>
    <w:rsid w:val="007F478E"/>
    <w:rsid w:val="007F4A8D"/>
    <w:rsid w:val="007F5000"/>
    <w:rsid w:val="007F5A28"/>
    <w:rsid w:val="007F5E60"/>
    <w:rsid w:val="007F6255"/>
    <w:rsid w:val="007F66C2"/>
    <w:rsid w:val="007F795A"/>
    <w:rsid w:val="007F79CE"/>
    <w:rsid w:val="007F7ABF"/>
    <w:rsid w:val="0080084F"/>
    <w:rsid w:val="00801A48"/>
    <w:rsid w:val="00801DEB"/>
    <w:rsid w:val="0080272D"/>
    <w:rsid w:val="0080308C"/>
    <w:rsid w:val="00803256"/>
    <w:rsid w:val="00803479"/>
    <w:rsid w:val="0080364D"/>
    <w:rsid w:val="008039AD"/>
    <w:rsid w:val="00803FC2"/>
    <w:rsid w:val="008048FE"/>
    <w:rsid w:val="00804F88"/>
    <w:rsid w:val="0080511F"/>
    <w:rsid w:val="008053AA"/>
    <w:rsid w:val="0080593A"/>
    <w:rsid w:val="008059E3"/>
    <w:rsid w:val="008065D7"/>
    <w:rsid w:val="00806641"/>
    <w:rsid w:val="008068C9"/>
    <w:rsid w:val="0080690E"/>
    <w:rsid w:val="00807837"/>
    <w:rsid w:val="00807908"/>
    <w:rsid w:val="00807C1A"/>
    <w:rsid w:val="00807DC4"/>
    <w:rsid w:val="0081001D"/>
    <w:rsid w:val="0081059E"/>
    <w:rsid w:val="00811055"/>
    <w:rsid w:val="0081112E"/>
    <w:rsid w:val="0081113F"/>
    <w:rsid w:val="00811C0E"/>
    <w:rsid w:val="00811CEF"/>
    <w:rsid w:val="008120ED"/>
    <w:rsid w:val="008121ED"/>
    <w:rsid w:val="008123C0"/>
    <w:rsid w:val="008127E4"/>
    <w:rsid w:val="0081287C"/>
    <w:rsid w:val="00812DBB"/>
    <w:rsid w:val="00813679"/>
    <w:rsid w:val="008147CE"/>
    <w:rsid w:val="008148E1"/>
    <w:rsid w:val="0081494C"/>
    <w:rsid w:val="00814C26"/>
    <w:rsid w:val="00814CCD"/>
    <w:rsid w:val="00814E0C"/>
    <w:rsid w:val="00814F96"/>
    <w:rsid w:val="008151FD"/>
    <w:rsid w:val="00816377"/>
    <w:rsid w:val="00816740"/>
    <w:rsid w:val="0081695C"/>
    <w:rsid w:val="008169DF"/>
    <w:rsid w:val="00816E32"/>
    <w:rsid w:val="00817695"/>
    <w:rsid w:val="00817905"/>
    <w:rsid w:val="0081799F"/>
    <w:rsid w:val="00817D3A"/>
    <w:rsid w:val="00817E11"/>
    <w:rsid w:val="00817FFD"/>
    <w:rsid w:val="00820102"/>
    <w:rsid w:val="00820F53"/>
    <w:rsid w:val="0082139E"/>
    <w:rsid w:val="00821558"/>
    <w:rsid w:val="00821A5B"/>
    <w:rsid w:val="00821E69"/>
    <w:rsid w:val="0082237F"/>
    <w:rsid w:val="00822386"/>
    <w:rsid w:val="0082247A"/>
    <w:rsid w:val="008226C7"/>
    <w:rsid w:val="00822A86"/>
    <w:rsid w:val="00823FFD"/>
    <w:rsid w:val="0082437F"/>
    <w:rsid w:val="0082446C"/>
    <w:rsid w:val="00824B3B"/>
    <w:rsid w:val="00824BC4"/>
    <w:rsid w:val="00825039"/>
    <w:rsid w:val="0082570F"/>
    <w:rsid w:val="00825885"/>
    <w:rsid w:val="00825B71"/>
    <w:rsid w:val="00825EED"/>
    <w:rsid w:val="0082660C"/>
    <w:rsid w:val="008266E5"/>
    <w:rsid w:val="00826C7C"/>
    <w:rsid w:val="00826CE9"/>
    <w:rsid w:val="008271AA"/>
    <w:rsid w:val="00827337"/>
    <w:rsid w:val="008275B6"/>
    <w:rsid w:val="00827BE1"/>
    <w:rsid w:val="00827E6D"/>
    <w:rsid w:val="00827FC2"/>
    <w:rsid w:val="00830681"/>
    <w:rsid w:val="0083082C"/>
    <w:rsid w:val="00831290"/>
    <w:rsid w:val="00831319"/>
    <w:rsid w:val="00831629"/>
    <w:rsid w:val="008317AF"/>
    <w:rsid w:val="00831F27"/>
    <w:rsid w:val="00832695"/>
    <w:rsid w:val="008328CD"/>
    <w:rsid w:val="00832AB5"/>
    <w:rsid w:val="00832D5C"/>
    <w:rsid w:val="0083531B"/>
    <w:rsid w:val="00835853"/>
    <w:rsid w:val="008359E9"/>
    <w:rsid w:val="00835B52"/>
    <w:rsid w:val="00835DAE"/>
    <w:rsid w:val="0083660E"/>
    <w:rsid w:val="00836A1A"/>
    <w:rsid w:val="00836C38"/>
    <w:rsid w:val="00837218"/>
    <w:rsid w:val="008373A3"/>
    <w:rsid w:val="008373FA"/>
    <w:rsid w:val="0083768E"/>
    <w:rsid w:val="0083782A"/>
    <w:rsid w:val="008379F0"/>
    <w:rsid w:val="00837A42"/>
    <w:rsid w:val="00837AA7"/>
    <w:rsid w:val="00837C17"/>
    <w:rsid w:val="00837D9D"/>
    <w:rsid w:val="00840A05"/>
    <w:rsid w:val="00840DC5"/>
    <w:rsid w:val="008410F6"/>
    <w:rsid w:val="0084132F"/>
    <w:rsid w:val="00841576"/>
    <w:rsid w:val="0084167F"/>
    <w:rsid w:val="008422E2"/>
    <w:rsid w:val="0084269C"/>
    <w:rsid w:val="0084387B"/>
    <w:rsid w:val="00843C20"/>
    <w:rsid w:val="008440FA"/>
    <w:rsid w:val="0084411F"/>
    <w:rsid w:val="00844358"/>
    <w:rsid w:val="00844766"/>
    <w:rsid w:val="00844E00"/>
    <w:rsid w:val="00845CE7"/>
    <w:rsid w:val="00846115"/>
    <w:rsid w:val="00846DB2"/>
    <w:rsid w:val="008473BB"/>
    <w:rsid w:val="00847455"/>
    <w:rsid w:val="00847A13"/>
    <w:rsid w:val="00847D80"/>
    <w:rsid w:val="00847DF4"/>
    <w:rsid w:val="008523F8"/>
    <w:rsid w:val="008523FE"/>
    <w:rsid w:val="00852402"/>
    <w:rsid w:val="008525AC"/>
    <w:rsid w:val="0085297B"/>
    <w:rsid w:val="00852D31"/>
    <w:rsid w:val="0085331E"/>
    <w:rsid w:val="0085351A"/>
    <w:rsid w:val="00853928"/>
    <w:rsid w:val="00853DE4"/>
    <w:rsid w:val="00854343"/>
    <w:rsid w:val="008545AF"/>
    <w:rsid w:val="00854BDA"/>
    <w:rsid w:val="00854E80"/>
    <w:rsid w:val="008551B4"/>
    <w:rsid w:val="00855313"/>
    <w:rsid w:val="00856F45"/>
    <w:rsid w:val="008572C1"/>
    <w:rsid w:val="00857C77"/>
    <w:rsid w:val="00857E5F"/>
    <w:rsid w:val="00857F55"/>
    <w:rsid w:val="0086177A"/>
    <w:rsid w:val="00861786"/>
    <w:rsid w:val="008618FA"/>
    <w:rsid w:val="00861DDA"/>
    <w:rsid w:val="008624FA"/>
    <w:rsid w:val="008627D1"/>
    <w:rsid w:val="00862B55"/>
    <w:rsid w:val="00863290"/>
    <w:rsid w:val="008635CE"/>
    <w:rsid w:val="00863E0B"/>
    <w:rsid w:val="00863E27"/>
    <w:rsid w:val="00863ED8"/>
    <w:rsid w:val="008649A0"/>
    <w:rsid w:val="00864E7F"/>
    <w:rsid w:val="00865548"/>
    <w:rsid w:val="00866410"/>
    <w:rsid w:val="008669B3"/>
    <w:rsid w:val="00866B44"/>
    <w:rsid w:val="00866E62"/>
    <w:rsid w:val="00867A30"/>
    <w:rsid w:val="00867ABD"/>
    <w:rsid w:val="00867F82"/>
    <w:rsid w:val="00870033"/>
    <w:rsid w:val="008702BD"/>
    <w:rsid w:val="0087042E"/>
    <w:rsid w:val="008705DA"/>
    <w:rsid w:val="0087094D"/>
    <w:rsid w:val="00870EC7"/>
    <w:rsid w:val="008712A1"/>
    <w:rsid w:val="00871355"/>
    <w:rsid w:val="008716B8"/>
    <w:rsid w:val="00871B7F"/>
    <w:rsid w:val="008721FB"/>
    <w:rsid w:val="00872648"/>
    <w:rsid w:val="0087282F"/>
    <w:rsid w:val="00872A19"/>
    <w:rsid w:val="00872BB0"/>
    <w:rsid w:val="00872CDB"/>
    <w:rsid w:val="0087314A"/>
    <w:rsid w:val="00873491"/>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CE"/>
    <w:rsid w:val="008753B1"/>
    <w:rsid w:val="0087551F"/>
    <w:rsid w:val="0087623D"/>
    <w:rsid w:val="008763DC"/>
    <w:rsid w:val="00876419"/>
    <w:rsid w:val="00876F64"/>
    <w:rsid w:val="00876FCC"/>
    <w:rsid w:val="008772ED"/>
    <w:rsid w:val="00877951"/>
    <w:rsid w:val="00877A6C"/>
    <w:rsid w:val="00877E3C"/>
    <w:rsid w:val="0088015C"/>
    <w:rsid w:val="0088110C"/>
    <w:rsid w:val="00881D65"/>
    <w:rsid w:val="00882556"/>
    <w:rsid w:val="00883300"/>
    <w:rsid w:val="00883A1F"/>
    <w:rsid w:val="0088425B"/>
    <w:rsid w:val="0088425D"/>
    <w:rsid w:val="00884A8F"/>
    <w:rsid w:val="00884BC0"/>
    <w:rsid w:val="00884C20"/>
    <w:rsid w:val="00885516"/>
    <w:rsid w:val="008857D5"/>
    <w:rsid w:val="00885BBB"/>
    <w:rsid w:val="00885D94"/>
    <w:rsid w:val="008860B7"/>
    <w:rsid w:val="0088639D"/>
    <w:rsid w:val="00886A65"/>
    <w:rsid w:val="00886AD7"/>
    <w:rsid w:val="008874E8"/>
    <w:rsid w:val="008875D8"/>
    <w:rsid w:val="00887B0B"/>
    <w:rsid w:val="008901EA"/>
    <w:rsid w:val="00890499"/>
    <w:rsid w:val="0089052D"/>
    <w:rsid w:val="008915CB"/>
    <w:rsid w:val="0089178E"/>
    <w:rsid w:val="00891B62"/>
    <w:rsid w:val="008922FD"/>
    <w:rsid w:val="00892DC6"/>
    <w:rsid w:val="00893205"/>
    <w:rsid w:val="0089332E"/>
    <w:rsid w:val="0089356E"/>
    <w:rsid w:val="00893834"/>
    <w:rsid w:val="008938AA"/>
    <w:rsid w:val="00893B46"/>
    <w:rsid w:val="0089451B"/>
    <w:rsid w:val="008946E5"/>
    <w:rsid w:val="00894A15"/>
    <w:rsid w:val="00894A1D"/>
    <w:rsid w:val="00894C3A"/>
    <w:rsid w:val="00894CDD"/>
    <w:rsid w:val="008951BF"/>
    <w:rsid w:val="00895366"/>
    <w:rsid w:val="0089562E"/>
    <w:rsid w:val="008964D1"/>
    <w:rsid w:val="008970CF"/>
    <w:rsid w:val="008977ED"/>
    <w:rsid w:val="00897985"/>
    <w:rsid w:val="008A0284"/>
    <w:rsid w:val="008A0B0D"/>
    <w:rsid w:val="008A15C7"/>
    <w:rsid w:val="008A2878"/>
    <w:rsid w:val="008A28DB"/>
    <w:rsid w:val="008A2B70"/>
    <w:rsid w:val="008A2B99"/>
    <w:rsid w:val="008A2CAA"/>
    <w:rsid w:val="008A308B"/>
    <w:rsid w:val="008A3E10"/>
    <w:rsid w:val="008A4459"/>
    <w:rsid w:val="008A452F"/>
    <w:rsid w:val="008A4898"/>
    <w:rsid w:val="008A4CDA"/>
    <w:rsid w:val="008A4CF7"/>
    <w:rsid w:val="008A57FE"/>
    <w:rsid w:val="008A58D7"/>
    <w:rsid w:val="008A5967"/>
    <w:rsid w:val="008A6877"/>
    <w:rsid w:val="008A69D1"/>
    <w:rsid w:val="008A6A9C"/>
    <w:rsid w:val="008A73C5"/>
    <w:rsid w:val="008A74E0"/>
    <w:rsid w:val="008A76D1"/>
    <w:rsid w:val="008B01C2"/>
    <w:rsid w:val="008B0EE2"/>
    <w:rsid w:val="008B2234"/>
    <w:rsid w:val="008B2A3E"/>
    <w:rsid w:val="008B2CB8"/>
    <w:rsid w:val="008B3036"/>
    <w:rsid w:val="008B313C"/>
    <w:rsid w:val="008B32BE"/>
    <w:rsid w:val="008B32CA"/>
    <w:rsid w:val="008B364A"/>
    <w:rsid w:val="008B3B40"/>
    <w:rsid w:val="008B3E7A"/>
    <w:rsid w:val="008B464B"/>
    <w:rsid w:val="008B574F"/>
    <w:rsid w:val="008B5BB4"/>
    <w:rsid w:val="008B61F8"/>
    <w:rsid w:val="008B6643"/>
    <w:rsid w:val="008B6B6B"/>
    <w:rsid w:val="008B6BD0"/>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22BF"/>
    <w:rsid w:val="008C247E"/>
    <w:rsid w:val="008C251B"/>
    <w:rsid w:val="008C2B4C"/>
    <w:rsid w:val="008C2C3C"/>
    <w:rsid w:val="008C317D"/>
    <w:rsid w:val="008C364D"/>
    <w:rsid w:val="008C3CB5"/>
    <w:rsid w:val="008C4E81"/>
    <w:rsid w:val="008C591D"/>
    <w:rsid w:val="008C6340"/>
    <w:rsid w:val="008C6ACF"/>
    <w:rsid w:val="008C6B42"/>
    <w:rsid w:val="008C72D1"/>
    <w:rsid w:val="008C79BB"/>
    <w:rsid w:val="008C7EB5"/>
    <w:rsid w:val="008C7FB1"/>
    <w:rsid w:val="008C7FC5"/>
    <w:rsid w:val="008D00EB"/>
    <w:rsid w:val="008D0337"/>
    <w:rsid w:val="008D0C14"/>
    <w:rsid w:val="008D0E4F"/>
    <w:rsid w:val="008D0FBC"/>
    <w:rsid w:val="008D1B92"/>
    <w:rsid w:val="008D1ED5"/>
    <w:rsid w:val="008D25F8"/>
    <w:rsid w:val="008D2873"/>
    <w:rsid w:val="008D2BB8"/>
    <w:rsid w:val="008D36E3"/>
    <w:rsid w:val="008D38D9"/>
    <w:rsid w:val="008D3C8F"/>
    <w:rsid w:val="008D3EFF"/>
    <w:rsid w:val="008D4263"/>
    <w:rsid w:val="008D4618"/>
    <w:rsid w:val="008D49EC"/>
    <w:rsid w:val="008D5334"/>
    <w:rsid w:val="008D5342"/>
    <w:rsid w:val="008D5618"/>
    <w:rsid w:val="008D635B"/>
    <w:rsid w:val="008D6632"/>
    <w:rsid w:val="008D674C"/>
    <w:rsid w:val="008D7448"/>
    <w:rsid w:val="008D75D5"/>
    <w:rsid w:val="008D767F"/>
    <w:rsid w:val="008D7681"/>
    <w:rsid w:val="008E1C63"/>
    <w:rsid w:val="008E23CE"/>
    <w:rsid w:val="008E28F1"/>
    <w:rsid w:val="008E2BD5"/>
    <w:rsid w:val="008E34A8"/>
    <w:rsid w:val="008E3724"/>
    <w:rsid w:val="008E3979"/>
    <w:rsid w:val="008E3A13"/>
    <w:rsid w:val="008E4143"/>
    <w:rsid w:val="008E41BF"/>
    <w:rsid w:val="008E42E5"/>
    <w:rsid w:val="008E4A4E"/>
    <w:rsid w:val="008E4B6B"/>
    <w:rsid w:val="008E5556"/>
    <w:rsid w:val="008E5564"/>
    <w:rsid w:val="008E5603"/>
    <w:rsid w:val="008E57C2"/>
    <w:rsid w:val="008E5F18"/>
    <w:rsid w:val="008E6723"/>
    <w:rsid w:val="008E7379"/>
    <w:rsid w:val="008E7660"/>
    <w:rsid w:val="008E79C3"/>
    <w:rsid w:val="008E79F1"/>
    <w:rsid w:val="008F04B1"/>
    <w:rsid w:val="008F0528"/>
    <w:rsid w:val="008F0775"/>
    <w:rsid w:val="008F097F"/>
    <w:rsid w:val="008F194A"/>
    <w:rsid w:val="008F2136"/>
    <w:rsid w:val="008F2340"/>
    <w:rsid w:val="008F2557"/>
    <w:rsid w:val="008F2C20"/>
    <w:rsid w:val="008F3700"/>
    <w:rsid w:val="008F3BD3"/>
    <w:rsid w:val="008F40E0"/>
    <w:rsid w:val="008F416D"/>
    <w:rsid w:val="008F43C3"/>
    <w:rsid w:val="008F46FC"/>
    <w:rsid w:val="008F4B6B"/>
    <w:rsid w:val="008F4D21"/>
    <w:rsid w:val="008F5114"/>
    <w:rsid w:val="008F5900"/>
    <w:rsid w:val="008F612A"/>
    <w:rsid w:val="008F67BB"/>
    <w:rsid w:val="008F69C3"/>
    <w:rsid w:val="008F6A99"/>
    <w:rsid w:val="008F6AC1"/>
    <w:rsid w:val="008F6D54"/>
    <w:rsid w:val="008F6FAE"/>
    <w:rsid w:val="008F6FE7"/>
    <w:rsid w:val="008F740B"/>
    <w:rsid w:val="008F7807"/>
    <w:rsid w:val="008F7B75"/>
    <w:rsid w:val="008F7C00"/>
    <w:rsid w:val="008F7D89"/>
    <w:rsid w:val="00900744"/>
    <w:rsid w:val="00900B2E"/>
    <w:rsid w:val="00901240"/>
    <w:rsid w:val="0090207E"/>
    <w:rsid w:val="0090211E"/>
    <w:rsid w:val="009021E7"/>
    <w:rsid w:val="0090232C"/>
    <w:rsid w:val="0090246C"/>
    <w:rsid w:val="009025B4"/>
    <w:rsid w:val="0090301E"/>
    <w:rsid w:val="00903594"/>
    <w:rsid w:val="00903A2C"/>
    <w:rsid w:val="00903B71"/>
    <w:rsid w:val="00903E88"/>
    <w:rsid w:val="00904B67"/>
    <w:rsid w:val="00904F7F"/>
    <w:rsid w:val="0090577B"/>
    <w:rsid w:val="00905A4B"/>
    <w:rsid w:val="00905B2B"/>
    <w:rsid w:val="00905CE4"/>
    <w:rsid w:val="00906159"/>
    <w:rsid w:val="00906472"/>
    <w:rsid w:val="009068B4"/>
    <w:rsid w:val="00906998"/>
    <w:rsid w:val="00906D22"/>
    <w:rsid w:val="009072BB"/>
    <w:rsid w:val="009079A0"/>
    <w:rsid w:val="00910044"/>
    <w:rsid w:val="00910184"/>
    <w:rsid w:val="009102E3"/>
    <w:rsid w:val="0091058F"/>
    <w:rsid w:val="0091059B"/>
    <w:rsid w:val="00910B40"/>
    <w:rsid w:val="009112B8"/>
    <w:rsid w:val="009122EC"/>
    <w:rsid w:val="00912421"/>
    <w:rsid w:val="00912593"/>
    <w:rsid w:val="009126B7"/>
    <w:rsid w:val="00912B94"/>
    <w:rsid w:val="00912BDB"/>
    <w:rsid w:val="009134F9"/>
    <w:rsid w:val="00913532"/>
    <w:rsid w:val="00913585"/>
    <w:rsid w:val="0091387C"/>
    <w:rsid w:val="00913DEB"/>
    <w:rsid w:val="009148F7"/>
    <w:rsid w:val="009149E4"/>
    <w:rsid w:val="00914FF7"/>
    <w:rsid w:val="009150FD"/>
    <w:rsid w:val="00915968"/>
    <w:rsid w:val="00915B8E"/>
    <w:rsid w:val="00916038"/>
    <w:rsid w:val="00916343"/>
    <w:rsid w:val="00916AF4"/>
    <w:rsid w:val="00916C6C"/>
    <w:rsid w:val="00917528"/>
    <w:rsid w:val="009177F4"/>
    <w:rsid w:val="00917D4C"/>
    <w:rsid w:val="00920F94"/>
    <w:rsid w:val="009211FB"/>
    <w:rsid w:val="00921818"/>
    <w:rsid w:val="00921DAA"/>
    <w:rsid w:val="00921F31"/>
    <w:rsid w:val="0092254A"/>
    <w:rsid w:val="00922B44"/>
    <w:rsid w:val="00922DC8"/>
    <w:rsid w:val="00923174"/>
    <w:rsid w:val="00923232"/>
    <w:rsid w:val="0092366B"/>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7B"/>
    <w:rsid w:val="0093046B"/>
    <w:rsid w:val="00930BC1"/>
    <w:rsid w:val="00931126"/>
    <w:rsid w:val="009317A2"/>
    <w:rsid w:val="00931B33"/>
    <w:rsid w:val="00931CFC"/>
    <w:rsid w:val="00931D5D"/>
    <w:rsid w:val="00931FA7"/>
    <w:rsid w:val="009324B4"/>
    <w:rsid w:val="00932A97"/>
    <w:rsid w:val="00932AA7"/>
    <w:rsid w:val="00933005"/>
    <w:rsid w:val="009331DF"/>
    <w:rsid w:val="009338E5"/>
    <w:rsid w:val="009339D1"/>
    <w:rsid w:val="009339FE"/>
    <w:rsid w:val="00933CBA"/>
    <w:rsid w:val="00933E15"/>
    <w:rsid w:val="0093414E"/>
    <w:rsid w:val="00934B1D"/>
    <w:rsid w:val="00934F3D"/>
    <w:rsid w:val="00935104"/>
    <w:rsid w:val="00935419"/>
    <w:rsid w:val="00935DBB"/>
    <w:rsid w:val="009363AB"/>
    <w:rsid w:val="009367A5"/>
    <w:rsid w:val="0093719F"/>
    <w:rsid w:val="00937937"/>
    <w:rsid w:val="00937BE7"/>
    <w:rsid w:val="00937E8B"/>
    <w:rsid w:val="009400C7"/>
    <w:rsid w:val="009409F7"/>
    <w:rsid w:val="00940E3E"/>
    <w:rsid w:val="00941791"/>
    <w:rsid w:val="009417A8"/>
    <w:rsid w:val="00941A72"/>
    <w:rsid w:val="00943A91"/>
    <w:rsid w:val="00943DE8"/>
    <w:rsid w:val="0094481F"/>
    <w:rsid w:val="00944B4F"/>
    <w:rsid w:val="00944B57"/>
    <w:rsid w:val="009450A9"/>
    <w:rsid w:val="00945138"/>
    <w:rsid w:val="00945844"/>
    <w:rsid w:val="00945ACF"/>
    <w:rsid w:val="00945E96"/>
    <w:rsid w:val="00946382"/>
    <w:rsid w:val="00946B1C"/>
    <w:rsid w:val="00947630"/>
    <w:rsid w:val="0094768B"/>
    <w:rsid w:val="009478FD"/>
    <w:rsid w:val="00950A09"/>
    <w:rsid w:val="00950C4E"/>
    <w:rsid w:val="00950C9F"/>
    <w:rsid w:val="0095153B"/>
    <w:rsid w:val="00951C62"/>
    <w:rsid w:val="0095204B"/>
    <w:rsid w:val="009522EE"/>
    <w:rsid w:val="00952799"/>
    <w:rsid w:val="00952E01"/>
    <w:rsid w:val="00952FF8"/>
    <w:rsid w:val="009531F3"/>
    <w:rsid w:val="00953434"/>
    <w:rsid w:val="00953DB4"/>
    <w:rsid w:val="00954708"/>
    <w:rsid w:val="00954A38"/>
    <w:rsid w:val="00955204"/>
    <w:rsid w:val="0095527C"/>
    <w:rsid w:val="00955806"/>
    <w:rsid w:val="00955975"/>
    <w:rsid w:val="00955BC2"/>
    <w:rsid w:val="009561B0"/>
    <w:rsid w:val="0095620F"/>
    <w:rsid w:val="00956540"/>
    <w:rsid w:val="00956687"/>
    <w:rsid w:val="0095685E"/>
    <w:rsid w:val="00956A6C"/>
    <w:rsid w:val="0095711B"/>
    <w:rsid w:val="009573C9"/>
    <w:rsid w:val="00957410"/>
    <w:rsid w:val="009575A1"/>
    <w:rsid w:val="00957876"/>
    <w:rsid w:val="00957AFE"/>
    <w:rsid w:val="00960090"/>
    <w:rsid w:val="00960472"/>
    <w:rsid w:val="0096067F"/>
    <w:rsid w:val="00960BE1"/>
    <w:rsid w:val="00960BED"/>
    <w:rsid w:val="00960C53"/>
    <w:rsid w:val="00961216"/>
    <w:rsid w:val="009613BD"/>
    <w:rsid w:val="00961698"/>
    <w:rsid w:val="00961BB0"/>
    <w:rsid w:val="0096234E"/>
    <w:rsid w:val="009623CD"/>
    <w:rsid w:val="009625B1"/>
    <w:rsid w:val="00962ECD"/>
    <w:rsid w:val="00962F33"/>
    <w:rsid w:val="00963CDD"/>
    <w:rsid w:val="009647AF"/>
    <w:rsid w:val="00964CAB"/>
    <w:rsid w:val="00965074"/>
    <w:rsid w:val="00965092"/>
    <w:rsid w:val="00965163"/>
    <w:rsid w:val="0096540B"/>
    <w:rsid w:val="009658FA"/>
    <w:rsid w:val="0096590C"/>
    <w:rsid w:val="00965931"/>
    <w:rsid w:val="00966695"/>
    <w:rsid w:val="00966846"/>
    <w:rsid w:val="00966D90"/>
    <w:rsid w:val="00966E3C"/>
    <w:rsid w:val="00967081"/>
    <w:rsid w:val="009670BB"/>
    <w:rsid w:val="009672CB"/>
    <w:rsid w:val="00967D5B"/>
    <w:rsid w:val="00967EC1"/>
    <w:rsid w:val="009700AD"/>
    <w:rsid w:val="00970294"/>
    <w:rsid w:val="00970303"/>
    <w:rsid w:val="00970396"/>
    <w:rsid w:val="00970460"/>
    <w:rsid w:val="009707FE"/>
    <w:rsid w:val="009715A4"/>
    <w:rsid w:val="00971EB3"/>
    <w:rsid w:val="0097238A"/>
    <w:rsid w:val="009724D2"/>
    <w:rsid w:val="0097276B"/>
    <w:rsid w:val="009727B9"/>
    <w:rsid w:val="00972845"/>
    <w:rsid w:val="00972E15"/>
    <w:rsid w:val="00972FFC"/>
    <w:rsid w:val="009731EC"/>
    <w:rsid w:val="009738E5"/>
    <w:rsid w:val="00973AF0"/>
    <w:rsid w:val="00973B5C"/>
    <w:rsid w:val="00974017"/>
    <w:rsid w:val="009741FD"/>
    <w:rsid w:val="009745A9"/>
    <w:rsid w:val="00974B79"/>
    <w:rsid w:val="0097500A"/>
    <w:rsid w:val="009750B7"/>
    <w:rsid w:val="0097514D"/>
    <w:rsid w:val="00975569"/>
    <w:rsid w:val="0097593E"/>
    <w:rsid w:val="00976BC8"/>
    <w:rsid w:val="00976C10"/>
    <w:rsid w:val="00976CEE"/>
    <w:rsid w:val="00976E91"/>
    <w:rsid w:val="009774F2"/>
    <w:rsid w:val="009775C3"/>
    <w:rsid w:val="0097770E"/>
    <w:rsid w:val="00977BAC"/>
    <w:rsid w:val="00977FEB"/>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9B7"/>
    <w:rsid w:val="00990C6F"/>
    <w:rsid w:val="0099141D"/>
    <w:rsid w:val="009914DB"/>
    <w:rsid w:val="00991769"/>
    <w:rsid w:val="009930E8"/>
    <w:rsid w:val="00993BDB"/>
    <w:rsid w:val="00994680"/>
    <w:rsid w:val="009949E2"/>
    <w:rsid w:val="00994A19"/>
    <w:rsid w:val="00994E8D"/>
    <w:rsid w:val="00994FC8"/>
    <w:rsid w:val="0099517C"/>
    <w:rsid w:val="009953AB"/>
    <w:rsid w:val="009953B7"/>
    <w:rsid w:val="00995F17"/>
    <w:rsid w:val="0099605F"/>
    <w:rsid w:val="009965BD"/>
    <w:rsid w:val="00996AA9"/>
    <w:rsid w:val="00996F92"/>
    <w:rsid w:val="00996FF8"/>
    <w:rsid w:val="009970A9"/>
    <w:rsid w:val="00997349"/>
    <w:rsid w:val="009973FD"/>
    <w:rsid w:val="00997B3B"/>
    <w:rsid w:val="00997C60"/>
    <w:rsid w:val="00997C84"/>
    <w:rsid w:val="009A032A"/>
    <w:rsid w:val="009A0F1A"/>
    <w:rsid w:val="009A1887"/>
    <w:rsid w:val="009A205F"/>
    <w:rsid w:val="009A28DF"/>
    <w:rsid w:val="009A2F32"/>
    <w:rsid w:val="009A2F6C"/>
    <w:rsid w:val="009A374A"/>
    <w:rsid w:val="009A3A8A"/>
    <w:rsid w:val="009A3FD6"/>
    <w:rsid w:val="009A3FF2"/>
    <w:rsid w:val="009A4A80"/>
    <w:rsid w:val="009A505F"/>
    <w:rsid w:val="009A512F"/>
    <w:rsid w:val="009A5484"/>
    <w:rsid w:val="009A54CC"/>
    <w:rsid w:val="009A56B6"/>
    <w:rsid w:val="009A59AB"/>
    <w:rsid w:val="009A5A93"/>
    <w:rsid w:val="009A5DC0"/>
    <w:rsid w:val="009A680E"/>
    <w:rsid w:val="009A70D9"/>
    <w:rsid w:val="009A72D2"/>
    <w:rsid w:val="009A7647"/>
    <w:rsid w:val="009B0067"/>
    <w:rsid w:val="009B0212"/>
    <w:rsid w:val="009B0384"/>
    <w:rsid w:val="009B0FBF"/>
    <w:rsid w:val="009B1263"/>
    <w:rsid w:val="009B1B97"/>
    <w:rsid w:val="009B1C97"/>
    <w:rsid w:val="009B1EBA"/>
    <w:rsid w:val="009B212B"/>
    <w:rsid w:val="009B2251"/>
    <w:rsid w:val="009B2288"/>
    <w:rsid w:val="009B24B8"/>
    <w:rsid w:val="009B2679"/>
    <w:rsid w:val="009B27D8"/>
    <w:rsid w:val="009B29DB"/>
    <w:rsid w:val="009B2B2B"/>
    <w:rsid w:val="009B2F6F"/>
    <w:rsid w:val="009B31DA"/>
    <w:rsid w:val="009B4A8E"/>
    <w:rsid w:val="009B4DB9"/>
    <w:rsid w:val="009B4F85"/>
    <w:rsid w:val="009B5040"/>
    <w:rsid w:val="009B53FB"/>
    <w:rsid w:val="009B58D5"/>
    <w:rsid w:val="009B5A36"/>
    <w:rsid w:val="009B5D16"/>
    <w:rsid w:val="009B5E94"/>
    <w:rsid w:val="009B73A5"/>
    <w:rsid w:val="009B7C96"/>
    <w:rsid w:val="009C0244"/>
    <w:rsid w:val="009C02E6"/>
    <w:rsid w:val="009C06B6"/>
    <w:rsid w:val="009C0882"/>
    <w:rsid w:val="009C0E61"/>
    <w:rsid w:val="009C2E67"/>
    <w:rsid w:val="009C33C1"/>
    <w:rsid w:val="009C440C"/>
    <w:rsid w:val="009C446B"/>
    <w:rsid w:val="009C5136"/>
    <w:rsid w:val="009C5E52"/>
    <w:rsid w:val="009C5E9E"/>
    <w:rsid w:val="009C605C"/>
    <w:rsid w:val="009C665E"/>
    <w:rsid w:val="009C6E90"/>
    <w:rsid w:val="009C7536"/>
    <w:rsid w:val="009C75DE"/>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AEB"/>
    <w:rsid w:val="009D4C0D"/>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D3C"/>
    <w:rsid w:val="009E6F7A"/>
    <w:rsid w:val="009E76B8"/>
    <w:rsid w:val="009E791E"/>
    <w:rsid w:val="009E7C7D"/>
    <w:rsid w:val="009F0008"/>
    <w:rsid w:val="009F071E"/>
    <w:rsid w:val="009F0B4F"/>
    <w:rsid w:val="009F1440"/>
    <w:rsid w:val="009F14D3"/>
    <w:rsid w:val="009F179F"/>
    <w:rsid w:val="009F2222"/>
    <w:rsid w:val="009F22CC"/>
    <w:rsid w:val="009F231A"/>
    <w:rsid w:val="009F2709"/>
    <w:rsid w:val="009F3157"/>
    <w:rsid w:val="009F4274"/>
    <w:rsid w:val="009F427D"/>
    <w:rsid w:val="009F462C"/>
    <w:rsid w:val="009F4A78"/>
    <w:rsid w:val="009F4E84"/>
    <w:rsid w:val="009F52BE"/>
    <w:rsid w:val="009F5840"/>
    <w:rsid w:val="009F5937"/>
    <w:rsid w:val="009F594B"/>
    <w:rsid w:val="009F63E6"/>
    <w:rsid w:val="009F649D"/>
    <w:rsid w:val="009F6B6D"/>
    <w:rsid w:val="009F72A4"/>
    <w:rsid w:val="009F7731"/>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8B9"/>
    <w:rsid w:val="00A03537"/>
    <w:rsid w:val="00A0370E"/>
    <w:rsid w:val="00A037EB"/>
    <w:rsid w:val="00A03B6A"/>
    <w:rsid w:val="00A03BBB"/>
    <w:rsid w:val="00A043D2"/>
    <w:rsid w:val="00A050A2"/>
    <w:rsid w:val="00A0515E"/>
    <w:rsid w:val="00A05B34"/>
    <w:rsid w:val="00A064DA"/>
    <w:rsid w:val="00A06644"/>
    <w:rsid w:val="00A06843"/>
    <w:rsid w:val="00A06A1B"/>
    <w:rsid w:val="00A06BCD"/>
    <w:rsid w:val="00A06F06"/>
    <w:rsid w:val="00A07365"/>
    <w:rsid w:val="00A07B72"/>
    <w:rsid w:val="00A07E32"/>
    <w:rsid w:val="00A104DF"/>
    <w:rsid w:val="00A10E11"/>
    <w:rsid w:val="00A114CB"/>
    <w:rsid w:val="00A11972"/>
    <w:rsid w:val="00A11B47"/>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4F03"/>
    <w:rsid w:val="00A151C8"/>
    <w:rsid w:val="00A1525D"/>
    <w:rsid w:val="00A15A68"/>
    <w:rsid w:val="00A1619E"/>
    <w:rsid w:val="00A16299"/>
    <w:rsid w:val="00A165EA"/>
    <w:rsid w:val="00A1671D"/>
    <w:rsid w:val="00A16DEC"/>
    <w:rsid w:val="00A17294"/>
    <w:rsid w:val="00A172DC"/>
    <w:rsid w:val="00A17653"/>
    <w:rsid w:val="00A17CEA"/>
    <w:rsid w:val="00A17DC7"/>
    <w:rsid w:val="00A2045C"/>
    <w:rsid w:val="00A20C9A"/>
    <w:rsid w:val="00A20F08"/>
    <w:rsid w:val="00A21895"/>
    <w:rsid w:val="00A21E16"/>
    <w:rsid w:val="00A22283"/>
    <w:rsid w:val="00A225E1"/>
    <w:rsid w:val="00A23386"/>
    <w:rsid w:val="00A24009"/>
    <w:rsid w:val="00A24F04"/>
    <w:rsid w:val="00A24F14"/>
    <w:rsid w:val="00A24F87"/>
    <w:rsid w:val="00A250DB"/>
    <w:rsid w:val="00A2526E"/>
    <w:rsid w:val="00A2546D"/>
    <w:rsid w:val="00A2550D"/>
    <w:rsid w:val="00A25FE3"/>
    <w:rsid w:val="00A2612A"/>
    <w:rsid w:val="00A2658E"/>
    <w:rsid w:val="00A26781"/>
    <w:rsid w:val="00A26C01"/>
    <w:rsid w:val="00A26D97"/>
    <w:rsid w:val="00A26F14"/>
    <w:rsid w:val="00A27103"/>
    <w:rsid w:val="00A273D8"/>
    <w:rsid w:val="00A27474"/>
    <w:rsid w:val="00A27F33"/>
    <w:rsid w:val="00A3037C"/>
    <w:rsid w:val="00A30514"/>
    <w:rsid w:val="00A31379"/>
    <w:rsid w:val="00A31479"/>
    <w:rsid w:val="00A31C18"/>
    <w:rsid w:val="00A3223F"/>
    <w:rsid w:val="00A322D1"/>
    <w:rsid w:val="00A322FF"/>
    <w:rsid w:val="00A32529"/>
    <w:rsid w:val="00A32949"/>
    <w:rsid w:val="00A3345D"/>
    <w:rsid w:val="00A33577"/>
    <w:rsid w:val="00A33AF2"/>
    <w:rsid w:val="00A340F3"/>
    <w:rsid w:val="00A3434A"/>
    <w:rsid w:val="00A34B80"/>
    <w:rsid w:val="00A35027"/>
    <w:rsid w:val="00A3515A"/>
    <w:rsid w:val="00A35182"/>
    <w:rsid w:val="00A35C04"/>
    <w:rsid w:val="00A36084"/>
    <w:rsid w:val="00A3612C"/>
    <w:rsid w:val="00A366E3"/>
    <w:rsid w:val="00A368EB"/>
    <w:rsid w:val="00A36E13"/>
    <w:rsid w:val="00A37327"/>
    <w:rsid w:val="00A37370"/>
    <w:rsid w:val="00A373FC"/>
    <w:rsid w:val="00A374D4"/>
    <w:rsid w:val="00A378D4"/>
    <w:rsid w:val="00A37E02"/>
    <w:rsid w:val="00A37E64"/>
    <w:rsid w:val="00A37F6C"/>
    <w:rsid w:val="00A37F6E"/>
    <w:rsid w:val="00A40612"/>
    <w:rsid w:val="00A40BD5"/>
    <w:rsid w:val="00A40F99"/>
    <w:rsid w:val="00A412CB"/>
    <w:rsid w:val="00A41B75"/>
    <w:rsid w:val="00A41F8A"/>
    <w:rsid w:val="00A41FD5"/>
    <w:rsid w:val="00A42948"/>
    <w:rsid w:val="00A429C4"/>
    <w:rsid w:val="00A430A1"/>
    <w:rsid w:val="00A430DE"/>
    <w:rsid w:val="00A4367A"/>
    <w:rsid w:val="00A44098"/>
    <w:rsid w:val="00A443BB"/>
    <w:rsid w:val="00A44584"/>
    <w:rsid w:val="00A44D77"/>
    <w:rsid w:val="00A46788"/>
    <w:rsid w:val="00A4709A"/>
    <w:rsid w:val="00A504D3"/>
    <w:rsid w:val="00A505C4"/>
    <w:rsid w:val="00A517F5"/>
    <w:rsid w:val="00A518BC"/>
    <w:rsid w:val="00A51E07"/>
    <w:rsid w:val="00A51EF8"/>
    <w:rsid w:val="00A5235C"/>
    <w:rsid w:val="00A52B6A"/>
    <w:rsid w:val="00A52FB0"/>
    <w:rsid w:val="00A530D9"/>
    <w:rsid w:val="00A54073"/>
    <w:rsid w:val="00A543FE"/>
    <w:rsid w:val="00A544E0"/>
    <w:rsid w:val="00A5496C"/>
    <w:rsid w:val="00A54B2F"/>
    <w:rsid w:val="00A5511E"/>
    <w:rsid w:val="00A55770"/>
    <w:rsid w:val="00A56246"/>
    <w:rsid w:val="00A57816"/>
    <w:rsid w:val="00A57A1D"/>
    <w:rsid w:val="00A57ADB"/>
    <w:rsid w:val="00A60023"/>
    <w:rsid w:val="00A608D2"/>
    <w:rsid w:val="00A60E89"/>
    <w:rsid w:val="00A60EAC"/>
    <w:rsid w:val="00A610E0"/>
    <w:rsid w:val="00A61440"/>
    <w:rsid w:val="00A614AC"/>
    <w:rsid w:val="00A6210F"/>
    <w:rsid w:val="00A62B89"/>
    <w:rsid w:val="00A62DD4"/>
    <w:rsid w:val="00A62EAF"/>
    <w:rsid w:val="00A62F6B"/>
    <w:rsid w:val="00A63F50"/>
    <w:rsid w:val="00A643DA"/>
    <w:rsid w:val="00A64C36"/>
    <w:rsid w:val="00A654F4"/>
    <w:rsid w:val="00A65A35"/>
    <w:rsid w:val="00A65A3C"/>
    <w:rsid w:val="00A65F6C"/>
    <w:rsid w:val="00A66217"/>
    <w:rsid w:val="00A66289"/>
    <w:rsid w:val="00A66350"/>
    <w:rsid w:val="00A6665F"/>
    <w:rsid w:val="00A66B5D"/>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1F75"/>
    <w:rsid w:val="00A72D03"/>
    <w:rsid w:val="00A73280"/>
    <w:rsid w:val="00A7332C"/>
    <w:rsid w:val="00A73847"/>
    <w:rsid w:val="00A74081"/>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5B3"/>
    <w:rsid w:val="00A77A29"/>
    <w:rsid w:val="00A77DEF"/>
    <w:rsid w:val="00A80087"/>
    <w:rsid w:val="00A80486"/>
    <w:rsid w:val="00A80931"/>
    <w:rsid w:val="00A81438"/>
    <w:rsid w:val="00A8163B"/>
    <w:rsid w:val="00A8189B"/>
    <w:rsid w:val="00A8195B"/>
    <w:rsid w:val="00A81AAE"/>
    <w:rsid w:val="00A821C4"/>
    <w:rsid w:val="00A825CA"/>
    <w:rsid w:val="00A82691"/>
    <w:rsid w:val="00A827F1"/>
    <w:rsid w:val="00A82A83"/>
    <w:rsid w:val="00A82AFC"/>
    <w:rsid w:val="00A82B64"/>
    <w:rsid w:val="00A82FE3"/>
    <w:rsid w:val="00A8308B"/>
    <w:rsid w:val="00A834E9"/>
    <w:rsid w:val="00A84AD5"/>
    <w:rsid w:val="00A84F26"/>
    <w:rsid w:val="00A8581E"/>
    <w:rsid w:val="00A85D7B"/>
    <w:rsid w:val="00A86236"/>
    <w:rsid w:val="00A862A3"/>
    <w:rsid w:val="00A8669F"/>
    <w:rsid w:val="00A86B53"/>
    <w:rsid w:val="00A86F50"/>
    <w:rsid w:val="00A872BB"/>
    <w:rsid w:val="00A8736B"/>
    <w:rsid w:val="00A8775D"/>
    <w:rsid w:val="00A87B84"/>
    <w:rsid w:val="00A90014"/>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3F3"/>
    <w:rsid w:val="00A949DC"/>
    <w:rsid w:val="00A94B9F"/>
    <w:rsid w:val="00A94F47"/>
    <w:rsid w:val="00A95198"/>
    <w:rsid w:val="00A9527A"/>
    <w:rsid w:val="00A95637"/>
    <w:rsid w:val="00A95917"/>
    <w:rsid w:val="00A95A05"/>
    <w:rsid w:val="00A96016"/>
    <w:rsid w:val="00A96922"/>
    <w:rsid w:val="00A97364"/>
    <w:rsid w:val="00A9751B"/>
    <w:rsid w:val="00A976EB"/>
    <w:rsid w:val="00A97774"/>
    <w:rsid w:val="00A97AC1"/>
    <w:rsid w:val="00A97CA9"/>
    <w:rsid w:val="00AA08D3"/>
    <w:rsid w:val="00AA0CA6"/>
    <w:rsid w:val="00AA152B"/>
    <w:rsid w:val="00AA186D"/>
    <w:rsid w:val="00AA3221"/>
    <w:rsid w:val="00AA355C"/>
    <w:rsid w:val="00AA3575"/>
    <w:rsid w:val="00AA39AB"/>
    <w:rsid w:val="00AA3E6A"/>
    <w:rsid w:val="00AA4652"/>
    <w:rsid w:val="00AA46C6"/>
    <w:rsid w:val="00AA47A8"/>
    <w:rsid w:val="00AA48F7"/>
    <w:rsid w:val="00AA4C64"/>
    <w:rsid w:val="00AA5B5F"/>
    <w:rsid w:val="00AA5E79"/>
    <w:rsid w:val="00AA64B6"/>
    <w:rsid w:val="00AA65C3"/>
    <w:rsid w:val="00AA68CB"/>
    <w:rsid w:val="00AA70C8"/>
    <w:rsid w:val="00AA71E0"/>
    <w:rsid w:val="00AA723E"/>
    <w:rsid w:val="00AA747F"/>
    <w:rsid w:val="00AB05FD"/>
    <w:rsid w:val="00AB0953"/>
    <w:rsid w:val="00AB12B8"/>
    <w:rsid w:val="00AB15CA"/>
    <w:rsid w:val="00AB16AA"/>
    <w:rsid w:val="00AB19DD"/>
    <w:rsid w:val="00AB1A2A"/>
    <w:rsid w:val="00AB1AB6"/>
    <w:rsid w:val="00AB1C13"/>
    <w:rsid w:val="00AB1F28"/>
    <w:rsid w:val="00AB1FCD"/>
    <w:rsid w:val="00AB2336"/>
    <w:rsid w:val="00AB2720"/>
    <w:rsid w:val="00AB2B91"/>
    <w:rsid w:val="00AB2C2B"/>
    <w:rsid w:val="00AB3043"/>
    <w:rsid w:val="00AB32C3"/>
    <w:rsid w:val="00AB33B9"/>
    <w:rsid w:val="00AB3660"/>
    <w:rsid w:val="00AB3C7E"/>
    <w:rsid w:val="00AB3EC2"/>
    <w:rsid w:val="00AB4110"/>
    <w:rsid w:val="00AB42B0"/>
    <w:rsid w:val="00AB4339"/>
    <w:rsid w:val="00AB4A34"/>
    <w:rsid w:val="00AB4E07"/>
    <w:rsid w:val="00AB4E19"/>
    <w:rsid w:val="00AB4E34"/>
    <w:rsid w:val="00AB4FC5"/>
    <w:rsid w:val="00AB4FCE"/>
    <w:rsid w:val="00AB5291"/>
    <w:rsid w:val="00AB582D"/>
    <w:rsid w:val="00AB620A"/>
    <w:rsid w:val="00AB6A95"/>
    <w:rsid w:val="00AB72C2"/>
    <w:rsid w:val="00AB78D7"/>
    <w:rsid w:val="00AB7CFD"/>
    <w:rsid w:val="00AC000D"/>
    <w:rsid w:val="00AC0558"/>
    <w:rsid w:val="00AC09CB"/>
    <w:rsid w:val="00AC0EDC"/>
    <w:rsid w:val="00AC14A7"/>
    <w:rsid w:val="00AC1564"/>
    <w:rsid w:val="00AC1651"/>
    <w:rsid w:val="00AC1771"/>
    <w:rsid w:val="00AC198C"/>
    <w:rsid w:val="00AC1F37"/>
    <w:rsid w:val="00AC20AD"/>
    <w:rsid w:val="00AC30E4"/>
    <w:rsid w:val="00AC3133"/>
    <w:rsid w:val="00AC3408"/>
    <w:rsid w:val="00AC3B49"/>
    <w:rsid w:val="00AC3ED3"/>
    <w:rsid w:val="00AC3EF4"/>
    <w:rsid w:val="00AC44F5"/>
    <w:rsid w:val="00AC4F4A"/>
    <w:rsid w:val="00AC4F83"/>
    <w:rsid w:val="00AC5717"/>
    <w:rsid w:val="00AC5A68"/>
    <w:rsid w:val="00AC5B9D"/>
    <w:rsid w:val="00AC7306"/>
    <w:rsid w:val="00AC7ADA"/>
    <w:rsid w:val="00AD04A7"/>
    <w:rsid w:val="00AD08B7"/>
    <w:rsid w:val="00AD1CDE"/>
    <w:rsid w:val="00AD1F86"/>
    <w:rsid w:val="00AD2369"/>
    <w:rsid w:val="00AD2652"/>
    <w:rsid w:val="00AD26B0"/>
    <w:rsid w:val="00AD2946"/>
    <w:rsid w:val="00AD2B11"/>
    <w:rsid w:val="00AD2CF0"/>
    <w:rsid w:val="00AD34B5"/>
    <w:rsid w:val="00AD3E33"/>
    <w:rsid w:val="00AD3FE4"/>
    <w:rsid w:val="00AD4646"/>
    <w:rsid w:val="00AD4BCD"/>
    <w:rsid w:val="00AD4D58"/>
    <w:rsid w:val="00AD533D"/>
    <w:rsid w:val="00AD53C3"/>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5C67"/>
    <w:rsid w:val="00AE5D87"/>
    <w:rsid w:val="00AE61E0"/>
    <w:rsid w:val="00AE6F67"/>
    <w:rsid w:val="00AE7DCF"/>
    <w:rsid w:val="00AF01A8"/>
    <w:rsid w:val="00AF04BB"/>
    <w:rsid w:val="00AF05F1"/>
    <w:rsid w:val="00AF088A"/>
    <w:rsid w:val="00AF14B9"/>
    <w:rsid w:val="00AF1935"/>
    <w:rsid w:val="00AF20E0"/>
    <w:rsid w:val="00AF20FC"/>
    <w:rsid w:val="00AF2217"/>
    <w:rsid w:val="00AF2C35"/>
    <w:rsid w:val="00AF2E10"/>
    <w:rsid w:val="00AF2E17"/>
    <w:rsid w:val="00AF3197"/>
    <w:rsid w:val="00AF32D1"/>
    <w:rsid w:val="00AF3ED6"/>
    <w:rsid w:val="00AF41C9"/>
    <w:rsid w:val="00AF442C"/>
    <w:rsid w:val="00AF46FA"/>
    <w:rsid w:val="00AF4C0F"/>
    <w:rsid w:val="00AF4C42"/>
    <w:rsid w:val="00AF4C74"/>
    <w:rsid w:val="00AF5415"/>
    <w:rsid w:val="00AF5A6F"/>
    <w:rsid w:val="00AF5C86"/>
    <w:rsid w:val="00AF5DB1"/>
    <w:rsid w:val="00AF6440"/>
    <w:rsid w:val="00AF6A18"/>
    <w:rsid w:val="00AF6CF5"/>
    <w:rsid w:val="00AF700E"/>
    <w:rsid w:val="00AF70D9"/>
    <w:rsid w:val="00AF74CA"/>
    <w:rsid w:val="00AF7CDB"/>
    <w:rsid w:val="00B006AE"/>
    <w:rsid w:val="00B006F4"/>
    <w:rsid w:val="00B01060"/>
    <w:rsid w:val="00B01E39"/>
    <w:rsid w:val="00B01F0D"/>
    <w:rsid w:val="00B020BF"/>
    <w:rsid w:val="00B0274B"/>
    <w:rsid w:val="00B029CB"/>
    <w:rsid w:val="00B02D65"/>
    <w:rsid w:val="00B02D72"/>
    <w:rsid w:val="00B02E2D"/>
    <w:rsid w:val="00B02FA5"/>
    <w:rsid w:val="00B0328B"/>
    <w:rsid w:val="00B03735"/>
    <w:rsid w:val="00B0377B"/>
    <w:rsid w:val="00B03879"/>
    <w:rsid w:val="00B03CB8"/>
    <w:rsid w:val="00B03D75"/>
    <w:rsid w:val="00B04194"/>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808"/>
    <w:rsid w:val="00B07ED4"/>
    <w:rsid w:val="00B101C1"/>
    <w:rsid w:val="00B10250"/>
    <w:rsid w:val="00B10E05"/>
    <w:rsid w:val="00B115F5"/>
    <w:rsid w:val="00B11F8D"/>
    <w:rsid w:val="00B12082"/>
    <w:rsid w:val="00B12783"/>
    <w:rsid w:val="00B12E19"/>
    <w:rsid w:val="00B12FAC"/>
    <w:rsid w:val="00B1336C"/>
    <w:rsid w:val="00B13438"/>
    <w:rsid w:val="00B146DE"/>
    <w:rsid w:val="00B1470F"/>
    <w:rsid w:val="00B148CE"/>
    <w:rsid w:val="00B14A2B"/>
    <w:rsid w:val="00B14FFD"/>
    <w:rsid w:val="00B15566"/>
    <w:rsid w:val="00B15EC2"/>
    <w:rsid w:val="00B15FD7"/>
    <w:rsid w:val="00B16AFB"/>
    <w:rsid w:val="00B170F5"/>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6DB"/>
    <w:rsid w:val="00B26B96"/>
    <w:rsid w:val="00B26D6F"/>
    <w:rsid w:val="00B2723A"/>
    <w:rsid w:val="00B273B4"/>
    <w:rsid w:val="00B278DF"/>
    <w:rsid w:val="00B27A86"/>
    <w:rsid w:val="00B3027A"/>
    <w:rsid w:val="00B306B2"/>
    <w:rsid w:val="00B307C7"/>
    <w:rsid w:val="00B30962"/>
    <w:rsid w:val="00B30BD5"/>
    <w:rsid w:val="00B30DF6"/>
    <w:rsid w:val="00B30F7E"/>
    <w:rsid w:val="00B31022"/>
    <w:rsid w:val="00B316FF"/>
    <w:rsid w:val="00B317EB"/>
    <w:rsid w:val="00B31D24"/>
    <w:rsid w:val="00B31E9B"/>
    <w:rsid w:val="00B3215F"/>
    <w:rsid w:val="00B32835"/>
    <w:rsid w:val="00B329F5"/>
    <w:rsid w:val="00B32C33"/>
    <w:rsid w:val="00B32E6D"/>
    <w:rsid w:val="00B334E6"/>
    <w:rsid w:val="00B336D0"/>
    <w:rsid w:val="00B3382F"/>
    <w:rsid w:val="00B33C41"/>
    <w:rsid w:val="00B3418E"/>
    <w:rsid w:val="00B3432C"/>
    <w:rsid w:val="00B345B7"/>
    <w:rsid w:val="00B34BF5"/>
    <w:rsid w:val="00B34C56"/>
    <w:rsid w:val="00B34CF8"/>
    <w:rsid w:val="00B350D0"/>
    <w:rsid w:val="00B358FC"/>
    <w:rsid w:val="00B35983"/>
    <w:rsid w:val="00B35A48"/>
    <w:rsid w:val="00B35D6A"/>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0DEA"/>
    <w:rsid w:val="00B410F4"/>
    <w:rsid w:val="00B4148E"/>
    <w:rsid w:val="00B417BE"/>
    <w:rsid w:val="00B41948"/>
    <w:rsid w:val="00B41E3D"/>
    <w:rsid w:val="00B4235F"/>
    <w:rsid w:val="00B42470"/>
    <w:rsid w:val="00B4254C"/>
    <w:rsid w:val="00B42F0C"/>
    <w:rsid w:val="00B42FAE"/>
    <w:rsid w:val="00B43C5F"/>
    <w:rsid w:val="00B43FE2"/>
    <w:rsid w:val="00B44036"/>
    <w:rsid w:val="00B4429C"/>
    <w:rsid w:val="00B44501"/>
    <w:rsid w:val="00B4473D"/>
    <w:rsid w:val="00B448D0"/>
    <w:rsid w:val="00B453CF"/>
    <w:rsid w:val="00B45412"/>
    <w:rsid w:val="00B4570C"/>
    <w:rsid w:val="00B46520"/>
    <w:rsid w:val="00B46C1A"/>
    <w:rsid w:val="00B46D00"/>
    <w:rsid w:val="00B473B8"/>
    <w:rsid w:val="00B476C7"/>
    <w:rsid w:val="00B47CD5"/>
    <w:rsid w:val="00B47E43"/>
    <w:rsid w:val="00B47EB5"/>
    <w:rsid w:val="00B47FC7"/>
    <w:rsid w:val="00B50BDA"/>
    <w:rsid w:val="00B50D43"/>
    <w:rsid w:val="00B50E75"/>
    <w:rsid w:val="00B5167D"/>
    <w:rsid w:val="00B5173B"/>
    <w:rsid w:val="00B51919"/>
    <w:rsid w:val="00B52A61"/>
    <w:rsid w:val="00B52C89"/>
    <w:rsid w:val="00B531F3"/>
    <w:rsid w:val="00B5364E"/>
    <w:rsid w:val="00B537D4"/>
    <w:rsid w:val="00B53811"/>
    <w:rsid w:val="00B5395E"/>
    <w:rsid w:val="00B53C58"/>
    <w:rsid w:val="00B53E99"/>
    <w:rsid w:val="00B54229"/>
    <w:rsid w:val="00B5463D"/>
    <w:rsid w:val="00B55737"/>
    <w:rsid w:val="00B5589F"/>
    <w:rsid w:val="00B55FC1"/>
    <w:rsid w:val="00B56261"/>
    <w:rsid w:val="00B56F2F"/>
    <w:rsid w:val="00B57068"/>
    <w:rsid w:val="00B5750C"/>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C5A"/>
    <w:rsid w:val="00B63E6B"/>
    <w:rsid w:val="00B643DC"/>
    <w:rsid w:val="00B6441B"/>
    <w:rsid w:val="00B64732"/>
    <w:rsid w:val="00B6482C"/>
    <w:rsid w:val="00B64F93"/>
    <w:rsid w:val="00B6516A"/>
    <w:rsid w:val="00B6597F"/>
    <w:rsid w:val="00B65B14"/>
    <w:rsid w:val="00B65B60"/>
    <w:rsid w:val="00B663D0"/>
    <w:rsid w:val="00B663E3"/>
    <w:rsid w:val="00B66FB4"/>
    <w:rsid w:val="00B673C2"/>
    <w:rsid w:val="00B674E5"/>
    <w:rsid w:val="00B678FE"/>
    <w:rsid w:val="00B70238"/>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68C"/>
    <w:rsid w:val="00B75E08"/>
    <w:rsid w:val="00B7681C"/>
    <w:rsid w:val="00B7698B"/>
    <w:rsid w:val="00B769F0"/>
    <w:rsid w:val="00B76B20"/>
    <w:rsid w:val="00B76B3A"/>
    <w:rsid w:val="00B76BF4"/>
    <w:rsid w:val="00B76D6C"/>
    <w:rsid w:val="00B77BBD"/>
    <w:rsid w:val="00B77C1D"/>
    <w:rsid w:val="00B77FA2"/>
    <w:rsid w:val="00B800D1"/>
    <w:rsid w:val="00B8069D"/>
    <w:rsid w:val="00B807D2"/>
    <w:rsid w:val="00B80A5C"/>
    <w:rsid w:val="00B80BF3"/>
    <w:rsid w:val="00B80FCF"/>
    <w:rsid w:val="00B81379"/>
    <w:rsid w:val="00B81740"/>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59A3"/>
    <w:rsid w:val="00B96A21"/>
    <w:rsid w:val="00B9775E"/>
    <w:rsid w:val="00B979B2"/>
    <w:rsid w:val="00BA0371"/>
    <w:rsid w:val="00BA06B8"/>
    <w:rsid w:val="00BA1726"/>
    <w:rsid w:val="00BA21CD"/>
    <w:rsid w:val="00BA2257"/>
    <w:rsid w:val="00BA225D"/>
    <w:rsid w:val="00BA2354"/>
    <w:rsid w:val="00BA28C6"/>
    <w:rsid w:val="00BA2C67"/>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783"/>
    <w:rsid w:val="00BB17F8"/>
    <w:rsid w:val="00BB20EE"/>
    <w:rsid w:val="00BB27CA"/>
    <w:rsid w:val="00BB2BCF"/>
    <w:rsid w:val="00BB3AB1"/>
    <w:rsid w:val="00BB3C89"/>
    <w:rsid w:val="00BB4602"/>
    <w:rsid w:val="00BB4980"/>
    <w:rsid w:val="00BB4AAB"/>
    <w:rsid w:val="00BB5B2B"/>
    <w:rsid w:val="00BB5E91"/>
    <w:rsid w:val="00BB5EB6"/>
    <w:rsid w:val="00BB682A"/>
    <w:rsid w:val="00BB6F89"/>
    <w:rsid w:val="00BB725A"/>
    <w:rsid w:val="00BB7832"/>
    <w:rsid w:val="00BC0350"/>
    <w:rsid w:val="00BC0430"/>
    <w:rsid w:val="00BC10C2"/>
    <w:rsid w:val="00BC1A3B"/>
    <w:rsid w:val="00BC2B0F"/>
    <w:rsid w:val="00BC2BCF"/>
    <w:rsid w:val="00BC2D38"/>
    <w:rsid w:val="00BC2E39"/>
    <w:rsid w:val="00BC2EE7"/>
    <w:rsid w:val="00BC30C1"/>
    <w:rsid w:val="00BC30ED"/>
    <w:rsid w:val="00BC32BD"/>
    <w:rsid w:val="00BC3304"/>
    <w:rsid w:val="00BC372D"/>
    <w:rsid w:val="00BC3BC9"/>
    <w:rsid w:val="00BC3CBE"/>
    <w:rsid w:val="00BC3E25"/>
    <w:rsid w:val="00BC3FCC"/>
    <w:rsid w:val="00BC42EB"/>
    <w:rsid w:val="00BC481F"/>
    <w:rsid w:val="00BC49B4"/>
    <w:rsid w:val="00BC4DFD"/>
    <w:rsid w:val="00BC5D66"/>
    <w:rsid w:val="00BC5DD5"/>
    <w:rsid w:val="00BC5E4C"/>
    <w:rsid w:val="00BC65C0"/>
    <w:rsid w:val="00BC69D1"/>
    <w:rsid w:val="00BC6BE9"/>
    <w:rsid w:val="00BC6E6E"/>
    <w:rsid w:val="00BC7094"/>
    <w:rsid w:val="00BC70AF"/>
    <w:rsid w:val="00BC712E"/>
    <w:rsid w:val="00BD0435"/>
    <w:rsid w:val="00BD05AA"/>
    <w:rsid w:val="00BD0640"/>
    <w:rsid w:val="00BD0CBE"/>
    <w:rsid w:val="00BD1588"/>
    <w:rsid w:val="00BD18CE"/>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D7"/>
    <w:rsid w:val="00BD7B29"/>
    <w:rsid w:val="00BE0534"/>
    <w:rsid w:val="00BE0DAA"/>
    <w:rsid w:val="00BE12C8"/>
    <w:rsid w:val="00BE1B5A"/>
    <w:rsid w:val="00BE1C12"/>
    <w:rsid w:val="00BE218B"/>
    <w:rsid w:val="00BE289F"/>
    <w:rsid w:val="00BE29E3"/>
    <w:rsid w:val="00BE379E"/>
    <w:rsid w:val="00BE4908"/>
    <w:rsid w:val="00BE4CB0"/>
    <w:rsid w:val="00BE4DAF"/>
    <w:rsid w:val="00BE5301"/>
    <w:rsid w:val="00BE53D6"/>
    <w:rsid w:val="00BE5591"/>
    <w:rsid w:val="00BE57E5"/>
    <w:rsid w:val="00BE5941"/>
    <w:rsid w:val="00BE5EF9"/>
    <w:rsid w:val="00BE62D5"/>
    <w:rsid w:val="00BE748F"/>
    <w:rsid w:val="00BE7A15"/>
    <w:rsid w:val="00BE7A8A"/>
    <w:rsid w:val="00BE7E58"/>
    <w:rsid w:val="00BF001F"/>
    <w:rsid w:val="00BF00D5"/>
    <w:rsid w:val="00BF0173"/>
    <w:rsid w:val="00BF0587"/>
    <w:rsid w:val="00BF05A2"/>
    <w:rsid w:val="00BF17BA"/>
    <w:rsid w:val="00BF183B"/>
    <w:rsid w:val="00BF20F8"/>
    <w:rsid w:val="00BF2AAD"/>
    <w:rsid w:val="00BF2EE4"/>
    <w:rsid w:val="00BF316B"/>
    <w:rsid w:val="00BF3218"/>
    <w:rsid w:val="00BF3E30"/>
    <w:rsid w:val="00BF426A"/>
    <w:rsid w:val="00BF4A8F"/>
    <w:rsid w:val="00BF52F0"/>
    <w:rsid w:val="00BF5337"/>
    <w:rsid w:val="00BF54E6"/>
    <w:rsid w:val="00BF58D8"/>
    <w:rsid w:val="00BF6468"/>
    <w:rsid w:val="00BF64BE"/>
    <w:rsid w:val="00BF6541"/>
    <w:rsid w:val="00BF6687"/>
    <w:rsid w:val="00BF6A3F"/>
    <w:rsid w:val="00BF758A"/>
    <w:rsid w:val="00BF7B43"/>
    <w:rsid w:val="00C005F2"/>
    <w:rsid w:val="00C008F0"/>
    <w:rsid w:val="00C00F89"/>
    <w:rsid w:val="00C02084"/>
    <w:rsid w:val="00C02288"/>
    <w:rsid w:val="00C026CC"/>
    <w:rsid w:val="00C02872"/>
    <w:rsid w:val="00C02B51"/>
    <w:rsid w:val="00C02BDF"/>
    <w:rsid w:val="00C035B6"/>
    <w:rsid w:val="00C037CF"/>
    <w:rsid w:val="00C03E14"/>
    <w:rsid w:val="00C03EC8"/>
    <w:rsid w:val="00C03ECD"/>
    <w:rsid w:val="00C0419C"/>
    <w:rsid w:val="00C0422A"/>
    <w:rsid w:val="00C04377"/>
    <w:rsid w:val="00C04857"/>
    <w:rsid w:val="00C04C8F"/>
    <w:rsid w:val="00C04E8F"/>
    <w:rsid w:val="00C051F2"/>
    <w:rsid w:val="00C06A1E"/>
    <w:rsid w:val="00C06BAF"/>
    <w:rsid w:val="00C06E56"/>
    <w:rsid w:val="00C072DA"/>
    <w:rsid w:val="00C07A9D"/>
    <w:rsid w:val="00C07B2B"/>
    <w:rsid w:val="00C10294"/>
    <w:rsid w:val="00C1070F"/>
    <w:rsid w:val="00C10731"/>
    <w:rsid w:val="00C10807"/>
    <w:rsid w:val="00C10B85"/>
    <w:rsid w:val="00C10BA1"/>
    <w:rsid w:val="00C112BC"/>
    <w:rsid w:val="00C115E7"/>
    <w:rsid w:val="00C1189E"/>
    <w:rsid w:val="00C11A16"/>
    <w:rsid w:val="00C11B3A"/>
    <w:rsid w:val="00C12433"/>
    <w:rsid w:val="00C1280E"/>
    <w:rsid w:val="00C13462"/>
    <w:rsid w:val="00C1350F"/>
    <w:rsid w:val="00C13951"/>
    <w:rsid w:val="00C13BF6"/>
    <w:rsid w:val="00C13C1D"/>
    <w:rsid w:val="00C1406E"/>
    <w:rsid w:val="00C141A1"/>
    <w:rsid w:val="00C14226"/>
    <w:rsid w:val="00C147DD"/>
    <w:rsid w:val="00C14DCE"/>
    <w:rsid w:val="00C15017"/>
    <w:rsid w:val="00C15156"/>
    <w:rsid w:val="00C15313"/>
    <w:rsid w:val="00C154A2"/>
    <w:rsid w:val="00C16751"/>
    <w:rsid w:val="00C16D3B"/>
    <w:rsid w:val="00C170B9"/>
    <w:rsid w:val="00C17586"/>
    <w:rsid w:val="00C17DEC"/>
    <w:rsid w:val="00C2072D"/>
    <w:rsid w:val="00C2096F"/>
    <w:rsid w:val="00C21599"/>
    <w:rsid w:val="00C215E1"/>
    <w:rsid w:val="00C21BE5"/>
    <w:rsid w:val="00C21DC2"/>
    <w:rsid w:val="00C22F8C"/>
    <w:rsid w:val="00C23450"/>
    <w:rsid w:val="00C23900"/>
    <w:rsid w:val="00C24420"/>
    <w:rsid w:val="00C244E9"/>
    <w:rsid w:val="00C245BE"/>
    <w:rsid w:val="00C249C0"/>
    <w:rsid w:val="00C24B4F"/>
    <w:rsid w:val="00C25064"/>
    <w:rsid w:val="00C25240"/>
    <w:rsid w:val="00C25301"/>
    <w:rsid w:val="00C25A02"/>
    <w:rsid w:val="00C25D09"/>
    <w:rsid w:val="00C26145"/>
    <w:rsid w:val="00C269C3"/>
    <w:rsid w:val="00C26A70"/>
    <w:rsid w:val="00C27362"/>
    <w:rsid w:val="00C30014"/>
    <w:rsid w:val="00C30900"/>
    <w:rsid w:val="00C30E11"/>
    <w:rsid w:val="00C31082"/>
    <w:rsid w:val="00C31290"/>
    <w:rsid w:val="00C316AE"/>
    <w:rsid w:val="00C31B7A"/>
    <w:rsid w:val="00C31EF5"/>
    <w:rsid w:val="00C321D3"/>
    <w:rsid w:val="00C3256B"/>
    <w:rsid w:val="00C325CB"/>
    <w:rsid w:val="00C3289B"/>
    <w:rsid w:val="00C33FAC"/>
    <w:rsid w:val="00C3457F"/>
    <w:rsid w:val="00C34B8C"/>
    <w:rsid w:val="00C34B9C"/>
    <w:rsid w:val="00C35696"/>
    <w:rsid w:val="00C35B4E"/>
    <w:rsid w:val="00C35CE9"/>
    <w:rsid w:val="00C35F2F"/>
    <w:rsid w:val="00C36299"/>
    <w:rsid w:val="00C36349"/>
    <w:rsid w:val="00C36569"/>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AEC"/>
    <w:rsid w:val="00C43B56"/>
    <w:rsid w:val="00C44510"/>
    <w:rsid w:val="00C44661"/>
    <w:rsid w:val="00C455CF"/>
    <w:rsid w:val="00C45986"/>
    <w:rsid w:val="00C45E08"/>
    <w:rsid w:val="00C4608A"/>
    <w:rsid w:val="00C46873"/>
    <w:rsid w:val="00C469F3"/>
    <w:rsid w:val="00C4722C"/>
    <w:rsid w:val="00C47540"/>
    <w:rsid w:val="00C47A99"/>
    <w:rsid w:val="00C47C80"/>
    <w:rsid w:val="00C47E4A"/>
    <w:rsid w:val="00C500C2"/>
    <w:rsid w:val="00C503BE"/>
    <w:rsid w:val="00C50913"/>
    <w:rsid w:val="00C509B9"/>
    <w:rsid w:val="00C50F4C"/>
    <w:rsid w:val="00C50FFD"/>
    <w:rsid w:val="00C51000"/>
    <w:rsid w:val="00C510C4"/>
    <w:rsid w:val="00C51490"/>
    <w:rsid w:val="00C5163E"/>
    <w:rsid w:val="00C517C6"/>
    <w:rsid w:val="00C51A0B"/>
    <w:rsid w:val="00C52906"/>
    <w:rsid w:val="00C529F0"/>
    <w:rsid w:val="00C52C2C"/>
    <w:rsid w:val="00C53044"/>
    <w:rsid w:val="00C540AD"/>
    <w:rsid w:val="00C540CB"/>
    <w:rsid w:val="00C555C5"/>
    <w:rsid w:val="00C5584A"/>
    <w:rsid w:val="00C5604A"/>
    <w:rsid w:val="00C56391"/>
    <w:rsid w:val="00C564E7"/>
    <w:rsid w:val="00C569B9"/>
    <w:rsid w:val="00C56E40"/>
    <w:rsid w:val="00C571D6"/>
    <w:rsid w:val="00C57C29"/>
    <w:rsid w:val="00C57C5C"/>
    <w:rsid w:val="00C57DE2"/>
    <w:rsid w:val="00C605BF"/>
    <w:rsid w:val="00C60971"/>
    <w:rsid w:val="00C60DC5"/>
    <w:rsid w:val="00C611AF"/>
    <w:rsid w:val="00C6155E"/>
    <w:rsid w:val="00C616F5"/>
    <w:rsid w:val="00C61B88"/>
    <w:rsid w:val="00C61BBC"/>
    <w:rsid w:val="00C6219E"/>
    <w:rsid w:val="00C622E1"/>
    <w:rsid w:val="00C6241F"/>
    <w:rsid w:val="00C62563"/>
    <w:rsid w:val="00C628D3"/>
    <w:rsid w:val="00C6311F"/>
    <w:rsid w:val="00C6382C"/>
    <w:rsid w:val="00C63F03"/>
    <w:rsid w:val="00C64402"/>
    <w:rsid w:val="00C64429"/>
    <w:rsid w:val="00C64BA3"/>
    <w:rsid w:val="00C64E5C"/>
    <w:rsid w:val="00C652E6"/>
    <w:rsid w:val="00C654AB"/>
    <w:rsid w:val="00C65687"/>
    <w:rsid w:val="00C659E7"/>
    <w:rsid w:val="00C66752"/>
    <w:rsid w:val="00C668A2"/>
    <w:rsid w:val="00C66AA2"/>
    <w:rsid w:val="00C67460"/>
    <w:rsid w:val="00C67848"/>
    <w:rsid w:val="00C70697"/>
    <w:rsid w:val="00C708B6"/>
    <w:rsid w:val="00C70971"/>
    <w:rsid w:val="00C70995"/>
    <w:rsid w:val="00C70B2F"/>
    <w:rsid w:val="00C70E81"/>
    <w:rsid w:val="00C712F8"/>
    <w:rsid w:val="00C71389"/>
    <w:rsid w:val="00C714C1"/>
    <w:rsid w:val="00C71606"/>
    <w:rsid w:val="00C71609"/>
    <w:rsid w:val="00C7176D"/>
    <w:rsid w:val="00C71B88"/>
    <w:rsid w:val="00C71C3C"/>
    <w:rsid w:val="00C72386"/>
    <w:rsid w:val="00C7243D"/>
    <w:rsid w:val="00C72522"/>
    <w:rsid w:val="00C72D64"/>
    <w:rsid w:val="00C730B8"/>
    <w:rsid w:val="00C7313B"/>
    <w:rsid w:val="00C73B19"/>
    <w:rsid w:val="00C73D86"/>
    <w:rsid w:val="00C73EEC"/>
    <w:rsid w:val="00C73F39"/>
    <w:rsid w:val="00C73F5D"/>
    <w:rsid w:val="00C74170"/>
    <w:rsid w:val="00C746A8"/>
    <w:rsid w:val="00C74774"/>
    <w:rsid w:val="00C74868"/>
    <w:rsid w:val="00C74D58"/>
    <w:rsid w:val="00C75915"/>
    <w:rsid w:val="00C76837"/>
    <w:rsid w:val="00C77802"/>
    <w:rsid w:val="00C77AA4"/>
    <w:rsid w:val="00C77F2C"/>
    <w:rsid w:val="00C803B9"/>
    <w:rsid w:val="00C80765"/>
    <w:rsid w:val="00C818CA"/>
    <w:rsid w:val="00C81907"/>
    <w:rsid w:val="00C81B3D"/>
    <w:rsid w:val="00C81CF4"/>
    <w:rsid w:val="00C821AC"/>
    <w:rsid w:val="00C82AE6"/>
    <w:rsid w:val="00C82BC5"/>
    <w:rsid w:val="00C83D15"/>
    <w:rsid w:val="00C84161"/>
    <w:rsid w:val="00C84194"/>
    <w:rsid w:val="00C845C4"/>
    <w:rsid w:val="00C849F6"/>
    <w:rsid w:val="00C84CBE"/>
    <w:rsid w:val="00C85156"/>
    <w:rsid w:val="00C8530E"/>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A23"/>
    <w:rsid w:val="00C93C64"/>
    <w:rsid w:val="00C945E9"/>
    <w:rsid w:val="00C9464E"/>
    <w:rsid w:val="00C94AD2"/>
    <w:rsid w:val="00C94C1E"/>
    <w:rsid w:val="00C94D6B"/>
    <w:rsid w:val="00C95639"/>
    <w:rsid w:val="00C9586B"/>
    <w:rsid w:val="00C959CC"/>
    <w:rsid w:val="00C95F18"/>
    <w:rsid w:val="00C95F2B"/>
    <w:rsid w:val="00C97459"/>
    <w:rsid w:val="00C97627"/>
    <w:rsid w:val="00C976BF"/>
    <w:rsid w:val="00C97A6C"/>
    <w:rsid w:val="00C97D03"/>
    <w:rsid w:val="00CA001B"/>
    <w:rsid w:val="00CA0CAB"/>
    <w:rsid w:val="00CA0D82"/>
    <w:rsid w:val="00CA0F96"/>
    <w:rsid w:val="00CA113C"/>
    <w:rsid w:val="00CA1188"/>
    <w:rsid w:val="00CA12BF"/>
    <w:rsid w:val="00CA1C56"/>
    <w:rsid w:val="00CA2232"/>
    <w:rsid w:val="00CA228A"/>
    <w:rsid w:val="00CA32AD"/>
    <w:rsid w:val="00CA344A"/>
    <w:rsid w:val="00CA3520"/>
    <w:rsid w:val="00CA377E"/>
    <w:rsid w:val="00CA3CC8"/>
    <w:rsid w:val="00CA46B4"/>
    <w:rsid w:val="00CA4DA3"/>
    <w:rsid w:val="00CA599D"/>
    <w:rsid w:val="00CA5AF0"/>
    <w:rsid w:val="00CA6475"/>
    <w:rsid w:val="00CA6639"/>
    <w:rsid w:val="00CA69EF"/>
    <w:rsid w:val="00CA6F30"/>
    <w:rsid w:val="00CA713B"/>
    <w:rsid w:val="00CA75F7"/>
    <w:rsid w:val="00CA77D5"/>
    <w:rsid w:val="00CA78E3"/>
    <w:rsid w:val="00CA7C3D"/>
    <w:rsid w:val="00CB050C"/>
    <w:rsid w:val="00CB05C0"/>
    <w:rsid w:val="00CB05C8"/>
    <w:rsid w:val="00CB073B"/>
    <w:rsid w:val="00CB1193"/>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3F01"/>
    <w:rsid w:val="00CB4084"/>
    <w:rsid w:val="00CB41B9"/>
    <w:rsid w:val="00CB41C3"/>
    <w:rsid w:val="00CB4578"/>
    <w:rsid w:val="00CB48DE"/>
    <w:rsid w:val="00CB4CE8"/>
    <w:rsid w:val="00CB4CF7"/>
    <w:rsid w:val="00CB59C0"/>
    <w:rsid w:val="00CB5BEB"/>
    <w:rsid w:val="00CB5CCE"/>
    <w:rsid w:val="00CB5CCF"/>
    <w:rsid w:val="00CB624B"/>
    <w:rsid w:val="00CB638E"/>
    <w:rsid w:val="00CB668C"/>
    <w:rsid w:val="00CB669D"/>
    <w:rsid w:val="00CB690D"/>
    <w:rsid w:val="00CB6998"/>
    <w:rsid w:val="00CB6CF6"/>
    <w:rsid w:val="00CB6F97"/>
    <w:rsid w:val="00CB71C9"/>
    <w:rsid w:val="00CB7685"/>
    <w:rsid w:val="00CB7714"/>
    <w:rsid w:val="00CB7A53"/>
    <w:rsid w:val="00CC063F"/>
    <w:rsid w:val="00CC08FC"/>
    <w:rsid w:val="00CC0AF7"/>
    <w:rsid w:val="00CC0D94"/>
    <w:rsid w:val="00CC0DED"/>
    <w:rsid w:val="00CC1232"/>
    <w:rsid w:val="00CC13E8"/>
    <w:rsid w:val="00CC154B"/>
    <w:rsid w:val="00CC15B8"/>
    <w:rsid w:val="00CC1AAF"/>
    <w:rsid w:val="00CC1BA2"/>
    <w:rsid w:val="00CC1CEA"/>
    <w:rsid w:val="00CC213B"/>
    <w:rsid w:val="00CC277A"/>
    <w:rsid w:val="00CC289A"/>
    <w:rsid w:val="00CC3271"/>
    <w:rsid w:val="00CC35BA"/>
    <w:rsid w:val="00CC39F7"/>
    <w:rsid w:val="00CC3AB5"/>
    <w:rsid w:val="00CC3CA2"/>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5D6"/>
    <w:rsid w:val="00CC7ABE"/>
    <w:rsid w:val="00CD068D"/>
    <w:rsid w:val="00CD0C0D"/>
    <w:rsid w:val="00CD0F2B"/>
    <w:rsid w:val="00CD1135"/>
    <w:rsid w:val="00CD1230"/>
    <w:rsid w:val="00CD1FBB"/>
    <w:rsid w:val="00CD2608"/>
    <w:rsid w:val="00CD2ACB"/>
    <w:rsid w:val="00CD2CC7"/>
    <w:rsid w:val="00CD36F5"/>
    <w:rsid w:val="00CD3B88"/>
    <w:rsid w:val="00CD5333"/>
    <w:rsid w:val="00CD5502"/>
    <w:rsid w:val="00CD5605"/>
    <w:rsid w:val="00CD563F"/>
    <w:rsid w:val="00CD578D"/>
    <w:rsid w:val="00CD5E65"/>
    <w:rsid w:val="00CD6E24"/>
    <w:rsid w:val="00CD6E99"/>
    <w:rsid w:val="00CD724B"/>
    <w:rsid w:val="00CD7813"/>
    <w:rsid w:val="00CD7C5C"/>
    <w:rsid w:val="00CE04F4"/>
    <w:rsid w:val="00CE08CE"/>
    <w:rsid w:val="00CE0AA9"/>
    <w:rsid w:val="00CE1532"/>
    <w:rsid w:val="00CE1B63"/>
    <w:rsid w:val="00CE1F3A"/>
    <w:rsid w:val="00CE2240"/>
    <w:rsid w:val="00CE22F2"/>
    <w:rsid w:val="00CE2334"/>
    <w:rsid w:val="00CE2F81"/>
    <w:rsid w:val="00CE2FED"/>
    <w:rsid w:val="00CE3014"/>
    <w:rsid w:val="00CE3AEA"/>
    <w:rsid w:val="00CE3C6F"/>
    <w:rsid w:val="00CE424E"/>
    <w:rsid w:val="00CE438D"/>
    <w:rsid w:val="00CE4A30"/>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541"/>
    <w:rsid w:val="00CF2CFD"/>
    <w:rsid w:val="00CF2D97"/>
    <w:rsid w:val="00CF2E27"/>
    <w:rsid w:val="00CF3217"/>
    <w:rsid w:val="00CF35FF"/>
    <w:rsid w:val="00CF3669"/>
    <w:rsid w:val="00CF38F0"/>
    <w:rsid w:val="00CF522D"/>
    <w:rsid w:val="00CF5996"/>
    <w:rsid w:val="00CF5B84"/>
    <w:rsid w:val="00CF65C3"/>
    <w:rsid w:val="00CF68CE"/>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EC1"/>
    <w:rsid w:val="00D02FCA"/>
    <w:rsid w:val="00D0351E"/>
    <w:rsid w:val="00D03D68"/>
    <w:rsid w:val="00D03F38"/>
    <w:rsid w:val="00D0402F"/>
    <w:rsid w:val="00D05825"/>
    <w:rsid w:val="00D06185"/>
    <w:rsid w:val="00D06667"/>
    <w:rsid w:val="00D072F4"/>
    <w:rsid w:val="00D0781D"/>
    <w:rsid w:val="00D07982"/>
    <w:rsid w:val="00D07E75"/>
    <w:rsid w:val="00D07E79"/>
    <w:rsid w:val="00D07F90"/>
    <w:rsid w:val="00D10887"/>
    <w:rsid w:val="00D10A1D"/>
    <w:rsid w:val="00D10F09"/>
    <w:rsid w:val="00D1125C"/>
    <w:rsid w:val="00D12200"/>
    <w:rsid w:val="00D12D13"/>
    <w:rsid w:val="00D12DEF"/>
    <w:rsid w:val="00D12FA1"/>
    <w:rsid w:val="00D13358"/>
    <w:rsid w:val="00D133DF"/>
    <w:rsid w:val="00D14278"/>
    <w:rsid w:val="00D1491A"/>
    <w:rsid w:val="00D14C61"/>
    <w:rsid w:val="00D14F86"/>
    <w:rsid w:val="00D14FCF"/>
    <w:rsid w:val="00D14FF9"/>
    <w:rsid w:val="00D152C8"/>
    <w:rsid w:val="00D155D2"/>
    <w:rsid w:val="00D158E0"/>
    <w:rsid w:val="00D15A6A"/>
    <w:rsid w:val="00D15E0E"/>
    <w:rsid w:val="00D15EC7"/>
    <w:rsid w:val="00D16350"/>
    <w:rsid w:val="00D1646C"/>
    <w:rsid w:val="00D16B2C"/>
    <w:rsid w:val="00D16DE1"/>
    <w:rsid w:val="00D16E0C"/>
    <w:rsid w:val="00D179D3"/>
    <w:rsid w:val="00D17BB8"/>
    <w:rsid w:val="00D200DC"/>
    <w:rsid w:val="00D200F3"/>
    <w:rsid w:val="00D20588"/>
    <w:rsid w:val="00D208E7"/>
    <w:rsid w:val="00D20D3B"/>
    <w:rsid w:val="00D20F77"/>
    <w:rsid w:val="00D2111D"/>
    <w:rsid w:val="00D21C3F"/>
    <w:rsid w:val="00D21DEE"/>
    <w:rsid w:val="00D22184"/>
    <w:rsid w:val="00D224CC"/>
    <w:rsid w:val="00D22999"/>
    <w:rsid w:val="00D22A9F"/>
    <w:rsid w:val="00D22DE7"/>
    <w:rsid w:val="00D231E1"/>
    <w:rsid w:val="00D23770"/>
    <w:rsid w:val="00D23C7F"/>
    <w:rsid w:val="00D24829"/>
    <w:rsid w:val="00D24D4A"/>
    <w:rsid w:val="00D24DA1"/>
    <w:rsid w:val="00D257E2"/>
    <w:rsid w:val="00D25D86"/>
    <w:rsid w:val="00D267B7"/>
    <w:rsid w:val="00D26EC1"/>
    <w:rsid w:val="00D271AE"/>
    <w:rsid w:val="00D27BF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32B"/>
    <w:rsid w:val="00D4167F"/>
    <w:rsid w:val="00D41839"/>
    <w:rsid w:val="00D41993"/>
    <w:rsid w:val="00D41B19"/>
    <w:rsid w:val="00D41D23"/>
    <w:rsid w:val="00D41E9B"/>
    <w:rsid w:val="00D42142"/>
    <w:rsid w:val="00D42503"/>
    <w:rsid w:val="00D4250B"/>
    <w:rsid w:val="00D42840"/>
    <w:rsid w:val="00D428F0"/>
    <w:rsid w:val="00D429F5"/>
    <w:rsid w:val="00D4349E"/>
    <w:rsid w:val="00D43788"/>
    <w:rsid w:val="00D4417F"/>
    <w:rsid w:val="00D44396"/>
    <w:rsid w:val="00D446B6"/>
    <w:rsid w:val="00D44852"/>
    <w:rsid w:val="00D44987"/>
    <w:rsid w:val="00D44B7A"/>
    <w:rsid w:val="00D450FB"/>
    <w:rsid w:val="00D45FF8"/>
    <w:rsid w:val="00D46E38"/>
    <w:rsid w:val="00D472BF"/>
    <w:rsid w:val="00D4763E"/>
    <w:rsid w:val="00D50F05"/>
    <w:rsid w:val="00D52072"/>
    <w:rsid w:val="00D52347"/>
    <w:rsid w:val="00D52A14"/>
    <w:rsid w:val="00D52E93"/>
    <w:rsid w:val="00D53167"/>
    <w:rsid w:val="00D539BE"/>
    <w:rsid w:val="00D53FD1"/>
    <w:rsid w:val="00D543F6"/>
    <w:rsid w:val="00D548B2"/>
    <w:rsid w:val="00D54A8A"/>
    <w:rsid w:val="00D54B1E"/>
    <w:rsid w:val="00D54CA5"/>
    <w:rsid w:val="00D55152"/>
    <w:rsid w:val="00D554AA"/>
    <w:rsid w:val="00D55605"/>
    <w:rsid w:val="00D55973"/>
    <w:rsid w:val="00D56BF6"/>
    <w:rsid w:val="00D574F1"/>
    <w:rsid w:val="00D57770"/>
    <w:rsid w:val="00D57959"/>
    <w:rsid w:val="00D57B4B"/>
    <w:rsid w:val="00D60382"/>
    <w:rsid w:val="00D6042E"/>
    <w:rsid w:val="00D6059C"/>
    <w:rsid w:val="00D608FE"/>
    <w:rsid w:val="00D60DE3"/>
    <w:rsid w:val="00D60E63"/>
    <w:rsid w:val="00D61448"/>
    <w:rsid w:val="00D6155A"/>
    <w:rsid w:val="00D6162F"/>
    <w:rsid w:val="00D6187F"/>
    <w:rsid w:val="00D619C3"/>
    <w:rsid w:val="00D621DA"/>
    <w:rsid w:val="00D62B98"/>
    <w:rsid w:val="00D62DBB"/>
    <w:rsid w:val="00D631A8"/>
    <w:rsid w:val="00D63541"/>
    <w:rsid w:val="00D63D71"/>
    <w:rsid w:val="00D643F8"/>
    <w:rsid w:val="00D650CC"/>
    <w:rsid w:val="00D66840"/>
    <w:rsid w:val="00D668FD"/>
    <w:rsid w:val="00D66ACA"/>
    <w:rsid w:val="00D66B66"/>
    <w:rsid w:val="00D66E4D"/>
    <w:rsid w:val="00D6751F"/>
    <w:rsid w:val="00D67B90"/>
    <w:rsid w:val="00D67EA0"/>
    <w:rsid w:val="00D67EA6"/>
    <w:rsid w:val="00D70697"/>
    <w:rsid w:val="00D706CB"/>
    <w:rsid w:val="00D70E59"/>
    <w:rsid w:val="00D70E80"/>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55C5"/>
    <w:rsid w:val="00D756E3"/>
    <w:rsid w:val="00D75918"/>
    <w:rsid w:val="00D763D0"/>
    <w:rsid w:val="00D764F6"/>
    <w:rsid w:val="00D76908"/>
    <w:rsid w:val="00D76E1F"/>
    <w:rsid w:val="00D77240"/>
    <w:rsid w:val="00D77544"/>
    <w:rsid w:val="00D77B9E"/>
    <w:rsid w:val="00D80438"/>
    <w:rsid w:val="00D8061F"/>
    <w:rsid w:val="00D80889"/>
    <w:rsid w:val="00D80D05"/>
    <w:rsid w:val="00D80E1F"/>
    <w:rsid w:val="00D80E37"/>
    <w:rsid w:val="00D80F6F"/>
    <w:rsid w:val="00D81354"/>
    <w:rsid w:val="00D81490"/>
    <w:rsid w:val="00D815B0"/>
    <w:rsid w:val="00D818D5"/>
    <w:rsid w:val="00D820EB"/>
    <w:rsid w:val="00D82172"/>
    <w:rsid w:val="00D82174"/>
    <w:rsid w:val="00D826C8"/>
    <w:rsid w:val="00D8299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D2"/>
    <w:rsid w:val="00D86BC9"/>
    <w:rsid w:val="00D86DB1"/>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905"/>
    <w:rsid w:val="00D92CD8"/>
    <w:rsid w:val="00D931F2"/>
    <w:rsid w:val="00D940AF"/>
    <w:rsid w:val="00D94459"/>
    <w:rsid w:val="00D94FCF"/>
    <w:rsid w:val="00D95505"/>
    <w:rsid w:val="00D95558"/>
    <w:rsid w:val="00D955B9"/>
    <w:rsid w:val="00D96070"/>
    <w:rsid w:val="00D966C1"/>
    <w:rsid w:val="00D967B7"/>
    <w:rsid w:val="00D96B6F"/>
    <w:rsid w:val="00D96FC6"/>
    <w:rsid w:val="00D972C7"/>
    <w:rsid w:val="00D9742F"/>
    <w:rsid w:val="00D97533"/>
    <w:rsid w:val="00D97859"/>
    <w:rsid w:val="00DA0034"/>
    <w:rsid w:val="00DA0FA4"/>
    <w:rsid w:val="00DA10DF"/>
    <w:rsid w:val="00DA163F"/>
    <w:rsid w:val="00DA1BA9"/>
    <w:rsid w:val="00DA20B7"/>
    <w:rsid w:val="00DA2776"/>
    <w:rsid w:val="00DA288D"/>
    <w:rsid w:val="00DA2D08"/>
    <w:rsid w:val="00DA2DBF"/>
    <w:rsid w:val="00DA3421"/>
    <w:rsid w:val="00DA38EF"/>
    <w:rsid w:val="00DA49D4"/>
    <w:rsid w:val="00DA5047"/>
    <w:rsid w:val="00DA5503"/>
    <w:rsid w:val="00DA5B25"/>
    <w:rsid w:val="00DA5F97"/>
    <w:rsid w:val="00DA610C"/>
    <w:rsid w:val="00DA636F"/>
    <w:rsid w:val="00DA63E7"/>
    <w:rsid w:val="00DA6948"/>
    <w:rsid w:val="00DA6EE1"/>
    <w:rsid w:val="00DA7ECB"/>
    <w:rsid w:val="00DA7FE9"/>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D03"/>
    <w:rsid w:val="00DB41D2"/>
    <w:rsid w:val="00DB434E"/>
    <w:rsid w:val="00DB448E"/>
    <w:rsid w:val="00DB511F"/>
    <w:rsid w:val="00DB54A7"/>
    <w:rsid w:val="00DB5DD0"/>
    <w:rsid w:val="00DB623B"/>
    <w:rsid w:val="00DB6AB4"/>
    <w:rsid w:val="00DB6BA9"/>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8E"/>
    <w:rsid w:val="00DD3F39"/>
    <w:rsid w:val="00DD4048"/>
    <w:rsid w:val="00DD4344"/>
    <w:rsid w:val="00DD4371"/>
    <w:rsid w:val="00DD4484"/>
    <w:rsid w:val="00DD4C30"/>
    <w:rsid w:val="00DD5082"/>
    <w:rsid w:val="00DD57ED"/>
    <w:rsid w:val="00DD57FF"/>
    <w:rsid w:val="00DD584A"/>
    <w:rsid w:val="00DD5A2F"/>
    <w:rsid w:val="00DD5D24"/>
    <w:rsid w:val="00DD5EBE"/>
    <w:rsid w:val="00DD79B6"/>
    <w:rsid w:val="00DD7B66"/>
    <w:rsid w:val="00DD7C43"/>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DAE"/>
    <w:rsid w:val="00DE3E2E"/>
    <w:rsid w:val="00DE4071"/>
    <w:rsid w:val="00DE4393"/>
    <w:rsid w:val="00DE4783"/>
    <w:rsid w:val="00DE4C01"/>
    <w:rsid w:val="00DE55E7"/>
    <w:rsid w:val="00DE61C3"/>
    <w:rsid w:val="00DE635A"/>
    <w:rsid w:val="00DE657E"/>
    <w:rsid w:val="00DE7286"/>
    <w:rsid w:val="00DE7437"/>
    <w:rsid w:val="00DE76B0"/>
    <w:rsid w:val="00DE7A69"/>
    <w:rsid w:val="00DE7B93"/>
    <w:rsid w:val="00DF06EF"/>
    <w:rsid w:val="00DF08B0"/>
    <w:rsid w:val="00DF0ABB"/>
    <w:rsid w:val="00DF1311"/>
    <w:rsid w:val="00DF1AC4"/>
    <w:rsid w:val="00DF1C1D"/>
    <w:rsid w:val="00DF1C9C"/>
    <w:rsid w:val="00DF1E3C"/>
    <w:rsid w:val="00DF1E98"/>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4CF"/>
    <w:rsid w:val="00DF6BD0"/>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590"/>
    <w:rsid w:val="00E03842"/>
    <w:rsid w:val="00E03AAB"/>
    <w:rsid w:val="00E03B7C"/>
    <w:rsid w:val="00E03C06"/>
    <w:rsid w:val="00E03C08"/>
    <w:rsid w:val="00E044C7"/>
    <w:rsid w:val="00E052C6"/>
    <w:rsid w:val="00E0535D"/>
    <w:rsid w:val="00E05A54"/>
    <w:rsid w:val="00E05BF4"/>
    <w:rsid w:val="00E06256"/>
    <w:rsid w:val="00E0656D"/>
    <w:rsid w:val="00E06B73"/>
    <w:rsid w:val="00E07497"/>
    <w:rsid w:val="00E076B8"/>
    <w:rsid w:val="00E1014B"/>
    <w:rsid w:val="00E101DB"/>
    <w:rsid w:val="00E10663"/>
    <w:rsid w:val="00E10773"/>
    <w:rsid w:val="00E10FA4"/>
    <w:rsid w:val="00E1164B"/>
    <w:rsid w:val="00E118A6"/>
    <w:rsid w:val="00E1280C"/>
    <w:rsid w:val="00E139AF"/>
    <w:rsid w:val="00E13FA3"/>
    <w:rsid w:val="00E1478F"/>
    <w:rsid w:val="00E1582D"/>
    <w:rsid w:val="00E158CF"/>
    <w:rsid w:val="00E15CE1"/>
    <w:rsid w:val="00E1692E"/>
    <w:rsid w:val="00E1711E"/>
    <w:rsid w:val="00E17499"/>
    <w:rsid w:val="00E204CC"/>
    <w:rsid w:val="00E21660"/>
    <w:rsid w:val="00E21AFF"/>
    <w:rsid w:val="00E21F3B"/>
    <w:rsid w:val="00E22397"/>
    <w:rsid w:val="00E22463"/>
    <w:rsid w:val="00E2252B"/>
    <w:rsid w:val="00E225AC"/>
    <w:rsid w:val="00E228B1"/>
    <w:rsid w:val="00E22ED4"/>
    <w:rsid w:val="00E23194"/>
    <w:rsid w:val="00E240A1"/>
    <w:rsid w:val="00E2452C"/>
    <w:rsid w:val="00E2472D"/>
    <w:rsid w:val="00E24BC6"/>
    <w:rsid w:val="00E24DC2"/>
    <w:rsid w:val="00E25858"/>
    <w:rsid w:val="00E25D2A"/>
    <w:rsid w:val="00E25D38"/>
    <w:rsid w:val="00E25F71"/>
    <w:rsid w:val="00E26006"/>
    <w:rsid w:val="00E2612E"/>
    <w:rsid w:val="00E2668F"/>
    <w:rsid w:val="00E26722"/>
    <w:rsid w:val="00E26FB1"/>
    <w:rsid w:val="00E2726B"/>
    <w:rsid w:val="00E27304"/>
    <w:rsid w:val="00E273CC"/>
    <w:rsid w:val="00E27587"/>
    <w:rsid w:val="00E27A4E"/>
    <w:rsid w:val="00E27A75"/>
    <w:rsid w:val="00E27F4D"/>
    <w:rsid w:val="00E302DF"/>
    <w:rsid w:val="00E30663"/>
    <w:rsid w:val="00E30992"/>
    <w:rsid w:val="00E30FA5"/>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4C4D"/>
    <w:rsid w:val="00E34F79"/>
    <w:rsid w:val="00E35681"/>
    <w:rsid w:val="00E35E6F"/>
    <w:rsid w:val="00E36374"/>
    <w:rsid w:val="00E364C6"/>
    <w:rsid w:val="00E365BC"/>
    <w:rsid w:val="00E36A8F"/>
    <w:rsid w:val="00E36EF4"/>
    <w:rsid w:val="00E37047"/>
    <w:rsid w:val="00E375CD"/>
    <w:rsid w:val="00E40104"/>
    <w:rsid w:val="00E403B6"/>
    <w:rsid w:val="00E40883"/>
    <w:rsid w:val="00E40EFF"/>
    <w:rsid w:val="00E4118F"/>
    <w:rsid w:val="00E4130F"/>
    <w:rsid w:val="00E41A5C"/>
    <w:rsid w:val="00E41A7B"/>
    <w:rsid w:val="00E41D4C"/>
    <w:rsid w:val="00E422A2"/>
    <w:rsid w:val="00E42427"/>
    <w:rsid w:val="00E424BD"/>
    <w:rsid w:val="00E42C26"/>
    <w:rsid w:val="00E42F58"/>
    <w:rsid w:val="00E4370A"/>
    <w:rsid w:val="00E43723"/>
    <w:rsid w:val="00E4374C"/>
    <w:rsid w:val="00E43973"/>
    <w:rsid w:val="00E43EE2"/>
    <w:rsid w:val="00E44122"/>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E1"/>
    <w:rsid w:val="00E55994"/>
    <w:rsid w:val="00E56361"/>
    <w:rsid w:val="00E56954"/>
    <w:rsid w:val="00E57308"/>
    <w:rsid w:val="00E5737F"/>
    <w:rsid w:val="00E57545"/>
    <w:rsid w:val="00E576A7"/>
    <w:rsid w:val="00E57B7D"/>
    <w:rsid w:val="00E6029E"/>
    <w:rsid w:val="00E609FC"/>
    <w:rsid w:val="00E612DB"/>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507D"/>
    <w:rsid w:val="00E65523"/>
    <w:rsid w:val="00E6596F"/>
    <w:rsid w:val="00E65BB8"/>
    <w:rsid w:val="00E65D35"/>
    <w:rsid w:val="00E65E35"/>
    <w:rsid w:val="00E6618A"/>
    <w:rsid w:val="00E66DD0"/>
    <w:rsid w:val="00E6711D"/>
    <w:rsid w:val="00E67561"/>
    <w:rsid w:val="00E67721"/>
    <w:rsid w:val="00E67C8E"/>
    <w:rsid w:val="00E703B9"/>
    <w:rsid w:val="00E7049B"/>
    <w:rsid w:val="00E716FD"/>
    <w:rsid w:val="00E7176B"/>
    <w:rsid w:val="00E719D0"/>
    <w:rsid w:val="00E71B76"/>
    <w:rsid w:val="00E71F1C"/>
    <w:rsid w:val="00E7217C"/>
    <w:rsid w:val="00E723B3"/>
    <w:rsid w:val="00E72B74"/>
    <w:rsid w:val="00E73B61"/>
    <w:rsid w:val="00E73C2D"/>
    <w:rsid w:val="00E73CCF"/>
    <w:rsid w:val="00E7408E"/>
    <w:rsid w:val="00E74131"/>
    <w:rsid w:val="00E7464E"/>
    <w:rsid w:val="00E74CC3"/>
    <w:rsid w:val="00E74EBC"/>
    <w:rsid w:val="00E74F22"/>
    <w:rsid w:val="00E7501A"/>
    <w:rsid w:val="00E75F4A"/>
    <w:rsid w:val="00E7691D"/>
    <w:rsid w:val="00E76C3A"/>
    <w:rsid w:val="00E771B1"/>
    <w:rsid w:val="00E773FF"/>
    <w:rsid w:val="00E774F8"/>
    <w:rsid w:val="00E776E9"/>
    <w:rsid w:val="00E77915"/>
    <w:rsid w:val="00E77F40"/>
    <w:rsid w:val="00E80201"/>
    <w:rsid w:val="00E808D5"/>
    <w:rsid w:val="00E80F18"/>
    <w:rsid w:val="00E80FC9"/>
    <w:rsid w:val="00E81203"/>
    <w:rsid w:val="00E812A7"/>
    <w:rsid w:val="00E81537"/>
    <w:rsid w:val="00E81852"/>
    <w:rsid w:val="00E8197C"/>
    <w:rsid w:val="00E8226D"/>
    <w:rsid w:val="00E8229F"/>
    <w:rsid w:val="00E82517"/>
    <w:rsid w:val="00E8265F"/>
    <w:rsid w:val="00E82E2E"/>
    <w:rsid w:val="00E82F06"/>
    <w:rsid w:val="00E8324A"/>
    <w:rsid w:val="00E83685"/>
    <w:rsid w:val="00E83993"/>
    <w:rsid w:val="00E83A07"/>
    <w:rsid w:val="00E83C41"/>
    <w:rsid w:val="00E8420A"/>
    <w:rsid w:val="00E84693"/>
    <w:rsid w:val="00E84927"/>
    <w:rsid w:val="00E84D02"/>
    <w:rsid w:val="00E85B18"/>
    <w:rsid w:val="00E85B28"/>
    <w:rsid w:val="00E86900"/>
    <w:rsid w:val="00E8691F"/>
    <w:rsid w:val="00E86B1E"/>
    <w:rsid w:val="00E86FBE"/>
    <w:rsid w:val="00E87454"/>
    <w:rsid w:val="00E907F0"/>
    <w:rsid w:val="00E9099F"/>
    <w:rsid w:val="00E90C05"/>
    <w:rsid w:val="00E91572"/>
    <w:rsid w:val="00E91931"/>
    <w:rsid w:val="00E91A7E"/>
    <w:rsid w:val="00E91B22"/>
    <w:rsid w:val="00E91C33"/>
    <w:rsid w:val="00E923EE"/>
    <w:rsid w:val="00E928AF"/>
    <w:rsid w:val="00E92948"/>
    <w:rsid w:val="00E92E2C"/>
    <w:rsid w:val="00E932D0"/>
    <w:rsid w:val="00E9347C"/>
    <w:rsid w:val="00E934FB"/>
    <w:rsid w:val="00E93F69"/>
    <w:rsid w:val="00E947A6"/>
    <w:rsid w:val="00E95296"/>
    <w:rsid w:val="00E95480"/>
    <w:rsid w:val="00E95974"/>
    <w:rsid w:val="00E959AA"/>
    <w:rsid w:val="00E96243"/>
    <w:rsid w:val="00E9733C"/>
    <w:rsid w:val="00E97B24"/>
    <w:rsid w:val="00E97FDD"/>
    <w:rsid w:val="00EA0499"/>
    <w:rsid w:val="00EA0C50"/>
    <w:rsid w:val="00EA171D"/>
    <w:rsid w:val="00EA1762"/>
    <w:rsid w:val="00EA1AE0"/>
    <w:rsid w:val="00EA2086"/>
    <w:rsid w:val="00EA2265"/>
    <w:rsid w:val="00EA2D3A"/>
    <w:rsid w:val="00EA2EB4"/>
    <w:rsid w:val="00EA3182"/>
    <w:rsid w:val="00EA42D4"/>
    <w:rsid w:val="00EA45C1"/>
    <w:rsid w:val="00EA472D"/>
    <w:rsid w:val="00EA4998"/>
    <w:rsid w:val="00EA49B7"/>
    <w:rsid w:val="00EA5644"/>
    <w:rsid w:val="00EA5715"/>
    <w:rsid w:val="00EA5AF2"/>
    <w:rsid w:val="00EA5F34"/>
    <w:rsid w:val="00EA6559"/>
    <w:rsid w:val="00EA65D6"/>
    <w:rsid w:val="00EA67EA"/>
    <w:rsid w:val="00EA6F94"/>
    <w:rsid w:val="00EA7231"/>
    <w:rsid w:val="00EA7690"/>
    <w:rsid w:val="00EA7719"/>
    <w:rsid w:val="00EB04E7"/>
    <w:rsid w:val="00EB2151"/>
    <w:rsid w:val="00EB25C9"/>
    <w:rsid w:val="00EB29CF"/>
    <w:rsid w:val="00EB2CC8"/>
    <w:rsid w:val="00EB3A34"/>
    <w:rsid w:val="00EB3ADA"/>
    <w:rsid w:val="00EB48DF"/>
    <w:rsid w:val="00EB497B"/>
    <w:rsid w:val="00EB4C21"/>
    <w:rsid w:val="00EB537F"/>
    <w:rsid w:val="00EB58BF"/>
    <w:rsid w:val="00EB5A8A"/>
    <w:rsid w:val="00EB5AC5"/>
    <w:rsid w:val="00EB61FD"/>
    <w:rsid w:val="00EB6201"/>
    <w:rsid w:val="00EB6365"/>
    <w:rsid w:val="00EB68C5"/>
    <w:rsid w:val="00EB6F83"/>
    <w:rsid w:val="00EB7741"/>
    <w:rsid w:val="00EB7E3B"/>
    <w:rsid w:val="00EC033C"/>
    <w:rsid w:val="00EC0842"/>
    <w:rsid w:val="00EC0B62"/>
    <w:rsid w:val="00EC0E04"/>
    <w:rsid w:val="00EC1453"/>
    <w:rsid w:val="00EC16B9"/>
    <w:rsid w:val="00EC17CD"/>
    <w:rsid w:val="00EC18B3"/>
    <w:rsid w:val="00EC1913"/>
    <w:rsid w:val="00EC1EA3"/>
    <w:rsid w:val="00EC2481"/>
    <w:rsid w:val="00EC2792"/>
    <w:rsid w:val="00EC2A2E"/>
    <w:rsid w:val="00EC2B44"/>
    <w:rsid w:val="00EC3068"/>
    <w:rsid w:val="00EC30DE"/>
    <w:rsid w:val="00EC3344"/>
    <w:rsid w:val="00EC3571"/>
    <w:rsid w:val="00EC35D1"/>
    <w:rsid w:val="00EC3814"/>
    <w:rsid w:val="00EC3EFB"/>
    <w:rsid w:val="00EC404D"/>
    <w:rsid w:val="00EC41AE"/>
    <w:rsid w:val="00EC4246"/>
    <w:rsid w:val="00EC4351"/>
    <w:rsid w:val="00EC4B41"/>
    <w:rsid w:val="00EC5185"/>
    <w:rsid w:val="00EC52BC"/>
    <w:rsid w:val="00EC5DC5"/>
    <w:rsid w:val="00EC5F6C"/>
    <w:rsid w:val="00EC602E"/>
    <w:rsid w:val="00EC6472"/>
    <w:rsid w:val="00EC650B"/>
    <w:rsid w:val="00EC67AD"/>
    <w:rsid w:val="00EC6871"/>
    <w:rsid w:val="00EC73F7"/>
    <w:rsid w:val="00EC751C"/>
    <w:rsid w:val="00EC7F52"/>
    <w:rsid w:val="00ED0C1F"/>
    <w:rsid w:val="00ED112B"/>
    <w:rsid w:val="00ED133A"/>
    <w:rsid w:val="00ED19F6"/>
    <w:rsid w:val="00ED1E3B"/>
    <w:rsid w:val="00ED2166"/>
    <w:rsid w:val="00ED25DD"/>
    <w:rsid w:val="00ED2639"/>
    <w:rsid w:val="00ED2899"/>
    <w:rsid w:val="00ED2A65"/>
    <w:rsid w:val="00ED3546"/>
    <w:rsid w:val="00ED35AA"/>
    <w:rsid w:val="00ED36BC"/>
    <w:rsid w:val="00ED38FF"/>
    <w:rsid w:val="00ED3F56"/>
    <w:rsid w:val="00ED4848"/>
    <w:rsid w:val="00ED6611"/>
    <w:rsid w:val="00ED67C4"/>
    <w:rsid w:val="00ED6E73"/>
    <w:rsid w:val="00ED772D"/>
    <w:rsid w:val="00ED78A2"/>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761"/>
    <w:rsid w:val="00EE46E7"/>
    <w:rsid w:val="00EE4A2A"/>
    <w:rsid w:val="00EE4B8F"/>
    <w:rsid w:val="00EE4DC2"/>
    <w:rsid w:val="00EE549F"/>
    <w:rsid w:val="00EE558E"/>
    <w:rsid w:val="00EE566E"/>
    <w:rsid w:val="00EE5D39"/>
    <w:rsid w:val="00EE5F84"/>
    <w:rsid w:val="00EE5F8A"/>
    <w:rsid w:val="00EE5FEC"/>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25F1"/>
    <w:rsid w:val="00EF2623"/>
    <w:rsid w:val="00EF2C08"/>
    <w:rsid w:val="00EF2E98"/>
    <w:rsid w:val="00EF3165"/>
    <w:rsid w:val="00EF31AE"/>
    <w:rsid w:val="00EF36A3"/>
    <w:rsid w:val="00EF39A2"/>
    <w:rsid w:val="00EF3C5D"/>
    <w:rsid w:val="00EF43F9"/>
    <w:rsid w:val="00EF4526"/>
    <w:rsid w:val="00EF4B9F"/>
    <w:rsid w:val="00EF4D7F"/>
    <w:rsid w:val="00EF4DD6"/>
    <w:rsid w:val="00EF5CE5"/>
    <w:rsid w:val="00EF6244"/>
    <w:rsid w:val="00EF6498"/>
    <w:rsid w:val="00EF6EAC"/>
    <w:rsid w:val="00EF6F59"/>
    <w:rsid w:val="00EF7045"/>
    <w:rsid w:val="00EF79AB"/>
    <w:rsid w:val="00F00777"/>
    <w:rsid w:val="00F0090D"/>
    <w:rsid w:val="00F00CF6"/>
    <w:rsid w:val="00F01418"/>
    <w:rsid w:val="00F016E3"/>
    <w:rsid w:val="00F018A9"/>
    <w:rsid w:val="00F01A2E"/>
    <w:rsid w:val="00F01C04"/>
    <w:rsid w:val="00F01C5F"/>
    <w:rsid w:val="00F023EF"/>
    <w:rsid w:val="00F0272D"/>
    <w:rsid w:val="00F02732"/>
    <w:rsid w:val="00F02823"/>
    <w:rsid w:val="00F02AE6"/>
    <w:rsid w:val="00F02DF3"/>
    <w:rsid w:val="00F030A1"/>
    <w:rsid w:val="00F0345D"/>
    <w:rsid w:val="00F034D5"/>
    <w:rsid w:val="00F0364A"/>
    <w:rsid w:val="00F03AD9"/>
    <w:rsid w:val="00F040CE"/>
    <w:rsid w:val="00F04275"/>
    <w:rsid w:val="00F058A4"/>
    <w:rsid w:val="00F05F8F"/>
    <w:rsid w:val="00F0655A"/>
    <w:rsid w:val="00F0657A"/>
    <w:rsid w:val="00F0673B"/>
    <w:rsid w:val="00F06A09"/>
    <w:rsid w:val="00F06AAF"/>
    <w:rsid w:val="00F06F50"/>
    <w:rsid w:val="00F0707A"/>
    <w:rsid w:val="00F077D1"/>
    <w:rsid w:val="00F07A77"/>
    <w:rsid w:val="00F1016F"/>
    <w:rsid w:val="00F10263"/>
    <w:rsid w:val="00F10579"/>
    <w:rsid w:val="00F10D19"/>
    <w:rsid w:val="00F11331"/>
    <w:rsid w:val="00F11837"/>
    <w:rsid w:val="00F11855"/>
    <w:rsid w:val="00F11BD3"/>
    <w:rsid w:val="00F11F19"/>
    <w:rsid w:val="00F11FB7"/>
    <w:rsid w:val="00F123E6"/>
    <w:rsid w:val="00F127BD"/>
    <w:rsid w:val="00F13493"/>
    <w:rsid w:val="00F146C7"/>
    <w:rsid w:val="00F14C82"/>
    <w:rsid w:val="00F14CCE"/>
    <w:rsid w:val="00F14DD0"/>
    <w:rsid w:val="00F15042"/>
    <w:rsid w:val="00F1508D"/>
    <w:rsid w:val="00F15329"/>
    <w:rsid w:val="00F15464"/>
    <w:rsid w:val="00F15891"/>
    <w:rsid w:val="00F15E3F"/>
    <w:rsid w:val="00F16832"/>
    <w:rsid w:val="00F178F3"/>
    <w:rsid w:val="00F20117"/>
    <w:rsid w:val="00F20653"/>
    <w:rsid w:val="00F209A5"/>
    <w:rsid w:val="00F21106"/>
    <w:rsid w:val="00F21326"/>
    <w:rsid w:val="00F2162D"/>
    <w:rsid w:val="00F21678"/>
    <w:rsid w:val="00F216DB"/>
    <w:rsid w:val="00F217C5"/>
    <w:rsid w:val="00F21AF2"/>
    <w:rsid w:val="00F21BE3"/>
    <w:rsid w:val="00F22FED"/>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37D7"/>
    <w:rsid w:val="00F34214"/>
    <w:rsid w:val="00F344DB"/>
    <w:rsid w:val="00F344E5"/>
    <w:rsid w:val="00F34B2A"/>
    <w:rsid w:val="00F34BBC"/>
    <w:rsid w:val="00F34E2E"/>
    <w:rsid w:val="00F3509B"/>
    <w:rsid w:val="00F355A0"/>
    <w:rsid w:val="00F356D9"/>
    <w:rsid w:val="00F359A8"/>
    <w:rsid w:val="00F35B0B"/>
    <w:rsid w:val="00F35C32"/>
    <w:rsid w:val="00F35F40"/>
    <w:rsid w:val="00F36004"/>
    <w:rsid w:val="00F3606C"/>
    <w:rsid w:val="00F36AAE"/>
    <w:rsid w:val="00F36D09"/>
    <w:rsid w:val="00F3763A"/>
    <w:rsid w:val="00F37DA7"/>
    <w:rsid w:val="00F37FBF"/>
    <w:rsid w:val="00F40690"/>
    <w:rsid w:val="00F40F4B"/>
    <w:rsid w:val="00F4158C"/>
    <w:rsid w:val="00F41846"/>
    <w:rsid w:val="00F418B8"/>
    <w:rsid w:val="00F41AB2"/>
    <w:rsid w:val="00F42617"/>
    <w:rsid w:val="00F428CD"/>
    <w:rsid w:val="00F4349A"/>
    <w:rsid w:val="00F437A3"/>
    <w:rsid w:val="00F43966"/>
    <w:rsid w:val="00F43DED"/>
    <w:rsid w:val="00F44095"/>
    <w:rsid w:val="00F4496D"/>
    <w:rsid w:val="00F44CBA"/>
    <w:rsid w:val="00F44E13"/>
    <w:rsid w:val="00F452D4"/>
    <w:rsid w:val="00F45627"/>
    <w:rsid w:val="00F46D78"/>
    <w:rsid w:val="00F4704E"/>
    <w:rsid w:val="00F4730F"/>
    <w:rsid w:val="00F47658"/>
    <w:rsid w:val="00F47A55"/>
    <w:rsid w:val="00F47A71"/>
    <w:rsid w:val="00F47EC6"/>
    <w:rsid w:val="00F50142"/>
    <w:rsid w:val="00F50473"/>
    <w:rsid w:val="00F508F9"/>
    <w:rsid w:val="00F50AA4"/>
    <w:rsid w:val="00F50F10"/>
    <w:rsid w:val="00F51740"/>
    <w:rsid w:val="00F52760"/>
    <w:rsid w:val="00F52F2E"/>
    <w:rsid w:val="00F53009"/>
    <w:rsid w:val="00F5304E"/>
    <w:rsid w:val="00F53071"/>
    <w:rsid w:val="00F534A6"/>
    <w:rsid w:val="00F53A63"/>
    <w:rsid w:val="00F53D6B"/>
    <w:rsid w:val="00F549CF"/>
    <w:rsid w:val="00F550D7"/>
    <w:rsid w:val="00F553B8"/>
    <w:rsid w:val="00F55D13"/>
    <w:rsid w:val="00F55DA1"/>
    <w:rsid w:val="00F5610D"/>
    <w:rsid w:val="00F5622F"/>
    <w:rsid w:val="00F563FD"/>
    <w:rsid w:val="00F566E9"/>
    <w:rsid w:val="00F57091"/>
    <w:rsid w:val="00F57CD9"/>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416"/>
    <w:rsid w:val="00F64509"/>
    <w:rsid w:val="00F64592"/>
    <w:rsid w:val="00F648C5"/>
    <w:rsid w:val="00F64AC1"/>
    <w:rsid w:val="00F64B79"/>
    <w:rsid w:val="00F6505A"/>
    <w:rsid w:val="00F650C9"/>
    <w:rsid w:val="00F66232"/>
    <w:rsid w:val="00F665CF"/>
    <w:rsid w:val="00F6714E"/>
    <w:rsid w:val="00F67445"/>
    <w:rsid w:val="00F6767E"/>
    <w:rsid w:val="00F701E5"/>
    <w:rsid w:val="00F7058C"/>
    <w:rsid w:val="00F71379"/>
    <w:rsid w:val="00F71486"/>
    <w:rsid w:val="00F71795"/>
    <w:rsid w:val="00F72024"/>
    <w:rsid w:val="00F720E3"/>
    <w:rsid w:val="00F72425"/>
    <w:rsid w:val="00F72EC6"/>
    <w:rsid w:val="00F72ED7"/>
    <w:rsid w:val="00F72FBD"/>
    <w:rsid w:val="00F7355C"/>
    <w:rsid w:val="00F73ABB"/>
    <w:rsid w:val="00F749C2"/>
    <w:rsid w:val="00F74D56"/>
    <w:rsid w:val="00F74FFB"/>
    <w:rsid w:val="00F750F4"/>
    <w:rsid w:val="00F75190"/>
    <w:rsid w:val="00F7533D"/>
    <w:rsid w:val="00F753E2"/>
    <w:rsid w:val="00F75409"/>
    <w:rsid w:val="00F75425"/>
    <w:rsid w:val="00F756DB"/>
    <w:rsid w:val="00F757A0"/>
    <w:rsid w:val="00F7593D"/>
    <w:rsid w:val="00F759E5"/>
    <w:rsid w:val="00F76269"/>
    <w:rsid w:val="00F76735"/>
    <w:rsid w:val="00F76E10"/>
    <w:rsid w:val="00F76F39"/>
    <w:rsid w:val="00F771FC"/>
    <w:rsid w:val="00F7736C"/>
    <w:rsid w:val="00F7755C"/>
    <w:rsid w:val="00F778DA"/>
    <w:rsid w:val="00F77AD4"/>
    <w:rsid w:val="00F80027"/>
    <w:rsid w:val="00F80069"/>
    <w:rsid w:val="00F80963"/>
    <w:rsid w:val="00F80B83"/>
    <w:rsid w:val="00F81CC1"/>
    <w:rsid w:val="00F826BC"/>
    <w:rsid w:val="00F8273B"/>
    <w:rsid w:val="00F82D37"/>
    <w:rsid w:val="00F82F26"/>
    <w:rsid w:val="00F83A4A"/>
    <w:rsid w:val="00F841D2"/>
    <w:rsid w:val="00F84648"/>
    <w:rsid w:val="00F846BA"/>
    <w:rsid w:val="00F8487D"/>
    <w:rsid w:val="00F8513B"/>
    <w:rsid w:val="00F853F7"/>
    <w:rsid w:val="00F855DA"/>
    <w:rsid w:val="00F85BCC"/>
    <w:rsid w:val="00F86045"/>
    <w:rsid w:val="00F86149"/>
    <w:rsid w:val="00F86277"/>
    <w:rsid w:val="00F86382"/>
    <w:rsid w:val="00F864B2"/>
    <w:rsid w:val="00F8683B"/>
    <w:rsid w:val="00F86E17"/>
    <w:rsid w:val="00F87624"/>
    <w:rsid w:val="00F878EA"/>
    <w:rsid w:val="00F87F23"/>
    <w:rsid w:val="00F900AF"/>
    <w:rsid w:val="00F900B7"/>
    <w:rsid w:val="00F909B1"/>
    <w:rsid w:val="00F90C11"/>
    <w:rsid w:val="00F90EB4"/>
    <w:rsid w:val="00F925BA"/>
    <w:rsid w:val="00F92725"/>
    <w:rsid w:val="00F9292E"/>
    <w:rsid w:val="00F92A08"/>
    <w:rsid w:val="00F92F4A"/>
    <w:rsid w:val="00F937F9"/>
    <w:rsid w:val="00F9384B"/>
    <w:rsid w:val="00F93D40"/>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E52"/>
    <w:rsid w:val="00FA416F"/>
    <w:rsid w:val="00FA4606"/>
    <w:rsid w:val="00FA4B25"/>
    <w:rsid w:val="00FA4D14"/>
    <w:rsid w:val="00FA57D0"/>
    <w:rsid w:val="00FA5E02"/>
    <w:rsid w:val="00FA5E4D"/>
    <w:rsid w:val="00FA6473"/>
    <w:rsid w:val="00FA6A37"/>
    <w:rsid w:val="00FA6AFC"/>
    <w:rsid w:val="00FA7019"/>
    <w:rsid w:val="00FA71D6"/>
    <w:rsid w:val="00FA7BC3"/>
    <w:rsid w:val="00FB00B3"/>
    <w:rsid w:val="00FB15D1"/>
    <w:rsid w:val="00FB18F5"/>
    <w:rsid w:val="00FB217F"/>
    <w:rsid w:val="00FB2470"/>
    <w:rsid w:val="00FB274F"/>
    <w:rsid w:val="00FB2840"/>
    <w:rsid w:val="00FB28B1"/>
    <w:rsid w:val="00FB29C2"/>
    <w:rsid w:val="00FB2C55"/>
    <w:rsid w:val="00FB3235"/>
    <w:rsid w:val="00FB3ABE"/>
    <w:rsid w:val="00FB3BD3"/>
    <w:rsid w:val="00FB3F56"/>
    <w:rsid w:val="00FB3FEA"/>
    <w:rsid w:val="00FB4586"/>
    <w:rsid w:val="00FB4688"/>
    <w:rsid w:val="00FB4A99"/>
    <w:rsid w:val="00FB4D99"/>
    <w:rsid w:val="00FB5979"/>
    <w:rsid w:val="00FB5AE9"/>
    <w:rsid w:val="00FB5FD8"/>
    <w:rsid w:val="00FB647D"/>
    <w:rsid w:val="00FB69A5"/>
    <w:rsid w:val="00FB6C63"/>
    <w:rsid w:val="00FB7120"/>
    <w:rsid w:val="00FB7393"/>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44F8"/>
    <w:rsid w:val="00FC4779"/>
    <w:rsid w:val="00FC48C2"/>
    <w:rsid w:val="00FC4A26"/>
    <w:rsid w:val="00FC5115"/>
    <w:rsid w:val="00FC585F"/>
    <w:rsid w:val="00FC59E5"/>
    <w:rsid w:val="00FC5CB0"/>
    <w:rsid w:val="00FC5E2E"/>
    <w:rsid w:val="00FC601C"/>
    <w:rsid w:val="00FC6365"/>
    <w:rsid w:val="00FC63E6"/>
    <w:rsid w:val="00FC6760"/>
    <w:rsid w:val="00FC6C56"/>
    <w:rsid w:val="00FC771B"/>
    <w:rsid w:val="00FC779A"/>
    <w:rsid w:val="00FD0230"/>
    <w:rsid w:val="00FD03EC"/>
    <w:rsid w:val="00FD0507"/>
    <w:rsid w:val="00FD06B2"/>
    <w:rsid w:val="00FD07E0"/>
    <w:rsid w:val="00FD0925"/>
    <w:rsid w:val="00FD0A5A"/>
    <w:rsid w:val="00FD0B98"/>
    <w:rsid w:val="00FD0D76"/>
    <w:rsid w:val="00FD0E71"/>
    <w:rsid w:val="00FD0EDB"/>
    <w:rsid w:val="00FD0F47"/>
    <w:rsid w:val="00FD1760"/>
    <w:rsid w:val="00FD1B57"/>
    <w:rsid w:val="00FD1C20"/>
    <w:rsid w:val="00FD2B5E"/>
    <w:rsid w:val="00FD307D"/>
    <w:rsid w:val="00FD3095"/>
    <w:rsid w:val="00FD3E9B"/>
    <w:rsid w:val="00FD458C"/>
    <w:rsid w:val="00FD46D2"/>
    <w:rsid w:val="00FD4C31"/>
    <w:rsid w:val="00FD4E57"/>
    <w:rsid w:val="00FD6256"/>
    <w:rsid w:val="00FD66AE"/>
    <w:rsid w:val="00FD6DF1"/>
    <w:rsid w:val="00FD6F01"/>
    <w:rsid w:val="00FD7373"/>
    <w:rsid w:val="00FD76E2"/>
    <w:rsid w:val="00FD7FA6"/>
    <w:rsid w:val="00FE027C"/>
    <w:rsid w:val="00FE0957"/>
    <w:rsid w:val="00FE1069"/>
    <w:rsid w:val="00FE16CD"/>
    <w:rsid w:val="00FE17A5"/>
    <w:rsid w:val="00FE18C9"/>
    <w:rsid w:val="00FE1FC9"/>
    <w:rsid w:val="00FE278C"/>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CA2"/>
    <w:rsid w:val="00FF2EE6"/>
    <w:rsid w:val="00FF380B"/>
    <w:rsid w:val="00FF3C7F"/>
    <w:rsid w:val="00FF454F"/>
    <w:rsid w:val="00FF461C"/>
    <w:rsid w:val="00FF4681"/>
    <w:rsid w:val="00FF5386"/>
    <w:rsid w:val="00FF5AA9"/>
    <w:rsid w:val="00FF5C48"/>
    <w:rsid w:val="00FF5D46"/>
    <w:rsid w:val="00FF5E9E"/>
    <w:rsid w:val="00FF6708"/>
    <w:rsid w:val="00FF67B8"/>
    <w:rsid w:val="00FF6F4D"/>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4BD8B-4C01-4017-83C7-47FFA0C8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2713</Words>
  <Characters>14925</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INAC</cp:lastModifiedBy>
  <cp:revision>6</cp:revision>
  <cp:lastPrinted>2017-07-01T18:42:00Z</cp:lastPrinted>
  <dcterms:created xsi:type="dcterms:W3CDTF">2017-07-01T21:36:00Z</dcterms:created>
  <dcterms:modified xsi:type="dcterms:W3CDTF">2017-07-01T21:38:00Z</dcterms:modified>
</cp:coreProperties>
</file>