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70A93" w:rsidRDefault="00570A93" w:rsidP="0032191A">
      <w:pPr>
        <w:pStyle w:val="NormalWeb"/>
        <w:spacing w:before="0" w:beforeAutospacing="0" w:after="0" w:afterAutospacing="0"/>
        <w:jc w:val="center"/>
        <w:rPr>
          <w:b/>
          <w:bCs/>
          <w:sz w:val="14"/>
          <w:szCs w:val="14"/>
        </w:rPr>
      </w:pPr>
    </w:p>
    <w:p w:rsidR="00F9384B" w:rsidRDefault="00F9384B" w:rsidP="0032191A">
      <w:pPr>
        <w:pStyle w:val="NormalWeb"/>
        <w:spacing w:before="0" w:beforeAutospacing="0" w:after="0" w:afterAutospacing="0"/>
        <w:jc w:val="center"/>
        <w:rPr>
          <w:b/>
          <w:bCs/>
          <w:sz w:val="14"/>
          <w:szCs w:val="14"/>
        </w:rPr>
      </w:pPr>
    </w:p>
    <w:p w:rsidR="00F9384B" w:rsidRDefault="00F9384B" w:rsidP="0032191A">
      <w:pPr>
        <w:pStyle w:val="NormalWeb"/>
        <w:spacing w:before="0" w:beforeAutospacing="0" w:after="0" w:afterAutospacing="0"/>
        <w:jc w:val="center"/>
        <w:rPr>
          <w:b/>
          <w:bCs/>
          <w:sz w:val="14"/>
          <w:szCs w:val="14"/>
        </w:rPr>
      </w:pPr>
    </w:p>
    <w:p w:rsidR="00CC75D6" w:rsidRDefault="00CC75D6" w:rsidP="0032191A">
      <w:pPr>
        <w:pStyle w:val="NormalWeb"/>
        <w:spacing w:before="0" w:beforeAutospacing="0" w:after="0" w:afterAutospacing="0"/>
        <w:jc w:val="center"/>
        <w:rPr>
          <w:b/>
          <w:bCs/>
          <w:sz w:val="14"/>
          <w:szCs w:val="14"/>
        </w:rPr>
      </w:pPr>
    </w:p>
    <w:p w:rsidR="0097276B" w:rsidRPr="00E8197C" w:rsidRDefault="002F667B" w:rsidP="0032191A">
      <w:pPr>
        <w:pStyle w:val="NormalWeb"/>
        <w:spacing w:before="0" w:beforeAutospacing="0" w:after="120" w:afterAutospacing="0"/>
        <w:jc w:val="center"/>
        <w:rPr>
          <w:b/>
          <w:bCs/>
          <w:sz w:val="28"/>
          <w:szCs w:val="28"/>
        </w:rPr>
      </w:pPr>
      <w:r>
        <w:rPr>
          <w:b/>
          <w:bCs/>
          <w:sz w:val="28"/>
          <w:szCs w:val="28"/>
        </w:rPr>
        <w:t>Note</w:t>
      </w:r>
      <w:r w:rsidR="0097276B" w:rsidRPr="00E8197C">
        <w:rPr>
          <w:b/>
          <w:bCs/>
          <w:sz w:val="28"/>
          <w:szCs w:val="28"/>
        </w:rPr>
        <w:t xml:space="preserve"> de conjoncture</w:t>
      </w:r>
      <w:r w:rsidR="0097276B">
        <w:rPr>
          <w:b/>
          <w:bCs/>
          <w:sz w:val="28"/>
          <w:szCs w:val="28"/>
        </w:rPr>
        <w:t xml:space="preserve"> </w:t>
      </w:r>
    </w:p>
    <w:p w:rsidR="0097276B" w:rsidRDefault="0097276B" w:rsidP="003F5AE6">
      <w:pPr>
        <w:pStyle w:val="NormalWeb"/>
        <w:spacing w:before="0" w:beforeAutospacing="0" w:after="0" w:afterAutospacing="0"/>
        <w:jc w:val="center"/>
        <w:rPr>
          <w:b/>
          <w:bCs/>
        </w:rPr>
      </w:pPr>
      <w:r>
        <w:rPr>
          <w:b/>
          <w:bCs/>
        </w:rPr>
        <w:t xml:space="preserve">- </w:t>
      </w:r>
      <w:r w:rsidR="003F5AE6">
        <w:rPr>
          <w:b/>
          <w:bCs/>
        </w:rPr>
        <w:t>Avril</w:t>
      </w:r>
      <w:r w:rsidR="005C318A">
        <w:rPr>
          <w:b/>
          <w:bCs/>
        </w:rPr>
        <w:t xml:space="preserve"> </w:t>
      </w:r>
      <w:r w:rsidRPr="00E82E2E">
        <w:rPr>
          <w:b/>
          <w:bCs/>
        </w:rPr>
        <w:t>201</w:t>
      </w:r>
      <w:r w:rsidR="008F6FE7">
        <w:rPr>
          <w:b/>
          <w:bCs/>
        </w:rPr>
        <w:t>7</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570A93" w:rsidRDefault="00570A93" w:rsidP="0032191A">
      <w:pPr>
        <w:pStyle w:val="NormalWeb"/>
        <w:spacing w:before="0" w:beforeAutospacing="0" w:after="0" w:afterAutospacing="0"/>
        <w:jc w:val="center"/>
        <w:rPr>
          <w:b/>
          <w:bCs/>
        </w:rPr>
      </w:pPr>
    </w:p>
    <w:p w:rsidR="00F9384B" w:rsidRDefault="00A8340B" w:rsidP="0032191A">
      <w:pPr>
        <w:pStyle w:val="NormalWeb"/>
        <w:spacing w:before="0" w:beforeAutospacing="0" w:after="0" w:afterAutospacing="0"/>
        <w:jc w:val="center"/>
        <w:rPr>
          <w:b/>
          <w:bCs/>
        </w:rPr>
      </w:pPr>
      <w:r>
        <w:rPr>
          <w:b/>
          <w:bCs/>
        </w:rPr>
        <w:t xml:space="preserve">               </w:t>
      </w:r>
    </w:p>
    <w:p w:rsidR="00F9384B" w:rsidRPr="004732D5" w:rsidRDefault="00F9384B" w:rsidP="0032191A">
      <w:pPr>
        <w:pStyle w:val="NormalWeb"/>
        <w:spacing w:before="0" w:beforeAutospacing="0" w:after="0" w:afterAutospacing="0"/>
        <w:jc w:val="center"/>
        <w:rPr>
          <w:b/>
          <w:bCs/>
        </w:rPr>
      </w:pPr>
    </w:p>
    <w:p w:rsidR="00C13BF6" w:rsidRDefault="00C13BF6" w:rsidP="0004538F">
      <w:pPr>
        <w:jc w:val="both"/>
        <w:rPr>
          <w:rFonts w:ascii="Arial" w:hAnsi="Arial" w:cs="Arial"/>
          <w:sz w:val="20"/>
          <w:szCs w:val="20"/>
        </w:rPr>
      </w:pPr>
      <w:r>
        <w:rPr>
          <w:rFonts w:ascii="Arial" w:hAnsi="Arial" w:cs="Arial"/>
          <w:sz w:val="20"/>
          <w:szCs w:val="20"/>
        </w:rPr>
        <w:t xml:space="preserve">L’économie nationale aurait progressé de </w:t>
      </w:r>
      <w:r w:rsidR="00702FBB">
        <w:rPr>
          <w:rFonts w:ascii="Arial" w:hAnsi="Arial" w:cs="Arial"/>
          <w:sz w:val="20"/>
          <w:szCs w:val="20"/>
        </w:rPr>
        <w:t>4</w:t>
      </w:r>
      <w:r w:rsidR="002E00AA">
        <w:rPr>
          <w:rFonts w:ascii="Arial" w:hAnsi="Arial" w:cs="Arial"/>
          <w:sz w:val="20"/>
          <w:szCs w:val="20"/>
        </w:rPr>
        <w:t>,</w:t>
      </w:r>
      <w:r w:rsidR="00383E16">
        <w:rPr>
          <w:rFonts w:ascii="Arial" w:hAnsi="Arial" w:cs="Arial"/>
          <w:sz w:val="20"/>
          <w:szCs w:val="20"/>
        </w:rPr>
        <w:t>3</w:t>
      </w:r>
      <w:r>
        <w:rPr>
          <w:rFonts w:ascii="Arial" w:hAnsi="Arial" w:cs="Arial"/>
          <w:sz w:val="20"/>
          <w:szCs w:val="20"/>
        </w:rPr>
        <w:t xml:space="preserve">%, au premier trimestre 2017, au lieu de </w:t>
      </w:r>
      <w:r w:rsidR="00791243">
        <w:rPr>
          <w:rFonts w:ascii="Arial" w:hAnsi="Arial" w:cs="Arial"/>
          <w:sz w:val="20"/>
          <w:szCs w:val="20"/>
        </w:rPr>
        <w:t>1,7</w:t>
      </w:r>
      <w:r>
        <w:rPr>
          <w:rFonts w:ascii="Arial" w:hAnsi="Arial" w:cs="Arial"/>
          <w:sz w:val="20"/>
          <w:szCs w:val="20"/>
        </w:rPr>
        <w:t xml:space="preserve">% </w:t>
      </w:r>
      <w:r w:rsidR="00791243">
        <w:rPr>
          <w:rFonts w:ascii="Arial" w:hAnsi="Arial" w:cs="Arial"/>
          <w:sz w:val="20"/>
          <w:szCs w:val="20"/>
        </w:rPr>
        <w:t>une année</w:t>
      </w:r>
      <w:r>
        <w:rPr>
          <w:rFonts w:ascii="Arial" w:hAnsi="Arial" w:cs="Arial"/>
          <w:sz w:val="20"/>
          <w:szCs w:val="20"/>
        </w:rPr>
        <w:t xml:space="preserve"> auparavant. Cette performance aurait été, particulièrement, portée par </w:t>
      </w:r>
      <w:r w:rsidR="00383E16">
        <w:rPr>
          <w:rFonts w:ascii="Arial" w:hAnsi="Arial" w:cs="Arial"/>
          <w:sz w:val="20"/>
          <w:szCs w:val="20"/>
        </w:rPr>
        <w:t>le redre</w:t>
      </w:r>
      <w:r>
        <w:rPr>
          <w:rFonts w:ascii="Arial" w:hAnsi="Arial" w:cs="Arial"/>
          <w:sz w:val="20"/>
          <w:szCs w:val="20"/>
        </w:rPr>
        <w:t xml:space="preserve">ssement de </w:t>
      </w:r>
      <w:r w:rsidR="00F34B2A">
        <w:rPr>
          <w:rFonts w:ascii="Arial" w:hAnsi="Arial" w:cs="Arial"/>
          <w:sz w:val="20"/>
          <w:szCs w:val="20"/>
        </w:rPr>
        <w:t>1</w:t>
      </w:r>
      <w:r w:rsidR="002E00AA">
        <w:rPr>
          <w:rFonts w:ascii="Arial" w:hAnsi="Arial" w:cs="Arial"/>
          <w:sz w:val="20"/>
          <w:szCs w:val="20"/>
        </w:rPr>
        <w:t>2</w:t>
      </w:r>
      <w:r w:rsidR="00F34B2A">
        <w:rPr>
          <w:rFonts w:ascii="Arial" w:hAnsi="Arial" w:cs="Arial"/>
          <w:sz w:val="20"/>
          <w:szCs w:val="20"/>
        </w:rPr>
        <w:t>,</w:t>
      </w:r>
      <w:r w:rsidR="002E00AA">
        <w:rPr>
          <w:rFonts w:ascii="Arial" w:hAnsi="Arial" w:cs="Arial"/>
          <w:sz w:val="20"/>
          <w:szCs w:val="20"/>
        </w:rPr>
        <w:t>9</w:t>
      </w:r>
      <w:r>
        <w:rPr>
          <w:rFonts w:ascii="Arial" w:hAnsi="Arial" w:cs="Arial"/>
          <w:sz w:val="20"/>
          <w:szCs w:val="20"/>
        </w:rPr>
        <w:t xml:space="preserve">% de la valeur ajoutée agricole, </w:t>
      </w:r>
      <w:proofErr w:type="gramStart"/>
      <w:r w:rsidR="00791243">
        <w:rPr>
          <w:rFonts w:ascii="Arial" w:hAnsi="Arial" w:cs="Arial"/>
          <w:sz w:val="20"/>
          <w:szCs w:val="20"/>
        </w:rPr>
        <w:t>au</w:t>
      </w:r>
      <w:proofErr w:type="gramEnd"/>
      <w:r w:rsidR="00791243">
        <w:rPr>
          <w:rFonts w:ascii="Arial" w:hAnsi="Arial" w:cs="Arial"/>
          <w:sz w:val="20"/>
          <w:szCs w:val="20"/>
        </w:rPr>
        <w:t xml:space="preserve"> lieu d’</w:t>
      </w:r>
      <w:r>
        <w:rPr>
          <w:rFonts w:ascii="Arial" w:hAnsi="Arial" w:cs="Arial"/>
          <w:sz w:val="20"/>
          <w:szCs w:val="20"/>
        </w:rPr>
        <w:t xml:space="preserve">une </w:t>
      </w:r>
      <w:r w:rsidR="00960BED">
        <w:rPr>
          <w:rFonts w:ascii="Arial" w:hAnsi="Arial" w:cs="Arial"/>
          <w:sz w:val="20"/>
          <w:szCs w:val="20"/>
        </w:rPr>
        <w:t xml:space="preserve">baisse de </w:t>
      </w:r>
      <w:r w:rsidR="00791243">
        <w:rPr>
          <w:rFonts w:ascii="Arial" w:hAnsi="Arial" w:cs="Arial"/>
          <w:sz w:val="20"/>
          <w:szCs w:val="20"/>
        </w:rPr>
        <w:t>9% au cours de la même période de 2016</w:t>
      </w:r>
      <w:r>
        <w:rPr>
          <w:rFonts w:ascii="Arial" w:hAnsi="Arial" w:cs="Arial"/>
          <w:sz w:val="20"/>
          <w:szCs w:val="20"/>
        </w:rPr>
        <w:t xml:space="preserve">. </w:t>
      </w:r>
      <w:r w:rsidR="00383E16">
        <w:rPr>
          <w:rFonts w:ascii="Arial" w:hAnsi="Arial" w:cs="Arial"/>
          <w:sz w:val="20"/>
          <w:szCs w:val="20"/>
        </w:rPr>
        <w:t xml:space="preserve">Hors agriculture, </w:t>
      </w:r>
      <w:r>
        <w:rPr>
          <w:rFonts w:ascii="Arial" w:hAnsi="Arial" w:cs="Arial"/>
          <w:sz w:val="20"/>
          <w:szCs w:val="20"/>
        </w:rPr>
        <w:t>l</w:t>
      </w:r>
      <w:r w:rsidR="003D312F">
        <w:rPr>
          <w:rFonts w:ascii="Arial" w:hAnsi="Arial" w:cs="Arial"/>
          <w:sz w:val="20"/>
          <w:szCs w:val="20"/>
        </w:rPr>
        <w:t xml:space="preserve">a valeur ajoutée </w:t>
      </w:r>
      <w:r w:rsidR="000A6476">
        <w:rPr>
          <w:rFonts w:ascii="Arial" w:hAnsi="Arial" w:cs="Arial"/>
          <w:sz w:val="20"/>
          <w:szCs w:val="20"/>
        </w:rPr>
        <w:t>aurait</w:t>
      </w:r>
      <w:r w:rsidR="000A6476" w:rsidRPr="00DB7C3F">
        <w:rPr>
          <w:rFonts w:ascii="Arial" w:hAnsi="Arial" w:cs="Arial"/>
          <w:sz w:val="20"/>
          <w:szCs w:val="20"/>
        </w:rPr>
        <w:t xml:space="preserve"> </w:t>
      </w:r>
      <w:r w:rsidR="000A6476">
        <w:rPr>
          <w:rFonts w:ascii="Arial" w:hAnsi="Arial" w:cs="Arial"/>
          <w:sz w:val="20"/>
          <w:szCs w:val="20"/>
        </w:rPr>
        <w:t>affich</w:t>
      </w:r>
      <w:r w:rsidR="00EF25F1">
        <w:rPr>
          <w:rFonts w:ascii="Arial" w:hAnsi="Arial" w:cs="Arial"/>
          <w:sz w:val="20"/>
          <w:szCs w:val="20"/>
        </w:rPr>
        <w:t>é</w:t>
      </w:r>
      <w:r w:rsidR="000A6476">
        <w:rPr>
          <w:rFonts w:ascii="Arial" w:hAnsi="Arial" w:cs="Arial"/>
          <w:sz w:val="20"/>
          <w:szCs w:val="20"/>
        </w:rPr>
        <w:t xml:space="preserve"> une hausse de </w:t>
      </w:r>
      <w:r w:rsidR="00383E16">
        <w:rPr>
          <w:rFonts w:ascii="Arial" w:hAnsi="Arial" w:cs="Arial"/>
          <w:sz w:val="20"/>
          <w:szCs w:val="20"/>
        </w:rPr>
        <w:t>3</w:t>
      </w:r>
      <w:r w:rsidR="000A6476">
        <w:rPr>
          <w:rFonts w:ascii="Arial" w:hAnsi="Arial" w:cs="Arial"/>
          <w:sz w:val="20"/>
          <w:szCs w:val="20"/>
        </w:rPr>
        <w:t xml:space="preserve">%, </w:t>
      </w:r>
      <w:r w:rsidR="00F93D40">
        <w:rPr>
          <w:rFonts w:ascii="Arial" w:hAnsi="Arial" w:cs="Arial"/>
          <w:sz w:val="20"/>
          <w:szCs w:val="20"/>
        </w:rPr>
        <w:t xml:space="preserve">tirée notamment par les </w:t>
      </w:r>
      <w:r w:rsidR="00E71029">
        <w:rPr>
          <w:rFonts w:ascii="Arial" w:hAnsi="Arial" w:cs="Arial"/>
          <w:sz w:val="20"/>
          <w:szCs w:val="20"/>
        </w:rPr>
        <w:t>activité</w:t>
      </w:r>
      <w:r w:rsidR="00F93D40">
        <w:rPr>
          <w:rFonts w:ascii="Arial" w:hAnsi="Arial" w:cs="Arial"/>
          <w:sz w:val="20"/>
          <w:szCs w:val="20"/>
        </w:rPr>
        <w:t xml:space="preserve">s </w:t>
      </w:r>
      <w:r w:rsidR="00E71029">
        <w:rPr>
          <w:rFonts w:ascii="Arial" w:hAnsi="Arial" w:cs="Arial"/>
          <w:sz w:val="20"/>
          <w:szCs w:val="20"/>
        </w:rPr>
        <w:t>du secteur</w:t>
      </w:r>
      <w:r w:rsidR="00150B9A">
        <w:rPr>
          <w:rFonts w:ascii="Arial" w:hAnsi="Arial" w:cs="Arial"/>
          <w:sz w:val="20"/>
          <w:szCs w:val="20"/>
        </w:rPr>
        <w:t xml:space="preserve"> tertiaire</w:t>
      </w:r>
      <w:r w:rsidR="000A6476">
        <w:rPr>
          <w:rFonts w:ascii="Arial" w:hAnsi="Arial" w:cs="Arial"/>
          <w:sz w:val="20"/>
          <w:szCs w:val="20"/>
        </w:rPr>
        <w:t xml:space="preserve">. </w:t>
      </w:r>
      <w:r>
        <w:rPr>
          <w:rFonts w:ascii="Arial" w:hAnsi="Arial" w:cs="Arial"/>
          <w:sz w:val="20"/>
          <w:szCs w:val="20"/>
        </w:rPr>
        <w:t>Au deuxième trimestre 2</w:t>
      </w:r>
      <w:r w:rsidR="003D312F">
        <w:rPr>
          <w:rFonts w:ascii="Arial" w:hAnsi="Arial" w:cs="Arial"/>
          <w:sz w:val="20"/>
          <w:szCs w:val="20"/>
        </w:rPr>
        <w:t xml:space="preserve">017, </w:t>
      </w:r>
      <w:r w:rsidR="00150B9A">
        <w:rPr>
          <w:rFonts w:ascii="Arial" w:hAnsi="Arial" w:cs="Arial"/>
          <w:sz w:val="20"/>
          <w:szCs w:val="20"/>
        </w:rPr>
        <w:t>avec une hausse de 14,8% de la valeur ajoutée agricole et une amélioration</w:t>
      </w:r>
      <w:r w:rsidR="003D312F">
        <w:rPr>
          <w:rFonts w:ascii="Arial" w:hAnsi="Arial" w:cs="Arial"/>
          <w:sz w:val="20"/>
          <w:szCs w:val="20"/>
        </w:rPr>
        <w:t xml:space="preserve"> </w:t>
      </w:r>
      <w:r w:rsidR="00150B9A">
        <w:rPr>
          <w:rFonts w:ascii="Arial" w:hAnsi="Arial" w:cs="Arial"/>
          <w:sz w:val="20"/>
          <w:szCs w:val="20"/>
        </w:rPr>
        <w:t xml:space="preserve">de 3,2% </w:t>
      </w:r>
      <w:r w:rsidR="003D312F">
        <w:rPr>
          <w:rFonts w:ascii="Arial" w:hAnsi="Arial" w:cs="Arial"/>
          <w:sz w:val="20"/>
          <w:szCs w:val="20"/>
        </w:rPr>
        <w:t xml:space="preserve">des activités </w:t>
      </w:r>
      <w:r>
        <w:rPr>
          <w:rFonts w:ascii="Arial" w:hAnsi="Arial" w:cs="Arial"/>
          <w:sz w:val="20"/>
          <w:szCs w:val="20"/>
        </w:rPr>
        <w:t>non-agricole</w:t>
      </w:r>
      <w:r w:rsidR="0015676A">
        <w:rPr>
          <w:rFonts w:ascii="Arial" w:hAnsi="Arial" w:cs="Arial"/>
          <w:sz w:val="20"/>
          <w:szCs w:val="20"/>
        </w:rPr>
        <w:t>s</w:t>
      </w:r>
      <w:r>
        <w:rPr>
          <w:rFonts w:ascii="Arial" w:hAnsi="Arial" w:cs="Arial"/>
          <w:sz w:val="20"/>
          <w:szCs w:val="20"/>
        </w:rPr>
        <w:t xml:space="preserve">, l’économie nationale </w:t>
      </w:r>
      <w:r w:rsidR="0004538F">
        <w:rPr>
          <w:rFonts w:ascii="Arial" w:hAnsi="Arial" w:cs="Arial"/>
          <w:sz w:val="20"/>
          <w:szCs w:val="20"/>
        </w:rPr>
        <w:t xml:space="preserve">progresserait </w:t>
      </w:r>
      <w:r>
        <w:rPr>
          <w:rFonts w:ascii="Arial" w:hAnsi="Arial" w:cs="Arial"/>
          <w:sz w:val="20"/>
          <w:szCs w:val="20"/>
        </w:rPr>
        <w:t xml:space="preserve">de </w:t>
      </w:r>
      <w:r w:rsidR="0059338B">
        <w:rPr>
          <w:rFonts w:ascii="Arial" w:hAnsi="Arial" w:cs="Arial"/>
          <w:sz w:val="20"/>
          <w:szCs w:val="20"/>
        </w:rPr>
        <w:t>4</w:t>
      </w:r>
      <w:r>
        <w:rPr>
          <w:rFonts w:ascii="Arial" w:hAnsi="Arial" w:cs="Arial"/>
          <w:sz w:val="20"/>
          <w:szCs w:val="20"/>
        </w:rPr>
        <w:t>,</w:t>
      </w:r>
      <w:r w:rsidR="00383E16">
        <w:rPr>
          <w:rFonts w:ascii="Arial" w:hAnsi="Arial" w:cs="Arial"/>
          <w:sz w:val="20"/>
          <w:szCs w:val="20"/>
        </w:rPr>
        <w:t>6</w:t>
      </w:r>
      <w:r>
        <w:rPr>
          <w:rFonts w:ascii="Arial" w:hAnsi="Arial" w:cs="Arial"/>
          <w:sz w:val="20"/>
          <w:szCs w:val="20"/>
        </w:rPr>
        <w:t xml:space="preserve">%, </w:t>
      </w:r>
      <w:r w:rsidR="00E71029">
        <w:rPr>
          <w:rFonts w:ascii="Arial" w:hAnsi="Arial" w:cs="Arial"/>
          <w:sz w:val="20"/>
          <w:szCs w:val="20"/>
        </w:rPr>
        <w:t>en variation annuelle</w:t>
      </w:r>
      <w:r>
        <w:rPr>
          <w:rFonts w:ascii="Arial" w:hAnsi="Arial" w:cs="Arial"/>
          <w:sz w:val="20"/>
          <w:szCs w:val="20"/>
        </w:rPr>
        <w:t>.</w:t>
      </w:r>
    </w:p>
    <w:p w:rsidR="000A6476" w:rsidRDefault="000A6476" w:rsidP="00C13BF6">
      <w:pPr>
        <w:jc w:val="both"/>
        <w:rPr>
          <w:rFonts w:ascii="Arial" w:hAnsi="Arial" w:cs="Arial"/>
          <w:sz w:val="20"/>
          <w:szCs w:val="20"/>
        </w:rPr>
      </w:pPr>
    </w:p>
    <w:p w:rsidR="00F337D7" w:rsidRPr="00F337D7" w:rsidRDefault="00E71029" w:rsidP="00F337D7">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A</w:t>
      </w:r>
      <w:r w:rsidR="00F337D7" w:rsidRPr="00F337D7">
        <w:rPr>
          <w:rFonts w:ascii="Arial" w:hAnsi="Arial" w:cs="Arial"/>
          <w:b/>
          <w:bCs/>
          <w:color w:val="800000"/>
          <w:kern w:val="28"/>
          <w:sz w:val="20"/>
          <w:szCs w:val="20"/>
        </w:rPr>
        <w:t>mélioration de l'économie mondiale au premier trimestre 2017</w:t>
      </w:r>
    </w:p>
    <w:p w:rsidR="00F337D7" w:rsidRPr="003F4D95" w:rsidRDefault="00F337D7" w:rsidP="00F337D7">
      <w:pPr>
        <w:jc w:val="both"/>
        <w:rPr>
          <w:rFonts w:ascii="Arial" w:hAnsi="Arial" w:cs="Arial"/>
          <w:sz w:val="20"/>
          <w:szCs w:val="20"/>
        </w:rPr>
      </w:pPr>
    </w:p>
    <w:p w:rsidR="00F337D7" w:rsidRPr="003F4D95" w:rsidRDefault="00F337D7" w:rsidP="00BA2257">
      <w:pPr>
        <w:autoSpaceDE w:val="0"/>
        <w:autoSpaceDN w:val="0"/>
        <w:adjustRightInd w:val="0"/>
        <w:jc w:val="both"/>
        <w:rPr>
          <w:rFonts w:asciiTheme="minorBidi" w:hAnsiTheme="minorBidi" w:cstheme="minorBidi"/>
          <w:sz w:val="20"/>
          <w:szCs w:val="20"/>
        </w:rPr>
      </w:pPr>
      <w:r w:rsidRPr="003F4D95">
        <w:rPr>
          <w:rFonts w:asciiTheme="minorBidi" w:hAnsiTheme="minorBidi" w:cstheme="minorBidi"/>
          <w:sz w:val="20"/>
          <w:szCs w:val="20"/>
        </w:rPr>
        <w:t xml:space="preserve">Dans les </w:t>
      </w:r>
      <w:r w:rsidRPr="00F337D7">
        <w:rPr>
          <w:rFonts w:asciiTheme="minorBidi" w:hAnsiTheme="minorBidi" w:cstheme="minorBidi"/>
          <w:b/>
          <w:bCs/>
          <w:sz w:val="20"/>
          <w:szCs w:val="20"/>
        </w:rPr>
        <w:t>économies avancées</w:t>
      </w:r>
      <w:r w:rsidRPr="003F4D95">
        <w:rPr>
          <w:rFonts w:asciiTheme="minorBidi" w:hAnsiTheme="minorBidi" w:cstheme="minorBidi"/>
          <w:sz w:val="20"/>
          <w:szCs w:val="20"/>
        </w:rPr>
        <w:t>, le climat des affaires s</w:t>
      </w:r>
      <w:r>
        <w:rPr>
          <w:rFonts w:asciiTheme="minorBidi" w:hAnsiTheme="minorBidi" w:cstheme="minorBidi"/>
          <w:sz w:val="20"/>
          <w:szCs w:val="20"/>
        </w:rPr>
        <w:t xml:space="preserve">e serait </w:t>
      </w:r>
      <w:r w:rsidR="00C50FFD">
        <w:rPr>
          <w:rFonts w:asciiTheme="minorBidi" w:hAnsiTheme="minorBidi" w:cstheme="minorBidi"/>
          <w:sz w:val="20"/>
          <w:szCs w:val="20"/>
        </w:rPr>
        <w:t xml:space="preserve">relativement </w:t>
      </w:r>
      <w:r w:rsidRPr="003F4D95">
        <w:rPr>
          <w:rFonts w:asciiTheme="minorBidi" w:hAnsiTheme="minorBidi" w:cstheme="minorBidi"/>
          <w:sz w:val="20"/>
          <w:szCs w:val="20"/>
        </w:rPr>
        <w:t>amélior</w:t>
      </w:r>
      <w:r>
        <w:rPr>
          <w:rFonts w:asciiTheme="minorBidi" w:hAnsiTheme="minorBidi" w:cstheme="minorBidi"/>
          <w:sz w:val="20"/>
          <w:szCs w:val="20"/>
        </w:rPr>
        <w:t>é, au premier trimestre 2017,</w:t>
      </w:r>
      <w:r w:rsidRPr="003F4D95">
        <w:rPr>
          <w:rFonts w:asciiTheme="minorBidi" w:hAnsiTheme="minorBidi" w:cstheme="minorBidi"/>
          <w:sz w:val="20"/>
          <w:szCs w:val="20"/>
        </w:rPr>
        <w:t xml:space="preserve"> malgré le regain d’inflation </w:t>
      </w:r>
      <w:r>
        <w:rPr>
          <w:rFonts w:asciiTheme="minorBidi" w:hAnsiTheme="minorBidi" w:cstheme="minorBidi"/>
          <w:sz w:val="20"/>
          <w:szCs w:val="20"/>
        </w:rPr>
        <w:t>et son impact sur le</w:t>
      </w:r>
      <w:r w:rsidRPr="003F4D95">
        <w:rPr>
          <w:rFonts w:asciiTheme="minorBidi" w:hAnsiTheme="minorBidi" w:cstheme="minorBidi"/>
          <w:sz w:val="20"/>
          <w:szCs w:val="20"/>
        </w:rPr>
        <w:t xml:space="preserve"> pouvoir d’achat des ménages. </w:t>
      </w:r>
      <w:r>
        <w:rPr>
          <w:rFonts w:asciiTheme="minorBidi" w:hAnsiTheme="minorBidi" w:cstheme="minorBidi"/>
          <w:sz w:val="20"/>
          <w:szCs w:val="20"/>
        </w:rPr>
        <w:t>L</w:t>
      </w:r>
      <w:r w:rsidRPr="003F4D95">
        <w:rPr>
          <w:rFonts w:asciiTheme="minorBidi" w:hAnsiTheme="minorBidi" w:cstheme="minorBidi"/>
          <w:sz w:val="20"/>
          <w:szCs w:val="20"/>
        </w:rPr>
        <w:t>’</w:t>
      </w:r>
      <w:r>
        <w:rPr>
          <w:rFonts w:asciiTheme="minorBidi" w:hAnsiTheme="minorBidi" w:cstheme="minorBidi"/>
          <w:sz w:val="20"/>
          <w:szCs w:val="20"/>
        </w:rPr>
        <w:t>économie</w:t>
      </w:r>
      <w:r w:rsidRPr="003F4D95">
        <w:rPr>
          <w:rFonts w:asciiTheme="minorBidi" w:hAnsiTheme="minorBidi" w:cstheme="minorBidi"/>
          <w:sz w:val="20"/>
          <w:szCs w:val="20"/>
        </w:rPr>
        <w:t xml:space="preserve"> américaine </w:t>
      </w:r>
      <w:r w:rsidR="00BA2257">
        <w:rPr>
          <w:rFonts w:asciiTheme="minorBidi" w:hAnsiTheme="minorBidi" w:cstheme="minorBidi"/>
          <w:sz w:val="20"/>
          <w:szCs w:val="20"/>
        </w:rPr>
        <w:t>se serait renforcée</w:t>
      </w:r>
      <w:r w:rsidRPr="003F4D95">
        <w:rPr>
          <w:rFonts w:asciiTheme="minorBidi" w:hAnsiTheme="minorBidi" w:cstheme="minorBidi"/>
          <w:sz w:val="20"/>
          <w:szCs w:val="20"/>
        </w:rPr>
        <w:t>, au premier trimestre 2017, de 2,4% en rythme annualisé, tirée par la demande intérieure</w:t>
      </w:r>
      <w:r w:rsidR="00C50FFD">
        <w:rPr>
          <w:rFonts w:asciiTheme="minorBidi" w:hAnsiTheme="minorBidi" w:cstheme="minorBidi"/>
          <w:sz w:val="20"/>
          <w:szCs w:val="20"/>
        </w:rPr>
        <w:t xml:space="preserve">, alors qu’en </w:t>
      </w:r>
      <w:r w:rsidRPr="003F4D95">
        <w:rPr>
          <w:rFonts w:asciiTheme="minorBidi" w:hAnsiTheme="minorBidi" w:cstheme="minorBidi"/>
          <w:sz w:val="20"/>
          <w:szCs w:val="20"/>
        </w:rPr>
        <w:t xml:space="preserve">zone euro, l’activité se serait </w:t>
      </w:r>
      <w:r>
        <w:rPr>
          <w:rFonts w:asciiTheme="minorBidi" w:hAnsiTheme="minorBidi" w:cstheme="minorBidi"/>
          <w:sz w:val="20"/>
          <w:szCs w:val="20"/>
        </w:rPr>
        <w:t>accru</w:t>
      </w:r>
      <w:r w:rsidRPr="003F4D95">
        <w:rPr>
          <w:rFonts w:asciiTheme="minorBidi" w:hAnsiTheme="minorBidi" w:cstheme="minorBidi"/>
          <w:sz w:val="20"/>
          <w:szCs w:val="20"/>
        </w:rPr>
        <w:t>e de 1,6%, en dépit de la persistance des incertitudes politiques. Au Japon, la croissance serait restée plus modeste, pâtissant de la décélération des exportations.</w:t>
      </w:r>
    </w:p>
    <w:p w:rsidR="00F337D7" w:rsidRPr="003F4D95" w:rsidRDefault="00761428" w:rsidP="00F337D7">
      <w:pPr>
        <w:jc w:val="both"/>
        <w:rPr>
          <w:rFonts w:ascii="Arial" w:hAnsi="Arial" w:cs="Arial"/>
          <w:iCs/>
          <w:color w:val="000000"/>
          <w:sz w:val="20"/>
          <w:szCs w:val="20"/>
          <w:lang w:eastAsia="en-US"/>
        </w:rPr>
      </w:pPr>
      <w:r>
        <w:rPr>
          <w:rFonts w:ascii="Arial" w:hAnsi="Arial" w:cs="Arial"/>
          <w:iCs/>
          <w:noProof/>
          <w:color w:val="000000"/>
          <w:sz w:val="20"/>
          <w:szCs w:val="20"/>
        </w:rPr>
        <w:drawing>
          <wp:anchor distT="0" distB="0" distL="114300" distR="114300" simplePos="0" relativeHeight="251718656" behindDoc="0" locked="0" layoutInCell="1" allowOverlap="1">
            <wp:simplePos x="0" y="0"/>
            <wp:positionH relativeFrom="column">
              <wp:posOffset>4163060</wp:posOffset>
            </wp:positionH>
            <wp:positionV relativeFrom="paragraph">
              <wp:posOffset>18415</wp:posOffset>
            </wp:positionV>
            <wp:extent cx="2406015" cy="2078990"/>
            <wp:effectExtent l="19050" t="0" r="0" b="0"/>
            <wp:wrapSquare wrapText="bothSides"/>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406015" cy="2078990"/>
                    </a:xfrm>
                    <a:prstGeom prst="rect">
                      <a:avLst/>
                    </a:prstGeom>
                    <a:noFill/>
                    <a:ln w="9525">
                      <a:noFill/>
                      <a:miter lim="800000"/>
                      <a:headEnd/>
                      <a:tailEnd/>
                    </a:ln>
                  </pic:spPr>
                </pic:pic>
              </a:graphicData>
            </a:graphic>
          </wp:anchor>
        </w:drawing>
      </w:r>
    </w:p>
    <w:p w:rsidR="00F337D7" w:rsidRPr="003F4D95" w:rsidRDefault="00F337D7" w:rsidP="00BA2257">
      <w:pPr>
        <w:jc w:val="both"/>
        <w:rPr>
          <w:rFonts w:asciiTheme="minorBidi" w:hAnsiTheme="minorBidi" w:cstheme="minorBidi"/>
          <w:sz w:val="20"/>
          <w:szCs w:val="20"/>
        </w:rPr>
      </w:pPr>
      <w:r>
        <w:rPr>
          <w:rFonts w:asciiTheme="minorBidi" w:hAnsiTheme="minorBidi" w:cstheme="minorBidi"/>
          <w:sz w:val="20"/>
          <w:szCs w:val="20"/>
        </w:rPr>
        <w:t>Dans l</w:t>
      </w:r>
      <w:r w:rsidRPr="003F4D95">
        <w:rPr>
          <w:rFonts w:asciiTheme="minorBidi" w:hAnsiTheme="minorBidi" w:cstheme="minorBidi"/>
          <w:sz w:val="20"/>
          <w:szCs w:val="20"/>
        </w:rPr>
        <w:t xml:space="preserve">es économies émergentes, le climat conjoncturel aurait continué à s'améliorer au premier trimestre 2017, se situant à son plus haut niveau depuis deux ans, mais sans pour autant atteindre celui des années 2000. Avec la hausse des prix des matières premières sur le marché mondial, les monnaies des </w:t>
      </w:r>
      <w:r w:rsidR="00C50FFD">
        <w:rPr>
          <w:rFonts w:asciiTheme="minorBidi" w:hAnsiTheme="minorBidi" w:cstheme="minorBidi"/>
          <w:sz w:val="20"/>
          <w:szCs w:val="20"/>
        </w:rPr>
        <w:t xml:space="preserve">principaux </w:t>
      </w:r>
      <w:r w:rsidRPr="003F4D95">
        <w:rPr>
          <w:rFonts w:asciiTheme="minorBidi" w:hAnsiTheme="minorBidi" w:cstheme="minorBidi"/>
          <w:sz w:val="20"/>
          <w:szCs w:val="20"/>
        </w:rPr>
        <w:t>pays producteurs auraient cessé de se déprécier, contribuant, ainsi, à une baisse de l’inflation. En Russie, l’activité aurait repris et les pertes de pouvoir d’achat des ménages se seraient atténuées, alors qu'au Brésil,</w:t>
      </w:r>
      <w:r w:rsidR="00761428" w:rsidRPr="00761428">
        <w:rPr>
          <w:rFonts w:asciiTheme="minorBidi" w:hAnsiTheme="minorBidi" w:cstheme="minorBidi"/>
          <w:sz w:val="20"/>
          <w:szCs w:val="20"/>
        </w:rPr>
        <w:t xml:space="preserve"> </w:t>
      </w:r>
      <w:r w:rsidRPr="003F4D95">
        <w:rPr>
          <w:rFonts w:asciiTheme="minorBidi" w:hAnsiTheme="minorBidi" w:cstheme="minorBidi"/>
          <w:sz w:val="20"/>
          <w:szCs w:val="20"/>
        </w:rPr>
        <w:t xml:space="preserve"> l'activité aurait poursuivi sa contraction mais à un rythme plus lent, dans le sillage de la demande intérieure. En Chine, le climat des affaires se serait amélioré, </w:t>
      </w:r>
      <w:r>
        <w:rPr>
          <w:rFonts w:asciiTheme="minorBidi" w:hAnsiTheme="minorBidi" w:cstheme="minorBidi"/>
          <w:sz w:val="20"/>
          <w:szCs w:val="20"/>
        </w:rPr>
        <w:t>sous l’effet d’une</w:t>
      </w:r>
      <w:r w:rsidRPr="003F4D95">
        <w:rPr>
          <w:rFonts w:asciiTheme="minorBidi" w:hAnsiTheme="minorBidi" w:cstheme="minorBidi"/>
          <w:sz w:val="20"/>
          <w:szCs w:val="20"/>
        </w:rPr>
        <w:t xml:space="preserve"> relance de l’industrie lourde</w:t>
      </w:r>
      <w:r w:rsidR="00BA2257">
        <w:rPr>
          <w:rFonts w:asciiTheme="minorBidi" w:hAnsiTheme="minorBidi" w:cstheme="minorBidi"/>
          <w:sz w:val="20"/>
          <w:szCs w:val="20"/>
        </w:rPr>
        <w:t xml:space="preserve"> et</w:t>
      </w:r>
      <w:r w:rsidRPr="003F4D95">
        <w:rPr>
          <w:rFonts w:asciiTheme="minorBidi" w:hAnsiTheme="minorBidi" w:cstheme="minorBidi"/>
          <w:sz w:val="20"/>
          <w:szCs w:val="20"/>
        </w:rPr>
        <w:t xml:space="preserve"> les importations se seraient orientées </w:t>
      </w:r>
      <w:r w:rsidR="00BA2257">
        <w:rPr>
          <w:rFonts w:asciiTheme="minorBidi" w:hAnsiTheme="minorBidi" w:cstheme="minorBidi"/>
          <w:sz w:val="20"/>
          <w:szCs w:val="20"/>
        </w:rPr>
        <w:t>à la</w:t>
      </w:r>
      <w:r w:rsidRPr="003F4D95">
        <w:rPr>
          <w:rFonts w:asciiTheme="minorBidi" w:hAnsiTheme="minorBidi" w:cstheme="minorBidi"/>
          <w:sz w:val="20"/>
          <w:szCs w:val="20"/>
        </w:rPr>
        <w:t xml:space="preserve"> hausse, stimulées par la demande intérieure. </w:t>
      </w:r>
    </w:p>
    <w:p w:rsidR="00F337D7" w:rsidRPr="003F4D95" w:rsidRDefault="00F337D7" w:rsidP="00F337D7">
      <w:pPr>
        <w:jc w:val="both"/>
        <w:rPr>
          <w:sz w:val="20"/>
          <w:szCs w:val="20"/>
        </w:rPr>
      </w:pPr>
    </w:p>
    <w:p w:rsidR="00F337D7" w:rsidRPr="003F4D95" w:rsidRDefault="00F337D7" w:rsidP="00C50FFD">
      <w:pPr>
        <w:jc w:val="both"/>
        <w:rPr>
          <w:rFonts w:asciiTheme="minorBidi" w:hAnsiTheme="minorBidi" w:cstheme="minorBidi"/>
          <w:sz w:val="20"/>
          <w:szCs w:val="20"/>
        </w:rPr>
      </w:pPr>
      <w:r w:rsidRPr="003F4D95">
        <w:rPr>
          <w:rFonts w:asciiTheme="minorBidi" w:hAnsiTheme="minorBidi" w:cstheme="minorBidi"/>
          <w:sz w:val="20"/>
          <w:szCs w:val="20"/>
        </w:rPr>
        <w:t xml:space="preserve">Le commerce mondial de biens se serait redressé de 4%, en variation annuelle, au premier trimestre 2017, suite à la reprise de l'activité et des importations des économies avancées et émergentes. En ligne avec l'évolution du commerce mondial, la demande étrangère adressée au Maroc se serait </w:t>
      </w:r>
      <w:r w:rsidR="00C50FFD">
        <w:rPr>
          <w:rFonts w:asciiTheme="minorBidi" w:hAnsiTheme="minorBidi" w:cstheme="minorBidi"/>
          <w:sz w:val="20"/>
          <w:szCs w:val="20"/>
        </w:rPr>
        <w:t>affermie</w:t>
      </w:r>
      <w:r w:rsidRPr="003F4D95">
        <w:rPr>
          <w:rFonts w:asciiTheme="minorBidi" w:hAnsiTheme="minorBidi" w:cstheme="minorBidi"/>
          <w:sz w:val="20"/>
          <w:szCs w:val="20"/>
        </w:rPr>
        <w:t xml:space="preserve"> de 4,5%, en glissement annuel, profitant de la reprise des importations des pays de la zone euro.</w:t>
      </w:r>
    </w:p>
    <w:p w:rsidR="00F337D7" w:rsidRPr="003F4D95" w:rsidRDefault="00F337D7" w:rsidP="00F337D7">
      <w:pPr>
        <w:jc w:val="both"/>
        <w:rPr>
          <w:rFonts w:ascii="Arial" w:hAnsi="Arial" w:cs="Arial"/>
          <w:sz w:val="20"/>
          <w:szCs w:val="20"/>
          <w:u w:val="single"/>
        </w:rPr>
      </w:pPr>
    </w:p>
    <w:p w:rsidR="00E71029" w:rsidRPr="00E71029" w:rsidRDefault="00E71029" w:rsidP="00BA2257">
      <w:pPr>
        <w:jc w:val="both"/>
        <w:rPr>
          <w:rFonts w:ascii="Arial" w:hAnsi="Arial" w:cs="Arial"/>
          <w:b/>
          <w:bCs/>
          <w:color w:val="800000"/>
          <w:kern w:val="28"/>
          <w:sz w:val="20"/>
          <w:szCs w:val="20"/>
        </w:rPr>
      </w:pPr>
      <w:r w:rsidRPr="00E71029">
        <w:rPr>
          <w:rFonts w:ascii="Arial" w:hAnsi="Arial" w:cs="Arial"/>
          <w:b/>
          <w:bCs/>
          <w:color w:val="800000"/>
          <w:kern w:val="28"/>
          <w:sz w:val="20"/>
          <w:szCs w:val="20"/>
        </w:rPr>
        <w:t>Hausse plus accentuée des importations par rapport aux exportations</w:t>
      </w:r>
    </w:p>
    <w:p w:rsidR="00E71029" w:rsidRDefault="00E71029" w:rsidP="00BA2257">
      <w:pPr>
        <w:jc w:val="both"/>
        <w:rPr>
          <w:rFonts w:ascii="Arial" w:hAnsi="Arial" w:cs="Arial"/>
          <w:kern w:val="28"/>
          <w:sz w:val="20"/>
          <w:szCs w:val="20"/>
        </w:rPr>
      </w:pPr>
    </w:p>
    <w:p w:rsidR="00F337D7" w:rsidRPr="003F4D95" w:rsidRDefault="00F337D7" w:rsidP="006506D4">
      <w:pPr>
        <w:jc w:val="both"/>
        <w:rPr>
          <w:rFonts w:ascii="Arial" w:hAnsi="Arial" w:cs="Arial"/>
          <w:kern w:val="28"/>
          <w:sz w:val="20"/>
          <w:szCs w:val="20"/>
        </w:rPr>
      </w:pPr>
      <w:r w:rsidRPr="003F4D95">
        <w:rPr>
          <w:rFonts w:ascii="Arial" w:hAnsi="Arial" w:cs="Arial"/>
          <w:kern w:val="28"/>
          <w:sz w:val="20"/>
          <w:szCs w:val="20"/>
        </w:rPr>
        <w:t xml:space="preserve">Au niveau national, les </w:t>
      </w:r>
      <w:r w:rsidRPr="003F4D95">
        <w:rPr>
          <w:rFonts w:ascii="Arial" w:hAnsi="Arial" w:cs="Arial"/>
          <w:b/>
          <w:bCs/>
          <w:kern w:val="28"/>
          <w:sz w:val="20"/>
          <w:szCs w:val="20"/>
        </w:rPr>
        <w:t xml:space="preserve">exportations </w:t>
      </w:r>
      <w:r w:rsidRPr="003F4D95">
        <w:rPr>
          <w:rFonts w:ascii="Arial" w:hAnsi="Arial" w:cs="Arial"/>
          <w:kern w:val="28"/>
          <w:sz w:val="20"/>
          <w:szCs w:val="20"/>
        </w:rPr>
        <w:t xml:space="preserve">de biens, en </w:t>
      </w:r>
      <w:r w:rsidR="00C50FFD" w:rsidRPr="003F4D95">
        <w:rPr>
          <w:rFonts w:ascii="Arial" w:hAnsi="Arial" w:cs="Arial"/>
          <w:kern w:val="28"/>
          <w:sz w:val="20"/>
          <w:szCs w:val="20"/>
        </w:rPr>
        <w:t>augmentation</w:t>
      </w:r>
      <w:r w:rsidRPr="003F4D95">
        <w:rPr>
          <w:rFonts w:ascii="Arial" w:hAnsi="Arial" w:cs="Arial"/>
          <w:kern w:val="28"/>
          <w:sz w:val="20"/>
          <w:szCs w:val="20"/>
        </w:rPr>
        <w:t xml:space="preserve"> estimée à 2% au premier trimestre 2017, auraient profité de la relance des expéditions des engrais naturels et chimiques, favorisée par la hausse graduelle de</w:t>
      </w:r>
      <w:r w:rsidR="006506D4">
        <w:rPr>
          <w:rFonts w:ascii="Arial" w:hAnsi="Arial" w:cs="Arial"/>
          <w:kern w:val="28"/>
          <w:sz w:val="20"/>
          <w:szCs w:val="20"/>
        </w:rPr>
        <w:t xml:space="preserve"> leurs </w:t>
      </w:r>
      <w:r w:rsidRPr="003F4D95">
        <w:rPr>
          <w:rFonts w:ascii="Arial" w:hAnsi="Arial" w:cs="Arial"/>
          <w:kern w:val="28"/>
          <w:sz w:val="20"/>
          <w:szCs w:val="20"/>
        </w:rPr>
        <w:t xml:space="preserve">cours mondiaux et la reprise de la demande étrangère. Hors phosphates et dérivés, les exportations auraient augmenté de 0,5%, profitant de l’orientation favorable de la demande extérieure adressée aux secteurs aéronautique, électronique et agro-alimentaire. Elles auraient, toutefois, pâti </w:t>
      </w:r>
      <w:r w:rsidR="00BA2257">
        <w:rPr>
          <w:rFonts w:ascii="Arial" w:hAnsi="Arial" w:cs="Arial"/>
          <w:kern w:val="28"/>
          <w:sz w:val="20"/>
          <w:szCs w:val="20"/>
        </w:rPr>
        <w:t>de l’</w:t>
      </w:r>
      <w:r w:rsidR="00C67460">
        <w:rPr>
          <w:rFonts w:ascii="Arial" w:hAnsi="Arial" w:cs="Arial"/>
          <w:kern w:val="28"/>
          <w:sz w:val="20"/>
          <w:szCs w:val="20"/>
        </w:rPr>
        <w:t>essoufflement</w:t>
      </w:r>
      <w:r w:rsidRPr="003F4D95">
        <w:rPr>
          <w:rFonts w:ascii="Arial" w:hAnsi="Arial" w:cs="Arial"/>
          <w:kern w:val="28"/>
          <w:sz w:val="20"/>
          <w:szCs w:val="20"/>
        </w:rPr>
        <w:t xml:space="preserve"> des exportations des secteurs de l'automobile et du textile et cuir. </w:t>
      </w:r>
    </w:p>
    <w:p w:rsidR="00F337D7" w:rsidRPr="003F4D95" w:rsidRDefault="00F337D7" w:rsidP="00F337D7">
      <w:pPr>
        <w:jc w:val="both"/>
        <w:rPr>
          <w:rFonts w:ascii="Arial" w:hAnsi="Arial" w:cs="Arial"/>
          <w:kern w:val="28"/>
          <w:sz w:val="20"/>
          <w:szCs w:val="20"/>
        </w:rPr>
      </w:pPr>
    </w:p>
    <w:p w:rsidR="00EF5CE5" w:rsidRPr="007766F6" w:rsidRDefault="00EF5CE5" w:rsidP="00EF5CE5">
      <w:pPr>
        <w:jc w:val="both"/>
        <w:rPr>
          <w:rFonts w:ascii="Arial" w:hAnsi="Arial" w:cs="Arial"/>
          <w:iCs/>
          <w:kern w:val="28"/>
          <w:sz w:val="8"/>
          <w:szCs w:val="8"/>
        </w:rPr>
      </w:pPr>
    </w:p>
    <w:p w:rsidR="00EF5CE5" w:rsidRPr="001E70D5" w:rsidRDefault="00EF5CE5" w:rsidP="00236009">
      <w:pPr>
        <w:pBdr>
          <w:top w:val="single" w:sz="4" w:space="3" w:color="auto"/>
        </w:pBdr>
        <w:jc w:val="both"/>
        <w:rPr>
          <w:rFonts w:ascii="Arial" w:hAnsi="Arial" w:cs="Arial"/>
          <w:bCs/>
          <w:i/>
          <w:kern w:val="28"/>
          <w:sz w:val="14"/>
          <w:szCs w:val="14"/>
        </w:rPr>
      </w:pPr>
      <w:r w:rsidRPr="001E70D5">
        <w:rPr>
          <w:rFonts w:ascii="Arial" w:hAnsi="Arial" w:cs="Arial"/>
          <w:bCs/>
          <w:i/>
          <w:kern w:val="28"/>
          <w:sz w:val="14"/>
          <w:szCs w:val="14"/>
        </w:rPr>
        <w:t>Pour plus de détails, se référer à la publication « </w:t>
      </w:r>
      <w:r>
        <w:rPr>
          <w:rFonts w:ascii="Arial" w:hAnsi="Arial" w:cs="Arial"/>
          <w:bCs/>
          <w:i/>
          <w:kern w:val="28"/>
          <w:sz w:val="14"/>
          <w:szCs w:val="14"/>
        </w:rPr>
        <w:t>Note</w:t>
      </w:r>
      <w:r w:rsidRPr="001E70D5">
        <w:rPr>
          <w:rFonts w:ascii="Arial" w:hAnsi="Arial" w:cs="Arial"/>
          <w:bCs/>
          <w:i/>
          <w:kern w:val="28"/>
          <w:sz w:val="14"/>
          <w:szCs w:val="14"/>
        </w:rPr>
        <w:t xml:space="preserve"> de conjoncture N°</w:t>
      </w:r>
      <w:r w:rsidR="00236009">
        <w:rPr>
          <w:rFonts w:ascii="Arial" w:hAnsi="Arial" w:cs="Arial"/>
          <w:bCs/>
          <w:i/>
          <w:kern w:val="28"/>
          <w:sz w:val="14"/>
          <w:szCs w:val="14"/>
        </w:rPr>
        <w:t>30</w:t>
      </w:r>
      <w:r w:rsidRPr="001E70D5">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EF5CE5" w:rsidRDefault="00EF5CE5" w:rsidP="00EF5CE5">
      <w:pPr>
        <w:jc w:val="both"/>
        <w:rPr>
          <w:rFonts w:ascii="Arial" w:hAnsi="Arial" w:cs="Arial"/>
          <w:b/>
          <w:bCs/>
          <w:color w:val="800000"/>
          <w:kern w:val="28"/>
          <w:sz w:val="20"/>
          <w:szCs w:val="20"/>
        </w:rPr>
      </w:pPr>
    </w:p>
    <w:p w:rsidR="00761428" w:rsidRDefault="00761428" w:rsidP="00D44852">
      <w:pPr>
        <w:jc w:val="both"/>
        <w:rPr>
          <w:rFonts w:ascii="Arial" w:hAnsi="Arial" w:cs="Arial"/>
          <w:sz w:val="20"/>
          <w:szCs w:val="20"/>
        </w:rPr>
      </w:pPr>
    </w:p>
    <w:p w:rsidR="003C2B72" w:rsidRPr="003F4D95" w:rsidRDefault="003C2B72" w:rsidP="006506D4">
      <w:pPr>
        <w:jc w:val="both"/>
        <w:rPr>
          <w:rFonts w:ascii="Arial" w:hAnsi="Arial" w:cs="Arial"/>
          <w:color w:val="FF0000"/>
          <w:sz w:val="20"/>
          <w:szCs w:val="20"/>
        </w:rPr>
      </w:pPr>
      <w:r w:rsidRPr="003F4D95">
        <w:rPr>
          <w:rFonts w:ascii="Arial" w:hAnsi="Arial" w:cs="Arial"/>
          <w:kern w:val="28"/>
          <w:sz w:val="20"/>
          <w:szCs w:val="20"/>
        </w:rPr>
        <w:lastRenderedPageBreak/>
        <w:t>L</w:t>
      </w:r>
      <w:r w:rsidRPr="003F4D95">
        <w:rPr>
          <w:rFonts w:ascii="Arial" w:hAnsi="Arial" w:cs="Arial"/>
          <w:sz w:val="20"/>
          <w:szCs w:val="20"/>
        </w:rPr>
        <w:t>es</w:t>
      </w:r>
      <w:r w:rsidRPr="003F4D95">
        <w:rPr>
          <w:rFonts w:ascii="Arial" w:hAnsi="Arial" w:cs="Arial"/>
          <w:b/>
          <w:bCs/>
          <w:sz w:val="20"/>
          <w:szCs w:val="20"/>
        </w:rPr>
        <w:t xml:space="preserve"> importations</w:t>
      </w:r>
      <w:r w:rsidRPr="003F4D95">
        <w:rPr>
          <w:rFonts w:ascii="Arial" w:hAnsi="Arial" w:cs="Arial"/>
          <w:kern w:val="28"/>
          <w:sz w:val="20"/>
          <w:szCs w:val="20"/>
        </w:rPr>
        <w:t xml:space="preserve"> auraient </w:t>
      </w:r>
      <w:r w:rsidR="006506D4">
        <w:rPr>
          <w:rFonts w:ascii="Arial" w:hAnsi="Arial" w:cs="Arial"/>
          <w:kern w:val="28"/>
          <w:sz w:val="20"/>
          <w:szCs w:val="20"/>
        </w:rPr>
        <w:t>augmenté</w:t>
      </w:r>
      <w:r>
        <w:rPr>
          <w:rFonts w:ascii="Arial" w:hAnsi="Arial" w:cs="Arial"/>
          <w:kern w:val="28"/>
          <w:sz w:val="20"/>
          <w:szCs w:val="20"/>
        </w:rPr>
        <w:t xml:space="preserve"> </w:t>
      </w:r>
      <w:r w:rsidR="006506D4">
        <w:rPr>
          <w:rFonts w:ascii="Arial" w:hAnsi="Arial" w:cs="Arial"/>
          <w:kern w:val="28"/>
          <w:sz w:val="20"/>
          <w:szCs w:val="20"/>
        </w:rPr>
        <w:t>de</w:t>
      </w:r>
      <w:r w:rsidRPr="003F4D95">
        <w:rPr>
          <w:rFonts w:ascii="Arial" w:hAnsi="Arial" w:cs="Arial"/>
          <w:kern w:val="28"/>
          <w:sz w:val="20"/>
          <w:szCs w:val="20"/>
        </w:rPr>
        <w:t xml:space="preserve"> 9,5% au premier trimestre 2017, </w:t>
      </w:r>
      <w:r>
        <w:rPr>
          <w:rFonts w:ascii="Arial" w:hAnsi="Arial" w:cs="Arial"/>
          <w:kern w:val="28"/>
          <w:sz w:val="20"/>
          <w:szCs w:val="20"/>
        </w:rPr>
        <w:t xml:space="preserve">à la suite du renchérissement </w:t>
      </w:r>
      <w:r w:rsidRPr="003F4D95">
        <w:rPr>
          <w:rFonts w:ascii="Arial" w:hAnsi="Arial" w:cs="Arial"/>
          <w:kern w:val="28"/>
          <w:sz w:val="20"/>
          <w:szCs w:val="20"/>
        </w:rPr>
        <w:t xml:space="preserve">de la facture énergétique, dans un contexte de reprise des cours </w:t>
      </w:r>
      <w:r w:rsidR="00861DDA">
        <w:rPr>
          <w:rFonts w:ascii="Arial" w:hAnsi="Arial" w:cs="Arial"/>
          <w:kern w:val="28"/>
          <w:sz w:val="20"/>
          <w:szCs w:val="20"/>
        </w:rPr>
        <w:t>des produits énergétiques</w:t>
      </w:r>
      <w:r>
        <w:rPr>
          <w:rFonts w:ascii="Arial" w:hAnsi="Arial" w:cs="Arial"/>
          <w:kern w:val="28"/>
          <w:sz w:val="20"/>
          <w:szCs w:val="20"/>
        </w:rPr>
        <w:t xml:space="preserve"> </w:t>
      </w:r>
      <w:r w:rsidRPr="003F4D95">
        <w:rPr>
          <w:rFonts w:ascii="Arial" w:hAnsi="Arial" w:cs="Arial"/>
          <w:kern w:val="28"/>
          <w:sz w:val="20"/>
          <w:szCs w:val="20"/>
        </w:rPr>
        <w:t xml:space="preserve">sur le marché mondial, après l'accalmie observée en 2016. Soutenues par la demande intérieure, les importations hors énergie, auraient été alimentées par les achats des biens d’équipement (voitures industrielles, diodes, transistors et chaudières), des produits bruts (ferraille, fonte, fer, acier, huile de soja) et, dans une moindre mesure, par les biens de consommation (pièces détachées pour voitures de tourisme). En revanche, les importations de produits alimentaires auraient </w:t>
      </w:r>
      <w:r w:rsidR="00CA6475">
        <w:rPr>
          <w:rFonts w:ascii="Arial" w:hAnsi="Arial" w:cs="Arial"/>
          <w:kern w:val="28"/>
          <w:sz w:val="20"/>
          <w:szCs w:val="20"/>
        </w:rPr>
        <w:t>fléchi,</w:t>
      </w:r>
      <w:r w:rsidRPr="003F4D95">
        <w:rPr>
          <w:rFonts w:ascii="Arial" w:hAnsi="Arial" w:cs="Arial"/>
          <w:kern w:val="28"/>
          <w:sz w:val="20"/>
          <w:szCs w:val="20"/>
        </w:rPr>
        <w:t xml:space="preserve"> sous</w:t>
      </w:r>
      <w:r>
        <w:rPr>
          <w:rFonts w:ascii="Arial" w:hAnsi="Arial" w:cs="Arial"/>
          <w:kern w:val="28"/>
          <w:sz w:val="20"/>
          <w:szCs w:val="20"/>
        </w:rPr>
        <w:t xml:space="preserve"> l’effet du </w:t>
      </w:r>
      <w:r w:rsidRPr="003F4D95">
        <w:rPr>
          <w:rFonts w:ascii="Arial" w:hAnsi="Arial" w:cs="Arial"/>
          <w:kern w:val="28"/>
          <w:sz w:val="20"/>
          <w:szCs w:val="20"/>
        </w:rPr>
        <w:t xml:space="preserve">repli </w:t>
      </w:r>
      <w:r w:rsidR="00CA6475" w:rsidRPr="003F4D95">
        <w:rPr>
          <w:rFonts w:ascii="Arial" w:hAnsi="Arial" w:cs="Arial"/>
          <w:kern w:val="28"/>
          <w:sz w:val="20"/>
          <w:szCs w:val="20"/>
        </w:rPr>
        <w:t>de près de 50%</w:t>
      </w:r>
      <w:r w:rsidR="00CA6475">
        <w:rPr>
          <w:rFonts w:ascii="Arial" w:hAnsi="Arial" w:cs="Arial"/>
          <w:kern w:val="28"/>
          <w:sz w:val="20"/>
          <w:szCs w:val="20"/>
        </w:rPr>
        <w:t xml:space="preserve"> </w:t>
      </w:r>
      <w:r w:rsidRPr="003F4D95">
        <w:rPr>
          <w:rFonts w:ascii="Arial" w:hAnsi="Arial" w:cs="Arial"/>
          <w:kern w:val="28"/>
          <w:sz w:val="20"/>
          <w:szCs w:val="20"/>
        </w:rPr>
        <w:t>de la facture céréalière.</w:t>
      </w:r>
    </w:p>
    <w:p w:rsidR="003C2B72" w:rsidRDefault="003C2B72" w:rsidP="00761428">
      <w:pPr>
        <w:jc w:val="both"/>
        <w:rPr>
          <w:rFonts w:ascii="Arial" w:hAnsi="Arial" w:cs="Arial"/>
          <w:kern w:val="28"/>
          <w:sz w:val="20"/>
          <w:szCs w:val="20"/>
          <w:rtl/>
        </w:rPr>
      </w:pPr>
    </w:p>
    <w:p w:rsidR="00761428" w:rsidRPr="003F4D95" w:rsidRDefault="00761428" w:rsidP="00761428">
      <w:pPr>
        <w:jc w:val="both"/>
        <w:rPr>
          <w:rFonts w:ascii="Arial" w:hAnsi="Arial" w:cs="Arial"/>
          <w:kern w:val="28"/>
          <w:sz w:val="20"/>
          <w:szCs w:val="20"/>
        </w:rPr>
      </w:pPr>
      <w:r w:rsidRPr="003F4D95">
        <w:rPr>
          <w:rFonts w:ascii="Arial" w:hAnsi="Arial" w:cs="Arial"/>
          <w:kern w:val="28"/>
          <w:sz w:val="20"/>
          <w:szCs w:val="20"/>
        </w:rPr>
        <w:t>La hausse plus prononcée des importations par rapport au</w:t>
      </w:r>
      <w:r>
        <w:rPr>
          <w:rFonts w:ascii="Arial" w:hAnsi="Arial" w:cs="Arial"/>
          <w:kern w:val="28"/>
          <w:sz w:val="20"/>
          <w:szCs w:val="20"/>
        </w:rPr>
        <w:t>x</w:t>
      </w:r>
      <w:r w:rsidRPr="003F4D95">
        <w:rPr>
          <w:rFonts w:ascii="Arial" w:hAnsi="Arial" w:cs="Arial"/>
          <w:kern w:val="28"/>
          <w:sz w:val="20"/>
          <w:szCs w:val="20"/>
        </w:rPr>
        <w:t xml:space="preserve"> exportations aurait engendré un creusement du déficit commercial de près de 21%, au premier trimestre 2017, en glissement annuel, et un repli de 4 points du taux de couverture pour </w:t>
      </w:r>
      <w:r>
        <w:rPr>
          <w:rFonts w:ascii="Arial" w:hAnsi="Arial" w:cs="Arial"/>
          <w:kern w:val="28"/>
          <w:sz w:val="20"/>
          <w:szCs w:val="20"/>
        </w:rPr>
        <w:t>se situer à</w:t>
      </w:r>
      <w:r w:rsidRPr="003F4D95">
        <w:rPr>
          <w:rFonts w:ascii="Arial" w:hAnsi="Arial" w:cs="Arial"/>
          <w:kern w:val="28"/>
          <w:sz w:val="20"/>
          <w:szCs w:val="20"/>
        </w:rPr>
        <w:t xml:space="preserve"> 57%. </w:t>
      </w:r>
    </w:p>
    <w:p w:rsidR="00761428" w:rsidRPr="003F4D95" w:rsidRDefault="00761428" w:rsidP="00761428">
      <w:pPr>
        <w:jc w:val="both"/>
        <w:rPr>
          <w:rFonts w:ascii="Arial" w:hAnsi="Arial" w:cs="Arial"/>
          <w:kern w:val="28"/>
          <w:sz w:val="20"/>
          <w:szCs w:val="20"/>
        </w:rPr>
      </w:pPr>
    </w:p>
    <w:p w:rsidR="005B6941" w:rsidRDefault="00FC7AE7" w:rsidP="00E71029">
      <w:pPr>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21728" behindDoc="0" locked="0" layoutInCell="1" allowOverlap="1">
            <wp:simplePos x="0" y="0"/>
            <wp:positionH relativeFrom="column">
              <wp:posOffset>4124325</wp:posOffset>
            </wp:positionH>
            <wp:positionV relativeFrom="paragraph">
              <wp:posOffset>7620</wp:posOffset>
            </wp:positionV>
            <wp:extent cx="2447925" cy="2047875"/>
            <wp:effectExtent l="19050" t="0" r="9525" b="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47925" cy="2047875"/>
                    </a:xfrm>
                    <a:prstGeom prst="rect">
                      <a:avLst/>
                    </a:prstGeom>
                    <a:noFill/>
                    <a:ln w="9525">
                      <a:noFill/>
                      <a:miter lim="800000"/>
                      <a:headEnd/>
                      <a:tailEnd/>
                    </a:ln>
                  </pic:spPr>
                </pic:pic>
              </a:graphicData>
            </a:graphic>
          </wp:anchor>
        </w:drawing>
      </w:r>
      <w:r w:rsidR="00E71029">
        <w:rPr>
          <w:rFonts w:ascii="Arial" w:hAnsi="Arial" w:cs="Arial"/>
          <w:b/>
          <w:bCs/>
          <w:color w:val="800000"/>
          <w:kern w:val="28"/>
          <w:sz w:val="20"/>
          <w:szCs w:val="20"/>
        </w:rPr>
        <w:t>A</w:t>
      </w:r>
      <w:r w:rsidR="0040560C">
        <w:rPr>
          <w:rFonts w:ascii="Arial" w:hAnsi="Arial" w:cs="Arial"/>
          <w:b/>
          <w:bCs/>
          <w:color w:val="800000"/>
          <w:kern w:val="28"/>
          <w:sz w:val="20"/>
          <w:szCs w:val="20"/>
        </w:rPr>
        <w:t>mélior</w:t>
      </w:r>
      <w:r w:rsidR="005B6941" w:rsidRPr="0085628E">
        <w:rPr>
          <w:rFonts w:ascii="Arial" w:hAnsi="Arial" w:cs="Arial"/>
          <w:b/>
          <w:bCs/>
          <w:color w:val="800000"/>
          <w:kern w:val="28"/>
          <w:sz w:val="20"/>
          <w:szCs w:val="20"/>
        </w:rPr>
        <w:t>ation</w:t>
      </w:r>
      <w:r w:rsidR="005B6941">
        <w:rPr>
          <w:rFonts w:ascii="Arial" w:hAnsi="Arial" w:cs="Arial"/>
          <w:b/>
          <w:bCs/>
          <w:color w:val="800000"/>
          <w:kern w:val="28"/>
          <w:sz w:val="20"/>
          <w:szCs w:val="20"/>
        </w:rPr>
        <w:t xml:space="preserve"> de l</w:t>
      </w:r>
      <w:r w:rsidR="005B6941" w:rsidRPr="00DB7C3F">
        <w:rPr>
          <w:rFonts w:ascii="Arial" w:hAnsi="Arial" w:cs="Arial"/>
          <w:b/>
          <w:bCs/>
          <w:color w:val="800000"/>
          <w:kern w:val="28"/>
          <w:sz w:val="20"/>
          <w:szCs w:val="20"/>
        </w:rPr>
        <w:t>a demande intérieure</w:t>
      </w:r>
      <w:r w:rsidR="00F22FED">
        <w:rPr>
          <w:rFonts w:ascii="Arial" w:hAnsi="Arial" w:cs="Arial"/>
          <w:b/>
          <w:bCs/>
          <w:color w:val="800000"/>
          <w:kern w:val="28"/>
          <w:sz w:val="20"/>
          <w:szCs w:val="20"/>
        </w:rPr>
        <w:t xml:space="preserve"> au </w:t>
      </w:r>
      <w:r w:rsidR="00236009">
        <w:rPr>
          <w:rFonts w:ascii="Arial" w:hAnsi="Arial" w:cs="Arial"/>
          <w:b/>
          <w:bCs/>
          <w:color w:val="800000"/>
          <w:kern w:val="28"/>
          <w:sz w:val="20"/>
          <w:szCs w:val="20"/>
        </w:rPr>
        <w:t>premier</w:t>
      </w:r>
      <w:r w:rsidR="00F22FED">
        <w:rPr>
          <w:rFonts w:ascii="Arial" w:hAnsi="Arial" w:cs="Arial"/>
          <w:b/>
          <w:bCs/>
          <w:color w:val="800000"/>
          <w:kern w:val="28"/>
          <w:sz w:val="20"/>
          <w:szCs w:val="20"/>
        </w:rPr>
        <w:t xml:space="preserve"> trimestre 201</w:t>
      </w:r>
      <w:r w:rsidR="00236009">
        <w:rPr>
          <w:rFonts w:ascii="Arial" w:hAnsi="Arial" w:cs="Arial"/>
          <w:b/>
          <w:bCs/>
          <w:color w:val="800000"/>
          <w:kern w:val="28"/>
          <w:sz w:val="20"/>
          <w:szCs w:val="20"/>
        </w:rPr>
        <w:t>7</w:t>
      </w:r>
      <w:r w:rsidR="005B6941">
        <w:rPr>
          <w:rFonts w:ascii="Arial" w:hAnsi="Arial" w:cs="Arial"/>
          <w:b/>
          <w:bCs/>
          <w:color w:val="800000"/>
          <w:kern w:val="28"/>
          <w:sz w:val="20"/>
          <w:szCs w:val="20"/>
        </w:rPr>
        <w:t xml:space="preserve"> </w:t>
      </w:r>
    </w:p>
    <w:p w:rsidR="005B6941" w:rsidRDefault="005B6941" w:rsidP="005B6941">
      <w:pPr>
        <w:autoSpaceDE w:val="0"/>
        <w:autoSpaceDN w:val="0"/>
        <w:adjustRightInd w:val="0"/>
        <w:jc w:val="both"/>
        <w:rPr>
          <w:rFonts w:ascii="Arial" w:hAnsi="Arial" w:cs="Arial"/>
          <w:b/>
          <w:bCs/>
          <w:color w:val="800000"/>
          <w:kern w:val="28"/>
          <w:sz w:val="20"/>
          <w:szCs w:val="20"/>
        </w:rPr>
      </w:pPr>
    </w:p>
    <w:p w:rsidR="0097276B" w:rsidRPr="005A66A0" w:rsidRDefault="005B6941" w:rsidP="0024527B">
      <w:pPr>
        <w:jc w:val="both"/>
        <w:rPr>
          <w:rFonts w:ascii="Arial" w:hAnsi="Arial" w:cs="Arial"/>
          <w:sz w:val="20"/>
          <w:szCs w:val="20"/>
        </w:rPr>
      </w:pPr>
      <w:r>
        <w:rPr>
          <w:rFonts w:ascii="Arial" w:hAnsi="Arial" w:cs="Arial"/>
          <w:sz w:val="20"/>
          <w:szCs w:val="20"/>
        </w:rPr>
        <w:t>La</w:t>
      </w:r>
      <w:r w:rsidRPr="00BA28C6">
        <w:rPr>
          <w:rFonts w:ascii="Arial" w:hAnsi="Arial" w:cs="Arial"/>
          <w:sz w:val="20"/>
          <w:szCs w:val="20"/>
        </w:rPr>
        <w:t xml:space="preserve"> </w:t>
      </w:r>
      <w:r w:rsidR="00E71029">
        <w:rPr>
          <w:rFonts w:ascii="Arial" w:hAnsi="Arial" w:cs="Arial"/>
          <w:b/>
          <w:sz w:val="20"/>
          <w:szCs w:val="20"/>
        </w:rPr>
        <w:t xml:space="preserve">consommation </w:t>
      </w:r>
      <w:r w:rsidR="006506D4">
        <w:rPr>
          <w:rFonts w:ascii="Arial" w:hAnsi="Arial" w:cs="Arial"/>
          <w:b/>
          <w:sz w:val="20"/>
          <w:szCs w:val="20"/>
        </w:rPr>
        <w:t>des ménages</w:t>
      </w:r>
      <w:r>
        <w:rPr>
          <w:rFonts w:ascii="Arial" w:hAnsi="Arial" w:cs="Arial"/>
          <w:sz w:val="20"/>
          <w:szCs w:val="20"/>
        </w:rPr>
        <w:t xml:space="preserve"> aurait </w:t>
      </w:r>
      <w:r w:rsidR="00294424">
        <w:rPr>
          <w:rFonts w:ascii="Arial" w:hAnsi="Arial" w:cs="Arial"/>
          <w:sz w:val="20"/>
          <w:szCs w:val="20"/>
        </w:rPr>
        <w:t>continué de so</w:t>
      </w:r>
      <w:r w:rsidR="006506D4">
        <w:rPr>
          <w:rFonts w:ascii="Arial" w:hAnsi="Arial" w:cs="Arial"/>
          <w:sz w:val="20"/>
          <w:szCs w:val="20"/>
        </w:rPr>
        <w:t>utenir la croissance économique</w:t>
      </w:r>
      <w:r w:rsidR="00294424">
        <w:rPr>
          <w:rFonts w:ascii="Arial" w:hAnsi="Arial" w:cs="Arial"/>
          <w:sz w:val="20"/>
          <w:szCs w:val="20"/>
        </w:rPr>
        <w:t xml:space="preserve"> </w:t>
      </w:r>
      <w:r>
        <w:rPr>
          <w:rFonts w:ascii="Arial" w:hAnsi="Arial" w:cs="Arial"/>
          <w:sz w:val="20"/>
          <w:szCs w:val="20"/>
        </w:rPr>
        <w:t xml:space="preserve">au </w:t>
      </w:r>
      <w:r w:rsidR="00CC75D6">
        <w:rPr>
          <w:rFonts w:ascii="Arial" w:hAnsi="Arial" w:cs="Arial"/>
          <w:iCs/>
          <w:color w:val="000000"/>
          <w:sz w:val="20"/>
          <w:szCs w:val="20"/>
          <w:lang w:eastAsia="en-US"/>
        </w:rPr>
        <w:t>premier trimestre 201</w:t>
      </w:r>
      <w:r w:rsidR="006506D4">
        <w:rPr>
          <w:rFonts w:ascii="Arial" w:hAnsi="Arial" w:cs="Arial"/>
          <w:iCs/>
          <w:color w:val="000000"/>
          <w:sz w:val="20"/>
          <w:szCs w:val="20"/>
          <w:lang w:eastAsia="en-US"/>
        </w:rPr>
        <w:t>7,</w:t>
      </w:r>
      <w:r w:rsidR="002B3931">
        <w:rPr>
          <w:rFonts w:ascii="Arial" w:hAnsi="Arial" w:cs="Arial"/>
          <w:sz w:val="20"/>
          <w:szCs w:val="20"/>
        </w:rPr>
        <w:t xml:space="preserve"> d</w:t>
      </w:r>
      <w:r w:rsidR="00294424">
        <w:rPr>
          <w:rFonts w:ascii="Arial" w:hAnsi="Arial" w:cs="Arial"/>
          <w:sz w:val="20"/>
          <w:szCs w:val="20"/>
        </w:rPr>
        <w:t xml:space="preserve">ans un contexte </w:t>
      </w:r>
      <w:r w:rsidR="006506D4">
        <w:rPr>
          <w:rFonts w:ascii="Arial" w:hAnsi="Arial" w:cs="Arial"/>
          <w:sz w:val="20"/>
          <w:szCs w:val="20"/>
        </w:rPr>
        <w:t>de</w:t>
      </w:r>
      <w:r w:rsidR="00294424">
        <w:rPr>
          <w:rFonts w:ascii="Arial" w:hAnsi="Arial" w:cs="Arial"/>
          <w:sz w:val="20"/>
          <w:szCs w:val="20"/>
        </w:rPr>
        <w:t xml:space="preserve"> </w:t>
      </w:r>
      <w:r w:rsidR="00B307C7">
        <w:rPr>
          <w:rFonts w:ascii="Arial" w:hAnsi="Arial" w:cs="Arial"/>
          <w:sz w:val="20"/>
          <w:szCs w:val="20"/>
        </w:rPr>
        <w:t xml:space="preserve">hausse </w:t>
      </w:r>
      <w:r w:rsidR="00435C3D">
        <w:rPr>
          <w:rFonts w:ascii="Arial" w:hAnsi="Arial" w:cs="Arial"/>
          <w:sz w:val="20"/>
          <w:szCs w:val="20"/>
        </w:rPr>
        <w:t>modérée</w:t>
      </w:r>
      <w:r w:rsidR="00B307C7">
        <w:rPr>
          <w:rFonts w:ascii="Arial" w:hAnsi="Arial" w:cs="Arial"/>
          <w:sz w:val="20"/>
          <w:szCs w:val="20"/>
        </w:rPr>
        <w:t xml:space="preserve"> </w:t>
      </w:r>
      <w:r w:rsidR="00294424">
        <w:rPr>
          <w:rFonts w:ascii="Arial" w:hAnsi="Arial" w:cs="Arial"/>
          <w:sz w:val="20"/>
          <w:szCs w:val="20"/>
        </w:rPr>
        <w:t>des prix à la consommation</w:t>
      </w:r>
      <w:r w:rsidR="002B3931">
        <w:rPr>
          <w:rFonts w:ascii="Arial" w:hAnsi="Arial" w:cs="Arial"/>
          <w:sz w:val="20"/>
          <w:szCs w:val="20"/>
        </w:rPr>
        <w:t xml:space="preserve"> et </w:t>
      </w:r>
      <w:r w:rsidR="006506D4">
        <w:rPr>
          <w:rFonts w:ascii="Arial" w:hAnsi="Arial" w:cs="Arial"/>
          <w:sz w:val="20"/>
          <w:szCs w:val="20"/>
        </w:rPr>
        <w:t>d’amélioration</w:t>
      </w:r>
      <w:r w:rsidR="002B3931">
        <w:rPr>
          <w:rFonts w:ascii="Arial" w:hAnsi="Arial" w:cs="Arial"/>
          <w:sz w:val="20"/>
          <w:szCs w:val="20"/>
        </w:rPr>
        <w:t xml:space="preserve"> des revenus en milieu rural.</w:t>
      </w:r>
      <w:r w:rsidR="00294424">
        <w:rPr>
          <w:rFonts w:ascii="Arial" w:hAnsi="Arial" w:cs="Arial"/>
          <w:sz w:val="20"/>
          <w:szCs w:val="20"/>
        </w:rPr>
        <w:t xml:space="preserve"> </w:t>
      </w:r>
      <w:r w:rsidR="006506D4">
        <w:rPr>
          <w:rFonts w:ascii="Arial" w:hAnsi="Arial" w:cs="Arial"/>
          <w:sz w:val="20"/>
          <w:szCs w:val="20"/>
        </w:rPr>
        <w:t>En variation annuelle, son volume</w:t>
      </w:r>
      <w:r w:rsidR="00E91C33">
        <w:rPr>
          <w:rFonts w:ascii="Arial" w:hAnsi="Arial" w:cs="Arial"/>
          <w:sz w:val="20"/>
          <w:szCs w:val="20"/>
        </w:rPr>
        <w:t xml:space="preserve"> </w:t>
      </w:r>
      <w:r w:rsidR="006506D4">
        <w:rPr>
          <w:rFonts w:ascii="Arial" w:hAnsi="Arial" w:cs="Arial"/>
          <w:sz w:val="20"/>
          <w:szCs w:val="20"/>
        </w:rPr>
        <w:t xml:space="preserve">se serait accru </w:t>
      </w:r>
      <w:r w:rsidR="006506D4" w:rsidRPr="0024527B">
        <w:rPr>
          <w:rFonts w:ascii="Arial" w:hAnsi="Arial" w:cs="Arial"/>
          <w:sz w:val="20"/>
          <w:szCs w:val="20"/>
        </w:rPr>
        <w:t>de</w:t>
      </w:r>
      <w:r w:rsidR="000A1DAF" w:rsidRPr="0024527B">
        <w:rPr>
          <w:rFonts w:ascii="Arial" w:hAnsi="Arial" w:cs="Arial"/>
          <w:sz w:val="20"/>
          <w:szCs w:val="20"/>
        </w:rPr>
        <w:t xml:space="preserve"> </w:t>
      </w:r>
      <w:r w:rsidR="00AA4B79" w:rsidRPr="0024527B">
        <w:rPr>
          <w:rFonts w:ascii="Arial" w:hAnsi="Arial" w:cs="Arial"/>
          <w:sz w:val="20"/>
          <w:szCs w:val="20"/>
        </w:rPr>
        <w:t>4</w:t>
      </w:r>
      <w:r w:rsidR="000A1DAF" w:rsidRPr="0024527B">
        <w:rPr>
          <w:rFonts w:ascii="Arial" w:hAnsi="Arial" w:cs="Arial"/>
          <w:sz w:val="20"/>
          <w:szCs w:val="20"/>
        </w:rPr>
        <w:t xml:space="preserve">%, au lieu de </w:t>
      </w:r>
      <w:r w:rsidR="00674172" w:rsidRPr="0024527B">
        <w:rPr>
          <w:rFonts w:ascii="Arial" w:hAnsi="Arial" w:cs="Arial"/>
          <w:sz w:val="20"/>
          <w:szCs w:val="20"/>
        </w:rPr>
        <w:t>3</w:t>
      </w:r>
      <w:r w:rsidR="000A1DAF" w:rsidRPr="0024527B">
        <w:rPr>
          <w:rFonts w:ascii="Arial" w:hAnsi="Arial" w:cs="Arial"/>
          <w:sz w:val="20"/>
          <w:szCs w:val="20"/>
        </w:rPr>
        <w:t>,</w:t>
      </w:r>
      <w:r w:rsidR="00674172" w:rsidRPr="0024527B">
        <w:rPr>
          <w:rFonts w:ascii="Arial" w:hAnsi="Arial" w:cs="Arial"/>
          <w:sz w:val="20"/>
          <w:szCs w:val="20"/>
        </w:rPr>
        <w:t>1</w:t>
      </w:r>
      <w:r w:rsidR="000A1DAF" w:rsidRPr="0024527B">
        <w:rPr>
          <w:rFonts w:ascii="Arial" w:hAnsi="Arial" w:cs="Arial"/>
          <w:sz w:val="20"/>
          <w:szCs w:val="20"/>
        </w:rPr>
        <w:t xml:space="preserve">% au </w:t>
      </w:r>
      <w:r w:rsidR="00CC75D6" w:rsidRPr="0024527B">
        <w:rPr>
          <w:rFonts w:ascii="Arial" w:hAnsi="Arial" w:cs="Arial"/>
          <w:sz w:val="20"/>
          <w:szCs w:val="20"/>
        </w:rPr>
        <w:t>quatr</w:t>
      </w:r>
      <w:r w:rsidR="000A1DAF" w:rsidRPr="0024527B">
        <w:rPr>
          <w:rFonts w:ascii="Arial" w:hAnsi="Arial" w:cs="Arial"/>
          <w:sz w:val="20"/>
          <w:szCs w:val="20"/>
        </w:rPr>
        <w:t>ième trimestre</w:t>
      </w:r>
      <w:r w:rsidR="0050690A" w:rsidRPr="0024527B">
        <w:rPr>
          <w:rFonts w:ascii="Arial" w:hAnsi="Arial" w:cs="Arial"/>
          <w:sz w:val="20"/>
          <w:szCs w:val="20"/>
        </w:rPr>
        <w:t xml:space="preserve"> 2016</w:t>
      </w:r>
      <w:r w:rsidR="00E91C33" w:rsidRPr="0024527B">
        <w:rPr>
          <w:rFonts w:ascii="Arial" w:hAnsi="Arial" w:cs="Arial"/>
          <w:sz w:val="20"/>
          <w:szCs w:val="20"/>
        </w:rPr>
        <w:t xml:space="preserve">, </w:t>
      </w:r>
      <w:r w:rsidR="00590C1C" w:rsidRPr="0024527B">
        <w:rPr>
          <w:rFonts w:ascii="Arial" w:hAnsi="Arial" w:cs="Arial"/>
          <w:sz w:val="20"/>
          <w:szCs w:val="20"/>
        </w:rPr>
        <w:t>contribu</w:t>
      </w:r>
      <w:r w:rsidR="001B31CB" w:rsidRPr="0024527B">
        <w:rPr>
          <w:rFonts w:ascii="Arial" w:hAnsi="Arial" w:cs="Arial"/>
          <w:sz w:val="20"/>
          <w:szCs w:val="20"/>
        </w:rPr>
        <w:t>ant pour</w:t>
      </w:r>
      <w:r w:rsidR="00590C1C" w:rsidRPr="0024527B">
        <w:rPr>
          <w:rFonts w:ascii="Arial" w:hAnsi="Arial" w:cs="Arial"/>
          <w:sz w:val="20"/>
          <w:szCs w:val="20"/>
        </w:rPr>
        <w:t xml:space="preserve"> </w:t>
      </w:r>
      <w:r w:rsidR="002C744D" w:rsidRPr="0024527B">
        <w:rPr>
          <w:rFonts w:ascii="Arial" w:hAnsi="Arial" w:cs="Arial"/>
          <w:sz w:val="20"/>
          <w:szCs w:val="20"/>
        </w:rPr>
        <w:t>environ</w:t>
      </w:r>
      <w:r w:rsidR="00590C1C" w:rsidRPr="0024527B">
        <w:rPr>
          <w:rFonts w:ascii="Arial" w:hAnsi="Arial" w:cs="Arial"/>
          <w:sz w:val="20"/>
          <w:szCs w:val="20"/>
        </w:rPr>
        <w:t xml:space="preserve"> </w:t>
      </w:r>
      <w:r w:rsidR="00AA4B79" w:rsidRPr="0024527B">
        <w:rPr>
          <w:rFonts w:ascii="Arial" w:hAnsi="Arial" w:cs="Arial"/>
          <w:sz w:val="20"/>
          <w:szCs w:val="20"/>
        </w:rPr>
        <w:t>2</w:t>
      </w:r>
      <w:r w:rsidR="00590C1C" w:rsidRPr="0024527B">
        <w:rPr>
          <w:rFonts w:ascii="Arial" w:hAnsi="Arial" w:cs="Arial"/>
          <w:sz w:val="20"/>
          <w:szCs w:val="20"/>
        </w:rPr>
        <w:t>,</w:t>
      </w:r>
      <w:r w:rsidR="0024527B" w:rsidRPr="0024527B">
        <w:rPr>
          <w:rFonts w:ascii="Arial" w:hAnsi="Arial" w:cs="Arial"/>
          <w:sz w:val="20"/>
          <w:szCs w:val="20"/>
        </w:rPr>
        <w:t>4</w:t>
      </w:r>
      <w:r w:rsidR="00590C1C" w:rsidRPr="0024527B">
        <w:rPr>
          <w:rFonts w:ascii="Arial" w:hAnsi="Arial" w:cs="Arial"/>
          <w:sz w:val="20"/>
          <w:szCs w:val="20"/>
        </w:rPr>
        <w:t xml:space="preserve"> point</w:t>
      </w:r>
      <w:r w:rsidR="00AA4B79" w:rsidRPr="0024527B">
        <w:rPr>
          <w:rFonts w:ascii="Arial" w:hAnsi="Arial" w:cs="Arial"/>
          <w:sz w:val="20"/>
          <w:szCs w:val="20"/>
        </w:rPr>
        <w:t>s</w:t>
      </w:r>
      <w:r w:rsidR="00590C1C" w:rsidRPr="0024527B">
        <w:rPr>
          <w:rFonts w:ascii="Arial" w:hAnsi="Arial" w:cs="Arial"/>
          <w:sz w:val="20"/>
          <w:szCs w:val="20"/>
        </w:rPr>
        <w:t xml:space="preserve"> à la croissance globale du PIB, au lieu de 1,8 point un trimestre plus tôt</w:t>
      </w:r>
      <w:r w:rsidR="00590C1C">
        <w:rPr>
          <w:rFonts w:ascii="Arial" w:hAnsi="Arial" w:cs="Arial"/>
          <w:sz w:val="20"/>
          <w:szCs w:val="20"/>
        </w:rPr>
        <w:t xml:space="preserve">. </w:t>
      </w:r>
      <w:r w:rsidR="00590C1C" w:rsidRPr="005A66A0">
        <w:rPr>
          <w:rFonts w:ascii="Arial" w:hAnsi="Arial" w:cs="Arial"/>
          <w:sz w:val="20"/>
          <w:szCs w:val="20"/>
        </w:rPr>
        <w:t xml:space="preserve">Cette progression de la consommation domestique </w:t>
      </w:r>
      <w:r w:rsidR="00590C1C">
        <w:rPr>
          <w:rFonts w:ascii="Arial" w:hAnsi="Arial" w:cs="Arial"/>
          <w:sz w:val="20"/>
          <w:szCs w:val="20"/>
        </w:rPr>
        <w:t xml:space="preserve">aurait été </w:t>
      </w:r>
      <w:r w:rsidR="0052189E" w:rsidRPr="005A66A0">
        <w:rPr>
          <w:rFonts w:ascii="Arial" w:hAnsi="Arial" w:cs="Arial"/>
          <w:sz w:val="20"/>
          <w:szCs w:val="20"/>
        </w:rPr>
        <w:t>alimentée</w:t>
      </w:r>
      <w:r w:rsidR="0050690A">
        <w:rPr>
          <w:rFonts w:ascii="Arial" w:hAnsi="Arial" w:cs="Arial"/>
          <w:sz w:val="20"/>
          <w:szCs w:val="20"/>
        </w:rPr>
        <w:t>, entre autres,</w:t>
      </w:r>
      <w:r w:rsidR="0052189E" w:rsidRPr="005A66A0">
        <w:rPr>
          <w:rFonts w:ascii="Arial" w:hAnsi="Arial" w:cs="Arial"/>
          <w:sz w:val="20"/>
          <w:szCs w:val="20"/>
        </w:rPr>
        <w:t xml:space="preserve"> par </w:t>
      </w:r>
      <w:r w:rsidR="00E91C33" w:rsidRPr="005A66A0">
        <w:rPr>
          <w:rFonts w:ascii="Arial" w:hAnsi="Arial" w:cs="Arial"/>
          <w:sz w:val="20"/>
          <w:szCs w:val="20"/>
        </w:rPr>
        <w:t xml:space="preserve">un </w:t>
      </w:r>
      <w:r w:rsidRPr="005A66A0">
        <w:rPr>
          <w:rFonts w:ascii="Arial" w:hAnsi="Arial" w:cs="Arial"/>
          <w:sz w:val="20"/>
          <w:szCs w:val="20"/>
        </w:rPr>
        <w:t xml:space="preserve">accroissement de </w:t>
      </w:r>
      <w:r w:rsidR="0034687E" w:rsidRPr="005A66A0">
        <w:rPr>
          <w:rFonts w:ascii="Arial" w:hAnsi="Arial" w:cs="Arial"/>
          <w:sz w:val="20"/>
          <w:szCs w:val="20"/>
        </w:rPr>
        <w:t>5</w:t>
      </w:r>
      <w:r w:rsidRPr="005A66A0">
        <w:rPr>
          <w:rFonts w:ascii="Arial" w:hAnsi="Arial" w:cs="Arial"/>
          <w:sz w:val="20"/>
          <w:szCs w:val="20"/>
        </w:rPr>
        <w:t>,</w:t>
      </w:r>
      <w:r w:rsidR="00E576A7">
        <w:rPr>
          <w:rFonts w:ascii="Arial" w:hAnsi="Arial" w:cs="Arial"/>
          <w:sz w:val="20"/>
          <w:szCs w:val="20"/>
        </w:rPr>
        <w:t>2</w:t>
      </w:r>
      <w:r w:rsidRPr="005A66A0">
        <w:rPr>
          <w:rFonts w:ascii="Arial" w:hAnsi="Arial" w:cs="Arial"/>
          <w:sz w:val="20"/>
          <w:szCs w:val="20"/>
        </w:rPr>
        <w:t>% des crédits à la consommation</w:t>
      </w:r>
      <w:r w:rsidR="00590C1C">
        <w:rPr>
          <w:rFonts w:ascii="Arial" w:hAnsi="Arial" w:cs="Arial"/>
          <w:sz w:val="20"/>
          <w:szCs w:val="20"/>
        </w:rPr>
        <w:t xml:space="preserve"> et</w:t>
      </w:r>
      <w:r w:rsidRPr="005A66A0">
        <w:rPr>
          <w:rFonts w:ascii="Arial" w:hAnsi="Arial" w:cs="Arial"/>
          <w:sz w:val="20"/>
          <w:szCs w:val="20"/>
        </w:rPr>
        <w:t xml:space="preserve"> aurait </w:t>
      </w:r>
      <w:r w:rsidR="0052189E" w:rsidRPr="005A66A0">
        <w:rPr>
          <w:rFonts w:ascii="Arial" w:hAnsi="Arial" w:cs="Arial"/>
          <w:sz w:val="20"/>
          <w:szCs w:val="20"/>
        </w:rPr>
        <w:t>profité, en grande partie,</w:t>
      </w:r>
      <w:r w:rsidRPr="005A66A0">
        <w:rPr>
          <w:rFonts w:ascii="Arial" w:hAnsi="Arial" w:cs="Arial"/>
          <w:sz w:val="20"/>
          <w:szCs w:val="20"/>
        </w:rPr>
        <w:t xml:space="preserve"> aux </w:t>
      </w:r>
      <w:r w:rsidR="0052189E" w:rsidRPr="005A66A0">
        <w:rPr>
          <w:rFonts w:ascii="Arial" w:hAnsi="Arial" w:cs="Arial"/>
          <w:sz w:val="20"/>
          <w:szCs w:val="20"/>
        </w:rPr>
        <w:t>produits locaux</w:t>
      </w:r>
      <w:r w:rsidR="00435C3D">
        <w:rPr>
          <w:rFonts w:ascii="Arial" w:hAnsi="Arial" w:cs="Arial"/>
          <w:sz w:val="20"/>
          <w:szCs w:val="20"/>
        </w:rPr>
        <w:t> ;</w:t>
      </w:r>
      <w:r w:rsidR="0052189E" w:rsidRPr="005A66A0">
        <w:rPr>
          <w:rFonts w:ascii="Arial" w:hAnsi="Arial" w:cs="Arial"/>
          <w:sz w:val="20"/>
          <w:szCs w:val="20"/>
        </w:rPr>
        <w:t xml:space="preserve"> </w:t>
      </w:r>
      <w:r w:rsidR="006506D4">
        <w:rPr>
          <w:rFonts w:ascii="Arial" w:hAnsi="Arial" w:cs="Arial"/>
          <w:sz w:val="20"/>
          <w:szCs w:val="20"/>
        </w:rPr>
        <w:t>l’augmentation d</w:t>
      </w:r>
      <w:r w:rsidR="0052189E" w:rsidRPr="005A66A0">
        <w:rPr>
          <w:rFonts w:ascii="Arial" w:hAnsi="Arial" w:cs="Arial"/>
          <w:sz w:val="20"/>
          <w:szCs w:val="20"/>
        </w:rPr>
        <w:t xml:space="preserve">es </w:t>
      </w:r>
      <w:r w:rsidRPr="005A66A0">
        <w:rPr>
          <w:rFonts w:ascii="Arial" w:hAnsi="Arial" w:cs="Arial"/>
          <w:sz w:val="20"/>
          <w:szCs w:val="20"/>
        </w:rPr>
        <w:t xml:space="preserve">importations de biens </w:t>
      </w:r>
      <w:r w:rsidR="004E1F22" w:rsidRPr="005A66A0">
        <w:rPr>
          <w:rFonts w:ascii="Arial" w:hAnsi="Arial" w:cs="Arial"/>
          <w:sz w:val="20"/>
          <w:szCs w:val="20"/>
        </w:rPr>
        <w:t xml:space="preserve">finis </w:t>
      </w:r>
      <w:r w:rsidRPr="005A66A0">
        <w:rPr>
          <w:rFonts w:ascii="Arial" w:hAnsi="Arial" w:cs="Arial"/>
          <w:sz w:val="20"/>
          <w:szCs w:val="20"/>
        </w:rPr>
        <w:t>de consommation</w:t>
      </w:r>
      <w:r w:rsidR="0052189E" w:rsidRPr="005A66A0">
        <w:rPr>
          <w:rFonts w:ascii="Arial" w:hAnsi="Arial" w:cs="Arial"/>
          <w:sz w:val="20"/>
          <w:szCs w:val="20"/>
        </w:rPr>
        <w:t xml:space="preserve"> </w:t>
      </w:r>
      <w:r w:rsidR="006506D4">
        <w:rPr>
          <w:rFonts w:ascii="Arial" w:hAnsi="Arial" w:cs="Arial"/>
          <w:sz w:val="20"/>
          <w:szCs w:val="20"/>
        </w:rPr>
        <w:t>n’ayant pas dépassé</w:t>
      </w:r>
      <w:r w:rsidR="00E576A7">
        <w:rPr>
          <w:rFonts w:ascii="Arial" w:hAnsi="Arial" w:cs="Arial"/>
          <w:sz w:val="20"/>
          <w:szCs w:val="20"/>
        </w:rPr>
        <w:t xml:space="preserve"> </w:t>
      </w:r>
      <w:r w:rsidR="00AA3575" w:rsidRPr="005A66A0">
        <w:rPr>
          <w:rFonts w:ascii="Arial" w:hAnsi="Arial" w:cs="Arial"/>
          <w:sz w:val="20"/>
          <w:szCs w:val="20"/>
        </w:rPr>
        <w:t>2</w:t>
      </w:r>
      <w:r w:rsidRPr="005A66A0">
        <w:rPr>
          <w:rFonts w:ascii="Arial" w:hAnsi="Arial" w:cs="Arial"/>
          <w:sz w:val="20"/>
          <w:szCs w:val="20"/>
        </w:rPr>
        <w:t xml:space="preserve">%, </w:t>
      </w:r>
      <w:r w:rsidR="00BE57E5">
        <w:rPr>
          <w:rFonts w:ascii="Arial" w:hAnsi="Arial" w:cs="Arial"/>
          <w:sz w:val="20"/>
          <w:szCs w:val="20"/>
        </w:rPr>
        <w:t>à fin février</w:t>
      </w:r>
      <w:r w:rsidR="00CC75D6" w:rsidRPr="005A66A0">
        <w:rPr>
          <w:rFonts w:ascii="Arial" w:hAnsi="Arial" w:cs="Arial"/>
          <w:color w:val="000000"/>
          <w:sz w:val="20"/>
          <w:szCs w:val="20"/>
          <w:lang w:eastAsia="en-US"/>
        </w:rPr>
        <w:t xml:space="preserve"> 2017</w:t>
      </w:r>
      <w:r w:rsidRPr="005A66A0">
        <w:rPr>
          <w:rFonts w:ascii="Arial" w:hAnsi="Arial" w:cs="Arial"/>
          <w:sz w:val="20"/>
          <w:szCs w:val="20"/>
        </w:rPr>
        <w:t>.</w:t>
      </w:r>
    </w:p>
    <w:p w:rsidR="005B6941" w:rsidRDefault="005B6941" w:rsidP="005B6941">
      <w:pPr>
        <w:jc w:val="both"/>
        <w:rPr>
          <w:rFonts w:ascii="Arial" w:hAnsi="Arial" w:cs="Arial"/>
          <w:sz w:val="20"/>
          <w:szCs w:val="20"/>
        </w:rPr>
      </w:pPr>
    </w:p>
    <w:p w:rsidR="0097276B" w:rsidRDefault="00863E0B" w:rsidP="00861DDA">
      <w:pPr>
        <w:autoSpaceDE w:val="0"/>
        <w:autoSpaceDN w:val="0"/>
        <w:adjustRightInd w:val="0"/>
        <w:jc w:val="both"/>
        <w:rPr>
          <w:rFonts w:ascii="Arial" w:hAnsi="Arial" w:cs="Arial"/>
          <w:sz w:val="20"/>
          <w:szCs w:val="20"/>
        </w:rPr>
      </w:pPr>
      <w:r>
        <w:rPr>
          <w:rFonts w:ascii="Arial" w:hAnsi="Arial" w:cs="Arial"/>
          <w:b/>
          <w:bCs/>
          <w:sz w:val="20"/>
          <w:szCs w:val="20"/>
        </w:rPr>
        <w:t>L’investissement</w:t>
      </w:r>
      <w:r w:rsidR="0097276B" w:rsidRPr="00F64509">
        <w:rPr>
          <w:rFonts w:ascii="Arial" w:hAnsi="Arial" w:cs="Arial"/>
          <w:sz w:val="20"/>
          <w:szCs w:val="20"/>
        </w:rPr>
        <w:t xml:space="preserve"> aurait</w:t>
      </w:r>
      <w:r w:rsidR="002765A6">
        <w:rPr>
          <w:rFonts w:ascii="Arial" w:hAnsi="Arial" w:cs="Arial"/>
          <w:sz w:val="20"/>
          <w:szCs w:val="20"/>
        </w:rPr>
        <w:t xml:space="preserve">, </w:t>
      </w:r>
      <w:r w:rsidR="00B75E08">
        <w:rPr>
          <w:rFonts w:ascii="Arial" w:hAnsi="Arial" w:cs="Arial"/>
          <w:sz w:val="20"/>
          <w:szCs w:val="20"/>
        </w:rPr>
        <w:t>en revanche</w:t>
      </w:r>
      <w:r w:rsidR="002765A6">
        <w:rPr>
          <w:rFonts w:ascii="Arial" w:hAnsi="Arial" w:cs="Arial"/>
          <w:sz w:val="20"/>
          <w:szCs w:val="20"/>
        </w:rPr>
        <w:t>,</w:t>
      </w:r>
      <w:r w:rsidR="0097276B">
        <w:rPr>
          <w:rFonts w:ascii="Arial" w:hAnsi="Arial" w:cs="Arial"/>
          <w:sz w:val="20"/>
          <w:szCs w:val="20"/>
        </w:rPr>
        <w:t xml:space="preserve"> </w:t>
      </w:r>
      <w:r w:rsidR="003A240E">
        <w:rPr>
          <w:rFonts w:ascii="Arial" w:hAnsi="Arial" w:cs="Arial"/>
          <w:sz w:val="20"/>
          <w:szCs w:val="20"/>
        </w:rPr>
        <w:t>légèrement décéléré par rapport au trimestre précédent</w:t>
      </w:r>
      <w:r w:rsidR="0034687E">
        <w:rPr>
          <w:rFonts w:ascii="Arial" w:hAnsi="Arial" w:cs="Arial"/>
          <w:sz w:val="20"/>
          <w:szCs w:val="20"/>
        </w:rPr>
        <w:t>, affichant un accroissement</w:t>
      </w:r>
      <w:r w:rsidR="000A1DAF">
        <w:rPr>
          <w:rFonts w:ascii="Arial" w:hAnsi="Arial" w:cs="Arial"/>
          <w:sz w:val="20"/>
          <w:szCs w:val="20"/>
        </w:rPr>
        <w:t xml:space="preserve"> </w:t>
      </w:r>
      <w:r w:rsidR="0097276B" w:rsidRPr="00F64509">
        <w:rPr>
          <w:rFonts w:ascii="Arial" w:hAnsi="Arial" w:cs="Arial"/>
          <w:sz w:val="20"/>
          <w:szCs w:val="20"/>
        </w:rPr>
        <w:t xml:space="preserve">de </w:t>
      </w:r>
      <w:r w:rsidR="00674172">
        <w:rPr>
          <w:rFonts w:ascii="Arial" w:hAnsi="Arial" w:cs="Arial"/>
          <w:sz w:val="20"/>
          <w:szCs w:val="20"/>
        </w:rPr>
        <w:t>3</w:t>
      </w:r>
      <w:r w:rsidR="0097276B" w:rsidRPr="00F64509">
        <w:rPr>
          <w:rFonts w:ascii="Arial" w:hAnsi="Arial" w:cs="Arial"/>
          <w:sz w:val="20"/>
          <w:szCs w:val="20"/>
        </w:rPr>
        <w:t xml:space="preserve">%, en </w:t>
      </w:r>
      <w:r w:rsidR="0097276B">
        <w:rPr>
          <w:rFonts w:ascii="Arial" w:hAnsi="Arial" w:cs="Arial"/>
          <w:sz w:val="20"/>
          <w:szCs w:val="20"/>
        </w:rPr>
        <w:t>variation annuelle</w:t>
      </w:r>
      <w:r w:rsidR="00927175">
        <w:rPr>
          <w:rFonts w:ascii="Arial" w:hAnsi="Arial" w:cs="Arial"/>
          <w:sz w:val="20"/>
          <w:szCs w:val="20"/>
        </w:rPr>
        <w:t xml:space="preserve">, au lieu de </w:t>
      </w:r>
      <w:r w:rsidR="00302AFC">
        <w:rPr>
          <w:rFonts w:ascii="Arial" w:hAnsi="Arial" w:cs="Arial"/>
          <w:sz w:val="20"/>
          <w:szCs w:val="20"/>
        </w:rPr>
        <w:t>+</w:t>
      </w:r>
      <w:r w:rsidR="00CD3B88">
        <w:rPr>
          <w:rFonts w:ascii="Arial" w:hAnsi="Arial" w:cs="Arial"/>
          <w:sz w:val="20"/>
          <w:szCs w:val="20"/>
        </w:rPr>
        <w:t>3</w:t>
      </w:r>
      <w:r w:rsidR="00674172">
        <w:rPr>
          <w:rFonts w:ascii="Arial" w:hAnsi="Arial" w:cs="Arial"/>
          <w:sz w:val="20"/>
          <w:szCs w:val="20"/>
        </w:rPr>
        <w:t>,</w:t>
      </w:r>
      <w:r w:rsidR="00CD3B88">
        <w:rPr>
          <w:rFonts w:ascii="Arial" w:hAnsi="Arial" w:cs="Arial"/>
          <w:sz w:val="20"/>
          <w:szCs w:val="20"/>
        </w:rPr>
        <w:t>3</w:t>
      </w:r>
      <w:r w:rsidR="00927175">
        <w:rPr>
          <w:rFonts w:ascii="Arial" w:hAnsi="Arial" w:cs="Arial"/>
          <w:sz w:val="20"/>
          <w:szCs w:val="20"/>
        </w:rPr>
        <w:t>% un trimestre auparavant</w:t>
      </w:r>
      <w:r w:rsidR="007A687E">
        <w:rPr>
          <w:rFonts w:ascii="Arial" w:hAnsi="Arial" w:cs="Arial"/>
          <w:sz w:val="20"/>
          <w:szCs w:val="20"/>
        </w:rPr>
        <w:t>, contribuant</w:t>
      </w:r>
      <w:r w:rsidR="00551A22">
        <w:rPr>
          <w:rFonts w:ascii="Arial" w:hAnsi="Arial" w:cs="Arial"/>
          <w:sz w:val="20"/>
          <w:szCs w:val="20"/>
        </w:rPr>
        <w:t>, ainsi,</w:t>
      </w:r>
      <w:r w:rsidR="007A687E">
        <w:rPr>
          <w:rFonts w:ascii="Arial" w:hAnsi="Arial" w:cs="Arial"/>
          <w:sz w:val="20"/>
          <w:szCs w:val="20"/>
        </w:rPr>
        <w:t xml:space="preserve"> pour près de </w:t>
      </w:r>
      <w:r w:rsidR="00CD3B88">
        <w:rPr>
          <w:rFonts w:ascii="Arial" w:hAnsi="Arial" w:cs="Arial"/>
          <w:sz w:val="20"/>
          <w:szCs w:val="20"/>
        </w:rPr>
        <w:t>0</w:t>
      </w:r>
      <w:r w:rsidR="007A687E">
        <w:rPr>
          <w:rFonts w:ascii="Arial" w:hAnsi="Arial" w:cs="Arial"/>
          <w:sz w:val="20"/>
          <w:szCs w:val="20"/>
        </w:rPr>
        <w:t>,</w:t>
      </w:r>
      <w:r w:rsidR="00CD3B88">
        <w:rPr>
          <w:rFonts w:ascii="Arial" w:hAnsi="Arial" w:cs="Arial"/>
          <w:sz w:val="20"/>
          <w:szCs w:val="20"/>
        </w:rPr>
        <w:t>9</w:t>
      </w:r>
      <w:r w:rsidR="007A687E">
        <w:rPr>
          <w:rFonts w:ascii="Arial" w:hAnsi="Arial" w:cs="Arial"/>
          <w:sz w:val="20"/>
          <w:szCs w:val="20"/>
        </w:rPr>
        <w:t xml:space="preserve"> point à la croissance du PIB, au lieu </w:t>
      </w:r>
      <w:r w:rsidR="00861DDA">
        <w:rPr>
          <w:rFonts w:ascii="Arial" w:hAnsi="Arial" w:cs="Arial"/>
          <w:sz w:val="20"/>
          <w:szCs w:val="20"/>
        </w:rPr>
        <w:t>d’un</w:t>
      </w:r>
      <w:r w:rsidR="007A687E">
        <w:rPr>
          <w:rFonts w:ascii="Arial" w:hAnsi="Arial" w:cs="Arial"/>
          <w:sz w:val="20"/>
          <w:szCs w:val="20"/>
        </w:rPr>
        <w:t xml:space="preserve"> point un trimestre auparavant</w:t>
      </w:r>
      <w:r w:rsidR="00BB7832">
        <w:rPr>
          <w:rFonts w:ascii="Arial" w:hAnsi="Arial" w:cs="Arial"/>
          <w:sz w:val="20"/>
          <w:szCs w:val="20"/>
        </w:rPr>
        <w:t xml:space="preserve">. </w:t>
      </w:r>
      <w:r w:rsidR="0097276B" w:rsidRPr="00F64509">
        <w:rPr>
          <w:rFonts w:ascii="Arial" w:hAnsi="Arial" w:cs="Arial"/>
          <w:sz w:val="20"/>
          <w:szCs w:val="20"/>
        </w:rPr>
        <w:t>Ce</w:t>
      </w:r>
      <w:r w:rsidR="003A240E">
        <w:rPr>
          <w:rFonts w:ascii="Arial" w:hAnsi="Arial" w:cs="Arial"/>
          <w:sz w:val="20"/>
          <w:szCs w:val="20"/>
        </w:rPr>
        <w:t xml:space="preserve"> ralentissement </w:t>
      </w:r>
      <w:r w:rsidR="000A1DAF">
        <w:rPr>
          <w:rFonts w:ascii="Arial" w:hAnsi="Arial" w:cs="Arial"/>
          <w:sz w:val="20"/>
          <w:szCs w:val="20"/>
        </w:rPr>
        <w:t>serait</w:t>
      </w:r>
      <w:r w:rsidR="0097276B" w:rsidRPr="00F64509">
        <w:rPr>
          <w:rFonts w:ascii="Arial" w:hAnsi="Arial" w:cs="Arial"/>
          <w:sz w:val="20"/>
          <w:szCs w:val="20"/>
        </w:rPr>
        <w:t xml:space="preserve">, particulièrement, </w:t>
      </w:r>
      <w:r w:rsidR="0014485F">
        <w:rPr>
          <w:rFonts w:ascii="Arial" w:hAnsi="Arial" w:cs="Arial"/>
          <w:sz w:val="20"/>
          <w:szCs w:val="20"/>
        </w:rPr>
        <w:t>attribuable</w:t>
      </w:r>
      <w:r w:rsidR="0097276B" w:rsidRPr="00F64509">
        <w:rPr>
          <w:rFonts w:ascii="Arial" w:hAnsi="Arial" w:cs="Arial"/>
          <w:sz w:val="20"/>
          <w:szCs w:val="20"/>
        </w:rPr>
        <w:t xml:space="preserve"> </w:t>
      </w:r>
      <w:r w:rsidR="003A240E">
        <w:rPr>
          <w:rFonts w:ascii="Arial" w:hAnsi="Arial" w:cs="Arial"/>
          <w:sz w:val="20"/>
          <w:szCs w:val="20"/>
        </w:rPr>
        <w:t xml:space="preserve">au relâchement </w:t>
      </w:r>
      <w:r w:rsidR="007C11F1">
        <w:rPr>
          <w:rFonts w:ascii="Arial" w:hAnsi="Arial" w:cs="Arial"/>
          <w:sz w:val="20"/>
          <w:szCs w:val="20"/>
        </w:rPr>
        <w:t>de</w:t>
      </w:r>
      <w:r w:rsidR="00671B6B">
        <w:rPr>
          <w:rFonts w:ascii="Arial" w:hAnsi="Arial" w:cs="Arial"/>
          <w:sz w:val="20"/>
          <w:szCs w:val="20"/>
        </w:rPr>
        <w:t>s</w:t>
      </w:r>
      <w:r w:rsidR="007C11F1">
        <w:rPr>
          <w:rFonts w:ascii="Arial" w:hAnsi="Arial" w:cs="Arial"/>
          <w:sz w:val="20"/>
          <w:szCs w:val="20"/>
        </w:rPr>
        <w:t xml:space="preserve"> </w:t>
      </w:r>
      <w:r w:rsidR="007C11F1" w:rsidRPr="00F64509">
        <w:rPr>
          <w:rFonts w:ascii="Arial" w:hAnsi="Arial" w:cs="Arial"/>
          <w:sz w:val="20"/>
          <w:szCs w:val="20"/>
        </w:rPr>
        <w:t>investissement</w:t>
      </w:r>
      <w:r w:rsidR="00671B6B">
        <w:rPr>
          <w:rFonts w:ascii="Arial" w:hAnsi="Arial" w:cs="Arial"/>
          <w:sz w:val="20"/>
          <w:szCs w:val="20"/>
        </w:rPr>
        <w:t>s</w:t>
      </w:r>
      <w:r w:rsidR="007C11F1" w:rsidRPr="00F64509">
        <w:rPr>
          <w:rFonts w:ascii="Arial" w:hAnsi="Arial" w:cs="Arial"/>
          <w:sz w:val="20"/>
          <w:szCs w:val="20"/>
        </w:rPr>
        <w:t xml:space="preserve"> </w:t>
      </w:r>
      <w:r w:rsidR="003A240E">
        <w:rPr>
          <w:rFonts w:ascii="Arial" w:hAnsi="Arial" w:cs="Arial"/>
          <w:sz w:val="20"/>
          <w:szCs w:val="20"/>
        </w:rPr>
        <w:t>public</w:t>
      </w:r>
      <w:r w:rsidR="00671B6B">
        <w:rPr>
          <w:rFonts w:ascii="Arial" w:hAnsi="Arial" w:cs="Arial"/>
          <w:sz w:val="20"/>
          <w:szCs w:val="20"/>
        </w:rPr>
        <w:t>s</w:t>
      </w:r>
      <w:r w:rsidR="007C11F1">
        <w:rPr>
          <w:rFonts w:ascii="Arial" w:hAnsi="Arial" w:cs="Arial"/>
          <w:sz w:val="20"/>
          <w:szCs w:val="20"/>
        </w:rPr>
        <w:t xml:space="preserve"> </w:t>
      </w:r>
      <w:r w:rsidR="00435C3D">
        <w:rPr>
          <w:rFonts w:ascii="Arial" w:hAnsi="Arial" w:cs="Arial"/>
          <w:sz w:val="20"/>
          <w:szCs w:val="20"/>
        </w:rPr>
        <w:t>dû, entre autres, au</w:t>
      </w:r>
      <w:r w:rsidR="007C11F1" w:rsidRPr="00F64509">
        <w:rPr>
          <w:rFonts w:ascii="Arial" w:hAnsi="Arial" w:cs="Arial"/>
          <w:sz w:val="20"/>
          <w:szCs w:val="20"/>
        </w:rPr>
        <w:t xml:space="preserve"> </w:t>
      </w:r>
      <w:r w:rsidR="007C11F1">
        <w:rPr>
          <w:rFonts w:ascii="Arial" w:hAnsi="Arial" w:cs="Arial"/>
          <w:sz w:val="20"/>
          <w:szCs w:val="20"/>
        </w:rPr>
        <w:t>re</w:t>
      </w:r>
      <w:r w:rsidR="003A240E">
        <w:rPr>
          <w:rFonts w:ascii="Arial" w:hAnsi="Arial" w:cs="Arial"/>
          <w:sz w:val="20"/>
          <w:szCs w:val="20"/>
        </w:rPr>
        <w:t xml:space="preserve">tard </w:t>
      </w:r>
      <w:r w:rsidR="00BF426A">
        <w:rPr>
          <w:rFonts w:ascii="Arial" w:hAnsi="Arial" w:cs="Arial"/>
          <w:sz w:val="20"/>
          <w:szCs w:val="20"/>
        </w:rPr>
        <w:t xml:space="preserve">observé </w:t>
      </w:r>
      <w:r w:rsidR="003A240E">
        <w:rPr>
          <w:rFonts w:ascii="Arial" w:hAnsi="Arial" w:cs="Arial"/>
          <w:sz w:val="20"/>
          <w:szCs w:val="20"/>
        </w:rPr>
        <w:t>dans l</w:t>
      </w:r>
      <w:r w:rsidR="00435C3D">
        <w:rPr>
          <w:rFonts w:ascii="Arial" w:hAnsi="Arial" w:cs="Arial"/>
          <w:sz w:val="20"/>
          <w:szCs w:val="20"/>
        </w:rPr>
        <w:t>’</w:t>
      </w:r>
      <w:r w:rsidR="003A240E">
        <w:rPr>
          <w:rFonts w:ascii="Arial" w:hAnsi="Arial" w:cs="Arial"/>
          <w:sz w:val="20"/>
          <w:szCs w:val="20"/>
        </w:rPr>
        <w:t xml:space="preserve">exécution </w:t>
      </w:r>
      <w:r w:rsidR="00435C3D">
        <w:rPr>
          <w:rFonts w:ascii="Arial" w:hAnsi="Arial" w:cs="Arial"/>
          <w:sz w:val="20"/>
          <w:szCs w:val="20"/>
        </w:rPr>
        <w:t xml:space="preserve">budgétaire </w:t>
      </w:r>
      <w:r w:rsidR="007A101D">
        <w:rPr>
          <w:rFonts w:ascii="Arial" w:hAnsi="Arial" w:cs="Arial"/>
          <w:sz w:val="20"/>
          <w:szCs w:val="20"/>
        </w:rPr>
        <w:t xml:space="preserve">du trésor </w:t>
      </w:r>
      <w:r w:rsidR="003A240E">
        <w:rPr>
          <w:rFonts w:ascii="Arial" w:hAnsi="Arial" w:cs="Arial"/>
          <w:sz w:val="20"/>
          <w:szCs w:val="20"/>
        </w:rPr>
        <w:t xml:space="preserve">et </w:t>
      </w:r>
      <w:r w:rsidR="00861DDA">
        <w:rPr>
          <w:rFonts w:ascii="Arial" w:hAnsi="Arial" w:cs="Arial"/>
          <w:sz w:val="20"/>
          <w:szCs w:val="20"/>
        </w:rPr>
        <w:t>aux faibles performances</w:t>
      </w:r>
      <w:r w:rsidR="003A240E">
        <w:rPr>
          <w:rFonts w:ascii="Arial" w:hAnsi="Arial" w:cs="Arial"/>
          <w:sz w:val="20"/>
          <w:szCs w:val="20"/>
        </w:rPr>
        <w:t xml:space="preserve"> qui caractérise</w:t>
      </w:r>
      <w:r w:rsidR="00861DDA">
        <w:rPr>
          <w:rFonts w:ascii="Arial" w:hAnsi="Arial" w:cs="Arial"/>
          <w:sz w:val="20"/>
          <w:szCs w:val="20"/>
        </w:rPr>
        <w:t>nt</w:t>
      </w:r>
      <w:r w:rsidR="003A240E">
        <w:rPr>
          <w:rFonts w:ascii="Arial" w:hAnsi="Arial" w:cs="Arial"/>
          <w:sz w:val="20"/>
          <w:szCs w:val="20"/>
        </w:rPr>
        <w:t xml:space="preserve"> le secteur de</w:t>
      </w:r>
      <w:r w:rsidR="00671B6B">
        <w:rPr>
          <w:rFonts w:ascii="Arial" w:hAnsi="Arial" w:cs="Arial"/>
          <w:sz w:val="20"/>
          <w:szCs w:val="20"/>
        </w:rPr>
        <w:t xml:space="preserve"> la construction</w:t>
      </w:r>
      <w:r w:rsidR="003A240E">
        <w:rPr>
          <w:rFonts w:ascii="Arial" w:hAnsi="Arial" w:cs="Arial"/>
          <w:sz w:val="20"/>
          <w:szCs w:val="20"/>
        </w:rPr>
        <w:t xml:space="preserve">. </w:t>
      </w:r>
      <w:r w:rsidR="006074E0">
        <w:rPr>
          <w:rFonts w:ascii="Arial" w:hAnsi="Arial" w:cs="Arial"/>
          <w:sz w:val="20"/>
          <w:szCs w:val="20"/>
        </w:rPr>
        <w:t>Les dépenses d’investissement du trésor auraient fléchi de 10,7%, à fi</w:t>
      </w:r>
      <w:r w:rsidR="00BA1726">
        <w:rPr>
          <w:rFonts w:ascii="Arial" w:hAnsi="Arial" w:cs="Arial"/>
          <w:sz w:val="20"/>
          <w:szCs w:val="20"/>
        </w:rPr>
        <w:t>n</w:t>
      </w:r>
      <w:r w:rsidR="006074E0">
        <w:rPr>
          <w:rFonts w:ascii="Arial" w:hAnsi="Arial" w:cs="Arial"/>
          <w:sz w:val="20"/>
          <w:szCs w:val="20"/>
        </w:rPr>
        <w:t xml:space="preserve"> février 2017. </w:t>
      </w:r>
      <w:r w:rsidR="003A240E">
        <w:rPr>
          <w:rFonts w:ascii="Arial" w:hAnsi="Arial" w:cs="Arial"/>
          <w:sz w:val="20"/>
          <w:szCs w:val="20"/>
        </w:rPr>
        <w:t>L‘</w:t>
      </w:r>
      <w:r w:rsidR="003A240E" w:rsidRPr="00F64509">
        <w:rPr>
          <w:rFonts w:ascii="Arial" w:hAnsi="Arial" w:cs="Arial"/>
          <w:sz w:val="20"/>
          <w:szCs w:val="20"/>
        </w:rPr>
        <w:t xml:space="preserve">investissement en </w:t>
      </w:r>
      <w:r w:rsidR="00374C7B">
        <w:rPr>
          <w:rFonts w:ascii="Arial" w:hAnsi="Arial" w:cs="Arial"/>
          <w:sz w:val="20"/>
          <w:szCs w:val="20"/>
        </w:rPr>
        <w:t xml:space="preserve">produits industriels </w:t>
      </w:r>
      <w:r w:rsidR="003A240E">
        <w:rPr>
          <w:rFonts w:ascii="Arial" w:hAnsi="Arial" w:cs="Arial"/>
          <w:sz w:val="20"/>
          <w:szCs w:val="20"/>
        </w:rPr>
        <w:t>aurait</w:t>
      </w:r>
      <w:r w:rsidR="006074E0">
        <w:rPr>
          <w:rFonts w:ascii="Arial" w:hAnsi="Arial" w:cs="Arial"/>
          <w:sz w:val="20"/>
          <w:szCs w:val="20"/>
        </w:rPr>
        <w:t xml:space="preserve">, </w:t>
      </w:r>
      <w:r w:rsidR="00770681">
        <w:rPr>
          <w:rFonts w:ascii="Arial" w:hAnsi="Arial" w:cs="Arial"/>
          <w:sz w:val="20"/>
          <w:szCs w:val="20"/>
        </w:rPr>
        <w:t>en revanche</w:t>
      </w:r>
      <w:r w:rsidR="006074E0">
        <w:rPr>
          <w:rFonts w:ascii="Arial" w:hAnsi="Arial" w:cs="Arial"/>
          <w:sz w:val="20"/>
          <w:szCs w:val="20"/>
        </w:rPr>
        <w:t>,</w:t>
      </w:r>
      <w:r w:rsidR="003A240E">
        <w:rPr>
          <w:rFonts w:ascii="Arial" w:hAnsi="Arial" w:cs="Arial"/>
          <w:sz w:val="20"/>
          <w:szCs w:val="20"/>
        </w:rPr>
        <w:t xml:space="preserve"> poursuivi son </w:t>
      </w:r>
      <w:r w:rsidR="00435C3D">
        <w:rPr>
          <w:rFonts w:ascii="Arial" w:hAnsi="Arial" w:cs="Arial"/>
          <w:sz w:val="20"/>
          <w:szCs w:val="20"/>
        </w:rPr>
        <w:t>affermi</w:t>
      </w:r>
      <w:r w:rsidR="003A240E">
        <w:rPr>
          <w:rFonts w:ascii="Arial" w:hAnsi="Arial" w:cs="Arial"/>
          <w:sz w:val="20"/>
          <w:szCs w:val="20"/>
        </w:rPr>
        <w:t>ssement</w:t>
      </w:r>
      <w:r w:rsidR="003A240E" w:rsidRPr="00F64509">
        <w:rPr>
          <w:rFonts w:ascii="Arial" w:hAnsi="Arial" w:cs="Arial"/>
          <w:sz w:val="20"/>
          <w:szCs w:val="20"/>
        </w:rPr>
        <w:t xml:space="preserve">, </w:t>
      </w:r>
      <w:r w:rsidR="003A240E">
        <w:rPr>
          <w:rFonts w:ascii="Arial" w:hAnsi="Arial" w:cs="Arial"/>
          <w:sz w:val="20"/>
          <w:szCs w:val="20"/>
        </w:rPr>
        <w:t xml:space="preserve">dans le sillage d’une </w:t>
      </w:r>
      <w:r w:rsidR="00374C7B">
        <w:rPr>
          <w:rFonts w:ascii="Arial" w:hAnsi="Arial" w:cs="Arial"/>
          <w:sz w:val="20"/>
          <w:szCs w:val="20"/>
        </w:rPr>
        <w:t xml:space="preserve">progression de </w:t>
      </w:r>
      <w:r w:rsidR="00BA1726">
        <w:rPr>
          <w:rFonts w:ascii="Arial" w:hAnsi="Arial" w:cs="Arial"/>
          <w:sz w:val="20"/>
          <w:szCs w:val="20"/>
        </w:rPr>
        <w:t>1</w:t>
      </w:r>
      <w:r w:rsidR="00976E91">
        <w:rPr>
          <w:rFonts w:ascii="Arial" w:hAnsi="Arial" w:cs="Arial"/>
          <w:sz w:val="20"/>
          <w:szCs w:val="20"/>
        </w:rPr>
        <w:t>3</w:t>
      </w:r>
      <w:r w:rsidR="00BA1726">
        <w:rPr>
          <w:rFonts w:ascii="Arial" w:hAnsi="Arial" w:cs="Arial"/>
          <w:sz w:val="20"/>
          <w:szCs w:val="20"/>
        </w:rPr>
        <w:t>,</w:t>
      </w:r>
      <w:r w:rsidR="00976E91">
        <w:rPr>
          <w:rFonts w:ascii="Arial" w:hAnsi="Arial" w:cs="Arial"/>
          <w:sz w:val="20"/>
          <w:szCs w:val="20"/>
        </w:rPr>
        <w:t>9</w:t>
      </w:r>
      <w:r w:rsidR="00374C7B">
        <w:rPr>
          <w:rFonts w:ascii="Arial" w:hAnsi="Arial" w:cs="Arial"/>
          <w:sz w:val="20"/>
          <w:szCs w:val="20"/>
        </w:rPr>
        <w:t xml:space="preserve">% des importations de biens d’équipement </w:t>
      </w:r>
      <w:r w:rsidR="007C11F1" w:rsidRPr="00F64509">
        <w:rPr>
          <w:rFonts w:ascii="Arial" w:hAnsi="Arial" w:cs="Arial"/>
          <w:sz w:val="20"/>
          <w:szCs w:val="20"/>
        </w:rPr>
        <w:t xml:space="preserve">et </w:t>
      </w:r>
      <w:r w:rsidR="007C11F1">
        <w:rPr>
          <w:rFonts w:ascii="Arial" w:hAnsi="Arial" w:cs="Arial"/>
          <w:sz w:val="20"/>
          <w:szCs w:val="20"/>
        </w:rPr>
        <w:t xml:space="preserve">d’une </w:t>
      </w:r>
      <w:r w:rsidR="00374C7B">
        <w:rPr>
          <w:rFonts w:ascii="Arial" w:hAnsi="Arial" w:cs="Arial"/>
          <w:sz w:val="20"/>
          <w:szCs w:val="20"/>
        </w:rPr>
        <w:t>amélioration</w:t>
      </w:r>
      <w:r w:rsidR="007C11F1">
        <w:rPr>
          <w:rFonts w:ascii="Arial" w:hAnsi="Arial" w:cs="Arial"/>
          <w:sz w:val="20"/>
          <w:szCs w:val="20"/>
        </w:rPr>
        <w:t xml:space="preserve"> de </w:t>
      </w:r>
      <w:r w:rsidR="00976E91">
        <w:rPr>
          <w:rFonts w:ascii="Arial" w:hAnsi="Arial" w:cs="Arial"/>
          <w:sz w:val="20"/>
          <w:szCs w:val="20"/>
        </w:rPr>
        <w:t>6</w:t>
      </w:r>
      <w:r w:rsidR="007C11F1">
        <w:rPr>
          <w:rFonts w:ascii="Arial" w:hAnsi="Arial" w:cs="Arial"/>
          <w:sz w:val="20"/>
          <w:szCs w:val="20"/>
        </w:rPr>
        <w:t>,</w:t>
      </w:r>
      <w:r w:rsidR="00976E91">
        <w:rPr>
          <w:rFonts w:ascii="Arial" w:hAnsi="Arial" w:cs="Arial"/>
          <w:sz w:val="20"/>
          <w:szCs w:val="20"/>
        </w:rPr>
        <w:t>6</w:t>
      </w:r>
      <w:r w:rsidR="007C11F1">
        <w:rPr>
          <w:rFonts w:ascii="Arial" w:hAnsi="Arial" w:cs="Arial"/>
          <w:sz w:val="20"/>
          <w:szCs w:val="20"/>
        </w:rPr>
        <w:t xml:space="preserve">% du flux </w:t>
      </w:r>
      <w:r w:rsidR="007C11F1" w:rsidRPr="00F64509">
        <w:rPr>
          <w:rFonts w:ascii="Arial" w:hAnsi="Arial" w:cs="Arial"/>
          <w:sz w:val="20"/>
          <w:szCs w:val="20"/>
        </w:rPr>
        <w:t xml:space="preserve">des crédits </w:t>
      </w:r>
      <w:r w:rsidR="007C11F1">
        <w:rPr>
          <w:rFonts w:ascii="Arial" w:hAnsi="Arial" w:cs="Arial"/>
          <w:sz w:val="20"/>
          <w:szCs w:val="20"/>
        </w:rPr>
        <w:t xml:space="preserve">accordés </w:t>
      </w:r>
      <w:r w:rsidR="007C11F1" w:rsidRPr="00F64509">
        <w:rPr>
          <w:rFonts w:ascii="Arial" w:hAnsi="Arial" w:cs="Arial"/>
          <w:sz w:val="20"/>
          <w:szCs w:val="20"/>
        </w:rPr>
        <w:t>à l’équipement</w:t>
      </w:r>
      <w:r w:rsidR="007C11F1" w:rsidRPr="007C11F1">
        <w:rPr>
          <w:rFonts w:ascii="Arial" w:hAnsi="Arial" w:cs="Arial"/>
          <w:sz w:val="20"/>
          <w:szCs w:val="20"/>
        </w:rPr>
        <w:t xml:space="preserve">. </w:t>
      </w:r>
    </w:p>
    <w:p w:rsidR="0097276B" w:rsidRPr="000C5C87" w:rsidRDefault="0097276B" w:rsidP="0032191A">
      <w:pPr>
        <w:autoSpaceDE w:val="0"/>
        <w:autoSpaceDN w:val="0"/>
        <w:adjustRightInd w:val="0"/>
        <w:jc w:val="both"/>
        <w:rPr>
          <w:rFonts w:ascii="Arial" w:hAnsi="Arial" w:cs="Arial"/>
        </w:rPr>
      </w:pPr>
    </w:p>
    <w:p w:rsidR="001F1859" w:rsidRDefault="001F1859" w:rsidP="001F1859">
      <w:pPr>
        <w:jc w:val="both"/>
        <w:rPr>
          <w:rFonts w:ascii="Arial" w:hAnsi="Arial" w:cs="Arial"/>
          <w:b/>
          <w:bCs/>
          <w:color w:val="800000"/>
          <w:sz w:val="20"/>
          <w:szCs w:val="20"/>
        </w:rPr>
      </w:pPr>
      <w:r>
        <w:rPr>
          <w:rFonts w:ascii="Arial" w:hAnsi="Arial" w:cs="Arial"/>
          <w:b/>
          <w:bCs/>
          <w:color w:val="800000"/>
          <w:sz w:val="20"/>
          <w:szCs w:val="20"/>
        </w:rPr>
        <w:t>Retour du dynamisme des activités agricoles après une année sèche</w:t>
      </w:r>
    </w:p>
    <w:p w:rsidR="001F1859" w:rsidRPr="00392D8D" w:rsidRDefault="001F1859" w:rsidP="001F1859">
      <w:pPr>
        <w:jc w:val="both"/>
        <w:rPr>
          <w:rFonts w:ascii="Arial" w:hAnsi="Arial" w:cs="Arial"/>
          <w:b/>
          <w:bCs/>
          <w:color w:val="800000"/>
          <w:sz w:val="20"/>
          <w:szCs w:val="20"/>
        </w:rPr>
      </w:pPr>
    </w:p>
    <w:p w:rsidR="001F1859" w:rsidRPr="00E83DFE" w:rsidRDefault="001F1859" w:rsidP="0024527B">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20704" behindDoc="0" locked="0" layoutInCell="1" allowOverlap="1">
            <wp:simplePos x="0" y="0"/>
            <wp:positionH relativeFrom="column">
              <wp:posOffset>4136390</wp:posOffset>
            </wp:positionH>
            <wp:positionV relativeFrom="paragraph">
              <wp:posOffset>436245</wp:posOffset>
            </wp:positionV>
            <wp:extent cx="2457450" cy="2019300"/>
            <wp:effectExtent l="19050" t="0" r="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457450" cy="2019300"/>
                    </a:xfrm>
                    <a:prstGeom prst="rect">
                      <a:avLst/>
                    </a:prstGeom>
                    <a:noFill/>
                    <a:ln w="9525">
                      <a:noFill/>
                      <a:miter lim="800000"/>
                      <a:headEnd/>
                      <a:tailEnd/>
                    </a:ln>
                  </pic:spPr>
                </pic:pic>
              </a:graphicData>
            </a:graphic>
          </wp:anchor>
        </w:drawing>
      </w:r>
      <w:r w:rsidRPr="00E83DFE">
        <w:rPr>
          <w:rFonts w:asciiTheme="minorBidi" w:hAnsiTheme="minorBidi" w:cstheme="minorBidi"/>
          <w:sz w:val="20"/>
          <w:szCs w:val="20"/>
        </w:rPr>
        <w:t>L</w:t>
      </w:r>
      <w:r>
        <w:rPr>
          <w:rFonts w:asciiTheme="minorBidi" w:hAnsiTheme="minorBidi"/>
          <w:sz w:val="20"/>
          <w:szCs w:val="20"/>
        </w:rPr>
        <w:t>a valeur ajoutée</w:t>
      </w:r>
      <w:r w:rsidRPr="00E83DFE">
        <w:rPr>
          <w:rFonts w:asciiTheme="minorBidi" w:hAnsiTheme="minorBidi" w:cstheme="minorBidi"/>
          <w:sz w:val="20"/>
          <w:szCs w:val="20"/>
        </w:rPr>
        <w:t xml:space="preserve"> </w:t>
      </w:r>
      <w:r w:rsidRPr="00E83DFE">
        <w:rPr>
          <w:rFonts w:asciiTheme="minorBidi" w:hAnsiTheme="minorBidi" w:cstheme="minorBidi"/>
          <w:b/>
          <w:bCs/>
          <w:sz w:val="20"/>
          <w:szCs w:val="20"/>
        </w:rPr>
        <w:t xml:space="preserve">agricole </w:t>
      </w:r>
      <w:r w:rsidRPr="00E83DFE">
        <w:rPr>
          <w:rFonts w:asciiTheme="minorBidi" w:hAnsiTheme="minorBidi" w:cstheme="minorBidi"/>
          <w:sz w:val="20"/>
          <w:szCs w:val="20"/>
        </w:rPr>
        <w:t xml:space="preserve">aurait progressé de 12,9% au premier trimestre 2017, en variation annuelle, </w:t>
      </w:r>
      <w:r>
        <w:rPr>
          <w:rFonts w:asciiTheme="minorBidi" w:hAnsiTheme="minorBidi" w:cstheme="minorBidi"/>
          <w:sz w:val="20"/>
          <w:szCs w:val="20"/>
        </w:rPr>
        <w:t>au lieu d’une baisse de 9% une année plus tôt</w:t>
      </w:r>
      <w:r w:rsidRPr="00E83DFE">
        <w:rPr>
          <w:rFonts w:asciiTheme="minorBidi" w:hAnsiTheme="minorBidi" w:cstheme="minorBidi"/>
          <w:sz w:val="20"/>
          <w:szCs w:val="20"/>
        </w:rPr>
        <w:t>. Cette reprise</w:t>
      </w:r>
      <w:r>
        <w:rPr>
          <w:rFonts w:asciiTheme="minorBidi" w:hAnsiTheme="minorBidi"/>
          <w:sz w:val="20"/>
          <w:szCs w:val="20"/>
        </w:rPr>
        <w:t xml:space="preserve"> </w:t>
      </w:r>
      <w:r w:rsidRPr="00E83DFE">
        <w:rPr>
          <w:rFonts w:asciiTheme="minorBidi" w:hAnsiTheme="minorBidi" w:cstheme="minorBidi"/>
          <w:sz w:val="20"/>
          <w:szCs w:val="20"/>
        </w:rPr>
        <w:t>aurait été soutenue par une pluviométrie excédentaire et des températures conformes à la saison, qui auraient favorisé une</w:t>
      </w:r>
      <w:r>
        <w:rPr>
          <w:rFonts w:asciiTheme="minorBidi" w:hAnsiTheme="minorBidi"/>
          <w:sz w:val="20"/>
          <w:szCs w:val="20"/>
        </w:rPr>
        <w:t xml:space="preserve"> </w:t>
      </w:r>
      <w:r w:rsidRPr="00E83DFE">
        <w:rPr>
          <w:rFonts w:asciiTheme="minorBidi" w:hAnsiTheme="minorBidi" w:cstheme="minorBidi"/>
          <w:sz w:val="20"/>
          <w:szCs w:val="20"/>
        </w:rPr>
        <w:t xml:space="preserve">hausse des superficies semées des cultures précoces et un développement progressif du couvert végétal et des pâturages. </w:t>
      </w:r>
      <w:r>
        <w:rPr>
          <w:rFonts w:asciiTheme="minorBidi" w:hAnsiTheme="minorBidi" w:cstheme="minorBidi"/>
          <w:sz w:val="20"/>
          <w:szCs w:val="20"/>
        </w:rPr>
        <w:t>L</w:t>
      </w:r>
      <w:r w:rsidRPr="00E83DFE">
        <w:rPr>
          <w:rFonts w:asciiTheme="minorBidi" w:hAnsiTheme="minorBidi" w:cstheme="minorBidi"/>
          <w:sz w:val="20"/>
          <w:szCs w:val="20"/>
        </w:rPr>
        <w:t>es semis des céréales d’automne et des légumineuses se seraient améliorés</w:t>
      </w:r>
      <w:r>
        <w:rPr>
          <w:rFonts w:asciiTheme="minorBidi" w:hAnsiTheme="minorBidi"/>
          <w:sz w:val="20"/>
          <w:szCs w:val="20"/>
        </w:rPr>
        <w:t xml:space="preserve"> </w:t>
      </w:r>
      <w:r w:rsidRPr="00E83DFE">
        <w:rPr>
          <w:rFonts w:asciiTheme="minorBidi" w:hAnsiTheme="minorBidi" w:cstheme="minorBidi"/>
          <w:sz w:val="20"/>
          <w:szCs w:val="20"/>
        </w:rPr>
        <w:t>de 41% et 28%</w:t>
      </w:r>
      <w:r>
        <w:rPr>
          <w:rFonts w:asciiTheme="minorBidi" w:hAnsiTheme="minorBidi"/>
          <w:sz w:val="20"/>
          <w:szCs w:val="20"/>
        </w:rPr>
        <w:t>,</w:t>
      </w:r>
      <w:r w:rsidRPr="00E83DFE">
        <w:rPr>
          <w:rFonts w:asciiTheme="minorBidi" w:hAnsiTheme="minorBidi" w:cstheme="minorBidi"/>
          <w:sz w:val="20"/>
          <w:szCs w:val="20"/>
        </w:rPr>
        <w:t xml:space="preserve"> respectivement, en variations annuelles. L’installation des semis des cultures printanières, notamment ceux du maïs, du tournesol et des maraîchères de saison se serait, également,</w:t>
      </w:r>
      <w:r>
        <w:rPr>
          <w:rFonts w:asciiTheme="minorBidi" w:hAnsiTheme="minorBidi"/>
          <w:sz w:val="20"/>
          <w:szCs w:val="20"/>
        </w:rPr>
        <w:t xml:space="preserve"> </w:t>
      </w:r>
      <w:r w:rsidRPr="00E83DFE">
        <w:rPr>
          <w:rFonts w:asciiTheme="minorBidi" w:hAnsiTheme="minorBidi" w:cstheme="minorBidi"/>
          <w:sz w:val="20"/>
          <w:szCs w:val="20"/>
        </w:rPr>
        <w:t>accélérée, sur fond des précipitations favorablement réparties</w:t>
      </w:r>
      <w:r>
        <w:rPr>
          <w:rFonts w:asciiTheme="minorBidi" w:hAnsiTheme="minorBidi"/>
          <w:sz w:val="20"/>
          <w:szCs w:val="20"/>
        </w:rPr>
        <w:t xml:space="preserve"> </w:t>
      </w:r>
      <w:r w:rsidRPr="00E83DFE">
        <w:rPr>
          <w:rFonts w:asciiTheme="minorBidi" w:hAnsiTheme="minorBidi" w:cstheme="minorBidi"/>
          <w:sz w:val="20"/>
          <w:szCs w:val="20"/>
        </w:rPr>
        <w:t>en fin d’hiver et début de printemps.</w:t>
      </w:r>
      <w:r>
        <w:rPr>
          <w:rFonts w:asciiTheme="minorBidi" w:hAnsiTheme="minorBidi" w:cstheme="minorBidi"/>
          <w:sz w:val="20"/>
          <w:szCs w:val="20"/>
        </w:rPr>
        <w:t xml:space="preserve"> </w:t>
      </w:r>
      <w:r w:rsidRPr="00E83DFE">
        <w:rPr>
          <w:rFonts w:asciiTheme="minorBidi" w:hAnsiTheme="minorBidi" w:cstheme="minorBidi"/>
          <w:sz w:val="20"/>
          <w:szCs w:val="20"/>
        </w:rPr>
        <w:t xml:space="preserve">Dans l’ensemble, les perspectives de croissance des cultures </w:t>
      </w:r>
      <w:r w:rsidR="0024527B" w:rsidRPr="00E83DFE">
        <w:rPr>
          <w:rFonts w:asciiTheme="minorBidi" w:hAnsiTheme="minorBidi" w:cstheme="minorBidi"/>
          <w:sz w:val="20"/>
          <w:szCs w:val="20"/>
        </w:rPr>
        <w:t>laissent</w:t>
      </w:r>
      <w:r w:rsidRPr="00E83DFE">
        <w:rPr>
          <w:rFonts w:asciiTheme="minorBidi" w:hAnsiTheme="minorBidi" w:cstheme="minorBidi"/>
          <w:sz w:val="20"/>
          <w:szCs w:val="20"/>
        </w:rPr>
        <w:t xml:space="preserve"> augurer un sensible redressement de la production végétale qui engagerait de nouveau l’activité agricole dans son sentier de croissance de moyen terme</w:t>
      </w:r>
      <w:r>
        <w:rPr>
          <w:rFonts w:asciiTheme="minorBidi" w:hAnsiTheme="minorBidi" w:cstheme="minorBidi"/>
          <w:sz w:val="20"/>
          <w:szCs w:val="20"/>
        </w:rPr>
        <w:t xml:space="preserve">. A noter qu’entre 2008 et 2015, la croissance moyenne </w:t>
      </w:r>
      <w:r w:rsidR="004A77BD">
        <w:rPr>
          <w:rFonts w:asciiTheme="minorBidi" w:hAnsiTheme="minorBidi" w:cstheme="minorBidi"/>
          <w:sz w:val="20"/>
          <w:szCs w:val="20"/>
        </w:rPr>
        <w:t xml:space="preserve">annuelle </w:t>
      </w:r>
      <w:r>
        <w:rPr>
          <w:rFonts w:asciiTheme="minorBidi" w:hAnsiTheme="minorBidi" w:cstheme="minorBidi"/>
          <w:sz w:val="20"/>
          <w:szCs w:val="20"/>
        </w:rPr>
        <w:t>de l’agriculture avait atteint +8,3%, au lieu de +4,5% réalisée au cours de la période 1999-2007.</w:t>
      </w:r>
    </w:p>
    <w:p w:rsidR="001F1859" w:rsidRPr="00D34739" w:rsidRDefault="001F1859" w:rsidP="001F1859">
      <w:pPr>
        <w:jc w:val="both"/>
        <w:rPr>
          <w:rFonts w:asciiTheme="minorBidi" w:hAnsiTheme="minorBidi" w:cstheme="minorBidi"/>
          <w:sz w:val="20"/>
          <w:szCs w:val="20"/>
        </w:rPr>
      </w:pPr>
    </w:p>
    <w:p w:rsidR="0097276B" w:rsidRDefault="00BF2EE4" w:rsidP="00E71029">
      <w:pPr>
        <w:jc w:val="both"/>
        <w:rPr>
          <w:rFonts w:ascii="Arial" w:hAnsi="Arial" w:cs="Arial"/>
          <w:b/>
          <w:bCs/>
          <w:color w:val="800000"/>
          <w:kern w:val="28"/>
          <w:sz w:val="20"/>
          <w:szCs w:val="20"/>
        </w:rPr>
      </w:pPr>
      <w:r>
        <w:rPr>
          <w:rFonts w:ascii="Arial" w:hAnsi="Arial" w:cs="Arial"/>
          <w:b/>
          <w:bCs/>
          <w:color w:val="800000"/>
          <w:kern w:val="28"/>
          <w:sz w:val="20"/>
          <w:szCs w:val="20"/>
        </w:rPr>
        <w:t>A</w:t>
      </w:r>
      <w:r w:rsidR="00E71029">
        <w:rPr>
          <w:rFonts w:ascii="Arial" w:hAnsi="Arial" w:cs="Arial"/>
          <w:b/>
          <w:bCs/>
          <w:color w:val="800000"/>
          <w:kern w:val="28"/>
          <w:sz w:val="20"/>
          <w:szCs w:val="20"/>
        </w:rPr>
        <w:t>ccélé</w:t>
      </w:r>
      <w:r w:rsidR="00686110">
        <w:rPr>
          <w:rFonts w:ascii="Arial" w:hAnsi="Arial" w:cs="Arial"/>
          <w:b/>
          <w:bCs/>
          <w:color w:val="800000"/>
          <w:kern w:val="28"/>
          <w:sz w:val="20"/>
          <w:szCs w:val="20"/>
        </w:rPr>
        <w:t>ration</w:t>
      </w:r>
      <w:r w:rsidR="00DF7F9A">
        <w:rPr>
          <w:rFonts w:ascii="Arial" w:hAnsi="Arial" w:cs="Arial"/>
          <w:b/>
          <w:bCs/>
          <w:color w:val="800000"/>
          <w:kern w:val="28"/>
          <w:sz w:val="20"/>
          <w:szCs w:val="20"/>
        </w:rPr>
        <w:t xml:space="preserve"> du rythme de croissance</w:t>
      </w:r>
      <w:r w:rsidR="0097276B">
        <w:rPr>
          <w:rFonts w:ascii="Arial" w:hAnsi="Arial" w:cs="Arial"/>
          <w:b/>
          <w:bCs/>
          <w:color w:val="800000"/>
          <w:kern w:val="28"/>
          <w:sz w:val="20"/>
          <w:szCs w:val="20"/>
        </w:rPr>
        <w:t xml:space="preserve"> des activités hors agriculture</w:t>
      </w:r>
    </w:p>
    <w:p w:rsidR="0097276B" w:rsidRDefault="0097276B" w:rsidP="005F2599">
      <w:pPr>
        <w:jc w:val="both"/>
        <w:rPr>
          <w:rFonts w:ascii="Arial" w:hAnsi="Arial" w:cs="Arial"/>
          <w:sz w:val="20"/>
          <w:szCs w:val="20"/>
        </w:rPr>
      </w:pPr>
    </w:p>
    <w:p w:rsidR="005F2599" w:rsidRPr="005F2599" w:rsidRDefault="00A62EAF" w:rsidP="00041E94">
      <w:pPr>
        <w:ind w:right="170"/>
        <w:jc w:val="both"/>
        <w:rPr>
          <w:rFonts w:ascii="Arial" w:hAnsi="Arial" w:cs="Arial"/>
          <w:sz w:val="20"/>
          <w:szCs w:val="20"/>
        </w:rPr>
      </w:pPr>
      <w:r>
        <w:rPr>
          <w:rFonts w:ascii="Arial" w:hAnsi="Arial" w:cs="Arial"/>
          <w:noProof/>
          <w:sz w:val="20"/>
          <w:szCs w:val="20"/>
        </w:rPr>
        <w:t>Le</w:t>
      </w:r>
      <w:r w:rsidR="00444D28">
        <w:rPr>
          <w:rFonts w:ascii="Arial" w:hAnsi="Arial" w:cs="Arial"/>
          <w:noProof/>
          <w:sz w:val="20"/>
          <w:szCs w:val="20"/>
        </w:rPr>
        <w:t xml:space="preserve"> rythme de croissance de</w:t>
      </w:r>
      <w:r>
        <w:rPr>
          <w:rFonts w:ascii="Arial" w:hAnsi="Arial" w:cs="Arial"/>
          <w:noProof/>
          <w:sz w:val="20"/>
          <w:szCs w:val="20"/>
        </w:rPr>
        <w:t>s</w:t>
      </w:r>
      <w:r w:rsidR="00C07B2B">
        <w:rPr>
          <w:rFonts w:ascii="Arial" w:hAnsi="Arial" w:cs="Arial"/>
          <w:sz w:val="20"/>
          <w:szCs w:val="20"/>
        </w:rPr>
        <w:t xml:space="preserve"> </w:t>
      </w:r>
      <w:r w:rsidR="00C07B2B" w:rsidRPr="00041E94">
        <w:rPr>
          <w:rFonts w:ascii="Arial" w:hAnsi="Arial" w:cs="Arial"/>
          <w:b/>
          <w:bCs/>
          <w:sz w:val="20"/>
          <w:szCs w:val="20"/>
        </w:rPr>
        <w:t xml:space="preserve">activités </w:t>
      </w:r>
      <w:r w:rsidR="00C555C5" w:rsidRPr="00041E94">
        <w:rPr>
          <w:rFonts w:ascii="Arial" w:hAnsi="Arial" w:cs="Arial"/>
          <w:b/>
          <w:bCs/>
          <w:sz w:val="20"/>
          <w:szCs w:val="20"/>
        </w:rPr>
        <w:t>non-agricoles</w:t>
      </w:r>
      <w:r w:rsidR="00C07B2B">
        <w:rPr>
          <w:rFonts w:ascii="Arial" w:hAnsi="Arial" w:cs="Arial"/>
          <w:sz w:val="20"/>
          <w:szCs w:val="20"/>
        </w:rPr>
        <w:t xml:space="preserve"> </w:t>
      </w:r>
      <w:r w:rsidR="00686110">
        <w:rPr>
          <w:rFonts w:ascii="Arial" w:hAnsi="Arial" w:cs="Arial"/>
          <w:sz w:val="20"/>
          <w:szCs w:val="20"/>
        </w:rPr>
        <w:t>se serait a</w:t>
      </w:r>
      <w:r w:rsidR="00D967B7">
        <w:rPr>
          <w:rFonts w:ascii="Arial" w:hAnsi="Arial" w:cs="Arial"/>
          <w:sz w:val="20"/>
          <w:szCs w:val="20"/>
        </w:rPr>
        <w:t>ccélér</w:t>
      </w:r>
      <w:r w:rsidR="00686110">
        <w:rPr>
          <w:rFonts w:ascii="Arial" w:hAnsi="Arial" w:cs="Arial"/>
          <w:sz w:val="20"/>
          <w:szCs w:val="20"/>
        </w:rPr>
        <w:t>é</w:t>
      </w:r>
      <w:r w:rsidR="00C07B2B">
        <w:rPr>
          <w:rFonts w:ascii="Arial" w:hAnsi="Arial" w:cs="Arial"/>
          <w:sz w:val="20"/>
          <w:szCs w:val="20"/>
        </w:rPr>
        <w:t xml:space="preserve"> au </w:t>
      </w:r>
      <w:r w:rsidR="00CC75D6">
        <w:rPr>
          <w:rFonts w:ascii="Arial" w:hAnsi="Arial" w:cs="Arial"/>
          <w:iCs/>
          <w:color w:val="000000"/>
          <w:sz w:val="20"/>
          <w:szCs w:val="20"/>
          <w:lang w:eastAsia="en-US"/>
        </w:rPr>
        <w:t>premier trimestre 2017</w:t>
      </w:r>
      <w:r>
        <w:rPr>
          <w:rFonts w:ascii="Arial" w:hAnsi="Arial" w:cs="Arial"/>
          <w:sz w:val="20"/>
          <w:szCs w:val="20"/>
        </w:rPr>
        <w:t xml:space="preserve">, </w:t>
      </w:r>
      <w:r w:rsidR="00F217C5">
        <w:rPr>
          <w:rFonts w:ascii="Arial" w:hAnsi="Arial" w:cs="Arial"/>
          <w:sz w:val="20"/>
          <w:szCs w:val="20"/>
        </w:rPr>
        <w:t>se situ</w:t>
      </w:r>
      <w:r w:rsidR="00CC063F">
        <w:rPr>
          <w:rFonts w:ascii="Arial" w:hAnsi="Arial" w:cs="Arial"/>
          <w:sz w:val="20"/>
          <w:szCs w:val="20"/>
        </w:rPr>
        <w:t>ant</w:t>
      </w:r>
      <w:r>
        <w:rPr>
          <w:rFonts w:ascii="Arial" w:hAnsi="Arial" w:cs="Arial"/>
          <w:sz w:val="20"/>
          <w:szCs w:val="20"/>
        </w:rPr>
        <w:t xml:space="preserve"> </w:t>
      </w:r>
      <w:r w:rsidR="00F217C5">
        <w:rPr>
          <w:rFonts w:ascii="Arial" w:hAnsi="Arial" w:cs="Arial"/>
          <w:sz w:val="20"/>
          <w:szCs w:val="20"/>
        </w:rPr>
        <w:t xml:space="preserve">à </w:t>
      </w:r>
      <w:r w:rsidR="005C749E">
        <w:rPr>
          <w:rFonts w:ascii="Arial" w:hAnsi="Arial" w:cs="Arial"/>
          <w:sz w:val="20"/>
          <w:szCs w:val="20"/>
        </w:rPr>
        <w:t>3</w:t>
      </w:r>
      <w:r>
        <w:rPr>
          <w:rFonts w:ascii="Arial" w:hAnsi="Arial" w:cs="Arial"/>
          <w:sz w:val="20"/>
          <w:szCs w:val="20"/>
        </w:rPr>
        <w:t>%, en variation annuelle</w:t>
      </w:r>
      <w:r w:rsidR="00686110">
        <w:rPr>
          <w:rFonts w:ascii="Arial" w:hAnsi="Arial" w:cs="Arial"/>
          <w:sz w:val="20"/>
          <w:szCs w:val="20"/>
        </w:rPr>
        <w:t xml:space="preserve">, au lieu de </w:t>
      </w:r>
      <w:r w:rsidR="00F217C5">
        <w:rPr>
          <w:rFonts w:ascii="Arial" w:hAnsi="Arial" w:cs="Arial"/>
          <w:sz w:val="20"/>
          <w:szCs w:val="20"/>
        </w:rPr>
        <w:t>+</w:t>
      </w:r>
      <w:r w:rsidR="008E4A4E">
        <w:rPr>
          <w:rFonts w:ascii="Arial" w:hAnsi="Arial" w:cs="Arial"/>
          <w:sz w:val="20"/>
          <w:szCs w:val="20"/>
        </w:rPr>
        <w:t>2</w:t>
      </w:r>
      <w:r w:rsidR="00686110">
        <w:rPr>
          <w:rFonts w:ascii="Arial" w:hAnsi="Arial" w:cs="Arial"/>
          <w:sz w:val="20"/>
          <w:szCs w:val="20"/>
        </w:rPr>
        <w:t>,</w:t>
      </w:r>
      <w:r w:rsidR="008E4A4E">
        <w:rPr>
          <w:rFonts w:ascii="Arial" w:hAnsi="Arial" w:cs="Arial"/>
          <w:sz w:val="20"/>
          <w:szCs w:val="20"/>
        </w:rPr>
        <w:t>3</w:t>
      </w:r>
      <w:r w:rsidR="00686110">
        <w:rPr>
          <w:rFonts w:ascii="Arial" w:hAnsi="Arial" w:cs="Arial"/>
          <w:sz w:val="20"/>
          <w:szCs w:val="20"/>
        </w:rPr>
        <w:t>% un trimestre auparavant</w:t>
      </w:r>
      <w:r w:rsidR="0097276B" w:rsidRPr="00873491">
        <w:rPr>
          <w:rFonts w:ascii="Arial" w:hAnsi="Arial" w:cs="Arial"/>
          <w:sz w:val="20"/>
          <w:szCs w:val="20"/>
        </w:rPr>
        <w:t xml:space="preserve">. </w:t>
      </w:r>
      <w:r w:rsidR="003C119B">
        <w:rPr>
          <w:rFonts w:ascii="Arial" w:hAnsi="Arial" w:cs="Arial"/>
          <w:sz w:val="20"/>
          <w:szCs w:val="20"/>
        </w:rPr>
        <w:t xml:space="preserve">Contribuant pour près de 1,4 point, au lieu </w:t>
      </w:r>
      <w:r w:rsidR="00861DDA">
        <w:rPr>
          <w:rFonts w:ascii="Arial" w:hAnsi="Arial" w:cs="Arial"/>
          <w:sz w:val="20"/>
          <w:szCs w:val="20"/>
        </w:rPr>
        <w:t>d’un</w:t>
      </w:r>
      <w:r w:rsidR="003C119B">
        <w:rPr>
          <w:rFonts w:ascii="Arial" w:hAnsi="Arial" w:cs="Arial"/>
          <w:sz w:val="20"/>
          <w:szCs w:val="20"/>
        </w:rPr>
        <w:t xml:space="preserve"> point un trimestre plus tôt, l</w:t>
      </w:r>
      <w:r w:rsidR="002765A6">
        <w:rPr>
          <w:rFonts w:ascii="Arial" w:hAnsi="Arial" w:cs="Arial"/>
          <w:sz w:val="20"/>
          <w:szCs w:val="20"/>
        </w:rPr>
        <w:t>es branches tertiaires auraient continué de soutenir l’activité économique, grâce notamment à la dynamique des activités du commerce et d</w:t>
      </w:r>
      <w:r w:rsidR="00A40F99">
        <w:rPr>
          <w:rFonts w:ascii="Arial" w:hAnsi="Arial" w:cs="Arial"/>
          <w:sz w:val="20"/>
          <w:szCs w:val="20"/>
        </w:rPr>
        <w:t>u transport</w:t>
      </w:r>
      <w:r w:rsidR="002765A6">
        <w:rPr>
          <w:rFonts w:ascii="Arial" w:hAnsi="Arial" w:cs="Arial"/>
          <w:sz w:val="20"/>
          <w:szCs w:val="20"/>
        </w:rPr>
        <w:t xml:space="preserve"> et de la </w:t>
      </w:r>
      <w:r w:rsidR="004D5CE9">
        <w:rPr>
          <w:rFonts w:ascii="Arial" w:hAnsi="Arial" w:cs="Arial"/>
          <w:sz w:val="20"/>
          <w:szCs w:val="20"/>
        </w:rPr>
        <w:t>poursuite du redressement</w:t>
      </w:r>
      <w:r w:rsidR="002765A6">
        <w:rPr>
          <w:rFonts w:ascii="Arial" w:hAnsi="Arial" w:cs="Arial"/>
          <w:sz w:val="20"/>
          <w:szCs w:val="20"/>
        </w:rPr>
        <w:t xml:space="preserve"> des activités touristiques</w:t>
      </w:r>
      <w:r w:rsidR="00502E10">
        <w:rPr>
          <w:rFonts w:ascii="Arial" w:hAnsi="Arial" w:cs="Arial"/>
          <w:sz w:val="20"/>
          <w:szCs w:val="20"/>
        </w:rPr>
        <w:t>. La v</w:t>
      </w:r>
      <w:r w:rsidR="00FF454F">
        <w:rPr>
          <w:rFonts w:ascii="Arial" w:hAnsi="Arial" w:cs="Arial"/>
          <w:sz w:val="20"/>
          <w:szCs w:val="20"/>
        </w:rPr>
        <w:t xml:space="preserve">aleur ajoutée </w:t>
      </w:r>
      <w:r w:rsidR="00502E10">
        <w:rPr>
          <w:rFonts w:ascii="Arial" w:hAnsi="Arial" w:cs="Arial"/>
          <w:sz w:val="20"/>
          <w:szCs w:val="20"/>
        </w:rPr>
        <w:t xml:space="preserve">de cette dernière </w:t>
      </w:r>
      <w:r w:rsidR="00FF454F">
        <w:rPr>
          <w:rFonts w:ascii="Arial" w:hAnsi="Arial" w:cs="Arial"/>
          <w:sz w:val="20"/>
          <w:szCs w:val="20"/>
        </w:rPr>
        <w:t>se</w:t>
      </w:r>
      <w:r w:rsidR="002765A6">
        <w:rPr>
          <w:rFonts w:ascii="Arial" w:hAnsi="Arial" w:cs="Arial"/>
          <w:sz w:val="20"/>
          <w:szCs w:val="20"/>
        </w:rPr>
        <w:t xml:space="preserve"> serait </w:t>
      </w:r>
      <w:r w:rsidR="00594FD0">
        <w:rPr>
          <w:rFonts w:ascii="Arial" w:hAnsi="Arial" w:cs="Arial"/>
          <w:sz w:val="20"/>
          <w:szCs w:val="20"/>
        </w:rPr>
        <w:t>accru</w:t>
      </w:r>
      <w:r w:rsidR="002765A6">
        <w:rPr>
          <w:rFonts w:ascii="Arial" w:hAnsi="Arial" w:cs="Arial"/>
          <w:sz w:val="20"/>
          <w:szCs w:val="20"/>
        </w:rPr>
        <w:t xml:space="preserve">e de </w:t>
      </w:r>
      <w:r w:rsidR="00EB2CC8">
        <w:rPr>
          <w:rFonts w:ascii="Arial" w:hAnsi="Arial" w:cs="Arial"/>
          <w:sz w:val="20"/>
          <w:szCs w:val="20"/>
        </w:rPr>
        <w:t>6</w:t>
      </w:r>
      <w:r w:rsidR="008F194A">
        <w:rPr>
          <w:rFonts w:ascii="Arial" w:hAnsi="Arial" w:cs="Arial"/>
          <w:sz w:val="20"/>
          <w:szCs w:val="20"/>
        </w:rPr>
        <w:t>,</w:t>
      </w:r>
      <w:r w:rsidR="00EB2CC8">
        <w:rPr>
          <w:rFonts w:ascii="Arial" w:hAnsi="Arial" w:cs="Arial"/>
          <w:sz w:val="20"/>
          <w:szCs w:val="20"/>
        </w:rPr>
        <w:t>7</w:t>
      </w:r>
      <w:r w:rsidR="002765A6">
        <w:rPr>
          <w:rFonts w:ascii="Arial" w:hAnsi="Arial" w:cs="Arial"/>
          <w:sz w:val="20"/>
          <w:szCs w:val="20"/>
        </w:rPr>
        <w:t xml:space="preserve">%, en variation annuelle, </w:t>
      </w:r>
      <w:r w:rsidR="007A101D">
        <w:rPr>
          <w:rFonts w:ascii="Arial" w:hAnsi="Arial" w:cs="Arial"/>
          <w:sz w:val="20"/>
          <w:szCs w:val="20"/>
        </w:rPr>
        <w:t>au lieu de 1,2% une année auparavant</w:t>
      </w:r>
      <w:r w:rsidR="002765A6">
        <w:rPr>
          <w:rFonts w:ascii="Arial" w:hAnsi="Arial" w:cs="Arial"/>
          <w:sz w:val="20"/>
          <w:szCs w:val="20"/>
        </w:rPr>
        <w:t xml:space="preserve">. </w:t>
      </w:r>
      <w:r w:rsidR="0028291C">
        <w:rPr>
          <w:rFonts w:ascii="Arial" w:hAnsi="Arial" w:cs="Arial"/>
          <w:sz w:val="20"/>
          <w:szCs w:val="20"/>
        </w:rPr>
        <w:t xml:space="preserve">Cette </w:t>
      </w:r>
      <w:r w:rsidR="005C749E">
        <w:rPr>
          <w:rFonts w:ascii="Arial" w:hAnsi="Arial" w:cs="Arial"/>
          <w:sz w:val="20"/>
          <w:szCs w:val="20"/>
        </w:rPr>
        <w:t>performanc</w:t>
      </w:r>
      <w:r w:rsidR="0028291C">
        <w:rPr>
          <w:rFonts w:ascii="Arial" w:hAnsi="Arial" w:cs="Arial"/>
          <w:sz w:val="20"/>
          <w:szCs w:val="20"/>
        </w:rPr>
        <w:t xml:space="preserve">e </w:t>
      </w:r>
      <w:r w:rsidR="002765A6">
        <w:rPr>
          <w:rFonts w:ascii="Arial" w:hAnsi="Arial" w:cs="Arial"/>
          <w:sz w:val="20"/>
          <w:szCs w:val="20"/>
        </w:rPr>
        <w:t xml:space="preserve">aurait été </w:t>
      </w:r>
      <w:r w:rsidR="00041E94">
        <w:rPr>
          <w:rFonts w:ascii="Arial" w:hAnsi="Arial" w:cs="Arial"/>
          <w:sz w:val="20"/>
          <w:szCs w:val="20"/>
        </w:rPr>
        <w:t>tirée</w:t>
      </w:r>
      <w:r w:rsidR="002765A6">
        <w:rPr>
          <w:rFonts w:ascii="Arial" w:hAnsi="Arial" w:cs="Arial"/>
          <w:sz w:val="20"/>
          <w:szCs w:val="20"/>
        </w:rPr>
        <w:t xml:space="preserve"> par une hausse de </w:t>
      </w:r>
      <w:r w:rsidR="00091532">
        <w:rPr>
          <w:rFonts w:ascii="Arial" w:hAnsi="Arial" w:cs="Arial"/>
          <w:sz w:val="20"/>
          <w:szCs w:val="20"/>
        </w:rPr>
        <w:t>9,1</w:t>
      </w:r>
      <w:r w:rsidR="002765A6">
        <w:rPr>
          <w:rFonts w:ascii="Arial" w:hAnsi="Arial" w:cs="Arial"/>
          <w:sz w:val="20"/>
          <w:szCs w:val="20"/>
        </w:rPr>
        <w:t xml:space="preserve">% des nuitées touristiques. </w:t>
      </w:r>
    </w:p>
    <w:p w:rsidR="00BF2EE4" w:rsidRDefault="007033B8" w:rsidP="00041E94">
      <w:pPr>
        <w:jc w:val="both"/>
        <w:rPr>
          <w:rFonts w:asciiTheme="minorBidi" w:hAnsiTheme="minorBidi" w:cstheme="minorBidi"/>
          <w:sz w:val="20"/>
          <w:szCs w:val="20"/>
        </w:rPr>
      </w:pPr>
      <w:r>
        <w:rPr>
          <w:rFonts w:ascii="Arial" w:hAnsi="Arial" w:cs="Arial"/>
          <w:noProof/>
          <w:sz w:val="20"/>
          <w:szCs w:val="20"/>
        </w:rPr>
        <w:drawing>
          <wp:anchor distT="0" distB="0" distL="114300" distR="114300" simplePos="0" relativeHeight="251712512" behindDoc="0" locked="0" layoutInCell="1" allowOverlap="1">
            <wp:simplePos x="0" y="0"/>
            <wp:positionH relativeFrom="column">
              <wp:posOffset>4222115</wp:posOffset>
            </wp:positionH>
            <wp:positionV relativeFrom="paragraph">
              <wp:posOffset>1560195</wp:posOffset>
            </wp:positionV>
            <wp:extent cx="2390775" cy="2028825"/>
            <wp:effectExtent l="19050" t="0" r="9525" b="0"/>
            <wp:wrapSquare wrapText="bothSides"/>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390775" cy="2028825"/>
                    </a:xfrm>
                    <a:prstGeom prst="rect">
                      <a:avLst/>
                    </a:prstGeom>
                    <a:noFill/>
                    <a:ln w="9525">
                      <a:noFill/>
                      <a:miter lim="800000"/>
                      <a:headEnd/>
                      <a:tailEnd/>
                    </a:ln>
                  </pic:spPr>
                </pic:pic>
              </a:graphicData>
            </a:graphic>
          </wp:anchor>
        </w:drawing>
      </w:r>
      <w:r w:rsidR="00041E94">
        <w:rPr>
          <w:rFonts w:ascii="Arial" w:hAnsi="Arial" w:cs="Arial"/>
          <w:sz w:val="20"/>
          <w:szCs w:val="20"/>
        </w:rPr>
        <w:t>La valeur ajoutée du</w:t>
      </w:r>
      <w:r w:rsidR="00BF2EE4">
        <w:rPr>
          <w:rFonts w:ascii="Arial" w:hAnsi="Arial" w:cs="Arial"/>
          <w:sz w:val="20"/>
          <w:szCs w:val="20"/>
        </w:rPr>
        <w:t xml:space="preserve"> secteur</w:t>
      </w:r>
      <w:r w:rsidR="00FF454F">
        <w:rPr>
          <w:rFonts w:ascii="Arial" w:hAnsi="Arial" w:cs="Arial"/>
          <w:sz w:val="20"/>
          <w:szCs w:val="20"/>
        </w:rPr>
        <w:t xml:space="preserve"> secondaire</w:t>
      </w:r>
      <w:r w:rsidR="00502E10">
        <w:rPr>
          <w:rFonts w:ascii="Arial" w:hAnsi="Arial" w:cs="Arial"/>
          <w:sz w:val="20"/>
          <w:szCs w:val="20"/>
        </w:rPr>
        <w:t xml:space="preserve"> se serait améliorée de 2,9% au premier trimestre 2017, en variation annuelle, porté</w:t>
      </w:r>
      <w:r w:rsidR="00041E94">
        <w:rPr>
          <w:rFonts w:ascii="Arial" w:hAnsi="Arial" w:cs="Arial"/>
          <w:sz w:val="20"/>
          <w:szCs w:val="20"/>
        </w:rPr>
        <w:t>e</w:t>
      </w:r>
      <w:r w:rsidR="00502E10">
        <w:rPr>
          <w:rFonts w:ascii="Arial" w:hAnsi="Arial" w:cs="Arial"/>
          <w:sz w:val="20"/>
          <w:szCs w:val="20"/>
        </w:rPr>
        <w:t xml:space="preserve"> notamment par le dynamisme des activités minières.</w:t>
      </w:r>
      <w:r w:rsidR="00141788">
        <w:rPr>
          <w:rFonts w:ascii="Arial" w:hAnsi="Arial" w:cs="Arial"/>
          <w:sz w:val="20"/>
          <w:szCs w:val="20"/>
        </w:rPr>
        <w:t xml:space="preserve"> </w:t>
      </w:r>
      <w:r w:rsidR="00BF2EE4">
        <w:rPr>
          <w:rFonts w:asciiTheme="minorBidi" w:hAnsiTheme="minorBidi" w:cstheme="minorBidi"/>
          <w:sz w:val="20"/>
          <w:szCs w:val="20"/>
        </w:rPr>
        <w:t>T</w:t>
      </w:r>
      <w:r w:rsidR="00BF2EE4" w:rsidRPr="00E83DFE">
        <w:rPr>
          <w:rFonts w:asciiTheme="minorBidi" w:hAnsiTheme="minorBidi" w:cstheme="minorBidi"/>
          <w:sz w:val="20"/>
          <w:szCs w:val="20"/>
        </w:rPr>
        <w:t>irée par</w:t>
      </w:r>
      <w:r w:rsidR="00BF2EE4">
        <w:rPr>
          <w:rFonts w:asciiTheme="minorBidi" w:hAnsiTheme="minorBidi"/>
          <w:sz w:val="20"/>
          <w:szCs w:val="20"/>
        </w:rPr>
        <w:t xml:space="preserve"> </w:t>
      </w:r>
      <w:r w:rsidR="00BF2EE4" w:rsidRPr="00E83DFE">
        <w:rPr>
          <w:rFonts w:asciiTheme="minorBidi" w:hAnsiTheme="minorBidi" w:cstheme="minorBidi"/>
          <w:sz w:val="20"/>
          <w:szCs w:val="20"/>
        </w:rPr>
        <w:t>un raffermissement de la demande des industries locales de transformation</w:t>
      </w:r>
      <w:r w:rsidR="00BF2EE4">
        <w:rPr>
          <w:rFonts w:asciiTheme="minorBidi" w:hAnsiTheme="minorBidi" w:cstheme="minorBidi"/>
          <w:sz w:val="20"/>
          <w:szCs w:val="20"/>
        </w:rPr>
        <w:t>,</w:t>
      </w:r>
      <w:r w:rsidR="00BF2EE4" w:rsidRPr="00E83DFE">
        <w:rPr>
          <w:rFonts w:asciiTheme="minorBidi" w:hAnsiTheme="minorBidi" w:cstheme="minorBidi"/>
          <w:sz w:val="20"/>
          <w:szCs w:val="20"/>
        </w:rPr>
        <w:t xml:space="preserve"> </w:t>
      </w:r>
      <w:r w:rsidR="00BF2EE4">
        <w:rPr>
          <w:rFonts w:asciiTheme="minorBidi" w:hAnsiTheme="minorBidi" w:cstheme="minorBidi"/>
          <w:sz w:val="20"/>
          <w:szCs w:val="20"/>
        </w:rPr>
        <w:t xml:space="preserve">la valeur ajoutée </w:t>
      </w:r>
      <w:r w:rsidR="00BF2EE4" w:rsidRPr="00E83DFE">
        <w:rPr>
          <w:rFonts w:asciiTheme="minorBidi" w:hAnsiTheme="minorBidi" w:cstheme="minorBidi"/>
          <w:b/>
          <w:bCs/>
          <w:sz w:val="20"/>
          <w:szCs w:val="20"/>
        </w:rPr>
        <w:t>minière</w:t>
      </w:r>
      <w:r w:rsidR="00BF2EE4" w:rsidRPr="00E83DFE">
        <w:rPr>
          <w:rFonts w:asciiTheme="minorBidi" w:hAnsiTheme="minorBidi" w:cstheme="minorBidi"/>
          <w:sz w:val="20"/>
          <w:szCs w:val="20"/>
        </w:rPr>
        <w:t xml:space="preserve"> aurait progressé de </w:t>
      </w:r>
      <w:r w:rsidR="00BF2EE4">
        <w:rPr>
          <w:rFonts w:asciiTheme="minorBidi" w:hAnsiTheme="minorBidi" w:cstheme="minorBidi"/>
          <w:sz w:val="20"/>
          <w:szCs w:val="20"/>
        </w:rPr>
        <w:t>11,8</w:t>
      </w:r>
      <w:r w:rsidR="00BF2EE4" w:rsidRPr="00E83DFE">
        <w:rPr>
          <w:rFonts w:asciiTheme="minorBidi" w:hAnsiTheme="minorBidi" w:cstheme="minorBidi"/>
          <w:sz w:val="20"/>
          <w:szCs w:val="20"/>
        </w:rPr>
        <w:t>% au premier trimestre 2017, en variation annuelle</w:t>
      </w:r>
      <w:r w:rsidR="00BF2EE4">
        <w:rPr>
          <w:rFonts w:asciiTheme="minorBidi" w:hAnsiTheme="minorBidi" w:cstheme="minorBidi"/>
          <w:sz w:val="20"/>
          <w:szCs w:val="20"/>
        </w:rPr>
        <w:t>, au lieu de 5,4% un trimestre plus tôt</w:t>
      </w:r>
      <w:r w:rsidR="00BF2EE4" w:rsidRPr="00E83DFE">
        <w:rPr>
          <w:rFonts w:asciiTheme="minorBidi" w:hAnsiTheme="minorBidi" w:cstheme="minorBidi"/>
          <w:sz w:val="20"/>
          <w:szCs w:val="20"/>
        </w:rPr>
        <w:t>. Les cours internationaux des fertilisants phosphatés auraient</w:t>
      </w:r>
      <w:r w:rsidR="00BF2EE4">
        <w:rPr>
          <w:rFonts w:asciiTheme="minorBidi" w:hAnsiTheme="minorBidi"/>
          <w:sz w:val="20"/>
          <w:szCs w:val="20"/>
        </w:rPr>
        <w:t xml:space="preserve"> </w:t>
      </w:r>
      <w:r w:rsidR="00BF2EE4" w:rsidRPr="00E83DFE">
        <w:rPr>
          <w:rFonts w:asciiTheme="minorBidi" w:hAnsiTheme="minorBidi" w:cstheme="minorBidi"/>
          <w:sz w:val="20"/>
          <w:szCs w:val="20"/>
        </w:rPr>
        <w:t>connu un retournement à la hausse en février 2017, en réponse au regain de la demande des pays ayant différé leurs achats en 2016 et à la limitation</w:t>
      </w:r>
      <w:r w:rsidR="00BF2EE4">
        <w:rPr>
          <w:rFonts w:asciiTheme="minorBidi" w:hAnsiTheme="minorBidi"/>
          <w:sz w:val="20"/>
          <w:szCs w:val="20"/>
        </w:rPr>
        <w:t xml:space="preserve"> </w:t>
      </w:r>
      <w:r w:rsidR="00BF2EE4" w:rsidRPr="00E83DFE">
        <w:rPr>
          <w:rFonts w:asciiTheme="minorBidi" w:hAnsiTheme="minorBidi" w:cstheme="minorBidi"/>
          <w:sz w:val="20"/>
          <w:szCs w:val="20"/>
        </w:rPr>
        <w:t>de l’offre à l’export</w:t>
      </w:r>
      <w:r w:rsidR="00BF2EE4">
        <w:rPr>
          <w:rFonts w:asciiTheme="minorBidi" w:hAnsiTheme="minorBidi"/>
          <w:sz w:val="20"/>
          <w:szCs w:val="20"/>
        </w:rPr>
        <w:t xml:space="preserve"> </w:t>
      </w:r>
      <w:r w:rsidR="00BF2EE4" w:rsidRPr="00E83DFE">
        <w:rPr>
          <w:rFonts w:asciiTheme="minorBidi" w:hAnsiTheme="minorBidi" w:cstheme="minorBidi"/>
          <w:sz w:val="20"/>
          <w:szCs w:val="20"/>
        </w:rPr>
        <w:t xml:space="preserve">de la Chine. Cette situation aurait particulièrement profité aux exportations nationales des engrais qui se seraient affermies de </w:t>
      </w:r>
      <w:r w:rsidR="00BF2EE4">
        <w:rPr>
          <w:rFonts w:asciiTheme="minorBidi" w:hAnsiTheme="minorBidi" w:cstheme="minorBidi"/>
          <w:sz w:val="20"/>
          <w:szCs w:val="20"/>
        </w:rPr>
        <w:t xml:space="preserve">plus de </w:t>
      </w:r>
      <w:r w:rsidR="00BF2EE4" w:rsidRPr="00E83DFE">
        <w:rPr>
          <w:rFonts w:asciiTheme="minorBidi" w:hAnsiTheme="minorBidi" w:cstheme="minorBidi"/>
          <w:sz w:val="20"/>
          <w:szCs w:val="20"/>
        </w:rPr>
        <w:t xml:space="preserve">32%, au premier trimestre 2017, en variation annuelle, stimulant une hausse de </w:t>
      </w:r>
      <w:r w:rsidR="00BF2EE4">
        <w:rPr>
          <w:rFonts w:asciiTheme="minorBidi" w:hAnsiTheme="minorBidi" w:cstheme="minorBidi"/>
          <w:sz w:val="20"/>
          <w:szCs w:val="20"/>
        </w:rPr>
        <w:t>13,1</w:t>
      </w:r>
      <w:r w:rsidR="00BF2EE4" w:rsidRPr="00E83DFE">
        <w:rPr>
          <w:rFonts w:asciiTheme="minorBidi" w:hAnsiTheme="minorBidi" w:cstheme="minorBidi"/>
          <w:sz w:val="20"/>
          <w:szCs w:val="20"/>
        </w:rPr>
        <w:t xml:space="preserve">% </w:t>
      </w:r>
      <w:r w:rsidR="00BF2EE4">
        <w:rPr>
          <w:rFonts w:asciiTheme="minorBidi" w:hAnsiTheme="minorBidi"/>
          <w:sz w:val="20"/>
          <w:szCs w:val="20"/>
        </w:rPr>
        <w:t xml:space="preserve">de </w:t>
      </w:r>
      <w:r w:rsidR="00BF2EE4" w:rsidRPr="00E83DFE">
        <w:rPr>
          <w:rFonts w:asciiTheme="minorBidi" w:hAnsiTheme="minorBidi" w:cstheme="minorBidi"/>
          <w:sz w:val="20"/>
          <w:szCs w:val="20"/>
        </w:rPr>
        <w:t xml:space="preserve">la production du phosphate brut, au lieu de 6,6% un trimestre auparavant. Les activités d’extraction des autres minerais se serait, également, améliorées quoiqu’à un rythme modéré, </w:t>
      </w:r>
      <w:bookmarkStart w:id="0" w:name="_GoBack"/>
      <w:r w:rsidR="00BF2EE4" w:rsidRPr="00E83DFE">
        <w:rPr>
          <w:rFonts w:asciiTheme="minorBidi" w:hAnsiTheme="minorBidi" w:cstheme="minorBidi"/>
          <w:sz w:val="20"/>
          <w:szCs w:val="20"/>
        </w:rPr>
        <w:t>portées</w:t>
      </w:r>
      <w:bookmarkEnd w:id="0"/>
      <w:r w:rsidR="00BF2EE4">
        <w:rPr>
          <w:rFonts w:asciiTheme="minorBidi" w:hAnsiTheme="minorBidi"/>
          <w:sz w:val="20"/>
          <w:szCs w:val="20"/>
        </w:rPr>
        <w:t xml:space="preserve"> </w:t>
      </w:r>
      <w:r w:rsidR="00BF2EE4" w:rsidRPr="00E83DFE">
        <w:rPr>
          <w:rFonts w:asciiTheme="minorBidi" w:hAnsiTheme="minorBidi" w:cstheme="minorBidi"/>
          <w:sz w:val="20"/>
          <w:szCs w:val="20"/>
        </w:rPr>
        <w:t>principalement par le raffermissement des quantités exportées des minerais du zinc (+13%) et du manganèse (+117%)</w:t>
      </w:r>
      <w:r w:rsidR="00BF2EE4">
        <w:rPr>
          <w:rFonts w:asciiTheme="minorBidi" w:hAnsiTheme="minorBidi"/>
          <w:sz w:val="20"/>
          <w:szCs w:val="20"/>
        </w:rPr>
        <w:t>,</w:t>
      </w:r>
      <w:r w:rsidR="00BF2EE4" w:rsidRPr="00E83DFE">
        <w:rPr>
          <w:rFonts w:asciiTheme="minorBidi" w:hAnsiTheme="minorBidi" w:cstheme="minorBidi"/>
          <w:sz w:val="20"/>
          <w:szCs w:val="20"/>
        </w:rPr>
        <w:t xml:space="preserve"> au cours de la même période. </w:t>
      </w:r>
    </w:p>
    <w:p w:rsidR="00BC5D66" w:rsidRPr="00E83DFE" w:rsidRDefault="00BC5D66" w:rsidP="00502E10">
      <w:pPr>
        <w:jc w:val="both"/>
        <w:rPr>
          <w:rFonts w:asciiTheme="minorBidi" w:hAnsiTheme="minorBidi" w:cstheme="minorBidi"/>
          <w:sz w:val="20"/>
          <w:szCs w:val="20"/>
        </w:rPr>
      </w:pPr>
    </w:p>
    <w:p w:rsidR="00031B9A" w:rsidRDefault="00E66042" w:rsidP="00091F3D">
      <w:pPr>
        <w:jc w:val="both"/>
        <w:rPr>
          <w:rFonts w:ascii="Arial" w:hAnsi="Arial"/>
          <w:sz w:val="20"/>
          <w:szCs w:val="20"/>
        </w:rPr>
      </w:pPr>
      <w:r>
        <w:rPr>
          <w:rFonts w:ascii="Arial" w:hAnsi="Arial" w:cs="Arial"/>
          <w:noProof/>
          <w:sz w:val="20"/>
          <w:szCs w:val="20"/>
        </w:rPr>
        <w:drawing>
          <wp:anchor distT="0" distB="0" distL="114300" distR="114300" simplePos="0" relativeHeight="251716608" behindDoc="0" locked="0" layoutInCell="1" allowOverlap="1">
            <wp:simplePos x="0" y="0"/>
            <wp:positionH relativeFrom="column">
              <wp:posOffset>4222115</wp:posOffset>
            </wp:positionH>
            <wp:positionV relativeFrom="paragraph">
              <wp:posOffset>1585595</wp:posOffset>
            </wp:positionV>
            <wp:extent cx="2390775" cy="1924050"/>
            <wp:effectExtent l="19050" t="0" r="952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390775" cy="1924050"/>
                    </a:xfrm>
                    <a:prstGeom prst="rect">
                      <a:avLst/>
                    </a:prstGeom>
                    <a:noFill/>
                    <a:ln w="9525">
                      <a:noFill/>
                      <a:miter lim="800000"/>
                      <a:headEnd/>
                      <a:tailEnd/>
                    </a:ln>
                  </pic:spPr>
                </pic:pic>
              </a:graphicData>
            </a:graphic>
          </wp:anchor>
        </w:drawing>
      </w:r>
      <w:r w:rsidR="00886AD7" w:rsidRPr="00885C94">
        <w:rPr>
          <w:rFonts w:ascii="Arial" w:hAnsi="Arial"/>
          <w:sz w:val="20"/>
          <w:szCs w:val="20"/>
        </w:rPr>
        <w:t>L</w:t>
      </w:r>
      <w:r w:rsidR="00886AD7">
        <w:rPr>
          <w:rFonts w:ascii="Arial" w:hAnsi="Arial"/>
          <w:sz w:val="20"/>
          <w:szCs w:val="20"/>
        </w:rPr>
        <w:t xml:space="preserve">e rythme de </w:t>
      </w:r>
      <w:r w:rsidR="00886AD7" w:rsidRPr="00885C94">
        <w:rPr>
          <w:rFonts w:ascii="Arial" w:hAnsi="Arial"/>
          <w:sz w:val="20"/>
          <w:szCs w:val="20"/>
        </w:rPr>
        <w:t xml:space="preserve">croissance </w:t>
      </w:r>
      <w:r w:rsidR="00886AD7">
        <w:rPr>
          <w:rFonts w:ascii="Arial" w:hAnsi="Arial"/>
          <w:sz w:val="20"/>
          <w:szCs w:val="20"/>
        </w:rPr>
        <w:t>d</w:t>
      </w:r>
      <w:r w:rsidR="00886AD7" w:rsidRPr="00885C94">
        <w:rPr>
          <w:rFonts w:ascii="Arial" w:hAnsi="Arial"/>
          <w:sz w:val="20"/>
          <w:szCs w:val="20"/>
        </w:rPr>
        <w:t xml:space="preserve">es </w:t>
      </w:r>
      <w:r w:rsidR="00886AD7" w:rsidRPr="009C06B3">
        <w:rPr>
          <w:rFonts w:ascii="Arial" w:hAnsi="Arial"/>
          <w:b/>
          <w:bCs/>
          <w:sz w:val="20"/>
          <w:szCs w:val="20"/>
        </w:rPr>
        <w:t>industries manufacturières</w:t>
      </w:r>
      <w:r w:rsidR="00886AD7" w:rsidRPr="00885C94">
        <w:rPr>
          <w:rFonts w:ascii="Arial" w:hAnsi="Arial"/>
          <w:sz w:val="20"/>
          <w:szCs w:val="20"/>
        </w:rPr>
        <w:t xml:space="preserve"> </w:t>
      </w:r>
      <w:r w:rsidR="00502E10">
        <w:rPr>
          <w:rFonts w:ascii="Arial" w:hAnsi="Arial"/>
          <w:sz w:val="20"/>
          <w:szCs w:val="20"/>
        </w:rPr>
        <w:t>aurait atteint 2,4%</w:t>
      </w:r>
      <w:r w:rsidR="00FA7019">
        <w:rPr>
          <w:rFonts w:ascii="Arial" w:hAnsi="Arial"/>
          <w:sz w:val="20"/>
          <w:szCs w:val="20"/>
        </w:rPr>
        <w:t xml:space="preserve">, </w:t>
      </w:r>
      <w:r w:rsidR="00502E10">
        <w:rPr>
          <w:rFonts w:ascii="Arial" w:hAnsi="Arial"/>
          <w:sz w:val="20"/>
          <w:szCs w:val="20"/>
        </w:rPr>
        <w:t>au premier trimestre 2017, au lieu de</w:t>
      </w:r>
      <w:r w:rsidR="00FA7019">
        <w:rPr>
          <w:rFonts w:ascii="Arial" w:hAnsi="Arial"/>
          <w:sz w:val="20"/>
          <w:szCs w:val="20"/>
        </w:rPr>
        <w:t xml:space="preserve"> 2,8%</w:t>
      </w:r>
      <w:r w:rsidR="00502E10">
        <w:rPr>
          <w:rFonts w:ascii="Arial" w:hAnsi="Arial"/>
          <w:sz w:val="20"/>
          <w:szCs w:val="20"/>
        </w:rPr>
        <w:t>,</w:t>
      </w:r>
      <w:r w:rsidR="00FA7019">
        <w:rPr>
          <w:rFonts w:ascii="Arial" w:hAnsi="Arial"/>
          <w:sz w:val="20"/>
          <w:szCs w:val="20"/>
        </w:rPr>
        <w:t xml:space="preserve"> au quatrième trimestre 2016</w:t>
      </w:r>
      <w:r w:rsidR="00886AD7" w:rsidRPr="00885C94">
        <w:rPr>
          <w:rFonts w:ascii="Arial" w:hAnsi="Arial"/>
          <w:sz w:val="20"/>
          <w:szCs w:val="20"/>
        </w:rPr>
        <w:t xml:space="preserve">. </w:t>
      </w:r>
      <w:r w:rsidR="00886AD7">
        <w:rPr>
          <w:rFonts w:ascii="Arial" w:hAnsi="Arial"/>
          <w:sz w:val="20"/>
          <w:szCs w:val="20"/>
        </w:rPr>
        <w:t xml:space="preserve">Cette évolution </w:t>
      </w:r>
      <w:r w:rsidR="00502E10">
        <w:rPr>
          <w:rFonts w:ascii="Arial" w:hAnsi="Arial"/>
          <w:sz w:val="20"/>
          <w:szCs w:val="20"/>
        </w:rPr>
        <w:t xml:space="preserve">aurait été le fait des </w:t>
      </w:r>
      <w:r w:rsidR="00886AD7" w:rsidRPr="00885C94">
        <w:rPr>
          <w:rFonts w:ascii="Arial" w:hAnsi="Arial"/>
          <w:sz w:val="20"/>
          <w:szCs w:val="20"/>
        </w:rPr>
        <w:t xml:space="preserve">performances relativement modestes des </w:t>
      </w:r>
      <w:r w:rsidR="00886AD7">
        <w:rPr>
          <w:rFonts w:ascii="Arial" w:hAnsi="Arial"/>
          <w:sz w:val="20"/>
          <w:szCs w:val="20"/>
        </w:rPr>
        <w:t>industries</w:t>
      </w:r>
      <w:r w:rsidR="00886AD7" w:rsidRPr="00885C94">
        <w:rPr>
          <w:rFonts w:ascii="Arial" w:hAnsi="Arial"/>
          <w:sz w:val="20"/>
          <w:szCs w:val="20"/>
        </w:rPr>
        <w:t xml:space="preserve"> du </w:t>
      </w:r>
      <w:r w:rsidR="00886AD7">
        <w:rPr>
          <w:rFonts w:ascii="Arial" w:hAnsi="Arial"/>
          <w:sz w:val="20"/>
          <w:szCs w:val="20"/>
        </w:rPr>
        <w:t>« </w:t>
      </w:r>
      <w:r w:rsidR="00886AD7" w:rsidRPr="00885C94">
        <w:rPr>
          <w:rFonts w:ascii="Arial" w:hAnsi="Arial"/>
          <w:sz w:val="20"/>
          <w:szCs w:val="20"/>
        </w:rPr>
        <w:t>textile</w:t>
      </w:r>
      <w:r w:rsidR="00886AD7">
        <w:rPr>
          <w:rFonts w:ascii="Arial" w:hAnsi="Arial"/>
          <w:sz w:val="20"/>
          <w:szCs w:val="20"/>
        </w:rPr>
        <w:t xml:space="preserve"> et cu</w:t>
      </w:r>
      <w:r w:rsidR="004A77BD">
        <w:rPr>
          <w:rFonts w:ascii="Arial" w:hAnsi="Arial"/>
          <w:sz w:val="20"/>
          <w:szCs w:val="20"/>
        </w:rPr>
        <w:t>ir » et des « autres industries »</w:t>
      </w:r>
      <w:r w:rsidR="00886AD7" w:rsidRPr="00885C94">
        <w:rPr>
          <w:rFonts w:ascii="Arial" w:hAnsi="Arial"/>
          <w:sz w:val="20"/>
          <w:szCs w:val="20"/>
        </w:rPr>
        <w:t xml:space="preserve">. </w:t>
      </w:r>
      <w:r w:rsidR="004029AC" w:rsidRPr="00885C94">
        <w:rPr>
          <w:rFonts w:ascii="Arial" w:hAnsi="Arial"/>
          <w:sz w:val="20"/>
          <w:szCs w:val="20"/>
        </w:rPr>
        <w:t xml:space="preserve">La branche agroalimentaire </w:t>
      </w:r>
      <w:r w:rsidR="004029AC">
        <w:rPr>
          <w:rFonts w:ascii="Arial" w:hAnsi="Arial"/>
          <w:sz w:val="20"/>
          <w:szCs w:val="20"/>
        </w:rPr>
        <w:t xml:space="preserve">aurait </w:t>
      </w:r>
      <w:r w:rsidR="004029AC" w:rsidRPr="00885C94">
        <w:rPr>
          <w:rFonts w:ascii="Arial" w:hAnsi="Arial"/>
          <w:sz w:val="20"/>
          <w:szCs w:val="20"/>
        </w:rPr>
        <w:t>enregistr</w:t>
      </w:r>
      <w:r w:rsidR="004029AC">
        <w:rPr>
          <w:rFonts w:ascii="Arial" w:hAnsi="Arial"/>
          <w:sz w:val="20"/>
          <w:szCs w:val="20"/>
        </w:rPr>
        <w:t xml:space="preserve">é </w:t>
      </w:r>
      <w:r w:rsidR="004029AC" w:rsidRPr="00885C94">
        <w:rPr>
          <w:rFonts w:ascii="Arial" w:hAnsi="Arial"/>
          <w:sz w:val="20"/>
          <w:szCs w:val="20"/>
        </w:rPr>
        <w:t xml:space="preserve">une hausse de </w:t>
      </w:r>
      <w:r w:rsidR="004029AC">
        <w:rPr>
          <w:rFonts w:ascii="Arial" w:hAnsi="Arial"/>
          <w:sz w:val="20"/>
          <w:szCs w:val="20"/>
        </w:rPr>
        <w:t>3</w:t>
      </w:r>
      <w:r w:rsidR="004029AC" w:rsidRPr="00885C94">
        <w:rPr>
          <w:rFonts w:ascii="Arial" w:hAnsi="Arial"/>
          <w:sz w:val="20"/>
          <w:szCs w:val="20"/>
        </w:rPr>
        <w:t>,</w:t>
      </w:r>
      <w:r w:rsidR="004029AC">
        <w:rPr>
          <w:rFonts w:ascii="Arial" w:hAnsi="Arial"/>
          <w:sz w:val="20"/>
          <w:szCs w:val="20"/>
        </w:rPr>
        <w:t>4</w:t>
      </w:r>
      <w:r w:rsidR="004029AC" w:rsidRPr="00885C94">
        <w:rPr>
          <w:rFonts w:ascii="Arial" w:hAnsi="Arial"/>
          <w:sz w:val="20"/>
          <w:szCs w:val="20"/>
        </w:rPr>
        <w:t>%, consolidant</w:t>
      </w:r>
      <w:r w:rsidR="004029AC">
        <w:rPr>
          <w:rFonts w:ascii="Arial" w:hAnsi="Arial"/>
          <w:sz w:val="20"/>
          <w:szCs w:val="20"/>
        </w:rPr>
        <w:t>,</w:t>
      </w:r>
      <w:r w:rsidR="004029AC" w:rsidRPr="00885C94">
        <w:rPr>
          <w:rFonts w:ascii="Arial" w:hAnsi="Arial"/>
          <w:sz w:val="20"/>
          <w:szCs w:val="20"/>
        </w:rPr>
        <w:t xml:space="preserve"> ainsi</w:t>
      </w:r>
      <w:r w:rsidR="004029AC">
        <w:rPr>
          <w:rFonts w:ascii="Arial" w:hAnsi="Arial"/>
          <w:sz w:val="20"/>
          <w:szCs w:val="20"/>
        </w:rPr>
        <w:t>,</w:t>
      </w:r>
      <w:r w:rsidR="004029AC" w:rsidRPr="00885C94">
        <w:rPr>
          <w:rFonts w:ascii="Arial" w:hAnsi="Arial"/>
          <w:sz w:val="20"/>
          <w:szCs w:val="20"/>
        </w:rPr>
        <w:t xml:space="preserve"> sa reprise amorcée à fin 2016</w:t>
      </w:r>
      <w:r w:rsidR="004029AC">
        <w:rPr>
          <w:rFonts w:ascii="Arial" w:hAnsi="Arial"/>
          <w:sz w:val="20"/>
          <w:szCs w:val="20"/>
        </w:rPr>
        <w:t>,</w:t>
      </w:r>
      <w:r w:rsidR="004029AC" w:rsidRPr="00885C94">
        <w:rPr>
          <w:rFonts w:ascii="Arial" w:hAnsi="Arial"/>
          <w:sz w:val="20"/>
          <w:szCs w:val="20"/>
        </w:rPr>
        <w:t xml:space="preserve"> mais sans pour autant atteindre les rythmes soutenus </w:t>
      </w:r>
      <w:r w:rsidR="004029AC">
        <w:rPr>
          <w:rFonts w:ascii="Arial" w:hAnsi="Arial"/>
          <w:sz w:val="20"/>
          <w:szCs w:val="20"/>
        </w:rPr>
        <w:t>d’avant 2016</w:t>
      </w:r>
      <w:r w:rsidR="004029AC" w:rsidRPr="00885C94">
        <w:rPr>
          <w:rFonts w:ascii="Arial" w:hAnsi="Arial"/>
          <w:sz w:val="20"/>
          <w:szCs w:val="20"/>
        </w:rPr>
        <w:t xml:space="preserve">. </w:t>
      </w:r>
      <w:r w:rsidR="004029AC">
        <w:rPr>
          <w:rFonts w:ascii="Arial" w:hAnsi="Arial"/>
          <w:sz w:val="20"/>
          <w:szCs w:val="20"/>
        </w:rPr>
        <w:t>En revanche, la croissance des</w:t>
      </w:r>
      <w:r w:rsidR="004029AC" w:rsidRPr="00885C94">
        <w:rPr>
          <w:rFonts w:ascii="Arial" w:hAnsi="Arial"/>
          <w:sz w:val="20"/>
          <w:szCs w:val="20"/>
        </w:rPr>
        <w:t xml:space="preserve"> industries chimiques et para</w:t>
      </w:r>
      <w:r w:rsidR="004029AC">
        <w:rPr>
          <w:rFonts w:ascii="Arial" w:hAnsi="Arial"/>
          <w:sz w:val="20"/>
          <w:szCs w:val="20"/>
        </w:rPr>
        <w:t>-</w:t>
      </w:r>
      <w:r w:rsidR="004029AC" w:rsidRPr="00885C94">
        <w:rPr>
          <w:rFonts w:ascii="Arial" w:hAnsi="Arial"/>
          <w:sz w:val="20"/>
          <w:szCs w:val="20"/>
        </w:rPr>
        <w:t>chimiques</w:t>
      </w:r>
      <w:r w:rsidR="004029AC">
        <w:rPr>
          <w:rFonts w:ascii="Arial" w:hAnsi="Arial"/>
          <w:sz w:val="20"/>
          <w:szCs w:val="20"/>
        </w:rPr>
        <w:t xml:space="preserve"> serait restée soutenue (+</w:t>
      </w:r>
      <w:r w:rsidR="004029AC" w:rsidRPr="00885C94">
        <w:rPr>
          <w:rFonts w:ascii="Arial" w:hAnsi="Arial"/>
          <w:sz w:val="20"/>
          <w:szCs w:val="20"/>
        </w:rPr>
        <w:t>5,1%</w:t>
      </w:r>
      <w:r w:rsidR="004029AC">
        <w:rPr>
          <w:rFonts w:ascii="Arial" w:hAnsi="Arial"/>
          <w:sz w:val="20"/>
          <w:szCs w:val="20"/>
        </w:rPr>
        <w:t xml:space="preserve">) et celle </w:t>
      </w:r>
      <w:r w:rsidR="00886AD7">
        <w:rPr>
          <w:rFonts w:ascii="Arial" w:hAnsi="Arial"/>
          <w:sz w:val="20"/>
          <w:szCs w:val="20"/>
        </w:rPr>
        <w:t>d</w:t>
      </w:r>
      <w:r w:rsidR="004029AC">
        <w:rPr>
          <w:rFonts w:ascii="Arial" w:hAnsi="Arial"/>
          <w:sz w:val="20"/>
          <w:szCs w:val="20"/>
        </w:rPr>
        <w:t xml:space="preserve">es IMME aurait atteint </w:t>
      </w:r>
      <w:r w:rsidR="00886AD7" w:rsidRPr="00885C94">
        <w:rPr>
          <w:rFonts w:ascii="Arial" w:hAnsi="Arial"/>
          <w:sz w:val="20"/>
          <w:szCs w:val="20"/>
        </w:rPr>
        <w:t xml:space="preserve">3,2% en </w:t>
      </w:r>
      <w:r w:rsidR="00091F3D">
        <w:rPr>
          <w:rFonts w:ascii="Arial" w:hAnsi="Arial"/>
          <w:sz w:val="20"/>
          <w:szCs w:val="20"/>
        </w:rPr>
        <w:t>rythme annuel</w:t>
      </w:r>
      <w:r w:rsidR="00886AD7" w:rsidRPr="00885C94">
        <w:rPr>
          <w:rFonts w:ascii="Arial" w:hAnsi="Arial"/>
          <w:sz w:val="20"/>
          <w:szCs w:val="20"/>
        </w:rPr>
        <w:t xml:space="preserve">, dans le sillage d’une demande extérieure </w:t>
      </w:r>
      <w:r w:rsidR="00886AD7">
        <w:rPr>
          <w:rFonts w:ascii="Arial" w:hAnsi="Arial"/>
          <w:sz w:val="20"/>
          <w:szCs w:val="20"/>
        </w:rPr>
        <w:t>bien</w:t>
      </w:r>
      <w:r w:rsidR="00886AD7" w:rsidRPr="00885C94">
        <w:rPr>
          <w:rFonts w:ascii="Arial" w:hAnsi="Arial"/>
          <w:sz w:val="20"/>
          <w:szCs w:val="20"/>
        </w:rPr>
        <w:t xml:space="preserve"> orientée, notamment pour les </w:t>
      </w:r>
      <w:r w:rsidR="00886AD7">
        <w:rPr>
          <w:rFonts w:ascii="Arial" w:hAnsi="Arial"/>
          <w:sz w:val="20"/>
          <w:szCs w:val="20"/>
        </w:rPr>
        <w:t>composants électroniques et l’aéronautique</w:t>
      </w:r>
      <w:r w:rsidR="00886AD7" w:rsidRPr="00885C94">
        <w:rPr>
          <w:rFonts w:ascii="Arial" w:hAnsi="Arial"/>
          <w:sz w:val="20"/>
          <w:szCs w:val="20"/>
        </w:rPr>
        <w:t xml:space="preserve"> (</w:t>
      </w:r>
      <w:r w:rsidR="00886AD7">
        <w:rPr>
          <w:rFonts w:ascii="Arial" w:hAnsi="Arial"/>
          <w:sz w:val="20"/>
          <w:szCs w:val="20"/>
        </w:rPr>
        <w:t>+</w:t>
      </w:r>
      <w:r w:rsidR="001A33DE">
        <w:rPr>
          <w:rFonts w:ascii="Arial" w:hAnsi="Arial"/>
          <w:sz w:val="20"/>
          <w:szCs w:val="20"/>
        </w:rPr>
        <w:t>8</w:t>
      </w:r>
      <w:r w:rsidR="00886AD7">
        <w:rPr>
          <w:rFonts w:ascii="Arial" w:hAnsi="Arial"/>
          <w:sz w:val="20"/>
          <w:szCs w:val="20"/>
        </w:rPr>
        <w:t>,</w:t>
      </w:r>
      <w:r w:rsidR="001A33DE">
        <w:rPr>
          <w:rFonts w:ascii="Arial" w:hAnsi="Arial"/>
          <w:sz w:val="20"/>
          <w:szCs w:val="20"/>
        </w:rPr>
        <w:t>3</w:t>
      </w:r>
      <w:r w:rsidR="00886AD7" w:rsidRPr="00885C94">
        <w:rPr>
          <w:rFonts w:ascii="Arial" w:hAnsi="Arial"/>
          <w:sz w:val="20"/>
          <w:szCs w:val="20"/>
        </w:rPr>
        <w:t xml:space="preserve">% </w:t>
      </w:r>
      <w:r w:rsidR="00886AD7">
        <w:rPr>
          <w:rFonts w:ascii="Arial" w:hAnsi="Arial"/>
          <w:sz w:val="20"/>
          <w:szCs w:val="20"/>
        </w:rPr>
        <w:t xml:space="preserve">et </w:t>
      </w:r>
      <w:r w:rsidR="001A33DE">
        <w:rPr>
          <w:rFonts w:ascii="Arial" w:hAnsi="Arial"/>
          <w:sz w:val="20"/>
          <w:szCs w:val="20"/>
        </w:rPr>
        <w:t>+6</w:t>
      </w:r>
      <w:r w:rsidR="00886AD7">
        <w:rPr>
          <w:rFonts w:ascii="Arial" w:hAnsi="Arial"/>
          <w:sz w:val="20"/>
          <w:szCs w:val="20"/>
        </w:rPr>
        <w:t>,</w:t>
      </w:r>
      <w:r w:rsidR="001A33DE">
        <w:rPr>
          <w:rFonts w:ascii="Arial" w:hAnsi="Arial"/>
          <w:sz w:val="20"/>
          <w:szCs w:val="20"/>
        </w:rPr>
        <w:t>7</w:t>
      </w:r>
      <w:r w:rsidR="00886AD7">
        <w:rPr>
          <w:rFonts w:ascii="Arial" w:hAnsi="Arial"/>
          <w:sz w:val="20"/>
          <w:szCs w:val="20"/>
        </w:rPr>
        <w:t>%, respectivement, à fin février 2017</w:t>
      </w:r>
      <w:r w:rsidR="00886AD7" w:rsidRPr="00885C94">
        <w:rPr>
          <w:rFonts w:ascii="Arial" w:hAnsi="Arial"/>
          <w:sz w:val="20"/>
          <w:szCs w:val="20"/>
        </w:rPr>
        <w:t xml:space="preserve">). </w:t>
      </w:r>
    </w:p>
    <w:p w:rsidR="00886AD7" w:rsidRPr="00885C94" w:rsidRDefault="00886AD7" w:rsidP="00886AD7">
      <w:pPr>
        <w:jc w:val="both"/>
        <w:rPr>
          <w:rFonts w:ascii="Arial" w:hAnsi="Arial"/>
          <w:sz w:val="20"/>
          <w:szCs w:val="20"/>
        </w:rPr>
      </w:pPr>
    </w:p>
    <w:p w:rsidR="003C5DB4" w:rsidRPr="0016468E" w:rsidRDefault="007033B8" w:rsidP="007033B8">
      <w:pPr>
        <w:jc w:val="both"/>
        <w:rPr>
          <w:rFonts w:asciiTheme="minorBidi" w:hAnsiTheme="minorBidi" w:cstheme="minorBidi"/>
          <w:sz w:val="20"/>
          <w:szCs w:val="20"/>
        </w:rPr>
      </w:pPr>
      <w:r>
        <w:rPr>
          <w:rFonts w:asciiTheme="minorBidi" w:hAnsiTheme="minorBidi" w:cstheme="minorBidi"/>
          <w:sz w:val="20"/>
          <w:szCs w:val="20"/>
        </w:rPr>
        <w:t>Les activités de</w:t>
      </w:r>
      <w:r w:rsidR="003C5DB4" w:rsidRPr="0016468E">
        <w:rPr>
          <w:rFonts w:asciiTheme="minorBidi" w:hAnsiTheme="minorBidi" w:cstheme="minorBidi"/>
          <w:sz w:val="20"/>
          <w:szCs w:val="20"/>
        </w:rPr>
        <w:t xml:space="preserve"> </w:t>
      </w:r>
      <w:r w:rsidR="003C5DB4" w:rsidRPr="0016468E">
        <w:rPr>
          <w:rFonts w:asciiTheme="minorBidi" w:hAnsiTheme="minorBidi" w:cstheme="minorBidi"/>
          <w:b/>
          <w:bCs/>
          <w:sz w:val="20"/>
          <w:szCs w:val="20"/>
        </w:rPr>
        <w:t>construction</w:t>
      </w:r>
      <w:r w:rsidR="003C5DB4" w:rsidRPr="0016468E">
        <w:rPr>
          <w:rFonts w:asciiTheme="minorBidi" w:hAnsiTheme="minorBidi" w:cstheme="minorBidi"/>
          <w:sz w:val="20"/>
          <w:szCs w:val="20"/>
        </w:rPr>
        <w:t xml:space="preserve"> </w:t>
      </w:r>
      <w:r w:rsidR="003C5DB4" w:rsidRPr="00CC7E35">
        <w:rPr>
          <w:rFonts w:asciiTheme="minorBidi" w:hAnsiTheme="minorBidi" w:cstheme="minorBidi"/>
          <w:sz w:val="20"/>
          <w:szCs w:val="20"/>
        </w:rPr>
        <w:t>aurai</w:t>
      </w:r>
      <w:r>
        <w:rPr>
          <w:rFonts w:asciiTheme="minorBidi" w:hAnsiTheme="minorBidi" w:cstheme="minorBidi"/>
          <w:sz w:val="20"/>
          <w:szCs w:val="20"/>
        </w:rPr>
        <w:t>en</w:t>
      </w:r>
      <w:r w:rsidR="003C5DB4" w:rsidRPr="00CC7E35">
        <w:rPr>
          <w:rFonts w:asciiTheme="minorBidi" w:hAnsiTheme="minorBidi" w:cstheme="minorBidi"/>
          <w:sz w:val="20"/>
          <w:szCs w:val="20"/>
        </w:rPr>
        <w:t xml:space="preserve">t </w:t>
      </w:r>
      <w:r w:rsidR="003C5DB4">
        <w:rPr>
          <w:rFonts w:asciiTheme="minorBidi" w:hAnsiTheme="minorBidi" w:cstheme="minorBidi"/>
          <w:sz w:val="20"/>
          <w:szCs w:val="20"/>
        </w:rPr>
        <w:t xml:space="preserve">poursuivi </w:t>
      </w:r>
      <w:r>
        <w:rPr>
          <w:rFonts w:asciiTheme="minorBidi" w:hAnsiTheme="minorBidi" w:cstheme="minorBidi"/>
          <w:sz w:val="20"/>
          <w:szCs w:val="20"/>
        </w:rPr>
        <w:t>leur</w:t>
      </w:r>
      <w:r w:rsidR="003C5DB4">
        <w:rPr>
          <w:rFonts w:asciiTheme="minorBidi" w:hAnsiTheme="minorBidi" w:cstheme="minorBidi"/>
          <w:sz w:val="20"/>
          <w:szCs w:val="20"/>
        </w:rPr>
        <w:t xml:space="preserve"> </w:t>
      </w:r>
      <w:r>
        <w:rPr>
          <w:rFonts w:asciiTheme="minorBidi" w:hAnsiTheme="minorBidi" w:cstheme="minorBidi"/>
          <w:sz w:val="20"/>
          <w:szCs w:val="20"/>
        </w:rPr>
        <w:t>évolution</w:t>
      </w:r>
      <w:r w:rsidR="003C5DB4">
        <w:rPr>
          <w:rFonts w:asciiTheme="minorBidi" w:hAnsiTheme="minorBidi" w:cstheme="minorBidi"/>
          <w:sz w:val="20"/>
          <w:szCs w:val="20"/>
        </w:rPr>
        <w:t xml:space="preserve"> modérée, au premier trimestre 2017</w:t>
      </w:r>
      <w:r w:rsidR="00C424A4">
        <w:rPr>
          <w:rFonts w:asciiTheme="minorBidi" w:hAnsiTheme="minorBidi" w:cstheme="minorBidi"/>
          <w:sz w:val="20"/>
          <w:szCs w:val="20"/>
        </w:rPr>
        <w:t>, affichant une hausse de 0,8%</w:t>
      </w:r>
      <w:r w:rsidR="003C5DB4">
        <w:rPr>
          <w:rFonts w:asciiTheme="minorBidi" w:hAnsiTheme="minorBidi" w:cstheme="minorBidi"/>
          <w:sz w:val="20"/>
          <w:szCs w:val="20"/>
        </w:rPr>
        <w:t>,</w:t>
      </w:r>
      <w:r w:rsidR="003C5DB4" w:rsidRPr="00CC7E35">
        <w:rPr>
          <w:rFonts w:asciiTheme="minorBidi" w:hAnsiTheme="minorBidi" w:cstheme="minorBidi"/>
          <w:sz w:val="20"/>
          <w:szCs w:val="20"/>
        </w:rPr>
        <w:t xml:space="preserve"> en variation annuelle, </w:t>
      </w:r>
      <w:r w:rsidR="00E73CCF">
        <w:rPr>
          <w:rFonts w:asciiTheme="minorBidi" w:hAnsiTheme="minorBidi" w:cstheme="minorBidi"/>
          <w:sz w:val="20"/>
          <w:szCs w:val="20"/>
        </w:rPr>
        <w:t>au lieu de 2,3%, une année auparavant</w:t>
      </w:r>
      <w:r w:rsidR="003C5DB4" w:rsidRPr="00CC7E35">
        <w:rPr>
          <w:rFonts w:asciiTheme="minorBidi" w:hAnsiTheme="minorBidi" w:cstheme="minorBidi"/>
          <w:sz w:val="20"/>
          <w:szCs w:val="20"/>
        </w:rPr>
        <w:t>.</w:t>
      </w:r>
      <w:r w:rsidR="003C5DB4" w:rsidRPr="0016468E">
        <w:rPr>
          <w:rFonts w:asciiTheme="minorBidi" w:hAnsiTheme="minorBidi" w:cstheme="minorBidi"/>
          <w:sz w:val="20"/>
          <w:szCs w:val="20"/>
        </w:rPr>
        <w:t xml:space="preserve"> </w:t>
      </w:r>
      <w:r w:rsidR="001F10DB">
        <w:rPr>
          <w:rFonts w:asciiTheme="minorBidi" w:hAnsiTheme="minorBidi" w:cstheme="minorBidi"/>
          <w:sz w:val="20"/>
          <w:szCs w:val="20"/>
        </w:rPr>
        <w:t>L</w:t>
      </w:r>
      <w:r w:rsidR="003C5DB4" w:rsidRPr="0016468E">
        <w:rPr>
          <w:rFonts w:asciiTheme="minorBidi" w:hAnsiTheme="minorBidi" w:cstheme="minorBidi"/>
          <w:sz w:val="20"/>
          <w:szCs w:val="20"/>
        </w:rPr>
        <w:t xml:space="preserve">es ventes </w:t>
      </w:r>
      <w:r w:rsidR="003C5DB4">
        <w:rPr>
          <w:rFonts w:asciiTheme="minorBidi" w:hAnsiTheme="minorBidi" w:cstheme="minorBidi"/>
          <w:sz w:val="20"/>
          <w:szCs w:val="20"/>
        </w:rPr>
        <w:t xml:space="preserve">de ciment </w:t>
      </w:r>
      <w:r w:rsidR="00E73CCF">
        <w:rPr>
          <w:rFonts w:asciiTheme="minorBidi" w:hAnsiTheme="minorBidi" w:cstheme="minorBidi"/>
          <w:sz w:val="20"/>
          <w:szCs w:val="20"/>
        </w:rPr>
        <w:t>auraient poursuivi leur baisse</w:t>
      </w:r>
      <w:r w:rsidR="003C5DB4" w:rsidRPr="0016468E">
        <w:rPr>
          <w:rFonts w:asciiTheme="minorBidi" w:hAnsiTheme="minorBidi" w:cstheme="minorBidi"/>
          <w:sz w:val="20"/>
          <w:szCs w:val="20"/>
        </w:rPr>
        <w:t xml:space="preserve">, </w:t>
      </w:r>
      <w:r w:rsidR="001F10DB">
        <w:rPr>
          <w:rFonts w:asciiTheme="minorBidi" w:hAnsiTheme="minorBidi" w:cstheme="minorBidi"/>
          <w:sz w:val="20"/>
          <w:szCs w:val="20"/>
        </w:rPr>
        <w:t xml:space="preserve">après </w:t>
      </w:r>
      <w:r>
        <w:rPr>
          <w:rFonts w:asciiTheme="minorBidi" w:hAnsiTheme="minorBidi" w:cstheme="minorBidi"/>
          <w:sz w:val="20"/>
          <w:szCs w:val="20"/>
        </w:rPr>
        <w:t>s’être repliées</w:t>
      </w:r>
      <w:r w:rsidR="001F10DB">
        <w:rPr>
          <w:rFonts w:asciiTheme="minorBidi" w:hAnsiTheme="minorBidi" w:cstheme="minorBidi"/>
          <w:sz w:val="20"/>
          <w:szCs w:val="20"/>
        </w:rPr>
        <w:t xml:space="preserve"> </w:t>
      </w:r>
      <w:r w:rsidR="003C5DB4">
        <w:rPr>
          <w:rFonts w:asciiTheme="minorBidi" w:hAnsiTheme="minorBidi" w:cstheme="minorBidi"/>
          <w:sz w:val="20"/>
          <w:szCs w:val="20"/>
        </w:rPr>
        <w:t xml:space="preserve">de </w:t>
      </w:r>
      <w:r w:rsidR="003C5DB4" w:rsidRPr="0016468E">
        <w:rPr>
          <w:rFonts w:asciiTheme="minorBidi" w:hAnsiTheme="minorBidi" w:cstheme="minorBidi"/>
          <w:sz w:val="20"/>
          <w:szCs w:val="20"/>
        </w:rPr>
        <w:t xml:space="preserve">1,6% le trimestre précédent. </w:t>
      </w:r>
      <w:r w:rsidR="003C5DB4" w:rsidRPr="00CC7E35">
        <w:rPr>
          <w:rFonts w:asciiTheme="minorBidi" w:hAnsiTheme="minorBidi" w:cstheme="minorBidi"/>
          <w:sz w:val="20"/>
          <w:szCs w:val="20"/>
        </w:rPr>
        <w:t>Les anticipations des professionnels du secteur</w:t>
      </w:r>
      <w:r w:rsidR="003C5DB4">
        <w:rPr>
          <w:rFonts w:asciiTheme="minorBidi" w:hAnsiTheme="minorBidi" w:cstheme="minorBidi"/>
          <w:sz w:val="20"/>
          <w:szCs w:val="20"/>
        </w:rPr>
        <w:t>,</w:t>
      </w:r>
      <w:r w:rsidR="003C5DB4" w:rsidRPr="00CC7E35">
        <w:rPr>
          <w:rFonts w:asciiTheme="minorBidi" w:hAnsiTheme="minorBidi" w:cstheme="minorBidi"/>
          <w:sz w:val="20"/>
          <w:szCs w:val="20"/>
        </w:rPr>
        <w:t xml:space="preserve"> </w:t>
      </w:r>
      <w:r w:rsidR="003C5DB4" w:rsidRPr="00315466">
        <w:rPr>
          <w:rFonts w:asciiTheme="minorBidi" w:hAnsiTheme="minorBidi" w:cstheme="minorBidi"/>
          <w:sz w:val="20"/>
          <w:szCs w:val="20"/>
        </w:rPr>
        <w:t xml:space="preserve">dans le cadre de la dernière enquête de conjoncture du HCP, </w:t>
      </w:r>
      <w:r w:rsidR="003C5DB4">
        <w:rPr>
          <w:rFonts w:asciiTheme="minorBidi" w:hAnsiTheme="minorBidi" w:cstheme="minorBidi"/>
          <w:sz w:val="20"/>
          <w:szCs w:val="20"/>
        </w:rPr>
        <w:t xml:space="preserve">auraient </w:t>
      </w:r>
      <w:r w:rsidR="003C5DB4" w:rsidRPr="00CC7E35">
        <w:rPr>
          <w:rFonts w:asciiTheme="minorBidi" w:hAnsiTheme="minorBidi" w:cstheme="minorBidi"/>
          <w:sz w:val="20"/>
          <w:szCs w:val="20"/>
        </w:rPr>
        <w:t>confirm</w:t>
      </w:r>
      <w:r w:rsidR="003C5DB4">
        <w:rPr>
          <w:rFonts w:asciiTheme="minorBidi" w:hAnsiTheme="minorBidi" w:cstheme="minorBidi"/>
          <w:sz w:val="20"/>
          <w:szCs w:val="20"/>
        </w:rPr>
        <w:t>é</w:t>
      </w:r>
      <w:r w:rsidR="003C5DB4" w:rsidRPr="00CC7E35">
        <w:rPr>
          <w:rFonts w:asciiTheme="minorBidi" w:hAnsiTheme="minorBidi" w:cstheme="minorBidi"/>
          <w:sz w:val="20"/>
          <w:szCs w:val="20"/>
        </w:rPr>
        <w:t xml:space="preserve"> </w:t>
      </w:r>
      <w:r w:rsidR="003C5DB4">
        <w:rPr>
          <w:rFonts w:asciiTheme="minorBidi" w:hAnsiTheme="minorBidi" w:cstheme="minorBidi"/>
          <w:sz w:val="20"/>
          <w:szCs w:val="20"/>
        </w:rPr>
        <w:t>cette évolution </w:t>
      </w:r>
      <w:r w:rsidR="001F10DB">
        <w:rPr>
          <w:rFonts w:asciiTheme="minorBidi" w:hAnsiTheme="minorBidi" w:cstheme="minorBidi"/>
          <w:sz w:val="20"/>
          <w:szCs w:val="20"/>
        </w:rPr>
        <w:t xml:space="preserve">modérée </w:t>
      </w:r>
      <w:r w:rsidR="003C5DB4">
        <w:rPr>
          <w:rFonts w:asciiTheme="minorBidi" w:hAnsiTheme="minorBidi" w:cstheme="minorBidi"/>
          <w:sz w:val="20"/>
          <w:szCs w:val="20"/>
        </w:rPr>
        <w:t>:</w:t>
      </w:r>
      <w:r w:rsidR="003C5DB4" w:rsidRPr="0016468E">
        <w:rPr>
          <w:rFonts w:asciiTheme="minorBidi" w:hAnsiTheme="minorBidi" w:cstheme="minorBidi"/>
          <w:sz w:val="20"/>
          <w:szCs w:val="20"/>
        </w:rPr>
        <w:t xml:space="preserve"> les carnets de commandes des entrepreneurs du bâtiment </w:t>
      </w:r>
      <w:r w:rsidR="00E73CCF">
        <w:rPr>
          <w:rFonts w:asciiTheme="minorBidi" w:hAnsiTheme="minorBidi" w:cstheme="minorBidi"/>
          <w:sz w:val="20"/>
          <w:szCs w:val="20"/>
        </w:rPr>
        <w:t>n’</w:t>
      </w:r>
      <w:r w:rsidR="003C5DB4">
        <w:rPr>
          <w:rFonts w:asciiTheme="minorBidi" w:hAnsiTheme="minorBidi" w:cstheme="minorBidi"/>
          <w:sz w:val="20"/>
          <w:szCs w:val="20"/>
        </w:rPr>
        <w:t>au</w:t>
      </w:r>
      <w:r w:rsidR="003C5DB4" w:rsidRPr="0016468E">
        <w:rPr>
          <w:rFonts w:asciiTheme="minorBidi" w:hAnsiTheme="minorBidi" w:cstheme="minorBidi"/>
          <w:sz w:val="20"/>
          <w:szCs w:val="20"/>
        </w:rPr>
        <w:t xml:space="preserve">raient </w:t>
      </w:r>
      <w:r w:rsidR="00E73CCF">
        <w:rPr>
          <w:rFonts w:asciiTheme="minorBidi" w:hAnsiTheme="minorBidi" w:cstheme="minorBidi"/>
          <w:sz w:val="20"/>
          <w:szCs w:val="20"/>
        </w:rPr>
        <w:t xml:space="preserve">pas dépassé leur niveau moyen, entrainant </w:t>
      </w:r>
      <w:r w:rsidR="003C5DB4" w:rsidRPr="0016468E">
        <w:rPr>
          <w:rFonts w:asciiTheme="minorBidi" w:hAnsiTheme="minorBidi" w:cstheme="minorBidi"/>
          <w:sz w:val="20"/>
          <w:szCs w:val="20"/>
        </w:rPr>
        <w:t>une</w:t>
      </w:r>
      <w:r w:rsidR="001F10DB">
        <w:rPr>
          <w:rFonts w:asciiTheme="minorBidi" w:hAnsiTheme="minorBidi" w:cstheme="minorBidi"/>
          <w:sz w:val="20"/>
          <w:szCs w:val="20"/>
        </w:rPr>
        <w:t xml:space="preserve"> faible </w:t>
      </w:r>
      <w:r w:rsidR="00E73CCF">
        <w:rPr>
          <w:rFonts w:asciiTheme="minorBidi" w:hAnsiTheme="minorBidi" w:cstheme="minorBidi"/>
          <w:sz w:val="20"/>
          <w:szCs w:val="20"/>
        </w:rPr>
        <w:t>utilisation</w:t>
      </w:r>
      <w:r w:rsidR="003C5DB4" w:rsidRPr="0016468E">
        <w:rPr>
          <w:rFonts w:asciiTheme="minorBidi" w:hAnsiTheme="minorBidi" w:cstheme="minorBidi"/>
          <w:sz w:val="20"/>
          <w:szCs w:val="20"/>
        </w:rPr>
        <w:t xml:space="preserve"> des facteurs de production</w:t>
      </w:r>
      <w:r w:rsidR="006211E2">
        <w:rPr>
          <w:rFonts w:asciiTheme="minorBidi" w:hAnsiTheme="minorBidi" w:cstheme="minorBidi"/>
          <w:sz w:val="20"/>
          <w:szCs w:val="20"/>
        </w:rPr>
        <w:t xml:space="preserve"> et de la main</w:t>
      </w:r>
      <w:r w:rsidR="00E65E35">
        <w:rPr>
          <w:rFonts w:asciiTheme="minorBidi" w:hAnsiTheme="minorBidi" w:cstheme="minorBidi"/>
          <w:sz w:val="20"/>
          <w:szCs w:val="20"/>
        </w:rPr>
        <w:t>-</w:t>
      </w:r>
      <w:r w:rsidR="006211E2">
        <w:rPr>
          <w:rFonts w:asciiTheme="minorBidi" w:hAnsiTheme="minorBidi" w:cstheme="minorBidi"/>
          <w:sz w:val="20"/>
          <w:szCs w:val="20"/>
        </w:rPr>
        <w:t>d’</w:t>
      </w:r>
      <w:r w:rsidR="007322CD">
        <w:rPr>
          <w:rFonts w:asciiTheme="minorBidi" w:hAnsiTheme="minorBidi" w:cstheme="minorBidi"/>
          <w:sz w:val="20"/>
          <w:szCs w:val="20"/>
        </w:rPr>
        <w:t>œuvre</w:t>
      </w:r>
      <w:r w:rsidR="003C5DB4" w:rsidRPr="0016468E">
        <w:rPr>
          <w:rFonts w:asciiTheme="minorBidi" w:hAnsiTheme="minorBidi" w:cstheme="minorBidi"/>
          <w:sz w:val="20"/>
          <w:szCs w:val="20"/>
        </w:rPr>
        <w:t xml:space="preserve">. </w:t>
      </w:r>
    </w:p>
    <w:p w:rsidR="00BA0371" w:rsidRPr="00CB3F01" w:rsidRDefault="00BA0371" w:rsidP="006C5037">
      <w:pPr>
        <w:autoSpaceDE w:val="0"/>
        <w:autoSpaceDN w:val="0"/>
        <w:adjustRightInd w:val="0"/>
        <w:jc w:val="both"/>
        <w:rPr>
          <w:rFonts w:asciiTheme="minorBidi" w:hAnsiTheme="minorBidi" w:cstheme="minorBidi"/>
        </w:rPr>
      </w:pPr>
    </w:p>
    <w:p w:rsidR="00E73CCF" w:rsidRDefault="00E73CCF" w:rsidP="00847D80">
      <w:pPr>
        <w:pStyle w:val="NormalWeb"/>
        <w:spacing w:before="0" w:beforeAutospacing="0" w:after="0" w:afterAutospacing="0"/>
        <w:jc w:val="both"/>
        <w:rPr>
          <w:rFonts w:ascii="Arial" w:hAnsi="Arial" w:cs="Arial"/>
          <w:sz w:val="20"/>
          <w:szCs w:val="20"/>
        </w:rPr>
      </w:pPr>
    </w:p>
    <w:p w:rsidR="0097276B" w:rsidRDefault="0097276B" w:rsidP="001F1859">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Globalement et compte tenu des indicateurs collectés jusqu’à fin </w:t>
      </w:r>
      <w:r w:rsidR="002028D3">
        <w:rPr>
          <w:rFonts w:ascii="Arial" w:hAnsi="Arial" w:cs="Arial"/>
          <w:sz w:val="20"/>
          <w:szCs w:val="20"/>
        </w:rPr>
        <w:t>février</w:t>
      </w:r>
      <w:r w:rsidR="00205484">
        <w:rPr>
          <w:rFonts w:ascii="Arial" w:hAnsi="Arial" w:cs="Arial"/>
          <w:sz w:val="20"/>
          <w:szCs w:val="20"/>
        </w:rPr>
        <w:t xml:space="preserve"> </w:t>
      </w:r>
      <w:r>
        <w:rPr>
          <w:rFonts w:ascii="Arial" w:hAnsi="Arial" w:cs="Arial"/>
          <w:sz w:val="20"/>
          <w:szCs w:val="20"/>
        </w:rPr>
        <w:t>201</w:t>
      </w:r>
      <w:r w:rsidR="002028D3">
        <w:rPr>
          <w:rFonts w:ascii="Arial" w:hAnsi="Arial" w:cs="Arial"/>
          <w:sz w:val="20"/>
          <w:szCs w:val="20"/>
        </w:rPr>
        <w:t>7</w:t>
      </w:r>
      <w:r>
        <w:rPr>
          <w:rFonts w:ascii="Arial" w:hAnsi="Arial" w:cs="Arial"/>
          <w:sz w:val="20"/>
          <w:szCs w:val="20"/>
        </w:rPr>
        <w:t xml:space="preserve">, ainsi que des estimations sectorielles établies pour le </w:t>
      </w:r>
      <w:r w:rsidR="002028D3">
        <w:rPr>
          <w:rFonts w:ascii="Arial" w:hAnsi="Arial" w:cs="Arial"/>
          <w:sz w:val="20"/>
          <w:szCs w:val="20"/>
        </w:rPr>
        <w:t>premier</w:t>
      </w:r>
      <w:r>
        <w:rPr>
          <w:rFonts w:ascii="Arial" w:hAnsi="Arial" w:cs="Arial"/>
          <w:sz w:val="20"/>
          <w:szCs w:val="20"/>
        </w:rPr>
        <w:t xml:space="preserve"> trimestre 201</w:t>
      </w:r>
      <w:r w:rsidR="002028D3">
        <w:rPr>
          <w:rFonts w:ascii="Arial" w:hAnsi="Arial" w:cs="Arial"/>
          <w:sz w:val="20"/>
          <w:szCs w:val="20"/>
        </w:rPr>
        <w:t>7</w:t>
      </w:r>
      <w:r>
        <w:rPr>
          <w:rFonts w:ascii="Arial" w:hAnsi="Arial" w:cs="Arial"/>
          <w:sz w:val="20"/>
          <w:szCs w:val="20"/>
        </w:rPr>
        <w:t>,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 xml:space="preserve">établie à </w:t>
      </w:r>
      <w:r w:rsidR="00847D80">
        <w:rPr>
          <w:rFonts w:ascii="Arial" w:hAnsi="Arial" w:cs="Arial"/>
          <w:sz w:val="20"/>
          <w:szCs w:val="20"/>
        </w:rPr>
        <w:t>4</w:t>
      </w:r>
      <w:r w:rsidR="00DA38EF">
        <w:rPr>
          <w:rFonts w:ascii="Arial" w:hAnsi="Arial" w:cs="Arial"/>
          <w:sz w:val="20"/>
          <w:szCs w:val="20"/>
        </w:rPr>
        <w:t>,</w:t>
      </w:r>
      <w:r w:rsidR="001F1859">
        <w:rPr>
          <w:rFonts w:ascii="Arial" w:hAnsi="Arial" w:cs="Arial"/>
          <w:sz w:val="20"/>
          <w:szCs w:val="20"/>
        </w:rPr>
        <w:t>3</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2028D3">
        <w:rPr>
          <w:rFonts w:ascii="Arial" w:hAnsi="Arial" w:cs="Arial"/>
          <w:sz w:val="20"/>
          <w:szCs w:val="20"/>
        </w:rPr>
        <w:t>premier</w:t>
      </w:r>
      <w:r w:rsidR="00EE75E6">
        <w:rPr>
          <w:rFonts w:ascii="Arial" w:hAnsi="Arial" w:cs="Arial"/>
          <w:sz w:val="20"/>
          <w:szCs w:val="20"/>
        </w:rPr>
        <w:t xml:space="preserve"> </w:t>
      </w:r>
      <w:r>
        <w:rPr>
          <w:rFonts w:ascii="Arial" w:hAnsi="Arial" w:cs="Arial"/>
          <w:sz w:val="20"/>
          <w:szCs w:val="20"/>
        </w:rPr>
        <w:t>trimestre</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sidR="001F1859">
        <w:rPr>
          <w:rFonts w:ascii="Arial" w:hAnsi="Arial" w:cs="Arial"/>
          <w:sz w:val="20"/>
          <w:szCs w:val="20"/>
        </w:rPr>
        <w:t>1</w:t>
      </w:r>
      <w:r w:rsidR="00204C16">
        <w:rPr>
          <w:rFonts w:ascii="Arial" w:hAnsi="Arial" w:cs="Arial"/>
          <w:sz w:val="20"/>
          <w:szCs w:val="20"/>
        </w:rPr>
        <w:t>,</w:t>
      </w:r>
      <w:r w:rsidR="001F1859">
        <w:rPr>
          <w:rFonts w:ascii="Arial" w:hAnsi="Arial" w:cs="Arial"/>
          <w:sz w:val="20"/>
          <w:szCs w:val="20"/>
        </w:rPr>
        <w:t>7</w:t>
      </w:r>
      <w:r w:rsidRPr="00DB7C3F">
        <w:rPr>
          <w:rFonts w:ascii="Arial" w:hAnsi="Arial" w:cs="Arial"/>
          <w:sz w:val="20"/>
          <w:szCs w:val="20"/>
        </w:rPr>
        <w:t xml:space="preserve">%, </w:t>
      </w:r>
      <w:r>
        <w:rPr>
          <w:rFonts w:ascii="Arial" w:hAnsi="Arial" w:cs="Arial"/>
          <w:sz w:val="20"/>
          <w:szCs w:val="20"/>
        </w:rPr>
        <w:t>lors d</w:t>
      </w:r>
      <w:r w:rsidR="00204C16">
        <w:rPr>
          <w:rFonts w:ascii="Arial" w:hAnsi="Arial" w:cs="Arial"/>
          <w:sz w:val="20"/>
          <w:szCs w:val="20"/>
        </w:rPr>
        <w:t xml:space="preserve">u </w:t>
      </w:r>
      <w:r w:rsidR="001F1859">
        <w:rPr>
          <w:rFonts w:ascii="Arial" w:hAnsi="Arial" w:cs="Arial"/>
          <w:sz w:val="20"/>
          <w:szCs w:val="20"/>
        </w:rPr>
        <w:t xml:space="preserve">même </w:t>
      </w:r>
      <w:r w:rsidR="00204C16">
        <w:rPr>
          <w:rFonts w:ascii="Arial" w:hAnsi="Arial" w:cs="Arial"/>
          <w:sz w:val="20"/>
          <w:szCs w:val="20"/>
        </w:rPr>
        <w:t>trimestre</w:t>
      </w:r>
      <w:r>
        <w:rPr>
          <w:rFonts w:ascii="Arial" w:hAnsi="Arial" w:cs="Arial"/>
          <w:sz w:val="20"/>
          <w:szCs w:val="20"/>
        </w:rPr>
        <w:t xml:space="preserve"> </w:t>
      </w:r>
      <w:r w:rsidR="001F1859">
        <w:rPr>
          <w:rFonts w:ascii="Arial" w:hAnsi="Arial" w:cs="Arial"/>
          <w:sz w:val="20"/>
          <w:szCs w:val="20"/>
        </w:rPr>
        <w:t xml:space="preserve">de l’année </w:t>
      </w:r>
      <w:r>
        <w:rPr>
          <w:rFonts w:ascii="Arial" w:hAnsi="Arial" w:cs="Arial"/>
          <w:sz w:val="20"/>
          <w:szCs w:val="20"/>
        </w:rPr>
        <w:t>précédent</w:t>
      </w:r>
      <w:r w:rsidR="001F1859">
        <w:rPr>
          <w:rFonts w:ascii="Arial" w:hAnsi="Arial" w:cs="Arial"/>
          <w:sz w:val="20"/>
          <w:szCs w:val="20"/>
        </w:rPr>
        <w:t>e</w:t>
      </w:r>
      <w:r>
        <w:rPr>
          <w:rFonts w:ascii="Arial" w:hAnsi="Arial" w:cs="Arial"/>
          <w:sz w:val="20"/>
          <w:szCs w:val="20"/>
        </w:rPr>
        <w:t xml:space="preserve">. </w:t>
      </w:r>
    </w:p>
    <w:p w:rsidR="00E73CCF" w:rsidRDefault="00E73CCF" w:rsidP="00F53071">
      <w:pPr>
        <w:jc w:val="both"/>
        <w:rPr>
          <w:rFonts w:ascii="Arial" w:hAnsi="Arial" w:cs="Arial"/>
          <w:b/>
          <w:bCs/>
          <w:color w:val="800000"/>
          <w:sz w:val="20"/>
          <w:szCs w:val="20"/>
        </w:rPr>
      </w:pPr>
    </w:p>
    <w:p w:rsidR="0097276B" w:rsidRPr="004625B7" w:rsidRDefault="00C47540" w:rsidP="00F53071">
      <w:pPr>
        <w:jc w:val="both"/>
        <w:rPr>
          <w:rFonts w:ascii="Arial" w:hAnsi="Arial" w:cs="Arial"/>
          <w:b/>
          <w:bCs/>
          <w:color w:val="800000"/>
          <w:sz w:val="20"/>
          <w:szCs w:val="20"/>
        </w:rPr>
      </w:pPr>
      <w:r>
        <w:rPr>
          <w:rFonts w:ascii="Arial" w:hAnsi="Arial" w:cs="Arial"/>
          <w:b/>
          <w:bCs/>
          <w:color w:val="800000"/>
          <w:sz w:val="20"/>
          <w:szCs w:val="20"/>
        </w:rPr>
        <w:t xml:space="preserve">Légère </w:t>
      </w:r>
      <w:r w:rsidR="00F53071">
        <w:rPr>
          <w:rFonts w:ascii="Arial" w:hAnsi="Arial" w:cs="Arial"/>
          <w:b/>
          <w:bCs/>
          <w:color w:val="800000"/>
          <w:sz w:val="20"/>
          <w:szCs w:val="20"/>
        </w:rPr>
        <w:t>dé</w:t>
      </w:r>
      <w:r w:rsidR="001363AC">
        <w:rPr>
          <w:rFonts w:ascii="Arial" w:hAnsi="Arial" w:cs="Arial"/>
          <w:b/>
          <w:bCs/>
          <w:color w:val="800000"/>
          <w:sz w:val="20"/>
          <w:szCs w:val="20"/>
        </w:rPr>
        <w:t>c</w:t>
      </w:r>
      <w:r>
        <w:rPr>
          <w:rFonts w:ascii="Arial" w:hAnsi="Arial" w:cs="Arial"/>
          <w:b/>
          <w:bCs/>
          <w:color w:val="800000"/>
          <w:sz w:val="20"/>
          <w:szCs w:val="20"/>
        </w:rPr>
        <w:t xml:space="preserve">élération </w:t>
      </w:r>
      <w:r w:rsidR="0097276B">
        <w:rPr>
          <w:rFonts w:ascii="Arial" w:hAnsi="Arial" w:cs="Arial"/>
          <w:b/>
          <w:bCs/>
          <w:color w:val="800000"/>
          <w:sz w:val="20"/>
          <w:szCs w:val="20"/>
        </w:rPr>
        <w:t>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E57545" w:rsidP="0032191A">
      <w:pPr>
        <w:jc w:val="both"/>
        <w:rPr>
          <w:rFonts w:ascii="Arial" w:hAnsi="Arial" w:cs="Arial"/>
          <w:sz w:val="20"/>
          <w:szCs w:val="20"/>
        </w:rPr>
      </w:pPr>
      <w:r>
        <w:rPr>
          <w:rFonts w:ascii="Arial" w:hAnsi="Arial" w:cs="Arial"/>
          <w:noProof/>
          <w:sz w:val="20"/>
          <w:szCs w:val="20"/>
        </w:rPr>
        <w:drawing>
          <wp:anchor distT="0" distB="0" distL="114300" distR="114300" simplePos="0" relativeHeight="251717632" behindDoc="0" locked="0" layoutInCell="1" allowOverlap="1">
            <wp:simplePos x="0" y="0"/>
            <wp:positionH relativeFrom="column">
              <wp:posOffset>4094480</wp:posOffset>
            </wp:positionH>
            <wp:positionV relativeFrom="paragraph">
              <wp:posOffset>122555</wp:posOffset>
            </wp:positionV>
            <wp:extent cx="2504440" cy="2011680"/>
            <wp:effectExtent l="1905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504440" cy="2011680"/>
                    </a:xfrm>
                    <a:prstGeom prst="rect">
                      <a:avLst/>
                    </a:prstGeom>
                    <a:noFill/>
                    <a:ln w="9525">
                      <a:noFill/>
                      <a:miter lim="800000"/>
                      <a:headEnd/>
                      <a:tailEnd/>
                    </a:ln>
                  </pic:spPr>
                </pic:pic>
              </a:graphicData>
            </a:graphic>
          </wp:anchor>
        </w:drawing>
      </w:r>
    </w:p>
    <w:p w:rsidR="000732CB" w:rsidRPr="009450FC" w:rsidRDefault="000732CB" w:rsidP="003C710F">
      <w:pPr>
        <w:jc w:val="both"/>
        <w:rPr>
          <w:rFonts w:asciiTheme="minorBidi" w:hAnsiTheme="minorBidi" w:cstheme="minorBidi"/>
          <w:sz w:val="20"/>
          <w:szCs w:val="20"/>
        </w:rPr>
      </w:pPr>
      <w:r w:rsidRPr="00A37AE1">
        <w:rPr>
          <w:rFonts w:asciiTheme="minorBidi" w:hAnsiTheme="minorBidi" w:cstheme="minorBidi"/>
          <w:sz w:val="20"/>
          <w:szCs w:val="20"/>
        </w:rPr>
        <w:t xml:space="preserve">Au </w:t>
      </w:r>
      <w:r>
        <w:rPr>
          <w:rFonts w:asciiTheme="minorBidi" w:hAnsiTheme="minorBidi" w:cstheme="minorBidi"/>
          <w:sz w:val="20"/>
          <w:szCs w:val="20"/>
        </w:rPr>
        <w:t>premier</w:t>
      </w:r>
      <w:r w:rsidRPr="00A37AE1">
        <w:rPr>
          <w:rFonts w:asciiTheme="minorBidi" w:hAnsiTheme="minorBidi" w:cstheme="minorBidi"/>
          <w:sz w:val="20"/>
          <w:szCs w:val="20"/>
        </w:rPr>
        <w:t xml:space="preserve"> trimestre 201</w:t>
      </w:r>
      <w:r>
        <w:rPr>
          <w:rFonts w:asciiTheme="minorBidi" w:hAnsiTheme="minorBidi" w:cstheme="minorBidi"/>
          <w:sz w:val="20"/>
          <w:szCs w:val="20"/>
        </w:rPr>
        <w:t>7</w:t>
      </w:r>
      <w:r w:rsidRPr="00A37AE1">
        <w:rPr>
          <w:rFonts w:asciiTheme="minorBidi" w:hAnsiTheme="minorBidi" w:cstheme="minorBidi"/>
          <w:sz w:val="20"/>
          <w:szCs w:val="20"/>
        </w:rPr>
        <w:t xml:space="preserve">, </w:t>
      </w:r>
      <w:r w:rsidR="003C710F">
        <w:rPr>
          <w:rFonts w:asciiTheme="minorBidi" w:hAnsiTheme="minorBidi" w:cstheme="minorBidi"/>
          <w:sz w:val="20"/>
          <w:szCs w:val="20"/>
        </w:rPr>
        <w:t>la hausse</w:t>
      </w:r>
      <w:r>
        <w:rPr>
          <w:rFonts w:asciiTheme="minorBidi" w:hAnsiTheme="minorBidi" w:cstheme="minorBidi"/>
          <w:sz w:val="20"/>
          <w:szCs w:val="20"/>
        </w:rPr>
        <w:t xml:space="preserve"> des </w:t>
      </w:r>
      <w:r w:rsidRPr="00FE7B62">
        <w:rPr>
          <w:rFonts w:asciiTheme="minorBidi" w:hAnsiTheme="minorBidi" w:cstheme="minorBidi"/>
          <w:b/>
          <w:bCs/>
          <w:sz w:val="20"/>
          <w:szCs w:val="20"/>
        </w:rPr>
        <w:t>prix à la consommation</w:t>
      </w:r>
      <w:r w:rsidRPr="00A37AE1">
        <w:rPr>
          <w:rFonts w:asciiTheme="minorBidi" w:hAnsiTheme="minorBidi" w:cstheme="minorBidi"/>
          <w:sz w:val="20"/>
          <w:szCs w:val="20"/>
        </w:rPr>
        <w:t xml:space="preserve"> </w:t>
      </w:r>
      <w:r w:rsidR="003C710F">
        <w:rPr>
          <w:rFonts w:asciiTheme="minorBidi" w:hAnsiTheme="minorBidi" w:cstheme="minorBidi"/>
          <w:sz w:val="20"/>
          <w:szCs w:val="20"/>
        </w:rPr>
        <w:t>se serait modérée</w:t>
      </w:r>
      <w:r w:rsidRPr="00A37AE1">
        <w:rPr>
          <w:rFonts w:asciiTheme="minorBidi" w:hAnsiTheme="minorBidi" w:cstheme="minorBidi"/>
          <w:sz w:val="20"/>
          <w:szCs w:val="20"/>
        </w:rPr>
        <w:t xml:space="preserve">, </w:t>
      </w:r>
      <w:r>
        <w:rPr>
          <w:rFonts w:asciiTheme="minorBidi" w:hAnsiTheme="minorBidi" w:cstheme="minorBidi"/>
          <w:sz w:val="20"/>
          <w:szCs w:val="20"/>
        </w:rPr>
        <w:t xml:space="preserve">pour se situer </w:t>
      </w:r>
      <w:proofErr w:type="gramStart"/>
      <w:r>
        <w:rPr>
          <w:rFonts w:asciiTheme="minorBidi" w:hAnsiTheme="minorBidi" w:cstheme="minorBidi"/>
          <w:sz w:val="20"/>
          <w:szCs w:val="20"/>
        </w:rPr>
        <w:t>à</w:t>
      </w:r>
      <w:proofErr w:type="gramEnd"/>
      <w:r>
        <w:rPr>
          <w:rFonts w:asciiTheme="minorBidi" w:hAnsiTheme="minorBidi" w:cstheme="minorBidi"/>
          <w:sz w:val="20"/>
          <w:szCs w:val="20"/>
        </w:rPr>
        <w:t xml:space="preserve"> </w:t>
      </w:r>
      <w:r w:rsidRPr="00A37AE1">
        <w:rPr>
          <w:rFonts w:asciiTheme="minorBidi" w:hAnsiTheme="minorBidi" w:cstheme="minorBidi"/>
          <w:sz w:val="20"/>
          <w:szCs w:val="20"/>
        </w:rPr>
        <w:t>+1,</w:t>
      </w:r>
      <w:r>
        <w:rPr>
          <w:rFonts w:asciiTheme="minorBidi" w:hAnsiTheme="minorBidi" w:cstheme="minorBidi"/>
          <w:sz w:val="20"/>
          <w:szCs w:val="20"/>
        </w:rPr>
        <w:t>5</w:t>
      </w:r>
      <w:r w:rsidRPr="00A37AE1">
        <w:rPr>
          <w:rFonts w:asciiTheme="minorBidi" w:hAnsiTheme="minorBidi" w:cstheme="minorBidi"/>
          <w:sz w:val="20"/>
          <w:szCs w:val="20"/>
        </w:rPr>
        <w:t>%</w:t>
      </w:r>
      <w:r>
        <w:rPr>
          <w:rFonts w:asciiTheme="minorBidi" w:hAnsiTheme="minorBidi" w:cstheme="minorBidi"/>
          <w:sz w:val="20"/>
          <w:szCs w:val="20"/>
        </w:rPr>
        <w:t>,</w:t>
      </w:r>
      <w:r w:rsidRPr="00A37AE1">
        <w:rPr>
          <w:rFonts w:asciiTheme="minorBidi" w:hAnsiTheme="minorBidi" w:cstheme="minorBidi"/>
          <w:sz w:val="20"/>
          <w:szCs w:val="20"/>
        </w:rPr>
        <w:t xml:space="preserve"> en glissement annuel, </w:t>
      </w:r>
      <w:r>
        <w:rPr>
          <w:rFonts w:asciiTheme="minorBidi" w:hAnsiTheme="minorBidi" w:cstheme="minorBidi"/>
          <w:sz w:val="20"/>
          <w:szCs w:val="20"/>
        </w:rPr>
        <w:t>au lieu de</w:t>
      </w:r>
      <w:r w:rsidRPr="00A37AE1">
        <w:rPr>
          <w:rFonts w:asciiTheme="minorBidi" w:hAnsiTheme="minorBidi" w:cstheme="minorBidi"/>
          <w:sz w:val="20"/>
          <w:szCs w:val="20"/>
        </w:rPr>
        <w:t xml:space="preserve"> +1,</w:t>
      </w:r>
      <w:r>
        <w:rPr>
          <w:rFonts w:asciiTheme="minorBidi" w:hAnsiTheme="minorBidi" w:cstheme="minorBidi"/>
          <w:sz w:val="20"/>
          <w:szCs w:val="20"/>
        </w:rPr>
        <w:t>8</w:t>
      </w:r>
      <w:r w:rsidRPr="00A37AE1">
        <w:rPr>
          <w:rFonts w:asciiTheme="minorBidi" w:hAnsiTheme="minorBidi" w:cstheme="minorBidi"/>
          <w:sz w:val="20"/>
          <w:szCs w:val="20"/>
        </w:rPr>
        <w:t xml:space="preserve">% au </w:t>
      </w:r>
      <w:r>
        <w:rPr>
          <w:rFonts w:asciiTheme="minorBidi" w:hAnsiTheme="minorBidi" w:cstheme="minorBidi"/>
          <w:sz w:val="20"/>
          <w:szCs w:val="20"/>
        </w:rPr>
        <w:t>quatr</w:t>
      </w:r>
      <w:r w:rsidRPr="00A37AE1">
        <w:rPr>
          <w:rFonts w:asciiTheme="minorBidi" w:hAnsiTheme="minorBidi" w:cstheme="minorBidi"/>
          <w:sz w:val="20"/>
          <w:szCs w:val="20"/>
        </w:rPr>
        <w:t>ième trimestre</w:t>
      </w:r>
      <w:r>
        <w:rPr>
          <w:rFonts w:asciiTheme="minorBidi" w:hAnsiTheme="minorBidi" w:cstheme="minorBidi"/>
          <w:sz w:val="20"/>
          <w:szCs w:val="20"/>
        </w:rPr>
        <w:t xml:space="preserve"> 2016</w:t>
      </w:r>
      <w:r w:rsidRPr="00A37AE1">
        <w:rPr>
          <w:rFonts w:asciiTheme="minorBidi" w:hAnsiTheme="minorBidi" w:cstheme="minorBidi"/>
          <w:sz w:val="20"/>
          <w:szCs w:val="20"/>
        </w:rPr>
        <w:t xml:space="preserve">. </w:t>
      </w:r>
      <w:r w:rsidRPr="009450FC">
        <w:rPr>
          <w:rFonts w:asciiTheme="minorBidi" w:hAnsiTheme="minorBidi" w:cstheme="minorBidi"/>
          <w:sz w:val="20"/>
          <w:szCs w:val="20"/>
        </w:rPr>
        <w:t>Ce ralentissement serait la conséquence du repli des prix des produits alimentaires</w:t>
      </w:r>
      <w:r>
        <w:rPr>
          <w:rFonts w:asciiTheme="minorBidi" w:hAnsiTheme="minorBidi" w:cstheme="minorBidi"/>
          <w:sz w:val="20"/>
          <w:szCs w:val="20"/>
        </w:rPr>
        <w:t xml:space="preserve"> (</w:t>
      </w:r>
      <w:r w:rsidRPr="009450FC">
        <w:rPr>
          <w:rFonts w:asciiTheme="minorBidi" w:hAnsiTheme="minorBidi" w:cstheme="minorBidi"/>
          <w:sz w:val="20"/>
          <w:szCs w:val="20"/>
        </w:rPr>
        <w:t>+1,4%</w:t>
      </w:r>
      <w:r>
        <w:rPr>
          <w:rFonts w:asciiTheme="minorBidi" w:hAnsiTheme="minorBidi" w:cstheme="minorBidi"/>
          <w:sz w:val="20"/>
          <w:szCs w:val="20"/>
        </w:rPr>
        <w:t>,</w:t>
      </w:r>
      <w:r w:rsidRPr="009450FC">
        <w:rPr>
          <w:rFonts w:asciiTheme="minorBidi" w:hAnsiTheme="minorBidi" w:cstheme="minorBidi"/>
          <w:sz w:val="20"/>
          <w:szCs w:val="20"/>
        </w:rPr>
        <w:t xml:space="preserve"> après +2,5% au quatrième trimestre 2016</w:t>
      </w:r>
      <w:r>
        <w:rPr>
          <w:rFonts w:asciiTheme="minorBidi" w:hAnsiTheme="minorBidi" w:cstheme="minorBidi"/>
          <w:sz w:val="20"/>
          <w:szCs w:val="20"/>
        </w:rPr>
        <w:t>)</w:t>
      </w:r>
      <w:r w:rsidRPr="009450FC">
        <w:rPr>
          <w:rFonts w:asciiTheme="minorBidi" w:hAnsiTheme="minorBidi" w:cstheme="minorBidi"/>
          <w:sz w:val="20"/>
          <w:szCs w:val="20"/>
        </w:rPr>
        <w:t xml:space="preserve">, sous l’effet du recul des prix des produits frais. </w:t>
      </w:r>
      <w:r>
        <w:rPr>
          <w:rFonts w:asciiTheme="minorBidi" w:hAnsiTheme="minorBidi" w:cstheme="minorBidi"/>
          <w:sz w:val="20"/>
          <w:szCs w:val="20"/>
        </w:rPr>
        <w:t>En revanche, l</w:t>
      </w:r>
      <w:r w:rsidRPr="009450FC">
        <w:rPr>
          <w:rFonts w:asciiTheme="minorBidi" w:hAnsiTheme="minorBidi" w:cstheme="minorBidi"/>
          <w:sz w:val="20"/>
          <w:szCs w:val="20"/>
        </w:rPr>
        <w:t xml:space="preserve">es prix des produits non-alimentaires </w:t>
      </w:r>
      <w:r w:rsidR="00E30663">
        <w:rPr>
          <w:rFonts w:asciiTheme="minorBidi" w:hAnsiTheme="minorBidi" w:cstheme="minorBidi"/>
          <w:sz w:val="20"/>
          <w:szCs w:val="20"/>
        </w:rPr>
        <w:t>se seraient accrus</w:t>
      </w:r>
      <w:r w:rsidRPr="009450FC">
        <w:rPr>
          <w:rFonts w:asciiTheme="minorBidi" w:hAnsiTheme="minorBidi" w:cstheme="minorBidi"/>
          <w:sz w:val="20"/>
          <w:szCs w:val="20"/>
        </w:rPr>
        <w:t xml:space="preserve"> de </w:t>
      </w:r>
      <w:r w:rsidR="003C710F">
        <w:rPr>
          <w:rFonts w:asciiTheme="minorBidi" w:hAnsiTheme="minorBidi" w:cstheme="minorBidi"/>
          <w:sz w:val="20"/>
          <w:szCs w:val="20"/>
        </w:rPr>
        <w:t xml:space="preserve">1,7%, au lieu de </w:t>
      </w:r>
      <w:r>
        <w:rPr>
          <w:rFonts w:asciiTheme="minorBidi" w:hAnsiTheme="minorBidi" w:cstheme="minorBidi"/>
          <w:sz w:val="20"/>
          <w:szCs w:val="20"/>
        </w:rPr>
        <w:t xml:space="preserve">1,3% un trimestre auparavant, tirés notamment par l’augmentation des prix de l’énergie. </w:t>
      </w:r>
      <w:r w:rsidRPr="009450FC">
        <w:rPr>
          <w:rFonts w:asciiTheme="minorBidi" w:hAnsiTheme="minorBidi" w:cstheme="minorBidi"/>
          <w:sz w:val="20"/>
          <w:szCs w:val="20"/>
        </w:rPr>
        <w:t>L’inflation sous-jacente</w:t>
      </w:r>
      <w:r w:rsidRPr="009450FC">
        <w:rPr>
          <w:rFonts w:asciiTheme="minorBidi" w:hAnsiTheme="minorBidi" w:cstheme="minorBidi"/>
          <w:color w:val="FF0000"/>
          <w:sz w:val="20"/>
          <w:szCs w:val="20"/>
        </w:rPr>
        <w:t xml:space="preserve"> </w:t>
      </w:r>
      <w:r w:rsidRPr="009450FC">
        <w:rPr>
          <w:rFonts w:asciiTheme="minorBidi" w:hAnsiTheme="minorBidi" w:cstheme="minorBidi"/>
          <w:sz w:val="20"/>
          <w:szCs w:val="20"/>
        </w:rPr>
        <w:t>qui exclut les tarifs publics</w:t>
      </w:r>
      <w:r w:rsidR="00E30663">
        <w:rPr>
          <w:rFonts w:asciiTheme="minorBidi" w:hAnsiTheme="minorBidi" w:cstheme="minorBidi"/>
          <w:sz w:val="20"/>
          <w:szCs w:val="20"/>
        </w:rPr>
        <w:t xml:space="preserve"> et</w:t>
      </w:r>
      <w:r w:rsidRPr="009450FC">
        <w:rPr>
          <w:rFonts w:asciiTheme="minorBidi" w:hAnsiTheme="minorBidi" w:cstheme="minorBidi"/>
          <w:sz w:val="20"/>
          <w:szCs w:val="20"/>
        </w:rPr>
        <w:t xml:space="preserve"> les produits frais se serait, </w:t>
      </w:r>
      <w:r>
        <w:rPr>
          <w:rFonts w:asciiTheme="minorBidi" w:hAnsiTheme="minorBidi" w:cstheme="minorBidi"/>
          <w:sz w:val="20"/>
          <w:szCs w:val="20"/>
        </w:rPr>
        <w:t>quant à elle</w:t>
      </w:r>
      <w:r w:rsidRPr="009450FC">
        <w:rPr>
          <w:rFonts w:asciiTheme="minorBidi" w:hAnsiTheme="minorBidi" w:cstheme="minorBidi"/>
          <w:sz w:val="20"/>
          <w:szCs w:val="20"/>
        </w:rPr>
        <w:t xml:space="preserve">, légèrement redressée, </w:t>
      </w:r>
      <w:r>
        <w:rPr>
          <w:rFonts w:asciiTheme="minorBidi" w:hAnsiTheme="minorBidi" w:cstheme="minorBidi"/>
          <w:sz w:val="20"/>
          <w:szCs w:val="20"/>
        </w:rPr>
        <w:t xml:space="preserve">passant de </w:t>
      </w:r>
      <w:r w:rsidRPr="009450FC">
        <w:rPr>
          <w:rFonts w:asciiTheme="minorBidi" w:hAnsiTheme="minorBidi" w:cstheme="minorBidi"/>
          <w:sz w:val="20"/>
          <w:szCs w:val="20"/>
        </w:rPr>
        <w:t xml:space="preserve">+1,1% au quatrième trimestre 2016, </w:t>
      </w:r>
      <w:r>
        <w:rPr>
          <w:rFonts w:asciiTheme="minorBidi" w:hAnsiTheme="minorBidi" w:cstheme="minorBidi"/>
          <w:sz w:val="20"/>
          <w:szCs w:val="20"/>
        </w:rPr>
        <w:t>à +</w:t>
      </w:r>
      <w:r w:rsidRPr="009450FC">
        <w:rPr>
          <w:rFonts w:asciiTheme="minorBidi" w:hAnsiTheme="minorBidi" w:cstheme="minorBidi"/>
          <w:sz w:val="20"/>
          <w:szCs w:val="20"/>
        </w:rPr>
        <w:t xml:space="preserve">1,3% au premier trimestre 2017. La légère progression des prix des services, dans le sillage de ceux des transports et de l’habitat, aurait contribué pour une </w:t>
      </w:r>
      <w:r w:rsidR="00E30663">
        <w:rPr>
          <w:rFonts w:asciiTheme="minorBidi" w:hAnsiTheme="minorBidi" w:cstheme="minorBidi"/>
          <w:sz w:val="20"/>
          <w:szCs w:val="20"/>
        </w:rPr>
        <w:t>grande partie</w:t>
      </w:r>
      <w:r w:rsidRPr="009450FC">
        <w:rPr>
          <w:rFonts w:asciiTheme="minorBidi" w:hAnsiTheme="minorBidi" w:cstheme="minorBidi"/>
          <w:sz w:val="20"/>
          <w:szCs w:val="20"/>
        </w:rPr>
        <w:t xml:space="preserve"> à cette évolution.</w:t>
      </w:r>
    </w:p>
    <w:p w:rsidR="00A15C90" w:rsidRDefault="00A15C90" w:rsidP="002C32A4">
      <w:pPr>
        <w:tabs>
          <w:tab w:val="left" w:pos="5245"/>
        </w:tabs>
        <w:jc w:val="both"/>
        <w:rPr>
          <w:rFonts w:ascii="Arial" w:hAnsi="Arial" w:cs="Arial"/>
          <w:b/>
          <w:bCs/>
          <w:color w:val="800000"/>
          <w:kern w:val="28"/>
          <w:sz w:val="20"/>
          <w:szCs w:val="20"/>
        </w:rPr>
      </w:pPr>
    </w:p>
    <w:p w:rsidR="002C32A4" w:rsidRPr="003C59A7" w:rsidRDefault="002C32A4" w:rsidP="002C32A4">
      <w:pPr>
        <w:tabs>
          <w:tab w:val="left" w:pos="5245"/>
        </w:tabs>
        <w:jc w:val="both"/>
        <w:rPr>
          <w:rFonts w:ascii="Arial" w:hAnsi="Arial" w:cs="Arial"/>
          <w:b/>
          <w:bCs/>
          <w:color w:val="800000"/>
          <w:kern w:val="28"/>
          <w:sz w:val="20"/>
          <w:szCs w:val="20"/>
        </w:rPr>
      </w:pPr>
      <w:r>
        <w:rPr>
          <w:rFonts w:ascii="Arial" w:hAnsi="Arial" w:cs="Arial"/>
          <w:b/>
          <w:bCs/>
          <w:color w:val="800000"/>
          <w:kern w:val="28"/>
          <w:sz w:val="20"/>
          <w:szCs w:val="20"/>
        </w:rPr>
        <w:t>Progression</w:t>
      </w:r>
      <w:r w:rsidRPr="003C59A7">
        <w:rPr>
          <w:rFonts w:ascii="Arial" w:hAnsi="Arial" w:cs="Arial"/>
          <w:b/>
          <w:bCs/>
          <w:color w:val="800000"/>
          <w:kern w:val="28"/>
          <w:sz w:val="20"/>
          <w:szCs w:val="20"/>
        </w:rPr>
        <w:t xml:space="preserve"> accélérée de la mas</w:t>
      </w:r>
      <w:r>
        <w:rPr>
          <w:rFonts w:ascii="Arial" w:hAnsi="Arial" w:cs="Arial"/>
          <w:b/>
          <w:bCs/>
          <w:color w:val="800000"/>
          <w:kern w:val="28"/>
          <w:sz w:val="20"/>
          <w:szCs w:val="20"/>
        </w:rPr>
        <w:t>s</w:t>
      </w:r>
      <w:r w:rsidRPr="003C59A7">
        <w:rPr>
          <w:rFonts w:ascii="Arial" w:hAnsi="Arial" w:cs="Arial"/>
          <w:b/>
          <w:bCs/>
          <w:color w:val="800000"/>
          <w:kern w:val="28"/>
          <w:sz w:val="20"/>
          <w:szCs w:val="20"/>
        </w:rPr>
        <w:t>e monétaire</w:t>
      </w:r>
    </w:p>
    <w:p w:rsidR="002C32A4" w:rsidRPr="003C59A7" w:rsidRDefault="002C32A4" w:rsidP="002C32A4">
      <w:pPr>
        <w:jc w:val="both"/>
        <w:rPr>
          <w:rFonts w:ascii="Arial" w:hAnsi="Arial" w:cs="Arial"/>
          <w:sz w:val="20"/>
          <w:szCs w:val="20"/>
        </w:rPr>
      </w:pPr>
    </w:p>
    <w:p w:rsidR="002C32A4" w:rsidRPr="003C59A7" w:rsidRDefault="002C32A4" w:rsidP="00E30663">
      <w:pPr>
        <w:jc w:val="both"/>
        <w:rPr>
          <w:rFonts w:ascii="Arial" w:hAnsi="Arial" w:cs="Arial"/>
          <w:sz w:val="20"/>
          <w:szCs w:val="20"/>
        </w:rPr>
      </w:pPr>
      <w:r w:rsidRPr="003C59A7">
        <w:rPr>
          <w:rFonts w:ascii="Arial" w:hAnsi="Arial" w:cs="Arial"/>
          <w:sz w:val="20"/>
          <w:szCs w:val="20"/>
        </w:rPr>
        <w:t>L</w:t>
      </w:r>
      <w:r>
        <w:rPr>
          <w:rFonts w:ascii="Arial" w:hAnsi="Arial" w:cs="Arial"/>
          <w:sz w:val="20"/>
          <w:szCs w:val="20"/>
        </w:rPr>
        <w:t xml:space="preserve">e rythme de croissance de la </w:t>
      </w:r>
      <w:r w:rsidRPr="003C59A7">
        <w:rPr>
          <w:rFonts w:ascii="Arial" w:hAnsi="Arial" w:cs="Arial"/>
          <w:b/>
          <w:bCs/>
          <w:sz w:val="20"/>
          <w:szCs w:val="20"/>
        </w:rPr>
        <w:t>masse monétaire</w:t>
      </w:r>
      <w:r w:rsidRPr="003C59A7">
        <w:rPr>
          <w:rFonts w:ascii="Arial" w:hAnsi="Arial" w:cs="Arial"/>
          <w:sz w:val="20"/>
          <w:szCs w:val="20"/>
        </w:rPr>
        <w:t xml:space="preserve"> se serait légèrement accéléré au premier trimestre de l’année 2017</w:t>
      </w:r>
      <w:r>
        <w:rPr>
          <w:rFonts w:ascii="Arial" w:hAnsi="Arial" w:cs="Arial"/>
          <w:sz w:val="20"/>
          <w:szCs w:val="20"/>
        </w:rPr>
        <w:t xml:space="preserve">, pour se situer </w:t>
      </w:r>
      <w:proofErr w:type="gramStart"/>
      <w:r>
        <w:rPr>
          <w:rFonts w:ascii="Arial" w:hAnsi="Arial" w:cs="Arial"/>
          <w:sz w:val="20"/>
          <w:szCs w:val="20"/>
        </w:rPr>
        <w:t>à</w:t>
      </w:r>
      <w:proofErr w:type="gramEnd"/>
      <w:r>
        <w:rPr>
          <w:rFonts w:ascii="Arial" w:hAnsi="Arial" w:cs="Arial"/>
          <w:sz w:val="20"/>
          <w:szCs w:val="20"/>
        </w:rPr>
        <w:t xml:space="preserve"> </w:t>
      </w:r>
      <w:proofErr w:type="spellStart"/>
      <w:r w:rsidR="008317AF">
        <w:rPr>
          <w:rFonts w:ascii="Arial" w:hAnsi="Arial" w:cs="Arial" w:hint="cs"/>
          <w:sz w:val="20"/>
          <w:szCs w:val="20"/>
          <w:rtl/>
        </w:rPr>
        <w:t>+</w:t>
      </w:r>
      <w:proofErr w:type="spellEnd"/>
      <w:r>
        <w:rPr>
          <w:rFonts w:ascii="Arial" w:hAnsi="Arial" w:cs="Arial"/>
          <w:sz w:val="20"/>
          <w:szCs w:val="20"/>
        </w:rPr>
        <w:t>6,3%, au lieu de +4,7% au quatrième trimestre 2016,</w:t>
      </w:r>
      <w:r w:rsidRPr="003C59A7">
        <w:rPr>
          <w:rFonts w:ascii="Arial" w:hAnsi="Arial" w:cs="Arial"/>
          <w:sz w:val="20"/>
          <w:szCs w:val="20"/>
        </w:rPr>
        <w:t xml:space="preserve"> en glissement</w:t>
      </w:r>
      <w:r w:rsidR="00653C41">
        <w:rPr>
          <w:rFonts w:ascii="Arial" w:hAnsi="Arial" w:cs="Arial"/>
          <w:sz w:val="20"/>
          <w:szCs w:val="20"/>
        </w:rPr>
        <w:t>s</w:t>
      </w:r>
      <w:r w:rsidRPr="003C59A7">
        <w:rPr>
          <w:rFonts w:ascii="Arial" w:hAnsi="Arial" w:cs="Arial"/>
          <w:sz w:val="20"/>
          <w:szCs w:val="20"/>
        </w:rPr>
        <w:t xml:space="preserve"> annuel</w:t>
      </w:r>
      <w:r w:rsidR="00653C41">
        <w:rPr>
          <w:rFonts w:ascii="Arial" w:hAnsi="Arial" w:cs="Arial"/>
          <w:sz w:val="20"/>
          <w:szCs w:val="20"/>
        </w:rPr>
        <w:t>s</w:t>
      </w:r>
      <w:r w:rsidRPr="003C59A7">
        <w:rPr>
          <w:rFonts w:ascii="Arial" w:hAnsi="Arial" w:cs="Arial"/>
          <w:sz w:val="20"/>
          <w:szCs w:val="20"/>
        </w:rPr>
        <w:t>, à la suite, notamment, d’une reprise des créances nettes sur l’administration centrale. La progression des créances sur l’économie se serait</w:t>
      </w:r>
      <w:r>
        <w:rPr>
          <w:rFonts w:ascii="Arial" w:hAnsi="Arial" w:cs="Arial"/>
          <w:sz w:val="20"/>
          <w:szCs w:val="20"/>
        </w:rPr>
        <w:t>, quant à elle,</w:t>
      </w:r>
      <w:r w:rsidRPr="003C59A7">
        <w:rPr>
          <w:rFonts w:ascii="Arial" w:hAnsi="Arial" w:cs="Arial"/>
          <w:sz w:val="20"/>
          <w:szCs w:val="20"/>
        </w:rPr>
        <w:t xml:space="preserve"> poursuivie au même rythme qu’</w:t>
      </w:r>
      <w:r>
        <w:rPr>
          <w:rFonts w:ascii="Arial" w:hAnsi="Arial" w:cs="Arial"/>
          <w:sz w:val="20"/>
          <w:szCs w:val="20"/>
        </w:rPr>
        <w:t>au</w:t>
      </w:r>
      <w:r w:rsidRPr="003C59A7">
        <w:rPr>
          <w:rFonts w:ascii="Arial" w:hAnsi="Arial" w:cs="Arial"/>
          <w:sz w:val="20"/>
          <w:szCs w:val="20"/>
        </w:rPr>
        <w:t xml:space="preserve"> trimestre </w:t>
      </w:r>
      <w:r>
        <w:rPr>
          <w:rFonts w:ascii="Arial" w:hAnsi="Arial" w:cs="Arial"/>
          <w:sz w:val="20"/>
          <w:szCs w:val="20"/>
        </w:rPr>
        <w:t>précédent</w:t>
      </w:r>
      <w:r w:rsidRPr="003C59A7">
        <w:rPr>
          <w:rFonts w:ascii="Arial" w:hAnsi="Arial" w:cs="Arial"/>
          <w:sz w:val="20"/>
          <w:szCs w:val="20"/>
        </w:rPr>
        <w:t>, soit 6,1%.</w:t>
      </w:r>
      <w:r w:rsidR="00E30663">
        <w:rPr>
          <w:rFonts w:ascii="Arial" w:hAnsi="Arial" w:cs="Arial"/>
          <w:sz w:val="20"/>
          <w:szCs w:val="20"/>
        </w:rPr>
        <w:t xml:space="preserve"> </w:t>
      </w:r>
      <w:r>
        <w:rPr>
          <w:rFonts w:ascii="Arial" w:hAnsi="Arial" w:cs="Arial"/>
          <w:sz w:val="20"/>
          <w:szCs w:val="20"/>
        </w:rPr>
        <w:t>En revanche</w:t>
      </w:r>
      <w:r w:rsidRPr="003C59A7">
        <w:rPr>
          <w:rFonts w:ascii="Arial" w:hAnsi="Arial" w:cs="Arial"/>
          <w:sz w:val="20"/>
          <w:szCs w:val="20"/>
        </w:rPr>
        <w:t>, les réserves internationales auraient nettement ralenti, à la suite du creusement du déficit commercial. Le besoin des liquidités des banques se serait davantage atténué</w:t>
      </w:r>
      <w:r>
        <w:rPr>
          <w:rFonts w:ascii="Arial" w:hAnsi="Arial" w:cs="Arial"/>
          <w:sz w:val="20"/>
          <w:szCs w:val="20"/>
        </w:rPr>
        <w:t xml:space="preserve">, après </w:t>
      </w:r>
      <w:r w:rsidR="00E30663">
        <w:rPr>
          <w:rFonts w:ascii="Arial" w:hAnsi="Arial" w:cs="Arial"/>
          <w:sz w:val="20"/>
          <w:szCs w:val="20"/>
        </w:rPr>
        <w:t>s’</w:t>
      </w:r>
      <w:r>
        <w:rPr>
          <w:rFonts w:ascii="Arial" w:hAnsi="Arial" w:cs="Arial"/>
          <w:sz w:val="20"/>
          <w:szCs w:val="20"/>
        </w:rPr>
        <w:t>être</w:t>
      </w:r>
      <w:r w:rsidRPr="003C59A7">
        <w:rPr>
          <w:rFonts w:ascii="Arial" w:hAnsi="Arial" w:cs="Arial"/>
          <w:sz w:val="20"/>
          <w:szCs w:val="20"/>
        </w:rPr>
        <w:t xml:space="preserve"> nettement accru au troisième trimestre </w:t>
      </w:r>
      <w:r>
        <w:rPr>
          <w:rFonts w:ascii="Arial" w:hAnsi="Arial" w:cs="Arial"/>
          <w:sz w:val="20"/>
          <w:szCs w:val="20"/>
        </w:rPr>
        <w:t>2016</w:t>
      </w:r>
      <w:r w:rsidRPr="003C59A7">
        <w:rPr>
          <w:rFonts w:ascii="Arial" w:hAnsi="Arial" w:cs="Arial"/>
          <w:sz w:val="20"/>
          <w:szCs w:val="20"/>
        </w:rPr>
        <w:t xml:space="preserve">, </w:t>
      </w:r>
      <w:r w:rsidR="00E30663">
        <w:rPr>
          <w:rFonts w:ascii="Arial" w:hAnsi="Arial" w:cs="Arial"/>
          <w:sz w:val="20"/>
          <w:szCs w:val="20"/>
        </w:rPr>
        <w:t>suite à</w:t>
      </w:r>
      <w:r w:rsidRPr="003C59A7">
        <w:rPr>
          <w:rFonts w:ascii="Arial" w:hAnsi="Arial" w:cs="Arial"/>
          <w:sz w:val="20"/>
          <w:szCs w:val="20"/>
        </w:rPr>
        <w:t xml:space="preserve"> l’augmentation du taux de la réserve obligatoire de 2% à 4% </w:t>
      </w:r>
      <w:r w:rsidR="00E30663">
        <w:rPr>
          <w:rFonts w:ascii="Arial" w:hAnsi="Arial" w:cs="Arial"/>
          <w:sz w:val="20"/>
          <w:szCs w:val="20"/>
        </w:rPr>
        <w:t>opérée en</w:t>
      </w:r>
      <w:r w:rsidRPr="003C59A7">
        <w:rPr>
          <w:rFonts w:ascii="Arial" w:hAnsi="Arial" w:cs="Arial"/>
          <w:sz w:val="20"/>
          <w:szCs w:val="20"/>
        </w:rPr>
        <w:t xml:space="preserve"> juin</w:t>
      </w:r>
      <w:r>
        <w:rPr>
          <w:rFonts w:ascii="Arial" w:hAnsi="Arial" w:cs="Arial"/>
          <w:sz w:val="20"/>
          <w:szCs w:val="20"/>
        </w:rPr>
        <w:t xml:space="preserve"> 2016</w:t>
      </w:r>
      <w:r w:rsidRPr="003C59A7">
        <w:rPr>
          <w:rFonts w:ascii="Arial" w:hAnsi="Arial" w:cs="Arial"/>
          <w:sz w:val="20"/>
          <w:szCs w:val="20"/>
        </w:rPr>
        <w:t xml:space="preserve">. </w:t>
      </w:r>
    </w:p>
    <w:p w:rsidR="002C32A4" w:rsidRPr="003C59A7" w:rsidRDefault="002C32A4" w:rsidP="002C32A4">
      <w:pPr>
        <w:jc w:val="both"/>
        <w:rPr>
          <w:rFonts w:ascii="Arial" w:hAnsi="Arial" w:cs="Arial"/>
          <w:sz w:val="20"/>
          <w:szCs w:val="20"/>
        </w:rPr>
      </w:pPr>
    </w:p>
    <w:p w:rsidR="002C32A4" w:rsidRPr="003C59A7" w:rsidRDefault="00CC6D61" w:rsidP="002C32A4">
      <w:pPr>
        <w:jc w:val="both"/>
        <w:rPr>
          <w:rFonts w:ascii="Arial" w:hAnsi="Arial" w:cs="Arial"/>
          <w:sz w:val="20"/>
          <w:szCs w:val="20"/>
        </w:rPr>
      </w:pPr>
      <w:r>
        <w:rPr>
          <w:rFonts w:ascii="Arial" w:hAnsi="Arial" w:cs="Arial"/>
          <w:sz w:val="20"/>
          <w:szCs w:val="20"/>
        </w:rPr>
        <w:t>L</w:t>
      </w:r>
      <w:r w:rsidR="002C32A4" w:rsidRPr="003C59A7">
        <w:rPr>
          <w:rFonts w:ascii="Arial" w:hAnsi="Arial" w:cs="Arial"/>
          <w:sz w:val="20"/>
          <w:szCs w:val="20"/>
        </w:rPr>
        <w:t>e marché monétaire aurait connu</w:t>
      </w:r>
      <w:r>
        <w:rPr>
          <w:rFonts w:ascii="Arial" w:hAnsi="Arial" w:cs="Arial"/>
          <w:sz w:val="20"/>
          <w:szCs w:val="20"/>
        </w:rPr>
        <w:t>, pour sa part,</w:t>
      </w:r>
      <w:r w:rsidR="002C32A4" w:rsidRPr="003C59A7">
        <w:rPr>
          <w:rFonts w:ascii="Arial" w:hAnsi="Arial" w:cs="Arial"/>
          <w:sz w:val="20"/>
          <w:szCs w:val="20"/>
        </w:rPr>
        <w:t xml:space="preserve"> une baisse globale des </w:t>
      </w:r>
      <w:r w:rsidR="002C32A4" w:rsidRPr="00CC6D61">
        <w:rPr>
          <w:rFonts w:ascii="Arial" w:hAnsi="Arial" w:cs="Arial"/>
          <w:b/>
          <w:bCs/>
          <w:sz w:val="20"/>
          <w:szCs w:val="20"/>
        </w:rPr>
        <w:t>taux d’intérêt</w:t>
      </w:r>
      <w:r w:rsidR="002C32A4" w:rsidRPr="003C59A7">
        <w:rPr>
          <w:rFonts w:ascii="Arial" w:hAnsi="Arial" w:cs="Arial"/>
          <w:sz w:val="20"/>
          <w:szCs w:val="20"/>
        </w:rPr>
        <w:t xml:space="preserve"> par rapport à leur niveau </w:t>
      </w:r>
      <w:r w:rsidR="002C32A4">
        <w:rPr>
          <w:rFonts w:ascii="Arial" w:hAnsi="Arial" w:cs="Arial"/>
          <w:sz w:val="20"/>
          <w:szCs w:val="20"/>
        </w:rPr>
        <w:t>de l’</w:t>
      </w:r>
      <w:r w:rsidR="002C32A4" w:rsidRPr="003C59A7">
        <w:rPr>
          <w:rFonts w:ascii="Arial" w:hAnsi="Arial" w:cs="Arial"/>
          <w:sz w:val="20"/>
          <w:szCs w:val="20"/>
        </w:rPr>
        <w:t xml:space="preserve">année </w:t>
      </w:r>
      <w:r w:rsidR="002C32A4">
        <w:rPr>
          <w:rFonts w:ascii="Arial" w:hAnsi="Arial" w:cs="Arial"/>
          <w:sz w:val="20"/>
          <w:szCs w:val="20"/>
        </w:rPr>
        <w:t>précédente</w:t>
      </w:r>
      <w:r w:rsidR="002C32A4" w:rsidRPr="003C59A7">
        <w:rPr>
          <w:rFonts w:ascii="Arial" w:hAnsi="Arial" w:cs="Arial"/>
          <w:sz w:val="20"/>
          <w:szCs w:val="20"/>
        </w:rPr>
        <w:t>. En variation annuelle, le taux interbancaire moyen aurait cédé 0,23 point et les taux des adjudications des bons du Trésor à 1 an et à 5 ans auraient baissé de 0,23 et 0,06 point</w:t>
      </w:r>
      <w:r w:rsidR="004A0D52">
        <w:rPr>
          <w:rFonts w:ascii="Arial" w:hAnsi="Arial" w:cs="Arial"/>
          <w:sz w:val="20"/>
          <w:szCs w:val="20"/>
        </w:rPr>
        <w:t>,</w:t>
      </w:r>
      <w:r w:rsidR="002C32A4" w:rsidRPr="003C59A7">
        <w:rPr>
          <w:rFonts w:ascii="Arial" w:hAnsi="Arial" w:cs="Arial"/>
          <w:sz w:val="20"/>
          <w:szCs w:val="20"/>
        </w:rPr>
        <w:t xml:space="preserve"> respectivement.</w:t>
      </w:r>
    </w:p>
    <w:p w:rsidR="00812DBB" w:rsidRPr="00812DBB" w:rsidRDefault="00812DBB" w:rsidP="00812DBB">
      <w:pPr>
        <w:jc w:val="both"/>
        <w:rPr>
          <w:rFonts w:ascii="Arial" w:hAnsi="Arial" w:cs="Arial"/>
          <w:sz w:val="20"/>
          <w:szCs w:val="20"/>
        </w:rPr>
      </w:pPr>
    </w:p>
    <w:p w:rsidR="00D8391E" w:rsidRPr="00D8391E" w:rsidRDefault="00D8391E" w:rsidP="003B09E5">
      <w:pPr>
        <w:jc w:val="both"/>
        <w:rPr>
          <w:rFonts w:ascii="Arial" w:hAnsi="Arial" w:cs="Arial"/>
          <w:b/>
          <w:bCs/>
          <w:color w:val="800000"/>
          <w:kern w:val="28"/>
          <w:sz w:val="20"/>
          <w:szCs w:val="20"/>
        </w:rPr>
      </w:pPr>
      <w:r w:rsidRPr="00D8391E">
        <w:rPr>
          <w:rFonts w:ascii="Arial" w:hAnsi="Arial" w:cs="Arial"/>
          <w:b/>
          <w:bCs/>
          <w:color w:val="800000"/>
          <w:kern w:val="28"/>
          <w:sz w:val="20"/>
          <w:szCs w:val="20"/>
        </w:rPr>
        <w:t>Léger ralentissement du rythme de croissance des indices boursiers</w:t>
      </w:r>
    </w:p>
    <w:p w:rsidR="00D8391E" w:rsidRPr="00D8391E" w:rsidRDefault="00D8391E" w:rsidP="00D8391E">
      <w:pPr>
        <w:jc w:val="both"/>
        <w:rPr>
          <w:rFonts w:ascii="Arial" w:hAnsi="Arial" w:cs="Arial"/>
          <w:sz w:val="20"/>
          <w:szCs w:val="20"/>
        </w:rPr>
      </w:pPr>
    </w:p>
    <w:p w:rsidR="00D8391E" w:rsidRPr="00D8391E" w:rsidRDefault="00D8391E" w:rsidP="00C97A6C">
      <w:pPr>
        <w:jc w:val="both"/>
        <w:rPr>
          <w:rFonts w:ascii="Arial" w:hAnsi="Arial" w:cs="Arial"/>
          <w:sz w:val="20"/>
          <w:szCs w:val="20"/>
        </w:rPr>
      </w:pPr>
      <w:r w:rsidRPr="00D8391E">
        <w:rPr>
          <w:noProof/>
          <w:szCs w:val="20"/>
        </w:rPr>
        <w:drawing>
          <wp:anchor distT="0" distB="0" distL="114300" distR="114300" simplePos="0" relativeHeight="251715584" behindDoc="0" locked="0" layoutInCell="1" allowOverlap="1">
            <wp:simplePos x="0" y="0"/>
            <wp:positionH relativeFrom="column">
              <wp:posOffset>4159885</wp:posOffset>
            </wp:positionH>
            <wp:positionV relativeFrom="paragraph">
              <wp:posOffset>12700</wp:posOffset>
            </wp:positionV>
            <wp:extent cx="2438400" cy="1960245"/>
            <wp:effectExtent l="19050" t="0" r="0" b="0"/>
            <wp:wrapSquare wrapText="bothSides"/>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438400" cy="1960245"/>
                    </a:xfrm>
                    <a:prstGeom prst="rect">
                      <a:avLst/>
                    </a:prstGeom>
                    <a:noFill/>
                    <a:ln w="9525">
                      <a:noFill/>
                      <a:miter lim="800000"/>
                      <a:headEnd/>
                      <a:tailEnd/>
                    </a:ln>
                  </pic:spPr>
                </pic:pic>
              </a:graphicData>
            </a:graphic>
          </wp:anchor>
        </w:drawing>
      </w:r>
      <w:r w:rsidRPr="00D8391E">
        <w:rPr>
          <w:rFonts w:ascii="Arial" w:hAnsi="Arial" w:cs="Arial"/>
          <w:sz w:val="20"/>
          <w:szCs w:val="20"/>
        </w:rPr>
        <w:t xml:space="preserve">Le </w:t>
      </w:r>
      <w:r w:rsidRPr="00D8391E">
        <w:rPr>
          <w:rFonts w:ascii="Arial" w:hAnsi="Arial" w:cs="Arial"/>
          <w:b/>
          <w:bCs/>
          <w:sz w:val="20"/>
          <w:szCs w:val="20"/>
        </w:rPr>
        <w:t>marché des actions</w:t>
      </w:r>
      <w:r w:rsidRPr="00D8391E">
        <w:rPr>
          <w:rFonts w:ascii="Arial" w:hAnsi="Arial" w:cs="Arial"/>
          <w:sz w:val="20"/>
          <w:szCs w:val="20"/>
        </w:rPr>
        <w:t xml:space="preserve"> aurait légèrement réduit ses gains annuels au cours du premier trimestre 2017. Malgré un environnement propice à l’investissement en bourse, intégrant une amélioration continue de la liquidité bancaire et un niveau bas des taux d’intérêt, le marché aurait légèrement ralenti. Ce </w:t>
      </w:r>
      <w:r w:rsidR="00E7691D">
        <w:rPr>
          <w:rFonts w:ascii="Arial" w:hAnsi="Arial" w:cs="Arial"/>
          <w:sz w:val="20"/>
          <w:szCs w:val="20"/>
        </w:rPr>
        <w:t>mouve</w:t>
      </w:r>
      <w:r w:rsidRPr="00D8391E">
        <w:rPr>
          <w:rFonts w:ascii="Arial" w:hAnsi="Arial" w:cs="Arial"/>
          <w:sz w:val="20"/>
          <w:szCs w:val="20"/>
        </w:rPr>
        <w:t xml:space="preserve">ment aurait été déclenché par la publication des comptes 2016 des sociétés cotées, dévoilant une croissance </w:t>
      </w:r>
      <w:r w:rsidR="00E7691D" w:rsidRPr="00D8391E">
        <w:rPr>
          <w:rFonts w:ascii="Arial" w:hAnsi="Arial" w:cs="Arial"/>
          <w:sz w:val="20"/>
          <w:szCs w:val="20"/>
        </w:rPr>
        <w:t xml:space="preserve">moins vigoureuse </w:t>
      </w:r>
      <w:r w:rsidRPr="00D8391E">
        <w:rPr>
          <w:rFonts w:ascii="Arial" w:hAnsi="Arial" w:cs="Arial"/>
          <w:sz w:val="20"/>
          <w:szCs w:val="20"/>
        </w:rPr>
        <w:t xml:space="preserve">des résultats, en comparaison avec les anticipations du marché. Les indices MASI et MADEX auraient progressé de 22% et 21,7%, respectivement, en glissements annuels, après des hausses de 30,5% et 31,6%, </w:t>
      </w:r>
      <w:r w:rsidR="00C97A6C">
        <w:rPr>
          <w:rFonts w:ascii="Arial" w:hAnsi="Arial" w:cs="Arial"/>
          <w:sz w:val="20"/>
          <w:szCs w:val="20"/>
        </w:rPr>
        <w:t>le</w:t>
      </w:r>
      <w:r w:rsidRPr="00D8391E">
        <w:rPr>
          <w:rFonts w:ascii="Arial" w:hAnsi="Arial" w:cs="Arial"/>
          <w:sz w:val="20"/>
          <w:szCs w:val="20"/>
        </w:rPr>
        <w:t xml:space="preserve"> trimestre précédent. La </w:t>
      </w:r>
      <w:r w:rsidR="00001D6D">
        <w:rPr>
          <w:rFonts w:ascii="Arial" w:hAnsi="Arial" w:cs="Arial"/>
          <w:sz w:val="20"/>
          <w:szCs w:val="20"/>
        </w:rPr>
        <w:t xml:space="preserve">croissance de la </w:t>
      </w:r>
      <w:r w:rsidRPr="00D8391E">
        <w:rPr>
          <w:rFonts w:ascii="Arial" w:hAnsi="Arial" w:cs="Arial"/>
          <w:sz w:val="20"/>
          <w:szCs w:val="20"/>
        </w:rPr>
        <w:t xml:space="preserve">capitalisation boursière aurait aussi décéléré, </w:t>
      </w:r>
      <w:r w:rsidR="00001D6D">
        <w:rPr>
          <w:rFonts w:ascii="Arial" w:hAnsi="Arial" w:cs="Arial"/>
          <w:sz w:val="20"/>
          <w:szCs w:val="20"/>
        </w:rPr>
        <w:t>pass</w:t>
      </w:r>
      <w:r w:rsidRPr="00D8391E">
        <w:rPr>
          <w:rFonts w:ascii="Arial" w:hAnsi="Arial" w:cs="Arial"/>
          <w:sz w:val="20"/>
          <w:szCs w:val="20"/>
        </w:rPr>
        <w:t>ant de 28,7% à 22,1%</w:t>
      </w:r>
      <w:r w:rsidR="00001D6D">
        <w:rPr>
          <w:rFonts w:ascii="Arial" w:hAnsi="Arial" w:cs="Arial"/>
          <w:sz w:val="20"/>
          <w:szCs w:val="20"/>
        </w:rPr>
        <w:t>,</w:t>
      </w:r>
      <w:r w:rsidRPr="00D8391E">
        <w:rPr>
          <w:rFonts w:ascii="Arial" w:hAnsi="Arial" w:cs="Arial"/>
          <w:sz w:val="20"/>
          <w:szCs w:val="20"/>
        </w:rPr>
        <w:t xml:space="preserve"> entre</w:t>
      </w:r>
      <w:r w:rsidR="00001D6D">
        <w:rPr>
          <w:rFonts w:ascii="Arial" w:hAnsi="Arial" w:cs="Arial"/>
          <w:sz w:val="20"/>
          <w:szCs w:val="20"/>
        </w:rPr>
        <w:t xml:space="preserve"> les</w:t>
      </w:r>
      <w:r w:rsidRPr="00D8391E">
        <w:rPr>
          <w:rFonts w:ascii="Arial" w:hAnsi="Arial" w:cs="Arial"/>
          <w:sz w:val="20"/>
          <w:szCs w:val="20"/>
        </w:rPr>
        <w:t xml:space="preserve"> deux trimestres successifs. Parallèlement, le marché boursier aurait enregistré une augmentation des échanges, même si les investisseurs en actions continueraient d’intervenir avec prudence et précaution. C’est ainsi que le volume des transactions aurait augmenté de 145,1%, en variation annuelle. </w:t>
      </w:r>
    </w:p>
    <w:p w:rsidR="00592D6B" w:rsidRPr="00F20957" w:rsidRDefault="00592D6B" w:rsidP="00592D6B">
      <w:pPr>
        <w:jc w:val="both"/>
        <w:rPr>
          <w:rFonts w:ascii="Arial" w:hAnsi="Arial" w:cs="Arial"/>
          <w:sz w:val="20"/>
          <w:szCs w:val="20"/>
        </w:rPr>
      </w:pPr>
    </w:p>
    <w:p w:rsidR="0097276B" w:rsidRDefault="00A15C90" w:rsidP="007B39A8">
      <w:pPr>
        <w:jc w:val="both"/>
        <w:rPr>
          <w:rFonts w:ascii="Arial" w:hAnsi="Arial" w:cs="Arial"/>
          <w:b/>
          <w:bCs/>
          <w:color w:val="800000"/>
          <w:kern w:val="28"/>
          <w:sz w:val="20"/>
          <w:szCs w:val="20"/>
        </w:rPr>
      </w:pPr>
      <w:r>
        <w:rPr>
          <w:rFonts w:ascii="Arial" w:hAnsi="Arial" w:cs="Arial"/>
          <w:b/>
          <w:bCs/>
          <w:color w:val="800000"/>
          <w:kern w:val="28"/>
          <w:sz w:val="20"/>
          <w:szCs w:val="20"/>
        </w:rPr>
        <w:t>A</w:t>
      </w:r>
      <w:r w:rsidR="00A1525D">
        <w:rPr>
          <w:rFonts w:ascii="Arial" w:hAnsi="Arial" w:cs="Arial"/>
          <w:b/>
          <w:bCs/>
          <w:color w:val="800000"/>
          <w:kern w:val="28"/>
          <w:sz w:val="20"/>
          <w:szCs w:val="20"/>
        </w:rPr>
        <w:t>ccélération</w:t>
      </w:r>
      <w:r w:rsidR="007B39A8">
        <w:rPr>
          <w:rFonts w:ascii="Arial" w:hAnsi="Arial" w:cs="Arial"/>
          <w:b/>
          <w:bCs/>
          <w:color w:val="800000"/>
          <w:kern w:val="28"/>
          <w:sz w:val="20"/>
          <w:szCs w:val="20"/>
        </w:rPr>
        <w:t xml:space="preserve"> </w:t>
      </w:r>
      <w:r w:rsidR="0097276B" w:rsidRPr="001640A8">
        <w:rPr>
          <w:rFonts w:ascii="Arial" w:hAnsi="Arial" w:cs="Arial"/>
          <w:b/>
          <w:bCs/>
          <w:color w:val="800000"/>
          <w:kern w:val="28"/>
          <w:sz w:val="20"/>
          <w:szCs w:val="20"/>
        </w:rPr>
        <w:t xml:space="preserve">de la croissance </w:t>
      </w:r>
      <w:r w:rsidR="0097276B">
        <w:rPr>
          <w:rFonts w:ascii="Arial" w:hAnsi="Arial" w:cs="Arial"/>
          <w:b/>
          <w:bCs/>
          <w:color w:val="800000"/>
          <w:kern w:val="28"/>
          <w:sz w:val="20"/>
          <w:szCs w:val="20"/>
        </w:rPr>
        <w:t xml:space="preserve">économique </w:t>
      </w:r>
      <w:r>
        <w:rPr>
          <w:rFonts w:ascii="Arial" w:hAnsi="Arial" w:cs="Arial"/>
          <w:b/>
          <w:bCs/>
          <w:color w:val="800000"/>
          <w:kern w:val="28"/>
          <w:sz w:val="20"/>
          <w:szCs w:val="20"/>
        </w:rPr>
        <w:t xml:space="preserve">attendue </w:t>
      </w:r>
      <w:r w:rsidR="0097276B">
        <w:rPr>
          <w:rFonts w:ascii="Arial" w:hAnsi="Arial" w:cs="Arial"/>
          <w:b/>
          <w:bCs/>
          <w:color w:val="800000"/>
          <w:kern w:val="28"/>
          <w:sz w:val="20"/>
          <w:szCs w:val="20"/>
        </w:rPr>
        <w:t xml:space="preserve">au </w:t>
      </w:r>
      <w:r w:rsidR="00854BDA">
        <w:rPr>
          <w:rFonts w:ascii="Arial" w:hAnsi="Arial" w:cs="Arial"/>
          <w:b/>
          <w:bCs/>
          <w:color w:val="800000"/>
          <w:kern w:val="28"/>
          <w:sz w:val="20"/>
          <w:szCs w:val="20"/>
        </w:rPr>
        <w:t>deuxième</w:t>
      </w:r>
      <w:r w:rsidR="0097276B" w:rsidRPr="001640A8">
        <w:rPr>
          <w:rFonts w:ascii="Arial" w:hAnsi="Arial" w:cs="Arial"/>
          <w:b/>
          <w:bCs/>
          <w:color w:val="800000"/>
          <w:kern w:val="28"/>
          <w:sz w:val="20"/>
          <w:szCs w:val="20"/>
        </w:rPr>
        <w:t xml:space="preserve"> trimestre 201</w:t>
      </w:r>
      <w:r w:rsidR="003D1F6E">
        <w:rPr>
          <w:rFonts w:ascii="Arial" w:hAnsi="Arial" w:cs="Arial"/>
          <w:b/>
          <w:bCs/>
          <w:color w:val="800000"/>
          <w:kern w:val="28"/>
          <w:sz w:val="20"/>
          <w:szCs w:val="20"/>
        </w:rPr>
        <w:t>7</w:t>
      </w:r>
    </w:p>
    <w:p w:rsidR="0097276B" w:rsidRDefault="0097276B" w:rsidP="0032191A">
      <w:pPr>
        <w:jc w:val="both"/>
        <w:rPr>
          <w:rFonts w:ascii="Arial" w:hAnsi="Arial" w:cs="Arial"/>
          <w:b/>
          <w:bCs/>
          <w:color w:val="800000"/>
          <w:kern w:val="28"/>
          <w:sz w:val="20"/>
          <w:szCs w:val="20"/>
        </w:rPr>
      </w:pPr>
    </w:p>
    <w:p w:rsidR="006926DF" w:rsidRDefault="001B6EC9" w:rsidP="00E52D75">
      <w:pPr>
        <w:jc w:val="both"/>
        <w:rPr>
          <w:rFonts w:asciiTheme="minorBidi" w:hAnsiTheme="minorBidi" w:cstheme="minorBidi"/>
          <w:sz w:val="20"/>
          <w:szCs w:val="20"/>
        </w:rPr>
      </w:pPr>
      <w:r>
        <w:rPr>
          <w:rFonts w:ascii="Arial" w:hAnsi="Arial" w:cs="Arial"/>
          <w:sz w:val="20"/>
          <w:szCs w:val="20"/>
        </w:rPr>
        <w:t>L</w:t>
      </w:r>
      <w:r w:rsidR="004D08F1">
        <w:rPr>
          <w:rFonts w:ascii="Arial" w:hAnsi="Arial" w:cs="Arial"/>
          <w:sz w:val="20"/>
          <w:szCs w:val="20"/>
        </w:rPr>
        <w:t>a</w:t>
      </w:r>
      <w:r>
        <w:rPr>
          <w:rFonts w:ascii="Arial" w:hAnsi="Arial" w:cs="Arial"/>
          <w:sz w:val="20"/>
          <w:szCs w:val="20"/>
        </w:rPr>
        <w:t xml:space="preserve"> croissance économique</w:t>
      </w:r>
      <w:r w:rsidR="0097276B">
        <w:rPr>
          <w:rFonts w:ascii="Arial" w:hAnsi="Arial" w:cs="Arial"/>
          <w:sz w:val="20"/>
          <w:szCs w:val="20"/>
        </w:rPr>
        <w:t xml:space="preserve"> nationale </w:t>
      </w:r>
      <w:r w:rsidR="00F01418">
        <w:rPr>
          <w:rFonts w:ascii="Arial" w:hAnsi="Arial" w:cs="Arial"/>
          <w:sz w:val="20"/>
          <w:szCs w:val="20"/>
        </w:rPr>
        <w:t xml:space="preserve">devrait </w:t>
      </w:r>
      <w:r w:rsidR="004D08F1">
        <w:rPr>
          <w:rFonts w:ascii="Arial" w:hAnsi="Arial" w:cs="Arial"/>
          <w:sz w:val="20"/>
          <w:szCs w:val="20"/>
        </w:rPr>
        <w:t xml:space="preserve">se poursuivre à un rythme </w:t>
      </w:r>
      <w:r w:rsidR="001534CE">
        <w:rPr>
          <w:rFonts w:ascii="Arial" w:hAnsi="Arial" w:cs="Arial"/>
          <w:sz w:val="20"/>
          <w:szCs w:val="20"/>
        </w:rPr>
        <w:t>plus soutenu</w:t>
      </w:r>
      <w:r w:rsidR="0097276B">
        <w:rPr>
          <w:rFonts w:ascii="Arial" w:hAnsi="Arial" w:cs="Arial"/>
          <w:sz w:val="20"/>
          <w:szCs w:val="20"/>
        </w:rPr>
        <w:t xml:space="preserve"> au </w:t>
      </w:r>
      <w:r w:rsidR="00854BDA">
        <w:rPr>
          <w:rFonts w:ascii="Arial" w:hAnsi="Arial" w:cs="Arial"/>
          <w:sz w:val="20"/>
          <w:szCs w:val="20"/>
        </w:rPr>
        <w:t>deuxième</w:t>
      </w:r>
      <w:r w:rsidR="0097276B">
        <w:rPr>
          <w:rFonts w:ascii="Arial" w:hAnsi="Arial" w:cs="Arial"/>
          <w:sz w:val="20"/>
          <w:szCs w:val="20"/>
        </w:rPr>
        <w:t xml:space="preserve"> trimestre 201</w:t>
      </w:r>
      <w:r w:rsidR="00721969">
        <w:rPr>
          <w:rFonts w:ascii="Arial" w:hAnsi="Arial" w:cs="Arial"/>
          <w:sz w:val="20"/>
          <w:szCs w:val="20"/>
        </w:rPr>
        <w:t>7</w:t>
      </w:r>
      <w:r w:rsidR="0097276B">
        <w:rPr>
          <w:rFonts w:ascii="Arial" w:hAnsi="Arial" w:cs="Arial"/>
          <w:sz w:val="20"/>
          <w:szCs w:val="20"/>
        </w:rPr>
        <w:t xml:space="preserve">, </w:t>
      </w:r>
      <w:r w:rsidR="00D14F86">
        <w:rPr>
          <w:rFonts w:ascii="Arial" w:hAnsi="Arial" w:cs="Arial"/>
          <w:sz w:val="20"/>
          <w:szCs w:val="20"/>
        </w:rPr>
        <w:t xml:space="preserve">sous l’effet </w:t>
      </w:r>
      <w:r w:rsidR="00446A4A">
        <w:rPr>
          <w:rFonts w:ascii="Arial" w:hAnsi="Arial" w:cs="Arial"/>
          <w:sz w:val="20"/>
          <w:szCs w:val="20"/>
        </w:rPr>
        <w:t>d’un</w:t>
      </w:r>
      <w:r w:rsidR="00721969">
        <w:rPr>
          <w:rFonts w:ascii="Arial" w:hAnsi="Arial" w:cs="Arial"/>
          <w:sz w:val="20"/>
          <w:szCs w:val="20"/>
        </w:rPr>
        <w:t xml:space="preserve"> </w:t>
      </w:r>
      <w:r w:rsidR="004D08F1">
        <w:rPr>
          <w:rFonts w:ascii="Arial" w:hAnsi="Arial" w:cs="Arial"/>
          <w:sz w:val="20"/>
          <w:szCs w:val="20"/>
        </w:rPr>
        <w:t>accroi</w:t>
      </w:r>
      <w:r w:rsidR="00721969">
        <w:rPr>
          <w:rFonts w:ascii="Arial" w:hAnsi="Arial" w:cs="Arial"/>
          <w:sz w:val="20"/>
          <w:szCs w:val="20"/>
        </w:rPr>
        <w:t>ssement</w:t>
      </w:r>
      <w:r w:rsidR="0014485F">
        <w:rPr>
          <w:rFonts w:ascii="Arial" w:hAnsi="Arial" w:cs="Arial"/>
          <w:sz w:val="20"/>
          <w:szCs w:val="20"/>
        </w:rPr>
        <w:t xml:space="preserve"> de </w:t>
      </w:r>
      <w:r w:rsidR="003623B6">
        <w:rPr>
          <w:rFonts w:ascii="Arial" w:hAnsi="Arial" w:cs="Arial"/>
          <w:sz w:val="20"/>
          <w:szCs w:val="20"/>
        </w:rPr>
        <w:t>1</w:t>
      </w:r>
      <w:r w:rsidR="001534CE">
        <w:rPr>
          <w:rFonts w:ascii="Arial" w:hAnsi="Arial" w:cs="Arial"/>
          <w:sz w:val="20"/>
          <w:szCs w:val="20"/>
        </w:rPr>
        <w:t>4</w:t>
      </w:r>
      <w:r w:rsidR="00C9248C" w:rsidRPr="00D91862">
        <w:rPr>
          <w:rFonts w:asciiTheme="minorBidi" w:hAnsiTheme="minorBidi" w:cstheme="minorBidi"/>
          <w:sz w:val="20"/>
          <w:szCs w:val="20"/>
        </w:rPr>
        <w:t>,</w:t>
      </w:r>
      <w:r w:rsidR="001534CE">
        <w:rPr>
          <w:rFonts w:asciiTheme="minorBidi" w:hAnsiTheme="minorBidi" w:cstheme="minorBidi"/>
          <w:sz w:val="20"/>
          <w:szCs w:val="20"/>
        </w:rPr>
        <w:t>8</w:t>
      </w:r>
      <w:r w:rsidR="00C9248C" w:rsidRPr="00D91862">
        <w:rPr>
          <w:rFonts w:asciiTheme="minorBidi" w:hAnsiTheme="minorBidi" w:cstheme="minorBidi"/>
          <w:sz w:val="20"/>
          <w:szCs w:val="20"/>
        </w:rPr>
        <w:t>%</w:t>
      </w:r>
      <w:r w:rsidR="00C9248C">
        <w:rPr>
          <w:rFonts w:asciiTheme="minorBidi" w:hAnsiTheme="minorBidi" w:cstheme="minorBidi"/>
          <w:sz w:val="20"/>
          <w:szCs w:val="20"/>
        </w:rPr>
        <w:t xml:space="preserve"> de</w:t>
      </w:r>
      <w:r w:rsidR="00C9248C">
        <w:rPr>
          <w:rFonts w:ascii="Arial" w:hAnsi="Arial" w:cs="Arial"/>
          <w:sz w:val="20"/>
          <w:szCs w:val="20"/>
        </w:rPr>
        <w:t xml:space="preserve"> </w:t>
      </w:r>
      <w:r w:rsidR="0014485F">
        <w:rPr>
          <w:rFonts w:ascii="Arial" w:hAnsi="Arial" w:cs="Arial"/>
          <w:sz w:val="20"/>
          <w:szCs w:val="20"/>
        </w:rPr>
        <w:t xml:space="preserve">la </w:t>
      </w:r>
      <w:r w:rsidR="0094768B">
        <w:rPr>
          <w:rFonts w:ascii="Arial" w:hAnsi="Arial" w:cs="Arial"/>
          <w:sz w:val="20"/>
          <w:szCs w:val="20"/>
        </w:rPr>
        <w:t>valeur ajoutée</w:t>
      </w:r>
      <w:r w:rsidR="0014485F">
        <w:rPr>
          <w:rFonts w:ascii="Arial" w:hAnsi="Arial" w:cs="Arial"/>
          <w:sz w:val="20"/>
          <w:szCs w:val="20"/>
        </w:rPr>
        <w:t xml:space="preserve"> agricole</w:t>
      </w:r>
      <w:r w:rsidR="00C9248C">
        <w:rPr>
          <w:rFonts w:asciiTheme="minorBidi" w:hAnsiTheme="minorBidi" w:cstheme="minorBidi"/>
          <w:sz w:val="20"/>
          <w:szCs w:val="20"/>
        </w:rPr>
        <w:t xml:space="preserve">, </w:t>
      </w:r>
      <w:r w:rsidR="00E52D75">
        <w:rPr>
          <w:rFonts w:asciiTheme="minorBidi" w:hAnsiTheme="minorBidi" w:cstheme="minorBidi"/>
          <w:sz w:val="20"/>
          <w:szCs w:val="20"/>
        </w:rPr>
        <w:t>qui aurait porté</w:t>
      </w:r>
      <w:r w:rsidR="00B92336" w:rsidRPr="00035FD0">
        <w:rPr>
          <w:rFonts w:asciiTheme="minorBidi" w:hAnsiTheme="minorBidi" w:cstheme="minorBidi"/>
          <w:sz w:val="20"/>
          <w:szCs w:val="20"/>
        </w:rPr>
        <w:t xml:space="preserve"> sa contribution à la croissance économique globale à </w:t>
      </w:r>
      <w:r w:rsidR="003409C4">
        <w:rPr>
          <w:rFonts w:asciiTheme="minorBidi" w:hAnsiTheme="minorBidi" w:cstheme="minorBidi"/>
          <w:sz w:val="20"/>
          <w:szCs w:val="20"/>
        </w:rPr>
        <w:t>1,</w:t>
      </w:r>
      <w:r w:rsidR="001534CE">
        <w:rPr>
          <w:rFonts w:asciiTheme="minorBidi" w:hAnsiTheme="minorBidi" w:cstheme="minorBidi"/>
          <w:sz w:val="20"/>
          <w:szCs w:val="20"/>
        </w:rPr>
        <w:t>7</w:t>
      </w:r>
      <w:r w:rsidR="00B92336">
        <w:rPr>
          <w:rFonts w:asciiTheme="minorBidi" w:hAnsiTheme="minorBidi"/>
          <w:sz w:val="20"/>
          <w:szCs w:val="20"/>
        </w:rPr>
        <w:t xml:space="preserve"> </w:t>
      </w:r>
      <w:r w:rsidR="00B92336" w:rsidRPr="00035FD0">
        <w:rPr>
          <w:rFonts w:asciiTheme="minorBidi" w:hAnsiTheme="minorBidi" w:cstheme="minorBidi"/>
          <w:sz w:val="20"/>
          <w:szCs w:val="20"/>
        </w:rPr>
        <w:t>point</w:t>
      </w:r>
      <w:r w:rsidR="00C97A6C">
        <w:rPr>
          <w:rFonts w:asciiTheme="minorBidi" w:hAnsiTheme="minorBidi" w:cstheme="minorBidi"/>
          <w:sz w:val="20"/>
          <w:szCs w:val="20"/>
        </w:rPr>
        <w:t xml:space="preserve">, au lieu de 1,5 </w:t>
      </w:r>
      <w:r w:rsidR="00E52D75">
        <w:rPr>
          <w:rFonts w:asciiTheme="minorBidi" w:hAnsiTheme="minorBidi" w:cstheme="minorBidi"/>
          <w:sz w:val="20"/>
          <w:szCs w:val="20"/>
        </w:rPr>
        <w:t xml:space="preserve">point </w:t>
      </w:r>
      <w:r w:rsidR="00C97A6C">
        <w:rPr>
          <w:rFonts w:asciiTheme="minorBidi" w:hAnsiTheme="minorBidi" w:cstheme="minorBidi"/>
          <w:sz w:val="20"/>
          <w:szCs w:val="20"/>
        </w:rPr>
        <w:t>un trimestre auparavant</w:t>
      </w:r>
      <w:r w:rsidR="00B92336" w:rsidRPr="00035FD0">
        <w:rPr>
          <w:rFonts w:asciiTheme="minorBidi" w:hAnsiTheme="minorBidi" w:cstheme="minorBidi"/>
          <w:sz w:val="20"/>
          <w:szCs w:val="20"/>
        </w:rPr>
        <w:t xml:space="preserve">. </w:t>
      </w:r>
      <w:r w:rsidR="002A44E8" w:rsidRPr="00E83DFE">
        <w:rPr>
          <w:rFonts w:asciiTheme="minorBidi" w:hAnsiTheme="minorBidi" w:cstheme="minorBidi"/>
          <w:sz w:val="20"/>
          <w:szCs w:val="20"/>
        </w:rPr>
        <w:t>Ce</w:t>
      </w:r>
      <w:r w:rsidR="00C97A6C">
        <w:rPr>
          <w:rFonts w:asciiTheme="minorBidi" w:hAnsiTheme="minorBidi" w:cstheme="minorBidi"/>
          <w:sz w:val="20"/>
          <w:szCs w:val="20"/>
        </w:rPr>
        <w:t>tte amélioration</w:t>
      </w:r>
      <w:r w:rsidR="002A44E8" w:rsidRPr="00E83DFE">
        <w:rPr>
          <w:rFonts w:asciiTheme="minorBidi" w:hAnsiTheme="minorBidi" w:cstheme="minorBidi"/>
          <w:sz w:val="20"/>
          <w:szCs w:val="20"/>
        </w:rPr>
        <w:t xml:space="preserve"> serait a</w:t>
      </w:r>
      <w:r w:rsidR="009400C7">
        <w:rPr>
          <w:rFonts w:asciiTheme="minorBidi" w:hAnsiTheme="minorBidi" w:cstheme="minorBidi"/>
          <w:sz w:val="20"/>
          <w:szCs w:val="20"/>
        </w:rPr>
        <w:t>ttribu</w:t>
      </w:r>
      <w:r w:rsidR="002A44E8" w:rsidRPr="00E83DFE">
        <w:rPr>
          <w:rFonts w:asciiTheme="minorBidi" w:hAnsiTheme="minorBidi" w:cstheme="minorBidi"/>
          <w:sz w:val="20"/>
          <w:szCs w:val="20"/>
        </w:rPr>
        <w:t xml:space="preserve">able </w:t>
      </w:r>
      <w:r w:rsidR="008317AF">
        <w:rPr>
          <w:rFonts w:asciiTheme="minorBidi" w:hAnsiTheme="minorBidi" w:cstheme="minorBidi"/>
          <w:sz w:val="20"/>
          <w:szCs w:val="20"/>
        </w:rPr>
        <w:t>au renforcement</w:t>
      </w:r>
      <w:r w:rsidR="002A44E8" w:rsidRPr="00E83DFE">
        <w:rPr>
          <w:rFonts w:asciiTheme="minorBidi" w:hAnsiTheme="minorBidi" w:cstheme="minorBidi"/>
          <w:sz w:val="20"/>
          <w:szCs w:val="20"/>
        </w:rPr>
        <w:t xml:space="preserve"> de la production animale, notamment celle de l’avicole et au relèvement de la production des céréales, des légumineuses et des maraîchères de saison. Dans ce contexte, les prix agricoles devraient connaitre une sensible modération, après la flambée ayant marqué les prix de</w:t>
      </w:r>
      <w:r w:rsidR="00BC5D66">
        <w:rPr>
          <w:rFonts w:asciiTheme="minorBidi" w:hAnsiTheme="minorBidi" w:cstheme="minorBidi"/>
          <w:sz w:val="20"/>
          <w:szCs w:val="20"/>
        </w:rPr>
        <w:t>s</w:t>
      </w:r>
      <w:r w:rsidR="002A44E8" w:rsidRPr="00E83DFE">
        <w:rPr>
          <w:rFonts w:asciiTheme="minorBidi" w:hAnsiTheme="minorBidi" w:cstheme="minorBidi"/>
          <w:sz w:val="20"/>
          <w:szCs w:val="20"/>
        </w:rPr>
        <w:t xml:space="preserve"> volailles, des œufs, des agrumes et de certains légumes frais au cours de la même période de 2016.</w:t>
      </w:r>
    </w:p>
    <w:p w:rsidR="002A44E8" w:rsidRPr="00D34739" w:rsidRDefault="002A44E8" w:rsidP="002A44E8">
      <w:pPr>
        <w:jc w:val="both"/>
        <w:rPr>
          <w:rFonts w:asciiTheme="minorBidi" w:hAnsiTheme="minorBidi" w:cstheme="minorBidi"/>
          <w:sz w:val="20"/>
          <w:szCs w:val="20"/>
        </w:rPr>
      </w:pPr>
    </w:p>
    <w:p w:rsidR="00B170F5" w:rsidRPr="003F4D95" w:rsidRDefault="00C97A6C" w:rsidP="008317AF">
      <w:pPr>
        <w:jc w:val="both"/>
        <w:rPr>
          <w:rFonts w:ascii="Arial" w:hAnsi="Arial" w:cs="Arial"/>
          <w:sz w:val="20"/>
          <w:szCs w:val="20"/>
        </w:rPr>
      </w:pPr>
      <w:r>
        <w:rPr>
          <w:rFonts w:ascii="Arial" w:hAnsi="Arial" w:cs="Arial"/>
          <w:noProof/>
          <w:sz w:val="20"/>
          <w:szCs w:val="20"/>
        </w:rPr>
        <w:drawing>
          <wp:anchor distT="0" distB="0" distL="114300" distR="114300" simplePos="0" relativeHeight="251714560" behindDoc="0" locked="0" layoutInCell="1" allowOverlap="1">
            <wp:simplePos x="0" y="0"/>
            <wp:positionH relativeFrom="column">
              <wp:posOffset>4130675</wp:posOffset>
            </wp:positionH>
            <wp:positionV relativeFrom="paragraph">
              <wp:posOffset>1208405</wp:posOffset>
            </wp:positionV>
            <wp:extent cx="2409190" cy="2026285"/>
            <wp:effectExtent l="19050" t="0" r="0" b="0"/>
            <wp:wrapSquare wrapText="bothSides"/>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409190" cy="2026285"/>
                    </a:xfrm>
                    <a:prstGeom prst="rect">
                      <a:avLst/>
                    </a:prstGeom>
                    <a:noFill/>
                    <a:ln w="9525">
                      <a:noFill/>
                      <a:miter lim="800000"/>
                      <a:headEnd/>
                      <a:tailEnd/>
                    </a:ln>
                  </pic:spPr>
                </pic:pic>
              </a:graphicData>
            </a:graphic>
          </wp:anchor>
        </w:drawing>
      </w:r>
      <w:r w:rsidR="00B170F5" w:rsidRPr="0030397E">
        <w:rPr>
          <w:rFonts w:ascii="Arial" w:hAnsi="Arial" w:cs="Arial"/>
          <w:sz w:val="20"/>
          <w:szCs w:val="20"/>
        </w:rPr>
        <w:t xml:space="preserve">Par ailleurs, </w:t>
      </w:r>
      <w:r w:rsidR="00B170F5" w:rsidRPr="003F4D95">
        <w:rPr>
          <w:rFonts w:ascii="Arial" w:hAnsi="Arial" w:cs="Arial"/>
          <w:sz w:val="20"/>
          <w:szCs w:val="20"/>
        </w:rPr>
        <w:t xml:space="preserve">l'amélioration du climat des affaires aussi bien dans les économies émergentes qu'avancées </w:t>
      </w:r>
      <w:r w:rsidR="00B170F5">
        <w:rPr>
          <w:rFonts w:ascii="Arial" w:hAnsi="Arial" w:cs="Arial"/>
          <w:sz w:val="20"/>
          <w:szCs w:val="20"/>
        </w:rPr>
        <w:t>devrait se poursuivre au</w:t>
      </w:r>
      <w:r w:rsidR="00B170F5" w:rsidRPr="003F4D95">
        <w:rPr>
          <w:rFonts w:ascii="Arial" w:hAnsi="Arial" w:cs="Arial"/>
          <w:sz w:val="20"/>
          <w:szCs w:val="20"/>
        </w:rPr>
        <w:t xml:space="preserve"> deuxième trimestre 2017, malgré les incertitudes politiques encore fortes en Europe et le léger regain d'inflation. La hausse des importations des pays avancés, notamment américaines et de la zone euro, et celles des pays émergents, en particulier chinoises, permettraient au commerce mondial de progresser à un rythme plus </w:t>
      </w:r>
      <w:r>
        <w:rPr>
          <w:rFonts w:ascii="Arial" w:hAnsi="Arial" w:cs="Arial"/>
          <w:sz w:val="20"/>
          <w:szCs w:val="20"/>
        </w:rPr>
        <w:t>souten</w:t>
      </w:r>
      <w:r w:rsidR="00B170F5" w:rsidRPr="003F4D95">
        <w:rPr>
          <w:rFonts w:ascii="Arial" w:hAnsi="Arial" w:cs="Arial"/>
          <w:sz w:val="20"/>
          <w:szCs w:val="20"/>
        </w:rPr>
        <w:t xml:space="preserve">u que l’année précédente. Dans ce contexte, la demande mondiale adressée au Maroc devrait s'améliorer de 4,7%, en glissement annuel. Toutefois, la dépréciation actuelle de l’euro vis-à-vis du dollar sur les marchés de change pourrait jouer en défaveur de la compétitivité-prix de nos exportations à destination de la zone euro d’une part, et renchérir nos importations de produits bruts d’autre part, surtout si les </w:t>
      </w:r>
      <w:r w:rsidR="00B170F5" w:rsidRPr="003F4D95">
        <w:rPr>
          <w:rFonts w:ascii="Arial" w:hAnsi="Arial" w:cs="Arial"/>
          <w:iCs/>
          <w:kern w:val="28"/>
          <w:sz w:val="20"/>
          <w:szCs w:val="20"/>
        </w:rPr>
        <w:t xml:space="preserve">cours mondiaux des matières premières industrielles </w:t>
      </w:r>
      <w:r w:rsidR="00B170F5">
        <w:rPr>
          <w:rFonts w:ascii="Arial" w:hAnsi="Arial" w:cs="Arial"/>
          <w:iCs/>
          <w:kern w:val="28"/>
          <w:sz w:val="20"/>
          <w:szCs w:val="20"/>
        </w:rPr>
        <w:t>poursuivraient leur progression</w:t>
      </w:r>
      <w:r w:rsidR="00B170F5" w:rsidRPr="003F4D95">
        <w:rPr>
          <w:rFonts w:ascii="Arial" w:hAnsi="Arial" w:cs="Arial"/>
          <w:iCs/>
          <w:kern w:val="28"/>
          <w:sz w:val="20"/>
          <w:szCs w:val="20"/>
        </w:rPr>
        <w:t>.</w:t>
      </w:r>
    </w:p>
    <w:p w:rsidR="00B170F5" w:rsidRDefault="00B170F5" w:rsidP="0063416F">
      <w:pPr>
        <w:jc w:val="both"/>
        <w:rPr>
          <w:rFonts w:ascii="Arial" w:hAnsi="Arial" w:cs="Arial"/>
          <w:sz w:val="20"/>
          <w:szCs w:val="20"/>
        </w:rPr>
      </w:pPr>
    </w:p>
    <w:p w:rsidR="00307E8D" w:rsidRDefault="006C0640" w:rsidP="008317AF">
      <w:pPr>
        <w:jc w:val="both"/>
        <w:rPr>
          <w:rFonts w:ascii="Arial" w:hAnsi="Arial" w:cs="Arial"/>
          <w:kern w:val="28"/>
          <w:sz w:val="20"/>
          <w:szCs w:val="20"/>
        </w:rPr>
      </w:pPr>
      <w:r>
        <w:rPr>
          <w:rFonts w:ascii="Arial" w:hAnsi="Arial" w:cs="Arial"/>
          <w:iCs/>
          <w:kern w:val="28"/>
          <w:sz w:val="20"/>
          <w:szCs w:val="20"/>
        </w:rPr>
        <w:t>Dans ce contexte, l</w:t>
      </w:r>
      <w:r w:rsidR="00307E8D">
        <w:rPr>
          <w:rFonts w:ascii="Arial" w:hAnsi="Arial" w:cs="Arial"/>
          <w:iCs/>
          <w:kern w:val="28"/>
          <w:sz w:val="20"/>
          <w:szCs w:val="20"/>
        </w:rPr>
        <w:t>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 réaliser</w:t>
      </w:r>
      <w:r>
        <w:rPr>
          <w:rFonts w:ascii="Arial" w:hAnsi="Arial" w:cs="Arial"/>
          <w:sz w:val="20"/>
          <w:szCs w:val="20"/>
        </w:rPr>
        <w:t>ait</w:t>
      </w:r>
      <w:r w:rsidR="00307E8D">
        <w:rPr>
          <w:rFonts w:ascii="Arial" w:hAnsi="Arial" w:cs="Arial"/>
          <w:sz w:val="20"/>
          <w:szCs w:val="20"/>
        </w:rPr>
        <w:t xml:space="preserve"> un accroissement de </w:t>
      </w:r>
      <w:r w:rsidR="001534CE">
        <w:rPr>
          <w:rFonts w:ascii="Arial" w:hAnsi="Arial" w:cs="Arial"/>
          <w:sz w:val="20"/>
          <w:szCs w:val="20"/>
        </w:rPr>
        <w:t>3</w:t>
      </w:r>
      <w:r w:rsidR="00307E8D">
        <w:rPr>
          <w:rFonts w:ascii="Arial" w:hAnsi="Arial" w:cs="Arial"/>
          <w:sz w:val="20"/>
          <w:szCs w:val="20"/>
        </w:rPr>
        <w:t>,</w:t>
      </w:r>
      <w:r w:rsidR="001534CE">
        <w:rPr>
          <w:rFonts w:ascii="Arial" w:hAnsi="Arial" w:cs="Arial"/>
          <w:sz w:val="20"/>
          <w:szCs w:val="20"/>
        </w:rPr>
        <w:t>6</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854BDA">
        <w:rPr>
          <w:rFonts w:ascii="Arial" w:hAnsi="Arial" w:cs="Arial"/>
          <w:sz w:val="20"/>
          <w:szCs w:val="20"/>
        </w:rPr>
        <w:t>deuxième</w:t>
      </w:r>
      <w:r w:rsidR="00721969">
        <w:rPr>
          <w:rFonts w:ascii="Arial" w:hAnsi="Arial" w:cs="Arial"/>
          <w:sz w:val="20"/>
          <w:szCs w:val="20"/>
        </w:rPr>
        <w:t xml:space="preserve"> trimestre 2017</w:t>
      </w:r>
      <w:r w:rsidR="00307E8D">
        <w:rPr>
          <w:rFonts w:ascii="Arial" w:hAnsi="Arial" w:cs="Arial"/>
          <w:sz w:val="20"/>
          <w:szCs w:val="20"/>
        </w:rPr>
        <w:t>, en variation annuelle</w:t>
      </w:r>
      <w:r w:rsidR="008317AF">
        <w:rPr>
          <w:rFonts w:ascii="Arial" w:hAnsi="Arial" w:cs="Arial"/>
          <w:sz w:val="20"/>
          <w:szCs w:val="20"/>
        </w:rPr>
        <w:t xml:space="preserve"> et </w:t>
      </w:r>
      <w:r w:rsidR="00C97A6C">
        <w:rPr>
          <w:rFonts w:ascii="Arial" w:hAnsi="Arial" w:cs="Arial"/>
          <w:sz w:val="20"/>
          <w:szCs w:val="20"/>
        </w:rPr>
        <w:t>l</w:t>
      </w:r>
      <w:r w:rsidR="00967EC1" w:rsidRPr="00E83DFE">
        <w:rPr>
          <w:rFonts w:asciiTheme="minorBidi" w:hAnsiTheme="minorBidi" w:cstheme="minorBidi"/>
          <w:sz w:val="20"/>
          <w:szCs w:val="20"/>
        </w:rPr>
        <w:t xml:space="preserve">es activités minières </w:t>
      </w:r>
      <w:r w:rsidR="00C97A6C">
        <w:rPr>
          <w:rFonts w:asciiTheme="minorBidi" w:hAnsiTheme="minorBidi" w:cstheme="minorBidi"/>
          <w:sz w:val="20"/>
          <w:szCs w:val="20"/>
        </w:rPr>
        <w:t>affiche</w:t>
      </w:r>
      <w:r w:rsidR="00C97A6C" w:rsidRPr="00E83DFE">
        <w:rPr>
          <w:rFonts w:asciiTheme="minorBidi" w:hAnsiTheme="minorBidi" w:cstheme="minorBidi"/>
          <w:sz w:val="20"/>
          <w:szCs w:val="20"/>
        </w:rPr>
        <w:t>raient</w:t>
      </w:r>
      <w:r w:rsidR="00967EC1" w:rsidRPr="00E83DFE">
        <w:rPr>
          <w:rFonts w:asciiTheme="minorBidi" w:hAnsiTheme="minorBidi" w:cstheme="minorBidi"/>
          <w:sz w:val="20"/>
          <w:szCs w:val="20"/>
        </w:rPr>
        <w:t xml:space="preserve"> </w:t>
      </w:r>
      <w:r w:rsidR="00C97A6C">
        <w:rPr>
          <w:rFonts w:asciiTheme="minorBidi" w:hAnsiTheme="minorBidi" w:cstheme="minorBidi"/>
          <w:sz w:val="20"/>
          <w:szCs w:val="20"/>
        </w:rPr>
        <w:t>une hausse de</w:t>
      </w:r>
      <w:r w:rsidR="00967EC1" w:rsidRPr="00E83DFE">
        <w:rPr>
          <w:rFonts w:asciiTheme="minorBidi" w:hAnsiTheme="minorBidi" w:cstheme="minorBidi"/>
          <w:sz w:val="20"/>
          <w:szCs w:val="20"/>
        </w:rPr>
        <w:t xml:space="preserve"> 8,1%, grâce notamment à la poursuite de la dynamique de production des minerais non-métalliques. Les exportations d</w:t>
      </w:r>
      <w:r w:rsidR="00906998">
        <w:rPr>
          <w:rFonts w:asciiTheme="minorBidi" w:hAnsiTheme="minorBidi" w:cstheme="minorBidi"/>
          <w:sz w:val="20"/>
          <w:szCs w:val="20"/>
        </w:rPr>
        <w:t>e</w:t>
      </w:r>
      <w:r w:rsidR="00967EC1" w:rsidRPr="00E83DFE">
        <w:rPr>
          <w:rFonts w:asciiTheme="minorBidi" w:hAnsiTheme="minorBidi" w:cstheme="minorBidi"/>
          <w:sz w:val="20"/>
          <w:szCs w:val="20"/>
        </w:rPr>
        <w:t xml:space="preserve"> phosphate brut progresseraient à un rythme modéré, mais ses ventes destinées aux industries locales de transformation se renforceraient, </w:t>
      </w:r>
      <w:r w:rsidR="00C97A6C">
        <w:rPr>
          <w:rFonts w:asciiTheme="minorBidi" w:hAnsiTheme="minorBidi" w:cstheme="minorBidi"/>
          <w:sz w:val="20"/>
          <w:szCs w:val="20"/>
        </w:rPr>
        <w:t>dans le sillage du redressement des</w:t>
      </w:r>
      <w:r w:rsidR="00967EC1" w:rsidRPr="00E83DFE">
        <w:rPr>
          <w:rFonts w:asciiTheme="minorBidi" w:hAnsiTheme="minorBidi" w:cstheme="minorBidi"/>
          <w:sz w:val="20"/>
          <w:szCs w:val="20"/>
        </w:rPr>
        <w:t xml:space="preserve"> cours internationaux des produits agricoles. </w:t>
      </w:r>
      <w:r w:rsidR="00307E8D">
        <w:rPr>
          <w:rFonts w:ascii="Arial" w:hAnsi="Arial" w:cs="Arial"/>
          <w:kern w:val="28"/>
          <w:sz w:val="20"/>
          <w:szCs w:val="20"/>
        </w:rPr>
        <w:t>Quant aux services, leur valeur ajoutée croîtr</w:t>
      </w:r>
      <w:r w:rsidR="00C97A6C">
        <w:rPr>
          <w:rFonts w:ascii="Arial" w:hAnsi="Arial" w:cs="Arial"/>
          <w:kern w:val="28"/>
          <w:sz w:val="20"/>
          <w:szCs w:val="20"/>
        </w:rPr>
        <w:t>ait de 2,8%</w:t>
      </w:r>
      <w:r w:rsidR="006C2DB9">
        <w:rPr>
          <w:rFonts w:ascii="Arial" w:hAnsi="Arial" w:cs="Arial"/>
          <w:kern w:val="28"/>
          <w:sz w:val="20"/>
          <w:szCs w:val="20"/>
        </w:rPr>
        <w:t xml:space="preserve">, </w:t>
      </w:r>
      <w:r w:rsidR="00307E8D">
        <w:rPr>
          <w:rFonts w:ascii="Arial" w:hAnsi="Arial" w:cs="Arial"/>
          <w:kern w:val="28"/>
          <w:sz w:val="20"/>
          <w:szCs w:val="20"/>
        </w:rPr>
        <w:t xml:space="preserve">contribuant pour </w:t>
      </w:r>
      <w:r w:rsidR="00967EC1">
        <w:rPr>
          <w:rFonts w:ascii="Arial" w:hAnsi="Arial" w:cs="Arial"/>
          <w:kern w:val="28"/>
          <w:sz w:val="20"/>
          <w:szCs w:val="20"/>
        </w:rPr>
        <w:t>environ 1,3 point à la croissance globale du PIB</w:t>
      </w:r>
      <w:r w:rsidR="00307E8D">
        <w:rPr>
          <w:rFonts w:ascii="Arial" w:hAnsi="Arial" w:cs="Arial"/>
          <w:kern w:val="28"/>
          <w:sz w:val="20"/>
          <w:szCs w:val="20"/>
        </w:rPr>
        <w:t xml:space="preserve">. </w:t>
      </w:r>
    </w:p>
    <w:p w:rsidR="009126B7" w:rsidRDefault="009126B7" w:rsidP="009825F8">
      <w:pPr>
        <w:jc w:val="both"/>
        <w:rPr>
          <w:rFonts w:ascii="Arial" w:hAnsi="Arial" w:cs="Arial"/>
          <w:kern w:val="28"/>
          <w:sz w:val="20"/>
          <w:szCs w:val="20"/>
        </w:rPr>
      </w:pPr>
    </w:p>
    <w:p w:rsidR="0097276B" w:rsidRDefault="0097276B" w:rsidP="00390240">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w:t>
      </w:r>
      <w:r w:rsidR="001534CE">
        <w:rPr>
          <w:rFonts w:ascii="Arial" w:hAnsi="Arial" w:cs="Arial"/>
          <w:sz w:val="20"/>
          <w:szCs w:val="20"/>
        </w:rPr>
        <w:t>3</w:t>
      </w:r>
      <w:r w:rsidR="00002878">
        <w:rPr>
          <w:rFonts w:ascii="Arial" w:hAnsi="Arial" w:cs="Arial"/>
          <w:sz w:val="20"/>
          <w:szCs w:val="20"/>
        </w:rPr>
        <w:t>,</w:t>
      </w:r>
      <w:r w:rsidR="00390240">
        <w:rPr>
          <w:rFonts w:ascii="Arial" w:hAnsi="Arial" w:cs="Arial"/>
          <w:sz w:val="20"/>
          <w:szCs w:val="20"/>
        </w:rPr>
        <w:t>2</w:t>
      </w:r>
      <w:r>
        <w:rPr>
          <w:rFonts w:ascii="Arial" w:hAnsi="Arial" w:cs="Arial"/>
          <w:sz w:val="20"/>
          <w:szCs w:val="20"/>
        </w:rPr>
        <w:t xml:space="preserve">%, au </w:t>
      </w:r>
      <w:r w:rsidR="00854BDA">
        <w:rPr>
          <w:rFonts w:ascii="Arial" w:hAnsi="Arial" w:cs="Arial"/>
          <w:sz w:val="20"/>
          <w:szCs w:val="20"/>
        </w:rPr>
        <w:t>deuxième</w:t>
      </w:r>
      <w:r>
        <w:rPr>
          <w:rFonts w:ascii="Arial" w:hAnsi="Arial" w:cs="Arial"/>
          <w:sz w:val="20"/>
          <w:szCs w:val="20"/>
        </w:rPr>
        <w:t xml:space="preserve"> trimestre 201</w:t>
      </w:r>
      <w:r w:rsidR="00721969">
        <w:rPr>
          <w:rFonts w:ascii="Arial" w:hAnsi="Arial" w:cs="Arial"/>
          <w:sz w:val="20"/>
          <w:szCs w:val="20"/>
        </w:rPr>
        <w:t>7</w:t>
      </w:r>
      <w:r>
        <w:rPr>
          <w:rFonts w:ascii="Arial" w:hAnsi="Arial" w:cs="Arial"/>
          <w:sz w:val="20"/>
          <w:szCs w:val="20"/>
        </w:rPr>
        <w:t xml:space="preserve">,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8F0528">
        <w:rPr>
          <w:rFonts w:ascii="Arial" w:hAnsi="Arial" w:cs="Arial"/>
          <w:sz w:val="20"/>
          <w:szCs w:val="20"/>
        </w:rPr>
        <w:t>4</w:t>
      </w:r>
      <w:r w:rsidR="001534CE">
        <w:rPr>
          <w:rFonts w:ascii="Arial" w:hAnsi="Arial" w:cs="Arial"/>
          <w:sz w:val="20"/>
          <w:szCs w:val="20"/>
        </w:rPr>
        <w:t>,</w:t>
      </w:r>
      <w:r w:rsidR="00390240">
        <w:rPr>
          <w:rFonts w:ascii="Arial" w:hAnsi="Arial" w:cs="Arial"/>
          <w:sz w:val="20"/>
          <w:szCs w:val="20"/>
        </w:rPr>
        <w:t>6</w:t>
      </w:r>
      <w:r>
        <w:rPr>
          <w:rFonts w:ascii="Arial" w:hAnsi="Arial" w:cs="Arial"/>
          <w:sz w:val="20"/>
          <w:szCs w:val="20"/>
        </w:rPr>
        <w:t xml:space="preserve">%, au cours de la même période, au lieu de </w:t>
      </w:r>
      <w:r w:rsidR="00E52038">
        <w:rPr>
          <w:rFonts w:ascii="Arial" w:hAnsi="Arial" w:cs="Arial"/>
          <w:sz w:val="20"/>
          <w:szCs w:val="20"/>
        </w:rPr>
        <w:t>+</w:t>
      </w:r>
      <w:r w:rsidR="004E5B29">
        <w:rPr>
          <w:rFonts w:ascii="Arial" w:hAnsi="Arial" w:cs="Arial"/>
          <w:sz w:val="20"/>
          <w:szCs w:val="20"/>
        </w:rPr>
        <w:t>0</w:t>
      </w:r>
      <w:r>
        <w:rPr>
          <w:rFonts w:ascii="Arial" w:hAnsi="Arial" w:cs="Arial"/>
          <w:sz w:val="20"/>
          <w:szCs w:val="20"/>
        </w:rPr>
        <w:t>,</w:t>
      </w:r>
      <w:r w:rsidR="004E5B29">
        <w:rPr>
          <w:rFonts w:ascii="Arial" w:hAnsi="Arial" w:cs="Arial"/>
          <w:sz w:val="20"/>
          <w:szCs w:val="20"/>
        </w:rPr>
        <w:t>5</w:t>
      </w:r>
      <w:r>
        <w:rPr>
          <w:rFonts w:ascii="Arial" w:hAnsi="Arial" w:cs="Arial"/>
          <w:sz w:val="20"/>
          <w:szCs w:val="20"/>
        </w:rPr>
        <w:t>% une année auparavant.</w:t>
      </w:r>
      <w:r w:rsidR="00A7186B" w:rsidRPr="00F016E3">
        <w:rPr>
          <w:rFonts w:ascii="Arial" w:hAnsi="Arial" w:cs="Arial"/>
          <w:sz w:val="20"/>
          <w:szCs w:val="20"/>
        </w:rPr>
        <w:t xml:space="preserve"> </w:t>
      </w:r>
    </w:p>
    <w:sectPr w:rsidR="0097276B" w:rsidSect="007766F6">
      <w:footerReference w:type="even" r:id="rId18"/>
      <w:footerReference w:type="default" r:id="rId19"/>
      <w:headerReference w:type="first" r:id="rId20"/>
      <w:footerReference w:type="first" r:id="rId21"/>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9DE" w:rsidRDefault="00C859DE">
      <w:r>
        <w:separator/>
      </w:r>
    </w:p>
  </w:endnote>
  <w:endnote w:type="continuationSeparator" w:id="0">
    <w:p w:rsidR="00C859DE" w:rsidRDefault="00C85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075270"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075270"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A8340B">
      <w:rPr>
        <w:rStyle w:val="Numrodepage"/>
        <w:noProof/>
        <w:sz w:val="20"/>
        <w:szCs w:val="20"/>
      </w:rPr>
      <w:t>4</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A8340B">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075270">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proofErr w:type="spellStart"/>
                <w:r w:rsidRPr="00350C40">
                  <w:rPr>
                    <w:rFonts w:ascii="Arial" w:hAnsi="Arial" w:cs="Arial"/>
                    <w:color w:val="993366"/>
                    <w:sz w:val="18"/>
                    <w:szCs w:val="18"/>
                    <w:rtl/>
                    <w:lang w:bidi="ar-MA"/>
                  </w:rPr>
                  <w:t>ايلو</w:t>
                </w:r>
                <w:proofErr w:type="spellEnd"/>
                <w:r w:rsidRPr="00350C40">
                  <w:rPr>
                    <w:rFonts w:ascii="Arial" w:hAnsi="Arial" w:cs="Arial"/>
                    <w:color w:val="993366"/>
                    <w:sz w:val="18"/>
                    <w:szCs w:val="18"/>
                    <w:rtl/>
                    <w:lang w:bidi="ar-MA"/>
                  </w:rPr>
                  <w:t xml:space="preserve"> </w:t>
                </w:r>
                <w:proofErr w:type="spellStart"/>
                <w:r w:rsidRPr="00350C40">
                  <w:rPr>
                    <w:rFonts w:ascii="Arial" w:hAnsi="Arial" w:cs="Arial"/>
                    <w:color w:val="993366"/>
                    <w:sz w:val="18"/>
                    <w:szCs w:val="18"/>
                    <w:rtl/>
                    <w:lang w:bidi="ar-MA"/>
                  </w:rPr>
                  <w:t>31-3،</w:t>
                </w:r>
                <w:proofErr w:type="spellEnd"/>
                <w:r w:rsidRPr="00350C40">
                  <w:rPr>
                    <w:rFonts w:ascii="Arial" w:hAnsi="Arial" w:cs="Arial"/>
                    <w:color w:val="993366"/>
                    <w:sz w:val="18"/>
                    <w:szCs w:val="18"/>
                    <w:rtl/>
                    <w:lang w:bidi="ar-MA"/>
                  </w:rPr>
                  <w:t xml:space="preserve"> قطاع </w:t>
                </w:r>
                <w:proofErr w:type="spellStart"/>
                <w:r w:rsidRPr="00350C40">
                  <w:rPr>
                    <w:rFonts w:ascii="Arial" w:hAnsi="Arial" w:cs="Arial"/>
                    <w:color w:val="993366"/>
                    <w:sz w:val="18"/>
                    <w:szCs w:val="18"/>
                    <w:rtl/>
                    <w:lang w:bidi="ar-MA"/>
                  </w:rPr>
                  <w:t>16،</w:t>
                </w:r>
                <w:proofErr w:type="spellEnd"/>
                <w:r w:rsidRPr="00350C40">
                  <w:rPr>
                    <w:rFonts w:ascii="Arial" w:hAnsi="Arial" w:cs="Arial"/>
                    <w:color w:val="993366"/>
                    <w:sz w:val="18"/>
                    <w:szCs w:val="18"/>
                    <w:rtl/>
                    <w:lang w:bidi="ar-MA"/>
                  </w:rPr>
                  <w:t xml:space="preserve"> حي الرياض 10001 الرباط</w:t>
                </w:r>
                <w:r w:rsidRPr="00350C40">
                  <w:rPr>
                    <w:color w:val="993366"/>
                    <w:sz w:val="18"/>
                    <w:szCs w:val="18"/>
                    <w:rtl/>
                    <w:lang w:bidi="ar-MA"/>
                  </w:rPr>
                  <w:t xml:space="preserve"> </w:t>
                </w:r>
                <w:proofErr w:type="spellStart"/>
                <w:r w:rsidRPr="00350C40">
                  <w:rPr>
                    <w:rFonts w:ascii="Arial" w:hAnsi="Arial" w:cs="Arial"/>
                    <w:color w:val="993366"/>
                    <w:sz w:val="18"/>
                    <w:szCs w:val="18"/>
                    <w:rtl/>
                    <w:lang w:bidi="ar-MA"/>
                  </w:rPr>
                  <w:t>–</w:t>
                </w:r>
                <w:proofErr w:type="spellEnd"/>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proofErr w:type="spellStart"/>
                <w:r w:rsidRPr="00350C40">
                  <w:rPr>
                    <w:rFonts w:ascii="Arial" w:hAnsi="Arial" w:cs="Arial"/>
                    <w:color w:val="993366"/>
                    <w:sz w:val="18"/>
                    <w:szCs w:val="18"/>
                    <w:rtl/>
                    <w:lang w:bidi="ar-MA"/>
                  </w:rPr>
                  <w:t>ص.</w:t>
                </w:r>
                <w:r>
                  <w:rPr>
                    <w:rFonts w:ascii="Arial" w:hAnsi="Arial" w:cs="Arial"/>
                    <w:color w:val="993366"/>
                    <w:sz w:val="20"/>
                    <w:szCs w:val="20"/>
                    <w:rtl/>
                    <w:lang w:bidi="ar-MA"/>
                  </w:rPr>
                  <w:t>ب </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proofErr w:type="spellStart"/>
                <w:r w:rsidRPr="00350C40">
                  <w:rPr>
                    <w:rFonts w:ascii="Arial" w:hAnsi="Arial" w:cs="Arial"/>
                    <w:color w:val="993366"/>
                    <w:sz w:val="18"/>
                    <w:szCs w:val="18"/>
                    <w:lang w:val="en-US"/>
                  </w:rPr>
                  <w:t>Ilot</w:t>
                </w:r>
                <w:proofErr w:type="spellEnd"/>
                <w:r w:rsidRPr="00350C40">
                  <w:rPr>
                    <w:rFonts w:ascii="Arial" w:hAnsi="Arial" w:cs="Arial"/>
                    <w:color w:val="993366"/>
                    <w:sz w:val="18"/>
                    <w:szCs w:val="18"/>
                    <w:lang w:val="en-US"/>
                  </w:rPr>
                  <w:t xml:space="preserve"> 31-3, </w:t>
                </w:r>
                <w:proofErr w:type="spellStart"/>
                <w:r w:rsidRPr="00350C40">
                  <w:rPr>
                    <w:rFonts w:ascii="Arial" w:hAnsi="Arial" w:cs="Arial"/>
                    <w:color w:val="993366"/>
                    <w:sz w:val="18"/>
                    <w:szCs w:val="18"/>
                    <w:lang w:val="en-US"/>
                  </w:rPr>
                  <w:t>secteur</w:t>
                </w:r>
                <w:proofErr w:type="spellEnd"/>
                <w:r w:rsidRPr="00350C40">
                  <w:rPr>
                    <w:rFonts w:ascii="Arial" w:hAnsi="Arial" w:cs="Arial"/>
                    <w:color w:val="993366"/>
                    <w:sz w:val="18"/>
                    <w:szCs w:val="18"/>
                    <w:lang w:val="en-US"/>
                  </w:rPr>
                  <w:t xml:space="preserve"> 16, Hay </w:t>
                </w:r>
                <w:proofErr w:type="spellStart"/>
                <w:r w:rsidRPr="00350C40">
                  <w:rPr>
                    <w:rFonts w:ascii="Arial" w:hAnsi="Arial" w:cs="Arial"/>
                    <w:color w:val="993366"/>
                    <w:sz w:val="18"/>
                    <w:szCs w:val="18"/>
                    <w:lang w:val="en-US"/>
                  </w:rPr>
                  <w:t>Riad</w:t>
                </w:r>
                <w:proofErr w:type="spellEnd"/>
                <w:r w:rsidRPr="00350C40">
                  <w:rPr>
                    <w:rFonts w:ascii="Arial" w:hAnsi="Arial" w:cs="Arial"/>
                    <w:color w:val="993366"/>
                    <w:sz w:val="18"/>
                    <w:szCs w:val="18"/>
                    <w:lang w:val="en-US"/>
                  </w:rPr>
                  <w:t xml:space="preserve">,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w:t>
                </w:r>
                <w:proofErr w:type="spellStart"/>
                <w:r w:rsidRPr="00350C40">
                  <w:rPr>
                    <w:rFonts w:ascii="Arial" w:hAnsi="Arial" w:cs="Arial"/>
                    <w:color w:val="993366"/>
                    <w:sz w:val="18"/>
                    <w:szCs w:val="18"/>
                    <w:lang w:val="en-US"/>
                  </w:rPr>
                  <w:t>Maroc</w:t>
                </w:r>
                <w:proofErr w:type="spellEnd"/>
                <w:r w:rsidRPr="00350C40">
                  <w:rPr>
                    <w:rFonts w:ascii="Arial" w:hAnsi="Arial" w:cs="Arial"/>
                    <w:color w:val="993366"/>
                    <w:sz w:val="18"/>
                    <w:szCs w:val="18"/>
                    <w:lang w:val="en-US"/>
                  </w:rPr>
                  <w:t xml:space="preserve"> </w:t>
                </w:r>
                <w:proofErr w:type="gramStart"/>
                <w:r w:rsidRPr="00350C40">
                  <w:rPr>
                    <w:rFonts w:ascii="Arial" w:hAnsi="Arial" w:cs="Arial"/>
                    <w:color w:val="993366"/>
                    <w:sz w:val="18"/>
                    <w:szCs w:val="18"/>
                    <w:lang w:val="en-US"/>
                  </w:rPr>
                  <w:t>BP :</w:t>
                </w:r>
                <w:proofErr w:type="gramEnd"/>
                <w:r w:rsidRPr="00350C40">
                  <w:rPr>
                    <w:rFonts w:ascii="Arial" w:hAnsi="Arial" w:cs="Arial"/>
                    <w:color w:val="993366"/>
                    <w:sz w:val="18"/>
                    <w:szCs w:val="18"/>
                    <w:lang w:val="en-US"/>
                  </w:rPr>
                  <w:t xml:space="preserve">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proofErr w:type="gramStart"/>
                <w:r w:rsidRPr="00350C40">
                  <w:rPr>
                    <w:rFonts w:ascii="Arial" w:hAnsi="Arial" w:cs="Arial"/>
                    <w:color w:val="993366"/>
                    <w:sz w:val="18"/>
                    <w:szCs w:val="18"/>
                    <w:rtl/>
                    <w:lang w:bidi="ar-MA"/>
                  </w:rPr>
                  <w:t xml:space="preserve">الهاتف </w:t>
                </w:r>
                <w:proofErr w:type="spellStart"/>
                <w:r w:rsidRPr="00350C40">
                  <w:rPr>
                    <w:rFonts w:ascii="Arial" w:hAnsi="Arial" w:cs="Arial"/>
                    <w:color w:val="993366"/>
                    <w:sz w:val="18"/>
                    <w:szCs w:val="18"/>
                    <w:rtl/>
                    <w:lang w:bidi="ar-MA"/>
                  </w:rPr>
                  <w:t>:</w:t>
                </w:r>
                <w:proofErr w:type="spellEnd"/>
                <w:proofErr w:type="gramEnd"/>
                <w:r w:rsidRPr="00350C40">
                  <w:rPr>
                    <w:rFonts w:ascii="Arial" w:hAnsi="Arial" w:cs="Arial"/>
                    <w:color w:val="993366"/>
                    <w:sz w:val="18"/>
                    <w:szCs w:val="18"/>
                    <w:rtl/>
                    <w:lang w:bidi="ar-MA"/>
                  </w:rPr>
                  <w:t xml:space="preserve"> 04 69 57 37 05   </w:t>
                </w:r>
                <w:proofErr w:type="spellStart"/>
                <w:r w:rsidRPr="00350C40">
                  <w:rPr>
                    <w:rFonts w:ascii="Arial" w:hAnsi="Arial" w:cs="Arial"/>
                    <w:color w:val="993366"/>
                    <w:sz w:val="18"/>
                    <w:szCs w:val="18"/>
                    <w:rtl/>
                    <w:lang w:bidi="ar-MA"/>
                  </w:rPr>
                  <w:t>(212+)</w:t>
                </w:r>
                <w:proofErr w:type="spellEnd"/>
                <w:r w:rsidRPr="00350C40">
                  <w:rPr>
                    <w:rFonts w:ascii="Arial" w:hAnsi="Arial" w:cs="Arial"/>
                    <w:color w:val="993366"/>
                    <w:sz w:val="18"/>
                    <w:szCs w:val="18"/>
                    <w:rtl/>
                    <w:lang w:bidi="ar-MA"/>
                  </w:rPr>
                  <w:t xml:space="preserve"> </w:t>
                </w:r>
                <w:proofErr w:type="spellStart"/>
                <w:r w:rsidRPr="00350C40">
                  <w:rPr>
                    <w:rFonts w:ascii="Arial" w:hAnsi="Arial" w:cs="Arial"/>
                    <w:color w:val="993366"/>
                    <w:sz w:val="18"/>
                    <w:szCs w:val="18"/>
                    <w:rtl/>
                    <w:lang w:bidi="ar-MA"/>
                  </w:rPr>
                  <w:t>–</w:t>
                </w:r>
                <w:proofErr w:type="spellEnd"/>
                <w:r w:rsidRPr="00350C40">
                  <w:rPr>
                    <w:rFonts w:ascii="Arial" w:hAnsi="Arial" w:cs="Arial"/>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roofErr w:type="spellStart"/>
                <w:r w:rsidRPr="00350C40">
                  <w:rPr>
                    <w:rFonts w:ascii="Arial" w:hAnsi="Arial" w:cs="MCS AL SHAMAL"/>
                    <w:color w:val="993366"/>
                    <w:sz w:val="18"/>
                    <w:szCs w:val="18"/>
                    <w:rtl/>
                    <w:lang w:bidi="ar-MA"/>
                  </w:rPr>
                  <w:t>:</w:t>
                </w:r>
                <w:proofErr w:type="spellEnd"/>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9DE" w:rsidRDefault="00C859DE">
      <w:r>
        <w:separator/>
      </w:r>
    </w:p>
  </w:footnote>
  <w:footnote w:type="continuationSeparator" w:id="0">
    <w:p w:rsidR="00C859DE" w:rsidRDefault="00C85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hyphenationZone w:val="425"/>
  <w:doNotHyphenateCaps/>
  <w:characterSpacingControl w:val="doNotCompress"/>
  <w:savePreviewPicture/>
  <w:doNotValidateAgainstSchema/>
  <w:doNotDemarcateInvalidXml/>
  <w:hdrShapeDefaults>
    <o:shapedefaults v:ext="edit" spidmax="77826"/>
    <o:shapelayout v:ext="edit">
      <o:idmap v:ext="edit" data="2"/>
    </o:shapelayout>
  </w:hdrShapeDefaults>
  <w:footnotePr>
    <w:footnote w:id="-1"/>
    <w:footnote w:id="0"/>
  </w:footnotePr>
  <w:endnotePr>
    <w:endnote w:id="-1"/>
    <w:endnote w:id="0"/>
  </w:endnotePr>
  <w:compat/>
  <w:rsids>
    <w:rsidRoot w:val="00A7067D"/>
    <w:rsid w:val="00000BA6"/>
    <w:rsid w:val="000017C7"/>
    <w:rsid w:val="00001D6D"/>
    <w:rsid w:val="00001D8E"/>
    <w:rsid w:val="000025B3"/>
    <w:rsid w:val="00002878"/>
    <w:rsid w:val="00002CA4"/>
    <w:rsid w:val="00003123"/>
    <w:rsid w:val="00003781"/>
    <w:rsid w:val="000037BD"/>
    <w:rsid w:val="0000471A"/>
    <w:rsid w:val="0000510A"/>
    <w:rsid w:val="00005213"/>
    <w:rsid w:val="00006244"/>
    <w:rsid w:val="000064D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BF3"/>
    <w:rsid w:val="00014C35"/>
    <w:rsid w:val="00014FD6"/>
    <w:rsid w:val="000150B8"/>
    <w:rsid w:val="00015111"/>
    <w:rsid w:val="00015113"/>
    <w:rsid w:val="000151F6"/>
    <w:rsid w:val="000152BC"/>
    <w:rsid w:val="000152DE"/>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45"/>
    <w:rsid w:val="00024FBE"/>
    <w:rsid w:val="00025026"/>
    <w:rsid w:val="0002516D"/>
    <w:rsid w:val="00025552"/>
    <w:rsid w:val="00025B47"/>
    <w:rsid w:val="00025DC7"/>
    <w:rsid w:val="000266D8"/>
    <w:rsid w:val="0002686C"/>
    <w:rsid w:val="00026D88"/>
    <w:rsid w:val="000270E0"/>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8FD"/>
    <w:rsid w:val="00034EAB"/>
    <w:rsid w:val="00034EE3"/>
    <w:rsid w:val="00034EE5"/>
    <w:rsid w:val="0003559E"/>
    <w:rsid w:val="00035FA3"/>
    <w:rsid w:val="0003680E"/>
    <w:rsid w:val="00036A9C"/>
    <w:rsid w:val="00037668"/>
    <w:rsid w:val="00037B80"/>
    <w:rsid w:val="000408C3"/>
    <w:rsid w:val="00040953"/>
    <w:rsid w:val="00040D62"/>
    <w:rsid w:val="00041285"/>
    <w:rsid w:val="00041524"/>
    <w:rsid w:val="000415AD"/>
    <w:rsid w:val="0004185B"/>
    <w:rsid w:val="00041E94"/>
    <w:rsid w:val="000425ED"/>
    <w:rsid w:val="00042974"/>
    <w:rsid w:val="00042C94"/>
    <w:rsid w:val="0004311A"/>
    <w:rsid w:val="00043186"/>
    <w:rsid w:val="000431D8"/>
    <w:rsid w:val="0004391D"/>
    <w:rsid w:val="00043DE6"/>
    <w:rsid w:val="0004444E"/>
    <w:rsid w:val="0004447B"/>
    <w:rsid w:val="0004487A"/>
    <w:rsid w:val="00044A9F"/>
    <w:rsid w:val="00044D29"/>
    <w:rsid w:val="00044F23"/>
    <w:rsid w:val="0004533B"/>
    <w:rsid w:val="0004538F"/>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935"/>
    <w:rsid w:val="00065F87"/>
    <w:rsid w:val="00065FE2"/>
    <w:rsid w:val="00066C89"/>
    <w:rsid w:val="00066E4B"/>
    <w:rsid w:val="000671B0"/>
    <w:rsid w:val="000674D7"/>
    <w:rsid w:val="00070037"/>
    <w:rsid w:val="00070595"/>
    <w:rsid w:val="00070861"/>
    <w:rsid w:val="00071EFF"/>
    <w:rsid w:val="000721C3"/>
    <w:rsid w:val="00072320"/>
    <w:rsid w:val="000723B5"/>
    <w:rsid w:val="000728D2"/>
    <w:rsid w:val="000728FA"/>
    <w:rsid w:val="00072B60"/>
    <w:rsid w:val="00072EBF"/>
    <w:rsid w:val="000730EC"/>
    <w:rsid w:val="000732CB"/>
    <w:rsid w:val="0007340C"/>
    <w:rsid w:val="00073805"/>
    <w:rsid w:val="00074130"/>
    <w:rsid w:val="00074401"/>
    <w:rsid w:val="00074FF0"/>
    <w:rsid w:val="00075270"/>
    <w:rsid w:val="000754E3"/>
    <w:rsid w:val="00075B34"/>
    <w:rsid w:val="00075F5C"/>
    <w:rsid w:val="000761D8"/>
    <w:rsid w:val="00076587"/>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42CE"/>
    <w:rsid w:val="000847F4"/>
    <w:rsid w:val="0008484E"/>
    <w:rsid w:val="0008495C"/>
    <w:rsid w:val="00084B30"/>
    <w:rsid w:val="00084E9D"/>
    <w:rsid w:val="00085524"/>
    <w:rsid w:val="00085895"/>
    <w:rsid w:val="000859F9"/>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532"/>
    <w:rsid w:val="00091A3B"/>
    <w:rsid w:val="00091D36"/>
    <w:rsid w:val="00091F3D"/>
    <w:rsid w:val="000921CD"/>
    <w:rsid w:val="00092466"/>
    <w:rsid w:val="00092EFE"/>
    <w:rsid w:val="000931A9"/>
    <w:rsid w:val="000935C8"/>
    <w:rsid w:val="00093B91"/>
    <w:rsid w:val="00093F9E"/>
    <w:rsid w:val="00094694"/>
    <w:rsid w:val="00094710"/>
    <w:rsid w:val="0009560D"/>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9CD"/>
    <w:rsid w:val="000B0102"/>
    <w:rsid w:val="000B0626"/>
    <w:rsid w:val="000B07C1"/>
    <w:rsid w:val="000B08E9"/>
    <w:rsid w:val="000B0F43"/>
    <w:rsid w:val="000B0F81"/>
    <w:rsid w:val="000B106E"/>
    <w:rsid w:val="000B12C2"/>
    <w:rsid w:val="000B1DE6"/>
    <w:rsid w:val="000B2498"/>
    <w:rsid w:val="000B28B6"/>
    <w:rsid w:val="000B2A3E"/>
    <w:rsid w:val="000B2C65"/>
    <w:rsid w:val="000B3183"/>
    <w:rsid w:val="000B31FB"/>
    <w:rsid w:val="000B4618"/>
    <w:rsid w:val="000B46AD"/>
    <w:rsid w:val="000B711F"/>
    <w:rsid w:val="000B717A"/>
    <w:rsid w:val="000B71A7"/>
    <w:rsid w:val="000B71DE"/>
    <w:rsid w:val="000B797F"/>
    <w:rsid w:val="000C0879"/>
    <w:rsid w:val="000C0BF6"/>
    <w:rsid w:val="000C111B"/>
    <w:rsid w:val="000C1271"/>
    <w:rsid w:val="000C15E5"/>
    <w:rsid w:val="000C1880"/>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6ED9"/>
    <w:rsid w:val="000C7682"/>
    <w:rsid w:val="000C76B5"/>
    <w:rsid w:val="000C7E13"/>
    <w:rsid w:val="000D0202"/>
    <w:rsid w:val="000D04BB"/>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94"/>
    <w:rsid w:val="000D75CE"/>
    <w:rsid w:val="000D7ACC"/>
    <w:rsid w:val="000D7B58"/>
    <w:rsid w:val="000D7B8B"/>
    <w:rsid w:val="000D7D65"/>
    <w:rsid w:val="000D7F7C"/>
    <w:rsid w:val="000E05BC"/>
    <w:rsid w:val="000E0614"/>
    <w:rsid w:val="000E1618"/>
    <w:rsid w:val="000E1C51"/>
    <w:rsid w:val="000E21D3"/>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A4A"/>
    <w:rsid w:val="000F6E2A"/>
    <w:rsid w:val="000F6E40"/>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EB"/>
    <w:rsid w:val="001036A2"/>
    <w:rsid w:val="0010414A"/>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1BB"/>
    <w:rsid w:val="0012067C"/>
    <w:rsid w:val="00120AF1"/>
    <w:rsid w:val="00120AF9"/>
    <w:rsid w:val="00120BC3"/>
    <w:rsid w:val="00120BD7"/>
    <w:rsid w:val="00121C07"/>
    <w:rsid w:val="00122001"/>
    <w:rsid w:val="00122298"/>
    <w:rsid w:val="001222E9"/>
    <w:rsid w:val="0012250D"/>
    <w:rsid w:val="0012265F"/>
    <w:rsid w:val="001227D1"/>
    <w:rsid w:val="00122813"/>
    <w:rsid w:val="00122A75"/>
    <w:rsid w:val="00122C48"/>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F4D"/>
    <w:rsid w:val="00137652"/>
    <w:rsid w:val="001379C2"/>
    <w:rsid w:val="00137CAD"/>
    <w:rsid w:val="00137D8F"/>
    <w:rsid w:val="00137FF2"/>
    <w:rsid w:val="001404C2"/>
    <w:rsid w:val="00140CD2"/>
    <w:rsid w:val="00141592"/>
    <w:rsid w:val="00141788"/>
    <w:rsid w:val="0014289F"/>
    <w:rsid w:val="0014338E"/>
    <w:rsid w:val="0014360D"/>
    <w:rsid w:val="001437B0"/>
    <w:rsid w:val="00143BBC"/>
    <w:rsid w:val="00144480"/>
    <w:rsid w:val="0014485F"/>
    <w:rsid w:val="00144B79"/>
    <w:rsid w:val="00145A0E"/>
    <w:rsid w:val="00145C07"/>
    <w:rsid w:val="00145EE4"/>
    <w:rsid w:val="00145F4D"/>
    <w:rsid w:val="00146C7E"/>
    <w:rsid w:val="00147262"/>
    <w:rsid w:val="001472F8"/>
    <w:rsid w:val="0014749F"/>
    <w:rsid w:val="00147EEB"/>
    <w:rsid w:val="0015075E"/>
    <w:rsid w:val="00150B9A"/>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92"/>
    <w:rsid w:val="00155095"/>
    <w:rsid w:val="00155EBB"/>
    <w:rsid w:val="0015633D"/>
    <w:rsid w:val="001563BE"/>
    <w:rsid w:val="001563CC"/>
    <w:rsid w:val="001565C3"/>
    <w:rsid w:val="0015676A"/>
    <w:rsid w:val="00156B63"/>
    <w:rsid w:val="00156B7B"/>
    <w:rsid w:val="00156C44"/>
    <w:rsid w:val="00156CEC"/>
    <w:rsid w:val="00157569"/>
    <w:rsid w:val="00157DEC"/>
    <w:rsid w:val="00157E9B"/>
    <w:rsid w:val="001600E5"/>
    <w:rsid w:val="00160B88"/>
    <w:rsid w:val="00160D0F"/>
    <w:rsid w:val="00161678"/>
    <w:rsid w:val="00162421"/>
    <w:rsid w:val="0016271E"/>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5540"/>
    <w:rsid w:val="00175B80"/>
    <w:rsid w:val="0017603A"/>
    <w:rsid w:val="00176051"/>
    <w:rsid w:val="00176B63"/>
    <w:rsid w:val="00176C25"/>
    <w:rsid w:val="00176CC0"/>
    <w:rsid w:val="00176F41"/>
    <w:rsid w:val="00177956"/>
    <w:rsid w:val="00177C97"/>
    <w:rsid w:val="00177EC0"/>
    <w:rsid w:val="00180277"/>
    <w:rsid w:val="001818AB"/>
    <w:rsid w:val="00181EFF"/>
    <w:rsid w:val="0018221C"/>
    <w:rsid w:val="0018259A"/>
    <w:rsid w:val="00182841"/>
    <w:rsid w:val="001828C4"/>
    <w:rsid w:val="00182DF5"/>
    <w:rsid w:val="00183006"/>
    <w:rsid w:val="00183325"/>
    <w:rsid w:val="001835A9"/>
    <w:rsid w:val="001839FB"/>
    <w:rsid w:val="0018413F"/>
    <w:rsid w:val="0018461F"/>
    <w:rsid w:val="00185BC2"/>
    <w:rsid w:val="00185D73"/>
    <w:rsid w:val="0018601D"/>
    <w:rsid w:val="00186D74"/>
    <w:rsid w:val="00186E82"/>
    <w:rsid w:val="001873B4"/>
    <w:rsid w:val="00187BC3"/>
    <w:rsid w:val="00190068"/>
    <w:rsid w:val="00190FF5"/>
    <w:rsid w:val="0019122F"/>
    <w:rsid w:val="0019172A"/>
    <w:rsid w:val="00191FD1"/>
    <w:rsid w:val="00192295"/>
    <w:rsid w:val="00193188"/>
    <w:rsid w:val="00193485"/>
    <w:rsid w:val="00193D92"/>
    <w:rsid w:val="00194390"/>
    <w:rsid w:val="00194927"/>
    <w:rsid w:val="00194FAC"/>
    <w:rsid w:val="00195392"/>
    <w:rsid w:val="0019592D"/>
    <w:rsid w:val="00196310"/>
    <w:rsid w:val="001969FA"/>
    <w:rsid w:val="00196CF2"/>
    <w:rsid w:val="00196FED"/>
    <w:rsid w:val="0019727D"/>
    <w:rsid w:val="001A0449"/>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435"/>
    <w:rsid w:val="001C1CF4"/>
    <w:rsid w:val="001C1EDB"/>
    <w:rsid w:val="001C2196"/>
    <w:rsid w:val="001C2876"/>
    <w:rsid w:val="001C2B14"/>
    <w:rsid w:val="001C2D08"/>
    <w:rsid w:val="001C2DE1"/>
    <w:rsid w:val="001C2DFD"/>
    <w:rsid w:val="001C2F4A"/>
    <w:rsid w:val="001C2FA8"/>
    <w:rsid w:val="001C38C6"/>
    <w:rsid w:val="001C3920"/>
    <w:rsid w:val="001C393F"/>
    <w:rsid w:val="001C42B6"/>
    <w:rsid w:val="001C4793"/>
    <w:rsid w:val="001C4A4F"/>
    <w:rsid w:val="001C4BE1"/>
    <w:rsid w:val="001C51D8"/>
    <w:rsid w:val="001C58AD"/>
    <w:rsid w:val="001C5963"/>
    <w:rsid w:val="001C5E9E"/>
    <w:rsid w:val="001C6199"/>
    <w:rsid w:val="001C62AD"/>
    <w:rsid w:val="001C6705"/>
    <w:rsid w:val="001C6D03"/>
    <w:rsid w:val="001C6E90"/>
    <w:rsid w:val="001C7200"/>
    <w:rsid w:val="001C74AC"/>
    <w:rsid w:val="001C7C18"/>
    <w:rsid w:val="001D0374"/>
    <w:rsid w:val="001D0712"/>
    <w:rsid w:val="001D07F7"/>
    <w:rsid w:val="001D08BB"/>
    <w:rsid w:val="001D0B13"/>
    <w:rsid w:val="001D0C90"/>
    <w:rsid w:val="001D0F1F"/>
    <w:rsid w:val="001D18E1"/>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204"/>
    <w:rsid w:val="001E2469"/>
    <w:rsid w:val="001E29C3"/>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859"/>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21D7"/>
    <w:rsid w:val="00202523"/>
    <w:rsid w:val="002028D3"/>
    <w:rsid w:val="002028D5"/>
    <w:rsid w:val="00202CF1"/>
    <w:rsid w:val="00202CFF"/>
    <w:rsid w:val="00203BF4"/>
    <w:rsid w:val="00203E48"/>
    <w:rsid w:val="002042CD"/>
    <w:rsid w:val="00204307"/>
    <w:rsid w:val="00204366"/>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1BB6"/>
    <w:rsid w:val="00212491"/>
    <w:rsid w:val="00213134"/>
    <w:rsid w:val="00213925"/>
    <w:rsid w:val="002139B6"/>
    <w:rsid w:val="00213B90"/>
    <w:rsid w:val="00214B72"/>
    <w:rsid w:val="0021541E"/>
    <w:rsid w:val="002157EF"/>
    <w:rsid w:val="00216D2A"/>
    <w:rsid w:val="00217187"/>
    <w:rsid w:val="0022010C"/>
    <w:rsid w:val="00220131"/>
    <w:rsid w:val="00220549"/>
    <w:rsid w:val="00220739"/>
    <w:rsid w:val="002207AB"/>
    <w:rsid w:val="00220DF6"/>
    <w:rsid w:val="00221087"/>
    <w:rsid w:val="0022116C"/>
    <w:rsid w:val="0022170D"/>
    <w:rsid w:val="00222462"/>
    <w:rsid w:val="00222936"/>
    <w:rsid w:val="0022299E"/>
    <w:rsid w:val="00223311"/>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49"/>
    <w:rsid w:val="00231293"/>
    <w:rsid w:val="002313AF"/>
    <w:rsid w:val="002315AA"/>
    <w:rsid w:val="002315AE"/>
    <w:rsid w:val="00231716"/>
    <w:rsid w:val="00231990"/>
    <w:rsid w:val="0023289B"/>
    <w:rsid w:val="00232927"/>
    <w:rsid w:val="00232AD6"/>
    <w:rsid w:val="0023322D"/>
    <w:rsid w:val="00233328"/>
    <w:rsid w:val="002333F3"/>
    <w:rsid w:val="002334D2"/>
    <w:rsid w:val="00233515"/>
    <w:rsid w:val="0023373D"/>
    <w:rsid w:val="00233815"/>
    <w:rsid w:val="002339B2"/>
    <w:rsid w:val="0023442A"/>
    <w:rsid w:val="0023494C"/>
    <w:rsid w:val="00234B63"/>
    <w:rsid w:val="00234CDC"/>
    <w:rsid w:val="00235903"/>
    <w:rsid w:val="00235E22"/>
    <w:rsid w:val="00236009"/>
    <w:rsid w:val="00236272"/>
    <w:rsid w:val="0023650B"/>
    <w:rsid w:val="00236DF3"/>
    <w:rsid w:val="00237269"/>
    <w:rsid w:val="002378E6"/>
    <w:rsid w:val="00237FA9"/>
    <w:rsid w:val="00237FD4"/>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F63"/>
    <w:rsid w:val="00245041"/>
    <w:rsid w:val="0024527B"/>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D30"/>
    <w:rsid w:val="00264E4B"/>
    <w:rsid w:val="00265CBC"/>
    <w:rsid w:val="00265CC9"/>
    <w:rsid w:val="002667BA"/>
    <w:rsid w:val="00266E07"/>
    <w:rsid w:val="00267342"/>
    <w:rsid w:val="00267435"/>
    <w:rsid w:val="00267509"/>
    <w:rsid w:val="0026763A"/>
    <w:rsid w:val="00267D1B"/>
    <w:rsid w:val="00270128"/>
    <w:rsid w:val="00270BDF"/>
    <w:rsid w:val="00270DDD"/>
    <w:rsid w:val="00271092"/>
    <w:rsid w:val="0027114B"/>
    <w:rsid w:val="00271633"/>
    <w:rsid w:val="00271922"/>
    <w:rsid w:val="00271ED8"/>
    <w:rsid w:val="00272739"/>
    <w:rsid w:val="002729D6"/>
    <w:rsid w:val="00272BD9"/>
    <w:rsid w:val="00272D15"/>
    <w:rsid w:val="00272E07"/>
    <w:rsid w:val="00273FAF"/>
    <w:rsid w:val="0027408D"/>
    <w:rsid w:val="002743C5"/>
    <w:rsid w:val="00275817"/>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96C"/>
    <w:rsid w:val="00286B68"/>
    <w:rsid w:val="00286F23"/>
    <w:rsid w:val="0028778B"/>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8ED"/>
    <w:rsid w:val="00295A86"/>
    <w:rsid w:val="00295A9E"/>
    <w:rsid w:val="00295B5B"/>
    <w:rsid w:val="00295C9F"/>
    <w:rsid w:val="00295CD7"/>
    <w:rsid w:val="00296898"/>
    <w:rsid w:val="00296C29"/>
    <w:rsid w:val="0029758C"/>
    <w:rsid w:val="002A05D8"/>
    <w:rsid w:val="002A1027"/>
    <w:rsid w:val="002A1315"/>
    <w:rsid w:val="002A2203"/>
    <w:rsid w:val="002A25B2"/>
    <w:rsid w:val="002A281B"/>
    <w:rsid w:val="002A297C"/>
    <w:rsid w:val="002A2ECE"/>
    <w:rsid w:val="002A30E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CFA"/>
    <w:rsid w:val="002B5142"/>
    <w:rsid w:val="002B59B8"/>
    <w:rsid w:val="002B5AF5"/>
    <w:rsid w:val="002B6019"/>
    <w:rsid w:val="002B644C"/>
    <w:rsid w:val="002B6922"/>
    <w:rsid w:val="002B6CD7"/>
    <w:rsid w:val="002B7263"/>
    <w:rsid w:val="002B7742"/>
    <w:rsid w:val="002B7A91"/>
    <w:rsid w:val="002B7E07"/>
    <w:rsid w:val="002C0055"/>
    <w:rsid w:val="002C02CC"/>
    <w:rsid w:val="002C09B2"/>
    <w:rsid w:val="002C1942"/>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22C"/>
    <w:rsid w:val="002D0A0D"/>
    <w:rsid w:val="002D0D03"/>
    <w:rsid w:val="002D1138"/>
    <w:rsid w:val="002D115E"/>
    <w:rsid w:val="002D194F"/>
    <w:rsid w:val="002D1ABE"/>
    <w:rsid w:val="002D1AF1"/>
    <w:rsid w:val="002D1E06"/>
    <w:rsid w:val="002D1FE3"/>
    <w:rsid w:val="002D21E5"/>
    <w:rsid w:val="002D224B"/>
    <w:rsid w:val="002D23D5"/>
    <w:rsid w:val="002D271E"/>
    <w:rsid w:val="002D2CDD"/>
    <w:rsid w:val="002D2D8B"/>
    <w:rsid w:val="002D31D1"/>
    <w:rsid w:val="002D33BF"/>
    <w:rsid w:val="002D3AF5"/>
    <w:rsid w:val="002D3BD2"/>
    <w:rsid w:val="002D417C"/>
    <w:rsid w:val="002D4615"/>
    <w:rsid w:val="002D4933"/>
    <w:rsid w:val="002D49EF"/>
    <w:rsid w:val="002D4DF4"/>
    <w:rsid w:val="002D54B6"/>
    <w:rsid w:val="002D5525"/>
    <w:rsid w:val="002D5F62"/>
    <w:rsid w:val="002D643D"/>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2B0"/>
    <w:rsid w:val="002E5B97"/>
    <w:rsid w:val="002E5BCA"/>
    <w:rsid w:val="002E62F1"/>
    <w:rsid w:val="002E69C8"/>
    <w:rsid w:val="002E6D51"/>
    <w:rsid w:val="002E7184"/>
    <w:rsid w:val="002E7900"/>
    <w:rsid w:val="002E7F2B"/>
    <w:rsid w:val="002E7F72"/>
    <w:rsid w:val="002F05C4"/>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74"/>
    <w:rsid w:val="002F4EFD"/>
    <w:rsid w:val="002F50B8"/>
    <w:rsid w:val="002F5AAD"/>
    <w:rsid w:val="002F5BAF"/>
    <w:rsid w:val="002F5CEF"/>
    <w:rsid w:val="002F628D"/>
    <w:rsid w:val="002F63FB"/>
    <w:rsid w:val="002F64F6"/>
    <w:rsid w:val="002F667B"/>
    <w:rsid w:val="002F6773"/>
    <w:rsid w:val="002F6A92"/>
    <w:rsid w:val="003003CB"/>
    <w:rsid w:val="00300A3F"/>
    <w:rsid w:val="00300B1C"/>
    <w:rsid w:val="003010FB"/>
    <w:rsid w:val="00301364"/>
    <w:rsid w:val="003014AC"/>
    <w:rsid w:val="003017FB"/>
    <w:rsid w:val="00301BE0"/>
    <w:rsid w:val="00301D2D"/>
    <w:rsid w:val="00301F32"/>
    <w:rsid w:val="00302AFC"/>
    <w:rsid w:val="003031AE"/>
    <w:rsid w:val="003032D8"/>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10B5"/>
    <w:rsid w:val="0032191A"/>
    <w:rsid w:val="00321E42"/>
    <w:rsid w:val="003227A2"/>
    <w:rsid w:val="00322AF4"/>
    <w:rsid w:val="0032376B"/>
    <w:rsid w:val="00323A39"/>
    <w:rsid w:val="00323CF1"/>
    <w:rsid w:val="00323F5F"/>
    <w:rsid w:val="0032434D"/>
    <w:rsid w:val="003243B5"/>
    <w:rsid w:val="003244DB"/>
    <w:rsid w:val="003249E4"/>
    <w:rsid w:val="003258E3"/>
    <w:rsid w:val="00326623"/>
    <w:rsid w:val="00326824"/>
    <w:rsid w:val="0032687F"/>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430A"/>
    <w:rsid w:val="003446D7"/>
    <w:rsid w:val="003449BA"/>
    <w:rsid w:val="00344A6C"/>
    <w:rsid w:val="00345220"/>
    <w:rsid w:val="0034539A"/>
    <w:rsid w:val="00345A64"/>
    <w:rsid w:val="00346358"/>
    <w:rsid w:val="003463CC"/>
    <w:rsid w:val="003464B2"/>
    <w:rsid w:val="003465A5"/>
    <w:rsid w:val="0034687E"/>
    <w:rsid w:val="00346B56"/>
    <w:rsid w:val="00346F33"/>
    <w:rsid w:val="0034794E"/>
    <w:rsid w:val="00347B61"/>
    <w:rsid w:val="00347E46"/>
    <w:rsid w:val="00347E5D"/>
    <w:rsid w:val="00350073"/>
    <w:rsid w:val="003501AB"/>
    <w:rsid w:val="003506BE"/>
    <w:rsid w:val="00350C40"/>
    <w:rsid w:val="00350FBE"/>
    <w:rsid w:val="0035116A"/>
    <w:rsid w:val="00351A98"/>
    <w:rsid w:val="00351D4C"/>
    <w:rsid w:val="00351D66"/>
    <w:rsid w:val="00352378"/>
    <w:rsid w:val="00352408"/>
    <w:rsid w:val="003525A9"/>
    <w:rsid w:val="0035268C"/>
    <w:rsid w:val="00353128"/>
    <w:rsid w:val="0035465E"/>
    <w:rsid w:val="00354790"/>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B71"/>
    <w:rsid w:val="00361796"/>
    <w:rsid w:val="00361814"/>
    <w:rsid w:val="003623B6"/>
    <w:rsid w:val="003627F1"/>
    <w:rsid w:val="0036288F"/>
    <w:rsid w:val="00363079"/>
    <w:rsid w:val="0036329C"/>
    <w:rsid w:val="003634A8"/>
    <w:rsid w:val="00363BCF"/>
    <w:rsid w:val="00363DD9"/>
    <w:rsid w:val="00363F52"/>
    <w:rsid w:val="0036416B"/>
    <w:rsid w:val="0036439E"/>
    <w:rsid w:val="00364B01"/>
    <w:rsid w:val="00364C7E"/>
    <w:rsid w:val="00364CD1"/>
    <w:rsid w:val="0036525E"/>
    <w:rsid w:val="00365395"/>
    <w:rsid w:val="003656A8"/>
    <w:rsid w:val="00365EB4"/>
    <w:rsid w:val="00366246"/>
    <w:rsid w:val="00366569"/>
    <w:rsid w:val="00366C79"/>
    <w:rsid w:val="003671BE"/>
    <w:rsid w:val="0036767B"/>
    <w:rsid w:val="0037024F"/>
    <w:rsid w:val="00370A87"/>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6634"/>
    <w:rsid w:val="0038715C"/>
    <w:rsid w:val="003871E5"/>
    <w:rsid w:val="003875A2"/>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864"/>
    <w:rsid w:val="003A2B7E"/>
    <w:rsid w:val="003A2B8C"/>
    <w:rsid w:val="003A38B6"/>
    <w:rsid w:val="003A3B82"/>
    <w:rsid w:val="003A419F"/>
    <w:rsid w:val="003A472F"/>
    <w:rsid w:val="003A50C7"/>
    <w:rsid w:val="003A562F"/>
    <w:rsid w:val="003A58E2"/>
    <w:rsid w:val="003A5CB2"/>
    <w:rsid w:val="003A5D55"/>
    <w:rsid w:val="003A6281"/>
    <w:rsid w:val="003A62CF"/>
    <w:rsid w:val="003A64C5"/>
    <w:rsid w:val="003A69BA"/>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E31"/>
    <w:rsid w:val="003B5195"/>
    <w:rsid w:val="003B52CD"/>
    <w:rsid w:val="003B5812"/>
    <w:rsid w:val="003B5CE3"/>
    <w:rsid w:val="003B6792"/>
    <w:rsid w:val="003B69CD"/>
    <w:rsid w:val="003B6D25"/>
    <w:rsid w:val="003B7047"/>
    <w:rsid w:val="003B7158"/>
    <w:rsid w:val="003B7C9A"/>
    <w:rsid w:val="003B7DFF"/>
    <w:rsid w:val="003C010C"/>
    <w:rsid w:val="003C04D6"/>
    <w:rsid w:val="003C0557"/>
    <w:rsid w:val="003C119B"/>
    <w:rsid w:val="003C1975"/>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10F"/>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A40"/>
    <w:rsid w:val="003E1CB0"/>
    <w:rsid w:val="003E1CF4"/>
    <w:rsid w:val="003E1E85"/>
    <w:rsid w:val="003E208F"/>
    <w:rsid w:val="003E2641"/>
    <w:rsid w:val="003E2D4B"/>
    <w:rsid w:val="003E316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B36"/>
    <w:rsid w:val="00400B86"/>
    <w:rsid w:val="00400C34"/>
    <w:rsid w:val="004019E3"/>
    <w:rsid w:val="00401B1B"/>
    <w:rsid w:val="00401BA6"/>
    <w:rsid w:val="00401D3E"/>
    <w:rsid w:val="004021D5"/>
    <w:rsid w:val="00402579"/>
    <w:rsid w:val="004029AC"/>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720"/>
    <w:rsid w:val="00430C54"/>
    <w:rsid w:val="00431EBB"/>
    <w:rsid w:val="00432557"/>
    <w:rsid w:val="00432916"/>
    <w:rsid w:val="00432B66"/>
    <w:rsid w:val="00433CBE"/>
    <w:rsid w:val="00433D4E"/>
    <w:rsid w:val="00433EE1"/>
    <w:rsid w:val="004342E2"/>
    <w:rsid w:val="004346C0"/>
    <w:rsid w:val="00435537"/>
    <w:rsid w:val="00435C3D"/>
    <w:rsid w:val="004364B6"/>
    <w:rsid w:val="004366D6"/>
    <w:rsid w:val="004367EB"/>
    <w:rsid w:val="004375C7"/>
    <w:rsid w:val="00437730"/>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9C5"/>
    <w:rsid w:val="00445A8D"/>
    <w:rsid w:val="00445C6A"/>
    <w:rsid w:val="00446509"/>
    <w:rsid w:val="004466E3"/>
    <w:rsid w:val="00446A28"/>
    <w:rsid w:val="00446A4A"/>
    <w:rsid w:val="00446DB7"/>
    <w:rsid w:val="00447FBC"/>
    <w:rsid w:val="00450C21"/>
    <w:rsid w:val="004512B6"/>
    <w:rsid w:val="00452677"/>
    <w:rsid w:val="004528E3"/>
    <w:rsid w:val="0045402C"/>
    <w:rsid w:val="00455990"/>
    <w:rsid w:val="00455C09"/>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1BF"/>
    <w:rsid w:val="00463331"/>
    <w:rsid w:val="004634A4"/>
    <w:rsid w:val="00463534"/>
    <w:rsid w:val="00463870"/>
    <w:rsid w:val="00463E58"/>
    <w:rsid w:val="00464D1E"/>
    <w:rsid w:val="00464E9F"/>
    <w:rsid w:val="0046561C"/>
    <w:rsid w:val="00465F6A"/>
    <w:rsid w:val="00466376"/>
    <w:rsid w:val="004664F3"/>
    <w:rsid w:val="004665B2"/>
    <w:rsid w:val="004672E1"/>
    <w:rsid w:val="00467618"/>
    <w:rsid w:val="00467A93"/>
    <w:rsid w:val="00467EA7"/>
    <w:rsid w:val="0047019C"/>
    <w:rsid w:val="0047019F"/>
    <w:rsid w:val="004702E6"/>
    <w:rsid w:val="00470737"/>
    <w:rsid w:val="00470FAF"/>
    <w:rsid w:val="0047181D"/>
    <w:rsid w:val="00471CD4"/>
    <w:rsid w:val="00471E92"/>
    <w:rsid w:val="0047207F"/>
    <w:rsid w:val="00472290"/>
    <w:rsid w:val="00472940"/>
    <w:rsid w:val="004729E0"/>
    <w:rsid w:val="00472C88"/>
    <w:rsid w:val="00472E04"/>
    <w:rsid w:val="004732D5"/>
    <w:rsid w:val="00473CB7"/>
    <w:rsid w:val="00473D5D"/>
    <w:rsid w:val="004744FF"/>
    <w:rsid w:val="004751DD"/>
    <w:rsid w:val="00475347"/>
    <w:rsid w:val="00475375"/>
    <w:rsid w:val="004762F5"/>
    <w:rsid w:val="00476BD6"/>
    <w:rsid w:val="004771B9"/>
    <w:rsid w:val="004778FB"/>
    <w:rsid w:val="004800BF"/>
    <w:rsid w:val="00480191"/>
    <w:rsid w:val="004802DA"/>
    <w:rsid w:val="004807C4"/>
    <w:rsid w:val="00481173"/>
    <w:rsid w:val="0048146B"/>
    <w:rsid w:val="004814EB"/>
    <w:rsid w:val="004815BC"/>
    <w:rsid w:val="004816CB"/>
    <w:rsid w:val="00481E24"/>
    <w:rsid w:val="00482D95"/>
    <w:rsid w:val="00483348"/>
    <w:rsid w:val="004834D9"/>
    <w:rsid w:val="004838EF"/>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111"/>
    <w:rsid w:val="004A4332"/>
    <w:rsid w:val="004A4361"/>
    <w:rsid w:val="004A4451"/>
    <w:rsid w:val="004A50BB"/>
    <w:rsid w:val="004A5FD5"/>
    <w:rsid w:val="004A6269"/>
    <w:rsid w:val="004A6B78"/>
    <w:rsid w:val="004A6C23"/>
    <w:rsid w:val="004A73C5"/>
    <w:rsid w:val="004A77BD"/>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9E6"/>
    <w:rsid w:val="004B4D2F"/>
    <w:rsid w:val="004B4D92"/>
    <w:rsid w:val="004B4E09"/>
    <w:rsid w:val="004B5569"/>
    <w:rsid w:val="004B5839"/>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B5A"/>
    <w:rsid w:val="004C2C6D"/>
    <w:rsid w:val="004C3426"/>
    <w:rsid w:val="004C35F7"/>
    <w:rsid w:val="004C3F70"/>
    <w:rsid w:val="004C43FD"/>
    <w:rsid w:val="004C4566"/>
    <w:rsid w:val="004C4E56"/>
    <w:rsid w:val="004C4E85"/>
    <w:rsid w:val="004C51CB"/>
    <w:rsid w:val="004C537A"/>
    <w:rsid w:val="004C54F5"/>
    <w:rsid w:val="004C5776"/>
    <w:rsid w:val="004C6301"/>
    <w:rsid w:val="004C7217"/>
    <w:rsid w:val="004C7620"/>
    <w:rsid w:val="004C7BD9"/>
    <w:rsid w:val="004D053D"/>
    <w:rsid w:val="004D08F1"/>
    <w:rsid w:val="004D0A4A"/>
    <w:rsid w:val="004D0A75"/>
    <w:rsid w:val="004D10F8"/>
    <w:rsid w:val="004D116B"/>
    <w:rsid w:val="004D12FA"/>
    <w:rsid w:val="004D1698"/>
    <w:rsid w:val="004D3330"/>
    <w:rsid w:val="004D35BD"/>
    <w:rsid w:val="004D4335"/>
    <w:rsid w:val="004D44EE"/>
    <w:rsid w:val="004D45A9"/>
    <w:rsid w:val="004D46A3"/>
    <w:rsid w:val="004D5437"/>
    <w:rsid w:val="004D5988"/>
    <w:rsid w:val="004D5CCF"/>
    <w:rsid w:val="004D5CE9"/>
    <w:rsid w:val="004D64C7"/>
    <w:rsid w:val="004D7646"/>
    <w:rsid w:val="004D781F"/>
    <w:rsid w:val="004E0161"/>
    <w:rsid w:val="004E084F"/>
    <w:rsid w:val="004E09C4"/>
    <w:rsid w:val="004E0AD9"/>
    <w:rsid w:val="004E0FB0"/>
    <w:rsid w:val="004E118B"/>
    <w:rsid w:val="004E1DD2"/>
    <w:rsid w:val="004E1F22"/>
    <w:rsid w:val="004E21D7"/>
    <w:rsid w:val="004E2F2C"/>
    <w:rsid w:val="004E3057"/>
    <w:rsid w:val="004E316F"/>
    <w:rsid w:val="004E36E2"/>
    <w:rsid w:val="004E3BA0"/>
    <w:rsid w:val="004E3CEE"/>
    <w:rsid w:val="004E40EF"/>
    <w:rsid w:val="004E436A"/>
    <w:rsid w:val="004E458B"/>
    <w:rsid w:val="004E46CD"/>
    <w:rsid w:val="004E4A70"/>
    <w:rsid w:val="004E5031"/>
    <w:rsid w:val="004E5333"/>
    <w:rsid w:val="004E579C"/>
    <w:rsid w:val="004E5B29"/>
    <w:rsid w:val="004E67F8"/>
    <w:rsid w:val="004E6BF1"/>
    <w:rsid w:val="004E7953"/>
    <w:rsid w:val="004E7B4B"/>
    <w:rsid w:val="004F0B46"/>
    <w:rsid w:val="004F0C84"/>
    <w:rsid w:val="004F0CAD"/>
    <w:rsid w:val="004F0E48"/>
    <w:rsid w:val="004F1302"/>
    <w:rsid w:val="004F165E"/>
    <w:rsid w:val="004F17BB"/>
    <w:rsid w:val="004F1D88"/>
    <w:rsid w:val="004F24E7"/>
    <w:rsid w:val="004F25D5"/>
    <w:rsid w:val="004F2896"/>
    <w:rsid w:val="004F2DD1"/>
    <w:rsid w:val="004F3379"/>
    <w:rsid w:val="004F3534"/>
    <w:rsid w:val="004F3CB1"/>
    <w:rsid w:val="004F3CDC"/>
    <w:rsid w:val="004F4916"/>
    <w:rsid w:val="004F4F21"/>
    <w:rsid w:val="004F572F"/>
    <w:rsid w:val="004F57F8"/>
    <w:rsid w:val="004F59B2"/>
    <w:rsid w:val="004F5A08"/>
    <w:rsid w:val="004F5C0C"/>
    <w:rsid w:val="004F5C70"/>
    <w:rsid w:val="004F5DB6"/>
    <w:rsid w:val="004F636D"/>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EE2"/>
    <w:rsid w:val="005070B1"/>
    <w:rsid w:val="005070DE"/>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4B4"/>
    <w:rsid w:val="00525941"/>
    <w:rsid w:val="0052635A"/>
    <w:rsid w:val="005270F8"/>
    <w:rsid w:val="00530011"/>
    <w:rsid w:val="005303DB"/>
    <w:rsid w:val="005304DD"/>
    <w:rsid w:val="0053071C"/>
    <w:rsid w:val="00530BE8"/>
    <w:rsid w:val="00530F4A"/>
    <w:rsid w:val="005311B1"/>
    <w:rsid w:val="00531793"/>
    <w:rsid w:val="0053190B"/>
    <w:rsid w:val="00531DB5"/>
    <w:rsid w:val="005322FC"/>
    <w:rsid w:val="0053266A"/>
    <w:rsid w:val="0053288F"/>
    <w:rsid w:val="00532F80"/>
    <w:rsid w:val="00533262"/>
    <w:rsid w:val="0053330B"/>
    <w:rsid w:val="005336EB"/>
    <w:rsid w:val="00533A1E"/>
    <w:rsid w:val="00534786"/>
    <w:rsid w:val="00535864"/>
    <w:rsid w:val="00536B5C"/>
    <w:rsid w:val="00536FD6"/>
    <w:rsid w:val="005374F4"/>
    <w:rsid w:val="00537883"/>
    <w:rsid w:val="00537897"/>
    <w:rsid w:val="00537DE9"/>
    <w:rsid w:val="00537EA3"/>
    <w:rsid w:val="00540A15"/>
    <w:rsid w:val="00540BB9"/>
    <w:rsid w:val="005412C9"/>
    <w:rsid w:val="005413B1"/>
    <w:rsid w:val="00541A89"/>
    <w:rsid w:val="00541C46"/>
    <w:rsid w:val="00542043"/>
    <w:rsid w:val="0054221F"/>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79E"/>
    <w:rsid w:val="005507DA"/>
    <w:rsid w:val="00550EE4"/>
    <w:rsid w:val="00551750"/>
    <w:rsid w:val="00551A22"/>
    <w:rsid w:val="00551AE3"/>
    <w:rsid w:val="0055203D"/>
    <w:rsid w:val="005527BD"/>
    <w:rsid w:val="00552881"/>
    <w:rsid w:val="00553984"/>
    <w:rsid w:val="00553B89"/>
    <w:rsid w:val="00553CEE"/>
    <w:rsid w:val="005542EB"/>
    <w:rsid w:val="00554827"/>
    <w:rsid w:val="00554A45"/>
    <w:rsid w:val="00554CB7"/>
    <w:rsid w:val="00554DCA"/>
    <w:rsid w:val="0055502E"/>
    <w:rsid w:val="00555557"/>
    <w:rsid w:val="00555949"/>
    <w:rsid w:val="00555F15"/>
    <w:rsid w:val="005561FF"/>
    <w:rsid w:val="005565E3"/>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46EB"/>
    <w:rsid w:val="005754A6"/>
    <w:rsid w:val="005757BB"/>
    <w:rsid w:val="005758DC"/>
    <w:rsid w:val="00575EE0"/>
    <w:rsid w:val="00576239"/>
    <w:rsid w:val="005762BC"/>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4C2"/>
    <w:rsid w:val="00597776"/>
    <w:rsid w:val="00597B7D"/>
    <w:rsid w:val="005A0DE0"/>
    <w:rsid w:val="005A10FB"/>
    <w:rsid w:val="005A1289"/>
    <w:rsid w:val="005A1331"/>
    <w:rsid w:val="005A1792"/>
    <w:rsid w:val="005A1982"/>
    <w:rsid w:val="005A1C09"/>
    <w:rsid w:val="005A26C1"/>
    <w:rsid w:val="005A2D5B"/>
    <w:rsid w:val="005A2DF4"/>
    <w:rsid w:val="005A35C7"/>
    <w:rsid w:val="005A3943"/>
    <w:rsid w:val="005A3CA5"/>
    <w:rsid w:val="005A3D80"/>
    <w:rsid w:val="005A41A6"/>
    <w:rsid w:val="005A497F"/>
    <w:rsid w:val="005A53A0"/>
    <w:rsid w:val="005A557B"/>
    <w:rsid w:val="005A66A0"/>
    <w:rsid w:val="005A69D5"/>
    <w:rsid w:val="005A6F07"/>
    <w:rsid w:val="005A764C"/>
    <w:rsid w:val="005A7D60"/>
    <w:rsid w:val="005A7FC1"/>
    <w:rsid w:val="005B01E3"/>
    <w:rsid w:val="005B03EF"/>
    <w:rsid w:val="005B0675"/>
    <w:rsid w:val="005B0E8F"/>
    <w:rsid w:val="005B129D"/>
    <w:rsid w:val="005B1D8D"/>
    <w:rsid w:val="005B1E18"/>
    <w:rsid w:val="005B1EA3"/>
    <w:rsid w:val="005B22D0"/>
    <w:rsid w:val="005B2626"/>
    <w:rsid w:val="005B29E3"/>
    <w:rsid w:val="005B2B0F"/>
    <w:rsid w:val="005B2C05"/>
    <w:rsid w:val="005B2C7A"/>
    <w:rsid w:val="005B32CD"/>
    <w:rsid w:val="005B3AFB"/>
    <w:rsid w:val="005B3B08"/>
    <w:rsid w:val="005B401B"/>
    <w:rsid w:val="005B48EA"/>
    <w:rsid w:val="005B48F5"/>
    <w:rsid w:val="005B5344"/>
    <w:rsid w:val="005B60C2"/>
    <w:rsid w:val="005B6941"/>
    <w:rsid w:val="005B6DA0"/>
    <w:rsid w:val="005B6E38"/>
    <w:rsid w:val="005B76BB"/>
    <w:rsid w:val="005B778A"/>
    <w:rsid w:val="005B77E0"/>
    <w:rsid w:val="005B7885"/>
    <w:rsid w:val="005B7D0D"/>
    <w:rsid w:val="005C0A48"/>
    <w:rsid w:val="005C11B9"/>
    <w:rsid w:val="005C179A"/>
    <w:rsid w:val="005C1973"/>
    <w:rsid w:val="005C1B36"/>
    <w:rsid w:val="005C1C71"/>
    <w:rsid w:val="005C1C85"/>
    <w:rsid w:val="005C246F"/>
    <w:rsid w:val="005C28E5"/>
    <w:rsid w:val="005C293A"/>
    <w:rsid w:val="005C3179"/>
    <w:rsid w:val="005C318A"/>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113E"/>
    <w:rsid w:val="005D11A4"/>
    <w:rsid w:val="005D11BE"/>
    <w:rsid w:val="005D14CD"/>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3C31"/>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8"/>
    <w:rsid w:val="005F5933"/>
    <w:rsid w:val="005F5AB2"/>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BFC"/>
    <w:rsid w:val="00603C30"/>
    <w:rsid w:val="006040EB"/>
    <w:rsid w:val="006041ED"/>
    <w:rsid w:val="006041F2"/>
    <w:rsid w:val="006043C0"/>
    <w:rsid w:val="00604836"/>
    <w:rsid w:val="00604872"/>
    <w:rsid w:val="006054F2"/>
    <w:rsid w:val="006061CA"/>
    <w:rsid w:val="0060635C"/>
    <w:rsid w:val="00606B2F"/>
    <w:rsid w:val="00606E05"/>
    <w:rsid w:val="006074E0"/>
    <w:rsid w:val="006074E2"/>
    <w:rsid w:val="00607C7F"/>
    <w:rsid w:val="00610072"/>
    <w:rsid w:val="00610ADF"/>
    <w:rsid w:val="00610C29"/>
    <w:rsid w:val="006113B3"/>
    <w:rsid w:val="0061186B"/>
    <w:rsid w:val="006118F0"/>
    <w:rsid w:val="00611B94"/>
    <w:rsid w:val="00611CEE"/>
    <w:rsid w:val="00612159"/>
    <w:rsid w:val="006128F8"/>
    <w:rsid w:val="00613644"/>
    <w:rsid w:val="00613A63"/>
    <w:rsid w:val="00613C23"/>
    <w:rsid w:val="00613D9D"/>
    <w:rsid w:val="00614208"/>
    <w:rsid w:val="0061442D"/>
    <w:rsid w:val="006145F0"/>
    <w:rsid w:val="00614943"/>
    <w:rsid w:val="00614AEC"/>
    <w:rsid w:val="00614B29"/>
    <w:rsid w:val="00614F78"/>
    <w:rsid w:val="006155A6"/>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7D"/>
    <w:rsid w:val="0062236C"/>
    <w:rsid w:val="0062262A"/>
    <w:rsid w:val="00622DF5"/>
    <w:rsid w:val="006235E5"/>
    <w:rsid w:val="00623932"/>
    <w:rsid w:val="00623CA4"/>
    <w:rsid w:val="0062406F"/>
    <w:rsid w:val="0062482E"/>
    <w:rsid w:val="00625471"/>
    <w:rsid w:val="00625844"/>
    <w:rsid w:val="00625882"/>
    <w:rsid w:val="00625B69"/>
    <w:rsid w:val="00626368"/>
    <w:rsid w:val="006265D1"/>
    <w:rsid w:val="006266CD"/>
    <w:rsid w:val="006269C2"/>
    <w:rsid w:val="00627AB1"/>
    <w:rsid w:val="006300FE"/>
    <w:rsid w:val="0063059D"/>
    <w:rsid w:val="00630D22"/>
    <w:rsid w:val="00630E13"/>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5566"/>
    <w:rsid w:val="00635AEC"/>
    <w:rsid w:val="006362FD"/>
    <w:rsid w:val="006363A0"/>
    <w:rsid w:val="00636F25"/>
    <w:rsid w:val="00640680"/>
    <w:rsid w:val="006406CE"/>
    <w:rsid w:val="006408D7"/>
    <w:rsid w:val="00640B07"/>
    <w:rsid w:val="00641781"/>
    <w:rsid w:val="006418B5"/>
    <w:rsid w:val="00641B1D"/>
    <w:rsid w:val="00641E3D"/>
    <w:rsid w:val="00641EAB"/>
    <w:rsid w:val="0064202F"/>
    <w:rsid w:val="0064214F"/>
    <w:rsid w:val="0064246B"/>
    <w:rsid w:val="00642552"/>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6D4"/>
    <w:rsid w:val="006508D0"/>
    <w:rsid w:val="00650A4D"/>
    <w:rsid w:val="00650B09"/>
    <w:rsid w:val="00650DB0"/>
    <w:rsid w:val="00650FBE"/>
    <w:rsid w:val="0065188B"/>
    <w:rsid w:val="00652513"/>
    <w:rsid w:val="006528C9"/>
    <w:rsid w:val="0065295A"/>
    <w:rsid w:val="00652BF3"/>
    <w:rsid w:val="0065342C"/>
    <w:rsid w:val="00653952"/>
    <w:rsid w:val="00653C41"/>
    <w:rsid w:val="006542A4"/>
    <w:rsid w:val="006549E5"/>
    <w:rsid w:val="00654B72"/>
    <w:rsid w:val="00654F57"/>
    <w:rsid w:val="00654FD5"/>
    <w:rsid w:val="006553B3"/>
    <w:rsid w:val="006558A7"/>
    <w:rsid w:val="006558BE"/>
    <w:rsid w:val="006560C3"/>
    <w:rsid w:val="00656750"/>
    <w:rsid w:val="00656983"/>
    <w:rsid w:val="00656EDF"/>
    <w:rsid w:val="00657376"/>
    <w:rsid w:val="00657EFF"/>
    <w:rsid w:val="0066022E"/>
    <w:rsid w:val="00660337"/>
    <w:rsid w:val="00660463"/>
    <w:rsid w:val="0066053B"/>
    <w:rsid w:val="00660AB4"/>
    <w:rsid w:val="006616BF"/>
    <w:rsid w:val="00661780"/>
    <w:rsid w:val="00661B0F"/>
    <w:rsid w:val="00661B48"/>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CF0"/>
    <w:rsid w:val="00692D55"/>
    <w:rsid w:val="00692DED"/>
    <w:rsid w:val="00692E3D"/>
    <w:rsid w:val="006940D2"/>
    <w:rsid w:val="00694111"/>
    <w:rsid w:val="006943D0"/>
    <w:rsid w:val="00694FF6"/>
    <w:rsid w:val="00695102"/>
    <w:rsid w:val="00695BAE"/>
    <w:rsid w:val="00695EFD"/>
    <w:rsid w:val="00695F98"/>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663"/>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B0175"/>
    <w:rsid w:val="006B0420"/>
    <w:rsid w:val="006B04A7"/>
    <w:rsid w:val="006B2238"/>
    <w:rsid w:val="006B2AEC"/>
    <w:rsid w:val="006B395B"/>
    <w:rsid w:val="006B3B74"/>
    <w:rsid w:val="006B48EB"/>
    <w:rsid w:val="006B4BB6"/>
    <w:rsid w:val="006B5887"/>
    <w:rsid w:val="006B5F68"/>
    <w:rsid w:val="006B6332"/>
    <w:rsid w:val="006B635D"/>
    <w:rsid w:val="006B6786"/>
    <w:rsid w:val="006B6844"/>
    <w:rsid w:val="006B6DAD"/>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F5"/>
    <w:rsid w:val="006C4458"/>
    <w:rsid w:val="006C458E"/>
    <w:rsid w:val="006C48D4"/>
    <w:rsid w:val="006C4D6D"/>
    <w:rsid w:val="006C5037"/>
    <w:rsid w:val="006C5241"/>
    <w:rsid w:val="006C57C8"/>
    <w:rsid w:val="006C6113"/>
    <w:rsid w:val="006C6900"/>
    <w:rsid w:val="006C6EF7"/>
    <w:rsid w:val="006C7193"/>
    <w:rsid w:val="006C7993"/>
    <w:rsid w:val="006C7D68"/>
    <w:rsid w:val="006D0575"/>
    <w:rsid w:val="006D0727"/>
    <w:rsid w:val="006D0A89"/>
    <w:rsid w:val="006D0B63"/>
    <w:rsid w:val="006D0B99"/>
    <w:rsid w:val="006D173B"/>
    <w:rsid w:val="006D1C0C"/>
    <w:rsid w:val="006D21E9"/>
    <w:rsid w:val="006D22BC"/>
    <w:rsid w:val="006D2849"/>
    <w:rsid w:val="006D2F60"/>
    <w:rsid w:val="006D31B1"/>
    <w:rsid w:val="006D3342"/>
    <w:rsid w:val="006D34CC"/>
    <w:rsid w:val="006D34D5"/>
    <w:rsid w:val="006D3C52"/>
    <w:rsid w:val="006D3C9E"/>
    <w:rsid w:val="006D3DFC"/>
    <w:rsid w:val="006D40D6"/>
    <w:rsid w:val="006D455E"/>
    <w:rsid w:val="006D46BF"/>
    <w:rsid w:val="006D4B30"/>
    <w:rsid w:val="006D4F49"/>
    <w:rsid w:val="006D5EE4"/>
    <w:rsid w:val="006D636C"/>
    <w:rsid w:val="006D6BDA"/>
    <w:rsid w:val="006D6DF1"/>
    <w:rsid w:val="006D6F8C"/>
    <w:rsid w:val="006D73AF"/>
    <w:rsid w:val="006D78B9"/>
    <w:rsid w:val="006D7ACB"/>
    <w:rsid w:val="006D7AEF"/>
    <w:rsid w:val="006D7F55"/>
    <w:rsid w:val="006D7FA4"/>
    <w:rsid w:val="006E1163"/>
    <w:rsid w:val="006E124F"/>
    <w:rsid w:val="006E15F6"/>
    <w:rsid w:val="006E1814"/>
    <w:rsid w:val="006E1B88"/>
    <w:rsid w:val="006E1D00"/>
    <w:rsid w:val="006E1D54"/>
    <w:rsid w:val="006E2C7A"/>
    <w:rsid w:val="006E32D6"/>
    <w:rsid w:val="006E42DC"/>
    <w:rsid w:val="006E445C"/>
    <w:rsid w:val="006E456F"/>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E75"/>
    <w:rsid w:val="00701175"/>
    <w:rsid w:val="007016D1"/>
    <w:rsid w:val="007017F0"/>
    <w:rsid w:val="00701915"/>
    <w:rsid w:val="00702F08"/>
    <w:rsid w:val="00702FBB"/>
    <w:rsid w:val="007032B2"/>
    <w:rsid w:val="007033A1"/>
    <w:rsid w:val="007033B8"/>
    <w:rsid w:val="00703836"/>
    <w:rsid w:val="00703C35"/>
    <w:rsid w:val="00703D37"/>
    <w:rsid w:val="0070427B"/>
    <w:rsid w:val="007042FA"/>
    <w:rsid w:val="007055A7"/>
    <w:rsid w:val="007056F2"/>
    <w:rsid w:val="00705B00"/>
    <w:rsid w:val="00705B44"/>
    <w:rsid w:val="007060C1"/>
    <w:rsid w:val="007066F4"/>
    <w:rsid w:val="007072B8"/>
    <w:rsid w:val="007100FB"/>
    <w:rsid w:val="007108E3"/>
    <w:rsid w:val="00711F41"/>
    <w:rsid w:val="00711F7D"/>
    <w:rsid w:val="007123A3"/>
    <w:rsid w:val="0071247E"/>
    <w:rsid w:val="00712A73"/>
    <w:rsid w:val="00712D0E"/>
    <w:rsid w:val="0071313E"/>
    <w:rsid w:val="00713497"/>
    <w:rsid w:val="00713575"/>
    <w:rsid w:val="00714331"/>
    <w:rsid w:val="00714BC0"/>
    <w:rsid w:val="00714FAA"/>
    <w:rsid w:val="007159BA"/>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3F0"/>
    <w:rsid w:val="007275C3"/>
    <w:rsid w:val="007300B9"/>
    <w:rsid w:val="007300C3"/>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BE8"/>
    <w:rsid w:val="00742C2A"/>
    <w:rsid w:val="00742C95"/>
    <w:rsid w:val="00742CA5"/>
    <w:rsid w:val="00742DA6"/>
    <w:rsid w:val="00743846"/>
    <w:rsid w:val="00743A7F"/>
    <w:rsid w:val="00743B56"/>
    <w:rsid w:val="0074404A"/>
    <w:rsid w:val="00744075"/>
    <w:rsid w:val="0074443B"/>
    <w:rsid w:val="0074486C"/>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765"/>
    <w:rsid w:val="00771B10"/>
    <w:rsid w:val="00772673"/>
    <w:rsid w:val="00773327"/>
    <w:rsid w:val="00773A7C"/>
    <w:rsid w:val="00773BA7"/>
    <w:rsid w:val="00773F09"/>
    <w:rsid w:val="00774414"/>
    <w:rsid w:val="00774608"/>
    <w:rsid w:val="0077485B"/>
    <w:rsid w:val="00774B41"/>
    <w:rsid w:val="007750A6"/>
    <w:rsid w:val="00775AD2"/>
    <w:rsid w:val="00775B80"/>
    <w:rsid w:val="00775E64"/>
    <w:rsid w:val="007760AE"/>
    <w:rsid w:val="00776177"/>
    <w:rsid w:val="00776576"/>
    <w:rsid w:val="007766F6"/>
    <w:rsid w:val="00776F25"/>
    <w:rsid w:val="00776F26"/>
    <w:rsid w:val="007775DC"/>
    <w:rsid w:val="00777CDD"/>
    <w:rsid w:val="00777FA8"/>
    <w:rsid w:val="00780464"/>
    <w:rsid w:val="007804D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32DB"/>
    <w:rsid w:val="007A353D"/>
    <w:rsid w:val="007A36BB"/>
    <w:rsid w:val="007A3834"/>
    <w:rsid w:val="007A3A90"/>
    <w:rsid w:val="007A3E8E"/>
    <w:rsid w:val="007A4361"/>
    <w:rsid w:val="007A4A18"/>
    <w:rsid w:val="007A4B3D"/>
    <w:rsid w:val="007A4BAD"/>
    <w:rsid w:val="007A50DC"/>
    <w:rsid w:val="007A58BE"/>
    <w:rsid w:val="007A5EF4"/>
    <w:rsid w:val="007A623B"/>
    <w:rsid w:val="007A6298"/>
    <w:rsid w:val="007A645B"/>
    <w:rsid w:val="007A687E"/>
    <w:rsid w:val="007A6AEF"/>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7CF"/>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FF3"/>
    <w:rsid w:val="007C282E"/>
    <w:rsid w:val="007C2F75"/>
    <w:rsid w:val="007C304B"/>
    <w:rsid w:val="007C339A"/>
    <w:rsid w:val="007C3480"/>
    <w:rsid w:val="007C36A0"/>
    <w:rsid w:val="007C402D"/>
    <w:rsid w:val="007C40EA"/>
    <w:rsid w:val="007C4BD9"/>
    <w:rsid w:val="007C5545"/>
    <w:rsid w:val="007C556E"/>
    <w:rsid w:val="007C59B0"/>
    <w:rsid w:val="007C5B87"/>
    <w:rsid w:val="007C6380"/>
    <w:rsid w:val="007C659C"/>
    <w:rsid w:val="007C6A02"/>
    <w:rsid w:val="007C6B83"/>
    <w:rsid w:val="007C6C82"/>
    <w:rsid w:val="007C78C8"/>
    <w:rsid w:val="007D0401"/>
    <w:rsid w:val="007D064B"/>
    <w:rsid w:val="007D20BA"/>
    <w:rsid w:val="007D292B"/>
    <w:rsid w:val="007D295D"/>
    <w:rsid w:val="007D2B6B"/>
    <w:rsid w:val="007D3310"/>
    <w:rsid w:val="007D39E9"/>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39EE"/>
    <w:rsid w:val="007F3ACC"/>
    <w:rsid w:val="007F3D50"/>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7C"/>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7695"/>
    <w:rsid w:val="00817905"/>
    <w:rsid w:val="00817D3A"/>
    <w:rsid w:val="00817E11"/>
    <w:rsid w:val="00817FFD"/>
    <w:rsid w:val="00820102"/>
    <w:rsid w:val="00820F53"/>
    <w:rsid w:val="0082139E"/>
    <w:rsid w:val="00821558"/>
    <w:rsid w:val="00821A5B"/>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F27"/>
    <w:rsid w:val="00832695"/>
    <w:rsid w:val="008328CD"/>
    <w:rsid w:val="00832AB5"/>
    <w:rsid w:val="00832D5C"/>
    <w:rsid w:val="0083531B"/>
    <w:rsid w:val="00835853"/>
    <w:rsid w:val="008359E9"/>
    <w:rsid w:val="00835B52"/>
    <w:rsid w:val="00835DAE"/>
    <w:rsid w:val="0083660E"/>
    <w:rsid w:val="00836C38"/>
    <w:rsid w:val="00837218"/>
    <w:rsid w:val="008373A3"/>
    <w:rsid w:val="008373FA"/>
    <w:rsid w:val="0083768E"/>
    <w:rsid w:val="0083782A"/>
    <w:rsid w:val="008379F0"/>
    <w:rsid w:val="00837A42"/>
    <w:rsid w:val="00837AA7"/>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6F45"/>
    <w:rsid w:val="008572C1"/>
    <w:rsid w:val="00857C77"/>
    <w:rsid w:val="00857E5F"/>
    <w:rsid w:val="00857F55"/>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CE"/>
    <w:rsid w:val="008753B1"/>
    <w:rsid w:val="0087551F"/>
    <w:rsid w:val="0087623D"/>
    <w:rsid w:val="008763DC"/>
    <w:rsid w:val="00876419"/>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A8F"/>
    <w:rsid w:val="00884BC0"/>
    <w:rsid w:val="00884C20"/>
    <w:rsid w:val="00885516"/>
    <w:rsid w:val="008857D5"/>
    <w:rsid w:val="00885BBB"/>
    <w:rsid w:val="00885D94"/>
    <w:rsid w:val="008860B7"/>
    <w:rsid w:val="0088639D"/>
    <w:rsid w:val="00886A65"/>
    <w:rsid w:val="00886AD7"/>
    <w:rsid w:val="008874E8"/>
    <w:rsid w:val="008875D8"/>
    <w:rsid w:val="00887B0B"/>
    <w:rsid w:val="008901EA"/>
    <w:rsid w:val="00890499"/>
    <w:rsid w:val="0089052D"/>
    <w:rsid w:val="008915CB"/>
    <w:rsid w:val="0089178E"/>
    <w:rsid w:val="00891B62"/>
    <w:rsid w:val="008922FD"/>
    <w:rsid w:val="00892DC6"/>
    <w:rsid w:val="00893205"/>
    <w:rsid w:val="0089332E"/>
    <w:rsid w:val="0089356E"/>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E10"/>
    <w:rsid w:val="008A4459"/>
    <w:rsid w:val="008A452F"/>
    <w:rsid w:val="008A4898"/>
    <w:rsid w:val="008A4CDA"/>
    <w:rsid w:val="008A4CF7"/>
    <w:rsid w:val="008A57FE"/>
    <w:rsid w:val="008A58D7"/>
    <w:rsid w:val="008A5967"/>
    <w:rsid w:val="008A6877"/>
    <w:rsid w:val="008A69D1"/>
    <w:rsid w:val="008A6A9C"/>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635B"/>
    <w:rsid w:val="008D6632"/>
    <w:rsid w:val="008D674C"/>
    <w:rsid w:val="008D7448"/>
    <w:rsid w:val="008D75D5"/>
    <w:rsid w:val="008D767F"/>
    <w:rsid w:val="008D7681"/>
    <w:rsid w:val="008E1C63"/>
    <w:rsid w:val="008E23CE"/>
    <w:rsid w:val="008E28F1"/>
    <w:rsid w:val="008E2BD5"/>
    <w:rsid w:val="008E34A8"/>
    <w:rsid w:val="008E3724"/>
    <w:rsid w:val="008E3979"/>
    <w:rsid w:val="008E3A13"/>
    <w:rsid w:val="008E4143"/>
    <w:rsid w:val="008E41BF"/>
    <w:rsid w:val="008E42E5"/>
    <w:rsid w:val="008E4A4E"/>
    <w:rsid w:val="008E5564"/>
    <w:rsid w:val="008E5603"/>
    <w:rsid w:val="008E57C2"/>
    <w:rsid w:val="008E5F18"/>
    <w:rsid w:val="008E6723"/>
    <w:rsid w:val="008E7102"/>
    <w:rsid w:val="008E7379"/>
    <w:rsid w:val="008E7660"/>
    <w:rsid w:val="008E79C3"/>
    <w:rsid w:val="008E79F1"/>
    <w:rsid w:val="008F04B1"/>
    <w:rsid w:val="008F0528"/>
    <w:rsid w:val="008F0775"/>
    <w:rsid w:val="008F097F"/>
    <w:rsid w:val="008F194A"/>
    <w:rsid w:val="008F2136"/>
    <w:rsid w:val="008F2340"/>
    <w:rsid w:val="008F2557"/>
    <w:rsid w:val="008F2C20"/>
    <w:rsid w:val="008F3700"/>
    <w:rsid w:val="008F3BD3"/>
    <w:rsid w:val="008F40E0"/>
    <w:rsid w:val="008F416D"/>
    <w:rsid w:val="008F43C3"/>
    <w:rsid w:val="008F46FC"/>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B75"/>
    <w:rsid w:val="008F7C00"/>
    <w:rsid w:val="008F7D89"/>
    <w:rsid w:val="00900744"/>
    <w:rsid w:val="00900B2E"/>
    <w:rsid w:val="00901240"/>
    <w:rsid w:val="0090207E"/>
    <w:rsid w:val="0090211E"/>
    <w:rsid w:val="009021E7"/>
    <w:rsid w:val="0090232C"/>
    <w:rsid w:val="0090246C"/>
    <w:rsid w:val="009025B4"/>
    <w:rsid w:val="00903594"/>
    <w:rsid w:val="00903B71"/>
    <w:rsid w:val="00903E88"/>
    <w:rsid w:val="00904F7F"/>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6B7"/>
    <w:rsid w:val="00912B94"/>
    <w:rsid w:val="00912BDB"/>
    <w:rsid w:val="009134F9"/>
    <w:rsid w:val="00913532"/>
    <w:rsid w:val="00913585"/>
    <w:rsid w:val="0091387C"/>
    <w:rsid w:val="00913DEB"/>
    <w:rsid w:val="009148F7"/>
    <w:rsid w:val="009149E4"/>
    <w:rsid w:val="00914FF7"/>
    <w:rsid w:val="009150FD"/>
    <w:rsid w:val="00915B8E"/>
    <w:rsid w:val="00916038"/>
    <w:rsid w:val="00916343"/>
    <w:rsid w:val="00916AF4"/>
    <w:rsid w:val="00916C6C"/>
    <w:rsid w:val="00917528"/>
    <w:rsid w:val="009177F4"/>
    <w:rsid w:val="00917D4C"/>
    <w:rsid w:val="00920F94"/>
    <w:rsid w:val="009211FB"/>
    <w:rsid w:val="00921818"/>
    <w:rsid w:val="00921DAA"/>
    <w:rsid w:val="00921F31"/>
    <w:rsid w:val="0092254A"/>
    <w:rsid w:val="00922B44"/>
    <w:rsid w:val="00922DC8"/>
    <w:rsid w:val="00923174"/>
    <w:rsid w:val="00923232"/>
    <w:rsid w:val="0092366B"/>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7B"/>
    <w:rsid w:val="0093046B"/>
    <w:rsid w:val="00930BC1"/>
    <w:rsid w:val="00931126"/>
    <w:rsid w:val="009317A2"/>
    <w:rsid w:val="00931B33"/>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DBB"/>
    <w:rsid w:val="009363AB"/>
    <w:rsid w:val="009367A5"/>
    <w:rsid w:val="0093719F"/>
    <w:rsid w:val="00937937"/>
    <w:rsid w:val="00937BE7"/>
    <w:rsid w:val="00937E8B"/>
    <w:rsid w:val="009400C7"/>
    <w:rsid w:val="009409F7"/>
    <w:rsid w:val="00940E3E"/>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E01"/>
    <w:rsid w:val="00952FF8"/>
    <w:rsid w:val="009531F3"/>
    <w:rsid w:val="00953434"/>
    <w:rsid w:val="00953DB4"/>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CDD"/>
    <w:rsid w:val="009647AF"/>
    <w:rsid w:val="00964CAB"/>
    <w:rsid w:val="00965074"/>
    <w:rsid w:val="00965092"/>
    <w:rsid w:val="00965163"/>
    <w:rsid w:val="0096540B"/>
    <w:rsid w:val="009658FA"/>
    <w:rsid w:val="0096590C"/>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B79"/>
    <w:rsid w:val="0097500A"/>
    <w:rsid w:val="009750B7"/>
    <w:rsid w:val="0097514D"/>
    <w:rsid w:val="00975569"/>
    <w:rsid w:val="0097593E"/>
    <w:rsid w:val="00976BC8"/>
    <w:rsid w:val="00976C10"/>
    <w:rsid w:val="00976CEE"/>
    <w:rsid w:val="00976E91"/>
    <w:rsid w:val="009774F2"/>
    <w:rsid w:val="009775C3"/>
    <w:rsid w:val="0097770E"/>
    <w:rsid w:val="00977BAC"/>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F1D"/>
    <w:rsid w:val="009901D1"/>
    <w:rsid w:val="0099021E"/>
    <w:rsid w:val="0099042F"/>
    <w:rsid w:val="009904CA"/>
    <w:rsid w:val="009909B7"/>
    <w:rsid w:val="00990C6F"/>
    <w:rsid w:val="0099141D"/>
    <w:rsid w:val="009914DB"/>
    <w:rsid w:val="00991769"/>
    <w:rsid w:val="009930E8"/>
    <w:rsid w:val="00993BDB"/>
    <w:rsid w:val="00994680"/>
    <w:rsid w:val="009949E2"/>
    <w:rsid w:val="00994A1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63"/>
    <w:rsid w:val="009B1B97"/>
    <w:rsid w:val="009B1C97"/>
    <w:rsid w:val="009B1EBA"/>
    <w:rsid w:val="009B2251"/>
    <w:rsid w:val="009B2288"/>
    <w:rsid w:val="009B24B8"/>
    <w:rsid w:val="009B2679"/>
    <w:rsid w:val="009B27D8"/>
    <w:rsid w:val="009B29DB"/>
    <w:rsid w:val="009B2B2B"/>
    <w:rsid w:val="009B2F6F"/>
    <w:rsid w:val="009B31DA"/>
    <w:rsid w:val="009B4A8E"/>
    <w:rsid w:val="009B4DB9"/>
    <w:rsid w:val="009B4F85"/>
    <w:rsid w:val="009B5040"/>
    <w:rsid w:val="009B53FB"/>
    <w:rsid w:val="009B58D5"/>
    <w:rsid w:val="009B5A36"/>
    <w:rsid w:val="009B5D16"/>
    <w:rsid w:val="009B5E94"/>
    <w:rsid w:val="009B73A5"/>
    <w:rsid w:val="009B7C96"/>
    <w:rsid w:val="009C0244"/>
    <w:rsid w:val="009C02E6"/>
    <w:rsid w:val="009C06B6"/>
    <w:rsid w:val="009C0882"/>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1E"/>
    <w:rsid w:val="009E7C7D"/>
    <w:rsid w:val="009F0008"/>
    <w:rsid w:val="009F071E"/>
    <w:rsid w:val="009F0B4F"/>
    <w:rsid w:val="009F1440"/>
    <w:rsid w:val="009F14D3"/>
    <w:rsid w:val="009F179F"/>
    <w:rsid w:val="009F2222"/>
    <w:rsid w:val="009F22CC"/>
    <w:rsid w:val="009F231A"/>
    <w:rsid w:val="009F2709"/>
    <w:rsid w:val="009F3157"/>
    <w:rsid w:val="009F4274"/>
    <w:rsid w:val="009F427D"/>
    <w:rsid w:val="009F4A78"/>
    <w:rsid w:val="009F4E84"/>
    <w:rsid w:val="009F52BE"/>
    <w:rsid w:val="009F5840"/>
    <w:rsid w:val="009F5937"/>
    <w:rsid w:val="009F594B"/>
    <w:rsid w:val="009F63E6"/>
    <w:rsid w:val="009F649D"/>
    <w:rsid w:val="009F6B6D"/>
    <w:rsid w:val="009F72A4"/>
    <w:rsid w:val="009F7731"/>
    <w:rsid w:val="009F7A71"/>
    <w:rsid w:val="009F7CAA"/>
    <w:rsid w:val="009F7D31"/>
    <w:rsid w:val="00A001A3"/>
    <w:rsid w:val="00A003D5"/>
    <w:rsid w:val="00A005BD"/>
    <w:rsid w:val="00A009F9"/>
    <w:rsid w:val="00A00C10"/>
    <w:rsid w:val="00A00E5E"/>
    <w:rsid w:val="00A017A6"/>
    <w:rsid w:val="00A01C27"/>
    <w:rsid w:val="00A01F30"/>
    <w:rsid w:val="00A028B9"/>
    <w:rsid w:val="00A03537"/>
    <w:rsid w:val="00A0370E"/>
    <w:rsid w:val="00A037EB"/>
    <w:rsid w:val="00A03B6A"/>
    <w:rsid w:val="00A03BBB"/>
    <w:rsid w:val="00A043D2"/>
    <w:rsid w:val="00A050A2"/>
    <w:rsid w:val="00A05B34"/>
    <w:rsid w:val="00A064DA"/>
    <w:rsid w:val="00A06644"/>
    <w:rsid w:val="00A06843"/>
    <w:rsid w:val="00A06A1B"/>
    <w:rsid w:val="00A06BCD"/>
    <w:rsid w:val="00A06F06"/>
    <w:rsid w:val="00A07365"/>
    <w:rsid w:val="00A07B72"/>
    <w:rsid w:val="00A07E32"/>
    <w:rsid w:val="00A104DF"/>
    <w:rsid w:val="00A10E11"/>
    <w:rsid w:val="00A114CB"/>
    <w:rsid w:val="00A11972"/>
    <w:rsid w:val="00A11B47"/>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5C90"/>
    <w:rsid w:val="00A1619E"/>
    <w:rsid w:val="00A16299"/>
    <w:rsid w:val="00A165EA"/>
    <w:rsid w:val="00A1671D"/>
    <w:rsid w:val="00A16DEC"/>
    <w:rsid w:val="00A17294"/>
    <w:rsid w:val="00A172DC"/>
    <w:rsid w:val="00A17CEA"/>
    <w:rsid w:val="00A17DC7"/>
    <w:rsid w:val="00A2045C"/>
    <w:rsid w:val="00A20C9A"/>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F33"/>
    <w:rsid w:val="00A3037C"/>
    <w:rsid w:val="00A30514"/>
    <w:rsid w:val="00A31379"/>
    <w:rsid w:val="00A31479"/>
    <w:rsid w:val="00A31C18"/>
    <w:rsid w:val="00A3223F"/>
    <w:rsid w:val="00A322D1"/>
    <w:rsid w:val="00A322FF"/>
    <w:rsid w:val="00A32529"/>
    <w:rsid w:val="00A32949"/>
    <w:rsid w:val="00A3345D"/>
    <w:rsid w:val="00A33577"/>
    <w:rsid w:val="00A33AF2"/>
    <w:rsid w:val="00A340F3"/>
    <w:rsid w:val="00A3434A"/>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4098"/>
    <w:rsid w:val="00A443BB"/>
    <w:rsid w:val="00A44584"/>
    <w:rsid w:val="00A44D77"/>
    <w:rsid w:val="00A46788"/>
    <w:rsid w:val="00A4709A"/>
    <w:rsid w:val="00A504D3"/>
    <w:rsid w:val="00A505C4"/>
    <w:rsid w:val="00A517F5"/>
    <w:rsid w:val="00A518BC"/>
    <w:rsid w:val="00A51E07"/>
    <w:rsid w:val="00A51EF8"/>
    <w:rsid w:val="00A5235C"/>
    <w:rsid w:val="00A52B6A"/>
    <w:rsid w:val="00A52FB0"/>
    <w:rsid w:val="00A530D9"/>
    <w:rsid w:val="00A54073"/>
    <w:rsid w:val="00A543FE"/>
    <w:rsid w:val="00A544E0"/>
    <w:rsid w:val="00A5496C"/>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D4"/>
    <w:rsid w:val="00A62EAF"/>
    <w:rsid w:val="00A62F6B"/>
    <w:rsid w:val="00A63F50"/>
    <w:rsid w:val="00A643DA"/>
    <w:rsid w:val="00A648E0"/>
    <w:rsid w:val="00A64C36"/>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21C4"/>
    <w:rsid w:val="00A825CA"/>
    <w:rsid w:val="00A82691"/>
    <w:rsid w:val="00A827F1"/>
    <w:rsid w:val="00A82A83"/>
    <w:rsid w:val="00A82AFC"/>
    <w:rsid w:val="00A82B64"/>
    <w:rsid w:val="00A8308B"/>
    <w:rsid w:val="00A8340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637"/>
    <w:rsid w:val="00A95917"/>
    <w:rsid w:val="00A95A05"/>
    <w:rsid w:val="00A96016"/>
    <w:rsid w:val="00A96922"/>
    <w:rsid w:val="00A97364"/>
    <w:rsid w:val="00A9751B"/>
    <w:rsid w:val="00A976EB"/>
    <w:rsid w:val="00A97774"/>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B79"/>
    <w:rsid w:val="00AA4C64"/>
    <w:rsid w:val="00AA5B5F"/>
    <w:rsid w:val="00AA5E79"/>
    <w:rsid w:val="00AA64B6"/>
    <w:rsid w:val="00AA65C3"/>
    <w:rsid w:val="00AA68CB"/>
    <w:rsid w:val="00AA70C8"/>
    <w:rsid w:val="00AA71E0"/>
    <w:rsid w:val="00AA723E"/>
    <w:rsid w:val="00AA747F"/>
    <w:rsid w:val="00AB05FD"/>
    <w:rsid w:val="00AB0953"/>
    <w:rsid w:val="00AB12B8"/>
    <w:rsid w:val="00AB15CA"/>
    <w:rsid w:val="00AB16AA"/>
    <w:rsid w:val="00AB19DD"/>
    <w:rsid w:val="00AB1A2A"/>
    <w:rsid w:val="00AB1AB6"/>
    <w:rsid w:val="00AB1C13"/>
    <w:rsid w:val="00AB1F28"/>
    <w:rsid w:val="00AB1FCD"/>
    <w:rsid w:val="00AB2336"/>
    <w:rsid w:val="00AB2720"/>
    <w:rsid w:val="00AB2B91"/>
    <w:rsid w:val="00AB2C2B"/>
    <w:rsid w:val="00AB3043"/>
    <w:rsid w:val="00AB32C3"/>
    <w:rsid w:val="00AB33B9"/>
    <w:rsid w:val="00AB3660"/>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7306"/>
    <w:rsid w:val="00AC7ADA"/>
    <w:rsid w:val="00AD04A7"/>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33D"/>
    <w:rsid w:val="00AD53C3"/>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C67"/>
    <w:rsid w:val="00AE5D87"/>
    <w:rsid w:val="00AE61E0"/>
    <w:rsid w:val="00AE6F67"/>
    <w:rsid w:val="00AE7DCF"/>
    <w:rsid w:val="00AF01A8"/>
    <w:rsid w:val="00AF04BB"/>
    <w:rsid w:val="00AF05F1"/>
    <w:rsid w:val="00AF088A"/>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5415"/>
    <w:rsid w:val="00AF5A6F"/>
    <w:rsid w:val="00AF5C86"/>
    <w:rsid w:val="00AF5DB1"/>
    <w:rsid w:val="00AF6440"/>
    <w:rsid w:val="00AF6A18"/>
    <w:rsid w:val="00AF6CF5"/>
    <w:rsid w:val="00AF700E"/>
    <w:rsid w:val="00AF70D9"/>
    <w:rsid w:val="00AF74CA"/>
    <w:rsid w:val="00AF7CDB"/>
    <w:rsid w:val="00B006AE"/>
    <w:rsid w:val="00B006F4"/>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3FD"/>
    <w:rsid w:val="00B044ED"/>
    <w:rsid w:val="00B0486D"/>
    <w:rsid w:val="00B0507E"/>
    <w:rsid w:val="00B0550E"/>
    <w:rsid w:val="00B058BC"/>
    <w:rsid w:val="00B05BFC"/>
    <w:rsid w:val="00B05DF5"/>
    <w:rsid w:val="00B05F63"/>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0F5"/>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835"/>
    <w:rsid w:val="00B329F5"/>
    <w:rsid w:val="00B32C33"/>
    <w:rsid w:val="00B32E6D"/>
    <w:rsid w:val="00B334E6"/>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10F4"/>
    <w:rsid w:val="00B4148E"/>
    <w:rsid w:val="00B417BE"/>
    <w:rsid w:val="00B41948"/>
    <w:rsid w:val="00B41E3D"/>
    <w:rsid w:val="00B4235F"/>
    <w:rsid w:val="00B42470"/>
    <w:rsid w:val="00B4254C"/>
    <w:rsid w:val="00B42F0C"/>
    <w:rsid w:val="00B42FAE"/>
    <w:rsid w:val="00B43C5F"/>
    <w:rsid w:val="00B43FE2"/>
    <w:rsid w:val="00B44036"/>
    <w:rsid w:val="00B4429C"/>
    <w:rsid w:val="00B44501"/>
    <w:rsid w:val="00B4473D"/>
    <w:rsid w:val="00B448D0"/>
    <w:rsid w:val="00B453CF"/>
    <w:rsid w:val="00B4570C"/>
    <w:rsid w:val="00B46520"/>
    <w:rsid w:val="00B46C1A"/>
    <w:rsid w:val="00B46D00"/>
    <w:rsid w:val="00B473B8"/>
    <w:rsid w:val="00B476C7"/>
    <w:rsid w:val="00B47CD5"/>
    <w:rsid w:val="00B47E43"/>
    <w:rsid w:val="00B47EB5"/>
    <w:rsid w:val="00B47FC7"/>
    <w:rsid w:val="00B50BDA"/>
    <w:rsid w:val="00B50D43"/>
    <w:rsid w:val="00B50E75"/>
    <w:rsid w:val="00B5167D"/>
    <w:rsid w:val="00B5173B"/>
    <w:rsid w:val="00B51919"/>
    <w:rsid w:val="00B52C89"/>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FE"/>
    <w:rsid w:val="00B70238"/>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BBD"/>
    <w:rsid w:val="00B77C1D"/>
    <w:rsid w:val="00B77FA2"/>
    <w:rsid w:val="00B800D1"/>
    <w:rsid w:val="00B8069D"/>
    <w:rsid w:val="00B807D2"/>
    <w:rsid w:val="00B80A5C"/>
    <w:rsid w:val="00B80BF3"/>
    <w:rsid w:val="00B80FCF"/>
    <w:rsid w:val="00B81379"/>
    <w:rsid w:val="00B81740"/>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E43"/>
    <w:rsid w:val="00B92FF0"/>
    <w:rsid w:val="00B937A6"/>
    <w:rsid w:val="00B93A6C"/>
    <w:rsid w:val="00B93BB4"/>
    <w:rsid w:val="00B94055"/>
    <w:rsid w:val="00B9409D"/>
    <w:rsid w:val="00B94413"/>
    <w:rsid w:val="00B9479E"/>
    <w:rsid w:val="00B94AEE"/>
    <w:rsid w:val="00B94F06"/>
    <w:rsid w:val="00B959A3"/>
    <w:rsid w:val="00B96A21"/>
    <w:rsid w:val="00B9775E"/>
    <w:rsid w:val="00B979B2"/>
    <w:rsid w:val="00BA0371"/>
    <w:rsid w:val="00BA06B8"/>
    <w:rsid w:val="00BA1726"/>
    <w:rsid w:val="00BA2257"/>
    <w:rsid w:val="00BA225D"/>
    <w:rsid w:val="00BA2354"/>
    <w:rsid w:val="00BA28C6"/>
    <w:rsid w:val="00BA2C67"/>
    <w:rsid w:val="00BA3A12"/>
    <w:rsid w:val="00BA3A2F"/>
    <w:rsid w:val="00BA3B13"/>
    <w:rsid w:val="00BA415E"/>
    <w:rsid w:val="00BA4409"/>
    <w:rsid w:val="00BA45BE"/>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783"/>
    <w:rsid w:val="00BB17F8"/>
    <w:rsid w:val="00BB20EE"/>
    <w:rsid w:val="00BB27CA"/>
    <w:rsid w:val="00BB2BCF"/>
    <w:rsid w:val="00BB3AB1"/>
    <w:rsid w:val="00BB3C89"/>
    <w:rsid w:val="00BB4602"/>
    <w:rsid w:val="00BB4980"/>
    <w:rsid w:val="00BB5E91"/>
    <w:rsid w:val="00BB5EB6"/>
    <w:rsid w:val="00BB682A"/>
    <w:rsid w:val="00BB6F89"/>
    <w:rsid w:val="00BB725A"/>
    <w:rsid w:val="00BB7832"/>
    <w:rsid w:val="00BC0350"/>
    <w:rsid w:val="00BC0430"/>
    <w:rsid w:val="00BC10C2"/>
    <w:rsid w:val="00BC1A3B"/>
    <w:rsid w:val="00BC2D38"/>
    <w:rsid w:val="00BC2E39"/>
    <w:rsid w:val="00BC2EE7"/>
    <w:rsid w:val="00BC30C1"/>
    <w:rsid w:val="00BC30ED"/>
    <w:rsid w:val="00BC32BD"/>
    <w:rsid w:val="00BC3304"/>
    <w:rsid w:val="00BC372D"/>
    <w:rsid w:val="00BC3BC9"/>
    <w:rsid w:val="00BC3CBE"/>
    <w:rsid w:val="00BC3E25"/>
    <w:rsid w:val="00BC42EB"/>
    <w:rsid w:val="00BC481F"/>
    <w:rsid w:val="00BC49B4"/>
    <w:rsid w:val="00BC4DFD"/>
    <w:rsid w:val="00BC5D66"/>
    <w:rsid w:val="00BC5DD5"/>
    <w:rsid w:val="00BC5E4C"/>
    <w:rsid w:val="00BC65C0"/>
    <w:rsid w:val="00BC69D1"/>
    <w:rsid w:val="00BC6BE9"/>
    <w:rsid w:val="00BC6E6E"/>
    <w:rsid w:val="00BC7094"/>
    <w:rsid w:val="00BC70AF"/>
    <w:rsid w:val="00BC712E"/>
    <w:rsid w:val="00BD0435"/>
    <w:rsid w:val="00BD05AA"/>
    <w:rsid w:val="00BD0640"/>
    <w:rsid w:val="00BD0CBE"/>
    <w:rsid w:val="00BD1588"/>
    <w:rsid w:val="00BD18CE"/>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E0534"/>
    <w:rsid w:val="00BE0DAA"/>
    <w:rsid w:val="00BE12C8"/>
    <w:rsid w:val="00BE1B5A"/>
    <w:rsid w:val="00BE1C12"/>
    <w:rsid w:val="00BE218B"/>
    <w:rsid w:val="00BE289F"/>
    <w:rsid w:val="00BE29E3"/>
    <w:rsid w:val="00BE379E"/>
    <w:rsid w:val="00BE4908"/>
    <w:rsid w:val="00BE4CB0"/>
    <w:rsid w:val="00BE4DAF"/>
    <w:rsid w:val="00BE5301"/>
    <w:rsid w:val="00BE53D6"/>
    <w:rsid w:val="00BE5591"/>
    <w:rsid w:val="00BE57E5"/>
    <w:rsid w:val="00BE5EF9"/>
    <w:rsid w:val="00BE62D5"/>
    <w:rsid w:val="00BE748F"/>
    <w:rsid w:val="00BE7A15"/>
    <w:rsid w:val="00BE7A8A"/>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6468"/>
    <w:rsid w:val="00BF64BE"/>
    <w:rsid w:val="00BF6541"/>
    <w:rsid w:val="00BF6687"/>
    <w:rsid w:val="00BF6A3F"/>
    <w:rsid w:val="00BF758A"/>
    <w:rsid w:val="00BF7B43"/>
    <w:rsid w:val="00C005F2"/>
    <w:rsid w:val="00C008F0"/>
    <w:rsid w:val="00C00F89"/>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6BAF"/>
    <w:rsid w:val="00C06E56"/>
    <w:rsid w:val="00C072DA"/>
    <w:rsid w:val="00C07A9D"/>
    <w:rsid w:val="00C07B2B"/>
    <w:rsid w:val="00C10294"/>
    <w:rsid w:val="00C1070F"/>
    <w:rsid w:val="00C10731"/>
    <w:rsid w:val="00C10807"/>
    <w:rsid w:val="00C10B85"/>
    <w:rsid w:val="00C10BA1"/>
    <w:rsid w:val="00C112BC"/>
    <w:rsid w:val="00C115E7"/>
    <w:rsid w:val="00C1189E"/>
    <w:rsid w:val="00C11A16"/>
    <w:rsid w:val="00C11B3A"/>
    <w:rsid w:val="00C12433"/>
    <w:rsid w:val="00C1280E"/>
    <w:rsid w:val="00C13462"/>
    <w:rsid w:val="00C1350F"/>
    <w:rsid w:val="00C13951"/>
    <w:rsid w:val="00C13BF6"/>
    <w:rsid w:val="00C13C1D"/>
    <w:rsid w:val="00C1406E"/>
    <w:rsid w:val="00C141A1"/>
    <w:rsid w:val="00C14226"/>
    <w:rsid w:val="00C147DD"/>
    <w:rsid w:val="00C14DCE"/>
    <w:rsid w:val="00C15017"/>
    <w:rsid w:val="00C15156"/>
    <w:rsid w:val="00C15313"/>
    <w:rsid w:val="00C154A2"/>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7362"/>
    <w:rsid w:val="00C30014"/>
    <w:rsid w:val="00C30900"/>
    <w:rsid w:val="00C30E11"/>
    <w:rsid w:val="00C31082"/>
    <w:rsid w:val="00C31290"/>
    <w:rsid w:val="00C316AE"/>
    <w:rsid w:val="00C31B7A"/>
    <w:rsid w:val="00C31EF5"/>
    <w:rsid w:val="00C321D3"/>
    <w:rsid w:val="00C3256B"/>
    <w:rsid w:val="00C325CB"/>
    <w:rsid w:val="00C3289B"/>
    <w:rsid w:val="00C33FAC"/>
    <w:rsid w:val="00C3457F"/>
    <w:rsid w:val="00C34B8C"/>
    <w:rsid w:val="00C34B9C"/>
    <w:rsid w:val="00C35696"/>
    <w:rsid w:val="00C35B4E"/>
    <w:rsid w:val="00C35CE9"/>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DC5"/>
    <w:rsid w:val="00C611AF"/>
    <w:rsid w:val="00C6155E"/>
    <w:rsid w:val="00C616F5"/>
    <w:rsid w:val="00C61B88"/>
    <w:rsid w:val="00C61BBC"/>
    <w:rsid w:val="00C6219E"/>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7460"/>
    <w:rsid w:val="00C67848"/>
    <w:rsid w:val="00C70697"/>
    <w:rsid w:val="00C708B6"/>
    <w:rsid w:val="00C70971"/>
    <w:rsid w:val="00C70995"/>
    <w:rsid w:val="00C70B2F"/>
    <w:rsid w:val="00C70E81"/>
    <w:rsid w:val="00C712F8"/>
    <w:rsid w:val="00C71389"/>
    <w:rsid w:val="00C714C1"/>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170"/>
    <w:rsid w:val="00C746A8"/>
    <w:rsid w:val="00C74774"/>
    <w:rsid w:val="00C74868"/>
    <w:rsid w:val="00C74D58"/>
    <w:rsid w:val="00C75915"/>
    <w:rsid w:val="00C76837"/>
    <w:rsid w:val="00C77802"/>
    <w:rsid w:val="00C77AA4"/>
    <w:rsid w:val="00C80765"/>
    <w:rsid w:val="00C818CA"/>
    <w:rsid w:val="00C81907"/>
    <w:rsid w:val="00C81B3D"/>
    <w:rsid w:val="00C81CF4"/>
    <w:rsid w:val="00C82AE6"/>
    <w:rsid w:val="00C82BC5"/>
    <w:rsid w:val="00C83D15"/>
    <w:rsid w:val="00C84161"/>
    <w:rsid w:val="00C84194"/>
    <w:rsid w:val="00C845C4"/>
    <w:rsid w:val="00C84CBE"/>
    <w:rsid w:val="00C85156"/>
    <w:rsid w:val="00C859D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A23"/>
    <w:rsid w:val="00C93C64"/>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C56"/>
    <w:rsid w:val="00CA2232"/>
    <w:rsid w:val="00CA228A"/>
    <w:rsid w:val="00CA32AD"/>
    <w:rsid w:val="00CA344A"/>
    <w:rsid w:val="00CA3520"/>
    <w:rsid w:val="00CA377E"/>
    <w:rsid w:val="00CA3CC8"/>
    <w:rsid w:val="00CA46B4"/>
    <w:rsid w:val="00CA4DA3"/>
    <w:rsid w:val="00CA599D"/>
    <w:rsid w:val="00CA5AF0"/>
    <w:rsid w:val="00CA6475"/>
    <w:rsid w:val="00CA6F30"/>
    <w:rsid w:val="00CA713B"/>
    <w:rsid w:val="00CA75F7"/>
    <w:rsid w:val="00CA77D5"/>
    <w:rsid w:val="00CA78E3"/>
    <w:rsid w:val="00CA7C3D"/>
    <w:rsid w:val="00CB050C"/>
    <w:rsid w:val="00CB05C8"/>
    <w:rsid w:val="00CB073B"/>
    <w:rsid w:val="00CB1193"/>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5D6"/>
    <w:rsid w:val="00CC7ABE"/>
    <w:rsid w:val="00CD068D"/>
    <w:rsid w:val="00CD0C0D"/>
    <w:rsid w:val="00CD0F2B"/>
    <w:rsid w:val="00CD1135"/>
    <w:rsid w:val="00CD1230"/>
    <w:rsid w:val="00CD1FBB"/>
    <w:rsid w:val="00CD2608"/>
    <w:rsid w:val="00CD2ACB"/>
    <w:rsid w:val="00CD2CC7"/>
    <w:rsid w:val="00CD36F5"/>
    <w:rsid w:val="00CD3B88"/>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AEA"/>
    <w:rsid w:val="00CE3C6F"/>
    <w:rsid w:val="00CE424E"/>
    <w:rsid w:val="00CE438D"/>
    <w:rsid w:val="00CE4A30"/>
    <w:rsid w:val="00CE5312"/>
    <w:rsid w:val="00CE54A6"/>
    <w:rsid w:val="00CE56F8"/>
    <w:rsid w:val="00CE662E"/>
    <w:rsid w:val="00CE666D"/>
    <w:rsid w:val="00CE6C4F"/>
    <w:rsid w:val="00CE6CDF"/>
    <w:rsid w:val="00CE6F64"/>
    <w:rsid w:val="00CE7027"/>
    <w:rsid w:val="00CE718A"/>
    <w:rsid w:val="00CE7195"/>
    <w:rsid w:val="00CE7294"/>
    <w:rsid w:val="00CE7367"/>
    <w:rsid w:val="00CE757C"/>
    <w:rsid w:val="00CE7BB5"/>
    <w:rsid w:val="00CF05A5"/>
    <w:rsid w:val="00CF101D"/>
    <w:rsid w:val="00CF1184"/>
    <w:rsid w:val="00CF11AC"/>
    <w:rsid w:val="00CF2541"/>
    <w:rsid w:val="00CF2CFD"/>
    <w:rsid w:val="00CF2D97"/>
    <w:rsid w:val="00CF2E27"/>
    <w:rsid w:val="00CF3217"/>
    <w:rsid w:val="00CF35FF"/>
    <w:rsid w:val="00CF3669"/>
    <w:rsid w:val="00CF38F0"/>
    <w:rsid w:val="00CF522D"/>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F86"/>
    <w:rsid w:val="00D14FCF"/>
    <w:rsid w:val="00D14FF9"/>
    <w:rsid w:val="00D152C8"/>
    <w:rsid w:val="00D155D2"/>
    <w:rsid w:val="00D158E0"/>
    <w:rsid w:val="00D15A6A"/>
    <w:rsid w:val="00D15E0E"/>
    <w:rsid w:val="00D15EC7"/>
    <w:rsid w:val="00D16350"/>
    <w:rsid w:val="00D1646C"/>
    <w:rsid w:val="00D16B2C"/>
    <w:rsid w:val="00D16DE1"/>
    <w:rsid w:val="00D16E0C"/>
    <w:rsid w:val="00D179D3"/>
    <w:rsid w:val="00D17BB8"/>
    <w:rsid w:val="00D200DC"/>
    <w:rsid w:val="00D200F3"/>
    <w:rsid w:val="00D20588"/>
    <w:rsid w:val="00D208E7"/>
    <w:rsid w:val="00D20D3B"/>
    <w:rsid w:val="00D20F77"/>
    <w:rsid w:val="00D2111D"/>
    <w:rsid w:val="00D21C3F"/>
    <w:rsid w:val="00D22184"/>
    <w:rsid w:val="00D224CC"/>
    <w:rsid w:val="00D22999"/>
    <w:rsid w:val="00D22A9F"/>
    <w:rsid w:val="00D22DE7"/>
    <w:rsid w:val="00D231E1"/>
    <w:rsid w:val="00D23770"/>
    <w:rsid w:val="00D23C7F"/>
    <w:rsid w:val="00D24829"/>
    <w:rsid w:val="00D24D4A"/>
    <w:rsid w:val="00D24DA1"/>
    <w:rsid w:val="00D257E2"/>
    <w:rsid w:val="00D25D86"/>
    <w:rsid w:val="00D267B7"/>
    <w:rsid w:val="00D26EC1"/>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1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0F05"/>
    <w:rsid w:val="00D52072"/>
    <w:rsid w:val="00D52347"/>
    <w:rsid w:val="00D52A14"/>
    <w:rsid w:val="00D52E93"/>
    <w:rsid w:val="00D53167"/>
    <w:rsid w:val="00D539BE"/>
    <w:rsid w:val="00D53FD1"/>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DE3"/>
    <w:rsid w:val="00D60E63"/>
    <w:rsid w:val="00D61448"/>
    <w:rsid w:val="00D6155A"/>
    <w:rsid w:val="00D6162F"/>
    <w:rsid w:val="00D6187F"/>
    <w:rsid w:val="00D619C3"/>
    <w:rsid w:val="00D621DA"/>
    <w:rsid w:val="00D62B98"/>
    <w:rsid w:val="00D62DBB"/>
    <w:rsid w:val="00D631A8"/>
    <w:rsid w:val="00D63541"/>
    <w:rsid w:val="00D63D71"/>
    <w:rsid w:val="00D643F8"/>
    <w:rsid w:val="00D650C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606"/>
    <w:rsid w:val="00D85FAA"/>
    <w:rsid w:val="00D8636F"/>
    <w:rsid w:val="00D86806"/>
    <w:rsid w:val="00D869D2"/>
    <w:rsid w:val="00D86BC9"/>
    <w:rsid w:val="00D86DB1"/>
    <w:rsid w:val="00D87989"/>
    <w:rsid w:val="00D87AB3"/>
    <w:rsid w:val="00D90093"/>
    <w:rsid w:val="00D9025B"/>
    <w:rsid w:val="00D905C5"/>
    <w:rsid w:val="00D9060F"/>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430"/>
    <w:rsid w:val="00DB25EB"/>
    <w:rsid w:val="00DB26B0"/>
    <w:rsid w:val="00DB27A9"/>
    <w:rsid w:val="00DB293A"/>
    <w:rsid w:val="00DB29B1"/>
    <w:rsid w:val="00DB2F51"/>
    <w:rsid w:val="00DB36F6"/>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8E"/>
    <w:rsid w:val="00DD3F39"/>
    <w:rsid w:val="00DD4344"/>
    <w:rsid w:val="00DD4371"/>
    <w:rsid w:val="00DD4484"/>
    <w:rsid w:val="00DD4C30"/>
    <w:rsid w:val="00DD5082"/>
    <w:rsid w:val="00DD57ED"/>
    <w:rsid w:val="00DD57FF"/>
    <w:rsid w:val="00DD584A"/>
    <w:rsid w:val="00DD5A2F"/>
    <w:rsid w:val="00DD5D24"/>
    <w:rsid w:val="00DD5EBE"/>
    <w:rsid w:val="00DD79B6"/>
    <w:rsid w:val="00DD7B66"/>
    <w:rsid w:val="00DD7C43"/>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52C6"/>
    <w:rsid w:val="00E0535D"/>
    <w:rsid w:val="00E05A54"/>
    <w:rsid w:val="00E05BF4"/>
    <w:rsid w:val="00E06256"/>
    <w:rsid w:val="00E06332"/>
    <w:rsid w:val="00E0656D"/>
    <w:rsid w:val="00E06B73"/>
    <w:rsid w:val="00E07497"/>
    <w:rsid w:val="00E076B8"/>
    <w:rsid w:val="00E1014B"/>
    <w:rsid w:val="00E101DB"/>
    <w:rsid w:val="00E10663"/>
    <w:rsid w:val="00E10773"/>
    <w:rsid w:val="00E1164B"/>
    <w:rsid w:val="00E118A6"/>
    <w:rsid w:val="00E1280C"/>
    <w:rsid w:val="00E139AF"/>
    <w:rsid w:val="00E13FA3"/>
    <w:rsid w:val="00E1478F"/>
    <w:rsid w:val="00E1582D"/>
    <w:rsid w:val="00E158CF"/>
    <w:rsid w:val="00E1692E"/>
    <w:rsid w:val="00E1711E"/>
    <w:rsid w:val="00E17499"/>
    <w:rsid w:val="00E204CC"/>
    <w:rsid w:val="00E21660"/>
    <w:rsid w:val="00E21F3B"/>
    <w:rsid w:val="00E22397"/>
    <w:rsid w:val="00E22463"/>
    <w:rsid w:val="00E2252B"/>
    <w:rsid w:val="00E225AC"/>
    <w:rsid w:val="00E228B1"/>
    <w:rsid w:val="00E22ED4"/>
    <w:rsid w:val="00E23194"/>
    <w:rsid w:val="00E240A1"/>
    <w:rsid w:val="00E2452C"/>
    <w:rsid w:val="00E2472D"/>
    <w:rsid w:val="00E24BC6"/>
    <w:rsid w:val="00E24DC2"/>
    <w:rsid w:val="00E25858"/>
    <w:rsid w:val="00E25D2A"/>
    <w:rsid w:val="00E25D38"/>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5681"/>
    <w:rsid w:val="00E35E6F"/>
    <w:rsid w:val="00E36374"/>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2D75"/>
    <w:rsid w:val="00E53D99"/>
    <w:rsid w:val="00E543EB"/>
    <w:rsid w:val="00E54BF6"/>
    <w:rsid w:val="00E54E88"/>
    <w:rsid w:val="00E5515A"/>
    <w:rsid w:val="00E558E1"/>
    <w:rsid w:val="00E55994"/>
    <w:rsid w:val="00E56361"/>
    <w:rsid w:val="00E56954"/>
    <w:rsid w:val="00E57308"/>
    <w:rsid w:val="00E5737F"/>
    <w:rsid w:val="00E57545"/>
    <w:rsid w:val="00E576A7"/>
    <w:rsid w:val="00E57B7D"/>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507D"/>
    <w:rsid w:val="00E65523"/>
    <w:rsid w:val="00E6596F"/>
    <w:rsid w:val="00E65BB8"/>
    <w:rsid w:val="00E65D35"/>
    <w:rsid w:val="00E65E35"/>
    <w:rsid w:val="00E66042"/>
    <w:rsid w:val="00E66DD0"/>
    <w:rsid w:val="00E6711D"/>
    <w:rsid w:val="00E67561"/>
    <w:rsid w:val="00E67721"/>
    <w:rsid w:val="00E703B9"/>
    <w:rsid w:val="00E7049B"/>
    <w:rsid w:val="00E71029"/>
    <w:rsid w:val="00E716FD"/>
    <w:rsid w:val="00E7176B"/>
    <w:rsid w:val="00E719D0"/>
    <w:rsid w:val="00E71B76"/>
    <w:rsid w:val="00E71F1C"/>
    <w:rsid w:val="00E7217C"/>
    <w:rsid w:val="00E723B3"/>
    <w:rsid w:val="00E72B74"/>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F18"/>
    <w:rsid w:val="00E80FC9"/>
    <w:rsid w:val="00E81203"/>
    <w:rsid w:val="00E812A7"/>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927"/>
    <w:rsid w:val="00E84D02"/>
    <w:rsid w:val="00E85B18"/>
    <w:rsid w:val="00E85B28"/>
    <w:rsid w:val="00E86900"/>
    <w:rsid w:val="00E8691F"/>
    <w:rsid w:val="00E86B1E"/>
    <w:rsid w:val="00E86FBE"/>
    <w:rsid w:val="00E87454"/>
    <w:rsid w:val="00E907F0"/>
    <w:rsid w:val="00E90C05"/>
    <w:rsid w:val="00E91572"/>
    <w:rsid w:val="00E91931"/>
    <w:rsid w:val="00E91A7E"/>
    <w:rsid w:val="00E91B22"/>
    <w:rsid w:val="00E91C33"/>
    <w:rsid w:val="00E923EE"/>
    <w:rsid w:val="00E928AF"/>
    <w:rsid w:val="00E92948"/>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2086"/>
    <w:rsid w:val="00EA2265"/>
    <w:rsid w:val="00EA2D3A"/>
    <w:rsid w:val="00EA2EB4"/>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2CC8"/>
    <w:rsid w:val="00EB3ADA"/>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1453"/>
    <w:rsid w:val="00EC16B9"/>
    <w:rsid w:val="00EC17CD"/>
    <w:rsid w:val="00EC18B3"/>
    <w:rsid w:val="00EC1913"/>
    <w:rsid w:val="00EC1EA3"/>
    <w:rsid w:val="00EC2481"/>
    <w:rsid w:val="00EC2792"/>
    <w:rsid w:val="00EC2A2E"/>
    <w:rsid w:val="00EC2B44"/>
    <w:rsid w:val="00EC3068"/>
    <w:rsid w:val="00EC30DE"/>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AD"/>
    <w:rsid w:val="00EC6871"/>
    <w:rsid w:val="00EC73F7"/>
    <w:rsid w:val="00EC751C"/>
    <w:rsid w:val="00EC7F52"/>
    <w:rsid w:val="00ED0C1F"/>
    <w:rsid w:val="00ED112B"/>
    <w:rsid w:val="00ED133A"/>
    <w:rsid w:val="00ED19F6"/>
    <w:rsid w:val="00ED1E3B"/>
    <w:rsid w:val="00ED2166"/>
    <w:rsid w:val="00ED25DD"/>
    <w:rsid w:val="00ED2899"/>
    <w:rsid w:val="00ED2A65"/>
    <w:rsid w:val="00ED3546"/>
    <w:rsid w:val="00ED35AA"/>
    <w:rsid w:val="00ED36BC"/>
    <w:rsid w:val="00ED38FF"/>
    <w:rsid w:val="00ED3F56"/>
    <w:rsid w:val="00ED4848"/>
    <w:rsid w:val="00ED6611"/>
    <w:rsid w:val="00ED67C4"/>
    <w:rsid w:val="00ED6E73"/>
    <w:rsid w:val="00ED772D"/>
    <w:rsid w:val="00ED78A2"/>
    <w:rsid w:val="00EE0006"/>
    <w:rsid w:val="00EE0046"/>
    <w:rsid w:val="00EE04B3"/>
    <w:rsid w:val="00EE09E6"/>
    <w:rsid w:val="00EE0AA4"/>
    <w:rsid w:val="00EE0E2F"/>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D6"/>
    <w:rsid w:val="00EF5CE5"/>
    <w:rsid w:val="00EF6244"/>
    <w:rsid w:val="00EF6498"/>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D19"/>
    <w:rsid w:val="00F11331"/>
    <w:rsid w:val="00F11837"/>
    <w:rsid w:val="00F11855"/>
    <w:rsid w:val="00F11F19"/>
    <w:rsid w:val="00F11FB7"/>
    <w:rsid w:val="00F123E6"/>
    <w:rsid w:val="00F127BD"/>
    <w:rsid w:val="00F13493"/>
    <w:rsid w:val="00F146C7"/>
    <w:rsid w:val="00F14C82"/>
    <w:rsid w:val="00F14CCE"/>
    <w:rsid w:val="00F14DD0"/>
    <w:rsid w:val="00F15042"/>
    <w:rsid w:val="00F1508D"/>
    <w:rsid w:val="00F15329"/>
    <w:rsid w:val="00F15464"/>
    <w:rsid w:val="00F15891"/>
    <w:rsid w:val="00F15E3F"/>
    <w:rsid w:val="00F16832"/>
    <w:rsid w:val="00F178F3"/>
    <w:rsid w:val="00F20117"/>
    <w:rsid w:val="00F20653"/>
    <w:rsid w:val="00F209A5"/>
    <w:rsid w:val="00F21106"/>
    <w:rsid w:val="00F21326"/>
    <w:rsid w:val="00F2162D"/>
    <w:rsid w:val="00F21678"/>
    <w:rsid w:val="00F216DB"/>
    <w:rsid w:val="00F217C5"/>
    <w:rsid w:val="00F21AF2"/>
    <w:rsid w:val="00F21BE3"/>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CBA"/>
    <w:rsid w:val="00F44E13"/>
    <w:rsid w:val="00F452D4"/>
    <w:rsid w:val="00F45627"/>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FB"/>
    <w:rsid w:val="00F750F4"/>
    <w:rsid w:val="00F75190"/>
    <w:rsid w:val="00F7533D"/>
    <w:rsid w:val="00F753E2"/>
    <w:rsid w:val="00F75409"/>
    <w:rsid w:val="00F75425"/>
    <w:rsid w:val="00F756DB"/>
    <w:rsid w:val="00F757A0"/>
    <w:rsid w:val="00F7593D"/>
    <w:rsid w:val="00F759E5"/>
    <w:rsid w:val="00F76269"/>
    <w:rsid w:val="00F76735"/>
    <w:rsid w:val="00F76E10"/>
    <w:rsid w:val="00F76F39"/>
    <w:rsid w:val="00F771FC"/>
    <w:rsid w:val="00F7736C"/>
    <w:rsid w:val="00F7755C"/>
    <w:rsid w:val="00F778DA"/>
    <w:rsid w:val="00F77AD4"/>
    <w:rsid w:val="00F80069"/>
    <w:rsid w:val="00F80963"/>
    <w:rsid w:val="00F80B83"/>
    <w:rsid w:val="00F81CC1"/>
    <w:rsid w:val="00F826BC"/>
    <w:rsid w:val="00F8273B"/>
    <w:rsid w:val="00F82D37"/>
    <w:rsid w:val="00F82F26"/>
    <w:rsid w:val="00F83A4A"/>
    <w:rsid w:val="00F841D2"/>
    <w:rsid w:val="00F84648"/>
    <w:rsid w:val="00F846BA"/>
    <w:rsid w:val="00F8487D"/>
    <w:rsid w:val="00F8513B"/>
    <w:rsid w:val="00F853F7"/>
    <w:rsid w:val="00F855DA"/>
    <w:rsid w:val="00F85BCC"/>
    <w:rsid w:val="00F86045"/>
    <w:rsid w:val="00F86149"/>
    <w:rsid w:val="00F86277"/>
    <w:rsid w:val="00F86382"/>
    <w:rsid w:val="00F864B2"/>
    <w:rsid w:val="00F8683B"/>
    <w:rsid w:val="00F87624"/>
    <w:rsid w:val="00F878EA"/>
    <w:rsid w:val="00F87F23"/>
    <w:rsid w:val="00F900AF"/>
    <w:rsid w:val="00F900B7"/>
    <w:rsid w:val="00F909B1"/>
    <w:rsid w:val="00F90C11"/>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606"/>
    <w:rsid w:val="00FA4B25"/>
    <w:rsid w:val="00FA4D14"/>
    <w:rsid w:val="00FA57D0"/>
    <w:rsid w:val="00FA5E02"/>
    <w:rsid w:val="00FA5E4D"/>
    <w:rsid w:val="00FA6473"/>
    <w:rsid w:val="00FA6A37"/>
    <w:rsid w:val="00FA6AFC"/>
    <w:rsid w:val="00FA7019"/>
    <w:rsid w:val="00FA71D6"/>
    <w:rsid w:val="00FA7BC3"/>
    <w:rsid w:val="00FB00B3"/>
    <w:rsid w:val="00FB15D1"/>
    <w:rsid w:val="00FB18F5"/>
    <w:rsid w:val="00FB217F"/>
    <w:rsid w:val="00FB2470"/>
    <w:rsid w:val="00FB274F"/>
    <w:rsid w:val="00FB2840"/>
    <w:rsid w:val="00FB28B1"/>
    <w:rsid w:val="00FB29C2"/>
    <w:rsid w:val="00FB2C55"/>
    <w:rsid w:val="00FB3235"/>
    <w:rsid w:val="00FB3ABE"/>
    <w:rsid w:val="00FB3BD3"/>
    <w:rsid w:val="00FB3F56"/>
    <w:rsid w:val="00FB3FEA"/>
    <w:rsid w:val="00FB4586"/>
    <w:rsid w:val="00FB4688"/>
    <w:rsid w:val="00FB4A99"/>
    <w:rsid w:val="00FB4D99"/>
    <w:rsid w:val="00FB5979"/>
    <w:rsid w:val="00FB5AE9"/>
    <w:rsid w:val="00FB5FD8"/>
    <w:rsid w:val="00FB647D"/>
    <w:rsid w:val="00FB69A5"/>
    <w:rsid w:val="00FB6C63"/>
    <w:rsid w:val="00FB7120"/>
    <w:rsid w:val="00FB7393"/>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AE7"/>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6256"/>
    <w:rsid w:val="00FD66AE"/>
    <w:rsid w:val="00FD6DF1"/>
    <w:rsid w:val="00FD6F01"/>
    <w:rsid w:val="00FD7373"/>
    <w:rsid w:val="00FD76E2"/>
    <w:rsid w:val="00FD7FA6"/>
    <w:rsid w:val="00FE027C"/>
    <w:rsid w:val="00FE0957"/>
    <w:rsid w:val="00FE1069"/>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6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F4D4-1D18-4D4E-A402-4E28DED5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2619</Words>
  <Characters>14408</Characters>
  <Application>Microsoft Office Word</Application>
  <DocSecurity>0</DocSecurity>
  <Lines>120</Lines>
  <Paragraphs>33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2017-04-04T15:43:00Z</cp:lastPrinted>
  <dcterms:created xsi:type="dcterms:W3CDTF">2017-04-05T07:31:00Z</dcterms:created>
  <dcterms:modified xsi:type="dcterms:W3CDTF">2017-04-05T07:31:00Z</dcterms:modified>
</cp:coreProperties>
</file>