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7E7AC2" w:rsidP="0032191A">
      <w:pPr>
        <w:pStyle w:val="NormalWeb"/>
        <w:spacing w:before="0" w:beforeAutospacing="0" w:after="0" w:afterAutospacing="0"/>
        <w:jc w:val="center"/>
        <w:rPr>
          <w:b/>
          <w:bCs/>
        </w:rPr>
      </w:pPr>
      <w:r>
        <w:rPr>
          <w:b/>
          <w:bCs/>
        </w:rPr>
        <w:t xml:space="preserve">                                  </w:t>
      </w:r>
      <w:r w:rsidR="00647198">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49362E" w:rsidRDefault="0049362E" w:rsidP="0032191A">
      <w:pPr>
        <w:pStyle w:val="NormalWeb"/>
        <w:spacing w:before="0" w:beforeAutospacing="0" w:after="0" w:afterAutospacing="0"/>
        <w:jc w:val="center"/>
        <w:rPr>
          <w:b/>
          <w:bCs/>
          <w:sz w:val="14"/>
          <w:szCs w:val="14"/>
        </w:rPr>
      </w:pPr>
    </w:p>
    <w:p w:rsidR="0097276B" w:rsidRPr="00E8197C" w:rsidRDefault="00CE0C7C" w:rsidP="0032191A">
      <w:pPr>
        <w:pStyle w:val="NormalWeb"/>
        <w:spacing w:before="0" w:beforeAutospacing="0" w:after="120" w:afterAutospacing="0"/>
        <w:jc w:val="center"/>
        <w:rPr>
          <w:b/>
          <w:bCs/>
          <w:sz w:val="28"/>
          <w:szCs w:val="28"/>
        </w:rPr>
      </w:pPr>
      <w:r>
        <w:rPr>
          <w:b/>
          <w:bCs/>
          <w:sz w:val="28"/>
          <w:szCs w:val="28"/>
        </w:rPr>
        <w:t>Note</w:t>
      </w:r>
      <w:r w:rsidR="0097276B" w:rsidRPr="00E8197C">
        <w:rPr>
          <w:b/>
          <w:bCs/>
          <w:sz w:val="28"/>
          <w:szCs w:val="28"/>
        </w:rPr>
        <w:t xml:space="preserve"> de conjoncture</w:t>
      </w:r>
      <w:r w:rsidR="0097276B">
        <w:rPr>
          <w:b/>
          <w:bCs/>
          <w:sz w:val="28"/>
          <w:szCs w:val="28"/>
        </w:rPr>
        <w:t xml:space="preserve"> </w:t>
      </w:r>
    </w:p>
    <w:p w:rsidR="0097276B" w:rsidRDefault="0097276B" w:rsidP="008F6FE7">
      <w:pPr>
        <w:pStyle w:val="NormalWeb"/>
        <w:spacing w:before="0" w:beforeAutospacing="0" w:after="0" w:afterAutospacing="0"/>
        <w:jc w:val="center"/>
        <w:rPr>
          <w:b/>
          <w:bCs/>
        </w:rPr>
      </w:pPr>
      <w:r>
        <w:rPr>
          <w:b/>
          <w:bCs/>
        </w:rPr>
        <w:t xml:space="preserve">- </w:t>
      </w:r>
      <w:r w:rsidR="008F6FE7">
        <w:rPr>
          <w:b/>
          <w:bCs/>
        </w:rPr>
        <w:t>Janvier</w:t>
      </w:r>
      <w:r w:rsidR="005C318A">
        <w:rPr>
          <w:b/>
          <w:bCs/>
        </w:rPr>
        <w:t xml:space="preserve"> </w:t>
      </w:r>
      <w:r w:rsidRPr="00E82E2E">
        <w:rPr>
          <w:b/>
          <w:bCs/>
        </w:rPr>
        <w:t>201</w:t>
      </w:r>
      <w:r w:rsidR="008F6FE7">
        <w:rPr>
          <w:b/>
          <w:bCs/>
        </w:rPr>
        <w:t>7</w:t>
      </w:r>
      <w:r w:rsidRPr="00E82E2E">
        <w:rPr>
          <w:b/>
          <w:bCs/>
        </w:rPr>
        <w:t xml:space="preserve"> </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49362E" w:rsidRPr="00EF5CE5" w:rsidRDefault="0049362E" w:rsidP="0032191A">
      <w:pPr>
        <w:pStyle w:val="NormalWeb"/>
        <w:spacing w:before="0" w:beforeAutospacing="0" w:after="0" w:afterAutospacing="0"/>
        <w:jc w:val="center"/>
        <w:rPr>
          <w:b/>
          <w:bCs/>
          <w:sz w:val="28"/>
          <w:szCs w:val="28"/>
        </w:rPr>
      </w:pPr>
    </w:p>
    <w:p w:rsidR="0097276B" w:rsidRDefault="00122A75" w:rsidP="007B37A8">
      <w:pPr>
        <w:jc w:val="both"/>
        <w:rPr>
          <w:rFonts w:ascii="Arial" w:hAnsi="Arial" w:cs="Arial"/>
          <w:sz w:val="20"/>
          <w:szCs w:val="20"/>
        </w:rPr>
      </w:pPr>
      <w:r>
        <w:rPr>
          <w:rFonts w:ascii="Arial" w:hAnsi="Arial" w:cs="Arial"/>
          <w:sz w:val="20"/>
          <w:szCs w:val="20"/>
        </w:rPr>
        <w:t>L</w:t>
      </w:r>
      <w:r w:rsidR="00AB3EC2">
        <w:rPr>
          <w:rFonts w:ascii="Arial" w:hAnsi="Arial" w:cs="Arial"/>
          <w:sz w:val="20"/>
          <w:szCs w:val="20"/>
        </w:rPr>
        <w:t>’</w:t>
      </w:r>
      <w:r>
        <w:rPr>
          <w:rFonts w:ascii="Arial" w:hAnsi="Arial" w:cs="Arial"/>
          <w:sz w:val="20"/>
          <w:szCs w:val="20"/>
        </w:rPr>
        <w:t xml:space="preserve">économie nationale </w:t>
      </w:r>
      <w:r w:rsidR="00AB3EC2">
        <w:rPr>
          <w:rFonts w:ascii="Arial" w:hAnsi="Arial" w:cs="Arial"/>
          <w:sz w:val="20"/>
          <w:szCs w:val="20"/>
        </w:rPr>
        <w:t>au</w:t>
      </w:r>
      <w:r w:rsidR="00BB725A">
        <w:rPr>
          <w:rFonts w:ascii="Arial" w:hAnsi="Arial" w:cs="Arial"/>
          <w:sz w:val="20"/>
          <w:szCs w:val="20"/>
        </w:rPr>
        <w:t xml:space="preserve">rait </w:t>
      </w:r>
      <w:r w:rsidR="00AB3EC2">
        <w:rPr>
          <w:rFonts w:ascii="Arial" w:hAnsi="Arial" w:cs="Arial"/>
          <w:sz w:val="20"/>
          <w:szCs w:val="20"/>
        </w:rPr>
        <w:t>progressé</w:t>
      </w:r>
      <w:r w:rsidR="00BB725A">
        <w:rPr>
          <w:rFonts w:ascii="Arial" w:hAnsi="Arial" w:cs="Arial"/>
          <w:sz w:val="20"/>
          <w:szCs w:val="20"/>
        </w:rPr>
        <w:t xml:space="preserve"> </w:t>
      </w:r>
      <w:r w:rsidR="00AB3EC2">
        <w:rPr>
          <w:rFonts w:ascii="Arial" w:hAnsi="Arial" w:cs="Arial"/>
          <w:sz w:val="20"/>
          <w:szCs w:val="20"/>
        </w:rPr>
        <w:t xml:space="preserve">de </w:t>
      </w:r>
      <w:r w:rsidR="006743CB">
        <w:rPr>
          <w:rFonts w:ascii="Arial" w:hAnsi="Arial" w:cs="Arial"/>
          <w:sz w:val="20"/>
          <w:szCs w:val="20"/>
        </w:rPr>
        <w:t>1</w:t>
      </w:r>
      <w:r w:rsidR="00C53044">
        <w:rPr>
          <w:rFonts w:ascii="Arial" w:hAnsi="Arial" w:cs="Arial"/>
          <w:sz w:val="20"/>
          <w:szCs w:val="20"/>
        </w:rPr>
        <w:t>,</w:t>
      </w:r>
      <w:r w:rsidR="0059257E">
        <w:rPr>
          <w:rFonts w:ascii="Arial" w:hAnsi="Arial" w:cs="Arial"/>
          <w:sz w:val="20"/>
          <w:szCs w:val="20"/>
        </w:rPr>
        <w:t>2</w:t>
      </w:r>
      <w:r w:rsidR="00AB3EC2">
        <w:rPr>
          <w:rFonts w:ascii="Arial" w:hAnsi="Arial" w:cs="Arial"/>
          <w:sz w:val="20"/>
          <w:szCs w:val="20"/>
        </w:rPr>
        <w:t xml:space="preserve">%, au </w:t>
      </w:r>
      <w:r w:rsidR="00905A4B">
        <w:rPr>
          <w:rFonts w:ascii="Arial" w:hAnsi="Arial" w:cs="Arial"/>
          <w:sz w:val="20"/>
          <w:szCs w:val="20"/>
        </w:rPr>
        <w:t>quatr</w:t>
      </w:r>
      <w:r w:rsidR="00AB3EC2">
        <w:rPr>
          <w:rFonts w:ascii="Arial" w:hAnsi="Arial" w:cs="Arial"/>
          <w:sz w:val="20"/>
          <w:szCs w:val="20"/>
        </w:rPr>
        <w:t>ième trimestre 2016, au lieu de +</w:t>
      </w:r>
      <w:r w:rsidR="00972FFC">
        <w:rPr>
          <w:rFonts w:ascii="Arial" w:hAnsi="Arial" w:cs="Arial"/>
          <w:sz w:val="20"/>
          <w:szCs w:val="20"/>
        </w:rPr>
        <w:t>0,</w:t>
      </w:r>
      <w:r w:rsidR="006743CB">
        <w:rPr>
          <w:rFonts w:ascii="Arial" w:hAnsi="Arial" w:cs="Arial"/>
          <w:sz w:val="20"/>
          <w:szCs w:val="20"/>
        </w:rPr>
        <w:t>8</w:t>
      </w:r>
      <w:r w:rsidR="00AB3EC2">
        <w:rPr>
          <w:rFonts w:ascii="Arial" w:hAnsi="Arial" w:cs="Arial"/>
          <w:sz w:val="20"/>
          <w:szCs w:val="20"/>
        </w:rPr>
        <w:t>% un trimestre auparavant</w:t>
      </w:r>
      <w:r w:rsidR="0097276B">
        <w:rPr>
          <w:rFonts w:ascii="Arial" w:hAnsi="Arial" w:cs="Arial"/>
          <w:sz w:val="20"/>
          <w:szCs w:val="20"/>
        </w:rPr>
        <w:t>.</w:t>
      </w:r>
      <w:r w:rsidR="003C795E">
        <w:rPr>
          <w:rFonts w:ascii="Arial" w:hAnsi="Arial" w:cs="Arial"/>
          <w:sz w:val="20"/>
          <w:szCs w:val="20"/>
        </w:rPr>
        <w:t xml:space="preserve"> </w:t>
      </w:r>
      <w:r w:rsidR="003D4918">
        <w:rPr>
          <w:rFonts w:ascii="Arial" w:hAnsi="Arial" w:cs="Arial"/>
          <w:sz w:val="20"/>
          <w:szCs w:val="20"/>
        </w:rPr>
        <w:t>Ce</w:t>
      </w:r>
      <w:r w:rsidR="006A4C9D">
        <w:rPr>
          <w:rFonts w:ascii="Arial" w:hAnsi="Arial" w:cs="Arial"/>
          <w:sz w:val="20"/>
          <w:szCs w:val="20"/>
        </w:rPr>
        <w:t xml:space="preserve">tte </w:t>
      </w:r>
      <w:r w:rsidR="00BB725A">
        <w:rPr>
          <w:rFonts w:ascii="Arial" w:hAnsi="Arial" w:cs="Arial"/>
          <w:sz w:val="20"/>
          <w:szCs w:val="20"/>
        </w:rPr>
        <w:t xml:space="preserve">modeste </w:t>
      </w:r>
      <w:r w:rsidR="00775B80">
        <w:rPr>
          <w:rFonts w:ascii="Arial" w:hAnsi="Arial" w:cs="Arial"/>
          <w:sz w:val="20"/>
          <w:szCs w:val="20"/>
        </w:rPr>
        <w:t>hausse</w:t>
      </w:r>
      <w:r w:rsidR="0014360D">
        <w:rPr>
          <w:rFonts w:ascii="Arial" w:hAnsi="Arial" w:cs="Arial"/>
          <w:sz w:val="20"/>
          <w:szCs w:val="20"/>
        </w:rPr>
        <w:t xml:space="preserve"> aurait été</w:t>
      </w:r>
      <w:r w:rsidR="00193485">
        <w:rPr>
          <w:rFonts w:ascii="Arial" w:hAnsi="Arial" w:cs="Arial"/>
          <w:sz w:val="20"/>
          <w:szCs w:val="20"/>
        </w:rPr>
        <w:t>, principalement,</w:t>
      </w:r>
      <w:r w:rsidR="002E0BDA">
        <w:rPr>
          <w:rFonts w:ascii="Arial" w:hAnsi="Arial" w:cs="Arial"/>
          <w:sz w:val="20"/>
          <w:szCs w:val="20"/>
        </w:rPr>
        <w:t xml:space="preserve"> </w:t>
      </w:r>
      <w:r w:rsidR="00583DF0">
        <w:rPr>
          <w:rFonts w:ascii="Arial" w:hAnsi="Arial" w:cs="Arial"/>
          <w:sz w:val="20"/>
          <w:szCs w:val="20"/>
        </w:rPr>
        <w:t>tirée</w:t>
      </w:r>
      <w:r w:rsidR="002E0BDA">
        <w:rPr>
          <w:rFonts w:ascii="Arial" w:hAnsi="Arial" w:cs="Arial"/>
          <w:sz w:val="20"/>
          <w:szCs w:val="20"/>
        </w:rPr>
        <w:t xml:space="preserve"> par le</w:t>
      </w:r>
      <w:r w:rsidR="00222936">
        <w:rPr>
          <w:rFonts w:ascii="Arial" w:hAnsi="Arial" w:cs="Arial"/>
          <w:sz w:val="20"/>
          <w:szCs w:val="20"/>
        </w:rPr>
        <w:t xml:space="preserve">s activités </w:t>
      </w:r>
      <w:r w:rsidR="00E43723">
        <w:rPr>
          <w:rFonts w:ascii="Arial" w:hAnsi="Arial" w:cs="Arial"/>
          <w:sz w:val="20"/>
          <w:szCs w:val="20"/>
        </w:rPr>
        <w:t>second</w:t>
      </w:r>
      <w:r w:rsidR="00193485">
        <w:rPr>
          <w:rFonts w:ascii="Arial" w:hAnsi="Arial" w:cs="Arial"/>
          <w:sz w:val="20"/>
          <w:szCs w:val="20"/>
        </w:rPr>
        <w:t>aires</w:t>
      </w:r>
      <w:r w:rsidR="00BB725A">
        <w:rPr>
          <w:rFonts w:ascii="Arial" w:hAnsi="Arial" w:cs="Arial"/>
          <w:sz w:val="20"/>
          <w:szCs w:val="20"/>
        </w:rPr>
        <w:t xml:space="preserve">, </w:t>
      </w:r>
      <w:r w:rsidR="003C795E">
        <w:rPr>
          <w:rFonts w:ascii="Arial" w:hAnsi="Arial" w:cs="Arial"/>
          <w:sz w:val="20"/>
          <w:szCs w:val="20"/>
        </w:rPr>
        <w:t xml:space="preserve">après une sensible décélération au </w:t>
      </w:r>
      <w:r w:rsidR="00583DF0">
        <w:rPr>
          <w:rFonts w:ascii="Arial" w:hAnsi="Arial" w:cs="Arial"/>
          <w:sz w:val="20"/>
          <w:szCs w:val="20"/>
        </w:rPr>
        <w:t>trois</w:t>
      </w:r>
      <w:r w:rsidR="003C795E">
        <w:rPr>
          <w:rFonts w:ascii="Arial" w:hAnsi="Arial" w:cs="Arial"/>
          <w:sz w:val="20"/>
          <w:szCs w:val="20"/>
        </w:rPr>
        <w:t>ième trimestre.</w:t>
      </w:r>
      <w:r w:rsidR="00222936">
        <w:rPr>
          <w:rFonts w:ascii="Arial" w:hAnsi="Arial" w:cs="Arial"/>
          <w:sz w:val="20"/>
          <w:szCs w:val="20"/>
        </w:rPr>
        <w:t xml:space="preserve"> </w:t>
      </w:r>
      <w:r w:rsidR="003C795E">
        <w:rPr>
          <w:rFonts w:ascii="Arial" w:hAnsi="Arial" w:cs="Arial"/>
          <w:sz w:val="20"/>
          <w:szCs w:val="20"/>
        </w:rPr>
        <w:t>L</w:t>
      </w:r>
      <w:r>
        <w:rPr>
          <w:rFonts w:ascii="Arial" w:hAnsi="Arial" w:cs="Arial"/>
          <w:sz w:val="20"/>
          <w:szCs w:val="20"/>
        </w:rPr>
        <w:t xml:space="preserve">a valeur ajoutée hors agriculture </w:t>
      </w:r>
      <w:r w:rsidR="00775B80">
        <w:rPr>
          <w:rFonts w:ascii="Arial" w:hAnsi="Arial" w:cs="Arial"/>
          <w:sz w:val="20"/>
          <w:szCs w:val="20"/>
        </w:rPr>
        <w:t>aurait</w:t>
      </w:r>
      <w:r w:rsidR="00C25240">
        <w:rPr>
          <w:rFonts w:ascii="Arial" w:hAnsi="Arial" w:cs="Arial"/>
          <w:sz w:val="20"/>
          <w:szCs w:val="20"/>
        </w:rPr>
        <w:t>, ainsi,</w:t>
      </w:r>
      <w:r w:rsidR="00775B80">
        <w:rPr>
          <w:rFonts w:ascii="Arial" w:hAnsi="Arial" w:cs="Arial"/>
          <w:sz w:val="20"/>
          <w:szCs w:val="20"/>
        </w:rPr>
        <w:t xml:space="preserve"> </w:t>
      </w:r>
      <w:r w:rsidR="00CB48DE">
        <w:rPr>
          <w:rFonts w:ascii="Arial" w:hAnsi="Arial" w:cs="Arial"/>
          <w:sz w:val="20"/>
          <w:szCs w:val="20"/>
        </w:rPr>
        <w:t>crû</w:t>
      </w:r>
      <w:r w:rsidR="00AD5BE5">
        <w:rPr>
          <w:rFonts w:ascii="Arial" w:hAnsi="Arial" w:cs="Arial"/>
          <w:sz w:val="20"/>
          <w:szCs w:val="20"/>
        </w:rPr>
        <w:t xml:space="preserve"> </w:t>
      </w:r>
      <w:r w:rsidR="0012549C">
        <w:rPr>
          <w:rFonts w:ascii="Arial" w:hAnsi="Arial" w:cs="Arial"/>
          <w:sz w:val="20"/>
          <w:szCs w:val="20"/>
        </w:rPr>
        <w:t>de 2</w:t>
      </w:r>
      <w:r w:rsidR="008D0337">
        <w:rPr>
          <w:rFonts w:ascii="Arial" w:hAnsi="Arial" w:cs="Arial"/>
          <w:sz w:val="20"/>
          <w:szCs w:val="20"/>
        </w:rPr>
        <w:t>,5</w:t>
      </w:r>
      <w:r w:rsidR="0012549C">
        <w:rPr>
          <w:rFonts w:ascii="Arial" w:hAnsi="Arial" w:cs="Arial"/>
          <w:sz w:val="20"/>
          <w:szCs w:val="20"/>
        </w:rPr>
        <w:t xml:space="preserve">%, en glissement annuel, au lieu de </w:t>
      </w:r>
      <w:r w:rsidR="00097FF5">
        <w:rPr>
          <w:rFonts w:ascii="Arial" w:hAnsi="Arial" w:cs="Arial"/>
          <w:sz w:val="20"/>
          <w:szCs w:val="20"/>
        </w:rPr>
        <w:t>+</w:t>
      </w:r>
      <w:r w:rsidR="0012549C">
        <w:rPr>
          <w:rFonts w:ascii="Arial" w:hAnsi="Arial" w:cs="Arial"/>
          <w:sz w:val="20"/>
          <w:szCs w:val="20"/>
        </w:rPr>
        <w:t xml:space="preserve">1,9% </w:t>
      </w:r>
      <w:r w:rsidR="00AD5BE5">
        <w:rPr>
          <w:rFonts w:ascii="Arial" w:hAnsi="Arial" w:cs="Arial"/>
          <w:sz w:val="20"/>
          <w:szCs w:val="20"/>
        </w:rPr>
        <w:t>le trimestre précédent</w:t>
      </w:r>
      <w:r>
        <w:rPr>
          <w:rFonts w:ascii="Arial" w:hAnsi="Arial" w:cs="Arial"/>
          <w:sz w:val="20"/>
          <w:szCs w:val="20"/>
        </w:rPr>
        <w:t xml:space="preserve">. </w:t>
      </w:r>
      <w:r w:rsidR="00222936">
        <w:rPr>
          <w:rFonts w:ascii="Arial" w:hAnsi="Arial" w:cs="Arial"/>
          <w:sz w:val="20"/>
          <w:szCs w:val="20"/>
        </w:rPr>
        <w:t>En revanche, l</w:t>
      </w:r>
      <w:r>
        <w:rPr>
          <w:rFonts w:ascii="Arial" w:hAnsi="Arial" w:cs="Arial"/>
          <w:sz w:val="20"/>
          <w:szCs w:val="20"/>
        </w:rPr>
        <w:t>e secteur</w:t>
      </w:r>
      <w:r w:rsidR="00222936">
        <w:rPr>
          <w:rFonts w:ascii="Arial" w:hAnsi="Arial" w:cs="Arial"/>
          <w:sz w:val="20"/>
          <w:szCs w:val="20"/>
        </w:rPr>
        <w:t xml:space="preserve"> agricole aurait </w:t>
      </w:r>
      <w:r w:rsidR="001D4041">
        <w:rPr>
          <w:rFonts w:ascii="Arial" w:hAnsi="Arial" w:cs="Arial"/>
          <w:sz w:val="20"/>
          <w:szCs w:val="20"/>
        </w:rPr>
        <w:t>poursuivi</w:t>
      </w:r>
      <w:r w:rsidR="00747017">
        <w:rPr>
          <w:rFonts w:ascii="Arial" w:hAnsi="Arial" w:cs="Arial"/>
          <w:sz w:val="20"/>
          <w:szCs w:val="20"/>
        </w:rPr>
        <w:t xml:space="preserve"> sa tendance baissière, affichant un repli de </w:t>
      </w:r>
      <w:r w:rsidR="00D40102">
        <w:rPr>
          <w:rFonts w:ascii="Arial" w:hAnsi="Arial" w:cs="Arial"/>
          <w:sz w:val="20"/>
          <w:szCs w:val="20"/>
        </w:rPr>
        <w:t>1</w:t>
      </w:r>
      <w:r w:rsidR="00AD5BE5">
        <w:rPr>
          <w:rFonts w:ascii="Arial" w:hAnsi="Arial" w:cs="Arial"/>
          <w:sz w:val="20"/>
          <w:szCs w:val="20"/>
        </w:rPr>
        <w:t>2</w:t>
      </w:r>
      <w:r w:rsidR="00965074">
        <w:rPr>
          <w:rFonts w:ascii="Arial" w:hAnsi="Arial" w:cs="Arial"/>
          <w:sz w:val="20"/>
          <w:szCs w:val="20"/>
        </w:rPr>
        <w:t>,</w:t>
      </w:r>
      <w:r w:rsidR="0054468D">
        <w:rPr>
          <w:rFonts w:ascii="Arial" w:hAnsi="Arial" w:cs="Arial"/>
          <w:sz w:val="20"/>
          <w:szCs w:val="20"/>
        </w:rPr>
        <w:t>3</w:t>
      </w:r>
      <w:r w:rsidR="005676A8">
        <w:rPr>
          <w:rFonts w:ascii="Arial" w:hAnsi="Arial" w:cs="Arial"/>
          <w:sz w:val="20"/>
          <w:szCs w:val="20"/>
        </w:rPr>
        <w:t>%</w:t>
      </w:r>
      <w:r w:rsidR="00775B80">
        <w:rPr>
          <w:rFonts w:ascii="Arial" w:hAnsi="Arial" w:cs="Arial"/>
          <w:sz w:val="20"/>
          <w:szCs w:val="20"/>
        </w:rPr>
        <w:t>, durant la même période</w:t>
      </w:r>
      <w:r w:rsidR="00326BA1">
        <w:rPr>
          <w:rFonts w:ascii="Arial" w:hAnsi="Arial" w:cs="Arial"/>
          <w:sz w:val="20"/>
          <w:szCs w:val="20"/>
        </w:rPr>
        <w:t>.</w:t>
      </w:r>
      <w:r w:rsidR="00E05A54">
        <w:rPr>
          <w:rFonts w:ascii="Arial" w:hAnsi="Arial" w:cs="Arial"/>
          <w:sz w:val="20"/>
          <w:szCs w:val="20"/>
        </w:rPr>
        <w:t xml:space="preserve"> </w:t>
      </w:r>
      <w:r w:rsidR="00446A28">
        <w:rPr>
          <w:rFonts w:ascii="Arial" w:hAnsi="Arial" w:cs="Arial"/>
          <w:sz w:val="20"/>
          <w:szCs w:val="20"/>
        </w:rPr>
        <w:t xml:space="preserve">Au </w:t>
      </w:r>
      <w:r w:rsidR="00905A4B">
        <w:rPr>
          <w:rFonts w:ascii="Arial" w:hAnsi="Arial" w:cs="Arial"/>
          <w:sz w:val="20"/>
          <w:szCs w:val="20"/>
        </w:rPr>
        <w:t>premier</w:t>
      </w:r>
      <w:r w:rsidR="00446A28">
        <w:rPr>
          <w:rFonts w:ascii="Arial" w:hAnsi="Arial" w:cs="Arial"/>
          <w:sz w:val="20"/>
          <w:szCs w:val="20"/>
        </w:rPr>
        <w:t xml:space="preserve"> trimestre 201</w:t>
      </w:r>
      <w:r w:rsidR="00905A4B">
        <w:rPr>
          <w:rFonts w:ascii="Arial" w:hAnsi="Arial" w:cs="Arial"/>
          <w:sz w:val="20"/>
          <w:szCs w:val="20"/>
        </w:rPr>
        <w:t>7</w:t>
      </w:r>
      <w:r w:rsidR="00446A28">
        <w:rPr>
          <w:rFonts w:ascii="Arial" w:hAnsi="Arial" w:cs="Arial"/>
          <w:sz w:val="20"/>
          <w:szCs w:val="20"/>
        </w:rPr>
        <w:t xml:space="preserve">, </w:t>
      </w:r>
      <w:r w:rsidR="006743CB">
        <w:rPr>
          <w:rFonts w:ascii="Arial" w:hAnsi="Arial" w:cs="Arial"/>
          <w:sz w:val="20"/>
          <w:szCs w:val="20"/>
        </w:rPr>
        <w:t xml:space="preserve">le rythme de croissance de </w:t>
      </w:r>
      <w:r w:rsidR="00446A28">
        <w:rPr>
          <w:rFonts w:ascii="Arial" w:hAnsi="Arial" w:cs="Arial"/>
          <w:sz w:val="20"/>
          <w:szCs w:val="20"/>
        </w:rPr>
        <w:t>l</w:t>
      </w:r>
      <w:r w:rsidR="001B6A8F">
        <w:rPr>
          <w:rFonts w:ascii="Arial" w:hAnsi="Arial" w:cs="Arial"/>
          <w:sz w:val="20"/>
          <w:szCs w:val="20"/>
        </w:rPr>
        <w:t xml:space="preserve">a valeur ajoutée </w:t>
      </w:r>
      <w:r w:rsidR="0097276B">
        <w:rPr>
          <w:rFonts w:ascii="Arial" w:hAnsi="Arial" w:cs="Arial"/>
          <w:sz w:val="20"/>
          <w:szCs w:val="20"/>
        </w:rPr>
        <w:t xml:space="preserve">non-agricole </w:t>
      </w:r>
      <w:r w:rsidR="006743CB">
        <w:rPr>
          <w:rFonts w:ascii="Arial" w:hAnsi="Arial" w:cs="Arial"/>
          <w:sz w:val="20"/>
          <w:szCs w:val="20"/>
        </w:rPr>
        <w:t>s’accélérerait</w:t>
      </w:r>
      <w:r w:rsidR="00D20588">
        <w:rPr>
          <w:rFonts w:ascii="Arial" w:hAnsi="Arial" w:cs="Arial"/>
          <w:sz w:val="20"/>
          <w:szCs w:val="20"/>
        </w:rPr>
        <w:t>,</w:t>
      </w:r>
      <w:r w:rsidR="00DD4C30">
        <w:rPr>
          <w:rFonts w:ascii="Arial" w:hAnsi="Arial" w:cs="Arial"/>
          <w:sz w:val="20"/>
          <w:szCs w:val="20"/>
        </w:rPr>
        <w:t xml:space="preserve"> </w:t>
      </w:r>
      <w:r w:rsidR="006743CB">
        <w:rPr>
          <w:rFonts w:ascii="Arial" w:hAnsi="Arial" w:cs="Arial"/>
          <w:sz w:val="20"/>
          <w:szCs w:val="20"/>
        </w:rPr>
        <w:t>légèr</w:t>
      </w:r>
      <w:r w:rsidR="00DD4C30">
        <w:rPr>
          <w:rFonts w:ascii="Arial" w:hAnsi="Arial" w:cs="Arial"/>
          <w:sz w:val="20"/>
          <w:szCs w:val="20"/>
        </w:rPr>
        <w:t xml:space="preserve">ement, </w:t>
      </w:r>
      <w:r w:rsidR="006743CB">
        <w:rPr>
          <w:rFonts w:ascii="Arial" w:hAnsi="Arial" w:cs="Arial"/>
          <w:sz w:val="20"/>
          <w:szCs w:val="20"/>
        </w:rPr>
        <w:t xml:space="preserve">pour </w:t>
      </w:r>
      <w:r w:rsidR="0012549C">
        <w:rPr>
          <w:rFonts w:ascii="Arial" w:hAnsi="Arial" w:cs="Arial"/>
          <w:sz w:val="20"/>
          <w:szCs w:val="20"/>
        </w:rPr>
        <w:t>se situer à</w:t>
      </w:r>
      <w:r w:rsidR="006743CB">
        <w:rPr>
          <w:rFonts w:ascii="Arial" w:hAnsi="Arial" w:cs="Arial"/>
          <w:sz w:val="20"/>
          <w:szCs w:val="20"/>
        </w:rPr>
        <w:t xml:space="preserve"> +2</w:t>
      </w:r>
      <w:r w:rsidR="0012549C">
        <w:rPr>
          <w:rFonts w:ascii="Arial" w:hAnsi="Arial" w:cs="Arial"/>
          <w:sz w:val="20"/>
          <w:szCs w:val="20"/>
        </w:rPr>
        <w:t>,</w:t>
      </w:r>
      <w:r w:rsidR="008D0337">
        <w:rPr>
          <w:rFonts w:ascii="Arial" w:hAnsi="Arial" w:cs="Arial"/>
          <w:sz w:val="20"/>
          <w:szCs w:val="20"/>
        </w:rPr>
        <w:t>7</w:t>
      </w:r>
      <w:r w:rsidR="006743CB">
        <w:rPr>
          <w:rFonts w:ascii="Arial" w:hAnsi="Arial" w:cs="Arial"/>
          <w:sz w:val="20"/>
          <w:szCs w:val="20"/>
        </w:rPr>
        <w:t>%</w:t>
      </w:r>
      <w:r w:rsidR="00DB6AB4">
        <w:rPr>
          <w:rFonts w:ascii="Arial" w:hAnsi="Arial" w:cs="Arial"/>
          <w:sz w:val="20"/>
          <w:szCs w:val="20"/>
        </w:rPr>
        <w:t>.</w:t>
      </w:r>
      <w:r w:rsidR="006E1D00">
        <w:rPr>
          <w:rFonts w:ascii="Arial" w:hAnsi="Arial" w:cs="Arial"/>
          <w:sz w:val="20"/>
          <w:szCs w:val="20"/>
        </w:rPr>
        <w:t xml:space="preserve"> </w:t>
      </w:r>
      <w:r w:rsidR="00D90A30">
        <w:rPr>
          <w:rFonts w:ascii="Arial" w:hAnsi="Arial" w:cs="Arial"/>
          <w:sz w:val="20"/>
          <w:szCs w:val="20"/>
        </w:rPr>
        <w:t xml:space="preserve">Avec </w:t>
      </w:r>
      <w:r w:rsidR="005B0E8F">
        <w:rPr>
          <w:rFonts w:ascii="Arial" w:hAnsi="Arial" w:cs="Arial"/>
          <w:sz w:val="20"/>
          <w:szCs w:val="20"/>
        </w:rPr>
        <w:t xml:space="preserve">une </w:t>
      </w:r>
      <w:r w:rsidR="00905A4B">
        <w:rPr>
          <w:rFonts w:ascii="Arial" w:hAnsi="Arial" w:cs="Arial"/>
          <w:sz w:val="20"/>
          <w:szCs w:val="20"/>
        </w:rPr>
        <w:t>hau</w:t>
      </w:r>
      <w:r w:rsidR="005B0E8F">
        <w:rPr>
          <w:rFonts w:ascii="Arial" w:hAnsi="Arial" w:cs="Arial"/>
          <w:sz w:val="20"/>
          <w:szCs w:val="20"/>
        </w:rPr>
        <w:t xml:space="preserve">sse de </w:t>
      </w:r>
      <w:r w:rsidR="00383421">
        <w:rPr>
          <w:rFonts w:ascii="Arial" w:hAnsi="Arial" w:cs="Arial"/>
          <w:sz w:val="20"/>
          <w:szCs w:val="20"/>
        </w:rPr>
        <w:t>1</w:t>
      </w:r>
      <w:r w:rsidR="00C53044">
        <w:rPr>
          <w:rFonts w:ascii="Arial" w:hAnsi="Arial" w:cs="Arial"/>
          <w:sz w:val="20"/>
          <w:szCs w:val="20"/>
        </w:rPr>
        <w:t>1</w:t>
      </w:r>
      <w:r w:rsidR="005B0E8F">
        <w:rPr>
          <w:rFonts w:ascii="Arial" w:hAnsi="Arial" w:cs="Arial"/>
          <w:sz w:val="20"/>
          <w:szCs w:val="20"/>
        </w:rPr>
        <w:t>,</w:t>
      </w:r>
      <w:r w:rsidR="00C53044">
        <w:rPr>
          <w:rFonts w:ascii="Arial" w:hAnsi="Arial" w:cs="Arial"/>
          <w:sz w:val="20"/>
          <w:szCs w:val="20"/>
        </w:rPr>
        <w:t>1</w:t>
      </w:r>
      <w:r w:rsidR="005B0E8F">
        <w:rPr>
          <w:rFonts w:ascii="Arial" w:hAnsi="Arial" w:cs="Arial"/>
          <w:sz w:val="20"/>
          <w:szCs w:val="20"/>
        </w:rPr>
        <w:t xml:space="preserve">% de la </w:t>
      </w:r>
      <w:r w:rsidR="00D90A30">
        <w:rPr>
          <w:rFonts w:ascii="Arial" w:hAnsi="Arial" w:cs="Arial"/>
          <w:sz w:val="20"/>
          <w:szCs w:val="20"/>
        </w:rPr>
        <w:t>valeur ajoutée agricole</w:t>
      </w:r>
      <w:r w:rsidR="0097276B">
        <w:rPr>
          <w:rFonts w:ascii="Arial" w:hAnsi="Arial" w:cs="Arial"/>
          <w:sz w:val="20"/>
          <w:szCs w:val="20"/>
        </w:rPr>
        <w:t xml:space="preserve">, </w:t>
      </w:r>
      <w:r w:rsidR="006E1D00">
        <w:rPr>
          <w:rFonts w:ascii="Arial" w:hAnsi="Arial" w:cs="Arial"/>
          <w:sz w:val="20"/>
          <w:szCs w:val="20"/>
        </w:rPr>
        <w:t>l</w:t>
      </w:r>
      <w:r w:rsidR="0097276B">
        <w:rPr>
          <w:rFonts w:ascii="Arial" w:hAnsi="Arial" w:cs="Arial"/>
          <w:sz w:val="20"/>
          <w:szCs w:val="20"/>
        </w:rPr>
        <w:t xml:space="preserve">’économie nationale </w:t>
      </w:r>
      <w:r w:rsidR="00CB48DE">
        <w:rPr>
          <w:rFonts w:ascii="Arial" w:hAnsi="Arial" w:cs="Arial"/>
          <w:sz w:val="20"/>
          <w:szCs w:val="20"/>
        </w:rPr>
        <w:t>s’accroitrait</w:t>
      </w:r>
      <w:r w:rsidR="0097276B">
        <w:rPr>
          <w:rFonts w:ascii="Arial" w:hAnsi="Arial" w:cs="Arial"/>
          <w:sz w:val="20"/>
          <w:szCs w:val="20"/>
        </w:rPr>
        <w:t xml:space="preserve"> de </w:t>
      </w:r>
      <w:r w:rsidR="00C53044">
        <w:rPr>
          <w:rFonts w:ascii="Arial" w:hAnsi="Arial" w:cs="Arial"/>
          <w:sz w:val="20"/>
          <w:szCs w:val="20"/>
        </w:rPr>
        <w:t>3</w:t>
      </w:r>
      <w:r w:rsidR="003B69CD">
        <w:rPr>
          <w:rFonts w:ascii="Arial" w:hAnsi="Arial" w:cs="Arial"/>
          <w:sz w:val="20"/>
          <w:szCs w:val="20"/>
        </w:rPr>
        <w:t>,</w:t>
      </w:r>
      <w:r w:rsidR="00C53044">
        <w:rPr>
          <w:rFonts w:ascii="Arial" w:hAnsi="Arial" w:cs="Arial"/>
          <w:sz w:val="20"/>
          <w:szCs w:val="20"/>
        </w:rPr>
        <w:t>9</w:t>
      </w:r>
      <w:r w:rsidR="0097276B">
        <w:rPr>
          <w:rFonts w:ascii="Arial" w:hAnsi="Arial" w:cs="Arial"/>
          <w:sz w:val="20"/>
          <w:szCs w:val="20"/>
        </w:rPr>
        <w:t xml:space="preserve">%, au </w:t>
      </w:r>
      <w:r w:rsidR="00AD5BE5">
        <w:rPr>
          <w:rFonts w:ascii="Arial" w:hAnsi="Arial" w:cs="Arial"/>
          <w:sz w:val="20"/>
          <w:szCs w:val="20"/>
        </w:rPr>
        <w:t>premier</w:t>
      </w:r>
      <w:r w:rsidR="0097276B">
        <w:rPr>
          <w:rFonts w:ascii="Arial" w:hAnsi="Arial" w:cs="Arial"/>
          <w:sz w:val="20"/>
          <w:szCs w:val="20"/>
        </w:rPr>
        <w:t xml:space="preserve"> trimestre 201</w:t>
      </w:r>
      <w:r w:rsidR="00AD5BE5">
        <w:rPr>
          <w:rFonts w:ascii="Arial" w:hAnsi="Arial" w:cs="Arial"/>
          <w:sz w:val="20"/>
          <w:szCs w:val="20"/>
        </w:rPr>
        <w:t>7</w:t>
      </w:r>
      <w:r w:rsidR="0097276B">
        <w:rPr>
          <w:rFonts w:ascii="Arial" w:hAnsi="Arial" w:cs="Arial"/>
          <w:sz w:val="20"/>
          <w:szCs w:val="20"/>
        </w:rPr>
        <w:t xml:space="preserve">, au lieu de </w:t>
      </w:r>
      <w:r w:rsidR="00326BA1">
        <w:rPr>
          <w:rFonts w:ascii="Arial" w:hAnsi="Arial" w:cs="Arial"/>
          <w:sz w:val="20"/>
          <w:szCs w:val="20"/>
        </w:rPr>
        <w:t>+</w:t>
      </w:r>
      <w:r w:rsidR="00905A4B">
        <w:rPr>
          <w:rFonts w:ascii="Arial" w:hAnsi="Arial" w:cs="Arial"/>
          <w:sz w:val="20"/>
          <w:szCs w:val="20"/>
        </w:rPr>
        <w:t>1</w:t>
      </w:r>
      <w:r w:rsidR="0097276B">
        <w:rPr>
          <w:rFonts w:ascii="Arial" w:hAnsi="Arial" w:cs="Arial"/>
          <w:sz w:val="20"/>
          <w:szCs w:val="20"/>
        </w:rPr>
        <w:t>,</w:t>
      </w:r>
      <w:r w:rsidR="00905A4B">
        <w:rPr>
          <w:rFonts w:ascii="Arial" w:hAnsi="Arial" w:cs="Arial"/>
          <w:sz w:val="20"/>
          <w:szCs w:val="20"/>
        </w:rPr>
        <w:t>7</w:t>
      </w:r>
      <w:r w:rsidR="0097276B">
        <w:rPr>
          <w:rFonts w:ascii="Arial" w:hAnsi="Arial" w:cs="Arial"/>
          <w:sz w:val="20"/>
          <w:szCs w:val="20"/>
        </w:rPr>
        <w:t>% une année plus tôt.</w:t>
      </w:r>
    </w:p>
    <w:p w:rsidR="0097276B" w:rsidRDefault="0097276B" w:rsidP="0032191A">
      <w:pPr>
        <w:autoSpaceDE w:val="0"/>
        <w:autoSpaceDN w:val="0"/>
        <w:adjustRightInd w:val="0"/>
        <w:jc w:val="both"/>
        <w:rPr>
          <w:rFonts w:ascii="Arial" w:hAnsi="Arial" w:cs="Arial"/>
          <w:b/>
          <w:bCs/>
          <w:color w:val="800000"/>
          <w:kern w:val="28"/>
          <w:sz w:val="20"/>
          <w:szCs w:val="20"/>
        </w:rPr>
      </w:pPr>
    </w:p>
    <w:p w:rsidR="00C53044" w:rsidRDefault="00C53044" w:rsidP="008B364A">
      <w:pPr>
        <w:autoSpaceDE w:val="0"/>
        <w:autoSpaceDN w:val="0"/>
        <w:adjustRightInd w:val="0"/>
        <w:jc w:val="both"/>
        <w:rPr>
          <w:rFonts w:ascii="Arial" w:hAnsi="Arial" w:cs="Arial"/>
          <w:b/>
          <w:bCs/>
          <w:color w:val="800000"/>
          <w:kern w:val="28"/>
          <w:sz w:val="20"/>
          <w:szCs w:val="20"/>
        </w:rPr>
      </w:pPr>
      <w:r>
        <w:rPr>
          <w:rFonts w:ascii="Arial" w:hAnsi="Arial" w:cs="Arial"/>
          <w:b/>
          <w:bCs/>
          <w:color w:val="800000"/>
          <w:kern w:val="28"/>
          <w:sz w:val="20"/>
          <w:szCs w:val="20"/>
        </w:rPr>
        <w:t>Une</w:t>
      </w:r>
      <w:r w:rsidRPr="00F37FBF">
        <w:rPr>
          <w:rFonts w:ascii="Arial" w:hAnsi="Arial" w:cs="Arial"/>
          <w:b/>
          <w:bCs/>
          <w:color w:val="800000"/>
          <w:kern w:val="28"/>
          <w:sz w:val="20"/>
          <w:szCs w:val="20"/>
        </w:rPr>
        <w:t xml:space="preserve"> demande extérieure </w:t>
      </w:r>
      <w:r>
        <w:rPr>
          <w:rFonts w:ascii="Arial" w:hAnsi="Arial" w:cs="Arial"/>
          <w:b/>
          <w:bCs/>
          <w:color w:val="800000"/>
          <w:kern w:val="28"/>
          <w:sz w:val="20"/>
          <w:szCs w:val="20"/>
        </w:rPr>
        <w:t xml:space="preserve">moins dynamique </w:t>
      </w:r>
      <w:r w:rsidR="008B364A">
        <w:rPr>
          <w:rFonts w:ascii="Arial" w:hAnsi="Arial" w:cs="Arial"/>
          <w:b/>
          <w:bCs/>
          <w:color w:val="800000"/>
          <w:kern w:val="28"/>
          <w:sz w:val="20"/>
          <w:szCs w:val="20"/>
        </w:rPr>
        <w:t>à fin</w:t>
      </w:r>
      <w:r>
        <w:rPr>
          <w:rFonts w:ascii="Arial" w:hAnsi="Arial" w:cs="Arial"/>
          <w:b/>
          <w:bCs/>
          <w:color w:val="800000"/>
          <w:kern w:val="28"/>
          <w:sz w:val="20"/>
          <w:szCs w:val="20"/>
        </w:rPr>
        <w:t xml:space="preserve"> 2016 </w:t>
      </w:r>
    </w:p>
    <w:p w:rsidR="00C53044" w:rsidRDefault="00C53044" w:rsidP="00C53044">
      <w:pPr>
        <w:spacing w:line="260" w:lineRule="exact"/>
        <w:jc w:val="both"/>
        <w:rPr>
          <w:rFonts w:ascii="Arial" w:hAnsi="Arial" w:cs="Arial"/>
          <w:b/>
          <w:bCs/>
          <w:color w:val="800000"/>
          <w:kern w:val="28"/>
          <w:sz w:val="22"/>
          <w:szCs w:val="22"/>
        </w:rPr>
      </w:pPr>
    </w:p>
    <w:p w:rsidR="00C53044" w:rsidRPr="00A94D35" w:rsidRDefault="00C53044" w:rsidP="00C53044">
      <w:pPr>
        <w:jc w:val="both"/>
        <w:rPr>
          <w:rFonts w:ascii="Arial" w:hAnsi="Arial" w:cs="Arial"/>
          <w:sz w:val="20"/>
          <w:szCs w:val="20"/>
        </w:rPr>
      </w:pPr>
      <w:r>
        <w:rPr>
          <w:rFonts w:ascii="Arial" w:hAnsi="Arial" w:cs="Arial"/>
          <w:sz w:val="20"/>
          <w:szCs w:val="20"/>
        </w:rPr>
        <w:t>L’activité</w:t>
      </w:r>
      <w:r w:rsidRPr="00A94D35">
        <w:rPr>
          <w:rFonts w:ascii="Arial" w:hAnsi="Arial" w:cs="Arial"/>
          <w:sz w:val="20"/>
          <w:szCs w:val="20"/>
        </w:rPr>
        <w:t xml:space="preserve"> économi</w:t>
      </w:r>
      <w:r>
        <w:rPr>
          <w:rFonts w:ascii="Arial" w:hAnsi="Arial" w:cs="Arial"/>
          <w:sz w:val="20"/>
          <w:szCs w:val="20"/>
        </w:rPr>
        <w:t>qu</w:t>
      </w:r>
      <w:r w:rsidRPr="00A94D35">
        <w:rPr>
          <w:rFonts w:ascii="Arial" w:hAnsi="Arial" w:cs="Arial"/>
          <w:sz w:val="20"/>
          <w:szCs w:val="20"/>
        </w:rPr>
        <w:t>e</w:t>
      </w:r>
      <w:r>
        <w:rPr>
          <w:rFonts w:ascii="Arial" w:hAnsi="Arial" w:cs="Arial"/>
          <w:sz w:val="20"/>
          <w:szCs w:val="20"/>
        </w:rPr>
        <w:t xml:space="preserve"> dans les </w:t>
      </w:r>
      <w:r w:rsidRPr="000F44E6">
        <w:rPr>
          <w:rFonts w:ascii="Arial" w:hAnsi="Arial" w:cs="Arial"/>
          <w:b/>
          <w:bCs/>
          <w:sz w:val="20"/>
          <w:szCs w:val="20"/>
        </w:rPr>
        <w:t>pays avancés</w:t>
      </w:r>
      <w:r w:rsidRPr="00A94D35">
        <w:rPr>
          <w:rFonts w:ascii="Arial" w:hAnsi="Arial" w:cs="Arial"/>
          <w:sz w:val="20"/>
          <w:szCs w:val="20"/>
        </w:rPr>
        <w:t xml:space="preserve"> aurait continué de résister </w:t>
      </w:r>
      <w:r>
        <w:rPr>
          <w:rFonts w:ascii="Arial" w:hAnsi="Arial" w:cs="Arial"/>
          <w:sz w:val="20"/>
          <w:szCs w:val="20"/>
        </w:rPr>
        <w:t>aux</w:t>
      </w:r>
      <w:r w:rsidRPr="00A94D35">
        <w:rPr>
          <w:rFonts w:ascii="Arial" w:hAnsi="Arial" w:cs="Arial"/>
          <w:sz w:val="20"/>
          <w:szCs w:val="20"/>
        </w:rPr>
        <w:t xml:space="preserve"> incertitudes politiques, due</w:t>
      </w:r>
      <w:r w:rsidR="00ED6611">
        <w:rPr>
          <w:rFonts w:ascii="Arial" w:hAnsi="Arial" w:cs="Arial"/>
          <w:sz w:val="20"/>
          <w:szCs w:val="20"/>
        </w:rPr>
        <w:t>s</w:t>
      </w:r>
      <w:r w:rsidRPr="00A94D35">
        <w:rPr>
          <w:rFonts w:ascii="Arial" w:hAnsi="Arial" w:cs="Arial"/>
          <w:sz w:val="20"/>
          <w:szCs w:val="20"/>
        </w:rPr>
        <w:t xml:space="preserve"> notamment aux résultats des référendums britannique et italien et à l'élection présidentielle américaine. L</w:t>
      </w:r>
      <w:r>
        <w:rPr>
          <w:rFonts w:ascii="Arial" w:hAnsi="Arial" w:cs="Arial"/>
          <w:sz w:val="20"/>
          <w:szCs w:val="20"/>
        </w:rPr>
        <w:t>a croissance</w:t>
      </w:r>
      <w:r w:rsidRPr="00A94D35">
        <w:rPr>
          <w:rFonts w:ascii="Arial" w:hAnsi="Arial" w:cs="Arial"/>
          <w:sz w:val="20"/>
          <w:szCs w:val="20"/>
        </w:rPr>
        <w:t xml:space="preserve"> aux Etats-Unis aurait bénéficié du soutien de la demande intérieure, en particulier des entreprises. En </w:t>
      </w:r>
      <w:r w:rsidRPr="00A94D35">
        <w:rPr>
          <w:rFonts w:ascii="Arial" w:hAnsi="Arial" w:cs="Arial"/>
          <w:iCs/>
          <w:sz w:val="20"/>
          <w:szCs w:val="20"/>
          <w:lang w:eastAsia="en-US"/>
        </w:rPr>
        <w:t xml:space="preserve">zone euro, l'activité se serait améliorée, notamment en Allemagne, en Espagne </w:t>
      </w:r>
      <w:r>
        <w:rPr>
          <w:rFonts w:ascii="Arial" w:hAnsi="Arial" w:cs="Arial"/>
          <w:iCs/>
          <w:sz w:val="20"/>
          <w:szCs w:val="20"/>
          <w:lang w:eastAsia="en-US"/>
        </w:rPr>
        <w:t xml:space="preserve">et </w:t>
      </w:r>
      <w:r w:rsidRPr="00A94D35">
        <w:rPr>
          <w:rFonts w:ascii="Arial" w:hAnsi="Arial" w:cs="Arial"/>
          <w:iCs/>
          <w:sz w:val="20"/>
          <w:szCs w:val="20"/>
          <w:lang w:eastAsia="en-US"/>
        </w:rPr>
        <w:t xml:space="preserve">en France, portée par la consommation des ménages et la reprise de l'investissement productif. </w:t>
      </w:r>
      <w:r w:rsidRPr="00A94D35">
        <w:rPr>
          <w:rFonts w:ascii="Arial" w:hAnsi="Arial" w:cs="Arial"/>
          <w:sz w:val="20"/>
          <w:szCs w:val="20"/>
        </w:rPr>
        <w:t>Sur l’ensemble de l’année 2016, la croissance des pays avancés se situerait aux alentours de 1,6%, au lieu de 2,1% en 2015 et celle de la zone euro atteindrait 1,6%, après 1,5% un an plus tôt.</w:t>
      </w:r>
    </w:p>
    <w:p w:rsidR="00C53044" w:rsidRPr="00A94D35" w:rsidRDefault="007B37A8" w:rsidP="00C53044">
      <w:pPr>
        <w:jc w:val="both"/>
        <w:rPr>
          <w:rFonts w:ascii="Arial" w:hAnsi="Arial" w:cs="Arial"/>
          <w:sz w:val="20"/>
          <w:szCs w:val="20"/>
        </w:rPr>
      </w:pPr>
      <w:r>
        <w:rPr>
          <w:rFonts w:ascii="Arial" w:hAnsi="Arial" w:cs="Arial"/>
          <w:noProof/>
          <w:sz w:val="20"/>
          <w:szCs w:val="20"/>
        </w:rPr>
        <w:drawing>
          <wp:anchor distT="0" distB="0" distL="114300" distR="114300" simplePos="0" relativeHeight="251703296" behindDoc="0" locked="0" layoutInCell="1" allowOverlap="1">
            <wp:simplePos x="0" y="0"/>
            <wp:positionH relativeFrom="column">
              <wp:posOffset>4065270</wp:posOffset>
            </wp:positionH>
            <wp:positionV relativeFrom="paragraph">
              <wp:posOffset>116205</wp:posOffset>
            </wp:positionV>
            <wp:extent cx="2526665" cy="2026285"/>
            <wp:effectExtent l="19050" t="0" r="6985"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26665" cy="2026285"/>
                    </a:xfrm>
                    <a:prstGeom prst="rect">
                      <a:avLst/>
                    </a:prstGeom>
                    <a:noFill/>
                    <a:ln w="9525">
                      <a:noFill/>
                      <a:miter lim="800000"/>
                      <a:headEnd/>
                      <a:tailEnd/>
                    </a:ln>
                  </pic:spPr>
                </pic:pic>
              </a:graphicData>
            </a:graphic>
          </wp:anchor>
        </w:drawing>
      </w:r>
    </w:p>
    <w:p w:rsidR="00C53044" w:rsidRPr="00A94D35" w:rsidRDefault="00C53044" w:rsidP="00DF0ABB">
      <w:pPr>
        <w:jc w:val="both"/>
        <w:rPr>
          <w:rFonts w:ascii="Arial" w:hAnsi="Arial" w:cs="Arial"/>
          <w:iCs/>
          <w:color w:val="000000"/>
          <w:sz w:val="20"/>
          <w:szCs w:val="20"/>
          <w:lang w:eastAsia="en-US"/>
        </w:rPr>
      </w:pPr>
      <w:r w:rsidRPr="00A94D35">
        <w:rPr>
          <w:rFonts w:ascii="Arial" w:hAnsi="Arial" w:cs="Arial"/>
          <w:sz w:val="20"/>
          <w:szCs w:val="20"/>
        </w:rPr>
        <w:t xml:space="preserve">Dans les </w:t>
      </w:r>
      <w:r w:rsidRPr="00A94D35">
        <w:rPr>
          <w:rFonts w:ascii="Arial" w:hAnsi="Arial" w:cs="Arial"/>
          <w:iCs/>
          <w:color w:val="000000"/>
          <w:sz w:val="20"/>
          <w:szCs w:val="20"/>
          <w:lang w:eastAsia="en-US"/>
        </w:rPr>
        <w:t>pays émergents, le climat des affaires s</w:t>
      </w:r>
      <w:r>
        <w:rPr>
          <w:rFonts w:ascii="Arial" w:hAnsi="Arial" w:cs="Arial"/>
          <w:iCs/>
          <w:color w:val="000000"/>
          <w:sz w:val="20"/>
          <w:szCs w:val="20"/>
          <w:lang w:eastAsia="en-US"/>
        </w:rPr>
        <w:t xml:space="preserve">e serait </w:t>
      </w:r>
      <w:r w:rsidR="00097FF5">
        <w:rPr>
          <w:rFonts w:ascii="Arial" w:hAnsi="Arial" w:cs="Arial"/>
          <w:iCs/>
          <w:color w:val="000000"/>
          <w:sz w:val="20"/>
          <w:szCs w:val="20"/>
          <w:lang w:eastAsia="en-US"/>
        </w:rPr>
        <w:t xml:space="preserve">légèrement </w:t>
      </w:r>
      <w:r w:rsidRPr="00A94D35">
        <w:rPr>
          <w:rFonts w:ascii="Arial" w:hAnsi="Arial" w:cs="Arial"/>
          <w:iCs/>
          <w:color w:val="000000"/>
          <w:sz w:val="20"/>
          <w:szCs w:val="20"/>
          <w:lang w:eastAsia="en-US"/>
        </w:rPr>
        <w:t>amélior</w:t>
      </w:r>
      <w:r>
        <w:rPr>
          <w:rFonts w:ascii="Arial" w:hAnsi="Arial" w:cs="Arial"/>
          <w:iCs/>
          <w:color w:val="000000"/>
          <w:sz w:val="20"/>
          <w:szCs w:val="20"/>
          <w:lang w:eastAsia="en-US"/>
        </w:rPr>
        <w:t xml:space="preserve">é, au quatrième trimestre 2016, </w:t>
      </w:r>
      <w:r w:rsidRPr="00A94D35">
        <w:rPr>
          <w:rFonts w:ascii="Arial" w:hAnsi="Arial" w:cs="Arial"/>
          <w:iCs/>
          <w:color w:val="000000"/>
          <w:sz w:val="20"/>
          <w:szCs w:val="20"/>
          <w:lang w:eastAsia="en-US"/>
        </w:rPr>
        <w:t xml:space="preserve">tout en restant en deçà de son niveau des années 2000. La stabilisation des prix des matières premières et l'arrêt de la dépréciation des monnaies des pays producteurs auraient permis une légère reprise de l'économie russe et une atténuation de la récession au Brésil. En Chine, l'activité aurait continué </w:t>
      </w:r>
      <w:r w:rsidR="00DF0ABB">
        <w:rPr>
          <w:rFonts w:ascii="Arial" w:hAnsi="Arial" w:cs="Arial"/>
          <w:iCs/>
          <w:color w:val="000000"/>
          <w:sz w:val="20"/>
          <w:szCs w:val="20"/>
          <w:lang w:eastAsia="en-US"/>
        </w:rPr>
        <w:t>de bénéficier du</w:t>
      </w:r>
      <w:r w:rsidRPr="00A94D35">
        <w:rPr>
          <w:rFonts w:ascii="Arial" w:hAnsi="Arial" w:cs="Arial"/>
          <w:iCs/>
          <w:color w:val="000000"/>
          <w:sz w:val="20"/>
          <w:szCs w:val="20"/>
          <w:lang w:eastAsia="en-US"/>
        </w:rPr>
        <w:t xml:space="preserve"> soutien public</w:t>
      </w:r>
      <w:r w:rsidR="00DF0ABB">
        <w:rPr>
          <w:rFonts w:ascii="Arial" w:hAnsi="Arial" w:cs="Arial"/>
          <w:iCs/>
          <w:color w:val="000000"/>
          <w:sz w:val="20"/>
          <w:szCs w:val="20"/>
          <w:lang w:eastAsia="en-US"/>
        </w:rPr>
        <w:t xml:space="preserve"> à </w:t>
      </w:r>
      <w:r w:rsidRPr="00A94D35">
        <w:rPr>
          <w:rFonts w:ascii="Arial" w:hAnsi="Arial" w:cs="Arial"/>
          <w:iCs/>
          <w:color w:val="000000"/>
          <w:sz w:val="20"/>
          <w:szCs w:val="20"/>
          <w:lang w:eastAsia="en-US"/>
        </w:rPr>
        <w:t>l'investissement en construction.</w:t>
      </w:r>
    </w:p>
    <w:p w:rsidR="00C53044" w:rsidRPr="00A94D35" w:rsidRDefault="00C53044" w:rsidP="00C53044">
      <w:pPr>
        <w:jc w:val="both"/>
        <w:rPr>
          <w:rFonts w:ascii="Arial" w:hAnsi="Arial" w:cs="Arial"/>
          <w:iCs/>
          <w:color w:val="000000"/>
          <w:sz w:val="20"/>
          <w:szCs w:val="20"/>
          <w:lang w:eastAsia="en-US"/>
        </w:rPr>
      </w:pPr>
    </w:p>
    <w:p w:rsidR="007B37A8" w:rsidRDefault="00C53044" w:rsidP="00ED6611">
      <w:pPr>
        <w:jc w:val="both"/>
        <w:rPr>
          <w:rFonts w:ascii="Arial" w:hAnsi="Arial" w:cs="Arial"/>
          <w:iCs/>
          <w:color w:val="000000"/>
          <w:sz w:val="20"/>
          <w:szCs w:val="20"/>
          <w:lang w:eastAsia="en-US"/>
        </w:rPr>
      </w:pPr>
      <w:r w:rsidRPr="00A94D35">
        <w:rPr>
          <w:rFonts w:ascii="Arial" w:hAnsi="Arial" w:cs="Arial"/>
          <w:iCs/>
          <w:color w:val="000000"/>
          <w:sz w:val="20"/>
          <w:szCs w:val="20"/>
          <w:lang w:eastAsia="en-US"/>
        </w:rPr>
        <w:t>Après une évolution atone un trimestre auparavant, le commerce mondial de biens aurait progressé de 1,4% au quatrième trimestre</w:t>
      </w:r>
      <w:r w:rsidR="00DF0ABB">
        <w:rPr>
          <w:rFonts w:ascii="Arial" w:hAnsi="Arial" w:cs="Arial"/>
          <w:iCs/>
          <w:color w:val="000000"/>
          <w:sz w:val="20"/>
          <w:szCs w:val="20"/>
          <w:lang w:eastAsia="en-US"/>
        </w:rPr>
        <w:t xml:space="preserve"> 2016</w:t>
      </w:r>
      <w:r w:rsidRPr="00A94D35">
        <w:rPr>
          <w:rFonts w:ascii="Arial" w:hAnsi="Arial" w:cs="Arial"/>
          <w:iCs/>
          <w:color w:val="000000"/>
          <w:sz w:val="20"/>
          <w:szCs w:val="20"/>
          <w:lang w:eastAsia="en-US"/>
        </w:rPr>
        <w:t xml:space="preserve">, </w:t>
      </w:r>
      <w:r>
        <w:rPr>
          <w:rFonts w:ascii="Arial" w:hAnsi="Arial" w:cs="Arial"/>
          <w:iCs/>
          <w:color w:val="000000"/>
          <w:sz w:val="20"/>
          <w:szCs w:val="20"/>
          <w:lang w:eastAsia="en-US"/>
        </w:rPr>
        <w:t>porté par</w:t>
      </w:r>
      <w:r w:rsidRPr="00A94D35">
        <w:rPr>
          <w:rFonts w:ascii="Arial" w:hAnsi="Arial" w:cs="Arial"/>
          <w:iCs/>
          <w:color w:val="000000"/>
          <w:sz w:val="20"/>
          <w:szCs w:val="20"/>
          <w:lang w:eastAsia="en-US"/>
        </w:rPr>
        <w:t xml:space="preserve"> la reprise des échanges des pays avancés et, dans une moindre mesure, de ce</w:t>
      </w:r>
      <w:r w:rsidR="00097FF5">
        <w:rPr>
          <w:rFonts w:ascii="Arial" w:hAnsi="Arial" w:cs="Arial"/>
          <w:iCs/>
          <w:color w:val="000000"/>
          <w:sz w:val="20"/>
          <w:szCs w:val="20"/>
          <w:lang w:eastAsia="en-US"/>
        </w:rPr>
        <w:t>lle</w:t>
      </w:r>
      <w:r w:rsidR="00621336">
        <w:rPr>
          <w:rFonts w:ascii="Arial" w:hAnsi="Arial" w:cs="Arial"/>
          <w:iCs/>
          <w:color w:val="000000"/>
          <w:sz w:val="20"/>
          <w:szCs w:val="20"/>
          <w:lang w:eastAsia="en-US"/>
        </w:rPr>
        <w:t>s</w:t>
      </w:r>
      <w:r w:rsidRPr="00A94D35">
        <w:rPr>
          <w:rFonts w:ascii="Arial" w:hAnsi="Arial" w:cs="Arial"/>
          <w:iCs/>
          <w:color w:val="000000"/>
          <w:sz w:val="20"/>
          <w:szCs w:val="20"/>
          <w:lang w:eastAsia="en-US"/>
        </w:rPr>
        <w:t xml:space="preserve"> des pays émergents, pour clore l’année 2016, avec une croissance estimée à 1,2%, soit le taux le plus faible enregistré depuis 2009. </w:t>
      </w:r>
    </w:p>
    <w:p w:rsidR="007B37A8" w:rsidRDefault="007B37A8" w:rsidP="00ED6611">
      <w:pPr>
        <w:jc w:val="both"/>
        <w:rPr>
          <w:rFonts w:ascii="Arial" w:hAnsi="Arial" w:cs="Arial"/>
          <w:iCs/>
          <w:color w:val="000000"/>
          <w:sz w:val="20"/>
          <w:szCs w:val="20"/>
          <w:lang w:eastAsia="en-US"/>
        </w:rPr>
      </w:pPr>
    </w:p>
    <w:p w:rsidR="00C53044" w:rsidRDefault="007B37A8" w:rsidP="007B37A8">
      <w:pPr>
        <w:jc w:val="both"/>
        <w:rPr>
          <w:rFonts w:ascii="Arial" w:hAnsi="Arial" w:cs="Arial"/>
          <w:iCs/>
          <w:color w:val="000000"/>
          <w:sz w:val="20"/>
          <w:szCs w:val="20"/>
          <w:lang w:eastAsia="en-US"/>
        </w:rPr>
      </w:pPr>
      <w:r>
        <w:rPr>
          <w:rFonts w:ascii="Arial" w:hAnsi="Arial" w:cs="Arial"/>
          <w:iCs/>
          <w:color w:val="000000"/>
          <w:sz w:val="20"/>
          <w:szCs w:val="20"/>
          <w:lang w:eastAsia="en-US"/>
        </w:rPr>
        <w:t>Compte tenu de</w:t>
      </w:r>
      <w:r w:rsidR="00C53044" w:rsidRPr="00A94D35">
        <w:rPr>
          <w:rFonts w:ascii="Arial" w:hAnsi="Arial" w:cs="Arial"/>
          <w:iCs/>
          <w:color w:val="000000"/>
          <w:sz w:val="20"/>
          <w:szCs w:val="20"/>
          <w:lang w:eastAsia="en-US"/>
        </w:rPr>
        <w:t xml:space="preserve"> la composition géographique des exportations marocaines, la demande mondiale adressée au Maroc aurait été légèrement plus dynamique que le commerce mondial, </w:t>
      </w:r>
      <w:r w:rsidR="00097FF5">
        <w:rPr>
          <w:rFonts w:ascii="Arial" w:hAnsi="Arial" w:cs="Arial"/>
          <w:iCs/>
          <w:color w:val="000000"/>
          <w:sz w:val="20"/>
          <w:szCs w:val="20"/>
          <w:lang w:eastAsia="en-US"/>
        </w:rPr>
        <w:t>affichant un accroissement de</w:t>
      </w:r>
      <w:r w:rsidR="00C53044" w:rsidRPr="00A94D35">
        <w:rPr>
          <w:rFonts w:ascii="Arial" w:hAnsi="Arial" w:cs="Arial"/>
          <w:iCs/>
          <w:color w:val="000000"/>
          <w:sz w:val="20"/>
          <w:szCs w:val="20"/>
          <w:lang w:eastAsia="en-US"/>
        </w:rPr>
        <w:t xml:space="preserve"> 2,2% en 2016, </w:t>
      </w:r>
      <w:r w:rsidR="001E13F3">
        <w:rPr>
          <w:rFonts w:ascii="Arial" w:hAnsi="Arial" w:cs="Arial"/>
          <w:iCs/>
          <w:color w:val="000000"/>
          <w:sz w:val="20"/>
          <w:szCs w:val="20"/>
          <w:lang w:eastAsia="en-US"/>
        </w:rPr>
        <w:t xml:space="preserve">au lieu de +4% </w:t>
      </w:r>
      <w:r w:rsidR="00C53044" w:rsidRPr="00A94D35">
        <w:rPr>
          <w:rFonts w:ascii="Arial" w:hAnsi="Arial" w:cs="Arial"/>
          <w:iCs/>
          <w:color w:val="000000"/>
          <w:sz w:val="20"/>
          <w:szCs w:val="20"/>
          <w:lang w:eastAsia="en-US"/>
        </w:rPr>
        <w:t xml:space="preserve">enregistré en 2014 et 2015. Dans ce contexte, le </w:t>
      </w:r>
      <w:r w:rsidR="00C53044" w:rsidRPr="000F44E6">
        <w:rPr>
          <w:rFonts w:ascii="Arial" w:hAnsi="Arial" w:cs="Arial"/>
          <w:b/>
          <w:bCs/>
          <w:iCs/>
          <w:color w:val="000000"/>
          <w:sz w:val="20"/>
          <w:szCs w:val="20"/>
          <w:lang w:eastAsia="en-US"/>
        </w:rPr>
        <w:t>déficit de la balance commerciale</w:t>
      </w:r>
      <w:r w:rsidR="00C53044" w:rsidRPr="00A94D35">
        <w:rPr>
          <w:rFonts w:ascii="Arial" w:hAnsi="Arial" w:cs="Arial"/>
          <w:iCs/>
          <w:color w:val="000000"/>
          <w:sz w:val="20"/>
          <w:szCs w:val="20"/>
          <w:lang w:eastAsia="en-US"/>
        </w:rPr>
        <w:t xml:space="preserve"> au niveau national se serait alourdi de 18,3%, </w:t>
      </w:r>
      <w:r w:rsidR="009C7536">
        <w:rPr>
          <w:rFonts w:ascii="Arial" w:hAnsi="Arial" w:cs="Arial"/>
          <w:iCs/>
          <w:color w:val="000000"/>
          <w:sz w:val="20"/>
          <w:szCs w:val="20"/>
          <w:lang w:eastAsia="en-US"/>
        </w:rPr>
        <w:t>en 2016</w:t>
      </w:r>
      <w:r w:rsidR="00C53044" w:rsidRPr="00A94D35">
        <w:rPr>
          <w:rFonts w:ascii="Arial" w:hAnsi="Arial" w:cs="Arial"/>
          <w:iCs/>
          <w:color w:val="000000"/>
          <w:sz w:val="20"/>
          <w:szCs w:val="20"/>
          <w:lang w:eastAsia="en-US"/>
        </w:rPr>
        <w:t xml:space="preserve">, et le taux de couverture aurait perdu 3,7 points, pour </w:t>
      </w:r>
      <w:r w:rsidR="00B57068">
        <w:rPr>
          <w:rFonts w:ascii="Arial" w:hAnsi="Arial" w:cs="Arial"/>
          <w:iCs/>
          <w:color w:val="000000"/>
          <w:sz w:val="20"/>
          <w:szCs w:val="20"/>
          <w:lang w:eastAsia="en-US"/>
        </w:rPr>
        <w:t>se situer à</w:t>
      </w:r>
      <w:r w:rsidR="00C53044" w:rsidRPr="00A94D35">
        <w:rPr>
          <w:rFonts w:ascii="Arial" w:hAnsi="Arial" w:cs="Arial"/>
          <w:iCs/>
          <w:color w:val="000000"/>
          <w:sz w:val="20"/>
          <w:szCs w:val="20"/>
          <w:lang w:eastAsia="en-US"/>
        </w:rPr>
        <w:t xml:space="preserve"> 55%. Le creusement de ce déficit </w:t>
      </w:r>
      <w:r w:rsidR="009C7536">
        <w:rPr>
          <w:rFonts w:ascii="Arial" w:hAnsi="Arial" w:cs="Arial"/>
          <w:iCs/>
          <w:color w:val="000000"/>
          <w:sz w:val="20"/>
          <w:szCs w:val="20"/>
          <w:lang w:eastAsia="en-US"/>
        </w:rPr>
        <w:t>serai</w:t>
      </w:r>
      <w:r w:rsidR="00C53044" w:rsidRPr="00A94D35">
        <w:rPr>
          <w:rFonts w:ascii="Arial" w:hAnsi="Arial" w:cs="Arial"/>
          <w:iCs/>
          <w:color w:val="000000"/>
          <w:sz w:val="20"/>
          <w:szCs w:val="20"/>
          <w:lang w:eastAsia="en-US"/>
        </w:rPr>
        <w:t xml:space="preserve">t le résultat de la hausse plus conséquente des importations par rapport aux exportations. Ces dernières, en </w:t>
      </w:r>
      <w:r w:rsidR="00B57068">
        <w:rPr>
          <w:rFonts w:ascii="Arial" w:hAnsi="Arial" w:cs="Arial"/>
          <w:iCs/>
          <w:color w:val="000000"/>
          <w:sz w:val="20"/>
          <w:szCs w:val="20"/>
          <w:lang w:eastAsia="en-US"/>
        </w:rPr>
        <w:t>hausse de</w:t>
      </w:r>
      <w:r w:rsidR="00C53044" w:rsidRPr="00A94D35">
        <w:rPr>
          <w:rFonts w:ascii="Arial" w:hAnsi="Arial" w:cs="Arial"/>
          <w:iCs/>
          <w:color w:val="000000"/>
          <w:sz w:val="20"/>
          <w:szCs w:val="20"/>
          <w:lang w:eastAsia="en-US"/>
        </w:rPr>
        <w:t xml:space="preserve"> 1,7%, auraient pâti du recul des exportations d</w:t>
      </w:r>
      <w:r w:rsidR="00C53044">
        <w:rPr>
          <w:rFonts w:ascii="Arial" w:hAnsi="Arial" w:cs="Arial"/>
          <w:iCs/>
          <w:color w:val="000000"/>
          <w:sz w:val="20"/>
          <w:szCs w:val="20"/>
          <w:lang w:eastAsia="en-US"/>
        </w:rPr>
        <w:t>es</w:t>
      </w:r>
      <w:r w:rsidR="00C53044" w:rsidRPr="00A94D35">
        <w:rPr>
          <w:rFonts w:ascii="Arial" w:hAnsi="Arial" w:cs="Arial"/>
          <w:iCs/>
          <w:color w:val="000000"/>
          <w:sz w:val="20"/>
          <w:szCs w:val="20"/>
          <w:lang w:eastAsia="en-US"/>
        </w:rPr>
        <w:t xml:space="preserve"> secteur</w:t>
      </w:r>
      <w:r w:rsidR="00C53044">
        <w:rPr>
          <w:rFonts w:ascii="Arial" w:hAnsi="Arial" w:cs="Arial"/>
          <w:iCs/>
          <w:color w:val="000000"/>
          <w:sz w:val="20"/>
          <w:szCs w:val="20"/>
          <w:lang w:eastAsia="en-US"/>
        </w:rPr>
        <w:t>s</w:t>
      </w:r>
      <w:r w:rsidR="00C53044" w:rsidRPr="00A94D35">
        <w:rPr>
          <w:rFonts w:ascii="Arial" w:hAnsi="Arial" w:cs="Arial"/>
          <w:iCs/>
          <w:color w:val="000000"/>
          <w:sz w:val="20"/>
          <w:szCs w:val="20"/>
          <w:lang w:eastAsia="en-US"/>
        </w:rPr>
        <w:t xml:space="preserve"> phosphatier et agricole, résultant beaucoup plus de l’effet-prix à l’export. Les cours internationaux du phosphate brut et de ses dérivés s</w:t>
      </w:r>
      <w:r w:rsidR="00C53044">
        <w:rPr>
          <w:rFonts w:ascii="Arial" w:hAnsi="Arial" w:cs="Arial"/>
          <w:iCs/>
          <w:color w:val="000000"/>
          <w:sz w:val="20"/>
          <w:szCs w:val="20"/>
          <w:lang w:eastAsia="en-US"/>
        </w:rPr>
        <w:t>e serai</w:t>
      </w:r>
      <w:r w:rsidR="00B1336C">
        <w:rPr>
          <w:rFonts w:ascii="Arial" w:hAnsi="Arial" w:cs="Arial"/>
          <w:iCs/>
          <w:color w:val="000000"/>
          <w:sz w:val="20"/>
          <w:szCs w:val="20"/>
          <w:lang w:eastAsia="en-US"/>
        </w:rPr>
        <w:t>en</w:t>
      </w:r>
      <w:r w:rsidR="00C53044">
        <w:rPr>
          <w:rFonts w:ascii="Arial" w:hAnsi="Arial" w:cs="Arial"/>
          <w:iCs/>
          <w:color w:val="000000"/>
          <w:sz w:val="20"/>
          <w:szCs w:val="20"/>
          <w:lang w:eastAsia="en-US"/>
        </w:rPr>
        <w:t xml:space="preserve">t infléchis </w:t>
      </w:r>
      <w:r w:rsidR="00C53044" w:rsidRPr="00A94D35">
        <w:rPr>
          <w:rFonts w:ascii="Arial" w:hAnsi="Arial" w:cs="Arial"/>
          <w:iCs/>
          <w:color w:val="000000"/>
          <w:sz w:val="20"/>
          <w:szCs w:val="20"/>
          <w:lang w:eastAsia="en-US"/>
        </w:rPr>
        <w:t>dans un contexte d'offre mondiale d</w:t>
      </w:r>
      <w:r w:rsidR="009C7536">
        <w:rPr>
          <w:rFonts w:ascii="Arial" w:hAnsi="Arial" w:cs="Arial"/>
          <w:iCs/>
          <w:color w:val="000000"/>
          <w:sz w:val="20"/>
          <w:szCs w:val="20"/>
          <w:lang w:eastAsia="en-US"/>
        </w:rPr>
        <w:t>e</w:t>
      </w:r>
      <w:r w:rsidR="00C53044" w:rsidRPr="00A94D35">
        <w:rPr>
          <w:rFonts w:ascii="Arial" w:hAnsi="Arial" w:cs="Arial"/>
          <w:iCs/>
          <w:color w:val="000000"/>
          <w:sz w:val="20"/>
          <w:szCs w:val="20"/>
          <w:lang w:eastAsia="en-US"/>
        </w:rPr>
        <w:t xml:space="preserve"> phosphate brut </w:t>
      </w:r>
      <w:r w:rsidR="00F418B8" w:rsidRPr="00A94D35">
        <w:rPr>
          <w:rFonts w:ascii="Arial" w:hAnsi="Arial" w:cs="Arial"/>
          <w:iCs/>
          <w:color w:val="000000"/>
          <w:sz w:val="20"/>
          <w:szCs w:val="20"/>
          <w:lang w:eastAsia="en-US"/>
        </w:rPr>
        <w:t xml:space="preserve">excédentaire </w:t>
      </w:r>
      <w:r w:rsidR="00C53044" w:rsidRPr="00A94D35">
        <w:rPr>
          <w:rFonts w:ascii="Arial" w:hAnsi="Arial" w:cs="Arial"/>
          <w:iCs/>
          <w:color w:val="000000"/>
          <w:sz w:val="20"/>
          <w:szCs w:val="20"/>
          <w:lang w:eastAsia="en-US"/>
        </w:rPr>
        <w:t xml:space="preserve">en provenance de </w:t>
      </w:r>
      <w:r w:rsidR="009C7536">
        <w:rPr>
          <w:rFonts w:ascii="Arial" w:hAnsi="Arial" w:cs="Arial"/>
          <w:iCs/>
          <w:color w:val="000000"/>
          <w:sz w:val="20"/>
          <w:szCs w:val="20"/>
          <w:lang w:eastAsia="en-US"/>
        </w:rPr>
        <w:t xml:space="preserve">la </w:t>
      </w:r>
      <w:r w:rsidR="00C53044" w:rsidRPr="00A94D35">
        <w:rPr>
          <w:rFonts w:ascii="Arial" w:hAnsi="Arial" w:cs="Arial"/>
          <w:iCs/>
          <w:color w:val="000000"/>
          <w:sz w:val="20"/>
          <w:szCs w:val="20"/>
          <w:lang w:eastAsia="en-US"/>
        </w:rPr>
        <w:t xml:space="preserve">Chine et d'Arabie Saoudite et d'une baisse de </w:t>
      </w:r>
      <w:r w:rsidR="00C53044">
        <w:rPr>
          <w:rFonts w:ascii="Arial" w:hAnsi="Arial" w:cs="Arial"/>
          <w:iCs/>
          <w:color w:val="000000"/>
          <w:sz w:val="20"/>
          <w:szCs w:val="20"/>
          <w:lang w:eastAsia="en-US"/>
        </w:rPr>
        <w:t xml:space="preserve">la </w:t>
      </w:r>
      <w:r w:rsidR="00C53044" w:rsidRPr="00A94D35">
        <w:rPr>
          <w:rFonts w:ascii="Arial" w:hAnsi="Arial" w:cs="Arial"/>
          <w:iCs/>
          <w:color w:val="000000"/>
          <w:sz w:val="20"/>
          <w:szCs w:val="20"/>
          <w:lang w:eastAsia="en-US"/>
        </w:rPr>
        <w:t xml:space="preserve">demande des fertilisants émanant des pays d'Asie du Sud, d'Amérique Latine et d'Afrique. Hors phosphate et dérivés, les </w:t>
      </w:r>
      <w:r w:rsidR="00C53044">
        <w:rPr>
          <w:rFonts w:ascii="Arial" w:hAnsi="Arial" w:cs="Arial"/>
          <w:iCs/>
          <w:color w:val="000000"/>
          <w:sz w:val="20"/>
          <w:szCs w:val="20"/>
          <w:lang w:eastAsia="en-US"/>
        </w:rPr>
        <w:t>exportations</w:t>
      </w:r>
      <w:r w:rsidR="00C53044" w:rsidRPr="00A94D35">
        <w:rPr>
          <w:rFonts w:ascii="Arial" w:hAnsi="Arial" w:cs="Arial"/>
          <w:iCs/>
          <w:color w:val="000000"/>
          <w:sz w:val="20"/>
          <w:szCs w:val="20"/>
          <w:lang w:eastAsia="en-US"/>
        </w:rPr>
        <w:t xml:space="preserve"> </w:t>
      </w:r>
      <w:r w:rsidR="00EF5CE5">
        <w:rPr>
          <w:rFonts w:ascii="Arial" w:hAnsi="Arial" w:cs="Arial"/>
          <w:iCs/>
          <w:color w:val="000000"/>
          <w:sz w:val="20"/>
          <w:szCs w:val="20"/>
          <w:lang w:eastAsia="en-US"/>
        </w:rPr>
        <w:t>au</w:t>
      </w:r>
      <w:r w:rsidR="00C53044" w:rsidRPr="00A94D35">
        <w:rPr>
          <w:rFonts w:ascii="Arial" w:hAnsi="Arial" w:cs="Arial"/>
          <w:iCs/>
          <w:color w:val="000000"/>
          <w:sz w:val="20"/>
          <w:szCs w:val="20"/>
          <w:lang w:eastAsia="en-US"/>
        </w:rPr>
        <w:t xml:space="preserve">raient </w:t>
      </w:r>
      <w:r w:rsidR="00EF5CE5">
        <w:rPr>
          <w:rFonts w:ascii="Arial" w:hAnsi="Arial" w:cs="Arial"/>
          <w:iCs/>
          <w:color w:val="000000"/>
          <w:sz w:val="20"/>
          <w:szCs w:val="20"/>
          <w:lang w:eastAsia="en-US"/>
        </w:rPr>
        <w:t>crû</w:t>
      </w:r>
      <w:r w:rsidR="00C53044" w:rsidRPr="00A94D35">
        <w:rPr>
          <w:rFonts w:ascii="Arial" w:hAnsi="Arial" w:cs="Arial"/>
          <w:iCs/>
          <w:color w:val="000000"/>
          <w:sz w:val="20"/>
          <w:szCs w:val="20"/>
          <w:lang w:eastAsia="en-US"/>
        </w:rPr>
        <w:t xml:space="preserve"> de 5,3%, tirées par le secteur automobile, dans sa composante construction, suivies des secteurs de l'aéronautique, de l'électronique et enfin du secteur du textile et cuir qui </w:t>
      </w:r>
      <w:r w:rsidR="00EE46E7">
        <w:rPr>
          <w:rFonts w:ascii="Arial" w:hAnsi="Arial" w:cs="Arial"/>
          <w:iCs/>
          <w:color w:val="000000"/>
          <w:sz w:val="20"/>
          <w:szCs w:val="20"/>
          <w:lang w:eastAsia="en-US"/>
        </w:rPr>
        <w:t>aurait</w:t>
      </w:r>
      <w:r w:rsidR="00C53044" w:rsidRPr="00A94D35">
        <w:rPr>
          <w:rFonts w:ascii="Arial" w:hAnsi="Arial" w:cs="Arial"/>
          <w:iCs/>
          <w:color w:val="000000"/>
          <w:sz w:val="20"/>
          <w:szCs w:val="20"/>
          <w:lang w:eastAsia="en-US"/>
        </w:rPr>
        <w:t xml:space="preserve"> renou</w:t>
      </w:r>
      <w:r w:rsidR="00EE46E7">
        <w:rPr>
          <w:rFonts w:ascii="Arial" w:hAnsi="Arial" w:cs="Arial"/>
          <w:iCs/>
          <w:color w:val="000000"/>
          <w:sz w:val="20"/>
          <w:szCs w:val="20"/>
          <w:lang w:eastAsia="en-US"/>
        </w:rPr>
        <w:t>é</w:t>
      </w:r>
      <w:r w:rsidR="00C53044" w:rsidRPr="00A94D35">
        <w:rPr>
          <w:rFonts w:ascii="Arial" w:hAnsi="Arial" w:cs="Arial"/>
          <w:iCs/>
          <w:color w:val="000000"/>
          <w:sz w:val="20"/>
          <w:szCs w:val="20"/>
          <w:lang w:eastAsia="en-US"/>
        </w:rPr>
        <w:t xml:space="preserve"> avec la croissance, après la contre-performance enregistrée en 2015. </w:t>
      </w:r>
    </w:p>
    <w:p w:rsidR="00EF5CE5" w:rsidRPr="007766F6" w:rsidRDefault="00EF5CE5" w:rsidP="00EF5CE5">
      <w:pPr>
        <w:jc w:val="both"/>
        <w:rPr>
          <w:rFonts w:ascii="Arial" w:hAnsi="Arial" w:cs="Arial"/>
          <w:iCs/>
          <w:kern w:val="28"/>
          <w:sz w:val="8"/>
          <w:szCs w:val="8"/>
        </w:rPr>
      </w:pPr>
    </w:p>
    <w:p w:rsidR="00EF5CE5" w:rsidRPr="001E70D5" w:rsidRDefault="00EF5CE5" w:rsidP="00EF5CE5">
      <w:pPr>
        <w:pBdr>
          <w:top w:val="single" w:sz="4" w:space="3" w:color="auto"/>
        </w:pBdr>
        <w:jc w:val="both"/>
        <w:rPr>
          <w:rFonts w:ascii="Arial" w:hAnsi="Arial" w:cs="Arial"/>
          <w:bCs/>
          <w:i/>
          <w:kern w:val="28"/>
          <w:sz w:val="14"/>
          <w:szCs w:val="14"/>
        </w:rPr>
      </w:pPr>
      <w:r w:rsidRPr="001E70D5">
        <w:rPr>
          <w:rFonts w:ascii="Arial" w:hAnsi="Arial" w:cs="Arial"/>
          <w:bCs/>
          <w:i/>
          <w:kern w:val="28"/>
          <w:sz w:val="14"/>
          <w:szCs w:val="14"/>
        </w:rPr>
        <w:t>Pour plus de détails, se référer à la publication « </w:t>
      </w:r>
      <w:r>
        <w:rPr>
          <w:rFonts w:ascii="Arial" w:hAnsi="Arial" w:cs="Arial"/>
          <w:bCs/>
          <w:i/>
          <w:kern w:val="28"/>
          <w:sz w:val="14"/>
          <w:szCs w:val="14"/>
        </w:rPr>
        <w:t>Note</w:t>
      </w:r>
      <w:r w:rsidRPr="001E70D5">
        <w:rPr>
          <w:rFonts w:ascii="Arial" w:hAnsi="Arial" w:cs="Arial"/>
          <w:bCs/>
          <w:i/>
          <w:kern w:val="28"/>
          <w:sz w:val="14"/>
          <w:szCs w:val="14"/>
        </w:rPr>
        <w:t xml:space="preserve"> de conjoncture N°</w:t>
      </w:r>
      <w:r>
        <w:rPr>
          <w:rFonts w:ascii="Arial" w:hAnsi="Arial" w:cs="Arial"/>
          <w:bCs/>
          <w:i/>
          <w:kern w:val="28"/>
          <w:sz w:val="14"/>
          <w:szCs w:val="14"/>
        </w:rPr>
        <w:t>29</w:t>
      </w:r>
      <w:r w:rsidRPr="001E70D5">
        <w:rPr>
          <w:rFonts w:ascii="Arial" w:hAnsi="Arial" w:cs="Arial"/>
          <w:bCs/>
          <w:i/>
          <w:kern w:val="28"/>
          <w:sz w:val="14"/>
          <w:szCs w:val="14"/>
        </w:rPr>
        <w:t>» qui sera incessamment hébergée sur le site du HCP. La reproduction des informations, contenues dans cette publication, est autorisée, sous réserve d’en mentionner expressément la source.</w:t>
      </w:r>
    </w:p>
    <w:p w:rsidR="00EF5CE5" w:rsidRDefault="00EF5CE5" w:rsidP="00EF5CE5">
      <w:pPr>
        <w:jc w:val="both"/>
        <w:rPr>
          <w:rFonts w:ascii="Arial" w:hAnsi="Arial" w:cs="Arial"/>
          <w:b/>
          <w:bCs/>
          <w:color w:val="800000"/>
          <w:kern w:val="28"/>
          <w:sz w:val="20"/>
          <w:szCs w:val="20"/>
        </w:rPr>
      </w:pPr>
    </w:p>
    <w:p w:rsidR="008B364A" w:rsidRDefault="008B364A" w:rsidP="00D44852">
      <w:pPr>
        <w:jc w:val="both"/>
        <w:rPr>
          <w:rFonts w:ascii="Arial" w:hAnsi="Arial" w:cs="Arial"/>
          <w:sz w:val="20"/>
          <w:szCs w:val="20"/>
        </w:rPr>
      </w:pPr>
    </w:p>
    <w:p w:rsidR="00C53044" w:rsidRPr="00A94D35" w:rsidRDefault="00C53044" w:rsidP="00D44852">
      <w:pPr>
        <w:jc w:val="both"/>
        <w:rPr>
          <w:rFonts w:ascii="Arial" w:hAnsi="Arial" w:cs="Arial"/>
          <w:sz w:val="20"/>
          <w:szCs w:val="20"/>
        </w:rPr>
      </w:pPr>
      <w:r w:rsidRPr="00A94D35">
        <w:rPr>
          <w:rFonts w:ascii="Arial" w:hAnsi="Arial" w:cs="Arial"/>
          <w:sz w:val="20"/>
          <w:szCs w:val="20"/>
        </w:rPr>
        <w:t xml:space="preserve">Soutenues par la demande intérieure, les </w:t>
      </w:r>
      <w:r w:rsidRPr="000F44E6">
        <w:rPr>
          <w:rFonts w:ascii="Arial" w:hAnsi="Arial" w:cs="Arial"/>
          <w:b/>
          <w:bCs/>
          <w:sz w:val="20"/>
          <w:szCs w:val="20"/>
        </w:rPr>
        <w:t>importations</w:t>
      </w:r>
      <w:r w:rsidRPr="00A94D35">
        <w:rPr>
          <w:rFonts w:ascii="Arial" w:hAnsi="Arial" w:cs="Arial"/>
          <w:sz w:val="20"/>
          <w:szCs w:val="20"/>
        </w:rPr>
        <w:t xml:space="preserve"> auraient, quant à elles, </w:t>
      </w:r>
      <w:r w:rsidR="00B57068">
        <w:rPr>
          <w:rFonts w:ascii="Arial" w:hAnsi="Arial" w:cs="Arial"/>
          <w:sz w:val="20"/>
          <w:szCs w:val="20"/>
        </w:rPr>
        <w:t xml:space="preserve">progressé de </w:t>
      </w:r>
      <w:r w:rsidRPr="00A94D35">
        <w:rPr>
          <w:rFonts w:ascii="Arial" w:hAnsi="Arial" w:cs="Arial"/>
          <w:sz w:val="20"/>
          <w:szCs w:val="20"/>
        </w:rPr>
        <w:t xml:space="preserve">8,5%, après avoir </w:t>
      </w:r>
      <w:r w:rsidR="00B57068">
        <w:rPr>
          <w:rFonts w:ascii="Arial" w:hAnsi="Arial" w:cs="Arial"/>
          <w:sz w:val="20"/>
          <w:szCs w:val="20"/>
        </w:rPr>
        <w:t>fléchi une année auparavant</w:t>
      </w:r>
      <w:r w:rsidRPr="00A94D35">
        <w:rPr>
          <w:rFonts w:ascii="Arial" w:hAnsi="Arial" w:cs="Arial"/>
          <w:sz w:val="20"/>
          <w:szCs w:val="20"/>
        </w:rPr>
        <w:t>. Elles auraient été alimentées par les acquisitions des biens d’équipement industriel (voitures industrielles, moteurs à piston, machines et appareils divers, chaudières</w:t>
      </w:r>
      <w:r w:rsidR="00D44852">
        <w:rPr>
          <w:rFonts w:ascii="Arial" w:hAnsi="Arial" w:cs="Arial"/>
          <w:sz w:val="20"/>
          <w:szCs w:val="20"/>
        </w:rPr>
        <w:t xml:space="preserve"> et</w:t>
      </w:r>
      <w:r w:rsidRPr="00A94D35">
        <w:rPr>
          <w:rFonts w:ascii="Arial" w:hAnsi="Arial" w:cs="Arial"/>
          <w:sz w:val="20"/>
          <w:szCs w:val="20"/>
        </w:rPr>
        <w:t xml:space="preserve"> pièces détachées pour véhicules), des biens de consommation (voitures de tourisme et leurs pièces détachées, médicaments</w:t>
      </w:r>
      <w:r w:rsidR="00D44852">
        <w:rPr>
          <w:rFonts w:ascii="Arial" w:hAnsi="Arial" w:cs="Arial"/>
          <w:sz w:val="20"/>
          <w:szCs w:val="20"/>
        </w:rPr>
        <w:t xml:space="preserve"> et</w:t>
      </w:r>
      <w:r w:rsidRPr="00A94D35">
        <w:rPr>
          <w:rFonts w:ascii="Arial" w:hAnsi="Arial" w:cs="Arial"/>
          <w:sz w:val="20"/>
          <w:szCs w:val="20"/>
        </w:rPr>
        <w:t xml:space="preserve"> tissus), des demi-produits (papier et carton</w:t>
      </w:r>
      <w:r w:rsidR="00D44852">
        <w:rPr>
          <w:rFonts w:ascii="Arial" w:hAnsi="Arial" w:cs="Arial"/>
          <w:sz w:val="20"/>
          <w:szCs w:val="20"/>
        </w:rPr>
        <w:t xml:space="preserve"> et</w:t>
      </w:r>
      <w:r w:rsidRPr="00A94D35">
        <w:rPr>
          <w:rFonts w:ascii="Arial" w:hAnsi="Arial" w:cs="Arial"/>
          <w:sz w:val="20"/>
          <w:szCs w:val="20"/>
        </w:rPr>
        <w:t xml:space="preserve"> accessoires de tuyauterie) et des produits alimentaires (blé, orge, sucre</w:t>
      </w:r>
      <w:r w:rsidR="00D44852">
        <w:rPr>
          <w:rFonts w:ascii="Arial" w:hAnsi="Arial" w:cs="Arial"/>
          <w:sz w:val="20"/>
          <w:szCs w:val="20"/>
        </w:rPr>
        <w:t xml:space="preserve"> et</w:t>
      </w:r>
      <w:r w:rsidRPr="00A94D35">
        <w:rPr>
          <w:rFonts w:ascii="Arial" w:hAnsi="Arial" w:cs="Arial"/>
          <w:sz w:val="20"/>
          <w:szCs w:val="20"/>
        </w:rPr>
        <w:t xml:space="preserve"> tabacs). En revanche et malgré la hausse des achats en tonnage de gasoils, </w:t>
      </w:r>
      <w:r w:rsidR="00D44852">
        <w:rPr>
          <w:rFonts w:ascii="Arial" w:hAnsi="Arial" w:cs="Arial"/>
          <w:sz w:val="20"/>
          <w:szCs w:val="20"/>
        </w:rPr>
        <w:t xml:space="preserve">de </w:t>
      </w:r>
      <w:r w:rsidRPr="00A94D35">
        <w:rPr>
          <w:rFonts w:ascii="Arial" w:hAnsi="Arial" w:cs="Arial"/>
          <w:sz w:val="20"/>
          <w:szCs w:val="20"/>
        </w:rPr>
        <w:t xml:space="preserve">fuels et </w:t>
      </w:r>
      <w:r w:rsidR="00D44852">
        <w:rPr>
          <w:rFonts w:ascii="Arial" w:hAnsi="Arial" w:cs="Arial"/>
          <w:sz w:val="20"/>
          <w:szCs w:val="20"/>
        </w:rPr>
        <w:t xml:space="preserve">de </w:t>
      </w:r>
      <w:r w:rsidRPr="00A94D35">
        <w:rPr>
          <w:rFonts w:ascii="Arial" w:hAnsi="Arial" w:cs="Arial"/>
          <w:sz w:val="20"/>
          <w:szCs w:val="20"/>
        </w:rPr>
        <w:t xml:space="preserve">gaz de pétrole, les importations de produits énergétiques </w:t>
      </w:r>
      <w:r w:rsidR="00B57068">
        <w:rPr>
          <w:rFonts w:ascii="Arial" w:hAnsi="Arial" w:cs="Arial"/>
          <w:sz w:val="20"/>
          <w:szCs w:val="20"/>
        </w:rPr>
        <w:t>auraient poursuivi leur</w:t>
      </w:r>
      <w:r w:rsidRPr="00A94D35">
        <w:rPr>
          <w:rFonts w:ascii="Arial" w:hAnsi="Arial" w:cs="Arial"/>
          <w:sz w:val="20"/>
          <w:szCs w:val="20"/>
        </w:rPr>
        <w:t xml:space="preserve"> tendance baissière, en liaison avec la </w:t>
      </w:r>
      <w:r w:rsidR="00B57068">
        <w:rPr>
          <w:rFonts w:ascii="Arial" w:hAnsi="Arial" w:cs="Arial"/>
          <w:sz w:val="20"/>
          <w:szCs w:val="20"/>
        </w:rPr>
        <w:t>modération</w:t>
      </w:r>
      <w:r w:rsidRPr="00A94D35">
        <w:rPr>
          <w:rFonts w:ascii="Arial" w:hAnsi="Arial" w:cs="Arial"/>
          <w:sz w:val="20"/>
          <w:szCs w:val="20"/>
        </w:rPr>
        <w:t xml:space="preserve"> des cours mondiaux énergétiques.</w:t>
      </w:r>
    </w:p>
    <w:p w:rsidR="00EF5CE5" w:rsidRDefault="00EF5CE5" w:rsidP="000551FC">
      <w:pPr>
        <w:jc w:val="both"/>
        <w:rPr>
          <w:rFonts w:ascii="Arial" w:hAnsi="Arial" w:cs="Arial"/>
          <w:b/>
          <w:bCs/>
          <w:color w:val="800000"/>
          <w:kern w:val="28"/>
          <w:sz w:val="20"/>
          <w:szCs w:val="20"/>
        </w:rPr>
      </w:pPr>
    </w:p>
    <w:p w:rsidR="005B6941" w:rsidRDefault="005B6941" w:rsidP="000551FC">
      <w:pPr>
        <w:jc w:val="both"/>
        <w:rPr>
          <w:rFonts w:ascii="Arial" w:hAnsi="Arial" w:cs="Arial"/>
          <w:b/>
          <w:bCs/>
          <w:color w:val="800000"/>
          <w:kern w:val="28"/>
          <w:sz w:val="20"/>
          <w:szCs w:val="20"/>
        </w:rPr>
      </w:pPr>
      <w:r w:rsidRPr="0085628E">
        <w:rPr>
          <w:rFonts w:ascii="Arial" w:hAnsi="Arial" w:cs="Arial"/>
          <w:b/>
          <w:bCs/>
          <w:color w:val="800000"/>
          <w:kern w:val="28"/>
          <w:sz w:val="20"/>
          <w:szCs w:val="20"/>
        </w:rPr>
        <w:t xml:space="preserve">Légère </w:t>
      </w:r>
      <w:r w:rsidR="000551FC">
        <w:rPr>
          <w:rFonts w:ascii="Arial" w:hAnsi="Arial" w:cs="Arial"/>
          <w:b/>
          <w:bCs/>
          <w:color w:val="800000"/>
          <w:kern w:val="28"/>
          <w:sz w:val="20"/>
          <w:szCs w:val="20"/>
        </w:rPr>
        <w:t>décélé</w:t>
      </w:r>
      <w:r w:rsidRPr="0085628E">
        <w:rPr>
          <w:rFonts w:ascii="Arial" w:hAnsi="Arial" w:cs="Arial"/>
          <w:b/>
          <w:bCs/>
          <w:color w:val="800000"/>
          <w:kern w:val="28"/>
          <w:sz w:val="20"/>
          <w:szCs w:val="20"/>
        </w:rPr>
        <w:t>ration</w:t>
      </w:r>
      <w:r>
        <w:rPr>
          <w:rFonts w:ascii="Arial" w:hAnsi="Arial" w:cs="Arial"/>
          <w:b/>
          <w:bCs/>
          <w:color w:val="800000"/>
          <w:kern w:val="28"/>
          <w:sz w:val="20"/>
          <w:szCs w:val="20"/>
        </w:rPr>
        <w:t xml:space="preserve"> de l</w:t>
      </w:r>
      <w:r w:rsidRPr="00DB7C3F">
        <w:rPr>
          <w:rFonts w:ascii="Arial" w:hAnsi="Arial" w:cs="Arial"/>
          <w:b/>
          <w:bCs/>
          <w:color w:val="800000"/>
          <w:kern w:val="28"/>
          <w:sz w:val="20"/>
          <w:szCs w:val="20"/>
        </w:rPr>
        <w:t>a demande intérieure</w:t>
      </w:r>
      <w:r w:rsidR="00F22FED">
        <w:rPr>
          <w:rFonts w:ascii="Arial" w:hAnsi="Arial" w:cs="Arial"/>
          <w:b/>
          <w:bCs/>
          <w:color w:val="800000"/>
          <w:kern w:val="28"/>
          <w:sz w:val="20"/>
          <w:szCs w:val="20"/>
        </w:rPr>
        <w:t xml:space="preserve"> au quatrième trimestre 2016</w:t>
      </w:r>
      <w:r>
        <w:rPr>
          <w:rFonts w:ascii="Arial" w:hAnsi="Arial" w:cs="Arial"/>
          <w:b/>
          <w:bCs/>
          <w:color w:val="800000"/>
          <w:kern w:val="28"/>
          <w:sz w:val="20"/>
          <w:szCs w:val="20"/>
        </w:rPr>
        <w:t xml:space="preserve"> </w:t>
      </w:r>
    </w:p>
    <w:p w:rsidR="005B6941" w:rsidRDefault="00A15A68" w:rsidP="005B6941">
      <w:pPr>
        <w:autoSpaceDE w:val="0"/>
        <w:autoSpaceDN w:val="0"/>
        <w:adjustRightInd w:val="0"/>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696128" behindDoc="0" locked="0" layoutInCell="1" allowOverlap="1">
            <wp:simplePos x="0" y="0"/>
            <wp:positionH relativeFrom="column">
              <wp:posOffset>4086860</wp:posOffset>
            </wp:positionH>
            <wp:positionV relativeFrom="paragraph">
              <wp:posOffset>5715</wp:posOffset>
            </wp:positionV>
            <wp:extent cx="2460625" cy="1931035"/>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60625" cy="1931035"/>
                    </a:xfrm>
                    <a:prstGeom prst="rect">
                      <a:avLst/>
                    </a:prstGeom>
                    <a:noFill/>
                    <a:ln w="9525">
                      <a:noFill/>
                      <a:miter lim="800000"/>
                      <a:headEnd/>
                      <a:tailEnd/>
                    </a:ln>
                  </pic:spPr>
                </pic:pic>
              </a:graphicData>
            </a:graphic>
          </wp:anchor>
        </w:drawing>
      </w:r>
    </w:p>
    <w:p w:rsidR="0097276B" w:rsidRDefault="005B6941" w:rsidP="008B364A">
      <w:pPr>
        <w:jc w:val="both"/>
        <w:rPr>
          <w:rFonts w:ascii="Arial" w:hAnsi="Arial" w:cs="Arial"/>
          <w:sz w:val="20"/>
          <w:szCs w:val="20"/>
        </w:rPr>
      </w:pPr>
      <w:r>
        <w:rPr>
          <w:rFonts w:ascii="Arial" w:hAnsi="Arial" w:cs="Arial"/>
          <w:sz w:val="20"/>
          <w:szCs w:val="20"/>
        </w:rPr>
        <w:t>La</w:t>
      </w:r>
      <w:r w:rsidRPr="00BA28C6">
        <w:rPr>
          <w:rFonts w:ascii="Arial" w:hAnsi="Arial" w:cs="Arial"/>
          <w:sz w:val="20"/>
          <w:szCs w:val="20"/>
        </w:rPr>
        <w:t xml:space="preserve"> </w:t>
      </w:r>
      <w:r w:rsidRPr="00BA28C6">
        <w:rPr>
          <w:rFonts w:ascii="Arial" w:hAnsi="Arial" w:cs="Arial"/>
          <w:b/>
          <w:sz w:val="20"/>
          <w:szCs w:val="20"/>
        </w:rPr>
        <w:t>demande intérieure</w:t>
      </w:r>
      <w:r w:rsidRPr="00BA28C6">
        <w:rPr>
          <w:rFonts w:ascii="Arial" w:hAnsi="Arial" w:cs="Arial"/>
          <w:sz w:val="20"/>
          <w:szCs w:val="20"/>
        </w:rPr>
        <w:t xml:space="preserve"> privée</w:t>
      </w:r>
      <w:r>
        <w:rPr>
          <w:rFonts w:ascii="Arial" w:hAnsi="Arial" w:cs="Arial"/>
          <w:sz w:val="20"/>
          <w:szCs w:val="20"/>
        </w:rPr>
        <w:t xml:space="preserve"> aurait </w:t>
      </w:r>
      <w:r w:rsidR="00294424">
        <w:rPr>
          <w:rFonts w:ascii="Arial" w:hAnsi="Arial" w:cs="Arial"/>
          <w:sz w:val="20"/>
          <w:szCs w:val="20"/>
        </w:rPr>
        <w:t xml:space="preserve">continué de soutenir la croissance économique nationale </w:t>
      </w:r>
      <w:r>
        <w:rPr>
          <w:rFonts w:ascii="Arial" w:hAnsi="Arial" w:cs="Arial"/>
          <w:sz w:val="20"/>
          <w:szCs w:val="20"/>
        </w:rPr>
        <w:t xml:space="preserve">au </w:t>
      </w:r>
      <w:r w:rsidR="00AA4652">
        <w:rPr>
          <w:rFonts w:ascii="Arial" w:hAnsi="Arial" w:cs="Arial"/>
          <w:sz w:val="20"/>
          <w:szCs w:val="20"/>
        </w:rPr>
        <w:t>quatr</w:t>
      </w:r>
      <w:r>
        <w:rPr>
          <w:rFonts w:ascii="Arial" w:hAnsi="Arial" w:cs="Arial"/>
          <w:sz w:val="20"/>
          <w:szCs w:val="20"/>
        </w:rPr>
        <w:t>ième trimestre 2016</w:t>
      </w:r>
      <w:r w:rsidR="00315E06">
        <w:rPr>
          <w:rFonts w:ascii="Arial" w:hAnsi="Arial" w:cs="Arial"/>
          <w:sz w:val="20"/>
          <w:szCs w:val="20"/>
        </w:rPr>
        <w:t xml:space="preserve"> avec, cependant, un rythme en légère décélération</w:t>
      </w:r>
      <w:r>
        <w:rPr>
          <w:rFonts w:ascii="Arial" w:hAnsi="Arial" w:cs="Arial"/>
          <w:sz w:val="20"/>
          <w:szCs w:val="20"/>
        </w:rPr>
        <w:t>. </w:t>
      </w:r>
      <w:r w:rsidR="00294424">
        <w:rPr>
          <w:rFonts w:ascii="Arial" w:hAnsi="Arial" w:cs="Arial"/>
          <w:sz w:val="20"/>
          <w:szCs w:val="20"/>
        </w:rPr>
        <w:t xml:space="preserve">Dans un contexte d’une </w:t>
      </w:r>
      <w:r w:rsidR="00B307C7">
        <w:rPr>
          <w:rFonts w:ascii="Arial" w:hAnsi="Arial" w:cs="Arial"/>
          <w:sz w:val="20"/>
          <w:szCs w:val="20"/>
        </w:rPr>
        <w:t xml:space="preserve">hausse de 1,8% </w:t>
      </w:r>
      <w:r w:rsidR="00294424">
        <w:rPr>
          <w:rFonts w:ascii="Arial" w:hAnsi="Arial" w:cs="Arial"/>
          <w:sz w:val="20"/>
          <w:szCs w:val="20"/>
        </w:rPr>
        <w:t>des prix à la consommation, l</w:t>
      </w:r>
      <w:r w:rsidR="000A1DAF">
        <w:rPr>
          <w:rFonts w:ascii="Arial" w:hAnsi="Arial" w:cs="Arial"/>
          <w:sz w:val="20"/>
          <w:szCs w:val="20"/>
        </w:rPr>
        <w:t>es dépenses de consommation des ménages</w:t>
      </w:r>
      <w:r w:rsidR="00A918AD">
        <w:rPr>
          <w:rFonts w:ascii="Arial" w:hAnsi="Arial" w:cs="Arial"/>
          <w:sz w:val="20"/>
          <w:szCs w:val="20"/>
        </w:rPr>
        <w:t>, en volume,</w:t>
      </w:r>
      <w:r w:rsidR="000A1DAF">
        <w:rPr>
          <w:rFonts w:ascii="Arial" w:hAnsi="Arial" w:cs="Arial"/>
          <w:sz w:val="20"/>
          <w:szCs w:val="20"/>
        </w:rPr>
        <w:t xml:space="preserve"> </w:t>
      </w:r>
      <w:r w:rsidR="00E91C33">
        <w:rPr>
          <w:rFonts w:ascii="Arial" w:hAnsi="Arial" w:cs="Arial"/>
          <w:sz w:val="20"/>
          <w:szCs w:val="20"/>
        </w:rPr>
        <w:t xml:space="preserve">se seraient accrues </w:t>
      </w:r>
      <w:r w:rsidR="000A1DAF">
        <w:rPr>
          <w:rFonts w:ascii="Arial" w:hAnsi="Arial" w:cs="Arial"/>
          <w:sz w:val="20"/>
          <w:szCs w:val="20"/>
        </w:rPr>
        <w:t>de 2,</w:t>
      </w:r>
      <w:r w:rsidR="002334D2">
        <w:rPr>
          <w:rFonts w:ascii="Arial" w:hAnsi="Arial" w:cs="Arial"/>
          <w:sz w:val="20"/>
          <w:szCs w:val="20"/>
        </w:rPr>
        <w:t>8</w:t>
      </w:r>
      <w:r w:rsidR="000A1DAF">
        <w:rPr>
          <w:rFonts w:ascii="Arial" w:hAnsi="Arial" w:cs="Arial"/>
          <w:sz w:val="20"/>
          <w:szCs w:val="20"/>
        </w:rPr>
        <w:t>%, en variation annuelle, au lieu de +2,</w:t>
      </w:r>
      <w:r w:rsidR="002334D2">
        <w:rPr>
          <w:rFonts w:ascii="Arial" w:hAnsi="Arial" w:cs="Arial"/>
          <w:sz w:val="20"/>
          <w:szCs w:val="20"/>
        </w:rPr>
        <w:t>9</w:t>
      </w:r>
      <w:r w:rsidR="000A1DAF">
        <w:rPr>
          <w:rFonts w:ascii="Arial" w:hAnsi="Arial" w:cs="Arial"/>
          <w:sz w:val="20"/>
          <w:szCs w:val="20"/>
        </w:rPr>
        <w:t xml:space="preserve">% au </w:t>
      </w:r>
      <w:r w:rsidR="000551FC">
        <w:rPr>
          <w:rFonts w:ascii="Arial" w:hAnsi="Arial" w:cs="Arial"/>
          <w:sz w:val="20"/>
          <w:szCs w:val="20"/>
        </w:rPr>
        <w:t>trois</w:t>
      </w:r>
      <w:r w:rsidR="000A1DAF">
        <w:rPr>
          <w:rFonts w:ascii="Arial" w:hAnsi="Arial" w:cs="Arial"/>
          <w:sz w:val="20"/>
          <w:szCs w:val="20"/>
        </w:rPr>
        <w:t>ième trimestre</w:t>
      </w:r>
      <w:r w:rsidR="00E91C33">
        <w:rPr>
          <w:rFonts w:ascii="Arial" w:hAnsi="Arial" w:cs="Arial"/>
          <w:sz w:val="20"/>
          <w:szCs w:val="20"/>
        </w:rPr>
        <w:t xml:space="preserve">, sous-tendues par une </w:t>
      </w:r>
      <w:r>
        <w:rPr>
          <w:rFonts w:ascii="Arial" w:hAnsi="Arial" w:cs="Arial"/>
          <w:sz w:val="20"/>
          <w:szCs w:val="20"/>
        </w:rPr>
        <w:t xml:space="preserve">amélioration de </w:t>
      </w:r>
      <w:r w:rsidR="00223311">
        <w:rPr>
          <w:rFonts w:ascii="Arial" w:hAnsi="Arial" w:cs="Arial"/>
          <w:sz w:val="20"/>
          <w:szCs w:val="20"/>
        </w:rPr>
        <w:t>1</w:t>
      </w:r>
      <w:r>
        <w:rPr>
          <w:rFonts w:ascii="Arial" w:hAnsi="Arial" w:cs="Arial"/>
          <w:sz w:val="20"/>
          <w:szCs w:val="20"/>
        </w:rPr>
        <w:t>,</w:t>
      </w:r>
      <w:r w:rsidR="00223311">
        <w:rPr>
          <w:rFonts w:ascii="Arial" w:hAnsi="Arial" w:cs="Arial"/>
          <w:sz w:val="20"/>
          <w:szCs w:val="20"/>
        </w:rPr>
        <w:t>8</w:t>
      </w:r>
      <w:r>
        <w:rPr>
          <w:rFonts w:ascii="Arial" w:hAnsi="Arial" w:cs="Arial"/>
          <w:sz w:val="20"/>
          <w:szCs w:val="20"/>
        </w:rPr>
        <w:t xml:space="preserve">% des transferts des MRE et </w:t>
      </w:r>
      <w:r w:rsidR="00E91C33">
        <w:rPr>
          <w:rFonts w:ascii="Arial" w:hAnsi="Arial" w:cs="Arial"/>
          <w:sz w:val="20"/>
          <w:szCs w:val="20"/>
        </w:rPr>
        <w:t xml:space="preserve">un </w:t>
      </w:r>
      <w:r>
        <w:rPr>
          <w:rFonts w:ascii="Arial" w:hAnsi="Arial" w:cs="Arial"/>
          <w:sz w:val="20"/>
          <w:szCs w:val="20"/>
        </w:rPr>
        <w:t xml:space="preserve">accroissement de </w:t>
      </w:r>
      <w:r w:rsidR="0034687E">
        <w:rPr>
          <w:rFonts w:ascii="Arial" w:hAnsi="Arial" w:cs="Arial"/>
          <w:sz w:val="20"/>
          <w:szCs w:val="20"/>
        </w:rPr>
        <w:t>5</w:t>
      </w:r>
      <w:r>
        <w:rPr>
          <w:rFonts w:ascii="Arial" w:hAnsi="Arial" w:cs="Arial"/>
          <w:sz w:val="20"/>
          <w:szCs w:val="20"/>
        </w:rPr>
        <w:t>,</w:t>
      </w:r>
      <w:r w:rsidR="0034687E">
        <w:rPr>
          <w:rFonts w:ascii="Arial" w:hAnsi="Arial" w:cs="Arial"/>
          <w:sz w:val="20"/>
          <w:szCs w:val="20"/>
        </w:rPr>
        <w:t>3</w:t>
      </w:r>
      <w:r w:rsidRPr="00D63D71">
        <w:rPr>
          <w:rFonts w:ascii="Arial" w:hAnsi="Arial" w:cs="Arial"/>
          <w:sz w:val="20"/>
          <w:szCs w:val="20"/>
        </w:rPr>
        <w:t>%</w:t>
      </w:r>
      <w:r>
        <w:rPr>
          <w:rFonts w:ascii="Arial" w:hAnsi="Arial" w:cs="Arial"/>
          <w:sz w:val="20"/>
          <w:szCs w:val="20"/>
        </w:rPr>
        <w:t xml:space="preserve"> de l’encours des </w:t>
      </w:r>
      <w:r w:rsidRPr="00BA28C6">
        <w:rPr>
          <w:rFonts w:ascii="Arial" w:hAnsi="Arial" w:cs="Arial"/>
          <w:sz w:val="20"/>
          <w:szCs w:val="20"/>
        </w:rPr>
        <w:t>crédits à la consommation</w:t>
      </w:r>
      <w:r w:rsidR="009C75DE">
        <w:rPr>
          <w:rFonts w:ascii="Arial" w:hAnsi="Arial" w:cs="Arial"/>
          <w:sz w:val="20"/>
          <w:szCs w:val="20"/>
        </w:rPr>
        <w:t>.</w:t>
      </w:r>
      <w:r>
        <w:rPr>
          <w:rFonts w:ascii="Arial" w:hAnsi="Arial" w:cs="Arial"/>
          <w:sz w:val="20"/>
          <w:szCs w:val="20"/>
        </w:rPr>
        <w:t xml:space="preserve"> Cette progression </w:t>
      </w:r>
      <w:r w:rsidR="00E91C33">
        <w:rPr>
          <w:rFonts w:ascii="Arial" w:hAnsi="Arial" w:cs="Arial"/>
          <w:sz w:val="20"/>
          <w:szCs w:val="20"/>
        </w:rPr>
        <w:t xml:space="preserve">de la </w:t>
      </w:r>
      <w:r w:rsidR="008B364A">
        <w:rPr>
          <w:rFonts w:ascii="Arial" w:hAnsi="Arial" w:cs="Arial"/>
          <w:sz w:val="20"/>
          <w:szCs w:val="20"/>
        </w:rPr>
        <w:t>consommation domestique</w:t>
      </w:r>
      <w:r w:rsidR="00E91C33">
        <w:rPr>
          <w:rFonts w:ascii="Arial" w:hAnsi="Arial" w:cs="Arial"/>
          <w:sz w:val="20"/>
          <w:szCs w:val="20"/>
        </w:rPr>
        <w:t xml:space="preserve"> </w:t>
      </w:r>
      <w:r>
        <w:rPr>
          <w:rFonts w:ascii="Arial" w:hAnsi="Arial" w:cs="Arial"/>
          <w:sz w:val="20"/>
          <w:szCs w:val="20"/>
        </w:rPr>
        <w:t>aurait continué de profiter aux importations de biens de consommation, dont la hausse se serait établie à 16,</w:t>
      </w:r>
      <w:r w:rsidR="00B57068">
        <w:rPr>
          <w:rFonts w:ascii="Arial" w:hAnsi="Arial" w:cs="Arial"/>
          <w:sz w:val="20"/>
          <w:szCs w:val="20"/>
        </w:rPr>
        <w:t>5</w:t>
      </w:r>
      <w:r>
        <w:rPr>
          <w:rFonts w:ascii="Arial" w:hAnsi="Arial" w:cs="Arial"/>
          <w:sz w:val="20"/>
          <w:szCs w:val="20"/>
        </w:rPr>
        <w:t xml:space="preserve">%, au </w:t>
      </w:r>
      <w:r w:rsidR="00AA4652">
        <w:rPr>
          <w:rFonts w:ascii="Arial" w:hAnsi="Arial" w:cs="Arial"/>
          <w:sz w:val="20"/>
          <w:szCs w:val="20"/>
        </w:rPr>
        <w:t>quatr</w:t>
      </w:r>
      <w:r>
        <w:rPr>
          <w:rFonts w:ascii="Arial" w:hAnsi="Arial" w:cs="Arial"/>
          <w:sz w:val="20"/>
          <w:szCs w:val="20"/>
        </w:rPr>
        <w:t>ième trimestre 2016.</w:t>
      </w:r>
    </w:p>
    <w:p w:rsidR="005B6941" w:rsidRDefault="005B6941" w:rsidP="005B6941">
      <w:pPr>
        <w:jc w:val="both"/>
        <w:rPr>
          <w:rFonts w:ascii="Arial" w:hAnsi="Arial" w:cs="Arial"/>
          <w:sz w:val="20"/>
          <w:szCs w:val="20"/>
        </w:rPr>
      </w:pPr>
    </w:p>
    <w:p w:rsidR="0097276B" w:rsidRDefault="00863E0B" w:rsidP="00B307C7">
      <w:pPr>
        <w:autoSpaceDE w:val="0"/>
        <w:autoSpaceDN w:val="0"/>
        <w:adjustRightInd w:val="0"/>
        <w:jc w:val="both"/>
        <w:rPr>
          <w:rFonts w:ascii="Arial" w:hAnsi="Arial" w:cs="Arial"/>
          <w:sz w:val="20"/>
          <w:szCs w:val="20"/>
        </w:rPr>
      </w:pPr>
      <w:r>
        <w:rPr>
          <w:rFonts w:ascii="Arial" w:hAnsi="Arial" w:cs="Arial"/>
          <w:b/>
          <w:bCs/>
          <w:sz w:val="20"/>
          <w:szCs w:val="20"/>
        </w:rPr>
        <w:t>L’investissement</w:t>
      </w:r>
      <w:r w:rsidR="0097276B" w:rsidRPr="00F64509">
        <w:rPr>
          <w:rFonts w:ascii="Arial" w:hAnsi="Arial" w:cs="Arial"/>
          <w:sz w:val="20"/>
          <w:szCs w:val="20"/>
        </w:rPr>
        <w:t xml:space="preserve"> productif aurait</w:t>
      </w:r>
      <w:r w:rsidR="002765A6">
        <w:rPr>
          <w:rFonts w:ascii="Arial" w:hAnsi="Arial" w:cs="Arial"/>
          <w:sz w:val="20"/>
          <w:szCs w:val="20"/>
        </w:rPr>
        <w:t>, pour sa part,</w:t>
      </w:r>
      <w:r w:rsidR="0097276B">
        <w:rPr>
          <w:rFonts w:ascii="Arial" w:hAnsi="Arial" w:cs="Arial"/>
          <w:sz w:val="20"/>
          <w:szCs w:val="20"/>
        </w:rPr>
        <w:t xml:space="preserve"> </w:t>
      </w:r>
      <w:r w:rsidR="0034687E">
        <w:rPr>
          <w:rFonts w:ascii="Arial" w:hAnsi="Arial" w:cs="Arial"/>
          <w:sz w:val="20"/>
          <w:szCs w:val="20"/>
        </w:rPr>
        <w:t>maintenu sa dynamique amorcée depuis le début de l’année</w:t>
      </w:r>
      <w:r w:rsidR="00F418B8">
        <w:rPr>
          <w:rFonts w:ascii="Arial" w:hAnsi="Arial" w:cs="Arial"/>
          <w:sz w:val="20"/>
          <w:szCs w:val="20"/>
        </w:rPr>
        <w:t xml:space="preserve"> 2016</w:t>
      </w:r>
      <w:r w:rsidR="0034687E">
        <w:rPr>
          <w:rFonts w:ascii="Arial" w:hAnsi="Arial" w:cs="Arial"/>
          <w:sz w:val="20"/>
          <w:szCs w:val="20"/>
        </w:rPr>
        <w:t>, affichant un accroissement</w:t>
      </w:r>
      <w:r w:rsidR="000A1DAF">
        <w:rPr>
          <w:rFonts w:ascii="Arial" w:hAnsi="Arial" w:cs="Arial"/>
          <w:sz w:val="20"/>
          <w:szCs w:val="20"/>
        </w:rPr>
        <w:t xml:space="preserve"> </w:t>
      </w:r>
      <w:r w:rsidR="0097276B" w:rsidRPr="00F64509">
        <w:rPr>
          <w:rFonts w:ascii="Arial" w:hAnsi="Arial" w:cs="Arial"/>
          <w:sz w:val="20"/>
          <w:szCs w:val="20"/>
        </w:rPr>
        <w:t xml:space="preserve">de </w:t>
      </w:r>
      <w:r w:rsidR="0034687E">
        <w:rPr>
          <w:rFonts w:ascii="Arial" w:hAnsi="Arial" w:cs="Arial"/>
          <w:sz w:val="20"/>
          <w:szCs w:val="20"/>
        </w:rPr>
        <w:t>6</w:t>
      </w:r>
      <w:r w:rsidR="0097276B" w:rsidRPr="00F64509">
        <w:rPr>
          <w:rFonts w:ascii="Arial" w:hAnsi="Arial" w:cs="Arial"/>
          <w:sz w:val="20"/>
          <w:szCs w:val="20"/>
        </w:rPr>
        <w:t>,</w:t>
      </w:r>
      <w:r w:rsidR="0034687E">
        <w:rPr>
          <w:rFonts w:ascii="Arial" w:hAnsi="Arial" w:cs="Arial"/>
          <w:sz w:val="20"/>
          <w:szCs w:val="20"/>
        </w:rPr>
        <w:t>4</w:t>
      </w:r>
      <w:r w:rsidR="0097276B" w:rsidRPr="00F64509">
        <w:rPr>
          <w:rFonts w:ascii="Arial" w:hAnsi="Arial" w:cs="Arial"/>
          <w:sz w:val="20"/>
          <w:szCs w:val="20"/>
        </w:rPr>
        <w:t xml:space="preserve">%, en </w:t>
      </w:r>
      <w:r w:rsidR="0097276B">
        <w:rPr>
          <w:rFonts w:ascii="Arial" w:hAnsi="Arial" w:cs="Arial"/>
          <w:sz w:val="20"/>
          <w:szCs w:val="20"/>
        </w:rPr>
        <w:t>variation annuelle</w:t>
      </w:r>
      <w:r w:rsidR="00927175">
        <w:rPr>
          <w:rFonts w:ascii="Arial" w:hAnsi="Arial" w:cs="Arial"/>
          <w:sz w:val="20"/>
          <w:szCs w:val="20"/>
        </w:rPr>
        <w:t xml:space="preserve">, au lieu de </w:t>
      </w:r>
      <w:r w:rsidR="00302AFC">
        <w:rPr>
          <w:rFonts w:ascii="Arial" w:hAnsi="Arial" w:cs="Arial"/>
          <w:sz w:val="20"/>
          <w:szCs w:val="20"/>
        </w:rPr>
        <w:t>+</w:t>
      </w:r>
      <w:r w:rsidR="0034687E">
        <w:rPr>
          <w:rFonts w:ascii="Arial" w:hAnsi="Arial" w:cs="Arial"/>
          <w:sz w:val="20"/>
          <w:szCs w:val="20"/>
        </w:rPr>
        <w:t>8</w:t>
      </w:r>
      <w:r w:rsidR="00467A93">
        <w:rPr>
          <w:rFonts w:ascii="Arial" w:hAnsi="Arial" w:cs="Arial"/>
          <w:sz w:val="20"/>
          <w:szCs w:val="20"/>
        </w:rPr>
        <w:t>,</w:t>
      </w:r>
      <w:r w:rsidR="0034687E">
        <w:rPr>
          <w:rFonts w:ascii="Arial" w:hAnsi="Arial" w:cs="Arial"/>
          <w:sz w:val="20"/>
          <w:szCs w:val="20"/>
        </w:rPr>
        <w:t>7</w:t>
      </w:r>
      <w:r w:rsidR="00927175">
        <w:rPr>
          <w:rFonts w:ascii="Arial" w:hAnsi="Arial" w:cs="Arial"/>
          <w:sz w:val="20"/>
          <w:szCs w:val="20"/>
        </w:rPr>
        <w:t>% un trimestre auparavant</w:t>
      </w:r>
      <w:r w:rsidR="00BB7832">
        <w:rPr>
          <w:rFonts w:ascii="Arial" w:hAnsi="Arial" w:cs="Arial"/>
          <w:sz w:val="20"/>
          <w:szCs w:val="20"/>
        </w:rPr>
        <w:t xml:space="preserve">. </w:t>
      </w:r>
      <w:r w:rsidR="0097276B" w:rsidRPr="00F64509">
        <w:rPr>
          <w:rFonts w:ascii="Arial" w:hAnsi="Arial" w:cs="Arial"/>
          <w:sz w:val="20"/>
          <w:szCs w:val="20"/>
        </w:rPr>
        <w:t>Ce</w:t>
      </w:r>
      <w:r w:rsidR="00281698">
        <w:rPr>
          <w:rFonts w:ascii="Arial" w:hAnsi="Arial" w:cs="Arial"/>
          <w:sz w:val="20"/>
          <w:szCs w:val="20"/>
        </w:rPr>
        <w:t>tte évolution</w:t>
      </w:r>
      <w:r w:rsidR="0097276B" w:rsidRPr="00F64509">
        <w:rPr>
          <w:rFonts w:ascii="Arial" w:hAnsi="Arial" w:cs="Arial"/>
          <w:sz w:val="20"/>
          <w:szCs w:val="20"/>
        </w:rPr>
        <w:t xml:space="preserve"> </w:t>
      </w:r>
      <w:r w:rsidR="000A1DAF">
        <w:rPr>
          <w:rFonts w:ascii="Arial" w:hAnsi="Arial" w:cs="Arial"/>
          <w:sz w:val="20"/>
          <w:szCs w:val="20"/>
        </w:rPr>
        <w:t>serait</w:t>
      </w:r>
      <w:r w:rsidR="0097276B" w:rsidRPr="00F64509">
        <w:rPr>
          <w:rFonts w:ascii="Arial" w:hAnsi="Arial" w:cs="Arial"/>
          <w:sz w:val="20"/>
          <w:szCs w:val="20"/>
        </w:rPr>
        <w:t xml:space="preserve">, particulièrement, </w:t>
      </w:r>
      <w:r w:rsidR="0014485F">
        <w:rPr>
          <w:rFonts w:ascii="Arial" w:hAnsi="Arial" w:cs="Arial"/>
          <w:sz w:val="20"/>
          <w:szCs w:val="20"/>
        </w:rPr>
        <w:t>attribuable</w:t>
      </w:r>
      <w:r w:rsidR="0097276B" w:rsidRPr="00F64509">
        <w:rPr>
          <w:rFonts w:ascii="Arial" w:hAnsi="Arial" w:cs="Arial"/>
          <w:sz w:val="20"/>
          <w:szCs w:val="20"/>
        </w:rPr>
        <w:t xml:space="preserve"> </w:t>
      </w:r>
      <w:r w:rsidR="002334D2">
        <w:rPr>
          <w:rFonts w:ascii="Arial" w:hAnsi="Arial" w:cs="Arial"/>
          <w:sz w:val="20"/>
          <w:szCs w:val="20"/>
        </w:rPr>
        <w:t xml:space="preserve">à la poursuite du dynamisme </w:t>
      </w:r>
      <w:r w:rsidR="007C11F1">
        <w:rPr>
          <w:rFonts w:ascii="Arial" w:hAnsi="Arial" w:cs="Arial"/>
          <w:sz w:val="20"/>
          <w:szCs w:val="20"/>
        </w:rPr>
        <w:t>de l</w:t>
      </w:r>
      <w:r w:rsidR="007C11F1" w:rsidRPr="00F64509">
        <w:rPr>
          <w:rFonts w:ascii="Arial" w:hAnsi="Arial" w:cs="Arial"/>
          <w:sz w:val="20"/>
          <w:szCs w:val="20"/>
        </w:rPr>
        <w:t>’investissement en produits industriels</w:t>
      </w:r>
      <w:r w:rsidR="007C11F1">
        <w:rPr>
          <w:rFonts w:ascii="Arial" w:hAnsi="Arial" w:cs="Arial"/>
          <w:sz w:val="20"/>
          <w:szCs w:val="20"/>
        </w:rPr>
        <w:t xml:space="preserve">, </w:t>
      </w:r>
      <w:r w:rsidR="007C11F1" w:rsidRPr="00F64509">
        <w:rPr>
          <w:rFonts w:ascii="Arial" w:hAnsi="Arial" w:cs="Arial"/>
          <w:sz w:val="20"/>
          <w:szCs w:val="20"/>
        </w:rPr>
        <w:t xml:space="preserve">dans </w:t>
      </w:r>
      <w:r w:rsidR="00A97CA9">
        <w:rPr>
          <w:rFonts w:ascii="Arial" w:hAnsi="Arial" w:cs="Arial"/>
          <w:sz w:val="20"/>
          <w:szCs w:val="20"/>
        </w:rPr>
        <w:t xml:space="preserve">un contexte </w:t>
      </w:r>
      <w:r w:rsidR="007C11F1">
        <w:rPr>
          <w:rFonts w:ascii="Arial" w:hAnsi="Arial" w:cs="Arial"/>
          <w:sz w:val="20"/>
          <w:szCs w:val="20"/>
        </w:rPr>
        <w:t>d</w:t>
      </w:r>
      <w:r w:rsidR="00E6711D">
        <w:rPr>
          <w:rFonts w:ascii="Arial" w:hAnsi="Arial" w:cs="Arial"/>
          <w:sz w:val="20"/>
          <w:szCs w:val="20"/>
        </w:rPr>
        <w:t>’un</w:t>
      </w:r>
      <w:r w:rsidR="007C11F1" w:rsidRPr="00F64509">
        <w:rPr>
          <w:rFonts w:ascii="Arial" w:hAnsi="Arial" w:cs="Arial"/>
          <w:sz w:val="20"/>
          <w:szCs w:val="20"/>
        </w:rPr>
        <w:t xml:space="preserve"> </w:t>
      </w:r>
      <w:r w:rsidR="007C11F1">
        <w:rPr>
          <w:rFonts w:ascii="Arial" w:hAnsi="Arial" w:cs="Arial"/>
          <w:sz w:val="20"/>
          <w:szCs w:val="20"/>
        </w:rPr>
        <w:t>renforcement</w:t>
      </w:r>
      <w:r w:rsidR="007C11F1" w:rsidRPr="00F64509">
        <w:rPr>
          <w:rFonts w:ascii="Arial" w:hAnsi="Arial" w:cs="Arial"/>
          <w:sz w:val="20"/>
          <w:szCs w:val="20"/>
        </w:rPr>
        <w:t xml:space="preserve"> des importations de</w:t>
      </w:r>
      <w:r w:rsidR="00B1336C">
        <w:rPr>
          <w:rFonts w:ascii="Arial" w:hAnsi="Arial" w:cs="Arial"/>
          <w:sz w:val="20"/>
          <w:szCs w:val="20"/>
        </w:rPr>
        <w:t>s</w:t>
      </w:r>
      <w:r w:rsidR="007C11F1" w:rsidRPr="00F64509">
        <w:rPr>
          <w:rFonts w:ascii="Arial" w:hAnsi="Arial" w:cs="Arial"/>
          <w:sz w:val="20"/>
          <w:szCs w:val="20"/>
        </w:rPr>
        <w:t xml:space="preserve"> biens d’équipement et </w:t>
      </w:r>
      <w:r w:rsidR="007C11F1">
        <w:rPr>
          <w:rFonts w:ascii="Arial" w:hAnsi="Arial" w:cs="Arial"/>
          <w:sz w:val="20"/>
          <w:szCs w:val="20"/>
        </w:rPr>
        <w:t xml:space="preserve">d’une progression de </w:t>
      </w:r>
      <w:r w:rsidR="0034687E">
        <w:rPr>
          <w:rFonts w:ascii="Arial" w:hAnsi="Arial" w:cs="Arial"/>
          <w:sz w:val="20"/>
          <w:szCs w:val="20"/>
        </w:rPr>
        <w:t>près de 7</w:t>
      </w:r>
      <w:r w:rsidR="007C11F1">
        <w:rPr>
          <w:rFonts w:ascii="Arial" w:hAnsi="Arial" w:cs="Arial"/>
          <w:sz w:val="20"/>
          <w:szCs w:val="20"/>
        </w:rPr>
        <w:t>,</w:t>
      </w:r>
      <w:r w:rsidR="0034687E">
        <w:rPr>
          <w:rFonts w:ascii="Arial" w:hAnsi="Arial" w:cs="Arial"/>
          <w:sz w:val="20"/>
          <w:szCs w:val="20"/>
        </w:rPr>
        <w:t>1</w:t>
      </w:r>
      <w:r w:rsidR="007C11F1">
        <w:rPr>
          <w:rFonts w:ascii="Arial" w:hAnsi="Arial" w:cs="Arial"/>
          <w:sz w:val="20"/>
          <w:szCs w:val="20"/>
        </w:rPr>
        <w:t xml:space="preserve">% du flux </w:t>
      </w:r>
      <w:r w:rsidR="007C11F1" w:rsidRPr="00F64509">
        <w:rPr>
          <w:rFonts w:ascii="Arial" w:hAnsi="Arial" w:cs="Arial"/>
          <w:sz w:val="20"/>
          <w:szCs w:val="20"/>
        </w:rPr>
        <w:t xml:space="preserve">des crédits </w:t>
      </w:r>
      <w:r w:rsidR="007C11F1">
        <w:rPr>
          <w:rFonts w:ascii="Arial" w:hAnsi="Arial" w:cs="Arial"/>
          <w:sz w:val="20"/>
          <w:szCs w:val="20"/>
        </w:rPr>
        <w:t xml:space="preserve">accordés </w:t>
      </w:r>
      <w:r w:rsidR="007C11F1" w:rsidRPr="00F64509">
        <w:rPr>
          <w:rFonts w:ascii="Arial" w:hAnsi="Arial" w:cs="Arial"/>
          <w:sz w:val="20"/>
          <w:szCs w:val="20"/>
        </w:rPr>
        <w:t>à l’équipement</w:t>
      </w:r>
      <w:r w:rsidR="007C11F1" w:rsidRPr="007C11F1">
        <w:rPr>
          <w:rFonts w:ascii="Arial" w:hAnsi="Arial" w:cs="Arial"/>
          <w:sz w:val="20"/>
          <w:szCs w:val="20"/>
        </w:rPr>
        <w:t xml:space="preserve">. </w:t>
      </w:r>
      <w:r w:rsidR="0034687E">
        <w:rPr>
          <w:rFonts w:ascii="Arial" w:hAnsi="Arial" w:cs="Arial"/>
          <w:sz w:val="20"/>
          <w:szCs w:val="20"/>
        </w:rPr>
        <w:t>Pour sa part</w:t>
      </w:r>
      <w:r w:rsidR="007C11F1" w:rsidRPr="007C11F1">
        <w:rPr>
          <w:rFonts w:ascii="Arial" w:hAnsi="Arial" w:cs="Arial"/>
          <w:sz w:val="20"/>
          <w:szCs w:val="20"/>
        </w:rPr>
        <w:t xml:space="preserve">, </w:t>
      </w:r>
      <w:r w:rsidR="007C11F1">
        <w:rPr>
          <w:rFonts w:ascii="Arial" w:hAnsi="Arial" w:cs="Arial"/>
          <w:sz w:val="20"/>
          <w:szCs w:val="20"/>
        </w:rPr>
        <w:t>l‘</w:t>
      </w:r>
      <w:r w:rsidR="007C11F1" w:rsidRPr="00F64509">
        <w:rPr>
          <w:rFonts w:ascii="Arial" w:hAnsi="Arial" w:cs="Arial"/>
          <w:sz w:val="20"/>
          <w:szCs w:val="20"/>
        </w:rPr>
        <w:t>investissement</w:t>
      </w:r>
      <w:r w:rsidR="0097276B" w:rsidRPr="00F64509">
        <w:rPr>
          <w:rFonts w:ascii="Arial" w:hAnsi="Arial" w:cs="Arial"/>
          <w:sz w:val="20"/>
          <w:szCs w:val="20"/>
        </w:rPr>
        <w:t xml:space="preserve"> en </w:t>
      </w:r>
      <w:r w:rsidR="00BB7832">
        <w:rPr>
          <w:rFonts w:ascii="Arial" w:hAnsi="Arial" w:cs="Arial"/>
          <w:sz w:val="20"/>
          <w:szCs w:val="20"/>
        </w:rPr>
        <w:t>construction</w:t>
      </w:r>
      <w:r w:rsidR="007C11F1">
        <w:rPr>
          <w:rFonts w:ascii="Arial" w:hAnsi="Arial" w:cs="Arial"/>
          <w:sz w:val="20"/>
          <w:szCs w:val="20"/>
        </w:rPr>
        <w:t xml:space="preserve"> </w:t>
      </w:r>
      <w:r w:rsidR="00315E06">
        <w:rPr>
          <w:rFonts w:ascii="Arial" w:hAnsi="Arial" w:cs="Arial"/>
          <w:sz w:val="20"/>
          <w:szCs w:val="20"/>
        </w:rPr>
        <w:t xml:space="preserve">aurait </w:t>
      </w:r>
      <w:r w:rsidR="00B57068">
        <w:rPr>
          <w:rFonts w:ascii="Arial" w:hAnsi="Arial" w:cs="Arial"/>
          <w:sz w:val="20"/>
          <w:szCs w:val="20"/>
        </w:rPr>
        <w:t>poursuivi</w:t>
      </w:r>
      <w:r w:rsidR="00315E06">
        <w:rPr>
          <w:rFonts w:ascii="Arial" w:hAnsi="Arial" w:cs="Arial"/>
          <w:sz w:val="20"/>
          <w:szCs w:val="20"/>
        </w:rPr>
        <w:t xml:space="preserve"> son</w:t>
      </w:r>
      <w:r w:rsidR="007C11F1">
        <w:rPr>
          <w:rFonts w:ascii="Arial" w:hAnsi="Arial" w:cs="Arial"/>
          <w:sz w:val="20"/>
          <w:szCs w:val="20"/>
        </w:rPr>
        <w:t xml:space="preserve"> </w:t>
      </w:r>
      <w:r w:rsidR="0034687E">
        <w:rPr>
          <w:rFonts w:ascii="Arial" w:hAnsi="Arial" w:cs="Arial"/>
          <w:sz w:val="20"/>
          <w:szCs w:val="20"/>
        </w:rPr>
        <w:t>redress</w:t>
      </w:r>
      <w:r w:rsidR="00315E06">
        <w:rPr>
          <w:rFonts w:ascii="Arial" w:hAnsi="Arial" w:cs="Arial"/>
          <w:sz w:val="20"/>
          <w:szCs w:val="20"/>
        </w:rPr>
        <w:t>ement</w:t>
      </w:r>
      <w:r w:rsidR="0097276B" w:rsidRPr="00F64509">
        <w:rPr>
          <w:rFonts w:ascii="Arial" w:hAnsi="Arial" w:cs="Arial"/>
          <w:sz w:val="20"/>
          <w:szCs w:val="20"/>
        </w:rPr>
        <w:t xml:space="preserve">, </w:t>
      </w:r>
      <w:r w:rsidR="00A1619E">
        <w:rPr>
          <w:rFonts w:ascii="Arial" w:hAnsi="Arial" w:cs="Arial"/>
          <w:sz w:val="20"/>
          <w:szCs w:val="20"/>
        </w:rPr>
        <w:t xml:space="preserve">pour le deuxième trimestre successif, </w:t>
      </w:r>
      <w:r w:rsidR="00A429C4">
        <w:rPr>
          <w:rFonts w:ascii="Arial" w:hAnsi="Arial" w:cs="Arial"/>
          <w:sz w:val="20"/>
          <w:szCs w:val="20"/>
        </w:rPr>
        <w:t>dans le sillage d’un</w:t>
      </w:r>
      <w:r w:rsidR="00B307C7">
        <w:rPr>
          <w:rFonts w:ascii="Arial" w:hAnsi="Arial" w:cs="Arial"/>
          <w:sz w:val="20"/>
          <w:szCs w:val="20"/>
        </w:rPr>
        <w:t>e</w:t>
      </w:r>
      <w:r w:rsidR="00C31082">
        <w:rPr>
          <w:rFonts w:ascii="Arial" w:hAnsi="Arial" w:cs="Arial"/>
          <w:sz w:val="20"/>
          <w:szCs w:val="20"/>
        </w:rPr>
        <w:t xml:space="preserve"> re</w:t>
      </w:r>
      <w:r w:rsidR="00B307C7">
        <w:rPr>
          <w:rFonts w:ascii="Arial" w:hAnsi="Arial" w:cs="Arial"/>
          <w:sz w:val="20"/>
          <w:szCs w:val="20"/>
        </w:rPr>
        <w:t>prise</w:t>
      </w:r>
      <w:r w:rsidR="00C31082">
        <w:rPr>
          <w:rFonts w:ascii="Arial" w:hAnsi="Arial" w:cs="Arial"/>
          <w:sz w:val="20"/>
          <w:szCs w:val="20"/>
        </w:rPr>
        <w:t xml:space="preserve"> de la demande adressée à l’immobilier et </w:t>
      </w:r>
      <w:r w:rsidR="00F418B8">
        <w:rPr>
          <w:rFonts w:ascii="Arial" w:hAnsi="Arial" w:cs="Arial"/>
          <w:sz w:val="20"/>
          <w:szCs w:val="20"/>
        </w:rPr>
        <w:t>d’</w:t>
      </w:r>
      <w:r w:rsidR="00C31082">
        <w:rPr>
          <w:rFonts w:ascii="Arial" w:hAnsi="Arial" w:cs="Arial"/>
          <w:sz w:val="20"/>
          <w:szCs w:val="20"/>
        </w:rPr>
        <w:t>un r</w:t>
      </w:r>
      <w:r w:rsidR="00315E06">
        <w:rPr>
          <w:rFonts w:ascii="Arial" w:hAnsi="Arial" w:cs="Arial"/>
          <w:sz w:val="20"/>
          <w:szCs w:val="20"/>
        </w:rPr>
        <w:t>affermissement</w:t>
      </w:r>
      <w:r w:rsidR="00C31082">
        <w:rPr>
          <w:rFonts w:ascii="Arial" w:hAnsi="Arial" w:cs="Arial"/>
          <w:sz w:val="20"/>
          <w:szCs w:val="20"/>
        </w:rPr>
        <w:t xml:space="preserve"> de 5,4% </w:t>
      </w:r>
      <w:r w:rsidR="00A429C4">
        <w:rPr>
          <w:rFonts w:ascii="Arial" w:hAnsi="Arial" w:cs="Arial"/>
          <w:sz w:val="20"/>
          <w:szCs w:val="20"/>
        </w:rPr>
        <w:t>de</w:t>
      </w:r>
      <w:r w:rsidR="007C11F1">
        <w:rPr>
          <w:rFonts w:ascii="Arial" w:hAnsi="Arial" w:cs="Arial"/>
          <w:sz w:val="20"/>
          <w:szCs w:val="20"/>
        </w:rPr>
        <w:t xml:space="preserve"> l’encours des </w:t>
      </w:r>
      <w:r w:rsidR="00BB7832">
        <w:rPr>
          <w:rFonts w:ascii="Arial" w:hAnsi="Arial" w:cs="Arial"/>
          <w:sz w:val="20"/>
          <w:szCs w:val="20"/>
        </w:rPr>
        <w:t xml:space="preserve">crédits </w:t>
      </w:r>
      <w:r w:rsidR="00A62EAF">
        <w:rPr>
          <w:rFonts w:ascii="Arial" w:hAnsi="Arial" w:cs="Arial"/>
          <w:sz w:val="20"/>
          <w:szCs w:val="20"/>
        </w:rPr>
        <w:t xml:space="preserve">destinés </w:t>
      </w:r>
      <w:r w:rsidR="00C31082">
        <w:rPr>
          <w:rFonts w:ascii="Arial" w:hAnsi="Arial" w:cs="Arial"/>
          <w:sz w:val="20"/>
          <w:szCs w:val="20"/>
        </w:rPr>
        <w:t>à l’habitat</w:t>
      </w:r>
      <w:r w:rsidR="0097276B" w:rsidRPr="00F64509">
        <w:rPr>
          <w:rFonts w:ascii="Arial" w:hAnsi="Arial" w:cs="Arial"/>
          <w:sz w:val="20"/>
          <w:szCs w:val="20"/>
        </w:rPr>
        <w:t xml:space="preserve">. </w:t>
      </w:r>
    </w:p>
    <w:p w:rsidR="0097276B" w:rsidRPr="000C5C87" w:rsidRDefault="0097276B" w:rsidP="0032191A">
      <w:pPr>
        <w:autoSpaceDE w:val="0"/>
        <w:autoSpaceDN w:val="0"/>
        <w:adjustRightInd w:val="0"/>
        <w:jc w:val="both"/>
        <w:rPr>
          <w:rFonts w:ascii="Arial" w:hAnsi="Arial" w:cs="Arial"/>
        </w:rPr>
      </w:pPr>
    </w:p>
    <w:p w:rsidR="0097276B" w:rsidRDefault="00686110" w:rsidP="000671B0">
      <w:pPr>
        <w:jc w:val="both"/>
        <w:rPr>
          <w:rFonts w:ascii="Arial" w:hAnsi="Arial" w:cs="Arial"/>
          <w:b/>
          <w:bCs/>
          <w:color w:val="800000"/>
          <w:kern w:val="28"/>
          <w:sz w:val="20"/>
          <w:szCs w:val="20"/>
        </w:rPr>
      </w:pPr>
      <w:r>
        <w:rPr>
          <w:rFonts w:ascii="Arial" w:hAnsi="Arial" w:cs="Arial"/>
          <w:b/>
          <w:bCs/>
          <w:color w:val="800000"/>
          <w:kern w:val="28"/>
          <w:sz w:val="20"/>
          <w:szCs w:val="20"/>
        </w:rPr>
        <w:t>Légère amélioration</w:t>
      </w:r>
      <w:r w:rsidR="00DF7F9A">
        <w:rPr>
          <w:rFonts w:ascii="Arial" w:hAnsi="Arial" w:cs="Arial"/>
          <w:b/>
          <w:bCs/>
          <w:color w:val="800000"/>
          <w:kern w:val="28"/>
          <w:sz w:val="20"/>
          <w:szCs w:val="20"/>
        </w:rPr>
        <w:t xml:space="preserve"> du rythme de croissance</w:t>
      </w:r>
      <w:r w:rsidR="0097276B">
        <w:rPr>
          <w:rFonts w:ascii="Arial" w:hAnsi="Arial" w:cs="Arial"/>
          <w:b/>
          <w:bCs/>
          <w:color w:val="800000"/>
          <w:kern w:val="28"/>
          <w:sz w:val="20"/>
          <w:szCs w:val="20"/>
        </w:rPr>
        <w:t xml:space="preserve"> des activités hors agriculture</w:t>
      </w:r>
    </w:p>
    <w:p w:rsidR="0097276B" w:rsidRDefault="0097276B" w:rsidP="0032191A">
      <w:pPr>
        <w:jc w:val="both"/>
        <w:rPr>
          <w:rFonts w:ascii="Arial" w:hAnsi="Arial" w:cs="Arial"/>
          <w:sz w:val="20"/>
          <w:szCs w:val="20"/>
        </w:rPr>
      </w:pPr>
    </w:p>
    <w:p w:rsidR="008A4CDA" w:rsidRDefault="00821558" w:rsidP="00CC1AAF">
      <w:pPr>
        <w:jc w:val="both"/>
        <w:rPr>
          <w:rFonts w:asciiTheme="minorBidi" w:hAnsiTheme="minorBidi" w:cstheme="minorBidi"/>
          <w:sz w:val="20"/>
          <w:szCs w:val="20"/>
        </w:rPr>
      </w:pPr>
      <w:r>
        <w:rPr>
          <w:noProof/>
          <w:szCs w:val="20"/>
        </w:rPr>
        <w:drawing>
          <wp:anchor distT="0" distB="0" distL="114300" distR="114300" simplePos="0" relativeHeight="251697152" behindDoc="0" locked="0" layoutInCell="1" allowOverlap="1">
            <wp:simplePos x="0" y="0"/>
            <wp:positionH relativeFrom="column">
              <wp:posOffset>4035425</wp:posOffset>
            </wp:positionH>
            <wp:positionV relativeFrom="paragraph">
              <wp:posOffset>256540</wp:posOffset>
            </wp:positionV>
            <wp:extent cx="2504440" cy="2099310"/>
            <wp:effectExtent l="1905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504440" cy="2099310"/>
                    </a:xfrm>
                    <a:prstGeom prst="rect">
                      <a:avLst/>
                    </a:prstGeom>
                    <a:noFill/>
                    <a:ln w="9525">
                      <a:noFill/>
                      <a:miter lim="800000"/>
                      <a:headEnd/>
                      <a:tailEnd/>
                    </a:ln>
                  </pic:spPr>
                </pic:pic>
              </a:graphicData>
            </a:graphic>
          </wp:anchor>
        </w:drawing>
      </w:r>
      <w:r w:rsidR="00A62EAF">
        <w:rPr>
          <w:rFonts w:ascii="Arial" w:hAnsi="Arial" w:cs="Arial"/>
          <w:noProof/>
          <w:sz w:val="20"/>
          <w:szCs w:val="20"/>
        </w:rPr>
        <w:t>Le</w:t>
      </w:r>
      <w:r w:rsidR="00444D28">
        <w:rPr>
          <w:rFonts w:ascii="Arial" w:hAnsi="Arial" w:cs="Arial"/>
          <w:noProof/>
          <w:sz w:val="20"/>
          <w:szCs w:val="20"/>
        </w:rPr>
        <w:t xml:space="preserve"> rythme de croissance de</w:t>
      </w:r>
      <w:r w:rsidR="00A62EAF">
        <w:rPr>
          <w:rFonts w:ascii="Arial" w:hAnsi="Arial" w:cs="Arial"/>
          <w:noProof/>
          <w:sz w:val="20"/>
          <w:szCs w:val="20"/>
        </w:rPr>
        <w:t>s</w:t>
      </w:r>
      <w:r w:rsidR="00C07B2B">
        <w:rPr>
          <w:rFonts w:ascii="Arial" w:hAnsi="Arial" w:cs="Arial"/>
          <w:sz w:val="20"/>
          <w:szCs w:val="20"/>
        </w:rPr>
        <w:t xml:space="preserve"> activités </w:t>
      </w:r>
      <w:r w:rsidR="00C555C5">
        <w:rPr>
          <w:rFonts w:ascii="Arial" w:hAnsi="Arial" w:cs="Arial"/>
          <w:sz w:val="20"/>
          <w:szCs w:val="20"/>
        </w:rPr>
        <w:t>non-agricoles</w:t>
      </w:r>
      <w:r w:rsidR="00C07B2B">
        <w:rPr>
          <w:rFonts w:ascii="Arial" w:hAnsi="Arial" w:cs="Arial"/>
          <w:sz w:val="20"/>
          <w:szCs w:val="20"/>
        </w:rPr>
        <w:t xml:space="preserve"> </w:t>
      </w:r>
      <w:r w:rsidR="00686110">
        <w:rPr>
          <w:rFonts w:ascii="Arial" w:hAnsi="Arial" w:cs="Arial"/>
          <w:sz w:val="20"/>
          <w:szCs w:val="20"/>
        </w:rPr>
        <w:t>se serait légèrement amélioré</w:t>
      </w:r>
      <w:r w:rsidR="00C07B2B">
        <w:rPr>
          <w:rFonts w:ascii="Arial" w:hAnsi="Arial" w:cs="Arial"/>
          <w:sz w:val="20"/>
          <w:szCs w:val="20"/>
        </w:rPr>
        <w:t xml:space="preserve"> au </w:t>
      </w:r>
      <w:r w:rsidR="00444D28">
        <w:rPr>
          <w:rFonts w:ascii="Arial" w:hAnsi="Arial" w:cs="Arial"/>
          <w:sz w:val="20"/>
          <w:szCs w:val="20"/>
        </w:rPr>
        <w:t>quatr</w:t>
      </w:r>
      <w:r w:rsidR="00205484">
        <w:rPr>
          <w:rFonts w:ascii="Arial" w:hAnsi="Arial" w:cs="Arial"/>
          <w:sz w:val="20"/>
          <w:szCs w:val="20"/>
        </w:rPr>
        <w:t>ième trimestre</w:t>
      </w:r>
      <w:r w:rsidR="00C07B2B">
        <w:rPr>
          <w:rFonts w:ascii="Arial" w:hAnsi="Arial" w:cs="Arial"/>
          <w:sz w:val="20"/>
          <w:szCs w:val="20"/>
        </w:rPr>
        <w:t xml:space="preserve"> 2016</w:t>
      </w:r>
      <w:r w:rsidR="00A62EAF">
        <w:rPr>
          <w:rFonts w:ascii="Arial" w:hAnsi="Arial" w:cs="Arial"/>
          <w:sz w:val="20"/>
          <w:szCs w:val="20"/>
        </w:rPr>
        <w:t xml:space="preserve">, </w:t>
      </w:r>
      <w:r w:rsidR="00F217C5">
        <w:rPr>
          <w:rFonts w:ascii="Arial" w:hAnsi="Arial" w:cs="Arial"/>
          <w:sz w:val="20"/>
          <w:szCs w:val="20"/>
        </w:rPr>
        <w:t>se situ</w:t>
      </w:r>
      <w:r w:rsidR="00CC063F">
        <w:rPr>
          <w:rFonts w:ascii="Arial" w:hAnsi="Arial" w:cs="Arial"/>
          <w:sz w:val="20"/>
          <w:szCs w:val="20"/>
        </w:rPr>
        <w:t>ant</w:t>
      </w:r>
      <w:r w:rsidR="00A62EAF">
        <w:rPr>
          <w:rFonts w:ascii="Arial" w:hAnsi="Arial" w:cs="Arial"/>
          <w:sz w:val="20"/>
          <w:szCs w:val="20"/>
        </w:rPr>
        <w:t xml:space="preserve"> </w:t>
      </w:r>
      <w:r w:rsidR="00F217C5">
        <w:rPr>
          <w:rFonts w:ascii="Arial" w:hAnsi="Arial" w:cs="Arial"/>
          <w:sz w:val="20"/>
          <w:szCs w:val="20"/>
        </w:rPr>
        <w:t xml:space="preserve">à </w:t>
      </w:r>
      <w:r w:rsidR="00686110">
        <w:rPr>
          <w:rFonts w:ascii="Arial" w:hAnsi="Arial" w:cs="Arial"/>
          <w:sz w:val="20"/>
          <w:szCs w:val="20"/>
        </w:rPr>
        <w:t>2</w:t>
      </w:r>
      <w:r w:rsidR="00E43723">
        <w:rPr>
          <w:rFonts w:ascii="Arial" w:hAnsi="Arial" w:cs="Arial"/>
          <w:sz w:val="20"/>
          <w:szCs w:val="20"/>
        </w:rPr>
        <w:t>,5</w:t>
      </w:r>
      <w:r w:rsidR="00A62EAF">
        <w:rPr>
          <w:rFonts w:ascii="Arial" w:hAnsi="Arial" w:cs="Arial"/>
          <w:sz w:val="20"/>
          <w:szCs w:val="20"/>
        </w:rPr>
        <w:t>%, en variation annuelle</w:t>
      </w:r>
      <w:r w:rsidR="00686110">
        <w:rPr>
          <w:rFonts w:ascii="Arial" w:hAnsi="Arial" w:cs="Arial"/>
          <w:sz w:val="20"/>
          <w:szCs w:val="20"/>
        </w:rPr>
        <w:t xml:space="preserve">, au lieu de </w:t>
      </w:r>
      <w:r w:rsidR="00F217C5">
        <w:rPr>
          <w:rFonts w:ascii="Arial" w:hAnsi="Arial" w:cs="Arial"/>
          <w:sz w:val="20"/>
          <w:szCs w:val="20"/>
        </w:rPr>
        <w:t>+</w:t>
      </w:r>
      <w:r w:rsidR="00686110">
        <w:rPr>
          <w:rFonts w:ascii="Arial" w:hAnsi="Arial" w:cs="Arial"/>
          <w:sz w:val="20"/>
          <w:szCs w:val="20"/>
        </w:rPr>
        <w:t>1,9% un trimestre auparavant</w:t>
      </w:r>
      <w:r w:rsidR="0097276B" w:rsidRPr="00873491">
        <w:rPr>
          <w:rFonts w:ascii="Arial" w:hAnsi="Arial" w:cs="Arial"/>
          <w:sz w:val="20"/>
          <w:szCs w:val="20"/>
        </w:rPr>
        <w:t xml:space="preserve">. </w:t>
      </w:r>
      <w:r w:rsidR="002765A6">
        <w:rPr>
          <w:rFonts w:ascii="Arial" w:hAnsi="Arial" w:cs="Arial"/>
          <w:sz w:val="20"/>
          <w:szCs w:val="20"/>
        </w:rPr>
        <w:t xml:space="preserve">Les branches tertiaires auraient continué de soutenir l’activité économique, grâce notamment à la dynamique des activités du commerce et de la communication et de la </w:t>
      </w:r>
      <w:r w:rsidR="008F194A">
        <w:rPr>
          <w:rFonts w:ascii="Arial" w:hAnsi="Arial" w:cs="Arial"/>
          <w:sz w:val="20"/>
          <w:szCs w:val="20"/>
        </w:rPr>
        <w:t xml:space="preserve">sensible </w:t>
      </w:r>
      <w:r w:rsidR="002765A6">
        <w:rPr>
          <w:rFonts w:ascii="Arial" w:hAnsi="Arial" w:cs="Arial"/>
          <w:sz w:val="20"/>
          <w:szCs w:val="20"/>
        </w:rPr>
        <w:t>reprise des activités touristiques</w:t>
      </w:r>
      <w:r w:rsidR="00FF454F">
        <w:rPr>
          <w:rFonts w:ascii="Arial" w:hAnsi="Arial" w:cs="Arial"/>
          <w:sz w:val="20"/>
          <w:szCs w:val="20"/>
        </w:rPr>
        <w:t>, dont la valeur ajoutée se</w:t>
      </w:r>
      <w:r w:rsidR="002765A6">
        <w:rPr>
          <w:rFonts w:ascii="Arial" w:hAnsi="Arial" w:cs="Arial"/>
          <w:sz w:val="20"/>
          <w:szCs w:val="20"/>
        </w:rPr>
        <w:t xml:space="preserve"> serait redressée de </w:t>
      </w:r>
      <w:r w:rsidR="00E101DB">
        <w:rPr>
          <w:rFonts w:ascii="Arial" w:hAnsi="Arial" w:cs="Arial"/>
          <w:sz w:val="20"/>
          <w:szCs w:val="20"/>
        </w:rPr>
        <w:t>7</w:t>
      </w:r>
      <w:r w:rsidR="008F194A">
        <w:rPr>
          <w:rFonts w:ascii="Arial" w:hAnsi="Arial" w:cs="Arial"/>
          <w:sz w:val="20"/>
          <w:szCs w:val="20"/>
        </w:rPr>
        <w:t>,</w:t>
      </w:r>
      <w:r w:rsidR="002062EB">
        <w:rPr>
          <w:rFonts w:ascii="Arial" w:hAnsi="Arial" w:cs="Arial"/>
          <w:sz w:val="20"/>
          <w:szCs w:val="20"/>
        </w:rPr>
        <w:t>1</w:t>
      </w:r>
      <w:r w:rsidR="002765A6">
        <w:rPr>
          <w:rFonts w:ascii="Arial" w:hAnsi="Arial" w:cs="Arial"/>
          <w:sz w:val="20"/>
          <w:szCs w:val="20"/>
        </w:rPr>
        <w:t xml:space="preserve">%, en variation annuelle, après avoir </w:t>
      </w:r>
      <w:r w:rsidR="008F194A">
        <w:rPr>
          <w:rFonts w:ascii="Arial" w:hAnsi="Arial" w:cs="Arial"/>
          <w:sz w:val="20"/>
          <w:szCs w:val="20"/>
        </w:rPr>
        <w:t>pro</w:t>
      </w:r>
      <w:r w:rsidR="002765A6">
        <w:rPr>
          <w:rFonts w:ascii="Arial" w:hAnsi="Arial" w:cs="Arial"/>
          <w:sz w:val="20"/>
          <w:szCs w:val="20"/>
        </w:rPr>
        <w:t xml:space="preserve">gressé de </w:t>
      </w:r>
      <w:r w:rsidR="008F194A">
        <w:rPr>
          <w:rFonts w:ascii="Arial" w:hAnsi="Arial" w:cs="Arial"/>
          <w:sz w:val="20"/>
          <w:szCs w:val="20"/>
        </w:rPr>
        <w:t>7,7</w:t>
      </w:r>
      <w:r w:rsidR="002765A6">
        <w:rPr>
          <w:rFonts w:ascii="Arial" w:hAnsi="Arial" w:cs="Arial"/>
          <w:sz w:val="20"/>
          <w:szCs w:val="20"/>
        </w:rPr>
        <w:t xml:space="preserve">%, un trimestre auparavant. </w:t>
      </w:r>
      <w:r w:rsidR="0028291C">
        <w:rPr>
          <w:rFonts w:ascii="Arial" w:hAnsi="Arial" w:cs="Arial"/>
          <w:sz w:val="20"/>
          <w:szCs w:val="20"/>
        </w:rPr>
        <w:t xml:space="preserve">Cette dernière </w:t>
      </w:r>
      <w:r w:rsidR="002765A6">
        <w:rPr>
          <w:rFonts w:ascii="Arial" w:hAnsi="Arial" w:cs="Arial"/>
          <w:sz w:val="20"/>
          <w:szCs w:val="20"/>
        </w:rPr>
        <w:t xml:space="preserve">aurait été principalement sous-tendue par une hausse de </w:t>
      </w:r>
      <w:r w:rsidR="002062EB">
        <w:rPr>
          <w:rFonts w:ascii="Arial" w:hAnsi="Arial" w:cs="Arial"/>
          <w:sz w:val="20"/>
          <w:szCs w:val="20"/>
        </w:rPr>
        <w:t>18,3</w:t>
      </w:r>
      <w:r w:rsidR="002765A6">
        <w:rPr>
          <w:rFonts w:ascii="Arial" w:hAnsi="Arial" w:cs="Arial"/>
          <w:sz w:val="20"/>
          <w:szCs w:val="20"/>
        </w:rPr>
        <w:t xml:space="preserve">% des nuitées touristiques. </w:t>
      </w:r>
      <w:r w:rsidR="00583DF0">
        <w:rPr>
          <w:rFonts w:ascii="Arial" w:hAnsi="Arial" w:cs="Arial"/>
          <w:sz w:val="20"/>
          <w:szCs w:val="20"/>
        </w:rPr>
        <w:t xml:space="preserve">Pour sa part, </w:t>
      </w:r>
      <w:r w:rsidR="00FF454F">
        <w:rPr>
          <w:rFonts w:ascii="Arial" w:hAnsi="Arial" w:cs="Arial"/>
          <w:sz w:val="20"/>
          <w:szCs w:val="20"/>
        </w:rPr>
        <w:t>l</w:t>
      </w:r>
      <w:r w:rsidR="00CC1AAF">
        <w:rPr>
          <w:rFonts w:ascii="Arial" w:hAnsi="Arial" w:cs="Arial"/>
          <w:sz w:val="20"/>
          <w:szCs w:val="20"/>
        </w:rPr>
        <w:t xml:space="preserve">a valeur ajoutée </w:t>
      </w:r>
      <w:r w:rsidR="00583DF0">
        <w:rPr>
          <w:rFonts w:ascii="Arial" w:hAnsi="Arial" w:cs="Arial"/>
          <w:sz w:val="20"/>
          <w:szCs w:val="20"/>
        </w:rPr>
        <w:t>de</w:t>
      </w:r>
      <w:r w:rsidR="00FF454F">
        <w:rPr>
          <w:rFonts w:ascii="Arial" w:hAnsi="Arial" w:cs="Arial"/>
          <w:sz w:val="20"/>
          <w:szCs w:val="20"/>
        </w:rPr>
        <w:t xml:space="preserve">s branches secondaires </w:t>
      </w:r>
      <w:r w:rsidR="00583DF0">
        <w:rPr>
          <w:rFonts w:ascii="Arial" w:hAnsi="Arial" w:cs="Arial"/>
          <w:sz w:val="20"/>
          <w:szCs w:val="20"/>
        </w:rPr>
        <w:t>se se</w:t>
      </w:r>
      <w:r w:rsidR="00FF454F">
        <w:rPr>
          <w:rFonts w:ascii="Arial" w:hAnsi="Arial" w:cs="Arial"/>
          <w:sz w:val="20"/>
          <w:szCs w:val="20"/>
        </w:rPr>
        <w:t>rait redressé</w:t>
      </w:r>
      <w:r w:rsidR="00CC1AAF">
        <w:rPr>
          <w:rFonts w:ascii="Arial" w:hAnsi="Arial" w:cs="Arial"/>
          <w:sz w:val="20"/>
          <w:szCs w:val="20"/>
        </w:rPr>
        <w:t>e</w:t>
      </w:r>
      <w:r w:rsidR="002765A6">
        <w:rPr>
          <w:rFonts w:ascii="Arial" w:hAnsi="Arial" w:cs="Arial"/>
          <w:sz w:val="20"/>
          <w:szCs w:val="20"/>
        </w:rPr>
        <w:t xml:space="preserve"> de </w:t>
      </w:r>
      <w:r w:rsidR="00F3763A">
        <w:rPr>
          <w:rFonts w:ascii="Arial" w:hAnsi="Arial" w:cs="Arial"/>
          <w:sz w:val="20"/>
          <w:szCs w:val="20"/>
        </w:rPr>
        <w:t>2</w:t>
      </w:r>
      <w:r w:rsidR="002765A6">
        <w:rPr>
          <w:rFonts w:ascii="Arial" w:hAnsi="Arial" w:cs="Arial"/>
          <w:sz w:val="20"/>
          <w:szCs w:val="20"/>
        </w:rPr>
        <w:t>,</w:t>
      </w:r>
      <w:r w:rsidR="00F3763A">
        <w:rPr>
          <w:rFonts w:ascii="Arial" w:hAnsi="Arial" w:cs="Arial"/>
          <w:sz w:val="20"/>
          <w:szCs w:val="20"/>
        </w:rPr>
        <w:t>4</w:t>
      </w:r>
      <w:r w:rsidR="00CC063F">
        <w:rPr>
          <w:rFonts w:ascii="Arial" w:hAnsi="Arial" w:cs="Arial"/>
          <w:sz w:val="20"/>
          <w:szCs w:val="20"/>
        </w:rPr>
        <w:t>%,</w:t>
      </w:r>
      <w:r w:rsidR="002765A6">
        <w:rPr>
          <w:rFonts w:ascii="Arial" w:hAnsi="Arial" w:cs="Arial"/>
          <w:sz w:val="20"/>
          <w:szCs w:val="20"/>
        </w:rPr>
        <w:t xml:space="preserve"> </w:t>
      </w:r>
      <w:r w:rsidR="00FF454F">
        <w:rPr>
          <w:rFonts w:ascii="Arial" w:hAnsi="Arial" w:cs="Arial"/>
          <w:sz w:val="20"/>
          <w:szCs w:val="20"/>
        </w:rPr>
        <w:t>au lieu de +</w:t>
      </w:r>
      <w:r w:rsidR="00F3763A">
        <w:rPr>
          <w:rFonts w:ascii="Arial" w:hAnsi="Arial" w:cs="Arial"/>
          <w:sz w:val="20"/>
          <w:szCs w:val="20"/>
        </w:rPr>
        <w:t>0</w:t>
      </w:r>
      <w:r w:rsidR="00FF454F">
        <w:rPr>
          <w:rFonts w:ascii="Arial" w:hAnsi="Arial" w:cs="Arial"/>
          <w:sz w:val="20"/>
          <w:szCs w:val="20"/>
        </w:rPr>
        <w:t>,</w:t>
      </w:r>
      <w:r w:rsidR="00F3763A">
        <w:rPr>
          <w:rFonts w:ascii="Arial" w:hAnsi="Arial" w:cs="Arial"/>
          <w:sz w:val="20"/>
          <w:szCs w:val="20"/>
        </w:rPr>
        <w:t>9</w:t>
      </w:r>
      <w:r w:rsidR="00FF454F">
        <w:rPr>
          <w:rFonts w:ascii="Arial" w:hAnsi="Arial" w:cs="Arial"/>
          <w:sz w:val="20"/>
          <w:szCs w:val="20"/>
        </w:rPr>
        <w:t>% un trimestre plus tôt. C’est ainsi que</w:t>
      </w:r>
      <w:r w:rsidR="00F01C04">
        <w:rPr>
          <w:rFonts w:ascii="Arial" w:hAnsi="Arial" w:cs="Arial"/>
          <w:sz w:val="20"/>
          <w:szCs w:val="20"/>
        </w:rPr>
        <w:t xml:space="preserve"> </w:t>
      </w:r>
      <w:r w:rsidR="005A764C">
        <w:rPr>
          <w:rFonts w:ascii="Arial" w:hAnsi="Arial" w:cs="Arial"/>
          <w:sz w:val="20"/>
          <w:szCs w:val="20"/>
        </w:rPr>
        <w:t xml:space="preserve">les industries </w:t>
      </w:r>
      <w:r w:rsidR="005A764C" w:rsidRPr="00305D9C">
        <w:rPr>
          <w:rFonts w:ascii="Arial" w:hAnsi="Arial" w:cs="Arial"/>
          <w:b/>
          <w:bCs/>
          <w:sz w:val="20"/>
          <w:szCs w:val="20"/>
        </w:rPr>
        <w:t>manufacturières</w:t>
      </w:r>
      <w:r w:rsidR="005A764C">
        <w:rPr>
          <w:rFonts w:ascii="Arial" w:hAnsi="Arial" w:cs="Arial"/>
          <w:sz w:val="20"/>
          <w:szCs w:val="20"/>
        </w:rPr>
        <w:t xml:space="preserve"> </w:t>
      </w:r>
      <w:r w:rsidR="00ED1E3B">
        <w:rPr>
          <w:rFonts w:ascii="Arial" w:hAnsi="Arial" w:cs="Arial"/>
          <w:sz w:val="20"/>
          <w:szCs w:val="20"/>
        </w:rPr>
        <w:t>auraient affich</w:t>
      </w:r>
      <w:r w:rsidR="00563569">
        <w:rPr>
          <w:rFonts w:ascii="Arial" w:hAnsi="Arial" w:cs="Arial"/>
          <w:sz w:val="20"/>
          <w:szCs w:val="20"/>
        </w:rPr>
        <w:t>é</w:t>
      </w:r>
      <w:r w:rsidR="00ED1E3B">
        <w:rPr>
          <w:rFonts w:ascii="Arial" w:hAnsi="Arial" w:cs="Arial"/>
          <w:sz w:val="20"/>
          <w:szCs w:val="20"/>
        </w:rPr>
        <w:t xml:space="preserve"> </w:t>
      </w:r>
      <w:r w:rsidR="005A764C">
        <w:rPr>
          <w:rFonts w:ascii="Arial" w:hAnsi="Arial" w:cs="Arial"/>
          <w:sz w:val="20"/>
          <w:szCs w:val="20"/>
        </w:rPr>
        <w:t>un</w:t>
      </w:r>
      <w:r w:rsidR="00305D9C">
        <w:rPr>
          <w:rFonts w:ascii="Arial" w:hAnsi="Arial" w:cs="Arial"/>
          <w:sz w:val="20"/>
          <w:szCs w:val="20"/>
        </w:rPr>
        <w:t xml:space="preserve">e </w:t>
      </w:r>
      <w:r w:rsidR="00D9080C">
        <w:rPr>
          <w:rFonts w:asciiTheme="minorBidi" w:hAnsiTheme="minorBidi" w:cstheme="minorBidi"/>
          <w:sz w:val="20"/>
          <w:szCs w:val="20"/>
        </w:rPr>
        <w:t>hausse</w:t>
      </w:r>
      <w:r w:rsidR="004F7335" w:rsidRPr="006D3DD3">
        <w:rPr>
          <w:rFonts w:asciiTheme="minorBidi" w:hAnsiTheme="minorBidi" w:cstheme="minorBidi"/>
          <w:sz w:val="20"/>
          <w:szCs w:val="20"/>
        </w:rPr>
        <w:t xml:space="preserve"> de </w:t>
      </w:r>
      <w:r w:rsidR="00FF454F">
        <w:rPr>
          <w:rFonts w:asciiTheme="minorBidi" w:hAnsiTheme="minorBidi" w:cstheme="minorBidi"/>
          <w:sz w:val="20"/>
          <w:szCs w:val="20"/>
        </w:rPr>
        <w:t>2,</w:t>
      </w:r>
      <w:r w:rsidR="008059E3">
        <w:rPr>
          <w:rFonts w:asciiTheme="minorBidi" w:hAnsiTheme="minorBidi" w:cstheme="minorBidi"/>
          <w:sz w:val="20"/>
          <w:szCs w:val="20"/>
        </w:rPr>
        <w:t>1</w:t>
      </w:r>
      <w:r w:rsidR="004F7335" w:rsidRPr="006D3DD3">
        <w:rPr>
          <w:rFonts w:asciiTheme="minorBidi" w:hAnsiTheme="minorBidi" w:cstheme="minorBidi"/>
          <w:sz w:val="20"/>
          <w:szCs w:val="20"/>
        </w:rPr>
        <w:t>%</w:t>
      </w:r>
      <w:r w:rsidR="004F7335">
        <w:rPr>
          <w:rFonts w:asciiTheme="minorBidi" w:hAnsiTheme="minorBidi" w:cstheme="minorBidi"/>
          <w:sz w:val="20"/>
          <w:szCs w:val="20"/>
        </w:rPr>
        <w:t xml:space="preserve">, </w:t>
      </w:r>
      <w:r w:rsidR="00FF454F">
        <w:rPr>
          <w:rFonts w:asciiTheme="minorBidi" w:hAnsiTheme="minorBidi" w:cstheme="minorBidi"/>
          <w:sz w:val="20"/>
          <w:szCs w:val="20"/>
        </w:rPr>
        <w:t>au lieu de +</w:t>
      </w:r>
      <w:r w:rsidR="00583DF0">
        <w:rPr>
          <w:rFonts w:asciiTheme="minorBidi" w:hAnsiTheme="minorBidi" w:cstheme="minorBidi"/>
          <w:sz w:val="20"/>
          <w:szCs w:val="20"/>
        </w:rPr>
        <w:t>0</w:t>
      </w:r>
      <w:r w:rsidR="00FF454F">
        <w:rPr>
          <w:rFonts w:asciiTheme="minorBidi" w:hAnsiTheme="minorBidi" w:cstheme="minorBidi"/>
          <w:sz w:val="20"/>
          <w:szCs w:val="20"/>
        </w:rPr>
        <w:t>,</w:t>
      </w:r>
      <w:r w:rsidR="008059E3">
        <w:rPr>
          <w:rFonts w:asciiTheme="minorBidi" w:hAnsiTheme="minorBidi" w:cstheme="minorBidi"/>
          <w:sz w:val="20"/>
          <w:szCs w:val="20"/>
        </w:rPr>
        <w:t>8</w:t>
      </w:r>
      <w:r w:rsidR="00FF454F">
        <w:rPr>
          <w:rFonts w:asciiTheme="minorBidi" w:hAnsiTheme="minorBidi" w:cstheme="minorBidi"/>
          <w:sz w:val="20"/>
          <w:szCs w:val="20"/>
        </w:rPr>
        <w:t xml:space="preserve">%, </w:t>
      </w:r>
      <w:r w:rsidR="00CA32AD">
        <w:rPr>
          <w:rFonts w:asciiTheme="minorBidi" w:hAnsiTheme="minorBidi" w:cstheme="minorBidi"/>
          <w:sz w:val="20"/>
          <w:szCs w:val="20"/>
        </w:rPr>
        <w:t xml:space="preserve">au </w:t>
      </w:r>
      <w:r w:rsidR="00583DF0">
        <w:rPr>
          <w:rFonts w:asciiTheme="minorBidi" w:hAnsiTheme="minorBidi" w:cstheme="minorBidi"/>
          <w:sz w:val="20"/>
          <w:szCs w:val="20"/>
        </w:rPr>
        <w:t>trois</w:t>
      </w:r>
      <w:r w:rsidR="00205484">
        <w:rPr>
          <w:rFonts w:asciiTheme="minorBidi" w:hAnsiTheme="minorBidi" w:cstheme="minorBidi"/>
          <w:sz w:val="20"/>
          <w:szCs w:val="20"/>
        </w:rPr>
        <w:t>ième</w:t>
      </w:r>
      <w:r w:rsidR="00CA32AD">
        <w:rPr>
          <w:rFonts w:asciiTheme="minorBidi" w:hAnsiTheme="minorBidi" w:cstheme="minorBidi"/>
          <w:sz w:val="20"/>
          <w:szCs w:val="20"/>
        </w:rPr>
        <w:t xml:space="preserve"> trimestre 2016</w:t>
      </w:r>
      <w:r w:rsidR="00FF454F">
        <w:rPr>
          <w:rFonts w:asciiTheme="minorBidi" w:hAnsiTheme="minorBidi" w:cstheme="minorBidi"/>
          <w:sz w:val="20"/>
          <w:szCs w:val="20"/>
        </w:rPr>
        <w:t xml:space="preserve">, </w:t>
      </w:r>
      <w:r w:rsidR="004D0A75" w:rsidRPr="009658FA">
        <w:rPr>
          <w:rFonts w:ascii="Arial" w:hAnsi="Arial" w:cs="Arial"/>
          <w:sz w:val="20"/>
          <w:szCs w:val="20"/>
        </w:rPr>
        <w:t>en variation</w:t>
      </w:r>
      <w:r w:rsidR="00152858">
        <w:rPr>
          <w:rFonts w:ascii="Arial" w:hAnsi="Arial" w:cs="Arial"/>
          <w:sz w:val="20"/>
          <w:szCs w:val="20"/>
        </w:rPr>
        <w:t>s</w:t>
      </w:r>
      <w:r w:rsidR="004D0A75" w:rsidRPr="009658FA">
        <w:rPr>
          <w:rFonts w:ascii="Arial" w:hAnsi="Arial" w:cs="Arial"/>
          <w:sz w:val="20"/>
          <w:szCs w:val="20"/>
        </w:rPr>
        <w:t xml:space="preserve"> annuelle</w:t>
      </w:r>
      <w:r w:rsidR="00152858">
        <w:rPr>
          <w:rFonts w:ascii="Arial" w:hAnsi="Arial" w:cs="Arial"/>
          <w:sz w:val="20"/>
          <w:szCs w:val="20"/>
        </w:rPr>
        <w:t>s</w:t>
      </w:r>
      <w:r w:rsidR="004D0A75" w:rsidRPr="006D3DD3">
        <w:rPr>
          <w:rFonts w:asciiTheme="minorBidi" w:hAnsiTheme="minorBidi" w:cstheme="minorBidi"/>
          <w:sz w:val="20"/>
          <w:szCs w:val="20"/>
        </w:rPr>
        <w:t>.</w:t>
      </w:r>
      <w:r w:rsidR="003F078F">
        <w:rPr>
          <w:rFonts w:asciiTheme="minorBidi" w:hAnsiTheme="minorBidi" w:cstheme="minorBidi"/>
          <w:sz w:val="20"/>
          <w:szCs w:val="20"/>
        </w:rPr>
        <w:t xml:space="preserve"> </w:t>
      </w:r>
      <w:r w:rsidR="004D0A75" w:rsidRPr="006D3DD3">
        <w:rPr>
          <w:rFonts w:asciiTheme="minorBidi" w:hAnsiTheme="minorBidi" w:cstheme="minorBidi"/>
          <w:sz w:val="20"/>
          <w:szCs w:val="20"/>
        </w:rPr>
        <w:t xml:space="preserve">Cette </w:t>
      </w:r>
      <w:r w:rsidR="00D9080C">
        <w:rPr>
          <w:rFonts w:asciiTheme="minorBidi" w:hAnsiTheme="minorBidi" w:cstheme="minorBidi"/>
          <w:sz w:val="20"/>
          <w:szCs w:val="20"/>
        </w:rPr>
        <w:t>augmentation</w:t>
      </w:r>
      <w:r w:rsidR="008A4CDA">
        <w:rPr>
          <w:rFonts w:asciiTheme="minorBidi" w:hAnsiTheme="minorBidi" w:cstheme="minorBidi"/>
          <w:sz w:val="20"/>
          <w:szCs w:val="20"/>
        </w:rPr>
        <w:t xml:space="preserve"> </w:t>
      </w:r>
      <w:r w:rsidR="004D0A75" w:rsidRPr="006D3DD3">
        <w:rPr>
          <w:rFonts w:asciiTheme="minorBidi" w:hAnsiTheme="minorBidi" w:cstheme="minorBidi"/>
          <w:sz w:val="20"/>
          <w:szCs w:val="20"/>
        </w:rPr>
        <w:t>aurait</w:t>
      </w:r>
      <w:r w:rsidR="00193485">
        <w:rPr>
          <w:rFonts w:asciiTheme="minorBidi" w:hAnsiTheme="minorBidi" w:cstheme="minorBidi"/>
          <w:sz w:val="20"/>
          <w:szCs w:val="20"/>
        </w:rPr>
        <w:t xml:space="preserve"> été portée par l</w:t>
      </w:r>
      <w:r w:rsidR="008A4CDA">
        <w:rPr>
          <w:rFonts w:asciiTheme="minorBidi" w:hAnsiTheme="minorBidi" w:cstheme="minorBidi"/>
          <w:sz w:val="20"/>
          <w:szCs w:val="20"/>
        </w:rPr>
        <w:t xml:space="preserve">es branches </w:t>
      </w:r>
      <w:r w:rsidR="00CA32AD">
        <w:rPr>
          <w:rFonts w:asciiTheme="minorBidi" w:hAnsiTheme="minorBidi" w:cstheme="minorBidi"/>
          <w:sz w:val="20"/>
          <w:szCs w:val="20"/>
        </w:rPr>
        <w:t>de la « chimie</w:t>
      </w:r>
      <w:r w:rsidR="00CA32AD" w:rsidRPr="006D3DD3">
        <w:rPr>
          <w:rFonts w:asciiTheme="minorBidi" w:hAnsiTheme="minorBidi" w:cstheme="minorBidi"/>
          <w:sz w:val="20"/>
          <w:szCs w:val="20"/>
        </w:rPr>
        <w:t xml:space="preserve"> </w:t>
      </w:r>
      <w:r w:rsidR="00CA32AD">
        <w:rPr>
          <w:rFonts w:asciiTheme="minorBidi" w:hAnsiTheme="minorBidi" w:cstheme="minorBidi"/>
          <w:sz w:val="20"/>
          <w:szCs w:val="20"/>
        </w:rPr>
        <w:t>et parachimie »</w:t>
      </w:r>
      <w:r w:rsidR="00152858">
        <w:rPr>
          <w:rFonts w:asciiTheme="minorBidi" w:hAnsiTheme="minorBidi" w:cstheme="minorBidi"/>
          <w:sz w:val="20"/>
          <w:szCs w:val="20"/>
        </w:rPr>
        <w:t xml:space="preserve"> et des IMME</w:t>
      </w:r>
      <w:r w:rsidR="00CA32AD">
        <w:rPr>
          <w:rFonts w:asciiTheme="minorBidi" w:hAnsiTheme="minorBidi" w:cstheme="minorBidi"/>
          <w:sz w:val="20"/>
          <w:szCs w:val="20"/>
        </w:rPr>
        <w:t xml:space="preserve">, dont les progressions auraient atteint, respectivement, </w:t>
      </w:r>
      <w:r w:rsidR="008059E3">
        <w:rPr>
          <w:rFonts w:asciiTheme="minorBidi" w:hAnsiTheme="minorBidi" w:cstheme="minorBidi"/>
          <w:sz w:val="20"/>
          <w:szCs w:val="20"/>
        </w:rPr>
        <w:t>3,5</w:t>
      </w:r>
      <w:r w:rsidR="00CA32AD">
        <w:rPr>
          <w:rFonts w:asciiTheme="minorBidi" w:hAnsiTheme="minorBidi" w:cstheme="minorBidi"/>
          <w:sz w:val="20"/>
          <w:szCs w:val="20"/>
        </w:rPr>
        <w:t>%</w:t>
      </w:r>
      <w:r w:rsidR="002C1942">
        <w:rPr>
          <w:rFonts w:asciiTheme="minorBidi" w:hAnsiTheme="minorBidi" w:cstheme="minorBidi"/>
          <w:sz w:val="20"/>
          <w:szCs w:val="20"/>
        </w:rPr>
        <w:t xml:space="preserve"> </w:t>
      </w:r>
      <w:r w:rsidR="00CA32AD">
        <w:rPr>
          <w:rFonts w:asciiTheme="minorBidi" w:hAnsiTheme="minorBidi" w:cstheme="minorBidi"/>
          <w:sz w:val="20"/>
          <w:szCs w:val="20"/>
        </w:rPr>
        <w:t xml:space="preserve">et </w:t>
      </w:r>
      <w:r w:rsidR="00152858">
        <w:rPr>
          <w:rFonts w:asciiTheme="minorBidi" w:hAnsiTheme="minorBidi" w:cstheme="minorBidi"/>
          <w:sz w:val="20"/>
          <w:szCs w:val="20"/>
        </w:rPr>
        <w:t>2,</w:t>
      </w:r>
      <w:r w:rsidR="008059E3">
        <w:rPr>
          <w:rFonts w:asciiTheme="minorBidi" w:hAnsiTheme="minorBidi" w:cstheme="minorBidi"/>
          <w:sz w:val="20"/>
          <w:szCs w:val="20"/>
        </w:rPr>
        <w:t>6</w:t>
      </w:r>
      <w:r w:rsidR="00CA32AD" w:rsidRPr="006D3DD3">
        <w:rPr>
          <w:rFonts w:asciiTheme="minorBidi" w:hAnsiTheme="minorBidi" w:cstheme="minorBidi"/>
          <w:sz w:val="20"/>
          <w:szCs w:val="20"/>
        </w:rPr>
        <w:t xml:space="preserve">%, </w:t>
      </w:r>
      <w:r w:rsidR="00CA32AD">
        <w:rPr>
          <w:rFonts w:asciiTheme="minorBidi" w:hAnsiTheme="minorBidi" w:cstheme="minorBidi"/>
          <w:sz w:val="20"/>
          <w:szCs w:val="20"/>
        </w:rPr>
        <w:t>en variation</w:t>
      </w:r>
      <w:r w:rsidR="00B1336C">
        <w:rPr>
          <w:rFonts w:asciiTheme="minorBidi" w:hAnsiTheme="minorBidi" w:cstheme="minorBidi"/>
          <w:sz w:val="20"/>
          <w:szCs w:val="20"/>
        </w:rPr>
        <w:t>s</w:t>
      </w:r>
      <w:r w:rsidR="00CA32AD">
        <w:rPr>
          <w:rFonts w:asciiTheme="minorBidi" w:hAnsiTheme="minorBidi" w:cstheme="minorBidi"/>
          <w:sz w:val="20"/>
          <w:szCs w:val="20"/>
        </w:rPr>
        <w:t xml:space="preserve"> annuelle</w:t>
      </w:r>
      <w:r w:rsidR="00B1336C">
        <w:rPr>
          <w:rFonts w:asciiTheme="minorBidi" w:hAnsiTheme="minorBidi" w:cstheme="minorBidi"/>
          <w:sz w:val="20"/>
          <w:szCs w:val="20"/>
        </w:rPr>
        <w:t>s</w:t>
      </w:r>
      <w:r w:rsidR="00CA32AD">
        <w:rPr>
          <w:rFonts w:asciiTheme="minorBidi" w:hAnsiTheme="minorBidi" w:cstheme="minorBidi"/>
          <w:sz w:val="20"/>
          <w:szCs w:val="20"/>
        </w:rPr>
        <w:t>.</w:t>
      </w:r>
      <w:r w:rsidR="00CA32AD" w:rsidRPr="006D3DD3">
        <w:rPr>
          <w:rFonts w:asciiTheme="minorBidi" w:hAnsiTheme="minorBidi" w:cstheme="minorBidi"/>
          <w:sz w:val="20"/>
          <w:szCs w:val="20"/>
        </w:rPr>
        <w:t xml:space="preserve"> </w:t>
      </w:r>
    </w:p>
    <w:p w:rsidR="00F855DA" w:rsidRPr="00233F53" w:rsidRDefault="00F855DA" w:rsidP="00E25858">
      <w:pPr>
        <w:jc w:val="both"/>
        <w:rPr>
          <w:rFonts w:asciiTheme="minorBidi" w:hAnsiTheme="minorBidi" w:cstheme="minorBidi"/>
          <w:b/>
          <w:bCs/>
          <w:color w:val="C00000"/>
          <w:sz w:val="20"/>
          <w:szCs w:val="20"/>
        </w:rPr>
      </w:pPr>
      <w:r w:rsidRPr="00F855DA">
        <w:rPr>
          <w:rFonts w:ascii="Arial" w:hAnsi="Arial" w:cs="Arial"/>
          <w:b/>
          <w:bCs/>
          <w:color w:val="800000"/>
          <w:kern w:val="28"/>
          <w:sz w:val="20"/>
          <w:szCs w:val="20"/>
        </w:rPr>
        <w:t xml:space="preserve"> </w:t>
      </w:r>
    </w:p>
    <w:p w:rsidR="00C571D6" w:rsidRPr="00035FD0" w:rsidRDefault="00C571D6" w:rsidP="008B364A">
      <w:pPr>
        <w:jc w:val="both"/>
        <w:rPr>
          <w:rFonts w:asciiTheme="minorBidi" w:hAnsiTheme="minorBidi" w:cstheme="minorBidi"/>
          <w:sz w:val="20"/>
          <w:szCs w:val="20"/>
        </w:rPr>
      </w:pPr>
      <w:r w:rsidRPr="00035FD0">
        <w:rPr>
          <w:rFonts w:asciiTheme="minorBidi" w:hAnsiTheme="minorBidi" w:cstheme="minorBidi"/>
          <w:sz w:val="20"/>
          <w:szCs w:val="20"/>
        </w:rPr>
        <w:t xml:space="preserve">Les activités </w:t>
      </w:r>
      <w:r w:rsidRPr="00035FD0">
        <w:rPr>
          <w:rFonts w:asciiTheme="minorBidi" w:hAnsiTheme="minorBidi" w:cstheme="minorBidi"/>
          <w:b/>
          <w:bCs/>
          <w:sz w:val="20"/>
          <w:szCs w:val="20"/>
        </w:rPr>
        <w:t xml:space="preserve">minières </w:t>
      </w:r>
      <w:r w:rsidRPr="00035FD0">
        <w:rPr>
          <w:rFonts w:asciiTheme="minorBidi" w:hAnsiTheme="minorBidi" w:cstheme="minorBidi"/>
          <w:sz w:val="20"/>
          <w:szCs w:val="20"/>
        </w:rPr>
        <w:t xml:space="preserve">auraient progressé de </w:t>
      </w:r>
      <w:r w:rsidR="00F3763A">
        <w:rPr>
          <w:rFonts w:asciiTheme="minorBidi" w:hAnsiTheme="minorBidi" w:cstheme="minorBidi"/>
          <w:sz w:val="20"/>
          <w:szCs w:val="20"/>
        </w:rPr>
        <w:t>7</w:t>
      </w:r>
      <w:r w:rsidR="003409C4">
        <w:rPr>
          <w:rFonts w:asciiTheme="minorBidi" w:hAnsiTheme="minorBidi" w:cstheme="minorBidi"/>
          <w:sz w:val="20"/>
          <w:szCs w:val="20"/>
        </w:rPr>
        <w:t>,</w:t>
      </w:r>
      <w:r w:rsidR="00F3763A">
        <w:rPr>
          <w:rFonts w:asciiTheme="minorBidi" w:hAnsiTheme="minorBidi" w:cstheme="minorBidi"/>
          <w:sz w:val="20"/>
          <w:szCs w:val="20"/>
        </w:rPr>
        <w:t>9</w:t>
      </w:r>
      <w:r w:rsidRPr="00035FD0">
        <w:rPr>
          <w:rFonts w:asciiTheme="minorBidi" w:hAnsiTheme="minorBidi" w:cstheme="minorBidi"/>
          <w:sz w:val="20"/>
          <w:szCs w:val="20"/>
        </w:rPr>
        <w:t>%</w:t>
      </w:r>
      <w:r w:rsidR="00B307C7">
        <w:rPr>
          <w:rFonts w:asciiTheme="minorBidi" w:hAnsiTheme="minorBidi" w:cstheme="minorBidi"/>
          <w:sz w:val="20"/>
          <w:szCs w:val="20"/>
        </w:rPr>
        <w:t>,</w:t>
      </w:r>
      <w:r w:rsidRPr="00035FD0">
        <w:rPr>
          <w:rFonts w:asciiTheme="minorBidi" w:hAnsiTheme="minorBidi" w:cstheme="minorBidi"/>
          <w:sz w:val="20"/>
          <w:szCs w:val="20"/>
        </w:rPr>
        <w:t xml:space="preserve"> au quatrième trimestre 2016, après s’être infléchie de </w:t>
      </w:r>
      <w:r>
        <w:rPr>
          <w:rFonts w:asciiTheme="minorBidi" w:hAnsiTheme="minorBidi"/>
          <w:sz w:val="20"/>
          <w:szCs w:val="20"/>
        </w:rPr>
        <w:t>1,2</w:t>
      </w:r>
      <w:r w:rsidRPr="00035FD0">
        <w:rPr>
          <w:rFonts w:asciiTheme="minorBidi" w:hAnsiTheme="minorBidi" w:cstheme="minorBidi"/>
          <w:sz w:val="20"/>
          <w:szCs w:val="20"/>
        </w:rPr>
        <w:t xml:space="preserve">% et </w:t>
      </w:r>
      <w:r>
        <w:rPr>
          <w:rFonts w:asciiTheme="minorBidi" w:hAnsiTheme="minorBidi"/>
          <w:sz w:val="20"/>
          <w:szCs w:val="20"/>
        </w:rPr>
        <w:t>1,4</w:t>
      </w:r>
      <w:r w:rsidRPr="00035FD0">
        <w:rPr>
          <w:rFonts w:asciiTheme="minorBidi" w:hAnsiTheme="minorBidi" w:cstheme="minorBidi"/>
          <w:sz w:val="20"/>
          <w:szCs w:val="20"/>
        </w:rPr>
        <w:t>%</w:t>
      </w:r>
      <w:r>
        <w:rPr>
          <w:rFonts w:asciiTheme="minorBidi" w:hAnsiTheme="minorBidi"/>
          <w:sz w:val="20"/>
          <w:szCs w:val="20"/>
        </w:rPr>
        <w:t>,</w:t>
      </w:r>
      <w:r w:rsidRPr="00035FD0">
        <w:rPr>
          <w:rFonts w:asciiTheme="minorBidi" w:hAnsiTheme="minorBidi" w:cstheme="minorBidi"/>
          <w:sz w:val="20"/>
          <w:szCs w:val="20"/>
        </w:rPr>
        <w:t xml:space="preserve"> respectivement</w:t>
      </w:r>
      <w:r>
        <w:rPr>
          <w:rFonts w:asciiTheme="minorBidi" w:hAnsiTheme="minorBidi"/>
          <w:sz w:val="20"/>
          <w:szCs w:val="20"/>
        </w:rPr>
        <w:t>,</w:t>
      </w:r>
      <w:r w:rsidRPr="00035FD0">
        <w:rPr>
          <w:rFonts w:asciiTheme="minorBidi" w:hAnsiTheme="minorBidi" w:cstheme="minorBidi"/>
          <w:sz w:val="20"/>
          <w:szCs w:val="20"/>
        </w:rPr>
        <w:t xml:space="preserve"> aux deuxième et troisième trimestres. Cette reprise aurait été principalement le fait des activités d’extraction des minerais non-métalliques, notamment le phosphate brut, dont la production aurait affiché une hausse de </w:t>
      </w:r>
      <w:r w:rsidR="00821558">
        <w:rPr>
          <w:rFonts w:asciiTheme="minorBidi" w:hAnsiTheme="minorBidi" w:cstheme="minorBidi"/>
          <w:sz w:val="20"/>
          <w:szCs w:val="20"/>
        </w:rPr>
        <w:t>9,6</w:t>
      </w:r>
      <w:r w:rsidRPr="00035FD0">
        <w:rPr>
          <w:rFonts w:asciiTheme="minorBidi" w:hAnsiTheme="minorBidi" w:cstheme="minorBidi"/>
          <w:sz w:val="20"/>
          <w:szCs w:val="20"/>
        </w:rPr>
        <w:t xml:space="preserve">%, </w:t>
      </w:r>
      <w:r w:rsidR="00B307C7">
        <w:rPr>
          <w:rFonts w:asciiTheme="minorBidi" w:hAnsiTheme="minorBidi" w:cstheme="minorBidi"/>
          <w:sz w:val="20"/>
          <w:szCs w:val="20"/>
        </w:rPr>
        <w:t>contre une baisse de</w:t>
      </w:r>
      <w:r w:rsidRPr="00035FD0">
        <w:rPr>
          <w:rFonts w:asciiTheme="minorBidi" w:hAnsiTheme="minorBidi" w:cstheme="minorBidi"/>
          <w:sz w:val="20"/>
          <w:szCs w:val="20"/>
        </w:rPr>
        <w:t xml:space="preserve"> </w:t>
      </w:r>
      <w:r w:rsidR="00821558">
        <w:rPr>
          <w:rFonts w:asciiTheme="minorBidi" w:hAnsiTheme="minorBidi" w:cstheme="minorBidi"/>
          <w:sz w:val="20"/>
          <w:szCs w:val="20"/>
        </w:rPr>
        <w:t>2,9</w:t>
      </w:r>
      <w:r w:rsidRPr="00035FD0">
        <w:rPr>
          <w:rFonts w:asciiTheme="minorBidi" w:hAnsiTheme="minorBidi" w:cstheme="minorBidi"/>
          <w:sz w:val="20"/>
          <w:szCs w:val="20"/>
        </w:rPr>
        <w:t>% un trimestre auparavant. Malgré le repli des quantités exportées de l’acide phosphorique, les ventes de phosphate brut adressées aux industries locales de transformation seraient restées vigoureuses, tirées par le raffermissement notable des exportations des engrais adressées au Brésil et aux Etats-Unis</w:t>
      </w:r>
      <w:r w:rsidR="00821558">
        <w:rPr>
          <w:rFonts w:asciiTheme="minorBidi" w:hAnsiTheme="minorBidi" w:cstheme="minorBidi"/>
          <w:sz w:val="20"/>
          <w:szCs w:val="20"/>
        </w:rPr>
        <w:t xml:space="preserve"> et </w:t>
      </w:r>
      <w:r w:rsidR="00B307C7">
        <w:rPr>
          <w:rFonts w:asciiTheme="minorBidi" w:hAnsiTheme="minorBidi" w:cstheme="minorBidi"/>
          <w:sz w:val="20"/>
          <w:szCs w:val="20"/>
        </w:rPr>
        <w:t xml:space="preserve">par </w:t>
      </w:r>
      <w:r w:rsidR="00821558">
        <w:rPr>
          <w:rFonts w:asciiTheme="minorBidi" w:hAnsiTheme="minorBidi" w:cstheme="minorBidi"/>
          <w:sz w:val="20"/>
          <w:szCs w:val="20"/>
        </w:rPr>
        <w:t xml:space="preserve">l’amélioration des capacités productives </w:t>
      </w:r>
      <w:r w:rsidR="008B364A">
        <w:rPr>
          <w:rFonts w:asciiTheme="minorBidi" w:hAnsiTheme="minorBidi" w:cstheme="minorBidi"/>
          <w:sz w:val="20"/>
          <w:szCs w:val="20"/>
        </w:rPr>
        <w:t xml:space="preserve">des unités de transformation </w:t>
      </w:r>
      <w:r w:rsidR="00821558">
        <w:rPr>
          <w:rFonts w:asciiTheme="minorBidi" w:hAnsiTheme="minorBidi" w:cstheme="minorBidi"/>
          <w:sz w:val="20"/>
          <w:szCs w:val="20"/>
        </w:rPr>
        <w:t>de Jorf Lasfer</w:t>
      </w:r>
      <w:r w:rsidRPr="00035FD0">
        <w:rPr>
          <w:rFonts w:asciiTheme="minorBidi" w:hAnsiTheme="minorBidi" w:cstheme="minorBidi"/>
          <w:sz w:val="20"/>
          <w:szCs w:val="20"/>
        </w:rPr>
        <w:t>.</w:t>
      </w:r>
    </w:p>
    <w:p w:rsidR="0067556B" w:rsidRDefault="0067556B" w:rsidP="00F217C5">
      <w:pPr>
        <w:jc w:val="both"/>
        <w:rPr>
          <w:rFonts w:asciiTheme="minorBidi" w:hAnsiTheme="minorBidi" w:cstheme="minorBidi"/>
          <w:sz w:val="20"/>
          <w:szCs w:val="20"/>
        </w:rPr>
      </w:pPr>
    </w:p>
    <w:p w:rsidR="005304DD" w:rsidRPr="00CC7E35" w:rsidRDefault="008B364A" w:rsidP="00DC71AF">
      <w:pPr>
        <w:jc w:val="both"/>
        <w:rPr>
          <w:rFonts w:asciiTheme="minorBidi" w:hAnsiTheme="minorBidi" w:cstheme="minorBidi"/>
          <w:sz w:val="20"/>
          <w:szCs w:val="20"/>
        </w:rPr>
      </w:pPr>
      <w:r>
        <w:rPr>
          <w:rFonts w:asciiTheme="minorBidi" w:hAnsiTheme="minorBidi" w:cstheme="minorBidi"/>
          <w:noProof/>
          <w:sz w:val="20"/>
          <w:szCs w:val="20"/>
        </w:rPr>
        <w:lastRenderedPageBreak/>
        <w:drawing>
          <wp:anchor distT="0" distB="0" distL="114300" distR="114300" simplePos="0" relativeHeight="251698176" behindDoc="0" locked="0" layoutInCell="1" allowOverlap="1">
            <wp:simplePos x="0" y="0"/>
            <wp:positionH relativeFrom="column">
              <wp:posOffset>4020820</wp:posOffset>
            </wp:positionH>
            <wp:positionV relativeFrom="paragraph">
              <wp:posOffset>27305</wp:posOffset>
            </wp:positionV>
            <wp:extent cx="2561590" cy="2106295"/>
            <wp:effectExtent l="19050" t="0" r="0" b="0"/>
            <wp:wrapSquare wrapText="bothSides"/>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561590" cy="2106295"/>
                    </a:xfrm>
                    <a:prstGeom prst="rect">
                      <a:avLst/>
                    </a:prstGeom>
                    <a:noFill/>
                    <a:ln w="9525">
                      <a:noFill/>
                      <a:miter lim="800000"/>
                      <a:headEnd/>
                      <a:tailEnd/>
                    </a:ln>
                  </pic:spPr>
                </pic:pic>
              </a:graphicData>
            </a:graphic>
          </wp:anchor>
        </w:drawing>
      </w:r>
      <w:r w:rsidR="005304DD" w:rsidRPr="00CC7E35">
        <w:rPr>
          <w:rFonts w:asciiTheme="minorBidi" w:hAnsiTheme="minorBidi" w:cstheme="minorBidi"/>
          <w:sz w:val="20"/>
          <w:szCs w:val="20"/>
        </w:rPr>
        <w:t xml:space="preserve">Le secteur de la </w:t>
      </w:r>
      <w:r w:rsidR="005304DD" w:rsidRPr="00CC7E35">
        <w:rPr>
          <w:rFonts w:asciiTheme="minorBidi" w:hAnsiTheme="minorBidi" w:cstheme="minorBidi"/>
          <w:b/>
          <w:bCs/>
          <w:sz w:val="20"/>
          <w:szCs w:val="20"/>
        </w:rPr>
        <w:t>construction</w:t>
      </w:r>
      <w:r w:rsidR="005304DD" w:rsidRPr="00CC7E35">
        <w:rPr>
          <w:rFonts w:asciiTheme="minorBidi" w:hAnsiTheme="minorBidi" w:cstheme="minorBidi"/>
          <w:sz w:val="20"/>
          <w:szCs w:val="20"/>
        </w:rPr>
        <w:t xml:space="preserve"> aurait </w:t>
      </w:r>
      <w:r w:rsidR="005304DD">
        <w:rPr>
          <w:rFonts w:asciiTheme="minorBidi" w:hAnsiTheme="minorBidi" w:cstheme="minorBidi"/>
          <w:sz w:val="20"/>
          <w:szCs w:val="20"/>
        </w:rPr>
        <w:t>poursuivi sa tendance haussière modérée, au quatrième trimestre 2016.</w:t>
      </w:r>
      <w:r w:rsidR="005304DD" w:rsidRPr="00CC7E35">
        <w:rPr>
          <w:rFonts w:asciiTheme="minorBidi" w:hAnsiTheme="minorBidi" w:cstheme="minorBidi"/>
          <w:sz w:val="20"/>
          <w:szCs w:val="20"/>
        </w:rPr>
        <w:t xml:space="preserve"> </w:t>
      </w:r>
      <w:r w:rsidR="005304DD">
        <w:rPr>
          <w:rFonts w:asciiTheme="minorBidi" w:hAnsiTheme="minorBidi" w:cstheme="minorBidi"/>
          <w:sz w:val="20"/>
          <w:szCs w:val="20"/>
        </w:rPr>
        <w:t>S</w:t>
      </w:r>
      <w:r w:rsidR="005304DD" w:rsidRPr="00CC7E35">
        <w:rPr>
          <w:rFonts w:asciiTheme="minorBidi" w:hAnsiTheme="minorBidi" w:cstheme="minorBidi"/>
          <w:sz w:val="20"/>
          <w:szCs w:val="20"/>
        </w:rPr>
        <w:t xml:space="preserve">a valeur ajoutée </w:t>
      </w:r>
      <w:r w:rsidR="005304DD">
        <w:rPr>
          <w:rFonts w:asciiTheme="minorBidi" w:hAnsiTheme="minorBidi" w:cstheme="minorBidi"/>
          <w:sz w:val="20"/>
          <w:szCs w:val="20"/>
        </w:rPr>
        <w:t>se se</w:t>
      </w:r>
      <w:r w:rsidR="005304DD" w:rsidRPr="00CC7E35">
        <w:rPr>
          <w:rFonts w:asciiTheme="minorBidi" w:hAnsiTheme="minorBidi" w:cstheme="minorBidi"/>
          <w:sz w:val="20"/>
          <w:szCs w:val="20"/>
        </w:rPr>
        <w:t>rait</w:t>
      </w:r>
      <w:r w:rsidR="005304DD">
        <w:rPr>
          <w:rFonts w:asciiTheme="minorBidi" w:hAnsiTheme="minorBidi" w:cstheme="minorBidi"/>
          <w:sz w:val="20"/>
          <w:szCs w:val="20"/>
        </w:rPr>
        <w:t xml:space="preserve"> accrue</w:t>
      </w:r>
      <w:r w:rsidR="005304DD" w:rsidRPr="00CC7E35">
        <w:rPr>
          <w:rFonts w:asciiTheme="minorBidi" w:hAnsiTheme="minorBidi" w:cstheme="minorBidi"/>
          <w:sz w:val="20"/>
          <w:szCs w:val="20"/>
        </w:rPr>
        <w:t xml:space="preserve"> de 0,8%</w:t>
      </w:r>
      <w:r w:rsidR="005304DD">
        <w:rPr>
          <w:rFonts w:asciiTheme="minorBidi" w:hAnsiTheme="minorBidi" w:cstheme="minorBidi"/>
          <w:sz w:val="20"/>
          <w:szCs w:val="20"/>
        </w:rPr>
        <w:t>,</w:t>
      </w:r>
      <w:r w:rsidR="005304DD" w:rsidRPr="00CC7E35">
        <w:rPr>
          <w:rFonts w:asciiTheme="minorBidi" w:hAnsiTheme="minorBidi" w:cstheme="minorBidi"/>
          <w:sz w:val="20"/>
          <w:szCs w:val="20"/>
        </w:rPr>
        <w:t xml:space="preserve"> en variation annuelle, après +0,7% un trimestre auparavant. Cette </w:t>
      </w:r>
      <w:r w:rsidR="005304DD">
        <w:rPr>
          <w:rFonts w:asciiTheme="minorBidi" w:hAnsiTheme="minorBidi" w:cstheme="minorBidi"/>
          <w:sz w:val="20"/>
          <w:szCs w:val="20"/>
        </w:rPr>
        <w:t xml:space="preserve">légère </w:t>
      </w:r>
      <w:r w:rsidR="00DC71AF">
        <w:rPr>
          <w:rFonts w:asciiTheme="minorBidi" w:hAnsiTheme="minorBidi" w:cstheme="minorBidi"/>
          <w:sz w:val="20"/>
          <w:szCs w:val="20"/>
        </w:rPr>
        <w:t>hausse</w:t>
      </w:r>
      <w:r w:rsidR="005304DD" w:rsidRPr="00CC7E35">
        <w:rPr>
          <w:rFonts w:asciiTheme="minorBidi" w:hAnsiTheme="minorBidi" w:cstheme="minorBidi"/>
          <w:sz w:val="20"/>
          <w:szCs w:val="20"/>
        </w:rPr>
        <w:t xml:space="preserve"> </w:t>
      </w:r>
      <w:r w:rsidR="005304DD">
        <w:rPr>
          <w:rFonts w:asciiTheme="minorBidi" w:hAnsiTheme="minorBidi" w:cstheme="minorBidi"/>
          <w:sz w:val="20"/>
          <w:szCs w:val="20"/>
        </w:rPr>
        <w:t>serait</w:t>
      </w:r>
      <w:r w:rsidR="005304DD" w:rsidRPr="00CC7E35">
        <w:rPr>
          <w:rFonts w:asciiTheme="minorBidi" w:hAnsiTheme="minorBidi" w:cstheme="minorBidi"/>
          <w:sz w:val="20"/>
          <w:szCs w:val="20"/>
        </w:rPr>
        <w:t xml:space="preserve"> liée</w:t>
      </w:r>
      <w:r w:rsidR="005304DD">
        <w:rPr>
          <w:rFonts w:asciiTheme="minorBidi" w:hAnsiTheme="minorBidi" w:cstheme="minorBidi"/>
          <w:sz w:val="20"/>
          <w:szCs w:val="20"/>
        </w:rPr>
        <w:t>, particulièrement,</w:t>
      </w:r>
      <w:r w:rsidR="005304DD" w:rsidRPr="00CC7E35">
        <w:rPr>
          <w:rFonts w:asciiTheme="minorBidi" w:hAnsiTheme="minorBidi" w:cstheme="minorBidi"/>
          <w:sz w:val="20"/>
          <w:szCs w:val="20"/>
        </w:rPr>
        <w:t xml:space="preserve"> au </w:t>
      </w:r>
      <w:r w:rsidR="009331DF">
        <w:rPr>
          <w:rFonts w:asciiTheme="minorBidi" w:hAnsiTheme="minorBidi" w:cstheme="minorBidi"/>
          <w:sz w:val="20"/>
          <w:szCs w:val="20"/>
        </w:rPr>
        <w:t>redressement</w:t>
      </w:r>
      <w:r w:rsidR="005304DD" w:rsidRPr="00CC7E35">
        <w:rPr>
          <w:rFonts w:asciiTheme="minorBidi" w:hAnsiTheme="minorBidi" w:cstheme="minorBidi"/>
          <w:sz w:val="20"/>
          <w:szCs w:val="20"/>
        </w:rPr>
        <w:t xml:space="preserve"> de la demande adressée au secteur</w:t>
      </w:r>
      <w:r w:rsidR="005304DD">
        <w:rPr>
          <w:rFonts w:asciiTheme="minorBidi" w:hAnsiTheme="minorBidi" w:cstheme="minorBidi"/>
          <w:sz w:val="20"/>
          <w:szCs w:val="20"/>
        </w:rPr>
        <w:t xml:space="preserve">, </w:t>
      </w:r>
      <w:r w:rsidR="005304DD" w:rsidRPr="00CC7E35">
        <w:rPr>
          <w:rFonts w:asciiTheme="minorBidi" w:hAnsiTheme="minorBidi" w:cstheme="minorBidi"/>
          <w:sz w:val="20"/>
          <w:szCs w:val="20"/>
        </w:rPr>
        <w:t>illustré</w:t>
      </w:r>
      <w:r w:rsidR="005304DD">
        <w:rPr>
          <w:rFonts w:asciiTheme="minorBidi" w:hAnsiTheme="minorBidi" w:cstheme="minorBidi"/>
          <w:sz w:val="20"/>
          <w:szCs w:val="20"/>
        </w:rPr>
        <w:t>e</w:t>
      </w:r>
      <w:r w:rsidR="005304DD" w:rsidRPr="00CC7E35">
        <w:rPr>
          <w:rFonts w:asciiTheme="minorBidi" w:hAnsiTheme="minorBidi" w:cstheme="minorBidi"/>
          <w:sz w:val="20"/>
          <w:szCs w:val="20"/>
        </w:rPr>
        <w:t xml:space="preserve"> par la hausse de 24% des transactions immobilières à fin septembre </w:t>
      </w:r>
      <w:r w:rsidR="00DC71AF">
        <w:rPr>
          <w:rFonts w:asciiTheme="minorBidi" w:hAnsiTheme="minorBidi" w:cstheme="minorBidi"/>
          <w:sz w:val="20"/>
          <w:szCs w:val="20"/>
        </w:rPr>
        <w:t xml:space="preserve">2016 </w:t>
      </w:r>
      <w:r w:rsidR="005304DD" w:rsidRPr="00CC7E35">
        <w:rPr>
          <w:rFonts w:asciiTheme="minorBidi" w:hAnsiTheme="minorBidi" w:cstheme="minorBidi"/>
          <w:sz w:val="20"/>
          <w:szCs w:val="20"/>
        </w:rPr>
        <w:t>et l’affermissement de 1,4% des prix des biens immobiliers</w:t>
      </w:r>
      <w:r w:rsidR="005304DD">
        <w:rPr>
          <w:rFonts w:asciiTheme="minorBidi" w:hAnsiTheme="minorBidi" w:cstheme="minorBidi"/>
          <w:sz w:val="20"/>
          <w:szCs w:val="20"/>
        </w:rPr>
        <w:t>, en glissements annuels</w:t>
      </w:r>
      <w:r w:rsidR="005304DD" w:rsidRPr="00CC7E35">
        <w:rPr>
          <w:rFonts w:asciiTheme="minorBidi" w:hAnsiTheme="minorBidi" w:cstheme="minorBidi"/>
          <w:sz w:val="20"/>
          <w:szCs w:val="20"/>
        </w:rPr>
        <w:t>. Cette évolution aurait été confirmée par l’utilisation des facteurs de production</w:t>
      </w:r>
      <w:r w:rsidR="005304DD">
        <w:rPr>
          <w:rFonts w:asciiTheme="minorBidi" w:hAnsiTheme="minorBidi" w:cstheme="minorBidi"/>
          <w:sz w:val="20"/>
          <w:szCs w:val="20"/>
        </w:rPr>
        <w:t>, notamment</w:t>
      </w:r>
      <w:r w:rsidR="005304DD" w:rsidRPr="00CC7E35">
        <w:rPr>
          <w:rFonts w:asciiTheme="minorBidi" w:hAnsiTheme="minorBidi" w:cstheme="minorBidi"/>
          <w:sz w:val="20"/>
          <w:szCs w:val="20"/>
        </w:rPr>
        <w:t xml:space="preserve"> le ciment </w:t>
      </w:r>
      <w:r w:rsidR="005304DD">
        <w:rPr>
          <w:rFonts w:asciiTheme="minorBidi" w:hAnsiTheme="minorBidi" w:cstheme="minorBidi"/>
          <w:sz w:val="20"/>
          <w:szCs w:val="20"/>
        </w:rPr>
        <w:t>dont l</w:t>
      </w:r>
      <w:r w:rsidR="005304DD" w:rsidRPr="00CC7E35">
        <w:rPr>
          <w:rFonts w:asciiTheme="minorBidi" w:hAnsiTheme="minorBidi" w:cstheme="minorBidi"/>
          <w:sz w:val="20"/>
          <w:szCs w:val="20"/>
        </w:rPr>
        <w:t xml:space="preserve">es ventes </w:t>
      </w:r>
      <w:r w:rsidR="005304DD">
        <w:rPr>
          <w:rFonts w:asciiTheme="minorBidi" w:hAnsiTheme="minorBidi" w:cstheme="minorBidi"/>
          <w:sz w:val="20"/>
          <w:szCs w:val="20"/>
        </w:rPr>
        <w:t>(</w:t>
      </w:r>
      <w:r w:rsidR="005304DD" w:rsidRPr="00CC7E35">
        <w:rPr>
          <w:rFonts w:asciiTheme="minorBidi" w:hAnsiTheme="minorBidi" w:cstheme="minorBidi"/>
          <w:sz w:val="20"/>
          <w:szCs w:val="20"/>
        </w:rPr>
        <w:t>hors effet</w:t>
      </w:r>
      <w:r w:rsidR="005304DD">
        <w:rPr>
          <w:rFonts w:asciiTheme="minorBidi" w:hAnsiTheme="minorBidi" w:cstheme="minorBidi"/>
          <w:sz w:val="20"/>
          <w:szCs w:val="20"/>
        </w:rPr>
        <w:t>s</w:t>
      </w:r>
      <w:r w:rsidR="005304DD" w:rsidRPr="00CC7E35">
        <w:rPr>
          <w:rFonts w:asciiTheme="minorBidi" w:hAnsiTheme="minorBidi" w:cstheme="minorBidi"/>
          <w:sz w:val="20"/>
          <w:szCs w:val="20"/>
        </w:rPr>
        <w:t xml:space="preserve"> saison</w:t>
      </w:r>
      <w:r w:rsidR="005304DD">
        <w:rPr>
          <w:rFonts w:asciiTheme="minorBidi" w:hAnsiTheme="minorBidi" w:cstheme="minorBidi"/>
          <w:sz w:val="20"/>
          <w:szCs w:val="20"/>
        </w:rPr>
        <w:t>niers</w:t>
      </w:r>
      <w:r w:rsidR="005304DD" w:rsidRPr="00CC7E35">
        <w:rPr>
          <w:rFonts w:asciiTheme="minorBidi" w:hAnsiTheme="minorBidi" w:cstheme="minorBidi"/>
          <w:sz w:val="20"/>
          <w:szCs w:val="20"/>
        </w:rPr>
        <w:t xml:space="preserve"> et jours ouvrables)</w:t>
      </w:r>
      <w:r w:rsidR="005304DD">
        <w:rPr>
          <w:rFonts w:asciiTheme="minorBidi" w:hAnsiTheme="minorBidi" w:cstheme="minorBidi"/>
          <w:sz w:val="20"/>
          <w:szCs w:val="20"/>
        </w:rPr>
        <w:t xml:space="preserve"> se seraient accrues </w:t>
      </w:r>
      <w:r w:rsidR="005304DD" w:rsidRPr="00CC7E35">
        <w:rPr>
          <w:rFonts w:asciiTheme="minorBidi" w:hAnsiTheme="minorBidi" w:cstheme="minorBidi"/>
          <w:sz w:val="20"/>
          <w:szCs w:val="20"/>
        </w:rPr>
        <w:t>de 0,8%</w:t>
      </w:r>
      <w:r w:rsidR="005304DD">
        <w:rPr>
          <w:rFonts w:asciiTheme="minorBidi" w:hAnsiTheme="minorBidi" w:cstheme="minorBidi"/>
          <w:sz w:val="20"/>
          <w:szCs w:val="20"/>
        </w:rPr>
        <w:t>,</w:t>
      </w:r>
      <w:r w:rsidR="005304DD" w:rsidRPr="00CC7E35">
        <w:rPr>
          <w:rFonts w:asciiTheme="minorBidi" w:hAnsiTheme="minorBidi" w:cstheme="minorBidi"/>
          <w:sz w:val="20"/>
          <w:szCs w:val="20"/>
        </w:rPr>
        <w:t xml:space="preserve"> au quatrième trimestre 2016</w:t>
      </w:r>
      <w:r w:rsidR="005304DD">
        <w:rPr>
          <w:rFonts w:asciiTheme="minorBidi" w:hAnsiTheme="minorBidi" w:cstheme="minorBidi"/>
          <w:sz w:val="20"/>
          <w:szCs w:val="20"/>
        </w:rPr>
        <w:t xml:space="preserve">, </w:t>
      </w:r>
      <w:r w:rsidR="005304DD" w:rsidRPr="00CC7E35">
        <w:rPr>
          <w:rFonts w:asciiTheme="minorBidi" w:hAnsiTheme="minorBidi" w:cstheme="minorBidi"/>
          <w:sz w:val="20"/>
          <w:szCs w:val="20"/>
        </w:rPr>
        <w:t xml:space="preserve">contre </w:t>
      </w:r>
      <w:r w:rsidR="005304DD">
        <w:rPr>
          <w:rFonts w:asciiTheme="minorBidi" w:hAnsiTheme="minorBidi" w:cstheme="minorBidi"/>
          <w:sz w:val="20"/>
          <w:szCs w:val="20"/>
        </w:rPr>
        <w:t>une baisse de</w:t>
      </w:r>
      <w:r w:rsidR="005304DD" w:rsidRPr="00CC7E35">
        <w:rPr>
          <w:rFonts w:asciiTheme="minorBidi" w:hAnsiTheme="minorBidi" w:cstheme="minorBidi"/>
          <w:sz w:val="20"/>
          <w:szCs w:val="20"/>
        </w:rPr>
        <w:t xml:space="preserve"> 4</w:t>
      </w:r>
      <w:r w:rsidR="005304DD">
        <w:rPr>
          <w:rFonts w:asciiTheme="minorBidi" w:hAnsiTheme="minorBidi" w:cstheme="minorBidi"/>
          <w:sz w:val="20"/>
          <w:szCs w:val="20"/>
        </w:rPr>
        <w:t>,</w:t>
      </w:r>
      <w:r w:rsidR="005304DD" w:rsidRPr="00CC7E35">
        <w:rPr>
          <w:rFonts w:asciiTheme="minorBidi" w:hAnsiTheme="minorBidi" w:cstheme="minorBidi"/>
          <w:sz w:val="20"/>
          <w:szCs w:val="20"/>
        </w:rPr>
        <w:t>9%</w:t>
      </w:r>
      <w:r w:rsidR="005304DD">
        <w:rPr>
          <w:rFonts w:asciiTheme="minorBidi" w:hAnsiTheme="minorBidi" w:cstheme="minorBidi"/>
          <w:sz w:val="20"/>
          <w:szCs w:val="20"/>
        </w:rPr>
        <w:t>, au</w:t>
      </w:r>
      <w:r w:rsidR="005304DD" w:rsidRPr="00CC7E35">
        <w:rPr>
          <w:rFonts w:asciiTheme="minorBidi" w:hAnsiTheme="minorBidi" w:cstheme="minorBidi"/>
          <w:sz w:val="20"/>
          <w:szCs w:val="20"/>
        </w:rPr>
        <w:t xml:space="preserve"> trimestre précédent. Les anticipations des professionnels du secteur</w:t>
      </w:r>
      <w:r w:rsidR="005304DD">
        <w:rPr>
          <w:rFonts w:asciiTheme="minorBidi" w:hAnsiTheme="minorBidi" w:cstheme="minorBidi"/>
          <w:sz w:val="20"/>
          <w:szCs w:val="20"/>
        </w:rPr>
        <w:t>,</w:t>
      </w:r>
      <w:r w:rsidR="005304DD" w:rsidRPr="00CC7E35">
        <w:rPr>
          <w:rFonts w:asciiTheme="minorBidi" w:hAnsiTheme="minorBidi" w:cstheme="minorBidi"/>
          <w:sz w:val="20"/>
          <w:szCs w:val="20"/>
        </w:rPr>
        <w:t xml:space="preserve"> </w:t>
      </w:r>
      <w:r w:rsidR="005304DD" w:rsidRPr="00315466">
        <w:rPr>
          <w:rFonts w:asciiTheme="minorBidi" w:hAnsiTheme="minorBidi" w:cstheme="minorBidi"/>
          <w:sz w:val="20"/>
          <w:szCs w:val="20"/>
        </w:rPr>
        <w:t xml:space="preserve">dans le cadre de la dernière enquête de conjoncture du HCP, </w:t>
      </w:r>
      <w:r w:rsidR="005304DD">
        <w:rPr>
          <w:rFonts w:asciiTheme="minorBidi" w:hAnsiTheme="minorBidi" w:cstheme="minorBidi"/>
          <w:sz w:val="20"/>
          <w:szCs w:val="20"/>
        </w:rPr>
        <w:t xml:space="preserve">auraient </w:t>
      </w:r>
      <w:r w:rsidR="005304DD" w:rsidRPr="00CC7E35">
        <w:rPr>
          <w:rFonts w:asciiTheme="minorBidi" w:hAnsiTheme="minorBidi" w:cstheme="minorBidi"/>
          <w:sz w:val="20"/>
          <w:szCs w:val="20"/>
        </w:rPr>
        <w:t>confirm</w:t>
      </w:r>
      <w:r w:rsidR="005304DD">
        <w:rPr>
          <w:rFonts w:asciiTheme="minorBidi" w:hAnsiTheme="minorBidi" w:cstheme="minorBidi"/>
          <w:sz w:val="20"/>
          <w:szCs w:val="20"/>
        </w:rPr>
        <w:t>é</w:t>
      </w:r>
      <w:r w:rsidR="005304DD" w:rsidRPr="00CC7E35">
        <w:rPr>
          <w:rFonts w:asciiTheme="minorBidi" w:hAnsiTheme="minorBidi" w:cstheme="minorBidi"/>
          <w:sz w:val="20"/>
          <w:szCs w:val="20"/>
        </w:rPr>
        <w:t xml:space="preserve"> ce</w:t>
      </w:r>
      <w:r w:rsidR="005304DD">
        <w:rPr>
          <w:rFonts w:asciiTheme="minorBidi" w:hAnsiTheme="minorBidi" w:cstheme="minorBidi"/>
          <w:sz w:val="20"/>
          <w:szCs w:val="20"/>
        </w:rPr>
        <w:t>tte évolution. Les soldes d’opinion concernant l</w:t>
      </w:r>
      <w:r w:rsidR="005304DD" w:rsidRPr="00CC7E35">
        <w:rPr>
          <w:rFonts w:asciiTheme="minorBidi" w:hAnsiTheme="minorBidi" w:cstheme="minorBidi"/>
          <w:sz w:val="20"/>
          <w:szCs w:val="20"/>
        </w:rPr>
        <w:t>es carnets de commandes du bâtiment</w:t>
      </w:r>
      <w:r w:rsidR="005304DD">
        <w:rPr>
          <w:rFonts w:asciiTheme="minorBidi" w:hAnsiTheme="minorBidi" w:cstheme="minorBidi"/>
          <w:sz w:val="20"/>
          <w:szCs w:val="20"/>
        </w:rPr>
        <w:t xml:space="preserve">, ainsi que ceux relatifs à </w:t>
      </w:r>
      <w:r w:rsidR="005304DD" w:rsidRPr="00CC7E35">
        <w:rPr>
          <w:rFonts w:asciiTheme="minorBidi" w:hAnsiTheme="minorBidi" w:cstheme="minorBidi"/>
          <w:sz w:val="20"/>
          <w:szCs w:val="20"/>
        </w:rPr>
        <w:t xml:space="preserve">l’utilisation des facteurs de production, </w:t>
      </w:r>
      <w:r w:rsidR="005304DD">
        <w:rPr>
          <w:rFonts w:asciiTheme="minorBidi" w:hAnsiTheme="minorBidi" w:cstheme="minorBidi"/>
          <w:sz w:val="20"/>
          <w:szCs w:val="20"/>
        </w:rPr>
        <w:t>notamment</w:t>
      </w:r>
      <w:r w:rsidR="005304DD" w:rsidRPr="00CC7E35">
        <w:rPr>
          <w:rFonts w:asciiTheme="minorBidi" w:hAnsiTheme="minorBidi" w:cstheme="minorBidi"/>
          <w:sz w:val="20"/>
          <w:szCs w:val="20"/>
        </w:rPr>
        <w:t xml:space="preserve"> les matériaux de construction et la main d’œuvre</w:t>
      </w:r>
      <w:r w:rsidR="005304DD">
        <w:rPr>
          <w:rFonts w:asciiTheme="minorBidi" w:hAnsiTheme="minorBidi" w:cstheme="minorBidi"/>
          <w:sz w:val="20"/>
          <w:szCs w:val="20"/>
        </w:rPr>
        <w:t>, au</w:t>
      </w:r>
      <w:r w:rsidR="005304DD" w:rsidRPr="00CC7E35">
        <w:rPr>
          <w:rFonts w:asciiTheme="minorBidi" w:hAnsiTheme="minorBidi" w:cstheme="minorBidi"/>
          <w:sz w:val="20"/>
          <w:szCs w:val="20"/>
        </w:rPr>
        <w:t>raient conn</w:t>
      </w:r>
      <w:r w:rsidR="005304DD">
        <w:rPr>
          <w:rFonts w:asciiTheme="minorBidi" w:hAnsiTheme="minorBidi" w:cstheme="minorBidi"/>
          <w:sz w:val="20"/>
          <w:szCs w:val="20"/>
        </w:rPr>
        <w:t>u</w:t>
      </w:r>
      <w:r w:rsidR="005304DD" w:rsidRPr="00CC7E35">
        <w:rPr>
          <w:rFonts w:asciiTheme="minorBidi" w:hAnsiTheme="minorBidi" w:cstheme="minorBidi"/>
          <w:sz w:val="20"/>
          <w:szCs w:val="20"/>
        </w:rPr>
        <w:t xml:space="preserve"> une légère amélioration </w:t>
      </w:r>
      <w:r w:rsidR="005304DD">
        <w:rPr>
          <w:rFonts w:asciiTheme="minorBidi" w:hAnsiTheme="minorBidi" w:cstheme="minorBidi"/>
          <w:sz w:val="20"/>
          <w:szCs w:val="20"/>
        </w:rPr>
        <w:t>par rapport au trimestre précédent</w:t>
      </w:r>
      <w:r w:rsidR="005304DD" w:rsidRPr="00CC7E35">
        <w:rPr>
          <w:rFonts w:asciiTheme="minorBidi" w:hAnsiTheme="minorBidi" w:cstheme="minorBidi"/>
          <w:sz w:val="20"/>
          <w:szCs w:val="20"/>
        </w:rPr>
        <w:t xml:space="preserve">.  </w:t>
      </w:r>
    </w:p>
    <w:p w:rsidR="00315466" w:rsidRDefault="00315466" w:rsidP="00315466">
      <w:pPr>
        <w:jc w:val="both"/>
        <w:rPr>
          <w:rFonts w:asciiTheme="minorBidi" w:hAnsiTheme="minorBidi" w:cstheme="minorBidi"/>
          <w:sz w:val="20"/>
          <w:szCs w:val="20"/>
        </w:rPr>
      </w:pPr>
    </w:p>
    <w:p w:rsidR="00AF5A6F" w:rsidRPr="00035FD0" w:rsidRDefault="00AF5A6F" w:rsidP="00C959CC">
      <w:pPr>
        <w:jc w:val="both"/>
        <w:rPr>
          <w:rFonts w:asciiTheme="minorBidi" w:hAnsiTheme="minorBidi" w:cstheme="minorBidi"/>
          <w:sz w:val="20"/>
          <w:szCs w:val="20"/>
        </w:rPr>
      </w:pPr>
      <w:r w:rsidRPr="00035FD0">
        <w:rPr>
          <w:rFonts w:asciiTheme="minorBidi" w:hAnsiTheme="minorBidi" w:cstheme="minorBidi"/>
          <w:sz w:val="20"/>
          <w:szCs w:val="20"/>
        </w:rPr>
        <w:t xml:space="preserve">L’activité </w:t>
      </w:r>
      <w:r w:rsidRPr="00035FD0">
        <w:rPr>
          <w:rFonts w:asciiTheme="minorBidi" w:hAnsiTheme="minorBidi" w:cstheme="minorBidi"/>
          <w:b/>
          <w:bCs/>
          <w:sz w:val="20"/>
          <w:szCs w:val="20"/>
        </w:rPr>
        <w:t>électrique</w:t>
      </w:r>
      <w:r w:rsidRPr="00035FD0">
        <w:rPr>
          <w:rFonts w:asciiTheme="minorBidi" w:hAnsiTheme="minorBidi" w:cstheme="minorBidi"/>
          <w:sz w:val="20"/>
          <w:szCs w:val="20"/>
        </w:rPr>
        <w:t xml:space="preserve"> serait restée soutenue au quatrième trimestre 2016, affichant une progression de </w:t>
      </w:r>
      <w:r w:rsidR="003409C4">
        <w:rPr>
          <w:rFonts w:asciiTheme="minorBidi" w:hAnsiTheme="minorBidi" w:cstheme="minorBidi"/>
          <w:sz w:val="20"/>
          <w:szCs w:val="20"/>
        </w:rPr>
        <w:t>3,1</w:t>
      </w:r>
      <w:r w:rsidRPr="00035FD0">
        <w:rPr>
          <w:rFonts w:asciiTheme="minorBidi" w:hAnsiTheme="minorBidi" w:cstheme="minorBidi"/>
          <w:sz w:val="20"/>
          <w:szCs w:val="20"/>
        </w:rPr>
        <w:t xml:space="preserve">%, en variation annuelle, après s’être améliorée de </w:t>
      </w:r>
      <w:r>
        <w:rPr>
          <w:rFonts w:asciiTheme="minorBidi" w:hAnsiTheme="minorBidi"/>
          <w:sz w:val="20"/>
          <w:szCs w:val="20"/>
        </w:rPr>
        <w:t>3,9</w:t>
      </w:r>
      <w:r w:rsidRPr="00035FD0">
        <w:rPr>
          <w:rFonts w:asciiTheme="minorBidi" w:hAnsiTheme="minorBidi" w:cstheme="minorBidi"/>
          <w:sz w:val="20"/>
          <w:szCs w:val="20"/>
        </w:rPr>
        <w:t>%</w:t>
      </w:r>
      <w:r>
        <w:rPr>
          <w:rFonts w:asciiTheme="minorBidi" w:hAnsiTheme="minorBidi"/>
          <w:sz w:val="20"/>
          <w:szCs w:val="20"/>
        </w:rPr>
        <w:t>,</w:t>
      </w:r>
      <w:r w:rsidRPr="00035FD0">
        <w:rPr>
          <w:rFonts w:asciiTheme="minorBidi" w:hAnsiTheme="minorBidi" w:cstheme="minorBidi"/>
          <w:sz w:val="20"/>
          <w:szCs w:val="20"/>
        </w:rPr>
        <w:t xml:space="preserve"> un trimestre auparavant. Cet affermissement masque toutefois une inflexion à la baisse </w:t>
      </w:r>
      <w:r>
        <w:rPr>
          <w:rFonts w:asciiTheme="minorBidi" w:hAnsiTheme="minorBidi"/>
          <w:sz w:val="20"/>
          <w:szCs w:val="20"/>
        </w:rPr>
        <w:t xml:space="preserve">des </w:t>
      </w:r>
      <w:r w:rsidRPr="00035FD0">
        <w:rPr>
          <w:rFonts w:asciiTheme="minorBidi" w:hAnsiTheme="minorBidi" w:cstheme="minorBidi"/>
          <w:sz w:val="20"/>
          <w:szCs w:val="20"/>
        </w:rPr>
        <w:t>activités des centrales thermiques concessionnelles, en ligne avec la réduction de l’utilisation du charbon dans la production d’électricité</w:t>
      </w:r>
      <w:r w:rsidR="002157EF">
        <w:rPr>
          <w:rFonts w:asciiTheme="minorBidi" w:hAnsiTheme="minorBidi" w:cstheme="minorBidi"/>
          <w:sz w:val="20"/>
          <w:szCs w:val="20"/>
        </w:rPr>
        <w:t>, alors que</w:t>
      </w:r>
      <w:r w:rsidRPr="00035FD0">
        <w:rPr>
          <w:rFonts w:asciiTheme="minorBidi" w:hAnsiTheme="minorBidi" w:cstheme="minorBidi"/>
          <w:sz w:val="20"/>
          <w:szCs w:val="20"/>
        </w:rPr>
        <w:t xml:space="preserve"> la production des centrales thermiques publiques et </w:t>
      </w:r>
      <w:r w:rsidR="00C959CC">
        <w:rPr>
          <w:rFonts w:asciiTheme="minorBidi" w:hAnsiTheme="minorBidi" w:cstheme="minorBidi"/>
          <w:sz w:val="20"/>
          <w:szCs w:val="20"/>
        </w:rPr>
        <w:t xml:space="preserve">celle </w:t>
      </w:r>
      <w:r w:rsidRPr="00035FD0">
        <w:rPr>
          <w:rFonts w:asciiTheme="minorBidi" w:hAnsiTheme="minorBidi" w:cstheme="minorBidi"/>
          <w:sz w:val="20"/>
          <w:szCs w:val="20"/>
        </w:rPr>
        <w:t>des unités à base d’énergie renouvelable</w:t>
      </w:r>
      <w:r w:rsidR="002157EF">
        <w:rPr>
          <w:rFonts w:asciiTheme="minorBidi" w:hAnsiTheme="minorBidi" w:cstheme="minorBidi"/>
          <w:sz w:val="20"/>
          <w:szCs w:val="20"/>
        </w:rPr>
        <w:t xml:space="preserve"> aurait affiché une nette reprise</w:t>
      </w:r>
      <w:r w:rsidRPr="00035FD0">
        <w:rPr>
          <w:rFonts w:asciiTheme="minorBidi" w:hAnsiTheme="minorBidi" w:cstheme="minorBidi"/>
          <w:sz w:val="20"/>
          <w:szCs w:val="20"/>
        </w:rPr>
        <w:t xml:space="preserve">. Globalement, l’offre d’électricité aurait </w:t>
      </w:r>
      <w:r w:rsidR="001343D8">
        <w:rPr>
          <w:rFonts w:asciiTheme="minorBidi" w:hAnsiTheme="minorBidi" w:cstheme="minorBidi"/>
          <w:sz w:val="20"/>
          <w:szCs w:val="20"/>
        </w:rPr>
        <w:t>connu</w:t>
      </w:r>
      <w:r w:rsidRPr="00035FD0">
        <w:rPr>
          <w:rFonts w:asciiTheme="minorBidi" w:hAnsiTheme="minorBidi" w:cstheme="minorBidi"/>
          <w:sz w:val="20"/>
          <w:szCs w:val="20"/>
        </w:rPr>
        <w:t xml:space="preserve">, au quatrième trimestre 2016, un accroissement de </w:t>
      </w:r>
      <w:r w:rsidR="009331DF">
        <w:rPr>
          <w:rFonts w:asciiTheme="minorBidi" w:hAnsiTheme="minorBidi" w:cstheme="minorBidi"/>
          <w:sz w:val="20"/>
          <w:szCs w:val="20"/>
        </w:rPr>
        <w:t>3,9</w:t>
      </w:r>
      <w:r w:rsidRPr="00035FD0">
        <w:rPr>
          <w:rFonts w:asciiTheme="minorBidi" w:hAnsiTheme="minorBidi" w:cstheme="minorBidi"/>
          <w:sz w:val="20"/>
          <w:szCs w:val="20"/>
        </w:rPr>
        <w:t>%, en glissement annuel. Elle aurait été assuré</w:t>
      </w:r>
      <w:r w:rsidR="001343D8">
        <w:rPr>
          <w:rFonts w:asciiTheme="minorBidi" w:hAnsiTheme="minorBidi" w:cstheme="minorBidi"/>
          <w:sz w:val="20"/>
          <w:szCs w:val="20"/>
        </w:rPr>
        <w:t>e</w:t>
      </w:r>
      <w:r w:rsidRPr="00035FD0">
        <w:rPr>
          <w:rFonts w:asciiTheme="minorBidi" w:hAnsiTheme="minorBidi" w:cstheme="minorBidi"/>
          <w:sz w:val="20"/>
          <w:szCs w:val="20"/>
        </w:rPr>
        <w:t xml:space="preserve"> à hauteur de </w:t>
      </w:r>
      <w:r w:rsidR="009331DF">
        <w:rPr>
          <w:rFonts w:asciiTheme="minorBidi" w:hAnsiTheme="minorBidi" w:cstheme="minorBidi"/>
          <w:sz w:val="20"/>
          <w:szCs w:val="20"/>
        </w:rPr>
        <w:t>13,</w:t>
      </w:r>
      <w:r w:rsidR="00C959CC">
        <w:rPr>
          <w:rFonts w:asciiTheme="minorBidi" w:hAnsiTheme="minorBidi" w:cstheme="minorBidi"/>
          <w:sz w:val="20"/>
          <w:szCs w:val="20"/>
        </w:rPr>
        <w:t>8</w:t>
      </w:r>
      <w:r w:rsidRPr="00035FD0">
        <w:rPr>
          <w:rFonts w:asciiTheme="minorBidi" w:hAnsiTheme="minorBidi" w:cstheme="minorBidi"/>
          <w:sz w:val="20"/>
          <w:szCs w:val="20"/>
        </w:rPr>
        <w:t xml:space="preserve">% par des importations du courant en provenance de l’Espagne, </w:t>
      </w:r>
      <w:r>
        <w:rPr>
          <w:rFonts w:asciiTheme="minorBidi" w:hAnsiTheme="minorBidi"/>
          <w:sz w:val="20"/>
          <w:szCs w:val="20"/>
        </w:rPr>
        <w:t>au lieu de</w:t>
      </w:r>
      <w:r w:rsidRPr="00035FD0">
        <w:rPr>
          <w:rFonts w:asciiTheme="minorBidi" w:hAnsiTheme="minorBidi" w:cstheme="minorBidi"/>
          <w:sz w:val="20"/>
          <w:szCs w:val="20"/>
        </w:rPr>
        <w:t xml:space="preserve"> </w:t>
      </w:r>
      <w:r w:rsidR="00F925BA">
        <w:rPr>
          <w:rFonts w:asciiTheme="minorBidi" w:hAnsiTheme="minorBidi" w:cstheme="minorBidi"/>
          <w:sz w:val="20"/>
          <w:szCs w:val="20"/>
        </w:rPr>
        <w:t>13,</w:t>
      </w:r>
      <w:r w:rsidR="00C959CC">
        <w:rPr>
          <w:rFonts w:asciiTheme="minorBidi" w:hAnsiTheme="minorBidi" w:cstheme="minorBidi"/>
          <w:sz w:val="20"/>
          <w:szCs w:val="20"/>
        </w:rPr>
        <w:t>1</w:t>
      </w:r>
      <w:r w:rsidRPr="00035FD0">
        <w:rPr>
          <w:rFonts w:asciiTheme="minorBidi" w:hAnsiTheme="minorBidi" w:cstheme="minorBidi"/>
          <w:sz w:val="20"/>
          <w:szCs w:val="20"/>
        </w:rPr>
        <w:t>% un trimestre auparavant.</w:t>
      </w:r>
    </w:p>
    <w:p w:rsidR="00BA0371" w:rsidRPr="00CB3F01" w:rsidRDefault="009613BD" w:rsidP="006C5037">
      <w:pPr>
        <w:autoSpaceDE w:val="0"/>
        <w:autoSpaceDN w:val="0"/>
        <w:adjustRightInd w:val="0"/>
        <w:jc w:val="both"/>
        <w:rPr>
          <w:rFonts w:asciiTheme="minorBidi" w:hAnsiTheme="minorBidi" w:cstheme="minorBidi"/>
        </w:rPr>
      </w:pPr>
      <w:r>
        <w:rPr>
          <w:rFonts w:asciiTheme="minorBidi" w:hAnsiTheme="minorBidi" w:cstheme="minorBidi"/>
          <w:noProof/>
          <w:sz w:val="20"/>
          <w:szCs w:val="20"/>
        </w:rPr>
        <w:drawing>
          <wp:anchor distT="0" distB="0" distL="114300" distR="114300" simplePos="0" relativeHeight="251701248" behindDoc="0" locked="0" layoutInCell="1" allowOverlap="1">
            <wp:simplePos x="0" y="0"/>
            <wp:positionH relativeFrom="column">
              <wp:posOffset>3977005</wp:posOffset>
            </wp:positionH>
            <wp:positionV relativeFrom="paragraph">
              <wp:posOffset>166370</wp:posOffset>
            </wp:positionV>
            <wp:extent cx="2620010" cy="2026285"/>
            <wp:effectExtent l="19050" t="0" r="8890" b="0"/>
            <wp:wrapSquare wrapText="bothSides"/>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620010" cy="2026285"/>
                    </a:xfrm>
                    <a:prstGeom prst="rect">
                      <a:avLst/>
                    </a:prstGeom>
                    <a:noFill/>
                    <a:ln w="9525">
                      <a:noFill/>
                      <a:miter lim="800000"/>
                      <a:headEnd/>
                      <a:tailEnd/>
                    </a:ln>
                  </pic:spPr>
                </pic:pic>
              </a:graphicData>
            </a:graphic>
          </wp:anchor>
        </w:drawing>
      </w:r>
      <w:r w:rsidR="006471A4" w:rsidRPr="00D34739">
        <w:rPr>
          <w:rFonts w:asciiTheme="minorBidi" w:hAnsiTheme="minorBidi" w:cstheme="minorBidi"/>
          <w:sz w:val="20"/>
          <w:szCs w:val="20"/>
        </w:rPr>
        <w:t xml:space="preserve">  </w:t>
      </w:r>
    </w:p>
    <w:p w:rsidR="00392D8D" w:rsidRDefault="001B6EC9" w:rsidP="00392D8D">
      <w:pPr>
        <w:jc w:val="both"/>
        <w:rPr>
          <w:rFonts w:ascii="Arial" w:hAnsi="Arial" w:cs="Arial"/>
          <w:b/>
          <w:bCs/>
          <w:color w:val="800000"/>
          <w:sz w:val="20"/>
          <w:szCs w:val="20"/>
        </w:rPr>
      </w:pPr>
      <w:r>
        <w:rPr>
          <w:rFonts w:ascii="Arial" w:hAnsi="Arial" w:cs="Arial"/>
          <w:b/>
          <w:bCs/>
          <w:color w:val="800000"/>
          <w:sz w:val="20"/>
          <w:szCs w:val="20"/>
        </w:rPr>
        <w:t>Poursuite du repli de la production agricole</w:t>
      </w:r>
    </w:p>
    <w:p w:rsidR="00392D8D" w:rsidRPr="00392D8D" w:rsidRDefault="00392D8D" w:rsidP="00392D8D">
      <w:pPr>
        <w:jc w:val="both"/>
        <w:rPr>
          <w:rFonts w:ascii="Arial" w:hAnsi="Arial" w:cs="Arial"/>
          <w:b/>
          <w:bCs/>
          <w:color w:val="800000"/>
          <w:sz w:val="20"/>
          <w:szCs w:val="20"/>
        </w:rPr>
      </w:pPr>
    </w:p>
    <w:p w:rsidR="008B6BD0" w:rsidRPr="00035FD0" w:rsidRDefault="008B6BD0" w:rsidP="00B1336C">
      <w:pPr>
        <w:jc w:val="both"/>
        <w:rPr>
          <w:rFonts w:asciiTheme="minorBidi" w:hAnsiTheme="minorBidi" w:cstheme="minorBidi"/>
          <w:sz w:val="20"/>
          <w:szCs w:val="20"/>
        </w:rPr>
      </w:pPr>
      <w:r w:rsidRPr="00035FD0">
        <w:rPr>
          <w:rFonts w:asciiTheme="minorBidi" w:hAnsiTheme="minorBidi" w:cstheme="minorBidi"/>
          <w:sz w:val="20"/>
          <w:szCs w:val="20"/>
        </w:rPr>
        <w:t xml:space="preserve">Au quatrième trimestre 2016, la valeur ajoutée </w:t>
      </w:r>
      <w:r w:rsidRPr="00035FD0">
        <w:rPr>
          <w:rFonts w:asciiTheme="minorBidi" w:hAnsiTheme="minorBidi" w:cstheme="minorBidi"/>
          <w:b/>
          <w:bCs/>
          <w:sz w:val="20"/>
          <w:szCs w:val="20"/>
        </w:rPr>
        <w:t>agricole</w:t>
      </w:r>
      <w:r w:rsidRPr="00035FD0">
        <w:rPr>
          <w:rFonts w:asciiTheme="minorBidi" w:hAnsiTheme="minorBidi" w:cstheme="minorBidi"/>
          <w:sz w:val="20"/>
          <w:szCs w:val="20"/>
        </w:rPr>
        <w:t xml:space="preserve">, en baisse estimée à </w:t>
      </w:r>
      <w:r>
        <w:rPr>
          <w:rFonts w:asciiTheme="minorBidi" w:hAnsiTheme="minorBidi"/>
          <w:sz w:val="20"/>
          <w:szCs w:val="20"/>
        </w:rPr>
        <w:t>12,</w:t>
      </w:r>
      <w:r w:rsidR="00163242">
        <w:rPr>
          <w:rFonts w:asciiTheme="minorBidi" w:hAnsiTheme="minorBidi"/>
          <w:sz w:val="20"/>
          <w:szCs w:val="20"/>
        </w:rPr>
        <w:t>3</w:t>
      </w:r>
      <w:r w:rsidRPr="00035FD0">
        <w:rPr>
          <w:rFonts w:asciiTheme="minorBidi" w:hAnsiTheme="minorBidi" w:cstheme="minorBidi"/>
          <w:sz w:val="20"/>
          <w:szCs w:val="20"/>
        </w:rPr>
        <w:t xml:space="preserve">%, en variation annuelle, aurait continué de pâtir du fléchissement de la production végétale et des performances modérées des activités d’élevage. Cette baisse, moins accentuée qu’au cours des années similaires sèches, aurait entraîné une hausse des prix </w:t>
      </w:r>
      <w:r w:rsidR="004346C0">
        <w:rPr>
          <w:rFonts w:asciiTheme="minorBidi" w:hAnsiTheme="minorBidi" w:cstheme="minorBidi"/>
          <w:sz w:val="20"/>
          <w:szCs w:val="20"/>
        </w:rPr>
        <w:t xml:space="preserve">des produits </w:t>
      </w:r>
      <w:r w:rsidRPr="00035FD0">
        <w:rPr>
          <w:rFonts w:asciiTheme="minorBidi" w:hAnsiTheme="minorBidi" w:cstheme="minorBidi"/>
          <w:sz w:val="20"/>
          <w:szCs w:val="20"/>
        </w:rPr>
        <w:t>agricoles</w:t>
      </w:r>
      <w:r>
        <w:rPr>
          <w:rFonts w:asciiTheme="minorBidi" w:hAnsiTheme="minorBidi"/>
          <w:sz w:val="20"/>
          <w:szCs w:val="20"/>
        </w:rPr>
        <w:t xml:space="preserve"> </w:t>
      </w:r>
      <w:r w:rsidR="008B2A3E">
        <w:rPr>
          <w:rFonts w:asciiTheme="minorBidi" w:hAnsiTheme="minorBidi"/>
          <w:sz w:val="20"/>
          <w:szCs w:val="20"/>
        </w:rPr>
        <w:t xml:space="preserve">avec, cependant, un rythme en légère décélération par rapport au trimestre précédent. C’est ainsi que les prix </w:t>
      </w:r>
      <w:r w:rsidRPr="00035FD0">
        <w:rPr>
          <w:rFonts w:asciiTheme="minorBidi" w:hAnsiTheme="minorBidi" w:cstheme="minorBidi"/>
          <w:sz w:val="20"/>
          <w:szCs w:val="20"/>
        </w:rPr>
        <w:t>des céréales</w:t>
      </w:r>
      <w:r>
        <w:rPr>
          <w:rFonts w:asciiTheme="minorBidi" w:hAnsiTheme="minorBidi"/>
          <w:sz w:val="20"/>
          <w:szCs w:val="20"/>
        </w:rPr>
        <w:t xml:space="preserve"> aurait </w:t>
      </w:r>
      <w:r w:rsidR="008B2A3E">
        <w:rPr>
          <w:rFonts w:asciiTheme="minorBidi" w:hAnsiTheme="minorBidi"/>
          <w:sz w:val="20"/>
          <w:szCs w:val="20"/>
        </w:rPr>
        <w:t>progressé de</w:t>
      </w:r>
      <w:r>
        <w:rPr>
          <w:rFonts w:asciiTheme="minorBidi" w:hAnsiTheme="minorBidi"/>
          <w:sz w:val="20"/>
          <w:szCs w:val="20"/>
        </w:rPr>
        <w:t xml:space="preserve"> </w:t>
      </w:r>
      <w:r w:rsidRPr="00035FD0">
        <w:rPr>
          <w:rFonts w:asciiTheme="minorBidi" w:hAnsiTheme="minorBidi" w:cstheme="minorBidi"/>
          <w:sz w:val="20"/>
          <w:szCs w:val="20"/>
        </w:rPr>
        <w:t xml:space="preserve">9,6%, en variation annuelle, </w:t>
      </w:r>
      <w:r>
        <w:rPr>
          <w:rFonts w:asciiTheme="minorBidi" w:hAnsiTheme="minorBidi"/>
          <w:sz w:val="20"/>
          <w:szCs w:val="20"/>
        </w:rPr>
        <w:t xml:space="preserve">dans le sillage </w:t>
      </w:r>
      <w:r w:rsidRPr="00035FD0">
        <w:rPr>
          <w:rFonts w:asciiTheme="minorBidi" w:hAnsiTheme="minorBidi" w:cstheme="minorBidi"/>
          <w:sz w:val="20"/>
          <w:szCs w:val="20"/>
        </w:rPr>
        <w:t xml:space="preserve">de la chute de 70% de leur production. Ceux des fruits et </w:t>
      </w:r>
      <w:r w:rsidR="00872648">
        <w:rPr>
          <w:rFonts w:asciiTheme="minorBidi" w:hAnsiTheme="minorBidi" w:cstheme="minorBidi"/>
          <w:sz w:val="20"/>
          <w:szCs w:val="20"/>
        </w:rPr>
        <w:t xml:space="preserve">des </w:t>
      </w:r>
      <w:r w:rsidRPr="00035FD0">
        <w:rPr>
          <w:rFonts w:asciiTheme="minorBidi" w:hAnsiTheme="minorBidi" w:cstheme="minorBidi"/>
          <w:sz w:val="20"/>
          <w:szCs w:val="20"/>
        </w:rPr>
        <w:t>légumes frais auraient affiché des hausses</w:t>
      </w:r>
      <w:r w:rsidR="00872648">
        <w:rPr>
          <w:rFonts w:asciiTheme="minorBidi" w:hAnsiTheme="minorBidi" w:cstheme="minorBidi"/>
          <w:sz w:val="20"/>
          <w:szCs w:val="20"/>
        </w:rPr>
        <w:t>,</w:t>
      </w:r>
      <w:r w:rsidRPr="00035FD0">
        <w:rPr>
          <w:rFonts w:asciiTheme="minorBidi" w:hAnsiTheme="minorBidi" w:cstheme="minorBidi"/>
          <w:sz w:val="20"/>
          <w:szCs w:val="20"/>
        </w:rPr>
        <w:t xml:space="preserve"> </w:t>
      </w:r>
      <w:r w:rsidR="00872648" w:rsidRPr="00035FD0">
        <w:rPr>
          <w:rFonts w:asciiTheme="minorBidi" w:hAnsiTheme="minorBidi" w:cstheme="minorBidi"/>
          <w:sz w:val="20"/>
          <w:szCs w:val="20"/>
        </w:rPr>
        <w:t>respective</w:t>
      </w:r>
      <w:r w:rsidR="007E6C40">
        <w:rPr>
          <w:rFonts w:asciiTheme="minorBidi" w:hAnsiTheme="minorBidi" w:cstheme="minorBidi"/>
          <w:sz w:val="20"/>
          <w:szCs w:val="20"/>
        </w:rPr>
        <w:t>s</w:t>
      </w:r>
      <w:r w:rsidR="00872648" w:rsidRPr="00035FD0">
        <w:rPr>
          <w:rFonts w:asciiTheme="minorBidi" w:hAnsiTheme="minorBidi" w:cstheme="minorBidi"/>
          <w:sz w:val="20"/>
          <w:szCs w:val="20"/>
        </w:rPr>
        <w:t>,</w:t>
      </w:r>
      <w:r w:rsidR="00872648">
        <w:rPr>
          <w:rFonts w:asciiTheme="minorBidi" w:hAnsiTheme="minorBidi" w:cstheme="minorBidi"/>
          <w:sz w:val="20"/>
          <w:szCs w:val="20"/>
        </w:rPr>
        <w:t xml:space="preserve"> </w:t>
      </w:r>
      <w:r w:rsidRPr="00035FD0">
        <w:rPr>
          <w:rFonts w:asciiTheme="minorBidi" w:hAnsiTheme="minorBidi" w:cstheme="minorBidi"/>
          <w:sz w:val="20"/>
          <w:szCs w:val="20"/>
        </w:rPr>
        <w:t>de 11,4% et 5,6%</w:t>
      </w:r>
      <w:r>
        <w:rPr>
          <w:rFonts w:asciiTheme="minorBidi" w:hAnsiTheme="minorBidi"/>
          <w:sz w:val="20"/>
          <w:szCs w:val="20"/>
        </w:rPr>
        <w:t>,</w:t>
      </w:r>
      <w:r w:rsidRPr="00035FD0">
        <w:rPr>
          <w:rFonts w:asciiTheme="minorBidi" w:hAnsiTheme="minorBidi" w:cstheme="minorBidi"/>
          <w:sz w:val="20"/>
          <w:szCs w:val="20"/>
        </w:rPr>
        <w:t xml:space="preserve"> attribuables, en partie, à l</w:t>
      </w:r>
      <w:r w:rsidR="004346C0">
        <w:rPr>
          <w:rFonts w:asciiTheme="minorBidi" w:hAnsiTheme="minorBidi" w:cstheme="minorBidi"/>
          <w:sz w:val="20"/>
          <w:szCs w:val="20"/>
        </w:rPr>
        <w:t>’accroissement</w:t>
      </w:r>
      <w:r w:rsidRPr="00035FD0">
        <w:rPr>
          <w:rFonts w:asciiTheme="minorBidi" w:hAnsiTheme="minorBidi" w:cstheme="minorBidi"/>
          <w:sz w:val="20"/>
          <w:szCs w:val="20"/>
        </w:rPr>
        <w:t xml:space="preserve"> des prix d</w:t>
      </w:r>
      <w:r w:rsidR="00B1336C">
        <w:rPr>
          <w:rFonts w:asciiTheme="minorBidi" w:hAnsiTheme="minorBidi" w:cstheme="minorBidi"/>
          <w:sz w:val="20"/>
          <w:szCs w:val="20"/>
        </w:rPr>
        <w:t>u</w:t>
      </w:r>
      <w:r w:rsidRPr="00035FD0">
        <w:rPr>
          <w:rFonts w:asciiTheme="minorBidi" w:hAnsiTheme="minorBidi" w:cstheme="minorBidi"/>
          <w:sz w:val="20"/>
          <w:szCs w:val="20"/>
        </w:rPr>
        <w:t xml:space="preserve"> transport.</w:t>
      </w:r>
    </w:p>
    <w:p w:rsidR="0049688E" w:rsidRPr="00D34739" w:rsidRDefault="0049688E" w:rsidP="0029758C">
      <w:pPr>
        <w:jc w:val="both"/>
        <w:rPr>
          <w:rFonts w:asciiTheme="minorBidi" w:hAnsiTheme="minorBidi" w:cstheme="minorBidi"/>
          <w:sz w:val="20"/>
          <w:szCs w:val="20"/>
        </w:rPr>
      </w:pPr>
    </w:p>
    <w:p w:rsidR="000D53E5" w:rsidRDefault="000D53E5" w:rsidP="00300B1C">
      <w:pPr>
        <w:pStyle w:val="NormalWeb"/>
        <w:spacing w:before="0" w:beforeAutospacing="0" w:after="0" w:afterAutospacing="0"/>
        <w:jc w:val="both"/>
        <w:rPr>
          <w:rFonts w:ascii="Arial" w:hAnsi="Arial" w:cs="Arial"/>
          <w:sz w:val="20"/>
          <w:szCs w:val="20"/>
        </w:rPr>
      </w:pPr>
    </w:p>
    <w:p w:rsidR="0097276B" w:rsidRDefault="0097276B" w:rsidP="00581939">
      <w:pPr>
        <w:pStyle w:val="NormalWeb"/>
        <w:spacing w:before="0" w:beforeAutospacing="0" w:after="0" w:afterAutospacing="0"/>
        <w:jc w:val="both"/>
        <w:rPr>
          <w:rFonts w:ascii="Arial" w:hAnsi="Arial" w:cs="Arial"/>
          <w:sz w:val="20"/>
          <w:szCs w:val="20"/>
          <w:rtl/>
        </w:rPr>
      </w:pPr>
      <w:r>
        <w:rPr>
          <w:rFonts w:ascii="Arial" w:hAnsi="Arial" w:cs="Arial"/>
          <w:sz w:val="20"/>
          <w:szCs w:val="20"/>
        </w:rPr>
        <w:t xml:space="preserve">Globalement et compte tenu des indicateurs collectés jusqu’à fin </w:t>
      </w:r>
      <w:r w:rsidR="00B47CD5">
        <w:rPr>
          <w:rFonts w:ascii="Arial" w:hAnsi="Arial" w:cs="Arial"/>
          <w:sz w:val="20"/>
          <w:szCs w:val="20"/>
        </w:rPr>
        <w:t>novembre</w:t>
      </w:r>
      <w:r w:rsidR="00205484">
        <w:rPr>
          <w:rFonts w:ascii="Arial" w:hAnsi="Arial" w:cs="Arial"/>
          <w:sz w:val="20"/>
          <w:szCs w:val="20"/>
        </w:rPr>
        <w:t xml:space="preserve"> </w:t>
      </w:r>
      <w:r>
        <w:rPr>
          <w:rFonts w:ascii="Arial" w:hAnsi="Arial" w:cs="Arial"/>
          <w:sz w:val="20"/>
          <w:szCs w:val="20"/>
        </w:rPr>
        <w:t>201</w:t>
      </w:r>
      <w:r w:rsidR="00D16DE1">
        <w:rPr>
          <w:rFonts w:ascii="Arial" w:hAnsi="Arial" w:cs="Arial"/>
          <w:sz w:val="20"/>
          <w:szCs w:val="20"/>
        </w:rPr>
        <w:t>6</w:t>
      </w:r>
      <w:r>
        <w:rPr>
          <w:rFonts w:ascii="Arial" w:hAnsi="Arial" w:cs="Arial"/>
          <w:sz w:val="20"/>
          <w:szCs w:val="20"/>
        </w:rPr>
        <w:t xml:space="preserve">, ainsi que des estimations sectorielles établies pour le </w:t>
      </w:r>
      <w:r w:rsidR="00B47CD5">
        <w:rPr>
          <w:rFonts w:ascii="Arial" w:hAnsi="Arial" w:cs="Arial"/>
          <w:sz w:val="20"/>
          <w:szCs w:val="20"/>
        </w:rPr>
        <w:t>quatr</w:t>
      </w:r>
      <w:r w:rsidR="000628A8">
        <w:rPr>
          <w:rFonts w:ascii="Arial" w:hAnsi="Arial" w:cs="Arial"/>
          <w:sz w:val="20"/>
          <w:szCs w:val="20"/>
        </w:rPr>
        <w:t>ième</w:t>
      </w:r>
      <w:r>
        <w:rPr>
          <w:rFonts w:ascii="Arial" w:hAnsi="Arial" w:cs="Arial"/>
          <w:sz w:val="20"/>
          <w:szCs w:val="20"/>
        </w:rPr>
        <w:t xml:space="preserve"> trimestre 201</w:t>
      </w:r>
      <w:r w:rsidR="00D16DE1">
        <w:rPr>
          <w:rFonts w:ascii="Arial" w:hAnsi="Arial" w:cs="Arial"/>
          <w:sz w:val="20"/>
          <w:szCs w:val="20"/>
        </w:rPr>
        <w:t>6</w:t>
      </w:r>
      <w:r>
        <w:rPr>
          <w:rFonts w:ascii="Arial" w:hAnsi="Arial" w:cs="Arial"/>
          <w:sz w:val="20"/>
          <w:szCs w:val="20"/>
        </w:rPr>
        <w:t>,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 xml:space="preserve">établie à </w:t>
      </w:r>
      <w:r w:rsidR="0011192F">
        <w:rPr>
          <w:rFonts w:ascii="Arial" w:hAnsi="Arial" w:cs="Arial"/>
          <w:sz w:val="20"/>
          <w:szCs w:val="20"/>
        </w:rPr>
        <w:t>1</w:t>
      </w:r>
      <w:r w:rsidR="00DA38EF">
        <w:rPr>
          <w:rFonts w:ascii="Arial" w:hAnsi="Arial" w:cs="Arial"/>
          <w:sz w:val="20"/>
          <w:szCs w:val="20"/>
        </w:rPr>
        <w:t>,</w:t>
      </w:r>
      <w:r w:rsidR="00581939">
        <w:rPr>
          <w:rFonts w:ascii="Arial" w:hAnsi="Arial" w:cs="Arial"/>
          <w:sz w:val="20"/>
          <w:szCs w:val="20"/>
        </w:rPr>
        <w:t>2</w:t>
      </w:r>
      <w:r>
        <w:rPr>
          <w:rFonts w:ascii="Arial" w:hAnsi="Arial" w:cs="Arial"/>
          <w:sz w:val="20"/>
          <w:szCs w:val="20"/>
        </w:rPr>
        <w:t>%</w:t>
      </w:r>
      <w:r w:rsidRPr="00DB7C3F">
        <w:rPr>
          <w:rFonts w:ascii="Arial" w:hAnsi="Arial" w:cs="Arial"/>
          <w:sz w:val="20"/>
          <w:szCs w:val="20"/>
        </w:rPr>
        <w:t xml:space="preserve">, </w:t>
      </w:r>
      <w:r>
        <w:rPr>
          <w:rFonts w:ascii="Arial" w:hAnsi="Arial" w:cs="Arial"/>
          <w:sz w:val="20"/>
          <w:szCs w:val="20"/>
        </w:rPr>
        <w:t xml:space="preserve">au </w:t>
      </w:r>
      <w:r w:rsidR="00B80A5C">
        <w:rPr>
          <w:rFonts w:ascii="Arial" w:hAnsi="Arial" w:cs="Arial"/>
          <w:sz w:val="20"/>
          <w:szCs w:val="20"/>
        </w:rPr>
        <w:t>quatr</w:t>
      </w:r>
      <w:r w:rsidR="00EE75E6">
        <w:rPr>
          <w:rFonts w:ascii="Arial" w:hAnsi="Arial" w:cs="Arial"/>
          <w:sz w:val="20"/>
          <w:szCs w:val="20"/>
        </w:rPr>
        <w:t xml:space="preserve">ième </w:t>
      </w:r>
      <w:r>
        <w:rPr>
          <w:rFonts w:ascii="Arial" w:hAnsi="Arial" w:cs="Arial"/>
          <w:sz w:val="20"/>
          <w:szCs w:val="20"/>
        </w:rPr>
        <w:t>trimestre</w:t>
      </w:r>
      <w:r w:rsidRPr="00DB7C3F">
        <w:rPr>
          <w:rFonts w:ascii="Arial" w:hAnsi="Arial" w:cs="Arial"/>
          <w:sz w:val="20"/>
          <w:szCs w:val="20"/>
        </w:rPr>
        <w:t xml:space="preserve">, </w:t>
      </w:r>
      <w:r>
        <w:rPr>
          <w:rFonts w:ascii="Arial" w:hAnsi="Arial" w:cs="Arial"/>
          <w:sz w:val="20"/>
          <w:szCs w:val="20"/>
        </w:rPr>
        <w:t>au lieu de</w:t>
      </w:r>
      <w:r w:rsidRPr="00DB7C3F">
        <w:rPr>
          <w:rFonts w:ascii="Arial" w:hAnsi="Arial" w:cs="Arial"/>
          <w:sz w:val="20"/>
          <w:szCs w:val="20"/>
        </w:rPr>
        <w:t xml:space="preserve"> +</w:t>
      </w:r>
      <w:r w:rsidR="00300B1C">
        <w:rPr>
          <w:rFonts w:ascii="Arial" w:hAnsi="Arial" w:cs="Arial"/>
          <w:sz w:val="20"/>
          <w:szCs w:val="20"/>
        </w:rPr>
        <w:t>0</w:t>
      </w:r>
      <w:r w:rsidR="00204C16">
        <w:rPr>
          <w:rFonts w:ascii="Arial" w:hAnsi="Arial" w:cs="Arial"/>
          <w:sz w:val="20"/>
          <w:szCs w:val="20"/>
        </w:rPr>
        <w:t>,</w:t>
      </w:r>
      <w:r w:rsidR="0011192F">
        <w:rPr>
          <w:rFonts w:ascii="Arial" w:hAnsi="Arial" w:cs="Arial"/>
          <w:sz w:val="20"/>
          <w:szCs w:val="20"/>
        </w:rPr>
        <w:t>8</w:t>
      </w:r>
      <w:r w:rsidRPr="00DB7C3F">
        <w:rPr>
          <w:rFonts w:ascii="Arial" w:hAnsi="Arial" w:cs="Arial"/>
          <w:sz w:val="20"/>
          <w:szCs w:val="20"/>
        </w:rPr>
        <w:t xml:space="preserve">%, </w:t>
      </w:r>
      <w:r>
        <w:rPr>
          <w:rFonts w:ascii="Arial" w:hAnsi="Arial" w:cs="Arial"/>
          <w:sz w:val="20"/>
          <w:szCs w:val="20"/>
        </w:rPr>
        <w:t>lors d</w:t>
      </w:r>
      <w:r w:rsidR="00204C16">
        <w:rPr>
          <w:rFonts w:ascii="Arial" w:hAnsi="Arial" w:cs="Arial"/>
          <w:sz w:val="20"/>
          <w:szCs w:val="20"/>
        </w:rPr>
        <w:t>u trimestre</w:t>
      </w:r>
      <w:r>
        <w:rPr>
          <w:rFonts w:ascii="Arial" w:hAnsi="Arial" w:cs="Arial"/>
          <w:sz w:val="20"/>
          <w:szCs w:val="20"/>
        </w:rPr>
        <w:t xml:space="preserve"> précédent. </w:t>
      </w:r>
    </w:p>
    <w:p w:rsidR="00411302" w:rsidRDefault="00411302" w:rsidP="00EE75E6">
      <w:pPr>
        <w:pStyle w:val="NormalWeb"/>
        <w:spacing w:before="0" w:beforeAutospacing="0" w:after="0" w:afterAutospacing="0"/>
        <w:jc w:val="both"/>
        <w:rPr>
          <w:rFonts w:ascii="Arial" w:hAnsi="Arial" w:cs="Arial"/>
          <w:sz w:val="20"/>
          <w:szCs w:val="20"/>
          <w:rtl/>
        </w:rPr>
      </w:pPr>
    </w:p>
    <w:p w:rsidR="0097276B" w:rsidRPr="004625B7" w:rsidRDefault="00C47540" w:rsidP="00C47540">
      <w:pPr>
        <w:jc w:val="both"/>
        <w:rPr>
          <w:rFonts w:ascii="Arial" w:hAnsi="Arial" w:cs="Arial"/>
          <w:b/>
          <w:bCs/>
          <w:color w:val="800000"/>
          <w:sz w:val="20"/>
          <w:szCs w:val="20"/>
        </w:rPr>
      </w:pPr>
      <w:r>
        <w:rPr>
          <w:rFonts w:ascii="Arial" w:hAnsi="Arial" w:cs="Arial"/>
          <w:b/>
          <w:bCs/>
          <w:color w:val="800000"/>
          <w:sz w:val="20"/>
          <w:szCs w:val="20"/>
        </w:rPr>
        <w:t xml:space="preserve">Légère décélération </w:t>
      </w:r>
      <w:r w:rsidR="0097276B">
        <w:rPr>
          <w:rFonts w:ascii="Arial" w:hAnsi="Arial" w:cs="Arial"/>
          <w:b/>
          <w:bCs/>
          <w:color w:val="800000"/>
          <w:sz w:val="20"/>
          <w:szCs w:val="20"/>
        </w:rPr>
        <w:t>d</w:t>
      </w:r>
      <w:r w:rsidR="0097276B" w:rsidRPr="004625B7">
        <w:rPr>
          <w:rFonts w:ascii="Arial" w:hAnsi="Arial" w:cs="Arial"/>
          <w:b/>
          <w:bCs/>
          <w:color w:val="800000"/>
          <w:sz w:val="20"/>
          <w:szCs w:val="20"/>
        </w:rPr>
        <w:t>e</w:t>
      </w:r>
      <w:r w:rsidR="0097276B">
        <w:rPr>
          <w:rFonts w:ascii="Arial" w:hAnsi="Arial" w:cs="Arial"/>
          <w:b/>
          <w:bCs/>
          <w:color w:val="800000"/>
          <w:sz w:val="20"/>
          <w:szCs w:val="20"/>
        </w:rPr>
        <w:t>s prix à la consommation</w:t>
      </w:r>
    </w:p>
    <w:p w:rsidR="0097276B" w:rsidRPr="000A1CCD" w:rsidRDefault="0097276B" w:rsidP="0032191A">
      <w:pPr>
        <w:jc w:val="both"/>
        <w:rPr>
          <w:rFonts w:ascii="Arial" w:hAnsi="Arial" w:cs="Arial"/>
          <w:sz w:val="20"/>
          <w:szCs w:val="20"/>
        </w:rPr>
      </w:pPr>
    </w:p>
    <w:p w:rsidR="00AC1771" w:rsidRDefault="00034EAB" w:rsidP="0012006B">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700224" behindDoc="0" locked="0" layoutInCell="1" allowOverlap="1">
            <wp:simplePos x="0" y="0"/>
            <wp:positionH relativeFrom="column">
              <wp:posOffset>4035425</wp:posOffset>
            </wp:positionH>
            <wp:positionV relativeFrom="paragraph">
              <wp:posOffset>33020</wp:posOffset>
            </wp:positionV>
            <wp:extent cx="2561590" cy="1996440"/>
            <wp:effectExtent l="19050" t="0" r="0" b="0"/>
            <wp:wrapSquare wrapText="bothSides"/>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561590" cy="1996440"/>
                    </a:xfrm>
                    <a:prstGeom prst="rect">
                      <a:avLst/>
                    </a:prstGeom>
                    <a:noFill/>
                    <a:ln w="9525">
                      <a:noFill/>
                      <a:miter lim="800000"/>
                      <a:headEnd/>
                      <a:tailEnd/>
                    </a:ln>
                  </pic:spPr>
                </pic:pic>
              </a:graphicData>
            </a:graphic>
          </wp:anchor>
        </w:drawing>
      </w:r>
      <w:r w:rsidR="00AC1771" w:rsidRPr="00A37AE1">
        <w:rPr>
          <w:rFonts w:asciiTheme="minorBidi" w:hAnsiTheme="minorBidi" w:cstheme="minorBidi"/>
          <w:sz w:val="20"/>
          <w:szCs w:val="20"/>
        </w:rPr>
        <w:t>Au quatrième trimestre 2016, l’</w:t>
      </w:r>
      <w:r w:rsidR="00AC1771">
        <w:rPr>
          <w:rFonts w:asciiTheme="minorBidi" w:hAnsiTheme="minorBidi" w:cstheme="minorBidi"/>
          <w:sz w:val="20"/>
          <w:szCs w:val="20"/>
        </w:rPr>
        <w:t xml:space="preserve">indice des </w:t>
      </w:r>
      <w:r w:rsidR="00AC1771" w:rsidRPr="00FE7B62">
        <w:rPr>
          <w:rFonts w:asciiTheme="minorBidi" w:hAnsiTheme="minorBidi" w:cstheme="minorBidi"/>
          <w:b/>
          <w:bCs/>
          <w:sz w:val="20"/>
          <w:szCs w:val="20"/>
        </w:rPr>
        <w:t>prix à la consommation</w:t>
      </w:r>
      <w:r w:rsidR="00AC1771" w:rsidRPr="00A37AE1">
        <w:rPr>
          <w:rFonts w:asciiTheme="minorBidi" w:hAnsiTheme="minorBidi" w:cstheme="minorBidi"/>
          <w:sz w:val="20"/>
          <w:szCs w:val="20"/>
        </w:rPr>
        <w:t xml:space="preserve"> aurait légèrement décéléré, </w:t>
      </w:r>
      <w:r w:rsidR="0012006B">
        <w:rPr>
          <w:rFonts w:asciiTheme="minorBidi" w:hAnsiTheme="minorBidi" w:cstheme="minorBidi"/>
          <w:sz w:val="20"/>
          <w:szCs w:val="20"/>
        </w:rPr>
        <w:t>à la suite d’un</w:t>
      </w:r>
      <w:r w:rsidR="00AC1771" w:rsidRPr="00A37AE1">
        <w:rPr>
          <w:rFonts w:asciiTheme="minorBidi" w:hAnsiTheme="minorBidi" w:cstheme="minorBidi"/>
          <w:sz w:val="20"/>
          <w:szCs w:val="20"/>
        </w:rPr>
        <w:t xml:space="preserve"> </w:t>
      </w:r>
      <w:r w:rsidR="007E6C40">
        <w:rPr>
          <w:rFonts w:asciiTheme="minorBidi" w:hAnsiTheme="minorBidi" w:cstheme="minorBidi"/>
          <w:sz w:val="20"/>
          <w:szCs w:val="20"/>
        </w:rPr>
        <w:t>ralentissement</w:t>
      </w:r>
      <w:r w:rsidR="00AC1771" w:rsidRPr="00A37AE1">
        <w:rPr>
          <w:rFonts w:asciiTheme="minorBidi" w:hAnsiTheme="minorBidi" w:cstheme="minorBidi"/>
          <w:sz w:val="20"/>
          <w:szCs w:val="20"/>
        </w:rPr>
        <w:t xml:space="preserve"> des prix des produits alimentaires. La progression des prix serait revenue à +1,8% en glissement annuel, après +1,9% au troisième trimestre. Le r</w:t>
      </w:r>
      <w:r w:rsidR="007E6C40">
        <w:rPr>
          <w:rFonts w:asciiTheme="minorBidi" w:hAnsiTheme="minorBidi" w:cstheme="minorBidi"/>
          <w:sz w:val="20"/>
          <w:szCs w:val="20"/>
        </w:rPr>
        <w:t>alentissement</w:t>
      </w:r>
      <w:r w:rsidR="00AC1771" w:rsidRPr="00A37AE1">
        <w:rPr>
          <w:rFonts w:asciiTheme="minorBidi" w:hAnsiTheme="minorBidi" w:cstheme="minorBidi"/>
          <w:sz w:val="20"/>
          <w:szCs w:val="20"/>
        </w:rPr>
        <w:t xml:space="preserve"> des prix des produits alimentaires </w:t>
      </w:r>
      <w:r w:rsidR="002D224B">
        <w:rPr>
          <w:rFonts w:asciiTheme="minorBidi" w:hAnsiTheme="minorBidi" w:cstheme="minorBidi"/>
          <w:sz w:val="20"/>
          <w:szCs w:val="20"/>
        </w:rPr>
        <w:t>(+</w:t>
      </w:r>
      <w:r w:rsidR="0005517A">
        <w:rPr>
          <w:rFonts w:asciiTheme="minorBidi" w:hAnsiTheme="minorBidi" w:cstheme="minorBidi" w:hint="cs"/>
          <w:sz w:val="20"/>
          <w:szCs w:val="20"/>
          <w:rtl/>
        </w:rPr>
        <w:t>2</w:t>
      </w:r>
      <w:r w:rsidR="002D224B">
        <w:rPr>
          <w:rFonts w:asciiTheme="minorBidi" w:hAnsiTheme="minorBidi" w:cstheme="minorBidi"/>
          <w:sz w:val="20"/>
          <w:szCs w:val="20"/>
        </w:rPr>
        <w:t>,</w:t>
      </w:r>
      <w:r w:rsidR="0005517A">
        <w:rPr>
          <w:rFonts w:asciiTheme="minorBidi" w:hAnsiTheme="minorBidi" w:cstheme="minorBidi" w:hint="cs"/>
          <w:sz w:val="20"/>
          <w:szCs w:val="20"/>
          <w:rtl/>
        </w:rPr>
        <w:t>5</w:t>
      </w:r>
      <w:r w:rsidR="002D224B">
        <w:rPr>
          <w:rFonts w:asciiTheme="minorBidi" w:hAnsiTheme="minorBidi" w:cstheme="minorBidi"/>
          <w:sz w:val="20"/>
          <w:szCs w:val="20"/>
        </w:rPr>
        <w:t xml:space="preserve">%, au lieu de </w:t>
      </w:r>
      <w:r w:rsidR="00FE7314">
        <w:rPr>
          <w:rFonts w:asciiTheme="minorBidi" w:hAnsiTheme="minorBidi" w:cstheme="minorBidi"/>
          <w:sz w:val="20"/>
          <w:szCs w:val="20"/>
        </w:rPr>
        <w:t>+</w:t>
      </w:r>
      <w:r w:rsidR="0005517A">
        <w:rPr>
          <w:rFonts w:asciiTheme="minorBidi" w:hAnsiTheme="minorBidi" w:cstheme="minorBidi" w:hint="cs"/>
          <w:sz w:val="20"/>
          <w:szCs w:val="20"/>
          <w:rtl/>
        </w:rPr>
        <w:t>3</w:t>
      </w:r>
      <w:r w:rsidR="002D224B">
        <w:rPr>
          <w:rFonts w:asciiTheme="minorBidi" w:hAnsiTheme="minorBidi" w:cstheme="minorBidi"/>
          <w:sz w:val="20"/>
          <w:szCs w:val="20"/>
        </w:rPr>
        <w:t>,</w:t>
      </w:r>
      <w:r w:rsidR="0005517A">
        <w:rPr>
          <w:rFonts w:asciiTheme="minorBidi" w:hAnsiTheme="minorBidi" w:cstheme="minorBidi" w:hint="cs"/>
          <w:sz w:val="20"/>
          <w:szCs w:val="20"/>
          <w:rtl/>
        </w:rPr>
        <w:t>2</w:t>
      </w:r>
      <w:r w:rsidR="002D224B">
        <w:rPr>
          <w:rFonts w:asciiTheme="minorBidi" w:hAnsiTheme="minorBidi" w:cstheme="minorBidi"/>
          <w:sz w:val="20"/>
          <w:szCs w:val="20"/>
        </w:rPr>
        <w:t>%)</w:t>
      </w:r>
      <w:r w:rsidR="006D2F60">
        <w:rPr>
          <w:rFonts w:asciiTheme="minorBidi" w:hAnsiTheme="minorBidi" w:cstheme="minorBidi"/>
          <w:sz w:val="20"/>
          <w:szCs w:val="20"/>
        </w:rPr>
        <w:t xml:space="preserve">, </w:t>
      </w:r>
      <w:r w:rsidR="00AC1771" w:rsidRPr="00A37AE1">
        <w:rPr>
          <w:rFonts w:asciiTheme="minorBidi" w:hAnsiTheme="minorBidi" w:cstheme="minorBidi"/>
          <w:sz w:val="20"/>
          <w:szCs w:val="20"/>
        </w:rPr>
        <w:t xml:space="preserve">aurait contrebalancé la tendance haussière des prix des produits non-alimentaires (+1,3%, </w:t>
      </w:r>
      <w:r w:rsidR="00AC1771">
        <w:rPr>
          <w:rFonts w:asciiTheme="minorBidi" w:hAnsiTheme="minorBidi" w:cstheme="minorBidi"/>
          <w:sz w:val="20"/>
          <w:szCs w:val="20"/>
        </w:rPr>
        <w:t>au lieu de</w:t>
      </w:r>
      <w:r w:rsidR="00AC1771" w:rsidRPr="00A37AE1">
        <w:rPr>
          <w:rFonts w:asciiTheme="minorBidi" w:hAnsiTheme="minorBidi" w:cstheme="minorBidi"/>
          <w:sz w:val="20"/>
          <w:szCs w:val="20"/>
        </w:rPr>
        <w:t xml:space="preserve"> +0,8% au trimestre précédent)</w:t>
      </w:r>
      <w:r w:rsidR="006D2F60">
        <w:rPr>
          <w:rFonts w:asciiTheme="minorBidi" w:hAnsiTheme="minorBidi" w:cstheme="minorBidi"/>
          <w:sz w:val="20"/>
          <w:szCs w:val="20"/>
        </w:rPr>
        <w:t>,</w:t>
      </w:r>
      <w:r w:rsidR="00AC1771" w:rsidRPr="00A37AE1">
        <w:rPr>
          <w:rFonts w:asciiTheme="minorBidi" w:hAnsiTheme="minorBidi" w:cstheme="minorBidi"/>
          <w:sz w:val="20"/>
          <w:szCs w:val="20"/>
        </w:rPr>
        <w:t xml:space="preserve"> </w:t>
      </w:r>
      <w:r w:rsidR="006D2F60">
        <w:rPr>
          <w:rFonts w:asciiTheme="minorBidi" w:hAnsiTheme="minorBidi" w:cstheme="minorBidi"/>
          <w:sz w:val="20"/>
          <w:szCs w:val="20"/>
        </w:rPr>
        <w:t>tiré</w:t>
      </w:r>
      <w:r w:rsidR="00A14F03">
        <w:rPr>
          <w:rFonts w:asciiTheme="minorBidi" w:hAnsiTheme="minorBidi" w:cstheme="minorBidi"/>
          <w:sz w:val="20"/>
          <w:szCs w:val="20"/>
        </w:rPr>
        <w:t>e</w:t>
      </w:r>
      <w:r w:rsidR="006D2F60">
        <w:rPr>
          <w:rFonts w:asciiTheme="minorBidi" w:hAnsiTheme="minorBidi" w:cstheme="minorBidi"/>
          <w:sz w:val="20"/>
          <w:szCs w:val="20"/>
        </w:rPr>
        <w:t>, en particulier, par l</w:t>
      </w:r>
      <w:r w:rsidR="007E6C40">
        <w:rPr>
          <w:rFonts w:asciiTheme="minorBidi" w:hAnsiTheme="minorBidi" w:cstheme="minorBidi"/>
          <w:sz w:val="20"/>
          <w:szCs w:val="20"/>
        </w:rPr>
        <w:t>’augmentation</w:t>
      </w:r>
      <w:r w:rsidR="006D2F60">
        <w:rPr>
          <w:rFonts w:asciiTheme="minorBidi" w:hAnsiTheme="minorBidi" w:cstheme="minorBidi"/>
          <w:sz w:val="20"/>
          <w:szCs w:val="20"/>
        </w:rPr>
        <w:t xml:space="preserve"> des prix de l’énergie. </w:t>
      </w:r>
      <w:r w:rsidR="00AC1771" w:rsidRPr="00A37AE1">
        <w:rPr>
          <w:rFonts w:asciiTheme="minorBidi" w:hAnsiTheme="minorBidi" w:cstheme="minorBidi"/>
          <w:sz w:val="20"/>
          <w:szCs w:val="20"/>
        </w:rPr>
        <w:t xml:space="preserve">La même tendance </w:t>
      </w:r>
      <w:r w:rsidR="00E25F71">
        <w:rPr>
          <w:rFonts w:asciiTheme="minorBidi" w:hAnsiTheme="minorBidi" w:cstheme="minorBidi"/>
          <w:sz w:val="20"/>
          <w:szCs w:val="20"/>
        </w:rPr>
        <w:t xml:space="preserve">baissière </w:t>
      </w:r>
      <w:r w:rsidR="00AC1771" w:rsidRPr="00A37AE1">
        <w:rPr>
          <w:rFonts w:asciiTheme="minorBidi" w:hAnsiTheme="minorBidi" w:cstheme="minorBidi"/>
          <w:sz w:val="20"/>
          <w:szCs w:val="20"/>
        </w:rPr>
        <w:t>aurait marqué l’évolution de l’inflation sous-jacente, mais à un rythme plus soutenu que celui de l’inflation globale,</w:t>
      </w:r>
      <w:r w:rsidR="00E25F71">
        <w:rPr>
          <w:rFonts w:asciiTheme="minorBidi" w:hAnsiTheme="minorBidi" w:cstheme="minorBidi"/>
          <w:sz w:val="20"/>
          <w:szCs w:val="20"/>
        </w:rPr>
        <w:t xml:space="preserve"> pour se situer à</w:t>
      </w:r>
      <w:r w:rsidR="00AC1771" w:rsidRPr="00A37AE1">
        <w:rPr>
          <w:rFonts w:asciiTheme="minorBidi" w:hAnsiTheme="minorBidi" w:cstheme="minorBidi"/>
          <w:sz w:val="20"/>
          <w:szCs w:val="20"/>
        </w:rPr>
        <w:t xml:space="preserve"> +1%, </w:t>
      </w:r>
      <w:r w:rsidR="00AC1771">
        <w:rPr>
          <w:rFonts w:asciiTheme="minorBidi" w:hAnsiTheme="minorBidi" w:cstheme="minorBidi"/>
          <w:sz w:val="20"/>
          <w:szCs w:val="20"/>
        </w:rPr>
        <w:t>au lieu de</w:t>
      </w:r>
      <w:r w:rsidR="00AC1771" w:rsidRPr="00A37AE1">
        <w:rPr>
          <w:rFonts w:asciiTheme="minorBidi" w:hAnsiTheme="minorBidi" w:cstheme="minorBidi"/>
          <w:sz w:val="20"/>
          <w:szCs w:val="20"/>
        </w:rPr>
        <w:t xml:space="preserve"> +1,5% un</w:t>
      </w:r>
      <w:r w:rsidR="00471E92">
        <w:rPr>
          <w:rFonts w:asciiTheme="minorBidi" w:hAnsiTheme="minorBidi" w:cstheme="minorBidi"/>
          <w:sz w:val="20"/>
          <w:szCs w:val="20"/>
        </w:rPr>
        <w:t xml:space="preserve"> trimestre</w:t>
      </w:r>
      <w:r w:rsidR="00AC1771" w:rsidRPr="00A37AE1">
        <w:rPr>
          <w:rFonts w:asciiTheme="minorBidi" w:hAnsiTheme="minorBidi" w:cstheme="minorBidi"/>
          <w:sz w:val="20"/>
          <w:szCs w:val="20"/>
        </w:rPr>
        <w:t xml:space="preserve"> auparavant.</w:t>
      </w:r>
      <w:r w:rsidR="00AC1771" w:rsidRPr="00A37AE1">
        <w:rPr>
          <w:rFonts w:asciiTheme="minorBidi" w:hAnsiTheme="minorBidi" w:cstheme="minorBidi"/>
          <w:color w:val="000000"/>
          <w:sz w:val="20"/>
          <w:szCs w:val="20"/>
        </w:rPr>
        <w:t xml:space="preserve"> </w:t>
      </w:r>
      <w:r w:rsidR="00AC1771" w:rsidRPr="00A37AE1">
        <w:rPr>
          <w:rFonts w:asciiTheme="minorBidi" w:hAnsiTheme="minorBidi" w:cstheme="minorBidi"/>
          <w:sz w:val="20"/>
          <w:szCs w:val="20"/>
        </w:rPr>
        <w:t xml:space="preserve">Sur l’ensemble de l’année 2016, les prix à la consommation auraient </w:t>
      </w:r>
      <w:r w:rsidR="00A14F03">
        <w:rPr>
          <w:rFonts w:asciiTheme="minorBidi" w:hAnsiTheme="minorBidi" w:cstheme="minorBidi"/>
          <w:sz w:val="20"/>
          <w:szCs w:val="20"/>
        </w:rPr>
        <w:t>évolué</w:t>
      </w:r>
      <w:r w:rsidR="00AC1771" w:rsidRPr="00A37AE1">
        <w:rPr>
          <w:rFonts w:asciiTheme="minorBidi" w:hAnsiTheme="minorBidi" w:cstheme="minorBidi"/>
          <w:sz w:val="20"/>
          <w:szCs w:val="20"/>
        </w:rPr>
        <w:t xml:space="preserve"> au même rythme enregistré un an plus tôt, soit +1,6%. L’inflation sous-jacente aurait, par contre, légèrement décéléré</w:t>
      </w:r>
      <w:r w:rsidR="00AC1771">
        <w:rPr>
          <w:rFonts w:asciiTheme="minorBidi" w:hAnsiTheme="minorBidi" w:cstheme="minorBidi"/>
          <w:sz w:val="20"/>
          <w:szCs w:val="20"/>
        </w:rPr>
        <w:t xml:space="preserve"> pour s’établir à</w:t>
      </w:r>
      <w:r w:rsidR="00AC1771" w:rsidRPr="00A37AE1">
        <w:rPr>
          <w:rFonts w:asciiTheme="minorBidi" w:hAnsiTheme="minorBidi" w:cstheme="minorBidi"/>
          <w:sz w:val="20"/>
          <w:szCs w:val="20"/>
        </w:rPr>
        <w:t xml:space="preserve"> </w:t>
      </w:r>
      <w:r w:rsidR="00AC1771">
        <w:rPr>
          <w:rFonts w:asciiTheme="minorBidi" w:hAnsiTheme="minorBidi" w:cstheme="minorBidi"/>
          <w:sz w:val="20"/>
          <w:szCs w:val="20"/>
        </w:rPr>
        <w:t>+</w:t>
      </w:r>
      <w:r w:rsidR="00AC1771" w:rsidRPr="00A37AE1">
        <w:rPr>
          <w:rFonts w:asciiTheme="minorBidi" w:hAnsiTheme="minorBidi" w:cstheme="minorBidi"/>
          <w:sz w:val="20"/>
          <w:szCs w:val="20"/>
        </w:rPr>
        <w:t>1,2%, après +1,3% un an plus tôt.</w:t>
      </w:r>
    </w:p>
    <w:p w:rsidR="002A05D8" w:rsidRDefault="002A05D8" w:rsidP="00A40BD5">
      <w:pPr>
        <w:jc w:val="both"/>
        <w:rPr>
          <w:rFonts w:ascii="Arial" w:hAnsi="Arial" w:cs="Arial"/>
        </w:rPr>
      </w:pPr>
    </w:p>
    <w:p w:rsidR="00E02A81" w:rsidRPr="00E02A81" w:rsidRDefault="00E02A81" w:rsidP="00E02A81">
      <w:pPr>
        <w:tabs>
          <w:tab w:val="left" w:pos="5245"/>
        </w:tabs>
        <w:jc w:val="both"/>
        <w:rPr>
          <w:rFonts w:ascii="Arial" w:hAnsi="Arial" w:cs="Arial"/>
          <w:b/>
          <w:bCs/>
          <w:color w:val="800000"/>
          <w:kern w:val="28"/>
          <w:sz w:val="20"/>
          <w:szCs w:val="20"/>
        </w:rPr>
      </w:pPr>
      <w:r w:rsidRPr="00E02A81">
        <w:rPr>
          <w:rFonts w:ascii="Arial" w:hAnsi="Arial" w:cs="Arial"/>
          <w:b/>
          <w:bCs/>
          <w:color w:val="800000"/>
          <w:kern w:val="28"/>
          <w:sz w:val="20"/>
          <w:szCs w:val="20"/>
        </w:rPr>
        <w:t xml:space="preserve">Amélioration progressive des créances sur l’économie </w:t>
      </w:r>
    </w:p>
    <w:p w:rsidR="00E02A81" w:rsidRPr="00E02A81" w:rsidRDefault="00E02A81" w:rsidP="00E02A81">
      <w:pPr>
        <w:jc w:val="both"/>
        <w:rPr>
          <w:rFonts w:ascii="Arial" w:hAnsi="Arial" w:cs="Arial"/>
          <w:sz w:val="20"/>
          <w:szCs w:val="20"/>
        </w:rPr>
      </w:pPr>
    </w:p>
    <w:p w:rsidR="00E02A81" w:rsidRPr="00E02A81" w:rsidRDefault="00E02A81" w:rsidP="00B1336C">
      <w:pPr>
        <w:jc w:val="both"/>
        <w:rPr>
          <w:rFonts w:ascii="Arial" w:hAnsi="Arial" w:cs="Arial"/>
          <w:sz w:val="20"/>
          <w:szCs w:val="20"/>
        </w:rPr>
      </w:pPr>
      <w:r w:rsidRPr="00E02A81">
        <w:rPr>
          <w:rFonts w:ascii="Arial" w:hAnsi="Arial" w:cs="Arial"/>
          <w:sz w:val="20"/>
          <w:szCs w:val="20"/>
        </w:rPr>
        <w:t xml:space="preserve">Les </w:t>
      </w:r>
      <w:r w:rsidRPr="00E02A81">
        <w:rPr>
          <w:rFonts w:ascii="Arial" w:hAnsi="Arial" w:cs="Arial"/>
          <w:b/>
          <w:bCs/>
          <w:sz w:val="20"/>
          <w:szCs w:val="20"/>
        </w:rPr>
        <w:t>créances sur l’économie</w:t>
      </w:r>
      <w:r w:rsidRPr="00E02A81">
        <w:rPr>
          <w:rFonts w:ascii="Arial" w:hAnsi="Arial" w:cs="Arial"/>
          <w:sz w:val="20"/>
          <w:szCs w:val="20"/>
        </w:rPr>
        <w:t xml:space="preserve"> auraient poursuivi leur tendance haussière, au quatrième trimestre 2016, affichant un accroissement de 5,9%, en glissement annuel, au lieu de +5,7% un trimestre plus tôt. En revanche, le rythme de croissance de la masse monétaire aurait légèrement ralenti, passant  de </w:t>
      </w:r>
      <w:r w:rsidR="00B46C1A">
        <w:rPr>
          <w:rFonts w:ascii="Arial" w:hAnsi="Arial" w:cs="Arial"/>
          <w:sz w:val="20"/>
          <w:szCs w:val="20"/>
        </w:rPr>
        <w:t>+</w:t>
      </w:r>
      <w:r w:rsidRPr="00E02A81">
        <w:rPr>
          <w:rFonts w:ascii="Arial" w:hAnsi="Arial" w:cs="Arial"/>
          <w:sz w:val="20"/>
          <w:szCs w:val="20"/>
        </w:rPr>
        <w:t xml:space="preserve">5,9%, au troisième trimestre, à </w:t>
      </w:r>
      <w:r w:rsidR="00B46C1A">
        <w:rPr>
          <w:rFonts w:ascii="Arial" w:hAnsi="Arial" w:cs="Arial"/>
          <w:sz w:val="20"/>
          <w:szCs w:val="20"/>
        </w:rPr>
        <w:t>+</w:t>
      </w:r>
      <w:r w:rsidRPr="00E02A81">
        <w:rPr>
          <w:rFonts w:ascii="Arial" w:hAnsi="Arial" w:cs="Arial"/>
          <w:sz w:val="20"/>
          <w:szCs w:val="20"/>
        </w:rPr>
        <w:t>5,2% au quatrième trimestre, à la suite d’une décélération marquée des réserves internationales nettes. Ces dernières auraient, particulièrement, pâti du creusement du déficit commercial. Pour sa part, le besoin des liquidités des banques se serait atténué au quatrième trimestre 2016, après avoir nettement crû au troisième trimestre, à la suite de l’augmentation par la Banque Centrale du taux de la réserve obligatoire de 2% à 4%</w:t>
      </w:r>
      <w:r w:rsidR="00B46C1A">
        <w:rPr>
          <w:rFonts w:ascii="Arial" w:hAnsi="Arial" w:cs="Arial"/>
          <w:sz w:val="20"/>
          <w:szCs w:val="20"/>
        </w:rPr>
        <w:t>,</w:t>
      </w:r>
      <w:r w:rsidRPr="00E02A81">
        <w:rPr>
          <w:rFonts w:ascii="Arial" w:hAnsi="Arial" w:cs="Arial"/>
          <w:sz w:val="20"/>
          <w:szCs w:val="20"/>
        </w:rPr>
        <w:t xml:space="preserve"> au cours du mois de juin 2016. </w:t>
      </w:r>
    </w:p>
    <w:p w:rsidR="00E02A81" w:rsidRPr="00E02A81" w:rsidRDefault="00E02A81" w:rsidP="00E02A81">
      <w:pPr>
        <w:jc w:val="both"/>
        <w:rPr>
          <w:rFonts w:ascii="Arial" w:hAnsi="Arial" w:cs="Arial"/>
          <w:sz w:val="20"/>
          <w:szCs w:val="20"/>
        </w:rPr>
      </w:pPr>
    </w:p>
    <w:p w:rsidR="00E02A81" w:rsidRPr="00E02A81" w:rsidRDefault="00E02A81" w:rsidP="00F925BA">
      <w:pPr>
        <w:jc w:val="both"/>
        <w:rPr>
          <w:rFonts w:ascii="Arial" w:hAnsi="Arial" w:cs="Arial"/>
          <w:sz w:val="20"/>
          <w:szCs w:val="20"/>
        </w:rPr>
      </w:pPr>
      <w:r w:rsidRPr="00E02A81">
        <w:rPr>
          <w:rFonts w:ascii="Arial" w:hAnsi="Arial" w:cs="Arial"/>
          <w:sz w:val="20"/>
          <w:szCs w:val="20"/>
        </w:rPr>
        <w:t xml:space="preserve">Après une légère augmentation au troisième trimestre 2016 par rapport </w:t>
      </w:r>
      <w:r w:rsidR="00B46C1A">
        <w:rPr>
          <w:rFonts w:ascii="Arial" w:hAnsi="Arial" w:cs="Arial"/>
          <w:sz w:val="20"/>
          <w:szCs w:val="20"/>
        </w:rPr>
        <w:t>au</w:t>
      </w:r>
      <w:r w:rsidRPr="00E02A81">
        <w:rPr>
          <w:rFonts w:ascii="Arial" w:hAnsi="Arial" w:cs="Arial"/>
          <w:sz w:val="20"/>
          <w:szCs w:val="20"/>
        </w:rPr>
        <w:t xml:space="preserve"> trimestre</w:t>
      </w:r>
      <w:r w:rsidR="00B46C1A">
        <w:rPr>
          <w:rFonts w:ascii="Arial" w:hAnsi="Arial" w:cs="Arial"/>
          <w:sz w:val="20"/>
          <w:szCs w:val="20"/>
        </w:rPr>
        <w:t xml:space="preserve"> qui précède</w:t>
      </w:r>
      <w:r w:rsidRPr="00E02A81">
        <w:rPr>
          <w:rFonts w:ascii="Arial" w:hAnsi="Arial" w:cs="Arial"/>
          <w:sz w:val="20"/>
          <w:szCs w:val="20"/>
        </w:rPr>
        <w:t xml:space="preserve">, le marché </w:t>
      </w:r>
      <w:r w:rsidRPr="00E02A81">
        <w:rPr>
          <w:rFonts w:ascii="Arial" w:hAnsi="Arial" w:cs="Arial"/>
          <w:b/>
          <w:bCs/>
          <w:sz w:val="20"/>
          <w:szCs w:val="20"/>
        </w:rPr>
        <w:t>monétaire</w:t>
      </w:r>
      <w:r w:rsidRPr="00E02A81">
        <w:rPr>
          <w:rFonts w:ascii="Arial" w:hAnsi="Arial" w:cs="Arial"/>
          <w:sz w:val="20"/>
          <w:szCs w:val="20"/>
        </w:rPr>
        <w:t xml:space="preserve"> aurait connu une baisse de ses différents taux d’intérêt, au quatrième trimestre 2016. En variation annuelle, le taux interbancaire moyen aurait cédé 0,26 point et les taux des adjudications des bons du Trésor à 1 an et à 5 ans auraient baissé de 0,31 et 0,48 point, respectivement, alors que les taux créditeurs </w:t>
      </w:r>
      <w:r w:rsidR="00F925BA">
        <w:rPr>
          <w:rFonts w:ascii="Arial" w:hAnsi="Arial" w:cs="Arial"/>
          <w:sz w:val="20"/>
          <w:szCs w:val="20"/>
        </w:rPr>
        <w:t>auraie</w:t>
      </w:r>
      <w:r w:rsidRPr="00E02A81">
        <w:rPr>
          <w:rFonts w:ascii="Arial" w:hAnsi="Arial" w:cs="Arial"/>
          <w:sz w:val="20"/>
          <w:szCs w:val="20"/>
        </w:rPr>
        <w:t>nt reculé, en moyenne, de 0,51 point au cours de la même période.</w:t>
      </w:r>
    </w:p>
    <w:p w:rsidR="00812DBB" w:rsidRPr="00812DBB" w:rsidRDefault="00812DBB" w:rsidP="00812DBB">
      <w:pPr>
        <w:jc w:val="both"/>
        <w:rPr>
          <w:rFonts w:ascii="Arial" w:hAnsi="Arial" w:cs="Arial"/>
          <w:sz w:val="20"/>
          <w:szCs w:val="20"/>
        </w:rPr>
      </w:pPr>
    </w:p>
    <w:p w:rsidR="00E27304" w:rsidRPr="00E27304" w:rsidRDefault="008B2A3E" w:rsidP="00E27304">
      <w:pPr>
        <w:jc w:val="both"/>
        <w:rPr>
          <w:rFonts w:ascii="Arial" w:hAnsi="Arial" w:cs="Arial"/>
          <w:b/>
          <w:bCs/>
          <w:color w:val="800000"/>
          <w:kern w:val="28"/>
          <w:sz w:val="20"/>
          <w:szCs w:val="20"/>
        </w:rPr>
      </w:pPr>
      <w:r>
        <w:rPr>
          <w:rFonts w:ascii="Arial" w:hAnsi="Arial" w:cs="Arial"/>
          <w:b/>
          <w:bCs/>
          <w:color w:val="800000"/>
          <w:kern w:val="28"/>
          <w:sz w:val="20"/>
          <w:szCs w:val="20"/>
        </w:rPr>
        <w:t>Performance notable</w:t>
      </w:r>
      <w:r w:rsidR="00E27304" w:rsidRPr="00E27304">
        <w:rPr>
          <w:rFonts w:ascii="Arial" w:hAnsi="Arial" w:cs="Arial"/>
          <w:b/>
          <w:bCs/>
          <w:color w:val="800000"/>
          <w:kern w:val="28"/>
          <w:sz w:val="20"/>
          <w:szCs w:val="20"/>
        </w:rPr>
        <w:t xml:space="preserve"> des indices boursiers</w:t>
      </w:r>
    </w:p>
    <w:p w:rsidR="00E27304" w:rsidRPr="00E27304" w:rsidRDefault="00E27304" w:rsidP="00E27304">
      <w:pPr>
        <w:jc w:val="both"/>
        <w:rPr>
          <w:rFonts w:ascii="Arial" w:hAnsi="Arial" w:cs="Arial"/>
          <w:sz w:val="20"/>
          <w:szCs w:val="20"/>
        </w:rPr>
      </w:pPr>
      <w:r w:rsidRPr="00E27304">
        <w:rPr>
          <w:noProof/>
          <w:szCs w:val="20"/>
        </w:rPr>
        <w:drawing>
          <wp:anchor distT="0" distB="0" distL="114300" distR="114300" simplePos="0" relativeHeight="251699200" behindDoc="0" locked="0" layoutInCell="1" allowOverlap="1">
            <wp:simplePos x="0" y="0"/>
            <wp:positionH relativeFrom="column">
              <wp:posOffset>4020820</wp:posOffset>
            </wp:positionH>
            <wp:positionV relativeFrom="paragraph">
              <wp:posOffset>83820</wp:posOffset>
            </wp:positionV>
            <wp:extent cx="2584450" cy="2055495"/>
            <wp:effectExtent l="19050" t="0" r="6350" b="0"/>
            <wp:wrapSquare wrapText="bothSides"/>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584450" cy="2055495"/>
                    </a:xfrm>
                    <a:prstGeom prst="rect">
                      <a:avLst/>
                    </a:prstGeom>
                    <a:noFill/>
                    <a:ln w="9525">
                      <a:noFill/>
                      <a:miter lim="800000"/>
                      <a:headEnd/>
                      <a:tailEnd/>
                    </a:ln>
                  </pic:spPr>
                </pic:pic>
              </a:graphicData>
            </a:graphic>
          </wp:anchor>
        </w:drawing>
      </w:r>
    </w:p>
    <w:p w:rsidR="00E27304" w:rsidRPr="00E27304" w:rsidRDefault="00E27304" w:rsidP="00897985">
      <w:pPr>
        <w:jc w:val="both"/>
        <w:rPr>
          <w:rFonts w:ascii="Arial" w:hAnsi="Arial" w:cs="Arial"/>
          <w:sz w:val="20"/>
          <w:szCs w:val="20"/>
        </w:rPr>
      </w:pPr>
      <w:r w:rsidRPr="00E27304">
        <w:rPr>
          <w:rFonts w:ascii="Arial" w:hAnsi="Arial" w:cs="Arial"/>
          <w:sz w:val="20"/>
          <w:szCs w:val="20"/>
        </w:rPr>
        <w:t xml:space="preserve">Le marché des </w:t>
      </w:r>
      <w:r w:rsidRPr="00E27304">
        <w:rPr>
          <w:rFonts w:ascii="Arial" w:hAnsi="Arial" w:cs="Arial"/>
          <w:b/>
          <w:bCs/>
          <w:sz w:val="20"/>
          <w:szCs w:val="20"/>
        </w:rPr>
        <w:t>actions</w:t>
      </w:r>
      <w:r w:rsidRPr="00E27304">
        <w:rPr>
          <w:rFonts w:ascii="Arial" w:hAnsi="Arial" w:cs="Arial"/>
          <w:sz w:val="20"/>
          <w:szCs w:val="20"/>
        </w:rPr>
        <w:t xml:space="preserve"> se serait sensiblement apprécié au quatrième trimestre 2016, dans un contexte marqué par la baisse continue des taux d’intérêt et l’amélioration de la liquidité du système bancaire. Les indices MASI et MADEX auraient progressé de 30,5% et 31,6%, respectivement, en glissements annuels, après des hausses de 10,1% et 10,3%, au trimestre précédent. </w:t>
      </w:r>
      <w:r w:rsidR="0012006B">
        <w:rPr>
          <w:rFonts w:ascii="Arial" w:hAnsi="Arial" w:cs="Arial"/>
          <w:sz w:val="20"/>
          <w:szCs w:val="20"/>
        </w:rPr>
        <w:t>Pour sa part, l</w:t>
      </w:r>
      <w:r w:rsidRPr="00E27304">
        <w:rPr>
          <w:rFonts w:ascii="Arial" w:hAnsi="Arial" w:cs="Arial"/>
          <w:sz w:val="20"/>
          <w:szCs w:val="20"/>
        </w:rPr>
        <w:t xml:space="preserve">a capitalisation boursière se serait améliorée de 28,7%, au lieu de +10,7%, un trimestre auparavant. Ces </w:t>
      </w:r>
      <w:r w:rsidR="002C0055">
        <w:rPr>
          <w:rFonts w:ascii="Arial" w:hAnsi="Arial" w:cs="Arial"/>
          <w:sz w:val="20"/>
          <w:szCs w:val="20"/>
        </w:rPr>
        <w:t xml:space="preserve">dernières </w:t>
      </w:r>
      <w:r w:rsidRPr="00E27304">
        <w:rPr>
          <w:rFonts w:ascii="Arial" w:hAnsi="Arial" w:cs="Arial"/>
          <w:sz w:val="20"/>
          <w:szCs w:val="20"/>
        </w:rPr>
        <w:t xml:space="preserve">performances </w:t>
      </w:r>
      <w:r w:rsidR="002C0055">
        <w:rPr>
          <w:rFonts w:ascii="Arial" w:hAnsi="Arial" w:cs="Arial"/>
          <w:sz w:val="20"/>
          <w:szCs w:val="20"/>
        </w:rPr>
        <w:t>seraient attribuables</w:t>
      </w:r>
      <w:r w:rsidRPr="00E27304">
        <w:rPr>
          <w:rFonts w:ascii="Arial" w:hAnsi="Arial" w:cs="Arial"/>
          <w:sz w:val="20"/>
          <w:szCs w:val="20"/>
        </w:rPr>
        <w:t xml:space="preserve">, principalement, </w:t>
      </w:r>
      <w:r w:rsidR="002C0055">
        <w:rPr>
          <w:rFonts w:ascii="Arial" w:hAnsi="Arial" w:cs="Arial"/>
          <w:sz w:val="20"/>
          <w:szCs w:val="20"/>
        </w:rPr>
        <w:t xml:space="preserve">à </w:t>
      </w:r>
      <w:r w:rsidRPr="00E27304">
        <w:rPr>
          <w:rFonts w:ascii="Arial" w:hAnsi="Arial" w:cs="Arial"/>
          <w:sz w:val="20"/>
          <w:szCs w:val="20"/>
        </w:rPr>
        <w:t xml:space="preserve">la hausse des cours boursiers des secteurs de l’immobilier, de l’agroalimentaire, de la chimie et du papier. Parallèlement, le marché boursier aurait enregistré une </w:t>
      </w:r>
      <w:r w:rsidR="00897985">
        <w:rPr>
          <w:rFonts w:ascii="Arial" w:hAnsi="Arial" w:cs="Arial"/>
          <w:sz w:val="20"/>
          <w:szCs w:val="20"/>
        </w:rPr>
        <w:t>améliora</w:t>
      </w:r>
      <w:r w:rsidRPr="00E27304">
        <w:rPr>
          <w:rFonts w:ascii="Arial" w:hAnsi="Arial" w:cs="Arial"/>
          <w:sz w:val="20"/>
          <w:szCs w:val="20"/>
        </w:rPr>
        <w:t xml:space="preserve">tion des échanges, </w:t>
      </w:r>
      <w:r w:rsidR="002C0055">
        <w:rPr>
          <w:rFonts w:ascii="Arial" w:hAnsi="Arial" w:cs="Arial"/>
          <w:sz w:val="20"/>
          <w:szCs w:val="20"/>
        </w:rPr>
        <w:t xml:space="preserve">dans un contexte marqué par la </w:t>
      </w:r>
      <w:r w:rsidR="002C0055" w:rsidRPr="00E27304">
        <w:rPr>
          <w:rFonts w:ascii="Arial" w:hAnsi="Arial" w:cs="Arial"/>
          <w:sz w:val="20"/>
          <w:szCs w:val="20"/>
        </w:rPr>
        <w:t xml:space="preserve">prudence et </w:t>
      </w:r>
      <w:r w:rsidR="002C0055">
        <w:rPr>
          <w:rFonts w:ascii="Arial" w:hAnsi="Arial" w:cs="Arial"/>
          <w:sz w:val="20"/>
          <w:szCs w:val="20"/>
        </w:rPr>
        <w:t xml:space="preserve">la </w:t>
      </w:r>
      <w:r w:rsidR="002C0055" w:rsidRPr="00E27304">
        <w:rPr>
          <w:rFonts w:ascii="Arial" w:hAnsi="Arial" w:cs="Arial"/>
          <w:sz w:val="20"/>
          <w:szCs w:val="20"/>
        </w:rPr>
        <w:t>précaution</w:t>
      </w:r>
      <w:r w:rsidR="002C0055">
        <w:rPr>
          <w:rFonts w:ascii="Arial" w:hAnsi="Arial" w:cs="Arial"/>
          <w:sz w:val="20"/>
          <w:szCs w:val="20"/>
        </w:rPr>
        <w:t xml:space="preserve"> dans l’intervention d</w:t>
      </w:r>
      <w:r w:rsidRPr="00E27304">
        <w:rPr>
          <w:rFonts w:ascii="Arial" w:hAnsi="Arial" w:cs="Arial"/>
          <w:sz w:val="20"/>
          <w:szCs w:val="20"/>
        </w:rPr>
        <w:t>es investisseurs en actions. C’est ainsi que le volume des transactions aurait augmenté de 34,4%</w:t>
      </w:r>
      <w:r w:rsidR="002C0055">
        <w:rPr>
          <w:rFonts w:ascii="Arial" w:hAnsi="Arial" w:cs="Arial"/>
          <w:sz w:val="20"/>
          <w:szCs w:val="20"/>
        </w:rPr>
        <w:t>,</w:t>
      </w:r>
      <w:r w:rsidRPr="00E27304">
        <w:rPr>
          <w:rFonts w:ascii="Arial" w:hAnsi="Arial" w:cs="Arial"/>
          <w:sz w:val="20"/>
          <w:szCs w:val="20"/>
        </w:rPr>
        <w:t xml:space="preserve"> en variation annuelle. </w:t>
      </w:r>
    </w:p>
    <w:p w:rsidR="00812DBB" w:rsidRPr="00812DBB" w:rsidRDefault="00812DBB" w:rsidP="00721969">
      <w:pPr>
        <w:jc w:val="both"/>
        <w:rPr>
          <w:rFonts w:ascii="Arial" w:hAnsi="Arial" w:cs="Arial"/>
          <w:sz w:val="20"/>
          <w:szCs w:val="20"/>
        </w:rPr>
      </w:pPr>
    </w:p>
    <w:p w:rsidR="00592D6B" w:rsidRPr="00F20957" w:rsidRDefault="00592D6B" w:rsidP="00592D6B">
      <w:pPr>
        <w:jc w:val="both"/>
        <w:rPr>
          <w:rFonts w:ascii="Arial" w:hAnsi="Arial" w:cs="Arial"/>
          <w:sz w:val="20"/>
          <w:szCs w:val="20"/>
        </w:rPr>
      </w:pPr>
    </w:p>
    <w:p w:rsidR="0097276B" w:rsidRDefault="008B2A3E" w:rsidP="003D1F6E">
      <w:pPr>
        <w:jc w:val="both"/>
        <w:rPr>
          <w:rFonts w:ascii="Arial" w:hAnsi="Arial" w:cs="Arial"/>
          <w:b/>
          <w:bCs/>
          <w:color w:val="800000"/>
          <w:kern w:val="28"/>
          <w:sz w:val="20"/>
          <w:szCs w:val="20"/>
        </w:rPr>
      </w:pPr>
      <w:r>
        <w:rPr>
          <w:rFonts w:ascii="Arial" w:hAnsi="Arial" w:cs="Arial"/>
          <w:b/>
          <w:bCs/>
          <w:color w:val="800000"/>
          <w:kern w:val="28"/>
          <w:sz w:val="20"/>
          <w:szCs w:val="20"/>
        </w:rPr>
        <w:t>A</w:t>
      </w:r>
      <w:r w:rsidR="003D1F6E">
        <w:rPr>
          <w:rFonts w:ascii="Arial" w:hAnsi="Arial" w:cs="Arial"/>
          <w:b/>
          <w:bCs/>
          <w:color w:val="800000"/>
          <w:kern w:val="28"/>
          <w:sz w:val="20"/>
          <w:szCs w:val="20"/>
        </w:rPr>
        <w:t>ccélération</w:t>
      </w:r>
      <w:r w:rsidR="0097276B" w:rsidRPr="001640A8">
        <w:rPr>
          <w:rFonts w:ascii="Arial" w:hAnsi="Arial" w:cs="Arial"/>
          <w:b/>
          <w:bCs/>
          <w:color w:val="800000"/>
          <w:kern w:val="28"/>
          <w:sz w:val="20"/>
          <w:szCs w:val="20"/>
        </w:rPr>
        <w:t xml:space="preserve"> de la croissance </w:t>
      </w:r>
      <w:r w:rsidR="0097276B">
        <w:rPr>
          <w:rFonts w:ascii="Arial" w:hAnsi="Arial" w:cs="Arial"/>
          <w:b/>
          <w:bCs/>
          <w:color w:val="800000"/>
          <w:kern w:val="28"/>
          <w:sz w:val="20"/>
          <w:szCs w:val="20"/>
        </w:rPr>
        <w:t xml:space="preserve">économique au </w:t>
      </w:r>
      <w:r w:rsidR="003D1F6E">
        <w:rPr>
          <w:rFonts w:ascii="Arial" w:hAnsi="Arial" w:cs="Arial"/>
          <w:b/>
          <w:bCs/>
          <w:color w:val="800000"/>
          <w:kern w:val="28"/>
          <w:sz w:val="20"/>
          <w:szCs w:val="20"/>
        </w:rPr>
        <w:t>premier</w:t>
      </w:r>
      <w:r w:rsidR="0097276B" w:rsidRPr="001640A8">
        <w:rPr>
          <w:rFonts w:ascii="Arial" w:hAnsi="Arial" w:cs="Arial"/>
          <w:b/>
          <w:bCs/>
          <w:color w:val="800000"/>
          <w:kern w:val="28"/>
          <w:sz w:val="20"/>
          <w:szCs w:val="20"/>
        </w:rPr>
        <w:t xml:space="preserve"> trimestre 201</w:t>
      </w:r>
      <w:r w:rsidR="003D1F6E">
        <w:rPr>
          <w:rFonts w:ascii="Arial" w:hAnsi="Arial" w:cs="Arial"/>
          <w:b/>
          <w:bCs/>
          <w:color w:val="800000"/>
          <w:kern w:val="28"/>
          <w:sz w:val="20"/>
          <w:szCs w:val="20"/>
        </w:rPr>
        <w:t>7</w:t>
      </w:r>
    </w:p>
    <w:p w:rsidR="0097276B" w:rsidRDefault="0097276B" w:rsidP="0032191A">
      <w:pPr>
        <w:jc w:val="both"/>
        <w:rPr>
          <w:rFonts w:ascii="Arial" w:hAnsi="Arial" w:cs="Arial"/>
          <w:b/>
          <w:bCs/>
          <w:color w:val="800000"/>
          <w:kern w:val="28"/>
          <w:sz w:val="20"/>
          <w:szCs w:val="20"/>
        </w:rPr>
      </w:pPr>
    </w:p>
    <w:p w:rsidR="00B92336" w:rsidRPr="00035FD0" w:rsidRDefault="001B6EC9" w:rsidP="002A25B2">
      <w:pPr>
        <w:jc w:val="both"/>
        <w:rPr>
          <w:rFonts w:asciiTheme="minorBidi" w:hAnsiTheme="minorBidi" w:cstheme="minorBidi"/>
          <w:sz w:val="20"/>
          <w:szCs w:val="20"/>
        </w:rPr>
      </w:pPr>
      <w:r>
        <w:rPr>
          <w:rFonts w:ascii="Arial" w:hAnsi="Arial" w:cs="Arial"/>
          <w:sz w:val="20"/>
          <w:szCs w:val="20"/>
        </w:rPr>
        <w:t>L</w:t>
      </w:r>
      <w:r w:rsidR="009072BB">
        <w:rPr>
          <w:rFonts w:ascii="Arial" w:hAnsi="Arial" w:cs="Arial"/>
          <w:sz w:val="20"/>
          <w:szCs w:val="20"/>
        </w:rPr>
        <w:t>e rythme de</w:t>
      </w:r>
      <w:r>
        <w:rPr>
          <w:rFonts w:ascii="Arial" w:hAnsi="Arial" w:cs="Arial"/>
          <w:sz w:val="20"/>
          <w:szCs w:val="20"/>
        </w:rPr>
        <w:t xml:space="preserve"> croissance économique</w:t>
      </w:r>
      <w:r w:rsidR="0097276B">
        <w:rPr>
          <w:rFonts w:ascii="Arial" w:hAnsi="Arial" w:cs="Arial"/>
          <w:sz w:val="20"/>
          <w:szCs w:val="20"/>
        </w:rPr>
        <w:t xml:space="preserve"> nationale </w:t>
      </w:r>
      <w:r w:rsidR="00F01418">
        <w:rPr>
          <w:rFonts w:ascii="Arial" w:hAnsi="Arial" w:cs="Arial"/>
          <w:sz w:val="20"/>
          <w:szCs w:val="20"/>
        </w:rPr>
        <w:t xml:space="preserve">devrait </w:t>
      </w:r>
      <w:r w:rsidR="008B2A3E">
        <w:rPr>
          <w:rFonts w:ascii="Arial" w:hAnsi="Arial" w:cs="Arial"/>
          <w:sz w:val="20"/>
          <w:szCs w:val="20"/>
        </w:rPr>
        <w:t>connaître une sensible</w:t>
      </w:r>
      <w:r>
        <w:rPr>
          <w:rFonts w:ascii="Arial" w:hAnsi="Arial" w:cs="Arial"/>
          <w:sz w:val="20"/>
          <w:szCs w:val="20"/>
        </w:rPr>
        <w:t xml:space="preserve"> </w:t>
      </w:r>
      <w:r w:rsidR="00721969">
        <w:rPr>
          <w:rFonts w:ascii="Arial" w:hAnsi="Arial" w:cs="Arial"/>
          <w:sz w:val="20"/>
          <w:szCs w:val="20"/>
        </w:rPr>
        <w:t>accélérat</w:t>
      </w:r>
      <w:r>
        <w:rPr>
          <w:rFonts w:ascii="Arial" w:hAnsi="Arial" w:cs="Arial"/>
          <w:sz w:val="20"/>
          <w:szCs w:val="20"/>
        </w:rPr>
        <w:t>ion</w:t>
      </w:r>
      <w:r w:rsidR="0097276B">
        <w:rPr>
          <w:rFonts w:ascii="Arial" w:hAnsi="Arial" w:cs="Arial"/>
          <w:sz w:val="20"/>
          <w:szCs w:val="20"/>
        </w:rPr>
        <w:t xml:space="preserve"> au </w:t>
      </w:r>
      <w:r w:rsidR="00721969">
        <w:rPr>
          <w:rFonts w:ascii="Arial" w:hAnsi="Arial" w:cs="Arial"/>
          <w:sz w:val="20"/>
          <w:szCs w:val="20"/>
        </w:rPr>
        <w:t>premier</w:t>
      </w:r>
      <w:r w:rsidR="0097276B">
        <w:rPr>
          <w:rFonts w:ascii="Arial" w:hAnsi="Arial" w:cs="Arial"/>
          <w:sz w:val="20"/>
          <w:szCs w:val="20"/>
        </w:rPr>
        <w:t xml:space="preserve"> trimestre 201</w:t>
      </w:r>
      <w:r w:rsidR="00721969">
        <w:rPr>
          <w:rFonts w:ascii="Arial" w:hAnsi="Arial" w:cs="Arial"/>
          <w:sz w:val="20"/>
          <w:szCs w:val="20"/>
        </w:rPr>
        <w:t>7</w:t>
      </w:r>
      <w:r w:rsidR="0097276B">
        <w:rPr>
          <w:rFonts w:ascii="Arial" w:hAnsi="Arial" w:cs="Arial"/>
          <w:sz w:val="20"/>
          <w:szCs w:val="20"/>
        </w:rPr>
        <w:t xml:space="preserve">, </w:t>
      </w:r>
      <w:r w:rsidR="00D14F86">
        <w:rPr>
          <w:rFonts w:ascii="Arial" w:hAnsi="Arial" w:cs="Arial"/>
          <w:sz w:val="20"/>
          <w:szCs w:val="20"/>
        </w:rPr>
        <w:t xml:space="preserve">sous l’effet </w:t>
      </w:r>
      <w:r w:rsidR="00446A4A">
        <w:rPr>
          <w:rFonts w:ascii="Arial" w:hAnsi="Arial" w:cs="Arial"/>
          <w:sz w:val="20"/>
          <w:szCs w:val="20"/>
        </w:rPr>
        <w:t>d’un</w:t>
      </w:r>
      <w:r w:rsidR="00721969">
        <w:rPr>
          <w:rFonts w:ascii="Arial" w:hAnsi="Arial" w:cs="Arial"/>
          <w:sz w:val="20"/>
          <w:szCs w:val="20"/>
        </w:rPr>
        <w:t xml:space="preserve"> redressement</w:t>
      </w:r>
      <w:r w:rsidR="0014485F">
        <w:rPr>
          <w:rFonts w:ascii="Arial" w:hAnsi="Arial" w:cs="Arial"/>
          <w:sz w:val="20"/>
          <w:szCs w:val="20"/>
        </w:rPr>
        <w:t xml:space="preserve"> de </w:t>
      </w:r>
      <w:r w:rsidR="003623B6">
        <w:rPr>
          <w:rFonts w:ascii="Arial" w:hAnsi="Arial" w:cs="Arial"/>
          <w:sz w:val="20"/>
          <w:szCs w:val="20"/>
        </w:rPr>
        <w:t>1</w:t>
      </w:r>
      <w:r w:rsidR="003E3CCF">
        <w:rPr>
          <w:rFonts w:ascii="Arial" w:hAnsi="Arial" w:cs="Arial"/>
          <w:sz w:val="20"/>
          <w:szCs w:val="20"/>
        </w:rPr>
        <w:t>1</w:t>
      </w:r>
      <w:r w:rsidR="00C9248C" w:rsidRPr="00D91862">
        <w:rPr>
          <w:rFonts w:asciiTheme="minorBidi" w:hAnsiTheme="minorBidi" w:cstheme="minorBidi"/>
          <w:sz w:val="20"/>
          <w:szCs w:val="20"/>
        </w:rPr>
        <w:t>,</w:t>
      </w:r>
      <w:r w:rsidR="003E3CCF">
        <w:rPr>
          <w:rFonts w:asciiTheme="minorBidi" w:hAnsiTheme="minorBidi" w:cstheme="minorBidi"/>
          <w:sz w:val="20"/>
          <w:szCs w:val="20"/>
        </w:rPr>
        <w:t>1</w:t>
      </w:r>
      <w:r w:rsidR="00C9248C" w:rsidRPr="00D91862">
        <w:rPr>
          <w:rFonts w:asciiTheme="minorBidi" w:hAnsiTheme="minorBidi" w:cstheme="minorBidi"/>
          <w:sz w:val="20"/>
          <w:szCs w:val="20"/>
        </w:rPr>
        <w:t>%</w:t>
      </w:r>
      <w:r w:rsidR="00C9248C">
        <w:rPr>
          <w:rFonts w:asciiTheme="minorBidi" w:hAnsiTheme="minorBidi" w:cstheme="minorBidi"/>
          <w:sz w:val="20"/>
          <w:szCs w:val="20"/>
        </w:rPr>
        <w:t xml:space="preserve"> de</w:t>
      </w:r>
      <w:r w:rsidR="00C9248C">
        <w:rPr>
          <w:rFonts w:ascii="Arial" w:hAnsi="Arial" w:cs="Arial"/>
          <w:sz w:val="20"/>
          <w:szCs w:val="20"/>
        </w:rPr>
        <w:t xml:space="preserve"> </w:t>
      </w:r>
      <w:r w:rsidR="0014485F">
        <w:rPr>
          <w:rFonts w:ascii="Arial" w:hAnsi="Arial" w:cs="Arial"/>
          <w:sz w:val="20"/>
          <w:szCs w:val="20"/>
        </w:rPr>
        <w:t xml:space="preserve">la </w:t>
      </w:r>
      <w:r w:rsidR="0094768B">
        <w:rPr>
          <w:rFonts w:ascii="Arial" w:hAnsi="Arial" w:cs="Arial"/>
          <w:sz w:val="20"/>
          <w:szCs w:val="20"/>
        </w:rPr>
        <w:t>valeur ajoutée</w:t>
      </w:r>
      <w:r w:rsidR="0014485F">
        <w:rPr>
          <w:rFonts w:ascii="Arial" w:hAnsi="Arial" w:cs="Arial"/>
          <w:sz w:val="20"/>
          <w:szCs w:val="20"/>
        </w:rPr>
        <w:t xml:space="preserve"> agricole</w:t>
      </w:r>
      <w:r w:rsidR="00C9248C">
        <w:rPr>
          <w:rFonts w:asciiTheme="minorBidi" w:hAnsiTheme="minorBidi" w:cstheme="minorBidi"/>
          <w:sz w:val="20"/>
          <w:szCs w:val="20"/>
        </w:rPr>
        <w:t xml:space="preserve">, </w:t>
      </w:r>
      <w:r w:rsidR="00B92336" w:rsidRPr="00035FD0">
        <w:rPr>
          <w:rFonts w:asciiTheme="minorBidi" w:hAnsiTheme="minorBidi" w:cstheme="minorBidi"/>
          <w:sz w:val="20"/>
          <w:szCs w:val="20"/>
        </w:rPr>
        <w:t xml:space="preserve">portant ainsi sa contribution à la croissance économique globale à </w:t>
      </w:r>
      <w:r w:rsidR="003409C4">
        <w:rPr>
          <w:rFonts w:asciiTheme="minorBidi" w:hAnsiTheme="minorBidi" w:cstheme="minorBidi"/>
          <w:sz w:val="20"/>
          <w:szCs w:val="20"/>
        </w:rPr>
        <w:t>1,</w:t>
      </w:r>
      <w:r w:rsidR="003E3CCF">
        <w:rPr>
          <w:rFonts w:asciiTheme="minorBidi" w:hAnsiTheme="minorBidi" w:cstheme="minorBidi"/>
          <w:sz w:val="20"/>
          <w:szCs w:val="20"/>
        </w:rPr>
        <w:t>3</w:t>
      </w:r>
      <w:r w:rsidR="00B92336">
        <w:rPr>
          <w:rFonts w:asciiTheme="minorBidi" w:hAnsiTheme="minorBidi"/>
          <w:sz w:val="20"/>
          <w:szCs w:val="20"/>
        </w:rPr>
        <w:t xml:space="preserve"> </w:t>
      </w:r>
      <w:r w:rsidR="00B92336" w:rsidRPr="00035FD0">
        <w:rPr>
          <w:rFonts w:asciiTheme="minorBidi" w:hAnsiTheme="minorBidi" w:cstheme="minorBidi"/>
          <w:sz w:val="20"/>
          <w:szCs w:val="20"/>
        </w:rPr>
        <w:t xml:space="preserve">point. </w:t>
      </w:r>
      <w:r w:rsidR="002C0055">
        <w:rPr>
          <w:rFonts w:asciiTheme="minorBidi" w:hAnsiTheme="minorBidi" w:cstheme="minorBidi"/>
          <w:sz w:val="20"/>
          <w:szCs w:val="20"/>
        </w:rPr>
        <w:t>En effet, l</w:t>
      </w:r>
      <w:r w:rsidR="00B92336" w:rsidRPr="00035FD0">
        <w:rPr>
          <w:rFonts w:asciiTheme="minorBidi" w:hAnsiTheme="minorBidi" w:cstheme="minorBidi"/>
          <w:sz w:val="20"/>
          <w:szCs w:val="20"/>
        </w:rPr>
        <w:t>es activités agricoles afficheraient un retournement à la hausse grâce</w:t>
      </w:r>
      <w:r w:rsidR="002C0055">
        <w:rPr>
          <w:rFonts w:asciiTheme="minorBidi" w:hAnsiTheme="minorBidi" w:cstheme="minorBidi"/>
          <w:sz w:val="20"/>
          <w:szCs w:val="20"/>
        </w:rPr>
        <w:t>,</w:t>
      </w:r>
      <w:r w:rsidR="00B92336" w:rsidRPr="00035FD0">
        <w:rPr>
          <w:rFonts w:asciiTheme="minorBidi" w:hAnsiTheme="minorBidi" w:cstheme="minorBidi"/>
          <w:sz w:val="20"/>
          <w:szCs w:val="20"/>
        </w:rPr>
        <w:t xml:space="preserve"> notamment</w:t>
      </w:r>
      <w:r w:rsidR="002C0055">
        <w:rPr>
          <w:rFonts w:asciiTheme="minorBidi" w:hAnsiTheme="minorBidi" w:cstheme="minorBidi"/>
          <w:sz w:val="20"/>
          <w:szCs w:val="20"/>
        </w:rPr>
        <w:t>,</w:t>
      </w:r>
      <w:r w:rsidR="00B92336" w:rsidRPr="00035FD0">
        <w:rPr>
          <w:rFonts w:asciiTheme="minorBidi" w:hAnsiTheme="minorBidi" w:cstheme="minorBidi"/>
          <w:sz w:val="20"/>
          <w:szCs w:val="20"/>
        </w:rPr>
        <w:t xml:space="preserve"> à l’amélioration des conditions climatiques de démarrage et d’installation des cultures précoces. </w:t>
      </w:r>
      <w:r w:rsidR="00B92336">
        <w:rPr>
          <w:rFonts w:asciiTheme="minorBidi" w:hAnsiTheme="minorBidi"/>
          <w:sz w:val="20"/>
          <w:szCs w:val="20"/>
        </w:rPr>
        <w:t>L</w:t>
      </w:r>
      <w:r w:rsidR="00B92336" w:rsidRPr="00035FD0">
        <w:rPr>
          <w:rFonts w:asciiTheme="minorBidi" w:hAnsiTheme="minorBidi" w:cstheme="minorBidi"/>
          <w:sz w:val="20"/>
          <w:szCs w:val="20"/>
        </w:rPr>
        <w:t xml:space="preserve">e cumul pluviométrique des </w:t>
      </w:r>
      <w:r w:rsidR="002A25B2">
        <w:rPr>
          <w:rFonts w:asciiTheme="minorBidi" w:hAnsiTheme="minorBidi" w:cstheme="minorBidi"/>
          <w:sz w:val="20"/>
          <w:szCs w:val="20"/>
        </w:rPr>
        <w:t>quatre</w:t>
      </w:r>
      <w:r w:rsidR="00B92336" w:rsidRPr="00035FD0">
        <w:rPr>
          <w:rFonts w:asciiTheme="minorBidi" w:hAnsiTheme="minorBidi" w:cstheme="minorBidi"/>
          <w:sz w:val="20"/>
          <w:szCs w:val="20"/>
        </w:rPr>
        <w:t xml:space="preserve"> premiers mois de la campagne agricole 2016/2017, aurait </w:t>
      </w:r>
      <w:r w:rsidR="002A25B2">
        <w:rPr>
          <w:rFonts w:asciiTheme="minorBidi" w:hAnsiTheme="minorBidi" w:cstheme="minorBidi"/>
          <w:sz w:val="20"/>
          <w:szCs w:val="20"/>
        </w:rPr>
        <w:t>plus que triplé</w:t>
      </w:r>
      <w:r w:rsidR="00B92336" w:rsidRPr="00035FD0">
        <w:rPr>
          <w:rFonts w:asciiTheme="minorBidi" w:hAnsiTheme="minorBidi" w:cstheme="minorBidi"/>
          <w:sz w:val="20"/>
          <w:szCs w:val="20"/>
        </w:rPr>
        <w:t xml:space="preserve">, par rapport à la même période de la campagne précédente et </w:t>
      </w:r>
      <w:r w:rsidR="00B92336">
        <w:rPr>
          <w:rFonts w:asciiTheme="minorBidi" w:hAnsiTheme="minorBidi"/>
          <w:sz w:val="20"/>
          <w:szCs w:val="20"/>
        </w:rPr>
        <w:t xml:space="preserve">de </w:t>
      </w:r>
      <w:r w:rsidR="002A25B2">
        <w:rPr>
          <w:rFonts w:asciiTheme="minorBidi" w:hAnsiTheme="minorBidi"/>
          <w:sz w:val="20"/>
          <w:szCs w:val="20"/>
        </w:rPr>
        <w:t>12,9</w:t>
      </w:r>
      <w:r w:rsidR="00B92336" w:rsidRPr="00035FD0">
        <w:rPr>
          <w:rFonts w:asciiTheme="minorBidi" w:hAnsiTheme="minorBidi" w:cstheme="minorBidi"/>
          <w:sz w:val="20"/>
          <w:szCs w:val="20"/>
        </w:rPr>
        <w:t>% par rapport à la normale, favorisant</w:t>
      </w:r>
      <w:r w:rsidR="00B92336">
        <w:rPr>
          <w:rFonts w:asciiTheme="minorBidi" w:hAnsiTheme="minorBidi"/>
          <w:sz w:val="20"/>
          <w:szCs w:val="20"/>
        </w:rPr>
        <w:t>,</w:t>
      </w:r>
      <w:r w:rsidR="00B92336" w:rsidRPr="00035FD0">
        <w:rPr>
          <w:rFonts w:asciiTheme="minorBidi" w:hAnsiTheme="minorBidi" w:cstheme="minorBidi"/>
          <w:sz w:val="20"/>
          <w:szCs w:val="20"/>
        </w:rPr>
        <w:t xml:space="preserve"> ainsi</w:t>
      </w:r>
      <w:r w:rsidR="00B92336">
        <w:rPr>
          <w:rFonts w:asciiTheme="minorBidi" w:hAnsiTheme="minorBidi"/>
          <w:sz w:val="20"/>
          <w:szCs w:val="20"/>
        </w:rPr>
        <w:t>,</w:t>
      </w:r>
      <w:r w:rsidR="00B92336" w:rsidRPr="00035FD0">
        <w:rPr>
          <w:rFonts w:asciiTheme="minorBidi" w:hAnsiTheme="minorBidi" w:cstheme="minorBidi"/>
          <w:sz w:val="20"/>
          <w:szCs w:val="20"/>
        </w:rPr>
        <w:t xml:space="preserve"> un développement accéléré des travaux d’emblavement des céréales d’automne, des légumineuses et des cultures sucrières, notamment les betteraves. En conséquence, et sous l’hypothèse d’une régularité spatio-temporelle des pluies pendant les mois de février et mars 2017, la production végétale afficherait une croissance notable, tirée par une amélioration conjuguée des rendements et des surfaces semées des cultures précoces. La production animale devrait</w:t>
      </w:r>
      <w:r w:rsidR="00B1336C">
        <w:rPr>
          <w:rFonts w:asciiTheme="minorBidi" w:hAnsiTheme="minorBidi" w:cstheme="minorBidi"/>
          <w:sz w:val="20"/>
          <w:szCs w:val="20"/>
        </w:rPr>
        <w:t>,</w:t>
      </w:r>
      <w:r w:rsidR="00B92336" w:rsidRPr="00035FD0">
        <w:rPr>
          <w:rFonts w:asciiTheme="minorBidi" w:hAnsiTheme="minorBidi" w:cstheme="minorBidi"/>
          <w:sz w:val="20"/>
          <w:szCs w:val="20"/>
        </w:rPr>
        <w:t xml:space="preserve"> également</w:t>
      </w:r>
      <w:r w:rsidR="00B1336C">
        <w:rPr>
          <w:rFonts w:asciiTheme="minorBidi" w:hAnsiTheme="minorBidi" w:cstheme="minorBidi"/>
          <w:sz w:val="20"/>
          <w:szCs w:val="20"/>
        </w:rPr>
        <w:t>,</w:t>
      </w:r>
      <w:r w:rsidR="00B92336" w:rsidRPr="00035FD0">
        <w:rPr>
          <w:rFonts w:asciiTheme="minorBidi" w:hAnsiTheme="minorBidi" w:cstheme="minorBidi"/>
          <w:sz w:val="20"/>
          <w:szCs w:val="20"/>
        </w:rPr>
        <w:t xml:space="preserve"> s’accélérer profitant du redressement de la production avicole et de la poursuite du raffermissement des activités d’élevage du grand cheptel. </w:t>
      </w:r>
    </w:p>
    <w:p w:rsidR="006926DF" w:rsidRPr="00D34739" w:rsidRDefault="006926DF" w:rsidP="00392D8D">
      <w:pPr>
        <w:jc w:val="both"/>
        <w:rPr>
          <w:rFonts w:asciiTheme="minorBidi" w:hAnsiTheme="minorBidi" w:cstheme="minorBidi"/>
          <w:sz w:val="20"/>
          <w:szCs w:val="20"/>
        </w:rPr>
      </w:pPr>
    </w:p>
    <w:p w:rsidR="002A05D8" w:rsidRPr="00A94D35" w:rsidRDefault="00080A06" w:rsidP="00B1336C">
      <w:pPr>
        <w:jc w:val="both"/>
        <w:rPr>
          <w:rFonts w:ascii="Arial" w:hAnsi="Arial" w:cs="Arial"/>
          <w:sz w:val="20"/>
          <w:szCs w:val="20"/>
          <w:u w:val="single"/>
        </w:rPr>
      </w:pPr>
      <w:r w:rsidRPr="0030397E">
        <w:rPr>
          <w:rFonts w:ascii="Arial" w:hAnsi="Arial" w:cs="Arial"/>
          <w:sz w:val="20"/>
          <w:szCs w:val="20"/>
        </w:rPr>
        <w:t xml:space="preserve">Par ailleurs, </w:t>
      </w:r>
      <w:r w:rsidR="002A05D8">
        <w:rPr>
          <w:rFonts w:ascii="Arial" w:hAnsi="Arial" w:cs="Arial"/>
          <w:sz w:val="20"/>
          <w:szCs w:val="20"/>
        </w:rPr>
        <w:t>u</w:t>
      </w:r>
      <w:r w:rsidR="002A05D8" w:rsidRPr="00A94D35">
        <w:rPr>
          <w:rFonts w:ascii="Arial" w:hAnsi="Arial" w:cs="Arial"/>
          <w:sz w:val="20"/>
          <w:szCs w:val="20"/>
        </w:rPr>
        <w:t xml:space="preserve">ne légère amélioration du climat des affaires </w:t>
      </w:r>
      <w:r w:rsidR="0012006B">
        <w:rPr>
          <w:rFonts w:ascii="Arial" w:hAnsi="Arial" w:cs="Arial"/>
          <w:sz w:val="20"/>
          <w:szCs w:val="20"/>
        </w:rPr>
        <w:t>serai</w:t>
      </w:r>
      <w:r w:rsidR="002A05D8" w:rsidRPr="00A94D35">
        <w:rPr>
          <w:rFonts w:ascii="Arial" w:hAnsi="Arial" w:cs="Arial"/>
          <w:sz w:val="20"/>
          <w:szCs w:val="20"/>
        </w:rPr>
        <w:t xml:space="preserve">t attendue dans la zone euro au premier trimestre 2017, favorisée par une orientation plus favorable de la consommation des ménages et de l'investissement privé. L'inflation reprendrait après deux années de quasi-stabilité, mais resterait contenue à 1,2%, érodant modérément le pouvoir d'achat des ménages européens. La hausse des importations des pays avancés, notamment américaines, et la reprise graduelle de celle des pays émergents permettraient au commerce mondial de </w:t>
      </w:r>
      <w:r w:rsidR="0012006B">
        <w:rPr>
          <w:rFonts w:ascii="Arial" w:hAnsi="Arial" w:cs="Arial"/>
          <w:sz w:val="20"/>
          <w:szCs w:val="20"/>
        </w:rPr>
        <w:t>progresser à un rythme plus soutenu que l’année précédente</w:t>
      </w:r>
      <w:r w:rsidR="002A05D8" w:rsidRPr="00A94D35">
        <w:rPr>
          <w:rFonts w:ascii="Arial" w:hAnsi="Arial" w:cs="Arial"/>
          <w:sz w:val="20"/>
          <w:szCs w:val="20"/>
        </w:rPr>
        <w:t>. Dans ce contexte, la demande mondiale adressée au Maroc devrait enregistrer une hausse de 3,2%</w:t>
      </w:r>
      <w:r w:rsidR="002A05D8">
        <w:rPr>
          <w:rFonts w:ascii="Arial" w:hAnsi="Arial" w:cs="Arial"/>
          <w:sz w:val="20"/>
          <w:szCs w:val="20"/>
        </w:rPr>
        <w:t xml:space="preserve">. Cette hausse profiterait </w:t>
      </w:r>
      <w:r w:rsidR="002A05D8" w:rsidRPr="00A94D35">
        <w:rPr>
          <w:rFonts w:ascii="Arial" w:hAnsi="Arial" w:cs="Arial"/>
          <w:sz w:val="20"/>
          <w:szCs w:val="20"/>
        </w:rPr>
        <w:t xml:space="preserve">à certaines branches industrielles exportatrices, comme l'automobile, l'électronique, l'habillement et le textile. </w:t>
      </w:r>
      <w:r w:rsidR="0012006B">
        <w:rPr>
          <w:rFonts w:ascii="Arial" w:hAnsi="Arial" w:cs="Arial"/>
          <w:sz w:val="20"/>
          <w:szCs w:val="20"/>
        </w:rPr>
        <w:t>Toutefois, l</w:t>
      </w:r>
      <w:r w:rsidR="002A05D8" w:rsidRPr="00A94D35">
        <w:rPr>
          <w:rFonts w:ascii="Arial" w:hAnsi="Arial" w:cs="Arial"/>
          <w:sz w:val="20"/>
          <w:szCs w:val="20"/>
        </w:rPr>
        <w:t xml:space="preserve">a </w:t>
      </w:r>
      <w:r w:rsidR="00B1336C">
        <w:rPr>
          <w:rFonts w:ascii="Arial" w:hAnsi="Arial" w:cs="Arial"/>
          <w:sz w:val="20"/>
          <w:szCs w:val="20"/>
        </w:rPr>
        <w:t xml:space="preserve">légère reprise attendue </w:t>
      </w:r>
      <w:r w:rsidR="002A05D8" w:rsidRPr="00A94D35">
        <w:rPr>
          <w:rFonts w:ascii="Arial" w:hAnsi="Arial" w:cs="Arial"/>
          <w:sz w:val="20"/>
          <w:szCs w:val="20"/>
        </w:rPr>
        <w:t xml:space="preserve"> des </w:t>
      </w:r>
      <w:r w:rsidR="002A05D8" w:rsidRPr="00A94D35">
        <w:rPr>
          <w:rFonts w:ascii="Arial" w:hAnsi="Arial" w:cs="Arial"/>
          <w:iCs/>
          <w:kern w:val="28"/>
          <w:sz w:val="20"/>
          <w:szCs w:val="20"/>
        </w:rPr>
        <w:t>cours mondiaux du pétrole</w:t>
      </w:r>
      <w:r w:rsidR="00B1336C">
        <w:rPr>
          <w:rFonts w:ascii="Arial" w:hAnsi="Arial" w:cs="Arial"/>
          <w:iCs/>
          <w:kern w:val="28"/>
          <w:sz w:val="20"/>
          <w:szCs w:val="20"/>
        </w:rPr>
        <w:t xml:space="preserve"> et </w:t>
      </w:r>
      <w:r w:rsidR="002A05D8" w:rsidRPr="00A94D35">
        <w:rPr>
          <w:rFonts w:ascii="Arial" w:hAnsi="Arial" w:cs="Arial"/>
          <w:iCs/>
          <w:kern w:val="28"/>
          <w:sz w:val="20"/>
          <w:szCs w:val="20"/>
        </w:rPr>
        <w:t xml:space="preserve">des prix des matières premières industrielles risqueraient de renchérir légèrement les importations nationales. </w:t>
      </w:r>
    </w:p>
    <w:p w:rsidR="002A05D8" w:rsidRDefault="002A05D8" w:rsidP="002A05D8">
      <w:pPr>
        <w:jc w:val="both"/>
        <w:rPr>
          <w:rFonts w:ascii="Arial" w:hAnsi="Arial" w:cs="Arial"/>
          <w:sz w:val="20"/>
          <w:szCs w:val="20"/>
        </w:rPr>
      </w:pPr>
    </w:p>
    <w:p w:rsidR="00B1336C" w:rsidRDefault="00B1336C" w:rsidP="002A05D8">
      <w:pPr>
        <w:jc w:val="both"/>
        <w:rPr>
          <w:rFonts w:ascii="Arial" w:hAnsi="Arial" w:cs="Arial"/>
          <w:sz w:val="20"/>
          <w:szCs w:val="20"/>
        </w:rPr>
      </w:pPr>
    </w:p>
    <w:p w:rsidR="00307E8D" w:rsidRDefault="006C0640" w:rsidP="00B910C2">
      <w:pPr>
        <w:jc w:val="both"/>
        <w:rPr>
          <w:rFonts w:ascii="Arial" w:hAnsi="Arial" w:cs="Arial"/>
          <w:kern w:val="28"/>
          <w:sz w:val="20"/>
          <w:szCs w:val="20"/>
        </w:rPr>
      </w:pPr>
      <w:r>
        <w:rPr>
          <w:rFonts w:ascii="Arial" w:hAnsi="Arial" w:cs="Arial"/>
          <w:iCs/>
          <w:kern w:val="28"/>
          <w:sz w:val="20"/>
          <w:szCs w:val="20"/>
        </w:rPr>
        <w:lastRenderedPageBreak/>
        <w:t>Dans ce contexte, l</w:t>
      </w:r>
      <w:r w:rsidR="00307E8D">
        <w:rPr>
          <w:rFonts w:ascii="Arial" w:hAnsi="Arial" w:cs="Arial"/>
          <w:iCs/>
          <w:kern w:val="28"/>
          <w:sz w:val="20"/>
          <w:szCs w:val="20"/>
        </w:rPr>
        <w:t>a</w:t>
      </w:r>
      <w:r w:rsidR="00307E8D">
        <w:rPr>
          <w:rFonts w:ascii="Arial" w:hAnsi="Arial" w:cs="Arial"/>
          <w:sz w:val="20"/>
          <w:szCs w:val="20"/>
        </w:rPr>
        <w:t xml:space="preserve"> valeur ajoutée</w:t>
      </w:r>
      <w:r w:rsidR="00307E8D" w:rsidRPr="00A67687">
        <w:rPr>
          <w:rFonts w:ascii="Arial" w:hAnsi="Arial" w:cs="Arial"/>
          <w:sz w:val="20"/>
          <w:szCs w:val="20"/>
        </w:rPr>
        <w:t xml:space="preserve"> </w:t>
      </w:r>
      <w:r w:rsidR="00307E8D">
        <w:rPr>
          <w:rFonts w:ascii="Arial" w:hAnsi="Arial" w:cs="Arial"/>
          <w:sz w:val="20"/>
          <w:szCs w:val="20"/>
        </w:rPr>
        <w:t>industrielle réaliser</w:t>
      </w:r>
      <w:r>
        <w:rPr>
          <w:rFonts w:ascii="Arial" w:hAnsi="Arial" w:cs="Arial"/>
          <w:sz w:val="20"/>
          <w:szCs w:val="20"/>
        </w:rPr>
        <w:t>ait</w:t>
      </w:r>
      <w:r w:rsidR="00307E8D">
        <w:rPr>
          <w:rFonts w:ascii="Arial" w:hAnsi="Arial" w:cs="Arial"/>
          <w:sz w:val="20"/>
          <w:szCs w:val="20"/>
        </w:rPr>
        <w:t xml:space="preserve"> un accroissement de </w:t>
      </w:r>
      <w:r w:rsidR="00300B1C">
        <w:rPr>
          <w:rFonts w:ascii="Arial" w:hAnsi="Arial" w:cs="Arial"/>
          <w:sz w:val="20"/>
          <w:szCs w:val="20"/>
        </w:rPr>
        <w:t>2</w:t>
      </w:r>
      <w:r w:rsidR="00307E8D">
        <w:rPr>
          <w:rFonts w:ascii="Arial" w:hAnsi="Arial" w:cs="Arial"/>
          <w:sz w:val="20"/>
          <w:szCs w:val="20"/>
        </w:rPr>
        <w:t>,</w:t>
      </w:r>
      <w:r w:rsidR="00002878">
        <w:rPr>
          <w:rFonts w:ascii="Arial" w:hAnsi="Arial" w:cs="Arial"/>
          <w:sz w:val="20"/>
          <w:szCs w:val="20"/>
        </w:rPr>
        <w:t>4</w:t>
      </w:r>
      <w:r w:rsidR="00307E8D" w:rsidRPr="00A67687">
        <w:rPr>
          <w:rFonts w:ascii="Arial" w:hAnsi="Arial" w:cs="Arial"/>
          <w:sz w:val="20"/>
          <w:szCs w:val="20"/>
        </w:rPr>
        <w:t>%</w:t>
      </w:r>
      <w:r w:rsidR="00307E8D">
        <w:rPr>
          <w:rFonts w:ascii="Arial" w:hAnsi="Arial" w:cs="Arial"/>
          <w:sz w:val="20"/>
          <w:szCs w:val="20"/>
        </w:rPr>
        <w:t>,</w:t>
      </w:r>
      <w:r w:rsidR="00307E8D" w:rsidRPr="00A67687">
        <w:rPr>
          <w:rFonts w:ascii="Arial" w:hAnsi="Arial" w:cs="Arial"/>
          <w:sz w:val="20"/>
          <w:szCs w:val="20"/>
        </w:rPr>
        <w:t xml:space="preserve"> au </w:t>
      </w:r>
      <w:r w:rsidR="00721969">
        <w:rPr>
          <w:rFonts w:ascii="Arial" w:hAnsi="Arial" w:cs="Arial"/>
          <w:sz w:val="20"/>
          <w:szCs w:val="20"/>
        </w:rPr>
        <w:t>premier trimestre 2017</w:t>
      </w:r>
      <w:r w:rsidR="00307E8D">
        <w:rPr>
          <w:rFonts w:ascii="Arial" w:hAnsi="Arial" w:cs="Arial"/>
          <w:sz w:val="20"/>
          <w:szCs w:val="20"/>
        </w:rPr>
        <w:t>, en variation annuelle</w:t>
      </w:r>
      <w:r w:rsidR="00307E8D" w:rsidRPr="00A67687">
        <w:rPr>
          <w:rFonts w:ascii="Arial" w:hAnsi="Arial" w:cs="Arial"/>
          <w:sz w:val="20"/>
          <w:szCs w:val="20"/>
        </w:rPr>
        <w:t xml:space="preserve">. </w:t>
      </w:r>
      <w:r w:rsidR="006C2DB9">
        <w:rPr>
          <w:rFonts w:ascii="Arial" w:hAnsi="Arial" w:cs="Arial"/>
          <w:sz w:val="20"/>
          <w:szCs w:val="20"/>
        </w:rPr>
        <w:t>Pour leur part, l</w:t>
      </w:r>
      <w:r w:rsidR="00C571D6" w:rsidRPr="00035FD0">
        <w:rPr>
          <w:rFonts w:asciiTheme="minorBidi" w:hAnsiTheme="minorBidi" w:cstheme="minorBidi"/>
          <w:sz w:val="20"/>
          <w:szCs w:val="20"/>
        </w:rPr>
        <w:t>es activités minières afficher</w:t>
      </w:r>
      <w:r w:rsidR="00FD03EC">
        <w:rPr>
          <w:rFonts w:asciiTheme="minorBidi" w:hAnsiTheme="minorBidi" w:cstheme="minorBidi"/>
          <w:sz w:val="20"/>
          <w:szCs w:val="20"/>
        </w:rPr>
        <w:t>aient</w:t>
      </w:r>
      <w:r w:rsidR="00C571D6" w:rsidRPr="00035FD0">
        <w:rPr>
          <w:rFonts w:asciiTheme="minorBidi" w:hAnsiTheme="minorBidi" w:cstheme="minorBidi"/>
          <w:sz w:val="20"/>
          <w:szCs w:val="20"/>
        </w:rPr>
        <w:t xml:space="preserve"> un rythme d’expansion plus soutenu, en ligne avec le renforcement de la production du phosphate brut. La demande internationale des fertilisants pâtirait toujours des bas niveaux des prix des produits agricoles, mais les perspectives favorables d’une hausse de la demande des pays de l’Asie d</w:t>
      </w:r>
      <w:r w:rsidR="00B910C2">
        <w:rPr>
          <w:rFonts w:asciiTheme="minorBidi" w:hAnsiTheme="minorBidi" w:cstheme="minorBidi"/>
          <w:sz w:val="20"/>
          <w:szCs w:val="20"/>
        </w:rPr>
        <w:t>u</w:t>
      </w:r>
      <w:r w:rsidR="00C571D6" w:rsidRPr="00035FD0">
        <w:rPr>
          <w:rFonts w:asciiTheme="minorBidi" w:hAnsiTheme="minorBidi" w:cstheme="minorBidi"/>
          <w:sz w:val="20"/>
          <w:szCs w:val="20"/>
        </w:rPr>
        <w:t xml:space="preserve"> Sud et de l’Est maintiendraient les exportations nationales des engrais phosphatés sur </w:t>
      </w:r>
      <w:r w:rsidR="005115E9">
        <w:rPr>
          <w:rFonts w:asciiTheme="minorBidi" w:hAnsiTheme="minorBidi" w:cstheme="minorBidi"/>
          <w:sz w:val="20"/>
          <w:szCs w:val="20"/>
        </w:rPr>
        <w:t xml:space="preserve">un </w:t>
      </w:r>
      <w:r w:rsidR="00C571D6" w:rsidRPr="00035FD0">
        <w:rPr>
          <w:rFonts w:asciiTheme="minorBidi" w:hAnsiTheme="minorBidi" w:cstheme="minorBidi"/>
          <w:sz w:val="20"/>
          <w:szCs w:val="20"/>
        </w:rPr>
        <w:t xml:space="preserve">rythme de croissance de près de </w:t>
      </w:r>
      <w:r w:rsidR="00932AA7">
        <w:rPr>
          <w:rFonts w:asciiTheme="minorBidi" w:hAnsiTheme="minorBidi" w:cstheme="minorBidi"/>
          <w:sz w:val="20"/>
          <w:szCs w:val="20"/>
        </w:rPr>
        <w:t>11</w:t>
      </w:r>
      <w:r w:rsidR="00C571D6" w:rsidRPr="00035FD0">
        <w:rPr>
          <w:rFonts w:asciiTheme="minorBidi" w:hAnsiTheme="minorBidi" w:cstheme="minorBidi"/>
          <w:sz w:val="20"/>
          <w:szCs w:val="20"/>
        </w:rPr>
        <w:t>%</w:t>
      </w:r>
      <w:r w:rsidR="00B910C2">
        <w:rPr>
          <w:rFonts w:asciiTheme="minorBidi" w:hAnsiTheme="minorBidi" w:cstheme="minorBidi"/>
          <w:sz w:val="20"/>
          <w:szCs w:val="20"/>
        </w:rPr>
        <w:t>,</w:t>
      </w:r>
      <w:r w:rsidR="00C571D6" w:rsidRPr="00035FD0">
        <w:rPr>
          <w:rFonts w:asciiTheme="minorBidi" w:hAnsiTheme="minorBidi" w:cstheme="minorBidi"/>
          <w:sz w:val="20"/>
          <w:szCs w:val="20"/>
        </w:rPr>
        <w:t xml:space="preserve"> au premier trimestre</w:t>
      </w:r>
      <w:r w:rsidR="00B910C2">
        <w:rPr>
          <w:rFonts w:asciiTheme="minorBidi" w:hAnsiTheme="minorBidi" w:cstheme="minorBidi"/>
          <w:sz w:val="20"/>
          <w:szCs w:val="20"/>
        </w:rPr>
        <w:t xml:space="preserve"> 2017</w:t>
      </w:r>
      <w:r w:rsidR="00C571D6" w:rsidRPr="00035FD0">
        <w:rPr>
          <w:rFonts w:asciiTheme="minorBidi" w:hAnsiTheme="minorBidi" w:cstheme="minorBidi"/>
          <w:sz w:val="20"/>
          <w:szCs w:val="20"/>
        </w:rPr>
        <w:t xml:space="preserve">. Au total, la valeur ajoutée minière enregistrerait une progression de </w:t>
      </w:r>
      <w:r w:rsidR="00F8513B">
        <w:rPr>
          <w:rFonts w:asciiTheme="minorBidi" w:hAnsiTheme="minorBidi" w:cstheme="minorBidi"/>
          <w:sz w:val="20"/>
          <w:szCs w:val="20"/>
        </w:rPr>
        <w:t>9,4</w:t>
      </w:r>
      <w:r w:rsidR="00C571D6" w:rsidRPr="00035FD0">
        <w:rPr>
          <w:rFonts w:asciiTheme="minorBidi" w:hAnsiTheme="minorBidi" w:cstheme="minorBidi"/>
          <w:sz w:val="20"/>
          <w:szCs w:val="20"/>
        </w:rPr>
        <w:t xml:space="preserve">%, en variation annuelle, au lieu de </w:t>
      </w:r>
      <w:r w:rsidR="00FD03EC">
        <w:rPr>
          <w:rFonts w:asciiTheme="minorBidi" w:hAnsiTheme="minorBidi" w:cstheme="minorBidi"/>
          <w:sz w:val="20"/>
          <w:szCs w:val="20"/>
        </w:rPr>
        <w:t>+</w:t>
      </w:r>
      <w:r w:rsidR="00F8513B">
        <w:rPr>
          <w:rFonts w:asciiTheme="minorBidi" w:hAnsiTheme="minorBidi"/>
          <w:sz w:val="20"/>
          <w:szCs w:val="20"/>
        </w:rPr>
        <w:t>11,4</w:t>
      </w:r>
      <w:r w:rsidR="00C571D6" w:rsidRPr="00035FD0">
        <w:rPr>
          <w:rFonts w:asciiTheme="minorBidi" w:hAnsiTheme="minorBidi" w:cstheme="minorBidi"/>
          <w:sz w:val="20"/>
          <w:szCs w:val="20"/>
        </w:rPr>
        <w:t>% une année plus tôt.</w:t>
      </w:r>
      <w:r w:rsidR="00307E8D">
        <w:rPr>
          <w:rFonts w:asciiTheme="minorBidi" w:hAnsiTheme="minorBidi" w:cstheme="minorBidi"/>
          <w:sz w:val="20"/>
          <w:szCs w:val="20"/>
        </w:rPr>
        <w:t xml:space="preserve"> </w:t>
      </w:r>
      <w:r w:rsidR="00956687">
        <w:rPr>
          <w:rFonts w:asciiTheme="minorBidi" w:hAnsiTheme="minorBidi" w:cstheme="minorBidi"/>
          <w:sz w:val="20"/>
          <w:szCs w:val="20"/>
        </w:rPr>
        <w:t>Pour sa part</w:t>
      </w:r>
      <w:r w:rsidR="00AF5A6F">
        <w:rPr>
          <w:rFonts w:asciiTheme="minorBidi" w:hAnsiTheme="minorBidi" w:cstheme="minorBidi"/>
          <w:sz w:val="20"/>
          <w:szCs w:val="20"/>
        </w:rPr>
        <w:t>, l</w:t>
      </w:r>
      <w:r w:rsidR="00AF5A6F" w:rsidRPr="00035FD0">
        <w:rPr>
          <w:rFonts w:asciiTheme="minorBidi" w:hAnsiTheme="minorBidi" w:cstheme="minorBidi"/>
          <w:sz w:val="20"/>
          <w:szCs w:val="20"/>
        </w:rPr>
        <w:t xml:space="preserve">a </w:t>
      </w:r>
      <w:r w:rsidR="000721C3">
        <w:rPr>
          <w:rFonts w:asciiTheme="minorBidi" w:hAnsiTheme="minorBidi" w:cstheme="minorBidi"/>
          <w:sz w:val="20"/>
          <w:szCs w:val="20"/>
        </w:rPr>
        <w:t>valeur ajoutée</w:t>
      </w:r>
      <w:r w:rsidR="00AF5A6F" w:rsidRPr="00035FD0">
        <w:rPr>
          <w:rFonts w:asciiTheme="minorBidi" w:hAnsiTheme="minorBidi" w:cstheme="minorBidi"/>
          <w:sz w:val="20"/>
          <w:szCs w:val="20"/>
        </w:rPr>
        <w:t xml:space="preserve"> d</w:t>
      </w:r>
      <w:r w:rsidR="002B086B">
        <w:rPr>
          <w:rFonts w:asciiTheme="minorBidi" w:hAnsiTheme="minorBidi" w:cstheme="minorBidi"/>
          <w:sz w:val="20"/>
          <w:szCs w:val="20"/>
        </w:rPr>
        <w:t>e l</w:t>
      </w:r>
      <w:r w:rsidR="00AF5A6F" w:rsidRPr="00035FD0">
        <w:rPr>
          <w:rFonts w:asciiTheme="minorBidi" w:hAnsiTheme="minorBidi" w:cstheme="minorBidi"/>
          <w:sz w:val="20"/>
          <w:szCs w:val="20"/>
        </w:rPr>
        <w:t xml:space="preserve">’électricité poursuivrait son affermissement au rythme de </w:t>
      </w:r>
      <w:r w:rsidR="000721C3">
        <w:rPr>
          <w:rFonts w:asciiTheme="minorBidi" w:hAnsiTheme="minorBidi" w:cstheme="minorBidi"/>
          <w:sz w:val="20"/>
          <w:szCs w:val="20"/>
        </w:rPr>
        <w:t>3,4</w:t>
      </w:r>
      <w:r w:rsidR="00AF5A6F" w:rsidRPr="00035FD0">
        <w:rPr>
          <w:rFonts w:asciiTheme="minorBidi" w:hAnsiTheme="minorBidi" w:cstheme="minorBidi"/>
          <w:sz w:val="20"/>
          <w:szCs w:val="20"/>
        </w:rPr>
        <w:t xml:space="preserve">%, </w:t>
      </w:r>
      <w:r w:rsidR="00FD03EC">
        <w:rPr>
          <w:rFonts w:asciiTheme="minorBidi" w:hAnsiTheme="minorBidi" w:cstheme="minorBidi"/>
          <w:sz w:val="20"/>
          <w:szCs w:val="20"/>
        </w:rPr>
        <w:t xml:space="preserve">dans </w:t>
      </w:r>
      <w:r w:rsidR="00956687">
        <w:rPr>
          <w:rFonts w:asciiTheme="minorBidi" w:hAnsiTheme="minorBidi" w:cstheme="minorBidi"/>
          <w:sz w:val="20"/>
          <w:szCs w:val="20"/>
        </w:rPr>
        <w:t>un contexte</w:t>
      </w:r>
      <w:r w:rsidR="00AF5A6F" w:rsidRPr="00035FD0">
        <w:rPr>
          <w:rFonts w:asciiTheme="minorBidi" w:hAnsiTheme="minorBidi" w:cstheme="minorBidi"/>
          <w:sz w:val="20"/>
          <w:szCs w:val="20"/>
        </w:rPr>
        <w:t xml:space="preserve"> d’une amélioration </w:t>
      </w:r>
      <w:r w:rsidR="00956687">
        <w:rPr>
          <w:rFonts w:asciiTheme="minorBidi" w:hAnsiTheme="minorBidi" w:cstheme="minorBidi"/>
          <w:sz w:val="20"/>
          <w:szCs w:val="20"/>
        </w:rPr>
        <w:t xml:space="preserve">attendue </w:t>
      </w:r>
      <w:r w:rsidR="00AF5A6F" w:rsidRPr="00035FD0">
        <w:rPr>
          <w:rFonts w:asciiTheme="minorBidi" w:hAnsiTheme="minorBidi" w:cstheme="minorBidi"/>
          <w:sz w:val="20"/>
          <w:szCs w:val="20"/>
        </w:rPr>
        <w:t xml:space="preserve">des activités non-agricoles. L’essentiel de cet affermissement serait alimenté par le redressement de la production des centrales thermiques et </w:t>
      </w:r>
      <w:r w:rsidR="00F8513B">
        <w:rPr>
          <w:rFonts w:asciiTheme="minorBidi" w:hAnsiTheme="minorBidi" w:cstheme="minorBidi"/>
          <w:sz w:val="20"/>
          <w:szCs w:val="20"/>
        </w:rPr>
        <w:t xml:space="preserve">de celle </w:t>
      </w:r>
      <w:r w:rsidR="00AF5A6F" w:rsidRPr="00035FD0">
        <w:rPr>
          <w:rFonts w:asciiTheme="minorBidi" w:hAnsiTheme="minorBidi" w:cstheme="minorBidi"/>
          <w:sz w:val="20"/>
          <w:szCs w:val="20"/>
        </w:rPr>
        <w:t>des unités à base d’énergie renouvelable.</w:t>
      </w:r>
      <w:r w:rsidR="00AF5A6F">
        <w:rPr>
          <w:rFonts w:asciiTheme="minorBidi" w:hAnsiTheme="minorBidi" w:cstheme="minorBidi"/>
          <w:sz w:val="20"/>
          <w:szCs w:val="20"/>
        </w:rPr>
        <w:t xml:space="preserve"> </w:t>
      </w:r>
      <w:r w:rsidR="00307E8D">
        <w:rPr>
          <w:rFonts w:ascii="Arial" w:hAnsi="Arial" w:cs="Arial"/>
          <w:kern w:val="28"/>
          <w:sz w:val="20"/>
          <w:szCs w:val="20"/>
        </w:rPr>
        <w:t xml:space="preserve">Quant aux services, leur valeur ajoutée </w:t>
      </w:r>
      <w:r w:rsidR="006C2DB9">
        <w:rPr>
          <w:rFonts w:ascii="Arial" w:hAnsi="Arial" w:cs="Arial"/>
          <w:kern w:val="28"/>
          <w:sz w:val="20"/>
          <w:szCs w:val="20"/>
        </w:rPr>
        <w:t xml:space="preserve">continuerait de </w:t>
      </w:r>
      <w:r w:rsidR="00307E8D">
        <w:rPr>
          <w:rFonts w:ascii="Arial" w:hAnsi="Arial" w:cs="Arial"/>
          <w:kern w:val="28"/>
          <w:sz w:val="20"/>
          <w:szCs w:val="20"/>
        </w:rPr>
        <w:t>croîtr</w:t>
      </w:r>
      <w:r w:rsidR="006C2DB9">
        <w:rPr>
          <w:rFonts w:ascii="Arial" w:hAnsi="Arial" w:cs="Arial"/>
          <w:kern w:val="28"/>
          <w:sz w:val="20"/>
          <w:szCs w:val="20"/>
        </w:rPr>
        <w:t>e</w:t>
      </w:r>
      <w:r w:rsidR="00307E8D">
        <w:rPr>
          <w:rFonts w:ascii="Arial" w:hAnsi="Arial" w:cs="Arial"/>
          <w:kern w:val="28"/>
          <w:sz w:val="20"/>
          <w:szCs w:val="20"/>
        </w:rPr>
        <w:t xml:space="preserve"> </w:t>
      </w:r>
      <w:r w:rsidR="00B61401">
        <w:rPr>
          <w:rFonts w:ascii="Arial" w:hAnsi="Arial" w:cs="Arial"/>
          <w:kern w:val="28"/>
          <w:sz w:val="20"/>
          <w:szCs w:val="20"/>
        </w:rPr>
        <w:t>à un</w:t>
      </w:r>
      <w:r w:rsidR="00307E8D">
        <w:rPr>
          <w:rFonts w:ascii="Arial" w:hAnsi="Arial" w:cs="Arial"/>
          <w:kern w:val="28"/>
          <w:sz w:val="20"/>
          <w:szCs w:val="20"/>
        </w:rPr>
        <w:t xml:space="preserve"> rythme</w:t>
      </w:r>
      <w:r w:rsidR="00B61401">
        <w:rPr>
          <w:rFonts w:ascii="Arial" w:hAnsi="Arial" w:cs="Arial"/>
          <w:kern w:val="28"/>
          <w:sz w:val="20"/>
          <w:szCs w:val="20"/>
        </w:rPr>
        <w:t>, relativement, plus soutenu</w:t>
      </w:r>
      <w:r w:rsidR="00932AA7">
        <w:rPr>
          <w:rFonts w:ascii="Arial" w:hAnsi="Arial" w:cs="Arial"/>
          <w:kern w:val="28"/>
          <w:sz w:val="20"/>
          <w:szCs w:val="20"/>
        </w:rPr>
        <w:t xml:space="preserve"> que le trimestre précédent</w:t>
      </w:r>
      <w:r w:rsidR="006C2DB9">
        <w:rPr>
          <w:rFonts w:ascii="Arial" w:hAnsi="Arial" w:cs="Arial"/>
          <w:kern w:val="28"/>
          <w:sz w:val="20"/>
          <w:szCs w:val="20"/>
        </w:rPr>
        <w:t xml:space="preserve">, </w:t>
      </w:r>
      <w:r w:rsidR="00307E8D">
        <w:rPr>
          <w:rFonts w:ascii="Arial" w:hAnsi="Arial" w:cs="Arial"/>
          <w:kern w:val="28"/>
          <w:sz w:val="20"/>
          <w:szCs w:val="20"/>
        </w:rPr>
        <w:t xml:space="preserve">contribuant pour presque </w:t>
      </w:r>
      <w:r w:rsidR="00B61401">
        <w:rPr>
          <w:rFonts w:ascii="Arial" w:hAnsi="Arial" w:cs="Arial"/>
          <w:kern w:val="28"/>
          <w:sz w:val="20"/>
          <w:szCs w:val="20"/>
        </w:rPr>
        <w:t xml:space="preserve">plus de </w:t>
      </w:r>
      <w:r w:rsidR="00307E8D">
        <w:rPr>
          <w:rFonts w:ascii="Arial" w:hAnsi="Arial" w:cs="Arial"/>
          <w:kern w:val="28"/>
          <w:sz w:val="20"/>
          <w:szCs w:val="20"/>
        </w:rPr>
        <w:t xml:space="preserve">la moitié à la croissance économique </w:t>
      </w:r>
      <w:r w:rsidR="00082856">
        <w:rPr>
          <w:rFonts w:ascii="Arial" w:hAnsi="Arial" w:cs="Arial"/>
          <w:kern w:val="28"/>
          <w:sz w:val="20"/>
          <w:szCs w:val="20"/>
        </w:rPr>
        <w:t>hors agricole</w:t>
      </w:r>
      <w:r w:rsidR="00307E8D">
        <w:rPr>
          <w:rFonts w:ascii="Arial" w:hAnsi="Arial" w:cs="Arial"/>
          <w:kern w:val="28"/>
          <w:sz w:val="20"/>
          <w:szCs w:val="20"/>
        </w:rPr>
        <w:t xml:space="preserve">. </w:t>
      </w:r>
    </w:p>
    <w:p w:rsidR="009126B7" w:rsidRDefault="0067556B" w:rsidP="009825F8">
      <w:pPr>
        <w:jc w:val="both"/>
        <w:rPr>
          <w:rFonts w:ascii="Arial" w:hAnsi="Arial" w:cs="Arial"/>
          <w:kern w:val="28"/>
          <w:sz w:val="20"/>
          <w:szCs w:val="20"/>
        </w:rPr>
      </w:pPr>
      <w:r>
        <w:rPr>
          <w:rFonts w:ascii="Arial" w:hAnsi="Arial" w:cs="Arial"/>
          <w:noProof/>
          <w:kern w:val="28"/>
          <w:sz w:val="20"/>
          <w:szCs w:val="20"/>
        </w:rPr>
        <w:drawing>
          <wp:anchor distT="0" distB="0" distL="114300" distR="114300" simplePos="0" relativeHeight="251704320" behindDoc="0" locked="0" layoutInCell="1" allowOverlap="1">
            <wp:simplePos x="0" y="0"/>
            <wp:positionH relativeFrom="column">
              <wp:posOffset>4145280</wp:posOffset>
            </wp:positionH>
            <wp:positionV relativeFrom="paragraph">
              <wp:posOffset>-827405</wp:posOffset>
            </wp:positionV>
            <wp:extent cx="2402205" cy="1974850"/>
            <wp:effectExtent l="19050" t="0" r="0"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402205" cy="1974850"/>
                    </a:xfrm>
                    <a:prstGeom prst="rect">
                      <a:avLst/>
                    </a:prstGeom>
                    <a:noFill/>
                    <a:ln w="9525">
                      <a:noFill/>
                      <a:miter lim="800000"/>
                      <a:headEnd/>
                      <a:tailEnd/>
                    </a:ln>
                  </pic:spPr>
                </pic:pic>
              </a:graphicData>
            </a:graphic>
          </wp:anchor>
        </w:drawing>
      </w:r>
    </w:p>
    <w:p w:rsidR="0097276B" w:rsidRPr="00F016E3" w:rsidRDefault="0097276B" w:rsidP="003E3CCF">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 xml:space="preserve">devrait s’améliorer de </w:t>
      </w:r>
      <w:r w:rsidR="003B464F">
        <w:rPr>
          <w:rFonts w:ascii="Arial" w:hAnsi="Arial" w:cs="Arial"/>
          <w:sz w:val="20"/>
          <w:szCs w:val="20"/>
        </w:rPr>
        <w:t>2</w:t>
      </w:r>
      <w:r w:rsidR="00002878">
        <w:rPr>
          <w:rFonts w:ascii="Arial" w:hAnsi="Arial" w:cs="Arial"/>
          <w:sz w:val="20"/>
          <w:szCs w:val="20"/>
        </w:rPr>
        <w:t>,</w:t>
      </w:r>
      <w:r w:rsidR="003E3CCF">
        <w:rPr>
          <w:rFonts w:ascii="Arial" w:hAnsi="Arial" w:cs="Arial"/>
          <w:sz w:val="20"/>
          <w:szCs w:val="20"/>
        </w:rPr>
        <w:t>7</w:t>
      </w:r>
      <w:r>
        <w:rPr>
          <w:rFonts w:ascii="Arial" w:hAnsi="Arial" w:cs="Arial"/>
          <w:sz w:val="20"/>
          <w:szCs w:val="20"/>
        </w:rPr>
        <w:t xml:space="preserve">%, au </w:t>
      </w:r>
      <w:r w:rsidR="00721969">
        <w:rPr>
          <w:rFonts w:ascii="Arial" w:hAnsi="Arial" w:cs="Arial"/>
          <w:sz w:val="20"/>
          <w:szCs w:val="20"/>
        </w:rPr>
        <w:t>premier</w:t>
      </w:r>
      <w:r>
        <w:rPr>
          <w:rFonts w:ascii="Arial" w:hAnsi="Arial" w:cs="Arial"/>
          <w:sz w:val="20"/>
          <w:szCs w:val="20"/>
        </w:rPr>
        <w:t xml:space="preserve"> trimestre 201</w:t>
      </w:r>
      <w:r w:rsidR="00721969">
        <w:rPr>
          <w:rFonts w:ascii="Arial" w:hAnsi="Arial" w:cs="Arial"/>
          <w:sz w:val="20"/>
          <w:szCs w:val="20"/>
        </w:rPr>
        <w:t>7</w:t>
      </w:r>
      <w:r>
        <w:rPr>
          <w:rFonts w:ascii="Arial" w:hAnsi="Arial" w:cs="Arial"/>
          <w:sz w:val="20"/>
          <w:szCs w:val="20"/>
        </w:rPr>
        <w:t xml:space="preserve">, en variation annuelle, </w:t>
      </w:r>
      <w:r w:rsidR="00307E8D">
        <w:rPr>
          <w:rFonts w:ascii="Arial" w:hAnsi="Arial" w:cs="Arial"/>
          <w:sz w:val="20"/>
          <w:szCs w:val="20"/>
        </w:rPr>
        <w:t>favorisant, ainsi, une</w:t>
      </w:r>
      <w:r>
        <w:rPr>
          <w:rFonts w:ascii="Arial" w:hAnsi="Arial" w:cs="Arial"/>
          <w:sz w:val="20"/>
          <w:szCs w:val="20"/>
        </w:rPr>
        <w:t xml:space="preserve"> hausse du PIB global </w:t>
      </w:r>
      <w:r w:rsidR="00307E8D">
        <w:rPr>
          <w:rFonts w:ascii="Arial" w:hAnsi="Arial" w:cs="Arial"/>
          <w:sz w:val="20"/>
          <w:szCs w:val="20"/>
        </w:rPr>
        <w:t xml:space="preserve">de </w:t>
      </w:r>
      <w:r w:rsidR="003E3CCF">
        <w:rPr>
          <w:rFonts w:ascii="Arial" w:hAnsi="Arial" w:cs="Arial"/>
          <w:sz w:val="20"/>
          <w:szCs w:val="20"/>
        </w:rPr>
        <w:t>3</w:t>
      </w:r>
      <w:r w:rsidR="00D14F86">
        <w:rPr>
          <w:rFonts w:ascii="Arial" w:hAnsi="Arial" w:cs="Arial"/>
          <w:sz w:val="20"/>
          <w:szCs w:val="20"/>
        </w:rPr>
        <w:t>,</w:t>
      </w:r>
      <w:r w:rsidR="003E3CCF">
        <w:rPr>
          <w:rFonts w:ascii="Arial" w:hAnsi="Arial" w:cs="Arial"/>
          <w:sz w:val="20"/>
          <w:szCs w:val="20"/>
        </w:rPr>
        <w:t>9</w:t>
      </w:r>
      <w:r>
        <w:rPr>
          <w:rFonts w:ascii="Arial" w:hAnsi="Arial" w:cs="Arial"/>
          <w:sz w:val="20"/>
          <w:szCs w:val="20"/>
        </w:rPr>
        <w:t xml:space="preserve">%, au cours de la même période, au lieu de </w:t>
      </w:r>
      <w:r w:rsidR="00E52038">
        <w:rPr>
          <w:rFonts w:ascii="Arial" w:hAnsi="Arial" w:cs="Arial"/>
          <w:sz w:val="20"/>
          <w:szCs w:val="20"/>
        </w:rPr>
        <w:t>+</w:t>
      </w:r>
      <w:r w:rsidR="00721969">
        <w:rPr>
          <w:rFonts w:ascii="Arial" w:hAnsi="Arial" w:cs="Arial"/>
          <w:sz w:val="20"/>
          <w:szCs w:val="20"/>
        </w:rPr>
        <w:t>1</w:t>
      </w:r>
      <w:r>
        <w:rPr>
          <w:rFonts w:ascii="Arial" w:hAnsi="Arial" w:cs="Arial"/>
          <w:sz w:val="20"/>
          <w:szCs w:val="20"/>
        </w:rPr>
        <w:t>,</w:t>
      </w:r>
      <w:r w:rsidR="00721969">
        <w:rPr>
          <w:rFonts w:ascii="Arial" w:hAnsi="Arial" w:cs="Arial"/>
          <w:sz w:val="20"/>
          <w:szCs w:val="20"/>
        </w:rPr>
        <w:t>7</w:t>
      </w:r>
      <w:r>
        <w:rPr>
          <w:rFonts w:ascii="Arial" w:hAnsi="Arial" w:cs="Arial"/>
          <w:sz w:val="20"/>
          <w:szCs w:val="20"/>
        </w:rPr>
        <w:t>% une année auparavant.</w:t>
      </w:r>
      <w:r w:rsidR="00A7186B" w:rsidRPr="00F016E3">
        <w:rPr>
          <w:rFonts w:ascii="Arial" w:hAnsi="Arial" w:cs="Arial"/>
          <w:sz w:val="20"/>
          <w:szCs w:val="20"/>
        </w:rPr>
        <w:t xml:space="preserve"> </w:t>
      </w:r>
    </w:p>
    <w:sectPr w:rsidR="0097276B" w:rsidRPr="00F016E3" w:rsidSect="007766F6">
      <w:footerReference w:type="even" r:id="rId18"/>
      <w:footerReference w:type="default" r:id="rId19"/>
      <w:headerReference w:type="first" r:id="rId20"/>
      <w:footerReference w:type="first" r:id="rId21"/>
      <w:pgSz w:w="11906" w:h="16838"/>
      <w:pgMar w:top="993" w:right="849" w:bottom="993"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726" w:rsidRDefault="00AE1726">
      <w:r>
        <w:separator/>
      </w:r>
    </w:p>
  </w:endnote>
  <w:endnote w:type="continuationSeparator" w:id="1">
    <w:p w:rsidR="00AE1726" w:rsidRDefault="00AE1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903EBD"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903EBD"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CE0C7C">
      <w:rPr>
        <w:rStyle w:val="Numrodepage"/>
        <w:noProof/>
        <w:sz w:val="20"/>
        <w:szCs w:val="20"/>
      </w:rPr>
      <w:t>3</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CE0C7C">
      <w:rPr>
        <w:rStyle w:val="Numrodepage"/>
        <w:noProof/>
        <w:sz w:val="20"/>
        <w:szCs w:val="20"/>
      </w:rPr>
      <w:t>5</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903EB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726" w:rsidRDefault="00AE1726">
      <w:r>
        <w:separator/>
      </w:r>
    </w:p>
  </w:footnote>
  <w:footnote w:type="continuationSeparator" w:id="1">
    <w:p w:rsidR="00AE1726" w:rsidRDefault="00AE17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oNotHyphenateCaps/>
  <w:characterSpacingControl w:val="doNotCompress"/>
  <w:doNotValidateAgainstSchema/>
  <w:doNotDemarcateInvalidXml/>
  <w:hdrShapeDefaults>
    <o:shapedefaults v:ext="edit" spidmax="30722"/>
    <o:shapelayout v:ext="edit">
      <o:idmap v:ext="edit" data="2"/>
    </o:shapelayout>
  </w:hdrShapeDefaults>
  <w:footnotePr>
    <w:footnote w:id="0"/>
    <w:footnote w:id="1"/>
  </w:footnotePr>
  <w:endnotePr>
    <w:endnote w:id="0"/>
    <w:endnote w:id="1"/>
  </w:endnotePr>
  <w:compat/>
  <w:rsids>
    <w:rsidRoot w:val="00A7067D"/>
    <w:rsid w:val="00000BA6"/>
    <w:rsid w:val="000017C7"/>
    <w:rsid w:val="00001D8E"/>
    <w:rsid w:val="000025B3"/>
    <w:rsid w:val="00002878"/>
    <w:rsid w:val="00002CA4"/>
    <w:rsid w:val="00003123"/>
    <w:rsid w:val="00003781"/>
    <w:rsid w:val="000037BD"/>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DC7"/>
    <w:rsid w:val="000266D8"/>
    <w:rsid w:val="0002686C"/>
    <w:rsid w:val="00026D88"/>
    <w:rsid w:val="000270E0"/>
    <w:rsid w:val="000275DD"/>
    <w:rsid w:val="0002766D"/>
    <w:rsid w:val="00027850"/>
    <w:rsid w:val="0003099D"/>
    <w:rsid w:val="00031D25"/>
    <w:rsid w:val="00032582"/>
    <w:rsid w:val="00032899"/>
    <w:rsid w:val="0003300A"/>
    <w:rsid w:val="00033123"/>
    <w:rsid w:val="0003420B"/>
    <w:rsid w:val="000344E3"/>
    <w:rsid w:val="0003456C"/>
    <w:rsid w:val="000348FD"/>
    <w:rsid w:val="00034EAB"/>
    <w:rsid w:val="00034EE3"/>
    <w:rsid w:val="00034EE5"/>
    <w:rsid w:val="0003559E"/>
    <w:rsid w:val="00035FA3"/>
    <w:rsid w:val="0003680E"/>
    <w:rsid w:val="00036A9C"/>
    <w:rsid w:val="00037668"/>
    <w:rsid w:val="00037B80"/>
    <w:rsid w:val="000408C3"/>
    <w:rsid w:val="00040953"/>
    <w:rsid w:val="00040D62"/>
    <w:rsid w:val="00041285"/>
    <w:rsid w:val="00041524"/>
    <w:rsid w:val="000415AD"/>
    <w:rsid w:val="0004185B"/>
    <w:rsid w:val="000425ED"/>
    <w:rsid w:val="00042974"/>
    <w:rsid w:val="00042C94"/>
    <w:rsid w:val="0004311A"/>
    <w:rsid w:val="00043186"/>
    <w:rsid w:val="000431D8"/>
    <w:rsid w:val="0004391D"/>
    <w:rsid w:val="00043DE6"/>
    <w:rsid w:val="0004444E"/>
    <w:rsid w:val="0004447B"/>
    <w:rsid w:val="0004487A"/>
    <w:rsid w:val="00044A9F"/>
    <w:rsid w:val="00044D29"/>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43FD"/>
    <w:rsid w:val="00054B65"/>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1B0"/>
    <w:rsid w:val="000674D7"/>
    <w:rsid w:val="00070037"/>
    <w:rsid w:val="00070595"/>
    <w:rsid w:val="00070861"/>
    <w:rsid w:val="00071EFF"/>
    <w:rsid w:val="000721C3"/>
    <w:rsid w:val="00072320"/>
    <w:rsid w:val="000723B5"/>
    <w:rsid w:val="000728D2"/>
    <w:rsid w:val="000728FA"/>
    <w:rsid w:val="00072B60"/>
    <w:rsid w:val="00072EBF"/>
    <w:rsid w:val="000730EC"/>
    <w:rsid w:val="0007340C"/>
    <w:rsid w:val="00073805"/>
    <w:rsid w:val="00074130"/>
    <w:rsid w:val="00074401"/>
    <w:rsid w:val="00074FF0"/>
    <w:rsid w:val="000754E3"/>
    <w:rsid w:val="00075B34"/>
    <w:rsid w:val="00075F5C"/>
    <w:rsid w:val="000761D8"/>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C9"/>
    <w:rsid w:val="0008339B"/>
    <w:rsid w:val="0008388A"/>
    <w:rsid w:val="000842CE"/>
    <w:rsid w:val="000847F4"/>
    <w:rsid w:val="0008484E"/>
    <w:rsid w:val="0008495C"/>
    <w:rsid w:val="00084B30"/>
    <w:rsid w:val="00084E9D"/>
    <w:rsid w:val="00085524"/>
    <w:rsid w:val="00085895"/>
    <w:rsid w:val="000859F9"/>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A3B"/>
    <w:rsid w:val="00091D36"/>
    <w:rsid w:val="000921CD"/>
    <w:rsid w:val="00092466"/>
    <w:rsid w:val="00092EFE"/>
    <w:rsid w:val="000931A9"/>
    <w:rsid w:val="000935C8"/>
    <w:rsid w:val="00093B91"/>
    <w:rsid w:val="00093F9E"/>
    <w:rsid w:val="00094694"/>
    <w:rsid w:val="00094710"/>
    <w:rsid w:val="0009560D"/>
    <w:rsid w:val="00096A77"/>
    <w:rsid w:val="00096CD1"/>
    <w:rsid w:val="00096CE5"/>
    <w:rsid w:val="00097007"/>
    <w:rsid w:val="0009781A"/>
    <w:rsid w:val="00097D9C"/>
    <w:rsid w:val="00097FF5"/>
    <w:rsid w:val="000A0205"/>
    <w:rsid w:val="000A0209"/>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6F7"/>
    <w:rsid w:val="000A6F23"/>
    <w:rsid w:val="000A6F7B"/>
    <w:rsid w:val="000A7249"/>
    <w:rsid w:val="000A7281"/>
    <w:rsid w:val="000A79CD"/>
    <w:rsid w:val="000B0102"/>
    <w:rsid w:val="000B0626"/>
    <w:rsid w:val="000B08E9"/>
    <w:rsid w:val="000B0F43"/>
    <w:rsid w:val="000B0F81"/>
    <w:rsid w:val="000B106E"/>
    <w:rsid w:val="000B12C2"/>
    <w:rsid w:val="000B1DE6"/>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BAB"/>
    <w:rsid w:val="000C7682"/>
    <w:rsid w:val="000C76B5"/>
    <w:rsid w:val="000C7E13"/>
    <w:rsid w:val="000D0202"/>
    <w:rsid w:val="000D04BB"/>
    <w:rsid w:val="000D13F1"/>
    <w:rsid w:val="000D1585"/>
    <w:rsid w:val="000D1CBD"/>
    <w:rsid w:val="000D1D9A"/>
    <w:rsid w:val="000D1F90"/>
    <w:rsid w:val="000D25AF"/>
    <w:rsid w:val="000D2930"/>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94"/>
    <w:rsid w:val="000D7ACC"/>
    <w:rsid w:val="000D7B58"/>
    <w:rsid w:val="000D7B8B"/>
    <w:rsid w:val="000D7D65"/>
    <w:rsid w:val="000D7F7C"/>
    <w:rsid w:val="000E05BC"/>
    <w:rsid w:val="000E0614"/>
    <w:rsid w:val="000E1618"/>
    <w:rsid w:val="000E1C51"/>
    <w:rsid w:val="000E21D3"/>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EB"/>
    <w:rsid w:val="001036A2"/>
    <w:rsid w:val="0010414A"/>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92F"/>
    <w:rsid w:val="00111A12"/>
    <w:rsid w:val="00111FE3"/>
    <w:rsid w:val="0011249B"/>
    <w:rsid w:val="0011266E"/>
    <w:rsid w:val="00113142"/>
    <w:rsid w:val="001134AF"/>
    <w:rsid w:val="00113928"/>
    <w:rsid w:val="00114033"/>
    <w:rsid w:val="00114209"/>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1BB"/>
    <w:rsid w:val="0012067C"/>
    <w:rsid w:val="00120AF1"/>
    <w:rsid w:val="00120AF9"/>
    <w:rsid w:val="00120BC3"/>
    <w:rsid w:val="00120BD7"/>
    <w:rsid w:val="00121C07"/>
    <w:rsid w:val="00122001"/>
    <w:rsid w:val="00122298"/>
    <w:rsid w:val="001222E9"/>
    <w:rsid w:val="0012265F"/>
    <w:rsid w:val="001227D1"/>
    <w:rsid w:val="00122813"/>
    <w:rsid w:val="00122A75"/>
    <w:rsid w:val="00122C48"/>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F4D"/>
    <w:rsid w:val="00137652"/>
    <w:rsid w:val="001379C2"/>
    <w:rsid w:val="00137CAD"/>
    <w:rsid w:val="00137D8F"/>
    <w:rsid w:val="00137FF2"/>
    <w:rsid w:val="001404C2"/>
    <w:rsid w:val="00140CD2"/>
    <w:rsid w:val="00141592"/>
    <w:rsid w:val="0014289F"/>
    <w:rsid w:val="0014338E"/>
    <w:rsid w:val="0014360D"/>
    <w:rsid w:val="001437B0"/>
    <w:rsid w:val="00143BBC"/>
    <w:rsid w:val="00144480"/>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A6D"/>
    <w:rsid w:val="00153DC3"/>
    <w:rsid w:val="00153DC7"/>
    <w:rsid w:val="001545FC"/>
    <w:rsid w:val="001547A3"/>
    <w:rsid w:val="00154A61"/>
    <w:rsid w:val="00154B92"/>
    <w:rsid w:val="00155095"/>
    <w:rsid w:val="00155EBB"/>
    <w:rsid w:val="0015633D"/>
    <w:rsid w:val="001563BE"/>
    <w:rsid w:val="001563CC"/>
    <w:rsid w:val="001565C3"/>
    <w:rsid w:val="00156B63"/>
    <w:rsid w:val="00156B7B"/>
    <w:rsid w:val="00156C44"/>
    <w:rsid w:val="00156CEC"/>
    <w:rsid w:val="00157569"/>
    <w:rsid w:val="00157DEC"/>
    <w:rsid w:val="00157E9B"/>
    <w:rsid w:val="001600E5"/>
    <w:rsid w:val="00160B88"/>
    <w:rsid w:val="00160D0F"/>
    <w:rsid w:val="00161678"/>
    <w:rsid w:val="00162421"/>
    <w:rsid w:val="0016271E"/>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41"/>
    <w:rsid w:val="001828C4"/>
    <w:rsid w:val="00182DF5"/>
    <w:rsid w:val="00183006"/>
    <w:rsid w:val="00183325"/>
    <w:rsid w:val="001835A9"/>
    <w:rsid w:val="001839FB"/>
    <w:rsid w:val="0018413F"/>
    <w:rsid w:val="0018461F"/>
    <w:rsid w:val="00185BC2"/>
    <w:rsid w:val="00185D73"/>
    <w:rsid w:val="0018601D"/>
    <w:rsid w:val="00186D74"/>
    <w:rsid w:val="00186E82"/>
    <w:rsid w:val="001873B4"/>
    <w:rsid w:val="00187BC3"/>
    <w:rsid w:val="00190068"/>
    <w:rsid w:val="00190FF5"/>
    <w:rsid w:val="0019122F"/>
    <w:rsid w:val="0019172A"/>
    <w:rsid w:val="00191FD1"/>
    <w:rsid w:val="00192295"/>
    <w:rsid w:val="00193188"/>
    <w:rsid w:val="00193485"/>
    <w:rsid w:val="00193D92"/>
    <w:rsid w:val="00194390"/>
    <w:rsid w:val="00194927"/>
    <w:rsid w:val="00194FAC"/>
    <w:rsid w:val="00195392"/>
    <w:rsid w:val="0019592D"/>
    <w:rsid w:val="00196310"/>
    <w:rsid w:val="001969FA"/>
    <w:rsid w:val="00196CF2"/>
    <w:rsid w:val="00196FED"/>
    <w:rsid w:val="0019727D"/>
    <w:rsid w:val="001A0449"/>
    <w:rsid w:val="001A1A9C"/>
    <w:rsid w:val="001A1B4C"/>
    <w:rsid w:val="001A1BE0"/>
    <w:rsid w:val="001A309F"/>
    <w:rsid w:val="001A3C55"/>
    <w:rsid w:val="001A3E80"/>
    <w:rsid w:val="001A4339"/>
    <w:rsid w:val="001A447C"/>
    <w:rsid w:val="001A4A63"/>
    <w:rsid w:val="001A4DC4"/>
    <w:rsid w:val="001A4FEF"/>
    <w:rsid w:val="001A614A"/>
    <w:rsid w:val="001A68AB"/>
    <w:rsid w:val="001A7093"/>
    <w:rsid w:val="001A711D"/>
    <w:rsid w:val="001A7936"/>
    <w:rsid w:val="001B081E"/>
    <w:rsid w:val="001B0903"/>
    <w:rsid w:val="001B0A39"/>
    <w:rsid w:val="001B0CBD"/>
    <w:rsid w:val="001B110A"/>
    <w:rsid w:val="001B12AF"/>
    <w:rsid w:val="001B1827"/>
    <w:rsid w:val="001B191E"/>
    <w:rsid w:val="001B1A97"/>
    <w:rsid w:val="001B1D9A"/>
    <w:rsid w:val="001B2B15"/>
    <w:rsid w:val="001B2FF8"/>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435"/>
    <w:rsid w:val="001C1CF4"/>
    <w:rsid w:val="001C1EDB"/>
    <w:rsid w:val="001C2196"/>
    <w:rsid w:val="001C2876"/>
    <w:rsid w:val="001C2B14"/>
    <w:rsid w:val="001C2D08"/>
    <w:rsid w:val="001C2DE1"/>
    <w:rsid w:val="001C2DFD"/>
    <w:rsid w:val="001C2F4A"/>
    <w:rsid w:val="001C2FA8"/>
    <w:rsid w:val="001C3920"/>
    <w:rsid w:val="001C393F"/>
    <w:rsid w:val="001C42B6"/>
    <w:rsid w:val="001C4793"/>
    <w:rsid w:val="001C4A4F"/>
    <w:rsid w:val="001C4BE1"/>
    <w:rsid w:val="001C51D8"/>
    <w:rsid w:val="001C58AD"/>
    <w:rsid w:val="001C5963"/>
    <w:rsid w:val="001C5E9E"/>
    <w:rsid w:val="001C6199"/>
    <w:rsid w:val="001C62AD"/>
    <w:rsid w:val="001C6705"/>
    <w:rsid w:val="001C6D03"/>
    <w:rsid w:val="001C6E90"/>
    <w:rsid w:val="001C7200"/>
    <w:rsid w:val="001C74AC"/>
    <w:rsid w:val="001C7C18"/>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A90"/>
    <w:rsid w:val="001E0012"/>
    <w:rsid w:val="001E04AA"/>
    <w:rsid w:val="001E05D5"/>
    <w:rsid w:val="001E13F3"/>
    <w:rsid w:val="001E1405"/>
    <w:rsid w:val="001E1780"/>
    <w:rsid w:val="001E1FE8"/>
    <w:rsid w:val="001E2204"/>
    <w:rsid w:val="001E2469"/>
    <w:rsid w:val="001E29C3"/>
    <w:rsid w:val="001E2E19"/>
    <w:rsid w:val="001E3168"/>
    <w:rsid w:val="001E3430"/>
    <w:rsid w:val="001E37B2"/>
    <w:rsid w:val="001E3B10"/>
    <w:rsid w:val="001E3E88"/>
    <w:rsid w:val="001E457D"/>
    <w:rsid w:val="001E46D8"/>
    <w:rsid w:val="001E4A5F"/>
    <w:rsid w:val="001E4AC2"/>
    <w:rsid w:val="001E5C77"/>
    <w:rsid w:val="001E5D17"/>
    <w:rsid w:val="001E6122"/>
    <w:rsid w:val="001E7076"/>
    <w:rsid w:val="001E70D5"/>
    <w:rsid w:val="001E728E"/>
    <w:rsid w:val="001E75BA"/>
    <w:rsid w:val="001E7BE4"/>
    <w:rsid w:val="001F0B5C"/>
    <w:rsid w:val="001F0ECC"/>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21D7"/>
    <w:rsid w:val="00202523"/>
    <w:rsid w:val="002028D5"/>
    <w:rsid w:val="00202CF1"/>
    <w:rsid w:val="00202CFF"/>
    <w:rsid w:val="00203BF4"/>
    <w:rsid w:val="00203E48"/>
    <w:rsid w:val="002042CD"/>
    <w:rsid w:val="00204307"/>
    <w:rsid w:val="00204366"/>
    <w:rsid w:val="002048C2"/>
    <w:rsid w:val="00204C16"/>
    <w:rsid w:val="00204EAF"/>
    <w:rsid w:val="00204EC8"/>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1BB6"/>
    <w:rsid w:val="00212491"/>
    <w:rsid w:val="00213134"/>
    <w:rsid w:val="00213925"/>
    <w:rsid w:val="002139B6"/>
    <w:rsid w:val="00213B90"/>
    <w:rsid w:val="00214B72"/>
    <w:rsid w:val="0021541E"/>
    <w:rsid w:val="002157EF"/>
    <w:rsid w:val="00216D2A"/>
    <w:rsid w:val="00217187"/>
    <w:rsid w:val="0022010C"/>
    <w:rsid w:val="00220131"/>
    <w:rsid w:val="00220549"/>
    <w:rsid w:val="00220739"/>
    <w:rsid w:val="002207AB"/>
    <w:rsid w:val="00220DF6"/>
    <w:rsid w:val="00221087"/>
    <w:rsid w:val="0022116C"/>
    <w:rsid w:val="0022170D"/>
    <w:rsid w:val="00222462"/>
    <w:rsid w:val="00222936"/>
    <w:rsid w:val="0022299E"/>
    <w:rsid w:val="00223311"/>
    <w:rsid w:val="00223B71"/>
    <w:rsid w:val="00223D57"/>
    <w:rsid w:val="00223DAD"/>
    <w:rsid w:val="0022444A"/>
    <w:rsid w:val="0022525E"/>
    <w:rsid w:val="002255B8"/>
    <w:rsid w:val="00225611"/>
    <w:rsid w:val="0022562A"/>
    <w:rsid w:val="0022597E"/>
    <w:rsid w:val="00226111"/>
    <w:rsid w:val="00226BDC"/>
    <w:rsid w:val="00227F0A"/>
    <w:rsid w:val="0023043F"/>
    <w:rsid w:val="0023061A"/>
    <w:rsid w:val="00230C49"/>
    <w:rsid w:val="00231293"/>
    <w:rsid w:val="002313AF"/>
    <w:rsid w:val="002315AE"/>
    <w:rsid w:val="00231716"/>
    <w:rsid w:val="00231990"/>
    <w:rsid w:val="0023289B"/>
    <w:rsid w:val="00232927"/>
    <w:rsid w:val="00232AD6"/>
    <w:rsid w:val="0023322D"/>
    <w:rsid w:val="00233328"/>
    <w:rsid w:val="002333F3"/>
    <w:rsid w:val="002334D2"/>
    <w:rsid w:val="00233515"/>
    <w:rsid w:val="0023373D"/>
    <w:rsid w:val="00233815"/>
    <w:rsid w:val="002339B2"/>
    <w:rsid w:val="0023442A"/>
    <w:rsid w:val="0023494C"/>
    <w:rsid w:val="00234B63"/>
    <w:rsid w:val="00234CDC"/>
    <w:rsid w:val="00235903"/>
    <w:rsid w:val="00235E22"/>
    <w:rsid w:val="00236272"/>
    <w:rsid w:val="0023650B"/>
    <w:rsid w:val="00236DF3"/>
    <w:rsid w:val="00237269"/>
    <w:rsid w:val="002378E6"/>
    <w:rsid w:val="00237FA9"/>
    <w:rsid w:val="00237FD4"/>
    <w:rsid w:val="00240FBB"/>
    <w:rsid w:val="00241064"/>
    <w:rsid w:val="00241292"/>
    <w:rsid w:val="00241484"/>
    <w:rsid w:val="002419BA"/>
    <w:rsid w:val="0024272F"/>
    <w:rsid w:val="00242C76"/>
    <w:rsid w:val="00242CBE"/>
    <w:rsid w:val="0024389A"/>
    <w:rsid w:val="00243C7A"/>
    <w:rsid w:val="00243DBD"/>
    <w:rsid w:val="00243E0E"/>
    <w:rsid w:val="00244218"/>
    <w:rsid w:val="00244367"/>
    <w:rsid w:val="002443AA"/>
    <w:rsid w:val="002444AA"/>
    <w:rsid w:val="00244652"/>
    <w:rsid w:val="00244809"/>
    <w:rsid w:val="00244825"/>
    <w:rsid w:val="00244890"/>
    <w:rsid w:val="00244AA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128"/>
    <w:rsid w:val="00270BDF"/>
    <w:rsid w:val="00270DDD"/>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2D5"/>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96C"/>
    <w:rsid w:val="00286B68"/>
    <w:rsid w:val="00286F23"/>
    <w:rsid w:val="0028778B"/>
    <w:rsid w:val="00290292"/>
    <w:rsid w:val="002907E8"/>
    <w:rsid w:val="002908CB"/>
    <w:rsid w:val="00290B88"/>
    <w:rsid w:val="00290D9E"/>
    <w:rsid w:val="0029139F"/>
    <w:rsid w:val="00291911"/>
    <w:rsid w:val="00292008"/>
    <w:rsid w:val="0029229A"/>
    <w:rsid w:val="0029288F"/>
    <w:rsid w:val="002929DF"/>
    <w:rsid w:val="002934D2"/>
    <w:rsid w:val="00293C15"/>
    <w:rsid w:val="00293D4A"/>
    <w:rsid w:val="00293ED6"/>
    <w:rsid w:val="002942F2"/>
    <w:rsid w:val="00294367"/>
    <w:rsid w:val="00294424"/>
    <w:rsid w:val="00294B02"/>
    <w:rsid w:val="002950AB"/>
    <w:rsid w:val="00295318"/>
    <w:rsid w:val="002958ED"/>
    <w:rsid w:val="00295A86"/>
    <w:rsid w:val="00295A9E"/>
    <w:rsid w:val="00295B5B"/>
    <w:rsid w:val="00295C9F"/>
    <w:rsid w:val="00295CD7"/>
    <w:rsid w:val="00296898"/>
    <w:rsid w:val="00296C29"/>
    <w:rsid w:val="0029758C"/>
    <w:rsid w:val="002A05D8"/>
    <w:rsid w:val="002A1027"/>
    <w:rsid w:val="002A1315"/>
    <w:rsid w:val="002A2203"/>
    <w:rsid w:val="002A25B2"/>
    <w:rsid w:val="002A281B"/>
    <w:rsid w:val="002A297C"/>
    <w:rsid w:val="002A2ECE"/>
    <w:rsid w:val="002A30E4"/>
    <w:rsid w:val="002A40F3"/>
    <w:rsid w:val="002A414D"/>
    <w:rsid w:val="002A4202"/>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6D"/>
    <w:rsid w:val="002B4CFA"/>
    <w:rsid w:val="002B5142"/>
    <w:rsid w:val="002B59B8"/>
    <w:rsid w:val="002B5AF5"/>
    <w:rsid w:val="002B6019"/>
    <w:rsid w:val="002B644C"/>
    <w:rsid w:val="002B6922"/>
    <w:rsid w:val="002B6CD7"/>
    <w:rsid w:val="002B7263"/>
    <w:rsid w:val="002B7742"/>
    <w:rsid w:val="002B7A91"/>
    <w:rsid w:val="002B7E07"/>
    <w:rsid w:val="002C0055"/>
    <w:rsid w:val="002C02CC"/>
    <w:rsid w:val="002C09B2"/>
    <w:rsid w:val="002C1942"/>
    <w:rsid w:val="002C1CBD"/>
    <w:rsid w:val="002C1D8F"/>
    <w:rsid w:val="002C2121"/>
    <w:rsid w:val="002C25CA"/>
    <w:rsid w:val="002C268F"/>
    <w:rsid w:val="002C2950"/>
    <w:rsid w:val="002C318B"/>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71B8"/>
    <w:rsid w:val="002C7571"/>
    <w:rsid w:val="002C784A"/>
    <w:rsid w:val="002D022C"/>
    <w:rsid w:val="002D0A0D"/>
    <w:rsid w:val="002D0D03"/>
    <w:rsid w:val="002D1138"/>
    <w:rsid w:val="002D115E"/>
    <w:rsid w:val="002D194F"/>
    <w:rsid w:val="002D1ABE"/>
    <w:rsid w:val="002D1AF1"/>
    <w:rsid w:val="002D1E06"/>
    <w:rsid w:val="002D1FE3"/>
    <w:rsid w:val="002D21E5"/>
    <w:rsid w:val="002D224B"/>
    <w:rsid w:val="002D23D5"/>
    <w:rsid w:val="002D271E"/>
    <w:rsid w:val="002D2CDD"/>
    <w:rsid w:val="002D2D8B"/>
    <w:rsid w:val="002D31D1"/>
    <w:rsid w:val="002D33BF"/>
    <w:rsid w:val="002D3AF5"/>
    <w:rsid w:val="002D3BD2"/>
    <w:rsid w:val="002D417C"/>
    <w:rsid w:val="002D4615"/>
    <w:rsid w:val="002D4933"/>
    <w:rsid w:val="002D49EF"/>
    <w:rsid w:val="002D4DF4"/>
    <w:rsid w:val="002D54B6"/>
    <w:rsid w:val="002D5525"/>
    <w:rsid w:val="002D5F62"/>
    <w:rsid w:val="002D643D"/>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84"/>
    <w:rsid w:val="002E7900"/>
    <w:rsid w:val="002E7F2B"/>
    <w:rsid w:val="002E7F72"/>
    <w:rsid w:val="002F05C4"/>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AAD"/>
    <w:rsid w:val="002F5BAF"/>
    <w:rsid w:val="002F5CEF"/>
    <w:rsid w:val="002F628D"/>
    <w:rsid w:val="002F63FB"/>
    <w:rsid w:val="002F64F6"/>
    <w:rsid w:val="002F6773"/>
    <w:rsid w:val="002F6A92"/>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A3E"/>
    <w:rsid w:val="003210B5"/>
    <w:rsid w:val="0032191A"/>
    <w:rsid w:val="00321E42"/>
    <w:rsid w:val="003227A2"/>
    <w:rsid w:val="00322AF4"/>
    <w:rsid w:val="0032376B"/>
    <w:rsid w:val="00323A39"/>
    <w:rsid w:val="00323CF1"/>
    <w:rsid w:val="00323F5F"/>
    <w:rsid w:val="0032434D"/>
    <w:rsid w:val="003243B5"/>
    <w:rsid w:val="003244DB"/>
    <w:rsid w:val="003249E4"/>
    <w:rsid w:val="003258E3"/>
    <w:rsid w:val="00326623"/>
    <w:rsid w:val="00326824"/>
    <w:rsid w:val="0032687F"/>
    <w:rsid w:val="00326B38"/>
    <w:rsid w:val="00326BA1"/>
    <w:rsid w:val="00326D98"/>
    <w:rsid w:val="00326FCA"/>
    <w:rsid w:val="00327972"/>
    <w:rsid w:val="00327DAD"/>
    <w:rsid w:val="003304A6"/>
    <w:rsid w:val="00331569"/>
    <w:rsid w:val="00331693"/>
    <w:rsid w:val="003316B0"/>
    <w:rsid w:val="0033179B"/>
    <w:rsid w:val="003323DB"/>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430A"/>
    <w:rsid w:val="003446D7"/>
    <w:rsid w:val="003449BA"/>
    <w:rsid w:val="00344A6C"/>
    <w:rsid w:val="00345220"/>
    <w:rsid w:val="0034539A"/>
    <w:rsid w:val="00345A64"/>
    <w:rsid w:val="00346358"/>
    <w:rsid w:val="003463CC"/>
    <w:rsid w:val="003464B2"/>
    <w:rsid w:val="003465A5"/>
    <w:rsid w:val="0034687E"/>
    <w:rsid w:val="00346B56"/>
    <w:rsid w:val="00346F33"/>
    <w:rsid w:val="0034794E"/>
    <w:rsid w:val="00347B61"/>
    <w:rsid w:val="00347E46"/>
    <w:rsid w:val="00350073"/>
    <w:rsid w:val="003501AB"/>
    <w:rsid w:val="003506BE"/>
    <w:rsid w:val="00350C40"/>
    <w:rsid w:val="00350FBE"/>
    <w:rsid w:val="0035116A"/>
    <w:rsid w:val="00351A98"/>
    <w:rsid w:val="00351D4C"/>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1796"/>
    <w:rsid w:val="00361814"/>
    <w:rsid w:val="003623B6"/>
    <w:rsid w:val="003627F1"/>
    <w:rsid w:val="0036288F"/>
    <w:rsid w:val="00363079"/>
    <w:rsid w:val="0036329C"/>
    <w:rsid w:val="003634A8"/>
    <w:rsid w:val="00363BCF"/>
    <w:rsid w:val="00363DD9"/>
    <w:rsid w:val="00363F52"/>
    <w:rsid w:val="0036416B"/>
    <w:rsid w:val="0036439E"/>
    <w:rsid w:val="00364B01"/>
    <w:rsid w:val="00364C7E"/>
    <w:rsid w:val="00364CD1"/>
    <w:rsid w:val="0036525E"/>
    <w:rsid w:val="00365395"/>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E1"/>
    <w:rsid w:val="00374D2A"/>
    <w:rsid w:val="00374EDB"/>
    <w:rsid w:val="00375144"/>
    <w:rsid w:val="003754B5"/>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DF"/>
    <w:rsid w:val="003847E7"/>
    <w:rsid w:val="00384882"/>
    <w:rsid w:val="00384AEA"/>
    <w:rsid w:val="00385013"/>
    <w:rsid w:val="00385A65"/>
    <w:rsid w:val="00386634"/>
    <w:rsid w:val="0038715C"/>
    <w:rsid w:val="003871E5"/>
    <w:rsid w:val="003875A2"/>
    <w:rsid w:val="00387D8B"/>
    <w:rsid w:val="00390215"/>
    <w:rsid w:val="003902A7"/>
    <w:rsid w:val="00390393"/>
    <w:rsid w:val="0039063A"/>
    <w:rsid w:val="0039082D"/>
    <w:rsid w:val="00391724"/>
    <w:rsid w:val="0039194D"/>
    <w:rsid w:val="003919E2"/>
    <w:rsid w:val="00392D8D"/>
    <w:rsid w:val="003931C9"/>
    <w:rsid w:val="00393293"/>
    <w:rsid w:val="00393B90"/>
    <w:rsid w:val="00393D84"/>
    <w:rsid w:val="00393EF8"/>
    <w:rsid w:val="00394336"/>
    <w:rsid w:val="003945AC"/>
    <w:rsid w:val="00394B80"/>
    <w:rsid w:val="00396D01"/>
    <w:rsid w:val="00396DD4"/>
    <w:rsid w:val="00397186"/>
    <w:rsid w:val="00397C32"/>
    <w:rsid w:val="00397F3B"/>
    <w:rsid w:val="003A0651"/>
    <w:rsid w:val="003A068E"/>
    <w:rsid w:val="003A0DCE"/>
    <w:rsid w:val="003A1006"/>
    <w:rsid w:val="003A14B5"/>
    <w:rsid w:val="003A18EE"/>
    <w:rsid w:val="003A1E9A"/>
    <w:rsid w:val="003A2191"/>
    <w:rsid w:val="003A2441"/>
    <w:rsid w:val="003A2864"/>
    <w:rsid w:val="003A2B7E"/>
    <w:rsid w:val="003A2B8C"/>
    <w:rsid w:val="003A38B6"/>
    <w:rsid w:val="003A3B82"/>
    <w:rsid w:val="003A419F"/>
    <w:rsid w:val="003A472F"/>
    <w:rsid w:val="003A50C7"/>
    <w:rsid w:val="003A562F"/>
    <w:rsid w:val="003A58E2"/>
    <w:rsid w:val="003A5CB2"/>
    <w:rsid w:val="003A5D55"/>
    <w:rsid w:val="003A6281"/>
    <w:rsid w:val="003A62CF"/>
    <w:rsid w:val="003A64C5"/>
    <w:rsid w:val="003A69BA"/>
    <w:rsid w:val="003A7B67"/>
    <w:rsid w:val="003B022D"/>
    <w:rsid w:val="003B029A"/>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E31"/>
    <w:rsid w:val="003B5195"/>
    <w:rsid w:val="003B52CD"/>
    <w:rsid w:val="003B5812"/>
    <w:rsid w:val="003B5CE3"/>
    <w:rsid w:val="003B6792"/>
    <w:rsid w:val="003B69CD"/>
    <w:rsid w:val="003B6D25"/>
    <w:rsid w:val="003B7047"/>
    <w:rsid w:val="003B7158"/>
    <w:rsid w:val="003B7C9A"/>
    <w:rsid w:val="003B7DFF"/>
    <w:rsid w:val="003C010C"/>
    <w:rsid w:val="003C04D6"/>
    <w:rsid w:val="003C0557"/>
    <w:rsid w:val="003C1975"/>
    <w:rsid w:val="003C2E24"/>
    <w:rsid w:val="003C30C8"/>
    <w:rsid w:val="003C3132"/>
    <w:rsid w:val="003C357A"/>
    <w:rsid w:val="003C3D34"/>
    <w:rsid w:val="003C42AE"/>
    <w:rsid w:val="003C441B"/>
    <w:rsid w:val="003C4661"/>
    <w:rsid w:val="003C524C"/>
    <w:rsid w:val="003C58C2"/>
    <w:rsid w:val="003C593F"/>
    <w:rsid w:val="003C595B"/>
    <w:rsid w:val="003C5C66"/>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DC"/>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A40"/>
    <w:rsid w:val="003E1CF4"/>
    <w:rsid w:val="003E1E85"/>
    <w:rsid w:val="003E208F"/>
    <w:rsid w:val="003E2641"/>
    <w:rsid w:val="003E3169"/>
    <w:rsid w:val="003E3BFB"/>
    <w:rsid w:val="003E3CCF"/>
    <w:rsid w:val="003E3D8C"/>
    <w:rsid w:val="003E424F"/>
    <w:rsid w:val="003E43BB"/>
    <w:rsid w:val="003E44E7"/>
    <w:rsid w:val="003E53D9"/>
    <w:rsid w:val="003E5DDB"/>
    <w:rsid w:val="003E6DA1"/>
    <w:rsid w:val="003E705C"/>
    <w:rsid w:val="003E79A3"/>
    <w:rsid w:val="003E7AAD"/>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C35"/>
    <w:rsid w:val="003F660A"/>
    <w:rsid w:val="003F673C"/>
    <w:rsid w:val="003F6B32"/>
    <w:rsid w:val="003F70F5"/>
    <w:rsid w:val="003F71A9"/>
    <w:rsid w:val="003F7BEC"/>
    <w:rsid w:val="003F7E49"/>
    <w:rsid w:val="0040014D"/>
    <w:rsid w:val="004001A2"/>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499"/>
    <w:rsid w:val="00415B2B"/>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3CBE"/>
    <w:rsid w:val="00433D4E"/>
    <w:rsid w:val="00433EE1"/>
    <w:rsid w:val="004342E2"/>
    <w:rsid w:val="004346C0"/>
    <w:rsid w:val="00435537"/>
    <w:rsid w:val="004364B6"/>
    <w:rsid w:val="004366D6"/>
    <w:rsid w:val="004367EB"/>
    <w:rsid w:val="004375C7"/>
    <w:rsid w:val="00437730"/>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9C5"/>
    <w:rsid w:val="00445A8D"/>
    <w:rsid w:val="00445C6A"/>
    <w:rsid w:val="00446509"/>
    <w:rsid w:val="004466E3"/>
    <w:rsid w:val="00446A28"/>
    <w:rsid w:val="00446A4A"/>
    <w:rsid w:val="00446DB7"/>
    <w:rsid w:val="00447FBC"/>
    <w:rsid w:val="00450C21"/>
    <w:rsid w:val="004512B6"/>
    <w:rsid w:val="00452677"/>
    <w:rsid w:val="004528E3"/>
    <w:rsid w:val="0045402C"/>
    <w:rsid w:val="00455990"/>
    <w:rsid w:val="00455C09"/>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81D"/>
    <w:rsid w:val="00471CD4"/>
    <w:rsid w:val="00471E92"/>
    <w:rsid w:val="0047207F"/>
    <w:rsid w:val="00472290"/>
    <w:rsid w:val="00472940"/>
    <w:rsid w:val="004729E0"/>
    <w:rsid w:val="00472C88"/>
    <w:rsid w:val="00472E04"/>
    <w:rsid w:val="00473CB7"/>
    <w:rsid w:val="00473D5D"/>
    <w:rsid w:val="004744FF"/>
    <w:rsid w:val="004751DD"/>
    <w:rsid w:val="00475347"/>
    <w:rsid w:val="00475375"/>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61BD"/>
    <w:rsid w:val="00486796"/>
    <w:rsid w:val="00486BE7"/>
    <w:rsid w:val="00486C74"/>
    <w:rsid w:val="00487582"/>
    <w:rsid w:val="00487EB1"/>
    <w:rsid w:val="004901CB"/>
    <w:rsid w:val="00490BCC"/>
    <w:rsid w:val="004910AC"/>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10EB"/>
    <w:rsid w:val="004A10F1"/>
    <w:rsid w:val="004A1173"/>
    <w:rsid w:val="004A13C3"/>
    <w:rsid w:val="004A225B"/>
    <w:rsid w:val="004A2535"/>
    <w:rsid w:val="004A2542"/>
    <w:rsid w:val="004A25B1"/>
    <w:rsid w:val="004A2710"/>
    <w:rsid w:val="004A2951"/>
    <w:rsid w:val="004A2955"/>
    <w:rsid w:val="004A3487"/>
    <w:rsid w:val="004A352F"/>
    <w:rsid w:val="004A3D3C"/>
    <w:rsid w:val="004A4111"/>
    <w:rsid w:val="004A4332"/>
    <w:rsid w:val="004A4361"/>
    <w:rsid w:val="004A4451"/>
    <w:rsid w:val="004A50BB"/>
    <w:rsid w:val="004A5FD5"/>
    <w:rsid w:val="004A6269"/>
    <w:rsid w:val="004A6B78"/>
    <w:rsid w:val="004A6C23"/>
    <w:rsid w:val="004A73C5"/>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B5A"/>
    <w:rsid w:val="004C2C6D"/>
    <w:rsid w:val="004C3426"/>
    <w:rsid w:val="004C35F7"/>
    <w:rsid w:val="004C3F70"/>
    <w:rsid w:val="004C43FD"/>
    <w:rsid w:val="004C4566"/>
    <w:rsid w:val="004C4E85"/>
    <w:rsid w:val="004C51CB"/>
    <w:rsid w:val="004C537A"/>
    <w:rsid w:val="004C54F5"/>
    <w:rsid w:val="004C5776"/>
    <w:rsid w:val="004C6301"/>
    <w:rsid w:val="004C7217"/>
    <w:rsid w:val="004C7620"/>
    <w:rsid w:val="004C7BD9"/>
    <w:rsid w:val="004D053D"/>
    <w:rsid w:val="004D0A4A"/>
    <w:rsid w:val="004D0A75"/>
    <w:rsid w:val="004D10F8"/>
    <w:rsid w:val="004D116B"/>
    <w:rsid w:val="004D12FA"/>
    <w:rsid w:val="004D1698"/>
    <w:rsid w:val="004D3330"/>
    <w:rsid w:val="004D35BD"/>
    <w:rsid w:val="004D4335"/>
    <w:rsid w:val="004D44EE"/>
    <w:rsid w:val="004D45A9"/>
    <w:rsid w:val="004D46A3"/>
    <w:rsid w:val="004D5437"/>
    <w:rsid w:val="004D5988"/>
    <w:rsid w:val="004D5CCF"/>
    <w:rsid w:val="004D64C7"/>
    <w:rsid w:val="004D7646"/>
    <w:rsid w:val="004D781F"/>
    <w:rsid w:val="004E0161"/>
    <w:rsid w:val="004E084F"/>
    <w:rsid w:val="004E09C4"/>
    <w:rsid w:val="004E0FB0"/>
    <w:rsid w:val="004E118B"/>
    <w:rsid w:val="004E1DD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67F8"/>
    <w:rsid w:val="004E6BF1"/>
    <w:rsid w:val="004E7953"/>
    <w:rsid w:val="004E7B4B"/>
    <w:rsid w:val="004F0B46"/>
    <w:rsid w:val="004F0C84"/>
    <w:rsid w:val="004F0CAD"/>
    <w:rsid w:val="004F0E48"/>
    <w:rsid w:val="004F1302"/>
    <w:rsid w:val="004F165E"/>
    <w:rsid w:val="004F17BB"/>
    <w:rsid w:val="004F1D88"/>
    <w:rsid w:val="004F24E7"/>
    <w:rsid w:val="004F25D5"/>
    <w:rsid w:val="004F2896"/>
    <w:rsid w:val="004F2DD1"/>
    <w:rsid w:val="004F3379"/>
    <w:rsid w:val="004F3534"/>
    <w:rsid w:val="004F3CB1"/>
    <w:rsid w:val="004F3CDC"/>
    <w:rsid w:val="004F4F21"/>
    <w:rsid w:val="004F572F"/>
    <w:rsid w:val="004F57F8"/>
    <w:rsid w:val="004F59B2"/>
    <w:rsid w:val="004F5A08"/>
    <w:rsid w:val="004F5C0C"/>
    <w:rsid w:val="004F5C70"/>
    <w:rsid w:val="004F5DB6"/>
    <w:rsid w:val="004F636D"/>
    <w:rsid w:val="004F7335"/>
    <w:rsid w:val="004F749A"/>
    <w:rsid w:val="004F750D"/>
    <w:rsid w:val="004F751F"/>
    <w:rsid w:val="004F7774"/>
    <w:rsid w:val="004F7C39"/>
    <w:rsid w:val="005005AB"/>
    <w:rsid w:val="00500B43"/>
    <w:rsid w:val="00500F36"/>
    <w:rsid w:val="005015F7"/>
    <w:rsid w:val="00501998"/>
    <w:rsid w:val="00501BEF"/>
    <w:rsid w:val="00502240"/>
    <w:rsid w:val="00502F61"/>
    <w:rsid w:val="00504604"/>
    <w:rsid w:val="00504969"/>
    <w:rsid w:val="0050508C"/>
    <w:rsid w:val="005052E3"/>
    <w:rsid w:val="00505313"/>
    <w:rsid w:val="00505806"/>
    <w:rsid w:val="00505897"/>
    <w:rsid w:val="00505A0C"/>
    <w:rsid w:val="00505F47"/>
    <w:rsid w:val="00506280"/>
    <w:rsid w:val="0050660F"/>
    <w:rsid w:val="0050671A"/>
    <w:rsid w:val="00506918"/>
    <w:rsid w:val="00506EE2"/>
    <w:rsid w:val="005070B1"/>
    <w:rsid w:val="005070DE"/>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4856"/>
    <w:rsid w:val="005149E8"/>
    <w:rsid w:val="00514BED"/>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F90"/>
    <w:rsid w:val="005226AE"/>
    <w:rsid w:val="00523617"/>
    <w:rsid w:val="005239D6"/>
    <w:rsid w:val="00523BEF"/>
    <w:rsid w:val="00524745"/>
    <w:rsid w:val="005249F5"/>
    <w:rsid w:val="00524BFD"/>
    <w:rsid w:val="005254B4"/>
    <w:rsid w:val="00525941"/>
    <w:rsid w:val="0052635A"/>
    <w:rsid w:val="005270F8"/>
    <w:rsid w:val="00530011"/>
    <w:rsid w:val="005303DB"/>
    <w:rsid w:val="005304DD"/>
    <w:rsid w:val="0053071C"/>
    <w:rsid w:val="00530BE8"/>
    <w:rsid w:val="00530F4A"/>
    <w:rsid w:val="005311B1"/>
    <w:rsid w:val="00531793"/>
    <w:rsid w:val="0053190B"/>
    <w:rsid w:val="00531DB5"/>
    <w:rsid w:val="005322FC"/>
    <w:rsid w:val="0053266A"/>
    <w:rsid w:val="0053288F"/>
    <w:rsid w:val="00532F80"/>
    <w:rsid w:val="00533262"/>
    <w:rsid w:val="0053330B"/>
    <w:rsid w:val="005336EB"/>
    <w:rsid w:val="00533A1E"/>
    <w:rsid w:val="00534786"/>
    <w:rsid w:val="00535864"/>
    <w:rsid w:val="00536B5C"/>
    <w:rsid w:val="00536FD6"/>
    <w:rsid w:val="005374F4"/>
    <w:rsid w:val="00537883"/>
    <w:rsid w:val="00537897"/>
    <w:rsid w:val="00537DE9"/>
    <w:rsid w:val="00537EA3"/>
    <w:rsid w:val="00540A15"/>
    <w:rsid w:val="00540BB9"/>
    <w:rsid w:val="005412C9"/>
    <w:rsid w:val="005413B1"/>
    <w:rsid w:val="00541A89"/>
    <w:rsid w:val="00541C46"/>
    <w:rsid w:val="00542043"/>
    <w:rsid w:val="0054221F"/>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79E"/>
    <w:rsid w:val="005507DA"/>
    <w:rsid w:val="00550EE4"/>
    <w:rsid w:val="00551750"/>
    <w:rsid w:val="00551AE3"/>
    <w:rsid w:val="0055203D"/>
    <w:rsid w:val="005527BD"/>
    <w:rsid w:val="00552881"/>
    <w:rsid w:val="00553984"/>
    <w:rsid w:val="00553B89"/>
    <w:rsid w:val="00553CEE"/>
    <w:rsid w:val="005542EB"/>
    <w:rsid w:val="00554827"/>
    <w:rsid w:val="00554A45"/>
    <w:rsid w:val="00554CB7"/>
    <w:rsid w:val="00554DCA"/>
    <w:rsid w:val="0055502E"/>
    <w:rsid w:val="00555557"/>
    <w:rsid w:val="00555949"/>
    <w:rsid w:val="00555F15"/>
    <w:rsid w:val="005561FF"/>
    <w:rsid w:val="005565E3"/>
    <w:rsid w:val="005567E5"/>
    <w:rsid w:val="0055689B"/>
    <w:rsid w:val="005568C0"/>
    <w:rsid w:val="00556CAA"/>
    <w:rsid w:val="005578A2"/>
    <w:rsid w:val="00557F75"/>
    <w:rsid w:val="00560504"/>
    <w:rsid w:val="00560695"/>
    <w:rsid w:val="00561524"/>
    <w:rsid w:val="0056182D"/>
    <w:rsid w:val="00561A65"/>
    <w:rsid w:val="00561B04"/>
    <w:rsid w:val="00561C23"/>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46EB"/>
    <w:rsid w:val="005754A6"/>
    <w:rsid w:val="005757BB"/>
    <w:rsid w:val="005758DC"/>
    <w:rsid w:val="00575EE0"/>
    <w:rsid w:val="00576239"/>
    <w:rsid w:val="005762BC"/>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E1B"/>
    <w:rsid w:val="00591220"/>
    <w:rsid w:val="00591659"/>
    <w:rsid w:val="00591935"/>
    <w:rsid w:val="00591C85"/>
    <w:rsid w:val="00591CAD"/>
    <w:rsid w:val="0059257E"/>
    <w:rsid w:val="00592D6B"/>
    <w:rsid w:val="0059398E"/>
    <w:rsid w:val="00593A2C"/>
    <w:rsid w:val="00594250"/>
    <w:rsid w:val="00594951"/>
    <w:rsid w:val="00594D60"/>
    <w:rsid w:val="00595235"/>
    <w:rsid w:val="005954D0"/>
    <w:rsid w:val="00595679"/>
    <w:rsid w:val="00595770"/>
    <w:rsid w:val="00595855"/>
    <w:rsid w:val="00595FD2"/>
    <w:rsid w:val="005967D8"/>
    <w:rsid w:val="005968B1"/>
    <w:rsid w:val="00596AF9"/>
    <w:rsid w:val="00596EDF"/>
    <w:rsid w:val="00596FDB"/>
    <w:rsid w:val="005974C2"/>
    <w:rsid w:val="00597776"/>
    <w:rsid w:val="00597B7D"/>
    <w:rsid w:val="005A0DE0"/>
    <w:rsid w:val="005A10FB"/>
    <w:rsid w:val="005A1331"/>
    <w:rsid w:val="005A1792"/>
    <w:rsid w:val="005A1982"/>
    <w:rsid w:val="005A1C09"/>
    <w:rsid w:val="005A26C1"/>
    <w:rsid w:val="005A2D5B"/>
    <w:rsid w:val="005A2DF4"/>
    <w:rsid w:val="005A35C7"/>
    <w:rsid w:val="005A3943"/>
    <w:rsid w:val="005A3CA5"/>
    <w:rsid w:val="005A3D80"/>
    <w:rsid w:val="005A41A6"/>
    <w:rsid w:val="005A497F"/>
    <w:rsid w:val="005A53A0"/>
    <w:rsid w:val="005A557B"/>
    <w:rsid w:val="005A69D5"/>
    <w:rsid w:val="005A6F07"/>
    <w:rsid w:val="005A764C"/>
    <w:rsid w:val="005A7D60"/>
    <w:rsid w:val="005A7FC1"/>
    <w:rsid w:val="005B01E3"/>
    <w:rsid w:val="005B03EF"/>
    <w:rsid w:val="005B0675"/>
    <w:rsid w:val="005B0E8F"/>
    <w:rsid w:val="005B129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60C2"/>
    <w:rsid w:val="005B6941"/>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D21"/>
    <w:rsid w:val="005D0235"/>
    <w:rsid w:val="005D036D"/>
    <w:rsid w:val="005D0550"/>
    <w:rsid w:val="005D113E"/>
    <w:rsid w:val="005D11A4"/>
    <w:rsid w:val="005D11BE"/>
    <w:rsid w:val="005D14CD"/>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947"/>
    <w:rsid w:val="005F3F2E"/>
    <w:rsid w:val="005F4575"/>
    <w:rsid w:val="005F459F"/>
    <w:rsid w:val="005F4BB3"/>
    <w:rsid w:val="005F52E8"/>
    <w:rsid w:val="005F5933"/>
    <w:rsid w:val="005F5AB2"/>
    <w:rsid w:val="005F62E3"/>
    <w:rsid w:val="005F659B"/>
    <w:rsid w:val="005F7442"/>
    <w:rsid w:val="005F74A4"/>
    <w:rsid w:val="005F7658"/>
    <w:rsid w:val="005F7D05"/>
    <w:rsid w:val="00600311"/>
    <w:rsid w:val="0060033C"/>
    <w:rsid w:val="00600415"/>
    <w:rsid w:val="00600575"/>
    <w:rsid w:val="00600D44"/>
    <w:rsid w:val="00601054"/>
    <w:rsid w:val="006015C2"/>
    <w:rsid w:val="00601C3D"/>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2"/>
    <w:rsid w:val="00607C7F"/>
    <w:rsid w:val="00610072"/>
    <w:rsid w:val="00610ADF"/>
    <w:rsid w:val="00610C29"/>
    <w:rsid w:val="006113B3"/>
    <w:rsid w:val="0061186B"/>
    <w:rsid w:val="006118F0"/>
    <w:rsid w:val="00611B94"/>
    <w:rsid w:val="00611CEE"/>
    <w:rsid w:val="00612159"/>
    <w:rsid w:val="006128F8"/>
    <w:rsid w:val="00613644"/>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336"/>
    <w:rsid w:val="006214D2"/>
    <w:rsid w:val="00621F5D"/>
    <w:rsid w:val="0062207D"/>
    <w:rsid w:val="0062236C"/>
    <w:rsid w:val="0062262A"/>
    <w:rsid w:val="00622DF5"/>
    <w:rsid w:val="006235E5"/>
    <w:rsid w:val="00623932"/>
    <w:rsid w:val="00623CA4"/>
    <w:rsid w:val="0062406F"/>
    <w:rsid w:val="0062482E"/>
    <w:rsid w:val="00625471"/>
    <w:rsid w:val="00625844"/>
    <w:rsid w:val="00625882"/>
    <w:rsid w:val="00625B69"/>
    <w:rsid w:val="00626368"/>
    <w:rsid w:val="006266CD"/>
    <w:rsid w:val="006269C2"/>
    <w:rsid w:val="00627AB1"/>
    <w:rsid w:val="006300FE"/>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5566"/>
    <w:rsid w:val="00635AEC"/>
    <w:rsid w:val="006362FD"/>
    <w:rsid w:val="006363A0"/>
    <w:rsid w:val="00636F25"/>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342C"/>
    <w:rsid w:val="00653952"/>
    <w:rsid w:val="006542A4"/>
    <w:rsid w:val="00654B72"/>
    <w:rsid w:val="00654F57"/>
    <w:rsid w:val="00654FD5"/>
    <w:rsid w:val="006553B3"/>
    <w:rsid w:val="006558A7"/>
    <w:rsid w:val="006558BE"/>
    <w:rsid w:val="006560C3"/>
    <w:rsid w:val="00656750"/>
    <w:rsid w:val="00656983"/>
    <w:rsid w:val="00656EDF"/>
    <w:rsid w:val="00657EFF"/>
    <w:rsid w:val="0066022E"/>
    <w:rsid w:val="00660337"/>
    <w:rsid w:val="00660463"/>
    <w:rsid w:val="0066053B"/>
    <w:rsid w:val="00660AB4"/>
    <w:rsid w:val="006616BF"/>
    <w:rsid w:val="00661780"/>
    <w:rsid w:val="00661B0F"/>
    <w:rsid w:val="00661B48"/>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C60"/>
    <w:rsid w:val="0067273C"/>
    <w:rsid w:val="00672B17"/>
    <w:rsid w:val="00672B1E"/>
    <w:rsid w:val="006730B2"/>
    <w:rsid w:val="006732B3"/>
    <w:rsid w:val="0067341D"/>
    <w:rsid w:val="006741C8"/>
    <w:rsid w:val="006743CB"/>
    <w:rsid w:val="00674DF2"/>
    <w:rsid w:val="0067556B"/>
    <w:rsid w:val="006755B5"/>
    <w:rsid w:val="00675E6D"/>
    <w:rsid w:val="00676FF0"/>
    <w:rsid w:val="006776D8"/>
    <w:rsid w:val="006800AE"/>
    <w:rsid w:val="006802A9"/>
    <w:rsid w:val="006809B9"/>
    <w:rsid w:val="00681327"/>
    <w:rsid w:val="00681765"/>
    <w:rsid w:val="00681DD0"/>
    <w:rsid w:val="00681E1E"/>
    <w:rsid w:val="00682878"/>
    <w:rsid w:val="00682D4E"/>
    <w:rsid w:val="00682DA0"/>
    <w:rsid w:val="00682F1B"/>
    <w:rsid w:val="0068349F"/>
    <w:rsid w:val="006838A7"/>
    <w:rsid w:val="00683CCD"/>
    <w:rsid w:val="00684832"/>
    <w:rsid w:val="00684D15"/>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CF0"/>
    <w:rsid w:val="00692D55"/>
    <w:rsid w:val="00692DED"/>
    <w:rsid w:val="00692E3D"/>
    <w:rsid w:val="006940D2"/>
    <w:rsid w:val="00694111"/>
    <w:rsid w:val="006943D0"/>
    <w:rsid w:val="00694FF6"/>
    <w:rsid w:val="00695102"/>
    <w:rsid w:val="00695BAE"/>
    <w:rsid w:val="00695EFD"/>
    <w:rsid w:val="00695F98"/>
    <w:rsid w:val="0069682C"/>
    <w:rsid w:val="00696A14"/>
    <w:rsid w:val="00696A8C"/>
    <w:rsid w:val="00696B74"/>
    <w:rsid w:val="00696FE6"/>
    <w:rsid w:val="0069702A"/>
    <w:rsid w:val="00697F0E"/>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51B"/>
    <w:rsid w:val="006A58DC"/>
    <w:rsid w:val="006A5B63"/>
    <w:rsid w:val="006A5B68"/>
    <w:rsid w:val="006A6A19"/>
    <w:rsid w:val="006A6A96"/>
    <w:rsid w:val="006A6BE2"/>
    <w:rsid w:val="006A6C52"/>
    <w:rsid w:val="006A6EA1"/>
    <w:rsid w:val="006A6EF1"/>
    <w:rsid w:val="006A7163"/>
    <w:rsid w:val="006A7295"/>
    <w:rsid w:val="006A74F0"/>
    <w:rsid w:val="006B0175"/>
    <w:rsid w:val="006B0420"/>
    <w:rsid w:val="006B04A7"/>
    <w:rsid w:val="006B2238"/>
    <w:rsid w:val="006B2AEC"/>
    <w:rsid w:val="006B395B"/>
    <w:rsid w:val="006B3B74"/>
    <w:rsid w:val="006B48EB"/>
    <w:rsid w:val="006B4BB6"/>
    <w:rsid w:val="006B5887"/>
    <w:rsid w:val="006B5F68"/>
    <w:rsid w:val="006B6332"/>
    <w:rsid w:val="006B635D"/>
    <w:rsid w:val="006B6786"/>
    <w:rsid w:val="006B6844"/>
    <w:rsid w:val="006B6DAD"/>
    <w:rsid w:val="006B7364"/>
    <w:rsid w:val="006B74BC"/>
    <w:rsid w:val="006B7F33"/>
    <w:rsid w:val="006C029B"/>
    <w:rsid w:val="006C0640"/>
    <w:rsid w:val="006C11FF"/>
    <w:rsid w:val="006C182A"/>
    <w:rsid w:val="006C1861"/>
    <w:rsid w:val="006C1A15"/>
    <w:rsid w:val="006C221D"/>
    <w:rsid w:val="006C23D5"/>
    <w:rsid w:val="006C2DB9"/>
    <w:rsid w:val="006C3452"/>
    <w:rsid w:val="006C3FF5"/>
    <w:rsid w:val="006C4458"/>
    <w:rsid w:val="006C458E"/>
    <w:rsid w:val="006C48D4"/>
    <w:rsid w:val="006C4D6D"/>
    <w:rsid w:val="006C5037"/>
    <w:rsid w:val="006C5241"/>
    <w:rsid w:val="006C6113"/>
    <w:rsid w:val="006C6900"/>
    <w:rsid w:val="006C6EF7"/>
    <w:rsid w:val="006C7193"/>
    <w:rsid w:val="006C7993"/>
    <w:rsid w:val="006C7D68"/>
    <w:rsid w:val="006D0575"/>
    <w:rsid w:val="006D0727"/>
    <w:rsid w:val="006D0A89"/>
    <w:rsid w:val="006D0B63"/>
    <w:rsid w:val="006D0B99"/>
    <w:rsid w:val="006D173B"/>
    <w:rsid w:val="006D1C0C"/>
    <w:rsid w:val="006D21E9"/>
    <w:rsid w:val="006D22BC"/>
    <w:rsid w:val="006D2849"/>
    <w:rsid w:val="006D2F60"/>
    <w:rsid w:val="006D31B1"/>
    <w:rsid w:val="006D3342"/>
    <w:rsid w:val="006D34CC"/>
    <w:rsid w:val="006D34D5"/>
    <w:rsid w:val="006D3C52"/>
    <w:rsid w:val="006D3C9E"/>
    <w:rsid w:val="006D3DFC"/>
    <w:rsid w:val="006D40D6"/>
    <w:rsid w:val="006D455E"/>
    <w:rsid w:val="006D46BF"/>
    <w:rsid w:val="006D4B30"/>
    <w:rsid w:val="006D4F49"/>
    <w:rsid w:val="006D5EE4"/>
    <w:rsid w:val="006D636C"/>
    <w:rsid w:val="006D6BDA"/>
    <w:rsid w:val="006D6DF1"/>
    <w:rsid w:val="006D6F8C"/>
    <w:rsid w:val="006D73AF"/>
    <w:rsid w:val="006D78B9"/>
    <w:rsid w:val="006D7ACB"/>
    <w:rsid w:val="006D7AEF"/>
    <w:rsid w:val="006D7F55"/>
    <w:rsid w:val="006D7FA4"/>
    <w:rsid w:val="006E1163"/>
    <w:rsid w:val="006E124F"/>
    <w:rsid w:val="006E15F6"/>
    <w:rsid w:val="006E1814"/>
    <w:rsid w:val="006E1B88"/>
    <w:rsid w:val="006E1D00"/>
    <w:rsid w:val="006E1D54"/>
    <w:rsid w:val="006E2C7A"/>
    <w:rsid w:val="006E32D6"/>
    <w:rsid w:val="006E42DC"/>
    <w:rsid w:val="006E445C"/>
    <w:rsid w:val="006E456F"/>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32B2"/>
    <w:rsid w:val="007033A1"/>
    <w:rsid w:val="00703836"/>
    <w:rsid w:val="00703C35"/>
    <w:rsid w:val="00703D37"/>
    <w:rsid w:val="007042FA"/>
    <w:rsid w:val="007055A7"/>
    <w:rsid w:val="007056F2"/>
    <w:rsid w:val="00705B00"/>
    <w:rsid w:val="00705B44"/>
    <w:rsid w:val="007060C1"/>
    <w:rsid w:val="007066F4"/>
    <w:rsid w:val="007072B8"/>
    <w:rsid w:val="007100FB"/>
    <w:rsid w:val="007108E3"/>
    <w:rsid w:val="00711F41"/>
    <w:rsid w:val="00711F7D"/>
    <w:rsid w:val="007123A3"/>
    <w:rsid w:val="0071247E"/>
    <w:rsid w:val="00712A73"/>
    <w:rsid w:val="00712D0E"/>
    <w:rsid w:val="0071313E"/>
    <w:rsid w:val="00713497"/>
    <w:rsid w:val="00713575"/>
    <w:rsid w:val="00714331"/>
    <w:rsid w:val="00714BC0"/>
    <w:rsid w:val="00714FAA"/>
    <w:rsid w:val="007159BA"/>
    <w:rsid w:val="00716882"/>
    <w:rsid w:val="00716BA3"/>
    <w:rsid w:val="00717906"/>
    <w:rsid w:val="007206D4"/>
    <w:rsid w:val="0072137D"/>
    <w:rsid w:val="00721384"/>
    <w:rsid w:val="007213A3"/>
    <w:rsid w:val="00721647"/>
    <w:rsid w:val="0072179D"/>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3F0"/>
    <w:rsid w:val="007275C3"/>
    <w:rsid w:val="007300B9"/>
    <w:rsid w:val="007300C3"/>
    <w:rsid w:val="007303F6"/>
    <w:rsid w:val="00730497"/>
    <w:rsid w:val="00730764"/>
    <w:rsid w:val="00730838"/>
    <w:rsid w:val="00730982"/>
    <w:rsid w:val="00730B63"/>
    <w:rsid w:val="00730BE7"/>
    <w:rsid w:val="00730CFE"/>
    <w:rsid w:val="00730D16"/>
    <w:rsid w:val="00730E07"/>
    <w:rsid w:val="00731AEA"/>
    <w:rsid w:val="00731D02"/>
    <w:rsid w:val="007320F2"/>
    <w:rsid w:val="00732994"/>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BE8"/>
    <w:rsid w:val="00742C2A"/>
    <w:rsid w:val="00742C95"/>
    <w:rsid w:val="00742CA5"/>
    <w:rsid w:val="00742DA6"/>
    <w:rsid w:val="00743846"/>
    <w:rsid w:val="00743A7F"/>
    <w:rsid w:val="00743B56"/>
    <w:rsid w:val="0074404A"/>
    <w:rsid w:val="00744075"/>
    <w:rsid w:val="0074443B"/>
    <w:rsid w:val="0074486C"/>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3393"/>
    <w:rsid w:val="007538A2"/>
    <w:rsid w:val="00753B4B"/>
    <w:rsid w:val="00754728"/>
    <w:rsid w:val="00755029"/>
    <w:rsid w:val="007555A2"/>
    <w:rsid w:val="00755A0F"/>
    <w:rsid w:val="00755D76"/>
    <w:rsid w:val="007564EE"/>
    <w:rsid w:val="00756B59"/>
    <w:rsid w:val="0075702B"/>
    <w:rsid w:val="0076039C"/>
    <w:rsid w:val="007604F1"/>
    <w:rsid w:val="00760A33"/>
    <w:rsid w:val="00760A9A"/>
    <w:rsid w:val="00760C00"/>
    <w:rsid w:val="00760F26"/>
    <w:rsid w:val="00761D0E"/>
    <w:rsid w:val="00762594"/>
    <w:rsid w:val="00762728"/>
    <w:rsid w:val="007627CC"/>
    <w:rsid w:val="00763262"/>
    <w:rsid w:val="00763527"/>
    <w:rsid w:val="0076370A"/>
    <w:rsid w:val="00763A45"/>
    <w:rsid w:val="00763A6F"/>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70508"/>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F25"/>
    <w:rsid w:val="00776F26"/>
    <w:rsid w:val="007775DC"/>
    <w:rsid w:val="00777CDD"/>
    <w:rsid w:val="00777FA8"/>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A5D"/>
    <w:rsid w:val="007A1AF2"/>
    <w:rsid w:val="007A1D44"/>
    <w:rsid w:val="007A26A2"/>
    <w:rsid w:val="007A29C6"/>
    <w:rsid w:val="007A2A30"/>
    <w:rsid w:val="007A32DB"/>
    <w:rsid w:val="007A353D"/>
    <w:rsid w:val="007A36BB"/>
    <w:rsid w:val="007A3834"/>
    <w:rsid w:val="007A3E8E"/>
    <w:rsid w:val="007A4361"/>
    <w:rsid w:val="007A4A18"/>
    <w:rsid w:val="007A4B3D"/>
    <w:rsid w:val="007A4BAD"/>
    <w:rsid w:val="007A50DC"/>
    <w:rsid w:val="007A5EF4"/>
    <w:rsid w:val="007A623B"/>
    <w:rsid w:val="007A6298"/>
    <w:rsid w:val="007A645B"/>
    <w:rsid w:val="007A6AEF"/>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282E"/>
    <w:rsid w:val="007C2F75"/>
    <w:rsid w:val="007C304B"/>
    <w:rsid w:val="007C339A"/>
    <w:rsid w:val="007C3480"/>
    <w:rsid w:val="007C36A0"/>
    <w:rsid w:val="007C402D"/>
    <w:rsid w:val="007C40EA"/>
    <w:rsid w:val="007C4BD9"/>
    <w:rsid w:val="007C5545"/>
    <w:rsid w:val="007C556E"/>
    <w:rsid w:val="007C59B0"/>
    <w:rsid w:val="007C5B87"/>
    <w:rsid w:val="007C6380"/>
    <w:rsid w:val="007C659C"/>
    <w:rsid w:val="007C6A02"/>
    <w:rsid w:val="007C6B83"/>
    <w:rsid w:val="007C6C82"/>
    <w:rsid w:val="007C78C8"/>
    <w:rsid w:val="007D0401"/>
    <w:rsid w:val="007D064B"/>
    <w:rsid w:val="007D20BA"/>
    <w:rsid w:val="007D292B"/>
    <w:rsid w:val="007D295D"/>
    <w:rsid w:val="007D2B6B"/>
    <w:rsid w:val="007D3310"/>
    <w:rsid w:val="007D39E9"/>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E7AC2"/>
    <w:rsid w:val="007F0535"/>
    <w:rsid w:val="007F05FB"/>
    <w:rsid w:val="007F061E"/>
    <w:rsid w:val="007F39EE"/>
    <w:rsid w:val="007F3ACC"/>
    <w:rsid w:val="007F3D50"/>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7695"/>
    <w:rsid w:val="00817905"/>
    <w:rsid w:val="00817D3A"/>
    <w:rsid w:val="00817FFD"/>
    <w:rsid w:val="00820F53"/>
    <w:rsid w:val="00821558"/>
    <w:rsid w:val="00821A5B"/>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C7C"/>
    <w:rsid w:val="00826CE9"/>
    <w:rsid w:val="008271AA"/>
    <w:rsid w:val="00827337"/>
    <w:rsid w:val="008275B6"/>
    <w:rsid w:val="00827BE1"/>
    <w:rsid w:val="00827E6D"/>
    <w:rsid w:val="00827FC2"/>
    <w:rsid w:val="0083082C"/>
    <w:rsid w:val="00831290"/>
    <w:rsid w:val="00831319"/>
    <w:rsid w:val="00831629"/>
    <w:rsid w:val="00831F27"/>
    <w:rsid w:val="00832695"/>
    <w:rsid w:val="008328CD"/>
    <w:rsid w:val="00832AB5"/>
    <w:rsid w:val="00834336"/>
    <w:rsid w:val="0083531B"/>
    <w:rsid w:val="00835853"/>
    <w:rsid w:val="008359E9"/>
    <w:rsid w:val="00835B52"/>
    <w:rsid w:val="00835DAE"/>
    <w:rsid w:val="0083660E"/>
    <w:rsid w:val="00836C38"/>
    <w:rsid w:val="00837218"/>
    <w:rsid w:val="008373A3"/>
    <w:rsid w:val="008373FA"/>
    <w:rsid w:val="0083768E"/>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F4"/>
    <w:rsid w:val="008523F8"/>
    <w:rsid w:val="008523FE"/>
    <w:rsid w:val="00852402"/>
    <w:rsid w:val="008525AC"/>
    <w:rsid w:val="0085297B"/>
    <w:rsid w:val="00852D31"/>
    <w:rsid w:val="0085331E"/>
    <w:rsid w:val="0085351A"/>
    <w:rsid w:val="00853928"/>
    <w:rsid w:val="00853DE4"/>
    <w:rsid w:val="00854343"/>
    <w:rsid w:val="008545AF"/>
    <w:rsid w:val="00854E80"/>
    <w:rsid w:val="008551B4"/>
    <w:rsid w:val="00855313"/>
    <w:rsid w:val="00856F45"/>
    <w:rsid w:val="008572C1"/>
    <w:rsid w:val="00857C77"/>
    <w:rsid w:val="00857E5F"/>
    <w:rsid w:val="00857F55"/>
    <w:rsid w:val="0086177A"/>
    <w:rsid w:val="00861786"/>
    <w:rsid w:val="008618FA"/>
    <w:rsid w:val="008624FA"/>
    <w:rsid w:val="008627D1"/>
    <w:rsid w:val="00862B55"/>
    <w:rsid w:val="00863290"/>
    <w:rsid w:val="008635CE"/>
    <w:rsid w:val="00863E0B"/>
    <w:rsid w:val="00863E27"/>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98C"/>
    <w:rsid w:val="008749AE"/>
    <w:rsid w:val="00874AFE"/>
    <w:rsid w:val="00874CC7"/>
    <w:rsid w:val="00875217"/>
    <w:rsid w:val="008752CE"/>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A65"/>
    <w:rsid w:val="008874E8"/>
    <w:rsid w:val="008875D8"/>
    <w:rsid w:val="00887B0B"/>
    <w:rsid w:val="008901EA"/>
    <w:rsid w:val="00890499"/>
    <w:rsid w:val="0089052D"/>
    <w:rsid w:val="008915CB"/>
    <w:rsid w:val="0089178E"/>
    <w:rsid w:val="00891B62"/>
    <w:rsid w:val="008922FD"/>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74F"/>
    <w:rsid w:val="008B5BB4"/>
    <w:rsid w:val="008B61F8"/>
    <w:rsid w:val="008B6643"/>
    <w:rsid w:val="008B6B6B"/>
    <w:rsid w:val="008B6BD0"/>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635B"/>
    <w:rsid w:val="008D6632"/>
    <w:rsid w:val="008D674C"/>
    <w:rsid w:val="008D7448"/>
    <w:rsid w:val="008D767F"/>
    <w:rsid w:val="008D7681"/>
    <w:rsid w:val="008E23CE"/>
    <w:rsid w:val="008E28F1"/>
    <w:rsid w:val="008E2BD5"/>
    <w:rsid w:val="008E34A8"/>
    <w:rsid w:val="008E3724"/>
    <w:rsid w:val="008E3979"/>
    <w:rsid w:val="008E3A13"/>
    <w:rsid w:val="008E4143"/>
    <w:rsid w:val="008E41BF"/>
    <w:rsid w:val="008E42E5"/>
    <w:rsid w:val="008E5564"/>
    <w:rsid w:val="008E5603"/>
    <w:rsid w:val="008E57C2"/>
    <w:rsid w:val="008E5F18"/>
    <w:rsid w:val="008E6723"/>
    <w:rsid w:val="008E7379"/>
    <w:rsid w:val="008E7660"/>
    <w:rsid w:val="008E79C3"/>
    <w:rsid w:val="008E79F1"/>
    <w:rsid w:val="008F04B1"/>
    <w:rsid w:val="008F0775"/>
    <w:rsid w:val="008F097F"/>
    <w:rsid w:val="008F194A"/>
    <w:rsid w:val="008F2136"/>
    <w:rsid w:val="008F2340"/>
    <w:rsid w:val="008F2557"/>
    <w:rsid w:val="008F3700"/>
    <w:rsid w:val="008F3BD3"/>
    <w:rsid w:val="008F40E0"/>
    <w:rsid w:val="008F416D"/>
    <w:rsid w:val="008F43C3"/>
    <w:rsid w:val="008F46FC"/>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B75"/>
    <w:rsid w:val="008F7C00"/>
    <w:rsid w:val="008F7D89"/>
    <w:rsid w:val="00900744"/>
    <w:rsid w:val="00900B2E"/>
    <w:rsid w:val="00901240"/>
    <w:rsid w:val="0090207E"/>
    <w:rsid w:val="0090211E"/>
    <w:rsid w:val="009021E7"/>
    <w:rsid w:val="0090232C"/>
    <w:rsid w:val="0090246C"/>
    <w:rsid w:val="009025B4"/>
    <w:rsid w:val="00903594"/>
    <w:rsid w:val="00903E88"/>
    <w:rsid w:val="00903EBD"/>
    <w:rsid w:val="00904F7F"/>
    <w:rsid w:val="0090577B"/>
    <w:rsid w:val="00905A4B"/>
    <w:rsid w:val="00905B2B"/>
    <w:rsid w:val="00905CE4"/>
    <w:rsid w:val="00906159"/>
    <w:rsid w:val="00906472"/>
    <w:rsid w:val="009068B4"/>
    <w:rsid w:val="00906D22"/>
    <w:rsid w:val="009072BB"/>
    <w:rsid w:val="009079A0"/>
    <w:rsid w:val="00910044"/>
    <w:rsid w:val="00910184"/>
    <w:rsid w:val="009102E3"/>
    <w:rsid w:val="0091058F"/>
    <w:rsid w:val="0091059B"/>
    <w:rsid w:val="00910B40"/>
    <w:rsid w:val="009112B8"/>
    <w:rsid w:val="009122EC"/>
    <w:rsid w:val="009126B7"/>
    <w:rsid w:val="00912B94"/>
    <w:rsid w:val="00912BDB"/>
    <w:rsid w:val="009134F9"/>
    <w:rsid w:val="00913532"/>
    <w:rsid w:val="00913585"/>
    <w:rsid w:val="0091387C"/>
    <w:rsid w:val="00913DEB"/>
    <w:rsid w:val="009148F7"/>
    <w:rsid w:val="009149E4"/>
    <w:rsid w:val="00914FF7"/>
    <w:rsid w:val="009150FD"/>
    <w:rsid w:val="00915B8E"/>
    <w:rsid w:val="00916038"/>
    <w:rsid w:val="00916343"/>
    <w:rsid w:val="00916AF4"/>
    <w:rsid w:val="00916C6C"/>
    <w:rsid w:val="00917528"/>
    <w:rsid w:val="00917D4C"/>
    <w:rsid w:val="00920F94"/>
    <w:rsid w:val="009211FB"/>
    <w:rsid w:val="00921818"/>
    <w:rsid w:val="00921DAA"/>
    <w:rsid w:val="00921F31"/>
    <w:rsid w:val="0092254A"/>
    <w:rsid w:val="00922B44"/>
    <w:rsid w:val="00922DC8"/>
    <w:rsid w:val="00923174"/>
    <w:rsid w:val="00923232"/>
    <w:rsid w:val="0092366B"/>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7B"/>
    <w:rsid w:val="0093046B"/>
    <w:rsid w:val="00930BC1"/>
    <w:rsid w:val="00931126"/>
    <w:rsid w:val="009317A2"/>
    <w:rsid w:val="00931B33"/>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DBB"/>
    <w:rsid w:val="009363AB"/>
    <w:rsid w:val="009367A5"/>
    <w:rsid w:val="0093719F"/>
    <w:rsid w:val="00937937"/>
    <w:rsid w:val="00937BE7"/>
    <w:rsid w:val="00937E8B"/>
    <w:rsid w:val="009409F7"/>
    <w:rsid w:val="00940E3E"/>
    <w:rsid w:val="00941791"/>
    <w:rsid w:val="009417A8"/>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C53"/>
    <w:rsid w:val="00961216"/>
    <w:rsid w:val="009613BD"/>
    <w:rsid w:val="00961BB0"/>
    <w:rsid w:val="0096234E"/>
    <w:rsid w:val="009623CD"/>
    <w:rsid w:val="009625B1"/>
    <w:rsid w:val="00962ECD"/>
    <w:rsid w:val="00962F33"/>
    <w:rsid w:val="00963CDD"/>
    <w:rsid w:val="009647AF"/>
    <w:rsid w:val="00964CAB"/>
    <w:rsid w:val="00965074"/>
    <w:rsid w:val="00965092"/>
    <w:rsid w:val="00965163"/>
    <w:rsid w:val="0096540B"/>
    <w:rsid w:val="009658FA"/>
    <w:rsid w:val="0096590C"/>
    <w:rsid w:val="00966695"/>
    <w:rsid w:val="00966846"/>
    <w:rsid w:val="00966D90"/>
    <w:rsid w:val="00966E3C"/>
    <w:rsid w:val="00967081"/>
    <w:rsid w:val="009670BB"/>
    <w:rsid w:val="009672CB"/>
    <w:rsid w:val="009700AD"/>
    <w:rsid w:val="00970294"/>
    <w:rsid w:val="00970303"/>
    <w:rsid w:val="00970396"/>
    <w:rsid w:val="00970460"/>
    <w:rsid w:val="009707FE"/>
    <w:rsid w:val="009715A4"/>
    <w:rsid w:val="00971EB3"/>
    <w:rsid w:val="0097238A"/>
    <w:rsid w:val="009724D2"/>
    <w:rsid w:val="0097276B"/>
    <w:rsid w:val="009727B9"/>
    <w:rsid w:val="00972845"/>
    <w:rsid w:val="00972E15"/>
    <w:rsid w:val="00972FFC"/>
    <w:rsid w:val="009731EC"/>
    <w:rsid w:val="009738E5"/>
    <w:rsid w:val="00973AF0"/>
    <w:rsid w:val="00973B5C"/>
    <w:rsid w:val="00974017"/>
    <w:rsid w:val="009741FD"/>
    <w:rsid w:val="00974B79"/>
    <w:rsid w:val="0097500A"/>
    <w:rsid w:val="009750B7"/>
    <w:rsid w:val="0097514D"/>
    <w:rsid w:val="00975569"/>
    <w:rsid w:val="0097593E"/>
    <w:rsid w:val="00976BC8"/>
    <w:rsid w:val="00976C10"/>
    <w:rsid w:val="00976CEE"/>
    <w:rsid w:val="009774F2"/>
    <w:rsid w:val="009775C3"/>
    <w:rsid w:val="0097770E"/>
    <w:rsid w:val="00977BAC"/>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F1D"/>
    <w:rsid w:val="009901D1"/>
    <w:rsid w:val="0099021E"/>
    <w:rsid w:val="0099042F"/>
    <w:rsid w:val="009904CA"/>
    <w:rsid w:val="009909B7"/>
    <w:rsid w:val="00990C6F"/>
    <w:rsid w:val="0099141D"/>
    <w:rsid w:val="009914DB"/>
    <w:rsid w:val="00991769"/>
    <w:rsid w:val="009930E8"/>
    <w:rsid w:val="00993BDB"/>
    <w:rsid w:val="00994680"/>
    <w:rsid w:val="009949E2"/>
    <w:rsid w:val="00994A19"/>
    <w:rsid w:val="00994E8D"/>
    <w:rsid w:val="0099517C"/>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251"/>
    <w:rsid w:val="009B2288"/>
    <w:rsid w:val="009B24B8"/>
    <w:rsid w:val="009B2679"/>
    <w:rsid w:val="009B27D8"/>
    <w:rsid w:val="009B29DB"/>
    <w:rsid w:val="009B2B2B"/>
    <w:rsid w:val="009B2F6F"/>
    <w:rsid w:val="009B31DA"/>
    <w:rsid w:val="009B4A8E"/>
    <w:rsid w:val="009B4DB9"/>
    <w:rsid w:val="009B4F85"/>
    <w:rsid w:val="009B5040"/>
    <w:rsid w:val="009B53FB"/>
    <w:rsid w:val="009B58D5"/>
    <w:rsid w:val="009B5A36"/>
    <w:rsid w:val="009B5D16"/>
    <w:rsid w:val="009B5E94"/>
    <w:rsid w:val="009B73A5"/>
    <w:rsid w:val="009B7C96"/>
    <w:rsid w:val="009C0244"/>
    <w:rsid w:val="009C02E6"/>
    <w:rsid w:val="009C06B6"/>
    <w:rsid w:val="009C0882"/>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C0D"/>
    <w:rsid w:val="009D5103"/>
    <w:rsid w:val="009D5118"/>
    <w:rsid w:val="009D53B9"/>
    <w:rsid w:val="009D564B"/>
    <w:rsid w:val="009D5876"/>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1E"/>
    <w:rsid w:val="009E7C7D"/>
    <w:rsid w:val="009F0008"/>
    <w:rsid w:val="009F071E"/>
    <w:rsid w:val="009F0B4F"/>
    <w:rsid w:val="009F1440"/>
    <w:rsid w:val="009F14D3"/>
    <w:rsid w:val="009F179F"/>
    <w:rsid w:val="009F2222"/>
    <w:rsid w:val="009F22CC"/>
    <w:rsid w:val="009F231A"/>
    <w:rsid w:val="009F2709"/>
    <w:rsid w:val="009F3157"/>
    <w:rsid w:val="009F4274"/>
    <w:rsid w:val="009F427D"/>
    <w:rsid w:val="009F4A78"/>
    <w:rsid w:val="009F4E84"/>
    <w:rsid w:val="009F52BE"/>
    <w:rsid w:val="009F5840"/>
    <w:rsid w:val="009F5937"/>
    <w:rsid w:val="009F594B"/>
    <w:rsid w:val="009F63E6"/>
    <w:rsid w:val="009F649D"/>
    <w:rsid w:val="009F6B6D"/>
    <w:rsid w:val="009F72A4"/>
    <w:rsid w:val="009F7731"/>
    <w:rsid w:val="009F7A71"/>
    <w:rsid w:val="009F7CAA"/>
    <w:rsid w:val="009F7D31"/>
    <w:rsid w:val="00A001A3"/>
    <w:rsid w:val="00A003D5"/>
    <w:rsid w:val="00A005BD"/>
    <w:rsid w:val="00A009F9"/>
    <w:rsid w:val="00A00C10"/>
    <w:rsid w:val="00A00E5E"/>
    <w:rsid w:val="00A01C27"/>
    <w:rsid w:val="00A01F30"/>
    <w:rsid w:val="00A028B9"/>
    <w:rsid w:val="00A03537"/>
    <w:rsid w:val="00A0370E"/>
    <w:rsid w:val="00A037EB"/>
    <w:rsid w:val="00A03B6A"/>
    <w:rsid w:val="00A03BBB"/>
    <w:rsid w:val="00A043D2"/>
    <w:rsid w:val="00A050A2"/>
    <w:rsid w:val="00A05B34"/>
    <w:rsid w:val="00A064DA"/>
    <w:rsid w:val="00A06644"/>
    <w:rsid w:val="00A06843"/>
    <w:rsid w:val="00A06A1B"/>
    <w:rsid w:val="00A06BCD"/>
    <w:rsid w:val="00A06F06"/>
    <w:rsid w:val="00A07365"/>
    <w:rsid w:val="00A07B72"/>
    <w:rsid w:val="00A07E32"/>
    <w:rsid w:val="00A104DF"/>
    <w:rsid w:val="00A10E11"/>
    <w:rsid w:val="00A114CB"/>
    <w:rsid w:val="00A11972"/>
    <w:rsid w:val="00A11B47"/>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A68"/>
    <w:rsid w:val="00A1619E"/>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F33"/>
    <w:rsid w:val="00A3037C"/>
    <w:rsid w:val="00A30514"/>
    <w:rsid w:val="00A31379"/>
    <w:rsid w:val="00A31479"/>
    <w:rsid w:val="00A31C18"/>
    <w:rsid w:val="00A3223F"/>
    <w:rsid w:val="00A322D1"/>
    <w:rsid w:val="00A322FF"/>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4D4"/>
    <w:rsid w:val="00A378D4"/>
    <w:rsid w:val="00A37E02"/>
    <w:rsid w:val="00A37E64"/>
    <w:rsid w:val="00A37F6C"/>
    <w:rsid w:val="00A37F6E"/>
    <w:rsid w:val="00A40612"/>
    <w:rsid w:val="00A40BD5"/>
    <w:rsid w:val="00A412CB"/>
    <w:rsid w:val="00A41F8A"/>
    <w:rsid w:val="00A41FD5"/>
    <w:rsid w:val="00A42948"/>
    <w:rsid w:val="00A429C4"/>
    <w:rsid w:val="00A430DE"/>
    <w:rsid w:val="00A4367A"/>
    <w:rsid w:val="00A44098"/>
    <w:rsid w:val="00A443BB"/>
    <w:rsid w:val="00A44584"/>
    <w:rsid w:val="00A44D77"/>
    <w:rsid w:val="00A46788"/>
    <w:rsid w:val="00A4709A"/>
    <w:rsid w:val="00A504D3"/>
    <w:rsid w:val="00A505C4"/>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D4"/>
    <w:rsid w:val="00A62EAF"/>
    <w:rsid w:val="00A62F6B"/>
    <w:rsid w:val="00A63F50"/>
    <w:rsid w:val="00A643DA"/>
    <w:rsid w:val="00A64C36"/>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32C"/>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21C4"/>
    <w:rsid w:val="00A825CA"/>
    <w:rsid w:val="00A82691"/>
    <w:rsid w:val="00A827F1"/>
    <w:rsid w:val="00A82A83"/>
    <w:rsid w:val="00A82AFC"/>
    <w:rsid w:val="00A82B64"/>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637"/>
    <w:rsid w:val="00A95917"/>
    <w:rsid w:val="00A95A05"/>
    <w:rsid w:val="00A96016"/>
    <w:rsid w:val="00A96922"/>
    <w:rsid w:val="00A97364"/>
    <w:rsid w:val="00A9751B"/>
    <w:rsid w:val="00A976EB"/>
    <w:rsid w:val="00A97774"/>
    <w:rsid w:val="00A97CA9"/>
    <w:rsid w:val="00AA08D3"/>
    <w:rsid w:val="00AA0CA6"/>
    <w:rsid w:val="00AA152B"/>
    <w:rsid w:val="00AA186D"/>
    <w:rsid w:val="00AA3221"/>
    <w:rsid w:val="00AA355C"/>
    <w:rsid w:val="00AA39AB"/>
    <w:rsid w:val="00AA3E6A"/>
    <w:rsid w:val="00AA4652"/>
    <w:rsid w:val="00AA46C6"/>
    <w:rsid w:val="00AA47A8"/>
    <w:rsid w:val="00AA48F7"/>
    <w:rsid w:val="00AA4C64"/>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AB6"/>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F83"/>
    <w:rsid w:val="00AC5717"/>
    <w:rsid w:val="00AC5A68"/>
    <w:rsid w:val="00AC5B9D"/>
    <w:rsid w:val="00AC7306"/>
    <w:rsid w:val="00AC7ADA"/>
    <w:rsid w:val="00AD04A7"/>
    <w:rsid w:val="00AD1CDE"/>
    <w:rsid w:val="00AD1F86"/>
    <w:rsid w:val="00AD2369"/>
    <w:rsid w:val="00AD2652"/>
    <w:rsid w:val="00AD2946"/>
    <w:rsid w:val="00AD2B11"/>
    <w:rsid w:val="00AD2CF0"/>
    <w:rsid w:val="00AD34B5"/>
    <w:rsid w:val="00AD3E33"/>
    <w:rsid w:val="00AD3FE4"/>
    <w:rsid w:val="00AD4646"/>
    <w:rsid w:val="00AD4BCD"/>
    <w:rsid w:val="00AD4D58"/>
    <w:rsid w:val="00AD533D"/>
    <w:rsid w:val="00AD53C3"/>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1726"/>
    <w:rsid w:val="00AE2687"/>
    <w:rsid w:val="00AE28FF"/>
    <w:rsid w:val="00AE30BE"/>
    <w:rsid w:val="00AE31CF"/>
    <w:rsid w:val="00AE40F8"/>
    <w:rsid w:val="00AE4320"/>
    <w:rsid w:val="00AE44C7"/>
    <w:rsid w:val="00AE5C67"/>
    <w:rsid w:val="00AE5D87"/>
    <w:rsid w:val="00AE61E0"/>
    <w:rsid w:val="00AE6F67"/>
    <w:rsid w:val="00AE7DCF"/>
    <w:rsid w:val="00AF01A8"/>
    <w:rsid w:val="00AF04BB"/>
    <w:rsid w:val="00AF05F1"/>
    <w:rsid w:val="00AF088A"/>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A6F"/>
    <w:rsid w:val="00AF5C86"/>
    <w:rsid w:val="00AF5DB1"/>
    <w:rsid w:val="00AF6440"/>
    <w:rsid w:val="00AF6A18"/>
    <w:rsid w:val="00AF6CF5"/>
    <w:rsid w:val="00AF700E"/>
    <w:rsid w:val="00AF70D9"/>
    <w:rsid w:val="00AF74CA"/>
    <w:rsid w:val="00B006AE"/>
    <w:rsid w:val="00B006F4"/>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3FD"/>
    <w:rsid w:val="00B044ED"/>
    <w:rsid w:val="00B0486D"/>
    <w:rsid w:val="00B0507E"/>
    <w:rsid w:val="00B0550E"/>
    <w:rsid w:val="00B058BC"/>
    <w:rsid w:val="00B05BFC"/>
    <w:rsid w:val="00B05DF5"/>
    <w:rsid w:val="00B05F63"/>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F8D"/>
    <w:rsid w:val="00B12082"/>
    <w:rsid w:val="00B12783"/>
    <w:rsid w:val="00B12E19"/>
    <w:rsid w:val="00B12FAC"/>
    <w:rsid w:val="00B1336C"/>
    <w:rsid w:val="00B13438"/>
    <w:rsid w:val="00B146DE"/>
    <w:rsid w:val="00B1470F"/>
    <w:rsid w:val="00B148CE"/>
    <w:rsid w:val="00B14A2B"/>
    <w:rsid w:val="00B14FFD"/>
    <w:rsid w:val="00B15566"/>
    <w:rsid w:val="00B15EC2"/>
    <w:rsid w:val="00B15FD7"/>
    <w:rsid w:val="00B16AFB"/>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9E3"/>
    <w:rsid w:val="00B259E9"/>
    <w:rsid w:val="00B263CF"/>
    <w:rsid w:val="00B264A9"/>
    <w:rsid w:val="00B26676"/>
    <w:rsid w:val="00B26B96"/>
    <w:rsid w:val="00B26D6F"/>
    <w:rsid w:val="00B2723A"/>
    <w:rsid w:val="00B278DF"/>
    <w:rsid w:val="00B3027A"/>
    <w:rsid w:val="00B306B2"/>
    <w:rsid w:val="00B307C7"/>
    <w:rsid w:val="00B30962"/>
    <w:rsid w:val="00B30BD5"/>
    <w:rsid w:val="00B30DF6"/>
    <w:rsid w:val="00B30F7E"/>
    <w:rsid w:val="00B31022"/>
    <w:rsid w:val="00B316FF"/>
    <w:rsid w:val="00B317EB"/>
    <w:rsid w:val="00B31D24"/>
    <w:rsid w:val="00B31E9B"/>
    <w:rsid w:val="00B3215F"/>
    <w:rsid w:val="00B32835"/>
    <w:rsid w:val="00B329F5"/>
    <w:rsid w:val="00B32C33"/>
    <w:rsid w:val="00B32E6D"/>
    <w:rsid w:val="00B334E6"/>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10F4"/>
    <w:rsid w:val="00B4148E"/>
    <w:rsid w:val="00B417BE"/>
    <w:rsid w:val="00B41948"/>
    <w:rsid w:val="00B41E3D"/>
    <w:rsid w:val="00B4235F"/>
    <w:rsid w:val="00B42470"/>
    <w:rsid w:val="00B4254C"/>
    <w:rsid w:val="00B42F0C"/>
    <w:rsid w:val="00B42FAE"/>
    <w:rsid w:val="00B43C5F"/>
    <w:rsid w:val="00B43FE2"/>
    <w:rsid w:val="00B44036"/>
    <w:rsid w:val="00B4429C"/>
    <w:rsid w:val="00B44501"/>
    <w:rsid w:val="00B4473D"/>
    <w:rsid w:val="00B448D0"/>
    <w:rsid w:val="00B453CF"/>
    <w:rsid w:val="00B4570C"/>
    <w:rsid w:val="00B46520"/>
    <w:rsid w:val="00B46C1A"/>
    <w:rsid w:val="00B46D00"/>
    <w:rsid w:val="00B473B8"/>
    <w:rsid w:val="00B476C7"/>
    <w:rsid w:val="00B47CD5"/>
    <w:rsid w:val="00B47E43"/>
    <w:rsid w:val="00B47EB5"/>
    <w:rsid w:val="00B47FC7"/>
    <w:rsid w:val="00B50BDA"/>
    <w:rsid w:val="00B50E75"/>
    <w:rsid w:val="00B5167D"/>
    <w:rsid w:val="00B5173B"/>
    <w:rsid w:val="00B51919"/>
    <w:rsid w:val="00B52C89"/>
    <w:rsid w:val="00B5364E"/>
    <w:rsid w:val="00B537D4"/>
    <w:rsid w:val="00B53811"/>
    <w:rsid w:val="00B5395E"/>
    <w:rsid w:val="00B53C58"/>
    <w:rsid w:val="00B53E99"/>
    <w:rsid w:val="00B54229"/>
    <w:rsid w:val="00B5463D"/>
    <w:rsid w:val="00B55737"/>
    <w:rsid w:val="00B5589F"/>
    <w:rsid w:val="00B55FC1"/>
    <w:rsid w:val="00B56261"/>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FE"/>
    <w:rsid w:val="00B70238"/>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681C"/>
    <w:rsid w:val="00B7698B"/>
    <w:rsid w:val="00B769F0"/>
    <w:rsid w:val="00B76B20"/>
    <w:rsid w:val="00B76B3A"/>
    <w:rsid w:val="00B76BF4"/>
    <w:rsid w:val="00B76D6C"/>
    <w:rsid w:val="00B77BBD"/>
    <w:rsid w:val="00B77C1D"/>
    <w:rsid w:val="00B77FA2"/>
    <w:rsid w:val="00B800D1"/>
    <w:rsid w:val="00B8069D"/>
    <w:rsid w:val="00B807D2"/>
    <w:rsid w:val="00B80A5C"/>
    <w:rsid w:val="00B80BF3"/>
    <w:rsid w:val="00B80FCF"/>
    <w:rsid w:val="00B81379"/>
    <w:rsid w:val="00B81740"/>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E43"/>
    <w:rsid w:val="00B92FF0"/>
    <w:rsid w:val="00B937A6"/>
    <w:rsid w:val="00B93A6C"/>
    <w:rsid w:val="00B93BB4"/>
    <w:rsid w:val="00B94055"/>
    <w:rsid w:val="00B9409D"/>
    <w:rsid w:val="00B94413"/>
    <w:rsid w:val="00B9479E"/>
    <w:rsid w:val="00B94AEE"/>
    <w:rsid w:val="00B94F06"/>
    <w:rsid w:val="00B959A3"/>
    <w:rsid w:val="00B96A21"/>
    <w:rsid w:val="00B9775E"/>
    <w:rsid w:val="00B979B2"/>
    <w:rsid w:val="00BA0371"/>
    <w:rsid w:val="00BA06B8"/>
    <w:rsid w:val="00BA225D"/>
    <w:rsid w:val="00BA2354"/>
    <w:rsid w:val="00BA28C6"/>
    <w:rsid w:val="00BA2C67"/>
    <w:rsid w:val="00BA3A12"/>
    <w:rsid w:val="00BA3A2F"/>
    <w:rsid w:val="00BA3B13"/>
    <w:rsid w:val="00BA415E"/>
    <w:rsid w:val="00BA4409"/>
    <w:rsid w:val="00BA45BE"/>
    <w:rsid w:val="00BA48FE"/>
    <w:rsid w:val="00BA4B6F"/>
    <w:rsid w:val="00BA5318"/>
    <w:rsid w:val="00BA56A5"/>
    <w:rsid w:val="00BA56AF"/>
    <w:rsid w:val="00BA571C"/>
    <w:rsid w:val="00BA5D08"/>
    <w:rsid w:val="00BA5F9D"/>
    <w:rsid w:val="00BA7B91"/>
    <w:rsid w:val="00BA7EE2"/>
    <w:rsid w:val="00BB054C"/>
    <w:rsid w:val="00BB0A9C"/>
    <w:rsid w:val="00BB0AFF"/>
    <w:rsid w:val="00BB0B61"/>
    <w:rsid w:val="00BB101C"/>
    <w:rsid w:val="00BB1783"/>
    <w:rsid w:val="00BB17F8"/>
    <w:rsid w:val="00BB20EE"/>
    <w:rsid w:val="00BB27CA"/>
    <w:rsid w:val="00BB2BCF"/>
    <w:rsid w:val="00BB3AB1"/>
    <w:rsid w:val="00BB3C89"/>
    <w:rsid w:val="00BB4602"/>
    <w:rsid w:val="00BB4980"/>
    <w:rsid w:val="00BB5E91"/>
    <w:rsid w:val="00BB5EB6"/>
    <w:rsid w:val="00BB682A"/>
    <w:rsid w:val="00BB6F89"/>
    <w:rsid w:val="00BB725A"/>
    <w:rsid w:val="00BB7832"/>
    <w:rsid w:val="00BC0350"/>
    <w:rsid w:val="00BC0430"/>
    <w:rsid w:val="00BC10C2"/>
    <w:rsid w:val="00BC1A3B"/>
    <w:rsid w:val="00BC2D38"/>
    <w:rsid w:val="00BC2E39"/>
    <w:rsid w:val="00BC2EE7"/>
    <w:rsid w:val="00BC30C1"/>
    <w:rsid w:val="00BC30ED"/>
    <w:rsid w:val="00BC32BD"/>
    <w:rsid w:val="00BC3304"/>
    <w:rsid w:val="00BC372D"/>
    <w:rsid w:val="00BC3BC9"/>
    <w:rsid w:val="00BC3CBE"/>
    <w:rsid w:val="00BC3E25"/>
    <w:rsid w:val="00BC42EB"/>
    <w:rsid w:val="00BC481F"/>
    <w:rsid w:val="00BC49B4"/>
    <w:rsid w:val="00BC4DFD"/>
    <w:rsid w:val="00BC5DD5"/>
    <w:rsid w:val="00BC5E4C"/>
    <w:rsid w:val="00BC65C0"/>
    <w:rsid w:val="00BC69D1"/>
    <w:rsid w:val="00BC6BE9"/>
    <w:rsid w:val="00BC6E6E"/>
    <w:rsid w:val="00BC7094"/>
    <w:rsid w:val="00BC70AF"/>
    <w:rsid w:val="00BD0435"/>
    <w:rsid w:val="00BD05AA"/>
    <w:rsid w:val="00BD0640"/>
    <w:rsid w:val="00BD0CBE"/>
    <w:rsid w:val="00BD1588"/>
    <w:rsid w:val="00BD18CE"/>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289F"/>
    <w:rsid w:val="00BE29E3"/>
    <w:rsid w:val="00BE379E"/>
    <w:rsid w:val="00BE4908"/>
    <w:rsid w:val="00BE4CB0"/>
    <w:rsid w:val="00BE4DAF"/>
    <w:rsid w:val="00BE5301"/>
    <w:rsid w:val="00BE53D6"/>
    <w:rsid w:val="00BE5591"/>
    <w:rsid w:val="00BE5EF9"/>
    <w:rsid w:val="00BE62D5"/>
    <w:rsid w:val="00BE748F"/>
    <w:rsid w:val="00BE7A15"/>
    <w:rsid w:val="00BE7A8A"/>
    <w:rsid w:val="00BE7E58"/>
    <w:rsid w:val="00BF001F"/>
    <w:rsid w:val="00BF00D5"/>
    <w:rsid w:val="00BF0173"/>
    <w:rsid w:val="00BF0587"/>
    <w:rsid w:val="00BF05A2"/>
    <w:rsid w:val="00BF17BA"/>
    <w:rsid w:val="00BF183B"/>
    <w:rsid w:val="00BF20F8"/>
    <w:rsid w:val="00BF2AAD"/>
    <w:rsid w:val="00BF316B"/>
    <w:rsid w:val="00BF3218"/>
    <w:rsid w:val="00BF3E30"/>
    <w:rsid w:val="00BF4A8F"/>
    <w:rsid w:val="00BF52F0"/>
    <w:rsid w:val="00BF5337"/>
    <w:rsid w:val="00BF54E6"/>
    <w:rsid w:val="00BF58D8"/>
    <w:rsid w:val="00BF6468"/>
    <w:rsid w:val="00BF64BE"/>
    <w:rsid w:val="00BF6541"/>
    <w:rsid w:val="00BF6687"/>
    <w:rsid w:val="00BF6A3F"/>
    <w:rsid w:val="00BF758A"/>
    <w:rsid w:val="00BF7B43"/>
    <w:rsid w:val="00C005F2"/>
    <w:rsid w:val="00C008F0"/>
    <w:rsid w:val="00C00F89"/>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6E56"/>
    <w:rsid w:val="00C072DA"/>
    <w:rsid w:val="00C07A9D"/>
    <w:rsid w:val="00C07B2B"/>
    <w:rsid w:val="00C10294"/>
    <w:rsid w:val="00C1070F"/>
    <w:rsid w:val="00C10731"/>
    <w:rsid w:val="00C10807"/>
    <w:rsid w:val="00C10B85"/>
    <w:rsid w:val="00C10BA1"/>
    <w:rsid w:val="00C112BC"/>
    <w:rsid w:val="00C115E7"/>
    <w:rsid w:val="00C1189E"/>
    <w:rsid w:val="00C11A16"/>
    <w:rsid w:val="00C11B3A"/>
    <w:rsid w:val="00C12433"/>
    <w:rsid w:val="00C1280E"/>
    <w:rsid w:val="00C13462"/>
    <w:rsid w:val="00C1350F"/>
    <w:rsid w:val="00C13951"/>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7362"/>
    <w:rsid w:val="00C30014"/>
    <w:rsid w:val="00C30900"/>
    <w:rsid w:val="00C30E11"/>
    <w:rsid w:val="00C31082"/>
    <w:rsid w:val="00C31290"/>
    <w:rsid w:val="00C316AE"/>
    <w:rsid w:val="00C31B7A"/>
    <w:rsid w:val="00C31EF5"/>
    <w:rsid w:val="00C3256B"/>
    <w:rsid w:val="00C325CB"/>
    <w:rsid w:val="00C3289B"/>
    <w:rsid w:val="00C33FAC"/>
    <w:rsid w:val="00C3457F"/>
    <w:rsid w:val="00C34B8C"/>
    <w:rsid w:val="00C34B9C"/>
    <w:rsid w:val="00C35696"/>
    <w:rsid w:val="00C35CE9"/>
    <w:rsid w:val="00C35F2F"/>
    <w:rsid w:val="00C36299"/>
    <w:rsid w:val="00C36349"/>
    <w:rsid w:val="00C36569"/>
    <w:rsid w:val="00C36CAE"/>
    <w:rsid w:val="00C36D15"/>
    <w:rsid w:val="00C36DEE"/>
    <w:rsid w:val="00C37E49"/>
    <w:rsid w:val="00C37E53"/>
    <w:rsid w:val="00C402EA"/>
    <w:rsid w:val="00C40466"/>
    <w:rsid w:val="00C4073D"/>
    <w:rsid w:val="00C40C69"/>
    <w:rsid w:val="00C41584"/>
    <w:rsid w:val="00C41A54"/>
    <w:rsid w:val="00C423DD"/>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540"/>
    <w:rsid w:val="00C47A99"/>
    <w:rsid w:val="00C47C80"/>
    <w:rsid w:val="00C47E4A"/>
    <w:rsid w:val="00C500C2"/>
    <w:rsid w:val="00C503BE"/>
    <w:rsid w:val="00C50913"/>
    <w:rsid w:val="00C509B9"/>
    <w:rsid w:val="00C50F4C"/>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1D6"/>
    <w:rsid w:val="00C57C29"/>
    <w:rsid w:val="00C57C5C"/>
    <w:rsid w:val="00C57DE2"/>
    <w:rsid w:val="00C605BF"/>
    <w:rsid w:val="00C60971"/>
    <w:rsid w:val="00C60DC5"/>
    <w:rsid w:val="00C611AF"/>
    <w:rsid w:val="00C6155E"/>
    <w:rsid w:val="00C616F5"/>
    <w:rsid w:val="00C61B88"/>
    <w:rsid w:val="00C61BBC"/>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7848"/>
    <w:rsid w:val="00C70697"/>
    <w:rsid w:val="00C708B6"/>
    <w:rsid w:val="00C70971"/>
    <w:rsid w:val="00C70995"/>
    <w:rsid w:val="00C70B2F"/>
    <w:rsid w:val="00C70E81"/>
    <w:rsid w:val="00C712F8"/>
    <w:rsid w:val="00C71389"/>
    <w:rsid w:val="00C714C1"/>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4170"/>
    <w:rsid w:val="00C746A8"/>
    <w:rsid w:val="00C74774"/>
    <w:rsid w:val="00C74868"/>
    <w:rsid w:val="00C74D58"/>
    <w:rsid w:val="00C75915"/>
    <w:rsid w:val="00C76837"/>
    <w:rsid w:val="00C77802"/>
    <w:rsid w:val="00C77AA4"/>
    <w:rsid w:val="00C80765"/>
    <w:rsid w:val="00C818CA"/>
    <w:rsid w:val="00C81907"/>
    <w:rsid w:val="00C81B3D"/>
    <w:rsid w:val="00C81CF4"/>
    <w:rsid w:val="00C82AE6"/>
    <w:rsid w:val="00C82BC5"/>
    <w:rsid w:val="00C83D15"/>
    <w:rsid w:val="00C84161"/>
    <w:rsid w:val="00C84194"/>
    <w:rsid w:val="00C845C4"/>
    <w:rsid w:val="00C84CBE"/>
    <w:rsid w:val="00C85156"/>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64E"/>
    <w:rsid w:val="00C94AD2"/>
    <w:rsid w:val="00C94C1E"/>
    <w:rsid w:val="00C94D6B"/>
    <w:rsid w:val="00C95639"/>
    <w:rsid w:val="00C9586B"/>
    <w:rsid w:val="00C959CC"/>
    <w:rsid w:val="00C95F18"/>
    <w:rsid w:val="00C95F2B"/>
    <w:rsid w:val="00C97627"/>
    <w:rsid w:val="00C976BF"/>
    <w:rsid w:val="00C97D03"/>
    <w:rsid w:val="00CA001B"/>
    <w:rsid w:val="00CA0CAB"/>
    <w:rsid w:val="00CA0D82"/>
    <w:rsid w:val="00CA0F96"/>
    <w:rsid w:val="00CA113C"/>
    <w:rsid w:val="00CA1188"/>
    <w:rsid w:val="00CA12BF"/>
    <w:rsid w:val="00CA1C56"/>
    <w:rsid w:val="00CA2232"/>
    <w:rsid w:val="00CA228A"/>
    <w:rsid w:val="00CA32AD"/>
    <w:rsid w:val="00CA344A"/>
    <w:rsid w:val="00CA3520"/>
    <w:rsid w:val="00CA377E"/>
    <w:rsid w:val="00CA3CC8"/>
    <w:rsid w:val="00CA46B4"/>
    <w:rsid w:val="00CA4DA3"/>
    <w:rsid w:val="00CA599D"/>
    <w:rsid w:val="00CA5AF0"/>
    <w:rsid w:val="00CA6F30"/>
    <w:rsid w:val="00CA713B"/>
    <w:rsid w:val="00CA75F7"/>
    <w:rsid w:val="00CA77D5"/>
    <w:rsid w:val="00CA78E3"/>
    <w:rsid w:val="00CA7C3D"/>
    <w:rsid w:val="00CB050C"/>
    <w:rsid w:val="00CB05C8"/>
    <w:rsid w:val="00CB073B"/>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43D4"/>
    <w:rsid w:val="00CC4590"/>
    <w:rsid w:val="00CC4810"/>
    <w:rsid w:val="00CC49C2"/>
    <w:rsid w:val="00CC50F5"/>
    <w:rsid w:val="00CC5A17"/>
    <w:rsid w:val="00CC5D38"/>
    <w:rsid w:val="00CC5F3B"/>
    <w:rsid w:val="00CC616B"/>
    <w:rsid w:val="00CC63B7"/>
    <w:rsid w:val="00CC64AB"/>
    <w:rsid w:val="00CC65C4"/>
    <w:rsid w:val="00CC6C8A"/>
    <w:rsid w:val="00CC6F2C"/>
    <w:rsid w:val="00CC6FCF"/>
    <w:rsid w:val="00CC7ABE"/>
    <w:rsid w:val="00CD068D"/>
    <w:rsid w:val="00CD0C0D"/>
    <w:rsid w:val="00CD1135"/>
    <w:rsid w:val="00CD1230"/>
    <w:rsid w:val="00CD1FBB"/>
    <w:rsid w:val="00CD2608"/>
    <w:rsid w:val="00CD2ACB"/>
    <w:rsid w:val="00CD2CC7"/>
    <w:rsid w:val="00CD36F5"/>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0C7C"/>
    <w:rsid w:val="00CE1532"/>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38F0"/>
    <w:rsid w:val="00CF522D"/>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4278"/>
    <w:rsid w:val="00D1491A"/>
    <w:rsid w:val="00D14C61"/>
    <w:rsid w:val="00D14F86"/>
    <w:rsid w:val="00D14FCF"/>
    <w:rsid w:val="00D14FF9"/>
    <w:rsid w:val="00D152C8"/>
    <w:rsid w:val="00D155D2"/>
    <w:rsid w:val="00D158E0"/>
    <w:rsid w:val="00D15A6A"/>
    <w:rsid w:val="00D15E0E"/>
    <w:rsid w:val="00D15EC7"/>
    <w:rsid w:val="00D16350"/>
    <w:rsid w:val="00D1646C"/>
    <w:rsid w:val="00D16B2C"/>
    <w:rsid w:val="00D16DE1"/>
    <w:rsid w:val="00D16E0C"/>
    <w:rsid w:val="00D179D3"/>
    <w:rsid w:val="00D17BB8"/>
    <w:rsid w:val="00D200DC"/>
    <w:rsid w:val="00D200F3"/>
    <w:rsid w:val="00D20588"/>
    <w:rsid w:val="00D208E7"/>
    <w:rsid w:val="00D20D3B"/>
    <w:rsid w:val="00D20F77"/>
    <w:rsid w:val="00D2111D"/>
    <w:rsid w:val="00D21C3F"/>
    <w:rsid w:val="00D22184"/>
    <w:rsid w:val="00D224CC"/>
    <w:rsid w:val="00D22999"/>
    <w:rsid w:val="00D22A9F"/>
    <w:rsid w:val="00D22DE7"/>
    <w:rsid w:val="00D231E1"/>
    <w:rsid w:val="00D23770"/>
    <w:rsid w:val="00D23C7F"/>
    <w:rsid w:val="00D24829"/>
    <w:rsid w:val="00D24D4A"/>
    <w:rsid w:val="00D24DA1"/>
    <w:rsid w:val="00D257E2"/>
    <w:rsid w:val="00D25D86"/>
    <w:rsid w:val="00D267B7"/>
    <w:rsid w:val="00D26EC1"/>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96"/>
    <w:rsid w:val="00D446B6"/>
    <w:rsid w:val="00D44852"/>
    <w:rsid w:val="00D44987"/>
    <w:rsid w:val="00D44B7A"/>
    <w:rsid w:val="00D450FB"/>
    <w:rsid w:val="00D45FF8"/>
    <w:rsid w:val="00D46E38"/>
    <w:rsid w:val="00D472BF"/>
    <w:rsid w:val="00D4763E"/>
    <w:rsid w:val="00D52072"/>
    <w:rsid w:val="00D52347"/>
    <w:rsid w:val="00D52A14"/>
    <w:rsid w:val="00D52E93"/>
    <w:rsid w:val="00D53167"/>
    <w:rsid w:val="00D539BE"/>
    <w:rsid w:val="00D53FD1"/>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DE3"/>
    <w:rsid w:val="00D60E63"/>
    <w:rsid w:val="00D61448"/>
    <w:rsid w:val="00D6155A"/>
    <w:rsid w:val="00D6162F"/>
    <w:rsid w:val="00D6187F"/>
    <w:rsid w:val="00D619C3"/>
    <w:rsid w:val="00D621DA"/>
    <w:rsid w:val="00D62B98"/>
    <w:rsid w:val="00D62DBB"/>
    <w:rsid w:val="00D631A8"/>
    <w:rsid w:val="00D63541"/>
    <w:rsid w:val="00D63D71"/>
    <w:rsid w:val="00D643F8"/>
    <w:rsid w:val="00D650CC"/>
    <w:rsid w:val="00D66840"/>
    <w:rsid w:val="00D668FD"/>
    <w:rsid w:val="00D66ACA"/>
    <w:rsid w:val="00D66B66"/>
    <w:rsid w:val="00D66E4D"/>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4C"/>
    <w:rsid w:val="00D83C6D"/>
    <w:rsid w:val="00D8417D"/>
    <w:rsid w:val="00D845B9"/>
    <w:rsid w:val="00D8465F"/>
    <w:rsid w:val="00D84838"/>
    <w:rsid w:val="00D8484A"/>
    <w:rsid w:val="00D852CF"/>
    <w:rsid w:val="00D85606"/>
    <w:rsid w:val="00D85FAA"/>
    <w:rsid w:val="00D8636F"/>
    <w:rsid w:val="00D86806"/>
    <w:rsid w:val="00D869D2"/>
    <w:rsid w:val="00D86BC9"/>
    <w:rsid w:val="00D86DB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38EF"/>
    <w:rsid w:val="00DA49D4"/>
    <w:rsid w:val="00DA5047"/>
    <w:rsid w:val="00DA5503"/>
    <w:rsid w:val="00DA5B25"/>
    <w:rsid w:val="00DA5F97"/>
    <w:rsid w:val="00DA610C"/>
    <w:rsid w:val="00DA636F"/>
    <w:rsid w:val="00DA63E7"/>
    <w:rsid w:val="00DA6948"/>
    <w:rsid w:val="00DA6EE1"/>
    <w:rsid w:val="00DA7ECB"/>
    <w:rsid w:val="00DB0147"/>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344"/>
    <w:rsid w:val="00DD4371"/>
    <w:rsid w:val="00DD4484"/>
    <w:rsid w:val="00DD4C30"/>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9AF"/>
    <w:rsid w:val="00E13FA3"/>
    <w:rsid w:val="00E1478F"/>
    <w:rsid w:val="00E1582D"/>
    <w:rsid w:val="00E158CF"/>
    <w:rsid w:val="00E1692E"/>
    <w:rsid w:val="00E1711E"/>
    <w:rsid w:val="00E17499"/>
    <w:rsid w:val="00E204CC"/>
    <w:rsid w:val="00E21660"/>
    <w:rsid w:val="00E21F3B"/>
    <w:rsid w:val="00E22397"/>
    <w:rsid w:val="00E22463"/>
    <w:rsid w:val="00E2252B"/>
    <w:rsid w:val="00E225AC"/>
    <w:rsid w:val="00E228B1"/>
    <w:rsid w:val="00E22ED4"/>
    <w:rsid w:val="00E23194"/>
    <w:rsid w:val="00E240A1"/>
    <w:rsid w:val="00E2452C"/>
    <w:rsid w:val="00E2472D"/>
    <w:rsid w:val="00E24BC6"/>
    <w:rsid w:val="00E24DC2"/>
    <w:rsid w:val="00E25858"/>
    <w:rsid w:val="00E25D2A"/>
    <w:rsid w:val="00E25D38"/>
    <w:rsid w:val="00E25F71"/>
    <w:rsid w:val="00E26006"/>
    <w:rsid w:val="00E2612E"/>
    <w:rsid w:val="00E2668F"/>
    <w:rsid w:val="00E26722"/>
    <w:rsid w:val="00E26FB1"/>
    <w:rsid w:val="00E2726B"/>
    <w:rsid w:val="00E27304"/>
    <w:rsid w:val="00E273CC"/>
    <w:rsid w:val="00E27587"/>
    <w:rsid w:val="00E27A75"/>
    <w:rsid w:val="00E27F4D"/>
    <w:rsid w:val="00E302DF"/>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5681"/>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C26"/>
    <w:rsid w:val="00E42F58"/>
    <w:rsid w:val="00E4370A"/>
    <w:rsid w:val="00E43723"/>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BF6"/>
    <w:rsid w:val="00E54E88"/>
    <w:rsid w:val="00E558E1"/>
    <w:rsid w:val="00E55994"/>
    <w:rsid w:val="00E56361"/>
    <w:rsid w:val="00E56954"/>
    <w:rsid w:val="00E57308"/>
    <w:rsid w:val="00E5737F"/>
    <w:rsid w:val="00E57B7D"/>
    <w:rsid w:val="00E6029E"/>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B61"/>
    <w:rsid w:val="00E73C2D"/>
    <w:rsid w:val="00E7408E"/>
    <w:rsid w:val="00E74131"/>
    <w:rsid w:val="00E7464E"/>
    <w:rsid w:val="00E74CC3"/>
    <w:rsid w:val="00E74EBC"/>
    <w:rsid w:val="00E74F22"/>
    <w:rsid w:val="00E7501A"/>
    <w:rsid w:val="00E75F4A"/>
    <w:rsid w:val="00E76C3A"/>
    <w:rsid w:val="00E771B1"/>
    <w:rsid w:val="00E773FF"/>
    <w:rsid w:val="00E774F8"/>
    <w:rsid w:val="00E776E9"/>
    <w:rsid w:val="00E77915"/>
    <w:rsid w:val="00E77F40"/>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927"/>
    <w:rsid w:val="00E84D02"/>
    <w:rsid w:val="00E85B18"/>
    <w:rsid w:val="00E85B28"/>
    <w:rsid w:val="00E86900"/>
    <w:rsid w:val="00E8691F"/>
    <w:rsid w:val="00E86B1E"/>
    <w:rsid w:val="00E86FBE"/>
    <w:rsid w:val="00E87454"/>
    <w:rsid w:val="00E907F0"/>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2086"/>
    <w:rsid w:val="00EA2265"/>
    <w:rsid w:val="00EA2D3A"/>
    <w:rsid w:val="00EA2EB4"/>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B04E7"/>
    <w:rsid w:val="00EB2151"/>
    <w:rsid w:val="00EB25C9"/>
    <w:rsid w:val="00EB29CF"/>
    <w:rsid w:val="00EB3ADA"/>
    <w:rsid w:val="00EB497B"/>
    <w:rsid w:val="00EB4C21"/>
    <w:rsid w:val="00EB537F"/>
    <w:rsid w:val="00EB58BF"/>
    <w:rsid w:val="00EB5A8A"/>
    <w:rsid w:val="00EB5AC5"/>
    <w:rsid w:val="00EB61FD"/>
    <w:rsid w:val="00EB6201"/>
    <w:rsid w:val="00EB6365"/>
    <w:rsid w:val="00EB68C5"/>
    <w:rsid w:val="00EB6F83"/>
    <w:rsid w:val="00EB7741"/>
    <w:rsid w:val="00EB7E3B"/>
    <w:rsid w:val="00EC033C"/>
    <w:rsid w:val="00EC0842"/>
    <w:rsid w:val="00EC0B62"/>
    <w:rsid w:val="00EC0E04"/>
    <w:rsid w:val="00EC1453"/>
    <w:rsid w:val="00EC16B9"/>
    <w:rsid w:val="00EC17CD"/>
    <w:rsid w:val="00EC18B3"/>
    <w:rsid w:val="00EC1913"/>
    <w:rsid w:val="00EC1EA3"/>
    <w:rsid w:val="00EC2481"/>
    <w:rsid w:val="00EC2792"/>
    <w:rsid w:val="00EC2A2E"/>
    <w:rsid w:val="00EC2B44"/>
    <w:rsid w:val="00EC3068"/>
    <w:rsid w:val="00EC30DE"/>
    <w:rsid w:val="00EC3344"/>
    <w:rsid w:val="00EC3571"/>
    <w:rsid w:val="00EC35D1"/>
    <w:rsid w:val="00EC3814"/>
    <w:rsid w:val="00EC3EFB"/>
    <w:rsid w:val="00EC41AE"/>
    <w:rsid w:val="00EC4246"/>
    <w:rsid w:val="00EC4351"/>
    <w:rsid w:val="00EC4B41"/>
    <w:rsid w:val="00EC5185"/>
    <w:rsid w:val="00EC52BC"/>
    <w:rsid w:val="00EC5DC5"/>
    <w:rsid w:val="00EC5F6C"/>
    <w:rsid w:val="00EC602E"/>
    <w:rsid w:val="00EC6472"/>
    <w:rsid w:val="00EC650B"/>
    <w:rsid w:val="00EC67AD"/>
    <w:rsid w:val="00EC6871"/>
    <w:rsid w:val="00EC73F7"/>
    <w:rsid w:val="00EC751C"/>
    <w:rsid w:val="00EC7F52"/>
    <w:rsid w:val="00ED0C1F"/>
    <w:rsid w:val="00ED112B"/>
    <w:rsid w:val="00ED133A"/>
    <w:rsid w:val="00ED19F6"/>
    <w:rsid w:val="00ED1E3B"/>
    <w:rsid w:val="00ED2166"/>
    <w:rsid w:val="00ED25DD"/>
    <w:rsid w:val="00ED2899"/>
    <w:rsid w:val="00ED2A65"/>
    <w:rsid w:val="00ED3546"/>
    <w:rsid w:val="00ED35AA"/>
    <w:rsid w:val="00ED36BC"/>
    <w:rsid w:val="00ED38FF"/>
    <w:rsid w:val="00ED3F56"/>
    <w:rsid w:val="00ED4848"/>
    <w:rsid w:val="00ED6611"/>
    <w:rsid w:val="00ED67C4"/>
    <w:rsid w:val="00ED6E73"/>
    <w:rsid w:val="00ED772D"/>
    <w:rsid w:val="00ED78A2"/>
    <w:rsid w:val="00EE0006"/>
    <w:rsid w:val="00EE0046"/>
    <w:rsid w:val="00EE04B3"/>
    <w:rsid w:val="00EE09E6"/>
    <w:rsid w:val="00EE0AA4"/>
    <w:rsid w:val="00EE0E2F"/>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7269"/>
    <w:rsid w:val="00EE72DE"/>
    <w:rsid w:val="00EE75E6"/>
    <w:rsid w:val="00EE76DE"/>
    <w:rsid w:val="00EE7718"/>
    <w:rsid w:val="00EE7A36"/>
    <w:rsid w:val="00EF04A7"/>
    <w:rsid w:val="00EF0C12"/>
    <w:rsid w:val="00EF0E63"/>
    <w:rsid w:val="00EF110D"/>
    <w:rsid w:val="00EF13CA"/>
    <w:rsid w:val="00EF1589"/>
    <w:rsid w:val="00EF1728"/>
    <w:rsid w:val="00EF2623"/>
    <w:rsid w:val="00EF2C08"/>
    <w:rsid w:val="00EF2E98"/>
    <w:rsid w:val="00EF3165"/>
    <w:rsid w:val="00EF31AE"/>
    <w:rsid w:val="00EF36A3"/>
    <w:rsid w:val="00EF39A2"/>
    <w:rsid w:val="00EF3C5D"/>
    <w:rsid w:val="00EF43F9"/>
    <w:rsid w:val="00EF4526"/>
    <w:rsid w:val="00EF4B9F"/>
    <w:rsid w:val="00EF4DD6"/>
    <w:rsid w:val="00EF5CE5"/>
    <w:rsid w:val="00EF6244"/>
    <w:rsid w:val="00EF6498"/>
    <w:rsid w:val="00EF6EAC"/>
    <w:rsid w:val="00EF6F59"/>
    <w:rsid w:val="00EF79AB"/>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D19"/>
    <w:rsid w:val="00F11331"/>
    <w:rsid w:val="00F11837"/>
    <w:rsid w:val="00F11855"/>
    <w:rsid w:val="00F11F19"/>
    <w:rsid w:val="00F11FB7"/>
    <w:rsid w:val="00F123E6"/>
    <w:rsid w:val="00F127BD"/>
    <w:rsid w:val="00F13493"/>
    <w:rsid w:val="00F146C7"/>
    <w:rsid w:val="00F14C82"/>
    <w:rsid w:val="00F14CCE"/>
    <w:rsid w:val="00F14DD0"/>
    <w:rsid w:val="00F15042"/>
    <w:rsid w:val="00F1508D"/>
    <w:rsid w:val="00F15464"/>
    <w:rsid w:val="00F15891"/>
    <w:rsid w:val="00F15E3F"/>
    <w:rsid w:val="00F16832"/>
    <w:rsid w:val="00F178F3"/>
    <w:rsid w:val="00F20117"/>
    <w:rsid w:val="00F20653"/>
    <w:rsid w:val="00F209A5"/>
    <w:rsid w:val="00F21106"/>
    <w:rsid w:val="00F21326"/>
    <w:rsid w:val="00F2162D"/>
    <w:rsid w:val="00F21678"/>
    <w:rsid w:val="00F216DB"/>
    <w:rsid w:val="00F217C5"/>
    <w:rsid w:val="00F21AF2"/>
    <w:rsid w:val="00F21BE3"/>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4214"/>
    <w:rsid w:val="00F344DB"/>
    <w:rsid w:val="00F344E5"/>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CBA"/>
    <w:rsid w:val="00F44E13"/>
    <w:rsid w:val="00F452D4"/>
    <w:rsid w:val="00F45627"/>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4A6"/>
    <w:rsid w:val="00F53A63"/>
    <w:rsid w:val="00F53D6B"/>
    <w:rsid w:val="00F549CF"/>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C6"/>
    <w:rsid w:val="00F72ED7"/>
    <w:rsid w:val="00F72FBD"/>
    <w:rsid w:val="00F7355C"/>
    <w:rsid w:val="00F73ABB"/>
    <w:rsid w:val="00F749C2"/>
    <w:rsid w:val="00F74D56"/>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36C"/>
    <w:rsid w:val="00F7755C"/>
    <w:rsid w:val="00F778DA"/>
    <w:rsid w:val="00F77AD4"/>
    <w:rsid w:val="00F80069"/>
    <w:rsid w:val="00F80963"/>
    <w:rsid w:val="00F80B83"/>
    <w:rsid w:val="00F81CC1"/>
    <w:rsid w:val="00F826BC"/>
    <w:rsid w:val="00F8273B"/>
    <w:rsid w:val="00F82D37"/>
    <w:rsid w:val="00F82F26"/>
    <w:rsid w:val="00F83A4A"/>
    <w:rsid w:val="00F841D2"/>
    <w:rsid w:val="00F84648"/>
    <w:rsid w:val="00F846BA"/>
    <w:rsid w:val="00F8487D"/>
    <w:rsid w:val="00F8513B"/>
    <w:rsid w:val="00F853F7"/>
    <w:rsid w:val="00F855DA"/>
    <w:rsid w:val="00F85BCC"/>
    <w:rsid w:val="00F86045"/>
    <w:rsid w:val="00F86149"/>
    <w:rsid w:val="00F86277"/>
    <w:rsid w:val="00F86382"/>
    <w:rsid w:val="00F864B2"/>
    <w:rsid w:val="00F8683B"/>
    <w:rsid w:val="00F87624"/>
    <w:rsid w:val="00F878EA"/>
    <w:rsid w:val="00F87F23"/>
    <w:rsid w:val="00F900AF"/>
    <w:rsid w:val="00F900B7"/>
    <w:rsid w:val="00F909B1"/>
    <w:rsid w:val="00F90C11"/>
    <w:rsid w:val="00F90EB4"/>
    <w:rsid w:val="00F925BA"/>
    <w:rsid w:val="00F92725"/>
    <w:rsid w:val="00F9292E"/>
    <w:rsid w:val="00F92A08"/>
    <w:rsid w:val="00F92F4A"/>
    <w:rsid w:val="00F937F9"/>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57D0"/>
    <w:rsid w:val="00FA5E02"/>
    <w:rsid w:val="00FA5E4D"/>
    <w:rsid w:val="00FA6473"/>
    <w:rsid w:val="00FA6A37"/>
    <w:rsid w:val="00FA6AFC"/>
    <w:rsid w:val="00FA71D6"/>
    <w:rsid w:val="00FA7BC3"/>
    <w:rsid w:val="00FB00B3"/>
    <w:rsid w:val="00FB15D1"/>
    <w:rsid w:val="00FB18F5"/>
    <w:rsid w:val="00FB217F"/>
    <w:rsid w:val="00FB2470"/>
    <w:rsid w:val="00FB274F"/>
    <w:rsid w:val="00FB2840"/>
    <w:rsid w:val="00FB28B1"/>
    <w:rsid w:val="00FB29C2"/>
    <w:rsid w:val="00FB2C55"/>
    <w:rsid w:val="00FB3235"/>
    <w:rsid w:val="00FB3ABE"/>
    <w:rsid w:val="00FB3BD3"/>
    <w:rsid w:val="00FB3F56"/>
    <w:rsid w:val="00FB3FEA"/>
    <w:rsid w:val="00FB4586"/>
    <w:rsid w:val="00FB4688"/>
    <w:rsid w:val="00FB4A99"/>
    <w:rsid w:val="00FB5979"/>
    <w:rsid w:val="00FB5AE9"/>
    <w:rsid w:val="00FB5FD8"/>
    <w:rsid w:val="00FB647D"/>
    <w:rsid w:val="00FB69A5"/>
    <w:rsid w:val="00FB6C63"/>
    <w:rsid w:val="00FB7120"/>
    <w:rsid w:val="00FB7393"/>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6256"/>
    <w:rsid w:val="00FD66AE"/>
    <w:rsid w:val="00FD6DF1"/>
    <w:rsid w:val="00FD6F01"/>
    <w:rsid w:val="00FD7373"/>
    <w:rsid w:val="00FD76E2"/>
    <w:rsid w:val="00FD7FA6"/>
    <w:rsid w:val="00FE027C"/>
    <w:rsid w:val="00FE0957"/>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A833-CDB1-4671-9DCC-88701C9A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2910</Words>
  <Characters>16007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Youssef</cp:lastModifiedBy>
  <cp:revision>3</cp:revision>
  <cp:lastPrinted>2017-01-04T11:40:00Z</cp:lastPrinted>
  <dcterms:created xsi:type="dcterms:W3CDTF">2017-01-04T13:44:00Z</dcterms:created>
  <dcterms:modified xsi:type="dcterms:W3CDTF">2017-01-04T15:00:00Z</dcterms:modified>
</cp:coreProperties>
</file>