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BE5162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noProof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4CA5" w:rsidRDefault="00C34CA5" w:rsidP="00345875">
      <w:pPr>
        <w:bidi/>
        <w:spacing w:before="120" w:line="340" w:lineRule="exact"/>
        <w:ind w:left="-17"/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FD346B" w:rsidRPr="0060576E" w:rsidRDefault="00FD346B" w:rsidP="00C34CA5">
      <w:pPr>
        <w:bidi/>
        <w:spacing w:before="120" w:line="340" w:lineRule="exact"/>
        <w:ind w:left="-17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6D5258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- </w:t>
      </w:r>
      <w:r w:rsidR="006D5258"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يوليوز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2016 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</w:p>
    <w:p w:rsidR="00C34CA5" w:rsidRPr="0060576E" w:rsidRDefault="00C34CA5" w:rsidP="00C34CA5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</w:rPr>
      </w:pPr>
    </w:p>
    <w:p w:rsidR="00735F98" w:rsidRPr="0060576E" w:rsidRDefault="00735F98" w:rsidP="00735F98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</w:rPr>
      </w:pPr>
    </w:p>
    <w:p w:rsidR="00FD346B" w:rsidRPr="0060576E" w:rsidRDefault="00FD346B" w:rsidP="00666542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</w:rPr>
        <w:t>من المنتظر أن ي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واصل 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الاقتصاد الوطني </w:t>
      </w:r>
      <w:r w:rsidR="009B52E6" w:rsidRPr="0060576E">
        <w:rPr>
          <w:rFonts w:ascii="Arial Narrow" w:hAnsi="Arial Narrow" w:cstheme="majorBidi"/>
          <w:sz w:val="28"/>
          <w:szCs w:val="28"/>
          <w:rtl/>
        </w:rPr>
        <w:t>تباطؤ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</w:rPr>
        <w:t>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A265C2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، ليحقق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CF06CF" w:rsidRPr="0060576E">
        <w:rPr>
          <w:rFonts w:ascii="Arial Narrow" w:hAnsi="Arial Narrow" w:cstheme="majorBidi"/>
          <w:sz w:val="28"/>
          <w:szCs w:val="28"/>
          <w:lang w:bidi="ar-MA"/>
        </w:rPr>
        <w:t>1,</w:t>
      </w:r>
      <w:r w:rsidR="00212688" w:rsidRPr="0060576E">
        <w:rPr>
          <w:rFonts w:ascii="Arial Narrow" w:hAnsi="Arial Narrow" w:cstheme="majorBidi"/>
          <w:sz w:val="28"/>
          <w:szCs w:val="28"/>
          <w:lang w:bidi="ar-MA"/>
        </w:rPr>
        <w:t>4</w:t>
      </w:r>
      <w:r w:rsidR="00CF06CF" w:rsidRPr="0060576E">
        <w:rPr>
          <w:rFonts w:ascii="Arial Narrow" w:hAnsi="Arial Narrow" w:cstheme="majorBidi"/>
          <w:sz w:val="28"/>
          <w:szCs w:val="28"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 حسب التغير السنوي، عوض 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1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7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 خلال </w:t>
      </w:r>
      <w:r w:rsidR="001C4D60" w:rsidRPr="0060576E">
        <w:rPr>
          <w:rFonts w:ascii="Arial Narrow" w:hAnsi="Arial Narrow" w:cstheme="majorBidi"/>
          <w:sz w:val="28"/>
          <w:szCs w:val="28"/>
          <w:rtl/>
          <w:lang w:bidi="ar-MA"/>
        </w:rPr>
        <w:t>الفصل السابق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 ويعزى هذا الت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باطؤ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بالأساس إلى ا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نخفاض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القيمة المضافة الفلاحية</w:t>
      </w:r>
      <w:r w:rsidR="00871C3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بنسبة </w:t>
      </w:r>
      <w:r w:rsidR="00DC53C0" w:rsidRPr="0060576E">
        <w:rPr>
          <w:rFonts w:ascii="Arial Narrow" w:hAnsi="Arial Narrow" w:cstheme="majorBidi"/>
          <w:sz w:val="28"/>
          <w:szCs w:val="28"/>
          <w:rtl/>
          <w:lang w:bidi="ar-MA"/>
        </w:rPr>
        <w:t>12</w:t>
      </w:r>
      <w:r w:rsidR="00871C39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666542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871C39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فيما ستشهد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غير 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الفلاحية نموا متواضعا يقدر ب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2,</w:t>
      </w:r>
      <w:r w:rsidR="002279CA" w:rsidRPr="0060576E">
        <w:rPr>
          <w:rFonts w:ascii="Arial Narrow" w:hAnsi="Arial Narrow" w:cstheme="majorBidi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</w:t>
      </w:r>
      <w:r w:rsidRPr="0060576E">
        <w:rPr>
          <w:rFonts w:ascii="Arial Narrow" w:hAnsi="Arial Narrow" w:cstheme="majorBidi"/>
          <w:sz w:val="28"/>
          <w:szCs w:val="28"/>
          <w:rtl/>
        </w:rPr>
        <w:t>مدعومة بتحسن القطاع الثا</w:t>
      </w:r>
      <w:r w:rsidR="00EA569D" w:rsidRPr="0060576E">
        <w:rPr>
          <w:rFonts w:ascii="Arial Narrow" w:hAnsi="Arial Narrow" w:cstheme="majorBidi"/>
          <w:sz w:val="28"/>
          <w:szCs w:val="28"/>
          <w:rtl/>
        </w:rPr>
        <w:t>لث</w:t>
      </w:r>
      <w:r w:rsidR="003D10A9" w:rsidRPr="0060576E">
        <w:rPr>
          <w:rFonts w:ascii="Arial Narrow" w:hAnsi="Arial Narrow" w:cstheme="majorBidi"/>
          <w:sz w:val="28"/>
          <w:szCs w:val="28"/>
          <w:rtl/>
        </w:rPr>
        <w:t>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ومن المتوقع أن يستمر ارتفاع ا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لأنشطة غير الفلاحية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9B44DA" w:rsidRPr="0060576E">
        <w:rPr>
          <w:rFonts w:ascii="Arial Narrow" w:hAnsi="Arial Narrow" w:cstheme="majorBidi"/>
          <w:sz w:val="28"/>
          <w:szCs w:val="28"/>
          <w:rtl/>
          <w:lang w:bidi="ar-MA"/>
        </w:rPr>
        <w:t>ثا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لث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2016 </w:t>
      </w:r>
      <w:r w:rsidR="00334851"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FE5B78" w:rsidRPr="0060576E">
        <w:rPr>
          <w:rFonts w:ascii="Arial Narrow" w:hAnsi="Arial Narrow" w:cstheme="majorBidi"/>
          <w:sz w:val="28"/>
          <w:szCs w:val="28"/>
          <w:rtl/>
          <w:lang w:bidi="ar-MA"/>
        </w:rPr>
        <w:t>نفس ال</w:t>
      </w:r>
      <w:r w:rsidR="00334851" w:rsidRPr="0060576E">
        <w:rPr>
          <w:rFonts w:ascii="Arial Narrow" w:hAnsi="Arial Narrow" w:cstheme="majorBidi"/>
          <w:sz w:val="28"/>
          <w:szCs w:val="28"/>
          <w:rtl/>
          <w:lang w:bidi="ar-MA"/>
        </w:rPr>
        <w:t>وتيرة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لي</w:t>
      </w:r>
      <w:r w:rsidR="00334851" w:rsidRPr="0060576E">
        <w:rPr>
          <w:rFonts w:ascii="Arial Narrow" w:hAnsi="Arial Narrow" w:cstheme="majorBidi"/>
          <w:sz w:val="28"/>
          <w:szCs w:val="28"/>
          <w:rtl/>
          <w:lang w:bidi="ar-MA"/>
        </w:rPr>
        <w:t>ستقر في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حدود </w:t>
      </w:r>
      <w:r w:rsidRPr="0060576E">
        <w:rPr>
          <w:rFonts w:ascii="Arial Narrow" w:hAnsi="Arial Narrow" w:cstheme="majorBidi"/>
          <w:sz w:val="28"/>
          <w:szCs w:val="28"/>
        </w:rPr>
        <w:t>,</w:t>
      </w:r>
      <w:r w:rsidR="002279CA" w:rsidRPr="0060576E">
        <w:rPr>
          <w:rFonts w:ascii="Arial Narrow" w:hAnsi="Arial Narrow" w:cstheme="majorBidi"/>
          <w:sz w:val="28"/>
          <w:szCs w:val="28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2٪، بينما ست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>واصل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القيمة المضافة الفلاحية تراجع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نسبة </w:t>
      </w:r>
      <w:r w:rsidR="00F80052" w:rsidRPr="0060576E">
        <w:rPr>
          <w:rFonts w:ascii="Arial Narrow" w:hAnsi="Arial Narrow" w:cstheme="majorBidi"/>
          <w:sz w:val="28"/>
          <w:szCs w:val="28"/>
          <w:rtl/>
          <w:lang w:bidi="ar-MA"/>
        </w:rPr>
        <w:t>1</w:t>
      </w:r>
      <w:r w:rsidR="00DC53C0" w:rsidRPr="0060576E">
        <w:rPr>
          <w:rFonts w:ascii="Arial Narrow" w:hAnsi="Arial Narrow" w:cstheme="majorBidi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DC53C0" w:rsidRPr="0060576E">
        <w:rPr>
          <w:rFonts w:ascii="Arial Narrow" w:hAnsi="Arial Narrow" w:cstheme="majorBidi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٪،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E5B78" w:rsidRPr="0060576E">
        <w:rPr>
          <w:rFonts w:ascii="Arial Narrow" w:hAnsi="Arial Narrow" w:cstheme="majorBidi"/>
          <w:sz w:val="28"/>
          <w:szCs w:val="28"/>
          <w:rtl/>
          <w:lang w:bidi="ar-MA"/>
        </w:rPr>
        <w:t>1,</w:t>
      </w:r>
      <w:r w:rsidR="00212688" w:rsidRPr="0060576E">
        <w:rPr>
          <w:rFonts w:ascii="Arial Narrow" w:hAnsi="Arial Narrow" w:cstheme="majorBidi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 خلال الفصل ال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>ثا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لث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2016، حسب التغير السنوي، عوض 4,</w:t>
      </w:r>
      <w:r w:rsidR="00DC53C0" w:rsidRPr="0060576E">
        <w:rPr>
          <w:rFonts w:ascii="Arial Narrow" w:hAnsi="Arial Narrow" w:cstheme="majorBidi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 خلال نفس الفترة من السنة الماضية</w:t>
      </w:r>
      <w:r w:rsidRPr="0060576E">
        <w:rPr>
          <w:rFonts w:ascii="Arial Narrow" w:hAnsi="Arial Narrow" w:cstheme="majorBidi"/>
          <w:sz w:val="28"/>
          <w:szCs w:val="28"/>
          <w:rtl/>
        </w:rPr>
        <w:t>.</w:t>
      </w:r>
    </w:p>
    <w:p w:rsidR="00FD346B" w:rsidRPr="0060576E" w:rsidRDefault="00FD346B" w:rsidP="007C7C33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</w:p>
    <w:p w:rsidR="00FD346B" w:rsidRPr="0060576E" w:rsidRDefault="00771781" w:rsidP="005E297A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تحسن طفيف </w:t>
      </w:r>
      <w:r w:rsidR="005E297A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للطلب الخارجي </w:t>
      </w:r>
      <w:r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>خلال الفصل ال</w:t>
      </w:r>
      <w:r w:rsidR="0040770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>ثاني</w:t>
      </w:r>
      <w:r w:rsidR="00FE5B78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 201</w:t>
      </w:r>
      <w:r w:rsidR="00FE5B78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>6</w:t>
      </w:r>
    </w:p>
    <w:p w:rsidR="00FD346B" w:rsidRPr="0060576E" w:rsidRDefault="00CB3EC5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90170</wp:posOffset>
            </wp:positionV>
            <wp:extent cx="2579370" cy="2468880"/>
            <wp:effectExtent l="19050" t="0" r="0" b="0"/>
            <wp:wrapSquare wrapText="bothSides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FD346B" w:rsidP="004F505E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من المرتقب أن تشهد اقتصاديات الدول المتقدمة</w:t>
      </w:r>
      <w:r w:rsidR="00AC675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نمو</w:t>
      </w:r>
      <w:r w:rsidR="00AC6752" w:rsidRPr="0060576E">
        <w:rPr>
          <w:rFonts w:ascii="Arial Narrow" w:hAnsi="Arial Narrow" w:cstheme="majorBidi"/>
          <w:sz w:val="28"/>
          <w:szCs w:val="28"/>
          <w:rtl/>
          <w:lang w:bidi="ar-MA"/>
        </w:rPr>
        <w:t>ا يقدر ب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> </w:t>
      </w:r>
      <w:r w:rsidR="00C61CF3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2</w:t>
      </w:r>
      <w:r w:rsidR="00AC6752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٪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2016،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>1</w:t>
      </w:r>
      <w:r w:rsidR="00C61CF3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,6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="00C61CF3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٪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>، في الفصل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السابق. حيث 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سيشكل قطاع الصناعة والخدمات الدعامة الأساسية لتنامي اقتصاد الولايات المتحدة الأمريكية، بعد تأثره من تراجع الاستثمار في الفصل الأول. فيما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س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شهد 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اقتصاد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منطقة الأورو </w:t>
      </w:r>
      <w:r w:rsidR="00C61CF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بعض التباطؤ، 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بسبب تراجع </w:t>
      </w:r>
      <w:r w:rsidR="004F505E" w:rsidRPr="0060576E">
        <w:rPr>
          <w:rFonts w:ascii="Arial Narrow" w:hAnsi="Arial Narrow" w:cstheme="majorBidi"/>
          <w:sz w:val="28"/>
          <w:szCs w:val="28"/>
          <w:rtl/>
          <w:lang w:bidi="ar-MA"/>
        </w:rPr>
        <w:t>الإنتاج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الصناعي وتباطؤ الطلب الداخلي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في المقابل، ستعرف الدول الناشئة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وخاصة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الصين،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بعض ال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>تحسن في وتيرة نموها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لتحقق نموا يقدر ب </w:t>
      </w:r>
      <w:r w:rsidR="00644305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8</w:t>
      </w:r>
      <w:r w:rsidR="00644305" w:rsidRPr="0060576E">
        <w:rPr>
          <w:rFonts w:ascii="Arial Narrow" w:hAnsi="Arial Narrow" w:cstheme="majorBidi"/>
          <w:spacing w:val="-2"/>
          <w:sz w:val="28"/>
          <w:szCs w:val="28"/>
          <w:lang w:bidi="ar-MA"/>
        </w:rPr>
        <w:t>,</w:t>
      </w:r>
      <w:r w:rsidR="00644305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6٪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عوض </w:t>
      </w:r>
      <w:r w:rsidR="00644305" w:rsidRPr="0060576E">
        <w:rPr>
          <w:rFonts w:ascii="Arial Narrow" w:hAnsi="Arial Narrow" w:cstheme="majorBidi"/>
          <w:sz w:val="28"/>
          <w:szCs w:val="28"/>
          <w:lang w:bidi="ar-MA"/>
        </w:rPr>
        <w:t>+4,</w:t>
      </w:r>
      <w:r w:rsidR="00644305" w:rsidRPr="0060576E">
        <w:rPr>
          <w:rFonts w:ascii="Arial Narrow" w:hAnsi="Arial Narrow" w:cstheme="majorBidi"/>
          <w:spacing w:val="-2"/>
          <w:sz w:val="28"/>
          <w:szCs w:val="28"/>
          <w:lang w:bidi="ar-MA"/>
        </w:rPr>
        <w:t>4</w:t>
      </w:r>
      <w:r w:rsidR="00644305" w:rsidRPr="0060576E">
        <w:rPr>
          <w:rFonts w:ascii="Arial Narrow" w:hAnsi="Arial Narrow" w:cstheme="majorBidi"/>
          <w:spacing w:val="-2"/>
          <w:sz w:val="28"/>
          <w:szCs w:val="28"/>
          <w:rtl/>
          <w:lang w:bidi="ar-MA"/>
        </w:rPr>
        <w:t>٪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في الفصل السابق، </w:t>
      </w:r>
      <w:r w:rsidR="007F1167" w:rsidRPr="0060576E">
        <w:rPr>
          <w:rFonts w:ascii="Arial Narrow" w:hAnsi="Arial Narrow" w:cstheme="majorBidi"/>
          <w:sz w:val="28"/>
          <w:szCs w:val="28"/>
          <w:rtl/>
          <w:lang w:bidi="ar-MA"/>
        </w:rPr>
        <w:t>مدعمة بالطلب الداخلي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. 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>ك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>ما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سيشهد 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>اقتصاد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روس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يا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بعض الاستقرار وتراجع في نسبة التضخم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في ظرفية تتسم بانخفاض 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>طفيف ل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>عملتها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مقابل الدولار الأمريكي. 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فيما ستعرف </w:t>
      </w:r>
      <w:r w:rsidR="007578D4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كل من </w:t>
      </w:r>
      <w:r w:rsidR="005A18A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الهند وتركيا وبلدان أوروبا الوسطى نموا 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متسارعا بفضل</w:t>
      </w:r>
      <w:r w:rsidR="0064430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تحسن الطلب الداخلي 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</w:p>
    <w:p w:rsidR="00735F98" w:rsidRPr="0060576E" w:rsidRDefault="00735F98" w:rsidP="00735F98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C34CA5" w:rsidRPr="0060576E" w:rsidRDefault="00FD346B" w:rsidP="004F505E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ظل ذلك، 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يرتقب أن تحقق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المبادلات 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التجار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ة العالمية نموا يقدر ب 2,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>2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EF0A2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خلال الفصل الثاني 2016، بفضل تحسن واردات الدول الناشئة. 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فيما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سيعرف الطلب الخارجي الموجه للمغرب ارتفاعا ب</w:t>
      </w:r>
      <w:r w:rsidR="0097499A" w:rsidRPr="0060576E">
        <w:rPr>
          <w:rFonts w:ascii="Arial Narrow" w:hAnsi="Arial Narrow" w:cstheme="majorBidi"/>
          <w:sz w:val="28"/>
          <w:szCs w:val="28"/>
          <w:rtl/>
          <w:lang w:bidi="ar-MA"/>
        </w:rPr>
        <w:t>نسبة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3,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>3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٪، مدعما بتحسن طلب الشركاء الأوروبيين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>، وخاصة الاسباني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. في المقابل، يرتقب أن تشهد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الصادرات الوطنية </w:t>
      </w:r>
      <w:r w:rsidR="00AC0987" w:rsidRPr="0060576E">
        <w:rPr>
          <w:rFonts w:ascii="Arial Narrow" w:hAnsi="Arial Narrow" w:cstheme="majorBidi"/>
          <w:sz w:val="28"/>
          <w:szCs w:val="28"/>
          <w:rtl/>
          <w:lang w:bidi="ar-MA"/>
        </w:rPr>
        <w:t>بعض الت</w:t>
      </w:r>
      <w:r w:rsidR="00754C40" w:rsidRPr="0060576E">
        <w:rPr>
          <w:rFonts w:ascii="Arial Narrow" w:hAnsi="Arial Narrow" w:cstheme="majorBidi"/>
          <w:sz w:val="28"/>
          <w:szCs w:val="28"/>
          <w:rtl/>
          <w:lang w:bidi="ar-MA"/>
        </w:rPr>
        <w:t>باطؤ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خلال الفصل ال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</w:t>
      </w:r>
      <w:r w:rsidR="009B44DA" w:rsidRPr="0060576E">
        <w:rPr>
          <w:rFonts w:ascii="Arial Narrow" w:hAnsi="Arial Narrow" w:cstheme="majorBidi"/>
          <w:sz w:val="28"/>
          <w:szCs w:val="28"/>
          <w:rtl/>
          <w:lang w:bidi="ar-MA"/>
        </w:rPr>
        <w:t>6</w:t>
      </w:r>
      <w:r w:rsidR="002B593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، لتحقق نموا يقدر ب 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>1</w:t>
      </w:r>
      <w:r w:rsidR="002B5933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السنوي، متأثرة بتراجع صادرات الفوسفاط </w:t>
      </w:r>
      <w:r w:rsidR="006665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ومشتقاته 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>في ظرفية تتسم بانخفاض أسعار</w:t>
      </w:r>
      <w:r w:rsidR="004F505E" w:rsidRPr="0060576E">
        <w:rPr>
          <w:rFonts w:ascii="Arial Narrow" w:hAnsi="Arial Narrow" w:cstheme="majorBidi"/>
          <w:sz w:val="28"/>
          <w:szCs w:val="28"/>
          <w:rtl/>
          <w:lang w:bidi="ar-MA"/>
        </w:rPr>
        <w:t>ه</w:t>
      </w:r>
      <w:r w:rsidR="0077178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في الأسواق الدولية. في المقابل، يتوقع أن تحقق الصادرات دون الفوسفاط ومشتقاته نموا يقدر ب 6,3٪،</w:t>
      </w:r>
      <w:r w:rsidR="00735F98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مدعمة بتحسن مبيعات قطاع السيارات وأجزاء الطائرات والنسيج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. </w:t>
      </w:r>
    </w:p>
    <w:p w:rsidR="00FD346B" w:rsidRPr="0060576E" w:rsidRDefault="00C34CA5" w:rsidP="00C201E0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</w:t>
      </w:r>
      <w:r w:rsidR="00FD346B"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</w:t>
      </w:r>
      <w:r w:rsidR="0060576E"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..............</w:t>
      </w:r>
    </w:p>
    <w:p w:rsidR="00FD346B" w:rsidRPr="0060576E" w:rsidRDefault="00FD346B" w:rsidP="007D5BC8">
      <w:pPr>
        <w:bidi/>
        <w:jc w:val="both"/>
        <w:rPr>
          <w:rFonts w:ascii="Arial Narrow" w:hAnsi="Arial Narrow" w:cstheme="majorBidi"/>
          <w:b/>
          <w:bCs/>
          <w:sz w:val="18"/>
          <w:szCs w:val="18"/>
          <w:rtl/>
          <w:lang w:bidi="ar-MA"/>
        </w:rPr>
      </w:pP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من اجل الاطلاع على النسخة المفصلة لموجز الظرفية الاقتصادية، يمكن الرجوع إلى البوابة الالكترونية للمندوبية السامية للتخطيط ( </w:t>
      </w:r>
      <w:hyperlink r:id="rId11" w:history="1">
        <w:r w:rsidRPr="0060576E">
          <w:rPr>
            <w:rFonts w:ascii="Arial Narrow" w:hAnsi="Arial Narrow" w:cstheme="majorBidi"/>
            <w:sz w:val="18"/>
            <w:szCs w:val="18"/>
          </w:rPr>
          <w:t>www.hcp.ma</w:t>
        </w:r>
      </w:hyperlink>
      <w:r w:rsidRPr="0060576E">
        <w:rPr>
          <w:rFonts w:ascii="Arial Narrow" w:hAnsi="Arial Narrow" w:cstheme="majorBidi"/>
          <w:sz w:val="18"/>
          <w:szCs w:val="18"/>
          <w:rtl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(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.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.</w:t>
      </w:r>
    </w:p>
    <w:p w:rsidR="00C34CA5" w:rsidRPr="0060576E" w:rsidRDefault="00C34CA5" w:rsidP="00666542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lastRenderedPageBreak/>
        <w:t xml:space="preserve">وموازاة مع ذلك، </w:t>
      </w:r>
      <w:r w:rsidR="00A30E8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يرتقب أن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تشهد الواردات من السلع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، خلال الفصل الثاني 2016،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A30E81" w:rsidRPr="0060576E">
        <w:rPr>
          <w:rFonts w:ascii="Arial Narrow" w:hAnsi="Arial Narrow" w:cstheme="majorBidi"/>
          <w:sz w:val="28"/>
          <w:szCs w:val="28"/>
          <w:rtl/>
          <w:lang w:bidi="ar-MA"/>
        </w:rPr>
        <w:t>تراجعا ب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نسبة</w:t>
      </w:r>
      <w:r w:rsidR="00A30E81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3,8٪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 ب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فضل انخفاض فاتورة الواردات الطاقية موازاة مع تراجع أسعار المحروقات وبالرغم من ارتفاع الكميات المستوردة من الغازوال والفيول.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و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في المقابل، ينتظر أن ت</w:t>
      </w:r>
      <w:r w:rsidR="002B284D" w:rsidRPr="0060576E">
        <w:rPr>
          <w:rFonts w:ascii="Arial Narrow" w:hAnsi="Arial Narrow" w:cstheme="majorBidi"/>
          <w:sz w:val="28"/>
          <w:szCs w:val="28"/>
          <w:rtl/>
          <w:lang w:bidi="ar-MA"/>
        </w:rPr>
        <w:t>رتفع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واردات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مواد 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التجهيز كأجزاء السيارات الصناعية والآلات والأجهزة المختلفة، وكذلك مواد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الاستهلاك كالسيارات والأدوية والمواد النصف مصنعة كالبلاستيك والورق والمواد الغذائية. و</w:t>
      </w:r>
      <w:r w:rsidR="002B284D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العموم،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ستساهم هذه الوضعية في 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تقلص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العجز التجاري بحوالي 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10,2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 و ت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حسن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معدل تغطية الصادرات للواردات بنسبة 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نقطة ليستقر في حدود 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59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3442C4" w:rsidRPr="0060576E">
        <w:rPr>
          <w:rFonts w:ascii="Arial Narrow" w:hAnsi="Arial Narrow" w:cstheme="majorBidi"/>
          <w:sz w:val="28"/>
          <w:szCs w:val="28"/>
          <w:rtl/>
          <w:lang w:bidi="ar-MA"/>
        </w:rPr>
        <w:t>9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٪.</w:t>
      </w:r>
      <w:r w:rsidR="00C87685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</w:p>
    <w:p w:rsidR="00A30E81" w:rsidRPr="0060576E" w:rsidRDefault="00A30E81" w:rsidP="00A30E81">
      <w:pPr>
        <w:jc w:val="both"/>
        <w:rPr>
          <w:rFonts w:ascii="Arial Narrow" w:hAnsi="Arial Narrow" w:cstheme="majorBidi"/>
          <w:kern w:val="28"/>
          <w:sz w:val="20"/>
          <w:szCs w:val="20"/>
        </w:rPr>
      </w:pPr>
    </w:p>
    <w:p w:rsidR="00FD346B" w:rsidRPr="0060576E" w:rsidRDefault="00635123" w:rsidP="003442C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183515</wp:posOffset>
            </wp:positionV>
            <wp:extent cx="2526030" cy="2065020"/>
            <wp:effectExtent l="19050" t="0" r="762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97A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تباطؤ نسبي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 للطلب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  <w:r w:rsidR="00AE4D59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</w:p>
    <w:p w:rsidR="00FD346B" w:rsidRPr="0060576E" w:rsidRDefault="00FD346B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</w:p>
    <w:p w:rsidR="00FD346B" w:rsidRPr="00093AD5" w:rsidRDefault="00FD346B" w:rsidP="00093AD5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يتوقع أن ي</w:t>
      </w:r>
      <w:r w:rsidR="00407701" w:rsidRPr="00093AD5">
        <w:rPr>
          <w:rFonts w:ascii="Arial Narrow" w:hAnsi="Arial Narrow" w:cstheme="majorBidi"/>
          <w:sz w:val="28"/>
          <w:szCs w:val="28"/>
          <w:rtl/>
          <w:lang w:bidi="ar-MA"/>
        </w:rPr>
        <w:t>واصل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الطلب الداخلي الخاص</w:t>
      </w:r>
      <w:r w:rsidR="009B44DA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تباطؤ</w:t>
      </w:r>
      <w:r w:rsidR="00407701" w:rsidRPr="00093AD5">
        <w:rPr>
          <w:rFonts w:ascii="Arial Narrow" w:hAnsi="Arial Narrow" w:cstheme="majorBidi"/>
          <w:sz w:val="28"/>
          <w:szCs w:val="28"/>
          <w:rtl/>
          <w:lang w:bidi="ar-MA"/>
        </w:rPr>
        <w:t>ه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، 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9B44DA" w:rsidRPr="00093AD5">
        <w:rPr>
          <w:rFonts w:ascii="Arial Narrow" w:hAnsi="Arial Narrow" w:cstheme="majorBidi"/>
          <w:sz w:val="28"/>
          <w:szCs w:val="28"/>
          <w:rtl/>
          <w:lang w:bidi="ar-MA"/>
        </w:rPr>
        <w:t>6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، حيث سي</w:t>
      </w:r>
      <w:r w:rsidR="00D35922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تأثر استهلاك الأسر با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رتفاع وثيرة أسعار الاستهلاك </w:t>
      </w:r>
      <w:r w:rsidR="00D35922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إلى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1,9٪، عوض 1+٪، في الفصل السابق</w:t>
      </w:r>
      <w:r w:rsidR="00D35922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بالإضافة إلى ضعف التشغيل المؤدى عنه.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35922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وعموما يرتقب أن يسجل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استهلاك الأسر نموا يقدر ب 2,4٪، حسب التغير السنوي، عوض 2,7٪ خلال الفصل السابق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 مدعوما بتحسن المداخيل المرتبطة ب</w:t>
      </w:r>
      <w:r w:rsidR="009B44DA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تحويلات </w:t>
      </w:r>
      <w:r w:rsidR="0097499A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المغاربة </w:t>
      </w:r>
      <w:r w:rsidR="009B44DA" w:rsidRPr="00093AD5">
        <w:rPr>
          <w:rFonts w:ascii="Arial Narrow" w:hAnsi="Arial Narrow" w:cstheme="majorBidi"/>
          <w:sz w:val="28"/>
          <w:szCs w:val="28"/>
          <w:rtl/>
          <w:lang w:bidi="ar-MA"/>
        </w:rPr>
        <w:t>المقيمين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بنسبة ت</w:t>
      </w:r>
      <w:r w:rsidR="0097499A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قدر ب </w:t>
      </w:r>
      <w:r w:rsidR="002D59CD" w:rsidRPr="00093AD5">
        <w:rPr>
          <w:rFonts w:ascii="Arial Narrow" w:hAnsi="Arial Narrow" w:cstheme="majorBidi"/>
          <w:sz w:val="28"/>
          <w:szCs w:val="28"/>
          <w:rtl/>
          <w:lang w:bidi="ar-MA"/>
        </w:rPr>
        <w:t>4,2</w:t>
      </w:r>
      <w:r w:rsidR="0097499A" w:rsidRPr="00093AD5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r w:rsidR="009B44DA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وارتفاع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تدفق القروض الموجهة للاستهلاك بنسبة 4,</w:t>
      </w:r>
      <w:r w:rsidR="002D59CD" w:rsidRPr="00093AD5">
        <w:rPr>
          <w:rFonts w:ascii="Arial Narrow" w:hAnsi="Arial Narrow" w:cstheme="majorBidi"/>
          <w:sz w:val="28"/>
          <w:szCs w:val="28"/>
          <w:rtl/>
          <w:lang w:bidi="ar-MA"/>
        </w:rPr>
        <w:t>6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، </w:t>
      </w:r>
      <w:r w:rsidR="002D59CD" w:rsidRPr="00093AD5">
        <w:rPr>
          <w:rFonts w:ascii="Arial Narrow" w:hAnsi="Arial Narrow" w:cstheme="majorBidi"/>
          <w:sz w:val="28"/>
          <w:szCs w:val="28"/>
          <w:rtl/>
          <w:lang w:bidi="ar-MA"/>
        </w:rPr>
        <w:t>حسب التغير السنوي.</w:t>
      </w:r>
    </w:p>
    <w:p w:rsidR="00FD346B" w:rsidRPr="0060576E" w:rsidRDefault="00FD346B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5E297A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من جهته، يرتقب أن يحافظ تكوين رأس المال على تطوره</w:t>
      </w:r>
      <w:r w:rsidR="00FE5B7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7824F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الايجابي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ليحقق 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AA2BC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AA2BC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A279A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r w:rsidR="00AA2BC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5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+٪، خلال الفصل السابق.  ويعزى ه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ذ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 التطور إلى 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ضعف</w:t>
      </w:r>
      <w:r w:rsidR="00FE5B7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تحسن الاستثمار في قطاع البناء والأشغال العمومية، موازاة مع 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القروض الموجهة</w:t>
      </w:r>
      <w:r w:rsidR="005E297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نحو المنعشين العقاريين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 بين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ما سي</w:t>
      </w:r>
      <w:r w:rsidR="00A279A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عرف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الاستثمار في قطاع الصناعات التحويلية </w:t>
      </w:r>
      <w:r w:rsidR="0001630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ارتفاعا طفيفا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باعتبار تحسن واردات مواد التجهيز </w:t>
      </w:r>
      <w:r w:rsidR="00F97390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بنسبة تقدر ب </w:t>
      </w:r>
      <w:r w:rsidR="002D59C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33</w:t>
      </w:r>
      <w:r w:rsidR="00F97390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</w:t>
      </w:r>
      <w:r w:rsidR="00E375B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زيادة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القروض الموجهة للتجهيز</w:t>
      </w:r>
      <w:r w:rsidR="00E375B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ب </w:t>
      </w:r>
      <w:r w:rsidR="002D59C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4</w:t>
      </w:r>
      <w:r w:rsidR="00E375B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FD346B" w:rsidRPr="005E297A" w:rsidRDefault="00FD346B" w:rsidP="005B5BF2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</w:p>
    <w:p w:rsidR="00FD346B" w:rsidRPr="0060576E" w:rsidRDefault="00172B3A" w:rsidP="00172B3A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استقرار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>في وتيرة نمو الأنشطة غير الفلاحية</w:t>
      </w:r>
    </w:p>
    <w:p w:rsidR="00FD346B" w:rsidRPr="0060576E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FD346B" w:rsidRPr="0060576E" w:rsidRDefault="00002F8D" w:rsidP="006C7798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236855</wp:posOffset>
            </wp:positionV>
            <wp:extent cx="2411730" cy="2011680"/>
            <wp:effectExtent l="19050" t="0" r="7620" b="0"/>
            <wp:wrapSquare wrapText="bothSides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تشهد القيمة المضافة غير الفلاحية </w:t>
      </w:r>
      <w:r w:rsidR="005D155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الاستقرار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في وتيرة نموها، خلال الفصل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من 201</w:t>
      </w:r>
      <w:r w:rsidR="0081005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لتحقق زيادة تقدر ب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>2,</w:t>
      </w:r>
      <w:r w:rsidR="002279CA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>5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 حسب التغير السنوي. ويرجع هذا التطور، بالأساس، إلى ا</w:t>
      </w:r>
      <w:r w:rsidR="00CF32F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ستمرار دعم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أنشطة الخدمات المؤدى عنها</w:t>
      </w:r>
      <w:r w:rsidR="00CF32F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للنمو الاقتصادي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  <w:r w:rsidR="00E375B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فيما سي</w:t>
      </w:r>
      <w:r w:rsidR="00856FA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واصل</w:t>
      </w:r>
      <w:r w:rsidR="00E375B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E375B7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856FA3" w:rsidRPr="0060576E">
        <w:rPr>
          <w:rFonts w:ascii="Arial Narrow" w:hAnsi="Arial Narrow" w:cstheme="majorBidi"/>
          <w:noProof/>
          <w:sz w:val="28"/>
          <w:szCs w:val="28"/>
          <w:rtl/>
        </w:rPr>
        <w:t>تطوره الايجابي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>،</w:t>
      </w:r>
      <w:r w:rsidR="00E375B7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8E4C95" w:rsidRPr="0060576E">
        <w:rPr>
          <w:rFonts w:ascii="Arial Narrow" w:hAnsi="Arial Narrow" w:cstheme="majorBidi"/>
          <w:noProof/>
          <w:sz w:val="28"/>
          <w:szCs w:val="28"/>
          <w:rtl/>
        </w:rPr>
        <w:t>خاصة في قطاع الصناعة</w:t>
      </w:r>
      <w:r w:rsidR="00CB2D0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. </w:t>
      </w:r>
      <w:r w:rsidR="008E4C95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حيث 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>ي</w:t>
      </w:r>
      <w:r w:rsidR="00CB2D03" w:rsidRPr="0060576E">
        <w:rPr>
          <w:rFonts w:ascii="Arial Narrow" w:hAnsi="Arial Narrow" w:cstheme="majorBidi"/>
          <w:noProof/>
          <w:sz w:val="28"/>
          <w:szCs w:val="28"/>
          <w:rtl/>
        </w:rPr>
        <w:t>توقع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أن تحقق الصناعات التحويلية ارتفاعا يقدر ب </w:t>
      </w:r>
      <w:r w:rsidR="00CC13A1" w:rsidRPr="0060576E">
        <w:rPr>
          <w:rFonts w:ascii="Arial Narrow" w:hAnsi="Arial Narrow" w:cstheme="majorBidi"/>
          <w:noProof/>
          <w:sz w:val="28"/>
          <w:szCs w:val="28"/>
          <w:rtl/>
        </w:rPr>
        <w:t>3</w:t>
      </w:r>
      <w:r w:rsidR="00CF32F3" w:rsidRPr="0060576E">
        <w:rPr>
          <w:rFonts w:ascii="Arial Narrow" w:hAnsi="Arial Narrow" w:cstheme="majorBidi"/>
          <w:noProof/>
          <w:sz w:val="28"/>
          <w:szCs w:val="28"/>
          <w:rtl/>
        </w:rPr>
        <w:t>,</w:t>
      </w:r>
      <w:r w:rsidR="00CC13A1" w:rsidRPr="0060576E">
        <w:rPr>
          <w:rFonts w:ascii="Arial Narrow" w:hAnsi="Arial Narrow" w:cstheme="majorBidi"/>
          <w:noProof/>
          <w:sz w:val="28"/>
          <w:szCs w:val="28"/>
          <w:rtl/>
        </w:rPr>
        <w:t>2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خلال الفصل 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ثاني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201</w:t>
      </w:r>
      <w:r w:rsidR="006074DA" w:rsidRPr="0060576E">
        <w:rPr>
          <w:rFonts w:ascii="Arial Narrow" w:hAnsi="Arial Narrow" w:cstheme="majorBidi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عوض </w:t>
      </w:r>
      <w:r w:rsidR="0005588D" w:rsidRPr="0060576E">
        <w:rPr>
          <w:rFonts w:ascii="Arial Narrow" w:hAnsi="Arial Narrow" w:cstheme="majorBidi"/>
          <w:noProof/>
          <w:sz w:val="28"/>
          <w:szCs w:val="28"/>
          <w:rtl/>
        </w:rPr>
        <w:t>2</w:t>
      </w:r>
      <w:r w:rsidR="00CF32F3" w:rsidRPr="0060576E">
        <w:rPr>
          <w:rFonts w:ascii="Arial Narrow" w:hAnsi="Arial Narrow" w:cstheme="majorBidi"/>
          <w:noProof/>
          <w:sz w:val="28"/>
          <w:szCs w:val="28"/>
          <w:rtl/>
        </w:rPr>
        <w:t>,</w:t>
      </w:r>
      <w:r w:rsidR="00CC13A1" w:rsidRPr="0060576E">
        <w:rPr>
          <w:rFonts w:ascii="Arial Narrow" w:hAnsi="Arial Narrow" w:cstheme="majorBidi"/>
          <w:noProof/>
          <w:sz w:val="28"/>
          <w:szCs w:val="28"/>
          <w:rtl/>
        </w:rPr>
        <w:t>9</w:t>
      </w:r>
      <w:r w:rsidR="00932F62" w:rsidRPr="0060576E">
        <w:rPr>
          <w:rFonts w:ascii="Arial Narrow" w:hAnsi="Arial Narrow" w:cstheme="majorBidi"/>
          <w:noProof/>
          <w:sz w:val="28"/>
          <w:szCs w:val="28"/>
          <w:rtl/>
        </w:rPr>
        <w:t>+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>٪ خلال الفصل ال</w:t>
      </w:r>
      <w:r w:rsidR="006074DA" w:rsidRPr="0060576E">
        <w:rPr>
          <w:rFonts w:ascii="Arial Narrow" w:hAnsi="Arial Narrow" w:cstheme="majorBidi"/>
          <w:noProof/>
          <w:sz w:val="28"/>
          <w:szCs w:val="28"/>
          <w:rtl/>
        </w:rPr>
        <w:t>سابق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</w:rPr>
        <w:t>. و يعزى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هذا التطور بالأساس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إلى تحسن القيمة المضافة للصناعات الغذائية والصناعات الالكترونية والميكانيكية 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والصناعات </w:t>
      </w:r>
      <w:r w:rsidR="00346BD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الكيميائية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وشبه </w:t>
      </w:r>
      <w:r w:rsidR="00346BD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الكيميائية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بما يعادل 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4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3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و 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5</w:t>
      </w:r>
      <w:r w:rsidR="000B561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,3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</w:t>
      </w:r>
      <w:r w:rsidR="00FD760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 4,5٪،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على التوالي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السنوي، مدعمة بتحسن الطلب الخارجي الموجه نحو الصناعات الغذائية والسيارات. </w:t>
      </w:r>
    </w:p>
    <w:p w:rsidR="00FD346B" w:rsidRPr="0060576E" w:rsidRDefault="00FD346B" w:rsidP="004E36B5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</w:p>
    <w:p w:rsidR="0046563B" w:rsidRPr="0060576E" w:rsidRDefault="006C7798" w:rsidP="006851E3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المقابل، 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تشهد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قيم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لقطاع المعادن 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التباطؤ في وتيرة نموها، لتحقق زيادة ت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قدر ب 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من 2016، حسب التغير السنوي، عوض </w:t>
      </w:r>
      <w:r w:rsidR="00C554D4" w:rsidRPr="0060576E">
        <w:rPr>
          <w:rFonts w:ascii="Arial Narrow" w:hAnsi="Arial Narrow" w:cstheme="majorBidi"/>
          <w:noProof/>
          <w:sz w:val="28"/>
          <w:szCs w:val="28"/>
        </w:rPr>
        <w:t>7</w:t>
      </w:r>
      <w:r w:rsidR="00BC00BA" w:rsidRPr="0060576E">
        <w:rPr>
          <w:rFonts w:ascii="Arial Narrow" w:hAnsi="Arial Narrow" w:cstheme="majorBidi"/>
          <w:noProof/>
          <w:sz w:val="28"/>
          <w:szCs w:val="28"/>
          <w:rtl/>
        </w:rPr>
        <w:t>+</w:t>
      </w:r>
      <w:r w:rsidR="0046563B" w:rsidRPr="0060576E">
        <w:rPr>
          <w:rFonts w:ascii="Arial Narrow" w:hAnsi="Arial Narrow" w:cstheme="majorBidi"/>
          <w:noProof/>
          <w:sz w:val="28"/>
          <w:szCs w:val="28"/>
          <w:rtl/>
        </w:rPr>
        <w:t>٪، خلال الفصل السابق</w:t>
      </w:r>
      <w:r w:rsidR="00075E3D" w:rsidRPr="0060576E">
        <w:rPr>
          <w:rFonts w:ascii="Arial Narrow" w:hAnsi="Arial Narrow" w:cstheme="majorBidi"/>
          <w:noProof/>
          <w:sz w:val="28"/>
          <w:szCs w:val="28"/>
          <w:rtl/>
        </w:rPr>
        <w:t>. ويعزى هذا التباطؤ الى تراجع انتاج المعادن غير الحديدية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بسبب تقلص إنتاج 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الفوسفاط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الخام بعد ارتفاعه ب </w:t>
      </w:r>
      <w:r w:rsidR="00666542">
        <w:rPr>
          <w:rFonts w:ascii="Arial Narrow" w:hAnsi="Arial Narrow" w:cstheme="majorBidi" w:hint="cs"/>
          <w:noProof/>
          <w:sz w:val="28"/>
          <w:szCs w:val="28"/>
          <w:rtl/>
        </w:rPr>
        <w:t>10,2</w:t>
      </w:r>
      <w:r w:rsidR="00075E3D" w:rsidRPr="0060576E">
        <w:rPr>
          <w:rFonts w:ascii="Arial Narrow" w:hAnsi="Arial Narrow" w:cstheme="majorBidi"/>
          <w:noProof/>
          <w:sz w:val="28"/>
          <w:szCs w:val="28"/>
          <w:rtl/>
        </w:rPr>
        <w:t>٪، خلال الفصل الاول، وذلك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46563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75E3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موازاة مع </w:t>
      </w:r>
      <w:r w:rsidR="00702B0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تراجع أسعار الأسمدة الفوسفاطية في السوق العالمية وضعف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دينامكية </w:t>
      </w:r>
      <w:r w:rsidR="00702B0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الطلب العالمي </w:t>
      </w: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الموجه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نحوها</w:t>
      </w:r>
      <w:r w:rsidR="00702B0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</w:p>
    <w:p w:rsidR="003A5CF8" w:rsidRPr="0060576E" w:rsidRDefault="00C57DE3" w:rsidP="00A26DB2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-194310</wp:posOffset>
            </wp:positionV>
            <wp:extent cx="2602230" cy="2270760"/>
            <wp:effectExtent l="19050" t="0" r="7620" b="0"/>
            <wp:wrapSquare wrapText="bothSides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وبدوره، </w:t>
      </w:r>
      <w:r w:rsidR="006851E3">
        <w:rPr>
          <w:rFonts w:ascii="Arial Narrow" w:hAnsi="Arial Narrow" w:cstheme="majorBidi" w:hint="cs"/>
          <w:noProof/>
          <w:sz w:val="28"/>
          <w:szCs w:val="28"/>
          <w:rtl/>
        </w:rPr>
        <w:t>س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>ي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  <w:lang w:bidi="ar-MA"/>
        </w:rPr>
        <w:t>شهد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قطاع البناء والأشغال العمومية </w:t>
      </w:r>
      <w:r w:rsidR="006C7798">
        <w:rPr>
          <w:rFonts w:ascii="Arial Narrow" w:hAnsi="Arial Narrow" w:cstheme="majorBidi" w:hint="cs"/>
          <w:noProof/>
          <w:sz w:val="28"/>
          <w:szCs w:val="28"/>
          <w:rtl/>
        </w:rPr>
        <w:t>تقلصا ف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ي وتيرة نموه، خلال الفصل </w:t>
      </w:r>
      <w:r w:rsidR="003A5CF8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 من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2016، ليرتفع ب 1,4٪، حسب التغير السنوي، عوض 2,3+٪ 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  <w:lang w:bidi="ar-MA"/>
        </w:rPr>
        <w:t>خلال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الفصل السابق. ويعزى هذا التباطؤ الى </w:t>
      </w:r>
      <w:r w:rsidR="006C7798">
        <w:rPr>
          <w:rFonts w:ascii="Arial Narrow" w:hAnsi="Arial Narrow" w:cstheme="majorBidi" w:hint="cs"/>
          <w:noProof/>
          <w:sz w:val="28"/>
          <w:szCs w:val="28"/>
          <w:rtl/>
        </w:rPr>
        <w:t>ضعف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الطلب الموجه للقطاع، موازاة مع انخفاض المبيعات</w:t>
      </w:r>
      <w:r w:rsidR="007578D4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العقارية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ب 1,1٪، خلال الفصل الاول 2016، </w:t>
      </w:r>
      <w:r w:rsidR="006851E3">
        <w:rPr>
          <w:rFonts w:ascii="Arial Narrow" w:hAnsi="Arial Narrow" w:cstheme="majorBidi" w:hint="cs"/>
          <w:noProof/>
          <w:sz w:val="28"/>
          <w:szCs w:val="28"/>
          <w:rtl/>
        </w:rPr>
        <w:t xml:space="preserve"> كما تؤكد ذلك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نتائج البحث الأخير للمندوبية السامية للتخطيط حول ظرفية القطاع</w:t>
      </w:r>
      <w:r w:rsidR="006851E3">
        <w:rPr>
          <w:rFonts w:ascii="Arial Narrow" w:hAnsi="Arial Narrow" w:cstheme="majorBidi" w:hint="cs"/>
          <w:noProof/>
          <w:sz w:val="28"/>
          <w:szCs w:val="28"/>
          <w:rtl/>
        </w:rPr>
        <w:t xml:space="preserve"> التي توضح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تقلص مرتقب في الطلب الموجه للبناء </w:t>
      </w:r>
      <w:r w:rsidR="006851E3">
        <w:rPr>
          <w:rFonts w:ascii="Arial Narrow" w:hAnsi="Arial Narrow" w:cstheme="majorBidi" w:hint="cs"/>
          <w:noProof/>
          <w:sz w:val="28"/>
          <w:szCs w:val="28"/>
          <w:rtl/>
        </w:rPr>
        <w:t xml:space="preserve">مع 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>تراجع أسعار ال</w:t>
      </w:r>
      <w:r w:rsidR="00A26DB2">
        <w:rPr>
          <w:rFonts w:ascii="Arial Narrow" w:hAnsi="Arial Narrow" w:cstheme="majorBidi" w:hint="cs"/>
          <w:noProof/>
          <w:sz w:val="28"/>
          <w:szCs w:val="28"/>
          <w:rtl/>
        </w:rPr>
        <w:t>عقارات</w:t>
      </w:r>
      <w:r w:rsidR="003A5CF8" w:rsidRPr="0060576E">
        <w:rPr>
          <w:rFonts w:ascii="Arial Narrow" w:hAnsi="Arial Narrow" w:cstheme="majorBidi"/>
          <w:noProof/>
          <w:sz w:val="28"/>
          <w:szCs w:val="28"/>
          <w:rtl/>
        </w:rPr>
        <w:t>.</w:t>
      </w:r>
    </w:p>
    <w:p w:rsidR="00FD346B" w:rsidRDefault="00FD346B" w:rsidP="005329D7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</w:p>
    <w:p w:rsidR="006851E3" w:rsidRPr="0060576E" w:rsidRDefault="006851E3" w:rsidP="006851E3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 يتوقع أن يواصل قطاع الكهرباء تباطؤه، خلال الفصل الثاني 2016، ليحقق زيادة تقدر ب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1,2٪، عوض 2+٪ خلال الفصل السابق، حسب التغير السنوي. ويرجع هذا التباطؤ إلى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تقلص أنشطة المحطات الهيدروليكية و الحرارية المعتمدة على المحروقات، مقابل تحسن طفيف في إنتاج المحطات الحرارية المعتمدة على الفحم الحجري. وعلى العموم، يتوقع أن يرتفع إنتاج الكهرباء بنسبة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1,7٪، حسب التغير السنوي، وذلك موازاة مع تباطؤ الطلب الداخلي، حيث ينتظر أن ترتفع مبيعات الكهرباء بنسبة 0,9٪، عوض 2,6+٪، خلال الفصل الأول</w:t>
      </w:r>
      <w:r w:rsidR="00A26DB2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</w:p>
    <w:p w:rsidR="006851E3" w:rsidRDefault="006851E3" w:rsidP="00225E8B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225E8B" w:rsidP="006851E3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>استمرار تراجع</w:t>
      </w:r>
      <w:r w:rsidR="00B95BF9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الإنتاج الفلاح</w:t>
      </w:r>
      <w:r w:rsidR="00E039DC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ي</w:t>
      </w:r>
      <w:r w:rsidR="00FD346B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 خلال الفصل </w:t>
      </w:r>
      <w:r w:rsidR="0040770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الثاني</w:t>
      </w:r>
      <w:r w:rsidR="00FD346B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 201</w:t>
      </w:r>
      <w:r w:rsidR="00B95BF9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6</w:t>
      </w:r>
    </w:p>
    <w:p w:rsidR="00FD346B" w:rsidRPr="0060576E" w:rsidRDefault="000932BE" w:rsidP="00440354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29210</wp:posOffset>
            </wp:positionV>
            <wp:extent cx="2642870" cy="2286000"/>
            <wp:effectExtent l="19050" t="0" r="5080" b="0"/>
            <wp:wrapSquare wrapText="bothSides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4DD" w:rsidRPr="0060576E" w:rsidRDefault="00FD346B" w:rsidP="00A26DB2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ينتظر أن ت</w:t>
      </w:r>
      <w:r w:rsidR="00E039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نخفض 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قيم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الفلاحية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E039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بنسبة ت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قدر ب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12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437A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E039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عوض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9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>-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في الفصل ال</w:t>
      </w:r>
      <w:r w:rsidR="00E039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سابق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حيث</w:t>
      </w:r>
      <w:r w:rsidR="00893E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BB04D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سي</w:t>
      </w:r>
      <w:r w:rsidR="00893E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تأثر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الإنتاج النباتي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انخفاض محصول الحبوب وال</w:t>
      </w:r>
      <w:r w:rsidR="00862BD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قطاني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بنسب تقدر ب 71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و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58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على التوالي</w:t>
      </w:r>
      <w:r w:rsidR="007A70B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مقارنة مع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</w:t>
      </w:r>
      <w:r w:rsidR="007A70B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موسم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26356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  <w:r w:rsidR="003E12A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7A70B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BB04D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في ال</w:t>
      </w:r>
      <w:r w:rsidR="00B011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م</w:t>
      </w:r>
      <w:r w:rsidR="00BB04D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قابل، 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يتوقع أن تحقق الزراعات الأخرى تحسن</w:t>
      </w:r>
      <w:r w:rsidR="006C779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 ملموسا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 حيث ينتظر أن ي</w:t>
      </w:r>
      <w:r w:rsidR="00437A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رتفع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62BD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إنتاج</w:t>
      </w:r>
      <w:r w:rsidR="005B024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62BD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المزروعات الزيتية والأشجار</w:t>
      </w:r>
      <w:r w:rsidR="00437A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والشمندر السكري مدعوم</w:t>
      </w:r>
      <w:r w:rsidR="00BC00B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</w:t>
      </w:r>
      <w:r w:rsidR="00437A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بارتفاع أسعارها</w:t>
      </w:r>
      <w:r w:rsidR="00862BD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كما ستشهد أسعار 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الخضر الموسمية ارتفاع</w:t>
      </w:r>
      <w:r w:rsidR="0065343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ملموسا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بسبب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تأخر إنتاجها، وخاصة البصل والقرع.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 العموم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يتوقع أن ترتفع أسعار الخضر الطرية بنسبة تقدر ب </w:t>
      </w:r>
      <w:r w:rsidR="00437A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16,3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خلال نفس الفترة.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من جهته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ي</w:t>
      </w:r>
      <w:r w:rsidR="00A26DB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رتقب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أن يواصل </w:t>
      </w:r>
      <w:r w:rsidR="007578D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إنتاج الحيواني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توجهه الايجابي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بالرغم من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تراجع</w:t>
      </w:r>
      <w:r w:rsidR="00BF562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قطاع الدواجن 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مدعوما ب</w:t>
      </w:r>
      <w:r w:rsidR="00E01CD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ارتفاع إنتاج الحليب وتحسن قطاع تربية المواشي. </w:t>
      </w:r>
    </w:p>
    <w:p w:rsidR="00E01CD4" w:rsidRPr="0060576E" w:rsidRDefault="00E01CD4" w:rsidP="00E01CD4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0932BE" w:rsidP="00595B0E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528955</wp:posOffset>
            </wp:positionV>
            <wp:extent cx="2556510" cy="2118360"/>
            <wp:effectExtent l="19050" t="0" r="0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وعلى العموم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وباعتبار المؤشرات الاقتصادية المجمعة إلى غاية شهر </w:t>
      </w:r>
      <w:r w:rsidR="0040770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مايو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6074D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وكذلك التوقعات القطاعية، </w:t>
      </w:r>
      <w:r w:rsidR="00FD346B"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6074D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2126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4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 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 201</w:t>
      </w:r>
      <w:r w:rsidR="006074D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حسب التغير السنوي، عوض </w:t>
      </w:r>
      <w:r w:rsidR="0040770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40770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7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 خلال الف</w:t>
      </w:r>
      <w:r w:rsidR="00EB4E6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صل السابق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9228D7" w:rsidRPr="0060576E" w:rsidRDefault="009228D7" w:rsidP="00311D4D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60576E" w:rsidRDefault="003F7B88" w:rsidP="009228D7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ارتفاع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في وتيرة أسعار الاستهلاك </w:t>
      </w:r>
    </w:p>
    <w:p w:rsidR="00FD346B" w:rsidRPr="0060576E" w:rsidRDefault="00FD346B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</w:p>
    <w:p w:rsidR="00FD346B" w:rsidRPr="0060576E" w:rsidRDefault="0037190E" w:rsidP="006851E3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رتقب أن ت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شهد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الارتفاع في وتيرتها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FD346B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</w:t>
      </w:r>
      <w:r w:rsidR="006074DA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لتحقق زيادة تقدر ب</w:t>
      </w:r>
      <w:r w:rsidR="00822CA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 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="008B1B1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9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حسب التغير السنوي، عوض 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 في الفصل ال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أول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يعزى هذا التحول بالأساس إلى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ارتفاع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المواد الغذائية 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بنسبة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3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عوض 1,5٪، خلال الفصل السابق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ب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سبب 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ارتفاع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أسعار 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خضر الطازجة والحوامض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واللحوم البيضاء.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المقابل،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يتوقع أن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تحافظ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أسعار 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المواد غير الغذائية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على وتيرتها المتواضعة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، لتحقق زيادة تقدر ب 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0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6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حسب التغير السنوي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 عوض   0,5٪، في الفصل السابق، بسبب ارتفاع طفيف لأسعار الخدمات، وذلك موازاة مع زيادة أسعار المطاعم والعلاجات الطبية.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 من جهته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سيعرف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معدل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التضخم الكامن، والذي يستثني الأسعار المحددة وأسعار المواد الطاقية والطرية، ارتفاعا بنسبة 1,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5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٪، 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2016،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r w:rsidR="00AE0B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1,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</w:t>
      </w:r>
      <w:r w:rsidR="00AE0B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 خلال ال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فصل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السابق، ب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سبب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201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ارتفاع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</w:t>
      </w:r>
      <w:r w:rsidR="006851E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الخدمات</w:t>
      </w:r>
      <w:r w:rsidR="006851E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</w:t>
      </w:r>
      <w:r w:rsidR="006851E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بعض 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المواد الغذائية غير الطرية.</w:t>
      </w:r>
    </w:p>
    <w:p w:rsidR="00433A93" w:rsidRPr="0060576E" w:rsidRDefault="00433A93" w:rsidP="00E75C6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60576E" w:rsidRDefault="00DD13D0" w:rsidP="00DD13D0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تباطؤ</w:t>
      </w:r>
      <w:r w:rsidR="00A10792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ا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لكتلة النقدية</w:t>
      </w:r>
      <w:r w:rsidR="007A2035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خلال الفصل </w:t>
      </w:r>
      <w:r w:rsidR="00407701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الثاني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E75C6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6</w:t>
      </w:r>
    </w:p>
    <w:p w:rsidR="00FD346B" w:rsidRPr="0060576E" w:rsidRDefault="00FD346B" w:rsidP="00F846E8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FD346B" w:rsidRPr="0060576E" w:rsidRDefault="0037190E" w:rsidP="000872F9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يرجح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أن تشهد الكتلة النقدية بعض ال</w:t>
      </w:r>
      <w:r w:rsidR="0031362A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تباطؤ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في وتيرة نموها</w:t>
      </w:r>
      <w:r w:rsidR="0031362A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خلال الفصل </w:t>
      </w:r>
      <w:r w:rsidR="00DD13D0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 من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D11CAA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2016، </w:t>
      </w:r>
      <w:r w:rsidR="0031362A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مقارنة مع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بداية السنة</w:t>
      </w:r>
      <w:r w:rsidR="0031362A"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لتحقق ارتفاعا يقدر ب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5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1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٪، حسب التغير السنوي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عوض 5,5+٪، خلال الفصل الأول</w:t>
      </w:r>
      <w:r w:rsidR="003A4873"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وذلك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موازاة مع تراجع الديون على الإدارة المركزية وتباطؤ </w:t>
      </w:r>
      <w:r w:rsidR="00262144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 xml:space="preserve">وتيرة نمو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الموجودات الخارجية</w:t>
      </w:r>
      <w:r w:rsidR="007A10CE" w:rsidRPr="0060576E">
        <w:rPr>
          <w:rFonts w:ascii="Arial Narrow" w:hAnsi="Arial Narrow" w:cstheme="majorBidi"/>
          <w:spacing w:val="-18"/>
          <w:sz w:val="28"/>
          <w:szCs w:val="28"/>
          <w:rtl/>
        </w:rPr>
        <w:t>، فيما ستشهد القروض المقدمة للاقتصاد بعض التحسن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في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المقابل، يتوقع أن </w:t>
      </w:r>
      <w:r w:rsidR="007A10CE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>ي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عرف</w:t>
      </w:r>
      <w:r w:rsidR="007A10CE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عجز 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>سيولة</w:t>
      </w:r>
      <w:r w:rsidR="003A487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الأبناك</w:t>
      </w:r>
      <w:r w:rsidR="00DD13D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بعض الت</w:t>
      </w:r>
      <w:r w:rsidR="007A10CE" w:rsidRPr="0060576E">
        <w:rPr>
          <w:rFonts w:ascii="Arial Narrow" w:hAnsi="Arial Narrow" w:cstheme="majorBidi"/>
          <w:spacing w:val="-18"/>
          <w:sz w:val="28"/>
          <w:szCs w:val="28"/>
          <w:rtl/>
        </w:rPr>
        <w:t>قلص</w:t>
      </w:r>
      <w:r w:rsidR="003A487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وأن تواصل </w:t>
      </w:r>
      <w:r w:rsidR="000872F9" w:rsidRPr="0060576E">
        <w:rPr>
          <w:rFonts w:ascii="Arial Narrow" w:hAnsi="Arial Narrow" w:cstheme="majorBidi"/>
          <w:spacing w:val="-18"/>
          <w:sz w:val="28"/>
          <w:szCs w:val="28"/>
          <w:rtl/>
        </w:rPr>
        <w:t>الديون على الاقتصاد</w:t>
      </w:r>
      <w:r w:rsidR="003A487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تطورها الايجابي.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FD346B" w:rsidRPr="0060576E" w:rsidRDefault="00FD346B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FD346B" w:rsidRPr="0060576E" w:rsidRDefault="00A01C55" w:rsidP="005E297A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/>
          <w:b/>
          <w:bCs/>
          <w:noProof/>
          <w:color w:val="800000"/>
          <w:spacing w:val="-18"/>
          <w:sz w:val="28"/>
          <w:szCs w:val="28"/>
          <w:rtl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23495</wp:posOffset>
            </wp:positionV>
            <wp:extent cx="2602230" cy="2263140"/>
            <wp:effectExtent l="19050" t="0" r="7620" b="0"/>
            <wp:wrapSquare wrapText="bothSides"/>
            <wp:docPr id="1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1E3"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تحسن</w:t>
      </w:r>
      <w:r w:rsidR="0005588D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طفيف</w:t>
      </w:r>
      <w:r w:rsidR="00E75C6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في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FD346B" w:rsidRPr="0060576E" w:rsidRDefault="00FD346B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</w:rPr>
      </w:pPr>
    </w:p>
    <w:p w:rsidR="00FD346B" w:rsidRPr="0060576E" w:rsidRDefault="00E75C67" w:rsidP="006851E3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بعد تراجعه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</w:t>
      </w:r>
      <w:r w:rsidR="00C218AC" w:rsidRPr="0060576E">
        <w:rPr>
          <w:rFonts w:ascii="Arial Narrow" w:hAnsi="Arial Narrow" w:cstheme="majorBidi"/>
          <w:spacing w:val="-18"/>
          <w:sz w:val="28"/>
          <w:szCs w:val="28"/>
          <w:rtl/>
        </w:rPr>
        <w:t>ثلاثة فصول على التوالي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، يتوقع أن ي</w:t>
      </w:r>
      <w:r w:rsidR="00C218AC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شهد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سوق الأسهم </w:t>
      </w:r>
      <w:r w:rsidR="00262144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نموا طفيفا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في الفصل </w:t>
      </w:r>
      <w:r w:rsidR="00407701" w:rsidRPr="0060576E">
        <w:rPr>
          <w:rFonts w:ascii="Arial Narrow" w:hAnsi="Arial Narrow" w:cstheme="majorBidi"/>
          <w:sz w:val="28"/>
          <w:szCs w:val="28"/>
          <w:rtl/>
          <w:lang w:bidi="ar-MA"/>
        </w:rPr>
        <w:t>الثاني</w:t>
      </w:r>
      <w:r w:rsidR="00A6360A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201</w:t>
      </w:r>
      <w:r w:rsidR="00A6360A" w:rsidRPr="0060576E">
        <w:rPr>
          <w:rFonts w:ascii="Arial Narrow" w:hAnsi="Arial Narrow" w:cstheme="majorBidi"/>
          <w:spacing w:val="-18"/>
          <w:sz w:val="28"/>
          <w:szCs w:val="28"/>
          <w:rtl/>
        </w:rPr>
        <w:t>6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EC1EA9" w:rsidRPr="0060576E">
        <w:rPr>
          <w:rFonts w:ascii="Arial Narrow" w:hAnsi="Arial Narrow" w:cstheme="majorBidi"/>
          <w:spacing w:val="-18"/>
          <w:sz w:val="28"/>
          <w:szCs w:val="28"/>
          <w:rtl/>
        </w:rPr>
        <w:t>حيث سيعرف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 xml:space="preserve"> كل من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مؤشري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>و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</w:rPr>
        <w:t xml:space="preserve"> </w:t>
      </w:r>
      <w:r w:rsidR="008E4A0C">
        <w:rPr>
          <w:rFonts w:ascii="Arial Narrow" w:hAnsi="Arial Narrow" w:cstheme="majorBidi"/>
          <w:spacing w:val="-18"/>
          <w:sz w:val="28"/>
          <w:szCs w:val="28"/>
        </w:rPr>
        <w:t xml:space="preserve"> 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</w:rPr>
        <w:t>MADEX</w:t>
      </w:r>
      <w:r w:rsidR="00C218AC" w:rsidRPr="0060576E">
        <w:rPr>
          <w:rFonts w:ascii="Arial Narrow" w:hAnsi="Arial Narrow" w:cstheme="majorBidi"/>
          <w:spacing w:val="-18"/>
          <w:sz w:val="28"/>
          <w:szCs w:val="28"/>
          <w:rtl/>
        </w:rPr>
        <w:t>ارتفاعا</w:t>
      </w:r>
      <w:r w:rsidR="00CA344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بنسب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تقدر ب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0</w:t>
      </w:r>
      <w:r w:rsidR="00336F3F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5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 و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0</w:t>
      </w:r>
      <w:r w:rsidR="00B86B0E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2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على التوالي، </w:t>
      </w:r>
      <w:r w:rsidR="00310113" w:rsidRPr="0060576E">
        <w:rPr>
          <w:rFonts w:ascii="Arial Narrow" w:hAnsi="Arial Narrow" w:cstheme="majorBidi"/>
          <w:spacing w:val="-18"/>
          <w:sz w:val="28"/>
          <w:szCs w:val="28"/>
          <w:rtl/>
        </w:rPr>
        <w:t>حسب التغير السنوي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. و س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ت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ساهم هذ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ه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الت</w:t>
      </w:r>
      <w:r w:rsidR="0097155E" w:rsidRPr="0060576E">
        <w:rPr>
          <w:rFonts w:ascii="Arial Narrow" w:hAnsi="Arial Narrow" w:cstheme="majorBidi"/>
          <w:spacing w:val="-18"/>
          <w:sz w:val="28"/>
          <w:szCs w:val="28"/>
          <w:rtl/>
        </w:rPr>
        <w:t>طور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ات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الأخير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ة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الحد من تراجع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 البورصة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من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9,2-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الفصل </w:t>
      </w:r>
      <w:r w:rsidR="00AA2D29" w:rsidRPr="0060576E">
        <w:rPr>
          <w:rFonts w:ascii="Arial Narrow" w:hAnsi="Arial Narrow" w:cstheme="majorBidi"/>
          <w:spacing w:val="-18"/>
          <w:sz w:val="28"/>
          <w:szCs w:val="28"/>
          <w:rtl/>
        </w:rPr>
        <w:t>الأول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2016 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AA2D29" w:rsidRPr="0060576E">
        <w:rPr>
          <w:rFonts w:ascii="Arial Narrow" w:hAnsi="Arial Narrow" w:cstheme="majorBidi"/>
          <w:spacing w:val="-18"/>
          <w:sz w:val="28"/>
          <w:szCs w:val="28"/>
          <w:rtl/>
        </w:rPr>
        <w:t>إلى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0,5-٪ في الفصل الثاني، وذلك </w:t>
      </w:r>
      <w:r w:rsidR="00C218AC" w:rsidRPr="0060576E">
        <w:rPr>
          <w:rFonts w:ascii="Arial Narrow" w:hAnsi="Arial Narrow" w:cstheme="majorBidi"/>
          <w:spacing w:val="-18"/>
          <w:sz w:val="28"/>
          <w:szCs w:val="28"/>
          <w:rtl/>
        </w:rPr>
        <w:t>بفضل</w:t>
      </w:r>
      <w:r w:rsidR="0031011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C218AC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ارتفاع 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>أسعار أسهم</w:t>
      </w:r>
      <w:r w:rsidR="005221D5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قطاعات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النقل</w:t>
      </w:r>
      <w:r w:rsidR="005221D5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</w:t>
      </w:r>
      <w:r w:rsidR="00A42BF0" w:rsidRPr="0060576E">
        <w:rPr>
          <w:rFonts w:ascii="Arial Narrow" w:hAnsi="Arial Narrow" w:cstheme="majorBidi"/>
          <w:spacing w:val="-18"/>
          <w:sz w:val="28"/>
          <w:szCs w:val="28"/>
          <w:rtl/>
        </w:rPr>
        <w:t>و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الصناعات الكهربائية والخدمات المقدمة للجماعات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</w:t>
      </w:r>
    </w:p>
    <w:p w:rsidR="00FD346B" w:rsidRPr="0060576E" w:rsidRDefault="00FD346B" w:rsidP="00AD48CB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</w:rPr>
      </w:pPr>
    </w:p>
    <w:p w:rsidR="00E57721" w:rsidRPr="0060576E" w:rsidRDefault="00E57721" w:rsidP="00E57721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</w:rPr>
      </w:pPr>
    </w:p>
    <w:p w:rsidR="00FD346B" w:rsidRPr="0060576E" w:rsidRDefault="004B5A3F" w:rsidP="00407701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استمرار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تباطؤ الاقتصاد الوطني خلال الفصل ال</w:t>
      </w:r>
      <w:r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ثا</w:t>
      </w:r>
      <w:r w:rsidR="00407701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لث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2016</w:t>
      </w:r>
    </w:p>
    <w:p w:rsidR="002748B3" w:rsidRPr="0060576E" w:rsidRDefault="002748B3" w:rsidP="00026DE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FD346B" w:rsidRPr="0060576E" w:rsidRDefault="00FD346B" w:rsidP="006851E3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 w:rsidR="004B5A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واصل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الاقتصاد الوطني</w:t>
      </w:r>
      <w:r w:rsidR="00E75C6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تباطؤه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 خلال الفصل ال</w:t>
      </w:r>
      <w:r w:rsidR="004B5A3F" w:rsidRPr="0060576E">
        <w:rPr>
          <w:rFonts w:ascii="Arial Narrow" w:hAnsi="Arial Narrow" w:cstheme="majorBidi"/>
          <w:spacing w:val="-18"/>
          <w:sz w:val="28"/>
          <w:szCs w:val="28"/>
          <w:rtl/>
        </w:rPr>
        <w:t>ثا</w:t>
      </w:r>
      <w:r w:rsidR="00407701" w:rsidRPr="0060576E">
        <w:rPr>
          <w:rFonts w:ascii="Arial Narrow" w:hAnsi="Arial Narrow" w:cstheme="majorBidi"/>
          <w:spacing w:val="-18"/>
          <w:sz w:val="28"/>
          <w:szCs w:val="28"/>
          <w:rtl/>
        </w:rPr>
        <w:t>لث</w:t>
      </w:r>
      <w:r w:rsidR="004B5A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من 2016، متأثرا بتراجع 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>القيمة المضافة الفلاحية بنسبة 1</w:t>
      </w:r>
      <w:r w:rsidR="00D11CAA" w:rsidRPr="0060576E">
        <w:rPr>
          <w:rFonts w:ascii="Arial Narrow" w:hAnsi="Arial Narrow" w:cstheme="majorBidi"/>
          <w:spacing w:val="-18"/>
          <w:sz w:val="28"/>
          <w:szCs w:val="28"/>
          <w:rtl/>
        </w:rPr>
        <w:t>3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D11CAA" w:rsidRPr="0060576E">
        <w:rPr>
          <w:rFonts w:ascii="Arial Narrow" w:hAnsi="Arial Narrow" w:cstheme="majorBidi"/>
          <w:spacing w:val="-18"/>
          <w:sz w:val="28"/>
          <w:szCs w:val="28"/>
          <w:rtl/>
        </w:rPr>
        <w:t>2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</w:t>
      </w:r>
      <w:r w:rsidR="00026DEE" w:rsidRPr="0060576E">
        <w:rPr>
          <w:rFonts w:ascii="Arial Narrow" w:hAnsi="Arial Narrow" w:cstheme="majorBidi"/>
          <w:spacing w:val="-18"/>
          <w:sz w:val="28"/>
          <w:szCs w:val="28"/>
          <w:rtl/>
        </w:rPr>
        <w:t>موازاة مع انخفاض إنتاج المزروعات، وتأثر قطاع المواشي من ارتفاع تكاليف العلف</w:t>
      </w:r>
      <w:r w:rsidR="0042159D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و من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جهتها، س</w:t>
      </w:r>
      <w:r w:rsidR="004B5A3F" w:rsidRPr="0060576E">
        <w:rPr>
          <w:rFonts w:ascii="Arial Narrow" w:hAnsi="Arial Narrow" w:cstheme="majorBidi"/>
          <w:spacing w:val="-18"/>
          <w:sz w:val="28"/>
          <w:szCs w:val="28"/>
          <w:rtl/>
        </w:rPr>
        <w:t>تحافظ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القطاعات غير الفلاحية </w:t>
      </w:r>
      <w:r w:rsidR="004B5A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على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تطورها المتواضع، خلال 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>نفس الفترة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، في ظل ظرفية ستتسم باستمرار </w:t>
      </w:r>
      <w:r w:rsidR="00A6360A" w:rsidRPr="0060576E">
        <w:rPr>
          <w:rFonts w:ascii="Arial Narrow" w:hAnsi="Arial Narrow" w:cstheme="majorBidi"/>
          <w:spacing w:val="-18"/>
          <w:sz w:val="28"/>
          <w:szCs w:val="28"/>
          <w:rtl/>
        </w:rPr>
        <w:t>تباطؤ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أسعار المواد الأولية وتحس</w:t>
      </w:r>
      <w:r w:rsidR="00CB3EC5">
        <w:rPr>
          <w:rFonts w:ascii="Arial Narrow" w:hAnsi="Arial Narrow" w:cstheme="majorBidi"/>
          <w:spacing w:val="-18"/>
          <w:sz w:val="28"/>
          <w:szCs w:val="28"/>
          <w:rtl/>
        </w:rPr>
        <w:t>ن المبادلات التجارية العالمية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حيث يرتقب أن يعرف الطلب الخارجي الموجه للمغرب ارتفاعا بنسبة تقدر ب </w:t>
      </w:r>
      <w:r w:rsidR="00DA1672" w:rsidRPr="0060576E">
        <w:rPr>
          <w:rFonts w:ascii="Arial Narrow" w:hAnsi="Arial Narrow" w:cstheme="majorBidi"/>
          <w:spacing w:val="-18"/>
          <w:sz w:val="28"/>
          <w:szCs w:val="28"/>
          <w:rtl/>
        </w:rPr>
        <w:t>2</w:t>
      </w:r>
      <w:r w:rsidR="00074CA8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DA1672" w:rsidRPr="0060576E">
        <w:rPr>
          <w:rFonts w:ascii="Arial Narrow" w:hAnsi="Arial Narrow" w:cstheme="majorBidi"/>
          <w:spacing w:val="-18"/>
          <w:sz w:val="28"/>
          <w:szCs w:val="28"/>
          <w:rtl/>
        </w:rPr>
        <w:t>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٪، حسب التغير السنوي. وستستفيد من هذا التطور 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>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صادرات الصناعية كالسيارات </w:t>
      </w:r>
      <w:r w:rsidR="000502F1" w:rsidRPr="0060576E">
        <w:rPr>
          <w:rFonts w:ascii="Arial Narrow" w:hAnsi="Arial Narrow" w:cstheme="majorBidi"/>
          <w:spacing w:val="-18"/>
          <w:sz w:val="28"/>
          <w:szCs w:val="28"/>
          <w:rtl/>
        </w:rPr>
        <w:t>و</w:t>
      </w:r>
      <w:r w:rsidR="00DA1672" w:rsidRPr="0060576E">
        <w:rPr>
          <w:rFonts w:ascii="Arial Narrow" w:hAnsi="Arial Narrow" w:cstheme="majorBidi"/>
          <w:spacing w:val="-18"/>
          <w:sz w:val="28"/>
          <w:szCs w:val="28"/>
          <w:rtl/>
        </w:rPr>
        <w:t>أجزاء الطائرات</w:t>
      </w:r>
      <w:r w:rsidR="006851E3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074CA8" w:rsidRPr="0060576E" w:rsidRDefault="00715B23" w:rsidP="00074CA8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205740</wp:posOffset>
            </wp:positionV>
            <wp:extent cx="2647950" cy="2156460"/>
            <wp:effectExtent l="19050" t="0" r="0" b="0"/>
            <wp:wrapSquare wrapText="bothSides"/>
            <wp:docPr id="1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FD346B" w:rsidP="00EE5E55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في ظل ذلك، يرتقب أن تحقق الصناعات التحويلية زيادة تقدر ب </w:t>
      </w:r>
      <w:r w:rsidR="00262144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3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262144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4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 ال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ثا</w:t>
      </w:r>
      <w:r w:rsidR="0040770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لث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2016. </w:t>
      </w:r>
      <w:r w:rsidR="009228D7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AE2AA9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 xml:space="preserve">تباطؤ في وتيرة نموها بسبب تقلص الطلب الخارجي على مشتقات الفوسفاط وضعف </w:t>
      </w:r>
      <w:r w:rsidR="004C7168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>إنتاج</w:t>
      </w:r>
      <w:r w:rsidR="00021742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 xml:space="preserve"> المعادن غير الحديدية. </w:t>
      </w:r>
      <w:r w:rsidR="00074CA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في المقابل، يتوقع أن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يواصل 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الخدمات المؤدى عنها تطوره الايجابي</w:t>
      </w:r>
      <w:r w:rsidR="00DA167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ليساهم فيما يقرب النصف في معدل نمو </w:t>
      </w:r>
      <w:r w:rsidR="00EE5E55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القيمة المضافة </w:t>
      </w:r>
      <w:r w:rsidR="00E5772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دون الفلاحة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</w:p>
    <w:p w:rsidR="00FD346B" w:rsidRPr="0060576E" w:rsidRDefault="00FD346B" w:rsidP="00AA4D3A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</w:p>
    <w:p w:rsidR="00FD346B" w:rsidRPr="0060576E" w:rsidRDefault="00FD346B" w:rsidP="00212688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وعلى العموم، يتوقع أن تشهد القيمة المضافة للأنشطة الغير فلاحية تحسنا بحوالي 2,</w:t>
      </w:r>
      <w:r w:rsidR="002279CA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4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يحقق الاقتصاد الوطني نموا يقدر ب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1,</w:t>
      </w:r>
      <w:r w:rsidR="00212688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2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خلال الفصل ال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ثا</w:t>
      </w:r>
      <w:r w:rsidR="0040770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لث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2016، عوض 4,</w:t>
      </w:r>
      <w:r w:rsidR="00262144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1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لال نفس الفترة من 2015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 xml:space="preserve">. </w:t>
      </w:r>
    </w:p>
    <w:sectPr w:rsidR="00FD346B" w:rsidRPr="0060576E" w:rsidSect="009228D7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1191" w:bottom="1418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38" w:rsidRDefault="00854738">
      <w:r>
        <w:separator/>
      </w:r>
    </w:p>
  </w:endnote>
  <w:endnote w:type="continuationSeparator" w:id="1">
    <w:p w:rsidR="00854738" w:rsidRDefault="0085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5D3C6E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811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8116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5D3C6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ايلو 31-3، قطاع 16، حي الرياض 10001 الرباط –  المغرب   ص.ب :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Ilot 31-3, secteur 16, Hay Riad,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Maroc BP :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: 04 69 57 37 05   (212+) –  الفاكس :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38" w:rsidRDefault="00854738">
      <w:r>
        <w:separator/>
      </w:r>
    </w:p>
  </w:footnote>
  <w:footnote w:type="continuationSeparator" w:id="1">
    <w:p w:rsidR="00854738" w:rsidRDefault="00854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4211"/>
    <w:rsid w:val="00004717"/>
    <w:rsid w:val="00004BF3"/>
    <w:rsid w:val="00004DF7"/>
    <w:rsid w:val="00005227"/>
    <w:rsid w:val="00005284"/>
    <w:rsid w:val="00005C5A"/>
    <w:rsid w:val="00007067"/>
    <w:rsid w:val="0000716A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90E"/>
    <w:rsid w:val="00013A7F"/>
    <w:rsid w:val="00013C22"/>
    <w:rsid w:val="00013E21"/>
    <w:rsid w:val="000152BC"/>
    <w:rsid w:val="00015A3D"/>
    <w:rsid w:val="00015EB4"/>
    <w:rsid w:val="00015F00"/>
    <w:rsid w:val="00015F49"/>
    <w:rsid w:val="000162A4"/>
    <w:rsid w:val="0001630C"/>
    <w:rsid w:val="0001662B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A9E"/>
    <w:rsid w:val="0002653B"/>
    <w:rsid w:val="00026DEE"/>
    <w:rsid w:val="00027375"/>
    <w:rsid w:val="0002759C"/>
    <w:rsid w:val="000276A9"/>
    <w:rsid w:val="00027850"/>
    <w:rsid w:val="0002797D"/>
    <w:rsid w:val="00027C2D"/>
    <w:rsid w:val="00030187"/>
    <w:rsid w:val="0003094C"/>
    <w:rsid w:val="00031D17"/>
    <w:rsid w:val="000324DF"/>
    <w:rsid w:val="00032634"/>
    <w:rsid w:val="00032971"/>
    <w:rsid w:val="00032B65"/>
    <w:rsid w:val="000336A3"/>
    <w:rsid w:val="0003435B"/>
    <w:rsid w:val="00034B00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649"/>
    <w:rsid w:val="00040FED"/>
    <w:rsid w:val="00041854"/>
    <w:rsid w:val="0004186E"/>
    <w:rsid w:val="00041C5E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6CC"/>
    <w:rsid w:val="000477D0"/>
    <w:rsid w:val="000479C8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402F"/>
    <w:rsid w:val="000640E8"/>
    <w:rsid w:val="000648A0"/>
    <w:rsid w:val="0006553F"/>
    <w:rsid w:val="00065E14"/>
    <w:rsid w:val="00065F08"/>
    <w:rsid w:val="00070037"/>
    <w:rsid w:val="00070B4D"/>
    <w:rsid w:val="00070CDA"/>
    <w:rsid w:val="00070EDA"/>
    <w:rsid w:val="000716CB"/>
    <w:rsid w:val="0007181F"/>
    <w:rsid w:val="00071898"/>
    <w:rsid w:val="00072139"/>
    <w:rsid w:val="0007320B"/>
    <w:rsid w:val="00074892"/>
    <w:rsid w:val="000749AD"/>
    <w:rsid w:val="00074CA8"/>
    <w:rsid w:val="00075585"/>
    <w:rsid w:val="000755A1"/>
    <w:rsid w:val="0007574D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F21"/>
    <w:rsid w:val="00082401"/>
    <w:rsid w:val="00082736"/>
    <w:rsid w:val="00082B37"/>
    <w:rsid w:val="00082C47"/>
    <w:rsid w:val="00083838"/>
    <w:rsid w:val="000838B2"/>
    <w:rsid w:val="00083A44"/>
    <w:rsid w:val="00083C54"/>
    <w:rsid w:val="00084374"/>
    <w:rsid w:val="00084EA3"/>
    <w:rsid w:val="00085121"/>
    <w:rsid w:val="00085E86"/>
    <w:rsid w:val="00086057"/>
    <w:rsid w:val="00086342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7F4"/>
    <w:rsid w:val="00093251"/>
    <w:rsid w:val="000932BE"/>
    <w:rsid w:val="00093AD5"/>
    <w:rsid w:val="00093D33"/>
    <w:rsid w:val="00093F50"/>
    <w:rsid w:val="00094108"/>
    <w:rsid w:val="000949A8"/>
    <w:rsid w:val="00095495"/>
    <w:rsid w:val="0009553E"/>
    <w:rsid w:val="000956DB"/>
    <w:rsid w:val="000958AC"/>
    <w:rsid w:val="00095BEB"/>
    <w:rsid w:val="000970A9"/>
    <w:rsid w:val="00097122"/>
    <w:rsid w:val="000979B2"/>
    <w:rsid w:val="00097ADD"/>
    <w:rsid w:val="000A0EA1"/>
    <w:rsid w:val="000A130C"/>
    <w:rsid w:val="000A20D6"/>
    <w:rsid w:val="000A28FB"/>
    <w:rsid w:val="000A2C52"/>
    <w:rsid w:val="000A3541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D2"/>
    <w:rsid w:val="000B23B7"/>
    <w:rsid w:val="000B2A3E"/>
    <w:rsid w:val="000B2D3A"/>
    <w:rsid w:val="000B2E1E"/>
    <w:rsid w:val="000B3DC5"/>
    <w:rsid w:val="000B3F3F"/>
    <w:rsid w:val="000B516D"/>
    <w:rsid w:val="000B561A"/>
    <w:rsid w:val="000B5A8E"/>
    <w:rsid w:val="000B5DBC"/>
    <w:rsid w:val="000B7629"/>
    <w:rsid w:val="000B7EFA"/>
    <w:rsid w:val="000C0797"/>
    <w:rsid w:val="000C1042"/>
    <w:rsid w:val="000C1058"/>
    <w:rsid w:val="000C1277"/>
    <w:rsid w:val="000C1F20"/>
    <w:rsid w:val="000C1FD8"/>
    <w:rsid w:val="000C2A30"/>
    <w:rsid w:val="000C2F41"/>
    <w:rsid w:val="000C36D3"/>
    <w:rsid w:val="000C3F14"/>
    <w:rsid w:val="000C532D"/>
    <w:rsid w:val="000C5413"/>
    <w:rsid w:val="000C5453"/>
    <w:rsid w:val="000C5DEF"/>
    <w:rsid w:val="000C5E54"/>
    <w:rsid w:val="000C6DA9"/>
    <w:rsid w:val="000C6ED5"/>
    <w:rsid w:val="000C75F5"/>
    <w:rsid w:val="000C7682"/>
    <w:rsid w:val="000D010D"/>
    <w:rsid w:val="000D0A51"/>
    <w:rsid w:val="000D15CF"/>
    <w:rsid w:val="000D25AF"/>
    <w:rsid w:val="000D27E2"/>
    <w:rsid w:val="000D33C9"/>
    <w:rsid w:val="000D38DD"/>
    <w:rsid w:val="000D44DD"/>
    <w:rsid w:val="000D48C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785"/>
    <w:rsid w:val="000E2D88"/>
    <w:rsid w:val="000E3587"/>
    <w:rsid w:val="000E451A"/>
    <w:rsid w:val="000E4BF1"/>
    <w:rsid w:val="000E513C"/>
    <w:rsid w:val="000E515E"/>
    <w:rsid w:val="000E529E"/>
    <w:rsid w:val="000E678B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B91"/>
    <w:rsid w:val="000F4086"/>
    <w:rsid w:val="000F4646"/>
    <w:rsid w:val="000F534A"/>
    <w:rsid w:val="000F573A"/>
    <w:rsid w:val="000F5CE8"/>
    <w:rsid w:val="000F5D26"/>
    <w:rsid w:val="000F628E"/>
    <w:rsid w:val="000F62CE"/>
    <w:rsid w:val="000F6A61"/>
    <w:rsid w:val="000F760B"/>
    <w:rsid w:val="000F78ED"/>
    <w:rsid w:val="000F7A15"/>
    <w:rsid w:val="001007B0"/>
    <w:rsid w:val="00100AF5"/>
    <w:rsid w:val="00101AE9"/>
    <w:rsid w:val="0010215A"/>
    <w:rsid w:val="00102706"/>
    <w:rsid w:val="001027A6"/>
    <w:rsid w:val="00102A78"/>
    <w:rsid w:val="00102FBA"/>
    <w:rsid w:val="0010412E"/>
    <w:rsid w:val="001043DE"/>
    <w:rsid w:val="001049B4"/>
    <w:rsid w:val="00104BF8"/>
    <w:rsid w:val="00105316"/>
    <w:rsid w:val="0010595F"/>
    <w:rsid w:val="00105BD6"/>
    <w:rsid w:val="001063C7"/>
    <w:rsid w:val="00107022"/>
    <w:rsid w:val="001070FB"/>
    <w:rsid w:val="00107113"/>
    <w:rsid w:val="0010728C"/>
    <w:rsid w:val="0010740C"/>
    <w:rsid w:val="00107816"/>
    <w:rsid w:val="00107F23"/>
    <w:rsid w:val="00110115"/>
    <w:rsid w:val="001101D3"/>
    <w:rsid w:val="00111847"/>
    <w:rsid w:val="00111B08"/>
    <w:rsid w:val="0011232C"/>
    <w:rsid w:val="0011245B"/>
    <w:rsid w:val="0011270E"/>
    <w:rsid w:val="00112925"/>
    <w:rsid w:val="00114C71"/>
    <w:rsid w:val="00116442"/>
    <w:rsid w:val="00116504"/>
    <w:rsid w:val="0011681E"/>
    <w:rsid w:val="001169CB"/>
    <w:rsid w:val="00116B4A"/>
    <w:rsid w:val="001172E7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513"/>
    <w:rsid w:val="00123D8C"/>
    <w:rsid w:val="001240D6"/>
    <w:rsid w:val="00124757"/>
    <w:rsid w:val="00124D0B"/>
    <w:rsid w:val="0012542C"/>
    <w:rsid w:val="00126381"/>
    <w:rsid w:val="001276AB"/>
    <w:rsid w:val="00127ABC"/>
    <w:rsid w:val="00127C2C"/>
    <w:rsid w:val="00127D1A"/>
    <w:rsid w:val="001304B6"/>
    <w:rsid w:val="001308D5"/>
    <w:rsid w:val="0013132D"/>
    <w:rsid w:val="001317E6"/>
    <w:rsid w:val="0013247A"/>
    <w:rsid w:val="001328A9"/>
    <w:rsid w:val="00132F48"/>
    <w:rsid w:val="001332BB"/>
    <w:rsid w:val="001336B3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C45"/>
    <w:rsid w:val="00143247"/>
    <w:rsid w:val="001437B0"/>
    <w:rsid w:val="00143829"/>
    <w:rsid w:val="00143EAD"/>
    <w:rsid w:val="0014405A"/>
    <w:rsid w:val="00144188"/>
    <w:rsid w:val="0014419E"/>
    <w:rsid w:val="001443CC"/>
    <w:rsid w:val="00144457"/>
    <w:rsid w:val="0014457C"/>
    <w:rsid w:val="00144FC4"/>
    <w:rsid w:val="00146329"/>
    <w:rsid w:val="00146E65"/>
    <w:rsid w:val="001508C0"/>
    <w:rsid w:val="001508EE"/>
    <w:rsid w:val="00150CBB"/>
    <w:rsid w:val="0015141C"/>
    <w:rsid w:val="0015191B"/>
    <w:rsid w:val="00151A6C"/>
    <w:rsid w:val="00151B0C"/>
    <w:rsid w:val="001528C6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B11"/>
    <w:rsid w:val="0016650C"/>
    <w:rsid w:val="00166A83"/>
    <w:rsid w:val="0016779B"/>
    <w:rsid w:val="00167D4F"/>
    <w:rsid w:val="001701CD"/>
    <w:rsid w:val="001713B0"/>
    <w:rsid w:val="00171AAE"/>
    <w:rsid w:val="0017207F"/>
    <w:rsid w:val="00172783"/>
    <w:rsid w:val="00172B3A"/>
    <w:rsid w:val="00173597"/>
    <w:rsid w:val="00173DF2"/>
    <w:rsid w:val="001741D3"/>
    <w:rsid w:val="00174719"/>
    <w:rsid w:val="00175830"/>
    <w:rsid w:val="00176162"/>
    <w:rsid w:val="00176A88"/>
    <w:rsid w:val="00176CC0"/>
    <w:rsid w:val="00176FE1"/>
    <w:rsid w:val="00177038"/>
    <w:rsid w:val="00177EC0"/>
    <w:rsid w:val="00181848"/>
    <w:rsid w:val="00181DF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56"/>
    <w:rsid w:val="001866FC"/>
    <w:rsid w:val="00186BFC"/>
    <w:rsid w:val="0018714C"/>
    <w:rsid w:val="00187801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5985"/>
    <w:rsid w:val="00196165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D44"/>
    <w:rsid w:val="001A6239"/>
    <w:rsid w:val="001A626A"/>
    <w:rsid w:val="001A6651"/>
    <w:rsid w:val="001A6D19"/>
    <w:rsid w:val="001A7093"/>
    <w:rsid w:val="001A753E"/>
    <w:rsid w:val="001A7F14"/>
    <w:rsid w:val="001B0A6D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EAE"/>
    <w:rsid w:val="001B65AB"/>
    <w:rsid w:val="001B6C37"/>
    <w:rsid w:val="001B766E"/>
    <w:rsid w:val="001C043F"/>
    <w:rsid w:val="001C0663"/>
    <w:rsid w:val="001C0E25"/>
    <w:rsid w:val="001C11DD"/>
    <w:rsid w:val="001C13ED"/>
    <w:rsid w:val="001C1EEA"/>
    <w:rsid w:val="001C26B7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D0382"/>
    <w:rsid w:val="001D06E9"/>
    <w:rsid w:val="001D07F7"/>
    <w:rsid w:val="001D1203"/>
    <w:rsid w:val="001D1ACA"/>
    <w:rsid w:val="001D1EA8"/>
    <w:rsid w:val="001D2177"/>
    <w:rsid w:val="001D24ED"/>
    <w:rsid w:val="001D25F9"/>
    <w:rsid w:val="001D277B"/>
    <w:rsid w:val="001D2B16"/>
    <w:rsid w:val="001D2CE6"/>
    <w:rsid w:val="001D332B"/>
    <w:rsid w:val="001D34E6"/>
    <w:rsid w:val="001D3D2A"/>
    <w:rsid w:val="001D47F5"/>
    <w:rsid w:val="001D4BCB"/>
    <w:rsid w:val="001D4CE8"/>
    <w:rsid w:val="001D527B"/>
    <w:rsid w:val="001D57AD"/>
    <w:rsid w:val="001D57E1"/>
    <w:rsid w:val="001D5DDF"/>
    <w:rsid w:val="001D6404"/>
    <w:rsid w:val="001D6BA6"/>
    <w:rsid w:val="001D6CA2"/>
    <w:rsid w:val="001D6DA1"/>
    <w:rsid w:val="001E05D5"/>
    <w:rsid w:val="001E072F"/>
    <w:rsid w:val="001E0C86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6295"/>
    <w:rsid w:val="001E7086"/>
    <w:rsid w:val="001E76BF"/>
    <w:rsid w:val="001E7C47"/>
    <w:rsid w:val="001E7C55"/>
    <w:rsid w:val="001E7FD1"/>
    <w:rsid w:val="001F007B"/>
    <w:rsid w:val="001F099C"/>
    <w:rsid w:val="001F0A2D"/>
    <w:rsid w:val="001F0C20"/>
    <w:rsid w:val="001F0F77"/>
    <w:rsid w:val="001F1343"/>
    <w:rsid w:val="001F1746"/>
    <w:rsid w:val="001F1E84"/>
    <w:rsid w:val="001F248F"/>
    <w:rsid w:val="001F2C75"/>
    <w:rsid w:val="001F3022"/>
    <w:rsid w:val="001F38B2"/>
    <w:rsid w:val="001F456A"/>
    <w:rsid w:val="001F46B2"/>
    <w:rsid w:val="001F4836"/>
    <w:rsid w:val="001F4BC3"/>
    <w:rsid w:val="001F4F60"/>
    <w:rsid w:val="001F525E"/>
    <w:rsid w:val="001F5632"/>
    <w:rsid w:val="001F601E"/>
    <w:rsid w:val="001F62D5"/>
    <w:rsid w:val="001F691A"/>
    <w:rsid w:val="001F6B5D"/>
    <w:rsid w:val="001F707B"/>
    <w:rsid w:val="001F7116"/>
    <w:rsid w:val="001F7EAC"/>
    <w:rsid w:val="002010C0"/>
    <w:rsid w:val="002012C6"/>
    <w:rsid w:val="00202367"/>
    <w:rsid w:val="0020284D"/>
    <w:rsid w:val="00202BB8"/>
    <w:rsid w:val="00203074"/>
    <w:rsid w:val="00203077"/>
    <w:rsid w:val="00203464"/>
    <w:rsid w:val="0020357C"/>
    <w:rsid w:val="0020447D"/>
    <w:rsid w:val="0020567A"/>
    <w:rsid w:val="00205A6A"/>
    <w:rsid w:val="00206659"/>
    <w:rsid w:val="002066C8"/>
    <w:rsid w:val="00206798"/>
    <w:rsid w:val="002070AF"/>
    <w:rsid w:val="0020727E"/>
    <w:rsid w:val="00207BDA"/>
    <w:rsid w:val="002104EC"/>
    <w:rsid w:val="0021217D"/>
    <w:rsid w:val="00212688"/>
    <w:rsid w:val="00212AEE"/>
    <w:rsid w:val="002131FB"/>
    <w:rsid w:val="002133A9"/>
    <w:rsid w:val="0021385C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5E8B"/>
    <w:rsid w:val="002279CA"/>
    <w:rsid w:val="002279E1"/>
    <w:rsid w:val="00227B4B"/>
    <w:rsid w:val="00227D4C"/>
    <w:rsid w:val="0023043B"/>
    <w:rsid w:val="0023043F"/>
    <w:rsid w:val="00230859"/>
    <w:rsid w:val="0023115F"/>
    <w:rsid w:val="00231529"/>
    <w:rsid w:val="00231929"/>
    <w:rsid w:val="00231A11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3AB"/>
    <w:rsid w:val="00234622"/>
    <w:rsid w:val="00234733"/>
    <w:rsid w:val="00234CA9"/>
    <w:rsid w:val="00236091"/>
    <w:rsid w:val="00236156"/>
    <w:rsid w:val="00236731"/>
    <w:rsid w:val="0023678C"/>
    <w:rsid w:val="0023680D"/>
    <w:rsid w:val="00237E2C"/>
    <w:rsid w:val="00240271"/>
    <w:rsid w:val="00240B91"/>
    <w:rsid w:val="00240BBF"/>
    <w:rsid w:val="00240CA6"/>
    <w:rsid w:val="00241E8D"/>
    <w:rsid w:val="00242055"/>
    <w:rsid w:val="00242772"/>
    <w:rsid w:val="00242C76"/>
    <w:rsid w:val="00242CBE"/>
    <w:rsid w:val="002443AA"/>
    <w:rsid w:val="0024449E"/>
    <w:rsid w:val="00244958"/>
    <w:rsid w:val="00244CC8"/>
    <w:rsid w:val="0024586A"/>
    <w:rsid w:val="00245B15"/>
    <w:rsid w:val="00245EEB"/>
    <w:rsid w:val="002468AA"/>
    <w:rsid w:val="00246DC6"/>
    <w:rsid w:val="00247525"/>
    <w:rsid w:val="00247B5B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5145"/>
    <w:rsid w:val="002555AB"/>
    <w:rsid w:val="00256291"/>
    <w:rsid w:val="0025656B"/>
    <w:rsid w:val="00256B71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C89"/>
    <w:rsid w:val="00264D30"/>
    <w:rsid w:val="00265882"/>
    <w:rsid w:val="00265888"/>
    <w:rsid w:val="00267A94"/>
    <w:rsid w:val="0027008C"/>
    <w:rsid w:val="002706CD"/>
    <w:rsid w:val="00270CE1"/>
    <w:rsid w:val="00270F51"/>
    <w:rsid w:val="00271922"/>
    <w:rsid w:val="00271D24"/>
    <w:rsid w:val="002722BE"/>
    <w:rsid w:val="002732BC"/>
    <w:rsid w:val="00273325"/>
    <w:rsid w:val="00273947"/>
    <w:rsid w:val="00273974"/>
    <w:rsid w:val="00273A82"/>
    <w:rsid w:val="00273FD2"/>
    <w:rsid w:val="00274324"/>
    <w:rsid w:val="002745ED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D6A"/>
    <w:rsid w:val="00282193"/>
    <w:rsid w:val="002828A8"/>
    <w:rsid w:val="00282B08"/>
    <w:rsid w:val="00283655"/>
    <w:rsid w:val="00283E37"/>
    <w:rsid w:val="0028489A"/>
    <w:rsid w:val="00284E7E"/>
    <w:rsid w:val="0028505E"/>
    <w:rsid w:val="0028585A"/>
    <w:rsid w:val="002863E1"/>
    <w:rsid w:val="00286BC3"/>
    <w:rsid w:val="00286F23"/>
    <w:rsid w:val="0028790C"/>
    <w:rsid w:val="00287CA4"/>
    <w:rsid w:val="00290AF7"/>
    <w:rsid w:val="00290BC7"/>
    <w:rsid w:val="00290E07"/>
    <w:rsid w:val="0029143F"/>
    <w:rsid w:val="00291661"/>
    <w:rsid w:val="00291C75"/>
    <w:rsid w:val="00291D5A"/>
    <w:rsid w:val="00291D7D"/>
    <w:rsid w:val="00292610"/>
    <w:rsid w:val="00292A33"/>
    <w:rsid w:val="00292E3C"/>
    <w:rsid w:val="00293EA5"/>
    <w:rsid w:val="00294D1F"/>
    <w:rsid w:val="002961B0"/>
    <w:rsid w:val="00296625"/>
    <w:rsid w:val="00296BAB"/>
    <w:rsid w:val="00296D9D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F80"/>
    <w:rsid w:val="002A2105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F26"/>
    <w:rsid w:val="002B0ADE"/>
    <w:rsid w:val="002B13A4"/>
    <w:rsid w:val="002B1A12"/>
    <w:rsid w:val="002B1B15"/>
    <w:rsid w:val="002B1F7E"/>
    <w:rsid w:val="002B21B4"/>
    <w:rsid w:val="002B284D"/>
    <w:rsid w:val="002B2D02"/>
    <w:rsid w:val="002B3A78"/>
    <w:rsid w:val="002B4610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C02CC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379B"/>
    <w:rsid w:val="002C3FAF"/>
    <w:rsid w:val="002C4343"/>
    <w:rsid w:val="002C54F9"/>
    <w:rsid w:val="002C5724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E2C"/>
    <w:rsid w:val="002D12A9"/>
    <w:rsid w:val="002D1AA2"/>
    <w:rsid w:val="002D2329"/>
    <w:rsid w:val="002D245D"/>
    <w:rsid w:val="002D2BFB"/>
    <w:rsid w:val="002D3019"/>
    <w:rsid w:val="002D3688"/>
    <w:rsid w:val="002D3BD2"/>
    <w:rsid w:val="002D3FFF"/>
    <w:rsid w:val="002D40AA"/>
    <w:rsid w:val="002D42E5"/>
    <w:rsid w:val="002D49EF"/>
    <w:rsid w:val="002D4C9A"/>
    <w:rsid w:val="002D51D6"/>
    <w:rsid w:val="002D59CD"/>
    <w:rsid w:val="002D70BF"/>
    <w:rsid w:val="002D7465"/>
    <w:rsid w:val="002D7DBB"/>
    <w:rsid w:val="002E0F3D"/>
    <w:rsid w:val="002E11B6"/>
    <w:rsid w:val="002E16E1"/>
    <w:rsid w:val="002E28D5"/>
    <w:rsid w:val="002E2C22"/>
    <w:rsid w:val="002E2DC4"/>
    <w:rsid w:val="002E38E3"/>
    <w:rsid w:val="002E3CC4"/>
    <w:rsid w:val="002E3F38"/>
    <w:rsid w:val="002E48DD"/>
    <w:rsid w:val="002E4B19"/>
    <w:rsid w:val="002E5508"/>
    <w:rsid w:val="002E5E9B"/>
    <w:rsid w:val="002E5ED1"/>
    <w:rsid w:val="002E64F4"/>
    <w:rsid w:val="002E6C5D"/>
    <w:rsid w:val="002E6EAE"/>
    <w:rsid w:val="002E731F"/>
    <w:rsid w:val="002E7940"/>
    <w:rsid w:val="002E7B2F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F44"/>
    <w:rsid w:val="0030605C"/>
    <w:rsid w:val="00306A90"/>
    <w:rsid w:val="00307312"/>
    <w:rsid w:val="00310113"/>
    <w:rsid w:val="0031013B"/>
    <w:rsid w:val="00310219"/>
    <w:rsid w:val="003112B9"/>
    <w:rsid w:val="0031158A"/>
    <w:rsid w:val="00311D4D"/>
    <w:rsid w:val="003121A0"/>
    <w:rsid w:val="00312C53"/>
    <w:rsid w:val="00312CD0"/>
    <w:rsid w:val="0031362A"/>
    <w:rsid w:val="003136CF"/>
    <w:rsid w:val="003139FC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59E"/>
    <w:rsid w:val="00330E2A"/>
    <w:rsid w:val="003316EB"/>
    <w:rsid w:val="003330D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7A6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BD4"/>
    <w:rsid w:val="00346F33"/>
    <w:rsid w:val="0034752B"/>
    <w:rsid w:val="0034756A"/>
    <w:rsid w:val="00347741"/>
    <w:rsid w:val="0034788E"/>
    <w:rsid w:val="00347D61"/>
    <w:rsid w:val="0035063F"/>
    <w:rsid w:val="00350AA3"/>
    <w:rsid w:val="00351237"/>
    <w:rsid w:val="0035145C"/>
    <w:rsid w:val="00351D4C"/>
    <w:rsid w:val="00352865"/>
    <w:rsid w:val="00352E5E"/>
    <w:rsid w:val="003533A1"/>
    <w:rsid w:val="00353C83"/>
    <w:rsid w:val="0035414F"/>
    <w:rsid w:val="003547B1"/>
    <w:rsid w:val="00354AA0"/>
    <w:rsid w:val="00354B63"/>
    <w:rsid w:val="00354CAE"/>
    <w:rsid w:val="00354F60"/>
    <w:rsid w:val="003550DE"/>
    <w:rsid w:val="0035539D"/>
    <w:rsid w:val="003557D2"/>
    <w:rsid w:val="003607CF"/>
    <w:rsid w:val="0036089B"/>
    <w:rsid w:val="00360A5B"/>
    <w:rsid w:val="00360F52"/>
    <w:rsid w:val="00361369"/>
    <w:rsid w:val="00361F5C"/>
    <w:rsid w:val="00361FA7"/>
    <w:rsid w:val="00362233"/>
    <w:rsid w:val="00362963"/>
    <w:rsid w:val="00363055"/>
    <w:rsid w:val="0036347D"/>
    <w:rsid w:val="00363D41"/>
    <w:rsid w:val="00364F21"/>
    <w:rsid w:val="003659EF"/>
    <w:rsid w:val="00366862"/>
    <w:rsid w:val="00366AAF"/>
    <w:rsid w:val="00366ADB"/>
    <w:rsid w:val="00367001"/>
    <w:rsid w:val="003671BE"/>
    <w:rsid w:val="003671C3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868"/>
    <w:rsid w:val="00374B06"/>
    <w:rsid w:val="003755B3"/>
    <w:rsid w:val="00375D77"/>
    <w:rsid w:val="00375E7F"/>
    <w:rsid w:val="00376C2C"/>
    <w:rsid w:val="00376C4A"/>
    <w:rsid w:val="00376F13"/>
    <w:rsid w:val="00376FCD"/>
    <w:rsid w:val="003770DA"/>
    <w:rsid w:val="0037778E"/>
    <w:rsid w:val="00377B3F"/>
    <w:rsid w:val="003805F1"/>
    <w:rsid w:val="0038276F"/>
    <w:rsid w:val="00382880"/>
    <w:rsid w:val="003829DB"/>
    <w:rsid w:val="00382D64"/>
    <w:rsid w:val="00383554"/>
    <w:rsid w:val="00383B16"/>
    <w:rsid w:val="00384ECA"/>
    <w:rsid w:val="00385013"/>
    <w:rsid w:val="00385621"/>
    <w:rsid w:val="00385831"/>
    <w:rsid w:val="0038641F"/>
    <w:rsid w:val="00386431"/>
    <w:rsid w:val="00386B5E"/>
    <w:rsid w:val="00387620"/>
    <w:rsid w:val="00387C5F"/>
    <w:rsid w:val="00387C65"/>
    <w:rsid w:val="00390097"/>
    <w:rsid w:val="00390163"/>
    <w:rsid w:val="0039063A"/>
    <w:rsid w:val="00390D18"/>
    <w:rsid w:val="0039128A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4E3"/>
    <w:rsid w:val="00395B9D"/>
    <w:rsid w:val="00395BE0"/>
    <w:rsid w:val="003963BD"/>
    <w:rsid w:val="003966FD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18A"/>
    <w:rsid w:val="003A22C2"/>
    <w:rsid w:val="003A2441"/>
    <w:rsid w:val="003A2745"/>
    <w:rsid w:val="003A2DB0"/>
    <w:rsid w:val="003A2DB5"/>
    <w:rsid w:val="003A35F2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191"/>
    <w:rsid w:val="003A7359"/>
    <w:rsid w:val="003A7631"/>
    <w:rsid w:val="003A7B25"/>
    <w:rsid w:val="003B031A"/>
    <w:rsid w:val="003B07AB"/>
    <w:rsid w:val="003B1AE8"/>
    <w:rsid w:val="003B20D6"/>
    <w:rsid w:val="003B2949"/>
    <w:rsid w:val="003B2E60"/>
    <w:rsid w:val="003B306E"/>
    <w:rsid w:val="003B338E"/>
    <w:rsid w:val="003B37B2"/>
    <w:rsid w:val="003B38DC"/>
    <w:rsid w:val="003B4238"/>
    <w:rsid w:val="003B42E0"/>
    <w:rsid w:val="003B4301"/>
    <w:rsid w:val="003B4CE2"/>
    <w:rsid w:val="003B6052"/>
    <w:rsid w:val="003B686D"/>
    <w:rsid w:val="003B6B5F"/>
    <w:rsid w:val="003B6B6B"/>
    <w:rsid w:val="003B6BFD"/>
    <w:rsid w:val="003B7C9A"/>
    <w:rsid w:val="003C02C3"/>
    <w:rsid w:val="003C05FE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45A"/>
    <w:rsid w:val="003D2767"/>
    <w:rsid w:val="003D2B96"/>
    <w:rsid w:val="003D2D25"/>
    <w:rsid w:val="003D310A"/>
    <w:rsid w:val="003D3890"/>
    <w:rsid w:val="003D41D8"/>
    <w:rsid w:val="003D47ED"/>
    <w:rsid w:val="003D4ED3"/>
    <w:rsid w:val="003D4FE0"/>
    <w:rsid w:val="003D561F"/>
    <w:rsid w:val="003D570F"/>
    <w:rsid w:val="003D5725"/>
    <w:rsid w:val="003D5774"/>
    <w:rsid w:val="003D5B8E"/>
    <w:rsid w:val="003D5BFE"/>
    <w:rsid w:val="003D6495"/>
    <w:rsid w:val="003D68D2"/>
    <w:rsid w:val="003D71CF"/>
    <w:rsid w:val="003D7B7D"/>
    <w:rsid w:val="003E0B88"/>
    <w:rsid w:val="003E0DA8"/>
    <w:rsid w:val="003E12A6"/>
    <w:rsid w:val="003E1E62"/>
    <w:rsid w:val="003E3689"/>
    <w:rsid w:val="003E560B"/>
    <w:rsid w:val="003E56FE"/>
    <w:rsid w:val="003E5B05"/>
    <w:rsid w:val="003E5DDB"/>
    <w:rsid w:val="003E6057"/>
    <w:rsid w:val="003E60A2"/>
    <w:rsid w:val="003E65E0"/>
    <w:rsid w:val="003E6BCD"/>
    <w:rsid w:val="003E7408"/>
    <w:rsid w:val="003E7459"/>
    <w:rsid w:val="003E79C8"/>
    <w:rsid w:val="003F01F9"/>
    <w:rsid w:val="003F07AF"/>
    <w:rsid w:val="003F0845"/>
    <w:rsid w:val="003F0B16"/>
    <w:rsid w:val="003F0CE5"/>
    <w:rsid w:val="003F1643"/>
    <w:rsid w:val="003F282B"/>
    <w:rsid w:val="003F28EA"/>
    <w:rsid w:val="003F2B28"/>
    <w:rsid w:val="003F34EE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2646"/>
    <w:rsid w:val="00402697"/>
    <w:rsid w:val="00402E56"/>
    <w:rsid w:val="00402FA4"/>
    <w:rsid w:val="00403A20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7570"/>
    <w:rsid w:val="00407653"/>
    <w:rsid w:val="00407701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E25"/>
    <w:rsid w:val="00421581"/>
    <w:rsid w:val="0042159D"/>
    <w:rsid w:val="00421643"/>
    <w:rsid w:val="0042259D"/>
    <w:rsid w:val="0042278E"/>
    <w:rsid w:val="00422840"/>
    <w:rsid w:val="0042305F"/>
    <w:rsid w:val="00423392"/>
    <w:rsid w:val="00423B63"/>
    <w:rsid w:val="00423E96"/>
    <w:rsid w:val="004241AB"/>
    <w:rsid w:val="00424B4C"/>
    <w:rsid w:val="00424EE4"/>
    <w:rsid w:val="004264DB"/>
    <w:rsid w:val="00426683"/>
    <w:rsid w:val="00426DCC"/>
    <w:rsid w:val="00426EFD"/>
    <w:rsid w:val="00427072"/>
    <w:rsid w:val="004270DC"/>
    <w:rsid w:val="00427182"/>
    <w:rsid w:val="004275D6"/>
    <w:rsid w:val="00427CF3"/>
    <w:rsid w:val="00430F9B"/>
    <w:rsid w:val="00431038"/>
    <w:rsid w:val="004311D9"/>
    <w:rsid w:val="00432165"/>
    <w:rsid w:val="00433179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76BB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22E1"/>
    <w:rsid w:val="00442B9B"/>
    <w:rsid w:val="004432E9"/>
    <w:rsid w:val="00443429"/>
    <w:rsid w:val="004437FC"/>
    <w:rsid w:val="00444431"/>
    <w:rsid w:val="0044487A"/>
    <w:rsid w:val="00444AAE"/>
    <w:rsid w:val="00444EE8"/>
    <w:rsid w:val="004450A4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368"/>
    <w:rsid w:val="00454699"/>
    <w:rsid w:val="00455132"/>
    <w:rsid w:val="00455EF1"/>
    <w:rsid w:val="0045720C"/>
    <w:rsid w:val="004572C8"/>
    <w:rsid w:val="004602D7"/>
    <w:rsid w:val="00460EF2"/>
    <w:rsid w:val="0046212C"/>
    <w:rsid w:val="00462134"/>
    <w:rsid w:val="0046249F"/>
    <w:rsid w:val="004625B7"/>
    <w:rsid w:val="00462779"/>
    <w:rsid w:val="004635C1"/>
    <w:rsid w:val="004640BC"/>
    <w:rsid w:val="00464A20"/>
    <w:rsid w:val="0046563B"/>
    <w:rsid w:val="00465B1F"/>
    <w:rsid w:val="004665FA"/>
    <w:rsid w:val="004669A5"/>
    <w:rsid w:val="0046781E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41B5"/>
    <w:rsid w:val="00474699"/>
    <w:rsid w:val="00474A1C"/>
    <w:rsid w:val="00474CEE"/>
    <w:rsid w:val="004756DC"/>
    <w:rsid w:val="00475C95"/>
    <w:rsid w:val="00475FAB"/>
    <w:rsid w:val="00475FBC"/>
    <w:rsid w:val="0047634E"/>
    <w:rsid w:val="004768A4"/>
    <w:rsid w:val="00477382"/>
    <w:rsid w:val="00477500"/>
    <w:rsid w:val="00477E21"/>
    <w:rsid w:val="0048021E"/>
    <w:rsid w:val="00480A8D"/>
    <w:rsid w:val="00481E24"/>
    <w:rsid w:val="0048238D"/>
    <w:rsid w:val="00482630"/>
    <w:rsid w:val="004826FB"/>
    <w:rsid w:val="004837D7"/>
    <w:rsid w:val="0048389E"/>
    <w:rsid w:val="0048398E"/>
    <w:rsid w:val="00483ECD"/>
    <w:rsid w:val="00484074"/>
    <w:rsid w:val="004849BA"/>
    <w:rsid w:val="00484E8D"/>
    <w:rsid w:val="004856D0"/>
    <w:rsid w:val="00485C00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F72"/>
    <w:rsid w:val="004934BF"/>
    <w:rsid w:val="004943FB"/>
    <w:rsid w:val="00494576"/>
    <w:rsid w:val="0049474D"/>
    <w:rsid w:val="004958D0"/>
    <w:rsid w:val="004958F9"/>
    <w:rsid w:val="00496E32"/>
    <w:rsid w:val="00497589"/>
    <w:rsid w:val="0049795C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52F"/>
    <w:rsid w:val="004A66FA"/>
    <w:rsid w:val="004A73C5"/>
    <w:rsid w:val="004A7587"/>
    <w:rsid w:val="004A7AC0"/>
    <w:rsid w:val="004B01C3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2B1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CBA"/>
    <w:rsid w:val="004C22FD"/>
    <w:rsid w:val="004C2591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7168"/>
    <w:rsid w:val="004C7D01"/>
    <w:rsid w:val="004D00E4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F99"/>
    <w:rsid w:val="004E0308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2037"/>
    <w:rsid w:val="004F267E"/>
    <w:rsid w:val="004F327B"/>
    <w:rsid w:val="004F3A8B"/>
    <w:rsid w:val="004F42E8"/>
    <w:rsid w:val="004F4892"/>
    <w:rsid w:val="004F505E"/>
    <w:rsid w:val="004F5094"/>
    <w:rsid w:val="004F57F8"/>
    <w:rsid w:val="004F6ABC"/>
    <w:rsid w:val="004F6F50"/>
    <w:rsid w:val="004F79D7"/>
    <w:rsid w:val="004F7A94"/>
    <w:rsid w:val="004F7B00"/>
    <w:rsid w:val="004F7D16"/>
    <w:rsid w:val="004F7F50"/>
    <w:rsid w:val="00500570"/>
    <w:rsid w:val="00500646"/>
    <w:rsid w:val="00501120"/>
    <w:rsid w:val="005011AC"/>
    <w:rsid w:val="005017E0"/>
    <w:rsid w:val="0050277D"/>
    <w:rsid w:val="005033AC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B5B"/>
    <w:rsid w:val="005178FE"/>
    <w:rsid w:val="00520555"/>
    <w:rsid w:val="0052076F"/>
    <w:rsid w:val="0052127C"/>
    <w:rsid w:val="005212D5"/>
    <w:rsid w:val="00521676"/>
    <w:rsid w:val="0052176D"/>
    <w:rsid w:val="00521ACB"/>
    <w:rsid w:val="00521DC9"/>
    <w:rsid w:val="00521FD2"/>
    <w:rsid w:val="005221D5"/>
    <w:rsid w:val="005229AA"/>
    <w:rsid w:val="005233D3"/>
    <w:rsid w:val="00523B1F"/>
    <w:rsid w:val="00523D7A"/>
    <w:rsid w:val="00523DCF"/>
    <w:rsid w:val="0052430C"/>
    <w:rsid w:val="005248F6"/>
    <w:rsid w:val="00524946"/>
    <w:rsid w:val="005249E6"/>
    <w:rsid w:val="00525F2F"/>
    <w:rsid w:val="0052635A"/>
    <w:rsid w:val="0052640C"/>
    <w:rsid w:val="00526571"/>
    <w:rsid w:val="005265EB"/>
    <w:rsid w:val="00526BF7"/>
    <w:rsid w:val="00526C8A"/>
    <w:rsid w:val="0053057A"/>
    <w:rsid w:val="005308D9"/>
    <w:rsid w:val="00531067"/>
    <w:rsid w:val="0053163A"/>
    <w:rsid w:val="005317DD"/>
    <w:rsid w:val="005322D3"/>
    <w:rsid w:val="005329D7"/>
    <w:rsid w:val="00532C77"/>
    <w:rsid w:val="00532F7F"/>
    <w:rsid w:val="00533003"/>
    <w:rsid w:val="005332A9"/>
    <w:rsid w:val="00533584"/>
    <w:rsid w:val="0053383D"/>
    <w:rsid w:val="00533E32"/>
    <w:rsid w:val="005341FC"/>
    <w:rsid w:val="005345ED"/>
    <w:rsid w:val="005355CC"/>
    <w:rsid w:val="005358C3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735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234"/>
    <w:rsid w:val="0056227B"/>
    <w:rsid w:val="0056358A"/>
    <w:rsid w:val="0056375B"/>
    <w:rsid w:val="00563A80"/>
    <w:rsid w:val="00563F3D"/>
    <w:rsid w:val="005646D2"/>
    <w:rsid w:val="005647C4"/>
    <w:rsid w:val="00564964"/>
    <w:rsid w:val="00564AE3"/>
    <w:rsid w:val="00566B58"/>
    <w:rsid w:val="00566CDC"/>
    <w:rsid w:val="00567B56"/>
    <w:rsid w:val="005701DE"/>
    <w:rsid w:val="0057148E"/>
    <w:rsid w:val="00571548"/>
    <w:rsid w:val="005723BB"/>
    <w:rsid w:val="005725C0"/>
    <w:rsid w:val="005726D5"/>
    <w:rsid w:val="00572AF2"/>
    <w:rsid w:val="00572B18"/>
    <w:rsid w:val="005739B6"/>
    <w:rsid w:val="00573A45"/>
    <w:rsid w:val="005746EB"/>
    <w:rsid w:val="00574D38"/>
    <w:rsid w:val="005760B1"/>
    <w:rsid w:val="00576C56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29B"/>
    <w:rsid w:val="005877C0"/>
    <w:rsid w:val="005877C4"/>
    <w:rsid w:val="005877D3"/>
    <w:rsid w:val="005879AD"/>
    <w:rsid w:val="005879D6"/>
    <w:rsid w:val="00587C3C"/>
    <w:rsid w:val="00587DE7"/>
    <w:rsid w:val="005903F7"/>
    <w:rsid w:val="00590E1B"/>
    <w:rsid w:val="005935CA"/>
    <w:rsid w:val="005938EB"/>
    <w:rsid w:val="00593968"/>
    <w:rsid w:val="00594102"/>
    <w:rsid w:val="00594243"/>
    <w:rsid w:val="00594250"/>
    <w:rsid w:val="0059431C"/>
    <w:rsid w:val="00594399"/>
    <w:rsid w:val="0059455D"/>
    <w:rsid w:val="00594BD1"/>
    <w:rsid w:val="00594D60"/>
    <w:rsid w:val="00594EEA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A1"/>
    <w:rsid w:val="005A0D08"/>
    <w:rsid w:val="005A0D53"/>
    <w:rsid w:val="005A0F3D"/>
    <w:rsid w:val="005A1306"/>
    <w:rsid w:val="005A14DD"/>
    <w:rsid w:val="005A18A3"/>
    <w:rsid w:val="005A1E87"/>
    <w:rsid w:val="005A1ED2"/>
    <w:rsid w:val="005A2536"/>
    <w:rsid w:val="005A3011"/>
    <w:rsid w:val="005A3614"/>
    <w:rsid w:val="005A3789"/>
    <w:rsid w:val="005A3EF2"/>
    <w:rsid w:val="005A4042"/>
    <w:rsid w:val="005A4051"/>
    <w:rsid w:val="005A44C4"/>
    <w:rsid w:val="005A4766"/>
    <w:rsid w:val="005A4A16"/>
    <w:rsid w:val="005A4C15"/>
    <w:rsid w:val="005A63CF"/>
    <w:rsid w:val="005A66DE"/>
    <w:rsid w:val="005A71B4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E1A"/>
    <w:rsid w:val="005B5288"/>
    <w:rsid w:val="005B5651"/>
    <w:rsid w:val="005B5770"/>
    <w:rsid w:val="005B5B81"/>
    <w:rsid w:val="005B5BF2"/>
    <w:rsid w:val="005B60A8"/>
    <w:rsid w:val="005B718E"/>
    <w:rsid w:val="005B747A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6B03"/>
    <w:rsid w:val="005C6FFA"/>
    <w:rsid w:val="005C707A"/>
    <w:rsid w:val="005C70EA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82"/>
    <w:rsid w:val="005D22F1"/>
    <w:rsid w:val="005D297A"/>
    <w:rsid w:val="005D30F6"/>
    <w:rsid w:val="005D3737"/>
    <w:rsid w:val="005D394C"/>
    <w:rsid w:val="005D3C6E"/>
    <w:rsid w:val="005D3F41"/>
    <w:rsid w:val="005D48BF"/>
    <w:rsid w:val="005D4AEF"/>
    <w:rsid w:val="005D4DF3"/>
    <w:rsid w:val="005D5340"/>
    <w:rsid w:val="005D54C0"/>
    <w:rsid w:val="005D5CD0"/>
    <w:rsid w:val="005D5E41"/>
    <w:rsid w:val="005D6800"/>
    <w:rsid w:val="005D697A"/>
    <w:rsid w:val="005D71A1"/>
    <w:rsid w:val="005D72D0"/>
    <w:rsid w:val="005D76F5"/>
    <w:rsid w:val="005D7EC7"/>
    <w:rsid w:val="005E092C"/>
    <w:rsid w:val="005E145F"/>
    <w:rsid w:val="005E151E"/>
    <w:rsid w:val="005E168E"/>
    <w:rsid w:val="005E1967"/>
    <w:rsid w:val="005E1C5A"/>
    <w:rsid w:val="005E1F1E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6335"/>
    <w:rsid w:val="005E765B"/>
    <w:rsid w:val="005E7C54"/>
    <w:rsid w:val="005F0C5F"/>
    <w:rsid w:val="005F0EF4"/>
    <w:rsid w:val="005F1707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742F"/>
    <w:rsid w:val="005F7526"/>
    <w:rsid w:val="00600897"/>
    <w:rsid w:val="00600C04"/>
    <w:rsid w:val="006015D5"/>
    <w:rsid w:val="00601806"/>
    <w:rsid w:val="0060187A"/>
    <w:rsid w:val="00601AFA"/>
    <w:rsid w:val="00601B9B"/>
    <w:rsid w:val="00601E6E"/>
    <w:rsid w:val="006020D8"/>
    <w:rsid w:val="00602A38"/>
    <w:rsid w:val="0060307D"/>
    <w:rsid w:val="00603A0C"/>
    <w:rsid w:val="00603B51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F50"/>
    <w:rsid w:val="00616AA7"/>
    <w:rsid w:val="00616B62"/>
    <w:rsid w:val="00616BD8"/>
    <w:rsid w:val="00617763"/>
    <w:rsid w:val="00617AF5"/>
    <w:rsid w:val="006204B9"/>
    <w:rsid w:val="00621AB9"/>
    <w:rsid w:val="00621F5D"/>
    <w:rsid w:val="00622D18"/>
    <w:rsid w:val="0062366F"/>
    <w:rsid w:val="00623AD5"/>
    <w:rsid w:val="00623B77"/>
    <w:rsid w:val="00624D44"/>
    <w:rsid w:val="00624F54"/>
    <w:rsid w:val="00626D1A"/>
    <w:rsid w:val="00627185"/>
    <w:rsid w:val="00627E2D"/>
    <w:rsid w:val="00627F23"/>
    <w:rsid w:val="00630E13"/>
    <w:rsid w:val="0063123E"/>
    <w:rsid w:val="00631702"/>
    <w:rsid w:val="006317FB"/>
    <w:rsid w:val="00631889"/>
    <w:rsid w:val="00631DD1"/>
    <w:rsid w:val="00632616"/>
    <w:rsid w:val="006333BA"/>
    <w:rsid w:val="00633BBA"/>
    <w:rsid w:val="00633F36"/>
    <w:rsid w:val="0063452C"/>
    <w:rsid w:val="00635123"/>
    <w:rsid w:val="0063598B"/>
    <w:rsid w:val="00635AEC"/>
    <w:rsid w:val="006364EA"/>
    <w:rsid w:val="006373F7"/>
    <w:rsid w:val="00637509"/>
    <w:rsid w:val="00637FFC"/>
    <w:rsid w:val="006418B5"/>
    <w:rsid w:val="0064190A"/>
    <w:rsid w:val="006421F9"/>
    <w:rsid w:val="0064282B"/>
    <w:rsid w:val="0064333D"/>
    <w:rsid w:val="006440D1"/>
    <w:rsid w:val="00644305"/>
    <w:rsid w:val="00644C90"/>
    <w:rsid w:val="00644D2B"/>
    <w:rsid w:val="00644F86"/>
    <w:rsid w:val="00645392"/>
    <w:rsid w:val="0064699E"/>
    <w:rsid w:val="00647AE5"/>
    <w:rsid w:val="00650E07"/>
    <w:rsid w:val="00650FBE"/>
    <w:rsid w:val="00651383"/>
    <w:rsid w:val="0065170C"/>
    <w:rsid w:val="00651CC3"/>
    <w:rsid w:val="00651DA8"/>
    <w:rsid w:val="00653025"/>
    <w:rsid w:val="006533AF"/>
    <w:rsid w:val="00653433"/>
    <w:rsid w:val="00653789"/>
    <w:rsid w:val="006543BA"/>
    <w:rsid w:val="006547FA"/>
    <w:rsid w:val="00654DBF"/>
    <w:rsid w:val="00655395"/>
    <w:rsid w:val="006555A2"/>
    <w:rsid w:val="00655647"/>
    <w:rsid w:val="006566FC"/>
    <w:rsid w:val="006569C3"/>
    <w:rsid w:val="0065701C"/>
    <w:rsid w:val="006570C1"/>
    <w:rsid w:val="006575BA"/>
    <w:rsid w:val="0065786C"/>
    <w:rsid w:val="00657E7B"/>
    <w:rsid w:val="00660989"/>
    <w:rsid w:val="0066139C"/>
    <w:rsid w:val="006616E6"/>
    <w:rsid w:val="00661B0F"/>
    <w:rsid w:val="00661D8B"/>
    <w:rsid w:val="00662BC3"/>
    <w:rsid w:val="0066326C"/>
    <w:rsid w:val="006637CC"/>
    <w:rsid w:val="00663DDC"/>
    <w:rsid w:val="00665592"/>
    <w:rsid w:val="006659B0"/>
    <w:rsid w:val="00666542"/>
    <w:rsid w:val="00666DA0"/>
    <w:rsid w:val="00667195"/>
    <w:rsid w:val="00667ECC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1E3"/>
    <w:rsid w:val="00685C59"/>
    <w:rsid w:val="00685D82"/>
    <w:rsid w:val="00686422"/>
    <w:rsid w:val="00686DB4"/>
    <w:rsid w:val="006874AB"/>
    <w:rsid w:val="0068790D"/>
    <w:rsid w:val="00687A8F"/>
    <w:rsid w:val="00687ECA"/>
    <w:rsid w:val="006900D9"/>
    <w:rsid w:val="006904AA"/>
    <w:rsid w:val="00690941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709"/>
    <w:rsid w:val="00697298"/>
    <w:rsid w:val="00697E34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F09"/>
    <w:rsid w:val="006A6953"/>
    <w:rsid w:val="006A6B7B"/>
    <w:rsid w:val="006A6D2D"/>
    <w:rsid w:val="006A6ECA"/>
    <w:rsid w:val="006A7B82"/>
    <w:rsid w:val="006A7CEB"/>
    <w:rsid w:val="006B0115"/>
    <w:rsid w:val="006B0231"/>
    <w:rsid w:val="006B0A06"/>
    <w:rsid w:val="006B12AB"/>
    <w:rsid w:val="006B1B10"/>
    <w:rsid w:val="006B1C59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CF4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22BC"/>
    <w:rsid w:val="006D2CAC"/>
    <w:rsid w:val="006D3110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A0E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92F"/>
    <w:rsid w:val="007054E0"/>
    <w:rsid w:val="0070653F"/>
    <w:rsid w:val="00706FC9"/>
    <w:rsid w:val="007077CC"/>
    <w:rsid w:val="007111C2"/>
    <w:rsid w:val="007113B2"/>
    <w:rsid w:val="00711886"/>
    <w:rsid w:val="007123A5"/>
    <w:rsid w:val="00712B4E"/>
    <w:rsid w:val="0071361E"/>
    <w:rsid w:val="00713CF7"/>
    <w:rsid w:val="00714422"/>
    <w:rsid w:val="00714705"/>
    <w:rsid w:val="00714B1C"/>
    <w:rsid w:val="00714DC9"/>
    <w:rsid w:val="00715460"/>
    <w:rsid w:val="00715597"/>
    <w:rsid w:val="00715B23"/>
    <w:rsid w:val="00716134"/>
    <w:rsid w:val="007162B3"/>
    <w:rsid w:val="00716E1B"/>
    <w:rsid w:val="00716EB6"/>
    <w:rsid w:val="007171D6"/>
    <w:rsid w:val="00717F50"/>
    <w:rsid w:val="007206D4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7186"/>
    <w:rsid w:val="007274C5"/>
    <w:rsid w:val="007301FE"/>
    <w:rsid w:val="00730D3A"/>
    <w:rsid w:val="00731391"/>
    <w:rsid w:val="007315FF"/>
    <w:rsid w:val="00731E8C"/>
    <w:rsid w:val="007320F2"/>
    <w:rsid w:val="00733374"/>
    <w:rsid w:val="007335D4"/>
    <w:rsid w:val="00733803"/>
    <w:rsid w:val="00733824"/>
    <w:rsid w:val="00735589"/>
    <w:rsid w:val="0073580B"/>
    <w:rsid w:val="00735D71"/>
    <w:rsid w:val="00735F98"/>
    <w:rsid w:val="0073781B"/>
    <w:rsid w:val="00737D26"/>
    <w:rsid w:val="00740583"/>
    <w:rsid w:val="007408DF"/>
    <w:rsid w:val="00740F11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DB7"/>
    <w:rsid w:val="00743E2E"/>
    <w:rsid w:val="0074430A"/>
    <w:rsid w:val="00746773"/>
    <w:rsid w:val="0074677C"/>
    <w:rsid w:val="00747B77"/>
    <w:rsid w:val="00750299"/>
    <w:rsid w:val="00750669"/>
    <w:rsid w:val="00750C37"/>
    <w:rsid w:val="00751AAD"/>
    <w:rsid w:val="0075305E"/>
    <w:rsid w:val="00753122"/>
    <w:rsid w:val="007539FC"/>
    <w:rsid w:val="00754088"/>
    <w:rsid w:val="00754C40"/>
    <w:rsid w:val="007556B7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70A"/>
    <w:rsid w:val="00763C7D"/>
    <w:rsid w:val="00763F00"/>
    <w:rsid w:val="00763FEE"/>
    <w:rsid w:val="00764879"/>
    <w:rsid w:val="00764C70"/>
    <w:rsid w:val="00764CFD"/>
    <w:rsid w:val="00764F06"/>
    <w:rsid w:val="00765ED4"/>
    <w:rsid w:val="00766124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BDD"/>
    <w:rsid w:val="00775F39"/>
    <w:rsid w:val="007760AE"/>
    <w:rsid w:val="007768B7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33D3"/>
    <w:rsid w:val="007835FD"/>
    <w:rsid w:val="007837BE"/>
    <w:rsid w:val="00783E42"/>
    <w:rsid w:val="007844DB"/>
    <w:rsid w:val="0078503B"/>
    <w:rsid w:val="00785355"/>
    <w:rsid w:val="00785529"/>
    <w:rsid w:val="0078577D"/>
    <w:rsid w:val="007859E8"/>
    <w:rsid w:val="0078625B"/>
    <w:rsid w:val="00786349"/>
    <w:rsid w:val="00786651"/>
    <w:rsid w:val="00786993"/>
    <w:rsid w:val="00786ACD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EA4"/>
    <w:rsid w:val="00794363"/>
    <w:rsid w:val="007945F4"/>
    <w:rsid w:val="007946B2"/>
    <w:rsid w:val="0079495C"/>
    <w:rsid w:val="007963C0"/>
    <w:rsid w:val="007967B1"/>
    <w:rsid w:val="00796806"/>
    <w:rsid w:val="00796EC8"/>
    <w:rsid w:val="007979FC"/>
    <w:rsid w:val="00797C26"/>
    <w:rsid w:val="00797DEE"/>
    <w:rsid w:val="00797E37"/>
    <w:rsid w:val="00797FFB"/>
    <w:rsid w:val="007A105F"/>
    <w:rsid w:val="007A10CE"/>
    <w:rsid w:val="007A12D2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B052C"/>
    <w:rsid w:val="007B146E"/>
    <w:rsid w:val="007B16C2"/>
    <w:rsid w:val="007B1A7A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EEA"/>
    <w:rsid w:val="007C0543"/>
    <w:rsid w:val="007C06BC"/>
    <w:rsid w:val="007C06FA"/>
    <w:rsid w:val="007C0D00"/>
    <w:rsid w:val="007C105B"/>
    <w:rsid w:val="007C136F"/>
    <w:rsid w:val="007C176F"/>
    <w:rsid w:val="007C205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D63"/>
    <w:rsid w:val="007C6380"/>
    <w:rsid w:val="007C64F4"/>
    <w:rsid w:val="007C6E4F"/>
    <w:rsid w:val="007C7C33"/>
    <w:rsid w:val="007D001F"/>
    <w:rsid w:val="007D0529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BE"/>
    <w:rsid w:val="007E3A0A"/>
    <w:rsid w:val="007E47FC"/>
    <w:rsid w:val="007E4A37"/>
    <w:rsid w:val="007E50E1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75F"/>
    <w:rsid w:val="007F478E"/>
    <w:rsid w:val="007F4A8D"/>
    <w:rsid w:val="007F5106"/>
    <w:rsid w:val="007F54CB"/>
    <w:rsid w:val="007F5A86"/>
    <w:rsid w:val="007F5BC3"/>
    <w:rsid w:val="007F5DFB"/>
    <w:rsid w:val="007F6767"/>
    <w:rsid w:val="007F71E0"/>
    <w:rsid w:val="008006E6"/>
    <w:rsid w:val="0080166B"/>
    <w:rsid w:val="00801A5C"/>
    <w:rsid w:val="00802A1F"/>
    <w:rsid w:val="00802CBE"/>
    <w:rsid w:val="00803256"/>
    <w:rsid w:val="008032A4"/>
    <w:rsid w:val="00803BC3"/>
    <w:rsid w:val="00804A79"/>
    <w:rsid w:val="008055E3"/>
    <w:rsid w:val="0080593A"/>
    <w:rsid w:val="00806F49"/>
    <w:rsid w:val="008073F0"/>
    <w:rsid w:val="00807871"/>
    <w:rsid w:val="00807DC4"/>
    <w:rsid w:val="00807E8D"/>
    <w:rsid w:val="00810055"/>
    <w:rsid w:val="0081020F"/>
    <w:rsid w:val="00811946"/>
    <w:rsid w:val="00811DB6"/>
    <w:rsid w:val="008133AA"/>
    <w:rsid w:val="0081403B"/>
    <w:rsid w:val="008148E1"/>
    <w:rsid w:val="00815047"/>
    <w:rsid w:val="00815118"/>
    <w:rsid w:val="00815A14"/>
    <w:rsid w:val="00815B01"/>
    <w:rsid w:val="008167C1"/>
    <w:rsid w:val="00817433"/>
    <w:rsid w:val="00817503"/>
    <w:rsid w:val="00817D3A"/>
    <w:rsid w:val="00817EA7"/>
    <w:rsid w:val="0082114F"/>
    <w:rsid w:val="008218CF"/>
    <w:rsid w:val="00821AF7"/>
    <w:rsid w:val="00822188"/>
    <w:rsid w:val="00822536"/>
    <w:rsid w:val="00822B4A"/>
    <w:rsid w:val="00822CA6"/>
    <w:rsid w:val="008230F3"/>
    <w:rsid w:val="00823CB0"/>
    <w:rsid w:val="00824567"/>
    <w:rsid w:val="00825497"/>
    <w:rsid w:val="00826E5D"/>
    <w:rsid w:val="00827849"/>
    <w:rsid w:val="00827EA6"/>
    <w:rsid w:val="00830F87"/>
    <w:rsid w:val="0083117B"/>
    <w:rsid w:val="0083172E"/>
    <w:rsid w:val="008318CA"/>
    <w:rsid w:val="008319CA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F4F"/>
    <w:rsid w:val="008362ED"/>
    <w:rsid w:val="00836328"/>
    <w:rsid w:val="0083635A"/>
    <w:rsid w:val="00836E44"/>
    <w:rsid w:val="00836EE8"/>
    <w:rsid w:val="008373A3"/>
    <w:rsid w:val="008379ED"/>
    <w:rsid w:val="0084003B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47AD"/>
    <w:rsid w:val="00844B38"/>
    <w:rsid w:val="00844BE8"/>
    <w:rsid w:val="00844C1B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817"/>
    <w:rsid w:val="00852C3F"/>
    <w:rsid w:val="00853776"/>
    <w:rsid w:val="00853873"/>
    <w:rsid w:val="008545C0"/>
    <w:rsid w:val="008545D8"/>
    <w:rsid w:val="00854666"/>
    <w:rsid w:val="00854738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98C"/>
    <w:rsid w:val="00867AE9"/>
    <w:rsid w:val="00867B90"/>
    <w:rsid w:val="0087042E"/>
    <w:rsid w:val="0087086C"/>
    <w:rsid w:val="00870FF7"/>
    <w:rsid w:val="008712A1"/>
    <w:rsid w:val="00871C3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6AE"/>
    <w:rsid w:val="00877986"/>
    <w:rsid w:val="00877E30"/>
    <w:rsid w:val="00877E3C"/>
    <w:rsid w:val="008808DB"/>
    <w:rsid w:val="008811CD"/>
    <w:rsid w:val="0088139A"/>
    <w:rsid w:val="0088205A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BF"/>
    <w:rsid w:val="00886827"/>
    <w:rsid w:val="00886A67"/>
    <w:rsid w:val="008870B5"/>
    <w:rsid w:val="008912B0"/>
    <w:rsid w:val="00892288"/>
    <w:rsid w:val="00892B4D"/>
    <w:rsid w:val="00892BDD"/>
    <w:rsid w:val="00892F49"/>
    <w:rsid w:val="00893595"/>
    <w:rsid w:val="00893627"/>
    <w:rsid w:val="008938AA"/>
    <w:rsid w:val="00893E6C"/>
    <w:rsid w:val="008946E5"/>
    <w:rsid w:val="00894A15"/>
    <w:rsid w:val="00894A8C"/>
    <w:rsid w:val="00894C3A"/>
    <w:rsid w:val="008951BF"/>
    <w:rsid w:val="008952D6"/>
    <w:rsid w:val="008966B4"/>
    <w:rsid w:val="00896B9F"/>
    <w:rsid w:val="00896C56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24C"/>
    <w:rsid w:val="008A4A5F"/>
    <w:rsid w:val="008A4B3E"/>
    <w:rsid w:val="008A4CF7"/>
    <w:rsid w:val="008A512A"/>
    <w:rsid w:val="008A572C"/>
    <w:rsid w:val="008A65F2"/>
    <w:rsid w:val="008A699C"/>
    <w:rsid w:val="008A6A9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9BB"/>
    <w:rsid w:val="008C7A5D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8EC"/>
    <w:rsid w:val="008D4E0F"/>
    <w:rsid w:val="008D5403"/>
    <w:rsid w:val="008D5732"/>
    <w:rsid w:val="008D5933"/>
    <w:rsid w:val="008D65D8"/>
    <w:rsid w:val="008D6DD2"/>
    <w:rsid w:val="008D6EBF"/>
    <w:rsid w:val="008D767F"/>
    <w:rsid w:val="008D7D3F"/>
    <w:rsid w:val="008D7F8C"/>
    <w:rsid w:val="008E0121"/>
    <w:rsid w:val="008E029A"/>
    <w:rsid w:val="008E130F"/>
    <w:rsid w:val="008E1907"/>
    <w:rsid w:val="008E228F"/>
    <w:rsid w:val="008E293E"/>
    <w:rsid w:val="008E2A18"/>
    <w:rsid w:val="008E2C4A"/>
    <w:rsid w:val="008E2F05"/>
    <w:rsid w:val="008E3685"/>
    <w:rsid w:val="008E4471"/>
    <w:rsid w:val="008E4A0C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D16"/>
    <w:rsid w:val="008E7987"/>
    <w:rsid w:val="008E7E1B"/>
    <w:rsid w:val="008E7EFF"/>
    <w:rsid w:val="008F0DA9"/>
    <w:rsid w:val="008F0E0C"/>
    <w:rsid w:val="008F1389"/>
    <w:rsid w:val="008F2051"/>
    <w:rsid w:val="008F2E0F"/>
    <w:rsid w:val="008F3017"/>
    <w:rsid w:val="008F416D"/>
    <w:rsid w:val="008F5EC0"/>
    <w:rsid w:val="008F662C"/>
    <w:rsid w:val="008F6BF1"/>
    <w:rsid w:val="008F6C60"/>
    <w:rsid w:val="008F6D54"/>
    <w:rsid w:val="008F7046"/>
    <w:rsid w:val="008F76FE"/>
    <w:rsid w:val="008F7C2F"/>
    <w:rsid w:val="008F7E23"/>
    <w:rsid w:val="00900744"/>
    <w:rsid w:val="00900B2E"/>
    <w:rsid w:val="00900B73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97B"/>
    <w:rsid w:val="009228D7"/>
    <w:rsid w:val="00922D23"/>
    <w:rsid w:val="00922FB6"/>
    <w:rsid w:val="00923325"/>
    <w:rsid w:val="009240F3"/>
    <w:rsid w:val="00924197"/>
    <w:rsid w:val="009244FF"/>
    <w:rsid w:val="00924AA2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F62"/>
    <w:rsid w:val="00933109"/>
    <w:rsid w:val="00933233"/>
    <w:rsid w:val="00933365"/>
    <w:rsid w:val="009344FD"/>
    <w:rsid w:val="00934A6C"/>
    <w:rsid w:val="00934F29"/>
    <w:rsid w:val="009355D2"/>
    <w:rsid w:val="0093601D"/>
    <w:rsid w:val="00936AB8"/>
    <w:rsid w:val="00936B30"/>
    <w:rsid w:val="00941BB6"/>
    <w:rsid w:val="00941F62"/>
    <w:rsid w:val="009423BB"/>
    <w:rsid w:val="00942917"/>
    <w:rsid w:val="00942BF4"/>
    <w:rsid w:val="00943159"/>
    <w:rsid w:val="00943CCC"/>
    <w:rsid w:val="009447E6"/>
    <w:rsid w:val="00944A4E"/>
    <w:rsid w:val="00944B4F"/>
    <w:rsid w:val="009454EA"/>
    <w:rsid w:val="00945719"/>
    <w:rsid w:val="00945744"/>
    <w:rsid w:val="009460FF"/>
    <w:rsid w:val="00946D74"/>
    <w:rsid w:val="009506B5"/>
    <w:rsid w:val="00950D23"/>
    <w:rsid w:val="0095153B"/>
    <w:rsid w:val="00951F98"/>
    <w:rsid w:val="00952EC6"/>
    <w:rsid w:val="00953576"/>
    <w:rsid w:val="009537EC"/>
    <w:rsid w:val="00953DB4"/>
    <w:rsid w:val="009545BF"/>
    <w:rsid w:val="00954AD5"/>
    <w:rsid w:val="00956073"/>
    <w:rsid w:val="00957A7E"/>
    <w:rsid w:val="00960BE1"/>
    <w:rsid w:val="00960FEE"/>
    <w:rsid w:val="00961427"/>
    <w:rsid w:val="009617EE"/>
    <w:rsid w:val="009618C8"/>
    <w:rsid w:val="00961920"/>
    <w:rsid w:val="00961A96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FD"/>
    <w:rsid w:val="00967AF5"/>
    <w:rsid w:val="00967CCA"/>
    <w:rsid w:val="009701DF"/>
    <w:rsid w:val="00970294"/>
    <w:rsid w:val="00970F8E"/>
    <w:rsid w:val="009713AC"/>
    <w:rsid w:val="0097155E"/>
    <w:rsid w:val="0097266C"/>
    <w:rsid w:val="009726D4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1571"/>
    <w:rsid w:val="00981A3F"/>
    <w:rsid w:val="00982D13"/>
    <w:rsid w:val="00982DBD"/>
    <w:rsid w:val="009837D2"/>
    <w:rsid w:val="009843C0"/>
    <w:rsid w:val="00984A13"/>
    <w:rsid w:val="00984C53"/>
    <w:rsid w:val="00984CE4"/>
    <w:rsid w:val="009856D5"/>
    <w:rsid w:val="00985C5C"/>
    <w:rsid w:val="00986418"/>
    <w:rsid w:val="00986893"/>
    <w:rsid w:val="009871FA"/>
    <w:rsid w:val="00987657"/>
    <w:rsid w:val="0098794C"/>
    <w:rsid w:val="00987B34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387"/>
    <w:rsid w:val="00994608"/>
    <w:rsid w:val="00994679"/>
    <w:rsid w:val="00994C5E"/>
    <w:rsid w:val="00994D08"/>
    <w:rsid w:val="00995C71"/>
    <w:rsid w:val="009961FC"/>
    <w:rsid w:val="00996C9D"/>
    <w:rsid w:val="00996F92"/>
    <w:rsid w:val="00997C54"/>
    <w:rsid w:val="00997D8A"/>
    <w:rsid w:val="009A082B"/>
    <w:rsid w:val="009A0F94"/>
    <w:rsid w:val="009A1251"/>
    <w:rsid w:val="009A2015"/>
    <w:rsid w:val="009A205F"/>
    <w:rsid w:val="009A211F"/>
    <w:rsid w:val="009A22D4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50D2"/>
    <w:rsid w:val="009A55B3"/>
    <w:rsid w:val="009A58F7"/>
    <w:rsid w:val="009A5990"/>
    <w:rsid w:val="009A5EDE"/>
    <w:rsid w:val="009A7391"/>
    <w:rsid w:val="009A7812"/>
    <w:rsid w:val="009A7CF1"/>
    <w:rsid w:val="009A7E4D"/>
    <w:rsid w:val="009B03D3"/>
    <w:rsid w:val="009B0DB1"/>
    <w:rsid w:val="009B1015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BC0"/>
    <w:rsid w:val="009B6CF7"/>
    <w:rsid w:val="009C0E61"/>
    <w:rsid w:val="009C130F"/>
    <w:rsid w:val="009C1C42"/>
    <w:rsid w:val="009C1E24"/>
    <w:rsid w:val="009C318A"/>
    <w:rsid w:val="009C3222"/>
    <w:rsid w:val="009C3CEA"/>
    <w:rsid w:val="009C4C1C"/>
    <w:rsid w:val="009C4EE2"/>
    <w:rsid w:val="009C50FA"/>
    <w:rsid w:val="009C5ACE"/>
    <w:rsid w:val="009C5AE5"/>
    <w:rsid w:val="009C5EB3"/>
    <w:rsid w:val="009C6A79"/>
    <w:rsid w:val="009C733E"/>
    <w:rsid w:val="009C7447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3B0F"/>
    <w:rsid w:val="009D3F74"/>
    <w:rsid w:val="009D4AF5"/>
    <w:rsid w:val="009D5077"/>
    <w:rsid w:val="009D5619"/>
    <w:rsid w:val="009D5AA7"/>
    <w:rsid w:val="009D664A"/>
    <w:rsid w:val="009D71E5"/>
    <w:rsid w:val="009D735D"/>
    <w:rsid w:val="009D7E3C"/>
    <w:rsid w:val="009E1057"/>
    <w:rsid w:val="009E1695"/>
    <w:rsid w:val="009E17B3"/>
    <w:rsid w:val="009E1925"/>
    <w:rsid w:val="009E1B74"/>
    <w:rsid w:val="009E1ECF"/>
    <w:rsid w:val="009E21F3"/>
    <w:rsid w:val="009E2944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7BDA"/>
    <w:rsid w:val="009E7EEF"/>
    <w:rsid w:val="009F06E5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EED"/>
    <w:rsid w:val="009F6091"/>
    <w:rsid w:val="009F6162"/>
    <w:rsid w:val="009F62EA"/>
    <w:rsid w:val="009F66FC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FAB"/>
    <w:rsid w:val="00A04650"/>
    <w:rsid w:val="00A046F6"/>
    <w:rsid w:val="00A04AB1"/>
    <w:rsid w:val="00A0574D"/>
    <w:rsid w:val="00A05CD7"/>
    <w:rsid w:val="00A05DF7"/>
    <w:rsid w:val="00A0670A"/>
    <w:rsid w:val="00A06843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4F58"/>
    <w:rsid w:val="00A150D6"/>
    <w:rsid w:val="00A152D5"/>
    <w:rsid w:val="00A158CF"/>
    <w:rsid w:val="00A15EBC"/>
    <w:rsid w:val="00A16299"/>
    <w:rsid w:val="00A168D6"/>
    <w:rsid w:val="00A179FF"/>
    <w:rsid w:val="00A17CEA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F1D"/>
    <w:rsid w:val="00A322D1"/>
    <w:rsid w:val="00A3266D"/>
    <w:rsid w:val="00A32D38"/>
    <w:rsid w:val="00A33426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EDF"/>
    <w:rsid w:val="00A37370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FB7"/>
    <w:rsid w:val="00A5229E"/>
    <w:rsid w:val="00A52555"/>
    <w:rsid w:val="00A52E1B"/>
    <w:rsid w:val="00A54AEC"/>
    <w:rsid w:val="00A54B6D"/>
    <w:rsid w:val="00A54CDA"/>
    <w:rsid w:val="00A554E9"/>
    <w:rsid w:val="00A555BE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6407"/>
    <w:rsid w:val="00A766AA"/>
    <w:rsid w:val="00A76B77"/>
    <w:rsid w:val="00A76E41"/>
    <w:rsid w:val="00A81165"/>
    <w:rsid w:val="00A816AC"/>
    <w:rsid w:val="00A8180A"/>
    <w:rsid w:val="00A81A26"/>
    <w:rsid w:val="00A81B40"/>
    <w:rsid w:val="00A821C4"/>
    <w:rsid w:val="00A82499"/>
    <w:rsid w:val="00A829F0"/>
    <w:rsid w:val="00A82D16"/>
    <w:rsid w:val="00A8308B"/>
    <w:rsid w:val="00A834E9"/>
    <w:rsid w:val="00A8362F"/>
    <w:rsid w:val="00A84313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888"/>
    <w:rsid w:val="00A90903"/>
    <w:rsid w:val="00A90D66"/>
    <w:rsid w:val="00A911AB"/>
    <w:rsid w:val="00A91A0A"/>
    <w:rsid w:val="00A9236E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5A25"/>
    <w:rsid w:val="00A963DD"/>
    <w:rsid w:val="00A963E5"/>
    <w:rsid w:val="00A96437"/>
    <w:rsid w:val="00A967BE"/>
    <w:rsid w:val="00A96C79"/>
    <w:rsid w:val="00A9741D"/>
    <w:rsid w:val="00A978CC"/>
    <w:rsid w:val="00A97A09"/>
    <w:rsid w:val="00A97E2F"/>
    <w:rsid w:val="00AA248C"/>
    <w:rsid w:val="00AA26CE"/>
    <w:rsid w:val="00AA2BC1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5C2"/>
    <w:rsid w:val="00AD0679"/>
    <w:rsid w:val="00AD0A60"/>
    <w:rsid w:val="00AD144D"/>
    <w:rsid w:val="00AD1492"/>
    <w:rsid w:val="00AD161E"/>
    <w:rsid w:val="00AD2943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FB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F0"/>
    <w:rsid w:val="00AE61E0"/>
    <w:rsid w:val="00AE6D84"/>
    <w:rsid w:val="00AE772D"/>
    <w:rsid w:val="00AF0108"/>
    <w:rsid w:val="00AF033D"/>
    <w:rsid w:val="00AF04DF"/>
    <w:rsid w:val="00AF0F79"/>
    <w:rsid w:val="00AF11B7"/>
    <w:rsid w:val="00AF16E5"/>
    <w:rsid w:val="00AF2246"/>
    <w:rsid w:val="00AF3A05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2F48"/>
    <w:rsid w:val="00B032CC"/>
    <w:rsid w:val="00B037DE"/>
    <w:rsid w:val="00B03879"/>
    <w:rsid w:val="00B0400A"/>
    <w:rsid w:val="00B04636"/>
    <w:rsid w:val="00B04D29"/>
    <w:rsid w:val="00B05305"/>
    <w:rsid w:val="00B065DA"/>
    <w:rsid w:val="00B06C8B"/>
    <w:rsid w:val="00B07CC7"/>
    <w:rsid w:val="00B10250"/>
    <w:rsid w:val="00B1092A"/>
    <w:rsid w:val="00B10D92"/>
    <w:rsid w:val="00B111A0"/>
    <w:rsid w:val="00B11634"/>
    <w:rsid w:val="00B12082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650A"/>
    <w:rsid w:val="00B168BC"/>
    <w:rsid w:val="00B16AF2"/>
    <w:rsid w:val="00B17152"/>
    <w:rsid w:val="00B17662"/>
    <w:rsid w:val="00B176F2"/>
    <w:rsid w:val="00B1796F"/>
    <w:rsid w:val="00B215EC"/>
    <w:rsid w:val="00B22BE5"/>
    <w:rsid w:val="00B23542"/>
    <w:rsid w:val="00B247B4"/>
    <w:rsid w:val="00B24F30"/>
    <w:rsid w:val="00B24FC9"/>
    <w:rsid w:val="00B26547"/>
    <w:rsid w:val="00B26ECA"/>
    <w:rsid w:val="00B30132"/>
    <w:rsid w:val="00B3017D"/>
    <w:rsid w:val="00B3065A"/>
    <w:rsid w:val="00B3078F"/>
    <w:rsid w:val="00B309DA"/>
    <w:rsid w:val="00B3138E"/>
    <w:rsid w:val="00B31637"/>
    <w:rsid w:val="00B31644"/>
    <w:rsid w:val="00B31D24"/>
    <w:rsid w:val="00B31D42"/>
    <w:rsid w:val="00B3247F"/>
    <w:rsid w:val="00B32936"/>
    <w:rsid w:val="00B33FA3"/>
    <w:rsid w:val="00B34B0B"/>
    <w:rsid w:val="00B35064"/>
    <w:rsid w:val="00B36575"/>
    <w:rsid w:val="00B376BC"/>
    <w:rsid w:val="00B37707"/>
    <w:rsid w:val="00B37812"/>
    <w:rsid w:val="00B37A33"/>
    <w:rsid w:val="00B37DFF"/>
    <w:rsid w:val="00B40BE3"/>
    <w:rsid w:val="00B41110"/>
    <w:rsid w:val="00B41F95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609F"/>
    <w:rsid w:val="00B46652"/>
    <w:rsid w:val="00B46B55"/>
    <w:rsid w:val="00B470BE"/>
    <w:rsid w:val="00B4717A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B56"/>
    <w:rsid w:val="00B52109"/>
    <w:rsid w:val="00B5250B"/>
    <w:rsid w:val="00B527AF"/>
    <w:rsid w:val="00B5282C"/>
    <w:rsid w:val="00B53366"/>
    <w:rsid w:val="00B53450"/>
    <w:rsid w:val="00B543B6"/>
    <w:rsid w:val="00B54426"/>
    <w:rsid w:val="00B5449F"/>
    <w:rsid w:val="00B54EFC"/>
    <w:rsid w:val="00B558BD"/>
    <w:rsid w:val="00B56A17"/>
    <w:rsid w:val="00B56B2C"/>
    <w:rsid w:val="00B57845"/>
    <w:rsid w:val="00B57CD5"/>
    <w:rsid w:val="00B600E1"/>
    <w:rsid w:val="00B60480"/>
    <w:rsid w:val="00B607B2"/>
    <w:rsid w:val="00B607CD"/>
    <w:rsid w:val="00B60E9A"/>
    <w:rsid w:val="00B6193C"/>
    <w:rsid w:val="00B62175"/>
    <w:rsid w:val="00B62ED5"/>
    <w:rsid w:val="00B63904"/>
    <w:rsid w:val="00B63949"/>
    <w:rsid w:val="00B63BD5"/>
    <w:rsid w:val="00B63ECE"/>
    <w:rsid w:val="00B643DC"/>
    <w:rsid w:val="00B64853"/>
    <w:rsid w:val="00B650CE"/>
    <w:rsid w:val="00B65331"/>
    <w:rsid w:val="00B65B37"/>
    <w:rsid w:val="00B65B79"/>
    <w:rsid w:val="00B65D3D"/>
    <w:rsid w:val="00B66049"/>
    <w:rsid w:val="00B6606A"/>
    <w:rsid w:val="00B662A8"/>
    <w:rsid w:val="00B662D6"/>
    <w:rsid w:val="00B66FB4"/>
    <w:rsid w:val="00B674E5"/>
    <w:rsid w:val="00B67970"/>
    <w:rsid w:val="00B67F39"/>
    <w:rsid w:val="00B70238"/>
    <w:rsid w:val="00B70603"/>
    <w:rsid w:val="00B7112C"/>
    <w:rsid w:val="00B71175"/>
    <w:rsid w:val="00B711FA"/>
    <w:rsid w:val="00B71CDC"/>
    <w:rsid w:val="00B72092"/>
    <w:rsid w:val="00B72DF3"/>
    <w:rsid w:val="00B72EDA"/>
    <w:rsid w:val="00B7325F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94D"/>
    <w:rsid w:val="00BB0A23"/>
    <w:rsid w:val="00BB15C7"/>
    <w:rsid w:val="00BB1FEF"/>
    <w:rsid w:val="00BB20F9"/>
    <w:rsid w:val="00BB25DF"/>
    <w:rsid w:val="00BB27CA"/>
    <w:rsid w:val="00BB2DD5"/>
    <w:rsid w:val="00BB3A68"/>
    <w:rsid w:val="00BB46FF"/>
    <w:rsid w:val="00BB4CE3"/>
    <w:rsid w:val="00BB57B7"/>
    <w:rsid w:val="00BB626C"/>
    <w:rsid w:val="00BB63FD"/>
    <w:rsid w:val="00BB6C31"/>
    <w:rsid w:val="00BB7530"/>
    <w:rsid w:val="00BC00BA"/>
    <w:rsid w:val="00BC01CA"/>
    <w:rsid w:val="00BC05D1"/>
    <w:rsid w:val="00BC09E1"/>
    <w:rsid w:val="00BC0A4A"/>
    <w:rsid w:val="00BC111C"/>
    <w:rsid w:val="00BC1D98"/>
    <w:rsid w:val="00BC268A"/>
    <w:rsid w:val="00BC278C"/>
    <w:rsid w:val="00BC2E39"/>
    <w:rsid w:val="00BC2EE7"/>
    <w:rsid w:val="00BC336D"/>
    <w:rsid w:val="00BC3B5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436"/>
    <w:rsid w:val="00BD2FEB"/>
    <w:rsid w:val="00BD3618"/>
    <w:rsid w:val="00BD36D3"/>
    <w:rsid w:val="00BD3F66"/>
    <w:rsid w:val="00BD4161"/>
    <w:rsid w:val="00BD5AA9"/>
    <w:rsid w:val="00BD611F"/>
    <w:rsid w:val="00BD619F"/>
    <w:rsid w:val="00BD6BF2"/>
    <w:rsid w:val="00BD700E"/>
    <w:rsid w:val="00BD7B29"/>
    <w:rsid w:val="00BE0168"/>
    <w:rsid w:val="00BE0E81"/>
    <w:rsid w:val="00BE12C8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60F"/>
    <w:rsid w:val="00BF39C5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CC1"/>
    <w:rsid w:val="00C02589"/>
    <w:rsid w:val="00C0283D"/>
    <w:rsid w:val="00C02BDF"/>
    <w:rsid w:val="00C0318E"/>
    <w:rsid w:val="00C03505"/>
    <w:rsid w:val="00C039CC"/>
    <w:rsid w:val="00C03E14"/>
    <w:rsid w:val="00C03E52"/>
    <w:rsid w:val="00C03FDD"/>
    <w:rsid w:val="00C0469E"/>
    <w:rsid w:val="00C046EB"/>
    <w:rsid w:val="00C05117"/>
    <w:rsid w:val="00C060AA"/>
    <w:rsid w:val="00C06139"/>
    <w:rsid w:val="00C0659D"/>
    <w:rsid w:val="00C068B5"/>
    <w:rsid w:val="00C06E47"/>
    <w:rsid w:val="00C076C7"/>
    <w:rsid w:val="00C10731"/>
    <w:rsid w:val="00C10BDD"/>
    <w:rsid w:val="00C10D8C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201E0"/>
    <w:rsid w:val="00C20270"/>
    <w:rsid w:val="00C2060F"/>
    <w:rsid w:val="00C207EF"/>
    <w:rsid w:val="00C21066"/>
    <w:rsid w:val="00C21484"/>
    <w:rsid w:val="00C216AC"/>
    <w:rsid w:val="00C2178A"/>
    <w:rsid w:val="00C218AC"/>
    <w:rsid w:val="00C21AB4"/>
    <w:rsid w:val="00C21C7F"/>
    <w:rsid w:val="00C21DBC"/>
    <w:rsid w:val="00C2286C"/>
    <w:rsid w:val="00C22E98"/>
    <w:rsid w:val="00C24814"/>
    <w:rsid w:val="00C248BC"/>
    <w:rsid w:val="00C24A7A"/>
    <w:rsid w:val="00C24EF1"/>
    <w:rsid w:val="00C25C5B"/>
    <w:rsid w:val="00C25C90"/>
    <w:rsid w:val="00C26145"/>
    <w:rsid w:val="00C2748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54"/>
    <w:rsid w:val="00C42266"/>
    <w:rsid w:val="00C4268E"/>
    <w:rsid w:val="00C427F8"/>
    <w:rsid w:val="00C42938"/>
    <w:rsid w:val="00C429D6"/>
    <w:rsid w:val="00C445A9"/>
    <w:rsid w:val="00C45211"/>
    <w:rsid w:val="00C454AB"/>
    <w:rsid w:val="00C455CF"/>
    <w:rsid w:val="00C45B06"/>
    <w:rsid w:val="00C45C4E"/>
    <w:rsid w:val="00C45E08"/>
    <w:rsid w:val="00C46326"/>
    <w:rsid w:val="00C46984"/>
    <w:rsid w:val="00C46FB1"/>
    <w:rsid w:val="00C4706D"/>
    <w:rsid w:val="00C4728A"/>
    <w:rsid w:val="00C47BE5"/>
    <w:rsid w:val="00C5058D"/>
    <w:rsid w:val="00C509B9"/>
    <w:rsid w:val="00C50AA9"/>
    <w:rsid w:val="00C50DB1"/>
    <w:rsid w:val="00C521C8"/>
    <w:rsid w:val="00C5241C"/>
    <w:rsid w:val="00C52E98"/>
    <w:rsid w:val="00C53311"/>
    <w:rsid w:val="00C53858"/>
    <w:rsid w:val="00C554D4"/>
    <w:rsid w:val="00C5556F"/>
    <w:rsid w:val="00C5584A"/>
    <w:rsid w:val="00C55CC6"/>
    <w:rsid w:val="00C55D4D"/>
    <w:rsid w:val="00C56292"/>
    <w:rsid w:val="00C565A9"/>
    <w:rsid w:val="00C5694B"/>
    <w:rsid w:val="00C569B9"/>
    <w:rsid w:val="00C56E63"/>
    <w:rsid w:val="00C570D9"/>
    <w:rsid w:val="00C573CD"/>
    <w:rsid w:val="00C577FD"/>
    <w:rsid w:val="00C57B73"/>
    <w:rsid w:val="00C57DE2"/>
    <w:rsid w:val="00C57DE3"/>
    <w:rsid w:val="00C6022D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331A"/>
    <w:rsid w:val="00C63A4B"/>
    <w:rsid w:val="00C63E18"/>
    <w:rsid w:val="00C64395"/>
    <w:rsid w:val="00C645DF"/>
    <w:rsid w:val="00C64E5E"/>
    <w:rsid w:val="00C64E71"/>
    <w:rsid w:val="00C670D1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37C4"/>
    <w:rsid w:val="00C7471C"/>
    <w:rsid w:val="00C74C95"/>
    <w:rsid w:val="00C7549F"/>
    <w:rsid w:val="00C7581D"/>
    <w:rsid w:val="00C75BBF"/>
    <w:rsid w:val="00C76427"/>
    <w:rsid w:val="00C77AA4"/>
    <w:rsid w:val="00C8057A"/>
    <w:rsid w:val="00C807C4"/>
    <w:rsid w:val="00C80DBD"/>
    <w:rsid w:val="00C8166C"/>
    <w:rsid w:val="00C8186A"/>
    <w:rsid w:val="00C82577"/>
    <w:rsid w:val="00C82A7A"/>
    <w:rsid w:val="00C82AAE"/>
    <w:rsid w:val="00C82EC2"/>
    <w:rsid w:val="00C839AF"/>
    <w:rsid w:val="00C84EB6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5494"/>
    <w:rsid w:val="00C959C7"/>
    <w:rsid w:val="00C95BEF"/>
    <w:rsid w:val="00C95C61"/>
    <w:rsid w:val="00C96DFB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BFD"/>
    <w:rsid w:val="00CA7229"/>
    <w:rsid w:val="00CA7577"/>
    <w:rsid w:val="00CA7678"/>
    <w:rsid w:val="00CB010A"/>
    <w:rsid w:val="00CB05C8"/>
    <w:rsid w:val="00CB08CF"/>
    <w:rsid w:val="00CB0C44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CBA"/>
    <w:rsid w:val="00CC6E90"/>
    <w:rsid w:val="00CC70D8"/>
    <w:rsid w:val="00CC7222"/>
    <w:rsid w:val="00CC7302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F02"/>
    <w:rsid w:val="00CF5046"/>
    <w:rsid w:val="00CF55F0"/>
    <w:rsid w:val="00CF69FA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4257"/>
    <w:rsid w:val="00D0441C"/>
    <w:rsid w:val="00D05142"/>
    <w:rsid w:val="00D05CAA"/>
    <w:rsid w:val="00D066FE"/>
    <w:rsid w:val="00D06991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DB3"/>
    <w:rsid w:val="00D17EF4"/>
    <w:rsid w:val="00D2091C"/>
    <w:rsid w:val="00D20C56"/>
    <w:rsid w:val="00D20CDC"/>
    <w:rsid w:val="00D21DBD"/>
    <w:rsid w:val="00D21E2B"/>
    <w:rsid w:val="00D21F09"/>
    <w:rsid w:val="00D224CC"/>
    <w:rsid w:val="00D23604"/>
    <w:rsid w:val="00D24153"/>
    <w:rsid w:val="00D252E0"/>
    <w:rsid w:val="00D258D8"/>
    <w:rsid w:val="00D26B50"/>
    <w:rsid w:val="00D273E0"/>
    <w:rsid w:val="00D27F06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D27"/>
    <w:rsid w:val="00D32D46"/>
    <w:rsid w:val="00D3342A"/>
    <w:rsid w:val="00D33871"/>
    <w:rsid w:val="00D33AFA"/>
    <w:rsid w:val="00D33B65"/>
    <w:rsid w:val="00D34340"/>
    <w:rsid w:val="00D34D33"/>
    <w:rsid w:val="00D34E90"/>
    <w:rsid w:val="00D34E9A"/>
    <w:rsid w:val="00D35922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581E"/>
    <w:rsid w:val="00D45839"/>
    <w:rsid w:val="00D46BD9"/>
    <w:rsid w:val="00D47526"/>
    <w:rsid w:val="00D4763E"/>
    <w:rsid w:val="00D47AC6"/>
    <w:rsid w:val="00D47E06"/>
    <w:rsid w:val="00D50A39"/>
    <w:rsid w:val="00D50B63"/>
    <w:rsid w:val="00D51C1A"/>
    <w:rsid w:val="00D51D36"/>
    <w:rsid w:val="00D527C7"/>
    <w:rsid w:val="00D52A75"/>
    <w:rsid w:val="00D52CFD"/>
    <w:rsid w:val="00D5342B"/>
    <w:rsid w:val="00D53852"/>
    <w:rsid w:val="00D53D58"/>
    <w:rsid w:val="00D54139"/>
    <w:rsid w:val="00D547BD"/>
    <w:rsid w:val="00D5487B"/>
    <w:rsid w:val="00D54A29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E5A"/>
    <w:rsid w:val="00D72152"/>
    <w:rsid w:val="00D740D8"/>
    <w:rsid w:val="00D74821"/>
    <w:rsid w:val="00D7483B"/>
    <w:rsid w:val="00D749FC"/>
    <w:rsid w:val="00D75189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1163"/>
    <w:rsid w:val="00D81BDB"/>
    <w:rsid w:val="00D820EB"/>
    <w:rsid w:val="00D82635"/>
    <w:rsid w:val="00D8269E"/>
    <w:rsid w:val="00D832EE"/>
    <w:rsid w:val="00D83BC5"/>
    <w:rsid w:val="00D83E8E"/>
    <w:rsid w:val="00D84226"/>
    <w:rsid w:val="00D84B15"/>
    <w:rsid w:val="00D84C1B"/>
    <w:rsid w:val="00D84F4A"/>
    <w:rsid w:val="00D8590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664"/>
    <w:rsid w:val="00D9076A"/>
    <w:rsid w:val="00D9113B"/>
    <w:rsid w:val="00D91625"/>
    <w:rsid w:val="00D91802"/>
    <w:rsid w:val="00D91A7E"/>
    <w:rsid w:val="00D930D4"/>
    <w:rsid w:val="00D93360"/>
    <w:rsid w:val="00D93684"/>
    <w:rsid w:val="00D93828"/>
    <w:rsid w:val="00D93C72"/>
    <w:rsid w:val="00D93D9E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1672"/>
    <w:rsid w:val="00DA3112"/>
    <w:rsid w:val="00DA34C8"/>
    <w:rsid w:val="00DA3D2D"/>
    <w:rsid w:val="00DA4692"/>
    <w:rsid w:val="00DA52B0"/>
    <w:rsid w:val="00DA5613"/>
    <w:rsid w:val="00DA5986"/>
    <w:rsid w:val="00DA6020"/>
    <w:rsid w:val="00DA648C"/>
    <w:rsid w:val="00DA6876"/>
    <w:rsid w:val="00DA6B54"/>
    <w:rsid w:val="00DA6FDE"/>
    <w:rsid w:val="00DA75B5"/>
    <w:rsid w:val="00DA78A1"/>
    <w:rsid w:val="00DB093D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F51"/>
    <w:rsid w:val="00DB31E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A12"/>
    <w:rsid w:val="00DC1DF5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907"/>
    <w:rsid w:val="00DD13D0"/>
    <w:rsid w:val="00DD29C0"/>
    <w:rsid w:val="00DD2A05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BA1"/>
    <w:rsid w:val="00DD742B"/>
    <w:rsid w:val="00DD7B50"/>
    <w:rsid w:val="00DE146F"/>
    <w:rsid w:val="00DE1986"/>
    <w:rsid w:val="00DE2171"/>
    <w:rsid w:val="00DE321C"/>
    <w:rsid w:val="00DE39D7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DB4"/>
    <w:rsid w:val="00DF5AE6"/>
    <w:rsid w:val="00DF5FBE"/>
    <w:rsid w:val="00DF6BD6"/>
    <w:rsid w:val="00DF7244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95C"/>
    <w:rsid w:val="00E1010C"/>
    <w:rsid w:val="00E1052F"/>
    <w:rsid w:val="00E10773"/>
    <w:rsid w:val="00E108CF"/>
    <w:rsid w:val="00E10BBD"/>
    <w:rsid w:val="00E10FC0"/>
    <w:rsid w:val="00E11D19"/>
    <w:rsid w:val="00E12045"/>
    <w:rsid w:val="00E12342"/>
    <w:rsid w:val="00E129C1"/>
    <w:rsid w:val="00E12E21"/>
    <w:rsid w:val="00E13AA6"/>
    <w:rsid w:val="00E1420C"/>
    <w:rsid w:val="00E14777"/>
    <w:rsid w:val="00E147E6"/>
    <w:rsid w:val="00E14B7D"/>
    <w:rsid w:val="00E14C1A"/>
    <w:rsid w:val="00E15520"/>
    <w:rsid w:val="00E15CF5"/>
    <w:rsid w:val="00E15D0D"/>
    <w:rsid w:val="00E16314"/>
    <w:rsid w:val="00E16AF7"/>
    <w:rsid w:val="00E1706F"/>
    <w:rsid w:val="00E17E2D"/>
    <w:rsid w:val="00E202A2"/>
    <w:rsid w:val="00E210CA"/>
    <w:rsid w:val="00E2142D"/>
    <w:rsid w:val="00E216A7"/>
    <w:rsid w:val="00E2226D"/>
    <w:rsid w:val="00E225AC"/>
    <w:rsid w:val="00E225C2"/>
    <w:rsid w:val="00E23E15"/>
    <w:rsid w:val="00E243D4"/>
    <w:rsid w:val="00E24DC2"/>
    <w:rsid w:val="00E24DCD"/>
    <w:rsid w:val="00E2507D"/>
    <w:rsid w:val="00E253A3"/>
    <w:rsid w:val="00E26053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A1A"/>
    <w:rsid w:val="00E32D1F"/>
    <w:rsid w:val="00E3335D"/>
    <w:rsid w:val="00E335A2"/>
    <w:rsid w:val="00E343C3"/>
    <w:rsid w:val="00E34ADA"/>
    <w:rsid w:val="00E372A4"/>
    <w:rsid w:val="00E375B7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F18"/>
    <w:rsid w:val="00E46044"/>
    <w:rsid w:val="00E4675F"/>
    <w:rsid w:val="00E46813"/>
    <w:rsid w:val="00E47BAB"/>
    <w:rsid w:val="00E500F5"/>
    <w:rsid w:val="00E50777"/>
    <w:rsid w:val="00E50900"/>
    <w:rsid w:val="00E50A14"/>
    <w:rsid w:val="00E513DE"/>
    <w:rsid w:val="00E52690"/>
    <w:rsid w:val="00E52A17"/>
    <w:rsid w:val="00E52A62"/>
    <w:rsid w:val="00E52FFD"/>
    <w:rsid w:val="00E54610"/>
    <w:rsid w:val="00E55ADD"/>
    <w:rsid w:val="00E565C8"/>
    <w:rsid w:val="00E56F4F"/>
    <w:rsid w:val="00E5721F"/>
    <w:rsid w:val="00E57308"/>
    <w:rsid w:val="00E57721"/>
    <w:rsid w:val="00E57986"/>
    <w:rsid w:val="00E60B82"/>
    <w:rsid w:val="00E615C3"/>
    <w:rsid w:val="00E62E93"/>
    <w:rsid w:val="00E632AC"/>
    <w:rsid w:val="00E636A1"/>
    <w:rsid w:val="00E636C8"/>
    <w:rsid w:val="00E64274"/>
    <w:rsid w:val="00E644D3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230E"/>
    <w:rsid w:val="00E72493"/>
    <w:rsid w:val="00E72ABF"/>
    <w:rsid w:val="00E72E91"/>
    <w:rsid w:val="00E738A2"/>
    <w:rsid w:val="00E73F06"/>
    <w:rsid w:val="00E742EF"/>
    <w:rsid w:val="00E74EB1"/>
    <w:rsid w:val="00E752F9"/>
    <w:rsid w:val="00E756A8"/>
    <w:rsid w:val="00E75C67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E27"/>
    <w:rsid w:val="00E908C2"/>
    <w:rsid w:val="00E90B15"/>
    <w:rsid w:val="00E9140C"/>
    <w:rsid w:val="00E917C1"/>
    <w:rsid w:val="00E91FC6"/>
    <w:rsid w:val="00E92254"/>
    <w:rsid w:val="00E92AFA"/>
    <w:rsid w:val="00E92EA9"/>
    <w:rsid w:val="00E92F23"/>
    <w:rsid w:val="00E94246"/>
    <w:rsid w:val="00E9425D"/>
    <w:rsid w:val="00E942E4"/>
    <w:rsid w:val="00E94756"/>
    <w:rsid w:val="00E94F95"/>
    <w:rsid w:val="00E95B5F"/>
    <w:rsid w:val="00E95C89"/>
    <w:rsid w:val="00E95C93"/>
    <w:rsid w:val="00E95E5F"/>
    <w:rsid w:val="00E95FF9"/>
    <w:rsid w:val="00E966C7"/>
    <w:rsid w:val="00E96879"/>
    <w:rsid w:val="00E9733C"/>
    <w:rsid w:val="00E97820"/>
    <w:rsid w:val="00E97AFD"/>
    <w:rsid w:val="00EA07AA"/>
    <w:rsid w:val="00EA2915"/>
    <w:rsid w:val="00EA390D"/>
    <w:rsid w:val="00EA39E8"/>
    <w:rsid w:val="00EA5644"/>
    <w:rsid w:val="00EA569D"/>
    <w:rsid w:val="00EA57F1"/>
    <w:rsid w:val="00EA622F"/>
    <w:rsid w:val="00EA6589"/>
    <w:rsid w:val="00EA6672"/>
    <w:rsid w:val="00EA6E92"/>
    <w:rsid w:val="00EA730A"/>
    <w:rsid w:val="00EA754E"/>
    <w:rsid w:val="00EA7DB0"/>
    <w:rsid w:val="00EB0EF9"/>
    <w:rsid w:val="00EB1785"/>
    <w:rsid w:val="00EB29ED"/>
    <w:rsid w:val="00EB3CB3"/>
    <w:rsid w:val="00EB3D56"/>
    <w:rsid w:val="00EB4D9D"/>
    <w:rsid w:val="00EB4E63"/>
    <w:rsid w:val="00EB504C"/>
    <w:rsid w:val="00EB537F"/>
    <w:rsid w:val="00EB5AC5"/>
    <w:rsid w:val="00EB5F2F"/>
    <w:rsid w:val="00EB7662"/>
    <w:rsid w:val="00EB7741"/>
    <w:rsid w:val="00EC0DA4"/>
    <w:rsid w:val="00EC0F6B"/>
    <w:rsid w:val="00EC10F6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70DF"/>
    <w:rsid w:val="00ED0584"/>
    <w:rsid w:val="00ED0E09"/>
    <w:rsid w:val="00ED1168"/>
    <w:rsid w:val="00ED118E"/>
    <w:rsid w:val="00ED165F"/>
    <w:rsid w:val="00ED1778"/>
    <w:rsid w:val="00ED1900"/>
    <w:rsid w:val="00ED1BF8"/>
    <w:rsid w:val="00ED1C26"/>
    <w:rsid w:val="00ED1D57"/>
    <w:rsid w:val="00ED1D5F"/>
    <w:rsid w:val="00ED2B99"/>
    <w:rsid w:val="00ED3026"/>
    <w:rsid w:val="00ED314D"/>
    <w:rsid w:val="00ED34C7"/>
    <w:rsid w:val="00ED4032"/>
    <w:rsid w:val="00ED461A"/>
    <w:rsid w:val="00ED4C0D"/>
    <w:rsid w:val="00ED66C2"/>
    <w:rsid w:val="00ED67B1"/>
    <w:rsid w:val="00ED6960"/>
    <w:rsid w:val="00ED6FF6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AB4"/>
    <w:rsid w:val="00EE3BC2"/>
    <w:rsid w:val="00EE4520"/>
    <w:rsid w:val="00EE4F99"/>
    <w:rsid w:val="00EE5469"/>
    <w:rsid w:val="00EE5BF5"/>
    <w:rsid w:val="00EE5D39"/>
    <w:rsid w:val="00EE5E55"/>
    <w:rsid w:val="00EE685D"/>
    <w:rsid w:val="00EE6A79"/>
    <w:rsid w:val="00EE716E"/>
    <w:rsid w:val="00EE7499"/>
    <w:rsid w:val="00EE7A8C"/>
    <w:rsid w:val="00EF0613"/>
    <w:rsid w:val="00EF0637"/>
    <w:rsid w:val="00EF06CF"/>
    <w:rsid w:val="00EF0A27"/>
    <w:rsid w:val="00EF1264"/>
    <w:rsid w:val="00EF13CA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5645"/>
    <w:rsid w:val="00F05AFA"/>
    <w:rsid w:val="00F05CA2"/>
    <w:rsid w:val="00F064FE"/>
    <w:rsid w:val="00F06A78"/>
    <w:rsid w:val="00F06D80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832"/>
    <w:rsid w:val="00F16A44"/>
    <w:rsid w:val="00F16BBD"/>
    <w:rsid w:val="00F16F70"/>
    <w:rsid w:val="00F174E2"/>
    <w:rsid w:val="00F17B91"/>
    <w:rsid w:val="00F20674"/>
    <w:rsid w:val="00F21DBB"/>
    <w:rsid w:val="00F241D9"/>
    <w:rsid w:val="00F2426A"/>
    <w:rsid w:val="00F243E9"/>
    <w:rsid w:val="00F24784"/>
    <w:rsid w:val="00F24E85"/>
    <w:rsid w:val="00F250E6"/>
    <w:rsid w:val="00F25BB5"/>
    <w:rsid w:val="00F2657B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793"/>
    <w:rsid w:val="00F30D4B"/>
    <w:rsid w:val="00F312B5"/>
    <w:rsid w:val="00F3227F"/>
    <w:rsid w:val="00F32429"/>
    <w:rsid w:val="00F326E1"/>
    <w:rsid w:val="00F33FA1"/>
    <w:rsid w:val="00F34BA9"/>
    <w:rsid w:val="00F350A9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3B13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1053"/>
    <w:rsid w:val="00F612ED"/>
    <w:rsid w:val="00F61607"/>
    <w:rsid w:val="00F618ED"/>
    <w:rsid w:val="00F61F8F"/>
    <w:rsid w:val="00F61FE5"/>
    <w:rsid w:val="00F6220F"/>
    <w:rsid w:val="00F62BB1"/>
    <w:rsid w:val="00F62F61"/>
    <w:rsid w:val="00F62FDD"/>
    <w:rsid w:val="00F6327E"/>
    <w:rsid w:val="00F6345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72C"/>
    <w:rsid w:val="00F67BCF"/>
    <w:rsid w:val="00F67D1E"/>
    <w:rsid w:val="00F67D49"/>
    <w:rsid w:val="00F70756"/>
    <w:rsid w:val="00F709B2"/>
    <w:rsid w:val="00F711D4"/>
    <w:rsid w:val="00F716EA"/>
    <w:rsid w:val="00F71AC9"/>
    <w:rsid w:val="00F71D2A"/>
    <w:rsid w:val="00F71DD9"/>
    <w:rsid w:val="00F72EC6"/>
    <w:rsid w:val="00F73660"/>
    <w:rsid w:val="00F7375B"/>
    <w:rsid w:val="00F747DB"/>
    <w:rsid w:val="00F74FFB"/>
    <w:rsid w:val="00F750F4"/>
    <w:rsid w:val="00F75190"/>
    <w:rsid w:val="00F751C8"/>
    <w:rsid w:val="00F75EF5"/>
    <w:rsid w:val="00F763E7"/>
    <w:rsid w:val="00F76892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31B1"/>
    <w:rsid w:val="00F8348D"/>
    <w:rsid w:val="00F846E8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3414"/>
    <w:rsid w:val="00F942DE"/>
    <w:rsid w:val="00F94487"/>
    <w:rsid w:val="00F948AE"/>
    <w:rsid w:val="00F94BFA"/>
    <w:rsid w:val="00F94F53"/>
    <w:rsid w:val="00F95EDA"/>
    <w:rsid w:val="00F95F5F"/>
    <w:rsid w:val="00F961F5"/>
    <w:rsid w:val="00F963C2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D1"/>
    <w:rsid w:val="00FB1DEE"/>
    <w:rsid w:val="00FB28B3"/>
    <w:rsid w:val="00FB2CAF"/>
    <w:rsid w:val="00FB3187"/>
    <w:rsid w:val="00FB33B1"/>
    <w:rsid w:val="00FB4379"/>
    <w:rsid w:val="00FB43A6"/>
    <w:rsid w:val="00FB4AAD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3095"/>
    <w:rsid w:val="00FD346B"/>
    <w:rsid w:val="00FD4C58"/>
    <w:rsid w:val="00FD4E57"/>
    <w:rsid w:val="00FD5076"/>
    <w:rsid w:val="00FD5127"/>
    <w:rsid w:val="00FD5954"/>
    <w:rsid w:val="00FD5ED1"/>
    <w:rsid w:val="00FD61C4"/>
    <w:rsid w:val="00FD6AC3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599"/>
    <w:rsid w:val="00FE2C18"/>
    <w:rsid w:val="00FE300E"/>
    <w:rsid w:val="00FE3D7B"/>
    <w:rsid w:val="00FE3E0C"/>
    <w:rsid w:val="00FE515E"/>
    <w:rsid w:val="00FE5277"/>
    <w:rsid w:val="00FE52D5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0599-E9A0-45E6-AE9F-98E4F1A5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1502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2016-07-01T11:43:00Z</cp:lastPrinted>
  <dcterms:created xsi:type="dcterms:W3CDTF">2016-07-01T12:05:00Z</dcterms:created>
  <dcterms:modified xsi:type="dcterms:W3CDTF">2016-07-01T12:05:00Z</dcterms:modified>
</cp:coreProperties>
</file>