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AED" w:rsidRPr="00B50DCB" w:rsidRDefault="00C4698A" w:rsidP="00B50DCB">
      <w:pPr>
        <w:pStyle w:val="NormalWeb"/>
        <w:spacing w:before="0" w:beforeAutospacing="0" w:after="0" w:afterAutospacing="0" w:line="340" w:lineRule="exact"/>
        <w:jc w:val="center"/>
        <w:rPr>
          <w:rFonts w:cs="Arabic Transparent"/>
          <w:b/>
          <w:bCs/>
        </w:rPr>
      </w:pPr>
      <w:r>
        <w:rPr>
          <w:noProof/>
        </w:rPr>
        <w:drawing>
          <wp:anchor distT="0" distB="0" distL="114300" distR="114300" simplePos="0" relativeHeight="25165312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2B1AED" w:rsidRPr="00B50DCB" w:rsidRDefault="002B1AED" w:rsidP="00B50DCB">
      <w:pPr>
        <w:pStyle w:val="NormalWeb"/>
        <w:spacing w:before="0" w:beforeAutospacing="0" w:after="0" w:afterAutospacing="0" w:line="340" w:lineRule="exact"/>
        <w:jc w:val="center"/>
        <w:rPr>
          <w:rFonts w:cs="Arabic Transparent"/>
          <w:b/>
          <w:bCs/>
        </w:rPr>
      </w:pPr>
    </w:p>
    <w:p w:rsidR="002B1AED" w:rsidRPr="00B50DCB" w:rsidRDefault="002B1AED" w:rsidP="00B50DCB">
      <w:pPr>
        <w:pStyle w:val="NormalWeb"/>
        <w:spacing w:before="0" w:beforeAutospacing="0" w:after="0" w:afterAutospacing="0" w:line="340" w:lineRule="exact"/>
        <w:jc w:val="center"/>
        <w:rPr>
          <w:rFonts w:cs="Arabic Transparent"/>
          <w:b/>
          <w:bCs/>
        </w:rPr>
      </w:pPr>
    </w:p>
    <w:p w:rsidR="002B1AED" w:rsidRPr="00B50DCB" w:rsidRDefault="002B1AED" w:rsidP="00B50DCB">
      <w:pPr>
        <w:pStyle w:val="NormalWeb"/>
        <w:spacing w:before="0" w:beforeAutospacing="0" w:after="0" w:afterAutospacing="0" w:line="340" w:lineRule="exact"/>
        <w:jc w:val="center"/>
        <w:rPr>
          <w:rFonts w:cs="Arabic Transparent"/>
          <w:b/>
          <w:bCs/>
        </w:rPr>
      </w:pPr>
    </w:p>
    <w:p w:rsidR="002B1AED" w:rsidRDefault="00C4698A" w:rsidP="00491DAA">
      <w:pPr>
        <w:pStyle w:val="NormalWeb"/>
        <w:tabs>
          <w:tab w:val="left" w:pos="4665"/>
        </w:tabs>
        <w:spacing w:before="0" w:beforeAutospacing="0" w:after="0" w:afterAutospacing="0" w:line="340" w:lineRule="exact"/>
        <w:rPr>
          <w:rFonts w:cs="Arabic Transparent"/>
          <w:b/>
          <w:bCs/>
          <w:sz w:val="36"/>
          <w:szCs w:val="36"/>
          <w:rtl/>
          <w:lang w:bidi="ar-MA"/>
        </w:rPr>
      </w:pPr>
      <w:r>
        <w:rPr>
          <w:noProof/>
          <w:rtl/>
        </w:rPr>
        <w:drawing>
          <wp:anchor distT="0" distB="0" distL="114300" distR="114300" simplePos="0" relativeHeight="25165414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2B1AED" w:rsidRDefault="002B1AED" w:rsidP="0016779B">
      <w:pPr>
        <w:bidi/>
        <w:spacing w:line="340" w:lineRule="exact"/>
        <w:ind w:left="3527" w:firstLine="17"/>
        <w:rPr>
          <w:rFonts w:cs="Arabic Transparent"/>
          <w:b/>
          <w:bCs/>
          <w:sz w:val="36"/>
          <w:szCs w:val="36"/>
          <w:rtl/>
        </w:rPr>
      </w:pPr>
    </w:p>
    <w:p w:rsidR="002B1AED" w:rsidRDefault="00C4698A" w:rsidP="00B27C2B">
      <w:pPr>
        <w:bidi/>
        <w:spacing w:line="340" w:lineRule="exact"/>
        <w:ind w:left="168" w:firstLine="17"/>
        <w:jc w:val="center"/>
        <w:rPr>
          <w:rFonts w:cs="Arabic Transparent"/>
          <w:b/>
          <w:bCs/>
          <w:sz w:val="36"/>
          <w:szCs w:val="36"/>
          <w:rtl/>
        </w:rPr>
      </w:pPr>
      <w:r>
        <w:rPr>
          <w:rFonts w:cs="Arabic Transparent"/>
          <w:b/>
          <w:bCs/>
          <w:sz w:val="36"/>
          <w:szCs w:val="36"/>
        </w:rPr>
        <w:t xml:space="preserve">          </w:t>
      </w:r>
    </w:p>
    <w:p w:rsidR="002B1AED" w:rsidRPr="00B50DCB" w:rsidRDefault="002B1AED" w:rsidP="00B27C2B">
      <w:pPr>
        <w:bidi/>
        <w:spacing w:line="340" w:lineRule="exact"/>
        <w:ind w:left="168" w:firstLine="17"/>
        <w:jc w:val="center"/>
        <w:rPr>
          <w:rFonts w:cs="Arabic Transparent"/>
          <w:b/>
          <w:bCs/>
          <w:sz w:val="36"/>
          <w:szCs w:val="36"/>
          <w:rtl/>
          <w:lang w:bidi="ar-MA"/>
        </w:rPr>
      </w:pPr>
      <w:r w:rsidRPr="00B50DCB">
        <w:rPr>
          <w:rFonts w:cs="Arabic Transparent"/>
          <w:b/>
          <w:bCs/>
          <w:sz w:val="36"/>
          <w:szCs w:val="36"/>
          <w:rtl/>
        </w:rPr>
        <w:t>موجــز الظرفيـــ</w:t>
      </w:r>
      <w:r w:rsidRPr="00B50DCB">
        <w:rPr>
          <w:rFonts w:cs="Arabic Transparent"/>
          <w:b/>
          <w:bCs/>
          <w:sz w:val="36"/>
          <w:szCs w:val="36"/>
          <w:rtl/>
          <w:lang w:bidi="ar-MA"/>
        </w:rPr>
        <w:t>ة</w:t>
      </w:r>
    </w:p>
    <w:p w:rsidR="002B1AED" w:rsidRPr="00B50DCB" w:rsidRDefault="002B1AED" w:rsidP="00B27C2B">
      <w:pPr>
        <w:bidi/>
        <w:spacing w:line="340" w:lineRule="exact"/>
        <w:ind w:left="168"/>
        <w:jc w:val="center"/>
        <w:rPr>
          <w:rFonts w:cs="Arabic Transparent"/>
          <w:b/>
          <w:bCs/>
          <w:sz w:val="32"/>
          <w:szCs w:val="32"/>
        </w:rPr>
      </w:pPr>
      <w:r w:rsidRPr="00B50DCB">
        <w:rPr>
          <w:rFonts w:cs="Arabic Transparent"/>
          <w:b/>
          <w:bCs/>
          <w:sz w:val="32"/>
          <w:szCs w:val="32"/>
          <w:rtl/>
          <w:lang w:bidi="ar-MA"/>
        </w:rPr>
        <w:t xml:space="preserve">- </w:t>
      </w:r>
      <w:r>
        <w:rPr>
          <w:rFonts w:cs="Arabic Transparent"/>
          <w:b/>
          <w:bCs/>
          <w:sz w:val="32"/>
          <w:szCs w:val="32"/>
          <w:rtl/>
          <w:lang w:bidi="ar-MA"/>
        </w:rPr>
        <w:t>أكتوبر</w:t>
      </w:r>
      <w:r>
        <w:rPr>
          <w:rFonts w:cs="Arabic Transparent"/>
          <w:b/>
          <w:bCs/>
          <w:sz w:val="32"/>
          <w:szCs w:val="32"/>
          <w:rtl/>
        </w:rPr>
        <w:t xml:space="preserve"> </w:t>
      </w:r>
      <w:r w:rsidRPr="00B50DCB">
        <w:rPr>
          <w:rFonts w:cs="Arabic Transparent"/>
          <w:b/>
          <w:bCs/>
          <w:sz w:val="32"/>
          <w:szCs w:val="32"/>
          <w:rtl/>
        </w:rPr>
        <w:t>201</w:t>
      </w:r>
      <w:r>
        <w:rPr>
          <w:rFonts w:cs="Arabic Transparent"/>
          <w:b/>
          <w:bCs/>
          <w:sz w:val="32"/>
          <w:szCs w:val="32"/>
          <w:rtl/>
        </w:rPr>
        <w:t>5 </w:t>
      </w:r>
      <w:r w:rsidRPr="00B50DCB">
        <w:rPr>
          <w:rFonts w:cs="Arabic Transparent"/>
          <w:b/>
          <w:bCs/>
          <w:sz w:val="32"/>
          <w:szCs w:val="32"/>
          <w:rtl/>
          <w:lang w:bidi="ar-MA"/>
        </w:rPr>
        <w:t>-</w:t>
      </w:r>
    </w:p>
    <w:p w:rsidR="002B1AED" w:rsidRDefault="002B1AED" w:rsidP="00B27C2B">
      <w:pPr>
        <w:spacing w:line="320" w:lineRule="exact"/>
        <w:ind w:left="168"/>
        <w:jc w:val="center"/>
        <w:rPr>
          <w:rStyle w:val="hps"/>
          <w:rFonts w:cs="Arabic Transparent"/>
          <w:sz w:val="28"/>
          <w:szCs w:val="28"/>
          <w:rtl/>
          <w:lang w:bidi="ar-MA"/>
        </w:rPr>
      </w:pPr>
    </w:p>
    <w:p w:rsidR="002B1AED" w:rsidRPr="001153E8" w:rsidRDefault="002B1AED" w:rsidP="00556E01">
      <w:pPr>
        <w:bidi/>
        <w:spacing w:line="300" w:lineRule="exact"/>
        <w:jc w:val="both"/>
        <w:rPr>
          <w:rStyle w:val="hps"/>
          <w:rtl/>
          <w:lang w:bidi="ar-MA"/>
        </w:rPr>
      </w:pPr>
      <w:r w:rsidRPr="00EC0F6B">
        <w:rPr>
          <w:rtl/>
        </w:rPr>
        <w:t>من المنتظر أن يواصل الاقتصاد الوطني تحسنه،</w:t>
      </w:r>
      <w:r w:rsidRPr="00EC0F6B">
        <w:rPr>
          <w:rtl/>
          <w:lang w:bidi="ar-MA"/>
        </w:rPr>
        <w:t xml:space="preserve"> خلال الفصل الثالث من 2015</w:t>
      </w:r>
      <w:r w:rsidRPr="00EC0F6B">
        <w:rPr>
          <w:rtl/>
        </w:rPr>
        <w:t xml:space="preserve">، ليحقق زيادة تقدر </w:t>
      </w:r>
      <w:r w:rsidRPr="00EC0F6B">
        <w:rPr>
          <w:rtl/>
          <w:lang w:bidi="ar-MA"/>
        </w:rPr>
        <w:t>ب 4,5٪، حسب التغير السنوي، عوض 4,3٪، في الفصل الذي قبله. ويعزى هذا التطور بالأساس إلى ارتفاع القيمة المضافة الفلاحية</w:t>
      </w:r>
      <w:r w:rsidRPr="00EC0F6B">
        <w:rPr>
          <w:rtl/>
        </w:rPr>
        <w:t xml:space="preserve"> بنسبة </w:t>
      </w:r>
      <w:r w:rsidRPr="00EC0F6B">
        <w:rPr>
          <w:rtl/>
          <w:lang w:bidi="ar-MA"/>
        </w:rPr>
        <w:t>1</w:t>
      </w:r>
      <w:r>
        <w:rPr>
          <w:rtl/>
          <w:lang w:bidi="ar-MA"/>
        </w:rPr>
        <w:t>6</w:t>
      </w:r>
      <w:r w:rsidRPr="00EC0F6B">
        <w:rPr>
          <w:rtl/>
          <w:lang w:bidi="ar-MA"/>
        </w:rPr>
        <w:t>,</w:t>
      </w:r>
      <w:r>
        <w:rPr>
          <w:rtl/>
          <w:lang w:bidi="ar-MA"/>
        </w:rPr>
        <w:t>6</w:t>
      </w:r>
      <w:r w:rsidRPr="00EC0F6B">
        <w:rPr>
          <w:rtl/>
          <w:lang w:bidi="ar-MA"/>
        </w:rPr>
        <w:t xml:space="preserve">٪، </w:t>
      </w:r>
      <w:r>
        <w:rPr>
          <w:rtl/>
          <w:lang w:bidi="ar-EG"/>
        </w:rPr>
        <w:t>بينما ستحقق</w:t>
      </w:r>
      <w:r w:rsidRPr="00EC0F6B">
        <w:rPr>
          <w:rtl/>
          <w:lang w:bidi="ar-MA"/>
        </w:rPr>
        <w:t xml:space="preserve"> </w:t>
      </w:r>
      <w:r>
        <w:rPr>
          <w:rtl/>
          <w:lang w:bidi="ar-MA"/>
        </w:rPr>
        <w:t xml:space="preserve">القيمة المضافة </w:t>
      </w:r>
      <w:r w:rsidRPr="00EC0F6B">
        <w:rPr>
          <w:rtl/>
          <w:lang w:bidi="ar-MA"/>
        </w:rPr>
        <w:t>للأنشطة</w:t>
      </w:r>
      <w:r>
        <w:rPr>
          <w:rtl/>
          <w:lang w:bidi="ar-MA"/>
        </w:rPr>
        <w:t xml:space="preserve"> غير </w:t>
      </w:r>
      <w:r w:rsidRPr="00EC0F6B">
        <w:rPr>
          <w:rtl/>
        </w:rPr>
        <w:t>الفلاحية</w:t>
      </w:r>
      <w:r>
        <w:rPr>
          <w:rtl/>
        </w:rPr>
        <w:t xml:space="preserve"> زيادة تقدر ب 1,8</w:t>
      </w:r>
      <w:r w:rsidRPr="00EC0F6B">
        <w:rPr>
          <w:rtl/>
          <w:lang w:bidi="ar-MA"/>
        </w:rPr>
        <w:t>٪</w:t>
      </w:r>
      <w:r>
        <w:rPr>
          <w:rtl/>
          <w:lang w:bidi="ar-EG"/>
        </w:rPr>
        <w:t>، مدعومة بتحسن القطاع الثالثي.</w:t>
      </w:r>
      <w:r>
        <w:rPr>
          <w:lang w:bidi="ar-EG"/>
        </w:rPr>
        <w:t xml:space="preserve"> </w:t>
      </w:r>
      <w:r>
        <w:rPr>
          <w:rtl/>
          <w:lang w:bidi="ar-EG"/>
        </w:rPr>
        <w:t>ومن المتوقع أن تواصل</w:t>
      </w:r>
      <w:r w:rsidRPr="00EC0F6B">
        <w:rPr>
          <w:rtl/>
          <w:lang w:bidi="ar-MA"/>
        </w:rPr>
        <w:t xml:space="preserve"> الأنشطة غير الفلاحية</w:t>
      </w:r>
      <w:r w:rsidRPr="00EC0F6B">
        <w:rPr>
          <w:rtl/>
        </w:rPr>
        <w:t xml:space="preserve"> </w:t>
      </w:r>
      <w:r>
        <w:rPr>
          <w:rtl/>
        </w:rPr>
        <w:t>تطورها خلال الفصل الرابع من 2015 بوتيرة تقدر ب</w:t>
      </w:r>
      <w:r>
        <w:t xml:space="preserve"> </w:t>
      </w:r>
      <w:r>
        <w:rPr>
          <w:rtl/>
        </w:rPr>
        <w:t>2</w:t>
      </w:r>
      <w:r w:rsidRPr="00EC0F6B">
        <w:rPr>
          <w:rtl/>
          <w:lang w:bidi="ar-MA"/>
        </w:rPr>
        <w:t>٪</w:t>
      </w:r>
      <w:r>
        <w:rPr>
          <w:rtl/>
          <w:lang w:bidi="ar-EG"/>
        </w:rPr>
        <w:t>.</w:t>
      </w:r>
      <w:r>
        <w:rPr>
          <w:lang w:bidi="ar-EG"/>
        </w:rPr>
        <w:t xml:space="preserve"> </w:t>
      </w:r>
      <w:r>
        <w:rPr>
          <w:rtl/>
          <w:lang w:bidi="ar-EG"/>
        </w:rPr>
        <w:t>ه</w:t>
      </w:r>
      <w:r>
        <w:rPr>
          <w:rtl/>
          <w:lang w:bidi="ar-MA"/>
        </w:rPr>
        <w:t>كذا٬</w:t>
      </w:r>
      <w:r>
        <w:rPr>
          <w:rtl/>
          <w:lang w:bidi="ar-EG"/>
        </w:rPr>
        <w:t xml:space="preserve"> وباعتبار ارتفاع القيمة المضافة للفلاحة ب </w:t>
      </w:r>
      <w:r>
        <w:rPr>
          <w:lang w:bidi="ar-MA"/>
        </w:rPr>
        <w:t>16,1</w:t>
      </w:r>
      <w:r w:rsidRPr="00EC0F6B">
        <w:rPr>
          <w:rtl/>
          <w:lang w:bidi="ar-MA"/>
        </w:rPr>
        <w:t xml:space="preserve">٪، </w:t>
      </w:r>
      <w:r>
        <w:rPr>
          <w:rtl/>
          <w:lang w:bidi="ar-MA"/>
        </w:rPr>
        <w:t xml:space="preserve">يتوقع أن يحقق الاقتصاد الوطني نموا يقدر ب </w:t>
      </w:r>
      <w:r w:rsidRPr="00EC0F6B">
        <w:rPr>
          <w:rtl/>
          <w:lang w:bidi="ar-MA"/>
        </w:rPr>
        <w:t>4,</w:t>
      </w:r>
      <w:r>
        <w:rPr>
          <w:rtl/>
          <w:lang w:bidi="ar-MA"/>
        </w:rPr>
        <w:t>7</w:t>
      </w:r>
      <w:r w:rsidRPr="00EC0F6B">
        <w:rPr>
          <w:rtl/>
          <w:lang w:bidi="ar-MA"/>
        </w:rPr>
        <w:t xml:space="preserve">٪، </w:t>
      </w:r>
      <w:r>
        <w:rPr>
          <w:rtl/>
          <w:lang w:bidi="ar-EG"/>
        </w:rPr>
        <w:t xml:space="preserve"> حسب التغيير السنوي٬ عوض </w:t>
      </w:r>
      <w:r>
        <w:rPr>
          <w:lang w:bidi="ar-EG"/>
        </w:rPr>
        <w:t>2,2</w:t>
      </w:r>
      <w:r>
        <w:rPr>
          <w:rtl/>
          <w:lang w:bidi="ar-EG"/>
        </w:rPr>
        <w:t>٪</w:t>
      </w:r>
      <w:r>
        <w:rPr>
          <w:rtl/>
          <w:lang w:bidi="ar-MA"/>
        </w:rPr>
        <w:t xml:space="preserve"> خلال نفس الفترة من السنة الماضية.</w:t>
      </w:r>
    </w:p>
    <w:p w:rsidR="002B1AED" w:rsidRPr="00494576" w:rsidRDefault="002B1AED" w:rsidP="007C7C33">
      <w:pPr>
        <w:bidi/>
        <w:spacing w:line="300" w:lineRule="exact"/>
        <w:jc w:val="both"/>
        <w:rPr>
          <w:rStyle w:val="hps"/>
          <w:rFonts w:cs="Arabic Transparent"/>
          <w:sz w:val="28"/>
          <w:szCs w:val="28"/>
          <w:rtl/>
          <w:lang w:bidi="ar-MA"/>
        </w:rPr>
      </w:pPr>
    </w:p>
    <w:p w:rsidR="002B1AED" w:rsidRPr="00E15CF5" w:rsidRDefault="00C4698A" w:rsidP="00A5408C">
      <w:pPr>
        <w:bidi/>
        <w:spacing w:line="300" w:lineRule="exact"/>
        <w:jc w:val="both"/>
        <w:rPr>
          <w:rFonts w:cs="Arabic Transparent"/>
          <w:b/>
          <w:bCs/>
          <w:color w:val="800000"/>
          <w:sz w:val="28"/>
          <w:szCs w:val="28"/>
          <w:rtl/>
          <w:lang w:bidi="ar-MA"/>
        </w:rPr>
      </w:pPr>
      <w:r>
        <w:rPr>
          <w:noProof/>
          <w:rtl/>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276860</wp:posOffset>
            </wp:positionV>
            <wp:extent cx="2400300" cy="230124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9"/>
                    <a:srcRect/>
                    <a:stretch>
                      <a:fillRect/>
                    </a:stretch>
                  </pic:blipFill>
                  <pic:spPr bwMode="auto">
                    <a:xfrm>
                      <a:off x="0" y="0"/>
                      <a:ext cx="2400300" cy="2301240"/>
                    </a:xfrm>
                    <a:prstGeom prst="rect">
                      <a:avLst/>
                    </a:prstGeom>
                    <a:noFill/>
                  </pic:spPr>
                </pic:pic>
              </a:graphicData>
            </a:graphic>
          </wp:anchor>
        </w:drawing>
      </w:r>
      <w:r w:rsidR="002B1AED">
        <w:rPr>
          <w:rFonts w:cs="Arabic Transparent"/>
          <w:b/>
          <w:bCs/>
          <w:color w:val="800000"/>
          <w:spacing w:val="-14"/>
          <w:sz w:val="28"/>
          <w:szCs w:val="28"/>
          <w:rtl/>
          <w:lang w:bidi="ar-MA"/>
        </w:rPr>
        <w:t>تحسن الطلب الخارجي الموجه نحو المغرب</w:t>
      </w:r>
      <w:r w:rsidR="002B1AED" w:rsidRPr="00E15CF5">
        <w:rPr>
          <w:rFonts w:cs="Arabic Transparent"/>
          <w:b/>
          <w:bCs/>
          <w:color w:val="800000"/>
          <w:sz w:val="28"/>
          <w:szCs w:val="28"/>
          <w:rtl/>
          <w:lang w:bidi="ar-MA"/>
        </w:rPr>
        <w:t xml:space="preserve"> خلال الفصل ال</w:t>
      </w:r>
      <w:r w:rsidR="002B1AED">
        <w:rPr>
          <w:rFonts w:cs="Arabic Transparent"/>
          <w:b/>
          <w:bCs/>
          <w:color w:val="800000"/>
          <w:sz w:val="28"/>
          <w:szCs w:val="28"/>
          <w:rtl/>
          <w:lang w:bidi="ar-MA"/>
        </w:rPr>
        <w:t>ثالث</w:t>
      </w:r>
      <w:r w:rsidR="002B1AED" w:rsidRPr="00E15CF5">
        <w:rPr>
          <w:rFonts w:cs="Arabic Transparent"/>
          <w:b/>
          <w:bCs/>
          <w:color w:val="800000"/>
          <w:sz w:val="28"/>
          <w:szCs w:val="28"/>
          <w:rtl/>
          <w:lang w:bidi="ar-MA"/>
        </w:rPr>
        <w:t xml:space="preserve"> 2015</w:t>
      </w:r>
    </w:p>
    <w:p w:rsidR="002B1AED" w:rsidRPr="00E15CF5" w:rsidRDefault="002B1AED" w:rsidP="0061440E">
      <w:pPr>
        <w:bidi/>
        <w:spacing w:line="300" w:lineRule="exact"/>
        <w:jc w:val="both"/>
        <w:rPr>
          <w:rFonts w:cs="Arabic Transparent"/>
          <w:b/>
          <w:bCs/>
          <w:color w:val="800000"/>
          <w:sz w:val="28"/>
          <w:szCs w:val="28"/>
          <w:rtl/>
        </w:rPr>
      </w:pPr>
    </w:p>
    <w:p w:rsidR="002B1AED" w:rsidRPr="00E15CF5" w:rsidRDefault="002B1AED" w:rsidP="005B2E2E">
      <w:pPr>
        <w:bidi/>
        <w:spacing w:line="300" w:lineRule="exact"/>
        <w:jc w:val="both"/>
        <w:rPr>
          <w:rFonts w:cs="Arabic Transparent"/>
          <w:spacing w:val="-2"/>
          <w:sz w:val="28"/>
          <w:szCs w:val="28"/>
          <w:rtl/>
          <w:lang w:bidi="ar-MA"/>
        </w:rPr>
      </w:pPr>
      <w:r w:rsidRPr="00E15CF5">
        <w:rPr>
          <w:rFonts w:cs="Arabic Transparent"/>
          <w:sz w:val="28"/>
          <w:szCs w:val="28"/>
          <w:rtl/>
          <w:lang w:bidi="ar-MA"/>
        </w:rPr>
        <w:t>من المرتقب أن ي</w:t>
      </w:r>
      <w:r>
        <w:rPr>
          <w:rFonts w:cs="Arabic Transparent"/>
          <w:sz w:val="28"/>
          <w:szCs w:val="28"/>
          <w:rtl/>
          <w:lang w:bidi="ar-MA"/>
        </w:rPr>
        <w:t>شهد</w:t>
      </w:r>
      <w:r w:rsidRPr="00E15CF5">
        <w:rPr>
          <w:rFonts w:cs="Arabic Transparent"/>
          <w:sz w:val="28"/>
          <w:szCs w:val="28"/>
          <w:rtl/>
          <w:lang w:bidi="ar-MA"/>
        </w:rPr>
        <w:t xml:space="preserve"> </w:t>
      </w:r>
      <w:r>
        <w:rPr>
          <w:rFonts w:cs="Arabic Transparent"/>
          <w:sz w:val="28"/>
          <w:szCs w:val="28"/>
          <w:rtl/>
          <w:lang w:bidi="ar-MA"/>
        </w:rPr>
        <w:t xml:space="preserve">اقتصاد الدول المتقدمة </w:t>
      </w:r>
      <w:r w:rsidRPr="00E15CF5">
        <w:rPr>
          <w:rFonts w:cs="Arabic Transparent"/>
          <w:sz w:val="28"/>
          <w:szCs w:val="28"/>
          <w:rtl/>
          <w:lang w:bidi="ar-MA"/>
        </w:rPr>
        <w:t>تحسن</w:t>
      </w:r>
      <w:r>
        <w:rPr>
          <w:rFonts w:cs="Arabic Transparent"/>
          <w:sz w:val="28"/>
          <w:szCs w:val="28"/>
          <w:rtl/>
          <w:lang w:bidi="ar-MA"/>
        </w:rPr>
        <w:t>ا ملموسا</w:t>
      </w:r>
      <w:r w:rsidRPr="00E15CF5">
        <w:rPr>
          <w:rFonts w:cs="Arabic Transparent"/>
          <w:sz w:val="28"/>
          <w:szCs w:val="28"/>
          <w:rtl/>
          <w:lang w:bidi="ar-MA"/>
        </w:rPr>
        <w:t>، خلال الفصل ال</w:t>
      </w:r>
      <w:r>
        <w:rPr>
          <w:rFonts w:cs="Arabic Transparent"/>
          <w:sz w:val="28"/>
          <w:szCs w:val="28"/>
          <w:rtl/>
          <w:lang w:bidi="ar-MA"/>
        </w:rPr>
        <w:t>ثالث</w:t>
      </w:r>
      <w:r w:rsidRPr="00E15CF5">
        <w:rPr>
          <w:rFonts w:cs="Arabic Transparent"/>
          <w:sz w:val="28"/>
          <w:szCs w:val="28"/>
          <w:rtl/>
          <w:lang w:bidi="ar-MA"/>
        </w:rPr>
        <w:t xml:space="preserve"> من 2015، </w:t>
      </w:r>
      <w:r>
        <w:rPr>
          <w:rFonts w:cs="Arabic Transparent"/>
          <w:sz w:val="28"/>
          <w:szCs w:val="28"/>
          <w:rtl/>
          <w:lang w:bidi="ar-MA"/>
        </w:rPr>
        <w:t xml:space="preserve">بينما ستعرف الدول الناشئة بعض التراجع في وتيرة نموها، متأثرة بتباطؤ اقتصاد الصين وانكماشه في الدول المصدرة للمواد الأولية كالبرازيل و روسيا. وستساهم هذه الوضعية في استمرار انخفاض أسعار المواد الأولية وتباطؤ المبادلات التجارية العالمية، والتي لن يتعد نموها </w:t>
      </w:r>
      <w:r>
        <w:rPr>
          <w:rFonts w:cs="Arabic Transparent"/>
          <w:spacing w:val="-2"/>
          <w:sz w:val="28"/>
          <w:szCs w:val="28"/>
          <w:rtl/>
          <w:lang w:bidi="ar-MA"/>
        </w:rPr>
        <w:t>8</w:t>
      </w:r>
      <w:r>
        <w:rPr>
          <w:rFonts w:cs="Arabic Transparent"/>
          <w:spacing w:val="-2"/>
          <w:sz w:val="28"/>
          <w:szCs w:val="28"/>
          <w:lang w:bidi="ar-MA"/>
        </w:rPr>
        <w:t>0</w:t>
      </w:r>
      <w:r w:rsidRPr="00E15CF5">
        <w:rPr>
          <w:rFonts w:cs="Arabic Transparent"/>
          <w:spacing w:val="-2"/>
          <w:sz w:val="28"/>
          <w:szCs w:val="28"/>
          <w:lang w:bidi="ar-MA"/>
        </w:rPr>
        <w:t>,</w:t>
      </w:r>
      <w:r w:rsidRPr="00E15CF5">
        <w:rPr>
          <w:rFonts w:cs="Arabic Transparent" w:hint="cs"/>
          <w:spacing w:val="-2"/>
          <w:sz w:val="28"/>
          <w:szCs w:val="28"/>
          <w:rtl/>
          <w:lang w:bidi="ar-MA"/>
        </w:rPr>
        <w:t>٪</w:t>
      </w:r>
      <w:r>
        <w:rPr>
          <w:rFonts w:cs="Arabic Transparent"/>
          <w:spacing w:val="-2"/>
          <w:sz w:val="28"/>
          <w:szCs w:val="28"/>
          <w:rtl/>
          <w:lang w:bidi="ar-MA"/>
        </w:rPr>
        <w:t>، حسب التغير السنوي.</w:t>
      </w:r>
      <w:r>
        <w:rPr>
          <w:rFonts w:cs="Arabic Transparent"/>
          <w:sz w:val="28"/>
          <w:szCs w:val="28"/>
          <w:rtl/>
          <w:lang w:bidi="ar-MA"/>
        </w:rPr>
        <w:t xml:space="preserve"> أما اقتصاديات الولايات المتحدة الأمريكية وبريطانيا</w:t>
      </w:r>
      <w:r w:rsidRPr="00E15CF5">
        <w:rPr>
          <w:rFonts w:cs="Arabic Transparent"/>
          <w:sz w:val="28"/>
          <w:szCs w:val="28"/>
          <w:rtl/>
          <w:lang w:bidi="ar-MA"/>
        </w:rPr>
        <w:t xml:space="preserve">، </w:t>
      </w:r>
      <w:r>
        <w:rPr>
          <w:rFonts w:cs="Arabic Transparent"/>
          <w:sz w:val="28"/>
          <w:szCs w:val="28"/>
          <w:rtl/>
          <w:lang w:bidi="ar-MA"/>
        </w:rPr>
        <w:t xml:space="preserve">فستستفيد من دعم الطلب الداخلي. بينما سيشكل تراجع أسعار البترول وسعر الأورو دعامة مهمة لتحسن اقتصاد منطقة الأورو. وعلى العموم، سيعرف </w:t>
      </w:r>
      <w:r w:rsidRPr="00E15CF5">
        <w:rPr>
          <w:rFonts w:cs="Arabic Transparent"/>
          <w:sz w:val="28"/>
          <w:szCs w:val="28"/>
          <w:rtl/>
          <w:lang w:bidi="ar-MA"/>
        </w:rPr>
        <w:t xml:space="preserve">الطلب الخارجي الموجه للمغرب </w:t>
      </w:r>
      <w:r>
        <w:rPr>
          <w:rFonts w:cs="Arabic Transparent"/>
          <w:sz w:val="28"/>
          <w:szCs w:val="28"/>
          <w:rtl/>
          <w:lang w:bidi="ar-MA"/>
        </w:rPr>
        <w:t xml:space="preserve">ارتفاعا يقدر </w:t>
      </w:r>
      <w:r w:rsidRPr="00E15CF5">
        <w:rPr>
          <w:rFonts w:cs="Arabic Transparent"/>
          <w:sz w:val="28"/>
          <w:szCs w:val="28"/>
          <w:rtl/>
          <w:lang w:bidi="ar-MA"/>
        </w:rPr>
        <w:t xml:space="preserve">ب </w:t>
      </w:r>
      <w:r>
        <w:rPr>
          <w:rFonts w:cs="Arabic Transparent"/>
          <w:spacing w:val="-2"/>
          <w:sz w:val="28"/>
          <w:szCs w:val="28"/>
          <w:rtl/>
          <w:lang w:bidi="ar-MA"/>
        </w:rPr>
        <w:t>4</w:t>
      </w:r>
      <w:r>
        <w:rPr>
          <w:rFonts w:cs="Arabic Transparent"/>
          <w:spacing w:val="-2"/>
          <w:sz w:val="28"/>
          <w:szCs w:val="28"/>
          <w:lang w:bidi="ar-MA"/>
        </w:rPr>
        <w:t>2</w:t>
      </w:r>
      <w:r w:rsidRPr="00E15CF5">
        <w:rPr>
          <w:rFonts w:cs="Arabic Transparent"/>
          <w:spacing w:val="-2"/>
          <w:sz w:val="28"/>
          <w:szCs w:val="28"/>
          <w:lang w:bidi="ar-MA"/>
        </w:rPr>
        <w:t>,</w:t>
      </w:r>
      <w:r w:rsidRPr="00E15CF5">
        <w:rPr>
          <w:rFonts w:cs="Arabic Transparent" w:hint="cs"/>
          <w:spacing w:val="-2"/>
          <w:sz w:val="28"/>
          <w:szCs w:val="28"/>
          <w:rtl/>
          <w:lang w:bidi="ar-MA"/>
        </w:rPr>
        <w:t>٪</w:t>
      </w:r>
      <w:r w:rsidRPr="00E15CF5">
        <w:rPr>
          <w:rFonts w:cs="Arabic Transparent"/>
          <w:spacing w:val="-2"/>
          <w:sz w:val="28"/>
          <w:szCs w:val="28"/>
          <w:rtl/>
          <w:lang w:bidi="ar-MA"/>
        </w:rPr>
        <w:t>، حسب التغير السنوي.</w:t>
      </w:r>
    </w:p>
    <w:p w:rsidR="002B1AED" w:rsidRDefault="002B1AED" w:rsidP="0083172E">
      <w:pPr>
        <w:bidi/>
        <w:spacing w:line="300" w:lineRule="exact"/>
        <w:jc w:val="both"/>
        <w:rPr>
          <w:rFonts w:cs="Arabic Transparent"/>
          <w:sz w:val="28"/>
          <w:szCs w:val="28"/>
          <w:rtl/>
          <w:lang w:bidi="ar-MA"/>
        </w:rPr>
      </w:pPr>
    </w:p>
    <w:p w:rsidR="002B1AED" w:rsidRDefault="002B1AED" w:rsidP="00216CC8">
      <w:pPr>
        <w:bidi/>
        <w:spacing w:line="300" w:lineRule="exact"/>
        <w:jc w:val="both"/>
        <w:rPr>
          <w:rFonts w:cs="Arabic Transparent"/>
          <w:sz w:val="28"/>
          <w:szCs w:val="28"/>
          <w:rtl/>
          <w:lang w:bidi="ar-MA"/>
        </w:rPr>
      </w:pPr>
      <w:r>
        <w:rPr>
          <w:rFonts w:cs="Arabic Transparent"/>
          <w:sz w:val="28"/>
          <w:szCs w:val="28"/>
          <w:rtl/>
          <w:lang w:bidi="ar-MA"/>
        </w:rPr>
        <w:t>في ظل ذلك</w:t>
      </w:r>
      <w:r w:rsidRPr="006E58B5">
        <w:rPr>
          <w:rFonts w:cs="Arabic Transparent"/>
          <w:sz w:val="28"/>
          <w:szCs w:val="28"/>
          <w:rtl/>
          <w:lang w:bidi="ar-MA"/>
        </w:rPr>
        <w:t>، يتوقع أن تواصل الصا</w:t>
      </w:r>
      <w:r w:rsidRPr="00E15CF5">
        <w:rPr>
          <w:rFonts w:cs="Arabic Transparent"/>
          <w:sz w:val="28"/>
          <w:szCs w:val="28"/>
          <w:rtl/>
          <w:lang w:bidi="ar-MA"/>
        </w:rPr>
        <w:t xml:space="preserve">درات الوطنية </w:t>
      </w:r>
      <w:r>
        <w:rPr>
          <w:rFonts w:cs="Arabic Transparent"/>
          <w:sz w:val="28"/>
          <w:szCs w:val="28"/>
          <w:rtl/>
          <w:lang w:bidi="ar-MA"/>
        </w:rPr>
        <w:t>تطورها الايجابي</w:t>
      </w:r>
      <w:r w:rsidRPr="006E58B5">
        <w:rPr>
          <w:rFonts w:cs="Arabic Transparent"/>
          <w:sz w:val="28"/>
          <w:szCs w:val="28"/>
          <w:rtl/>
          <w:lang w:bidi="ar-MA"/>
        </w:rPr>
        <w:t>، لت</w:t>
      </w:r>
      <w:r>
        <w:rPr>
          <w:rFonts w:cs="Arabic Transparent"/>
          <w:sz w:val="28"/>
          <w:szCs w:val="28"/>
          <w:rtl/>
          <w:lang w:bidi="ar-MA"/>
        </w:rPr>
        <w:t>حقق زيادة</w:t>
      </w:r>
      <w:r w:rsidRPr="006E58B5">
        <w:rPr>
          <w:rFonts w:cs="Arabic Transparent"/>
          <w:sz w:val="28"/>
          <w:szCs w:val="28"/>
          <w:rtl/>
          <w:lang w:bidi="ar-MA"/>
        </w:rPr>
        <w:t xml:space="preserve"> </w:t>
      </w:r>
      <w:r>
        <w:rPr>
          <w:rFonts w:cs="Arabic Transparent"/>
          <w:sz w:val="28"/>
          <w:szCs w:val="28"/>
          <w:rtl/>
          <w:lang w:bidi="ar-MA"/>
        </w:rPr>
        <w:t xml:space="preserve">تقدر </w:t>
      </w:r>
      <w:r w:rsidRPr="00E15CF5">
        <w:rPr>
          <w:rFonts w:cs="Arabic Transparent"/>
          <w:sz w:val="28"/>
          <w:szCs w:val="28"/>
          <w:rtl/>
          <w:lang w:bidi="ar-MA"/>
        </w:rPr>
        <w:t xml:space="preserve">ب </w:t>
      </w:r>
      <w:r>
        <w:rPr>
          <w:rFonts w:cs="Arabic Transparent"/>
          <w:sz w:val="28"/>
          <w:szCs w:val="28"/>
          <w:rtl/>
          <w:lang w:bidi="ar-MA"/>
        </w:rPr>
        <w:t>5</w:t>
      </w:r>
      <w:r w:rsidRPr="00E15CF5">
        <w:rPr>
          <w:rFonts w:cs="Arabic Transparent"/>
          <w:sz w:val="28"/>
          <w:szCs w:val="28"/>
          <w:rtl/>
          <w:lang w:bidi="ar-MA"/>
        </w:rPr>
        <w:t>,</w:t>
      </w:r>
      <w:r>
        <w:rPr>
          <w:rFonts w:cs="Arabic Transparent"/>
          <w:sz w:val="28"/>
          <w:szCs w:val="28"/>
          <w:rtl/>
          <w:lang w:bidi="ar-MA"/>
        </w:rPr>
        <w:t>3</w:t>
      </w:r>
      <w:r w:rsidRPr="006E58B5">
        <w:rPr>
          <w:rFonts w:cs="Arabic Transparent" w:hint="cs"/>
          <w:sz w:val="28"/>
          <w:szCs w:val="28"/>
          <w:rtl/>
          <w:lang w:bidi="ar-MA"/>
        </w:rPr>
        <w:t>٪</w:t>
      </w:r>
      <w:r w:rsidRPr="006E58B5">
        <w:rPr>
          <w:rFonts w:cs="Arabic Transparent"/>
          <w:sz w:val="28"/>
          <w:szCs w:val="28"/>
          <w:rtl/>
          <w:lang w:bidi="ar-MA"/>
        </w:rPr>
        <w:t xml:space="preserve"> خلال الفصل الثا</w:t>
      </w:r>
      <w:r>
        <w:rPr>
          <w:rFonts w:cs="Arabic Transparent"/>
          <w:sz w:val="28"/>
          <w:szCs w:val="28"/>
          <w:rtl/>
          <w:lang w:bidi="ar-MA"/>
        </w:rPr>
        <w:t>لث</w:t>
      </w:r>
      <w:r w:rsidRPr="006E58B5">
        <w:rPr>
          <w:rFonts w:cs="Arabic Transparent"/>
          <w:sz w:val="28"/>
          <w:szCs w:val="28"/>
          <w:rtl/>
          <w:lang w:bidi="ar-MA"/>
        </w:rPr>
        <w:t xml:space="preserve"> 2015،</w:t>
      </w:r>
      <w:r>
        <w:rPr>
          <w:rFonts w:cs="Arabic Transparent"/>
          <w:sz w:val="28"/>
          <w:szCs w:val="28"/>
          <w:rtl/>
          <w:lang w:bidi="ar-MA"/>
        </w:rPr>
        <w:t xml:space="preserve"> </w:t>
      </w:r>
      <w:r w:rsidRPr="006E58B5">
        <w:rPr>
          <w:rFonts w:cs="Arabic Transparent"/>
          <w:sz w:val="28"/>
          <w:szCs w:val="28"/>
          <w:rtl/>
          <w:lang w:bidi="ar-MA"/>
        </w:rPr>
        <w:t>حسب التغير السنوي. وسيشمل هذا التطور كل من</w:t>
      </w:r>
      <w:r w:rsidRPr="00E15CF5">
        <w:rPr>
          <w:rFonts w:cs="Arabic Transparent"/>
          <w:sz w:val="28"/>
          <w:szCs w:val="28"/>
          <w:rtl/>
          <w:lang w:bidi="ar-MA"/>
        </w:rPr>
        <w:t xml:space="preserve"> صناعات السيارات</w:t>
      </w:r>
      <w:r>
        <w:rPr>
          <w:rFonts w:cs="Arabic Transparent"/>
          <w:sz w:val="28"/>
          <w:szCs w:val="28"/>
          <w:rtl/>
          <w:lang w:bidi="ar-MA"/>
        </w:rPr>
        <w:t>،</w:t>
      </w:r>
      <w:r w:rsidRPr="00E15CF5">
        <w:rPr>
          <w:rFonts w:cs="Arabic Transparent"/>
          <w:sz w:val="28"/>
          <w:szCs w:val="28"/>
          <w:rtl/>
          <w:lang w:bidi="ar-MA"/>
        </w:rPr>
        <w:t xml:space="preserve"> </w:t>
      </w:r>
      <w:r>
        <w:rPr>
          <w:rFonts w:cs="Arabic Transparent"/>
          <w:sz w:val="28"/>
          <w:szCs w:val="28"/>
          <w:rtl/>
          <w:lang w:bidi="ar-MA"/>
        </w:rPr>
        <w:t>والتي ارتفعت مساهمتها في الصادرات بعشرة نقاط خلال السبع سنوات الأخيرة، لتصل إلى 20</w:t>
      </w:r>
      <w:r w:rsidRPr="00E15CF5">
        <w:rPr>
          <w:rFonts w:cs="Arabic Transparent"/>
          <w:sz w:val="28"/>
          <w:szCs w:val="28"/>
          <w:rtl/>
          <w:lang w:bidi="ar-MA"/>
        </w:rPr>
        <w:t>,</w:t>
      </w:r>
      <w:r>
        <w:rPr>
          <w:rFonts w:cs="Arabic Transparent"/>
          <w:sz w:val="28"/>
          <w:szCs w:val="28"/>
          <w:rtl/>
          <w:lang w:bidi="ar-MA"/>
        </w:rPr>
        <w:t>1</w:t>
      </w:r>
      <w:r w:rsidRPr="006E58B5">
        <w:rPr>
          <w:rFonts w:cs="Arabic Transparent" w:hint="cs"/>
          <w:sz w:val="28"/>
          <w:szCs w:val="28"/>
          <w:rtl/>
          <w:lang w:bidi="ar-MA"/>
        </w:rPr>
        <w:t>٪</w:t>
      </w:r>
      <w:r>
        <w:rPr>
          <w:rFonts w:cs="Arabic Transparent"/>
          <w:sz w:val="28"/>
          <w:szCs w:val="28"/>
          <w:rtl/>
          <w:lang w:bidi="ar-MA"/>
        </w:rPr>
        <w:t xml:space="preserve">، متبوعة بمبيعات الأجهزة الالكترونية، والألبسة والأحذية. وبدورها ستستفيد صادرات الفوسفاط الخام والحامض الفوسفوري من ارتفاع أسعارها في الأسواق العالمية ومن تحسن الطلب الخارجي عليها. </w:t>
      </w:r>
    </w:p>
    <w:p w:rsidR="002B1AED" w:rsidRDefault="002B1AED" w:rsidP="006E58B5">
      <w:pPr>
        <w:bidi/>
        <w:spacing w:line="300" w:lineRule="exact"/>
        <w:jc w:val="both"/>
        <w:rPr>
          <w:rFonts w:cs="Arabic Transparent"/>
          <w:sz w:val="28"/>
          <w:szCs w:val="28"/>
          <w:rtl/>
          <w:lang w:bidi="ar-MA"/>
        </w:rPr>
      </w:pPr>
    </w:p>
    <w:p w:rsidR="002B1AED" w:rsidRDefault="002B1AED" w:rsidP="005B2E2E">
      <w:pPr>
        <w:bidi/>
        <w:spacing w:line="300" w:lineRule="exact"/>
        <w:jc w:val="both"/>
        <w:rPr>
          <w:rFonts w:cs="Arabic Transparent"/>
          <w:spacing w:val="-2"/>
          <w:sz w:val="28"/>
          <w:szCs w:val="28"/>
          <w:rtl/>
          <w:lang w:bidi="ar-MA"/>
        </w:rPr>
      </w:pPr>
      <w:r>
        <w:rPr>
          <w:rFonts w:cs="Arabic Transparent"/>
          <w:sz w:val="28"/>
          <w:szCs w:val="28"/>
          <w:rtl/>
          <w:lang w:bidi="ar-MA"/>
        </w:rPr>
        <w:t xml:space="preserve">بالمقابل، يتوقع أن </w:t>
      </w:r>
      <w:r w:rsidRPr="00E15CF5">
        <w:rPr>
          <w:rFonts w:cs="Arabic Transparent"/>
          <w:sz w:val="28"/>
          <w:szCs w:val="28"/>
          <w:rtl/>
          <w:lang w:bidi="ar-MA"/>
        </w:rPr>
        <w:t>تواصل الواردات من السلع</w:t>
      </w:r>
      <w:r>
        <w:rPr>
          <w:rFonts w:cs="Arabic Transparent"/>
          <w:sz w:val="28"/>
          <w:szCs w:val="28"/>
          <w:rtl/>
          <w:lang w:bidi="ar-MA"/>
        </w:rPr>
        <w:t xml:space="preserve"> </w:t>
      </w:r>
      <w:r w:rsidRPr="00E15CF5">
        <w:rPr>
          <w:rFonts w:cs="Arabic Transparent"/>
          <w:sz w:val="28"/>
          <w:szCs w:val="28"/>
          <w:rtl/>
          <w:lang w:bidi="ar-MA"/>
        </w:rPr>
        <w:t xml:space="preserve">تراجعها </w:t>
      </w:r>
      <w:r>
        <w:rPr>
          <w:rFonts w:cs="Arabic Transparent"/>
          <w:sz w:val="28"/>
          <w:szCs w:val="28"/>
          <w:rtl/>
          <w:lang w:bidi="ar-MA"/>
        </w:rPr>
        <w:t xml:space="preserve">للفصل الثالث على التوالي، </w:t>
      </w:r>
      <w:r w:rsidRPr="00E15CF5">
        <w:rPr>
          <w:rFonts w:cs="Arabic Transparent"/>
          <w:sz w:val="28"/>
          <w:szCs w:val="28"/>
          <w:rtl/>
          <w:lang w:bidi="ar-MA"/>
        </w:rPr>
        <w:t xml:space="preserve">لتنخفض بنسبة تقدر ب </w:t>
      </w:r>
      <w:r>
        <w:rPr>
          <w:rFonts w:cs="Arabic Transparent"/>
          <w:spacing w:val="-2"/>
          <w:sz w:val="28"/>
          <w:szCs w:val="28"/>
          <w:rtl/>
          <w:lang w:bidi="ar-MA"/>
        </w:rPr>
        <w:t>9</w:t>
      </w:r>
      <w:r>
        <w:rPr>
          <w:rFonts w:cs="Arabic Transparent"/>
          <w:spacing w:val="-2"/>
          <w:sz w:val="28"/>
          <w:szCs w:val="28"/>
          <w:lang w:bidi="ar-MA"/>
        </w:rPr>
        <w:t>0</w:t>
      </w:r>
      <w:r w:rsidRPr="00E15CF5">
        <w:rPr>
          <w:rFonts w:cs="Arabic Transparent"/>
          <w:spacing w:val="-2"/>
          <w:sz w:val="28"/>
          <w:szCs w:val="28"/>
          <w:lang w:bidi="ar-MA"/>
        </w:rPr>
        <w:t>,</w:t>
      </w:r>
      <w:r w:rsidRPr="00E15CF5">
        <w:rPr>
          <w:rFonts w:cs="Arabic Transparent" w:hint="cs"/>
          <w:spacing w:val="-2"/>
          <w:sz w:val="28"/>
          <w:szCs w:val="28"/>
          <w:rtl/>
          <w:lang w:bidi="ar-MA"/>
        </w:rPr>
        <w:t>٪</w:t>
      </w:r>
      <w:r w:rsidRPr="00E15CF5">
        <w:rPr>
          <w:rFonts w:cs="Arabic Transparent"/>
          <w:spacing w:val="-2"/>
          <w:sz w:val="28"/>
          <w:szCs w:val="28"/>
          <w:rtl/>
          <w:lang w:bidi="ar-MA"/>
        </w:rPr>
        <w:t xml:space="preserve">، حسب التغير السنوي. ويعزى هذا التحول بالأساس إلى </w:t>
      </w:r>
      <w:r>
        <w:rPr>
          <w:rFonts w:cs="Arabic Transparent"/>
          <w:spacing w:val="-2"/>
          <w:sz w:val="28"/>
          <w:szCs w:val="28"/>
          <w:rtl/>
          <w:lang w:bidi="ar-MA"/>
        </w:rPr>
        <w:t>انخفاض</w:t>
      </w:r>
      <w:r w:rsidRPr="00E15CF5">
        <w:rPr>
          <w:rFonts w:cs="Arabic Transparent"/>
          <w:spacing w:val="-2"/>
          <w:sz w:val="28"/>
          <w:szCs w:val="28"/>
          <w:rtl/>
          <w:lang w:bidi="ar-MA"/>
        </w:rPr>
        <w:t xml:space="preserve"> واردات المواد الطاقية </w:t>
      </w:r>
      <w:r>
        <w:rPr>
          <w:rFonts w:cs="Arabic Transparent"/>
          <w:spacing w:val="-2"/>
          <w:sz w:val="28"/>
          <w:szCs w:val="28"/>
          <w:rtl/>
          <w:lang w:bidi="ar-MA"/>
        </w:rPr>
        <w:t>والغذائية. حيث ينتظر أن تتقلص فاتورة الواردات الطاقية بنسبة 26,7</w:t>
      </w:r>
      <w:r w:rsidRPr="00E15CF5">
        <w:rPr>
          <w:rFonts w:cs="Arabic Transparent" w:hint="cs"/>
          <w:spacing w:val="-2"/>
          <w:sz w:val="28"/>
          <w:szCs w:val="28"/>
          <w:rtl/>
          <w:lang w:bidi="ar-MA"/>
        </w:rPr>
        <w:t>٪</w:t>
      </w:r>
      <w:r>
        <w:rPr>
          <w:rFonts w:cs="Arabic Transparent"/>
          <w:spacing w:val="-2"/>
          <w:sz w:val="28"/>
          <w:szCs w:val="28"/>
          <w:rtl/>
          <w:lang w:bidi="ar-MA"/>
        </w:rPr>
        <w:t>، في ظرفية تتسم بانخفاض سعر البترول والذي  استقر في حدود 47</w:t>
      </w:r>
      <w:r>
        <w:rPr>
          <w:rFonts w:cs="Arabic Transparent"/>
          <w:spacing w:val="-2"/>
          <w:sz w:val="28"/>
          <w:szCs w:val="28"/>
          <w:lang w:bidi="ar-MA"/>
        </w:rPr>
        <w:t xml:space="preserve">$ </w:t>
      </w:r>
      <w:r>
        <w:rPr>
          <w:rFonts w:cs="Arabic Transparent"/>
          <w:spacing w:val="-2"/>
          <w:sz w:val="28"/>
          <w:szCs w:val="28"/>
          <w:rtl/>
          <w:lang w:bidi="ar-MA"/>
        </w:rPr>
        <w:t xml:space="preserve"> للبرميل خلال شهر غشت 2015. فيما ستعرف واردات المواد الأخرى ارتفاعا يقدر ب </w:t>
      </w:r>
      <w:r>
        <w:rPr>
          <w:rFonts w:cs="Arabic Transparent"/>
          <w:sz w:val="28"/>
          <w:szCs w:val="28"/>
          <w:rtl/>
          <w:lang w:bidi="ar-MA"/>
        </w:rPr>
        <w:t>8</w:t>
      </w:r>
      <w:r w:rsidRPr="00E15CF5">
        <w:rPr>
          <w:rFonts w:cs="Arabic Transparent"/>
          <w:sz w:val="28"/>
          <w:szCs w:val="28"/>
          <w:rtl/>
          <w:lang w:bidi="ar-MA"/>
        </w:rPr>
        <w:t>,</w:t>
      </w:r>
      <w:r>
        <w:rPr>
          <w:rFonts w:cs="Arabic Transparent"/>
          <w:sz w:val="28"/>
          <w:szCs w:val="28"/>
          <w:rtl/>
          <w:lang w:bidi="ar-MA"/>
        </w:rPr>
        <w:t>5</w:t>
      </w:r>
      <w:r w:rsidRPr="006E58B5">
        <w:rPr>
          <w:rFonts w:cs="Arabic Transparent" w:hint="cs"/>
          <w:sz w:val="28"/>
          <w:szCs w:val="28"/>
          <w:rtl/>
          <w:lang w:bidi="ar-MA"/>
        </w:rPr>
        <w:t>٪</w:t>
      </w:r>
      <w:r>
        <w:rPr>
          <w:rFonts w:cs="Arabic Transparent"/>
          <w:spacing w:val="-2"/>
          <w:sz w:val="28"/>
          <w:szCs w:val="28"/>
          <w:rtl/>
          <w:lang w:bidi="ar-MA"/>
        </w:rPr>
        <w:t xml:space="preserve">، موازاة مع تحسن مشتريات مواد التجهيز كالآلات والطائرات والهواتف النقالة. </w:t>
      </w:r>
      <w:r w:rsidRPr="00E15CF5">
        <w:rPr>
          <w:rFonts w:cs="Arabic Transparent"/>
          <w:spacing w:val="-2"/>
          <w:sz w:val="28"/>
          <w:szCs w:val="28"/>
          <w:rtl/>
          <w:lang w:bidi="ar-MA"/>
        </w:rPr>
        <w:t>وستساهم هذه الوضعية في تقلص العجز التجاري ب</w:t>
      </w:r>
      <w:r>
        <w:rPr>
          <w:rFonts w:cs="Arabic Transparent"/>
          <w:spacing w:val="-2"/>
          <w:sz w:val="28"/>
          <w:szCs w:val="28"/>
          <w:rtl/>
          <w:lang w:bidi="ar-MA"/>
        </w:rPr>
        <w:t>حوالي</w:t>
      </w:r>
      <w:r w:rsidRPr="00E15CF5">
        <w:rPr>
          <w:rFonts w:cs="Arabic Transparent"/>
          <w:spacing w:val="-2"/>
          <w:sz w:val="28"/>
          <w:szCs w:val="28"/>
          <w:rtl/>
          <w:lang w:bidi="ar-MA"/>
        </w:rPr>
        <w:t xml:space="preserve"> </w:t>
      </w:r>
      <w:r>
        <w:rPr>
          <w:rFonts w:cs="Arabic Transparent"/>
          <w:spacing w:val="-2"/>
          <w:sz w:val="28"/>
          <w:szCs w:val="28"/>
          <w:rtl/>
          <w:lang w:bidi="ar-MA"/>
        </w:rPr>
        <w:t>7,9</w:t>
      </w:r>
      <w:r w:rsidRPr="00E15CF5">
        <w:rPr>
          <w:rFonts w:cs="Arabic Transparent" w:hint="cs"/>
          <w:spacing w:val="-2"/>
          <w:sz w:val="28"/>
          <w:szCs w:val="28"/>
          <w:rtl/>
          <w:lang w:bidi="ar-MA"/>
        </w:rPr>
        <w:t>٪</w:t>
      </w:r>
      <w:r w:rsidRPr="00E15CF5">
        <w:rPr>
          <w:rFonts w:cs="Arabic Transparent"/>
          <w:spacing w:val="-2"/>
          <w:sz w:val="28"/>
          <w:szCs w:val="28"/>
          <w:rtl/>
          <w:lang w:bidi="ar-MA"/>
        </w:rPr>
        <w:t xml:space="preserve">، و تحسن معدل تغطية الصادرات للواردات بنسبة </w:t>
      </w:r>
      <w:r>
        <w:rPr>
          <w:rFonts w:cs="Arabic Transparent"/>
          <w:spacing w:val="-2"/>
          <w:sz w:val="28"/>
          <w:szCs w:val="28"/>
          <w:rtl/>
          <w:lang w:bidi="ar-MA"/>
        </w:rPr>
        <w:t>3,3</w:t>
      </w:r>
      <w:r w:rsidRPr="00E15CF5">
        <w:rPr>
          <w:rFonts w:cs="Arabic Transparent"/>
          <w:spacing w:val="-2"/>
          <w:sz w:val="28"/>
          <w:szCs w:val="28"/>
          <w:rtl/>
          <w:lang w:bidi="ar-MA"/>
        </w:rPr>
        <w:t xml:space="preserve"> نقط</w:t>
      </w:r>
      <w:r>
        <w:rPr>
          <w:rFonts w:cs="Arabic Transparent"/>
          <w:spacing w:val="-2"/>
          <w:sz w:val="28"/>
          <w:szCs w:val="28"/>
          <w:rtl/>
          <w:lang w:bidi="ar-MA"/>
        </w:rPr>
        <w:t>ة</w:t>
      </w:r>
      <w:r w:rsidRPr="00E15CF5">
        <w:rPr>
          <w:rFonts w:cs="Arabic Transparent"/>
          <w:spacing w:val="-2"/>
          <w:sz w:val="28"/>
          <w:szCs w:val="28"/>
          <w:rtl/>
          <w:lang w:bidi="ar-MA"/>
        </w:rPr>
        <w:t xml:space="preserve"> ليستقر في حدود </w:t>
      </w:r>
      <w:r>
        <w:rPr>
          <w:rFonts w:cs="Arabic Transparent"/>
          <w:spacing w:val="-2"/>
          <w:sz w:val="28"/>
          <w:szCs w:val="28"/>
          <w:rtl/>
          <w:lang w:bidi="ar-MA"/>
        </w:rPr>
        <w:t>56</w:t>
      </w:r>
      <w:r w:rsidRPr="00E15CF5">
        <w:rPr>
          <w:rFonts w:cs="Arabic Transparent"/>
          <w:spacing w:val="-2"/>
          <w:sz w:val="28"/>
          <w:szCs w:val="28"/>
          <w:rtl/>
          <w:lang w:bidi="ar-MA"/>
        </w:rPr>
        <w:t>,</w:t>
      </w:r>
      <w:r>
        <w:rPr>
          <w:rFonts w:cs="Arabic Transparent"/>
          <w:spacing w:val="-2"/>
          <w:sz w:val="28"/>
          <w:szCs w:val="28"/>
          <w:rtl/>
          <w:lang w:bidi="ar-MA"/>
        </w:rPr>
        <w:t>2</w:t>
      </w:r>
      <w:r w:rsidRPr="00E15CF5">
        <w:rPr>
          <w:rFonts w:cs="Arabic Transparent" w:hint="cs"/>
          <w:spacing w:val="-2"/>
          <w:sz w:val="28"/>
          <w:szCs w:val="28"/>
          <w:rtl/>
          <w:lang w:bidi="ar-MA"/>
        </w:rPr>
        <w:t>٪</w:t>
      </w:r>
      <w:r w:rsidRPr="00E15CF5">
        <w:rPr>
          <w:rFonts w:cs="Arabic Transparent"/>
          <w:spacing w:val="-2"/>
          <w:sz w:val="28"/>
          <w:szCs w:val="28"/>
          <w:rtl/>
          <w:lang w:bidi="ar-MA"/>
        </w:rPr>
        <w:t>.</w:t>
      </w:r>
    </w:p>
    <w:p w:rsidR="002B1AED" w:rsidRPr="00353C83" w:rsidRDefault="002B1AED" w:rsidP="008517FE">
      <w:pPr>
        <w:bidi/>
        <w:jc w:val="both"/>
        <w:rPr>
          <w:rFonts w:cs="Arabic Transparent"/>
          <w:sz w:val="18"/>
          <w:szCs w:val="18"/>
          <w:lang w:bidi="ar-MA"/>
        </w:rPr>
      </w:pPr>
      <w:r w:rsidRPr="00353C83">
        <w:rPr>
          <w:rFonts w:cs="Arabic Transparent"/>
          <w:b/>
          <w:bCs/>
          <w:sz w:val="18"/>
          <w:szCs w:val="18"/>
          <w:rtl/>
          <w:lang w:bidi="ar-EG"/>
        </w:rPr>
        <w:t>.....................................................................................................................................................................</w:t>
      </w:r>
    </w:p>
    <w:p w:rsidR="002B1AED" w:rsidRPr="003F0B16" w:rsidRDefault="002B1AED" w:rsidP="003F0B16">
      <w:pPr>
        <w:bidi/>
        <w:jc w:val="both"/>
        <w:rPr>
          <w:rFonts w:cs="Arabic Transparent"/>
          <w:b/>
          <w:bCs/>
          <w:sz w:val="18"/>
          <w:szCs w:val="18"/>
          <w:rtl/>
          <w:lang w:bidi="ar-MA"/>
        </w:rPr>
      </w:pPr>
      <w:r w:rsidRPr="003F0B16">
        <w:rPr>
          <w:rFonts w:cs="Arabic Transparent"/>
          <w:i/>
          <w:iCs/>
          <w:sz w:val="18"/>
          <w:szCs w:val="18"/>
          <w:rtl/>
        </w:rPr>
        <w:t xml:space="preserve">من اجل الاطلاع على النسخة المفصلة لموجز الظرفية الاقتصادية، يمكن الرجوع إلى البوابة الالكترونية للمندوبية السامية للتخطيط </w:t>
      </w:r>
      <w:r w:rsidRPr="003F0B16">
        <w:rPr>
          <w:rFonts w:cs="Arabic Transparent"/>
          <w:i/>
          <w:iCs/>
          <w:sz w:val="18"/>
          <w:szCs w:val="18"/>
        </w:rPr>
        <w:t>)</w:t>
      </w:r>
      <w:hyperlink r:id="rId10" w:history="1">
        <w:r w:rsidRPr="003F0B16">
          <w:rPr>
            <w:rFonts w:cs="Arabic Transparent"/>
            <w:sz w:val="18"/>
            <w:szCs w:val="18"/>
          </w:rPr>
          <w:t>www.hcp.ma</w:t>
        </w:r>
      </w:hyperlink>
      <w:r w:rsidRPr="003F0B16">
        <w:rPr>
          <w:rFonts w:cs="Arabic Transparent"/>
          <w:i/>
          <w:iCs/>
          <w:sz w:val="18"/>
          <w:szCs w:val="18"/>
        </w:rPr>
        <w:t>(</w:t>
      </w:r>
      <w:r w:rsidRPr="003F0B16">
        <w:rPr>
          <w:rFonts w:cs="Arabic Transparent"/>
          <w:i/>
          <w:iCs/>
          <w:sz w:val="18"/>
          <w:szCs w:val="18"/>
          <w:rtl/>
        </w:rPr>
        <w:t>.</w:t>
      </w:r>
      <w:r w:rsidRPr="003F0B16">
        <w:rPr>
          <w:rFonts w:cs="Arabic Transparent"/>
          <w:i/>
          <w:iCs/>
          <w:sz w:val="18"/>
          <w:szCs w:val="18"/>
        </w:rPr>
        <w:t xml:space="preserve"> </w:t>
      </w:r>
      <w:r w:rsidRPr="003F0B16">
        <w:rPr>
          <w:rFonts w:cs="Arabic Transparent"/>
          <w:i/>
          <w:iCs/>
          <w:sz w:val="18"/>
          <w:szCs w:val="18"/>
          <w:rtl/>
        </w:rPr>
        <w:t>يسمح باستعمال المعلومات التي تتضمنها هذه النشرة مع ضرورة الإشارة إلى المصدر</w:t>
      </w:r>
      <w:r w:rsidRPr="003F0B16">
        <w:rPr>
          <w:rFonts w:cs="Arabic Transparent"/>
          <w:i/>
          <w:iCs/>
          <w:sz w:val="18"/>
          <w:szCs w:val="18"/>
        </w:rPr>
        <w:t>.</w:t>
      </w:r>
    </w:p>
    <w:p w:rsidR="002B1AED" w:rsidRDefault="002B1AED" w:rsidP="00322381">
      <w:pPr>
        <w:bidi/>
        <w:jc w:val="both"/>
        <w:rPr>
          <w:rFonts w:cs="Arabic Transparent"/>
          <w:b/>
          <w:bCs/>
          <w:color w:val="800000"/>
          <w:spacing w:val="-14"/>
          <w:sz w:val="28"/>
          <w:szCs w:val="28"/>
          <w:rtl/>
          <w:lang w:bidi="ar-MA"/>
        </w:rPr>
      </w:pPr>
    </w:p>
    <w:p w:rsidR="002B1AED" w:rsidRDefault="00C4698A" w:rsidP="0025100F">
      <w:pPr>
        <w:bidi/>
        <w:jc w:val="both"/>
        <w:rPr>
          <w:rFonts w:cs="Arabic Transparent"/>
          <w:b/>
          <w:bCs/>
          <w:color w:val="800000"/>
          <w:spacing w:val="-14"/>
          <w:sz w:val="28"/>
          <w:szCs w:val="28"/>
          <w:rtl/>
          <w:lang w:bidi="ar-MA"/>
        </w:rPr>
      </w:pPr>
      <w:r>
        <w:rPr>
          <w:noProof/>
          <w:rtl/>
        </w:rPr>
        <w:lastRenderedPageBreak/>
        <w:drawing>
          <wp:anchor distT="0" distB="0" distL="114300" distR="114300" simplePos="0" relativeHeight="251657216" behindDoc="0" locked="0" layoutInCell="1" allowOverlap="1">
            <wp:simplePos x="0" y="0"/>
            <wp:positionH relativeFrom="column">
              <wp:posOffset>-228600</wp:posOffset>
            </wp:positionH>
            <wp:positionV relativeFrom="paragraph">
              <wp:posOffset>114300</wp:posOffset>
            </wp:positionV>
            <wp:extent cx="2628900" cy="217170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1"/>
                    <a:srcRect/>
                    <a:stretch>
                      <a:fillRect/>
                    </a:stretch>
                  </pic:blipFill>
                  <pic:spPr bwMode="auto">
                    <a:xfrm>
                      <a:off x="0" y="0"/>
                      <a:ext cx="2628900" cy="2171700"/>
                    </a:xfrm>
                    <a:prstGeom prst="rect">
                      <a:avLst/>
                    </a:prstGeom>
                    <a:noFill/>
                  </pic:spPr>
                </pic:pic>
              </a:graphicData>
            </a:graphic>
          </wp:anchor>
        </w:drawing>
      </w:r>
      <w:r w:rsidR="002B1AED">
        <w:rPr>
          <w:rFonts w:cs="Arabic Transparent"/>
          <w:b/>
          <w:bCs/>
          <w:color w:val="800000"/>
          <w:sz w:val="28"/>
          <w:szCs w:val="28"/>
          <w:rtl/>
          <w:lang w:bidi="ar-MA"/>
        </w:rPr>
        <w:t xml:space="preserve">استمرار تحسن </w:t>
      </w:r>
      <w:r w:rsidR="002B1AED" w:rsidRPr="00E15CF5">
        <w:rPr>
          <w:rFonts w:cs="Arabic Transparent"/>
          <w:b/>
          <w:bCs/>
          <w:color w:val="800000"/>
          <w:sz w:val="28"/>
          <w:szCs w:val="28"/>
          <w:rtl/>
          <w:lang w:bidi="ar-MA"/>
        </w:rPr>
        <w:t>ا</w:t>
      </w:r>
      <w:r w:rsidR="002B1AED" w:rsidRPr="00E15CF5">
        <w:rPr>
          <w:rFonts w:cs="Arabic Transparent"/>
          <w:b/>
          <w:bCs/>
          <w:color w:val="800000"/>
          <w:spacing w:val="-14"/>
          <w:sz w:val="28"/>
          <w:szCs w:val="28"/>
          <w:rtl/>
          <w:lang w:bidi="ar-MA"/>
        </w:rPr>
        <w:t>لطلب الداخلي</w:t>
      </w:r>
    </w:p>
    <w:p w:rsidR="002B1AED" w:rsidRPr="00E15CF5" w:rsidRDefault="002B1AED" w:rsidP="00417E25">
      <w:pPr>
        <w:bidi/>
        <w:jc w:val="both"/>
        <w:rPr>
          <w:rFonts w:cs="Arabic Transparent"/>
          <w:spacing w:val="-14"/>
          <w:sz w:val="28"/>
          <w:szCs w:val="28"/>
          <w:rtl/>
        </w:rPr>
      </w:pPr>
    </w:p>
    <w:p w:rsidR="002B1AED" w:rsidRDefault="002B1AED" w:rsidP="00A5408C">
      <w:pPr>
        <w:bidi/>
        <w:jc w:val="both"/>
        <w:rPr>
          <w:rFonts w:cs="Arabic Transparent"/>
          <w:spacing w:val="-14"/>
          <w:sz w:val="28"/>
          <w:szCs w:val="28"/>
          <w:rtl/>
          <w:lang w:bidi="ar-EG"/>
        </w:rPr>
      </w:pPr>
      <w:r w:rsidRPr="00E15CF5">
        <w:rPr>
          <w:rFonts w:cs="Arabic Transparent"/>
          <w:spacing w:val="-14"/>
          <w:sz w:val="28"/>
          <w:szCs w:val="28"/>
          <w:rtl/>
          <w:lang w:bidi="ar-MA"/>
        </w:rPr>
        <w:t>سيواصل الطلب الداخلي دعمه للاقتصاد الوطني، خلال الفصل ال</w:t>
      </w:r>
      <w:r>
        <w:rPr>
          <w:rFonts w:cs="Arabic Transparent"/>
          <w:spacing w:val="-14"/>
          <w:sz w:val="28"/>
          <w:szCs w:val="28"/>
          <w:rtl/>
          <w:lang w:bidi="ar-MA"/>
        </w:rPr>
        <w:t>ثالث</w:t>
      </w:r>
      <w:r w:rsidRPr="00E15CF5">
        <w:rPr>
          <w:rFonts w:cs="Arabic Transparent"/>
          <w:spacing w:val="-14"/>
          <w:sz w:val="28"/>
          <w:szCs w:val="28"/>
          <w:rtl/>
          <w:lang w:bidi="ar-MA"/>
        </w:rPr>
        <w:t xml:space="preserve"> 2015، </w:t>
      </w:r>
      <w:r>
        <w:rPr>
          <w:rFonts w:cs="Arabic Transparent"/>
          <w:spacing w:val="-14"/>
          <w:sz w:val="28"/>
          <w:szCs w:val="28"/>
          <w:rtl/>
          <w:lang w:bidi="ar-MA"/>
        </w:rPr>
        <w:t xml:space="preserve">في ظل ظرفية تتسم بتحسن مؤشر ثقة المستهلكين وتباطؤ وثيرة </w:t>
      </w:r>
      <w:r w:rsidRPr="00E15CF5">
        <w:rPr>
          <w:rFonts w:cs="Arabic Transparent"/>
          <w:spacing w:val="-14"/>
          <w:sz w:val="28"/>
          <w:szCs w:val="28"/>
          <w:rtl/>
          <w:lang w:bidi="ar-MA"/>
        </w:rPr>
        <w:t>أسعار الاستهلاك</w:t>
      </w:r>
      <w:r>
        <w:rPr>
          <w:rFonts w:cs="Arabic Transparent"/>
          <w:spacing w:val="-14"/>
          <w:sz w:val="28"/>
          <w:szCs w:val="28"/>
          <w:rtl/>
          <w:lang w:bidi="ar-MA"/>
        </w:rPr>
        <w:t xml:space="preserve"> وتحسن التشغيل المؤدى عنه. ومن المنتظر أن يحقق </w:t>
      </w:r>
      <w:r w:rsidRPr="00E15CF5">
        <w:rPr>
          <w:rFonts w:cs="Arabic Transparent"/>
          <w:spacing w:val="-14"/>
          <w:sz w:val="28"/>
          <w:szCs w:val="28"/>
          <w:rtl/>
          <w:lang w:bidi="ar-MA"/>
        </w:rPr>
        <w:t>استهلاك الأسر نموا يقدر</w:t>
      </w:r>
      <w:r>
        <w:rPr>
          <w:rFonts w:cs="Arabic Transparent"/>
          <w:spacing w:val="-14"/>
          <w:sz w:val="28"/>
          <w:szCs w:val="28"/>
          <w:rtl/>
          <w:lang w:bidi="ar-MA"/>
        </w:rPr>
        <w:t xml:space="preserve"> ب</w:t>
      </w:r>
      <w:r w:rsidRPr="00E15CF5">
        <w:rPr>
          <w:rFonts w:cs="Arabic Transparent"/>
          <w:spacing w:val="-14"/>
          <w:sz w:val="28"/>
          <w:szCs w:val="28"/>
          <w:rtl/>
          <w:lang w:bidi="ar-MA"/>
        </w:rPr>
        <w:t xml:space="preserve"> </w:t>
      </w:r>
      <w:r>
        <w:rPr>
          <w:rFonts w:cs="Arabic Transparent"/>
          <w:spacing w:val="-14"/>
          <w:sz w:val="28"/>
          <w:szCs w:val="28"/>
          <w:rtl/>
          <w:lang w:bidi="ar-MA"/>
        </w:rPr>
        <w:t>3,8</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عوض </w:t>
      </w:r>
      <w:r>
        <w:rPr>
          <w:rFonts w:cs="Arabic Transparent"/>
          <w:spacing w:val="-14"/>
          <w:sz w:val="28"/>
          <w:szCs w:val="28"/>
          <w:rtl/>
          <w:lang w:bidi="ar-MA"/>
        </w:rPr>
        <w:t>3</w:t>
      </w:r>
      <w:r w:rsidRPr="00E15CF5">
        <w:rPr>
          <w:rFonts w:cs="Arabic Transparent"/>
          <w:spacing w:val="-14"/>
          <w:sz w:val="28"/>
          <w:szCs w:val="28"/>
          <w:rtl/>
          <w:lang w:bidi="ar-MA"/>
        </w:rPr>
        <w:t>,</w:t>
      </w:r>
      <w:r>
        <w:rPr>
          <w:rFonts w:cs="Arabic Transparent"/>
          <w:spacing w:val="-14"/>
          <w:sz w:val="28"/>
          <w:szCs w:val="28"/>
          <w:rtl/>
          <w:lang w:bidi="ar-MA"/>
        </w:rPr>
        <w:t>4</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خلال الفصل السابق و</w:t>
      </w:r>
      <w:r w:rsidRPr="00E15CF5">
        <w:rPr>
          <w:rFonts w:cs="Arabic Transparent"/>
          <w:spacing w:val="-14"/>
          <w:sz w:val="28"/>
          <w:szCs w:val="28"/>
          <w:rtl/>
          <w:lang w:bidi="ar-MA"/>
        </w:rPr>
        <w:t>حسب التغير السنوي</w:t>
      </w:r>
      <w:r>
        <w:rPr>
          <w:spacing w:val="-14"/>
          <w:sz w:val="28"/>
          <w:szCs w:val="28"/>
          <w:rtl/>
          <w:lang w:bidi="ar-MA"/>
        </w:rPr>
        <w:t>٬</w:t>
      </w:r>
      <w:r>
        <w:rPr>
          <w:rFonts w:cs="Arabic Transparent"/>
          <w:spacing w:val="-14"/>
          <w:sz w:val="28"/>
          <w:szCs w:val="28"/>
          <w:rtl/>
          <w:lang w:bidi="ar-MA"/>
        </w:rPr>
        <w:t xml:space="preserve"> مستفيدا من ارتفاع القروض الموجهة للاستهلاك بنسبة 5</w:t>
      </w:r>
      <w:r w:rsidRPr="00E15CF5">
        <w:rPr>
          <w:rFonts w:cs="Arabic Transparent"/>
          <w:spacing w:val="-14"/>
          <w:sz w:val="28"/>
          <w:szCs w:val="28"/>
          <w:rtl/>
          <w:lang w:bidi="ar-MA"/>
        </w:rPr>
        <w:t>,</w:t>
      </w:r>
      <w:r>
        <w:rPr>
          <w:rFonts w:cs="Arabic Transparent"/>
          <w:spacing w:val="-14"/>
          <w:sz w:val="28"/>
          <w:szCs w:val="28"/>
          <w:rtl/>
          <w:lang w:bidi="ar-MA"/>
        </w:rPr>
        <w:t>6</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 xml:space="preserve">وتحسن تحويلات المغاربة المقيمين بالخارج بحوالي </w:t>
      </w:r>
      <w:r>
        <w:rPr>
          <w:rFonts w:cs="Arabic Transparent"/>
          <w:spacing w:val="-14"/>
          <w:sz w:val="28"/>
          <w:szCs w:val="28"/>
          <w:lang w:bidi="ar-MA"/>
        </w:rPr>
        <w:t xml:space="preserve"> </w:t>
      </w:r>
      <w:r>
        <w:rPr>
          <w:rFonts w:cs="Arabic Transparent"/>
          <w:spacing w:val="-14"/>
          <w:sz w:val="28"/>
          <w:szCs w:val="28"/>
          <w:rtl/>
          <w:lang w:bidi="ar-MA"/>
        </w:rPr>
        <w:t>6,5</w:t>
      </w:r>
      <w:r w:rsidRPr="00E15CF5">
        <w:rPr>
          <w:rFonts w:cs="Arabic Transparent" w:hint="cs"/>
          <w:spacing w:val="-14"/>
          <w:sz w:val="28"/>
          <w:szCs w:val="28"/>
          <w:rtl/>
          <w:lang w:bidi="ar-MA"/>
        </w:rPr>
        <w:t>٪</w:t>
      </w:r>
      <w:r>
        <w:rPr>
          <w:rFonts w:cs="Arabic Transparent"/>
          <w:spacing w:val="-14"/>
          <w:sz w:val="28"/>
          <w:szCs w:val="28"/>
          <w:rtl/>
          <w:lang w:bidi="ar-EG"/>
        </w:rPr>
        <w:t>.</w:t>
      </w:r>
    </w:p>
    <w:p w:rsidR="002B1AED" w:rsidRDefault="002B1AED" w:rsidP="00FC4E07">
      <w:pPr>
        <w:bidi/>
        <w:jc w:val="both"/>
        <w:rPr>
          <w:rFonts w:cs="Arabic Transparent"/>
          <w:spacing w:val="-14"/>
          <w:sz w:val="28"/>
          <w:szCs w:val="28"/>
          <w:rtl/>
          <w:lang w:bidi="ar-MA"/>
        </w:rPr>
      </w:pPr>
    </w:p>
    <w:p w:rsidR="002B1AED" w:rsidRPr="00E15CF5" w:rsidRDefault="002B1AED" w:rsidP="005B2E2E">
      <w:pPr>
        <w:bidi/>
        <w:spacing w:line="340" w:lineRule="exact"/>
        <w:jc w:val="both"/>
        <w:rPr>
          <w:rFonts w:cs="Arabic Transparent"/>
          <w:spacing w:val="-14"/>
          <w:sz w:val="28"/>
          <w:szCs w:val="28"/>
          <w:lang w:bidi="ar-MA"/>
        </w:rPr>
      </w:pPr>
      <w:r>
        <w:rPr>
          <w:rFonts w:cs="Arabic Transparent"/>
          <w:spacing w:val="-14"/>
          <w:sz w:val="28"/>
          <w:szCs w:val="28"/>
          <w:rtl/>
          <w:lang w:bidi="ar-MA"/>
        </w:rPr>
        <w:t>من جهته، سيحقق الاستثمار الخاص</w:t>
      </w:r>
      <w:r w:rsidRPr="00E15CF5">
        <w:rPr>
          <w:rFonts w:cs="Arabic Transparent"/>
          <w:spacing w:val="-14"/>
          <w:sz w:val="28"/>
          <w:szCs w:val="28"/>
          <w:rtl/>
          <w:lang w:bidi="ar-MA"/>
        </w:rPr>
        <w:t xml:space="preserve"> نموا يقدر ب </w:t>
      </w:r>
      <w:r>
        <w:rPr>
          <w:rFonts w:cs="Arabic Transparent"/>
          <w:spacing w:val="-14"/>
          <w:sz w:val="28"/>
          <w:szCs w:val="28"/>
          <w:rtl/>
          <w:lang w:bidi="ar-MA"/>
        </w:rPr>
        <w:t>1</w:t>
      </w:r>
      <w:r w:rsidRPr="00E15CF5">
        <w:rPr>
          <w:rFonts w:cs="Arabic Transparent"/>
          <w:spacing w:val="-14"/>
          <w:sz w:val="28"/>
          <w:szCs w:val="28"/>
          <w:rtl/>
          <w:lang w:bidi="ar-MA"/>
        </w:rPr>
        <w:t>,</w:t>
      </w:r>
      <w:r>
        <w:rPr>
          <w:rFonts w:cs="Arabic Transparent"/>
          <w:spacing w:val="-14"/>
          <w:sz w:val="28"/>
          <w:szCs w:val="28"/>
          <w:rtl/>
          <w:lang w:bidi="ar-MA"/>
        </w:rPr>
        <w:t>7</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خلال الفصل الثالث من 2015، عوض 1</w:t>
      </w:r>
      <w:r w:rsidRPr="00E15CF5">
        <w:rPr>
          <w:rFonts w:cs="Arabic Transparent"/>
          <w:spacing w:val="-14"/>
          <w:sz w:val="28"/>
          <w:szCs w:val="28"/>
          <w:rtl/>
          <w:lang w:bidi="ar-MA"/>
        </w:rPr>
        <w:t>,</w:t>
      </w:r>
      <w:r>
        <w:rPr>
          <w:rFonts w:cs="Arabic Transparent"/>
          <w:spacing w:val="-14"/>
          <w:sz w:val="28"/>
          <w:szCs w:val="28"/>
          <w:rtl/>
          <w:lang w:bidi="ar-MA"/>
        </w:rPr>
        <w:t>2</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 xml:space="preserve">خلال الفصل السابق، وذلك </w:t>
      </w:r>
      <w:r w:rsidRPr="00E15CF5">
        <w:rPr>
          <w:rFonts w:cs="Arabic Transparent"/>
          <w:spacing w:val="-14"/>
          <w:sz w:val="28"/>
          <w:szCs w:val="28"/>
          <w:rtl/>
          <w:lang w:bidi="ar-MA"/>
        </w:rPr>
        <w:t xml:space="preserve">بفضل </w:t>
      </w:r>
      <w:r>
        <w:rPr>
          <w:rFonts w:cs="Arabic Transparent"/>
          <w:spacing w:val="-14"/>
          <w:sz w:val="28"/>
          <w:szCs w:val="28"/>
          <w:rtl/>
          <w:lang w:bidi="ar-MA"/>
        </w:rPr>
        <w:t>تحسن طفيف ل</w:t>
      </w:r>
      <w:r w:rsidRPr="00E15CF5">
        <w:rPr>
          <w:rFonts w:cs="Arabic Transparent"/>
          <w:spacing w:val="-14"/>
          <w:sz w:val="28"/>
          <w:szCs w:val="28"/>
          <w:rtl/>
          <w:lang w:bidi="ar-MA"/>
        </w:rPr>
        <w:t>لاستثمار في قطاع</w:t>
      </w:r>
      <w:r>
        <w:rPr>
          <w:rFonts w:cs="Arabic Transparent"/>
          <w:spacing w:val="-14"/>
          <w:sz w:val="28"/>
          <w:szCs w:val="28"/>
          <w:rtl/>
          <w:lang w:bidi="ar-MA"/>
        </w:rPr>
        <w:t xml:space="preserve"> البناء</w:t>
      </w:r>
      <w:r w:rsidRPr="00E15CF5">
        <w:rPr>
          <w:rFonts w:cs="Arabic Transparent"/>
          <w:spacing w:val="-14"/>
          <w:sz w:val="28"/>
          <w:szCs w:val="28"/>
          <w:rtl/>
          <w:lang w:bidi="ar-MA"/>
        </w:rPr>
        <w:t xml:space="preserve">، </w:t>
      </w:r>
      <w:r>
        <w:rPr>
          <w:rFonts w:cs="Arabic Transparent"/>
          <w:spacing w:val="-14"/>
          <w:sz w:val="28"/>
          <w:szCs w:val="28"/>
          <w:rtl/>
          <w:lang w:bidi="ar-MA"/>
        </w:rPr>
        <w:t>موازاة مع</w:t>
      </w:r>
      <w:r w:rsidRPr="00E15CF5">
        <w:rPr>
          <w:rFonts w:cs="Arabic Transparent"/>
          <w:spacing w:val="-14"/>
          <w:sz w:val="28"/>
          <w:szCs w:val="28"/>
          <w:rtl/>
          <w:lang w:bidi="ar-MA"/>
        </w:rPr>
        <w:t xml:space="preserve"> </w:t>
      </w:r>
      <w:r>
        <w:rPr>
          <w:rFonts w:cs="Arabic Transparent"/>
          <w:spacing w:val="-14"/>
          <w:sz w:val="28"/>
          <w:szCs w:val="28"/>
          <w:rtl/>
          <w:lang w:bidi="ar-MA"/>
        </w:rPr>
        <w:t xml:space="preserve">تحسن </w:t>
      </w:r>
      <w:r w:rsidRPr="00E15CF5">
        <w:rPr>
          <w:rFonts w:cs="Arabic Transparent"/>
          <w:spacing w:val="-14"/>
          <w:sz w:val="28"/>
          <w:szCs w:val="28"/>
          <w:rtl/>
          <w:lang w:bidi="ar-MA"/>
        </w:rPr>
        <w:t>مبيعات الاسمنت</w:t>
      </w:r>
      <w:r>
        <w:rPr>
          <w:rFonts w:cs="Arabic Transparent"/>
          <w:spacing w:val="-14"/>
          <w:sz w:val="28"/>
          <w:szCs w:val="28"/>
          <w:rtl/>
          <w:lang w:bidi="ar-MA"/>
        </w:rPr>
        <w:t xml:space="preserve"> ب 5</w:t>
      </w:r>
      <w:r w:rsidRPr="009F6162">
        <w:rPr>
          <w:rFonts w:cs="Arabic Transparent"/>
          <w:spacing w:val="-14"/>
          <w:sz w:val="28"/>
          <w:szCs w:val="28"/>
          <w:rtl/>
          <w:lang w:bidi="ar-MA"/>
        </w:rPr>
        <w:t>,</w:t>
      </w:r>
      <w:r>
        <w:rPr>
          <w:rFonts w:cs="Arabic Transparent"/>
          <w:spacing w:val="-14"/>
          <w:sz w:val="28"/>
          <w:szCs w:val="28"/>
          <w:rtl/>
          <w:lang w:bidi="ar-MA"/>
        </w:rPr>
        <w:t>2</w:t>
      </w:r>
      <w:r w:rsidRPr="009F6162">
        <w:rPr>
          <w:rFonts w:cs="Arabic Transparent" w:hint="cs"/>
          <w:spacing w:val="-14"/>
          <w:sz w:val="28"/>
          <w:szCs w:val="28"/>
          <w:rtl/>
          <w:lang w:bidi="ar-MA"/>
        </w:rPr>
        <w:t>٪</w:t>
      </w:r>
      <w:r w:rsidRPr="009F6162">
        <w:rPr>
          <w:rFonts w:cs="Arabic Transparent"/>
          <w:spacing w:val="-14"/>
          <w:sz w:val="28"/>
          <w:szCs w:val="28"/>
          <w:rtl/>
          <w:lang w:bidi="ar-MA"/>
        </w:rPr>
        <w:t>،</w:t>
      </w:r>
      <w:r>
        <w:rPr>
          <w:rFonts w:cs="Arabic Transparent"/>
          <w:spacing w:val="-14"/>
          <w:sz w:val="28"/>
          <w:szCs w:val="28"/>
          <w:rtl/>
          <w:lang w:bidi="ar-MA"/>
        </w:rPr>
        <w:t xml:space="preserve"> وارتفاع وتيرة ا</w:t>
      </w:r>
      <w:r w:rsidRPr="00E15CF5">
        <w:rPr>
          <w:rFonts w:cs="Arabic Transparent"/>
          <w:spacing w:val="-14"/>
          <w:sz w:val="28"/>
          <w:szCs w:val="28"/>
          <w:rtl/>
          <w:lang w:bidi="ar-MA"/>
        </w:rPr>
        <w:t xml:space="preserve">لقروض الموجهة </w:t>
      </w:r>
      <w:r>
        <w:rPr>
          <w:rFonts w:cs="Arabic Transparent"/>
          <w:spacing w:val="-14"/>
          <w:sz w:val="28"/>
          <w:szCs w:val="28"/>
          <w:rtl/>
          <w:lang w:bidi="ar-MA"/>
        </w:rPr>
        <w:t>ل</w:t>
      </w:r>
      <w:r w:rsidRPr="00E15CF5">
        <w:rPr>
          <w:rFonts w:cs="Arabic Transparent"/>
          <w:spacing w:val="-14"/>
          <w:sz w:val="28"/>
          <w:szCs w:val="28"/>
          <w:rtl/>
          <w:lang w:bidi="ar-MA"/>
        </w:rPr>
        <w:t>ل</w:t>
      </w:r>
      <w:r>
        <w:rPr>
          <w:rFonts w:cs="Arabic Transparent"/>
          <w:spacing w:val="-14"/>
          <w:sz w:val="28"/>
          <w:szCs w:val="28"/>
          <w:rtl/>
          <w:lang w:bidi="ar-MA"/>
        </w:rPr>
        <w:t>سكن</w:t>
      </w:r>
      <w:r w:rsidRPr="00E15CF5">
        <w:rPr>
          <w:rFonts w:cs="Arabic Transparent"/>
          <w:spacing w:val="-14"/>
          <w:sz w:val="28"/>
          <w:szCs w:val="28"/>
          <w:rtl/>
          <w:lang w:bidi="ar-MA"/>
        </w:rPr>
        <w:t xml:space="preserve"> </w:t>
      </w:r>
      <w:r>
        <w:rPr>
          <w:rFonts w:cs="Arabic Transparent"/>
          <w:spacing w:val="-14"/>
          <w:sz w:val="28"/>
          <w:szCs w:val="28"/>
          <w:rtl/>
          <w:lang w:bidi="ar-MA"/>
        </w:rPr>
        <w:t>ب</w:t>
      </w:r>
      <w:r w:rsidRPr="00E15CF5">
        <w:rPr>
          <w:rFonts w:cs="Arabic Transparent"/>
          <w:spacing w:val="-14"/>
          <w:sz w:val="28"/>
          <w:szCs w:val="28"/>
          <w:rtl/>
          <w:lang w:bidi="ar-MA"/>
        </w:rPr>
        <w:t xml:space="preserve"> </w:t>
      </w:r>
      <w:r>
        <w:rPr>
          <w:rFonts w:cs="Arabic Transparent"/>
          <w:spacing w:val="-14"/>
          <w:sz w:val="28"/>
          <w:szCs w:val="28"/>
          <w:rtl/>
          <w:lang w:bidi="ar-MA"/>
        </w:rPr>
        <w:t>2,9</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في متم شهر </w:t>
      </w:r>
      <w:r>
        <w:rPr>
          <w:rFonts w:cs="Arabic Transparent"/>
          <w:spacing w:val="-14"/>
          <w:sz w:val="28"/>
          <w:szCs w:val="28"/>
          <w:rtl/>
          <w:lang w:bidi="ar-MA"/>
        </w:rPr>
        <w:t>غشت الماضي، حسب التغير السنوي. كما سيواصل</w:t>
      </w:r>
      <w:r w:rsidRPr="00E15CF5">
        <w:rPr>
          <w:rFonts w:cs="Arabic Transparent"/>
          <w:spacing w:val="-14"/>
          <w:sz w:val="28"/>
          <w:szCs w:val="28"/>
          <w:rtl/>
          <w:lang w:bidi="ar-MA"/>
        </w:rPr>
        <w:t xml:space="preserve"> الاستثمار في قطاع </w:t>
      </w:r>
      <w:r>
        <w:rPr>
          <w:rFonts w:cs="Arabic Transparent"/>
          <w:spacing w:val="-14"/>
          <w:sz w:val="28"/>
          <w:szCs w:val="28"/>
          <w:rtl/>
          <w:lang w:bidi="ar-MA"/>
        </w:rPr>
        <w:t>الصناعات التحويلية تطوره المتواضع</w:t>
      </w:r>
      <w:r w:rsidRPr="00E15CF5">
        <w:rPr>
          <w:rFonts w:cs="Arabic Transparent"/>
          <w:spacing w:val="-14"/>
          <w:sz w:val="28"/>
          <w:szCs w:val="28"/>
          <w:rtl/>
          <w:lang w:bidi="ar-MA"/>
        </w:rPr>
        <w:t>، باعتبار</w:t>
      </w:r>
      <w:r>
        <w:rPr>
          <w:rFonts w:cs="Arabic Transparent"/>
          <w:spacing w:val="-14"/>
          <w:sz w:val="28"/>
          <w:szCs w:val="28"/>
          <w:rtl/>
          <w:lang w:bidi="ar-MA"/>
        </w:rPr>
        <w:t xml:space="preserve"> ارتفاع</w:t>
      </w:r>
      <w:r w:rsidRPr="00E15CF5">
        <w:rPr>
          <w:rFonts w:cs="Arabic Transparent"/>
          <w:spacing w:val="-14"/>
          <w:sz w:val="28"/>
          <w:szCs w:val="28"/>
          <w:rtl/>
          <w:lang w:bidi="ar-MA"/>
        </w:rPr>
        <w:t xml:space="preserve"> القروض الموجهة للتجهيز ب </w:t>
      </w:r>
      <w:r>
        <w:rPr>
          <w:rFonts w:cs="Arabic Transparent"/>
          <w:spacing w:val="-14"/>
          <w:sz w:val="28"/>
          <w:szCs w:val="28"/>
          <w:rtl/>
          <w:lang w:bidi="ar-MA"/>
        </w:rPr>
        <w:t>2,1</w:t>
      </w:r>
      <w:r w:rsidRPr="00E15CF5">
        <w:rPr>
          <w:rFonts w:cs="Arabic Transparent" w:hint="cs"/>
          <w:spacing w:val="-14"/>
          <w:sz w:val="28"/>
          <w:szCs w:val="28"/>
          <w:rtl/>
          <w:lang w:bidi="ar-MA"/>
        </w:rPr>
        <w:t>٪</w:t>
      </w:r>
      <w:r>
        <w:rPr>
          <w:rFonts w:cs="Arabic Transparent"/>
          <w:spacing w:val="-14"/>
          <w:sz w:val="28"/>
          <w:szCs w:val="28"/>
          <w:rtl/>
          <w:lang w:bidi="ar-MA"/>
        </w:rPr>
        <w:t xml:space="preserve"> في متم</w:t>
      </w:r>
      <w:r w:rsidRPr="00E15CF5">
        <w:rPr>
          <w:rFonts w:cs="Arabic Transparent"/>
          <w:spacing w:val="-14"/>
          <w:sz w:val="28"/>
          <w:szCs w:val="28"/>
          <w:rtl/>
          <w:lang w:bidi="ar-MA"/>
        </w:rPr>
        <w:t xml:space="preserve"> شهر </w:t>
      </w:r>
      <w:r>
        <w:rPr>
          <w:rFonts w:cs="Arabic Transparent"/>
          <w:spacing w:val="-14"/>
          <w:sz w:val="28"/>
          <w:szCs w:val="28"/>
          <w:rtl/>
          <w:lang w:bidi="ar-MA"/>
        </w:rPr>
        <w:t>غشت الماضي</w:t>
      </w:r>
      <w:r w:rsidRPr="00E15CF5">
        <w:rPr>
          <w:rFonts w:cs="Arabic Transparent"/>
          <w:spacing w:val="-14"/>
          <w:sz w:val="28"/>
          <w:szCs w:val="28"/>
          <w:rtl/>
          <w:lang w:bidi="ar-MA"/>
        </w:rPr>
        <w:t xml:space="preserve">. </w:t>
      </w:r>
    </w:p>
    <w:p w:rsidR="002B1AED" w:rsidRPr="005B2E2E" w:rsidRDefault="002B1AED" w:rsidP="005B5BF2">
      <w:pPr>
        <w:bidi/>
        <w:spacing w:line="340" w:lineRule="exact"/>
        <w:jc w:val="both"/>
        <w:rPr>
          <w:rFonts w:cs="Arabic Transparent"/>
          <w:b/>
          <w:bCs/>
          <w:color w:val="800000"/>
          <w:spacing w:val="-14"/>
          <w:sz w:val="28"/>
          <w:szCs w:val="28"/>
          <w:rtl/>
        </w:rPr>
      </w:pPr>
    </w:p>
    <w:p w:rsidR="002B1AED" w:rsidRPr="00E15CF5" w:rsidRDefault="002B1AED" w:rsidP="00F716EA">
      <w:pPr>
        <w:bidi/>
        <w:spacing w:line="340" w:lineRule="exact"/>
        <w:jc w:val="both"/>
        <w:rPr>
          <w:rFonts w:cs="Arabic Transparent"/>
          <w:b/>
          <w:bCs/>
          <w:color w:val="800000"/>
          <w:spacing w:val="-14"/>
          <w:sz w:val="28"/>
          <w:szCs w:val="28"/>
          <w:rtl/>
        </w:rPr>
      </w:pPr>
      <w:r>
        <w:rPr>
          <w:rFonts w:cs="Arabic Transparent"/>
          <w:b/>
          <w:bCs/>
          <w:color w:val="800000"/>
          <w:spacing w:val="-14"/>
          <w:sz w:val="28"/>
          <w:szCs w:val="28"/>
          <w:rtl/>
        </w:rPr>
        <w:t xml:space="preserve">ارتفاع طفيف في وتيرة نمو الأنشطة </w:t>
      </w:r>
      <w:r w:rsidRPr="00E15CF5">
        <w:rPr>
          <w:rFonts w:cs="Arabic Transparent"/>
          <w:b/>
          <w:bCs/>
          <w:color w:val="800000"/>
          <w:spacing w:val="-14"/>
          <w:sz w:val="28"/>
          <w:szCs w:val="28"/>
          <w:rtl/>
        </w:rPr>
        <w:t>غير الفلاحية</w:t>
      </w:r>
    </w:p>
    <w:p w:rsidR="002B1AED" w:rsidRPr="00822536" w:rsidRDefault="00C4698A" w:rsidP="00B50DCB">
      <w:pPr>
        <w:bidi/>
        <w:spacing w:line="340" w:lineRule="exact"/>
        <w:jc w:val="both"/>
        <w:rPr>
          <w:rStyle w:val="hps"/>
          <w:rFonts w:cs="Arabic Transparent"/>
          <w:spacing w:val="-14"/>
          <w:sz w:val="28"/>
          <w:szCs w:val="28"/>
          <w:rtl/>
        </w:rPr>
      </w:pPr>
      <w:r>
        <w:rPr>
          <w:noProof/>
          <w:rtl/>
        </w:rPr>
        <w:drawing>
          <wp:anchor distT="0" distB="0" distL="114300" distR="114300" simplePos="0" relativeHeight="251655168" behindDoc="0" locked="0" layoutInCell="1" allowOverlap="1">
            <wp:simplePos x="0" y="0"/>
            <wp:positionH relativeFrom="column">
              <wp:posOffset>-162560</wp:posOffset>
            </wp:positionH>
            <wp:positionV relativeFrom="paragraph">
              <wp:posOffset>209550</wp:posOffset>
            </wp:positionV>
            <wp:extent cx="2719070" cy="200469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2"/>
                    <a:srcRect/>
                    <a:stretch>
                      <a:fillRect/>
                    </a:stretch>
                  </pic:blipFill>
                  <pic:spPr bwMode="auto">
                    <a:xfrm>
                      <a:off x="0" y="0"/>
                      <a:ext cx="2719070" cy="2004695"/>
                    </a:xfrm>
                    <a:prstGeom prst="rect">
                      <a:avLst/>
                    </a:prstGeom>
                    <a:noFill/>
                  </pic:spPr>
                </pic:pic>
              </a:graphicData>
            </a:graphic>
          </wp:anchor>
        </w:drawing>
      </w:r>
    </w:p>
    <w:p w:rsidR="002B1AED" w:rsidRPr="00A5408C" w:rsidRDefault="002B1AED" w:rsidP="00003DE5">
      <w:pPr>
        <w:bidi/>
        <w:spacing w:line="340" w:lineRule="exact"/>
        <w:jc w:val="both"/>
        <w:rPr>
          <w:rFonts w:cs="Arabic Transparent"/>
          <w:spacing w:val="-14"/>
          <w:sz w:val="28"/>
          <w:szCs w:val="28"/>
          <w:lang w:bidi="ar-MA"/>
        </w:rPr>
      </w:pPr>
      <w:r w:rsidRPr="00E15CF5">
        <w:rPr>
          <w:rFonts w:cs="Arabic Transparent"/>
          <w:spacing w:val="-14"/>
          <w:sz w:val="28"/>
          <w:szCs w:val="28"/>
          <w:rtl/>
          <w:lang w:bidi="ar-MA"/>
        </w:rPr>
        <w:t>يرتقب أن ت</w:t>
      </w:r>
      <w:r>
        <w:rPr>
          <w:rFonts w:cs="Arabic Transparent"/>
          <w:spacing w:val="-14"/>
          <w:sz w:val="28"/>
          <w:szCs w:val="28"/>
          <w:rtl/>
          <w:lang w:bidi="ar-MA"/>
        </w:rPr>
        <w:t>شهد القيمة المضافة</w:t>
      </w:r>
      <w:r w:rsidRPr="00E15CF5">
        <w:rPr>
          <w:rFonts w:cs="Arabic Transparent"/>
          <w:spacing w:val="-14"/>
          <w:sz w:val="28"/>
          <w:szCs w:val="28"/>
          <w:rtl/>
          <w:lang w:bidi="ar-MA"/>
        </w:rPr>
        <w:t xml:space="preserve"> غير الفلاحية </w:t>
      </w:r>
      <w:r>
        <w:rPr>
          <w:rFonts w:cs="Arabic Transparent"/>
          <w:spacing w:val="-14"/>
          <w:sz w:val="28"/>
          <w:szCs w:val="28"/>
          <w:rtl/>
          <w:lang w:bidi="ar-MA"/>
        </w:rPr>
        <w:t>تحسنا طفيفا في وتيرة نموها</w:t>
      </w:r>
      <w:r w:rsidRPr="00E15CF5">
        <w:rPr>
          <w:rFonts w:cs="Arabic Transparent"/>
          <w:spacing w:val="-14"/>
          <w:sz w:val="28"/>
          <w:szCs w:val="28"/>
          <w:rtl/>
          <w:lang w:bidi="ar-MA"/>
        </w:rPr>
        <w:t>، خلال الفصل ال</w:t>
      </w:r>
      <w:r>
        <w:rPr>
          <w:rFonts w:cs="Arabic Transparent"/>
          <w:spacing w:val="-14"/>
          <w:sz w:val="28"/>
          <w:szCs w:val="28"/>
          <w:rtl/>
          <w:lang w:bidi="ar-MA"/>
        </w:rPr>
        <w:t>ثالث</w:t>
      </w:r>
      <w:r w:rsidRPr="00E15CF5">
        <w:rPr>
          <w:rFonts w:cs="Arabic Transparent"/>
          <w:spacing w:val="-14"/>
          <w:sz w:val="28"/>
          <w:szCs w:val="28"/>
          <w:rtl/>
          <w:lang w:bidi="ar-MA"/>
        </w:rPr>
        <w:t xml:space="preserve"> 2015، لتحقق زيادة تقدر ب </w:t>
      </w:r>
      <w:r>
        <w:rPr>
          <w:rFonts w:cs="Arabic Transparent"/>
          <w:spacing w:val="-14"/>
          <w:sz w:val="28"/>
          <w:szCs w:val="28"/>
          <w:rtl/>
          <w:lang w:bidi="ar-MA"/>
        </w:rPr>
        <w:t>1,8</w:t>
      </w:r>
      <w:r w:rsidRPr="00E15CF5">
        <w:rPr>
          <w:rFonts w:cs="Arabic Transparent" w:hint="cs"/>
          <w:spacing w:val="-14"/>
          <w:sz w:val="28"/>
          <w:szCs w:val="28"/>
          <w:rtl/>
          <w:lang w:bidi="ar-MA"/>
        </w:rPr>
        <w:t>٪</w:t>
      </w:r>
      <w:r>
        <w:rPr>
          <w:rFonts w:cs="Arabic Transparent"/>
          <w:spacing w:val="-14"/>
          <w:sz w:val="28"/>
          <w:szCs w:val="28"/>
          <w:rtl/>
          <w:lang w:bidi="ar-MA"/>
        </w:rPr>
        <w:t>، حسب التغير السنوي، عوض 1,6</w:t>
      </w:r>
      <w:r w:rsidRPr="00E15CF5">
        <w:rPr>
          <w:rFonts w:cs="Arabic Transparent" w:hint="cs"/>
          <w:spacing w:val="-14"/>
          <w:sz w:val="28"/>
          <w:szCs w:val="28"/>
          <w:rtl/>
          <w:lang w:bidi="ar-MA"/>
        </w:rPr>
        <w:t>٪</w:t>
      </w:r>
      <w:r>
        <w:rPr>
          <w:rFonts w:cs="Arabic Transparent"/>
          <w:spacing w:val="-14"/>
          <w:sz w:val="28"/>
          <w:szCs w:val="28"/>
          <w:rtl/>
          <w:lang w:bidi="ar-MA"/>
        </w:rPr>
        <w:t>، في الفصل السابق</w:t>
      </w:r>
      <w:r w:rsidRPr="00E15CF5">
        <w:rPr>
          <w:rFonts w:cs="Arabic Transparent"/>
          <w:spacing w:val="-14"/>
          <w:sz w:val="28"/>
          <w:szCs w:val="28"/>
          <w:rtl/>
          <w:lang w:bidi="ar-MA"/>
        </w:rPr>
        <w:t>. ويرجع هذا التطور، بالأساس</w:t>
      </w:r>
      <w:r>
        <w:rPr>
          <w:rFonts w:cs="Arabic Transparent"/>
          <w:spacing w:val="-14"/>
          <w:sz w:val="28"/>
          <w:szCs w:val="28"/>
          <w:rtl/>
          <w:lang w:bidi="ar-MA"/>
        </w:rPr>
        <w:t xml:space="preserve"> إلى تحسن </w:t>
      </w:r>
      <w:r w:rsidRPr="00E15CF5">
        <w:rPr>
          <w:rFonts w:cs="Arabic Transparent"/>
          <w:spacing w:val="-14"/>
          <w:sz w:val="28"/>
          <w:szCs w:val="28"/>
          <w:rtl/>
          <w:lang w:bidi="ar-MA"/>
        </w:rPr>
        <w:t xml:space="preserve">القطاعات الثالثية </w:t>
      </w:r>
      <w:r>
        <w:rPr>
          <w:rFonts w:cs="Arabic Transparent"/>
          <w:spacing w:val="-14"/>
          <w:sz w:val="28"/>
          <w:szCs w:val="28"/>
          <w:rtl/>
          <w:lang w:bidi="ar-MA"/>
        </w:rPr>
        <w:t xml:space="preserve">دون احتساب السياحة. فيما ستواصل الأنشطة الثانوية الأخرى تباطؤها متأثرة بضعف أنشطة التعدين والتطور المتواضع للبناء و الصناعات التحويلية. حيث </w:t>
      </w:r>
      <w:r w:rsidRPr="00A5408C">
        <w:rPr>
          <w:rFonts w:cs="Arabic Transparent"/>
          <w:spacing w:val="-14"/>
          <w:sz w:val="28"/>
          <w:szCs w:val="28"/>
          <w:rtl/>
          <w:lang w:bidi="ar-MA"/>
        </w:rPr>
        <w:t>ينتظر أن تحقق القيمة المضافة لهذه الأ</w:t>
      </w:r>
      <w:r>
        <w:rPr>
          <w:rFonts w:cs="Arabic Transparent"/>
          <w:spacing w:val="-14"/>
          <w:sz w:val="28"/>
          <w:szCs w:val="28"/>
          <w:rtl/>
          <w:lang w:bidi="ar-MA"/>
        </w:rPr>
        <w:t>خ</w:t>
      </w:r>
      <w:r w:rsidRPr="00A5408C">
        <w:rPr>
          <w:rFonts w:cs="Arabic Transparent"/>
          <w:spacing w:val="-14"/>
          <w:sz w:val="28"/>
          <w:szCs w:val="28"/>
          <w:rtl/>
          <w:lang w:bidi="ar-MA"/>
        </w:rPr>
        <w:t>يرة زيادة قد لا تتعد</w:t>
      </w:r>
      <w:r>
        <w:rPr>
          <w:rFonts w:cs="Arabic Transparent"/>
          <w:spacing w:val="-14"/>
          <w:sz w:val="28"/>
          <w:szCs w:val="28"/>
          <w:rtl/>
          <w:lang w:bidi="ar-MA"/>
        </w:rPr>
        <w:t xml:space="preserve"> </w:t>
      </w:r>
      <w:r w:rsidRPr="00A5408C">
        <w:rPr>
          <w:rFonts w:cs="Arabic Transparent"/>
          <w:spacing w:val="-14"/>
          <w:sz w:val="28"/>
          <w:szCs w:val="28"/>
          <w:lang w:bidi="ar-MA"/>
        </w:rPr>
        <w:t>,8</w:t>
      </w:r>
      <w:r w:rsidRPr="00A5408C">
        <w:rPr>
          <w:rFonts w:cs="Arabic Transparent"/>
          <w:spacing w:val="-14"/>
          <w:sz w:val="28"/>
          <w:szCs w:val="28"/>
          <w:rtl/>
          <w:lang w:bidi="ar-MA"/>
        </w:rPr>
        <w:t>1</w:t>
      </w:r>
      <w:r w:rsidRPr="00A5408C">
        <w:rPr>
          <w:rFonts w:cs="Arabic Transparent" w:hint="cs"/>
          <w:spacing w:val="-14"/>
          <w:sz w:val="28"/>
          <w:szCs w:val="28"/>
          <w:rtl/>
          <w:lang w:bidi="ar-MA"/>
        </w:rPr>
        <w:t>٪</w:t>
      </w:r>
      <w:r w:rsidRPr="00A5408C">
        <w:rPr>
          <w:rFonts w:cs="Arabic Transparent"/>
          <w:spacing w:val="-14"/>
          <w:sz w:val="28"/>
          <w:szCs w:val="28"/>
          <w:rtl/>
          <w:lang w:bidi="ar-MA"/>
        </w:rPr>
        <w:t xml:space="preserve">، </w:t>
      </w:r>
      <w:r>
        <w:rPr>
          <w:rFonts w:cs="Arabic Transparent"/>
          <w:spacing w:val="-14"/>
          <w:sz w:val="28"/>
          <w:szCs w:val="28"/>
          <w:rtl/>
          <w:lang w:bidi="ar-MA"/>
        </w:rPr>
        <w:t>خلال</w:t>
      </w:r>
      <w:r w:rsidRPr="00A5408C">
        <w:rPr>
          <w:rFonts w:cs="Arabic Transparent"/>
          <w:spacing w:val="-14"/>
          <w:sz w:val="28"/>
          <w:szCs w:val="28"/>
          <w:rtl/>
          <w:lang w:bidi="ar-MA"/>
        </w:rPr>
        <w:t xml:space="preserve"> الفصل الثالث، </w:t>
      </w:r>
      <w:r>
        <w:rPr>
          <w:rFonts w:cs="Arabic Transparent"/>
          <w:spacing w:val="-14"/>
          <w:sz w:val="28"/>
          <w:szCs w:val="28"/>
          <w:rtl/>
          <w:lang w:bidi="ar-MA"/>
        </w:rPr>
        <w:t>عقب ارتفاع ب</w:t>
      </w:r>
      <w:r>
        <w:rPr>
          <w:rFonts w:cs="Arabic Transparent"/>
          <w:spacing w:val="-14"/>
          <w:sz w:val="28"/>
          <w:szCs w:val="28"/>
          <w:lang w:bidi="ar-MA"/>
        </w:rPr>
        <w:t xml:space="preserve"> </w:t>
      </w:r>
      <w:r w:rsidRPr="00A5408C">
        <w:rPr>
          <w:rFonts w:cs="Arabic Transparent"/>
          <w:spacing w:val="-14"/>
          <w:sz w:val="28"/>
          <w:szCs w:val="28"/>
          <w:rtl/>
          <w:lang w:bidi="ar-MA"/>
        </w:rPr>
        <w:t>1,5</w:t>
      </w:r>
      <w:r w:rsidRPr="00A5408C">
        <w:rPr>
          <w:rFonts w:cs="Arabic Transparent" w:hint="cs"/>
          <w:spacing w:val="-14"/>
          <w:sz w:val="28"/>
          <w:szCs w:val="28"/>
          <w:rtl/>
          <w:lang w:bidi="ar-MA"/>
        </w:rPr>
        <w:t>٪</w:t>
      </w:r>
      <w:r w:rsidRPr="00A5408C">
        <w:rPr>
          <w:rFonts w:cs="Arabic Transparent"/>
          <w:spacing w:val="-14"/>
          <w:sz w:val="28"/>
          <w:szCs w:val="28"/>
          <w:rtl/>
          <w:lang w:bidi="ar-MA"/>
        </w:rPr>
        <w:t xml:space="preserve">، خلال الفصل الذي قبله، حسب التغير السنوي. و يعزى هذا التطور بالأساس </w:t>
      </w:r>
      <w:r w:rsidRPr="002B3A78">
        <w:rPr>
          <w:rFonts w:cs="Arabic Transparent"/>
          <w:spacing w:val="-14"/>
          <w:sz w:val="28"/>
          <w:szCs w:val="28"/>
          <w:rtl/>
          <w:lang w:bidi="ar-MA"/>
        </w:rPr>
        <w:t>إلى تحسن الطلب الموجه</w:t>
      </w:r>
      <w:r>
        <w:rPr>
          <w:rFonts w:cs="Arabic Transparent"/>
          <w:spacing w:val="-14"/>
          <w:sz w:val="28"/>
          <w:szCs w:val="28"/>
          <w:rtl/>
          <w:lang w:bidi="ar-MA"/>
        </w:rPr>
        <w:t xml:space="preserve"> ل</w:t>
      </w:r>
      <w:r w:rsidRPr="002B3A78">
        <w:rPr>
          <w:rFonts w:cs="Arabic Transparent"/>
          <w:spacing w:val="-14"/>
          <w:sz w:val="28"/>
          <w:szCs w:val="28"/>
          <w:rtl/>
          <w:lang w:bidi="ar-MA"/>
        </w:rPr>
        <w:t xml:space="preserve">لسيارات </w:t>
      </w:r>
      <w:r>
        <w:rPr>
          <w:rFonts w:cs="Arabic Transparent"/>
          <w:spacing w:val="-14"/>
          <w:sz w:val="28"/>
          <w:szCs w:val="28"/>
          <w:rtl/>
          <w:lang w:bidi="ar-MA"/>
        </w:rPr>
        <w:t xml:space="preserve"> و المواد المصبرة من الخضر و الأسماك</w:t>
      </w:r>
      <w:r w:rsidRPr="002B3A78">
        <w:rPr>
          <w:rFonts w:cs="Arabic Transparent"/>
          <w:spacing w:val="-14"/>
          <w:sz w:val="28"/>
          <w:szCs w:val="28"/>
          <w:rtl/>
          <w:lang w:bidi="ar-MA"/>
        </w:rPr>
        <w:t xml:space="preserve">. </w:t>
      </w:r>
      <w:r>
        <w:rPr>
          <w:rFonts w:cs="Arabic Transparent"/>
          <w:spacing w:val="-14"/>
          <w:sz w:val="28"/>
          <w:szCs w:val="28"/>
          <w:rtl/>
          <w:lang w:bidi="ar-MA"/>
        </w:rPr>
        <w:t xml:space="preserve"> و من المتوقع أن </w:t>
      </w:r>
      <w:r w:rsidRPr="002B3A78">
        <w:rPr>
          <w:rFonts w:cs="Arabic Transparent"/>
          <w:spacing w:val="-14"/>
          <w:sz w:val="28"/>
          <w:szCs w:val="28"/>
          <w:rtl/>
          <w:lang w:bidi="ar-MA"/>
        </w:rPr>
        <w:t xml:space="preserve">تواصل الصناعات الغذائية </w:t>
      </w:r>
      <w:r>
        <w:rPr>
          <w:rFonts w:cs="Arabic Transparent"/>
          <w:spacing w:val="-14"/>
          <w:sz w:val="28"/>
          <w:szCs w:val="28"/>
          <w:rtl/>
          <w:lang w:bidi="ar-MA"/>
        </w:rPr>
        <w:t xml:space="preserve">توجهها الايجابي لتحقق زيادات تقدر ب </w:t>
      </w:r>
      <w:r w:rsidRPr="002B3A78">
        <w:rPr>
          <w:rFonts w:cs="Arabic Transparent"/>
          <w:spacing w:val="-14"/>
          <w:sz w:val="28"/>
          <w:szCs w:val="28"/>
          <w:rtl/>
          <w:lang w:bidi="ar-MA"/>
        </w:rPr>
        <w:t>2,</w:t>
      </w:r>
      <w:r>
        <w:rPr>
          <w:rFonts w:cs="Arabic Transparent"/>
          <w:spacing w:val="-14"/>
          <w:sz w:val="28"/>
          <w:szCs w:val="28"/>
          <w:rtl/>
          <w:lang w:bidi="ar-MA"/>
        </w:rPr>
        <w:t>4</w:t>
      </w:r>
      <w:r w:rsidRPr="002B3A78">
        <w:rPr>
          <w:rFonts w:cs="Arabic Transparent" w:hint="cs"/>
          <w:spacing w:val="-14"/>
          <w:sz w:val="28"/>
          <w:szCs w:val="28"/>
          <w:rtl/>
          <w:lang w:bidi="ar-MA"/>
        </w:rPr>
        <w:t>٪</w:t>
      </w:r>
      <w:r w:rsidRPr="002B3A78">
        <w:rPr>
          <w:rFonts w:cs="Arabic Transparent"/>
          <w:spacing w:val="-14"/>
          <w:sz w:val="28"/>
          <w:szCs w:val="28"/>
          <w:rtl/>
          <w:lang w:bidi="ar-MA"/>
        </w:rPr>
        <w:t xml:space="preserve"> حسب التغير السنوي</w:t>
      </w:r>
      <w:r>
        <w:rPr>
          <w:rFonts w:cs="Arabic Transparent"/>
          <w:spacing w:val="-14"/>
          <w:sz w:val="28"/>
          <w:szCs w:val="28"/>
          <w:rtl/>
          <w:lang w:bidi="ar-MA"/>
        </w:rPr>
        <w:t>.</w:t>
      </w:r>
      <w:r w:rsidRPr="002B3A78">
        <w:rPr>
          <w:rFonts w:cs="Arabic Transparent"/>
          <w:spacing w:val="-14"/>
          <w:sz w:val="28"/>
          <w:szCs w:val="28"/>
          <w:rtl/>
          <w:lang w:bidi="ar-MA"/>
        </w:rPr>
        <w:t xml:space="preserve"> كما </w:t>
      </w:r>
      <w:r>
        <w:rPr>
          <w:rFonts w:cs="Arabic Transparent"/>
          <w:spacing w:val="-14"/>
          <w:sz w:val="28"/>
          <w:szCs w:val="28"/>
          <w:rtl/>
          <w:lang w:bidi="ar-MA"/>
        </w:rPr>
        <w:t>س</w:t>
      </w:r>
      <w:r w:rsidRPr="002B3A78">
        <w:rPr>
          <w:rFonts w:cs="Arabic Transparent"/>
          <w:spacing w:val="-14"/>
          <w:sz w:val="28"/>
          <w:szCs w:val="28"/>
          <w:rtl/>
          <w:lang w:bidi="ar-MA"/>
        </w:rPr>
        <w:t>ت</w:t>
      </w:r>
      <w:r>
        <w:rPr>
          <w:rFonts w:cs="Arabic Transparent"/>
          <w:spacing w:val="-14"/>
          <w:sz w:val="28"/>
          <w:szCs w:val="28"/>
          <w:rtl/>
          <w:lang w:bidi="ar-MA"/>
        </w:rPr>
        <w:t xml:space="preserve">شهد </w:t>
      </w:r>
      <w:r w:rsidRPr="002B3A78">
        <w:rPr>
          <w:rFonts w:cs="Arabic Transparent"/>
          <w:spacing w:val="-14"/>
          <w:sz w:val="28"/>
          <w:szCs w:val="28"/>
          <w:rtl/>
          <w:lang w:bidi="ar-MA"/>
        </w:rPr>
        <w:t xml:space="preserve">الصناعات الالكترونية والميكانيكية نموا </w:t>
      </w:r>
      <w:r>
        <w:rPr>
          <w:rFonts w:cs="Arabic Transparent"/>
          <w:spacing w:val="-14"/>
          <w:sz w:val="28"/>
          <w:szCs w:val="28"/>
          <w:rtl/>
          <w:lang w:bidi="ar-MA"/>
        </w:rPr>
        <w:t xml:space="preserve">طفيفا </w:t>
      </w:r>
      <w:r w:rsidRPr="002B3A78">
        <w:rPr>
          <w:rFonts w:cs="Arabic Transparent"/>
          <w:spacing w:val="-14"/>
          <w:sz w:val="28"/>
          <w:szCs w:val="28"/>
          <w:rtl/>
          <w:lang w:bidi="ar-MA"/>
        </w:rPr>
        <w:t xml:space="preserve">يقدر ب </w:t>
      </w:r>
      <w:r>
        <w:rPr>
          <w:rFonts w:cs="Arabic Transparent"/>
          <w:spacing w:val="-14"/>
          <w:sz w:val="28"/>
          <w:szCs w:val="28"/>
          <w:rtl/>
          <w:lang w:bidi="ar-MA"/>
        </w:rPr>
        <w:t>1</w:t>
      </w:r>
      <w:r w:rsidRPr="002B3A78">
        <w:rPr>
          <w:rFonts w:cs="Arabic Transparent"/>
          <w:spacing w:val="-14"/>
          <w:sz w:val="28"/>
          <w:szCs w:val="28"/>
          <w:rtl/>
          <w:lang w:bidi="ar-MA"/>
        </w:rPr>
        <w:t>,</w:t>
      </w:r>
      <w:r>
        <w:rPr>
          <w:rFonts w:cs="Arabic Transparent"/>
          <w:spacing w:val="-14"/>
          <w:sz w:val="28"/>
          <w:szCs w:val="28"/>
          <w:rtl/>
          <w:lang w:bidi="ar-MA"/>
        </w:rPr>
        <w:t>6</w:t>
      </w:r>
      <w:r w:rsidRPr="002B3A78">
        <w:rPr>
          <w:rFonts w:cs="Arabic Transparent" w:hint="cs"/>
          <w:spacing w:val="-14"/>
          <w:sz w:val="28"/>
          <w:szCs w:val="28"/>
          <w:rtl/>
          <w:lang w:bidi="ar-MA"/>
        </w:rPr>
        <w:t>٪</w:t>
      </w:r>
      <w:r w:rsidRPr="002B3A78">
        <w:rPr>
          <w:rFonts w:cs="Arabic Transparent"/>
          <w:spacing w:val="-14"/>
          <w:sz w:val="28"/>
          <w:szCs w:val="28"/>
          <w:rtl/>
          <w:lang w:bidi="ar-MA"/>
        </w:rPr>
        <w:t xml:space="preserve">. </w:t>
      </w:r>
      <w:r>
        <w:rPr>
          <w:rFonts w:cs="Arabic Transparent"/>
          <w:spacing w:val="-14"/>
          <w:sz w:val="28"/>
          <w:szCs w:val="28"/>
          <w:rtl/>
          <w:lang w:bidi="ar-MA"/>
        </w:rPr>
        <w:t>ومن جهتها</w:t>
      </w:r>
      <w:r w:rsidRPr="002B3A78">
        <w:rPr>
          <w:rFonts w:cs="Arabic Transparent"/>
          <w:spacing w:val="-14"/>
          <w:sz w:val="28"/>
          <w:szCs w:val="28"/>
          <w:rtl/>
          <w:lang w:bidi="ar-MA"/>
        </w:rPr>
        <w:t xml:space="preserve"> </w:t>
      </w:r>
      <w:r>
        <w:rPr>
          <w:rFonts w:cs="Arabic Transparent"/>
          <w:spacing w:val="-14"/>
          <w:sz w:val="28"/>
          <w:szCs w:val="28"/>
          <w:rtl/>
          <w:lang w:bidi="ar-MA"/>
        </w:rPr>
        <w:t xml:space="preserve">ستشهد صناعات </w:t>
      </w:r>
      <w:r w:rsidRPr="002B3A78">
        <w:rPr>
          <w:rFonts w:cs="Arabic Transparent"/>
          <w:spacing w:val="-14"/>
          <w:sz w:val="28"/>
          <w:szCs w:val="28"/>
          <w:rtl/>
          <w:lang w:bidi="ar-MA"/>
        </w:rPr>
        <w:t xml:space="preserve">النسيج والجلد </w:t>
      </w:r>
      <w:r>
        <w:rPr>
          <w:rFonts w:cs="Arabic Transparent"/>
          <w:spacing w:val="-14"/>
          <w:sz w:val="28"/>
          <w:szCs w:val="28"/>
          <w:rtl/>
          <w:lang w:bidi="ar-MA"/>
        </w:rPr>
        <w:t xml:space="preserve">بعض التحسن بفضل </w:t>
      </w:r>
      <w:r>
        <w:rPr>
          <w:rFonts w:cs="Arabic Transparent"/>
          <w:noProof/>
          <w:sz w:val="28"/>
          <w:szCs w:val="28"/>
          <w:rtl/>
        </w:rPr>
        <w:t>ارتفاع</w:t>
      </w:r>
      <w:r>
        <w:rPr>
          <w:rFonts w:cs="Arabic Transparent"/>
          <w:spacing w:val="-14"/>
          <w:sz w:val="28"/>
          <w:szCs w:val="28"/>
          <w:rtl/>
          <w:lang w:bidi="ar-MA"/>
        </w:rPr>
        <w:t xml:space="preserve"> الطلب الخارجي على الألبسة والأحذية</w:t>
      </w:r>
      <w:r w:rsidRPr="002B3A78">
        <w:rPr>
          <w:rFonts w:cs="Arabic Transparent"/>
          <w:spacing w:val="-14"/>
          <w:sz w:val="28"/>
          <w:szCs w:val="28"/>
          <w:rtl/>
          <w:lang w:bidi="ar-MA"/>
        </w:rPr>
        <w:t>.</w:t>
      </w:r>
      <w:r>
        <w:rPr>
          <w:rFonts w:cs="Arabic Transparent"/>
          <w:spacing w:val="-14"/>
          <w:sz w:val="28"/>
          <w:szCs w:val="28"/>
          <w:rtl/>
          <w:lang w:bidi="ar-MA"/>
        </w:rPr>
        <w:t xml:space="preserve"> </w:t>
      </w:r>
    </w:p>
    <w:p w:rsidR="002B1AED" w:rsidRDefault="00C4698A" w:rsidP="0032058A">
      <w:pPr>
        <w:bidi/>
        <w:spacing w:line="340" w:lineRule="exact"/>
        <w:jc w:val="both"/>
        <w:rPr>
          <w:rStyle w:val="hps"/>
          <w:rFonts w:cs="Arabic Transparent"/>
          <w:sz w:val="28"/>
          <w:szCs w:val="28"/>
          <w:rtl/>
        </w:rPr>
      </w:pPr>
      <w:r>
        <w:rPr>
          <w:noProof/>
          <w:rtl/>
        </w:rPr>
        <w:drawing>
          <wp:anchor distT="0" distB="0" distL="114300" distR="114300" simplePos="0" relativeHeight="251661312" behindDoc="1" locked="0" layoutInCell="1" allowOverlap="1">
            <wp:simplePos x="0" y="0"/>
            <wp:positionH relativeFrom="column">
              <wp:posOffset>-8255</wp:posOffset>
            </wp:positionH>
            <wp:positionV relativeFrom="paragraph">
              <wp:posOffset>69215</wp:posOffset>
            </wp:positionV>
            <wp:extent cx="2564765" cy="2137410"/>
            <wp:effectExtent l="0" t="0" r="0" b="0"/>
            <wp:wrapTight wrapText="bothSides">
              <wp:wrapPolygon edited="0">
                <wp:start x="0" y="385"/>
                <wp:lineTo x="0" y="20984"/>
                <wp:lineTo x="21338" y="20984"/>
                <wp:lineTo x="21338" y="385"/>
                <wp:lineTo x="0" y="385"/>
              </wp:wrapPolygon>
            </wp:wrapTight>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3"/>
                    <a:srcRect/>
                    <a:stretch>
                      <a:fillRect/>
                    </a:stretch>
                  </pic:blipFill>
                  <pic:spPr bwMode="auto">
                    <a:xfrm>
                      <a:off x="0" y="0"/>
                      <a:ext cx="2564765" cy="2137410"/>
                    </a:xfrm>
                    <a:prstGeom prst="rect">
                      <a:avLst/>
                    </a:prstGeom>
                    <a:noFill/>
                  </pic:spPr>
                </pic:pic>
              </a:graphicData>
            </a:graphic>
          </wp:anchor>
        </w:drawing>
      </w:r>
    </w:p>
    <w:p w:rsidR="002B1AED" w:rsidRDefault="002B1AED" w:rsidP="00003DE5">
      <w:pPr>
        <w:bidi/>
        <w:spacing w:line="340" w:lineRule="exact"/>
        <w:jc w:val="both"/>
        <w:rPr>
          <w:rFonts w:cs="Arabic Transparent"/>
          <w:noProof/>
          <w:sz w:val="28"/>
          <w:szCs w:val="28"/>
          <w:rtl/>
        </w:rPr>
      </w:pPr>
      <w:r w:rsidRPr="001F0C20">
        <w:rPr>
          <w:rFonts w:cs="Arabic Transparent"/>
          <w:noProof/>
          <w:sz w:val="28"/>
          <w:szCs w:val="28"/>
          <w:rtl/>
        </w:rPr>
        <w:t>وبدوره، سي</w:t>
      </w:r>
      <w:r>
        <w:rPr>
          <w:rFonts w:cs="Arabic Transparent"/>
          <w:noProof/>
          <w:sz w:val="28"/>
          <w:szCs w:val="28"/>
          <w:rtl/>
        </w:rPr>
        <w:t>حقق</w:t>
      </w:r>
      <w:r w:rsidRPr="001F0C20">
        <w:rPr>
          <w:rFonts w:cs="Arabic Transparent"/>
          <w:noProof/>
          <w:sz w:val="28"/>
          <w:szCs w:val="28"/>
          <w:rtl/>
        </w:rPr>
        <w:t xml:space="preserve"> قطاع البناء والأشغال العمومية </w:t>
      </w:r>
      <w:r>
        <w:rPr>
          <w:rFonts w:cs="Arabic Transparent"/>
          <w:noProof/>
          <w:sz w:val="28"/>
          <w:szCs w:val="28"/>
          <w:rtl/>
        </w:rPr>
        <w:t>ارتفاعا طفيفا</w:t>
      </w:r>
      <w:r w:rsidRPr="001F0C20">
        <w:rPr>
          <w:rFonts w:cs="Arabic Transparent"/>
          <w:noProof/>
          <w:sz w:val="28"/>
          <w:szCs w:val="28"/>
          <w:rtl/>
        </w:rPr>
        <w:t xml:space="preserve"> خلال الفصل الثا</w:t>
      </w:r>
      <w:r>
        <w:rPr>
          <w:rFonts w:cs="Arabic Transparent"/>
          <w:noProof/>
          <w:sz w:val="28"/>
          <w:szCs w:val="28"/>
          <w:rtl/>
        </w:rPr>
        <w:t>لث</w:t>
      </w:r>
      <w:r w:rsidRPr="001F0C20">
        <w:rPr>
          <w:rFonts w:cs="Arabic Transparent"/>
          <w:noProof/>
          <w:sz w:val="28"/>
          <w:szCs w:val="28"/>
          <w:rtl/>
        </w:rPr>
        <w:t xml:space="preserve"> 2015، </w:t>
      </w:r>
      <w:r>
        <w:rPr>
          <w:rFonts w:cs="Arabic Transparent"/>
          <w:noProof/>
          <w:sz w:val="28"/>
          <w:szCs w:val="28"/>
          <w:rtl/>
        </w:rPr>
        <w:t>يقدر ب 1,2</w:t>
      </w:r>
      <w:r w:rsidRPr="001F0C20">
        <w:rPr>
          <w:rFonts w:cs="Arabic Transparent" w:hint="cs"/>
          <w:noProof/>
          <w:sz w:val="28"/>
          <w:szCs w:val="28"/>
          <w:rtl/>
        </w:rPr>
        <w:t>٪</w:t>
      </w:r>
      <w:r w:rsidRPr="001F0C20">
        <w:rPr>
          <w:rFonts w:cs="Arabic Transparent"/>
          <w:noProof/>
          <w:sz w:val="28"/>
          <w:szCs w:val="28"/>
          <w:rtl/>
        </w:rPr>
        <w:t xml:space="preserve">، </w:t>
      </w:r>
      <w:r>
        <w:rPr>
          <w:rFonts w:cs="Arabic Transparent"/>
          <w:noProof/>
          <w:sz w:val="28"/>
          <w:szCs w:val="28"/>
          <w:rtl/>
        </w:rPr>
        <w:t>حسب التغير السنوي، عوض 0,3-</w:t>
      </w:r>
      <w:r w:rsidRPr="001F0C20">
        <w:rPr>
          <w:rFonts w:cs="Arabic Transparent" w:hint="cs"/>
          <w:noProof/>
          <w:sz w:val="28"/>
          <w:szCs w:val="28"/>
          <w:rtl/>
        </w:rPr>
        <w:t>٪</w:t>
      </w:r>
      <w:r w:rsidRPr="001F0C20">
        <w:rPr>
          <w:rFonts w:cs="Arabic Transparent"/>
          <w:noProof/>
          <w:sz w:val="28"/>
          <w:szCs w:val="28"/>
          <w:rtl/>
        </w:rPr>
        <w:t xml:space="preserve">، </w:t>
      </w:r>
      <w:r>
        <w:rPr>
          <w:rFonts w:cs="Arabic Transparent"/>
          <w:noProof/>
          <w:sz w:val="28"/>
          <w:szCs w:val="28"/>
          <w:rtl/>
        </w:rPr>
        <w:t xml:space="preserve">في الفصل السابق. </w:t>
      </w:r>
      <w:r w:rsidRPr="001F0C20">
        <w:rPr>
          <w:rFonts w:cs="Arabic Transparent"/>
          <w:noProof/>
          <w:sz w:val="28"/>
          <w:szCs w:val="28"/>
          <w:rtl/>
        </w:rPr>
        <w:t xml:space="preserve">وتشير البيانات الأولية </w:t>
      </w:r>
      <w:r>
        <w:rPr>
          <w:rFonts w:cs="Arabic Transparent"/>
          <w:noProof/>
          <w:sz w:val="28"/>
          <w:szCs w:val="28"/>
          <w:rtl/>
        </w:rPr>
        <w:t xml:space="preserve">في هذا الصدد </w:t>
      </w:r>
      <w:r w:rsidRPr="001F0C20">
        <w:rPr>
          <w:rFonts w:cs="Arabic Transparent"/>
          <w:noProof/>
          <w:sz w:val="28"/>
          <w:szCs w:val="28"/>
          <w:rtl/>
        </w:rPr>
        <w:t>إلى</w:t>
      </w:r>
      <w:r>
        <w:rPr>
          <w:rFonts w:cs="Arabic Transparent"/>
          <w:noProof/>
          <w:sz w:val="28"/>
          <w:szCs w:val="28"/>
          <w:rtl/>
        </w:rPr>
        <w:t xml:space="preserve"> ارتفاع</w:t>
      </w:r>
      <w:r w:rsidRPr="001F0C20">
        <w:rPr>
          <w:rFonts w:cs="Arabic Transparent"/>
          <w:noProof/>
          <w:sz w:val="28"/>
          <w:szCs w:val="28"/>
          <w:rtl/>
        </w:rPr>
        <w:t xml:space="preserve"> </w:t>
      </w:r>
      <w:r>
        <w:rPr>
          <w:rFonts w:cs="Arabic Transparent"/>
          <w:noProof/>
          <w:sz w:val="28"/>
          <w:szCs w:val="28"/>
          <w:rtl/>
        </w:rPr>
        <w:t xml:space="preserve">الطلب الموجه نحو مواد البناء وخاصة الاسمنت الذي </w:t>
      </w:r>
      <w:r w:rsidRPr="004A227E">
        <w:rPr>
          <w:rFonts w:cs="Arabic Transparent"/>
          <w:noProof/>
          <w:sz w:val="28"/>
          <w:szCs w:val="28"/>
          <w:rtl/>
        </w:rPr>
        <w:t>يتوقع أن ترتفع مبيعاته بنسبة تقدر ب 5,2٪، في الفصل الثالث. بالمقابل</w:t>
      </w:r>
      <w:r w:rsidRPr="004A227E">
        <w:rPr>
          <w:noProof/>
          <w:sz w:val="28"/>
          <w:szCs w:val="28"/>
          <w:rtl/>
        </w:rPr>
        <w:t>٬</w:t>
      </w:r>
      <w:r w:rsidRPr="004A227E">
        <w:rPr>
          <w:rFonts w:cs="Arabic Transparent"/>
          <w:noProof/>
          <w:sz w:val="28"/>
          <w:szCs w:val="28"/>
          <w:rtl/>
        </w:rPr>
        <w:t xml:space="preserve"> تشير توقعات رؤساء المقاولات المستقاة خلال بحث الظرفية الاخير الذي تنجزه المندوبية السامية للتخطيط الى ضعف حدوث تطور سريع في انشطة التشييد</w:t>
      </w:r>
      <w:r w:rsidRPr="001F0C20">
        <w:rPr>
          <w:rFonts w:cs="Arabic Transparent"/>
          <w:noProof/>
          <w:sz w:val="28"/>
          <w:szCs w:val="28"/>
          <w:rtl/>
        </w:rPr>
        <w:t>،</w:t>
      </w:r>
      <w:r w:rsidRPr="004A227E">
        <w:rPr>
          <w:rFonts w:cs="Arabic Transparent"/>
          <w:noProof/>
          <w:sz w:val="28"/>
          <w:szCs w:val="28"/>
          <w:rtl/>
        </w:rPr>
        <w:t xml:space="preserve"> في الوقت الذي ستعرف فيه انشطة الاشغال العمومية تحسنا ملموسا، من شانه دعم تطور القيمة المضافة للقطاع.  </w:t>
      </w:r>
    </w:p>
    <w:p w:rsidR="002B1AED" w:rsidRDefault="002B1AED" w:rsidP="00003DE5">
      <w:pPr>
        <w:bidi/>
        <w:spacing w:line="340" w:lineRule="exact"/>
        <w:jc w:val="both"/>
        <w:rPr>
          <w:rFonts w:cs="Arabic Transparent"/>
          <w:spacing w:val="-14"/>
          <w:sz w:val="28"/>
          <w:szCs w:val="28"/>
          <w:rtl/>
          <w:lang w:bidi="ar-MA"/>
        </w:rPr>
      </w:pPr>
      <w:r w:rsidRPr="004A227E">
        <w:rPr>
          <w:rFonts w:cs="Arabic Transparent"/>
          <w:spacing w:val="-14"/>
          <w:sz w:val="28"/>
          <w:szCs w:val="28"/>
          <w:rtl/>
          <w:lang w:bidi="ar-MA"/>
        </w:rPr>
        <w:lastRenderedPageBreak/>
        <w:t xml:space="preserve">فيما يخص قطاع المعادن، يرتقب أن تحقق قيمته المضافة تحسنا طفيفا يقدر ب 0,1٪، خلال الفصل الثالث </w:t>
      </w:r>
      <w:r>
        <w:rPr>
          <w:rFonts w:cs="Arabic Transparent"/>
          <w:spacing w:val="-14"/>
          <w:sz w:val="28"/>
          <w:szCs w:val="28"/>
          <w:rtl/>
          <w:lang w:bidi="ar-MA"/>
        </w:rPr>
        <w:t xml:space="preserve"> من </w:t>
      </w:r>
      <w:r w:rsidRPr="004A227E">
        <w:rPr>
          <w:rFonts w:cs="Arabic Transparent"/>
          <w:spacing w:val="-14"/>
          <w:sz w:val="28"/>
          <w:szCs w:val="28"/>
          <w:rtl/>
          <w:lang w:bidi="ar-MA"/>
        </w:rPr>
        <w:t xml:space="preserve">2015، حسب التغير السنوي، بعد انخفاضه خلال الثلاثة فصول السابقة، مدعوما بتحسن أنشطة استخراج المعادن غير الحديدية. غير أن هذا التطور سيظل هشا بالنظر إلى ظرفية عالمية صعبة تتسم  باستمرار تراجع أسعار المنتجات الغذائية، كالحبوب وكذا </w:t>
      </w:r>
      <w:r>
        <w:rPr>
          <w:rFonts w:cs="Arabic Transparent"/>
          <w:spacing w:val="-14"/>
          <w:sz w:val="28"/>
          <w:szCs w:val="28"/>
          <w:rtl/>
          <w:lang w:bidi="ar-MA"/>
        </w:rPr>
        <w:t>توسع</w:t>
      </w:r>
      <w:r w:rsidRPr="004A227E">
        <w:rPr>
          <w:rFonts w:cs="Arabic Transparent"/>
          <w:spacing w:val="-14"/>
          <w:sz w:val="28"/>
          <w:szCs w:val="28"/>
          <w:rtl/>
          <w:lang w:bidi="ar-MA"/>
        </w:rPr>
        <w:t xml:space="preserve"> إنتاج الدول الأسيوية من الأسمدة. هكذا، و بالرغم من توقعات ارتفاع الطلب الموجه من الولايات المتحدة و الهند</w:t>
      </w:r>
      <w:r w:rsidRPr="001F0C20">
        <w:rPr>
          <w:rFonts w:cs="Arabic Transparent"/>
          <w:noProof/>
          <w:sz w:val="28"/>
          <w:szCs w:val="28"/>
          <w:rtl/>
        </w:rPr>
        <w:t>،</w:t>
      </w:r>
      <w:r w:rsidRPr="004A227E">
        <w:rPr>
          <w:rFonts w:cs="Arabic Transparent"/>
          <w:spacing w:val="-14"/>
          <w:sz w:val="28"/>
          <w:szCs w:val="28"/>
          <w:rtl/>
          <w:lang w:bidi="ar-MA"/>
        </w:rPr>
        <w:t xml:space="preserve"> ينتظر أن يستمر ضعف دينامكية أنشطة الفوسفاطية</w:t>
      </w:r>
      <w:r w:rsidRPr="001F0C20">
        <w:rPr>
          <w:rFonts w:cs="Arabic Transparent"/>
          <w:noProof/>
          <w:sz w:val="28"/>
          <w:szCs w:val="28"/>
          <w:rtl/>
        </w:rPr>
        <w:t>،</w:t>
      </w:r>
      <w:r w:rsidRPr="004A227E">
        <w:rPr>
          <w:rFonts w:cs="Arabic Transparent"/>
          <w:spacing w:val="-14"/>
          <w:sz w:val="28"/>
          <w:szCs w:val="28"/>
          <w:rtl/>
          <w:lang w:bidi="ar-MA"/>
        </w:rPr>
        <w:t xml:space="preserve"> لاسيما في ظل تراجع الطلب من البرازيل وأوروبا. ويتوقع في هذا الصدد أن تنخفض صادرات المغرب من الأسمدة بنسبة تقدر ب 16,4٪ خلال الفصل الثالث، فيما ستعرف صادرات الحامض الفسفوري ارتفاعا بنسبة 12,9٪، خلال نفس الفترة. في ظل ذلك، سيعرف إنتاج الفوسفاط الخام ارتفاعا طفيفا يقدر ب 0,8٪</w:t>
      </w:r>
      <w:r w:rsidRPr="001F0C20">
        <w:rPr>
          <w:rFonts w:cs="Arabic Transparent"/>
          <w:noProof/>
          <w:sz w:val="28"/>
          <w:szCs w:val="28"/>
          <w:rtl/>
        </w:rPr>
        <w:t>،</w:t>
      </w:r>
      <w:r w:rsidRPr="004A227E">
        <w:rPr>
          <w:rFonts w:cs="Arabic Transparent"/>
          <w:spacing w:val="-14"/>
          <w:sz w:val="28"/>
          <w:szCs w:val="28"/>
          <w:rtl/>
          <w:lang w:bidi="ar-MA"/>
        </w:rPr>
        <w:t xml:space="preserve"> فيما ستواصل أنشطة استخراج المعادن الأخرى تباطؤها، متأثرة بانخفاض أسعار المواد الحديدية في الأسواق العالمية وتباطؤ الطلب الأوروبي عليها.</w:t>
      </w:r>
    </w:p>
    <w:p w:rsidR="002B1AED" w:rsidRDefault="002B1AED" w:rsidP="004A227E">
      <w:pPr>
        <w:bidi/>
        <w:spacing w:line="340" w:lineRule="exact"/>
        <w:jc w:val="both"/>
        <w:rPr>
          <w:rFonts w:cs="Arabic Transparent"/>
          <w:sz w:val="28"/>
          <w:szCs w:val="28"/>
          <w:rtl/>
          <w:lang w:bidi="ar-MA"/>
        </w:rPr>
      </w:pPr>
    </w:p>
    <w:p w:rsidR="002B1AED" w:rsidRDefault="002B1AED" w:rsidP="005B2E2E">
      <w:pPr>
        <w:bidi/>
        <w:spacing w:line="340" w:lineRule="exact"/>
        <w:jc w:val="both"/>
        <w:rPr>
          <w:rFonts w:cs="Arabic Transparent"/>
          <w:spacing w:val="-14"/>
          <w:sz w:val="28"/>
          <w:szCs w:val="28"/>
          <w:rtl/>
          <w:lang w:bidi="ar-MA"/>
        </w:rPr>
      </w:pPr>
      <w:r w:rsidRPr="004A227E">
        <w:rPr>
          <w:rFonts w:cs="Arabic Transparent"/>
          <w:spacing w:val="-14"/>
          <w:sz w:val="28"/>
          <w:szCs w:val="28"/>
          <w:rtl/>
          <w:lang w:bidi="ar-MA"/>
        </w:rPr>
        <w:t>أما قطاع الكهرباء، ف</w:t>
      </w:r>
      <w:r>
        <w:rPr>
          <w:rFonts w:cs="Arabic Transparent"/>
          <w:spacing w:val="-14"/>
          <w:sz w:val="28"/>
          <w:szCs w:val="28"/>
          <w:rtl/>
          <w:lang w:bidi="ar-MA"/>
        </w:rPr>
        <w:t xml:space="preserve">من المنتظر أن </w:t>
      </w:r>
      <w:r w:rsidRPr="004A227E">
        <w:rPr>
          <w:rFonts w:cs="Arabic Transparent"/>
          <w:spacing w:val="-14"/>
          <w:sz w:val="28"/>
          <w:szCs w:val="28"/>
          <w:rtl/>
          <w:lang w:bidi="ar-MA"/>
        </w:rPr>
        <w:t>ي</w:t>
      </w:r>
      <w:r>
        <w:rPr>
          <w:rFonts w:cs="Arabic Transparent"/>
          <w:spacing w:val="-14"/>
          <w:sz w:val="28"/>
          <w:szCs w:val="28"/>
          <w:rtl/>
          <w:lang w:bidi="ar-MA"/>
        </w:rPr>
        <w:t>شهد ارتفاعا في قيمته المضافة</w:t>
      </w:r>
      <w:r>
        <w:rPr>
          <w:rFonts w:cs="Arabic Transparent"/>
          <w:spacing w:val="-14"/>
          <w:sz w:val="28"/>
          <w:szCs w:val="28"/>
          <w:lang w:bidi="ar-MA"/>
        </w:rPr>
        <w:t xml:space="preserve"> </w:t>
      </w:r>
      <w:r w:rsidRPr="004A227E">
        <w:rPr>
          <w:rFonts w:cs="Arabic Transparent"/>
          <w:spacing w:val="-14"/>
          <w:sz w:val="28"/>
          <w:szCs w:val="28"/>
          <w:rtl/>
          <w:lang w:bidi="ar-MA"/>
        </w:rPr>
        <w:t>يقدر ب 6,4٪، عوض 5,4٪ الفصل السابق، حسب التغير السنوي. ويرجع هذا التطور بالأساس إلى تحسن الإنتاج الكهربائي للمحطات الحرارية، وخاصة المستعملة للمحروقات فيما ستشهد المحطات المستعملة للفحم الحجري بعض التباطؤ في</w:t>
      </w:r>
      <w:r>
        <w:rPr>
          <w:rFonts w:cs="Arabic Transparent"/>
          <w:spacing w:val="-14"/>
          <w:sz w:val="28"/>
          <w:szCs w:val="28"/>
          <w:rtl/>
          <w:lang w:bidi="ar-MA"/>
        </w:rPr>
        <w:t xml:space="preserve"> وتيرة</w:t>
      </w:r>
      <w:r w:rsidRPr="004A227E">
        <w:rPr>
          <w:rFonts w:cs="Arabic Transparent"/>
          <w:spacing w:val="-14"/>
          <w:sz w:val="28"/>
          <w:szCs w:val="28"/>
          <w:rtl/>
          <w:lang w:bidi="ar-MA"/>
        </w:rPr>
        <w:t xml:space="preserve"> نموها. وعلى العموم، سيعرف إنتاج الكهرباء ارتفاعا يقدر ب 6,8٪، فيما ستنخفض واردات الكهرباء ب 5,6٪، حسب التغير السنوي.</w:t>
      </w:r>
    </w:p>
    <w:p w:rsidR="002B1AED" w:rsidRDefault="002B1AED" w:rsidP="004A227E">
      <w:pPr>
        <w:bidi/>
        <w:spacing w:line="340" w:lineRule="exact"/>
        <w:jc w:val="both"/>
        <w:rPr>
          <w:rFonts w:cs="Arabic Transparent"/>
          <w:spacing w:val="-14"/>
          <w:sz w:val="28"/>
          <w:szCs w:val="28"/>
          <w:rtl/>
          <w:lang w:bidi="ar-MA"/>
        </w:rPr>
      </w:pPr>
    </w:p>
    <w:p w:rsidR="002B1AED" w:rsidRDefault="002B1AED" w:rsidP="00CB07C0">
      <w:pPr>
        <w:bidi/>
        <w:spacing w:line="340" w:lineRule="exact"/>
        <w:jc w:val="both"/>
        <w:rPr>
          <w:rFonts w:cs="Arabic Transparent"/>
          <w:spacing w:val="-14"/>
          <w:sz w:val="28"/>
          <w:szCs w:val="28"/>
          <w:lang w:bidi="ar-MA"/>
        </w:rPr>
      </w:pPr>
      <w:r>
        <w:rPr>
          <w:rFonts w:cs="Arabic Transparent"/>
          <w:spacing w:val="-14"/>
          <w:sz w:val="28"/>
          <w:szCs w:val="28"/>
          <w:rtl/>
          <w:lang w:bidi="ar-MA"/>
        </w:rPr>
        <w:t>وبالنسبة لقطاع الخدمات ، يرتقب أن يواصل كل من التجارة والنقل والمواصلات توجهاتها الايجابية مساهمة في دعم ارتفاع القيمة المضافة للقطاع. من جهته</w:t>
      </w:r>
      <w:r>
        <w:rPr>
          <w:spacing w:val="-14"/>
          <w:sz w:val="28"/>
          <w:szCs w:val="28"/>
          <w:rtl/>
          <w:lang w:bidi="ar-MA"/>
        </w:rPr>
        <w:t>٬</w:t>
      </w:r>
      <w:r>
        <w:rPr>
          <w:rFonts w:cs="Arabic Transparent"/>
          <w:spacing w:val="-14"/>
          <w:sz w:val="28"/>
          <w:szCs w:val="28"/>
          <w:rtl/>
          <w:lang w:bidi="ar-MA"/>
        </w:rPr>
        <w:t xml:space="preserve"> سيشهد القطاع السياحي تقلصا في وتيرة تراجعه خلال الفصل الثالث</w:t>
      </w:r>
      <w:r w:rsidRPr="001F0C20">
        <w:rPr>
          <w:rFonts w:cs="Arabic Transparent"/>
          <w:noProof/>
          <w:sz w:val="28"/>
          <w:szCs w:val="28"/>
          <w:rtl/>
        </w:rPr>
        <w:t>،</w:t>
      </w:r>
      <w:r>
        <w:rPr>
          <w:spacing w:val="-14"/>
          <w:sz w:val="28"/>
          <w:szCs w:val="28"/>
          <w:rtl/>
          <w:lang w:bidi="ar-MA"/>
        </w:rPr>
        <w:t xml:space="preserve"> لتصل إلى</w:t>
      </w:r>
      <w:r>
        <w:rPr>
          <w:rFonts w:cs="Arabic Transparent"/>
          <w:spacing w:val="-14"/>
          <w:sz w:val="28"/>
          <w:szCs w:val="28"/>
          <w:rtl/>
          <w:lang w:bidi="ar-MA"/>
        </w:rPr>
        <w:t xml:space="preserve"> </w:t>
      </w:r>
      <w:r>
        <w:rPr>
          <w:rFonts w:cs="Arabic Transparent"/>
          <w:spacing w:val="-14"/>
          <w:sz w:val="28"/>
          <w:szCs w:val="28"/>
          <w:lang w:bidi="ar-MA"/>
        </w:rPr>
        <w:t>-1,1</w:t>
      </w:r>
      <w:r w:rsidRPr="00E15CF5">
        <w:rPr>
          <w:rFonts w:cs="Arabic Transparent" w:hint="cs"/>
          <w:spacing w:val="-14"/>
          <w:sz w:val="28"/>
          <w:szCs w:val="28"/>
          <w:rtl/>
          <w:lang w:bidi="ar-MA"/>
        </w:rPr>
        <w:t>٪</w:t>
      </w:r>
      <w:r>
        <w:rPr>
          <w:rFonts w:cs="Arabic Transparent"/>
          <w:spacing w:val="-14"/>
          <w:sz w:val="28"/>
          <w:szCs w:val="28"/>
          <w:rtl/>
          <w:lang w:bidi="ar-MA"/>
        </w:rPr>
        <w:t xml:space="preserve">، عوض </w:t>
      </w:r>
      <w:r>
        <w:rPr>
          <w:rFonts w:cs="Arabic Transparent"/>
          <w:spacing w:val="-14"/>
          <w:sz w:val="28"/>
          <w:szCs w:val="28"/>
          <w:lang w:bidi="ar-MA"/>
        </w:rPr>
        <w:t>-3,4</w:t>
      </w:r>
      <w:r w:rsidRPr="006E58B5">
        <w:rPr>
          <w:rFonts w:cs="Arabic Transparent" w:hint="cs"/>
          <w:sz w:val="28"/>
          <w:szCs w:val="28"/>
          <w:rtl/>
          <w:lang w:bidi="ar-MA"/>
        </w:rPr>
        <w:t>٪</w:t>
      </w:r>
      <w:r>
        <w:rPr>
          <w:rFonts w:cs="Arabic Transparent"/>
          <w:sz w:val="28"/>
          <w:szCs w:val="28"/>
          <w:rtl/>
          <w:lang w:bidi="ar-MA"/>
        </w:rPr>
        <w:t>، خلال الفصل السابق،</w:t>
      </w:r>
      <w:r w:rsidRPr="006E58B5">
        <w:rPr>
          <w:rFonts w:cs="Arabic Transparent"/>
          <w:sz w:val="28"/>
          <w:szCs w:val="28"/>
          <w:rtl/>
          <w:lang w:bidi="ar-MA"/>
        </w:rPr>
        <w:t xml:space="preserve"> </w:t>
      </w:r>
      <w:r>
        <w:rPr>
          <w:rFonts w:cs="Arabic Transparent"/>
          <w:sz w:val="28"/>
          <w:szCs w:val="28"/>
          <w:rtl/>
          <w:lang w:bidi="ar-MA"/>
        </w:rPr>
        <w:t>وذلك بالموا</w:t>
      </w:r>
      <w:r>
        <w:rPr>
          <w:rFonts w:cs="Arabic Transparent"/>
          <w:spacing w:val="-14"/>
          <w:sz w:val="28"/>
          <w:szCs w:val="28"/>
          <w:rtl/>
          <w:lang w:bidi="ar-MA"/>
        </w:rPr>
        <w:t>زاة مع تباطؤ انخفاض مبيتات السياح غير المقيمين وتحسن مداخيل الأسفار بنسب تقدر ب 4,6</w:t>
      </w:r>
      <w:r w:rsidRPr="00E15CF5">
        <w:rPr>
          <w:rFonts w:cs="Arabic Transparent" w:hint="cs"/>
          <w:spacing w:val="-14"/>
          <w:sz w:val="28"/>
          <w:szCs w:val="28"/>
          <w:rtl/>
          <w:lang w:bidi="ar-MA"/>
        </w:rPr>
        <w:t>٪</w:t>
      </w:r>
      <w:r>
        <w:rPr>
          <w:rFonts w:cs="Arabic Transparent"/>
          <w:spacing w:val="-14"/>
          <w:sz w:val="28"/>
          <w:szCs w:val="28"/>
          <w:rtl/>
          <w:lang w:bidi="ar-MA"/>
        </w:rPr>
        <w:t xml:space="preserve">، حسب التغير السنوي. </w:t>
      </w:r>
    </w:p>
    <w:p w:rsidR="002B1AED" w:rsidRPr="00A5408C" w:rsidRDefault="002B1AED" w:rsidP="00A5408C">
      <w:pPr>
        <w:bidi/>
        <w:spacing w:line="340" w:lineRule="exact"/>
        <w:jc w:val="both"/>
        <w:rPr>
          <w:rFonts w:cs="Arabic Transparent"/>
          <w:spacing w:val="-14"/>
          <w:sz w:val="28"/>
          <w:szCs w:val="28"/>
          <w:rtl/>
          <w:lang w:bidi="ar-MA"/>
        </w:rPr>
      </w:pPr>
    </w:p>
    <w:p w:rsidR="002B1AED" w:rsidRPr="00E15CF5" w:rsidRDefault="002B1AED" w:rsidP="001049B4">
      <w:pPr>
        <w:bidi/>
        <w:spacing w:line="340" w:lineRule="exact"/>
        <w:jc w:val="both"/>
        <w:rPr>
          <w:b/>
          <w:bCs/>
          <w:color w:val="800000"/>
          <w:sz w:val="28"/>
          <w:szCs w:val="28"/>
          <w:rtl/>
        </w:rPr>
      </w:pPr>
      <w:r>
        <w:rPr>
          <w:b/>
          <w:bCs/>
          <w:color w:val="800000"/>
          <w:sz w:val="28"/>
          <w:szCs w:val="28"/>
          <w:rtl/>
        </w:rPr>
        <w:t xml:space="preserve">استمرار تحسن الإنتاج </w:t>
      </w:r>
      <w:r w:rsidRPr="00E15CF5">
        <w:rPr>
          <w:b/>
          <w:bCs/>
          <w:color w:val="800000"/>
          <w:sz w:val="28"/>
          <w:szCs w:val="28"/>
          <w:rtl/>
        </w:rPr>
        <w:t>الفلاحي</w:t>
      </w:r>
      <w:r>
        <w:rPr>
          <w:b/>
          <w:bCs/>
          <w:color w:val="800000"/>
          <w:sz w:val="28"/>
          <w:szCs w:val="28"/>
          <w:rtl/>
        </w:rPr>
        <w:t xml:space="preserve"> خلال الفصل الثالث 2015</w:t>
      </w:r>
    </w:p>
    <w:p w:rsidR="002B1AED" w:rsidRPr="0036347D" w:rsidRDefault="002B1AED" w:rsidP="00440354">
      <w:pPr>
        <w:bidi/>
        <w:spacing w:line="340" w:lineRule="exact"/>
        <w:jc w:val="both"/>
        <w:rPr>
          <w:rStyle w:val="hps"/>
          <w:rFonts w:cs="Arabic Transparent"/>
          <w:spacing w:val="-14"/>
          <w:sz w:val="28"/>
          <w:szCs w:val="28"/>
          <w:rtl/>
        </w:rPr>
      </w:pPr>
    </w:p>
    <w:p w:rsidR="002B1AED" w:rsidRPr="00CB07C0" w:rsidRDefault="00C4698A" w:rsidP="00F763E7">
      <w:pPr>
        <w:bidi/>
        <w:spacing w:line="340" w:lineRule="exact"/>
        <w:jc w:val="both"/>
        <w:rPr>
          <w:rFonts w:cs="Arabic Transparent"/>
          <w:noProof/>
          <w:sz w:val="28"/>
          <w:szCs w:val="28"/>
        </w:rPr>
      </w:pPr>
      <w:r>
        <w:rPr>
          <w:noProof/>
        </w:rPr>
        <w:drawing>
          <wp:anchor distT="0" distB="0" distL="114300" distR="114300" simplePos="0" relativeHeight="251660288" behindDoc="1" locked="0" layoutInCell="1" allowOverlap="1">
            <wp:simplePos x="0" y="0"/>
            <wp:positionH relativeFrom="column">
              <wp:posOffset>-70485</wp:posOffset>
            </wp:positionH>
            <wp:positionV relativeFrom="paragraph">
              <wp:posOffset>146050</wp:posOffset>
            </wp:positionV>
            <wp:extent cx="2560320" cy="2369820"/>
            <wp:effectExtent l="0" t="0" r="0" b="0"/>
            <wp:wrapTight wrapText="bothSides">
              <wp:wrapPolygon edited="0">
                <wp:start x="0" y="521"/>
                <wp:lineTo x="0" y="20836"/>
                <wp:lineTo x="21214" y="20836"/>
                <wp:lineTo x="21214" y="521"/>
                <wp:lineTo x="0" y="521"/>
              </wp:wrapPolygon>
            </wp:wrapTight>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srcRect/>
                    <a:stretch>
                      <a:fillRect/>
                    </a:stretch>
                  </pic:blipFill>
                  <pic:spPr bwMode="auto">
                    <a:xfrm>
                      <a:off x="0" y="0"/>
                      <a:ext cx="2560320" cy="2369820"/>
                    </a:xfrm>
                    <a:prstGeom prst="rect">
                      <a:avLst/>
                    </a:prstGeom>
                    <a:noFill/>
                  </pic:spPr>
                </pic:pic>
              </a:graphicData>
            </a:graphic>
          </wp:anchor>
        </w:drawing>
      </w:r>
      <w:r w:rsidR="002B1AED" w:rsidRPr="00CB07C0">
        <w:rPr>
          <w:rFonts w:cs="Arabic Transparent"/>
          <w:noProof/>
          <w:sz w:val="28"/>
          <w:szCs w:val="28"/>
          <w:rtl/>
        </w:rPr>
        <w:t>على مستوى القطاع الفلاحي، ينتظر أن تحقق قيمته المضافة ارتفاعا يقدر ب 16,6٪، خلال الفصل الثالث 2015، حسب التغير السنوي، عوض 12٪، في الفصل الأول. ويرجع هذا التحسن إلى انتعاش المزروعات المبكرة ابتداء من الفصل الثاني بفضل تحسن إنتاج الحبوب والزراعات العلفية. وعلى العموم</w:t>
      </w:r>
      <w:r w:rsidR="002B1AED" w:rsidRPr="00CB07C0">
        <w:rPr>
          <w:noProof/>
          <w:sz w:val="28"/>
          <w:szCs w:val="28"/>
          <w:rtl/>
        </w:rPr>
        <w:t>٬</w:t>
      </w:r>
      <w:r w:rsidR="002B1AED" w:rsidRPr="00CB07C0">
        <w:rPr>
          <w:rFonts w:cs="Arabic Transparent"/>
          <w:noProof/>
          <w:sz w:val="28"/>
          <w:szCs w:val="28"/>
          <w:rtl/>
        </w:rPr>
        <w:t xml:space="preserve"> سيعرف الإنتاج النباتي ارتفاعا يقدر ب18,1٪، في متم هذه السنة و14,6+٪ مقارنة مع متوسط الخمس سنوات الأخيرة. إلا أن هذا التطور في العرض لن  يصاحبه تراجع في الأسعار، حيث ينتظر أن يستمر ارتفاع مؤشر أثمان الاستهلاك للخضروات والفواكه الطرية  بما يعادل ب 7,6٪ و 8,2٪، على التوالي خلال الفصل الثالث. كما ستعرف أسعار اللحوم ارتفاعا بنسبة 0,8٪، موازاة مع تباطؤ إنتاج اللحوم الحمراء. أما إنتاج لحوم الدواجن ومشتقات تربية المواشي كالحليب</w:t>
      </w:r>
      <w:r w:rsidR="002B1AED" w:rsidRPr="00CB07C0">
        <w:rPr>
          <w:noProof/>
          <w:sz w:val="28"/>
          <w:szCs w:val="28"/>
          <w:rtl/>
        </w:rPr>
        <w:t>٬</w:t>
      </w:r>
      <w:r w:rsidR="002B1AED" w:rsidRPr="00CB07C0">
        <w:rPr>
          <w:rFonts w:cs="Arabic Transparent"/>
          <w:noProof/>
          <w:sz w:val="28"/>
          <w:szCs w:val="28"/>
          <w:rtl/>
        </w:rPr>
        <w:t xml:space="preserve"> فسيعرف بعض التحسن في نموه مساهما في دعم تطور الإنتاج الحيواني بنسبة 4,5٪، خلال هذه السنة.</w:t>
      </w:r>
      <w:r w:rsidR="002B1AED" w:rsidRPr="00CB07C0">
        <w:rPr>
          <w:rFonts w:cs="Arabic Transparent"/>
          <w:noProof/>
          <w:sz w:val="28"/>
          <w:szCs w:val="28"/>
        </w:rPr>
        <w:t xml:space="preserve"> </w:t>
      </w:r>
    </w:p>
    <w:p w:rsidR="002B1AED" w:rsidRPr="00CB07C0" w:rsidRDefault="002B1AED" w:rsidP="005D35DE">
      <w:pPr>
        <w:bidi/>
        <w:spacing w:line="340" w:lineRule="exact"/>
        <w:jc w:val="both"/>
        <w:rPr>
          <w:rFonts w:cs="Arabic Transparent"/>
          <w:spacing w:val="-14"/>
          <w:sz w:val="28"/>
          <w:szCs w:val="28"/>
          <w:rtl/>
        </w:rPr>
      </w:pPr>
      <w:r w:rsidRPr="00CB07C0">
        <w:rPr>
          <w:rFonts w:cs="Arabic Transparent"/>
          <w:spacing w:val="-14"/>
          <w:sz w:val="28"/>
          <w:szCs w:val="28"/>
          <w:rtl/>
        </w:rPr>
        <w:t xml:space="preserve"> </w:t>
      </w:r>
    </w:p>
    <w:p w:rsidR="002B1AED" w:rsidRDefault="002B1AED" w:rsidP="005D35DE">
      <w:pPr>
        <w:bidi/>
        <w:jc w:val="both"/>
        <w:rPr>
          <w:rFonts w:cs="Arabic Transparent"/>
          <w:spacing w:val="-14"/>
          <w:sz w:val="28"/>
          <w:szCs w:val="28"/>
          <w:lang w:bidi="ar-MA"/>
        </w:rPr>
      </w:pPr>
      <w:r w:rsidRPr="005D35DE">
        <w:rPr>
          <w:rFonts w:cs="Arabic Transparent"/>
          <w:spacing w:val="-14"/>
          <w:sz w:val="28"/>
          <w:szCs w:val="28"/>
          <w:rtl/>
          <w:lang w:bidi="ar-MA"/>
        </w:rPr>
        <w:t>وعلى العموم وباعتبار المؤشرات الاقتصادية المجمعة إلى غاية شهر شتنبر 2015، وكذلك التوقعات القطاعية الخاصة بالفصل الثالث 2015، ينتظر أن يحقق الاقتصاد الوطني نموا يقدر ب 4,5٪، خلال الفصل الثالث، حسب التغير السنوي، عوض 4,3٪، الفصل الذي قبله.</w:t>
      </w:r>
    </w:p>
    <w:p w:rsidR="002B1AED" w:rsidRDefault="002B1AED" w:rsidP="005D35DE">
      <w:pPr>
        <w:bidi/>
        <w:jc w:val="both"/>
        <w:rPr>
          <w:rFonts w:cs="Arabic Transparent"/>
          <w:spacing w:val="-14"/>
          <w:sz w:val="28"/>
          <w:szCs w:val="28"/>
          <w:lang w:bidi="ar-MA"/>
        </w:rPr>
      </w:pPr>
    </w:p>
    <w:p w:rsidR="002B1AED" w:rsidRDefault="002B1AED" w:rsidP="00193915">
      <w:pPr>
        <w:bidi/>
        <w:jc w:val="both"/>
        <w:rPr>
          <w:rFonts w:cs="Arabic Transparent"/>
          <w:spacing w:val="-14"/>
          <w:sz w:val="28"/>
          <w:szCs w:val="28"/>
          <w:lang w:bidi="ar-MA"/>
        </w:rPr>
      </w:pPr>
    </w:p>
    <w:p w:rsidR="002B1AED" w:rsidRDefault="002B1AED" w:rsidP="00193915">
      <w:pPr>
        <w:bidi/>
        <w:jc w:val="both"/>
        <w:rPr>
          <w:rFonts w:cs="Arabic Transparent"/>
          <w:spacing w:val="-14"/>
          <w:sz w:val="28"/>
          <w:szCs w:val="28"/>
          <w:rtl/>
          <w:lang w:bidi="ar-MA"/>
        </w:rPr>
      </w:pPr>
    </w:p>
    <w:p w:rsidR="002B1AED" w:rsidRPr="00E15CF5" w:rsidRDefault="002B1AED" w:rsidP="00CC6CBA">
      <w:pPr>
        <w:bidi/>
        <w:jc w:val="both"/>
        <w:rPr>
          <w:rFonts w:cs="Arabic Transparent"/>
          <w:b/>
          <w:bCs/>
          <w:color w:val="800000"/>
          <w:spacing w:val="-14"/>
          <w:sz w:val="28"/>
          <w:szCs w:val="28"/>
          <w:rtl/>
          <w:lang w:bidi="ar-MA"/>
        </w:rPr>
      </w:pPr>
      <w:r>
        <w:rPr>
          <w:rFonts w:cs="Arabic Transparent"/>
          <w:b/>
          <w:bCs/>
          <w:color w:val="800000"/>
          <w:spacing w:val="-14"/>
          <w:sz w:val="28"/>
          <w:szCs w:val="28"/>
          <w:rtl/>
          <w:lang w:bidi="ar-MA"/>
        </w:rPr>
        <w:lastRenderedPageBreak/>
        <w:t xml:space="preserve">تراجع طفيف في </w:t>
      </w:r>
      <w:r w:rsidRPr="00E15CF5">
        <w:rPr>
          <w:rFonts w:cs="Arabic Transparent"/>
          <w:b/>
          <w:bCs/>
          <w:color w:val="800000"/>
          <w:spacing w:val="-14"/>
          <w:sz w:val="28"/>
          <w:szCs w:val="28"/>
          <w:rtl/>
          <w:lang w:bidi="ar-MA"/>
        </w:rPr>
        <w:t>وتيرة</w:t>
      </w:r>
      <w:r>
        <w:rPr>
          <w:rFonts w:cs="Arabic Transparent"/>
          <w:b/>
          <w:bCs/>
          <w:color w:val="800000"/>
          <w:spacing w:val="-14"/>
          <w:sz w:val="28"/>
          <w:szCs w:val="28"/>
          <w:rtl/>
          <w:lang w:bidi="ar-MA"/>
        </w:rPr>
        <w:t xml:space="preserve"> ارتفاع</w:t>
      </w:r>
      <w:r w:rsidRPr="00E15CF5">
        <w:rPr>
          <w:rFonts w:cs="Arabic Transparent"/>
          <w:b/>
          <w:bCs/>
          <w:color w:val="800000"/>
          <w:spacing w:val="-14"/>
          <w:sz w:val="28"/>
          <w:szCs w:val="28"/>
          <w:rtl/>
          <w:lang w:bidi="ar-MA"/>
        </w:rPr>
        <w:t xml:space="preserve"> أسعار الاستهلاك </w:t>
      </w:r>
    </w:p>
    <w:p w:rsidR="002B1AED" w:rsidRPr="00E15CF5" w:rsidRDefault="002B1AED" w:rsidP="00267A94">
      <w:pPr>
        <w:bidi/>
        <w:jc w:val="both"/>
        <w:rPr>
          <w:rFonts w:cs="Arabic Transparent"/>
          <w:b/>
          <w:bCs/>
          <w:color w:val="800000"/>
          <w:spacing w:val="-14"/>
          <w:sz w:val="28"/>
          <w:szCs w:val="28"/>
        </w:rPr>
      </w:pPr>
    </w:p>
    <w:p w:rsidR="002B1AED" w:rsidRPr="00CB07C0" w:rsidRDefault="00C4698A" w:rsidP="00735546">
      <w:pPr>
        <w:bidi/>
        <w:spacing w:line="340" w:lineRule="exact"/>
        <w:jc w:val="both"/>
        <w:rPr>
          <w:rFonts w:cs="Arabic Transparent"/>
          <w:noProof/>
          <w:sz w:val="28"/>
          <w:szCs w:val="28"/>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34290</wp:posOffset>
            </wp:positionV>
            <wp:extent cx="2428875" cy="2295525"/>
            <wp:effectExtent l="0" t="0" r="0" b="0"/>
            <wp:wrapTight wrapText="bothSides">
              <wp:wrapPolygon edited="0">
                <wp:start x="0" y="538"/>
                <wp:lineTo x="0" y="20973"/>
                <wp:lineTo x="21346" y="20973"/>
                <wp:lineTo x="21346" y="538"/>
                <wp:lineTo x="0" y="538"/>
              </wp:wrapPolygon>
            </wp:wrapTight>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srcRect/>
                    <a:stretch>
                      <a:fillRect/>
                    </a:stretch>
                  </pic:blipFill>
                  <pic:spPr bwMode="auto">
                    <a:xfrm>
                      <a:off x="0" y="0"/>
                      <a:ext cx="2428875" cy="2295525"/>
                    </a:xfrm>
                    <a:prstGeom prst="rect">
                      <a:avLst/>
                    </a:prstGeom>
                    <a:noFill/>
                  </pic:spPr>
                </pic:pic>
              </a:graphicData>
            </a:graphic>
          </wp:anchor>
        </w:drawing>
      </w:r>
      <w:r w:rsidR="002B1AED" w:rsidRPr="00CB07C0">
        <w:rPr>
          <w:rFonts w:cs="Arabic Transparent"/>
          <w:noProof/>
          <w:sz w:val="28"/>
          <w:szCs w:val="28"/>
          <w:rtl/>
        </w:rPr>
        <w:t>يرتقب أن تعرف وثيرة أسعار الاستهلاك بعض التباطؤ، خلال الفصل الثالث 2015، لتحقق زيادة تقدر ب 1,9٪، حسب التغير السنوي، عوض 2٪ في الفصل الثاني، بالرغم من ارتفاع أسعار المواد الغذائية بنسبة 3,</w:t>
      </w:r>
      <w:r w:rsidR="002B1AED">
        <w:rPr>
          <w:rFonts w:cs="Arabic Transparent"/>
          <w:noProof/>
          <w:sz w:val="28"/>
          <w:szCs w:val="28"/>
          <w:rtl/>
        </w:rPr>
        <w:t>4</w:t>
      </w:r>
      <w:r w:rsidR="002B1AED" w:rsidRPr="00CB07C0">
        <w:rPr>
          <w:rFonts w:cs="Arabic Transparent" w:hint="cs"/>
          <w:noProof/>
          <w:sz w:val="28"/>
          <w:szCs w:val="28"/>
          <w:rtl/>
        </w:rPr>
        <w:t>٪</w:t>
      </w:r>
      <w:r w:rsidR="002B1AED" w:rsidRPr="00CB07C0">
        <w:rPr>
          <w:rFonts w:cs="Arabic Transparent"/>
          <w:noProof/>
          <w:sz w:val="28"/>
          <w:szCs w:val="28"/>
          <w:rtl/>
        </w:rPr>
        <w:t>. ويعزى هذا التباطؤ، بالأساس، إلى انخفاض وتيرة أسعار المواد غير الغذائية الذي يقدر ب 0,6٪ عوض 1,2٪، خلال الفصل الذي قبله، وذلك بسبب تراجع أسعار المحروقات. في المقابل، ستشهد وتيرة التضخم الكامن، والذي يستثني الأسعار المحددة وأسعار المواد الطاقية والطرية، بعض الارتفاع ليحقق زيادة تقدر ب 1,4٪، خلال الفصل الثالث 2015، متأثرا بارتفاع أسعار المواد المصنعة</w:t>
      </w:r>
      <w:r w:rsidR="002B1AED">
        <w:rPr>
          <w:rFonts w:cs="Arabic Transparent"/>
          <w:noProof/>
          <w:sz w:val="28"/>
          <w:szCs w:val="28"/>
          <w:rtl/>
        </w:rPr>
        <w:t xml:space="preserve"> الغذائية</w:t>
      </w:r>
      <w:r w:rsidR="002B1AED" w:rsidRPr="00CB07C0">
        <w:rPr>
          <w:rFonts w:cs="Arabic Transparent"/>
          <w:noProof/>
          <w:sz w:val="28"/>
          <w:szCs w:val="28"/>
          <w:rtl/>
        </w:rPr>
        <w:t>. وبالنسبة لمجموع سنة 2015، يتوقع أن ترتفع وتيرة أسعار الاستهلاك مقارنة مع السنة الفارطة لتستقر في حدود 1,5٪، عوض 0,4٪، في 2014. هذا التطور سيميز كذلك التضخم الكامن، ولكن بوتيرة أقل، حيث يتوقع أن يرتفع بنسبة تقدر ب 1,3٪، عوض 1,2٪، السنة الفارطة.</w:t>
      </w:r>
      <w:r w:rsidR="002B1AED" w:rsidRPr="00CB07C0">
        <w:rPr>
          <w:rFonts w:cs="Arabic Transparent"/>
          <w:noProof/>
          <w:sz w:val="28"/>
          <w:szCs w:val="28"/>
        </w:rPr>
        <w:t xml:space="preserve"> </w:t>
      </w:r>
    </w:p>
    <w:p w:rsidR="002B1AED" w:rsidRPr="009F6162" w:rsidRDefault="002B1AED" w:rsidP="005D35DE">
      <w:pPr>
        <w:bidi/>
        <w:spacing w:line="340" w:lineRule="exact"/>
        <w:jc w:val="both"/>
        <w:rPr>
          <w:rFonts w:cs="Arabic Transparent"/>
          <w:spacing w:val="-14"/>
          <w:sz w:val="28"/>
          <w:szCs w:val="28"/>
          <w:lang w:bidi="ar-MA"/>
        </w:rPr>
      </w:pPr>
      <w:r>
        <w:rPr>
          <w:rFonts w:cs="Arabic Transparent"/>
          <w:spacing w:val="-14"/>
          <w:sz w:val="28"/>
          <w:szCs w:val="28"/>
          <w:rtl/>
          <w:lang w:bidi="ar-MA"/>
        </w:rPr>
        <w:t xml:space="preserve"> </w:t>
      </w:r>
    </w:p>
    <w:p w:rsidR="002B1AED" w:rsidRPr="00E15CF5" w:rsidRDefault="002B1AED" w:rsidP="00D1176C">
      <w:pPr>
        <w:bidi/>
        <w:jc w:val="both"/>
        <w:rPr>
          <w:rFonts w:cs="Arabic Transparent"/>
          <w:b/>
          <w:bCs/>
          <w:color w:val="800000"/>
          <w:spacing w:val="-18"/>
          <w:sz w:val="28"/>
          <w:szCs w:val="28"/>
          <w:rtl/>
          <w:lang w:bidi="ar-MA"/>
        </w:rPr>
      </w:pPr>
      <w:r>
        <w:rPr>
          <w:rFonts w:cs="Arabic Transparent"/>
          <w:b/>
          <w:bCs/>
          <w:color w:val="800000"/>
          <w:spacing w:val="-18"/>
          <w:sz w:val="28"/>
          <w:szCs w:val="28"/>
          <w:rtl/>
          <w:lang w:bidi="ar-MA"/>
        </w:rPr>
        <w:t>تباطؤ</w:t>
      </w:r>
      <w:r w:rsidRPr="00E15CF5">
        <w:rPr>
          <w:rFonts w:cs="Arabic Transparent"/>
          <w:b/>
          <w:bCs/>
          <w:color w:val="800000"/>
          <w:spacing w:val="-18"/>
          <w:sz w:val="28"/>
          <w:szCs w:val="28"/>
          <w:rtl/>
          <w:lang w:bidi="ar-MA"/>
        </w:rPr>
        <w:t xml:space="preserve"> </w:t>
      </w:r>
      <w:r>
        <w:rPr>
          <w:rFonts w:cs="Arabic Transparent"/>
          <w:b/>
          <w:bCs/>
          <w:color w:val="800000"/>
          <w:spacing w:val="-18"/>
          <w:sz w:val="28"/>
          <w:szCs w:val="28"/>
          <w:rtl/>
          <w:lang w:bidi="ar-MA"/>
        </w:rPr>
        <w:t>ا</w:t>
      </w:r>
      <w:r w:rsidRPr="00E15CF5">
        <w:rPr>
          <w:rFonts w:cs="Arabic Transparent"/>
          <w:b/>
          <w:bCs/>
          <w:color w:val="800000"/>
          <w:spacing w:val="-18"/>
          <w:sz w:val="28"/>
          <w:szCs w:val="28"/>
          <w:rtl/>
          <w:lang w:bidi="ar-MA"/>
        </w:rPr>
        <w:t>لكتلة النقدية</w:t>
      </w:r>
      <w:r>
        <w:rPr>
          <w:rFonts w:cs="Arabic Transparent"/>
          <w:b/>
          <w:bCs/>
          <w:color w:val="800000"/>
          <w:spacing w:val="-18"/>
          <w:sz w:val="28"/>
          <w:szCs w:val="28"/>
          <w:lang w:bidi="ar-MA"/>
        </w:rPr>
        <w:t xml:space="preserve"> </w:t>
      </w:r>
      <w:r>
        <w:rPr>
          <w:rFonts w:cs="Arabic Transparent"/>
          <w:b/>
          <w:bCs/>
          <w:color w:val="800000"/>
          <w:spacing w:val="-18"/>
          <w:sz w:val="28"/>
          <w:szCs w:val="28"/>
          <w:rtl/>
          <w:lang w:bidi="ar-MA"/>
        </w:rPr>
        <w:t>خلال الفصل الثالث</w:t>
      </w:r>
      <w:r w:rsidRPr="00E15CF5">
        <w:rPr>
          <w:rFonts w:cs="Arabic Transparent"/>
          <w:b/>
          <w:bCs/>
          <w:color w:val="800000"/>
          <w:spacing w:val="-18"/>
          <w:sz w:val="28"/>
          <w:szCs w:val="28"/>
          <w:rtl/>
          <w:lang w:bidi="ar-MA"/>
        </w:rPr>
        <w:t xml:space="preserve"> </w:t>
      </w:r>
      <w:r>
        <w:rPr>
          <w:rFonts w:cs="Arabic Transparent"/>
          <w:b/>
          <w:bCs/>
          <w:color w:val="800000"/>
          <w:spacing w:val="-18"/>
          <w:sz w:val="28"/>
          <w:szCs w:val="28"/>
          <w:rtl/>
          <w:lang w:bidi="ar-MA"/>
        </w:rPr>
        <w:t xml:space="preserve">من </w:t>
      </w:r>
      <w:r w:rsidRPr="00E15CF5">
        <w:rPr>
          <w:rFonts w:cs="Arabic Transparent"/>
          <w:b/>
          <w:bCs/>
          <w:color w:val="800000"/>
          <w:spacing w:val="-18"/>
          <w:sz w:val="28"/>
          <w:szCs w:val="28"/>
          <w:rtl/>
          <w:lang w:bidi="ar-MA"/>
        </w:rPr>
        <w:t>2015</w:t>
      </w:r>
    </w:p>
    <w:p w:rsidR="002B1AED" w:rsidRDefault="002B1AED" w:rsidP="009F3745">
      <w:pPr>
        <w:bidi/>
        <w:jc w:val="both"/>
        <w:rPr>
          <w:rFonts w:cs="Arabic Transparent"/>
          <w:b/>
          <w:bCs/>
          <w:color w:val="800000"/>
          <w:spacing w:val="-18"/>
          <w:sz w:val="28"/>
          <w:szCs w:val="28"/>
          <w:rtl/>
          <w:lang w:bidi="ar-MA"/>
        </w:rPr>
      </w:pPr>
    </w:p>
    <w:p w:rsidR="002B1AED" w:rsidRPr="005D35DE" w:rsidRDefault="002B1AED" w:rsidP="00CB07C0">
      <w:pPr>
        <w:bidi/>
        <w:jc w:val="both"/>
        <w:rPr>
          <w:rFonts w:cs="Arabic Transparent"/>
          <w:spacing w:val="-18"/>
          <w:sz w:val="28"/>
          <w:szCs w:val="28"/>
          <w:rtl/>
        </w:rPr>
      </w:pPr>
      <w:r w:rsidRPr="005D35DE">
        <w:rPr>
          <w:rFonts w:cs="Arabic Transparent"/>
          <w:spacing w:val="-18"/>
          <w:sz w:val="28"/>
          <w:szCs w:val="28"/>
          <w:rtl/>
        </w:rPr>
        <w:t xml:space="preserve">يرتقب أن تشهد الكتلة النقدية بعض التباطؤ في وتيرة نموها لتحقق ارتفاعا يقدر ب 4,9٪، خلال الفصل الثالث 2015، حسب التغير السنوي، عوض 6,3٪، الفصل الذي قبله. كما ينتظر أن تعرف القروض المقدمة للاقتصاد ارتفاعا طفيفا يقدر ب 1,2٪،   حسب التغير السنوي. </w:t>
      </w:r>
      <w:r>
        <w:rPr>
          <w:rFonts w:cs="Arabic Transparent"/>
          <w:spacing w:val="-18"/>
          <w:sz w:val="28"/>
          <w:szCs w:val="28"/>
          <w:rtl/>
        </w:rPr>
        <w:t xml:space="preserve"> في ظل ذلك</w:t>
      </w:r>
      <w:r w:rsidRPr="005D35DE">
        <w:rPr>
          <w:rFonts w:cs="Arabic Transparent"/>
          <w:spacing w:val="-18"/>
          <w:sz w:val="28"/>
          <w:szCs w:val="28"/>
          <w:rtl/>
        </w:rPr>
        <w:t>، يتوقع أن يحقق عجز سيولة الأبناك بعض التقلص، موازاة مع تحسن الموجودات الخارجية، مما سيساهم في تراجع عمليات تمويل الأبناك من طرف البنك المركزي</w:t>
      </w:r>
      <w:r w:rsidRPr="005D35DE">
        <w:rPr>
          <w:rFonts w:cs="Arabic Transparent"/>
          <w:spacing w:val="-18"/>
          <w:sz w:val="28"/>
          <w:szCs w:val="28"/>
        </w:rPr>
        <w:t xml:space="preserve">. </w:t>
      </w:r>
    </w:p>
    <w:p w:rsidR="002B1AED" w:rsidRPr="005D35DE" w:rsidRDefault="002B1AED" w:rsidP="005D35DE">
      <w:pPr>
        <w:bidi/>
        <w:jc w:val="both"/>
        <w:rPr>
          <w:rFonts w:cs="Arabic Transparent"/>
          <w:spacing w:val="-18"/>
          <w:sz w:val="28"/>
          <w:szCs w:val="28"/>
          <w:rtl/>
        </w:rPr>
      </w:pPr>
    </w:p>
    <w:p w:rsidR="002B1AED" w:rsidRPr="005D35DE" w:rsidRDefault="002B1AED" w:rsidP="005D35DE">
      <w:pPr>
        <w:bidi/>
        <w:jc w:val="both"/>
        <w:rPr>
          <w:rFonts w:cs="Arabic Transparent"/>
          <w:spacing w:val="-18"/>
          <w:sz w:val="28"/>
          <w:szCs w:val="28"/>
          <w:rtl/>
        </w:rPr>
      </w:pPr>
      <w:r w:rsidRPr="005D35DE">
        <w:rPr>
          <w:rFonts w:cs="Arabic Transparent"/>
          <w:spacing w:val="-18"/>
          <w:sz w:val="28"/>
          <w:szCs w:val="28"/>
          <w:rtl/>
        </w:rPr>
        <w:t>ومن جهة أخرى، يرتقب أن يشهد سعر الفائدة بين البنوك بعض الاستقرار، خلال الفصل الثالث 2015، وأن يقترب من سعر الفائدة المركزي، ليستقر في حدود 2,51٪. كما يتوقع أن تتقلص أسعار فائدة سندات الخزينة بعد ارتفاعها خلال الفصل السابق</w:t>
      </w:r>
      <w:r w:rsidRPr="005D35DE">
        <w:rPr>
          <w:rFonts w:cs="Arabic Transparent"/>
          <w:spacing w:val="-18"/>
          <w:sz w:val="28"/>
          <w:szCs w:val="28"/>
        </w:rPr>
        <w:t>.</w:t>
      </w:r>
    </w:p>
    <w:p w:rsidR="002B1AED" w:rsidRPr="009F3745" w:rsidRDefault="002B1AED" w:rsidP="004715C3">
      <w:pPr>
        <w:bidi/>
        <w:jc w:val="both"/>
        <w:rPr>
          <w:rFonts w:cs="Arabic Transparent"/>
          <w:spacing w:val="-18"/>
          <w:sz w:val="28"/>
          <w:szCs w:val="28"/>
        </w:rPr>
      </w:pPr>
    </w:p>
    <w:p w:rsidR="002B1AED" w:rsidRPr="00E15CF5" w:rsidRDefault="002B1AED" w:rsidP="00D34461">
      <w:pPr>
        <w:bidi/>
        <w:jc w:val="both"/>
        <w:rPr>
          <w:rFonts w:cs="Arabic Transparent"/>
          <w:b/>
          <w:bCs/>
          <w:color w:val="800000"/>
          <w:spacing w:val="-18"/>
          <w:sz w:val="28"/>
          <w:szCs w:val="28"/>
          <w:rtl/>
          <w:lang w:bidi="ar-MA"/>
        </w:rPr>
      </w:pPr>
      <w:r w:rsidRPr="00E15CF5">
        <w:rPr>
          <w:rFonts w:cs="Arabic Transparent"/>
          <w:b/>
          <w:bCs/>
          <w:color w:val="800000"/>
          <w:spacing w:val="-18"/>
          <w:sz w:val="28"/>
          <w:szCs w:val="28"/>
          <w:rtl/>
          <w:lang w:bidi="ar-MA"/>
        </w:rPr>
        <w:t>ت</w:t>
      </w:r>
      <w:r>
        <w:rPr>
          <w:rFonts w:cs="Arabic Transparent"/>
          <w:b/>
          <w:bCs/>
          <w:color w:val="800000"/>
          <w:spacing w:val="-18"/>
          <w:sz w:val="28"/>
          <w:szCs w:val="28"/>
          <w:rtl/>
          <w:lang w:bidi="ar-MA"/>
        </w:rPr>
        <w:t xml:space="preserve">راجع </w:t>
      </w:r>
      <w:r w:rsidRPr="00E15CF5">
        <w:rPr>
          <w:rFonts w:cs="Arabic Transparent"/>
          <w:b/>
          <w:bCs/>
          <w:color w:val="800000"/>
          <w:spacing w:val="-18"/>
          <w:sz w:val="28"/>
          <w:szCs w:val="28"/>
          <w:rtl/>
          <w:lang w:bidi="ar-MA"/>
        </w:rPr>
        <w:t>سوق الأسهم</w:t>
      </w:r>
      <w:r>
        <w:rPr>
          <w:rFonts w:cs="Arabic Transparent"/>
          <w:b/>
          <w:bCs/>
          <w:color w:val="800000"/>
          <w:spacing w:val="-18"/>
          <w:sz w:val="28"/>
          <w:szCs w:val="28"/>
          <w:lang w:bidi="ar-MA"/>
        </w:rPr>
        <w:t xml:space="preserve"> </w:t>
      </w:r>
      <w:r>
        <w:rPr>
          <w:rFonts w:cs="Arabic Transparent"/>
          <w:b/>
          <w:bCs/>
          <w:color w:val="800000"/>
          <w:spacing w:val="-18"/>
          <w:sz w:val="28"/>
          <w:szCs w:val="28"/>
          <w:rtl/>
          <w:lang w:bidi="ar-MA"/>
        </w:rPr>
        <w:t>خلال الفصل الثالث</w:t>
      </w:r>
      <w:r w:rsidRPr="00E15CF5">
        <w:rPr>
          <w:rFonts w:cs="Arabic Transparent"/>
          <w:b/>
          <w:bCs/>
          <w:color w:val="800000"/>
          <w:spacing w:val="-18"/>
          <w:sz w:val="28"/>
          <w:szCs w:val="28"/>
          <w:rtl/>
          <w:lang w:bidi="ar-MA"/>
        </w:rPr>
        <w:t xml:space="preserve"> </w:t>
      </w:r>
      <w:r>
        <w:rPr>
          <w:rFonts w:cs="Arabic Transparent"/>
          <w:b/>
          <w:bCs/>
          <w:color w:val="800000"/>
          <w:spacing w:val="-18"/>
          <w:sz w:val="28"/>
          <w:szCs w:val="28"/>
          <w:rtl/>
          <w:lang w:bidi="ar-MA"/>
        </w:rPr>
        <w:t xml:space="preserve">من </w:t>
      </w:r>
      <w:r w:rsidRPr="00E15CF5">
        <w:rPr>
          <w:rFonts w:cs="Arabic Transparent"/>
          <w:b/>
          <w:bCs/>
          <w:color w:val="800000"/>
          <w:spacing w:val="-18"/>
          <w:sz w:val="28"/>
          <w:szCs w:val="28"/>
          <w:rtl/>
          <w:lang w:bidi="ar-MA"/>
        </w:rPr>
        <w:t>2015</w:t>
      </w:r>
    </w:p>
    <w:p w:rsidR="002B1AED" w:rsidRPr="00BA5A4A" w:rsidRDefault="00C4698A" w:rsidP="003367A6">
      <w:pPr>
        <w:bidi/>
        <w:jc w:val="both"/>
        <w:rPr>
          <w:rFonts w:cs="Arabic Transparent"/>
          <w:spacing w:val="-18"/>
          <w:sz w:val="28"/>
          <w:szCs w:val="28"/>
        </w:rPr>
      </w:pPr>
      <w:r>
        <w:rPr>
          <w:noProof/>
        </w:rPr>
        <w:drawing>
          <wp:anchor distT="0" distB="0" distL="114300" distR="114300" simplePos="0" relativeHeight="251656192" behindDoc="0" locked="0" layoutInCell="1" allowOverlap="1">
            <wp:simplePos x="0" y="0"/>
            <wp:positionH relativeFrom="column">
              <wp:posOffset>-228600</wp:posOffset>
            </wp:positionH>
            <wp:positionV relativeFrom="paragraph">
              <wp:posOffset>50165</wp:posOffset>
            </wp:positionV>
            <wp:extent cx="2514600" cy="2220595"/>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6"/>
                    <a:srcRect/>
                    <a:stretch>
                      <a:fillRect/>
                    </a:stretch>
                  </pic:blipFill>
                  <pic:spPr bwMode="auto">
                    <a:xfrm>
                      <a:off x="0" y="0"/>
                      <a:ext cx="2514600" cy="2220595"/>
                    </a:xfrm>
                    <a:prstGeom prst="rect">
                      <a:avLst/>
                    </a:prstGeom>
                    <a:noFill/>
                  </pic:spPr>
                </pic:pic>
              </a:graphicData>
            </a:graphic>
          </wp:anchor>
        </w:drawing>
      </w:r>
    </w:p>
    <w:p w:rsidR="002B1AED" w:rsidRPr="00E15CF5" w:rsidRDefault="002B1AED" w:rsidP="005D35DE">
      <w:pPr>
        <w:bidi/>
        <w:jc w:val="both"/>
        <w:rPr>
          <w:rFonts w:cs="Arabic Transparent"/>
          <w:spacing w:val="-18"/>
          <w:sz w:val="28"/>
          <w:szCs w:val="28"/>
        </w:rPr>
      </w:pPr>
      <w:r w:rsidRPr="005D35DE">
        <w:rPr>
          <w:rFonts w:cs="Arabic Transparent"/>
          <w:spacing w:val="-18"/>
          <w:sz w:val="28"/>
          <w:szCs w:val="28"/>
          <w:rtl/>
        </w:rPr>
        <w:t xml:space="preserve">بعد تحسنه خلال بداية هذه السنة، سيعرف سوق الأسهم بعض التراجع في الفصل الثالث 2015، موازاة مع انخفاض أسعار الأسهم و تراجع أرباح الشركات المدمجة خلال النصف الأول من هذه السنة. وقد ساهمت هذه النتائج في تراجع ثقة المستثمرين وتباطؤ الطلب على سوق الأسهم، حيث سجل كل من مؤشري  </w:t>
      </w:r>
      <w:r w:rsidRPr="005D35DE">
        <w:rPr>
          <w:rFonts w:cs="Arabic Transparent"/>
          <w:spacing w:val="-18"/>
          <w:sz w:val="28"/>
          <w:szCs w:val="28"/>
        </w:rPr>
        <w:t>MASI</w:t>
      </w:r>
      <w:r w:rsidRPr="005D35DE">
        <w:rPr>
          <w:rFonts w:cs="Arabic Transparent"/>
          <w:spacing w:val="-18"/>
          <w:sz w:val="28"/>
          <w:szCs w:val="28"/>
          <w:rtl/>
        </w:rPr>
        <w:t xml:space="preserve">  و </w:t>
      </w:r>
      <w:r w:rsidRPr="005D35DE">
        <w:rPr>
          <w:rFonts w:cs="Arabic Transparent"/>
          <w:spacing w:val="-18"/>
          <w:sz w:val="28"/>
          <w:szCs w:val="28"/>
        </w:rPr>
        <w:t>MADEX</w:t>
      </w:r>
      <w:r w:rsidRPr="005D35DE">
        <w:rPr>
          <w:rFonts w:cs="Arabic Transparent"/>
          <w:spacing w:val="-18"/>
          <w:sz w:val="28"/>
          <w:szCs w:val="28"/>
          <w:rtl/>
        </w:rPr>
        <w:t xml:space="preserve">  انخفاضا بنسبة 9,6٪ و 9,8٪، على التوالي عوض زيادات قدرها 3,8٪ و 4,3٪، خلال الفصل الثاني، بالمقارنة مع نفس الفترة من سنة 2014. و قد ساهم هذا التراجع الأخير في تقلص رسملة البورصة لتنخفض بنسبة 7,8٪، عوض 6,6+٪، خلال الفصل السابق، وكذلك انخفاض حجم المعاملات بحوالي 41,1٪، حسب التغير السنوي.</w:t>
      </w:r>
    </w:p>
    <w:p w:rsidR="002B1AED" w:rsidRDefault="002B1AED" w:rsidP="00903FFE">
      <w:pPr>
        <w:bidi/>
        <w:jc w:val="both"/>
        <w:rPr>
          <w:rFonts w:cs="Arabic Transparent"/>
          <w:b/>
          <w:bCs/>
          <w:color w:val="800000"/>
          <w:spacing w:val="-18"/>
          <w:sz w:val="28"/>
          <w:szCs w:val="28"/>
          <w:rtl/>
        </w:rPr>
      </w:pPr>
    </w:p>
    <w:p w:rsidR="002B1AED" w:rsidRDefault="002B1AED" w:rsidP="00F43899">
      <w:pPr>
        <w:bidi/>
        <w:jc w:val="both"/>
        <w:rPr>
          <w:rFonts w:cs="Arabic Transparent"/>
          <w:b/>
          <w:bCs/>
          <w:color w:val="800000"/>
          <w:spacing w:val="-18"/>
          <w:sz w:val="28"/>
          <w:szCs w:val="28"/>
          <w:rtl/>
        </w:rPr>
      </w:pPr>
    </w:p>
    <w:p w:rsidR="002B1AED" w:rsidRDefault="002B1AED" w:rsidP="00034F39">
      <w:pPr>
        <w:bidi/>
        <w:jc w:val="both"/>
        <w:rPr>
          <w:rFonts w:cs="Arabic Transparent"/>
          <w:b/>
          <w:bCs/>
          <w:color w:val="800000"/>
          <w:spacing w:val="-18"/>
          <w:sz w:val="28"/>
          <w:szCs w:val="28"/>
          <w:rtl/>
        </w:rPr>
      </w:pPr>
    </w:p>
    <w:p w:rsidR="002B1AED" w:rsidRDefault="002B1AED" w:rsidP="00034F39">
      <w:pPr>
        <w:bidi/>
        <w:jc w:val="both"/>
        <w:rPr>
          <w:rFonts w:cs="Arabic Transparent"/>
          <w:b/>
          <w:bCs/>
          <w:color w:val="800000"/>
          <w:spacing w:val="-18"/>
          <w:sz w:val="28"/>
          <w:szCs w:val="28"/>
          <w:rtl/>
        </w:rPr>
      </w:pPr>
    </w:p>
    <w:p w:rsidR="002B1AED" w:rsidRPr="00E15CF5" w:rsidRDefault="002B1AED" w:rsidP="00F43899">
      <w:pPr>
        <w:bidi/>
        <w:jc w:val="both"/>
        <w:rPr>
          <w:rFonts w:cs="Arabic Transparent"/>
          <w:b/>
          <w:bCs/>
          <w:color w:val="800000"/>
          <w:spacing w:val="-18"/>
          <w:sz w:val="28"/>
          <w:szCs w:val="28"/>
          <w:rtl/>
          <w:lang w:bidi="ar-MA"/>
        </w:rPr>
      </w:pPr>
      <w:r>
        <w:rPr>
          <w:rFonts w:cs="Arabic Transparent"/>
          <w:b/>
          <w:bCs/>
          <w:color w:val="800000"/>
          <w:spacing w:val="-18"/>
          <w:sz w:val="28"/>
          <w:szCs w:val="28"/>
          <w:rtl/>
          <w:lang w:bidi="ar-MA"/>
        </w:rPr>
        <w:lastRenderedPageBreak/>
        <w:t>توقعات ب</w:t>
      </w:r>
      <w:r w:rsidRPr="00E15CF5">
        <w:rPr>
          <w:rFonts w:cs="Arabic Transparent"/>
          <w:b/>
          <w:bCs/>
          <w:color w:val="800000"/>
          <w:spacing w:val="-18"/>
          <w:sz w:val="28"/>
          <w:szCs w:val="28"/>
          <w:rtl/>
          <w:lang w:bidi="ar-MA"/>
        </w:rPr>
        <w:t xml:space="preserve">استمرار </w:t>
      </w:r>
      <w:r>
        <w:rPr>
          <w:rFonts w:cs="Arabic Transparent"/>
          <w:b/>
          <w:bCs/>
          <w:color w:val="800000"/>
          <w:spacing w:val="-18"/>
          <w:sz w:val="28"/>
          <w:szCs w:val="28"/>
          <w:rtl/>
          <w:lang w:bidi="ar-MA"/>
        </w:rPr>
        <w:t>تحسن</w:t>
      </w:r>
      <w:r w:rsidRPr="00E15CF5">
        <w:rPr>
          <w:rFonts w:cs="Arabic Transparent"/>
          <w:b/>
          <w:bCs/>
          <w:color w:val="800000"/>
          <w:spacing w:val="-18"/>
          <w:sz w:val="28"/>
          <w:szCs w:val="28"/>
          <w:rtl/>
          <w:lang w:bidi="ar-MA"/>
        </w:rPr>
        <w:t xml:space="preserve"> الاقتصاد الوطني خلال الفصل ال</w:t>
      </w:r>
      <w:r>
        <w:rPr>
          <w:rFonts w:cs="Arabic Transparent"/>
          <w:b/>
          <w:bCs/>
          <w:color w:val="800000"/>
          <w:spacing w:val="-18"/>
          <w:sz w:val="28"/>
          <w:szCs w:val="28"/>
          <w:rtl/>
          <w:lang w:bidi="ar-MA"/>
        </w:rPr>
        <w:t>رابع</w:t>
      </w:r>
      <w:r w:rsidRPr="00E15CF5">
        <w:rPr>
          <w:rFonts w:cs="Arabic Transparent"/>
          <w:b/>
          <w:bCs/>
          <w:color w:val="800000"/>
          <w:spacing w:val="-18"/>
          <w:sz w:val="28"/>
          <w:szCs w:val="28"/>
          <w:rtl/>
          <w:lang w:bidi="ar-MA"/>
        </w:rPr>
        <w:t xml:space="preserve"> 2015</w:t>
      </w:r>
    </w:p>
    <w:p w:rsidR="002B1AED" w:rsidRPr="00E15CF5" w:rsidRDefault="002B1AED" w:rsidP="00C41AFF">
      <w:pPr>
        <w:bidi/>
        <w:jc w:val="both"/>
        <w:rPr>
          <w:rFonts w:cs="Arabic Transparent"/>
          <w:b/>
          <w:bCs/>
          <w:color w:val="800000"/>
          <w:spacing w:val="-18"/>
          <w:sz w:val="28"/>
          <w:szCs w:val="28"/>
          <w:rtl/>
          <w:lang w:bidi="ar-MA"/>
        </w:rPr>
      </w:pPr>
    </w:p>
    <w:p w:rsidR="002B1AED" w:rsidRPr="005D35DE" w:rsidRDefault="002B1AED" w:rsidP="00CB07C0">
      <w:pPr>
        <w:bidi/>
        <w:jc w:val="both"/>
        <w:rPr>
          <w:rFonts w:cs="Arabic Transparent"/>
          <w:spacing w:val="-18"/>
          <w:sz w:val="28"/>
          <w:szCs w:val="28"/>
          <w:rtl/>
        </w:rPr>
      </w:pPr>
      <w:r w:rsidRPr="005D35DE">
        <w:rPr>
          <w:rFonts w:cs="Arabic Transparent"/>
          <w:spacing w:val="-18"/>
          <w:sz w:val="28"/>
          <w:szCs w:val="28"/>
          <w:rtl/>
        </w:rPr>
        <w:t xml:space="preserve">يتوقع أن يشهد الاقتصاد الوطني، خلال الفصل الرابع من 2015، تحسنا طفيفا في وتيرة نموه، </w:t>
      </w:r>
      <w:r>
        <w:rPr>
          <w:rFonts w:cs="Arabic Transparent"/>
          <w:spacing w:val="-18"/>
          <w:sz w:val="28"/>
          <w:szCs w:val="28"/>
          <w:rtl/>
        </w:rPr>
        <w:t xml:space="preserve">مستفيدا من </w:t>
      </w:r>
      <w:r w:rsidRPr="005D35DE">
        <w:rPr>
          <w:rFonts w:cs="Arabic Transparent"/>
          <w:spacing w:val="-18"/>
          <w:sz w:val="28"/>
          <w:szCs w:val="28"/>
          <w:rtl/>
        </w:rPr>
        <w:t>تحسن القيمة المضافة للقطاع الفلاحي بنسبة 16,1٪، أي ما يعادل مساهمة قدرها 1,7 نقطة في النمو الإجمالي. وسيساهم هذا التطور في تقليص حجم الواردات الفلاحية خلال هذه السنة و خاصة من الحبوب التي يتوقع أن</w:t>
      </w:r>
      <w:r>
        <w:rPr>
          <w:rFonts w:cs="Arabic Transparent"/>
          <w:spacing w:val="-18"/>
          <w:sz w:val="28"/>
          <w:szCs w:val="28"/>
          <w:rtl/>
        </w:rPr>
        <w:t xml:space="preserve"> يستمر ا</w:t>
      </w:r>
      <w:r w:rsidRPr="005D35DE">
        <w:rPr>
          <w:rFonts w:cs="Arabic Transparent"/>
          <w:spacing w:val="-18"/>
          <w:sz w:val="28"/>
          <w:szCs w:val="28"/>
          <w:rtl/>
        </w:rPr>
        <w:t>نخ</w:t>
      </w:r>
      <w:r>
        <w:rPr>
          <w:rFonts w:cs="Arabic Transparent"/>
          <w:spacing w:val="-18"/>
          <w:sz w:val="28"/>
          <w:szCs w:val="28"/>
          <w:rtl/>
        </w:rPr>
        <w:t>ف</w:t>
      </w:r>
      <w:r w:rsidRPr="005D35DE">
        <w:rPr>
          <w:rFonts w:cs="Arabic Transparent"/>
          <w:spacing w:val="-18"/>
          <w:sz w:val="28"/>
          <w:szCs w:val="28"/>
          <w:rtl/>
        </w:rPr>
        <w:t>اض أسعارها في الأسواق العالمية</w:t>
      </w:r>
      <w:r w:rsidRPr="005D35DE">
        <w:rPr>
          <w:rFonts w:cs="Arabic Transparent"/>
          <w:spacing w:val="-18"/>
          <w:sz w:val="28"/>
          <w:szCs w:val="28"/>
        </w:rPr>
        <w:t xml:space="preserve">. </w:t>
      </w:r>
    </w:p>
    <w:p w:rsidR="002B1AED" w:rsidRPr="005D35DE" w:rsidRDefault="002B1AED" w:rsidP="005D35DE">
      <w:pPr>
        <w:bidi/>
        <w:jc w:val="both"/>
        <w:rPr>
          <w:rFonts w:cs="Arabic Transparent"/>
          <w:spacing w:val="-18"/>
          <w:sz w:val="28"/>
          <w:szCs w:val="28"/>
          <w:rtl/>
        </w:rPr>
      </w:pPr>
    </w:p>
    <w:p w:rsidR="002B1AED" w:rsidRDefault="002B1AED" w:rsidP="005D35DE">
      <w:pPr>
        <w:bidi/>
        <w:jc w:val="both"/>
        <w:rPr>
          <w:rFonts w:cs="Arabic Transparent"/>
          <w:spacing w:val="-18"/>
          <w:sz w:val="28"/>
          <w:szCs w:val="28"/>
        </w:rPr>
      </w:pPr>
      <w:r w:rsidRPr="005D35DE">
        <w:rPr>
          <w:rFonts w:cs="Arabic Transparent"/>
          <w:spacing w:val="-18"/>
          <w:sz w:val="28"/>
          <w:szCs w:val="28"/>
          <w:rtl/>
        </w:rPr>
        <w:t>في المقابل، ينتظر أن تواصل القطاعات غير الفلاحية تطورها، خلال الفصل الرابع 2015، في ظرفية تتسم بتباطؤ أسعار النفط وتحسن الظرفية الاقتصادية لمنطقة الأورو. حيث يرتقب أن يعرف الطلب الخارجي الموجه للمغرب ارتفاعا بنسبة تقدر ب 2,6٪، ليصل نموه خلال مجموع هذه السنة إلى 3٪. وستستفيد من هذا التطور صادرات المنتوجات الصناعية كالسيارات والأسلاك الكهربائية والمواد الالكترونية، فيما سيساهم استقرار أسعار النفط في حدود 48 $ للبرميل  في تحسن ميزان المبادلات</w:t>
      </w:r>
      <w:r>
        <w:rPr>
          <w:rFonts w:cs="Arabic Transparent"/>
          <w:spacing w:val="-18"/>
          <w:sz w:val="28"/>
          <w:szCs w:val="28"/>
        </w:rPr>
        <w:t xml:space="preserve"> </w:t>
      </w:r>
      <w:r w:rsidRPr="005D35DE">
        <w:rPr>
          <w:rFonts w:cs="Arabic Transparent"/>
          <w:spacing w:val="-18"/>
          <w:sz w:val="28"/>
          <w:szCs w:val="28"/>
          <w:rtl/>
        </w:rPr>
        <w:t>وتقلص حجم العجز التجاري.</w:t>
      </w:r>
    </w:p>
    <w:p w:rsidR="002B1AED" w:rsidRDefault="00C4698A" w:rsidP="005D35DE">
      <w:pPr>
        <w:bidi/>
        <w:jc w:val="both"/>
        <w:rPr>
          <w:rFonts w:cs="Arabic Transparent"/>
          <w:spacing w:val="-18"/>
          <w:sz w:val="28"/>
          <w:szCs w:val="28"/>
          <w:rtl/>
        </w:rPr>
      </w:pPr>
      <w:r>
        <w:rPr>
          <w:noProof/>
          <w:rtl/>
        </w:rPr>
        <w:drawing>
          <wp:anchor distT="0" distB="0" distL="114300" distR="114300" simplePos="0" relativeHeight="251662336" behindDoc="1" locked="0" layoutInCell="1" allowOverlap="1">
            <wp:simplePos x="0" y="0"/>
            <wp:positionH relativeFrom="column">
              <wp:posOffset>0</wp:posOffset>
            </wp:positionH>
            <wp:positionV relativeFrom="paragraph">
              <wp:posOffset>110490</wp:posOffset>
            </wp:positionV>
            <wp:extent cx="2825750" cy="2564765"/>
            <wp:effectExtent l="0" t="0" r="0" b="0"/>
            <wp:wrapTight wrapText="bothSides">
              <wp:wrapPolygon edited="0">
                <wp:start x="0" y="481"/>
                <wp:lineTo x="0" y="21017"/>
                <wp:lineTo x="21260" y="21017"/>
                <wp:lineTo x="21260" y="481"/>
                <wp:lineTo x="0" y="481"/>
              </wp:wrapPolygon>
            </wp:wrapTight>
            <wp:docPr id="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7"/>
                    <a:srcRect/>
                    <a:stretch>
                      <a:fillRect/>
                    </a:stretch>
                  </pic:blipFill>
                  <pic:spPr bwMode="auto">
                    <a:xfrm>
                      <a:off x="0" y="0"/>
                      <a:ext cx="2825750" cy="2564765"/>
                    </a:xfrm>
                    <a:prstGeom prst="rect">
                      <a:avLst/>
                    </a:prstGeom>
                    <a:noFill/>
                  </pic:spPr>
                </pic:pic>
              </a:graphicData>
            </a:graphic>
          </wp:anchor>
        </w:drawing>
      </w:r>
    </w:p>
    <w:p w:rsidR="002B1AED" w:rsidRDefault="002B1AED" w:rsidP="00F43899">
      <w:pPr>
        <w:bidi/>
        <w:spacing w:line="340" w:lineRule="exact"/>
        <w:jc w:val="both"/>
        <w:rPr>
          <w:rFonts w:cs="Arabic Transparent"/>
          <w:spacing w:val="-18"/>
          <w:sz w:val="28"/>
          <w:szCs w:val="28"/>
          <w:rtl/>
        </w:rPr>
      </w:pPr>
      <w:r w:rsidRPr="005D35DE">
        <w:rPr>
          <w:rFonts w:cs="Arabic Transparent"/>
          <w:spacing w:val="-18"/>
          <w:sz w:val="28"/>
          <w:szCs w:val="28"/>
          <w:rtl/>
        </w:rPr>
        <w:t>في ظل ذلك</w:t>
      </w:r>
      <w:r>
        <w:rPr>
          <w:spacing w:val="-18"/>
          <w:sz w:val="28"/>
          <w:szCs w:val="28"/>
          <w:rtl/>
        </w:rPr>
        <w:t>٬</w:t>
      </w:r>
      <w:r w:rsidRPr="005D35DE">
        <w:rPr>
          <w:rFonts w:cs="Arabic Transparent"/>
          <w:spacing w:val="-18"/>
          <w:sz w:val="28"/>
          <w:szCs w:val="28"/>
          <w:rtl/>
        </w:rPr>
        <w:t xml:space="preserve"> يرتقب أن تحقق الصناعات التحويلية ارتفاعا ب</w:t>
      </w:r>
      <w:r>
        <w:rPr>
          <w:rFonts w:cs="Arabic Transparent"/>
          <w:spacing w:val="-18"/>
          <w:sz w:val="28"/>
          <w:szCs w:val="28"/>
          <w:rtl/>
        </w:rPr>
        <w:t xml:space="preserve"> </w:t>
      </w:r>
      <w:r w:rsidRPr="005D35DE">
        <w:rPr>
          <w:rFonts w:cs="Arabic Transparent"/>
          <w:spacing w:val="-18"/>
          <w:sz w:val="28"/>
          <w:szCs w:val="28"/>
          <w:rtl/>
        </w:rPr>
        <w:t>2٪، خلال الفصل الرابع من 2015 على أساس التغير السنوي. كما ستشهد القيمة المضافة للمعادن زيادة تقدر ب 4,5٪، مدعمة بتحسن الطلب الأسيوي على الأسمدة الفوسفاطية، و سترتفع القيمة المضافة للكهرباء ب 6,1٪، بفضل تطور إنتاج المحطات الحرارية المعتمدة على المحروقات. و بدورها، ستحافظ القطاعات الثالثية على وتيرة نموها، مدعومة بتحسن الطلب الداخلي</w:t>
      </w:r>
      <w:r w:rsidRPr="005D35DE">
        <w:rPr>
          <w:rFonts w:cs="Arabic Transparent"/>
          <w:spacing w:val="-18"/>
          <w:sz w:val="28"/>
          <w:szCs w:val="28"/>
        </w:rPr>
        <w:t>.</w:t>
      </w:r>
    </w:p>
    <w:p w:rsidR="002B1AED" w:rsidRPr="005D35DE" w:rsidRDefault="002B1AED" w:rsidP="00F43899">
      <w:pPr>
        <w:bidi/>
        <w:spacing w:line="340" w:lineRule="exact"/>
        <w:jc w:val="both"/>
        <w:rPr>
          <w:rFonts w:cs="Arabic Transparent"/>
          <w:spacing w:val="-18"/>
          <w:sz w:val="28"/>
          <w:szCs w:val="28"/>
          <w:rtl/>
        </w:rPr>
      </w:pPr>
    </w:p>
    <w:p w:rsidR="002B1AED" w:rsidRPr="00E15CF5" w:rsidRDefault="002B1AED" w:rsidP="00B14AC0">
      <w:pPr>
        <w:bidi/>
        <w:spacing w:line="340" w:lineRule="exact"/>
        <w:jc w:val="both"/>
        <w:rPr>
          <w:rFonts w:cs="Arabic Transparent"/>
          <w:spacing w:val="-18"/>
          <w:sz w:val="28"/>
          <w:szCs w:val="28"/>
          <w:rtl/>
        </w:rPr>
      </w:pPr>
      <w:r w:rsidRPr="005D35DE">
        <w:rPr>
          <w:rFonts w:cs="Arabic Transparent"/>
          <w:spacing w:val="-18"/>
          <w:sz w:val="28"/>
          <w:szCs w:val="28"/>
          <w:rtl/>
        </w:rPr>
        <w:t>وعلى العموم، يتوقع أن تشهد القيمة المضافة للأنشطة الغير فلاحية تحسنا بحوالي 2٪،</w:t>
      </w:r>
      <w:r>
        <w:rPr>
          <w:rFonts w:cs="Arabic Transparent"/>
          <w:spacing w:val="-18"/>
          <w:sz w:val="28"/>
          <w:szCs w:val="28"/>
          <w:rtl/>
        </w:rPr>
        <w:t xml:space="preserve"> خلال الفصل الرابع</w:t>
      </w:r>
      <w:r w:rsidRPr="00CB07C0">
        <w:rPr>
          <w:rFonts w:cs="Arabic Transparent"/>
          <w:spacing w:val="-18"/>
          <w:sz w:val="28"/>
          <w:szCs w:val="28"/>
          <w:rtl/>
        </w:rPr>
        <w:t xml:space="preserve"> </w:t>
      </w:r>
      <w:r w:rsidRPr="005D35DE">
        <w:rPr>
          <w:rFonts w:cs="Arabic Transparent"/>
          <w:spacing w:val="-18"/>
          <w:sz w:val="28"/>
          <w:szCs w:val="28"/>
          <w:rtl/>
        </w:rPr>
        <w:t>من 2015</w:t>
      </w:r>
      <w:r>
        <w:rPr>
          <w:rFonts w:cs="Arabic Transparent"/>
          <w:spacing w:val="-18"/>
          <w:sz w:val="28"/>
          <w:szCs w:val="28"/>
          <w:rtl/>
        </w:rPr>
        <w:t>،</w:t>
      </w:r>
      <w:r w:rsidRPr="005D35DE">
        <w:rPr>
          <w:rFonts w:cs="Arabic Transparent"/>
          <w:spacing w:val="-18"/>
          <w:sz w:val="28"/>
          <w:szCs w:val="28"/>
          <w:rtl/>
        </w:rPr>
        <w:t xml:space="preserve"> حسب التغير السنوي وأن يحقق الاقتصاد الوطني نموا يقدر ب 4,7٪</w:t>
      </w:r>
      <w:r>
        <w:rPr>
          <w:rFonts w:cs="Arabic Transparent"/>
          <w:spacing w:val="-18"/>
          <w:sz w:val="28"/>
          <w:szCs w:val="28"/>
          <w:rtl/>
        </w:rPr>
        <w:t xml:space="preserve"> خلال نفس الفترة</w:t>
      </w:r>
      <w:r w:rsidRPr="005D35DE">
        <w:rPr>
          <w:rFonts w:cs="Arabic Transparent"/>
          <w:spacing w:val="-18"/>
          <w:sz w:val="28"/>
          <w:szCs w:val="28"/>
          <w:rtl/>
        </w:rPr>
        <w:t>.</w:t>
      </w:r>
      <w:r>
        <w:rPr>
          <w:rFonts w:cs="Arabic Transparent"/>
          <w:spacing w:val="-18"/>
          <w:sz w:val="28"/>
          <w:szCs w:val="28"/>
          <w:rtl/>
        </w:rPr>
        <w:t xml:space="preserve"> وبالنسبة </w:t>
      </w:r>
      <w:r w:rsidRPr="005D35DE">
        <w:rPr>
          <w:rFonts w:cs="Arabic Transparent"/>
          <w:spacing w:val="-18"/>
          <w:sz w:val="28"/>
          <w:szCs w:val="28"/>
          <w:rtl/>
        </w:rPr>
        <w:t xml:space="preserve">لمجموع سنة 2015، </w:t>
      </w:r>
      <w:r>
        <w:rPr>
          <w:rFonts w:cs="Arabic Transparent"/>
          <w:spacing w:val="-18"/>
          <w:sz w:val="28"/>
          <w:szCs w:val="28"/>
          <w:rtl/>
        </w:rPr>
        <w:t xml:space="preserve">يتوقع أن يشهد </w:t>
      </w:r>
      <w:r w:rsidRPr="005D35DE">
        <w:rPr>
          <w:rFonts w:cs="Arabic Transparent"/>
          <w:spacing w:val="-18"/>
          <w:sz w:val="28"/>
          <w:szCs w:val="28"/>
          <w:rtl/>
        </w:rPr>
        <w:t>الاقتصاد</w:t>
      </w:r>
      <w:r>
        <w:rPr>
          <w:rFonts w:cs="Arabic Transparent"/>
          <w:spacing w:val="-18"/>
          <w:sz w:val="28"/>
          <w:szCs w:val="28"/>
          <w:rtl/>
        </w:rPr>
        <w:t xml:space="preserve"> الوطني نموا يقدر ب</w:t>
      </w:r>
      <w:r>
        <w:rPr>
          <w:rFonts w:cs="Arabic Transparent"/>
          <w:spacing w:val="-18"/>
          <w:sz w:val="28"/>
          <w:szCs w:val="28"/>
        </w:rPr>
        <w:t xml:space="preserve"> </w:t>
      </w:r>
      <w:r w:rsidRPr="005D35DE">
        <w:rPr>
          <w:rFonts w:cs="Arabic Transparent"/>
          <w:spacing w:val="-18"/>
          <w:sz w:val="28"/>
          <w:szCs w:val="28"/>
          <w:rtl/>
        </w:rPr>
        <w:t>4,4٪، مقارنة مع السنة الفارطة، عوض 4,3٪، المتوقعة في شهر يونيو في إطار الميزانية الاستشرافية لسنة 2016.</w:t>
      </w:r>
      <w:r w:rsidRPr="005D35DE">
        <w:rPr>
          <w:rFonts w:cs="Arabic Transparent"/>
          <w:spacing w:val="-18"/>
          <w:sz w:val="28"/>
          <w:szCs w:val="28"/>
        </w:rPr>
        <w:t xml:space="preserve"> </w:t>
      </w:r>
    </w:p>
    <w:sectPr w:rsidR="002B1AED" w:rsidRPr="00E15CF5" w:rsidSect="00CC6E90">
      <w:footerReference w:type="default" r:id="rId18"/>
      <w:headerReference w:type="first" r:id="rId19"/>
      <w:footerReference w:type="first" r:id="rId20"/>
      <w:type w:val="continuous"/>
      <w:pgSz w:w="11906" w:h="16838" w:code="9"/>
      <w:pgMar w:top="1078" w:right="1191" w:bottom="1078"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654" w:rsidRDefault="00106654">
      <w:r>
        <w:separator/>
      </w:r>
    </w:p>
  </w:endnote>
  <w:endnote w:type="continuationSeparator" w:id="1">
    <w:p w:rsidR="00106654" w:rsidRDefault="00106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ED" w:rsidRPr="006D7FA4" w:rsidRDefault="0074572B" w:rsidP="00912118">
    <w:pPr>
      <w:pStyle w:val="Pieddepage"/>
      <w:framePr w:wrap="auto" w:vAnchor="text" w:hAnchor="page" w:x="1081" w:y="48"/>
      <w:rPr>
        <w:rStyle w:val="Numrodepage"/>
        <w:sz w:val="20"/>
        <w:szCs w:val="20"/>
      </w:rPr>
    </w:pPr>
    <w:r w:rsidRPr="006D7FA4">
      <w:rPr>
        <w:rStyle w:val="Numrodepage"/>
        <w:sz w:val="20"/>
        <w:szCs w:val="20"/>
      </w:rPr>
      <w:fldChar w:fldCharType="begin"/>
    </w:r>
    <w:r w:rsidR="002B1AED" w:rsidRPr="006D7FA4">
      <w:rPr>
        <w:rStyle w:val="Numrodepage"/>
        <w:sz w:val="20"/>
        <w:szCs w:val="20"/>
      </w:rPr>
      <w:instrText xml:space="preserve">PAGE  </w:instrText>
    </w:r>
    <w:r w:rsidRPr="006D7FA4">
      <w:rPr>
        <w:rStyle w:val="Numrodepage"/>
        <w:sz w:val="20"/>
        <w:szCs w:val="20"/>
      </w:rPr>
      <w:fldChar w:fldCharType="separate"/>
    </w:r>
    <w:r w:rsidR="00C4698A">
      <w:rPr>
        <w:rStyle w:val="Numrodepage"/>
        <w:noProof/>
        <w:sz w:val="20"/>
        <w:szCs w:val="20"/>
      </w:rPr>
      <w:t>2</w:t>
    </w:r>
    <w:r w:rsidRPr="006D7FA4">
      <w:rPr>
        <w:rStyle w:val="Numrodepage"/>
        <w:sz w:val="20"/>
        <w:szCs w:val="20"/>
      </w:rPr>
      <w:fldChar w:fldCharType="end"/>
    </w:r>
    <w:r w:rsidR="002B1AED" w:rsidRPr="006D7FA4">
      <w:rPr>
        <w:rStyle w:val="Numrodepage"/>
        <w:sz w:val="20"/>
        <w:szCs w:val="20"/>
      </w:rPr>
      <w:t>/</w:t>
    </w:r>
    <w:r w:rsidRPr="006D7FA4">
      <w:rPr>
        <w:rStyle w:val="Numrodepage"/>
        <w:sz w:val="20"/>
        <w:szCs w:val="20"/>
      </w:rPr>
      <w:fldChar w:fldCharType="begin"/>
    </w:r>
    <w:r w:rsidR="002B1AED" w:rsidRPr="006D7FA4">
      <w:rPr>
        <w:rStyle w:val="Numrodepage"/>
        <w:sz w:val="20"/>
        <w:szCs w:val="20"/>
      </w:rPr>
      <w:instrText xml:space="preserve"> NUMPAGES </w:instrText>
    </w:r>
    <w:r w:rsidRPr="006D7FA4">
      <w:rPr>
        <w:rStyle w:val="Numrodepage"/>
        <w:sz w:val="20"/>
        <w:szCs w:val="20"/>
      </w:rPr>
      <w:fldChar w:fldCharType="separate"/>
    </w:r>
    <w:r w:rsidR="00C4698A">
      <w:rPr>
        <w:rStyle w:val="Numrodepage"/>
        <w:noProof/>
        <w:sz w:val="20"/>
        <w:szCs w:val="20"/>
      </w:rPr>
      <w:t>5</w:t>
    </w:r>
    <w:r w:rsidRPr="006D7FA4">
      <w:rPr>
        <w:rStyle w:val="Numrodepage"/>
        <w:sz w:val="20"/>
        <w:szCs w:val="20"/>
      </w:rPr>
      <w:fldChar w:fldCharType="end"/>
    </w:r>
  </w:p>
  <w:p w:rsidR="002B1AED" w:rsidRDefault="002B1AE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ED" w:rsidRDefault="0074572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89pt;margin-top:11.05pt;width:1in;height:18pt;z-index:251659776" filled="f" stroked="f">
          <v:textbox style="mso-next-textbox:#_x0000_s2050">
            <w:txbxContent>
              <w:p w:rsidR="002B1AED" w:rsidRPr="00794363" w:rsidRDefault="002B1AED"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1" type="#_x0000_t202" style="position:absolute;margin-left:9pt;margin-top:-5.65pt;width:162pt;height:34.45pt;z-index:251655680" stroked="f">
          <v:textbox style="mso-next-textbox:#_x0000_s2051">
            <w:txbxContent>
              <w:p w:rsidR="002B1AED" w:rsidRPr="004463C8" w:rsidRDefault="002B1AED" w:rsidP="00984C53">
                <w:pPr>
                  <w:spacing w:line="300" w:lineRule="exact"/>
                  <w:jc w:val="both"/>
                  <w:rPr>
                    <w:color w:val="993366"/>
                    <w:sz w:val="20"/>
                    <w:szCs w:val="20"/>
                  </w:rPr>
                </w:pPr>
                <w:r w:rsidRPr="004463C8">
                  <w:rPr>
                    <w:color w:val="993366"/>
                    <w:sz w:val="20"/>
                    <w:szCs w:val="20"/>
                  </w:rPr>
                  <w:t>Tél. : (+212) 0</w:t>
                </w:r>
                <w:r w:rsidRPr="004463C8">
                  <w:rPr>
                    <w:color w:val="993366"/>
                    <w:sz w:val="20"/>
                    <w:szCs w:val="20"/>
                    <w:rtl/>
                  </w:rPr>
                  <w:t>5</w:t>
                </w:r>
                <w:r w:rsidRPr="004463C8">
                  <w:rPr>
                    <w:color w:val="993366"/>
                    <w:sz w:val="20"/>
                    <w:szCs w:val="20"/>
                  </w:rPr>
                  <w:t xml:space="preserve"> 37 </w:t>
                </w:r>
                <w:r w:rsidRPr="004463C8">
                  <w:rPr>
                    <w:color w:val="993366"/>
                    <w:sz w:val="20"/>
                    <w:szCs w:val="20"/>
                    <w:rtl/>
                  </w:rPr>
                  <w:t>5</w:t>
                </w:r>
                <w:r w:rsidRPr="004463C8">
                  <w:rPr>
                    <w:color w:val="993366"/>
                    <w:sz w:val="20"/>
                    <w:szCs w:val="20"/>
                  </w:rPr>
                  <w:t xml:space="preserve">7 69 </w:t>
                </w:r>
                <w:r w:rsidRPr="004463C8">
                  <w:rPr>
                    <w:color w:val="993366"/>
                    <w:sz w:val="20"/>
                    <w:szCs w:val="20"/>
                    <w:rtl/>
                  </w:rPr>
                  <w:t>04</w:t>
                </w:r>
                <w:r w:rsidRPr="004463C8">
                  <w:rPr>
                    <w:color w:val="993366"/>
                    <w:sz w:val="20"/>
                    <w:szCs w:val="20"/>
                  </w:rPr>
                  <w:t xml:space="preserve"> – Fax : </w:t>
                </w:r>
              </w:p>
            </w:txbxContent>
          </v:textbox>
        </v:shape>
      </w:pict>
    </w:r>
    <w:r>
      <w:rPr>
        <w:noProof/>
      </w:rPr>
      <w:pict>
        <v:shape id="_x0000_s2052" type="#_x0000_t202" style="position:absolute;margin-left:252pt;margin-top:-24.95pt;width:243pt;height:22.75pt;z-index:251654656" stroked="f">
          <v:textbox style="mso-next-textbox:#_x0000_s2052">
            <w:txbxContent>
              <w:p w:rsidR="002B1AED" w:rsidRPr="004463C8" w:rsidRDefault="002B1AED" w:rsidP="00984C53">
                <w:pPr>
                  <w:bidi/>
                  <w:jc w:val="right"/>
                  <w:rPr>
                    <w:color w:val="993366"/>
                    <w:sz w:val="20"/>
                    <w:szCs w:val="20"/>
                    <w:rtl/>
                    <w:lang w:bidi="ar-MA"/>
                  </w:rPr>
                </w:pPr>
                <w:r w:rsidRPr="004463C8">
                  <w:rPr>
                    <w:color w:val="993366"/>
                    <w:sz w:val="20"/>
                    <w:szCs w:val="20"/>
                    <w:rtl/>
                    <w:lang w:bidi="ar-MA"/>
                  </w:rPr>
                  <w:t xml:space="preserve">ايلو 31-3، قطاع 16، حي الرياض 10001 الرباط –  المغرب   ص.ب : </w:t>
                </w:r>
              </w:p>
            </w:txbxContent>
          </v:textbox>
        </v:shape>
      </w:pict>
    </w:r>
    <w:r>
      <w:rPr>
        <w:noProof/>
      </w:rPr>
      <w:pict>
        <v:shape id="_x0000_s2053" type="#_x0000_t202" style="position:absolute;margin-left:-27pt;margin-top:-24.95pt;width:4in;height:17.25pt;z-index:251657728" stroked="f">
          <v:textbox style="mso-next-textbox:#_x0000_s2053">
            <w:txbxContent>
              <w:p w:rsidR="002B1AED" w:rsidRPr="004463C8" w:rsidRDefault="002B1AED" w:rsidP="00366ADB">
                <w:pPr>
                  <w:jc w:val="right"/>
                  <w:rPr>
                    <w:color w:val="993366"/>
                    <w:sz w:val="20"/>
                    <w:szCs w:val="20"/>
                    <w:lang w:val="en-US"/>
                  </w:rPr>
                </w:pPr>
                <w:r w:rsidRPr="004463C8">
                  <w:rPr>
                    <w:color w:val="993366"/>
                    <w:sz w:val="20"/>
                    <w:szCs w:val="20"/>
                    <w:lang w:val="en-US"/>
                  </w:rPr>
                  <w:t xml:space="preserve">Ilot 31-3, secteur 16, Hay Riad, 10001, </w:t>
                </w:r>
                <w:smartTag w:uri="urn:schemas-microsoft-com:office:smarttags" w:element="City">
                  <w:smartTag w:uri="urn:schemas-microsoft-com:office:smarttags" w:element="place">
                    <w:r w:rsidRPr="004463C8">
                      <w:rPr>
                        <w:color w:val="993366"/>
                        <w:sz w:val="20"/>
                        <w:szCs w:val="20"/>
                        <w:lang w:val="en-US"/>
                      </w:rPr>
                      <w:t>Rabat</w:t>
                    </w:r>
                  </w:smartTag>
                </w:smartTag>
                <w:r w:rsidRPr="004463C8">
                  <w:rPr>
                    <w:color w:val="993366"/>
                    <w:sz w:val="20"/>
                    <w:szCs w:val="20"/>
                    <w:lang w:val="en-US"/>
                  </w:rPr>
                  <w:t xml:space="preserve"> - Maroc BP : 178 </w:t>
                </w:r>
              </w:p>
              <w:p w:rsidR="002B1AED" w:rsidRPr="004463C8" w:rsidRDefault="002B1AED" w:rsidP="00DB293A">
                <w:pPr>
                  <w:jc w:val="center"/>
                  <w:rPr>
                    <w:color w:val="993366"/>
                    <w:sz w:val="20"/>
                    <w:szCs w:val="20"/>
                    <w:lang w:val="en-US"/>
                  </w:rPr>
                </w:pPr>
                <w:r w:rsidRPr="004463C8">
                  <w:rPr>
                    <w:color w:val="993366"/>
                    <w:sz w:val="20"/>
                    <w:szCs w:val="20"/>
                    <w:lang w:val="en-US"/>
                  </w:rPr>
                  <w:t xml:space="preserve"> </w:t>
                </w:r>
              </w:p>
            </w:txbxContent>
          </v:textbox>
        </v:shape>
      </w:pict>
    </w:r>
    <w:r>
      <w:rPr>
        <w:noProof/>
      </w:rPr>
      <w:pict>
        <v:shape id="_x0000_s2054" type="#_x0000_t202" style="position:absolute;margin-left:4in;margin-top:-5.65pt;width:210.55pt;height:44.85pt;z-index:251658752" stroked="f">
          <v:textbox style="mso-next-textbox:#_x0000_s2054">
            <w:txbxContent>
              <w:p w:rsidR="002B1AED" w:rsidRPr="004463C8" w:rsidRDefault="002B1AED" w:rsidP="00984C53">
                <w:pPr>
                  <w:bidi/>
                  <w:spacing w:before="60"/>
                  <w:jc w:val="right"/>
                  <w:rPr>
                    <w:color w:val="993366"/>
                    <w:sz w:val="20"/>
                    <w:szCs w:val="20"/>
                    <w:rtl/>
                    <w:lang w:bidi="ar-MA"/>
                  </w:rPr>
                </w:pPr>
                <w:r w:rsidRPr="004463C8">
                  <w:rPr>
                    <w:color w:val="993366"/>
                    <w:sz w:val="20"/>
                    <w:szCs w:val="20"/>
                    <w:rtl/>
                    <w:lang w:bidi="ar-MA"/>
                  </w:rPr>
                  <w:t xml:space="preserve">الهاتف : 04 69 57 37 05   (212+) –  الفاكس : </w:t>
                </w:r>
              </w:p>
            </w:txbxContent>
          </v:textbox>
        </v:shape>
      </w:pict>
    </w:r>
    <w:r>
      <w:rPr>
        <w:noProof/>
      </w:rPr>
      <w:pict>
        <v:shape id="_x0000_s2055" type="#_x0000_t202" style="position:absolute;margin-left:171pt;margin-top:-5.65pt;width:162pt;height:44.85pt;z-index:251656704" stroked="f">
          <v:textbox style="mso-next-textbox:#_x0000_s2055">
            <w:txbxContent>
              <w:p w:rsidR="002B1AED" w:rsidRPr="004463C8" w:rsidRDefault="002B1AED" w:rsidP="00DB293A">
                <w:pPr>
                  <w:spacing w:before="60"/>
                  <w:rPr>
                    <w:sz w:val="20"/>
                    <w:szCs w:val="20"/>
                  </w:rPr>
                </w:pPr>
                <w:r w:rsidRPr="004463C8">
                  <w:rPr>
                    <w:color w:val="993366"/>
                    <w:sz w:val="20"/>
                    <w:szCs w:val="20"/>
                  </w:rPr>
                  <w:t>(+212) 05 37 57 69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654" w:rsidRDefault="00106654">
      <w:r>
        <w:separator/>
      </w:r>
    </w:p>
  </w:footnote>
  <w:footnote w:type="continuationSeparator" w:id="1">
    <w:p w:rsidR="00106654" w:rsidRDefault="00106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ED" w:rsidRDefault="00C469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rsids>
    <w:rsidRoot w:val="00A7067D"/>
    <w:rsid w:val="00000873"/>
    <w:rsid w:val="0000187F"/>
    <w:rsid w:val="00001A6D"/>
    <w:rsid w:val="00001E39"/>
    <w:rsid w:val="00002C62"/>
    <w:rsid w:val="000037B5"/>
    <w:rsid w:val="000037D4"/>
    <w:rsid w:val="00003DE5"/>
    <w:rsid w:val="00004211"/>
    <w:rsid w:val="00004717"/>
    <w:rsid w:val="00004BF3"/>
    <w:rsid w:val="00004DF7"/>
    <w:rsid w:val="00005227"/>
    <w:rsid w:val="00005284"/>
    <w:rsid w:val="00005C5A"/>
    <w:rsid w:val="00007067"/>
    <w:rsid w:val="0000716A"/>
    <w:rsid w:val="00007948"/>
    <w:rsid w:val="00010734"/>
    <w:rsid w:val="000107AA"/>
    <w:rsid w:val="000109D5"/>
    <w:rsid w:val="00011B29"/>
    <w:rsid w:val="00011FF9"/>
    <w:rsid w:val="00012411"/>
    <w:rsid w:val="000124D6"/>
    <w:rsid w:val="0001261A"/>
    <w:rsid w:val="0001285B"/>
    <w:rsid w:val="0001390E"/>
    <w:rsid w:val="00013A7F"/>
    <w:rsid w:val="00013C22"/>
    <w:rsid w:val="00013E21"/>
    <w:rsid w:val="000152BC"/>
    <w:rsid w:val="00015A3D"/>
    <w:rsid w:val="00015F00"/>
    <w:rsid w:val="00015F49"/>
    <w:rsid w:val="000162A4"/>
    <w:rsid w:val="0001662B"/>
    <w:rsid w:val="000170EC"/>
    <w:rsid w:val="00017736"/>
    <w:rsid w:val="000205FA"/>
    <w:rsid w:val="000208A7"/>
    <w:rsid w:val="00020AB1"/>
    <w:rsid w:val="00020DF0"/>
    <w:rsid w:val="00020E73"/>
    <w:rsid w:val="0002112A"/>
    <w:rsid w:val="00021216"/>
    <w:rsid w:val="00022143"/>
    <w:rsid w:val="000226FA"/>
    <w:rsid w:val="000232C6"/>
    <w:rsid w:val="00023410"/>
    <w:rsid w:val="00024125"/>
    <w:rsid w:val="00024374"/>
    <w:rsid w:val="00024920"/>
    <w:rsid w:val="00024EE5"/>
    <w:rsid w:val="000254C8"/>
    <w:rsid w:val="00025A9E"/>
    <w:rsid w:val="0002653B"/>
    <w:rsid w:val="00027375"/>
    <w:rsid w:val="0002759C"/>
    <w:rsid w:val="00027850"/>
    <w:rsid w:val="0002797D"/>
    <w:rsid w:val="00027C2D"/>
    <w:rsid w:val="00030187"/>
    <w:rsid w:val="0003094C"/>
    <w:rsid w:val="00031D17"/>
    <w:rsid w:val="000324DF"/>
    <w:rsid w:val="00032634"/>
    <w:rsid w:val="00032971"/>
    <w:rsid w:val="00032B65"/>
    <w:rsid w:val="000336A3"/>
    <w:rsid w:val="0003435B"/>
    <w:rsid w:val="00034F39"/>
    <w:rsid w:val="0003515A"/>
    <w:rsid w:val="00035C54"/>
    <w:rsid w:val="00035CD1"/>
    <w:rsid w:val="00035D37"/>
    <w:rsid w:val="00035FC9"/>
    <w:rsid w:val="000363AE"/>
    <w:rsid w:val="00036F12"/>
    <w:rsid w:val="00037831"/>
    <w:rsid w:val="00037ADD"/>
    <w:rsid w:val="00037D29"/>
    <w:rsid w:val="00040649"/>
    <w:rsid w:val="00040FED"/>
    <w:rsid w:val="0004186E"/>
    <w:rsid w:val="00041C5E"/>
    <w:rsid w:val="000428B3"/>
    <w:rsid w:val="00042C90"/>
    <w:rsid w:val="000435EC"/>
    <w:rsid w:val="00043FD6"/>
    <w:rsid w:val="00044810"/>
    <w:rsid w:val="00044AD9"/>
    <w:rsid w:val="00044ADA"/>
    <w:rsid w:val="00044F35"/>
    <w:rsid w:val="000458F5"/>
    <w:rsid w:val="00046603"/>
    <w:rsid w:val="000469CF"/>
    <w:rsid w:val="000476CC"/>
    <w:rsid w:val="000479C8"/>
    <w:rsid w:val="00047C0F"/>
    <w:rsid w:val="00050A6E"/>
    <w:rsid w:val="000510D3"/>
    <w:rsid w:val="000511C3"/>
    <w:rsid w:val="00051F0C"/>
    <w:rsid w:val="0005273D"/>
    <w:rsid w:val="000527E5"/>
    <w:rsid w:val="000537BC"/>
    <w:rsid w:val="00053AFC"/>
    <w:rsid w:val="00054876"/>
    <w:rsid w:val="00054D7E"/>
    <w:rsid w:val="000554EE"/>
    <w:rsid w:val="000559A7"/>
    <w:rsid w:val="00057A27"/>
    <w:rsid w:val="00057E2B"/>
    <w:rsid w:val="00060321"/>
    <w:rsid w:val="00060ED6"/>
    <w:rsid w:val="000613F2"/>
    <w:rsid w:val="000614FE"/>
    <w:rsid w:val="00061DAA"/>
    <w:rsid w:val="00061E1F"/>
    <w:rsid w:val="00062049"/>
    <w:rsid w:val="00062159"/>
    <w:rsid w:val="0006258C"/>
    <w:rsid w:val="000625CB"/>
    <w:rsid w:val="000629FD"/>
    <w:rsid w:val="000634F2"/>
    <w:rsid w:val="0006402F"/>
    <w:rsid w:val="000640E8"/>
    <w:rsid w:val="000648A0"/>
    <w:rsid w:val="0006553F"/>
    <w:rsid w:val="00065E14"/>
    <w:rsid w:val="00065F08"/>
    <w:rsid w:val="00070037"/>
    <w:rsid w:val="00070B4D"/>
    <w:rsid w:val="00070CDA"/>
    <w:rsid w:val="00070EDA"/>
    <w:rsid w:val="000716CB"/>
    <w:rsid w:val="0007181F"/>
    <w:rsid w:val="00071898"/>
    <w:rsid w:val="00072139"/>
    <w:rsid w:val="0007320B"/>
    <w:rsid w:val="00074892"/>
    <w:rsid w:val="000749AD"/>
    <w:rsid w:val="00075585"/>
    <w:rsid w:val="000755A1"/>
    <w:rsid w:val="0007574D"/>
    <w:rsid w:val="0007618C"/>
    <w:rsid w:val="000761A4"/>
    <w:rsid w:val="000809B5"/>
    <w:rsid w:val="00080CB8"/>
    <w:rsid w:val="00081BE5"/>
    <w:rsid w:val="00081F21"/>
    <w:rsid w:val="00082401"/>
    <w:rsid w:val="00082736"/>
    <w:rsid w:val="00082B37"/>
    <w:rsid w:val="00082C47"/>
    <w:rsid w:val="00083838"/>
    <w:rsid w:val="000838B2"/>
    <w:rsid w:val="00083A44"/>
    <w:rsid w:val="00083C54"/>
    <w:rsid w:val="00084374"/>
    <w:rsid w:val="00084EA3"/>
    <w:rsid w:val="00085E86"/>
    <w:rsid w:val="00086342"/>
    <w:rsid w:val="00086B87"/>
    <w:rsid w:val="00087D5B"/>
    <w:rsid w:val="00087DED"/>
    <w:rsid w:val="000910D3"/>
    <w:rsid w:val="0009184A"/>
    <w:rsid w:val="000918EA"/>
    <w:rsid w:val="000927F4"/>
    <w:rsid w:val="00093251"/>
    <w:rsid w:val="00093D33"/>
    <w:rsid w:val="00093F50"/>
    <w:rsid w:val="00094108"/>
    <w:rsid w:val="000949A8"/>
    <w:rsid w:val="0009553E"/>
    <w:rsid w:val="000956DB"/>
    <w:rsid w:val="000958AC"/>
    <w:rsid w:val="000970A9"/>
    <w:rsid w:val="00097122"/>
    <w:rsid w:val="000979B2"/>
    <w:rsid w:val="00097ADD"/>
    <w:rsid w:val="000A0EA1"/>
    <w:rsid w:val="000A130C"/>
    <w:rsid w:val="000A20D6"/>
    <w:rsid w:val="000A28FB"/>
    <w:rsid w:val="000A2C52"/>
    <w:rsid w:val="000A4F34"/>
    <w:rsid w:val="000A4F68"/>
    <w:rsid w:val="000A5A8A"/>
    <w:rsid w:val="000A5FCC"/>
    <w:rsid w:val="000A6308"/>
    <w:rsid w:val="000A64AF"/>
    <w:rsid w:val="000A7691"/>
    <w:rsid w:val="000A7765"/>
    <w:rsid w:val="000A798B"/>
    <w:rsid w:val="000A7DAA"/>
    <w:rsid w:val="000B03F2"/>
    <w:rsid w:val="000B09DD"/>
    <w:rsid w:val="000B0BEC"/>
    <w:rsid w:val="000B1DA2"/>
    <w:rsid w:val="000B1ED2"/>
    <w:rsid w:val="000B23B7"/>
    <w:rsid w:val="000B2A3E"/>
    <w:rsid w:val="000B2D3A"/>
    <w:rsid w:val="000B3DC5"/>
    <w:rsid w:val="000B3F3F"/>
    <w:rsid w:val="000B516D"/>
    <w:rsid w:val="000B5DBC"/>
    <w:rsid w:val="000B7629"/>
    <w:rsid w:val="000B7EFA"/>
    <w:rsid w:val="000C0797"/>
    <w:rsid w:val="000C1042"/>
    <w:rsid w:val="000C1058"/>
    <w:rsid w:val="000C1F20"/>
    <w:rsid w:val="000C1FD8"/>
    <w:rsid w:val="000C22C7"/>
    <w:rsid w:val="000C2A30"/>
    <w:rsid w:val="000C2F41"/>
    <w:rsid w:val="000C36D3"/>
    <w:rsid w:val="000C3F14"/>
    <w:rsid w:val="000C532D"/>
    <w:rsid w:val="000C5413"/>
    <w:rsid w:val="000C5453"/>
    <w:rsid w:val="000C5DEF"/>
    <w:rsid w:val="000C5E54"/>
    <w:rsid w:val="000C6DA9"/>
    <w:rsid w:val="000C6ED5"/>
    <w:rsid w:val="000C75F5"/>
    <w:rsid w:val="000C7682"/>
    <w:rsid w:val="000D010D"/>
    <w:rsid w:val="000D0A51"/>
    <w:rsid w:val="000D25AF"/>
    <w:rsid w:val="000D27E2"/>
    <w:rsid w:val="000D33C9"/>
    <w:rsid w:val="000D38DD"/>
    <w:rsid w:val="000D44DD"/>
    <w:rsid w:val="000D48C0"/>
    <w:rsid w:val="000D5387"/>
    <w:rsid w:val="000D53B2"/>
    <w:rsid w:val="000D64C4"/>
    <w:rsid w:val="000D77B2"/>
    <w:rsid w:val="000D7AFD"/>
    <w:rsid w:val="000D7BAD"/>
    <w:rsid w:val="000E045A"/>
    <w:rsid w:val="000E0703"/>
    <w:rsid w:val="000E0AEC"/>
    <w:rsid w:val="000E1024"/>
    <w:rsid w:val="000E1169"/>
    <w:rsid w:val="000E19D0"/>
    <w:rsid w:val="000E1B6C"/>
    <w:rsid w:val="000E21D3"/>
    <w:rsid w:val="000E2785"/>
    <w:rsid w:val="000E2D88"/>
    <w:rsid w:val="000E3587"/>
    <w:rsid w:val="000E451A"/>
    <w:rsid w:val="000E4BF1"/>
    <w:rsid w:val="000E513C"/>
    <w:rsid w:val="000E515E"/>
    <w:rsid w:val="000E529E"/>
    <w:rsid w:val="000E6D2C"/>
    <w:rsid w:val="000E72F6"/>
    <w:rsid w:val="000E7D19"/>
    <w:rsid w:val="000F01AF"/>
    <w:rsid w:val="000F0E3F"/>
    <w:rsid w:val="000F184D"/>
    <w:rsid w:val="000F1BFF"/>
    <w:rsid w:val="000F240C"/>
    <w:rsid w:val="000F2617"/>
    <w:rsid w:val="000F2A80"/>
    <w:rsid w:val="000F3398"/>
    <w:rsid w:val="000F3B91"/>
    <w:rsid w:val="000F4086"/>
    <w:rsid w:val="000F4646"/>
    <w:rsid w:val="000F534A"/>
    <w:rsid w:val="000F573A"/>
    <w:rsid w:val="000F5CE8"/>
    <w:rsid w:val="000F5D26"/>
    <w:rsid w:val="000F628E"/>
    <w:rsid w:val="000F62CE"/>
    <w:rsid w:val="000F760B"/>
    <w:rsid w:val="000F78ED"/>
    <w:rsid w:val="000F7A15"/>
    <w:rsid w:val="001007B0"/>
    <w:rsid w:val="00100AF5"/>
    <w:rsid w:val="00101AE9"/>
    <w:rsid w:val="0010215A"/>
    <w:rsid w:val="00102706"/>
    <w:rsid w:val="001027A6"/>
    <w:rsid w:val="00102A78"/>
    <w:rsid w:val="00102FBA"/>
    <w:rsid w:val="0010412E"/>
    <w:rsid w:val="001043DE"/>
    <w:rsid w:val="001049B4"/>
    <w:rsid w:val="00104BF8"/>
    <w:rsid w:val="00105316"/>
    <w:rsid w:val="0010595F"/>
    <w:rsid w:val="00105BD6"/>
    <w:rsid w:val="001063C7"/>
    <w:rsid w:val="00106654"/>
    <w:rsid w:val="00107022"/>
    <w:rsid w:val="001070FB"/>
    <w:rsid w:val="00107113"/>
    <w:rsid w:val="0010728C"/>
    <w:rsid w:val="0010740C"/>
    <w:rsid w:val="00107F23"/>
    <w:rsid w:val="001101D3"/>
    <w:rsid w:val="00111B08"/>
    <w:rsid w:val="0011245B"/>
    <w:rsid w:val="0011270E"/>
    <w:rsid w:val="00112925"/>
    <w:rsid w:val="00114C71"/>
    <w:rsid w:val="001153E8"/>
    <w:rsid w:val="00116442"/>
    <w:rsid w:val="00116504"/>
    <w:rsid w:val="0011681E"/>
    <w:rsid w:val="00116B4A"/>
    <w:rsid w:val="00120AF1"/>
    <w:rsid w:val="001211F1"/>
    <w:rsid w:val="00121BA7"/>
    <w:rsid w:val="00121BC8"/>
    <w:rsid w:val="00122294"/>
    <w:rsid w:val="0012239D"/>
    <w:rsid w:val="001223D5"/>
    <w:rsid w:val="0012258E"/>
    <w:rsid w:val="0012265F"/>
    <w:rsid w:val="00122A50"/>
    <w:rsid w:val="00122DCD"/>
    <w:rsid w:val="00123513"/>
    <w:rsid w:val="00123D8C"/>
    <w:rsid w:val="001240D6"/>
    <w:rsid w:val="00124757"/>
    <w:rsid w:val="00124D0B"/>
    <w:rsid w:val="0012542C"/>
    <w:rsid w:val="001276AB"/>
    <w:rsid w:val="00127ABC"/>
    <w:rsid w:val="00127C2C"/>
    <w:rsid w:val="00127D1A"/>
    <w:rsid w:val="001304B6"/>
    <w:rsid w:val="001317E6"/>
    <w:rsid w:val="0013247A"/>
    <w:rsid w:val="001328A9"/>
    <w:rsid w:val="00132F48"/>
    <w:rsid w:val="001332BB"/>
    <w:rsid w:val="001336B3"/>
    <w:rsid w:val="001357EE"/>
    <w:rsid w:val="00135DED"/>
    <w:rsid w:val="001367D7"/>
    <w:rsid w:val="00136F03"/>
    <w:rsid w:val="00137652"/>
    <w:rsid w:val="001379C2"/>
    <w:rsid w:val="00140C37"/>
    <w:rsid w:val="001410DC"/>
    <w:rsid w:val="00141C45"/>
    <w:rsid w:val="00143247"/>
    <w:rsid w:val="001437B0"/>
    <w:rsid w:val="00143829"/>
    <w:rsid w:val="00143EAD"/>
    <w:rsid w:val="00144188"/>
    <w:rsid w:val="0014419E"/>
    <w:rsid w:val="001443CC"/>
    <w:rsid w:val="00144457"/>
    <w:rsid w:val="0014457C"/>
    <w:rsid w:val="00144FC4"/>
    <w:rsid w:val="00146329"/>
    <w:rsid w:val="00146E65"/>
    <w:rsid w:val="001508C0"/>
    <w:rsid w:val="001508EE"/>
    <w:rsid w:val="00150CBB"/>
    <w:rsid w:val="0015141C"/>
    <w:rsid w:val="0015191B"/>
    <w:rsid w:val="00151A6C"/>
    <w:rsid w:val="00151B0C"/>
    <w:rsid w:val="001528C6"/>
    <w:rsid w:val="00153DC3"/>
    <w:rsid w:val="00153FC5"/>
    <w:rsid w:val="001544B0"/>
    <w:rsid w:val="001544DD"/>
    <w:rsid w:val="00155095"/>
    <w:rsid w:val="00155A22"/>
    <w:rsid w:val="00155D04"/>
    <w:rsid w:val="00155EA3"/>
    <w:rsid w:val="00155EBB"/>
    <w:rsid w:val="00156287"/>
    <w:rsid w:val="001570EC"/>
    <w:rsid w:val="001610E6"/>
    <w:rsid w:val="0016119B"/>
    <w:rsid w:val="00161603"/>
    <w:rsid w:val="0016169C"/>
    <w:rsid w:val="00161BA0"/>
    <w:rsid w:val="0016298B"/>
    <w:rsid w:val="00162D86"/>
    <w:rsid w:val="001630F0"/>
    <w:rsid w:val="0016363C"/>
    <w:rsid w:val="001640AC"/>
    <w:rsid w:val="001644AF"/>
    <w:rsid w:val="0016555B"/>
    <w:rsid w:val="00165B11"/>
    <w:rsid w:val="0016650C"/>
    <w:rsid w:val="00166A83"/>
    <w:rsid w:val="0016779B"/>
    <w:rsid w:val="00167D4F"/>
    <w:rsid w:val="001701CD"/>
    <w:rsid w:val="001713B0"/>
    <w:rsid w:val="00171AAE"/>
    <w:rsid w:val="0017207F"/>
    <w:rsid w:val="00173597"/>
    <w:rsid w:val="00173DF2"/>
    <w:rsid w:val="001741D3"/>
    <w:rsid w:val="00174719"/>
    <w:rsid w:val="00175830"/>
    <w:rsid w:val="00176162"/>
    <w:rsid w:val="00176A88"/>
    <w:rsid w:val="00176CC0"/>
    <w:rsid w:val="00176FE1"/>
    <w:rsid w:val="00177038"/>
    <w:rsid w:val="00177EC0"/>
    <w:rsid w:val="00181848"/>
    <w:rsid w:val="00181DF9"/>
    <w:rsid w:val="001822E8"/>
    <w:rsid w:val="001824C4"/>
    <w:rsid w:val="0018282A"/>
    <w:rsid w:val="00182BC1"/>
    <w:rsid w:val="00182D2C"/>
    <w:rsid w:val="00182D45"/>
    <w:rsid w:val="00183E1D"/>
    <w:rsid w:val="00184173"/>
    <w:rsid w:val="00184593"/>
    <w:rsid w:val="00184791"/>
    <w:rsid w:val="00185557"/>
    <w:rsid w:val="001861A5"/>
    <w:rsid w:val="00186656"/>
    <w:rsid w:val="001866FC"/>
    <w:rsid w:val="00186BFC"/>
    <w:rsid w:val="0018714C"/>
    <w:rsid w:val="00187801"/>
    <w:rsid w:val="001905C5"/>
    <w:rsid w:val="001905F3"/>
    <w:rsid w:val="00190D27"/>
    <w:rsid w:val="00191ADF"/>
    <w:rsid w:val="001926DC"/>
    <w:rsid w:val="00192AB3"/>
    <w:rsid w:val="0019358F"/>
    <w:rsid w:val="00193915"/>
    <w:rsid w:val="00193C6D"/>
    <w:rsid w:val="00193FBC"/>
    <w:rsid w:val="001941B9"/>
    <w:rsid w:val="0019429A"/>
    <w:rsid w:val="00195985"/>
    <w:rsid w:val="00196165"/>
    <w:rsid w:val="00197D98"/>
    <w:rsid w:val="001A08B7"/>
    <w:rsid w:val="001A1560"/>
    <w:rsid w:val="001A16E3"/>
    <w:rsid w:val="001A1A9C"/>
    <w:rsid w:val="001A1B84"/>
    <w:rsid w:val="001A1C4B"/>
    <w:rsid w:val="001A1ECC"/>
    <w:rsid w:val="001A281C"/>
    <w:rsid w:val="001A2C5A"/>
    <w:rsid w:val="001A37D5"/>
    <w:rsid w:val="001A4D44"/>
    <w:rsid w:val="001A6239"/>
    <w:rsid w:val="001A626A"/>
    <w:rsid w:val="001A6651"/>
    <w:rsid w:val="001A6D19"/>
    <w:rsid w:val="001A7093"/>
    <w:rsid w:val="001A753E"/>
    <w:rsid w:val="001A7F14"/>
    <w:rsid w:val="001B0A6D"/>
    <w:rsid w:val="001B13A2"/>
    <w:rsid w:val="001B13AA"/>
    <w:rsid w:val="001B1E37"/>
    <w:rsid w:val="001B20E2"/>
    <w:rsid w:val="001B3257"/>
    <w:rsid w:val="001B3266"/>
    <w:rsid w:val="001B37B7"/>
    <w:rsid w:val="001B3B4F"/>
    <w:rsid w:val="001B3C1A"/>
    <w:rsid w:val="001B3DD0"/>
    <w:rsid w:val="001B402F"/>
    <w:rsid w:val="001B4330"/>
    <w:rsid w:val="001B4C9B"/>
    <w:rsid w:val="001B5EAE"/>
    <w:rsid w:val="001B65AB"/>
    <w:rsid w:val="001B6C37"/>
    <w:rsid w:val="001B766E"/>
    <w:rsid w:val="001C043F"/>
    <w:rsid w:val="001C0663"/>
    <w:rsid w:val="001C0E25"/>
    <w:rsid w:val="001C11DD"/>
    <w:rsid w:val="001C13ED"/>
    <w:rsid w:val="001C1EEA"/>
    <w:rsid w:val="001C26B7"/>
    <w:rsid w:val="001C295D"/>
    <w:rsid w:val="001C2A3D"/>
    <w:rsid w:val="001C3920"/>
    <w:rsid w:val="001C41AF"/>
    <w:rsid w:val="001C4B94"/>
    <w:rsid w:val="001C4BE1"/>
    <w:rsid w:val="001C6033"/>
    <w:rsid w:val="001C6191"/>
    <w:rsid w:val="001C630A"/>
    <w:rsid w:val="001C68B4"/>
    <w:rsid w:val="001C712E"/>
    <w:rsid w:val="001D0382"/>
    <w:rsid w:val="001D06E9"/>
    <w:rsid w:val="001D07F7"/>
    <w:rsid w:val="001D1203"/>
    <w:rsid w:val="001D1ACA"/>
    <w:rsid w:val="001D1EA8"/>
    <w:rsid w:val="001D2177"/>
    <w:rsid w:val="001D24ED"/>
    <w:rsid w:val="001D25F9"/>
    <w:rsid w:val="001D277B"/>
    <w:rsid w:val="001D2CE6"/>
    <w:rsid w:val="001D332B"/>
    <w:rsid w:val="001D34E6"/>
    <w:rsid w:val="001D47F5"/>
    <w:rsid w:val="001D4BCB"/>
    <w:rsid w:val="001D4CE8"/>
    <w:rsid w:val="001D57AD"/>
    <w:rsid w:val="001D57E1"/>
    <w:rsid w:val="001D5DDF"/>
    <w:rsid w:val="001D6404"/>
    <w:rsid w:val="001D6BA6"/>
    <w:rsid w:val="001D6CA2"/>
    <w:rsid w:val="001D6DA1"/>
    <w:rsid w:val="001E05D5"/>
    <w:rsid w:val="001E072F"/>
    <w:rsid w:val="001E0C86"/>
    <w:rsid w:val="001E2067"/>
    <w:rsid w:val="001E25E2"/>
    <w:rsid w:val="001E2BDF"/>
    <w:rsid w:val="001E3D95"/>
    <w:rsid w:val="001E3EB2"/>
    <w:rsid w:val="001E3F5E"/>
    <w:rsid w:val="001E4021"/>
    <w:rsid w:val="001E6295"/>
    <w:rsid w:val="001E7086"/>
    <w:rsid w:val="001E76BF"/>
    <w:rsid w:val="001E7C47"/>
    <w:rsid w:val="001E7C55"/>
    <w:rsid w:val="001E7FD1"/>
    <w:rsid w:val="001F007B"/>
    <w:rsid w:val="001F099C"/>
    <w:rsid w:val="001F0A2D"/>
    <w:rsid w:val="001F0C20"/>
    <w:rsid w:val="001F0F77"/>
    <w:rsid w:val="001F1343"/>
    <w:rsid w:val="001F1746"/>
    <w:rsid w:val="001F1E84"/>
    <w:rsid w:val="001F248F"/>
    <w:rsid w:val="001F2C75"/>
    <w:rsid w:val="001F3022"/>
    <w:rsid w:val="001F38B2"/>
    <w:rsid w:val="001F456A"/>
    <w:rsid w:val="001F4836"/>
    <w:rsid w:val="001F4BC3"/>
    <w:rsid w:val="001F4F60"/>
    <w:rsid w:val="001F525E"/>
    <w:rsid w:val="001F5632"/>
    <w:rsid w:val="001F601E"/>
    <w:rsid w:val="001F62D5"/>
    <w:rsid w:val="001F691A"/>
    <w:rsid w:val="001F6B5D"/>
    <w:rsid w:val="001F707B"/>
    <w:rsid w:val="001F7116"/>
    <w:rsid w:val="001F7EAC"/>
    <w:rsid w:val="002010C0"/>
    <w:rsid w:val="002012C6"/>
    <w:rsid w:val="00202367"/>
    <w:rsid w:val="0020284D"/>
    <w:rsid w:val="00202BB8"/>
    <w:rsid w:val="00203074"/>
    <w:rsid w:val="00203464"/>
    <w:rsid w:val="0020357C"/>
    <w:rsid w:val="0020447D"/>
    <w:rsid w:val="0020567A"/>
    <w:rsid w:val="00205A6A"/>
    <w:rsid w:val="00206659"/>
    <w:rsid w:val="002066C8"/>
    <w:rsid w:val="00206798"/>
    <w:rsid w:val="002070AF"/>
    <w:rsid w:val="0020727E"/>
    <w:rsid w:val="00207BDA"/>
    <w:rsid w:val="002104EC"/>
    <w:rsid w:val="0021217D"/>
    <w:rsid w:val="00212AEE"/>
    <w:rsid w:val="002131FB"/>
    <w:rsid w:val="002133A9"/>
    <w:rsid w:val="0021385C"/>
    <w:rsid w:val="00214451"/>
    <w:rsid w:val="00214623"/>
    <w:rsid w:val="0021488E"/>
    <w:rsid w:val="0021497F"/>
    <w:rsid w:val="00214DAC"/>
    <w:rsid w:val="00214E02"/>
    <w:rsid w:val="00215214"/>
    <w:rsid w:val="00215524"/>
    <w:rsid w:val="0021573D"/>
    <w:rsid w:val="00216AB5"/>
    <w:rsid w:val="00216CC8"/>
    <w:rsid w:val="00217201"/>
    <w:rsid w:val="00217350"/>
    <w:rsid w:val="0022098A"/>
    <w:rsid w:val="00220DF6"/>
    <w:rsid w:val="00221183"/>
    <w:rsid w:val="0022173F"/>
    <w:rsid w:val="0022181B"/>
    <w:rsid w:val="00222280"/>
    <w:rsid w:val="0022299E"/>
    <w:rsid w:val="00222A5E"/>
    <w:rsid w:val="00222BD7"/>
    <w:rsid w:val="00223667"/>
    <w:rsid w:val="0022454D"/>
    <w:rsid w:val="00224DCC"/>
    <w:rsid w:val="00225B72"/>
    <w:rsid w:val="002279E1"/>
    <w:rsid w:val="00227B4B"/>
    <w:rsid w:val="00227D4C"/>
    <w:rsid w:val="0023043B"/>
    <w:rsid w:val="0023043F"/>
    <w:rsid w:val="0023115F"/>
    <w:rsid w:val="00231529"/>
    <w:rsid w:val="00231929"/>
    <w:rsid w:val="00231A11"/>
    <w:rsid w:val="00231D64"/>
    <w:rsid w:val="002320C3"/>
    <w:rsid w:val="0023237B"/>
    <w:rsid w:val="002327D8"/>
    <w:rsid w:val="0023298C"/>
    <w:rsid w:val="00232D0F"/>
    <w:rsid w:val="00234034"/>
    <w:rsid w:val="0023416A"/>
    <w:rsid w:val="002343AB"/>
    <w:rsid w:val="00234733"/>
    <w:rsid w:val="00234CA9"/>
    <w:rsid w:val="00236731"/>
    <w:rsid w:val="0023680D"/>
    <w:rsid w:val="00240271"/>
    <w:rsid w:val="00240B91"/>
    <w:rsid w:val="00240BBF"/>
    <w:rsid w:val="00240CA6"/>
    <w:rsid w:val="00241E8D"/>
    <w:rsid w:val="00242772"/>
    <w:rsid w:val="00242C76"/>
    <w:rsid w:val="00242CBE"/>
    <w:rsid w:val="002443AA"/>
    <w:rsid w:val="0024449E"/>
    <w:rsid w:val="00244958"/>
    <w:rsid w:val="00244CC8"/>
    <w:rsid w:val="0024586A"/>
    <w:rsid w:val="00245B15"/>
    <w:rsid w:val="00245EEB"/>
    <w:rsid w:val="002468AA"/>
    <w:rsid w:val="00246DC6"/>
    <w:rsid w:val="00247525"/>
    <w:rsid w:val="00247B5B"/>
    <w:rsid w:val="00247EC0"/>
    <w:rsid w:val="00250841"/>
    <w:rsid w:val="00250986"/>
    <w:rsid w:val="0025100F"/>
    <w:rsid w:val="002510F8"/>
    <w:rsid w:val="00251682"/>
    <w:rsid w:val="0025186C"/>
    <w:rsid w:val="00251A12"/>
    <w:rsid w:val="00251E44"/>
    <w:rsid w:val="00252B1C"/>
    <w:rsid w:val="00252DE2"/>
    <w:rsid w:val="002534F0"/>
    <w:rsid w:val="002536DF"/>
    <w:rsid w:val="00253FEE"/>
    <w:rsid w:val="00254416"/>
    <w:rsid w:val="00254727"/>
    <w:rsid w:val="00254D5E"/>
    <w:rsid w:val="00254E71"/>
    <w:rsid w:val="00255145"/>
    <w:rsid w:val="002555AB"/>
    <w:rsid w:val="00256291"/>
    <w:rsid w:val="0025656B"/>
    <w:rsid w:val="002603C8"/>
    <w:rsid w:val="00260E2C"/>
    <w:rsid w:val="00261C9D"/>
    <w:rsid w:val="00262086"/>
    <w:rsid w:val="002622E1"/>
    <w:rsid w:val="0026257E"/>
    <w:rsid w:val="00262641"/>
    <w:rsid w:val="00262AA7"/>
    <w:rsid w:val="00262F45"/>
    <w:rsid w:val="002630AF"/>
    <w:rsid w:val="002638B1"/>
    <w:rsid w:val="00263C89"/>
    <w:rsid w:val="00264D30"/>
    <w:rsid w:val="00265882"/>
    <w:rsid w:val="00265888"/>
    <w:rsid w:val="00267A94"/>
    <w:rsid w:val="0027008C"/>
    <w:rsid w:val="002706CD"/>
    <w:rsid w:val="00270CE1"/>
    <w:rsid w:val="00270F51"/>
    <w:rsid w:val="00271922"/>
    <w:rsid w:val="00271D24"/>
    <w:rsid w:val="002722BE"/>
    <w:rsid w:val="002732BC"/>
    <w:rsid w:val="00273325"/>
    <w:rsid w:val="00273947"/>
    <w:rsid w:val="00273974"/>
    <w:rsid w:val="00273A82"/>
    <w:rsid w:val="00273FD2"/>
    <w:rsid w:val="00274324"/>
    <w:rsid w:val="002745ED"/>
    <w:rsid w:val="002755FB"/>
    <w:rsid w:val="00275C91"/>
    <w:rsid w:val="00276FEA"/>
    <w:rsid w:val="00280779"/>
    <w:rsid w:val="00280992"/>
    <w:rsid w:val="00280BED"/>
    <w:rsid w:val="00281172"/>
    <w:rsid w:val="002813E9"/>
    <w:rsid w:val="00281D6A"/>
    <w:rsid w:val="00282193"/>
    <w:rsid w:val="002828A8"/>
    <w:rsid w:val="00282B08"/>
    <w:rsid w:val="00284E7E"/>
    <w:rsid w:val="0028505E"/>
    <w:rsid w:val="0028585A"/>
    <w:rsid w:val="002863E1"/>
    <w:rsid w:val="00286BC3"/>
    <w:rsid w:val="00286F23"/>
    <w:rsid w:val="0028790C"/>
    <w:rsid w:val="00287CA4"/>
    <w:rsid w:val="00290AF7"/>
    <w:rsid w:val="00290E07"/>
    <w:rsid w:val="0029143F"/>
    <w:rsid w:val="00291661"/>
    <w:rsid w:val="00291C75"/>
    <w:rsid w:val="00291D5A"/>
    <w:rsid w:val="00291D7D"/>
    <w:rsid w:val="00292610"/>
    <w:rsid w:val="00292A33"/>
    <w:rsid w:val="00292E3C"/>
    <w:rsid w:val="00293EA5"/>
    <w:rsid w:val="00294D1F"/>
    <w:rsid w:val="00295A09"/>
    <w:rsid w:val="00296625"/>
    <w:rsid w:val="00296BAB"/>
    <w:rsid w:val="00296D9D"/>
    <w:rsid w:val="0029711F"/>
    <w:rsid w:val="00297442"/>
    <w:rsid w:val="00297B4E"/>
    <w:rsid w:val="002A005D"/>
    <w:rsid w:val="002A0140"/>
    <w:rsid w:val="002A0A33"/>
    <w:rsid w:val="002A1162"/>
    <w:rsid w:val="002A1456"/>
    <w:rsid w:val="002A1CBC"/>
    <w:rsid w:val="002A1F80"/>
    <w:rsid w:val="002A2105"/>
    <w:rsid w:val="002A281B"/>
    <w:rsid w:val="002A297C"/>
    <w:rsid w:val="002A2FC8"/>
    <w:rsid w:val="002A3051"/>
    <w:rsid w:val="002A3187"/>
    <w:rsid w:val="002A3785"/>
    <w:rsid w:val="002A4002"/>
    <w:rsid w:val="002A4784"/>
    <w:rsid w:val="002A5499"/>
    <w:rsid w:val="002A58C9"/>
    <w:rsid w:val="002A5A7C"/>
    <w:rsid w:val="002A688F"/>
    <w:rsid w:val="002A6E1C"/>
    <w:rsid w:val="002A7F26"/>
    <w:rsid w:val="002B0ADE"/>
    <w:rsid w:val="002B13A4"/>
    <w:rsid w:val="002B1A12"/>
    <w:rsid w:val="002B1AED"/>
    <w:rsid w:val="002B1B15"/>
    <w:rsid w:val="002B1F7E"/>
    <w:rsid w:val="002B21B4"/>
    <w:rsid w:val="002B3A78"/>
    <w:rsid w:val="002B4610"/>
    <w:rsid w:val="002B58B2"/>
    <w:rsid w:val="002B58F5"/>
    <w:rsid w:val="002B6169"/>
    <w:rsid w:val="002B633A"/>
    <w:rsid w:val="002B6438"/>
    <w:rsid w:val="002B67BB"/>
    <w:rsid w:val="002B6C8A"/>
    <w:rsid w:val="002B7824"/>
    <w:rsid w:val="002B7CDD"/>
    <w:rsid w:val="002C02CC"/>
    <w:rsid w:val="002C0E62"/>
    <w:rsid w:val="002C1441"/>
    <w:rsid w:val="002C1470"/>
    <w:rsid w:val="002C1552"/>
    <w:rsid w:val="002C19F8"/>
    <w:rsid w:val="002C1A8C"/>
    <w:rsid w:val="002C1B8D"/>
    <w:rsid w:val="002C1D10"/>
    <w:rsid w:val="002C1F96"/>
    <w:rsid w:val="002C2097"/>
    <w:rsid w:val="002C27A8"/>
    <w:rsid w:val="002C379B"/>
    <w:rsid w:val="002C3FAF"/>
    <w:rsid w:val="002C4343"/>
    <w:rsid w:val="002C5724"/>
    <w:rsid w:val="002C6A79"/>
    <w:rsid w:val="002C6FFE"/>
    <w:rsid w:val="002C72B3"/>
    <w:rsid w:val="002C7447"/>
    <w:rsid w:val="002C765E"/>
    <w:rsid w:val="002C7886"/>
    <w:rsid w:val="002C78DD"/>
    <w:rsid w:val="002D01D8"/>
    <w:rsid w:val="002D022C"/>
    <w:rsid w:val="002D0E2C"/>
    <w:rsid w:val="002D12A9"/>
    <w:rsid w:val="002D1AA2"/>
    <w:rsid w:val="002D2329"/>
    <w:rsid w:val="002D245D"/>
    <w:rsid w:val="002D2BFB"/>
    <w:rsid w:val="002D3019"/>
    <w:rsid w:val="002D3688"/>
    <w:rsid w:val="002D3BD2"/>
    <w:rsid w:val="002D3FFF"/>
    <w:rsid w:val="002D40AA"/>
    <w:rsid w:val="002D42E5"/>
    <w:rsid w:val="002D49EF"/>
    <w:rsid w:val="002D4C9A"/>
    <w:rsid w:val="002D51D6"/>
    <w:rsid w:val="002D70BF"/>
    <w:rsid w:val="002D7465"/>
    <w:rsid w:val="002D7DBB"/>
    <w:rsid w:val="002E0F3D"/>
    <w:rsid w:val="002E11B6"/>
    <w:rsid w:val="002E16E1"/>
    <w:rsid w:val="002E28D5"/>
    <w:rsid w:val="002E2C22"/>
    <w:rsid w:val="002E2DC4"/>
    <w:rsid w:val="002E38E3"/>
    <w:rsid w:val="002E48DD"/>
    <w:rsid w:val="002E4B19"/>
    <w:rsid w:val="002E5508"/>
    <w:rsid w:val="002E5E9B"/>
    <w:rsid w:val="002E5ED1"/>
    <w:rsid w:val="002E6C5D"/>
    <w:rsid w:val="002E6EAE"/>
    <w:rsid w:val="002E731F"/>
    <w:rsid w:val="002E7940"/>
    <w:rsid w:val="002E7B2F"/>
    <w:rsid w:val="002F0343"/>
    <w:rsid w:val="002F0E4E"/>
    <w:rsid w:val="002F1214"/>
    <w:rsid w:val="002F1683"/>
    <w:rsid w:val="002F1695"/>
    <w:rsid w:val="002F1B26"/>
    <w:rsid w:val="002F1DE7"/>
    <w:rsid w:val="002F244E"/>
    <w:rsid w:val="002F2452"/>
    <w:rsid w:val="002F2801"/>
    <w:rsid w:val="002F2B2F"/>
    <w:rsid w:val="002F2EB9"/>
    <w:rsid w:val="002F3217"/>
    <w:rsid w:val="002F3B72"/>
    <w:rsid w:val="002F3BE8"/>
    <w:rsid w:val="002F4575"/>
    <w:rsid w:val="002F45E2"/>
    <w:rsid w:val="002F45EC"/>
    <w:rsid w:val="002F4D6E"/>
    <w:rsid w:val="002F4FAD"/>
    <w:rsid w:val="002F4FB6"/>
    <w:rsid w:val="002F55DC"/>
    <w:rsid w:val="002F5A8D"/>
    <w:rsid w:val="002F61A0"/>
    <w:rsid w:val="002F74C5"/>
    <w:rsid w:val="002F7936"/>
    <w:rsid w:val="003003BF"/>
    <w:rsid w:val="00300BD8"/>
    <w:rsid w:val="00300F5E"/>
    <w:rsid w:val="00301B3F"/>
    <w:rsid w:val="0030252C"/>
    <w:rsid w:val="003025CB"/>
    <w:rsid w:val="00303524"/>
    <w:rsid w:val="00303C3C"/>
    <w:rsid w:val="00304716"/>
    <w:rsid w:val="00304DAE"/>
    <w:rsid w:val="00305270"/>
    <w:rsid w:val="00305608"/>
    <w:rsid w:val="00305A79"/>
    <w:rsid w:val="00305F44"/>
    <w:rsid w:val="0030605C"/>
    <w:rsid w:val="00306A90"/>
    <w:rsid w:val="00307312"/>
    <w:rsid w:val="0031013B"/>
    <w:rsid w:val="00310219"/>
    <w:rsid w:val="003112B9"/>
    <w:rsid w:val="0031158A"/>
    <w:rsid w:val="003121A0"/>
    <w:rsid w:val="00312C53"/>
    <w:rsid w:val="00312CD0"/>
    <w:rsid w:val="003136CF"/>
    <w:rsid w:val="003139FC"/>
    <w:rsid w:val="00313E67"/>
    <w:rsid w:val="00314191"/>
    <w:rsid w:val="003143AC"/>
    <w:rsid w:val="00314FED"/>
    <w:rsid w:val="0031509E"/>
    <w:rsid w:val="0031512D"/>
    <w:rsid w:val="003153D8"/>
    <w:rsid w:val="003161C5"/>
    <w:rsid w:val="0031628D"/>
    <w:rsid w:val="0031735D"/>
    <w:rsid w:val="00320170"/>
    <w:rsid w:val="00320186"/>
    <w:rsid w:val="003202E3"/>
    <w:rsid w:val="0032058A"/>
    <w:rsid w:val="00320885"/>
    <w:rsid w:val="00320E76"/>
    <w:rsid w:val="0032103C"/>
    <w:rsid w:val="00321335"/>
    <w:rsid w:val="00321453"/>
    <w:rsid w:val="00321E3E"/>
    <w:rsid w:val="00322381"/>
    <w:rsid w:val="0032246E"/>
    <w:rsid w:val="00322495"/>
    <w:rsid w:val="003236D8"/>
    <w:rsid w:val="00325682"/>
    <w:rsid w:val="00325DB8"/>
    <w:rsid w:val="00326824"/>
    <w:rsid w:val="0032735E"/>
    <w:rsid w:val="0032748D"/>
    <w:rsid w:val="00327972"/>
    <w:rsid w:val="00327FD3"/>
    <w:rsid w:val="0033059E"/>
    <w:rsid w:val="00330E2A"/>
    <w:rsid w:val="003316EB"/>
    <w:rsid w:val="003330DC"/>
    <w:rsid w:val="00333F55"/>
    <w:rsid w:val="00333F82"/>
    <w:rsid w:val="003343E3"/>
    <w:rsid w:val="003347C0"/>
    <w:rsid w:val="00335340"/>
    <w:rsid w:val="00335BBA"/>
    <w:rsid w:val="00335C37"/>
    <w:rsid w:val="00336312"/>
    <w:rsid w:val="003367A6"/>
    <w:rsid w:val="00337204"/>
    <w:rsid w:val="0033724B"/>
    <w:rsid w:val="00337FAB"/>
    <w:rsid w:val="003403A5"/>
    <w:rsid w:val="00340B07"/>
    <w:rsid w:val="00340C77"/>
    <w:rsid w:val="003410A6"/>
    <w:rsid w:val="0034119D"/>
    <w:rsid w:val="0034133E"/>
    <w:rsid w:val="003413F2"/>
    <w:rsid w:val="0034141A"/>
    <w:rsid w:val="00341BE6"/>
    <w:rsid w:val="003424AC"/>
    <w:rsid w:val="00342CE7"/>
    <w:rsid w:val="003450FA"/>
    <w:rsid w:val="00346F33"/>
    <w:rsid w:val="0034752B"/>
    <w:rsid w:val="0034756A"/>
    <w:rsid w:val="00347741"/>
    <w:rsid w:val="0034788E"/>
    <w:rsid w:val="00347D61"/>
    <w:rsid w:val="0035063F"/>
    <w:rsid w:val="00350AA3"/>
    <w:rsid w:val="00351237"/>
    <w:rsid w:val="0035145C"/>
    <w:rsid w:val="00351D4C"/>
    <w:rsid w:val="00352865"/>
    <w:rsid w:val="00352E5E"/>
    <w:rsid w:val="003533A1"/>
    <w:rsid w:val="00353C83"/>
    <w:rsid w:val="0035414F"/>
    <w:rsid w:val="00354AA0"/>
    <w:rsid w:val="00354B63"/>
    <w:rsid w:val="00354CAE"/>
    <w:rsid w:val="00354F60"/>
    <w:rsid w:val="003550DE"/>
    <w:rsid w:val="0035539D"/>
    <w:rsid w:val="003557D2"/>
    <w:rsid w:val="003607CF"/>
    <w:rsid w:val="0036089B"/>
    <w:rsid w:val="00360A5B"/>
    <w:rsid w:val="00360F52"/>
    <w:rsid w:val="00361369"/>
    <w:rsid w:val="00361F5C"/>
    <w:rsid w:val="00361FA7"/>
    <w:rsid w:val="00362233"/>
    <w:rsid w:val="00362963"/>
    <w:rsid w:val="00363055"/>
    <w:rsid w:val="0036347D"/>
    <w:rsid w:val="00363D41"/>
    <w:rsid w:val="003659EF"/>
    <w:rsid w:val="00366862"/>
    <w:rsid w:val="00366AAF"/>
    <w:rsid w:val="00366ADB"/>
    <w:rsid w:val="00367001"/>
    <w:rsid w:val="003671BE"/>
    <w:rsid w:val="003671C3"/>
    <w:rsid w:val="003705ED"/>
    <w:rsid w:val="00370600"/>
    <w:rsid w:val="003710DB"/>
    <w:rsid w:val="003714DF"/>
    <w:rsid w:val="00371642"/>
    <w:rsid w:val="00371A95"/>
    <w:rsid w:val="003722AB"/>
    <w:rsid w:val="00372653"/>
    <w:rsid w:val="00372670"/>
    <w:rsid w:val="0037290A"/>
    <w:rsid w:val="00372ADB"/>
    <w:rsid w:val="00372B33"/>
    <w:rsid w:val="00373089"/>
    <w:rsid w:val="00373444"/>
    <w:rsid w:val="0037363A"/>
    <w:rsid w:val="0037403F"/>
    <w:rsid w:val="00374868"/>
    <w:rsid w:val="00374B06"/>
    <w:rsid w:val="00375D77"/>
    <w:rsid w:val="00375E7F"/>
    <w:rsid w:val="00376C2C"/>
    <w:rsid w:val="00376C4A"/>
    <w:rsid w:val="00376F13"/>
    <w:rsid w:val="00376FCD"/>
    <w:rsid w:val="003770DA"/>
    <w:rsid w:val="0037778E"/>
    <w:rsid w:val="00377B3F"/>
    <w:rsid w:val="003805F1"/>
    <w:rsid w:val="0038276F"/>
    <w:rsid w:val="00382880"/>
    <w:rsid w:val="003829DB"/>
    <w:rsid w:val="00382D64"/>
    <w:rsid w:val="00383554"/>
    <w:rsid w:val="00383B16"/>
    <w:rsid w:val="00384ECA"/>
    <w:rsid w:val="00385013"/>
    <w:rsid w:val="00385621"/>
    <w:rsid w:val="00385831"/>
    <w:rsid w:val="0038641F"/>
    <w:rsid w:val="00386431"/>
    <w:rsid w:val="00386B5E"/>
    <w:rsid w:val="00387620"/>
    <w:rsid w:val="00387C5F"/>
    <w:rsid w:val="00387C65"/>
    <w:rsid w:val="0039063A"/>
    <w:rsid w:val="0039128A"/>
    <w:rsid w:val="00391D60"/>
    <w:rsid w:val="00391DDA"/>
    <w:rsid w:val="0039239C"/>
    <w:rsid w:val="00392E78"/>
    <w:rsid w:val="0039358A"/>
    <w:rsid w:val="00393B90"/>
    <w:rsid w:val="00393B99"/>
    <w:rsid w:val="00393CCF"/>
    <w:rsid w:val="003945D7"/>
    <w:rsid w:val="00394FB8"/>
    <w:rsid w:val="003954E3"/>
    <w:rsid w:val="00395B9D"/>
    <w:rsid w:val="00395BE0"/>
    <w:rsid w:val="003963BD"/>
    <w:rsid w:val="003966FD"/>
    <w:rsid w:val="003A025D"/>
    <w:rsid w:val="003A0291"/>
    <w:rsid w:val="003A0B3D"/>
    <w:rsid w:val="003A14B5"/>
    <w:rsid w:val="003A1BFD"/>
    <w:rsid w:val="003A1CAD"/>
    <w:rsid w:val="003A1DB3"/>
    <w:rsid w:val="003A218A"/>
    <w:rsid w:val="003A22C2"/>
    <w:rsid w:val="003A2441"/>
    <w:rsid w:val="003A2745"/>
    <w:rsid w:val="003A2DB0"/>
    <w:rsid w:val="003A35F2"/>
    <w:rsid w:val="003A3F9C"/>
    <w:rsid w:val="003A4724"/>
    <w:rsid w:val="003A52E6"/>
    <w:rsid w:val="003A5304"/>
    <w:rsid w:val="003A5353"/>
    <w:rsid w:val="003A536B"/>
    <w:rsid w:val="003A5CB2"/>
    <w:rsid w:val="003A6015"/>
    <w:rsid w:val="003A6626"/>
    <w:rsid w:val="003A7191"/>
    <w:rsid w:val="003A7359"/>
    <w:rsid w:val="003A7631"/>
    <w:rsid w:val="003A7B25"/>
    <w:rsid w:val="003B031A"/>
    <w:rsid w:val="003B07AB"/>
    <w:rsid w:val="003B1AE8"/>
    <w:rsid w:val="003B20D6"/>
    <w:rsid w:val="003B2949"/>
    <w:rsid w:val="003B2E60"/>
    <w:rsid w:val="003B306E"/>
    <w:rsid w:val="003B338E"/>
    <w:rsid w:val="003B37B2"/>
    <w:rsid w:val="003B38DC"/>
    <w:rsid w:val="003B4238"/>
    <w:rsid w:val="003B4301"/>
    <w:rsid w:val="003B4CE2"/>
    <w:rsid w:val="003B6052"/>
    <w:rsid w:val="003B686D"/>
    <w:rsid w:val="003B6B5F"/>
    <w:rsid w:val="003B6B6B"/>
    <w:rsid w:val="003B71F7"/>
    <w:rsid w:val="003B7C9A"/>
    <w:rsid w:val="003C02C3"/>
    <w:rsid w:val="003C05FE"/>
    <w:rsid w:val="003C0D84"/>
    <w:rsid w:val="003C126F"/>
    <w:rsid w:val="003C1E36"/>
    <w:rsid w:val="003C1EAD"/>
    <w:rsid w:val="003C2B70"/>
    <w:rsid w:val="003C357A"/>
    <w:rsid w:val="003C441F"/>
    <w:rsid w:val="003C48B5"/>
    <w:rsid w:val="003C4961"/>
    <w:rsid w:val="003C4ADA"/>
    <w:rsid w:val="003C4B55"/>
    <w:rsid w:val="003C4CA9"/>
    <w:rsid w:val="003C50F9"/>
    <w:rsid w:val="003C53B0"/>
    <w:rsid w:val="003C5AB5"/>
    <w:rsid w:val="003C5AEA"/>
    <w:rsid w:val="003C6087"/>
    <w:rsid w:val="003C627F"/>
    <w:rsid w:val="003C6352"/>
    <w:rsid w:val="003C6743"/>
    <w:rsid w:val="003C683F"/>
    <w:rsid w:val="003C7AA0"/>
    <w:rsid w:val="003C7CB1"/>
    <w:rsid w:val="003D0030"/>
    <w:rsid w:val="003D0551"/>
    <w:rsid w:val="003D0C1B"/>
    <w:rsid w:val="003D1363"/>
    <w:rsid w:val="003D1804"/>
    <w:rsid w:val="003D2154"/>
    <w:rsid w:val="003D245A"/>
    <w:rsid w:val="003D2767"/>
    <w:rsid w:val="003D2B96"/>
    <w:rsid w:val="003D310A"/>
    <w:rsid w:val="003D3890"/>
    <w:rsid w:val="003D41D8"/>
    <w:rsid w:val="003D47ED"/>
    <w:rsid w:val="003D4ED3"/>
    <w:rsid w:val="003D4FE0"/>
    <w:rsid w:val="003D561F"/>
    <w:rsid w:val="003D570F"/>
    <w:rsid w:val="003D5725"/>
    <w:rsid w:val="003D5774"/>
    <w:rsid w:val="003D5B8E"/>
    <w:rsid w:val="003D5BFE"/>
    <w:rsid w:val="003D6495"/>
    <w:rsid w:val="003D68D2"/>
    <w:rsid w:val="003D71CF"/>
    <w:rsid w:val="003D7B7D"/>
    <w:rsid w:val="003E0DA8"/>
    <w:rsid w:val="003E1E62"/>
    <w:rsid w:val="003E3689"/>
    <w:rsid w:val="003E560B"/>
    <w:rsid w:val="003E56FE"/>
    <w:rsid w:val="003E5B05"/>
    <w:rsid w:val="003E5DDB"/>
    <w:rsid w:val="003E6057"/>
    <w:rsid w:val="003E60A2"/>
    <w:rsid w:val="003E6BCD"/>
    <w:rsid w:val="003E7408"/>
    <w:rsid w:val="003E7459"/>
    <w:rsid w:val="003F01F9"/>
    <w:rsid w:val="003F07AF"/>
    <w:rsid w:val="003F0845"/>
    <w:rsid w:val="003F0B16"/>
    <w:rsid w:val="003F0CE5"/>
    <w:rsid w:val="003F1643"/>
    <w:rsid w:val="003F282B"/>
    <w:rsid w:val="003F28EA"/>
    <w:rsid w:val="003F2B28"/>
    <w:rsid w:val="003F34EE"/>
    <w:rsid w:val="003F59CC"/>
    <w:rsid w:val="003F5EA0"/>
    <w:rsid w:val="003F6139"/>
    <w:rsid w:val="003F645F"/>
    <w:rsid w:val="003F652D"/>
    <w:rsid w:val="003F6676"/>
    <w:rsid w:val="003F6857"/>
    <w:rsid w:val="003F708D"/>
    <w:rsid w:val="003F7EDC"/>
    <w:rsid w:val="00400081"/>
    <w:rsid w:val="00400225"/>
    <w:rsid w:val="004008E9"/>
    <w:rsid w:val="00400D3F"/>
    <w:rsid w:val="004012E5"/>
    <w:rsid w:val="00402646"/>
    <w:rsid w:val="00402697"/>
    <w:rsid w:val="00402E56"/>
    <w:rsid w:val="00402FA4"/>
    <w:rsid w:val="00403A20"/>
    <w:rsid w:val="004043AD"/>
    <w:rsid w:val="00404557"/>
    <w:rsid w:val="00404AB2"/>
    <w:rsid w:val="004050E3"/>
    <w:rsid w:val="00405597"/>
    <w:rsid w:val="004056C9"/>
    <w:rsid w:val="00405C6D"/>
    <w:rsid w:val="00405F51"/>
    <w:rsid w:val="004061BA"/>
    <w:rsid w:val="00407653"/>
    <w:rsid w:val="0040781B"/>
    <w:rsid w:val="0040794B"/>
    <w:rsid w:val="004108F7"/>
    <w:rsid w:val="00410C9B"/>
    <w:rsid w:val="004112F3"/>
    <w:rsid w:val="00411CCB"/>
    <w:rsid w:val="00412730"/>
    <w:rsid w:val="00412B72"/>
    <w:rsid w:val="00413B3D"/>
    <w:rsid w:val="00413B7E"/>
    <w:rsid w:val="00413D5F"/>
    <w:rsid w:val="00413F86"/>
    <w:rsid w:val="004146D0"/>
    <w:rsid w:val="0041523D"/>
    <w:rsid w:val="00415936"/>
    <w:rsid w:val="00415EAB"/>
    <w:rsid w:val="0041604E"/>
    <w:rsid w:val="00416C42"/>
    <w:rsid w:val="00417457"/>
    <w:rsid w:val="00417E25"/>
    <w:rsid w:val="00421581"/>
    <w:rsid w:val="00421643"/>
    <w:rsid w:val="0042259D"/>
    <w:rsid w:val="0042278E"/>
    <w:rsid w:val="00422840"/>
    <w:rsid w:val="0042305F"/>
    <w:rsid w:val="00423B63"/>
    <w:rsid w:val="00423E96"/>
    <w:rsid w:val="004241AB"/>
    <w:rsid w:val="00424B4C"/>
    <w:rsid w:val="00424EE4"/>
    <w:rsid w:val="004264DB"/>
    <w:rsid w:val="00426683"/>
    <w:rsid w:val="00426DCC"/>
    <w:rsid w:val="00426EFD"/>
    <w:rsid w:val="00427072"/>
    <w:rsid w:val="004270DC"/>
    <w:rsid w:val="00427182"/>
    <w:rsid w:val="004275D6"/>
    <w:rsid w:val="00430F9B"/>
    <w:rsid w:val="004311D9"/>
    <w:rsid w:val="00432165"/>
    <w:rsid w:val="00433179"/>
    <w:rsid w:val="00433C53"/>
    <w:rsid w:val="00433DA6"/>
    <w:rsid w:val="004341BB"/>
    <w:rsid w:val="004346E5"/>
    <w:rsid w:val="004348B9"/>
    <w:rsid w:val="004349CB"/>
    <w:rsid w:val="00434AF1"/>
    <w:rsid w:val="00434B6F"/>
    <w:rsid w:val="00435000"/>
    <w:rsid w:val="00435D48"/>
    <w:rsid w:val="00435F75"/>
    <w:rsid w:val="004369B8"/>
    <w:rsid w:val="00436CCD"/>
    <w:rsid w:val="00436D57"/>
    <w:rsid w:val="004376BB"/>
    <w:rsid w:val="00440074"/>
    <w:rsid w:val="00440354"/>
    <w:rsid w:val="00440363"/>
    <w:rsid w:val="004409E2"/>
    <w:rsid w:val="00440C6D"/>
    <w:rsid w:val="00440F3B"/>
    <w:rsid w:val="00441561"/>
    <w:rsid w:val="004416A8"/>
    <w:rsid w:val="004422E1"/>
    <w:rsid w:val="00442B9B"/>
    <w:rsid w:val="00443429"/>
    <w:rsid w:val="004437FC"/>
    <w:rsid w:val="00444431"/>
    <w:rsid w:val="0044487A"/>
    <w:rsid w:val="00444AAE"/>
    <w:rsid w:val="00444EE8"/>
    <w:rsid w:val="004450A4"/>
    <w:rsid w:val="00445512"/>
    <w:rsid w:val="00445846"/>
    <w:rsid w:val="00445B43"/>
    <w:rsid w:val="004463C8"/>
    <w:rsid w:val="0044641A"/>
    <w:rsid w:val="0044676E"/>
    <w:rsid w:val="00446A5A"/>
    <w:rsid w:val="00446DB7"/>
    <w:rsid w:val="00446E7B"/>
    <w:rsid w:val="004473B3"/>
    <w:rsid w:val="00447C4B"/>
    <w:rsid w:val="00447FBC"/>
    <w:rsid w:val="004507F0"/>
    <w:rsid w:val="00451282"/>
    <w:rsid w:val="00451486"/>
    <w:rsid w:val="00451B4A"/>
    <w:rsid w:val="00451CE6"/>
    <w:rsid w:val="00452851"/>
    <w:rsid w:val="00452882"/>
    <w:rsid w:val="004536BD"/>
    <w:rsid w:val="00453A2A"/>
    <w:rsid w:val="00454368"/>
    <w:rsid w:val="00454699"/>
    <w:rsid w:val="00455132"/>
    <w:rsid w:val="00455EF1"/>
    <w:rsid w:val="0045720C"/>
    <w:rsid w:val="004572C8"/>
    <w:rsid w:val="004602D7"/>
    <w:rsid w:val="00460EF2"/>
    <w:rsid w:val="0046212C"/>
    <w:rsid w:val="00462134"/>
    <w:rsid w:val="0046249F"/>
    <w:rsid w:val="004625B7"/>
    <w:rsid w:val="00462779"/>
    <w:rsid w:val="004635C1"/>
    <w:rsid w:val="004640BC"/>
    <w:rsid w:val="00464A20"/>
    <w:rsid w:val="00465B1F"/>
    <w:rsid w:val="004665FA"/>
    <w:rsid w:val="0046781E"/>
    <w:rsid w:val="00470916"/>
    <w:rsid w:val="004715C3"/>
    <w:rsid w:val="004720CF"/>
    <w:rsid w:val="00472E52"/>
    <w:rsid w:val="00473067"/>
    <w:rsid w:val="00473196"/>
    <w:rsid w:val="0047392E"/>
    <w:rsid w:val="004741B5"/>
    <w:rsid w:val="00474699"/>
    <w:rsid w:val="00474A1C"/>
    <w:rsid w:val="00474CEE"/>
    <w:rsid w:val="004756DC"/>
    <w:rsid w:val="00475C95"/>
    <w:rsid w:val="00475FAB"/>
    <w:rsid w:val="00475FBC"/>
    <w:rsid w:val="0047634E"/>
    <w:rsid w:val="004768A4"/>
    <w:rsid w:val="00477382"/>
    <w:rsid w:val="00477500"/>
    <w:rsid w:val="00477E21"/>
    <w:rsid w:val="0048021E"/>
    <w:rsid w:val="00481E24"/>
    <w:rsid w:val="0048238D"/>
    <w:rsid w:val="00482630"/>
    <w:rsid w:val="004826FB"/>
    <w:rsid w:val="004837D7"/>
    <w:rsid w:val="0048389E"/>
    <w:rsid w:val="0048398E"/>
    <w:rsid w:val="00483ECD"/>
    <w:rsid w:val="00484074"/>
    <w:rsid w:val="004849BA"/>
    <w:rsid w:val="00484E8D"/>
    <w:rsid w:val="004856D0"/>
    <w:rsid w:val="00485C00"/>
    <w:rsid w:val="00486B45"/>
    <w:rsid w:val="0048775F"/>
    <w:rsid w:val="00487762"/>
    <w:rsid w:val="00487A6A"/>
    <w:rsid w:val="00487E87"/>
    <w:rsid w:val="00490B5B"/>
    <w:rsid w:val="00491292"/>
    <w:rsid w:val="00491CEB"/>
    <w:rsid w:val="00491DAA"/>
    <w:rsid w:val="004923A8"/>
    <w:rsid w:val="00492484"/>
    <w:rsid w:val="00492F72"/>
    <w:rsid w:val="004934BF"/>
    <w:rsid w:val="004943FB"/>
    <w:rsid w:val="00494576"/>
    <w:rsid w:val="0049474D"/>
    <w:rsid w:val="004958D0"/>
    <w:rsid w:val="004958F9"/>
    <w:rsid w:val="00496E32"/>
    <w:rsid w:val="00497589"/>
    <w:rsid w:val="0049795C"/>
    <w:rsid w:val="004A01BA"/>
    <w:rsid w:val="004A0227"/>
    <w:rsid w:val="004A0A1E"/>
    <w:rsid w:val="004A0B06"/>
    <w:rsid w:val="004A0EDC"/>
    <w:rsid w:val="004A10BC"/>
    <w:rsid w:val="004A1173"/>
    <w:rsid w:val="004A181C"/>
    <w:rsid w:val="004A1AA5"/>
    <w:rsid w:val="004A1EDB"/>
    <w:rsid w:val="004A225B"/>
    <w:rsid w:val="004A227E"/>
    <w:rsid w:val="004A25DE"/>
    <w:rsid w:val="004A2BAF"/>
    <w:rsid w:val="004A351D"/>
    <w:rsid w:val="004A3C74"/>
    <w:rsid w:val="004A45D7"/>
    <w:rsid w:val="004A517E"/>
    <w:rsid w:val="004A5849"/>
    <w:rsid w:val="004A62D4"/>
    <w:rsid w:val="004A652F"/>
    <w:rsid w:val="004A66FA"/>
    <w:rsid w:val="004A73C5"/>
    <w:rsid w:val="004A7587"/>
    <w:rsid w:val="004A7AC0"/>
    <w:rsid w:val="004B01C3"/>
    <w:rsid w:val="004B043D"/>
    <w:rsid w:val="004B1250"/>
    <w:rsid w:val="004B12E4"/>
    <w:rsid w:val="004B2016"/>
    <w:rsid w:val="004B2BA0"/>
    <w:rsid w:val="004B2D09"/>
    <w:rsid w:val="004B3780"/>
    <w:rsid w:val="004B3B09"/>
    <w:rsid w:val="004B400C"/>
    <w:rsid w:val="004B42B1"/>
    <w:rsid w:val="004B4D2F"/>
    <w:rsid w:val="004B5507"/>
    <w:rsid w:val="004B6126"/>
    <w:rsid w:val="004B63B1"/>
    <w:rsid w:val="004B64DF"/>
    <w:rsid w:val="004B66EA"/>
    <w:rsid w:val="004B68A8"/>
    <w:rsid w:val="004B6B16"/>
    <w:rsid w:val="004B7658"/>
    <w:rsid w:val="004B7E10"/>
    <w:rsid w:val="004C05FA"/>
    <w:rsid w:val="004C0A69"/>
    <w:rsid w:val="004C1CBA"/>
    <w:rsid w:val="004C22FD"/>
    <w:rsid w:val="004C3803"/>
    <w:rsid w:val="004C3D1D"/>
    <w:rsid w:val="004C3D3F"/>
    <w:rsid w:val="004C43FD"/>
    <w:rsid w:val="004C565B"/>
    <w:rsid w:val="004C6119"/>
    <w:rsid w:val="004C6B2F"/>
    <w:rsid w:val="004C6D1B"/>
    <w:rsid w:val="004C7D01"/>
    <w:rsid w:val="004D0391"/>
    <w:rsid w:val="004D0FA6"/>
    <w:rsid w:val="004D11CC"/>
    <w:rsid w:val="004D1559"/>
    <w:rsid w:val="004D1B5B"/>
    <w:rsid w:val="004D2FB4"/>
    <w:rsid w:val="004D3D7A"/>
    <w:rsid w:val="004D3F6A"/>
    <w:rsid w:val="004D42DE"/>
    <w:rsid w:val="004D4664"/>
    <w:rsid w:val="004D4B3F"/>
    <w:rsid w:val="004D4CBA"/>
    <w:rsid w:val="004D5086"/>
    <w:rsid w:val="004D50C4"/>
    <w:rsid w:val="004D5455"/>
    <w:rsid w:val="004D60E7"/>
    <w:rsid w:val="004D6F99"/>
    <w:rsid w:val="004E0308"/>
    <w:rsid w:val="004E0ACA"/>
    <w:rsid w:val="004E1502"/>
    <w:rsid w:val="004E17D7"/>
    <w:rsid w:val="004E1E4F"/>
    <w:rsid w:val="004E2379"/>
    <w:rsid w:val="004E2517"/>
    <w:rsid w:val="004E2AB2"/>
    <w:rsid w:val="004E2BBE"/>
    <w:rsid w:val="004E3029"/>
    <w:rsid w:val="004E30DD"/>
    <w:rsid w:val="004E30E6"/>
    <w:rsid w:val="004E322D"/>
    <w:rsid w:val="004E3553"/>
    <w:rsid w:val="004E36E2"/>
    <w:rsid w:val="004E3E02"/>
    <w:rsid w:val="004E41BB"/>
    <w:rsid w:val="004E4250"/>
    <w:rsid w:val="004E4C9C"/>
    <w:rsid w:val="004E5392"/>
    <w:rsid w:val="004E59AD"/>
    <w:rsid w:val="004E67F8"/>
    <w:rsid w:val="004E7276"/>
    <w:rsid w:val="004E72B6"/>
    <w:rsid w:val="004E733B"/>
    <w:rsid w:val="004E7DED"/>
    <w:rsid w:val="004F03C2"/>
    <w:rsid w:val="004F06E5"/>
    <w:rsid w:val="004F2037"/>
    <w:rsid w:val="004F267E"/>
    <w:rsid w:val="004F327B"/>
    <w:rsid w:val="004F3A8B"/>
    <w:rsid w:val="004F4892"/>
    <w:rsid w:val="004F5094"/>
    <w:rsid w:val="004F57F8"/>
    <w:rsid w:val="004F6ABC"/>
    <w:rsid w:val="004F6F50"/>
    <w:rsid w:val="004F79D7"/>
    <w:rsid w:val="004F7A94"/>
    <w:rsid w:val="004F7B00"/>
    <w:rsid w:val="004F7D16"/>
    <w:rsid w:val="004F7F50"/>
    <w:rsid w:val="00500570"/>
    <w:rsid w:val="00500646"/>
    <w:rsid w:val="00501120"/>
    <w:rsid w:val="005011AC"/>
    <w:rsid w:val="005017E0"/>
    <w:rsid w:val="0050277D"/>
    <w:rsid w:val="005033AC"/>
    <w:rsid w:val="00503E07"/>
    <w:rsid w:val="00504C5A"/>
    <w:rsid w:val="00504FDC"/>
    <w:rsid w:val="005052E3"/>
    <w:rsid w:val="00505E71"/>
    <w:rsid w:val="00505FE6"/>
    <w:rsid w:val="00506764"/>
    <w:rsid w:val="005102D8"/>
    <w:rsid w:val="005102FF"/>
    <w:rsid w:val="00510651"/>
    <w:rsid w:val="00510887"/>
    <w:rsid w:val="00510F46"/>
    <w:rsid w:val="00510FF7"/>
    <w:rsid w:val="00512079"/>
    <w:rsid w:val="005122A7"/>
    <w:rsid w:val="005124CA"/>
    <w:rsid w:val="005126CC"/>
    <w:rsid w:val="00512A04"/>
    <w:rsid w:val="00512BB2"/>
    <w:rsid w:val="00513217"/>
    <w:rsid w:val="00513290"/>
    <w:rsid w:val="005137E2"/>
    <w:rsid w:val="00513B86"/>
    <w:rsid w:val="00513FCF"/>
    <w:rsid w:val="0051447D"/>
    <w:rsid w:val="005144C2"/>
    <w:rsid w:val="00514B5B"/>
    <w:rsid w:val="005178FE"/>
    <w:rsid w:val="00520555"/>
    <w:rsid w:val="0052076F"/>
    <w:rsid w:val="0052127C"/>
    <w:rsid w:val="005212D5"/>
    <w:rsid w:val="0052176D"/>
    <w:rsid w:val="00521ACB"/>
    <w:rsid w:val="00521DC9"/>
    <w:rsid w:val="005229AA"/>
    <w:rsid w:val="005233D3"/>
    <w:rsid w:val="00523B1F"/>
    <w:rsid w:val="00523D7A"/>
    <w:rsid w:val="00523DCF"/>
    <w:rsid w:val="0052430C"/>
    <w:rsid w:val="00524946"/>
    <w:rsid w:val="005249E6"/>
    <w:rsid w:val="00525F2F"/>
    <w:rsid w:val="0052635A"/>
    <w:rsid w:val="0052640C"/>
    <w:rsid w:val="00526571"/>
    <w:rsid w:val="005265EB"/>
    <w:rsid w:val="00526BF7"/>
    <w:rsid w:val="00526C8A"/>
    <w:rsid w:val="0053057A"/>
    <w:rsid w:val="005308D9"/>
    <w:rsid w:val="00531067"/>
    <w:rsid w:val="0053163A"/>
    <w:rsid w:val="005317DD"/>
    <w:rsid w:val="005322D3"/>
    <w:rsid w:val="005329D7"/>
    <w:rsid w:val="00532C77"/>
    <w:rsid w:val="00532F7F"/>
    <w:rsid w:val="00533003"/>
    <w:rsid w:val="00533584"/>
    <w:rsid w:val="0053383D"/>
    <w:rsid w:val="00533E32"/>
    <w:rsid w:val="005341FC"/>
    <w:rsid w:val="005345ED"/>
    <w:rsid w:val="005355CC"/>
    <w:rsid w:val="005358C3"/>
    <w:rsid w:val="00536307"/>
    <w:rsid w:val="00536DF0"/>
    <w:rsid w:val="00537897"/>
    <w:rsid w:val="0054001D"/>
    <w:rsid w:val="005401A2"/>
    <w:rsid w:val="005401B3"/>
    <w:rsid w:val="0054023F"/>
    <w:rsid w:val="005406B3"/>
    <w:rsid w:val="0054129E"/>
    <w:rsid w:val="00541C46"/>
    <w:rsid w:val="00542043"/>
    <w:rsid w:val="00542295"/>
    <w:rsid w:val="00542735"/>
    <w:rsid w:val="00542E3A"/>
    <w:rsid w:val="00543034"/>
    <w:rsid w:val="005439FB"/>
    <w:rsid w:val="00543A67"/>
    <w:rsid w:val="00543B08"/>
    <w:rsid w:val="00544534"/>
    <w:rsid w:val="00544B68"/>
    <w:rsid w:val="00545724"/>
    <w:rsid w:val="00545977"/>
    <w:rsid w:val="005471F8"/>
    <w:rsid w:val="00547338"/>
    <w:rsid w:val="00547ECD"/>
    <w:rsid w:val="00550169"/>
    <w:rsid w:val="00550175"/>
    <w:rsid w:val="00550424"/>
    <w:rsid w:val="005511A7"/>
    <w:rsid w:val="005511E9"/>
    <w:rsid w:val="0055129B"/>
    <w:rsid w:val="00551570"/>
    <w:rsid w:val="00551D77"/>
    <w:rsid w:val="00552202"/>
    <w:rsid w:val="0055265A"/>
    <w:rsid w:val="00553145"/>
    <w:rsid w:val="005537D1"/>
    <w:rsid w:val="005539B4"/>
    <w:rsid w:val="005539F4"/>
    <w:rsid w:val="00553AB4"/>
    <w:rsid w:val="00553D56"/>
    <w:rsid w:val="00554163"/>
    <w:rsid w:val="00555248"/>
    <w:rsid w:val="0055559E"/>
    <w:rsid w:val="00555D83"/>
    <w:rsid w:val="005566B6"/>
    <w:rsid w:val="00556E01"/>
    <w:rsid w:val="005573DD"/>
    <w:rsid w:val="00560BBA"/>
    <w:rsid w:val="00561572"/>
    <w:rsid w:val="00561887"/>
    <w:rsid w:val="0056195F"/>
    <w:rsid w:val="00561F9C"/>
    <w:rsid w:val="00562234"/>
    <w:rsid w:val="0056227B"/>
    <w:rsid w:val="0056358A"/>
    <w:rsid w:val="0056375B"/>
    <w:rsid w:val="00563A80"/>
    <w:rsid w:val="00563F3D"/>
    <w:rsid w:val="005646D2"/>
    <w:rsid w:val="005647C4"/>
    <w:rsid w:val="00564964"/>
    <w:rsid w:val="00564AE3"/>
    <w:rsid w:val="00566B58"/>
    <w:rsid w:val="00566CDC"/>
    <w:rsid w:val="00567B56"/>
    <w:rsid w:val="005701DE"/>
    <w:rsid w:val="0057148E"/>
    <w:rsid w:val="00571548"/>
    <w:rsid w:val="005725C0"/>
    <w:rsid w:val="005726D5"/>
    <w:rsid w:val="00572B18"/>
    <w:rsid w:val="005739B6"/>
    <w:rsid w:val="00573A45"/>
    <w:rsid w:val="005746EB"/>
    <w:rsid w:val="00574D38"/>
    <w:rsid w:val="005760B1"/>
    <w:rsid w:val="00576C56"/>
    <w:rsid w:val="00577DB0"/>
    <w:rsid w:val="005803B0"/>
    <w:rsid w:val="005804DD"/>
    <w:rsid w:val="005804EC"/>
    <w:rsid w:val="0058087C"/>
    <w:rsid w:val="005814DE"/>
    <w:rsid w:val="0058194F"/>
    <w:rsid w:val="00582403"/>
    <w:rsid w:val="005828E5"/>
    <w:rsid w:val="00582AFB"/>
    <w:rsid w:val="00583574"/>
    <w:rsid w:val="00583E7A"/>
    <w:rsid w:val="0058452C"/>
    <w:rsid w:val="00584D75"/>
    <w:rsid w:val="00585019"/>
    <w:rsid w:val="00585E82"/>
    <w:rsid w:val="00585F3E"/>
    <w:rsid w:val="0058729B"/>
    <w:rsid w:val="005877C0"/>
    <w:rsid w:val="005877C4"/>
    <w:rsid w:val="005877D3"/>
    <w:rsid w:val="005879AD"/>
    <w:rsid w:val="00587C3C"/>
    <w:rsid w:val="00587DE7"/>
    <w:rsid w:val="005903F7"/>
    <w:rsid w:val="00590E1B"/>
    <w:rsid w:val="00593968"/>
    <w:rsid w:val="00594102"/>
    <w:rsid w:val="00594243"/>
    <w:rsid w:val="00594250"/>
    <w:rsid w:val="0059431C"/>
    <w:rsid w:val="00594399"/>
    <w:rsid w:val="0059455D"/>
    <w:rsid w:val="00594D60"/>
    <w:rsid w:val="00595235"/>
    <w:rsid w:val="0059592C"/>
    <w:rsid w:val="00595A2B"/>
    <w:rsid w:val="00596220"/>
    <w:rsid w:val="00596277"/>
    <w:rsid w:val="005962C8"/>
    <w:rsid w:val="00596FCF"/>
    <w:rsid w:val="00597D32"/>
    <w:rsid w:val="005A0275"/>
    <w:rsid w:val="005A05B4"/>
    <w:rsid w:val="005A05D2"/>
    <w:rsid w:val="005A0AA1"/>
    <w:rsid w:val="005A0D53"/>
    <w:rsid w:val="005A0F3D"/>
    <w:rsid w:val="005A1306"/>
    <w:rsid w:val="005A14DD"/>
    <w:rsid w:val="005A1E87"/>
    <w:rsid w:val="005A2536"/>
    <w:rsid w:val="005A3011"/>
    <w:rsid w:val="005A3614"/>
    <w:rsid w:val="005A3789"/>
    <w:rsid w:val="005A3EF2"/>
    <w:rsid w:val="005A4042"/>
    <w:rsid w:val="005A4051"/>
    <w:rsid w:val="005A4766"/>
    <w:rsid w:val="005A4A16"/>
    <w:rsid w:val="005A4C15"/>
    <w:rsid w:val="005A63CF"/>
    <w:rsid w:val="005A66DE"/>
    <w:rsid w:val="005A71B4"/>
    <w:rsid w:val="005A7752"/>
    <w:rsid w:val="005B03AE"/>
    <w:rsid w:val="005B0675"/>
    <w:rsid w:val="005B07C0"/>
    <w:rsid w:val="005B086F"/>
    <w:rsid w:val="005B0882"/>
    <w:rsid w:val="005B0F24"/>
    <w:rsid w:val="005B0FC0"/>
    <w:rsid w:val="005B22B1"/>
    <w:rsid w:val="005B28AD"/>
    <w:rsid w:val="005B2C76"/>
    <w:rsid w:val="005B2E2E"/>
    <w:rsid w:val="005B31B6"/>
    <w:rsid w:val="005B3984"/>
    <w:rsid w:val="005B478D"/>
    <w:rsid w:val="005B48EA"/>
    <w:rsid w:val="005B4E1A"/>
    <w:rsid w:val="005B5288"/>
    <w:rsid w:val="005B5651"/>
    <w:rsid w:val="005B5770"/>
    <w:rsid w:val="005B5B81"/>
    <w:rsid w:val="005B5BF2"/>
    <w:rsid w:val="005B60A8"/>
    <w:rsid w:val="005B718E"/>
    <w:rsid w:val="005B747A"/>
    <w:rsid w:val="005B7B4E"/>
    <w:rsid w:val="005B7E19"/>
    <w:rsid w:val="005C00EA"/>
    <w:rsid w:val="005C0280"/>
    <w:rsid w:val="005C0A09"/>
    <w:rsid w:val="005C100C"/>
    <w:rsid w:val="005C1A24"/>
    <w:rsid w:val="005C21C6"/>
    <w:rsid w:val="005C272A"/>
    <w:rsid w:val="005C28E5"/>
    <w:rsid w:val="005C31D1"/>
    <w:rsid w:val="005C3706"/>
    <w:rsid w:val="005C3AFC"/>
    <w:rsid w:val="005C4D77"/>
    <w:rsid w:val="005C4E20"/>
    <w:rsid w:val="005C5422"/>
    <w:rsid w:val="005C6B03"/>
    <w:rsid w:val="005C707A"/>
    <w:rsid w:val="005C70EA"/>
    <w:rsid w:val="005C7B92"/>
    <w:rsid w:val="005C7CD7"/>
    <w:rsid w:val="005C7D21"/>
    <w:rsid w:val="005D0550"/>
    <w:rsid w:val="005D0E98"/>
    <w:rsid w:val="005D15FE"/>
    <w:rsid w:val="005D1C68"/>
    <w:rsid w:val="005D1F82"/>
    <w:rsid w:val="005D22F1"/>
    <w:rsid w:val="005D297A"/>
    <w:rsid w:val="005D30F6"/>
    <w:rsid w:val="005D35DE"/>
    <w:rsid w:val="005D3737"/>
    <w:rsid w:val="005D394C"/>
    <w:rsid w:val="005D3F41"/>
    <w:rsid w:val="005D48BF"/>
    <w:rsid w:val="005D4AEF"/>
    <w:rsid w:val="005D4DF3"/>
    <w:rsid w:val="005D5340"/>
    <w:rsid w:val="005D54C0"/>
    <w:rsid w:val="005D5CD0"/>
    <w:rsid w:val="005D5E41"/>
    <w:rsid w:val="005D697A"/>
    <w:rsid w:val="005D71A1"/>
    <w:rsid w:val="005D72D0"/>
    <w:rsid w:val="005D76F5"/>
    <w:rsid w:val="005D7EC7"/>
    <w:rsid w:val="005E092C"/>
    <w:rsid w:val="005E145F"/>
    <w:rsid w:val="005E168E"/>
    <w:rsid w:val="005E1967"/>
    <w:rsid w:val="005E1C5A"/>
    <w:rsid w:val="005E1F1E"/>
    <w:rsid w:val="005E27A6"/>
    <w:rsid w:val="005E2C3C"/>
    <w:rsid w:val="005E2D39"/>
    <w:rsid w:val="005E2E2B"/>
    <w:rsid w:val="005E3426"/>
    <w:rsid w:val="005E3857"/>
    <w:rsid w:val="005E38BB"/>
    <w:rsid w:val="005E3BDC"/>
    <w:rsid w:val="005E3D0E"/>
    <w:rsid w:val="005E4938"/>
    <w:rsid w:val="005E4C91"/>
    <w:rsid w:val="005E6335"/>
    <w:rsid w:val="005E765B"/>
    <w:rsid w:val="005E7C54"/>
    <w:rsid w:val="005F0C5F"/>
    <w:rsid w:val="005F0EF4"/>
    <w:rsid w:val="005F1707"/>
    <w:rsid w:val="005F2394"/>
    <w:rsid w:val="005F24C4"/>
    <w:rsid w:val="005F277D"/>
    <w:rsid w:val="005F2C4F"/>
    <w:rsid w:val="005F2DE0"/>
    <w:rsid w:val="005F361B"/>
    <w:rsid w:val="005F36AE"/>
    <w:rsid w:val="005F43FA"/>
    <w:rsid w:val="005F5565"/>
    <w:rsid w:val="005F742F"/>
    <w:rsid w:val="005F7526"/>
    <w:rsid w:val="00600897"/>
    <w:rsid w:val="006015D5"/>
    <w:rsid w:val="00601806"/>
    <w:rsid w:val="0060187A"/>
    <w:rsid w:val="00601AFA"/>
    <w:rsid w:val="00601B9B"/>
    <w:rsid w:val="006020D8"/>
    <w:rsid w:val="00602A38"/>
    <w:rsid w:val="0060307D"/>
    <w:rsid w:val="00603A0C"/>
    <w:rsid w:val="00603B51"/>
    <w:rsid w:val="00605F19"/>
    <w:rsid w:val="006063A3"/>
    <w:rsid w:val="00606917"/>
    <w:rsid w:val="00606D21"/>
    <w:rsid w:val="00606DC2"/>
    <w:rsid w:val="00606F12"/>
    <w:rsid w:val="006075C2"/>
    <w:rsid w:val="00607A14"/>
    <w:rsid w:val="006107A5"/>
    <w:rsid w:val="00611449"/>
    <w:rsid w:val="006117AC"/>
    <w:rsid w:val="00611851"/>
    <w:rsid w:val="00611B2A"/>
    <w:rsid w:val="00611B94"/>
    <w:rsid w:val="00612B26"/>
    <w:rsid w:val="00612E8A"/>
    <w:rsid w:val="006131CA"/>
    <w:rsid w:val="00613679"/>
    <w:rsid w:val="0061440E"/>
    <w:rsid w:val="0061442D"/>
    <w:rsid w:val="00614B52"/>
    <w:rsid w:val="0061509A"/>
    <w:rsid w:val="00615243"/>
    <w:rsid w:val="00615304"/>
    <w:rsid w:val="0061566F"/>
    <w:rsid w:val="00615B91"/>
    <w:rsid w:val="00615F50"/>
    <w:rsid w:val="00616B62"/>
    <w:rsid w:val="00616BD8"/>
    <w:rsid w:val="00617763"/>
    <w:rsid w:val="00617AF5"/>
    <w:rsid w:val="006204B9"/>
    <w:rsid w:val="00621AB9"/>
    <w:rsid w:val="00621F5D"/>
    <w:rsid w:val="00622D18"/>
    <w:rsid w:val="0062366F"/>
    <w:rsid w:val="00623AD5"/>
    <w:rsid w:val="00623B77"/>
    <w:rsid w:val="00624D44"/>
    <w:rsid w:val="00624F54"/>
    <w:rsid w:val="00627185"/>
    <w:rsid w:val="00627E2D"/>
    <w:rsid w:val="00627F23"/>
    <w:rsid w:val="00630E13"/>
    <w:rsid w:val="0063123E"/>
    <w:rsid w:val="00631702"/>
    <w:rsid w:val="006317FB"/>
    <w:rsid w:val="00631889"/>
    <w:rsid w:val="00632616"/>
    <w:rsid w:val="006333BA"/>
    <w:rsid w:val="00633BBA"/>
    <w:rsid w:val="00633F36"/>
    <w:rsid w:val="0063452C"/>
    <w:rsid w:val="0063598B"/>
    <w:rsid w:val="00635AEC"/>
    <w:rsid w:val="006373F7"/>
    <w:rsid w:val="00637509"/>
    <w:rsid w:val="006418B5"/>
    <w:rsid w:val="006421F9"/>
    <w:rsid w:val="0064282B"/>
    <w:rsid w:val="0064333D"/>
    <w:rsid w:val="006440D1"/>
    <w:rsid w:val="00644C90"/>
    <w:rsid w:val="00644D2B"/>
    <w:rsid w:val="00644F86"/>
    <w:rsid w:val="00645392"/>
    <w:rsid w:val="0064699E"/>
    <w:rsid w:val="00647AE5"/>
    <w:rsid w:val="00650E07"/>
    <w:rsid w:val="00650FBE"/>
    <w:rsid w:val="00651383"/>
    <w:rsid w:val="0065170C"/>
    <w:rsid w:val="00651DA8"/>
    <w:rsid w:val="00653025"/>
    <w:rsid w:val="006533AF"/>
    <w:rsid w:val="00653789"/>
    <w:rsid w:val="006543BA"/>
    <w:rsid w:val="006547FA"/>
    <w:rsid w:val="00654DBF"/>
    <w:rsid w:val="00655395"/>
    <w:rsid w:val="006555A2"/>
    <w:rsid w:val="00655647"/>
    <w:rsid w:val="006566FC"/>
    <w:rsid w:val="0065701C"/>
    <w:rsid w:val="006570C1"/>
    <w:rsid w:val="0065786C"/>
    <w:rsid w:val="00657E7B"/>
    <w:rsid w:val="00660989"/>
    <w:rsid w:val="0066139C"/>
    <w:rsid w:val="006616E6"/>
    <w:rsid w:val="00661B0F"/>
    <w:rsid w:val="00661D8B"/>
    <w:rsid w:val="00662BC3"/>
    <w:rsid w:val="0066326C"/>
    <w:rsid w:val="006637CC"/>
    <w:rsid w:val="00663DDC"/>
    <w:rsid w:val="00665592"/>
    <w:rsid w:val="006659B0"/>
    <w:rsid w:val="00666DA0"/>
    <w:rsid w:val="00667195"/>
    <w:rsid w:val="00667ECC"/>
    <w:rsid w:val="006707B1"/>
    <w:rsid w:val="006707C0"/>
    <w:rsid w:val="00670D2A"/>
    <w:rsid w:val="0067123D"/>
    <w:rsid w:val="00672B12"/>
    <w:rsid w:val="00672FBB"/>
    <w:rsid w:val="006732B3"/>
    <w:rsid w:val="00673444"/>
    <w:rsid w:val="006738CB"/>
    <w:rsid w:val="00674BB3"/>
    <w:rsid w:val="006751D7"/>
    <w:rsid w:val="00675547"/>
    <w:rsid w:val="006758F0"/>
    <w:rsid w:val="006760FF"/>
    <w:rsid w:val="0067673E"/>
    <w:rsid w:val="00677441"/>
    <w:rsid w:val="00677A5C"/>
    <w:rsid w:val="0068059A"/>
    <w:rsid w:val="0068089E"/>
    <w:rsid w:val="0068109C"/>
    <w:rsid w:val="00681137"/>
    <w:rsid w:val="00681282"/>
    <w:rsid w:val="00681639"/>
    <w:rsid w:val="00682878"/>
    <w:rsid w:val="00683041"/>
    <w:rsid w:val="0068374B"/>
    <w:rsid w:val="0068458A"/>
    <w:rsid w:val="00684C75"/>
    <w:rsid w:val="00684E4B"/>
    <w:rsid w:val="0068506D"/>
    <w:rsid w:val="00685C59"/>
    <w:rsid w:val="00685D82"/>
    <w:rsid w:val="00686422"/>
    <w:rsid w:val="00686DB4"/>
    <w:rsid w:val="006874AB"/>
    <w:rsid w:val="0068790D"/>
    <w:rsid w:val="00687A8F"/>
    <w:rsid w:val="00687ECA"/>
    <w:rsid w:val="006900D9"/>
    <w:rsid w:val="006904AA"/>
    <w:rsid w:val="00690941"/>
    <w:rsid w:val="00690CED"/>
    <w:rsid w:val="0069114E"/>
    <w:rsid w:val="006912C8"/>
    <w:rsid w:val="00692552"/>
    <w:rsid w:val="00692B0F"/>
    <w:rsid w:val="00693820"/>
    <w:rsid w:val="00693916"/>
    <w:rsid w:val="00693BBB"/>
    <w:rsid w:val="00694FF6"/>
    <w:rsid w:val="006952D4"/>
    <w:rsid w:val="0069546E"/>
    <w:rsid w:val="006954D0"/>
    <w:rsid w:val="0069553B"/>
    <w:rsid w:val="00695BAE"/>
    <w:rsid w:val="00695E2E"/>
    <w:rsid w:val="00695E48"/>
    <w:rsid w:val="00697298"/>
    <w:rsid w:val="00697E34"/>
    <w:rsid w:val="006A0B23"/>
    <w:rsid w:val="006A12F6"/>
    <w:rsid w:val="006A13BB"/>
    <w:rsid w:val="006A1AAA"/>
    <w:rsid w:val="006A1B7A"/>
    <w:rsid w:val="006A1C22"/>
    <w:rsid w:val="006A280D"/>
    <w:rsid w:val="006A2E80"/>
    <w:rsid w:val="006A3153"/>
    <w:rsid w:val="006A3883"/>
    <w:rsid w:val="006A406A"/>
    <w:rsid w:val="006A4CAD"/>
    <w:rsid w:val="006A5F09"/>
    <w:rsid w:val="006A6953"/>
    <w:rsid w:val="006A6B7B"/>
    <w:rsid w:val="006A6D2D"/>
    <w:rsid w:val="006A6ECA"/>
    <w:rsid w:val="006A7B82"/>
    <w:rsid w:val="006A7CEB"/>
    <w:rsid w:val="006B0231"/>
    <w:rsid w:val="006B0A06"/>
    <w:rsid w:val="006B12AB"/>
    <w:rsid w:val="006B1B10"/>
    <w:rsid w:val="006B1C59"/>
    <w:rsid w:val="006B1C62"/>
    <w:rsid w:val="006B41DC"/>
    <w:rsid w:val="006B5A9E"/>
    <w:rsid w:val="006B5F68"/>
    <w:rsid w:val="006B5FD2"/>
    <w:rsid w:val="006B759C"/>
    <w:rsid w:val="006B7743"/>
    <w:rsid w:val="006B7CE1"/>
    <w:rsid w:val="006C0B7A"/>
    <w:rsid w:val="006C10C6"/>
    <w:rsid w:val="006C126D"/>
    <w:rsid w:val="006C1610"/>
    <w:rsid w:val="006C1C7B"/>
    <w:rsid w:val="006C2CF4"/>
    <w:rsid w:val="006C4023"/>
    <w:rsid w:val="006C40FF"/>
    <w:rsid w:val="006C4C0B"/>
    <w:rsid w:val="006C51A6"/>
    <w:rsid w:val="006C6299"/>
    <w:rsid w:val="006C7529"/>
    <w:rsid w:val="006C7961"/>
    <w:rsid w:val="006D00F1"/>
    <w:rsid w:val="006D029A"/>
    <w:rsid w:val="006D0EAE"/>
    <w:rsid w:val="006D0F51"/>
    <w:rsid w:val="006D1D78"/>
    <w:rsid w:val="006D1F0F"/>
    <w:rsid w:val="006D22BC"/>
    <w:rsid w:val="006D2CAC"/>
    <w:rsid w:val="006D3110"/>
    <w:rsid w:val="006D40D6"/>
    <w:rsid w:val="006D47B9"/>
    <w:rsid w:val="006D4C89"/>
    <w:rsid w:val="006D4F49"/>
    <w:rsid w:val="006D5F48"/>
    <w:rsid w:val="006D61EB"/>
    <w:rsid w:val="006D6235"/>
    <w:rsid w:val="006D680F"/>
    <w:rsid w:val="006D7AEF"/>
    <w:rsid w:val="006D7F35"/>
    <w:rsid w:val="006D7FA4"/>
    <w:rsid w:val="006E0983"/>
    <w:rsid w:val="006E14E1"/>
    <w:rsid w:val="006E1551"/>
    <w:rsid w:val="006E1C98"/>
    <w:rsid w:val="006E1D35"/>
    <w:rsid w:val="006E2607"/>
    <w:rsid w:val="006E27A8"/>
    <w:rsid w:val="006E2C7A"/>
    <w:rsid w:val="006E2DCD"/>
    <w:rsid w:val="006E2FE0"/>
    <w:rsid w:val="006E3693"/>
    <w:rsid w:val="006E3912"/>
    <w:rsid w:val="006E456F"/>
    <w:rsid w:val="006E4F47"/>
    <w:rsid w:val="006E5679"/>
    <w:rsid w:val="006E584F"/>
    <w:rsid w:val="006E58B5"/>
    <w:rsid w:val="006E71FE"/>
    <w:rsid w:val="006E7909"/>
    <w:rsid w:val="006F0448"/>
    <w:rsid w:val="006F0A0E"/>
    <w:rsid w:val="006F2046"/>
    <w:rsid w:val="006F49D5"/>
    <w:rsid w:val="006F4BD8"/>
    <w:rsid w:val="006F53F4"/>
    <w:rsid w:val="006F5649"/>
    <w:rsid w:val="006F59EE"/>
    <w:rsid w:val="006F5AD2"/>
    <w:rsid w:val="006F5B5A"/>
    <w:rsid w:val="006F7197"/>
    <w:rsid w:val="006F7257"/>
    <w:rsid w:val="006F744B"/>
    <w:rsid w:val="007003D2"/>
    <w:rsid w:val="00700496"/>
    <w:rsid w:val="00700E75"/>
    <w:rsid w:val="0070247D"/>
    <w:rsid w:val="0070260C"/>
    <w:rsid w:val="00702926"/>
    <w:rsid w:val="00702B70"/>
    <w:rsid w:val="00702BDD"/>
    <w:rsid w:val="00703560"/>
    <w:rsid w:val="00703C1B"/>
    <w:rsid w:val="00704535"/>
    <w:rsid w:val="0070492F"/>
    <w:rsid w:val="007054E0"/>
    <w:rsid w:val="0070653F"/>
    <w:rsid w:val="00706FC9"/>
    <w:rsid w:val="007077CC"/>
    <w:rsid w:val="007111C2"/>
    <w:rsid w:val="007113B2"/>
    <w:rsid w:val="00711886"/>
    <w:rsid w:val="007123A5"/>
    <w:rsid w:val="00712B4E"/>
    <w:rsid w:val="0071361E"/>
    <w:rsid w:val="00713CF7"/>
    <w:rsid w:val="00714422"/>
    <w:rsid w:val="00714705"/>
    <w:rsid w:val="00714B1C"/>
    <w:rsid w:val="00714DC9"/>
    <w:rsid w:val="00715460"/>
    <w:rsid w:val="00715597"/>
    <w:rsid w:val="00716134"/>
    <w:rsid w:val="007162B3"/>
    <w:rsid w:val="00716E1B"/>
    <w:rsid w:val="00716EB6"/>
    <w:rsid w:val="007171D6"/>
    <w:rsid w:val="007206D4"/>
    <w:rsid w:val="00722B02"/>
    <w:rsid w:val="00722BA8"/>
    <w:rsid w:val="00723542"/>
    <w:rsid w:val="00724135"/>
    <w:rsid w:val="007241A5"/>
    <w:rsid w:val="007249EA"/>
    <w:rsid w:val="00724CBD"/>
    <w:rsid w:val="0072511D"/>
    <w:rsid w:val="00725420"/>
    <w:rsid w:val="00725BA4"/>
    <w:rsid w:val="0072623C"/>
    <w:rsid w:val="007263C3"/>
    <w:rsid w:val="00726571"/>
    <w:rsid w:val="0072664F"/>
    <w:rsid w:val="00727186"/>
    <w:rsid w:val="007274C5"/>
    <w:rsid w:val="007301FE"/>
    <w:rsid w:val="00730D3A"/>
    <w:rsid w:val="00731391"/>
    <w:rsid w:val="007315FF"/>
    <w:rsid w:val="00731E8C"/>
    <w:rsid w:val="007320F2"/>
    <w:rsid w:val="00733374"/>
    <w:rsid w:val="007335D4"/>
    <w:rsid w:val="00733803"/>
    <w:rsid w:val="00733824"/>
    <w:rsid w:val="00735546"/>
    <w:rsid w:val="00735589"/>
    <w:rsid w:val="0073580B"/>
    <w:rsid w:val="0073781B"/>
    <w:rsid w:val="00737D26"/>
    <w:rsid w:val="00740583"/>
    <w:rsid w:val="007408DF"/>
    <w:rsid w:val="00740F11"/>
    <w:rsid w:val="0074130C"/>
    <w:rsid w:val="007418E0"/>
    <w:rsid w:val="00741A1C"/>
    <w:rsid w:val="00741B1C"/>
    <w:rsid w:val="00741C29"/>
    <w:rsid w:val="00742AC8"/>
    <w:rsid w:val="00742B76"/>
    <w:rsid w:val="007432DC"/>
    <w:rsid w:val="0074367E"/>
    <w:rsid w:val="00743A3B"/>
    <w:rsid w:val="00743DB7"/>
    <w:rsid w:val="00743E2E"/>
    <w:rsid w:val="0074430A"/>
    <w:rsid w:val="0074572B"/>
    <w:rsid w:val="00746773"/>
    <w:rsid w:val="0074677C"/>
    <w:rsid w:val="00747B77"/>
    <w:rsid w:val="00750299"/>
    <w:rsid w:val="00750C37"/>
    <w:rsid w:val="00751AAD"/>
    <w:rsid w:val="0075305E"/>
    <w:rsid w:val="00753122"/>
    <w:rsid w:val="007539FC"/>
    <w:rsid w:val="00754088"/>
    <w:rsid w:val="007556B7"/>
    <w:rsid w:val="00755C2D"/>
    <w:rsid w:val="00756D12"/>
    <w:rsid w:val="00757073"/>
    <w:rsid w:val="007571BC"/>
    <w:rsid w:val="00757484"/>
    <w:rsid w:val="00760148"/>
    <w:rsid w:val="00760E00"/>
    <w:rsid w:val="00761C1A"/>
    <w:rsid w:val="00761C46"/>
    <w:rsid w:val="00761EC4"/>
    <w:rsid w:val="00762728"/>
    <w:rsid w:val="00762DA8"/>
    <w:rsid w:val="0076300C"/>
    <w:rsid w:val="00763262"/>
    <w:rsid w:val="0076370A"/>
    <w:rsid w:val="00763C7D"/>
    <w:rsid w:val="00763F00"/>
    <w:rsid w:val="00763FEE"/>
    <w:rsid w:val="00764879"/>
    <w:rsid w:val="00764C70"/>
    <w:rsid w:val="00764CFD"/>
    <w:rsid w:val="00764F06"/>
    <w:rsid w:val="00765ED4"/>
    <w:rsid w:val="00766124"/>
    <w:rsid w:val="00767A5F"/>
    <w:rsid w:val="00767B46"/>
    <w:rsid w:val="00770052"/>
    <w:rsid w:val="00770A0D"/>
    <w:rsid w:val="0077146A"/>
    <w:rsid w:val="0077161A"/>
    <w:rsid w:val="00771F73"/>
    <w:rsid w:val="00771FF3"/>
    <w:rsid w:val="00772288"/>
    <w:rsid w:val="0077247D"/>
    <w:rsid w:val="00772585"/>
    <w:rsid w:val="00772673"/>
    <w:rsid w:val="0077268B"/>
    <w:rsid w:val="00772703"/>
    <w:rsid w:val="00772A2B"/>
    <w:rsid w:val="00772ED2"/>
    <w:rsid w:val="007738A3"/>
    <w:rsid w:val="00773F09"/>
    <w:rsid w:val="00773FDF"/>
    <w:rsid w:val="00774376"/>
    <w:rsid w:val="00774608"/>
    <w:rsid w:val="007749A0"/>
    <w:rsid w:val="00774FD7"/>
    <w:rsid w:val="007760AE"/>
    <w:rsid w:val="007768B7"/>
    <w:rsid w:val="00776F26"/>
    <w:rsid w:val="007801AE"/>
    <w:rsid w:val="0078070B"/>
    <w:rsid w:val="00780B75"/>
    <w:rsid w:val="00780D23"/>
    <w:rsid w:val="00780F5F"/>
    <w:rsid w:val="0078193D"/>
    <w:rsid w:val="00781AEE"/>
    <w:rsid w:val="00781C91"/>
    <w:rsid w:val="00782073"/>
    <w:rsid w:val="007833D3"/>
    <w:rsid w:val="007835FD"/>
    <w:rsid w:val="007837BE"/>
    <w:rsid w:val="00783E42"/>
    <w:rsid w:val="007844DB"/>
    <w:rsid w:val="0078503B"/>
    <w:rsid w:val="00785355"/>
    <w:rsid w:val="00785529"/>
    <w:rsid w:val="0078577D"/>
    <w:rsid w:val="007859E8"/>
    <w:rsid w:val="0078625B"/>
    <w:rsid w:val="00786651"/>
    <w:rsid w:val="00786993"/>
    <w:rsid w:val="00786ACD"/>
    <w:rsid w:val="00787AF8"/>
    <w:rsid w:val="00787D4E"/>
    <w:rsid w:val="007903D0"/>
    <w:rsid w:val="00790738"/>
    <w:rsid w:val="00790A7C"/>
    <w:rsid w:val="00790B01"/>
    <w:rsid w:val="00790D39"/>
    <w:rsid w:val="007915D0"/>
    <w:rsid w:val="007918D9"/>
    <w:rsid w:val="00791F2B"/>
    <w:rsid w:val="007928A5"/>
    <w:rsid w:val="00793EA4"/>
    <w:rsid w:val="00794363"/>
    <w:rsid w:val="007945F4"/>
    <w:rsid w:val="007946B2"/>
    <w:rsid w:val="0079495C"/>
    <w:rsid w:val="007963C0"/>
    <w:rsid w:val="007967B1"/>
    <w:rsid w:val="00796806"/>
    <w:rsid w:val="00796EC8"/>
    <w:rsid w:val="007979FC"/>
    <w:rsid w:val="00797C26"/>
    <w:rsid w:val="00797DEE"/>
    <w:rsid w:val="00797E37"/>
    <w:rsid w:val="00797FFB"/>
    <w:rsid w:val="007A105F"/>
    <w:rsid w:val="007A1D5F"/>
    <w:rsid w:val="007A28EF"/>
    <w:rsid w:val="007A2918"/>
    <w:rsid w:val="007A3834"/>
    <w:rsid w:val="007A4735"/>
    <w:rsid w:val="007A49A4"/>
    <w:rsid w:val="007A4BAD"/>
    <w:rsid w:val="007A4F04"/>
    <w:rsid w:val="007A56D5"/>
    <w:rsid w:val="007A59A2"/>
    <w:rsid w:val="007A5C30"/>
    <w:rsid w:val="007A6013"/>
    <w:rsid w:val="007A6298"/>
    <w:rsid w:val="007A65C0"/>
    <w:rsid w:val="007A7955"/>
    <w:rsid w:val="007A79D0"/>
    <w:rsid w:val="007B052C"/>
    <w:rsid w:val="007B146E"/>
    <w:rsid w:val="007B1A7A"/>
    <w:rsid w:val="007B2DD5"/>
    <w:rsid w:val="007B38EC"/>
    <w:rsid w:val="007B3C05"/>
    <w:rsid w:val="007B44B6"/>
    <w:rsid w:val="007B456C"/>
    <w:rsid w:val="007B5453"/>
    <w:rsid w:val="007B5A7A"/>
    <w:rsid w:val="007B68AF"/>
    <w:rsid w:val="007B71E5"/>
    <w:rsid w:val="007B7525"/>
    <w:rsid w:val="007B769D"/>
    <w:rsid w:val="007B7A5C"/>
    <w:rsid w:val="007B7EEA"/>
    <w:rsid w:val="007C0543"/>
    <w:rsid w:val="007C06BC"/>
    <w:rsid w:val="007C06FA"/>
    <w:rsid w:val="007C0D00"/>
    <w:rsid w:val="007C105B"/>
    <w:rsid w:val="007C136F"/>
    <w:rsid w:val="007C176F"/>
    <w:rsid w:val="007C225D"/>
    <w:rsid w:val="007C255D"/>
    <w:rsid w:val="007C2AE2"/>
    <w:rsid w:val="007C2C6A"/>
    <w:rsid w:val="007C2CEF"/>
    <w:rsid w:val="007C2D48"/>
    <w:rsid w:val="007C38E5"/>
    <w:rsid w:val="007C3B3B"/>
    <w:rsid w:val="007C4D09"/>
    <w:rsid w:val="007C5D63"/>
    <w:rsid w:val="007C6380"/>
    <w:rsid w:val="007C64F4"/>
    <w:rsid w:val="007C6E4F"/>
    <w:rsid w:val="007C7C33"/>
    <w:rsid w:val="007D001F"/>
    <w:rsid w:val="007D1246"/>
    <w:rsid w:val="007D1944"/>
    <w:rsid w:val="007D276F"/>
    <w:rsid w:val="007D38F8"/>
    <w:rsid w:val="007D40B2"/>
    <w:rsid w:val="007D440D"/>
    <w:rsid w:val="007D4688"/>
    <w:rsid w:val="007D4E59"/>
    <w:rsid w:val="007D521B"/>
    <w:rsid w:val="007D52B4"/>
    <w:rsid w:val="007D69BC"/>
    <w:rsid w:val="007D6C16"/>
    <w:rsid w:val="007D6F07"/>
    <w:rsid w:val="007D7F9B"/>
    <w:rsid w:val="007E05F3"/>
    <w:rsid w:val="007E1420"/>
    <w:rsid w:val="007E1577"/>
    <w:rsid w:val="007E174E"/>
    <w:rsid w:val="007E1858"/>
    <w:rsid w:val="007E19A7"/>
    <w:rsid w:val="007E1CA4"/>
    <w:rsid w:val="007E1E29"/>
    <w:rsid w:val="007E2933"/>
    <w:rsid w:val="007E29B4"/>
    <w:rsid w:val="007E2C25"/>
    <w:rsid w:val="007E2D18"/>
    <w:rsid w:val="007E3548"/>
    <w:rsid w:val="007E3A0A"/>
    <w:rsid w:val="007E47FC"/>
    <w:rsid w:val="007E4A37"/>
    <w:rsid w:val="007E50E1"/>
    <w:rsid w:val="007E733E"/>
    <w:rsid w:val="007E73E1"/>
    <w:rsid w:val="007F01B8"/>
    <w:rsid w:val="007F1AA0"/>
    <w:rsid w:val="007F2601"/>
    <w:rsid w:val="007F262E"/>
    <w:rsid w:val="007F2657"/>
    <w:rsid w:val="007F294A"/>
    <w:rsid w:val="007F3DB1"/>
    <w:rsid w:val="007F3FDB"/>
    <w:rsid w:val="007F475F"/>
    <w:rsid w:val="007F478E"/>
    <w:rsid w:val="007F4A8D"/>
    <w:rsid w:val="007F54CB"/>
    <w:rsid w:val="007F5A86"/>
    <w:rsid w:val="007F5BC3"/>
    <w:rsid w:val="007F5DFB"/>
    <w:rsid w:val="007F71E0"/>
    <w:rsid w:val="008006E6"/>
    <w:rsid w:val="0080166B"/>
    <w:rsid w:val="00801A5C"/>
    <w:rsid w:val="00802A1F"/>
    <w:rsid w:val="00802CBE"/>
    <w:rsid w:val="00803256"/>
    <w:rsid w:val="008032A4"/>
    <w:rsid w:val="00803BC3"/>
    <w:rsid w:val="008055E3"/>
    <w:rsid w:val="0080593A"/>
    <w:rsid w:val="00806F49"/>
    <w:rsid w:val="008073F0"/>
    <w:rsid w:val="00807871"/>
    <w:rsid w:val="00807DC4"/>
    <w:rsid w:val="00807E8D"/>
    <w:rsid w:val="0081020F"/>
    <w:rsid w:val="00811946"/>
    <w:rsid w:val="00811DB6"/>
    <w:rsid w:val="008133AA"/>
    <w:rsid w:val="0081403B"/>
    <w:rsid w:val="008148E1"/>
    <w:rsid w:val="00815047"/>
    <w:rsid w:val="00815A14"/>
    <w:rsid w:val="008167C1"/>
    <w:rsid w:val="00817433"/>
    <w:rsid w:val="00817503"/>
    <w:rsid w:val="00817D3A"/>
    <w:rsid w:val="00817EA7"/>
    <w:rsid w:val="0082114F"/>
    <w:rsid w:val="008218CF"/>
    <w:rsid w:val="00822188"/>
    <w:rsid w:val="00822536"/>
    <w:rsid w:val="00822B4A"/>
    <w:rsid w:val="00823CB0"/>
    <w:rsid w:val="00825497"/>
    <w:rsid w:val="00826E5D"/>
    <w:rsid w:val="00827849"/>
    <w:rsid w:val="00827EA6"/>
    <w:rsid w:val="00830F87"/>
    <w:rsid w:val="0083117B"/>
    <w:rsid w:val="0083172E"/>
    <w:rsid w:val="008319CA"/>
    <w:rsid w:val="008322D1"/>
    <w:rsid w:val="008325C1"/>
    <w:rsid w:val="00833359"/>
    <w:rsid w:val="00833B9F"/>
    <w:rsid w:val="00833E38"/>
    <w:rsid w:val="00833FD3"/>
    <w:rsid w:val="0083429B"/>
    <w:rsid w:val="00834B90"/>
    <w:rsid w:val="00835B4F"/>
    <w:rsid w:val="00835F4F"/>
    <w:rsid w:val="008362ED"/>
    <w:rsid w:val="00836328"/>
    <w:rsid w:val="0083635A"/>
    <w:rsid w:val="00836E44"/>
    <w:rsid w:val="00836EE8"/>
    <w:rsid w:val="008373A3"/>
    <w:rsid w:val="008379ED"/>
    <w:rsid w:val="0084003B"/>
    <w:rsid w:val="00840798"/>
    <w:rsid w:val="00840E2F"/>
    <w:rsid w:val="00840FD5"/>
    <w:rsid w:val="0084134E"/>
    <w:rsid w:val="00841DED"/>
    <w:rsid w:val="00841E36"/>
    <w:rsid w:val="00841EFE"/>
    <w:rsid w:val="0084208E"/>
    <w:rsid w:val="008420EC"/>
    <w:rsid w:val="0084250E"/>
    <w:rsid w:val="0084269C"/>
    <w:rsid w:val="00842D81"/>
    <w:rsid w:val="00844B38"/>
    <w:rsid w:val="00844BE8"/>
    <w:rsid w:val="00844C1B"/>
    <w:rsid w:val="008453D6"/>
    <w:rsid w:val="008459E5"/>
    <w:rsid w:val="00845C74"/>
    <w:rsid w:val="008469CB"/>
    <w:rsid w:val="008472E3"/>
    <w:rsid w:val="00847BC9"/>
    <w:rsid w:val="00847F87"/>
    <w:rsid w:val="008503AC"/>
    <w:rsid w:val="00850949"/>
    <w:rsid w:val="00851171"/>
    <w:rsid w:val="008511B6"/>
    <w:rsid w:val="008516DC"/>
    <w:rsid w:val="008517FE"/>
    <w:rsid w:val="00851847"/>
    <w:rsid w:val="008520ED"/>
    <w:rsid w:val="00852817"/>
    <w:rsid w:val="00852C3F"/>
    <w:rsid w:val="00853776"/>
    <w:rsid w:val="00853873"/>
    <w:rsid w:val="008545C0"/>
    <w:rsid w:val="008545D8"/>
    <w:rsid w:val="00854666"/>
    <w:rsid w:val="00855057"/>
    <w:rsid w:val="0085530B"/>
    <w:rsid w:val="0085546C"/>
    <w:rsid w:val="0085549D"/>
    <w:rsid w:val="0085572E"/>
    <w:rsid w:val="00855EA9"/>
    <w:rsid w:val="0085689E"/>
    <w:rsid w:val="0085708B"/>
    <w:rsid w:val="0085730A"/>
    <w:rsid w:val="00857565"/>
    <w:rsid w:val="00857659"/>
    <w:rsid w:val="00857768"/>
    <w:rsid w:val="008603D3"/>
    <w:rsid w:val="0086094A"/>
    <w:rsid w:val="0086177A"/>
    <w:rsid w:val="00862483"/>
    <w:rsid w:val="008628F3"/>
    <w:rsid w:val="00863873"/>
    <w:rsid w:val="0086397F"/>
    <w:rsid w:val="008648D6"/>
    <w:rsid w:val="008655B2"/>
    <w:rsid w:val="0086576F"/>
    <w:rsid w:val="008658C4"/>
    <w:rsid w:val="00865B09"/>
    <w:rsid w:val="00865B72"/>
    <w:rsid w:val="00866250"/>
    <w:rsid w:val="00866410"/>
    <w:rsid w:val="0086798C"/>
    <w:rsid w:val="00867AE9"/>
    <w:rsid w:val="00867B90"/>
    <w:rsid w:val="0087042E"/>
    <w:rsid w:val="0087086C"/>
    <w:rsid w:val="00870FF7"/>
    <w:rsid w:val="008712A1"/>
    <w:rsid w:val="008720DA"/>
    <w:rsid w:val="008721F3"/>
    <w:rsid w:val="00872202"/>
    <w:rsid w:val="00872618"/>
    <w:rsid w:val="0087290A"/>
    <w:rsid w:val="0087305F"/>
    <w:rsid w:val="0087382A"/>
    <w:rsid w:val="0087402C"/>
    <w:rsid w:val="0087409F"/>
    <w:rsid w:val="00874AF5"/>
    <w:rsid w:val="00874BB8"/>
    <w:rsid w:val="00874C6A"/>
    <w:rsid w:val="00874EC1"/>
    <w:rsid w:val="00875058"/>
    <w:rsid w:val="00875535"/>
    <w:rsid w:val="00875896"/>
    <w:rsid w:val="00875C0C"/>
    <w:rsid w:val="00875DD7"/>
    <w:rsid w:val="008760C9"/>
    <w:rsid w:val="00876175"/>
    <w:rsid w:val="00876647"/>
    <w:rsid w:val="0087678E"/>
    <w:rsid w:val="00876A4D"/>
    <w:rsid w:val="00876CA3"/>
    <w:rsid w:val="008776AE"/>
    <w:rsid w:val="00877986"/>
    <w:rsid w:val="00877E3C"/>
    <w:rsid w:val="008808DB"/>
    <w:rsid w:val="0088139A"/>
    <w:rsid w:val="0088205A"/>
    <w:rsid w:val="00882F1F"/>
    <w:rsid w:val="00883549"/>
    <w:rsid w:val="00883AA4"/>
    <w:rsid w:val="00883B83"/>
    <w:rsid w:val="008848DE"/>
    <w:rsid w:val="00884C20"/>
    <w:rsid w:val="00884D16"/>
    <w:rsid w:val="00884DCB"/>
    <w:rsid w:val="0088501F"/>
    <w:rsid w:val="008855C3"/>
    <w:rsid w:val="00885708"/>
    <w:rsid w:val="0088634E"/>
    <w:rsid w:val="00886630"/>
    <w:rsid w:val="008866BF"/>
    <w:rsid w:val="00886827"/>
    <w:rsid w:val="00886A67"/>
    <w:rsid w:val="008870B5"/>
    <w:rsid w:val="008912B0"/>
    <w:rsid w:val="00892288"/>
    <w:rsid w:val="00892B4D"/>
    <w:rsid w:val="00892BDD"/>
    <w:rsid w:val="00892F49"/>
    <w:rsid w:val="00893627"/>
    <w:rsid w:val="008938AA"/>
    <w:rsid w:val="008946E5"/>
    <w:rsid w:val="00894A15"/>
    <w:rsid w:val="00894A8C"/>
    <w:rsid w:val="00894C3A"/>
    <w:rsid w:val="008951BF"/>
    <w:rsid w:val="008966B4"/>
    <w:rsid w:val="00896B9F"/>
    <w:rsid w:val="00896C56"/>
    <w:rsid w:val="008970FD"/>
    <w:rsid w:val="00897470"/>
    <w:rsid w:val="008977ED"/>
    <w:rsid w:val="00897CE0"/>
    <w:rsid w:val="008A0CC7"/>
    <w:rsid w:val="008A1972"/>
    <w:rsid w:val="008A1A7F"/>
    <w:rsid w:val="008A1CAA"/>
    <w:rsid w:val="008A21DF"/>
    <w:rsid w:val="008A2CAA"/>
    <w:rsid w:val="008A2EBC"/>
    <w:rsid w:val="008A2FB7"/>
    <w:rsid w:val="008A341A"/>
    <w:rsid w:val="008A3576"/>
    <w:rsid w:val="008A3B38"/>
    <w:rsid w:val="008A424C"/>
    <w:rsid w:val="008A4A5F"/>
    <w:rsid w:val="008A4B3E"/>
    <w:rsid w:val="008A4CF7"/>
    <w:rsid w:val="008A512A"/>
    <w:rsid w:val="008A65F2"/>
    <w:rsid w:val="008A699C"/>
    <w:rsid w:val="008A6A9C"/>
    <w:rsid w:val="008A726E"/>
    <w:rsid w:val="008B073A"/>
    <w:rsid w:val="008B0DC5"/>
    <w:rsid w:val="008B0E64"/>
    <w:rsid w:val="008B118F"/>
    <w:rsid w:val="008B1977"/>
    <w:rsid w:val="008B1C21"/>
    <w:rsid w:val="008B1D90"/>
    <w:rsid w:val="008B2AA3"/>
    <w:rsid w:val="008B32BE"/>
    <w:rsid w:val="008B4193"/>
    <w:rsid w:val="008B436D"/>
    <w:rsid w:val="008B4709"/>
    <w:rsid w:val="008B4714"/>
    <w:rsid w:val="008B480B"/>
    <w:rsid w:val="008B49A7"/>
    <w:rsid w:val="008B4D90"/>
    <w:rsid w:val="008B4EEC"/>
    <w:rsid w:val="008B5198"/>
    <w:rsid w:val="008B52D9"/>
    <w:rsid w:val="008B58F5"/>
    <w:rsid w:val="008B5D87"/>
    <w:rsid w:val="008B6A3C"/>
    <w:rsid w:val="008B6C14"/>
    <w:rsid w:val="008B714C"/>
    <w:rsid w:val="008B7177"/>
    <w:rsid w:val="008B7CB2"/>
    <w:rsid w:val="008B7F3D"/>
    <w:rsid w:val="008C0860"/>
    <w:rsid w:val="008C0D69"/>
    <w:rsid w:val="008C2B34"/>
    <w:rsid w:val="008C2C3C"/>
    <w:rsid w:val="008C36DC"/>
    <w:rsid w:val="008C3A8F"/>
    <w:rsid w:val="008C49B6"/>
    <w:rsid w:val="008C5531"/>
    <w:rsid w:val="008C5D7D"/>
    <w:rsid w:val="008C66B2"/>
    <w:rsid w:val="008C6A91"/>
    <w:rsid w:val="008C7360"/>
    <w:rsid w:val="008C79BB"/>
    <w:rsid w:val="008D0203"/>
    <w:rsid w:val="008D04A0"/>
    <w:rsid w:val="008D07FE"/>
    <w:rsid w:val="008D1219"/>
    <w:rsid w:val="008D2171"/>
    <w:rsid w:val="008D2871"/>
    <w:rsid w:val="008D338E"/>
    <w:rsid w:val="008D38D9"/>
    <w:rsid w:val="008D3B20"/>
    <w:rsid w:val="008D3FB6"/>
    <w:rsid w:val="008D414F"/>
    <w:rsid w:val="008D48EC"/>
    <w:rsid w:val="008D5403"/>
    <w:rsid w:val="008D5732"/>
    <w:rsid w:val="008D5933"/>
    <w:rsid w:val="008D65D8"/>
    <w:rsid w:val="008D6DD2"/>
    <w:rsid w:val="008D6EBF"/>
    <w:rsid w:val="008D767F"/>
    <w:rsid w:val="008D7D3F"/>
    <w:rsid w:val="008D7F8C"/>
    <w:rsid w:val="008E0121"/>
    <w:rsid w:val="008E029A"/>
    <w:rsid w:val="008E1907"/>
    <w:rsid w:val="008E228F"/>
    <w:rsid w:val="008E293E"/>
    <w:rsid w:val="008E2A18"/>
    <w:rsid w:val="008E3685"/>
    <w:rsid w:val="008E4471"/>
    <w:rsid w:val="008E4D63"/>
    <w:rsid w:val="008E50BC"/>
    <w:rsid w:val="008E5189"/>
    <w:rsid w:val="008E538C"/>
    <w:rsid w:val="008E57C2"/>
    <w:rsid w:val="008E5E56"/>
    <w:rsid w:val="008E6335"/>
    <w:rsid w:val="008E69A0"/>
    <w:rsid w:val="008E6D16"/>
    <w:rsid w:val="008E7987"/>
    <w:rsid w:val="008E7E1B"/>
    <w:rsid w:val="008E7EFF"/>
    <w:rsid w:val="008F0DA9"/>
    <w:rsid w:val="008F0E0C"/>
    <w:rsid w:val="008F1389"/>
    <w:rsid w:val="008F2051"/>
    <w:rsid w:val="008F2E0F"/>
    <w:rsid w:val="008F3017"/>
    <w:rsid w:val="008F416D"/>
    <w:rsid w:val="008F5EC0"/>
    <w:rsid w:val="008F662C"/>
    <w:rsid w:val="008F6BF1"/>
    <w:rsid w:val="008F6C60"/>
    <w:rsid w:val="008F6D54"/>
    <w:rsid w:val="008F7046"/>
    <w:rsid w:val="008F76FE"/>
    <w:rsid w:val="008F7E23"/>
    <w:rsid w:val="00900744"/>
    <w:rsid w:val="00900B2E"/>
    <w:rsid w:val="00900B73"/>
    <w:rsid w:val="0090133F"/>
    <w:rsid w:val="00901DD2"/>
    <w:rsid w:val="00902286"/>
    <w:rsid w:val="0090245C"/>
    <w:rsid w:val="00902991"/>
    <w:rsid w:val="00902F4F"/>
    <w:rsid w:val="0090302C"/>
    <w:rsid w:val="00903161"/>
    <w:rsid w:val="0090371D"/>
    <w:rsid w:val="00903FFE"/>
    <w:rsid w:val="00904510"/>
    <w:rsid w:val="00904D03"/>
    <w:rsid w:val="009052CE"/>
    <w:rsid w:val="009066B1"/>
    <w:rsid w:val="00906892"/>
    <w:rsid w:val="00907BF2"/>
    <w:rsid w:val="00907F56"/>
    <w:rsid w:val="00907F6A"/>
    <w:rsid w:val="00910357"/>
    <w:rsid w:val="00910385"/>
    <w:rsid w:val="0091156A"/>
    <w:rsid w:val="009116BD"/>
    <w:rsid w:val="00911A26"/>
    <w:rsid w:val="00912118"/>
    <w:rsid w:val="009126C8"/>
    <w:rsid w:val="009129AD"/>
    <w:rsid w:val="00913374"/>
    <w:rsid w:val="009133F7"/>
    <w:rsid w:val="009137B4"/>
    <w:rsid w:val="009144BA"/>
    <w:rsid w:val="009149F2"/>
    <w:rsid w:val="00914D39"/>
    <w:rsid w:val="00915285"/>
    <w:rsid w:val="00915A6E"/>
    <w:rsid w:val="009167BC"/>
    <w:rsid w:val="00916856"/>
    <w:rsid w:val="00916894"/>
    <w:rsid w:val="009171AD"/>
    <w:rsid w:val="00917B5E"/>
    <w:rsid w:val="00917E6D"/>
    <w:rsid w:val="00920364"/>
    <w:rsid w:val="009207E2"/>
    <w:rsid w:val="00920B78"/>
    <w:rsid w:val="00920CD0"/>
    <w:rsid w:val="0092197B"/>
    <w:rsid w:val="00922D23"/>
    <w:rsid w:val="00922FB6"/>
    <w:rsid w:val="00923325"/>
    <w:rsid w:val="009240F3"/>
    <w:rsid w:val="00924197"/>
    <w:rsid w:val="009244FF"/>
    <w:rsid w:val="00924AA2"/>
    <w:rsid w:val="00924D66"/>
    <w:rsid w:val="0092558A"/>
    <w:rsid w:val="009257ED"/>
    <w:rsid w:val="00926334"/>
    <w:rsid w:val="009268E9"/>
    <w:rsid w:val="00926902"/>
    <w:rsid w:val="00930321"/>
    <w:rsid w:val="00930967"/>
    <w:rsid w:val="00930BC1"/>
    <w:rsid w:val="00930CCA"/>
    <w:rsid w:val="00931126"/>
    <w:rsid w:val="00931299"/>
    <w:rsid w:val="00931D4B"/>
    <w:rsid w:val="00931EBF"/>
    <w:rsid w:val="00932359"/>
    <w:rsid w:val="00933109"/>
    <w:rsid w:val="00933233"/>
    <w:rsid w:val="00933365"/>
    <w:rsid w:val="009344FD"/>
    <w:rsid w:val="00934A6C"/>
    <w:rsid w:val="009355D2"/>
    <w:rsid w:val="0093601D"/>
    <w:rsid w:val="00936AB8"/>
    <w:rsid w:val="00936B30"/>
    <w:rsid w:val="00941BB6"/>
    <w:rsid w:val="00941F62"/>
    <w:rsid w:val="009423BB"/>
    <w:rsid w:val="00942917"/>
    <w:rsid w:val="00942BF4"/>
    <w:rsid w:val="00943159"/>
    <w:rsid w:val="00943CCC"/>
    <w:rsid w:val="009447E6"/>
    <w:rsid w:val="00944A4E"/>
    <w:rsid w:val="00944B4F"/>
    <w:rsid w:val="009454EA"/>
    <w:rsid w:val="00945719"/>
    <w:rsid w:val="00945744"/>
    <w:rsid w:val="009460FF"/>
    <w:rsid w:val="00946D74"/>
    <w:rsid w:val="009506B5"/>
    <w:rsid w:val="00950D23"/>
    <w:rsid w:val="0095153B"/>
    <w:rsid w:val="00951F98"/>
    <w:rsid w:val="00952EC6"/>
    <w:rsid w:val="00953576"/>
    <w:rsid w:val="009537EC"/>
    <w:rsid w:val="00953DB4"/>
    <w:rsid w:val="009545BF"/>
    <w:rsid w:val="00954AD5"/>
    <w:rsid w:val="00956073"/>
    <w:rsid w:val="00956661"/>
    <w:rsid w:val="00957A7E"/>
    <w:rsid w:val="00960BE1"/>
    <w:rsid w:val="00960FEE"/>
    <w:rsid w:val="00961427"/>
    <w:rsid w:val="009617EE"/>
    <w:rsid w:val="009618C8"/>
    <w:rsid w:val="00961920"/>
    <w:rsid w:val="00961A96"/>
    <w:rsid w:val="00961D19"/>
    <w:rsid w:val="00961D8B"/>
    <w:rsid w:val="00962A97"/>
    <w:rsid w:val="00962D63"/>
    <w:rsid w:val="00962E5D"/>
    <w:rsid w:val="0096345C"/>
    <w:rsid w:val="00963783"/>
    <w:rsid w:val="00963A11"/>
    <w:rsid w:val="0096455D"/>
    <w:rsid w:val="00964C22"/>
    <w:rsid w:val="00964E5A"/>
    <w:rsid w:val="00965163"/>
    <w:rsid w:val="00965196"/>
    <w:rsid w:val="00965219"/>
    <w:rsid w:val="009669E1"/>
    <w:rsid w:val="0096736E"/>
    <w:rsid w:val="009675C5"/>
    <w:rsid w:val="0096784B"/>
    <w:rsid w:val="009678FD"/>
    <w:rsid w:val="00967AF5"/>
    <w:rsid w:val="00967CCA"/>
    <w:rsid w:val="00970294"/>
    <w:rsid w:val="00970F8E"/>
    <w:rsid w:val="009713AC"/>
    <w:rsid w:val="009726D4"/>
    <w:rsid w:val="0097314C"/>
    <w:rsid w:val="009737EE"/>
    <w:rsid w:val="00974436"/>
    <w:rsid w:val="00974503"/>
    <w:rsid w:val="00974B76"/>
    <w:rsid w:val="009750B7"/>
    <w:rsid w:val="009759E2"/>
    <w:rsid w:val="00975F70"/>
    <w:rsid w:val="00976060"/>
    <w:rsid w:val="00976576"/>
    <w:rsid w:val="00976C6B"/>
    <w:rsid w:val="00977067"/>
    <w:rsid w:val="0097739F"/>
    <w:rsid w:val="00977932"/>
    <w:rsid w:val="009801E4"/>
    <w:rsid w:val="0098024D"/>
    <w:rsid w:val="00981571"/>
    <w:rsid w:val="00981A3F"/>
    <w:rsid w:val="00982D13"/>
    <w:rsid w:val="00982DBD"/>
    <w:rsid w:val="009837D2"/>
    <w:rsid w:val="009843C0"/>
    <w:rsid w:val="00984C53"/>
    <w:rsid w:val="00984CE4"/>
    <w:rsid w:val="009856D5"/>
    <w:rsid w:val="00985C5C"/>
    <w:rsid w:val="00986418"/>
    <w:rsid w:val="00986893"/>
    <w:rsid w:val="009871FA"/>
    <w:rsid w:val="00987657"/>
    <w:rsid w:val="0098794C"/>
    <w:rsid w:val="00987E68"/>
    <w:rsid w:val="00987FE9"/>
    <w:rsid w:val="0099000D"/>
    <w:rsid w:val="00990543"/>
    <w:rsid w:val="00990C6F"/>
    <w:rsid w:val="00990DD0"/>
    <w:rsid w:val="009929F8"/>
    <w:rsid w:val="00992DA9"/>
    <w:rsid w:val="00993119"/>
    <w:rsid w:val="00993A2A"/>
    <w:rsid w:val="00993DA3"/>
    <w:rsid w:val="00994105"/>
    <w:rsid w:val="00994387"/>
    <w:rsid w:val="00994608"/>
    <w:rsid w:val="00994679"/>
    <w:rsid w:val="00994C5E"/>
    <w:rsid w:val="00994D08"/>
    <w:rsid w:val="00995C71"/>
    <w:rsid w:val="009961FC"/>
    <w:rsid w:val="00996C9D"/>
    <w:rsid w:val="00996F92"/>
    <w:rsid w:val="00997C54"/>
    <w:rsid w:val="00997D8A"/>
    <w:rsid w:val="009A082B"/>
    <w:rsid w:val="009A0F94"/>
    <w:rsid w:val="009A1251"/>
    <w:rsid w:val="009A2015"/>
    <w:rsid w:val="009A205F"/>
    <w:rsid w:val="009A211F"/>
    <w:rsid w:val="009A2560"/>
    <w:rsid w:val="009A2874"/>
    <w:rsid w:val="009A2896"/>
    <w:rsid w:val="009A29A0"/>
    <w:rsid w:val="009A2CF3"/>
    <w:rsid w:val="009A3A31"/>
    <w:rsid w:val="009A3A8A"/>
    <w:rsid w:val="009A41D4"/>
    <w:rsid w:val="009A43D4"/>
    <w:rsid w:val="009A50D2"/>
    <w:rsid w:val="009A55B3"/>
    <w:rsid w:val="009A58F7"/>
    <w:rsid w:val="009A5990"/>
    <w:rsid w:val="009A7391"/>
    <w:rsid w:val="009A7812"/>
    <w:rsid w:val="009A7E4D"/>
    <w:rsid w:val="009B03D3"/>
    <w:rsid w:val="009B0DB1"/>
    <w:rsid w:val="009B1015"/>
    <w:rsid w:val="009B1510"/>
    <w:rsid w:val="009B1A4B"/>
    <w:rsid w:val="009B272E"/>
    <w:rsid w:val="009B2B2B"/>
    <w:rsid w:val="009B2BEC"/>
    <w:rsid w:val="009B2CFC"/>
    <w:rsid w:val="009B3182"/>
    <w:rsid w:val="009B3AB4"/>
    <w:rsid w:val="009B3D6D"/>
    <w:rsid w:val="009B4131"/>
    <w:rsid w:val="009B4361"/>
    <w:rsid w:val="009B43AE"/>
    <w:rsid w:val="009B463B"/>
    <w:rsid w:val="009B4AAB"/>
    <w:rsid w:val="009B4E7A"/>
    <w:rsid w:val="009B6BC0"/>
    <w:rsid w:val="009C0E61"/>
    <w:rsid w:val="009C130F"/>
    <w:rsid w:val="009C1C42"/>
    <w:rsid w:val="009C1E24"/>
    <w:rsid w:val="009C318A"/>
    <w:rsid w:val="009C3222"/>
    <w:rsid w:val="009C3CEA"/>
    <w:rsid w:val="009C4C1C"/>
    <w:rsid w:val="009C4EE2"/>
    <w:rsid w:val="009C50FA"/>
    <w:rsid w:val="009C5ACE"/>
    <w:rsid w:val="009C5AE5"/>
    <w:rsid w:val="009C5EB3"/>
    <w:rsid w:val="009C6A79"/>
    <w:rsid w:val="009C733E"/>
    <w:rsid w:val="009C7447"/>
    <w:rsid w:val="009D010E"/>
    <w:rsid w:val="009D05C8"/>
    <w:rsid w:val="009D0A0E"/>
    <w:rsid w:val="009D0E10"/>
    <w:rsid w:val="009D0EEB"/>
    <w:rsid w:val="009D1567"/>
    <w:rsid w:val="009D1867"/>
    <w:rsid w:val="009D1D6E"/>
    <w:rsid w:val="009D1DB4"/>
    <w:rsid w:val="009D21DF"/>
    <w:rsid w:val="009D2284"/>
    <w:rsid w:val="009D3B0F"/>
    <w:rsid w:val="009D3F74"/>
    <w:rsid w:val="009D4AF5"/>
    <w:rsid w:val="009D5077"/>
    <w:rsid w:val="009D5AA7"/>
    <w:rsid w:val="009D664A"/>
    <w:rsid w:val="009D71E5"/>
    <w:rsid w:val="009D735D"/>
    <w:rsid w:val="009D7E3C"/>
    <w:rsid w:val="009E1057"/>
    <w:rsid w:val="009E1695"/>
    <w:rsid w:val="009E17B3"/>
    <w:rsid w:val="009E1925"/>
    <w:rsid w:val="009E1B74"/>
    <w:rsid w:val="009E1ECF"/>
    <w:rsid w:val="009E21F3"/>
    <w:rsid w:val="009E2944"/>
    <w:rsid w:val="009E2AB6"/>
    <w:rsid w:val="009E2E2F"/>
    <w:rsid w:val="009E2FD1"/>
    <w:rsid w:val="009E36CC"/>
    <w:rsid w:val="009E3EAF"/>
    <w:rsid w:val="009E4027"/>
    <w:rsid w:val="009E435E"/>
    <w:rsid w:val="009E468F"/>
    <w:rsid w:val="009E4BD5"/>
    <w:rsid w:val="009E4C7F"/>
    <w:rsid w:val="009E697A"/>
    <w:rsid w:val="009E6AA7"/>
    <w:rsid w:val="009E7EEF"/>
    <w:rsid w:val="009F06E5"/>
    <w:rsid w:val="009F0E04"/>
    <w:rsid w:val="009F11D1"/>
    <w:rsid w:val="009F19D4"/>
    <w:rsid w:val="009F32FF"/>
    <w:rsid w:val="009F3396"/>
    <w:rsid w:val="009F35F7"/>
    <w:rsid w:val="009F3745"/>
    <w:rsid w:val="009F4108"/>
    <w:rsid w:val="009F440C"/>
    <w:rsid w:val="009F4756"/>
    <w:rsid w:val="009F4AB7"/>
    <w:rsid w:val="009F55C6"/>
    <w:rsid w:val="009F5937"/>
    <w:rsid w:val="009F5EED"/>
    <w:rsid w:val="009F6091"/>
    <w:rsid w:val="009F6162"/>
    <w:rsid w:val="009F62EA"/>
    <w:rsid w:val="009F66FC"/>
    <w:rsid w:val="009F68CB"/>
    <w:rsid w:val="009F71C3"/>
    <w:rsid w:val="009F741A"/>
    <w:rsid w:val="00A00383"/>
    <w:rsid w:val="00A012E4"/>
    <w:rsid w:val="00A01305"/>
    <w:rsid w:val="00A02346"/>
    <w:rsid w:val="00A028B9"/>
    <w:rsid w:val="00A029CA"/>
    <w:rsid w:val="00A02E71"/>
    <w:rsid w:val="00A03537"/>
    <w:rsid w:val="00A03612"/>
    <w:rsid w:val="00A03BBB"/>
    <w:rsid w:val="00A03C7F"/>
    <w:rsid w:val="00A03FAB"/>
    <w:rsid w:val="00A04650"/>
    <w:rsid w:val="00A046F6"/>
    <w:rsid w:val="00A04AB1"/>
    <w:rsid w:val="00A0574D"/>
    <w:rsid w:val="00A05CD7"/>
    <w:rsid w:val="00A05DF7"/>
    <w:rsid w:val="00A0670A"/>
    <w:rsid w:val="00A06843"/>
    <w:rsid w:val="00A07353"/>
    <w:rsid w:val="00A0750A"/>
    <w:rsid w:val="00A07E32"/>
    <w:rsid w:val="00A103CE"/>
    <w:rsid w:val="00A112A5"/>
    <w:rsid w:val="00A11719"/>
    <w:rsid w:val="00A11972"/>
    <w:rsid w:val="00A13604"/>
    <w:rsid w:val="00A150D6"/>
    <w:rsid w:val="00A152D5"/>
    <w:rsid w:val="00A158CF"/>
    <w:rsid w:val="00A15EBC"/>
    <w:rsid w:val="00A16299"/>
    <w:rsid w:val="00A168D6"/>
    <w:rsid w:val="00A179FF"/>
    <w:rsid w:val="00A17CEA"/>
    <w:rsid w:val="00A217F2"/>
    <w:rsid w:val="00A21B97"/>
    <w:rsid w:val="00A24483"/>
    <w:rsid w:val="00A245CA"/>
    <w:rsid w:val="00A250DB"/>
    <w:rsid w:val="00A25334"/>
    <w:rsid w:val="00A25518"/>
    <w:rsid w:val="00A258C0"/>
    <w:rsid w:val="00A26CE2"/>
    <w:rsid w:val="00A2789D"/>
    <w:rsid w:val="00A27BC8"/>
    <w:rsid w:val="00A31131"/>
    <w:rsid w:val="00A31F1D"/>
    <w:rsid w:val="00A322D1"/>
    <w:rsid w:val="00A3266D"/>
    <w:rsid w:val="00A33426"/>
    <w:rsid w:val="00A33D80"/>
    <w:rsid w:val="00A34521"/>
    <w:rsid w:val="00A3486A"/>
    <w:rsid w:val="00A3586B"/>
    <w:rsid w:val="00A358F1"/>
    <w:rsid w:val="00A35EC2"/>
    <w:rsid w:val="00A36010"/>
    <w:rsid w:val="00A36159"/>
    <w:rsid w:val="00A36408"/>
    <w:rsid w:val="00A36EDF"/>
    <w:rsid w:val="00A37370"/>
    <w:rsid w:val="00A37B90"/>
    <w:rsid w:val="00A37E02"/>
    <w:rsid w:val="00A37E64"/>
    <w:rsid w:val="00A37F6E"/>
    <w:rsid w:val="00A37FC5"/>
    <w:rsid w:val="00A42344"/>
    <w:rsid w:val="00A433BA"/>
    <w:rsid w:val="00A433E2"/>
    <w:rsid w:val="00A44584"/>
    <w:rsid w:val="00A447FA"/>
    <w:rsid w:val="00A457FD"/>
    <w:rsid w:val="00A466F1"/>
    <w:rsid w:val="00A46929"/>
    <w:rsid w:val="00A4702A"/>
    <w:rsid w:val="00A50350"/>
    <w:rsid w:val="00A50371"/>
    <w:rsid w:val="00A50CE5"/>
    <w:rsid w:val="00A51FB7"/>
    <w:rsid w:val="00A5229E"/>
    <w:rsid w:val="00A52555"/>
    <w:rsid w:val="00A52E1B"/>
    <w:rsid w:val="00A5408C"/>
    <w:rsid w:val="00A54AEC"/>
    <w:rsid w:val="00A54B6D"/>
    <w:rsid w:val="00A54CDA"/>
    <w:rsid w:val="00A554E9"/>
    <w:rsid w:val="00A555BE"/>
    <w:rsid w:val="00A56919"/>
    <w:rsid w:val="00A56D4B"/>
    <w:rsid w:val="00A572BB"/>
    <w:rsid w:val="00A60672"/>
    <w:rsid w:val="00A60746"/>
    <w:rsid w:val="00A60A34"/>
    <w:rsid w:val="00A61037"/>
    <w:rsid w:val="00A61764"/>
    <w:rsid w:val="00A61993"/>
    <w:rsid w:val="00A6210F"/>
    <w:rsid w:val="00A626E9"/>
    <w:rsid w:val="00A62AAE"/>
    <w:rsid w:val="00A643F8"/>
    <w:rsid w:val="00A6482D"/>
    <w:rsid w:val="00A6525C"/>
    <w:rsid w:val="00A66289"/>
    <w:rsid w:val="00A6671B"/>
    <w:rsid w:val="00A66B5D"/>
    <w:rsid w:val="00A7044A"/>
    <w:rsid w:val="00A7067D"/>
    <w:rsid w:val="00A70DA4"/>
    <w:rsid w:val="00A70FEB"/>
    <w:rsid w:val="00A710BE"/>
    <w:rsid w:val="00A711E4"/>
    <w:rsid w:val="00A726E2"/>
    <w:rsid w:val="00A74284"/>
    <w:rsid w:val="00A74F2D"/>
    <w:rsid w:val="00A7540D"/>
    <w:rsid w:val="00A75C2B"/>
    <w:rsid w:val="00A76407"/>
    <w:rsid w:val="00A766AA"/>
    <w:rsid w:val="00A8180A"/>
    <w:rsid w:val="00A81A26"/>
    <w:rsid w:val="00A81B40"/>
    <w:rsid w:val="00A821C4"/>
    <w:rsid w:val="00A82499"/>
    <w:rsid w:val="00A829F0"/>
    <w:rsid w:val="00A82D16"/>
    <w:rsid w:val="00A8308B"/>
    <w:rsid w:val="00A834E9"/>
    <w:rsid w:val="00A8362F"/>
    <w:rsid w:val="00A84313"/>
    <w:rsid w:val="00A84F08"/>
    <w:rsid w:val="00A85421"/>
    <w:rsid w:val="00A86486"/>
    <w:rsid w:val="00A874A9"/>
    <w:rsid w:val="00A8761A"/>
    <w:rsid w:val="00A8774F"/>
    <w:rsid w:val="00A87B84"/>
    <w:rsid w:val="00A87B85"/>
    <w:rsid w:val="00A87E3F"/>
    <w:rsid w:val="00A900E8"/>
    <w:rsid w:val="00A90224"/>
    <w:rsid w:val="00A90888"/>
    <w:rsid w:val="00A90903"/>
    <w:rsid w:val="00A90D66"/>
    <w:rsid w:val="00A911AB"/>
    <w:rsid w:val="00A91A0A"/>
    <w:rsid w:val="00A9236E"/>
    <w:rsid w:val="00A92DBB"/>
    <w:rsid w:val="00A92E5E"/>
    <w:rsid w:val="00A92F0E"/>
    <w:rsid w:val="00A93992"/>
    <w:rsid w:val="00A94006"/>
    <w:rsid w:val="00A9405C"/>
    <w:rsid w:val="00A94320"/>
    <w:rsid w:val="00A945D1"/>
    <w:rsid w:val="00A9544D"/>
    <w:rsid w:val="00A963DD"/>
    <w:rsid w:val="00A96437"/>
    <w:rsid w:val="00A967BE"/>
    <w:rsid w:val="00A96C79"/>
    <w:rsid w:val="00A9741D"/>
    <w:rsid w:val="00A978CC"/>
    <w:rsid w:val="00A97A09"/>
    <w:rsid w:val="00A97E2F"/>
    <w:rsid w:val="00AA248C"/>
    <w:rsid w:val="00AA26CE"/>
    <w:rsid w:val="00AA2C75"/>
    <w:rsid w:val="00AA3917"/>
    <w:rsid w:val="00AA3C2E"/>
    <w:rsid w:val="00AA3E6A"/>
    <w:rsid w:val="00AA446B"/>
    <w:rsid w:val="00AA48F7"/>
    <w:rsid w:val="00AA4A5C"/>
    <w:rsid w:val="00AA4C8A"/>
    <w:rsid w:val="00AA4D3A"/>
    <w:rsid w:val="00AA587E"/>
    <w:rsid w:val="00AA5CE2"/>
    <w:rsid w:val="00AA5E85"/>
    <w:rsid w:val="00AA6221"/>
    <w:rsid w:val="00AA665A"/>
    <w:rsid w:val="00AA6826"/>
    <w:rsid w:val="00AA698B"/>
    <w:rsid w:val="00AA6E41"/>
    <w:rsid w:val="00AA7358"/>
    <w:rsid w:val="00AB04DB"/>
    <w:rsid w:val="00AB14C9"/>
    <w:rsid w:val="00AB16AA"/>
    <w:rsid w:val="00AB2272"/>
    <w:rsid w:val="00AB345F"/>
    <w:rsid w:val="00AB4E07"/>
    <w:rsid w:val="00AB5DF1"/>
    <w:rsid w:val="00AB63CC"/>
    <w:rsid w:val="00AB6A95"/>
    <w:rsid w:val="00AB6AE8"/>
    <w:rsid w:val="00AB73D5"/>
    <w:rsid w:val="00AB75C4"/>
    <w:rsid w:val="00AC0CD8"/>
    <w:rsid w:val="00AC1275"/>
    <w:rsid w:val="00AC1353"/>
    <w:rsid w:val="00AC1538"/>
    <w:rsid w:val="00AC198C"/>
    <w:rsid w:val="00AC27FC"/>
    <w:rsid w:val="00AC2D6A"/>
    <w:rsid w:val="00AC3133"/>
    <w:rsid w:val="00AC332C"/>
    <w:rsid w:val="00AC39EF"/>
    <w:rsid w:val="00AC3D91"/>
    <w:rsid w:val="00AC3EF4"/>
    <w:rsid w:val="00AC4254"/>
    <w:rsid w:val="00AC44F5"/>
    <w:rsid w:val="00AC49F0"/>
    <w:rsid w:val="00AC4EB5"/>
    <w:rsid w:val="00AC5453"/>
    <w:rsid w:val="00AC5D2F"/>
    <w:rsid w:val="00AC67CF"/>
    <w:rsid w:val="00AC68EE"/>
    <w:rsid w:val="00AC7018"/>
    <w:rsid w:val="00AC76A6"/>
    <w:rsid w:val="00AC7A5F"/>
    <w:rsid w:val="00AD05C2"/>
    <w:rsid w:val="00AD0679"/>
    <w:rsid w:val="00AD0A60"/>
    <w:rsid w:val="00AD1492"/>
    <w:rsid w:val="00AD161E"/>
    <w:rsid w:val="00AD31CF"/>
    <w:rsid w:val="00AD392B"/>
    <w:rsid w:val="00AD3FE4"/>
    <w:rsid w:val="00AD4B00"/>
    <w:rsid w:val="00AD4EC5"/>
    <w:rsid w:val="00AD5387"/>
    <w:rsid w:val="00AD5620"/>
    <w:rsid w:val="00AD5E6E"/>
    <w:rsid w:val="00AD5EBE"/>
    <w:rsid w:val="00AD6FDE"/>
    <w:rsid w:val="00AD752C"/>
    <w:rsid w:val="00AD7826"/>
    <w:rsid w:val="00AD7D28"/>
    <w:rsid w:val="00AE05A7"/>
    <w:rsid w:val="00AE0B16"/>
    <w:rsid w:val="00AE0FB3"/>
    <w:rsid w:val="00AE1CD9"/>
    <w:rsid w:val="00AE2EF0"/>
    <w:rsid w:val="00AE30EB"/>
    <w:rsid w:val="00AE33AD"/>
    <w:rsid w:val="00AE3763"/>
    <w:rsid w:val="00AE4320"/>
    <w:rsid w:val="00AE561C"/>
    <w:rsid w:val="00AE5662"/>
    <w:rsid w:val="00AE5982"/>
    <w:rsid w:val="00AE5CF0"/>
    <w:rsid w:val="00AE61E0"/>
    <w:rsid w:val="00AE6D84"/>
    <w:rsid w:val="00AE772D"/>
    <w:rsid w:val="00AF0108"/>
    <w:rsid w:val="00AF033D"/>
    <w:rsid w:val="00AF04DF"/>
    <w:rsid w:val="00AF0F79"/>
    <w:rsid w:val="00AF11B7"/>
    <w:rsid w:val="00AF3A05"/>
    <w:rsid w:val="00AF3C3C"/>
    <w:rsid w:val="00AF42B1"/>
    <w:rsid w:val="00AF442C"/>
    <w:rsid w:val="00AF4627"/>
    <w:rsid w:val="00AF483C"/>
    <w:rsid w:val="00AF4D6A"/>
    <w:rsid w:val="00AF5249"/>
    <w:rsid w:val="00AF7176"/>
    <w:rsid w:val="00AF74CA"/>
    <w:rsid w:val="00AF7A1B"/>
    <w:rsid w:val="00B00372"/>
    <w:rsid w:val="00B004D4"/>
    <w:rsid w:val="00B00BED"/>
    <w:rsid w:val="00B0133C"/>
    <w:rsid w:val="00B01A2B"/>
    <w:rsid w:val="00B02F48"/>
    <w:rsid w:val="00B032CC"/>
    <w:rsid w:val="00B03499"/>
    <w:rsid w:val="00B037DE"/>
    <w:rsid w:val="00B03879"/>
    <w:rsid w:val="00B04636"/>
    <w:rsid w:val="00B04D29"/>
    <w:rsid w:val="00B05305"/>
    <w:rsid w:val="00B065DA"/>
    <w:rsid w:val="00B06C8B"/>
    <w:rsid w:val="00B07CC7"/>
    <w:rsid w:val="00B10250"/>
    <w:rsid w:val="00B10D92"/>
    <w:rsid w:val="00B111A0"/>
    <w:rsid w:val="00B11634"/>
    <w:rsid w:val="00B12082"/>
    <w:rsid w:val="00B12BD3"/>
    <w:rsid w:val="00B12C10"/>
    <w:rsid w:val="00B1369A"/>
    <w:rsid w:val="00B1381E"/>
    <w:rsid w:val="00B143AF"/>
    <w:rsid w:val="00B144DC"/>
    <w:rsid w:val="00B14615"/>
    <w:rsid w:val="00B14AC0"/>
    <w:rsid w:val="00B15639"/>
    <w:rsid w:val="00B15A81"/>
    <w:rsid w:val="00B16191"/>
    <w:rsid w:val="00B1650A"/>
    <w:rsid w:val="00B168BC"/>
    <w:rsid w:val="00B16AF2"/>
    <w:rsid w:val="00B17152"/>
    <w:rsid w:val="00B176F2"/>
    <w:rsid w:val="00B1796F"/>
    <w:rsid w:val="00B215EC"/>
    <w:rsid w:val="00B22BE5"/>
    <w:rsid w:val="00B23542"/>
    <w:rsid w:val="00B247B4"/>
    <w:rsid w:val="00B24F30"/>
    <w:rsid w:val="00B24FC9"/>
    <w:rsid w:val="00B26547"/>
    <w:rsid w:val="00B26ECA"/>
    <w:rsid w:val="00B27C2B"/>
    <w:rsid w:val="00B30132"/>
    <w:rsid w:val="00B3017D"/>
    <w:rsid w:val="00B3065A"/>
    <w:rsid w:val="00B3078F"/>
    <w:rsid w:val="00B309DA"/>
    <w:rsid w:val="00B3138E"/>
    <w:rsid w:val="00B31637"/>
    <w:rsid w:val="00B31644"/>
    <w:rsid w:val="00B31D24"/>
    <w:rsid w:val="00B31D42"/>
    <w:rsid w:val="00B3247F"/>
    <w:rsid w:val="00B32936"/>
    <w:rsid w:val="00B33FA3"/>
    <w:rsid w:val="00B34B0B"/>
    <w:rsid w:val="00B35064"/>
    <w:rsid w:val="00B36575"/>
    <w:rsid w:val="00B376BC"/>
    <w:rsid w:val="00B37707"/>
    <w:rsid w:val="00B37812"/>
    <w:rsid w:val="00B37DFF"/>
    <w:rsid w:val="00B40BE3"/>
    <w:rsid w:val="00B41110"/>
    <w:rsid w:val="00B41F95"/>
    <w:rsid w:val="00B42470"/>
    <w:rsid w:val="00B433D4"/>
    <w:rsid w:val="00B43C5F"/>
    <w:rsid w:val="00B441BB"/>
    <w:rsid w:val="00B44A00"/>
    <w:rsid w:val="00B44BF0"/>
    <w:rsid w:val="00B44F68"/>
    <w:rsid w:val="00B44F81"/>
    <w:rsid w:val="00B45217"/>
    <w:rsid w:val="00B4565B"/>
    <w:rsid w:val="00B4609F"/>
    <w:rsid w:val="00B46652"/>
    <w:rsid w:val="00B46B55"/>
    <w:rsid w:val="00B470BE"/>
    <w:rsid w:val="00B4717A"/>
    <w:rsid w:val="00B476C0"/>
    <w:rsid w:val="00B476C7"/>
    <w:rsid w:val="00B478DC"/>
    <w:rsid w:val="00B47B8C"/>
    <w:rsid w:val="00B501D5"/>
    <w:rsid w:val="00B506AF"/>
    <w:rsid w:val="00B50DCB"/>
    <w:rsid w:val="00B50E8C"/>
    <w:rsid w:val="00B51402"/>
    <w:rsid w:val="00B51895"/>
    <w:rsid w:val="00B51906"/>
    <w:rsid w:val="00B51B56"/>
    <w:rsid w:val="00B52109"/>
    <w:rsid w:val="00B5250B"/>
    <w:rsid w:val="00B527AF"/>
    <w:rsid w:val="00B5282C"/>
    <w:rsid w:val="00B53366"/>
    <w:rsid w:val="00B53450"/>
    <w:rsid w:val="00B5449F"/>
    <w:rsid w:val="00B54EFC"/>
    <w:rsid w:val="00B558BD"/>
    <w:rsid w:val="00B56A17"/>
    <w:rsid w:val="00B56B2C"/>
    <w:rsid w:val="00B57845"/>
    <w:rsid w:val="00B57CD5"/>
    <w:rsid w:val="00B600E1"/>
    <w:rsid w:val="00B60480"/>
    <w:rsid w:val="00B607B2"/>
    <w:rsid w:val="00B60E9A"/>
    <w:rsid w:val="00B6193C"/>
    <w:rsid w:val="00B62175"/>
    <w:rsid w:val="00B62ED5"/>
    <w:rsid w:val="00B63904"/>
    <w:rsid w:val="00B63949"/>
    <w:rsid w:val="00B63BD5"/>
    <w:rsid w:val="00B63ECE"/>
    <w:rsid w:val="00B643DC"/>
    <w:rsid w:val="00B64853"/>
    <w:rsid w:val="00B650CE"/>
    <w:rsid w:val="00B65331"/>
    <w:rsid w:val="00B65B37"/>
    <w:rsid w:val="00B65B79"/>
    <w:rsid w:val="00B65D3D"/>
    <w:rsid w:val="00B66049"/>
    <w:rsid w:val="00B6606A"/>
    <w:rsid w:val="00B662A8"/>
    <w:rsid w:val="00B662D6"/>
    <w:rsid w:val="00B66FB4"/>
    <w:rsid w:val="00B674E5"/>
    <w:rsid w:val="00B67970"/>
    <w:rsid w:val="00B67F39"/>
    <w:rsid w:val="00B70238"/>
    <w:rsid w:val="00B70603"/>
    <w:rsid w:val="00B71175"/>
    <w:rsid w:val="00B711FA"/>
    <w:rsid w:val="00B71CDC"/>
    <w:rsid w:val="00B72092"/>
    <w:rsid w:val="00B7412A"/>
    <w:rsid w:val="00B74AAB"/>
    <w:rsid w:val="00B74E38"/>
    <w:rsid w:val="00B7568C"/>
    <w:rsid w:val="00B75A85"/>
    <w:rsid w:val="00B7602C"/>
    <w:rsid w:val="00B76118"/>
    <w:rsid w:val="00B766C5"/>
    <w:rsid w:val="00B769C5"/>
    <w:rsid w:val="00B76B20"/>
    <w:rsid w:val="00B770A4"/>
    <w:rsid w:val="00B7729A"/>
    <w:rsid w:val="00B800D1"/>
    <w:rsid w:val="00B80D6B"/>
    <w:rsid w:val="00B81485"/>
    <w:rsid w:val="00B81489"/>
    <w:rsid w:val="00B81636"/>
    <w:rsid w:val="00B81EFA"/>
    <w:rsid w:val="00B82071"/>
    <w:rsid w:val="00B8247E"/>
    <w:rsid w:val="00B824FC"/>
    <w:rsid w:val="00B82695"/>
    <w:rsid w:val="00B8273A"/>
    <w:rsid w:val="00B82B69"/>
    <w:rsid w:val="00B8371F"/>
    <w:rsid w:val="00B83A91"/>
    <w:rsid w:val="00B83CF1"/>
    <w:rsid w:val="00B8450C"/>
    <w:rsid w:val="00B8462E"/>
    <w:rsid w:val="00B846BD"/>
    <w:rsid w:val="00B84D1B"/>
    <w:rsid w:val="00B84DFD"/>
    <w:rsid w:val="00B8519F"/>
    <w:rsid w:val="00B8524D"/>
    <w:rsid w:val="00B855EA"/>
    <w:rsid w:val="00B86148"/>
    <w:rsid w:val="00B861A9"/>
    <w:rsid w:val="00B8685B"/>
    <w:rsid w:val="00B86B67"/>
    <w:rsid w:val="00B86EB0"/>
    <w:rsid w:val="00B87111"/>
    <w:rsid w:val="00B873A3"/>
    <w:rsid w:val="00B8791D"/>
    <w:rsid w:val="00B90440"/>
    <w:rsid w:val="00B9081E"/>
    <w:rsid w:val="00B91641"/>
    <w:rsid w:val="00B91C7E"/>
    <w:rsid w:val="00B91FA9"/>
    <w:rsid w:val="00B9254D"/>
    <w:rsid w:val="00B92845"/>
    <w:rsid w:val="00B92EE3"/>
    <w:rsid w:val="00B9389F"/>
    <w:rsid w:val="00B93BE7"/>
    <w:rsid w:val="00B945EC"/>
    <w:rsid w:val="00B94724"/>
    <w:rsid w:val="00B9483D"/>
    <w:rsid w:val="00B94A9A"/>
    <w:rsid w:val="00B94DB9"/>
    <w:rsid w:val="00B955B8"/>
    <w:rsid w:val="00B95B7B"/>
    <w:rsid w:val="00B96195"/>
    <w:rsid w:val="00B961F1"/>
    <w:rsid w:val="00B96656"/>
    <w:rsid w:val="00B97986"/>
    <w:rsid w:val="00B97B2F"/>
    <w:rsid w:val="00B97E48"/>
    <w:rsid w:val="00BA0939"/>
    <w:rsid w:val="00BA0C6E"/>
    <w:rsid w:val="00BA15E1"/>
    <w:rsid w:val="00BA1925"/>
    <w:rsid w:val="00BA1DB3"/>
    <w:rsid w:val="00BA1FC9"/>
    <w:rsid w:val="00BA22E7"/>
    <w:rsid w:val="00BA2624"/>
    <w:rsid w:val="00BA2C0F"/>
    <w:rsid w:val="00BA30AD"/>
    <w:rsid w:val="00BA3704"/>
    <w:rsid w:val="00BA3815"/>
    <w:rsid w:val="00BA3F63"/>
    <w:rsid w:val="00BA54DD"/>
    <w:rsid w:val="00BA5A4A"/>
    <w:rsid w:val="00BA5E98"/>
    <w:rsid w:val="00BA5F9D"/>
    <w:rsid w:val="00BA6EF7"/>
    <w:rsid w:val="00BA7F8A"/>
    <w:rsid w:val="00BB0391"/>
    <w:rsid w:val="00BB094D"/>
    <w:rsid w:val="00BB0A23"/>
    <w:rsid w:val="00BB1FEF"/>
    <w:rsid w:val="00BB20F9"/>
    <w:rsid w:val="00BB25DF"/>
    <w:rsid w:val="00BB27CA"/>
    <w:rsid w:val="00BB2DD5"/>
    <w:rsid w:val="00BB3A68"/>
    <w:rsid w:val="00BB4CE3"/>
    <w:rsid w:val="00BB57B7"/>
    <w:rsid w:val="00BB626C"/>
    <w:rsid w:val="00BB63FD"/>
    <w:rsid w:val="00BB6C31"/>
    <w:rsid w:val="00BB7530"/>
    <w:rsid w:val="00BC01CA"/>
    <w:rsid w:val="00BC05D1"/>
    <w:rsid w:val="00BC09E1"/>
    <w:rsid w:val="00BC0A4A"/>
    <w:rsid w:val="00BC111C"/>
    <w:rsid w:val="00BC1D98"/>
    <w:rsid w:val="00BC268A"/>
    <w:rsid w:val="00BC278C"/>
    <w:rsid w:val="00BC2E39"/>
    <w:rsid w:val="00BC2EE7"/>
    <w:rsid w:val="00BC336D"/>
    <w:rsid w:val="00BC3B50"/>
    <w:rsid w:val="00BC4406"/>
    <w:rsid w:val="00BC49B4"/>
    <w:rsid w:val="00BC544F"/>
    <w:rsid w:val="00BC58A7"/>
    <w:rsid w:val="00BC64B5"/>
    <w:rsid w:val="00BC704A"/>
    <w:rsid w:val="00BC70B2"/>
    <w:rsid w:val="00BC759A"/>
    <w:rsid w:val="00BC76C8"/>
    <w:rsid w:val="00BC7A5A"/>
    <w:rsid w:val="00BD0CA6"/>
    <w:rsid w:val="00BD10B1"/>
    <w:rsid w:val="00BD1B14"/>
    <w:rsid w:val="00BD2308"/>
    <w:rsid w:val="00BD2436"/>
    <w:rsid w:val="00BD2FEB"/>
    <w:rsid w:val="00BD3618"/>
    <w:rsid w:val="00BD36D3"/>
    <w:rsid w:val="00BD3F66"/>
    <w:rsid w:val="00BD4161"/>
    <w:rsid w:val="00BD5C8F"/>
    <w:rsid w:val="00BD611F"/>
    <w:rsid w:val="00BD619F"/>
    <w:rsid w:val="00BD6BF2"/>
    <w:rsid w:val="00BD7B29"/>
    <w:rsid w:val="00BE0168"/>
    <w:rsid w:val="00BE0E81"/>
    <w:rsid w:val="00BE12C8"/>
    <w:rsid w:val="00BE175D"/>
    <w:rsid w:val="00BE251F"/>
    <w:rsid w:val="00BE2DE1"/>
    <w:rsid w:val="00BE2E4C"/>
    <w:rsid w:val="00BE2FA7"/>
    <w:rsid w:val="00BE3072"/>
    <w:rsid w:val="00BE40B7"/>
    <w:rsid w:val="00BE46C8"/>
    <w:rsid w:val="00BE4BEE"/>
    <w:rsid w:val="00BE4DA2"/>
    <w:rsid w:val="00BE5FCE"/>
    <w:rsid w:val="00BE692C"/>
    <w:rsid w:val="00BE6C8D"/>
    <w:rsid w:val="00BE6E9D"/>
    <w:rsid w:val="00BE72A2"/>
    <w:rsid w:val="00BE75A6"/>
    <w:rsid w:val="00BF15ED"/>
    <w:rsid w:val="00BF298E"/>
    <w:rsid w:val="00BF360F"/>
    <w:rsid w:val="00BF39C5"/>
    <w:rsid w:val="00BF4115"/>
    <w:rsid w:val="00BF41E0"/>
    <w:rsid w:val="00BF4E2B"/>
    <w:rsid w:val="00BF50B0"/>
    <w:rsid w:val="00BF5101"/>
    <w:rsid w:val="00BF55D2"/>
    <w:rsid w:val="00BF5791"/>
    <w:rsid w:val="00BF595D"/>
    <w:rsid w:val="00BF5ABF"/>
    <w:rsid w:val="00BF5C07"/>
    <w:rsid w:val="00BF650A"/>
    <w:rsid w:val="00BF7234"/>
    <w:rsid w:val="00BF73EB"/>
    <w:rsid w:val="00BF76D8"/>
    <w:rsid w:val="00C001E5"/>
    <w:rsid w:val="00C005F2"/>
    <w:rsid w:val="00C00833"/>
    <w:rsid w:val="00C00A26"/>
    <w:rsid w:val="00C01CC1"/>
    <w:rsid w:val="00C02589"/>
    <w:rsid w:val="00C0283D"/>
    <w:rsid w:val="00C02BDF"/>
    <w:rsid w:val="00C0318E"/>
    <w:rsid w:val="00C03505"/>
    <w:rsid w:val="00C039CC"/>
    <w:rsid w:val="00C03E14"/>
    <w:rsid w:val="00C03E52"/>
    <w:rsid w:val="00C03FDD"/>
    <w:rsid w:val="00C0469E"/>
    <w:rsid w:val="00C046EB"/>
    <w:rsid w:val="00C05117"/>
    <w:rsid w:val="00C060AA"/>
    <w:rsid w:val="00C06139"/>
    <w:rsid w:val="00C0659D"/>
    <w:rsid w:val="00C068B5"/>
    <w:rsid w:val="00C06E47"/>
    <w:rsid w:val="00C076C7"/>
    <w:rsid w:val="00C10731"/>
    <w:rsid w:val="00C10BDD"/>
    <w:rsid w:val="00C10D8C"/>
    <w:rsid w:val="00C11D94"/>
    <w:rsid w:val="00C11DC6"/>
    <w:rsid w:val="00C142A2"/>
    <w:rsid w:val="00C144B6"/>
    <w:rsid w:val="00C14DCE"/>
    <w:rsid w:val="00C15032"/>
    <w:rsid w:val="00C15120"/>
    <w:rsid w:val="00C1575A"/>
    <w:rsid w:val="00C16DE8"/>
    <w:rsid w:val="00C172AB"/>
    <w:rsid w:val="00C177A9"/>
    <w:rsid w:val="00C20270"/>
    <w:rsid w:val="00C2060F"/>
    <w:rsid w:val="00C207EF"/>
    <w:rsid w:val="00C21066"/>
    <w:rsid w:val="00C21484"/>
    <w:rsid w:val="00C216AC"/>
    <w:rsid w:val="00C2178A"/>
    <w:rsid w:val="00C21AB4"/>
    <w:rsid w:val="00C21C7F"/>
    <w:rsid w:val="00C21DBC"/>
    <w:rsid w:val="00C2286C"/>
    <w:rsid w:val="00C22E98"/>
    <w:rsid w:val="00C24814"/>
    <w:rsid w:val="00C248BC"/>
    <w:rsid w:val="00C24A7A"/>
    <w:rsid w:val="00C25C5B"/>
    <w:rsid w:val="00C25C90"/>
    <w:rsid w:val="00C26145"/>
    <w:rsid w:val="00C27487"/>
    <w:rsid w:val="00C30146"/>
    <w:rsid w:val="00C302CD"/>
    <w:rsid w:val="00C30503"/>
    <w:rsid w:val="00C3065B"/>
    <w:rsid w:val="00C30D25"/>
    <w:rsid w:val="00C310D3"/>
    <w:rsid w:val="00C31312"/>
    <w:rsid w:val="00C31467"/>
    <w:rsid w:val="00C31D46"/>
    <w:rsid w:val="00C31EF5"/>
    <w:rsid w:val="00C32682"/>
    <w:rsid w:val="00C33053"/>
    <w:rsid w:val="00C33282"/>
    <w:rsid w:val="00C33760"/>
    <w:rsid w:val="00C342F1"/>
    <w:rsid w:val="00C34457"/>
    <w:rsid w:val="00C3446D"/>
    <w:rsid w:val="00C344E2"/>
    <w:rsid w:val="00C35645"/>
    <w:rsid w:val="00C35FB5"/>
    <w:rsid w:val="00C35FC2"/>
    <w:rsid w:val="00C36CAE"/>
    <w:rsid w:val="00C408CB"/>
    <w:rsid w:val="00C408CF"/>
    <w:rsid w:val="00C4107C"/>
    <w:rsid w:val="00C41140"/>
    <w:rsid w:val="00C418C7"/>
    <w:rsid w:val="00C41AFF"/>
    <w:rsid w:val="00C41F54"/>
    <w:rsid w:val="00C427F8"/>
    <w:rsid w:val="00C42938"/>
    <w:rsid w:val="00C429D6"/>
    <w:rsid w:val="00C445A9"/>
    <w:rsid w:val="00C454AB"/>
    <w:rsid w:val="00C455CF"/>
    <w:rsid w:val="00C45B06"/>
    <w:rsid w:val="00C45C4E"/>
    <w:rsid w:val="00C45E08"/>
    <w:rsid w:val="00C46326"/>
    <w:rsid w:val="00C46984"/>
    <w:rsid w:val="00C4698A"/>
    <w:rsid w:val="00C46FB1"/>
    <w:rsid w:val="00C4728A"/>
    <w:rsid w:val="00C47BE5"/>
    <w:rsid w:val="00C5058D"/>
    <w:rsid w:val="00C509B9"/>
    <w:rsid w:val="00C50AA9"/>
    <w:rsid w:val="00C50DB1"/>
    <w:rsid w:val="00C521C8"/>
    <w:rsid w:val="00C5241C"/>
    <w:rsid w:val="00C52E98"/>
    <w:rsid w:val="00C53311"/>
    <w:rsid w:val="00C53858"/>
    <w:rsid w:val="00C5556F"/>
    <w:rsid w:val="00C5584A"/>
    <w:rsid w:val="00C55CC6"/>
    <w:rsid w:val="00C55D4D"/>
    <w:rsid w:val="00C56292"/>
    <w:rsid w:val="00C565A9"/>
    <w:rsid w:val="00C569B9"/>
    <w:rsid w:val="00C56E63"/>
    <w:rsid w:val="00C570D9"/>
    <w:rsid w:val="00C573CD"/>
    <w:rsid w:val="00C577FD"/>
    <w:rsid w:val="00C57B73"/>
    <w:rsid w:val="00C57DE2"/>
    <w:rsid w:val="00C6022D"/>
    <w:rsid w:val="00C60A27"/>
    <w:rsid w:val="00C61363"/>
    <w:rsid w:val="00C61487"/>
    <w:rsid w:val="00C61611"/>
    <w:rsid w:val="00C61619"/>
    <w:rsid w:val="00C61A46"/>
    <w:rsid w:val="00C622FA"/>
    <w:rsid w:val="00C6248B"/>
    <w:rsid w:val="00C6331A"/>
    <w:rsid w:val="00C63A4B"/>
    <w:rsid w:val="00C63B0D"/>
    <w:rsid w:val="00C64395"/>
    <w:rsid w:val="00C645DF"/>
    <w:rsid w:val="00C64E5E"/>
    <w:rsid w:val="00C64E71"/>
    <w:rsid w:val="00C670D1"/>
    <w:rsid w:val="00C67CB6"/>
    <w:rsid w:val="00C70444"/>
    <w:rsid w:val="00C70789"/>
    <w:rsid w:val="00C709CD"/>
    <w:rsid w:val="00C71F86"/>
    <w:rsid w:val="00C72103"/>
    <w:rsid w:val="00C7285B"/>
    <w:rsid w:val="00C72B99"/>
    <w:rsid w:val="00C737C4"/>
    <w:rsid w:val="00C7471C"/>
    <w:rsid w:val="00C74C95"/>
    <w:rsid w:val="00C7549F"/>
    <w:rsid w:val="00C76427"/>
    <w:rsid w:val="00C77AA4"/>
    <w:rsid w:val="00C8057A"/>
    <w:rsid w:val="00C80DBD"/>
    <w:rsid w:val="00C8166C"/>
    <w:rsid w:val="00C8186A"/>
    <w:rsid w:val="00C82577"/>
    <w:rsid w:val="00C82A7A"/>
    <w:rsid w:val="00C82AAE"/>
    <w:rsid w:val="00C82EC2"/>
    <w:rsid w:val="00C839AF"/>
    <w:rsid w:val="00C855FF"/>
    <w:rsid w:val="00C85CCF"/>
    <w:rsid w:val="00C85EC2"/>
    <w:rsid w:val="00C86BC7"/>
    <w:rsid w:val="00C86CE3"/>
    <w:rsid w:val="00C86F21"/>
    <w:rsid w:val="00C871FC"/>
    <w:rsid w:val="00C873B0"/>
    <w:rsid w:val="00C8757A"/>
    <w:rsid w:val="00C87666"/>
    <w:rsid w:val="00C87947"/>
    <w:rsid w:val="00C907AD"/>
    <w:rsid w:val="00C908B5"/>
    <w:rsid w:val="00C916A2"/>
    <w:rsid w:val="00C91D6F"/>
    <w:rsid w:val="00C92504"/>
    <w:rsid w:val="00C925AE"/>
    <w:rsid w:val="00C92E38"/>
    <w:rsid w:val="00C9330C"/>
    <w:rsid w:val="00C9343C"/>
    <w:rsid w:val="00C94497"/>
    <w:rsid w:val="00C9458F"/>
    <w:rsid w:val="00C9471A"/>
    <w:rsid w:val="00C95494"/>
    <w:rsid w:val="00C959C7"/>
    <w:rsid w:val="00C95BEF"/>
    <w:rsid w:val="00C96DFB"/>
    <w:rsid w:val="00CA0AE6"/>
    <w:rsid w:val="00CA14BC"/>
    <w:rsid w:val="00CA2232"/>
    <w:rsid w:val="00CA2378"/>
    <w:rsid w:val="00CA24DF"/>
    <w:rsid w:val="00CA2D59"/>
    <w:rsid w:val="00CA38D4"/>
    <w:rsid w:val="00CA413A"/>
    <w:rsid w:val="00CA5281"/>
    <w:rsid w:val="00CA59F5"/>
    <w:rsid w:val="00CA69B5"/>
    <w:rsid w:val="00CA6BFD"/>
    <w:rsid w:val="00CA7229"/>
    <w:rsid w:val="00CA7577"/>
    <w:rsid w:val="00CA7678"/>
    <w:rsid w:val="00CB010A"/>
    <w:rsid w:val="00CB05C8"/>
    <w:rsid w:val="00CB07C0"/>
    <w:rsid w:val="00CB08CF"/>
    <w:rsid w:val="00CB0C44"/>
    <w:rsid w:val="00CB1B38"/>
    <w:rsid w:val="00CB2463"/>
    <w:rsid w:val="00CB28CB"/>
    <w:rsid w:val="00CB3800"/>
    <w:rsid w:val="00CB3A44"/>
    <w:rsid w:val="00CB3BAA"/>
    <w:rsid w:val="00CB3FDB"/>
    <w:rsid w:val="00CB4403"/>
    <w:rsid w:val="00CB4902"/>
    <w:rsid w:val="00CB4B84"/>
    <w:rsid w:val="00CB4BC3"/>
    <w:rsid w:val="00CB5227"/>
    <w:rsid w:val="00CB57F8"/>
    <w:rsid w:val="00CB5E6E"/>
    <w:rsid w:val="00CB6231"/>
    <w:rsid w:val="00CB75ED"/>
    <w:rsid w:val="00CB7906"/>
    <w:rsid w:val="00CC0588"/>
    <w:rsid w:val="00CC0B73"/>
    <w:rsid w:val="00CC1051"/>
    <w:rsid w:val="00CC1496"/>
    <w:rsid w:val="00CC149F"/>
    <w:rsid w:val="00CC26C5"/>
    <w:rsid w:val="00CC289A"/>
    <w:rsid w:val="00CC2BF6"/>
    <w:rsid w:val="00CC324A"/>
    <w:rsid w:val="00CC383F"/>
    <w:rsid w:val="00CC4E58"/>
    <w:rsid w:val="00CC51E4"/>
    <w:rsid w:val="00CC5A17"/>
    <w:rsid w:val="00CC5F3B"/>
    <w:rsid w:val="00CC625E"/>
    <w:rsid w:val="00CC6CBA"/>
    <w:rsid w:val="00CC6E90"/>
    <w:rsid w:val="00CC70D8"/>
    <w:rsid w:val="00CC7222"/>
    <w:rsid w:val="00CC7302"/>
    <w:rsid w:val="00CD038B"/>
    <w:rsid w:val="00CD0681"/>
    <w:rsid w:val="00CD1366"/>
    <w:rsid w:val="00CD14FA"/>
    <w:rsid w:val="00CD208C"/>
    <w:rsid w:val="00CD20A6"/>
    <w:rsid w:val="00CD21BD"/>
    <w:rsid w:val="00CD27A6"/>
    <w:rsid w:val="00CD3850"/>
    <w:rsid w:val="00CD3C1F"/>
    <w:rsid w:val="00CD3E62"/>
    <w:rsid w:val="00CD4C43"/>
    <w:rsid w:val="00CD5671"/>
    <w:rsid w:val="00CD5978"/>
    <w:rsid w:val="00CD5B9D"/>
    <w:rsid w:val="00CD681A"/>
    <w:rsid w:val="00CD6DFF"/>
    <w:rsid w:val="00CD6E99"/>
    <w:rsid w:val="00CD7333"/>
    <w:rsid w:val="00CD7926"/>
    <w:rsid w:val="00CD7C5C"/>
    <w:rsid w:val="00CE0107"/>
    <w:rsid w:val="00CE08CE"/>
    <w:rsid w:val="00CE0E35"/>
    <w:rsid w:val="00CE0F46"/>
    <w:rsid w:val="00CE165F"/>
    <w:rsid w:val="00CE2505"/>
    <w:rsid w:val="00CE2FA3"/>
    <w:rsid w:val="00CE3154"/>
    <w:rsid w:val="00CE34FB"/>
    <w:rsid w:val="00CE3CC0"/>
    <w:rsid w:val="00CE4288"/>
    <w:rsid w:val="00CE47A7"/>
    <w:rsid w:val="00CE4F03"/>
    <w:rsid w:val="00CE5A43"/>
    <w:rsid w:val="00CE5BA0"/>
    <w:rsid w:val="00CE6A9E"/>
    <w:rsid w:val="00CE718A"/>
    <w:rsid w:val="00CE7BA9"/>
    <w:rsid w:val="00CE7BB5"/>
    <w:rsid w:val="00CF014E"/>
    <w:rsid w:val="00CF0995"/>
    <w:rsid w:val="00CF09FB"/>
    <w:rsid w:val="00CF0A4B"/>
    <w:rsid w:val="00CF0CFA"/>
    <w:rsid w:val="00CF3217"/>
    <w:rsid w:val="00CF4F02"/>
    <w:rsid w:val="00CF5046"/>
    <w:rsid w:val="00CF55F0"/>
    <w:rsid w:val="00CF69FA"/>
    <w:rsid w:val="00CF77F2"/>
    <w:rsid w:val="00D00266"/>
    <w:rsid w:val="00D0078B"/>
    <w:rsid w:val="00D0094A"/>
    <w:rsid w:val="00D0099C"/>
    <w:rsid w:val="00D00EE7"/>
    <w:rsid w:val="00D01031"/>
    <w:rsid w:val="00D0349E"/>
    <w:rsid w:val="00D04257"/>
    <w:rsid w:val="00D0441C"/>
    <w:rsid w:val="00D05142"/>
    <w:rsid w:val="00D05CAA"/>
    <w:rsid w:val="00D066FE"/>
    <w:rsid w:val="00D06991"/>
    <w:rsid w:val="00D07E75"/>
    <w:rsid w:val="00D10224"/>
    <w:rsid w:val="00D10DC3"/>
    <w:rsid w:val="00D1176C"/>
    <w:rsid w:val="00D11C3D"/>
    <w:rsid w:val="00D11D26"/>
    <w:rsid w:val="00D11D3F"/>
    <w:rsid w:val="00D11F12"/>
    <w:rsid w:val="00D12FA1"/>
    <w:rsid w:val="00D146D4"/>
    <w:rsid w:val="00D14903"/>
    <w:rsid w:val="00D150C2"/>
    <w:rsid w:val="00D161A1"/>
    <w:rsid w:val="00D167D9"/>
    <w:rsid w:val="00D169CF"/>
    <w:rsid w:val="00D16E7D"/>
    <w:rsid w:val="00D17582"/>
    <w:rsid w:val="00D17AAE"/>
    <w:rsid w:val="00D17DB3"/>
    <w:rsid w:val="00D17EF4"/>
    <w:rsid w:val="00D2091C"/>
    <w:rsid w:val="00D20C56"/>
    <w:rsid w:val="00D20CDC"/>
    <w:rsid w:val="00D21DBD"/>
    <w:rsid w:val="00D21F09"/>
    <w:rsid w:val="00D224CC"/>
    <w:rsid w:val="00D24153"/>
    <w:rsid w:val="00D252E0"/>
    <w:rsid w:val="00D258D8"/>
    <w:rsid w:val="00D26B50"/>
    <w:rsid w:val="00D273E0"/>
    <w:rsid w:val="00D30672"/>
    <w:rsid w:val="00D306C2"/>
    <w:rsid w:val="00D307DA"/>
    <w:rsid w:val="00D30B74"/>
    <w:rsid w:val="00D30D0E"/>
    <w:rsid w:val="00D30DE9"/>
    <w:rsid w:val="00D32029"/>
    <w:rsid w:val="00D326D3"/>
    <w:rsid w:val="00D32934"/>
    <w:rsid w:val="00D329EE"/>
    <w:rsid w:val="00D32D46"/>
    <w:rsid w:val="00D33871"/>
    <w:rsid w:val="00D33AFA"/>
    <w:rsid w:val="00D33B65"/>
    <w:rsid w:val="00D34461"/>
    <w:rsid w:val="00D34D33"/>
    <w:rsid w:val="00D34E90"/>
    <w:rsid w:val="00D34E9A"/>
    <w:rsid w:val="00D35D3F"/>
    <w:rsid w:val="00D361E0"/>
    <w:rsid w:val="00D3730C"/>
    <w:rsid w:val="00D37336"/>
    <w:rsid w:val="00D3773C"/>
    <w:rsid w:val="00D37B6E"/>
    <w:rsid w:val="00D37BAA"/>
    <w:rsid w:val="00D402DA"/>
    <w:rsid w:val="00D40687"/>
    <w:rsid w:val="00D40AE4"/>
    <w:rsid w:val="00D41286"/>
    <w:rsid w:val="00D41688"/>
    <w:rsid w:val="00D41DDA"/>
    <w:rsid w:val="00D42729"/>
    <w:rsid w:val="00D435A5"/>
    <w:rsid w:val="00D436FB"/>
    <w:rsid w:val="00D43A0B"/>
    <w:rsid w:val="00D43C3F"/>
    <w:rsid w:val="00D440D3"/>
    <w:rsid w:val="00D45839"/>
    <w:rsid w:val="00D46BD9"/>
    <w:rsid w:val="00D47526"/>
    <w:rsid w:val="00D4763E"/>
    <w:rsid w:val="00D47AC6"/>
    <w:rsid w:val="00D47E06"/>
    <w:rsid w:val="00D50A39"/>
    <w:rsid w:val="00D50B63"/>
    <w:rsid w:val="00D51C1A"/>
    <w:rsid w:val="00D51D36"/>
    <w:rsid w:val="00D527C7"/>
    <w:rsid w:val="00D52A75"/>
    <w:rsid w:val="00D52CFD"/>
    <w:rsid w:val="00D5342B"/>
    <w:rsid w:val="00D53852"/>
    <w:rsid w:val="00D53D58"/>
    <w:rsid w:val="00D547BD"/>
    <w:rsid w:val="00D5487B"/>
    <w:rsid w:val="00D54A29"/>
    <w:rsid w:val="00D56855"/>
    <w:rsid w:val="00D5743C"/>
    <w:rsid w:val="00D575EA"/>
    <w:rsid w:val="00D6008F"/>
    <w:rsid w:val="00D60382"/>
    <w:rsid w:val="00D60EF0"/>
    <w:rsid w:val="00D61DF0"/>
    <w:rsid w:val="00D6246C"/>
    <w:rsid w:val="00D62581"/>
    <w:rsid w:val="00D62926"/>
    <w:rsid w:val="00D62A09"/>
    <w:rsid w:val="00D62C9E"/>
    <w:rsid w:val="00D6392F"/>
    <w:rsid w:val="00D63A4F"/>
    <w:rsid w:val="00D655D3"/>
    <w:rsid w:val="00D665AB"/>
    <w:rsid w:val="00D66816"/>
    <w:rsid w:val="00D66BCE"/>
    <w:rsid w:val="00D6707E"/>
    <w:rsid w:val="00D67B74"/>
    <w:rsid w:val="00D703D5"/>
    <w:rsid w:val="00D70428"/>
    <w:rsid w:val="00D70F4B"/>
    <w:rsid w:val="00D70FAE"/>
    <w:rsid w:val="00D70FED"/>
    <w:rsid w:val="00D71180"/>
    <w:rsid w:val="00D71E5A"/>
    <w:rsid w:val="00D72152"/>
    <w:rsid w:val="00D740D8"/>
    <w:rsid w:val="00D74821"/>
    <w:rsid w:val="00D7483B"/>
    <w:rsid w:val="00D749FC"/>
    <w:rsid w:val="00D75189"/>
    <w:rsid w:val="00D75DCC"/>
    <w:rsid w:val="00D75E0D"/>
    <w:rsid w:val="00D76442"/>
    <w:rsid w:val="00D76573"/>
    <w:rsid w:val="00D76892"/>
    <w:rsid w:val="00D7744E"/>
    <w:rsid w:val="00D77A74"/>
    <w:rsid w:val="00D77AEE"/>
    <w:rsid w:val="00D77C67"/>
    <w:rsid w:val="00D80475"/>
    <w:rsid w:val="00D81163"/>
    <w:rsid w:val="00D81BDB"/>
    <w:rsid w:val="00D820EB"/>
    <w:rsid w:val="00D82635"/>
    <w:rsid w:val="00D8269E"/>
    <w:rsid w:val="00D832EE"/>
    <w:rsid w:val="00D83BC5"/>
    <w:rsid w:val="00D83E8E"/>
    <w:rsid w:val="00D84226"/>
    <w:rsid w:val="00D84B15"/>
    <w:rsid w:val="00D84C1B"/>
    <w:rsid w:val="00D84F4A"/>
    <w:rsid w:val="00D8590C"/>
    <w:rsid w:val="00D85C0F"/>
    <w:rsid w:val="00D85F8F"/>
    <w:rsid w:val="00D861E0"/>
    <w:rsid w:val="00D8649F"/>
    <w:rsid w:val="00D867A3"/>
    <w:rsid w:val="00D867FA"/>
    <w:rsid w:val="00D8700C"/>
    <w:rsid w:val="00D870A6"/>
    <w:rsid w:val="00D87CCB"/>
    <w:rsid w:val="00D87D25"/>
    <w:rsid w:val="00D90664"/>
    <w:rsid w:val="00D9076A"/>
    <w:rsid w:val="00D91625"/>
    <w:rsid w:val="00D91A7E"/>
    <w:rsid w:val="00D930D4"/>
    <w:rsid w:val="00D93360"/>
    <w:rsid w:val="00D93684"/>
    <w:rsid w:val="00D93828"/>
    <w:rsid w:val="00D93C72"/>
    <w:rsid w:val="00D93D9E"/>
    <w:rsid w:val="00D94197"/>
    <w:rsid w:val="00D94634"/>
    <w:rsid w:val="00D948A9"/>
    <w:rsid w:val="00D953FF"/>
    <w:rsid w:val="00D954FE"/>
    <w:rsid w:val="00D95A4F"/>
    <w:rsid w:val="00D963A5"/>
    <w:rsid w:val="00D970E0"/>
    <w:rsid w:val="00DA0522"/>
    <w:rsid w:val="00DA3112"/>
    <w:rsid w:val="00DA34C8"/>
    <w:rsid w:val="00DA3D2D"/>
    <w:rsid w:val="00DA4692"/>
    <w:rsid w:val="00DA52B0"/>
    <w:rsid w:val="00DA5613"/>
    <w:rsid w:val="00DA5986"/>
    <w:rsid w:val="00DA6020"/>
    <w:rsid w:val="00DA648C"/>
    <w:rsid w:val="00DA6876"/>
    <w:rsid w:val="00DA6B54"/>
    <w:rsid w:val="00DA6FDE"/>
    <w:rsid w:val="00DA75B5"/>
    <w:rsid w:val="00DA78A1"/>
    <w:rsid w:val="00DB093D"/>
    <w:rsid w:val="00DB0F14"/>
    <w:rsid w:val="00DB11AF"/>
    <w:rsid w:val="00DB138B"/>
    <w:rsid w:val="00DB1785"/>
    <w:rsid w:val="00DB17FA"/>
    <w:rsid w:val="00DB204A"/>
    <w:rsid w:val="00DB21FA"/>
    <w:rsid w:val="00DB2352"/>
    <w:rsid w:val="00DB250A"/>
    <w:rsid w:val="00DB27A9"/>
    <w:rsid w:val="00DB293A"/>
    <w:rsid w:val="00DB29D7"/>
    <w:rsid w:val="00DB2F51"/>
    <w:rsid w:val="00DB41D2"/>
    <w:rsid w:val="00DB45AE"/>
    <w:rsid w:val="00DB4AB7"/>
    <w:rsid w:val="00DB5E4A"/>
    <w:rsid w:val="00DB66AF"/>
    <w:rsid w:val="00DB6D09"/>
    <w:rsid w:val="00DB7C82"/>
    <w:rsid w:val="00DB7D2E"/>
    <w:rsid w:val="00DB7EFC"/>
    <w:rsid w:val="00DC052F"/>
    <w:rsid w:val="00DC0C38"/>
    <w:rsid w:val="00DC11F1"/>
    <w:rsid w:val="00DC173B"/>
    <w:rsid w:val="00DC1A12"/>
    <w:rsid w:val="00DC1DF5"/>
    <w:rsid w:val="00DC26E9"/>
    <w:rsid w:val="00DC2D8F"/>
    <w:rsid w:val="00DC2E50"/>
    <w:rsid w:val="00DC2F94"/>
    <w:rsid w:val="00DC4A16"/>
    <w:rsid w:val="00DC4C00"/>
    <w:rsid w:val="00DC4E48"/>
    <w:rsid w:val="00DC5CFE"/>
    <w:rsid w:val="00DC6EBB"/>
    <w:rsid w:val="00DC75CA"/>
    <w:rsid w:val="00DC7C76"/>
    <w:rsid w:val="00DD0907"/>
    <w:rsid w:val="00DD29C0"/>
    <w:rsid w:val="00DD2A05"/>
    <w:rsid w:val="00DD32A6"/>
    <w:rsid w:val="00DD358F"/>
    <w:rsid w:val="00DD3BFD"/>
    <w:rsid w:val="00DD3E56"/>
    <w:rsid w:val="00DD4344"/>
    <w:rsid w:val="00DD4A1F"/>
    <w:rsid w:val="00DD4AA0"/>
    <w:rsid w:val="00DD4AEF"/>
    <w:rsid w:val="00DD54F4"/>
    <w:rsid w:val="00DD5A2F"/>
    <w:rsid w:val="00DD742B"/>
    <w:rsid w:val="00DD7B50"/>
    <w:rsid w:val="00DE146F"/>
    <w:rsid w:val="00DE1986"/>
    <w:rsid w:val="00DE2171"/>
    <w:rsid w:val="00DE321C"/>
    <w:rsid w:val="00DE39D7"/>
    <w:rsid w:val="00DE56AD"/>
    <w:rsid w:val="00DE635A"/>
    <w:rsid w:val="00DE6373"/>
    <w:rsid w:val="00DE6624"/>
    <w:rsid w:val="00DE737D"/>
    <w:rsid w:val="00DE79AD"/>
    <w:rsid w:val="00DE7C7C"/>
    <w:rsid w:val="00DF0009"/>
    <w:rsid w:val="00DF04EB"/>
    <w:rsid w:val="00DF0A33"/>
    <w:rsid w:val="00DF0B53"/>
    <w:rsid w:val="00DF0DFB"/>
    <w:rsid w:val="00DF1181"/>
    <w:rsid w:val="00DF15B0"/>
    <w:rsid w:val="00DF16AC"/>
    <w:rsid w:val="00DF1A3C"/>
    <w:rsid w:val="00DF2082"/>
    <w:rsid w:val="00DF2E4B"/>
    <w:rsid w:val="00DF44DB"/>
    <w:rsid w:val="00DF4DB4"/>
    <w:rsid w:val="00DF5FBE"/>
    <w:rsid w:val="00DF6BD6"/>
    <w:rsid w:val="00E00878"/>
    <w:rsid w:val="00E01D67"/>
    <w:rsid w:val="00E022E3"/>
    <w:rsid w:val="00E02CB0"/>
    <w:rsid w:val="00E02E52"/>
    <w:rsid w:val="00E0329F"/>
    <w:rsid w:val="00E03376"/>
    <w:rsid w:val="00E03B7C"/>
    <w:rsid w:val="00E03C43"/>
    <w:rsid w:val="00E052C6"/>
    <w:rsid w:val="00E05317"/>
    <w:rsid w:val="00E05AC0"/>
    <w:rsid w:val="00E05B86"/>
    <w:rsid w:val="00E06B1E"/>
    <w:rsid w:val="00E06D79"/>
    <w:rsid w:val="00E0795C"/>
    <w:rsid w:val="00E1010C"/>
    <w:rsid w:val="00E1052F"/>
    <w:rsid w:val="00E10773"/>
    <w:rsid w:val="00E108CF"/>
    <w:rsid w:val="00E10BBD"/>
    <w:rsid w:val="00E10FC0"/>
    <w:rsid w:val="00E12045"/>
    <w:rsid w:val="00E12342"/>
    <w:rsid w:val="00E129C1"/>
    <w:rsid w:val="00E12E21"/>
    <w:rsid w:val="00E13AA6"/>
    <w:rsid w:val="00E1420C"/>
    <w:rsid w:val="00E14777"/>
    <w:rsid w:val="00E147E6"/>
    <w:rsid w:val="00E14C1A"/>
    <w:rsid w:val="00E15520"/>
    <w:rsid w:val="00E15CF5"/>
    <w:rsid w:val="00E16AF7"/>
    <w:rsid w:val="00E1706F"/>
    <w:rsid w:val="00E17E2D"/>
    <w:rsid w:val="00E202A2"/>
    <w:rsid w:val="00E210CA"/>
    <w:rsid w:val="00E2142D"/>
    <w:rsid w:val="00E216A7"/>
    <w:rsid w:val="00E2226D"/>
    <w:rsid w:val="00E225AC"/>
    <w:rsid w:val="00E225C2"/>
    <w:rsid w:val="00E23E15"/>
    <w:rsid w:val="00E243D4"/>
    <w:rsid w:val="00E24DC2"/>
    <w:rsid w:val="00E2507D"/>
    <w:rsid w:val="00E253A3"/>
    <w:rsid w:val="00E26053"/>
    <w:rsid w:val="00E26609"/>
    <w:rsid w:val="00E273F8"/>
    <w:rsid w:val="00E27EDA"/>
    <w:rsid w:val="00E30427"/>
    <w:rsid w:val="00E30992"/>
    <w:rsid w:val="00E30F95"/>
    <w:rsid w:val="00E3105E"/>
    <w:rsid w:val="00E31125"/>
    <w:rsid w:val="00E31139"/>
    <w:rsid w:val="00E31A1A"/>
    <w:rsid w:val="00E32D1F"/>
    <w:rsid w:val="00E3335D"/>
    <w:rsid w:val="00E335A2"/>
    <w:rsid w:val="00E343C3"/>
    <w:rsid w:val="00E34ADA"/>
    <w:rsid w:val="00E372A4"/>
    <w:rsid w:val="00E40104"/>
    <w:rsid w:val="00E4037A"/>
    <w:rsid w:val="00E4054A"/>
    <w:rsid w:val="00E405E5"/>
    <w:rsid w:val="00E40628"/>
    <w:rsid w:val="00E40CBB"/>
    <w:rsid w:val="00E42DC5"/>
    <w:rsid w:val="00E43035"/>
    <w:rsid w:val="00E434C1"/>
    <w:rsid w:val="00E45F18"/>
    <w:rsid w:val="00E46044"/>
    <w:rsid w:val="00E4675F"/>
    <w:rsid w:val="00E46813"/>
    <w:rsid w:val="00E47BAB"/>
    <w:rsid w:val="00E500F5"/>
    <w:rsid w:val="00E50777"/>
    <w:rsid w:val="00E50900"/>
    <w:rsid w:val="00E513DE"/>
    <w:rsid w:val="00E52690"/>
    <w:rsid w:val="00E52A17"/>
    <w:rsid w:val="00E52A62"/>
    <w:rsid w:val="00E52FFD"/>
    <w:rsid w:val="00E54610"/>
    <w:rsid w:val="00E55ADD"/>
    <w:rsid w:val="00E565C8"/>
    <w:rsid w:val="00E5721F"/>
    <w:rsid w:val="00E57308"/>
    <w:rsid w:val="00E57986"/>
    <w:rsid w:val="00E615C3"/>
    <w:rsid w:val="00E62E93"/>
    <w:rsid w:val="00E632AC"/>
    <w:rsid w:val="00E636A1"/>
    <w:rsid w:val="00E636C8"/>
    <w:rsid w:val="00E64274"/>
    <w:rsid w:val="00E644D3"/>
    <w:rsid w:val="00E65535"/>
    <w:rsid w:val="00E6596F"/>
    <w:rsid w:val="00E65C47"/>
    <w:rsid w:val="00E66706"/>
    <w:rsid w:val="00E66DEC"/>
    <w:rsid w:val="00E66FB0"/>
    <w:rsid w:val="00E67DFF"/>
    <w:rsid w:val="00E704C3"/>
    <w:rsid w:val="00E71570"/>
    <w:rsid w:val="00E718D8"/>
    <w:rsid w:val="00E7230E"/>
    <w:rsid w:val="00E72ABF"/>
    <w:rsid w:val="00E72E91"/>
    <w:rsid w:val="00E738A2"/>
    <w:rsid w:val="00E73F06"/>
    <w:rsid w:val="00E742EF"/>
    <w:rsid w:val="00E74EB1"/>
    <w:rsid w:val="00E752F9"/>
    <w:rsid w:val="00E767F3"/>
    <w:rsid w:val="00E768DC"/>
    <w:rsid w:val="00E7745B"/>
    <w:rsid w:val="00E7758A"/>
    <w:rsid w:val="00E81203"/>
    <w:rsid w:val="00E81537"/>
    <w:rsid w:val="00E82775"/>
    <w:rsid w:val="00E827D1"/>
    <w:rsid w:val="00E82E2E"/>
    <w:rsid w:val="00E83106"/>
    <w:rsid w:val="00E831B7"/>
    <w:rsid w:val="00E84833"/>
    <w:rsid w:val="00E84AFE"/>
    <w:rsid w:val="00E84D02"/>
    <w:rsid w:val="00E857E7"/>
    <w:rsid w:val="00E85B18"/>
    <w:rsid w:val="00E86900"/>
    <w:rsid w:val="00E86F3E"/>
    <w:rsid w:val="00E87120"/>
    <w:rsid w:val="00E8720E"/>
    <w:rsid w:val="00E876FA"/>
    <w:rsid w:val="00E879D1"/>
    <w:rsid w:val="00E87E27"/>
    <w:rsid w:val="00E908C2"/>
    <w:rsid w:val="00E90B15"/>
    <w:rsid w:val="00E9140C"/>
    <w:rsid w:val="00E917C1"/>
    <w:rsid w:val="00E91FC6"/>
    <w:rsid w:val="00E92254"/>
    <w:rsid w:val="00E92EA9"/>
    <w:rsid w:val="00E92F23"/>
    <w:rsid w:val="00E94246"/>
    <w:rsid w:val="00E9425D"/>
    <w:rsid w:val="00E942E4"/>
    <w:rsid w:val="00E94756"/>
    <w:rsid w:val="00E94F95"/>
    <w:rsid w:val="00E95B5F"/>
    <w:rsid w:val="00E95C89"/>
    <w:rsid w:val="00E95C93"/>
    <w:rsid w:val="00E95E5F"/>
    <w:rsid w:val="00E95FF9"/>
    <w:rsid w:val="00E966C7"/>
    <w:rsid w:val="00E96879"/>
    <w:rsid w:val="00E9733C"/>
    <w:rsid w:val="00E97AFD"/>
    <w:rsid w:val="00EA07AA"/>
    <w:rsid w:val="00EA2915"/>
    <w:rsid w:val="00EA390D"/>
    <w:rsid w:val="00EA39E8"/>
    <w:rsid w:val="00EA5644"/>
    <w:rsid w:val="00EA57F1"/>
    <w:rsid w:val="00EA622F"/>
    <w:rsid w:val="00EA6589"/>
    <w:rsid w:val="00EA6E92"/>
    <w:rsid w:val="00EA730A"/>
    <w:rsid w:val="00EA754E"/>
    <w:rsid w:val="00EA7DB0"/>
    <w:rsid w:val="00EB0EF9"/>
    <w:rsid w:val="00EB1785"/>
    <w:rsid w:val="00EB29ED"/>
    <w:rsid w:val="00EB3D56"/>
    <w:rsid w:val="00EB4D9D"/>
    <w:rsid w:val="00EB504C"/>
    <w:rsid w:val="00EB537F"/>
    <w:rsid w:val="00EB5AC5"/>
    <w:rsid w:val="00EB5F2F"/>
    <w:rsid w:val="00EB7662"/>
    <w:rsid w:val="00EB7741"/>
    <w:rsid w:val="00EC0DA4"/>
    <w:rsid w:val="00EC0F6B"/>
    <w:rsid w:val="00EC10F6"/>
    <w:rsid w:val="00EC1779"/>
    <w:rsid w:val="00EC179A"/>
    <w:rsid w:val="00EC2395"/>
    <w:rsid w:val="00EC23EE"/>
    <w:rsid w:val="00EC2B04"/>
    <w:rsid w:val="00EC2B69"/>
    <w:rsid w:val="00EC3107"/>
    <w:rsid w:val="00EC349F"/>
    <w:rsid w:val="00EC452E"/>
    <w:rsid w:val="00EC4D52"/>
    <w:rsid w:val="00EC50AA"/>
    <w:rsid w:val="00EC54F3"/>
    <w:rsid w:val="00EC57DD"/>
    <w:rsid w:val="00EC59AD"/>
    <w:rsid w:val="00EC5FD4"/>
    <w:rsid w:val="00EC6074"/>
    <w:rsid w:val="00EC70DF"/>
    <w:rsid w:val="00ED0584"/>
    <w:rsid w:val="00ED0E09"/>
    <w:rsid w:val="00ED1168"/>
    <w:rsid w:val="00ED165F"/>
    <w:rsid w:val="00ED1778"/>
    <w:rsid w:val="00ED1900"/>
    <w:rsid w:val="00ED1BF8"/>
    <w:rsid w:val="00ED1C26"/>
    <w:rsid w:val="00ED1D57"/>
    <w:rsid w:val="00ED1D5F"/>
    <w:rsid w:val="00ED2B99"/>
    <w:rsid w:val="00ED3026"/>
    <w:rsid w:val="00ED314D"/>
    <w:rsid w:val="00ED34C7"/>
    <w:rsid w:val="00ED4032"/>
    <w:rsid w:val="00ED4C0D"/>
    <w:rsid w:val="00ED66C2"/>
    <w:rsid w:val="00ED67B1"/>
    <w:rsid w:val="00ED6960"/>
    <w:rsid w:val="00ED6F12"/>
    <w:rsid w:val="00ED6FF6"/>
    <w:rsid w:val="00ED721B"/>
    <w:rsid w:val="00ED7DE0"/>
    <w:rsid w:val="00ED7FF7"/>
    <w:rsid w:val="00EE0046"/>
    <w:rsid w:val="00EE04BC"/>
    <w:rsid w:val="00EE05D9"/>
    <w:rsid w:val="00EE0B0D"/>
    <w:rsid w:val="00EE1284"/>
    <w:rsid w:val="00EE1A38"/>
    <w:rsid w:val="00EE1B30"/>
    <w:rsid w:val="00EE1B6B"/>
    <w:rsid w:val="00EE1EFD"/>
    <w:rsid w:val="00EE24AB"/>
    <w:rsid w:val="00EE2500"/>
    <w:rsid w:val="00EE2AB4"/>
    <w:rsid w:val="00EE4520"/>
    <w:rsid w:val="00EE4F99"/>
    <w:rsid w:val="00EE5469"/>
    <w:rsid w:val="00EE5D39"/>
    <w:rsid w:val="00EE685D"/>
    <w:rsid w:val="00EE6A79"/>
    <w:rsid w:val="00EE716E"/>
    <w:rsid w:val="00EE7499"/>
    <w:rsid w:val="00EE7A8C"/>
    <w:rsid w:val="00EF0613"/>
    <w:rsid w:val="00EF0637"/>
    <w:rsid w:val="00EF06CF"/>
    <w:rsid w:val="00EF1264"/>
    <w:rsid w:val="00EF13CA"/>
    <w:rsid w:val="00EF1462"/>
    <w:rsid w:val="00EF14CF"/>
    <w:rsid w:val="00EF1559"/>
    <w:rsid w:val="00EF16E0"/>
    <w:rsid w:val="00EF1864"/>
    <w:rsid w:val="00EF1AE1"/>
    <w:rsid w:val="00EF1B21"/>
    <w:rsid w:val="00EF1CBA"/>
    <w:rsid w:val="00EF20A1"/>
    <w:rsid w:val="00EF2DD2"/>
    <w:rsid w:val="00EF2F9A"/>
    <w:rsid w:val="00EF33F9"/>
    <w:rsid w:val="00EF3F73"/>
    <w:rsid w:val="00EF3FA7"/>
    <w:rsid w:val="00EF4D7C"/>
    <w:rsid w:val="00EF5024"/>
    <w:rsid w:val="00EF53F2"/>
    <w:rsid w:val="00EF55E3"/>
    <w:rsid w:val="00EF5751"/>
    <w:rsid w:val="00EF5875"/>
    <w:rsid w:val="00EF5D20"/>
    <w:rsid w:val="00EF62CE"/>
    <w:rsid w:val="00EF65F9"/>
    <w:rsid w:val="00EF6B5E"/>
    <w:rsid w:val="00EF6DC6"/>
    <w:rsid w:val="00EF7018"/>
    <w:rsid w:val="00EF726E"/>
    <w:rsid w:val="00EF74E5"/>
    <w:rsid w:val="00F001B2"/>
    <w:rsid w:val="00F00253"/>
    <w:rsid w:val="00F003AD"/>
    <w:rsid w:val="00F00D67"/>
    <w:rsid w:val="00F01DB5"/>
    <w:rsid w:val="00F0230F"/>
    <w:rsid w:val="00F0271E"/>
    <w:rsid w:val="00F0272F"/>
    <w:rsid w:val="00F028BB"/>
    <w:rsid w:val="00F0390E"/>
    <w:rsid w:val="00F03B23"/>
    <w:rsid w:val="00F03DBC"/>
    <w:rsid w:val="00F03E31"/>
    <w:rsid w:val="00F03E41"/>
    <w:rsid w:val="00F05645"/>
    <w:rsid w:val="00F05AFA"/>
    <w:rsid w:val="00F05CA2"/>
    <w:rsid w:val="00F064FE"/>
    <w:rsid w:val="00F06A78"/>
    <w:rsid w:val="00F06D80"/>
    <w:rsid w:val="00F076E2"/>
    <w:rsid w:val="00F07C28"/>
    <w:rsid w:val="00F07DE0"/>
    <w:rsid w:val="00F10020"/>
    <w:rsid w:val="00F10160"/>
    <w:rsid w:val="00F1016F"/>
    <w:rsid w:val="00F1025B"/>
    <w:rsid w:val="00F10328"/>
    <w:rsid w:val="00F1061C"/>
    <w:rsid w:val="00F10FF3"/>
    <w:rsid w:val="00F11198"/>
    <w:rsid w:val="00F11331"/>
    <w:rsid w:val="00F11D48"/>
    <w:rsid w:val="00F12CA7"/>
    <w:rsid w:val="00F133BF"/>
    <w:rsid w:val="00F13493"/>
    <w:rsid w:val="00F1390E"/>
    <w:rsid w:val="00F13961"/>
    <w:rsid w:val="00F1466E"/>
    <w:rsid w:val="00F148AD"/>
    <w:rsid w:val="00F14AB6"/>
    <w:rsid w:val="00F15B1A"/>
    <w:rsid w:val="00F15B84"/>
    <w:rsid w:val="00F15DAC"/>
    <w:rsid w:val="00F16529"/>
    <w:rsid w:val="00F16832"/>
    <w:rsid w:val="00F16A44"/>
    <w:rsid w:val="00F16BBD"/>
    <w:rsid w:val="00F16F70"/>
    <w:rsid w:val="00F174E2"/>
    <w:rsid w:val="00F20666"/>
    <w:rsid w:val="00F20674"/>
    <w:rsid w:val="00F21DBB"/>
    <w:rsid w:val="00F241D9"/>
    <w:rsid w:val="00F2426A"/>
    <w:rsid w:val="00F24784"/>
    <w:rsid w:val="00F24E85"/>
    <w:rsid w:val="00F250E6"/>
    <w:rsid w:val="00F25BB5"/>
    <w:rsid w:val="00F2657B"/>
    <w:rsid w:val="00F267BE"/>
    <w:rsid w:val="00F26BAB"/>
    <w:rsid w:val="00F26D18"/>
    <w:rsid w:val="00F27210"/>
    <w:rsid w:val="00F27412"/>
    <w:rsid w:val="00F2789C"/>
    <w:rsid w:val="00F27C1D"/>
    <w:rsid w:val="00F30486"/>
    <w:rsid w:val="00F30675"/>
    <w:rsid w:val="00F30793"/>
    <w:rsid w:val="00F30D4B"/>
    <w:rsid w:val="00F312B5"/>
    <w:rsid w:val="00F3227F"/>
    <w:rsid w:val="00F32429"/>
    <w:rsid w:val="00F326E1"/>
    <w:rsid w:val="00F33FA1"/>
    <w:rsid w:val="00F34BA9"/>
    <w:rsid w:val="00F350A9"/>
    <w:rsid w:val="00F35669"/>
    <w:rsid w:val="00F35B0B"/>
    <w:rsid w:val="00F35C32"/>
    <w:rsid w:val="00F35DED"/>
    <w:rsid w:val="00F35E2C"/>
    <w:rsid w:val="00F36620"/>
    <w:rsid w:val="00F3795F"/>
    <w:rsid w:val="00F37E39"/>
    <w:rsid w:val="00F4000F"/>
    <w:rsid w:val="00F408D9"/>
    <w:rsid w:val="00F40B68"/>
    <w:rsid w:val="00F40ECD"/>
    <w:rsid w:val="00F41A37"/>
    <w:rsid w:val="00F422D9"/>
    <w:rsid w:val="00F4294D"/>
    <w:rsid w:val="00F42E77"/>
    <w:rsid w:val="00F43899"/>
    <w:rsid w:val="00F43B1A"/>
    <w:rsid w:val="00F448C9"/>
    <w:rsid w:val="00F44C1B"/>
    <w:rsid w:val="00F44DD3"/>
    <w:rsid w:val="00F44EA1"/>
    <w:rsid w:val="00F44EA6"/>
    <w:rsid w:val="00F45370"/>
    <w:rsid w:val="00F45753"/>
    <w:rsid w:val="00F4643E"/>
    <w:rsid w:val="00F46653"/>
    <w:rsid w:val="00F4704E"/>
    <w:rsid w:val="00F474F0"/>
    <w:rsid w:val="00F47664"/>
    <w:rsid w:val="00F4776F"/>
    <w:rsid w:val="00F47EE0"/>
    <w:rsid w:val="00F50353"/>
    <w:rsid w:val="00F50AAE"/>
    <w:rsid w:val="00F50E7F"/>
    <w:rsid w:val="00F50F2A"/>
    <w:rsid w:val="00F51740"/>
    <w:rsid w:val="00F521B9"/>
    <w:rsid w:val="00F52281"/>
    <w:rsid w:val="00F52847"/>
    <w:rsid w:val="00F52F2E"/>
    <w:rsid w:val="00F52F96"/>
    <w:rsid w:val="00F5314E"/>
    <w:rsid w:val="00F53214"/>
    <w:rsid w:val="00F54150"/>
    <w:rsid w:val="00F5436D"/>
    <w:rsid w:val="00F549CF"/>
    <w:rsid w:val="00F5510B"/>
    <w:rsid w:val="00F5586C"/>
    <w:rsid w:val="00F5622A"/>
    <w:rsid w:val="00F56644"/>
    <w:rsid w:val="00F566E9"/>
    <w:rsid w:val="00F56FFB"/>
    <w:rsid w:val="00F5749C"/>
    <w:rsid w:val="00F609B4"/>
    <w:rsid w:val="00F609E0"/>
    <w:rsid w:val="00F61053"/>
    <w:rsid w:val="00F612ED"/>
    <w:rsid w:val="00F61607"/>
    <w:rsid w:val="00F618ED"/>
    <w:rsid w:val="00F61F8F"/>
    <w:rsid w:val="00F61FE5"/>
    <w:rsid w:val="00F6220F"/>
    <w:rsid w:val="00F62F61"/>
    <w:rsid w:val="00F62FDD"/>
    <w:rsid w:val="00F6327E"/>
    <w:rsid w:val="00F6345E"/>
    <w:rsid w:val="00F63A4A"/>
    <w:rsid w:val="00F63B2E"/>
    <w:rsid w:val="00F649A1"/>
    <w:rsid w:val="00F6564D"/>
    <w:rsid w:val="00F65697"/>
    <w:rsid w:val="00F65771"/>
    <w:rsid w:val="00F657D5"/>
    <w:rsid w:val="00F65D3D"/>
    <w:rsid w:val="00F66232"/>
    <w:rsid w:val="00F6629A"/>
    <w:rsid w:val="00F6772C"/>
    <w:rsid w:val="00F67BCF"/>
    <w:rsid w:val="00F67D1E"/>
    <w:rsid w:val="00F67D49"/>
    <w:rsid w:val="00F70756"/>
    <w:rsid w:val="00F709B2"/>
    <w:rsid w:val="00F711D4"/>
    <w:rsid w:val="00F716EA"/>
    <w:rsid w:val="00F71AC9"/>
    <w:rsid w:val="00F71DD9"/>
    <w:rsid w:val="00F72EC6"/>
    <w:rsid w:val="00F73660"/>
    <w:rsid w:val="00F7375B"/>
    <w:rsid w:val="00F747DB"/>
    <w:rsid w:val="00F74FFB"/>
    <w:rsid w:val="00F750F4"/>
    <w:rsid w:val="00F75190"/>
    <w:rsid w:val="00F751C8"/>
    <w:rsid w:val="00F75EF5"/>
    <w:rsid w:val="00F763E7"/>
    <w:rsid w:val="00F76892"/>
    <w:rsid w:val="00F771FC"/>
    <w:rsid w:val="00F80A3A"/>
    <w:rsid w:val="00F80BCB"/>
    <w:rsid w:val="00F80CFA"/>
    <w:rsid w:val="00F811E8"/>
    <w:rsid w:val="00F818CA"/>
    <w:rsid w:val="00F81A75"/>
    <w:rsid w:val="00F823F4"/>
    <w:rsid w:val="00F8243D"/>
    <w:rsid w:val="00F82521"/>
    <w:rsid w:val="00F8281C"/>
    <w:rsid w:val="00F831B1"/>
    <w:rsid w:val="00F8348D"/>
    <w:rsid w:val="00F84EC9"/>
    <w:rsid w:val="00F85623"/>
    <w:rsid w:val="00F856A2"/>
    <w:rsid w:val="00F856EC"/>
    <w:rsid w:val="00F85A38"/>
    <w:rsid w:val="00F86045"/>
    <w:rsid w:val="00F86667"/>
    <w:rsid w:val="00F872B5"/>
    <w:rsid w:val="00F878AC"/>
    <w:rsid w:val="00F87B12"/>
    <w:rsid w:val="00F901F8"/>
    <w:rsid w:val="00F90214"/>
    <w:rsid w:val="00F905E4"/>
    <w:rsid w:val="00F90817"/>
    <w:rsid w:val="00F909CA"/>
    <w:rsid w:val="00F90A0D"/>
    <w:rsid w:val="00F90EB4"/>
    <w:rsid w:val="00F92203"/>
    <w:rsid w:val="00F9231F"/>
    <w:rsid w:val="00F929AC"/>
    <w:rsid w:val="00F92A08"/>
    <w:rsid w:val="00F93414"/>
    <w:rsid w:val="00F942DE"/>
    <w:rsid w:val="00F94487"/>
    <w:rsid w:val="00F948AE"/>
    <w:rsid w:val="00F94BFA"/>
    <w:rsid w:val="00F94F53"/>
    <w:rsid w:val="00F95EDA"/>
    <w:rsid w:val="00F961F5"/>
    <w:rsid w:val="00F963C2"/>
    <w:rsid w:val="00F96A65"/>
    <w:rsid w:val="00F96BE0"/>
    <w:rsid w:val="00F96C73"/>
    <w:rsid w:val="00F96CE7"/>
    <w:rsid w:val="00F96D2A"/>
    <w:rsid w:val="00F975FE"/>
    <w:rsid w:val="00F978E6"/>
    <w:rsid w:val="00FA0DF2"/>
    <w:rsid w:val="00FA18B2"/>
    <w:rsid w:val="00FA1B42"/>
    <w:rsid w:val="00FA1B49"/>
    <w:rsid w:val="00FA1FD9"/>
    <w:rsid w:val="00FA20C6"/>
    <w:rsid w:val="00FA21F1"/>
    <w:rsid w:val="00FA24D3"/>
    <w:rsid w:val="00FA25BC"/>
    <w:rsid w:val="00FA2B84"/>
    <w:rsid w:val="00FA54BE"/>
    <w:rsid w:val="00FA57BE"/>
    <w:rsid w:val="00FA5B25"/>
    <w:rsid w:val="00FA5E14"/>
    <w:rsid w:val="00FA64EE"/>
    <w:rsid w:val="00FA6995"/>
    <w:rsid w:val="00FA6B67"/>
    <w:rsid w:val="00FA71E0"/>
    <w:rsid w:val="00FA7550"/>
    <w:rsid w:val="00FB00B3"/>
    <w:rsid w:val="00FB0E01"/>
    <w:rsid w:val="00FB0E2C"/>
    <w:rsid w:val="00FB121E"/>
    <w:rsid w:val="00FB15D1"/>
    <w:rsid w:val="00FB28B3"/>
    <w:rsid w:val="00FB3187"/>
    <w:rsid w:val="00FB33B1"/>
    <w:rsid w:val="00FB4379"/>
    <w:rsid w:val="00FB43A6"/>
    <w:rsid w:val="00FB4AAD"/>
    <w:rsid w:val="00FB4EF7"/>
    <w:rsid w:val="00FB57DB"/>
    <w:rsid w:val="00FB5979"/>
    <w:rsid w:val="00FB5B32"/>
    <w:rsid w:val="00FB5B49"/>
    <w:rsid w:val="00FB5FEE"/>
    <w:rsid w:val="00FB63E0"/>
    <w:rsid w:val="00FB659B"/>
    <w:rsid w:val="00FB6970"/>
    <w:rsid w:val="00FB69A5"/>
    <w:rsid w:val="00FB6AD1"/>
    <w:rsid w:val="00FB7306"/>
    <w:rsid w:val="00FC0161"/>
    <w:rsid w:val="00FC06A1"/>
    <w:rsid w:val="00FC0E41"/>
    <w:rsid w:val="00FC11D5"/>
    <w:rsid w:val="00FC1BEE"/>
    <w:rsid w:val="00FC1D54"/>
    <w:rsid w:val="00FC1DA4"/>
    <w:rsid w:val="00FC20C3"/>
    <w:rsid w:val="00FC33DD"/>
    <w:rsid w:val="00FC3889"/>
    <w:rsid w:val="00FC38F3"/>
    <w:rsid w:val="00FC3ADA"/>
    <w:rsid w:val="00FC3FDE"/>
    <w:rsid w:val="00FC4052"/>
    <w:rsid w:val="00FC46D3"/>
    <w:rsid w:val="00FC4E07"/>
    <w:rsid w:val="00FC5115"/>
    <w:rsid w:val="00FC56E7"/>
    <w:rsid w:val="00FC5902"/>
    <w:rsid w:val="00FC5BD8"/>
    <w:rsid w:val="00FC601C"/>
    <w:rsid w:val="00FC6268"/>
    <w:rsid w:val="00FC7263"/>
    <w:rsid w:val="00FC79C6"/>
    <w:rsid w:val="00FC7AD6"/>
    <w:rsid w:val="00FD0658"/>
    <w:rsid w:val="00FD09B4"/>
    <w:rsid w:val="00FD1032"/>
    <w:rsid w:val="00FD1668"/>
    <w:rsid w:val="00FD1824"/>
    <w:rsid w:val="00FD1F0E"/>
    <w:rsid w:val="00FD1FC5"/>
    <w:rsid w:val="00FD21D5"/>
    <w:rsid w:val="00FD2298"/>
    <w:rsid w:val="00FD22DA"/>
    <w:rsid w:val="00FD3095"/>
    <w:rsid w:val="00FD44F3"/>
    <w:rsid w:val="00FD4C58"/>
    <w:rsid w:val="00FD4E57"/>
    <w:rsid w:val="00FD5076"/>
    <w:rsid w:val="00FD5127"/>
    <w:rsid w:val="00FD5954"/>
    <w:rsid w:val="00FD5ED1"/>
    <w:rsid w:val="00FD61C4"/>
    <w:rsid w:val="00FD6AC3"/>
    <w:rsid w:val="00FD7145"/>
    <w:rsid w:val="00FD7901"/>
    <w:rsid w:val="00FD79BC"/>
    <w:rsid w:val="00FE10D4"/>
    <w:rsid w:val="00FE149E"/>
    <w:rsid w:val="00FE17ED"/>
    <w:rsid w:val="00FE18C9"/>
    <w:rsid w:val="00FE1D23"/>
    <w:rsid w:val="00FE1FC9"/>
    <w:rsid w:val="00FE21CC"/>
    <w:rsid w:val="00FE2599"/>
    <w:rsid w:val="00FE2C18"/>
    <w:rsid w:val="00FE300E"/>
    <w:rsid w:val="00FE3D7B"/>
    <w:rsid w:val="00FE3E0B"/>
    <w:rsid w:val="00FE3E0C"/>
    <w:rsid w:val="00FE515E"/>
    <w:rsid w:val="00FE5277"/>
    <w:rsid w:val="00FE52D5"/>
    <w:rsid w:val="00FE5900"/>
    <w:rsid w:val="00FE5C2B"/>
    <w:rsid w:val="00FE619F"/>
    <w:rsid w:val="00FE6301"/>
    <w:rsid w:val="00FE6E69"/>
    <w:rsid w:val="00FE7432"/>
    <w:rsid w:val="00FF1075"/>
    <w:rsid w:val="00FF12E0"/>
    <w:rsid w:val="00FF1926"/>
    <w:rsid w:val="00FF1BA9"/>
    <w:rsid w:val="00FF1D5C"/>
    <w:rsid w:val="00FF20DA"/>
    <w:rsid w:val="00FF2351"/>
    <w:rsid w:val="00FF29FF"/>
    <w:rsid w:val="00FF2CD0"/>
    <w:rsid w:val="00FF36FC"/>
    <w:rsid w:val="00FF4076"/>
    <w:rsid w:val="00FF44EF"/>
    <w:rsid w:val="00FF4A4E"/>
    <w:rsid w:val="00FF5010"/>
    <w:rsid w:val="00FF5386"/>
    <w:rsid w:val="00FF54D8"/>
    <w:rsid w:val="00FF54DE"/>
    <w:rsid w:val="00FF5BFA"/>
    <w:rsid w:val="00FF666D"/>
    <w:rsid w:val="00FF6DE2"/>
    <w:rsid w:val="00FF744B"/>
    <w:rsid w:val="00FF7BAD"/>
    <w:rsid w:val="00FF7D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9B2BEC"/>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9B2BEC"/>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9B2BEC"/>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9B2BEC"/>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9B2BEC"/>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9B2BEC"/>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B2BEC"/>
    <w:rPr>
      <w:rFonts w:cs="Times New Roman"/>
      <w:sz w:val="2"/>
    </w:rPr>
  </w:style>
  <w:style w:type="character" w:customStyle="1" w:styleId="hps">
    <w:name w:val="hps"/>
    <w:basedOn w:val="Policepardfaut"/>
    <w:uiPriority w:val="99"/>
    <w:rsid w:val="00A572BB"/>
    <w:rPr>
      <w:rFonts w:cs="Times New Roman"/>
    </w:rPr>
  </w:style>
  <w:style w:type="character" w:customStyle="1" w:styleId="hpsatn">
    <w:name w:val="hps atn"/>
    <w:basedOn w:val="Policepardfaut"/>
    <w:uiPriority w:val="99"/>
    <w:rsid w:val="005A3EF2"/>
    <w:rPr>
      <w:rFonts w:cs="Times New Roman"/>
    </w:rPr>
  </w:style>
  <w:style w:type="character" w:customStyle="1" w:styleId="longtext">
    <w:name w:val="long_text"/>
    <w:basedOn w:val="Policepardfaut"/>
    <w:uiPriority w:val="99"/>
    <w:rsid w:val="004341BB"/>
    <w:rPr>
      <w:rFonts w:cs="Times New Roman"/>
    </w:rPr>
  </w:style>
  <w:style w:type="character" w:customStyle="1" w:styleId="atn">
    <w:name w:val="atn"/>
    <w:basedOn w:val="Policepardfaut"/>
    <w:uiPriority w:val="99"/>
    <w:rsid w:val="004341BB"/>
    <w:rPr>
      <w:rFonts w:cs="Times New Roman"/>
    </w:rPr>
  </w:style>
  <w:style w:type="character" w:customStyle="1" w:styleId="gt-icon-text">
    <w:name w:val="gt-icon-text"/>
    <w:basedOn w:val="Policepardfaut"/>
    <w:uiPriority w:val="99"/>
    <w:rsid w:val="004341BB"/>
    <w:rPr>
      <w:rFonts w:cs="Times New Roman"/>
    </w:rPr>
  </w:style>
  <w:style w:type="character" w:customStyle="1" w:styleId="hpsalt-edited">
    <w:name w:val="hps alt-edited"/>
    <w:basedOn w:val="Policepardfaut"/>
    <w:uiPriority w:val="99"/>
    <w:rsid w:val="00CD3850"/>
    <w:rPr>
      <w:rFonts w:cs="Times New Roman"/>
    </w:rPr>
  </w:style>
  <w:style w:type="character" w:customStyle="1" w:styleId="shorttext">
    <w:name w:val="short_text"/>
    <w:basedOn w:val="Policepardfaut"/>
    <w:uiPriority w:val="99"/>
    <w:rsid w:val="001C043F"/>
    <w:rPr>
      <w:rFonts w:cs="Times New Roman"/>
    </w:rPr>
  </w:style>
</w:styles>
</file>

<file path=word/webSettings.xml><?xml version="1.0" encoding="utf-8"?>
<w:webSettings xmlns:r="http://schemas.openxmlformats.org/officeDocument/2006/relationships" xmlns:w="http://schemas.openxmlformats.org/wordprocessingml/2006/main">
  <w:divs>
    <w:div w:id="232356595">
      <w:marLeft w:val="0"/>
      <w:marRight w:val="0"/>
      <w:marTop w:val="0"/>
      <w:marBottom w:val="0"/>
      <w:divBdr>
        <w:top w:val="none" w:sz="0" w:space="0" w:color="auto"/>
        <w:left w:val="none" w:sz="0" w:space="0" w:color="auto"/>
        <w:bottom w:val="none" w:sz="0" w:space="0" w:color="auto"/>
        <w:right w:val="none" w:sz="0" w:space="0" w:color="auto"/>
      </w:divBdr>
      <w:divsChild>
        <w:div w:id="232356650">
          <w:marLeft w:val="0"/>
          <w:marRight w:val="0"/>
          <w:marTop w:val="0"/>
          <w:marBottom w:val="0"/>
          <w:divBdr>
            <w:top w:val="none" w:sz="0" w:space="0" w:color="auto"/>
            <w:left w:val="none" w:sz="0" w:space="0" w:color="auto"/>
            <w:bottom w:val="none" w:sz="0" w:space="0" w:color="auto"/>
            <w:right w:val="none" w:sz="0" w:space="0" w:color="auto"/>
          </w:divBdr>
          <w:divsChild>
            <w:div w:id="2323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596">
      <w:marLeft w:val="0"/>
      <w:marRight w:val="0"/>
      <w:marTop w:val="0"/>
      <w:marBottom w:val="0"/>
      <w:divBdr>
        <w:top w:val="none" w:sz="0" w:space="0" w:color="auto"/>
        <w:left w:val="none" w:sz="0" w:space="0" w:color="auto"/>
        <w:bottom w:val="none" w:sz="0" w:space="0" w:color="auto"/>
        <w:right w:val="none" w:sz="0" w:space="0" w:color="auto"/>
      </w:divBdr>
      <w:divsChild>
        <w:div w:id="232356693">
          <w:marLeft w:val="0"/>
          <w:marRight w:val="0"/>
          <w:marTop w:val="0"/>
          <w:marBottom w:val="0"/>
          <w:divBdr>
            <w:top w:val="none" w:sz="0" w:space="0" w:color="auto"/>
            <w:left w:val="none" w:sz="0" w:space="0" w:color="auto"/>
            <w:bottom w:val="none" w:sz="0" w:space="0" w:color="auto"/>
            <w:right w:val="none" w:sz="0" w:space="0" w:color="auto"/>
          </w:divBdr>
          <w:divsChild>
            <w:div w:id="2323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599">
      <w:marLeft w:val="0"/>
      <w:marRight w:val="0"/>
      <w:marTop w:val="0"/>
      <w:marBottom w:val="0"/>
      <w:divBdr>
        <w:top w:val="none" w:sz="0" w:space="0" w:color="auto"/>
        <w:left w:val="none" w:sz="0" w:space="0" w:color="auto"/>
        <w:bottom w:val="none" w:sz="0" w:space="0" w:color="auto"/>
        <w:right w:val="none" w:sz="0" w:space="0" w:color="auto"/>
      </w:divBdr>
      <w:divsChild>
        <w:div w:id="232356636">
          <w:marLeft w:val="0"/>
          <w:marRight w:val="0"/>
          <w:marTop w:val="0"/>
          <w:marBottom w:val="0"/>
          <w:divBdr>
            <w:top w:val="none" w:sz="0" w:space="0" w:color="auto"/>
            <w:left w:val="none" w:sz="0" w:space="0" w:color="auto"/>
            <w:bottom w:val="none" w:sz="0" w:space="0" w:color="auto"/>
            <w:right w:val="none" w:sz="0" w:space="0" w:color="auto"/>
          </w:divBdr>
          <w:divsChild>
            <w:div w:id="2323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00">
      <w:marLeft w:val="0"/>
      <w:marRight w:val="0"/>
      <w:marTop w:val="0"/>
      <w:marBottom w:val="0"/>
      <w:divBdr>
        <w:top w:val="none" w:sz="0" w:space="0" w:color="auto"/>
        <w:left w:val="none" w:sz="0" w:space="0" w:color="auto"/>
        <w:bottom w:val="none" w:sz="0" w:space="0" w:color="auto"/>
        <w:right w:val="none" w:sz="0" w:space="0" w:color="auto"/>
      </w:divBdr>
      <w:divsChild>
        <w:div w:id="232356614">
          <w:marLeft w:val="0"/>
          <w:marRight w:val="0"/>
          <w:marTop w:val="0"/>
          <w:marBottom w:val="0"/>
          <w:divBdr>
            <w:top w:val="none" w:sz="0" w:space="0" w:color="auto"/>
            <w:left w:val="none" w:sz="0" w:space="0" w:color="auto"/>
            <w:bottom w:val="none" w:sz="0" w:space="0" w:color="auto"/>
            <w:right w:val="none" w:sz="0" w:space="0" w:color="auto"/>
          </w:divBdr>
          <w:divsChild>
            <w:div w:id="2323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01">
      <w:marLeft w:val="0"/>
      <w:marRight w:val="0"/>
      <w:marTop w:val="0"/>
      <w:marBottom w:val="0"/>
      <w:divBdr>
        <w:top w:val="none" w:sz="0" w:space="0" w:color="auto"/>
        <w:left w:val="none" w:sz="0" w:space="0" w:color="auto"/>
        <w:bottom w:val="none" w:sz="0" w:space="0" w:color="auto"/>
        <w:right w:val="none" w:sz="0" w:space="0" w:color="auto"/>
      </w:divBdr>
    </w:div>
    <w:div w:id="232356605">
      <w:marLeft w:val="0"/>
      <w:marRight w:val="0"/>
      <w:marTop w:val="0"/>
      <w:marBottom w:val="0"/>
      <w:divBdr>
        <w:top w:val="none" w:sz="0" w:space="0" w:color="auto"/>
        <w:left w:val="none" w:sz="0" w:space="0" w:color="auto"/>
        <w:bottom w:val="none" w:sz="0" w:space="0" w:color="auto"/>
        <w:right w:val="none" w:sz="0" w:space="0" w:color="auto"/>
      </w:divBdr>
      <w:divsChild>
        <w:div w:id="232356677">
          <w:marLeft w:val="0"/>
          <w:marRight w:val="0"/>
          <w:marTop w:val="0"/>
          <w:marBottom w:val="0"/>
          <w:divBdr>
            <w:top w:val="none" w:sz="0" w:space="0" w:color="auto"/>
            <w:left w:val="none" w:sz="0" w:space="0" w:color="auto"/>
            <w:bottom w:val="none" w:sz="0" w:space="0" w:color="auto"/>
            <w:right w:val="none" w:sz="0" w:space="0" w:color="auto"/>
          </w:divBdr>
          <w:divsChild>
            <w:div w:id="2323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10">
      <w:marLeft w:val="0"/>
      <w:marRight w:val="0"/>
      <w:marTop w:val="0"/>
      <w:marBottom w:val="0"/>
      <w:divBdr>
        <w:top w:val="none" w:sz="0" w:space="0" w:color="auto"/>
        <w:left w:val="none" w:sz="0" w:space="0" w:color="auto"/>
        <w:bottom w:val="none" w:sz="0" w:space="0" w:color="auto"/>
        <w:right w:val="none" w:sz="0" w:space="0" w:color="auto"/>
      </w:divBdr>
      <w:divsChild>
        <w:div w:id="232356630">
          <w:marLeft w:val="0"/>
          <w:marRight w:val="0"/>
          <w:marTop w:val="0"/>
          <w:marBottom w:val="0"/>
          <w:divBdr>
            <w:top w:val="none" w:sz="0" w:space="0" w:color="auto"/>
            <w:left w:val="none" w:sz="0" w:space="0" w:color="auto"/>
            <w:bottom w:val="none" w:sz="0" w:space="0" w:color="auto"/>
            <w:right w:val="none" w:sz="0" w:space="0" w:color="auto"/>
          </w:divBdr>
          <w:divsChild>
            <w:div w:id="2323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15">
      <w:marLeft w:val="0"/>
      <w:marRight w:val="0"/>
      <w:marTop w:val="0"/>
      <w:marBottom w:val="0"/>
      <w:divBdr>
        <w:top w:val="none" w:sz="0" w:space="0" w:color="auto"/>
        <w:left w:val="none" w:sz="0" w:space="0" w:color="auto"/>
        <w:bottom w:val="none" w:sz="0" w:space="0" w:color="auto"/>
        <w:right w:val="none" w:sz="0" w:space="0" w:color="auto"/>
      </w:divBdr>
      <w:divsChild>
        <w:div w:id="232356658">
          <w:marLeft w:val="0"/>
          <w:marRight w:val="0"/>
          <w:marTop w:val="0"/>
          <w:marBottom w:val="0"/>
          <w:divBdr>
            <w:top w:val="none" w:sz="0" w:space="0" w:color="auto"/>
            <w:left w:val="none" w:sz="0" w:space="0" w:color="auto"/>
            <w:bottom w:val="none" w:sz="0" w:space="0" w:color="auto"/>
            <w:right w:val="none" w:sz="0" w:space="0" w:color="auto"/>
          </w:divBdr>
          <w:divsChild>
            <w:div w:id="2323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19">
      <w:marLeft w:val="0"/>
      <w:marRight w:val="0"/>
      <w:marTop w:val="0"/>
      <w:marBottom w:val="0"/>
      <w:divBdr>
        <w:top w:val="none" w:sz="0" w:space="0" w:color="auto"/>
        <w:left w:val="none" w:sz="0" w:space="0" w:color="auto"/>
        <w:bottom w:val="none" w:sz="0" w:space="0" w:color="auto"/>
        <w:right w:val="none" w:sz="0" w:space="0" w:color="auto"/>
      </w:divBdr>
      <w:divsChild>
        <w:div w:id="232356640">
          <w:marLeft w:val="0"/>
          <w:marRight w:val="0"/>
          <w:marTop w:val="0"/>
          <w:marBottom w:val="0"/>
          <w:divBdr>
            <w:top w:val="none" w:sz="0" w:space="0" w:color="auto"/>
            <w:left w:val="none" w:sz="0" w:space="0" w:color="auto"/>
            <w:bottom w:val="none" w:sz="0" w:space="0" w:color="auto"/>
            <w:right w:val="none" w:sz="0" w:space="0" w:color="auto"/>
          </w:divBdr>
          <w:divsChild>
            <w:div w:id="2323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20">
      <w:marLeft w:val="0"/>
      <w:marRight w:val="0"/>
      <w:marTop w:val="0"/>
      <w:marBottom w:val="0"/>
      <w:divBdr>
        <w:top w:val="none" w:sz="0" w:space="0" w:color="auto"/>
        <w:left w:val="none" w:sz="0" w:space="0" w:color="auto"/>
        <w:bottom w:val="none" w:sz="0" w:space="0" w:color="auto"/>
        <w:right w:val="none" w:sz="0" w:space="0" w:color="auto"/>
      </w:divBdr>
      <w:divsChild>
        <w:div w:id="232356612">
          <w:marLeft w:val="0"/>
          <w:marRight w:val="0"/>
          <w:marTop w:val="0"/>
          <w:marBottom w:val="0"/>
          <w:divBdr>
            <w:top w:val="none" w:sz="0" w:space="0" w:color="auto"/>
            <w:left w:val="none" w:sz="0" w:space="0" w:color="auto"/>
            <w:bottom w:val="none" w:sz="0" w:space="0" w:color="auto"/>
            <w:right w:val="none" w:sz="0" w:space="0" w:color="auto"/>
          </w:divBdr>
          <w:divsChild>
            <w:div w:id="2323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22">
      <w:marLeft w:val="0"/>
      <w:marRight w:val="0"/>
      <w:marTop w:val="0"/>
      <w:marBottom w:val="0"/>
      <w:divBdr>
        <w:top w:val="none" w:sz="0" w:space="0" w:color="auto"/>
        <w:left w:val="none" w:sz="0" w:space="0" w:color="auto"/>
        <w:bottom w:val="none" w:sz="0" w:space="0" w:color="auto"/>
        <w:right w:val="none" w:sz="0" w:space="0" w:color="auto"/>
      </w:divBdr>
      <w:divsChild>
        <w:div w:id="232356645">
          <w:marLeft w:val="0"/>
          <w:marRight w:val="0"/>
          <w:marTop w:val="0"/>
          <w:marBottom w:val="0"/>
          <w:divBdr>
            <w:top w:val="none" w:sz="0" w:space="0" w:color="auto"/>
            <w:left w:val="none" w:sz="0" w:space="0" w:color="auto"/>
            <w:bottom w:val="none" w:sz="0" w:space="0" w:color="auto"/>
            <w:right w:val="none" w:sz="0" w:space="0" w:color="auto"/>
          </w:divBdr>
          <w:divsChild>
            <w:div w:id="2323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23">
      <w:marLeft w:val="0"/>
      <w:marRight w:val="0"/>
      <w:marTop w:val="0"/>
      <w:marBottom w:val="0"/>
      <w:divBdr>
        <w:top w:val="none" w:sz="0" w:space="0" w:color="auto"/>
        <w:left w:val="none" w:sz="0" w:space="0" w:color="auto"/>
        <w:bottom w:val="none" w:sz="0" w:space="0" w:color="auto"/>
        <w:right w:val="none" w:sz="0" w:space="0" w:color="auto"/>
      </w:divBdr>
      <w:divsChild>
        <w:div w:id="232356597">
          <w:marLeft w:val="0"/>
          <w:marRight w:val="0"/>
          <w:marTop w:val="0"/>
          <w:marBottom w:val="0"/>
          <w:divBdr>
            <w:top w:val="none" w:sz="0" w:space="0" w:color="auto"/>
            <w:left w:val="none" w:sz="0" w:space="0" w:color="auto"/>
            <w:bottom w:val="none" w:sz="0" w:space="0" w:color="auto"/>
            <w:right w:val="none" w:sz="0" w:space="0" w:color="auto"/>
          </w:divBdr>
          <w:divsChild>
            <w:div w:id="232356678">
              <w:marLeft w:val="0"/>
              <w:marRight w:val="0"/>
              <w:marTop w:val="0"/>
              <w:marBottom w:val="0"/>
              <w:divBdr>
                <w:top w:val="none" w:sz="0" w:space="0" w:color="auto"/>
                <w:left w:val="none" w:sz="0" w:space="0" w:color="auto"/>
                <w:bottom w:val="none" w:sz="0" w:space="0" w:color="auto"/>
                <w:right w:val="none" w:sz="0" w:space="0" w:color="auto"/>
              </w:divBdr>
            </w:div>
          </w:divsChild>
        </w:div>
        <w:div w:id="232356664">
          <w:marLeft w:val="0"/>
          <w:marRight w:val="0"/>
          <w:marTop w:val="0"/>
          <w:marBottom w:val="0"/>
          <w:divBdr>
            <w:top w:val="none" w:sz="0" w:space="0" w:color="auto"/>
            <w:left w:val="none" w:sz="0" w:space="0" w:color="auto"/>
            <w:bottom w:val="none" w:sz="0" w:space="0" w:color="auto"/>
            <w:right w:val="none" w:sz="0" w:space="0" w:color="auto"/>
          </w:divBdr>
          <w:divsChild>
            <w:div w:id="232356621">
              <w:marLeft w:val="0"/>
              <w:marRight w:val="0"/>
              <w:marTop w:val="0"/>
              <w:marBottom w:val="0"/>
              <w:divBdr>
                <w:top w:val="none" w:sz="0" w:space="0" w:color="auto"/>
                <w:left w:val="none" w:sz="0" w:space="0" w:color="auto"/>
                <w:bottom w:val="none" w:sz="0" w:space="0" w:color="auto"/>
                <w:right w:val="none" w:sz="0" w:space="0" w:color="auto"/>
              </w:divBdr>
            </w:div>
            <w:div w:id="2323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27">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0"/>
          <w:divBdr>
            <w:top w:val="none" w:sz="0" w:space="0" w:color="auto"/>
            <w:left w:val="none" w:sz="0" w:space="0" w:color="auto"/>
            <w:bottom w:val="none" w:sz="0" w:space="0" w:color="auto"/>
            <w:right w:val="none" w:sz="0" w:space="0" w:color="auto"/>
          </w:divBdr>
          <w:divsChild>
            <w:div w:id="2323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28">
      <w:marLeft w:val="0"/>
      <w:marRight w:val="0"/>
      <w:marTop w:val="0"/>
      <w:marBottom w:val="0"/>
      <w:divBdr>
        <w:top w:val="none" w:sz="0" w:space="0" w:color="auto"/>
        <w:left w:val="none" w:sz="0" w:space="0" w:color="auto"/>
        <w:bottom w:val="none" w:sz="0" w:space="0" w:color="auto"/>
        <w:right w:val="none" w:sz="0" w:space="0" w:color="auto"/>
      </w:divBdr>
      <w:divsChild>
        <w:div w:id="232356626">
          <w:marLeft w:val="0"/>
          <w:marRight w:val="0"/>
          <w:marTop w:val="0"/>
          <w:marBottom w:val="0"/>
          <w:divBdr>
            <w:top w:val="none" w:sz="0" w:space="0" w:color="auto"/>
            <w:left w:val="none" w:sz="0" w:space="0" w:color="auto"/>
            <w:bottom w:val="none" w:sz="0" w:space="0" w:color="auto"/>
            <w:right w:val="none" w:sz="0" w:space="0" w:color="auto"/>
          </w:divBdr>
          <w:divsChild>
            <w:div w:id="2323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32">
      <w:marLeft w:val="0"/>
      <w:marRight w:val="0"/>
      <w:marTop w:val="0"/>
      <w:marBottom w:val="0"/>
      <w:divBdr>
        <w:top w:val="none" w:sz="0" w:space="0" w:color="auto"/>
        <w:left w:val="none" w:sz="0" w:space="0" w:color="auto"/>
        <w:bottom w:val="none" w:sz="0" w:space="0" w:color="auto"/>
        <w:right w:val="none" w:sz="0" w:space="0" w:color="auto"/>
      </w:divBdr>
      <w:divsChild>
        <w:div w:id="232356657">
          <w:marLeft w:val="0"/>
          <w:marRight w:val="0"/>
          <w:marTop w:val="0"/>
          <w:marBottom w:val="0"/>
          <w:divBdr>
            <w:top w:val="none" w:sz="0" w:space="0" w:color="auto"/>
            <w:left w:val="none" w:sz="0" w:space="0" w:color="auto"/>
            <w:bottom w:val="none" w:sz="0" w:space="0" w:color="auto"/>
            <w:right w:val="none" w:sz="0" w:space="0" w:color="auto"/>
          </w:divBdr>
          <w:divsChild>
            <w:div w:id="2323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35">
      <w:marLeft w:val="0"/>
      <w:marRight w:val="0"/>
      <w:marTop w:val="0"/>
      <w:marBottom w:val="0"/>
      <w:divBdr>
        <w:top w:val="none" w:sz="0" w:space="0" w:color="auto"/>
        <w:left w:val="none" w:sz="0" w:space="0" w:color="auto"/>
        <w:bottom w:val="none" w:sz="0" w:space="0" w:color="auto"/>
        <w:right w:val="none" w:sz="0" w:space="0" w:color="auto"/>
      </w:divBdr>
      <w:divsChild>
        <w:div w:id="232356598">
          <w:marLeft w:val="0"/>
          <w:marRight w:val="0"/>
          <w:marTop w:val="0"/>
          <w:marBottom w:val="0"/>
          <w:divBdr>
            <w:top w:val="none" w:sz="0" w:space="0" w:color="auto"/>
            <w:left w:val="none" w:sz="0" w:space="0" w:color="auto"/>
            <w:bottom w:val="none" w:sz="0" w:space="0" w:color="auto"/>
            <w:right w:val="none" w:sz="0" w:space="0" w:color="auto"/>
          </w:divBdr>
          <w:divsChild>
            <w:div w:id="2323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39">
      <w:marLeft w:val="0"/>
      <w:marRight w:val="0"/>
      <w:marTop w:val="0"/>
      <w:marBottom w:val="0"/>
      <w:divBdr>
        <w:top w:val="none" w:sz="0" w:space="0" w:color="auto"/>
        <w:left w:val="none" w:sz="0" w:space="0" w:color="auto"/>
        <w:bottom w:val="none" w:sz="0" w:space="0" w:color="auto"/>
        <w:right w:val="none" w:sz="0" w:space="0" w:color="auto"/>
      </w:divBdr>
      <w:divsChild>
        <w:div w:id="232356609">
          <w:marLeft w:val="0"/>
          <w:marRight w:val="0"/>
          <w:marTop w:val="0"/>
          <w:marBottom w:val="0"/>
          <w:divBdr>
            <w:top w:val="none" w:sz="0" w:space="0" w:color="auto"/>
            <w:left w:val="none" w:sz="0" w:space="0" w:color="auto"/>
            <w:bottom w:val="none" w:sz="0" w:space="0" w:color="auto"/>
            <w:right w:val="none" w:sz="0" w:space="0" w:color="auto"/>
          </w:divBdr>
          <w:divsChild>
            <w:div w:id="2323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41">
      <w:marLeft w:val="0"/>
      <w:marRight w:val="0"/>
      <w:marTop w:val="0"/>
      <w:marBottom w:val="0"/>
      <w:divBdr>
        <w:top w:val="none" w:sz="0" w:space="0" w:color="auto"/>
        <w:left w:val="none" w:sz="0" w:space="0" w:color="auto"/>
        <w:bottom w:val="none" w:sz="0" w:space="0" w:color="auto"/>
        <w:right w:val="none" w:sz="0" w:space="0" w:color="auto"/>
      </w:divBdr>
      <w:divsChild>
        <w:div w:id="232356644">
          <w:marLeft w:val="0"/>
          <w:marRight w:val="0"/>
          <w:marTop w:val="0"/>
          <w:marBottom w:val="0"/>
          <w:divBdr>
            <w:top w:val="none" w:sz="0" w:space="0" w:color="auto"/>
            <w:left w:val="none" w:sz="0" w:space="0" w:color="auto"/>
            <w:bottom w:val="none" w:sz="0" w:space="0" w:color="auto"/>
            <w:right w:val="none" w:sz="0" w:space="0" w:color="auto"/>
          </w:divBdr>
          <w:divsChild>
            <w:div w:id="2323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51">
      <w:marLeft w:val="0"/>
      <w:marRight w:val="0"/>
      <w:marTop w:val="0"/>
      <w:marBottom w:val="0"/>
      <w:divBdr>
        <w:top w:val="none" w:sz="0" w:space="0" w:color="auto"/>
        <w:left w:val="none" w:sz="0" w:space="0" w:color="auto"/>
        <w:bottom w:val="none" w:sz="0" w:space="0" w:color="auto"/>
        <w:right w:val="none" w:sz="0" w:space="0" w:color="auto"/>
      </w:divBdr>
      <w:divsChild>
        <w:div w:id="232356625">
          <w:marLeft w:val="0"/>
          <w:marRight w:val="0"/>
          <w:marTop w:val="0"/>
          <w:marBottom w:val="0"/>
          <w:divBdr>
            <w:top w:val="none" w:sz="0" w:space="0" w:color="auto"/>
            <w:left w:val="none" w:sz="0" w:space="0" w:color="auto"/>
            <w:bottom w:val="none" w:sz="0" w:space="0" w:color="auto"/>
            <w:right w:val="none" w:sz="0" w:space="0" w:color="auto"/>
          </w:divBdr>
          <w:divsChild>
            <w:div w:id="2323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53">
      <w:marLeft w:val="0"/>
      <w:marRight w:val="0"/>
      <w:marTop w:val="0"/>
      <w:marBottom w:val="0"/>
      <w:divBdr>
        <w:top w:val="none" w:sz="0" w:space="0" w:color="auto"/>
        <w:left w:val="none" w:sz="0" w:space="0" w:color="auto"/>
        <w:bottom w:val="none" w:sz="0" w:space="0" w:color="auto"/>
        <w:right w:val="none" w:sz="0" w:space="0" w:color="auto"/>
      </w:divBdr>
      <w:divsChild>
        <w:div w:id="232356607">
          <w:marLeft w:val="0"/>
          <w:marRight w:val="0"/>
          <w:marTop w:val="0"/>
          <w:marBottom w:val="0"/>
          <w:divBdr>
            <w:top w:val="none" w:sz="0" w:space="0" w:color="auto"/>
            <w:left w:val="none" w:sz="0" w:space="0" w:color="auto"/>
            <w:bottom w:val="none" w:sz="0" w:space="0" w:color="auto"/>
            <w:right w:val="none" w:sz="0" w:space="0" w:color="auto"/>
          </w:divBdr>
          <w:divsChild>
            <w:div w:id="2323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59">
      <w:marLeft w:val="0"/>
      <w:marRight w:val="0"/>
      <w:marTop w:val="0"/>
      <w:marBottom w:val="0"/>
      <w:divBdr>
        <w:top w:val="none" w:sz="0" w:space="0" w:color="auto"/>
        <w:left w:val="none" w:sz="0" w:space="0" w:color="auto"/>
        <w:bottom w:val="none" w:sz="0" w:space="0" w:color="auto"/>
        <w:right w:val="none" w:sz="0" w:space="0" w:color="auto"/>
      </w:divBdr>
      <w:divsChild>
        <w:div w:id="232356634">
          <w:marLeft w:val="0"/>
          <w:marRight w:val="0"/>
          <w:marTop w:val="0"/>
          <w:marBottom w:val="0"/>
          <w:divBdr>
            <w:top w:val="none" w:sz="0" w:space="0" w:color="auto"/>
            <w:left w:val="none" w:sz="0" w:space="0" w:color="auto"/>
            <w:bottom w:val="none" w:sz="0" w:space="0" w:color="auto"/>
            <w:right w:val="none" w:sz="0" w:space="0" w:color="auto"/>
          </w:divBdr>
          <w:divsChild>
            <w:div w:id="2323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67">
      <w:marLeft w:val="0"/>
      <w:marRight w:val="0"/>
      <w:marTop w:val="0"/>
      <w:marBottom w:val="0"/>
      <w:divBdr>
        <w:top w:val="none" w:sz="0" w:space="0" w:color="auto"/>
        <w:left w:val="none" w:sz="0" w:space="0" w:color="auto"/>
        <w:bottom w:val="none" w:sz="0" w:space="0" w:color="auto"/>
        <w:right w:val="none" w:sz="0" w:space="0" w:color="auto"/>
      </w:divBdr>
      <w:divsChild>
        <w:div w:id="232356637">
          <w:marLeft w:val="0"/>
          <w:marRight w:val="0"/>
          <w:marTop w:val="0"/>
          <w:marBottom w:val="0"/>
          <w:divBdr>
            <w:top w:val="none" w:sz="0" w:space="0" w:color="auto"/>
            <w:left w:val="none" w:sz="0" w:space="0" w:color="auto"/>
            <w:bottom w:val="none" w:sz="0" w:space="0" w:color="auto"/>
            <w:right w:val="none" w:sz="0" w:space="0" w:color="auto"/>
          </w:divBdr>
          <w:divsChild>
            <w:div w:id="2323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68">
      <w:marLeft w:val="0"/>
      <w:marRight w:val="0"/>
      <w:marTop w:val="0"/>
      <w:marBottom w:val="0"/>
      <w:divBdr>
        <w:top w:val="none" w:sz="0" w:space="0" w:color="auto"/>
        <w:left w:val="none" w:sz="0" w:space="0" w:color="auto"/>
        <w:bottom w:val="none" w:sz="0" w:space="0" w:color="auto"/>
        <w:right w:val="none" w:sz="0" w:space="0" w:color="auto"/>
      </w:divBdr>
      <w:divsChild>
        <w:div w:id="232356675">
          <w:marLeft w:val="0"/>
          <w:marRight w:val="0"/>
          <w:marTop w:val="0"/>
          <w:marBottom w:val="0"/>
          <w:divBdr>
            <w:top w:val="none" w:sz="0" w:space="0" w:color="auto"/>
            <w:left w:val="none" w:sz="0" w:space="0" w:color="auto"/>
            <w:bottom w:val="none" w:sz="0" w:space="0" w:color="auto"/>
            <w:right w:val="none" w:sz="0" w:space="0" w:color="auto"/>
          </w:divBdr>
          <w:divsChild>
            <w:div w:id="2323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74">
      <w:marLeft w:val="0"/>
      <w:marRight w:val="0"/>
      <w:marTop w:val="0"/>
      <w:marBottom w:val="0"/>
      <w:divBdr>
        <w:top w:val="none" w:sz="0" w:space="0" w:color="auto"/>
        <w:left w:val="none" w:sz="0" w:space="0" w:color="auto"/>
        <w:bottom w:val="none" w:sz="0" w:space="0" w:color="auto"/>
        <w:right w:val="none" w:sz="0" w:space="0" w:color="auto"/>
      </w:divBdr>
      <w:divsChild>
        <w:div w:id="232356673">
          <w:marLeft w:val="0"/>
          <w:marRight w:val="0"/>
          <w:marTop w:val="0"/>
          <w:marBottom w:val="0"/>
          <w:divBdr>
            <w:top w:val="none" w:sz="0" w:space="0" w:color="auto"/>
            <w:left w:val="none" w:sz="0" w:space="0" w:color="auto"/>
            <w:bottom w:val="none" w:sz="0" w:space="0" w:color="auto"/>
            <w:right w:val="none" w:sz="0" w:space="0" w:color="auto"/>
          </w:divBdr>
          <w:divsChild>
            <w:div w:id="2323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76">
      <w:marLeft w:val="0"/>
      <w:marRight w:val="0"/>
      <w:marTop w:val="0"/>
      <w:marBottom w:val="0"/>
      <w:divBdr>
        <w:top w:val="none" w:sz="0" w:space="0" w:color="auto"/>
        <w:left w:val="none" w:sz="0" w:space="0" w:color="auto"/>
        <w:bottom w:val="none" w:sz="0" w:space="0" w:color="auto"/>
        <w:right w:val="none" w:sz="0" w:space="0" w:color="auto"/>
      </w:divBdr>
      <w:divsChild>
        <w:div w:id="232356661">
          <w:marLeft w:val="0"/>
          <w:marRight w:val="0"/>
          <w:marTop w:val="0"/>
          <w:marBottom w:val="0"/>
          <w:divBdr>
            <w:top w:val="none" w:sz="0" w:space="0" w:color="auto"/>
            <w:left w:val="none" w:sz="0" w:space="0" w:color="auto"/>
            <w:bottom w:val="none" w:sz="0" w:space="0" w:color="auto"/>
            <w:right w:val="none" w:sz="0" w:space="0" w:color="auto"/>
          </w:divBdr>
          <w:divsChild>
            <w:div w:id="2323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79">
      <w:marLeft w:val="0"/>
      <w:marRight w:val="0"/>
      <w:marTop w:val="0"/>
      <w:marBottom w:val="0"/>
      <w:divBdr>
        <w:top w:val="none" w:sz="0" w:space="0" w:color="auto"/>
        <w:left w:val="none" w:sz="0" w:space="0" w:color="auto"/>
        <w:bottom w:val="none" w:sz="0" w:space="0" w:color="auto"/>
        <w:right w:val="none" w:sz="0" w:space="0" w:color="auto"/>
      </w:divBdr>
      <w:divsChild>
        <w:div w:id="232356666">
          <w:marLeft w:val="0"/>
          <w:marRight w:val="0"/>
          <w:marTop w:val="0"/>
          <w:marBottom w:val="0"/>
          <w:divBdr>
            <w:top w:val="none" w:sz="0" w:space="0" w:color="auto"/>
            <w:left w:val="none" w:sz="0" w:space="0" w:color="auto"/>
            <w:bottom w:val="none" w:sz="0" w:space="0" w:color="auto"/>
            <w:right w:val="none" w:sz="0" w:space="0" w:color="auto"/>
          </w:divBdr>
          <w:divsChild>
            <w:div w:id="2323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80">
      <w:marLeft w:val="0"/>
      <w:marRight w:val="0"/>
      <w:marTop w:val="0"/>
      <w:marBottom w:val="0"/>
      <w:divBdr>
        <w:top w:val="none" w:sz="0" w:space="0" w:color="auto"/>
        <w:left w:val="none" w:sz="0" w:space="0" w:color="auto"/>
        <w:bottom w:val="none" w:sz="0" w:space="0" w:color="auto"/>
        <w:right w:val="none" w:sz="0" w:space="0" w:color="auto"/>
      </w:divBdr>
      <w:divsChild>
        <w:div w:id="232356691">
          <w:marLeft w:val="0"/>
          <w:marRight w:val="0"/>
          <w:marTop w:val="0"/>
          <w:marBottom w:val="0"/>
          <w:divBdr>
            <w:top w:val="none" w:sz="0" w:space="0" w:color="auto"/>
            <w:left w:val="none" w:sz="0" w:space="0" w:color="auto"/>
            <w:bottom w:val="none" w:sz="0" w:space="0" w:color="auto"/>
            <w:right w:val="none" w:sz="0" w:space="0" w:color="auto"/>
          </w:divBdr>
          <w:divsChild>
            <w:div w:id="2323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82">
      <w:marLeft w:val="0"/>
      <w:marRight w:val="0"/>
      <w:marTop w:val="0"/>
      <w:marBottom w:val="0"/>
      <w:divBdr>
        <w:top w:val="none" w:sz="0" w:space="0" w:color="auto"/>
        <w:left w:val="none" w:sz="0" w:space="0" w:color="auto"/>
        <w:bottom w:val="none" w:sz="0" w:space="0" w:color="auto"/>
        <w:right w:val="none" w:sz="0" w:space="0" w:color="auto"/>
      </w:divBdr>
      <w:divsChild>
        <w:div w:id="232356608">
          <w:marLeft w:val="0"/>
          <w:marRight w:val="0"/>
          <w:marTop w:val="0"/>
          <w:marBottom w:val="0"/>
          <w:divBdr>
            <w:top w:val="none" w:sz="0" w:space="0" w:color="auto"/>
            <w:left w:val="none" w:sz="0" w:space="0" w:color="auto"/>
            <w:bottom w:val="none" w:sz="0" w:space="0" w:color="auto"/>
            <w:right w:val="none" w:sz="0" w:space="0" w:color="auto"/>
          </w:divBdr>
          <w:divsChild>
            <w:div w:id="2323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83">
      <w:marLeft w:val="0"/>
      <w:marRight w:val="0"/>
      <w:marTop w:val="0"/>
      <w:marBottom w:val="0"/>
      <w:divBdr>
        <w:top w:val="none" w:sz="0" w:space="0" w:color="auto"/>
        <w:left w:val="none" w:sz="0" w:space="0" w:color="auto"/>
        <w:bottom w:val="none" w:sz="0" w:space="0" w:color="auto"/>
        <w:right w:val="none" w:sz="0" w:space="0" w:color="auto"/>
      </w:divBdr>
      <w:divsChild>
        <w:div w:id="232356681">
          <w:marLeft w:val="0"/>
          <w:marRight w:val="0"/>
          <w:marTop w:val="0"/>
          <w:marBottom w:val="0"/>
          <w:divBdr>
            <w:top w:val="none" w:sz="0" w:space="0" w:color="auto"/>
            <w:left w:val="none" w:sz="0" w:space="0" w:color="auto"/>
            <w:bottom w:val="none" w:sz="0" w:space="0" w:color="auto"/>
            <w:right w:val="none" w:sz="0" w:space="0" w:color="auto"/>
          </w:divBdr>
          <w:divsChild>
            <w:div w:id="2323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85">
      <w:marLeft w:val="0"/>
      <w:marRight w:val="0"/>
      <w:marTop w:val="0"/>
      <w:marBottom w:val="0"/>
      <w:divBdr>
        <w:top w:val="none" w:sz="0" w:space="0" w:color="auto"/>
        <w:left w:val="none" w:sz="0" w:space="0" w:color="auto"/>
        <w:bottom w:val="none" w:sz="0" w:space="0" w:color="auto"/>
        <w:right w:val="none" w:sz="0" w:space="0" w:color="auto"/>
      </w:divBdr>
      <w:divsChild>
        <w:div w:id="232356633">
          <w:marLeft w:val="0"/>
          <w:marRight w:val="0"/>
          <w:marTop w:val="0"/>
          <w:marBottom w:val="0"/>
          <w:divBdr>
            <w:top w:val="none" w:sz="0" w:space="0" w:color="auto"/>
            <w:left w:val="none" w:sz="0" w:space="0" w:color="auto"/>
            <w:bottom w:val="none" w:sz="0" w:space="0" w:color="auto"/>
            <w:right w:val="none" w:sz="0" w:space="0" w:color="auto"/>
          </w:divBdr>
          <w:divsChild>
            <w:div w:id="23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87">
      <w:marLeft w:val="0"/>
      <w:marRight w:val="0"/>
      <w:marTop w:val="0"/>
      <w:marBottom w:val="0"/>
      <w:divBdr>
        <w:top w:val="none" w:sz="0" w:space="0" w:color="auto"/>
        <w:left w:val="none" w:sz="0" w:space="0" w:color="auto"/>
        <w:bottom w:val="none" w:sz="0" w:space="0" w:color="auto"/>
        <w:right w:val="none" w:sz="0" w:space="0" w:color="auto"/>
      </w:divBdr>
      <w:divsChild>
        <w:div w:id="232356662">
          <w:marLeft w:val="0"/>
          <w:marRight w:val="0"/>
          <w:marTop w:val="0"/>
          <w:marBottom w:val="0"/>
          <w:divBdr>
            <w:top w:val="none" w:sz="0" w:space="0" w:color="auto"/>
            <w:left w:val="none" w:sz="0" w:space="0" w:color="auto"/>
            <w:bottom w:val="none" w:sz="0" w:space="0" w:color="auto"/>
            <w:right w:val="none" w:sz="0" w:space="0" w:color="auto"/>
          </w:divBdr>
          <w:divsChild>
            <w:div w:id="2323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88">
      <w:marLeft w:val="0"/>
      <w:marRight w:val="0"/>
      <w:marTop w:val="0"/>
      <w:marBottom w:val="0"/>
      <w:divBdr>
        <w:top w:val="none" w:sz="0" w:space="0" w:color="auto"/>
        <w:left w:val="none" w:sz="0" w:space="0" w:color="auto"/>
        <w:bottom w:val="none" w:sz="0" w:space="0" w:color="auto"/>
        <w:right w:val="none" w:sz="0" w:space="0" w:color="auto"/>
      </w:divBdr>
      <w:divsChild>
        <w:div w:id="232356603">
          <w:marLeft w:val="0"/>
          <w:marRight w:val="0"/>
          <w:marTop w:val="0"/>
          <w:marBottom w:val="0"/>
          <w:divBdr>
            <w:top w:val="none" w:sz="0" w:space="0" w:color="auto"/>
            <w:left w:val="none" w:sz="0" w:space="0" w:color="auto"/>
            <w:bottom w:val="none" w:sz="0" w:space="0" w:color="auto"/>
            <w:right w:val="none" w:sz="0" w:space="0" w:color="auto"/>
          </w:divBdr>
          <w:divsChild>
            <w:div w:id="2323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92">
      <w:marLeft w:val="0"/>
      <w:marRight w:val="0"/>
      <w:marTop w:val="0"/>
      <w:marBottom w:val="0"/>
      <w:divBdr>
        <w:top w:val="none" w:sz="0" w:space="0" w:color="auto"/>
        <w:left w:val="none" w:sz="0" w:space="0" w:color="auto"/>
        <w:bottom w:val="none" w:sz="0" w:space="0" w:color="auto"/>
        <w:right w:val="none" w:sz="0" w:space="0" w:color="auto"/>
      </w:divBdr>
      <w:divsChild>
        <w:div w:id="232356646">
          <w:marLeft w:val="0"/>
          <w:marRight w:val="0"/>
          <w:marTop w:val="0"/>
          <w:marBottom w:val="0"/>
          <w:divBdr>
            <w:top w:val="none" w:sz="0" w:space="0" w:color="auto"/>
            <w:left w:val="none" w:sz="0" w:space="0" w:color="auto"/>
            <w:bottom w:val="none" w:sz="0" w:space="0" w:color="auto"/>
            <w:right w:val="none" w:sz="0" w:space="0" w:color="auto"/>
          </w:divBdr>
          <w:divsChild>
            <w:div w:id="2323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697">
      <w:marLeft w:val="0"/>
      <w:marRight w:val="0"/>
      <w:marTop w:val="0"/>
      <w:marBottom w:val="0"/>
      <w:divBdr>
        <w:top w:val="none" w:sz="0" w:space="0" w:color="auto"/>
        <w:left w:val="none" w:sz="0" w:space="0" w:color="auto"/>
        <w:bottom w:val="none" w:sz="0" w:space="0" w:color="auto"/>
        <w:right w:val="none" w:sz="0" w:space="0" w:color="auto"/>
      </w:divBdr>
      <w:divsChild>
        <w:div w:id="232356695">
          <w:marLeft w:val="0"/>
          <w:marRight w:val="0"/>
          <w:marTop w:val="0"/>
          <w:marBottom w:val="0"/>
          <w:divBdr>
            <w:top w:val="none" w:sz="0" w:space="0" w:color="auto"/>
            <w:left w:val="none" w:sz="0" w:space="0" w:color="auto"/>
            <w:bottom w:val="none" w:sz="0" w:space="0" w:color="auto"/>
            <w:right w:val="none" w:sz="0" w:space="0" w:color="auto"/>
          </w:divBdr>
          <w:divsChild>
            <w:div w:id="2323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700">
      <w:marLeft w:val="0"/>
      <w:marRight w:val="0"/>
      <w:marTop w:val="0"/>
      <w:marBottom w:val="0"/>
      <w:divBdr>
        <w:top w:val="none" w:sz="0" w:space="0" w:color="auto"/>
        <w:left w:val="none" w:sz="0" w:space="0" w:color="auto"/>
        <w:bottom w:val="none" w:sz="0" w:space="0" w:color="auto"/>
        <w:right w:val="none" w:sz="0" w:space="0" w:color="auto"/>
      </w:divBdr>
      <w:divsChild>
        <w:div w:id="232356703">
          <w:marLeft w:val="0"/>
          <w:marRight w:val="0"/>
          <w:marTop w:val="0"/>
          <w:marBottom w:val="0"/>
          <w:divBdr>
            <w:top w:val="none" w:sz="0" w:space="0" w:color="auto"/>
            <w:left w:val="none" w:sz="0" w:space="0" w:color="auto"/>
            <w:bottom w:val="none" w:sz="0" w:space="0" w:color="auto"/>
            <w:right w:val="none" w:sz="0" w:space="0" w:color="auto"/>
          </w:divBdr>
          <w:divsChild>
            <w:div w:id="2323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702">
      <w:marLeft w:val="0"/>
      <w:marRight w:val="0"/>
      <w:marTop w:val="0"/>
      <w:marBottom w:val="0"/>
      <w:divBdr>
        <w:top w:val="none" w:sz="0" w:space="0" w:color="auto"/>
        <w:left w:val="none" w:sz="0" w:space="0" w:color="auto"/>
        <w:bottom w:val="none" w:sz="0" w:space="0" w:color="auto"/>
        <w:right w:val="none" w:sz="0" w:space="0" w:color="auto"/>
      </w:divBdr>
      <w:divsChild>
        <w:div w:id="232356701">
          <w:marLeft w:val="0"/>
          <w:marRight w:val="0"/>
          <w:marTop w:val="0"/>
          <w:marBottom w:val="0"/>
          <w:divBdr>
            <w:top w:val="none" w:sz="0" w:space="0" w:color="auto"/>
            <w:left w:val="none" w:sz="0" w:space="0" w:color="auto"/>
            <w:bottom w:val="none" w:sz="0" w:space="0" w:color="auto"/>
            <w:right w:val="none" w:sz="0" w:space="0" w:color="auto"/>
          </w:divBdr>
          <w:divsChild>
            <w:div w:id="2323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hyperlink" Target="http://www.hcp.m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1770</Words>
  <Characters>9736</Characters>
  <Application>Microsoft Office Word</Application>
  <DocSecurity>0</DocSecurity>
  <Lines>81</Lines>
  <Paragraphs>22</Paragraphs>
  <ScaleCrop>false</ScaleCrop>
  <Company>HP</Company>
  <LinksUpToDate>false</LinksUpToDate>
  <CharactersWithSpaces>11484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 </cp:lastModifiedBy>
  <cp:revision>2</cp:revision>
  <cp:lastPrinted>2015-10-06T10:09:00Z</cp:lastPrinted>
  <dcterms:created xsi:type="dcterms:W3CDTF">2015-10-06T12:44:00Z</dcterms:created>
  <dcterms:modified xsi:type="dcterms:W3CDTF">2015-10-06T12:44:00Z</dcterms:modified>
</cp:coreProperties>
</file>