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FE" w:rsidRDefault="007469FE" w:rsidP="00BC372D">
      <w:pPr>
        <w:pStyle w:val="NormalWeb"/>
        <w:spacing w:before="0" w:beforeAutospacing="0" w:after="0" w:afterAutospacing="0" w:line="300" w:lineRule="exact"/>
        <w:jc w:val="center"/>
        <w:rPr>
          <w:b/>
          <w:bCs/>
        </w:rPr>
      </w:pPr>
    </w:p>
    <w:p w:rsidR="007469FE" w:rsidRDefault="007469FE" w:rsidP="00BC372D">
      <w:pPr>
        <w:pStyle w:val="NormalWeb"/>
        <w:spacing w:before="0" w:beforeAutospacing="0" w:after="0" w:afterAutospacing="0" w:line="300" w:lineRule="exact"/>
        <w:jc w:val="center"/>
        <w:rPr>
          <w:b/>
          <w:bCs/>
        </w:rPr>
      </w:pPr>
    </w:p>
    <w:p w:rsidR="007469FE" w:rsidRDefault="008C7957" w:rsidP="00BC372D">
      <w:pPr>
        <w:pStyle w:val="NormalWeb"/>
        <w:spacing w:before="0" w:beforeAutospacing="0" w:after="0" w:afterAutospacing="0" w:line="300" w:lineRule="exact"/>
        <w:jc w:val="center"/>
        <w:rPr>
          <w:b/>
          <w:bCs/>
        </w:rPr>
      </w:pPr>
      <w:r>
        <w:rPr>
          <w:noProof/>
        </w:rPr>
        <w:drawing>
          <wp:anchor distT="0" distB="0" distL="114300" distR="114300" simplePos="0" relativeHeight="251653120" behindDoc="0" locked="0" layoutInCell="1" allowOverlap="1">
            <wp:simplePos x="0" y="0"/>
            <wp:positionH relativeFrom="column">
              <wp:posOffset>4914900</wp:posOffset>
            </wp:positionH>
            <wp:positionV relativeFrom="paragraph">
              <wp:posOffset>151765</wp:posOffset>
            </wp:positionV>
            <wp:extent cx="12858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285875" cy="457200"/>
                    </a:xfrm>
                    <a:prstGeom prst="rect">
                      <a:avLst/>
                    </a:prstGeom>
                    <a:noFill/>
                  </pic:spPr>
                </pic:pic>
              </a:graphicData>
            </a:graphic>
          </wp:anchor>
        </w:drawing>
      </w:r>
    </w:p>
    <w:p w:rsidR="007469FE" w:rsidRDefault="008C7957" w:rsidP="00BC372D">
      <w:pPr>
        <w:pStyle w:val="NormalWeb"/>
        <w:spacing w:before="0" w:beforeAutospacing="0" w:after="0" w:afterAutospacing="0" w:line="300" w:lineRule="exact"/>
        <w:jc w:val="center"/>
        <w:rPr>
          <w:b/>
          <w:bCs/>
        </w:rPr>
      </w:pPr>
      <w:r>
        <w:rPr>
          <w:noProof/>
        </w:rPr>
        <w:drawing>
          <wp:anchor distT="0" distB="0" distL="114300" distR="114300" simplePos="0" relativeHeight="251654144" behindDoc="0" locked="0" layoutInCell="1" allowOverlap="1">
            <wp:simplePos x="0" y="0"/>
            <wp:positionH relativeFrom="column">
              <wp:posOffset>-114300</wp:posOffset>
            </wp:positionH>
            <wp:positionV relativeFrom="paragraph">
              <wp:posOffset>62865</wp:posOffset>
            </wp:positionV>
            <wp:extent cx="1524000" cy="381000"/>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7469FE" w:rsidRDefault="007469FE" w:rsidP="00BC372D">
      <w:pPr>
        <w:pStyle w:val="NormalWeb"/>
        <w:spacing w:before="0" w:beforeAutospacing="0" w:after="0" w:afterAutospacing="0" w:line="300" w:lineRule="exact"/>
        <w:jc w:val="center"/>
        <w:rPr>
          <w:b/>
          <w:bCs/>
        </w:rPr>
      </w:pPr>
    </w:p>
    <w:p w:rsidR="00327DAD" w:rsidRDefault="00327DAD" w:rsidP="00BC372D">
      <w:pPr>
        <w:pStyle w:val="NormalWeb"/>
        <w:spacing w:before="0" w:beforeAutospacing="0" w:after="0" w:afterAutospacing="0" w:line="300" w:lineRule="exact"/>
        <w:jc w:val="center"/>
        <w:rPr>
          <w:b/>
          <w:bCs/>
          <w:sz w:val="16"/>
          <w:szCs w:val="16"/>
        </w:rPr>
      </w:pPr>
    </w:p>
    <w:p w:rsidR="003A2191" w:rsidRDefault="003A2191" w:rsidP="00BC372D">
      <w:pPr>
        <w:pStyle w:val="NormalWeb"/>
        <w:spacing w:before="0" w:beforeAutospacing="0" w:after="0" w:afterAutospacing="0" w:line="300" w:lineRule="exact"/>
        <w:jc w:val="center"/>
        <w:rPr>
          <w:b/>
          <w:bCs/>
          <w:sz w:val="16"/>
          <w:szCs w:val="16"/>
        </w:rPr>
      </w:pPr>
    </w:p>
    <w:p w:rsidR="003A2191" w:rsidRDefault="003A2191" w:rsidP="00BC372D">
      <w:pPr>
        <w:pStyle w:val="NormalWeb"/>
        <w:spacing w:before="0" w:beforeAutospacing="0" w:after="0" w:afterAutospacing="0" w:line="300" w:lineRule="exact"/>
        <w:jc w:val="center"/>
        <w:rPr>
          <w:b/>
          <w:bCs/>
          <w:sz w:val="16"/>
          <w:szCs w:val="16"/>
          <w:rtl/>
        </w:rPr>
      </w:pPr>
    </w:p>
    <w:p w:rsidR="007469FE" w:rsidRPr="00E8197C" w:rsidRDefault="005C4E0C" w:rsidP="00BC372D">
      <w:pPr>
        <w:pStyle w:val="NormalWeb"/>
        <w:spacing w:before="0" w:beforeAutospacing="0" w:after="120" w:afterAutospacing="0" w:line="300" w:lineRule="exact"/>
        <w:jc w:val="center"/>
        <w:rPr>
          <w:b/>
          <w:bCs/>
          <w:sz w:val="28"/>
          <w:szCs w:val="28"/>
        </w:rPr>
      </w:pPr>
      <w:r>
        <w:rPr>
          <w:b/>
          <w:bCs/>
          <w:sz w:val="28"/>
          <w:szCs w:val="28"/>
        </w:rPr>
        <w:t>Point</w:t>
      </w:r>
      <w:r w:rsidR="007469FE" w:rsidRPr="00E8197C">
        <w:rPr>
          <w:b/>
          <w:bCs/>
          <w:sz w:val="28"/>
          <w:szCs w:val="28"/>
        </w:rPr>
        <w:t xml:space="preserve"> de conjoncture</w:t>
      </w:r>
      <w:r w:rsidR="007469FE">
        <w:rPr>
          <w:b/>
          <w:bCs/>
          <w:sz w:val="28"/>
          <w:szCs w:val="28"/>
        </w:rPr>
        <w:t xml:space="preserve"> </w:t>
      </w:r>
    </w:p>
    <w:p w:rsidR="007469FE" w:rsidRDefault="007469FE" w:rsidP="00494A8A">
      <w:pPr>
        <w:pStyle w:val="NormalWeb"/>
        <w:spacing w:before="0" w:beforeAutospacing="0" w:after="0" w:afterAutospacing="0" w:line="300" w:lineRule="exact"/>
        <w:jc w:val="center"/>
        <w:rPr>
          <w:b/>
          <w:bCs/>
        </w:rPr>
      </w:pPr>
      <w:r>
        <w:rPr>
          <w:b/>
          <w:bCs/>
        </w:rPr>
        <w:t>-</w:t>
      </w:r>
      <w:r w:rsidR="00494A8A">
        <w:rPr>
          <w:b/>
          <w:bCs/>
        </w:rPr>
        <w:t xml:space="preserve"> </w:t>
      </w:r>
      <w:r w:rsidR="009E76B8">
        <w:rPr>
          <w:b/>
          <w:bCs/>
        </w:rPr>
        <w:t>Avril</w:t>
      </w:r>
      <w:r>
        <w:rPr>
          <w:b/>
          <w:bCs/>
        </w:rPr>
        <w:t xml:space="preserve"> </w:t>
      </w:r>
      <w:r w:rsidRPr="00E82E2E">
        <w:rPr>
          <w:b/>
          <w:bCs/>
        </w:rPr>
        <w:t>201</w:t>
      </w:r>
      <w:r w:rsidR="00633614">
        <w:rPr>
          <w:b/>
          <w:bCs/>
        </w:rPr>
        <w:t>5</w:t>
      </w:r>
      <w:r w:rsidRPr="00E82E2E">
        <w:rPr>
          <w:b/>
          <w:bCs/>
        </w:rPr>
        <w:t xml:space="preserve"> </w:t>
      </w:r>
      <w:r w:rsidR="00494A8A">
        <w:rPr>
          <w:b/>
          <w:bCs/>
        </w:rPr>
        <w:t>-</w:t>
      </w:r>
    </w:p>
    <w:p w:rsidR="003A2191" w:rsidRDefault="003A2191" w:rsidP="00E339EB">
      <w:pPr>
        <w:pStyle w:val="NormalWeb"/>
        <w:spacing w:before="0" w:beforeAutospacing="0" w:after="0" w:afterAutospacing="0" w:line="260" w:lineRule="exact"/>
        <w:jc w:val="center"/>
        <w:rPr>
          <w:b/>
          <w:bCs/>
          <w:sz w:val="16"/>
          <w:szCs w:val="16"/>
        </w:rPr>
      </w:pPr>
    </w:p>
    <w:p w:rsidR="00032899" w:rsidRDefault="00032899" w:rsidP="00E339EB">
      <w:pPr>
        <w:pStyle w:val="NormalWeb"/>
        <w:spacing w:before="0" w:beforeAutospacing="0" w:after="0" w:afterAutospacing="0" w:line="260" w:lineRule="exact"/>
        <w:jc w:val="center"/>
        <w:rPr>
          <w:b/>
          <w:bCs/>
          <w:sz w:val="16"/>
          <w:szCs w:val="16"/>
        </w:rPr>
      </w:pPr>
    </w:p>
    <w:p w:rsidR="00A140FA" w:rsidRDefault="00A140FA" w:rsidP="00E339EB">
      <w:pPr>
        <w:pStyle w:val="NormalWeb"/>
        <w:spacing w:before="0" w:beforeAutospacing="0" w:after="0" w:afterAutospacing="0" w:line="260" w:lineRule="exact"/>
        <w:jc w:val="center"/>
        <w:rPr>
          <w:rFonts w:hint="cs"/>
          <w:b/>
          <w:bCs/>
          <w:sz w:val="16"/>
          <w:szCs w:val="16"/>
          <w:rtl/>
        </w:rPr>
      </w:pPr>
    </w:p>
    <w:p w:rsidR="003E208F" w:rsidRDefault="003E208F" w:rsidP="00E339EB">
      <w:pPr>
        <w:pStyle w:val="NormalWeb"/>
        <w:spacing w:before="0" w:beforeAutospacing="0" w:after="0" w:afterAutospacing="0" w:line="260" w:lineRule="exact"/>
        <w:jc w:val="center"/>
        <w:rPr>
          <w:rFonts w:hint="cs"/>
          <w:b/>
          <w:bCs/>
          <w:sz w:val="16"/>
          <w:szCs w:val="16"/>
        </w:rPr>
      </w:pPr>
    </w:p>
    <w:p w:rsidR="00FE5044" w:rsidRDefault="0083531B" w:rsidP="001C6199">
      <w:pPr>
        <w:jc w:val="both"/>
        <w:rPr>
          <w:rFonts w:ascii="Arial" w:hAnsi="Arial" w:cs="Arial"/>
          <w:sz w:val="20"/>
          <w:szCs w:val="20"/>
        </w:rPr>
      </w:pPr>
      <w:r>
        <w:rPr>
          <w:rFonts w:ascii="Arial" w:hAnsi="Arial" w:cs="Arial"/>
          <w:sz w:val="20"/>
          <w:szCs w:val="20"/>
        </w:rPr>
        <w:t>L</w:t>
      </w:r>
      <w:r w:rsidR="009B2251">
        <w:rPr>
          <w:rFonts w:ascii="Arial" w:hAnsi="Arial" w:cs="Arial"/>
          <w:sz w:val="20"/>
          <w:szCs w:val="20"/>
        </w:rPr>
        <w:t xml:space="preserve">a croissance </w:t>
      </w:r>
      <w:r w:rsidR="00FE5044" w:rsidRPr="00FE5044">
        <w:rPr>
          <w:rFonts w:ascii="Arial" w:hAnsi="Arial" w:cs="Arial"/>
          <w:sz w:val="20"/>
          <w:szCs w:val="20"/>
        </w:rPr>
        <w:t>économi</w:t>
      </w:r>
      <w:r w:rsidR="009B2251">
        <w:rPr>
          <w:rFonts w:ascii="Arial" w:hAnsi="Arial" w:cs="Arial"/>
          <w:sz w:val="20"/>
          <w:szCs w:val="20"/>
        </w:rPr>
        <w:t>qu</w:t>
      </w:r>
      <w:r w:rsidR="00FE5044" w:rsidRPr="00FE5044">
        <w:rPr>
          <w:rFonts w:ascii="Arial" w:hAnsi="Arial" w:cs="Arial"/>
          <w:sz w:val="20"/>
          <w:szCs w:val="20"/>
        </w:rPr>
        <w:t xml:space="preserve">e nationale </w:t>
      </w:r>
      <w:r>
        <w:rPr>
          <w:rFonts w:ascii="Arial" w:hAnsi="Arial" w:cs="Arial"/>
          <w:sz w:val="20"/>
          <w:szCs w:val="20"/>
        </w:rPr>
        <w:t>au</w:t>
      </w:r>
      <w:r w:rsidR="00635566">
        <w:rPr>
          <w:rFonts w:ascii="Arial" w:hAnsi="Arial" w:cs="Arial"/>
          <w:sz w:val="20"/>
          <w:szCs w:val="20"/>
        </w:rPr>
        <w:t>rait</w:t>
      </w:r>
      <w:r>
        <w:rPr>
          <w:rFonts w:ascii="Arial" w:hAnsi="Arial" w:cs="Arial"/>
          <w:sz w:val="20"/>
          <w:szCs w:val="20"/>
        </w:rPr>
        <w:t xml:space="preserve"> </w:t>
      </w:r>
      <w:r w:rsidR="009B2251">
        <w:rPr>
          <w:rFonts w:ascii="Arial" w:hAnsi="Arial" w:cs="Arial"/>
          <w:sz w:val="20"/>
          <w:szCs w:val="20"/>
        </w:rPr>
        <w:t>été</w:t>
      </w:r>
      <w:r>
        <w:rPr>
          <w:rFonts w:ascii="Arial" w:hAnsi="Arial" w:cs="Arial"/>
          <w:sz w:val="20"/>
          <w:szCs w:val="20"/>
        </w:rPr>
        <w:t xml:space="preserve"> de 4,4%</w:t>
      </w:r>
      <w:r w:rsidR="00FE5044" w:rsidRPr="00FE5044">
        <w:rPr>
          <w:rFonts w:ascii="Arial" w:hAnsi="Arial" w:cs="Arial"/>
          <w:sz w:val="20"/>
          <w:szCs w:val="20"/>
        </w:rPr>
        <w:t xml:space="preserve"> au premier trimestre 2015, </w:t>
      </w:r>
      <w:r>
        <w:rPr>
          <w:rFonts w:ascii="Arial" w:hAnsi="Arial" w:cs="Arial"/>
          <w:sz w:val="20"/>
          <w:szCs w:val="20"/>
        </w:rPr>
        <w:t>au lieu de +1,8% un trimestre plus tôt</w:t>
      </w:r>
      <w:r w:rsidR="009B2251">
        <w:rPr>
          <w:rFonts w:ascii="Arial" w:hAnsi="Arial" w:cs="Arial"/>
          <w:sz w:val="20"/>
          <w:szCs w:val="20"/>
        </w:rPr>
        <w:t>, portée par une amélioration de 12,3% de la valeur ajoutée agricole</w:t>
      </w:r>
      <w:r>
        <w:rPr>
          <w:rFonts w:ascii="Arial" w:hAnsi="Arial" w:cs="Arial"/>
          <w:sz w:val="20"/>
          <w:szCs w:val="20"/>
        </w:rPr>
        <w:t xml:space="preserve">. </w:t>
      </w:r>
      <w:r w:rsidR="009B2251">
        <w:rPr>
          <w:rFonts w:ascii="Arial" w:hAnsi="Arial" w:cs="Arial"/>
          <w:sz w:val="20"/>
          <w:szCs w:val="20"/>
        </w:rPr>
        <w:t xml:space="preserve">De leur côté, les activités hors agriculture auraient connu une progression de 3,2%, en glissement annuel, tirées par </w:t>
      </w:r>
      <w:r w:rsidR="001C6199">
        <w:rPr>
          <w:rFonts w:ascii="Arial" w:hAnsi="Arial" w:cs="Arial"/>
          <w:sz w:val="20"/>
          <w:szCs w:val="20"/>
        </w:rPr>
        <w:t>les branches</w:t>
      </w:r>
      <w:r w:rsidR="009B2251">
        <w:rPr>
          <w:rFonts w:ascii="Arial" w:hAnsi="Arial" w:cs="Arial"/>
          <w:sz w:val="20"/>
          <w:szCs w:val="20"/>
        </w:rPr>
        <w:t xml:space="preserve"> tertiaire</w:t>
      </w:r>
      <w:r w:rsidR="001C6199">
        <w:rPr>
          <w:rFonts w:ascii="Arial" w:hAnsi="Arial" w:cs="Arial"/>
          <w:sz w:val="20"/>
          <w:szCs w:val="20"/>
        </w:rPr>
        <w:t>s</w:t>
      </w:r>
      <w:r w:rsidR="009B2251">
        <w:rPr>
          <w:rFonts w:ascii="Arial" w:hAnsi="Arial" w:cs="Arial"/>
          <w:sz w:val="20"/>
          <w:szCs w:val="20"/>
        </w:rPr>
        <w:t xml:space="preserve"> hors tourisme. Au deuxième trimestre, la valeur ajoutée hors agriculture croîtrait de </w:t>
      </w:r>
      <w:r w:rsidR="00426712">
        <w:rPr>
          <w:rFonts w:ascii="Arial" w:hAnsi="Arial" w:cs="Arial"/>
          <w:sz w:val="20"/>
          <w:szCs w:val="20"/>
        </w:rPr>
        <w:t>3</w:t>
      </w:r>
      <w:r w:rsidR="009B2251">
        <w:rPr>
          <w:rFonts w:ascii="Arial" w:hAnsi="Arial" w:cs="Arial"/>
          <w:sz w:val="20"/>
          <w:szCs w:val="20"/>
        </w:rPr>
        <w:t>,</w:t>
      </w:r>
      <w:r w:rsidR="00426712">
        <w:rPr>
          <w:rFonts w:ascii="Arial" w:hAnsi="Arial" w:cs="Arial"/>
          <w:sz w:val="20"/>
          <w:szCs w:val="20"/>
        </w:rPr>
        <w:t>3</w:t>
      </w:r>
      <w:r w:rsidR="009B2251">
        <w:rPr>
          <w:rFonts w:ascii="Arial" w:hAnsi="Arial" w:cs="Arial"/>
          <w:sz w:val="20"/>
          <w:szCs w:val="20"/>
        </w:rPr>
        <w:t>%</w:t>
      </w:r>
      <w:r w:rsidR="00426712">
        <w:rPr>
          <w:rFonts w:ascii="Arial" w:hAnsi="Arial" w:cs="Arial"/>
          <w:sz w:val="20"/>
          <w:szCs w:val="20"/>
        </w:rPr>
        <w:t xml:space="preserve"> et celle de l’agriculture de 12,9%, situant</w:t>
      </w:r>
      <w:r w:rsidR="001C6199">
        <w:rPr>
          <w:rFonts w:ascii="Arial" w:hAnsi="Arial" w:cs="Arial"/>
          <w:sz w:val="20"/>
          <w:szCs w:val="20"/>
        </w:rPr>
        <w:t>, ainsi,</w:t>
      </w:r>
      <w:r w:rsidR="00426712">
        <w:rPr>
          <w:rFonts w:ascii="Arial" w:hAnsi="Arial" w:cs="Arial"/>
          <w:sz w:val="20"/>
          <w:szCs w:val="20"/>
        </w:rPr>
        <w:t xml:space="preserve"> </w:t>
      </w:r>
      <w:r w:rsidR="00FE5044" w:rsidRPr="00FE5044">
        <w:rPr>
          <w:rFonts w:ascii="Arial" w:hAnsi="Arial" w:cs="Arial"/>
          <w:sz w:val="20"/>
          <w:szCs w:val="20"/>
        </w:rPr>
        <w:t>la croissance économique globale</w:t>
      </w:r>
      <w:r w:rsidR="00426712">
        <w:rPr>
          <w:rFonts w:ascii="Arial" w:hAnsi="Arial" w:cs="Arial"/>
          <w:sz w:val="20"/>
          <w:szCs w:val="20"/>
        </w:rPr>
        <w:t xml:space="preserve"> à</w:t>
      </w:r>
      <w:r w:rsidR="001C2196">
        <w:rPr>
          <w:rFonts w:ascii="Arial" w:hAnsi="Arial" w:cs="Arial"/>
          <w:sz w:val="20"/>
          <w:szCs w:val="20"/>
        </w:rPr>
        <w:t xml:space="preserve"> </w:t>
      </w:r>
      <w:r w:rsidR="00FE5044" w:rsidRPr="00FE5044">
        <w:rPr>
          <w:rFonts w:ascii="Arial" w:hAnsi="Arial" w:cs="Arial"/>
          <w:sz w:val="20"/>
          <w:szCs w:val="20"/>
        </w:rPr>
        <w:t>4,6%</w:t>
      </w:r>
      <w:r>
        <w:rPr>
          <w:rFonts w:ascii="Arial" w:hAnsi="Arial" w:cs="Arial"/>
          <w:sz w:val="20"/>
          <w:szCs w:val="20"/>
        </w:rPr>
        <w:t>.</w:t>
      </w:r>
    </w:p>
    <w:p w:rsidR="00606E05" w:rsidRDefault="00606E05" w:rsidP="00931CFC">
      <w:pPr>
        <w:jc w:val="both"/>
        <w:rPr>
          <w:rFonts w:ascii="Arial" w:hAnsi="Arial" w:cs="Arial"/>
          <w:sz w:val="20"/>
          <w:szCs w:val="20"/>
        </w:rPr>
      </w:pPr>
    </w:p>
    <w:p w:rsidR="003A2191" w:rsidRPr="003C6E40" w:rsidRDefault="000C76B5" w:rsidP="000C76B5">
      <w:pPr>
        <w:spacing w:line="260" w:lineRule="exact"/>
        <w:jc w:val="both"/>
        <w:rPr>
          <w:rFonts w:ascii="Arial" w:hAnsi="Arial" w:cs="Arial"/>
          <w:sz w:val="20"/>
          <w:szCs w:val="20"/>
        </w:rPr>
      </w:pPr>
      <w:r>
        <w:rPr>
          <w:rFonts w:ascii="Arial" w:hAnsi="Arial" w:cs="Arial"/>
          <w:b/>
          <w:bCs/>
          <w:color w:val="800000"/>
          <w:kern w:val="28"/>
          <w:sz w:val="20"/>
          <w:szCs w:val="20"/>
        </w:rPr>
        <w:t>Poursuite de l’amélioration de la demande</w:t>
      </w:r>
      <w:r w:rsidR="004672E1">
        <w:rPr>
          <w:rFonts w:ascii="Arial" w:hAnsi="Arial" w:cs="Arial"/>
          <w:b/>
          <w:bCs/>
          <w:color w:val="800000"/>
          <w:kern w:val="28"/>
          <w:sz w:val="20"/>
          <w:szCs w:val="20"/>
        </w:rPr>
        <w:t xml:space="preserve"> extérieur</w:t>
      </w:r>
      <w:r>
        <w:rPr>
          <w:rFonts w:ascii="Arial" w:hAnsi="Arial" w:cs="Arial"/>
          <w:b/>
          <w:bCs/>
          <w:color w:val="800000"/>
          <w:kern w:val="28"/>
          <w:sz w:val="20"/>
          <w:szCs w:val="20"/>
        </w:rPr>
        <w:t>e au premier trimestre 2015</w:t>
      </w:r>
      <w:r w:rsidR="003A2191" w:rsidRPr="003C6E40">
        <w:rPr>
          <w:rFonts w:ascii="Arial" w:hAnsi="Arial" w:cs="Arial"/>
          <w:b/>
          <w:bCs/>
          <w:color w:val="800000"/>
          <w:kern w:val="28"/>
          <w:sz w:val="20"/>
          <w:szCs w:val="20"/>
        </w:rPr>
        <w:t xml:space="preserve"> </w:t>
      </w:r>
    </w:p>
    <w:p w:rsidR="003A2191" w:rsidRPr="003C6E40" w:rsidRDefault="008C7957" w:rsidP="003A2191">
      <w:pPr>
        <w:spacing w:line="260" w:lineRule="exact"/>
        <w:jc w:val="both"/>
        <w:rPr>
          <w:rFonts w:ascii="Arial" w:hAnsi="Arial" w:cs="Arial"/>
          <w:sz w:val="20"/>
          <w:szCs w:val="20"/>
        </w:rPr>
      </w:pPr>
      <w:r>
        <w:rPr>
          <w:noProof/>
        </w:rPr>
        <w:drawing>
          <wp:anchor distT="0" distB="0" distL="114300" distR="114300" simplePos="0" relativeHeight="251660288" behindDoc="0" locked="0" layoutInCell="1" allowOverlap="1">
            <wp:simplePos x="0" y="0"/>
            <wp:positionH relativeFrom="column">
              <wp:posOffset>4000500</wp:posOffset>
            </wp:positionH>
            <wp:positionV relativeFrom="paragraph">
              <wp:posOffset>59690</wp:posOffset>
            </wp:positionV>
            <wp:extent cx="2529205" cy="2133600"/>
            <wp:effectExtent l="0" t="0" r="0" b="0"/>
            <wp:wrapSquare wrapText="bothSides"/>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srcRect/>
                    <a:stretch>
                      <a:fillRect/>
                    </a:stretch>
                  </pic:blipFill>
                  <pic:spPr bwMode="auto">
                    <a:xfrm>
                      <a:off x="0" y="0"/>
                      <a:ext cx="2529205" cy="2133600"/>
                    </a:xfrm>
                    <a:prstGeom prst="rect">
                      <a:avLst/>
                    </a:prstGeom>
                    <a:noFill/>
                    <a:ln w="9525">
                      <a:noFill/>
                      <a:miter lim="800000"/>
                      <a:headEnd/>
                      <a:tailEnd/>
                    </a:ln>
                  </pic:spPr>
                </pic:pic>
              </a:graphicData>
            </a:graphic>
          </wp:anchor>
        </w:drawing>
      </w:r>
    </w:p>
    <w:p w:rsidR="003A2191" w:rsidRPr="003C6E40" w:rsidRDefault="003A2191" w:rsidP="004D35BD">
      <w:pPr>
        <w:autoSpaceDE w:val="0"/>
        <w:autoSpaceDN w:val="0"/>
        <w:adjustRightInd w:val="0"/>
        <w:jc w:val="both"/>
        <w:rPr>
          <w:rFonts w:ascii="Arial" w:hAnsi="Arial" w:cs="Arial"/>
          <w:sz w:val="20"/>
          <w:szCs w:val="20"/>
        </w:rPr>
      </w:pPr>
      <w:r w:rsidRPr="003C6E40">
        <w:rPr>
          <w:rFonts w:ascii="Arial" w:hAnsi="Arial" w:cs="Arial"/>
          <w:iCs/>
          <w:color w:val="000000"/>
          <w:sz w:val="20"/>
          <w:szCs w:val="20"/>
          <w:lang w:eastAsia="en-US"/>
        </w:rPr>
        <w:t xml:space="preserve">Au premier trimestre 2015, </w:t>
      </w:r>
      <w:r w:rsidR="004672E1" w:rsidRPr="000C76B5">
        <w:rPr>
          <w:rFonts w:ascii="Arial" w:hAnsi="Arial" w:cs="Arial"/>
          <w:b/>
          <w:bCs/>
          <w:iCs/>
          <w:color w:val="000000"/>
          <w:sz w:val="20"/>
          <w:szCs w:val="20"/>
          <w:lang w:eastAsia="en-US"/>
        </w:rPr>
        <w:t>l</w:t>
      </w:r>
      <w:r w:rsidR="000C76B5" w:rsidRPr="000C76B5">
        <w:rPr>
          <w:rFonts w:ascii="Arial" w:hAnsi="Arial" w:cs="Arial"/>
          <w:b/>
          <w:bCs/>
          <w:iCs/>
          <w:color w:val="000000"/>
          <w:sz w:val="20"/>
          <w:szCs w:val="20"/>
          <w:lang w:eastAsia="en-US"/>
        </w:rPr>
        <w:t>’</w:t>
      </w:r>
      <w:r w:rsidRPr="003C6E40">
        <w:rPr>
          <w:rFonts w:ascii="Arial" w:hAnsi="Arial" w:cs="Arial"/>
          <w:b/>
          <w:bCs/>
          <w:iCs/>
          <w:color w:val="000000"/>
          <w:sz w:val="20"/>
          <w:szCs w:val="20"/>
          <w:lang w:eastAsia="en-US"/>
        </w:rPr>
        <w:t xml:space="preserve">économie </w:t>
      </w:r>
      <w:r w:rsidR="000C76B5">
        <w:rPr>
          <w:rFonts w:ascii="Arial" w:hAnsi="Arial" w:cs="Arial"/>
          <w:b/>
          <w:bCs/>
          <w:iCs/>
          <w:color w:val="000000"/>
          <w:sz w:val="20"/>
          <w:szCs w:val="20"/>
          <w:lang w:eastAsia="en-US"/>
        </w:rPr>
        <w:t xml:space="preserve">des pays </w:t>
      </w:r>
      <w:r w:rsidRPr="003C6E40">
        <w:rPr>
          <w:rFonts w:ascii="Arial" w:hAnsi="Arial" w:cs="Arial"/>
          <w:b/>
          <w:bCs/>
          <w:iCs/>
          <w:color w:val="000000"/>
          <w:sz w:val="20"/>
          <w:szCs w:val="20"/>
          <w:lang w:eastAsia="en-US"/>
        </w:rPr>
        <w:t>avancés</w:t>
      </w:r>
      <w:r w:rsidRPr="003C6E40">
        <w:rPr>
          <w:rFonts w:ascii="Arial" w:hAnsi="Arial" w:cs="Arial"/>
          <w:iCs/>
          <w:color w:val="000000"/>
          <w:sz w:val="20"/>
          <w:szCs w:val="20"/>
          <w:lang w:eastAsia="en-US"/>
        </w:rPr>
        <w:t xml:space="preserve"> aurait gagné en dynamisme, alors que celle des pays émergents aurait </w:t>
      </w:r>
      <w:r w:rsidR="004672E1">
        <w:rPr>
          <w:rFonts w:ascii="Arial" w:hAnsi="Arial" w:cs="Arial"/>
          <w:iCs/>
          <w:color w:val="000000"/>
          <w:sz w:val="20"/>
          <w:szCs w:val="20"/>
          <w:lang w:eastAsia="en-US"/>
        </w:rPr>
        <w:t xml:space="preserve">poursuivi </w:t>
      </w:r>
      <w:r w:rsidR="00EC5185">
        <w:rPr>
          <w:rFonts w:ascii="Arial" w:hAnsi="Arial" w:cs="Arial"/>
          <w:iCs/>
          <w:color w:val="000000"/>
          <w:sz w:val="20"/>
          <w:szCs w:val="20"/>
          <w:lang w:eastAsia="en-US"/>
        </w:rPr>
        <w:t>son</w:t>
      </w:r>
      <w:r w:rsidR="004672E1">
        <w:rPr>
          <w:rFonts w:ascii="Arial" w:hAnsi="Arial" w:cs="Arial"/>
          <w:iCs/>
          <w:color w:val="000000"/>
          <w:sz w:val="20"/>
          <w:szCs w:val="20"/>
          <w:lang w:eastAsia="en-US"/>
        </w:rPr>
        <w:t xml:space="preserve"> ralentissement</w:t>
      </w:r>
      <w:r w:rsidRPr="003C6E40">
        <w:rPr>
          <w:rFonts w:ascii="Arial" w:hAnsi="Arial" w:cs="Arial"/>
          <w:iCs/>
          <w:color w:val="000000"/>
          <w:sz w:val="20"/>
          <w:szCs w:val="20"/>
          <w:lang w:eastAsia="en-US"/>
        </w:rPr>
        <w:t>, pâtissant de l’essoufflement de l’économie chinoise et de l’entrée en récession du Brésil et de la Russie. La croissance dans les pays anglo-saxons aurait profité de l</w:t>
      </w:r>
      <w:r w:rsidR="00EC5185">
        <w:rPr>
          <w:rFonts w:ascii="Arial" w:hAnsi="Arial" w:cs="Arial"/>
          <w:iCs/>
          <w:color w:val="000000"/>
          <w:sz w:val="20"/>
          <w:szCs w:val="20"/>
          <w:lang w:eastAsia="en-US"/>
        </w:rPr>
        <w:t>’évolution favorable</w:t>
      </w:r>
      <w:r w:rsidRPr="003C6E40">
        <w:rPr>
          <w:rFonts w:ascii="Arial" w:hAnsi="Arial" w:cs="Arial"/>
          <w:iCs/>
          <w:color w:val="000000"/>
          <w:sz w:val="20"/>
          <w:szCs w:val="20"/>
          <w:lang w:eastAsia="en-US"/>
        </w:rPr>
        <w:t xml:space="preserve"> de la demande intérieure, en lien avec le recul du chômage et la </w:t>
      </w:r>
      <w:r w:rsidR="00EC5185">
        <w:rPr>
          <w:rFonts w:ascii="Arial" w:hAnsi="Arial" w:cs="Arial"/>
          <w:iCs/>
          <w:color w:val="000000"/>
          <w:sz w:val="20"/>
          <w:szCs w:val="20"/>
          <w:lang w:eastAsia="en-US"/>
        </w:rPr>
        <w:t>progression</w:t>
      </w:r>
      <w:r w:rsidRPr="003C6E40">
        <w:rPr>
          <w:rFonts w:ascii="Arial" w:hAnsi="Arial" w:cs="Arial"/>
          <w:iCs/>
          <w:color w:val="000000"/>
          <w:sz w:val="20"/>
          <w:szCs w:val="20"/>
          <w:lang w:eastAsia="en-US"/>
        </w:rPr>
        <w:t xml:space="preserve"> de l’investissement. Celle de la zone euro aurait bénéficié, pour sa part, de la conjonction </w:t>
      </w:r>
      <w:r w:rsidR="00910044">
        <w:rPr>
          <w:rFonts w:ascii="Arial" w:hAnsi="Arial" w:cs="Arial"/>
          <w:sz w:val="20"/>
          <w:szCs w:val="20"/>
        </w:rPr>
        <w:t>de facteurs favorables</w:t>
      </w:r>
      <w:r w:rsidRPr="003C6E40">
        <w:rPr>
          <w:rFonts w:ascii="Arial" w:hAnsi="Arial" w:cs="Arial"/>
          <w:sz w:val="20"/>
          <w:szCs w:val="20"/>
        </w:rPr>
        <w:t xml:space="preserve"> comme la chute des prix du pétrole, la dépréciation de l’euro et une politique monétaire accommodante. </w:t>
      </w:r>
      <w:r w:rsidR="004672E1">
        <w:rPr>
          <w:rFonts w:ascii="Arial" w:hAnsi="Arial" w:cs="Arial"/>
          <w:sz w:val="20"/>
          <w:szCs w:val="20"/>
        </w:rPr>
        <w:t xml:space="preserve">Dans ce contexte, le </w:t>
      </w:r>
      <w:r w:rsidR="004672E1" w:rsidRPr="003C6E40">
        <w:rPr>
          <w:rFonts w:ascii="Arial" w:hAnsi="Arial" w:cs="Arial"/>
          <w:iCs/>
          <w:color w:val="000000"/>
          <w:sz w:val="20"/>
          <w:szCs w:val="20"/>
          <w:lang w:eastAsia="en-US"/>
        </w:rPr>
        <w:t xml:space="preserve">commerce mondial </w:t>
      </w:r>
      <w:r w:rsidR="004672E1">
        <w:rPr>
          <w:rFonts w:ascii="Arial" w:hAnsi="Arial" w:cs="Arial"/>
          <w:iCs/>
          <w:color w:val="000000"/>
          <w:sz w:val="20"/>
          <w:szCs w:val="20"/>
          <w:lang w:eastAsia="en-US"/>
        </w:rPr>
        <w:t xml:space="preserve">se serait affermi </w:t>
      </w:r>
      <w:r w:rsidR="004672E1" w:rsidRPr="003C6E40">
        <w:rPr>
          <w:rFonts w:ascii="Arial" w:hAnsi="Arial" w:cs="Arial"/>
          <w:iCs/>
          <w:color w:val="000000"/>
          <w:sz w:val="20"/>
          <w:szCs w:val="20"/>
          <w:lang w:eastAsia="en-US"/>
        </w:rPr>
        <w:t xml:space="preserve">de </w:t>
      </w:r>
      <w:r w:rsidR="004672E1">
        <w:rPr>
          <w:rFonts w:ascii="Arial" w:hAnsi="Arial" w:cs="Arial"/>
          <w:iCs/>
          <w:color w:val="000000"/>
          <w:sz w:val="20"/>
          <w:szCs w:val="20"/>
          <w:lang w:eastAsia="en-US"/>
        </w:rPr>
        <w:t>5</w:t>
      </w:r>
      <w:r w:rsidR="004672E1" w:rsidRPr="003C6E40">
        <w:rPr>
          <w:rFonts w:ascii="Arial" w:hAnsi="Arial" w:cs="Arial"/>
          <w:iCs/>
          <w:color w:val="000000"/>
          <w:sz w:val="20"/>
          <w:szCs w:val="20"/>
          <w:lang w:eastAsia="en-US"/>
        </w:rPr>
        <w:t>% en variation annuelle, au premier trimestre 2015</w:t>
      </w:r>
      <w:r w:rsidR="004672E1">
        <w:rPr>
          <w:rFonts w:ascii="Arial" w:hAnsi="Arial" w:cs="Arial"/>
          <w:iCs/>
          <w:color w:val="000000"/>
          <w:sz w:val="20"/>
          <w:szCs w:val="20"/>
          <w:lang w:eastAsia="en-US"/>
        </w:rPr>
        <w:t xml:space="preserve">, favorisant une amélioration de </w:t>
      </w:r>
      <w:r w:rsidR="004672E1" w:rsidRPr="003C6E40">
        <w:rPr>
          <w:rFonts w:ascii="Arial" w:hAnsi="Arial" w:cs="Arial"/>
          <w:iCs/>
          <w:color w:val="000000"/>
          <w:sz w:val="20"/>
          <w:szCs w:val="20"/>
          <w:lang w:eastAsia="en-US"/>
        </w:rPr>
        <w:t>4,9%</w:t>
      </w:r>
      <w:r w:rsidR="004672E1">
        <w:rPr>
          <w:rFonts w:ascii="Arial" w:hAnsi="Arial" w:cs="Arial"/>
          <w:iCs/>
          <w:color w:val="000000"/>
          <w:sz w:val="20"/>
          <w:szCs w:val="20"/>
          <w:lang w:eastAsia="en-US"/>
        </w:rPr>
        <w:t xml:space="preserve"> de</w:t>
      </w:r>
      <w:r w:rsidR="004672E1" w:rsidRPr="003C6E40">
        <w:rPr>
          <w:rFonts w:ascii="Arial" w:hAnsi="Arial" w:cs="Arial"/>
          <w:iCs/>
          <w:color w:val="000000"/>
          <w:sz w:val="20"/>
          <w:szCs w:val="20"/>
          <w:lang w:eastAsia="en-US"/>
        </w:rPr>
        <w:t xml:space="preserve"> </w:t>
      </w:r>
      <w:r w:rsidR="004672E1">
        <w:rPr>
          <w:rFonts w:ascii="Arial" w:hAnsi="Arial" w:cs="Arial"/>
          <w:iCs/>
          <w:color w:val="000000"/>
          <w:sz w:val="20"/>
          <w:szCs w:val="20"/>
          <w:lang w:eastAsia="en-US"/>
        </w:rPr>
        <w:t xml:space="preserve">la </w:t>
      </w:r>
      <w:r w:rsidR="004672E1" w:rsidRPr="003C6E40">
        <w:rPr>
          <w:rFonts w:ascii="Arial" w:hAnsi="Arial" w:cs="Arial"/>
          <w:iCs/>
          <w:color w:val="000000"/>
          <w:sz w:val="20"/>
          <w:szCs w:val="20"/>
          <w:lang w:eastAsia="en-US"/>
        </w:rPr>
        <w:t>demande mondiale adressée au Maroc</w:t>
      </w:r>
      <w:r w:rsidR="00435537">
        <w:rPr>
          <w:rFonts w:ascii="Arial" w:hAnsi="Arial" w:cs="Arial"/>
          <w:iCs/>
          <w:color w:val="000000"/>
          <w:sz w:val="20"/>
          <w:szCs w:val="20"/>
          <w:lang w:eastAsia="en-US"/>
        </w:rPr>
        <w:t>.</w:t>
      </w:r>
    </w:p>
    <w:p w:rsidR="003A2191" w:rsidRPr="003C6E40" w:rsidRDefault="003A2191" w:rsidP="003A2191">
      <w:pPr>
        <w:autoSpaceDE w:val="0"/>
        <w:autoSpaceDN w:val="0"/>
        <w:adjustRightInd w:val="0"/>
        <w:jc w:val="both"/>
        <w:rPr>
          <w:rFonts w:ascii="Arial" w:hAnsi="Arial" w:cs="Arial"/>
          <w:sz w:val="20"/>
          <w:szCs w:val="20"/>
        </w:rPr>
      </w:pPr>
    </w:p>
    <w:p w:rsidR="003A2191" w:rsidRPr="003C6E40" w:rsidRDefault="00435537" w:rsidP="00032899">
      <w:pPr>
        <w:jc w:val="both"/>
        <w:rPr>
          <w:rFonts w:ascii="Arial" w:hAnsi="Arial" w:cs="Arial"/>
          <w:iCs/>
          <w:kern w:val="28"/>
          <w:sz w:val="20"/>
          <w:szCs w:val="20"/>
        </w:rPr>
      </w:pPr>
      <w:r>
        <w:rPr>
          <w:rFonts w:ascii="Arial" w:hAnsi="Arial" w:cs="Arial"/>
          <w:iCs/>
          <w:kern w:val="28"/>
          <w:sz w:val="20"/>
          <w:szCs w:val="20"/>
        </w:rPr>
        <w:t>L</w:t>
      </w:r>
      <w:r w:rsidRPr="003C6E40">
        <w:rPr>
          <w:rFonts w:ascii="Arial" w:hAnsi="Arial" w:cs="Arial"/>
          <w:iCs/>
          <w:kern w:val="28"/>
          <w:sz w:val="20"/>
          <w:szCs w:val="20"/>
        </w:rPr>
        <w:t xml:space="preserve">es </w:t>
      </w:r>
      <w:r w:rsidRPr="003C6E40">
        <w:rPr>
          <w:rFonts w:ascii="Arial" w:hAnsi="Arial" w:cs="Arial"/>
          <w:b/>
          <w:bCs/>
          <w:iCs/>
          <w:kern w:val="28"/>
          <w:sz w:val="20"/>
          <w:szCs w:val="20"/>
        </w:rPr>
        <w:t xml:space="preserve">exportations </w:t>
      </w:r>
      <w:r w:rsidR="00EC5185">
        <w:rPr>
          <w:rFonts w:ascii="Arial" w:hAnsi="Arial" w:cs="Arial"/>
          <w:b/>
          <w:bCs/>
          <w:iCs/>
          <w:kern w:val="28"/>
          <w:sz w:val="20"/>
          <w:szCs w:val="20"/>
        </w:rPr>
        <w:t xml:space="preserve">nationales </w:t>
      </w:r>
      <w:r w:rsidRPr="003C6E40">
        <w:rPr>
          <w:rFonts w:ascii="Arial" w:hAnsi="Arial" w:cs="Arial"/>
          <w:iCs/>
          <w:kern w:val="28"/>
          <w:sz w:val="20"/>
          <w:szCs w:val="20"/>
        </w:rPr>
        <w:t>de biens en valeur auraient continué de s’améliorer au premier trimestre 2015, profitant de l’orientation favorable de la demande étrangère adressée au Maroc</w:t>
      </w:r>
      <w:r>
        <w:rPr>
          <w:rFonts w:ascii="Arial" w:hAnsi="Arial" w:cs="Arial"/>
          <w:iCs/>
          <w:kern w:val="28"/>
          <w:sz w:val="20"/>
          <w:szCs w:val="20"/>
        </w:rPr>
        <w:t>. Ainsi et a</w:t>
      </w:r>
      <w:r w:rsidR="003A2191" w:rsidRPr="003C6E40">
        <w:rPr>
          <w:rFonts w:ascii="Arial" w:hAnsi="Arial" w:cs="Arial"/>
          <w:iCs/>
          <w:kern w:val="28"/>
          <w:sz w:val="20"/>
          <w:szCs w:val="20"/>
        </w:rPr>
        <w:t>près avoir clôturé l’année 2014 avec une croissance de 8,3</w:t>
      </w:r>
      <w:r>
        <w:rPr>
          <w:rFonts w:ascii="Arial" w:hAnsi="Arial" w:cs="Arial"/>
          <w:iCs/>
          <w:kern w:val="28"/>
          <w:sz w:val="20"/>
          <w:szCs w:val="20"/>
        </w:rPr>
        <w:t xml:space="preserve">%, </w:t>
      </w:r>
      <w:r w:rsidR="00EC5185">
        <w:rPr>
          <w:rFonts w:ascii="Arial" w:hAnsi="Arial" w:cs="Arial"/>
          <w:iCs/>
          <w:kern w:val="28"/>
          <w:sz w:val="20"/>
          <w:szCs w:val="20"/>
        </w:rPr>
        <w:t>les exportations</w:t>
      </w:r>
      <w:r>
        <w:rPr>
          <w:rFonts w:ascii="Arial" w:hAnsi="Arial" w:cs="Arial"/>
          <w:iCs/>
          <w:kern w:val="28"/>
          <w:sz w:val="20"/>
          <w:szCs w:val="20"/>
        </w:rPr>
        <w:t xml:space="preserve"> se seraient accrues de</w:t>
      </w:r>
      <w:r w:rsidR="003A2191" w:rsidRPr="003C6E40">
        <w:rPr>
          <w:rFonts w:ascii="Arial" w:hAnsi="Arial" w:cs="Arial"/>
          <w:iCs/>
          <w:kern w:val="28"/>
          <w:sz w:val="20"/>
          <w:szCs w:val="20"/>
        </w:rPr>
        <w:t xml:space="preserve"> 10,9% en variation annuelle, </w:t>
      </w:r>
      <w:r>
        <w:rPr>
          <w:rFonts w:ascii="Arial" w:hAnsi="Arial" w:cs="Arial"/>
          <w:iCs/>
          <w:kern w:val="28"/>
          <w:sz w:val="20"/>
          <w:szCs w:val="20"/>
        </w:rPr>
        <w:t>bénéficiant</w:t>
      </w:r>
      <w:r w:rsidR="003A2191" w:rsidRPr="003C6E40">
        <w:rPr>
          <w:rFonts w:ascii="Arial" w:hAnsi="Arial" w:cs="Arial"/>
          <w:iCs/>
          <w:kern w:val="28"/>
          <w:sz w:val="20"/>
          <w:szCs w:val="20"/>
        </w:rPr>
        <w:t xml:space="preserve"> de l’</w:t>
      </w:r>
      <w:r w:rsidR="00EC5185">
        <w:rPr>
          <w:rFonts w:ascii="Arial" w:hAnsi="Arial" w:cs="Arial"/>
          <w:iCs/>
          <w:kern w:val="28"/>
          <w:sz w:val="20"/>
          <w:szCs w:val="20"/>
        </w:rPr>
        <w:t xml:space="preserve">orientation </w:t>
      </w:r>
      <w:r w:rsidR="003A2191" w:rsidRPr="003C6E40">
        <w:rPr>
          <w:rFonts w:ascii="Arial" w:hAnsi="Arial" w:cs="Arial"/>
          <w:iCs/>
          <w:kern w:val="28"/>
          <w:sz w:val="20"/>
          <w:szCs w:val="20"/>
        </w:rPr>
        <w:t>positi</w:t>
      </w:r>
      <w:r w:rsidR="00EC5185">
        <w:rPr>
          <w:rFonts w:ascii="Arial" w:hAnsi="Arial" w:cs="Arial"/>
          <w:iCs/>
          <w:kern w:val="28"/>
          <w:sz w:val="20"/>
          <w:szCs w:val="20"/>
        </w:rPr>
        <w:t>ve</w:t>
      </w:r>
      <w:r w:rsidR="003A2191" w:rsidRPr="003C6E40">
        <w:rPr>
          <w:rFonts w:ascii="Arial" w:hAnsi="Arial" w:cs="Arial"/>
          <w:iCs/>
          <w:kern w:val="28"/>
          <w:sz w:val="20"/>
          <w:szCs w:val="20"/>
        </w:rPr>
        <w:t xml:space="preserve"> du secteur</w:t>
      </w:r>
      <w:r w:rsidR="00EC5185">
        <w:rPr>
          <w:rFonts w:ascii="Arial" w:hAnsi="Arial" w:cs="Arial"/>
          <w:iCs/>
          <w:kern w:val="28"/>
          <w:sz w:val="20"/>
          <w:szCs w:val="20"/>
        </w:rPr>
        <w:t xml:space="preserve"> de</w:t>
      </w:r>
      <w:r w:rsidR="003A2191" w:rsidRPr="003C6E40">
        <w:rPr>
          <w:rFonts w:ascii="Arial" w:hAnsi="Arial" w:cs="Arial"/>
          <w:iCs/>
          <w:kern w:val="28"/>
          <w:sz w:val="20"/>
          <w:szCs w:val="20"/>
        </w:rPr>
        <w:t xml:space="preserve"> l’automobile, dans ses segments construction et câblage électrique, suivi du secteur textile dans sa branche confection et bonneterie, puis du secteur agroalimentaire. </w:t>
      </w:r>
      <w:r w:rsidR="003A2191">
        <w:rPr>
          <w:rFonts w:ascii="Arial" w:hAnsi="Arial" w:cs="Arial"/>
          <w:iCs/>
          <w:kern w:val="28"/>
          <w:sz w:val="20"/>
          <w:szCs w:val="20"/>
        </w:rPr>
        <w:t xml:space="preserve">Les </w:t>
      </w:r>
      <w:r w:rsidR="003A2191" w:rsidRPr="003C6E40">
        <w:rPr>
          <w:rFonts w:ascii="Arial" w:hAnsi="Arial" w:cs="Arial"/>
          <w:iCs/>
          <w:kern w:val="28"/>
          <w:sz w:val="20"/>
          <w:szCs w:val="20"/>
        </w:rPr>
        <w:t xml:space="preserve">expéditions des phosphates et </w:t>
      </w:r>
      <w:r w:rsidR="00EC5185">
        <w:rPr>
          <w:rFonts w:ascii="Arial" w:hAnsi="Arial" w:cs="Arial"/>
          <w:iCs/>
          <w:kern w:val="28"/>
          <w:sz w:val="20"/>
          <w:szCs w:val="20"/>
        </w:rPr>
        <w:t xml:space="preserve">leurs </w:t>
      </w:r>
      <w:r w:rsidR="003A2191" w:rsidRPr="003C6E40">
        <w:rPr>
          <w:rFonts w:ascii="Arial" w:hAnsi="Arial" w:cs="Arial"/>
          <w:iCs/>
          <w:kern w:val="28"/>
          <w:sz w:val="20"/>
          <w:szCs w:val="20"/>
        </w:rPr>
        <w:t>dérivés</w:t>
      </w:r>
      <w:r w:rsidRPr="00435537">
        <w:rPr>
          <w:rFonts w:ascii="Arial" w:hAnsi="Arial" w:cs="Arial"/>
          <w:iCs/>
          <w:kern w:val="28"/>
          <w:sz w:val="20"/>
          <w:szCs w:val="20"/>
        </w:rPr>
        <w:t xml:space="preserve"> </w:t>
      </w:r>
      <w:r w:rsidRPr="003C6E40">
        <w:rPr>
          <w:rFonts w:ascii="Arial" w:hAnsi="Arial" w:cs="Arial"/>
          <w:iCs/>
          <w:kern w:val="28"/>
          <w:sz w:val="20"/>
          <w:szCs w:val="20"/>
        </w:rPr>
        <w:t>auraient</w:t>
      </w:r>
      <w:r w:rsidR="003A2191" w:rsidRPr="003C6E40">
        <w:rPr>
          <w:rFonts w:ascii="Arial" w:hAnsi="Arial" w:cs="Arial"/>
          <w:iCs/>
          <w:kern w:val="28"/>
          <w:sz w:val="20"/>
          <w:szCs w:val="20"/>
        </w:rPr>
        <w:t xml:space="preserve">, </w:t>
      </w:r>
      <w:r w:rsidR="003A2191">
        <w:rPr>
          <w:rFonts w:ascii="Arial" w:hAnsi="Arial" w:cs="Arial"/>
          <w:iCs/>
          <w:kern w:val="28"/>
          <w:sz w:val="20"/>
          <w:szCs w:val="20"/>
        </w:rPr>
        <w:t xml:space="preserve">quant à </w:t>
      </w:r>
      <w:r w:rsidR="003A2191" w:rsidRPr="003C6E40">
        <w:rPr>
          <w:rFonts w:ascii="Arial" w:hAnsi="Arial" w:cs="Arial"/>
          <w:iCs/>
          <w:kern w:val="28"/>
          <w:sz w:val="20"/>
          <w:szCs w:val="20"/>
        </w:rPr>
        <w:t>elles</w:t>
      </w:r>
      <w:r w:rsidR="003A2191">
        <w:rPr>
          <w:rFonts w:ascii="Arial" w:hAnsi="Arial" w:cs="Arial"/>
          <w:iCs/>
          <w:kern w:val="28"/>
          <w:sz w:val="20"/>
          <w:szCs w:val="20"/>
        </w:rPr>
        <w:t>,</w:t>
      </w:r>
      <w:r w:rsidR="003A2191" w:rsidRPr="003C6E40">
        <w:rPr>
          <w:rFonts w:ascii="Arial" w:hAnsi="Arial" w:cs="Arial"/>
          <w:iCs/>
          <w:kern w:val="28"/>
          <w:sz w:val="20"/>
          <w:szCs w:val="20"/>
        </w:rPr>
        <w:t xml:space="preserve"> tiré profit de l’effet prix à l’export, consécutivement à la hausse de</w:t>
      </w:r>
      <w:r w:rsidR="00EC5185">
        <w:rPr>
          <w:rFonts w:ascii="Arial" w:hAnsi="Arial" w:cs="Arial"/>
          <w:iCs/>
          <w:kern w:val="28"/>
          <w:sz w:val="20"/>
          <w:szCs w:val="20"/>
        </w:rPr>
        <w:t xml:space="preserve"> leur</w:t>
      </w:r>
      <w:r w:rsidR="003A2191" w:rsidRPr="003C6E40">
        <w:rPr>
          <w:rFonts w:ascii="Arial" w:hAnsi="Arial" w:cs="Arial"/>
          <w:iCs/>
          <w:kern w:val="28"/>
          <w:sz w:val="20"/>
          <w:szCs w:val="20"/>
        </w:rPr>
        <w:t>s cours</w:t>
      </w:r>
      <w:r w:rsidR="003A2191">
        <w:rPr>
          <w:rFonts w:ascii="Arial" w:hAnsi="Arial" w:cs="Arial"/>
          <w:iCs/>
          <w:kern w:val="28"/>
          <w:sz w:val="20"/>
          <w:szCs w:val="20"/>
        </w:rPr>
        <w:t xml:space="preserve"> </w:t>
      </w:r>
      <w:r w:rsidR="003A2191" w:rsidRPr="003C6E40">
        <w:rPr>
          <w:rFonts w:ascii="Arial" w:hAnsi="Arial" w:cs="Arial"/>
          <w:iCs/>
          <w:kern w:val="28"/>
          <w:sz w:val="20"/>
          <w:szCs w:val="20"/>
        </w:rPr>
        <w:t>sur le marché mondial.</w:t>
      </w:r>
    </w:p>
    <w:p w:rsidR="003A2191" w:rsidRPr="003C6E40" w:rsidRDefault="003A2191" w:rsidP="003A2191">
      <w:pPr>
        <w:jc w:val="both"/>
        <w:rPr>
          <w:rFonts w:ascii="Arial" w:hAnsi="Arial" w:cs="Arial"/>
          <w:iCs/>
          <w:kern w:val="28"/>
          <w:sz w:val="20"/>
          <w:szCs w:val="20"/>
        </w:rPr>
      </w:pPr>
      <w:r w:rsidRPr="003C6E40">
        <w:rPr>
          <w:rFonts w:ascii="Arial" w:hAnsi="Arial" w:cs="Arial"/>
          <w:iCs/>
          <w:kern w:val="28"/>
          <w:sz w:val="20"/>
          <w:szCs w:val="20"/>
        </w:rPr>
        <w:t xml:space="preserve"> </w:t>
      </w:r>
    </w:p>
    <w:p w:rsidR="003A2191" w:rsidRDefault="003A2191" w:rsidP="00032899">
      <w:pPr>
        <w:jc w:val="both"/>
        <w:rPr>
          <w:rFonts w:ascii="Arial" w:hAnsi="Arial" w:cs="Arial"/>
          <w:iCs/>
          <w:kern w:val="28"/>
          <w:sz w:val="20"/>
          <w:szCs w:val="20"/>
        </w:rPr>
      </w:pPr>
      <w:r>
        <w:rPr>
          <w:rFonts w:ascii="Arial" w:hAnsi="Arial" w:cs="Arial"/>
          <w:iCs/>
          <w:sz w:val="20"/>
          <w:szCs w:val="20"/>
        </w:rPr>
        <w:t xml:space="preserve">En revanche, les </w:t>
      </w:r>
      <w:r w:rsidRPr="003C6E40">
        <w:rPr>
          <w:rFonts w:ascii="Arial" w:hAnsi="Arial" w:cs="Arial"/>
          <w:b/>
          <w:bCs/>
          <w:iCs/>
          <w:sz w:val="20"/>
          <w:szCs w:val="20"/>
        </w:rPr>
        <w:t>importations</w:t>
      </w:r>
      <w:r w:rsidRPr="003C6E40">
        <w:rPr>
          <w:rFonts w:ascii="Arial" w:hAnsi="Arial" w:cs="Arial"/>
          <w:iCs/>
          <w:kern w:val="28"/>
          <w:sz w:val="20"/>
          <w:szCs w:val="20"/>
        </w:rPr>
        <w:t xml:space="preserve"> auraient reflué, </w:t>
      </w:r>
      <w:r>
        <w:rPr>
          <w:rFonts w:ascii="Arial" w:hAnsi="Arial" w:cs="Arial"/>
          <w:iCs/>
          <w:kern w:val="28"/>
          <w:sz w:val="20"/>
          <w:szCs w:val="20"/>
        </w:rPr>
        <w:t>au premier trimestre 2015</w:t>
      </w:r>
      <w:r w:rsidRPr="003C6E40">
        <w:rPr>
          <w:rFonts w:ascii="Arial" w:hAnsi="Arial" w:cs="Arial"/>
          <w:iCs/>
          <w:kern w:val="28"/>
          <w:sz w:val="20"/>
          <w:szCs w:val="20"/>
        </w:rPr>
        <w:t>, enregistrant un repli estimé à 16,6%, en glissement annuel. Cette baisse a</w:t>
      </w:r>
      <w:r w:rsidR="005D113E">
        <w:rPr>
          <w:rFonts w:ascii="Arial" w:hAnsi="Arial" w:cs="Arial"/>
          <w:iCs/>
          <w:kern w:val="28"/>
          <w:sz w:val="20"/>
          <w:szCs w:val="20"/>
        </w:rPr>
        <w:t>urait</w:t>
      </w:r>
      <w:r w:rsidRPr="003C6E40">
        <w:rPr>
          <w:rFonts w:ascii="Arial" w:hAnsi="Arial" w:cs="Arial"/>
          <w:iCs/>
          <w:kern w:val="28"/>
          <w:sz w:val="20"/>
          <w:szCs w:val="20"/>
        </w:rPr>
        <w:t xml:space="preserve"> concerné particulièrement les acquisitions des biens énergétiques et alimentaires. </w:t>
      </w:r>
      <w:r>
        <w:rPr>
          <w:rFonts w:ascii="Arial" w:hAnsi="Arial" w:cs="Arial"/>
          <w:iCs/>
          <w:kern w:val="28"/>
          <w:sz w:val="20"/>
          <w:szCs w:val="20"/>
        </w:rPr>
        <w:t>L</w:t>
      </w:r>
      <w:r w:rsidRPr="003C6E40">
        <w:rPr>
          <w:rFonts w:ascii="Arial" w:hAnsi="Arial" w:cs="Arial"/>
          <w:iCs/>
          <w:kern w:val="28"/>
          <w:sz w:val="20"/>
          <w:szCs w:val="20"/>
        </w:rPr>
        <w:t>a facture énergétique s</w:t>
      </w:r>
      <w:r w:rsidR="005D113E">
        <w:rPr>
          <w:rFonts w:ascii="Arial" w:hAnsi="Arial" w:cs="Arial"/>
          <w:iCs/>
          <w:kern w:val="28"/>
          <w:sz w:val="20"/>
          <w:szCs w:val="20"/>
        </w:rPr>
        <w:t>e serait</w:t>
      </w:r>
      <w:r w:rsidR="00F6366D">
        <w:rPr>
          <w:rFonts w:ascii="Arial" w:hAnsi="Arial" w:cs="Arial"/>
          <w:iCs/>
          <w:kern w:val="28"/>
          <w:sz w:val="20"/>
          <w:szCs w:val="20"/>
        </w:rPr>
        <w:t>, ainsi,</w:t>
      </w:r>
      <w:r w:rsidRPr="003C6E40">
        <w:rPr>
          <w:rFonts w:ascii="Arial" w:hAnsi="Arial" w:cs="Arial"/>
          <w:iCs/>
          <w:kern w:val="28"/>
          <w:sz w:val="20"/>
          <w:szCs w:val="20"/>
        </w:rPr>
        <w:t xml:space="preserve"> allégée de près de 48%, en liaison avec l’apaisement des cours mondiaux d</w:t>
      </w:r>
      <w:r w:rsidR="006D6DF1">
        <w:rPr>
          <w:rFonts w:ascii="Arial" w:hAnsi="Arial" w:cs="Arial"/>
          <w:iCs/>
          <w:kern w:val="28"/>
          <w:sz w:val="20"/>
          <w:szCs w:val="20"/>
        </w:rPr>
        <w:t>e</w:t>
      </w:r>
      <w:r w:rsidRPr="003C6E40">
        <w:rPr>
          <w:rFonts w:ascii="Arial" w:hAnsi="Arial" w:cs="Arial"/>
          <w:iCs/>
          <w:kern w:val="28"/>
          <w:sz w:val="20"/>
          <w:szCs w:val="20"/>
        </w:rPr>
        <w:t xml:space="preserve"> </w:t>
      </w:r>
      <w:r w:rsidR="004D35BD">
        <w:rPr>
          <w:rFonts w:ascii="Arial" w:hAnsi="Arial" w:cs="Arial"/>
          <w:iCs/>
          <w:kern w:val="28"/>
          <w:sz w:val="20"/>
          <w:szCs w:val="20"/>
        </w:rPr>
        <w:t>pétrole</w:t>
      </w:r>
      <w:r w:rsidRPr="003C6E40">
        <w:rPr>
          <w:rFonts w:ascii="Arial" w:hAnsi="Arial" w:cs="Arial"/>
          <w:iCs/>
          <w:kern w:val="28"/>
          <w:sz w:val="20"/>
          <w:szCs w:val="20"/>
        </w:rPr>
        <w:t xml:space="preserve"> (53,9$, au lieu de 102$ et 76$ respectivement aux troisième et quatrième trimestres 2014). Les importations hors énergie se s</w:t>
      </w:r>
      <w:r>
        <w:rPr>
          <w:rFonts w:ascii="Arial" w:hAnsi="Arial" w:cs="Arial"/>
          <w:iCs/>
          <w:kern w:val="28"/>
          <w:sz w:val="20"/>
          <w:szCs w:val="20"/>
        </w:rPr>
        <w:t>eraie</w:t>
      </w:r>
      <w:r w:rsidRPr="003C6E40">
        <w:rPr>
          <w:rFonts w:ascii="Arial" w:hAnsi="Arial" w:cs="Arial"/>
          <w:iCs/>
          <w:kern w:val="28"/>
          <w:sz w:val="20"/>
          <w:szCs w:val="20"/>
        </w:rPr>
        <w:t>nt, également, inscrites en baisse, tirées par le recul des acquisitions des produits alimentaires (blé</w:t>
      </w:r>
      <w:r>
        <w:rPr>
          <w:rFonts w:ascii="Arial" w:hAnsi="Arial" w:cs="Arial"/>
          <w:iCs/>
          <w:kern w:val="28"/>
          <w:sz w:val="20"/>
          <w:szCs w:val="20"/>
        </w:rPr>
        <w:t xml:space="preserve"> et </w:t>
      </w:r>
      <w:r w:rsidRPr="003C6E40">
        <w:rPr>
          <w:rFonts w:ascii="Arial" w:hAnsi="Arial" w:cs="Arial"/>
          <w:iCs/>
          <w:kern w:val="28"/>
          <w:sz w:val="20"/>
          <w:szCs w:val="20"/>
        </w:rPr>
        <w:t>sucre) et, dans une moindre mesure, par celles de</w:t>
      </w:r>
      <w:r w:rsidR="006D6DF1">
        <w:rPr>
          <w:rFonts w:ascii="Arial" w:hAnsi="Arial" w:cs="Arial"/>
          <w:iCs/>
          <w:kern w:val="28"/>
          <w:sz w:val="20"/>
          <w:szCs w:val="20"/>
        </w:rPr>
        <w:t>s biens de</w:t>
      </w:r>
      <w:r w:rsidRPr="003C6E40">
        <w:rPr>
          <w:rFonts w:ascii="Arial" w:hAnsi="Arial" w:cs="Arial"/>
          <w:iCs/>
          <w:kern w:val="28"/>
          <w:sz w:val="20"/>
          <w:szCs w:val="20"/>
        </w:rPr>
        <w:t xml:space="preserve"> consommation (voitures de tourisme).</w:t>
      </w:r>
    </w:p>
    <w:p w:rsidR="003F5197" w:rsidRPr="003C6E40" w:rsidRDefault="003F5197" w:rsidP="005D113E">
      <w:pPr>
        <w:jc w:val="both"/>
        <w:rPr>
          <w:rFonts w:ascii="Arial" w:hAnsi="Arial" w:cs="Arial"/>
          <w:iCs/>
          <w:kern w:val="28"/>
          <w:sz w:val="20"/>
          <w:szCs w:val="20"/>
        </w:rPr>
      </w:pPr>
    </w:p>
    <w:p w:rsidR="003F5197" w:rsidRPr="003C6E40" w:rsidRDefault="00C15313" w:rsidP="00C15313">
      <w:pPr>
        <w:jc w:val="both"/>
        <w:rPr>
          <w:rFonts w:ascii="Arial" w:hAnsi="Arial" w:cs="Arial"/>
          <w:iCs/>
          <w:kern w:val="28"/>
          <w:sz w:val="20"/>
          <w:szCs w:val="20"/>
        </w:rPr>
      </w:pPr>
      <w:r>
        <w:rPr>
          <w:rFonts w:ascii="Arial" w:hAnsi="Arial" w:cs="Arial"/>
          <w:iCs/>
          <w:kern w:val="28"/>
          <w:sz w:val="20"/>
          <w:szCs w:val="20"/>
        </w:rPr>
        <w:t>Dans ce contexte, l</w:t>
      </w:r>
      <w:r w:rsidR="003F5197" w:rsidRPr="003C6E40">
        <w:rPr>
          <w:rFonts w:ascii="Arial" w:hAnsi="Arial" w:cs="Arial"/>
          <w:iCs/>
          <w:kern w:val="28"/>
          <w:sz w:val="20"/>
          <w:szCs w:val="20"/>
        </w:rPr>
        <w:t xml:space="preserve">a balance commerciale aurait vu son déficit s’alléger de 42%, en glissement annuel, en raison de la hausse des exportations et du reflux des importations. Cette situation se serait, </w:t>
      </w:r>
      <w:r>
        <w:rPr>
          <w:rFonts w:ascii="Arial" w:hAnsi="Arial" w:cs="Arial"/>
          <w:iCs/>
          <w:kern w:val="28"/>
          <w:sz w:val="20"/>
          <w:szCs w:val="20"/>
        </w:rPr>
        <w:t>par ailleurs</w:t>
      </w:r>
      <w:r w:rsidR="003F5197" w:rsidRPr="003C6E40">
        <w:rPr>
          <w:rFonts w:ascii="Arial" w:hAnsi="Arial" w:cs="Arial"/>
          <w:iCs/>
          <w:kern w:val="28"/>
          <w:sz w:val="20"/>
          <w:szCs w:val="20"/>
        </w:rPr>
        <w:t xml:space="preserve">, traduite par une amélioration du taux de couverture estimée à 15,9 points, pour atteindre 64,1%. </w:t>
      </w:r>
    </w:p>
    <w:p w:rsidR="003A2191" w:rsidRDefault="003A2191" w:rsidP="003A2191">
      <w:pPr>
        <w:jc w:val="both"/>
        <w:rPr>
          <w:rFonts w:ascii="Arial" w:hAnsi="Arial" w:cs="Arial" w:hint="cs"/>
          <w:iCs/>
          <w:kern w:val="28"/>
          <w:sz w:val="20"/>
          <w:szCs w:val="20"/>
          <w:rtl/>
        </w:rPr>
      </w:pPr>
    </w:p>
    <w:p w:rsidR="003E208F" w:rsidRDefault="003E208F" w:rsidP="003A2191">
      <w:pPr>
        <w:jc w:val="both"/>
        <w:rPr>
          <w:rFonts w:ascii="Arial" w:hAnsi="Arial" w:cs="Arial" w:hint="cs"/>
          <w:iCs/>
          <w:kern w:val="28"/>
          <w:sz w:val="20"/>
          <w:szCs w:val="20"/>
        </w:rPr>
      </w:pPr>
    </w:p>
    <w:p w:rsidR="003A2191" w:rsidRPr="00327DAD" w:rsidRDefault="003A2191" w:rsidP="003A2191">
      <w:pPr>
        <w:pBdr>
          <w:top w:val="single" w:sz="4" w:space="3" w:color="auto"/>
        </w:pBdr>
        <w:jc w:val="both"/>
        <w:rPr>
          <w:rFonts w:ascii="Arial" w:hAnsi="Arial" w:cs="Arial"/>
          <w:bCs/>
          <w:i/>
          <w:kern w:val="28"/>
          <w:sz w:val="14"/>
          <w:szCs w:val="14"/>
        </w:rPr>
      </w:pPr>
      <w:r w:rsidRPr="00327DAD">
        <w:rPr>
          <w:rFonts w:ascii="Arial" w:hAnsi="Arial" w:cs="Arial"/>
          <w:bCs/>
          <w:i/>
          <w:kern w:val="28"/>
          <w:sz w:val="14"/>
          <w:szCs w:val="14"/>
        </w:rPr>
        <w:t>Pour plus de détails, se référer à la publication « Point de conjoncture n°28» qui sera incessamment hébergée sur le site du HCP. La reproduction des informations, contenues dans cette publication, est autorisée, sous réserve d’en mentionner expressément la source.</w:t>
      </w:r>
    </w:p>
    <w:p w:rsidR="003A2191" w:rsidRPr="003C6E40" w:rsidRDefault="003A2191" w:rsidP="003A2191">
      <w:pPr>
        <w:jc w:val="both"/>
        <w:rPr>
          <w:rFonts w:ascii="Arial" w:hAnsi="Arial" w:cs="Arial"/>
          <w:iCs/>
          <w:kern w:val="28"/>
          <w:sz w:val="20"/>
          <w:szCs w:val="20"/>
        </w:rPr>
      </w:pPr>
    </w:p>
    <w:p w:rsidR="0092763C" w:rsidRDefault="008C7957" w:rsidP="00DA5047">
      <w:pPr>
        <w:autoSpaceDE w:val="0"/>
        <w:autoSpaceDN w:val="0"/>
        <w:adjustRightInd w:val="0"/>
        <w:jc w:val="both"/>
        <w:rPr>
          <w:rFonts w:ascii="Arial" w:hAnsi="Arial" w:cs="Arial"/>
          <w:b/>
          <w:bCs/>
          <w:color w:val="800000"/>
          <w:kern w:val="28"/>
          <w:sz w:val="20"/>
          <w:szCs w:val="20"/>
        </w:rPr>
      </w:pPr>
      <w:r>
        <w:rPr>
          <w:noProof/>
        </w:rPr>
        <w:lastRenderedPageBreak/>
        <w:drawing>
          <wp:anchor distT="0" distB="0" distL="114300" distR="114300" simplePos="0" relativeHeight="251657216" behindDoc="0" locked="0" layoutInCell="1" allowOverlap="1">
            <wp:simplePos x="0" y="0"/>
            <wp:positionH relativeFrom="column">
              <wp:posOffset>4000500</wp:posOffset>
            </wp:positionH>
            <wp:positionV relativeFrom="paragraph">
              <wp:posOffset>0</wp:posOffset>
            </wp:positionV>
            <wp:extent cx="2514600" cy="2143760"/>
            <wp:effectExtent l="0" t="0" r="0" b="0"/>
            <wp:wrapSquare wrapText="bothSides"/>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srcRect/>
                    <a:stretch>
                      <a:fillRect/>
                    </a:stretch>
                  </pic:blipFill>
                  <pic:spPr bwMode="auto">
                    <a:xfrm>
                      <a:off x="0" y="0"/>
                      <a:ext cx="2514600" cy="2143760"/>
                    </a:xfrm>
                    <a:prstGeom prst="rect">
                      <a:avLst/>
                    </a:prstGeom>
                    <a:noFill/>
                    <a:ln w="9525">
                      <a:noFill/>
                      <a:miter lim="800000"/>
                      <a:headEnd/>
                      <a:tailEnd/>
                    </a:ln>
                  </pic:spPr>
                </pic:pic>
              </a:graphicData>
            </a:graphic>
          </wp:anchor>
        </w:drawing>
      </w:r>
      <w:r w:rsidR="00032899">
        <w:rPr>
          <w:rFonts w:ascii="Arial" w:hAnsi="Arial" w:cs="Arial"/>
          <w:b/>
          <w:bCs/>
          <w:color w:val="800000"/>
          <w:kern w:val="28"/>
          <w:sz w:val="20"/>
          <w:szCs w:val="20"/>
        </w:rPr>
        <w:t>Léger</w:t>
      </w:r>
      <w:r w:rsidR="00D44396">
        <w:rPr>
          <w:rFonts w:ascii="Arial" w:hAnsi="Arial" w:cs="Arial"/>
          <w:b/>
          <w:bCs/>
          <w:color w:val="800000"/>
          <w:kern w:val="28"/>
          <w:sz w:val="20"/>
          <w:szCs w:val="20"/>
        </w:rPr>
        <w:t xml:space="preserve"> r</w:t>
      </w:r>
      <w:r w:rsidR="0092763C">
        <w:rPr>
          <w:rFonts w:ascii="Arial" w:hAnsi="Arial" w:cs="Arial"/>
          <w:b/>
          <w:bCs/>
          <w:color w:val="800000"/>
          <w:kern w:val="28"/>
          <w:sz w:val="20"/>
          <w:szCs w:val="20"/>
        </w:rPr>
        <w:t>affermissement de l</w:t>
      </w:r>
      <w:r w:rsidR="0092763C" w:rsidRPr="00DB7C3F">
        <w:rPr>
          <w:rFonts w:ascii="Arial" w:hAnsi="Arial" w:cs="Arial"/>
          <w:b/>
          <w:bCs/>
          <w:color w:val="800000"/>
          <w:kern w:val="28"/>
          <w:sz w:val="20"/>
          <w:szCs w:val="20"/>
        </w:rPr>
        <w:t>a demande intérieure</w:t>
      </w:r>
    </w:p>
    <w:p w:rsidR="0092763C" w:rsidRPr="0082247A" w:rsidRDefault="0092763C" w:rsidP="0092763C">
      <w:pPr>
        <w:pStyle w:val="NormalWeb"/>
        <w:spacing w:before="0" w:beforeAutospacing="0" w:after="0" w:afterAutospacing="0"/>
        <w:jc w:val="both"/>
        <w:rPr>
          <w:rFonts w:ascii="Arial" w:hAnsi="Arial" w:cs="Arial"/>
          <w:b/>
          <w:bCs/>
          <w:color w:val="800000"/>
          <w:kern w:val="28"/>
          <w:sz w:val="20"/>
          <w:szCs w:val="20"/>
        </w:rPr>
      </w:pPr>
    </w:p>
    <w:p w:rsidR="004F2896" w:rsidRDefault="0092763C" w:rsidP="00A140FA">
      <w:pPr>
        <w:autoSpaceDE w:val="0"/>
        <w:autoSpaceDN w:val="0"/>
        <w:adjustRightInd w:val="0"/>
        <w:jc w:val="both"/>
        <w:rPr>
          <w:rFonts w:ascii="Arial" w:hAnsi="Arial" w:cs="Arial"/>
          <w:sz w:val="20"/>
          <w:szCs w:val="20"/>
        </w:rPr>
      </w:pPr>
      <w:r w:rsidRPr="001F4F2A">
        <w:rPr>
          <w:rFonts w:ascii="Arial" w:hAnsi="Arial" w:cs="Arial"/>
          <w:sz w:val="20"/>
          <w:szCs w:val="20"/>
        </w:rPr>
        <w:t xml:space="preserve">La </w:t>
      </w:r>
      <w:r w:rsidR="006D0B99">
        <w:rPr>
          <w:rFonts w:ascii="Arial" w:hAnsi="Arial" w:cs="Arial"/>
          <w:sz w:val="20"/>
          <w:szCs w:val="20"/>
        </w:rPr>
        <w:t xml:space="preserve">contribution de la </w:t>
      </w:r>
      <w:r w:rsidRPr="00151281">
        <w:rPr>
          <w:rFonts w:ascii="Arial" w:hAnsi="Arial" w:cs="Arial"/>
          <w:b/>
          <w:bCs/>
          <w:sz w:val="20"/>
          <w:szCs w:val="20"/>
        </w:rPr>
        <w:t xml:space="preserve">demande </w:t>
      </w:r>
      <w:r w:rsidR="000E1618">
        <w:rPr>
          <w:rFonts w:ascii="Arial" w:hAnsi="Arial" w:cs="Arial"/>
          <w:b/>
          <w:bCs/>
          <w:sz w:val="20"/>
          <w:szCs w:val="20"/>
        </w:rPr>
        <w:t>intérieure</w:t>
      </w:r>
      <w:r w:rsidRPr="001F4F2A">
        <w:rPr>
          <w:rFonts w:ascii="Arial" w:hAnsi="Arial" w:cs="Arial"/>
          <w:sz w:val="20"/>
          <w:szCs w:val="20"/>
        </w:rPr>
        <w:t xml:space="preserve"> </w:t>
      </w:r>
      <w:r w:rsidR="006D0B99">
        <w:rPr>
          <w:rFonts w:ascii="Arial" w:hAnsi="Arial" w:cs="Arial"/>
          <w:sz w:val="20"/>
          <w:szCs w:val="20"/>
        </w:rPr>
        <w:t>à</w:t>
      </w:r>
      <w:r>
        <w:rPr>
          <w:rFonts w:ascii="Arial" w:hAnsi="Arial" w:cs="Arial"/>
          <w:sz w:val="20"/>
          <w:szCs w:val="20"/>
        </w:rPr>
        <w:t xml:space="preserve"> la crois</w:t>
      </w:r>
      <w:r w:rsidRPr="001F4F2A">
        <w:rPr>
          <w:rFonts w:ascii="Arial" w:hAnsi="Arial" w:cs="Arial"/>
          <w:sz w:val="20"/>
          <w:szCs w:val="20"/>
        </w:rPr>
        <w:t>sance</w:t>
      </w:r>
      <w:r>
        <w:rPr>
          <w:rFonts w:ascii="Arial" w:hAnsi="Arial" w:cs="Arial"/>
          <w:sz w:val="20"/>
          <w:szCs w:val="20"/>
        </w:rPr>
        <w:t xml:space="preserve"> économique </w:t>
      </w:r>
      <w:r w:rsidR="00561E0C">
        <w:rPr>
          <w:rFonts w:ascii="Arial" w:hAnsi="Arial" w:cs="Arial"/>
          <w:sz w:val="20"/>
          <w:szCs w:val="20"/>
        </w:rPr>
        <w:t xml:space="preserve">se serait </w:t>
      </w:r>
      <w:r w:rsidR="00032899">
        <w:rPr>
          <w:rFonts w:ascii="Arial" w:hAnsi="Arial" w:cs="Arial"/>
          <w:sz w:val="20"/>
          <w:szCs w:val="20"/>
        </w:rPr>
        <w:t xml:space="preserve">légèrement </w:t>
      </w:r>
      <w:r w:rsidR="00F9461E">
        <w:rPr>
          <w:rFonts w:ascii="Arial" w:hAnsi="Arial" w:cs="Arial"/>
          <w:sz w:val="20"/>
          <w:szCs w:val="20"/>
        </w:rPr>
        <w:t>a</w:t>
      </w:r>
      <w:r w:rsidR="00561E0C">
        <w:rPr>
          <w:rFonts w:ascii="Arial" w:hAnsi="Arial" w:cs="Arial"/>
          <w:sz w:val="20"/>
          <w:szCs w:val="20"/>
        </w:rPr>
        <w:t>mélior</w:t>
      </w:r>
      <w:r w:rsidR="00361814">
        <w:rPr>
          <w:rFonts w:ascii="Arial" w:hAnsi="Arial" w:cs="Arial"/>
          <w:sz w:val="20"/>
          <w:szCs w:val="20"/>
        </w:rPr>
        <w:t>é</w:t>
      </w:r>
      <w:r w:rsidR="00561E0C">
        <w:rPr>
          <w:rFonts w:ascii="Arial" w:hAnsi="Arial" w:cs="Arial"/>
          <w:sz w:val="20"/>
          <w:szCs w:val="20"/>
        </w:rPr>
        <w:t>e</w:t>
      </w:r>
      <w:r w:rsidR="006D0B99">
        <w:rPr>
          <w:rFonts w:ascii="Arial" w:hAnsi="Arial" w:cs="Arial"/>
          <w:sz w:val="20"/>
          <w:szCs w:val="20"/>
        </w:rPr>
        <w:t xml:space="preserve">, </w:t>
      </w:r>
      <w:r>
        <w:rPr>
          <w:rFonts w:ascii="Arial" w:hAnsi="Arial" w:cs="Arial"/>
          <w:sz w:val="20"/>
          <w:szCs w:val="20"/>
        </w:rPr>
        <w:t xml:space="preserve">au </w:t>
      </w:r>
      <w:r w:rsidR="006D0B99">
        <w:rPr>
          <w:rFonts w:ascii="Arial" w:hAnsi="Arial" w:cs="Arial"/>
          <w:sz w:val="20"/>
          <w:szCs w:val="20"/>
        </w:rPr>
        <w:t>premier</w:t>
      </w:r>
      <w:r>
        <w:rPr>
          <w:rFonts w:ascii="Arial" w:hAnsi="Arial" w:cs="Arial"/>
          <w:sz w:val="20"/>
          <w:szCs w:val="20"/>
        </w:rPr>
        <w:t xml:space="preserve"> trimestre 201</w:t>
      </w:r>
      <w:r w:rsidR="006D0B99">
        <w:rPr>
          <w:rFonts w:ascii="Arial" w:hAnsi="Arial" w:cs="Arial"/>
          <w:sz w:val="20"/>
          <w:szCs w:val="20"/>
        </w:rPr>
        <w:t>5</w:t>
      </w:r>
      <w:r>
        <w:rPr>
          <w:rFonts w:ascii="Arial" w:hAnsi="Arial" w:cs="Arial"/>
          <w:sz w:val="20"/>
          <w:szCs w:val="20"/>
        </w:rPr>
        <w:t xml:space="preserve">. </w:t>
      </w:r>
      <w:r w:rsidR="006A7163">
        <w:rPr>
          <w:rFonts w:ascii="Arial" w:hAnsi="Arial" w:cs="Arial"/>
          <w:sz w:val="20"/>
          <w:szCs w:val="20"/>
        </w:rPr>
        <w:t xml:space="preserve">Dans un contexte </w:t>
      </w:r>
      <w:r w:rsidR="00910044">
        <w:rPr>
          <w:rFonts w:ascii="Arial" w:hAnsi="Arial" w:cs="Arial"/>
          <w:sz w:val="20"/>
          <w:szCs w:val="20"/>
        </w:rPr>
        <w:t>de</w:t>
      </w:r>
      <w:r w:rsidR="006A7163">
        <w:rPr>
          <w:rFonts w:ascii="Arial" w:hAnsi="Arial" w:cs="Arial"/>
          <w:sz w:val="20"/>
          <w:szCs w:val="20"/>
        </w:rPr>
        <w:t xml:space="preserve"> </w:t>
      </w:r>
      <w:r w:rsidR="00910044">
        <w:rPr>
          <w:rFonts w:ascii="Arial" w:hAnsi="Arial" w:cs="Arial"/>
          <w:sz w:val="20"/>
          <w:szCs w:val="20"/>
        </w:rPr>
        <w:t xml:space="preserve">poursuite de </w:t>
      </w:r>
      <w:r w:rsidR="006A7163">
        <w:rPr>
          <w:rFonts w:ascii="Arial" w:hAnsi="Arial" w:cs="Arial"/>
          <w:sz w:val="20"/>
          <w:szCs w:val="20"/>
        </w:rPr>
        <w:t xml:space="preserve">modération </w:t>
      </w:r>
      <w:r>
        <w:rPr>
          <w:rFonts w:ascii="Arial" w:hAnsi="Arial" w:cs="Arial"/>
          <w:sz w:val="20"/>
          <w:szCs w:val="20"/>
        </w:rPr>
        <w:t>des prix à la consommation</w:t>
      </w:r>
      <w:r w:rsidR="006A7163">
        <w:rPr>
          <w:rFonts w:ascii="Arial" w:hAnsi="Arial" w:cs="Arial"/>
          <w:sz w:val="20"/>
          <w:szCs w:val="20"/>
        </w:rPr>
        <w:t xml:space="preserve"> (+1,5%)</w:t>
      </w:r>
      <w:r>
        <w:rPr>
          <w:rFonts w:ascii="Arial" w:hAnsi="Arial" w:cs="Arial"/>
          <w:sz w:val="20"/>
          <w:szCs w:val="20"/>
        </w:rPr>
        <w:t>, la consommation des ménages aurait affich</w:t>
      </w:r>
      <w:r w:rsidR="00293D4A">
        <w:rPr>
          <w:rFonts w:ascii="Arial" w:hAnsi="Arial" w:cs="Arial"/>
          <w:sz w:val="20"/>
          <w:szCs w:val="20"/>
        </w:rPr>
        <w:t>é</w:t>
      </w:r>
      <w:r>
        <w:rPr>
          <w:rFonts w:ascii="Arial" w:hAnsi="Arial" w:cs="Arial"/>
          <w:sz w:val="20"/>
          <w:szCs w:val="20"/>
        </w:rPr>
        <w:t xml:space="preserve"> une hausse de </w:t>
      </w:r>
      <w:r w:rsidR="000E1618">
        <w:rPr>
          <w:rFonts w:ascii="Arial" w:hAnsi="Arial" w:cs="Arial"/>
          <w:sz w:val="20"/>
          <w:szCs w:val="20"/>
        </w:rPr>
        <w:t>3</w:t>
      </w:r>
      <w:r>
        <w:rPr>
          <w:rFonts w:ascii="Arial" w:hAnsi="Arial" w:cs="Arial"/>
          <w:sz w:val="20"/>
          <w:szCs w:val="20"/>
        </w:rPr>
        <w:t>,</w:t>
      </w:r>
      <w:r w:rsidR="00561E0C">
        <w:rPr>
          <w:rFonts w:ascii="Arial" w:hAnsi="Arial" w:cs="Arial"/>
          <w:sz w:val="20"/>
          <w:szCs w:val="20"/>
        </w:rPr>
        <w:t>3</w:t>
      </w:r>
      <w:r>
        <w:rPr>
          <w:rFonts w:ascii="Arial" w:hAnsi="Arial" w:cs="Arial"/>
          <w:sz w:val="20"/>
          <w:szCs w:val="20"/>
        </w:rPr>
        <w:t>%, en variation annuelle, après +2,</w:t>
      </w:r>
      <w:r w:rsidR="00A140FA">
        <w:rPr>
          <w:rFonts w:ascii="Arial" w:hAnsi="Arial" w:cs="Arial"/>
          <w:sz w:val="20"/>
          <w:szCs w:val="20"/>
        </w:rPr>
        <w:t>8</w:t>
      </w:r>
      <w:r>
        <w:rPr>
          <w:rFonts w:ascii="Arial" w:hAnsi="Arial" w:cs="Arial"/>
          <w:sz w:val="20"/>
          <w:szCs w:val="20"/>
        </w:rPr>
        <w:t>% un trimestre plus tôt. Elle aurait été</w:t>
      </w:r>
      <w:r w:rsidR="00435537">
        <w:rPr>
          <w:rFonts w:ascii="Arial" w:hAnsi="Arial" w:cs="Arial"/>
          <w:sz w:val="20"/>
          <w:szCs w:val="20"/>
        </w:rPr>
        <w:t>,</w:t>
      </w:r>
      <w:r>
        <w:rPr>
          <w:rFonts w:ascii="Arial" w:hAnsi="Arial" w:cs="Arial"/>
          <w:sz w:val="20"/>
          <w:szCs w:val="20"/>
        </w:rPr>
        <w:t xml:space="preserve"> principalement</w:t>
      </w:r>
      <w:r w:rsidR="00435537">
        <w:rPr>
          <w:rFonts w:ascii="Arial" w:hAnsi="Arial" w:cs="Arial"/>
          <w:sz w:val="20"/>
          <w:szCs w:val="20"/>
        </w:rPr>
        <w:t>,</w:t>
      </w:r>
      <w:r>
        <w:rPr>
          <w:rFonts w:ascii="Arial" w:hAnsi="Arial" w:cs="Arial"/>
          <w:sz w:val="20"/>
          <w:szCs w:val="20"/>
        </w:rPr>
        <w:t xml:space="preserve"> </w:t>
      </w:r>
      <w:r w:rsidR="00910044">
        <w:rPr>
          <w:rFonts w:ascii="Arial" w:hAnsi="Arial" w:cs="Arial"/>
          <w:sz w:val="20"/>
          <w:szCs w:val="20"/>
        </w:rPr>
        <w:t>alimentée</w:t>
      </w:r>
      <w:r w:rsidR="00C10807">
        <w:rPr>
          <w:rFonts w:ascii="Arial" w:hAnsi="Arial" w:cs="Arial"/>
          <w:sz w:val="20"/>
          <w:szCs w:val="20"/>
        </w:rPr>
        <w:t xml:space="preserve"> par une expansion </w:t>
      </w:r>
      <w:r w:rsidR="0081287C">
        <w:rPr>
          <w:rFonts w:ascii="Arial" w:hAnsi="Arial" w:cs="Arial"/>
          <w:sz w:val="20"/>
          <w:szCs w:val="20"/>
        </w:rPr>
        <w:t xml:space="preserve">de </w:t>
      </w:r>
      <w:r w:rsidR="008738CC">
        <w:rPr>
          <w:rFonts w:ascii="Arial" w:hAnsi="Arial" w:cs="Arial" w:hint="cs"/>
          <w:sz w:val="20"/>
          <w:szCs w:val="20"/>
          <w:rtl/>
        </w:rPr>
        <w:t>11</w:t>
      </w:r>
      <w:r w:rsidR="0081287C">
        <w:rPr>
          <w:rFonts w:ascii="Arial" w:hAnsi="Arial" w:cs="Arial"/>
          <w:sz w:val="20"/>
          <w:szCs w:val="20"/>
        </w:rPr>
        <w:t xml:space="preserve">% </w:t>
      </w:r>
      <w:r w:rsidR="00C10807">
        <w:rPr>
          <w:rFonts w:ascii="Arial" w:hAnsi="Arial" w:cs="Arial"/>
          <w:sz w:val="20"/>
          <w:szCs w:val="20"/>
        </w:rPr>
        <w:t xml:space="preserve">des crédits à la consommation et une hausse des revenus extérieurs. </w:t>
      </w:r>
      <w:r w:rsidR="000E1618">
        <w:rPr>
          <w:rFonts w:ascii="Arial" w:hAnsi="Arial" w:cs="Arial"/>
          <w:sz w:val="20"/>
          <w:szCs w:val="20"/>
        </w:rPr>
        <w:t>Les transferts des MRE auraient progressé d’environ 6,</w:t>
      </w:r>
      <w:r w:rsidR="004E7B4B">
        <w:rPr>
          <w:rFonts w:ascii="Arial" w:hAnsi="Arial" w:cs="Arial" w:hint="cs"/>
          <w:sz w:val="20"/>
          <w:szCs w:val="20"/>
          <w:rtl/>
        </w:rPr>
        <w:t>7</w:t>
      </w:r>
      <w:r w:rsidR="000E1618">
        <w:rPr>
          <w:rFonts w:ascii="Arial" w:hAnsi="Arial" w:cs="Arial"/>
          <w:sz w:val="20"/>
          <w:szCs w:val="20"/>
        </w:rPr>
        <w:t>%</w:t>
      </w:r>
      <w:r w:rsidR="006A7163">
        <w:rPr>
          <w:rFonts w:ascii="Arial" w:hAnsi="Arial" w:cs="Arial"/>
          <w:sz w:val="20"/>
          <w:szCs w:val="20"/>
        </w:rPr>
        <w:t>, en glissement annuel</w:t>
      </w:r>
      <w:r w:rsidR="000E1618">
        <w:rPr>
          <w:rFonts w:ascii="Arial" w:hAnsi="Arial" w:cs="Arial"/>
          <w:sz w:val="20"/>
          <w:szCs w:val="20"/>
        </w:rPr>
        <w:t xml:space="preserve">. </w:t>
      </w:r>
      <w:r w:rsidR="00C10807">
        <w:rPr>
          <w:rFonts w:ascii="Arial" w:hAnsi="Arial" w:cs="Arial"/>
          <w:sz w:val="20"/>
          <w:szCs w:val="20"/>
        </w:rPr>
        <w:t xml:space="preserve">L’augmentation de la </w:t>
      </w:r>
      <w:r w:rsidR="000E1618">
        <w:rPr>
          <w:rFonts w:ascii="Arial" w:hAnsi="Arial" w:cs="Arial"/>
          <w:sz w:val="20"/>
          <w:szCs w:val="20"/>
        </w:rPr>
        <w:t>consommation domestique</w:t>
      </w:r>
      <w:r w:rsidR="00C10807">
        <w:rPr>
          <w:rFonts w:ascii="Arial" w:hAnsi="Arial" w:cs="Arial"/>
          <w:sz w:val="20"/>
          <w:szCs w:val="20"/>
        </w:rPr>
        <w:t xml:space="preserve"> aurait</w:t>
      </w:r>
      <w:r w:rsidR="004F2896">
        <w:rPr>
          <w:rFonts w:ascii="Arial" w:hAnsi="Arial" w:cs="Arial"/>
          <w:sz w:val="20"/>
          <w:szCs w:val="20"/>
        </w:rPr>
        <w:t xml:space="preserve"> </w:t>
      </w:r>
      <w:r w:rsidR="000E1618">
        <w:rPr>
          <w:rFonts w:ascii="Arial" w:hAnsi="Arial" w:cs="Arial"/>
          <w:sz w:val="20"/>
          <w:szCs w:val="20"/>
        </w:rPr>
        <w:t>profit</w:t>
      </w:r>
      <w:r w:rsidR="004F2896">
        <w:rPr>
          <w:rFonts w:ascii="Arial" w:hAnsi="Arial" w:cs="Arial"/>
          <w:sz w:val="20"/>
          <w:szCs w:val="20"/>
        </w:rPr>
        <w:t>é</w:t>
      </w:r>
      <w:r w:rsidR="00C10807">
        <w:rPr>
          <w:rFonts w:ascii="Arial" w:hAnsi="Arial" w:cs="Arial"/>
          <w:sz w:val="20"/>
          <w:szCs w:val="20"/>
        </w:rPr>
        <w:t>,</w:t>
      </w:r>
      <w:r w:rsidR="00C10807" w:rsidRPr="00C10807">
        <w:rPr>
          <w:rFonts w:ascii="Arial" w:hAnsi="Arial" w:cs="Arial"/>
          <w:sz w:val="20"/>
          <w:szCs w:val="20"/>
        </w:rPr>
        <w:t xml:space="preserve"> </w:t>
      </w:r>
      <w:r w:rsidR="00C10807">
        <w:rPr>
          <w:rFonts w:ascii="Arial" w:hAnsi="Arial" w:cs="Arial"/>
          <w:sz w:val="20"/>
          <w:szCs w:val="20"/>
        </w:rPr>
        <w:t xml:space="preserve">particulièrement, </w:t>
      </w:r>
      <w:r w:rsidR="000E1618">
        <w:rPr>
          <w:rFonts w:ascii="Arial" w:hAnsi="Arial" w:cs="Arial"/>
          <w:sz w:val="20"/>
          <w:szCs w:val="20"/>
        </w:rPr>
        <w:t>aux produits locaux</w:t>
      </w:r>
      <w:r w:rsidR="00F6366D">
        <w:rPr>
          <w:rFonts w:ascii="Arial" w:hAnsi="Arial" w:cs="Arial"/>
          <w:sz w:val="20"/>
          <w:szCs w:val="20"/>
        </w:rPr>
        <w:t> ;</w:t>
      </w:r>
      <w:r w:rsidR="000E1618">
        <w:rPr>
          <w:rFonts w:ascii="Arial" w:hAnsi="Arial" w:cs="Arial"/>
          <w:sz w:val="20"/>
          <w:szCs w:val="20"/>
        </w:rPr>
        <w:t xml:space="preserve"> </w:t>
      </w:r>
      <w:r w:rsidR="004F2896">
        <w:rPr>
          <w:rFonts w:ascii="Arial" w:hAnsi="Arial" w:cs="Arial"/>
          <w:sz w:val="20"/>
          <w:szCs w:val="20"/>
        </w:rPr>
        <w:t>les</w:t>
      </w:r>
      <w:r w:rsidR="006D0B99">
        <w:rPr>
          <w:rFonts w:ascii="Arial" w:hAnsi="Arial" w:cs="Arial"/>
          <w:sz w:val="20"/>
          <w:szCs w:val="20"/>
        </w:rPr>
        <w:t xml:space="preserve"> importations de produits manufacturés</w:t>
      </w:r>
      <w:r w:rsidR="000E1618">
        <w:rPr>
          <w:rFonts w:ascii="Arial" w:hAnsi="Arial" w:cs="Arial"/>
          <w:sz w:val="20"/>
          <w:szCs w:val="20"/>
        </w:rPr>
        <w:t xml:space="preserve"> </w:t>
      </w:r>
      <w:r w:rsidR="00910044">
        <w:rPr>
          <w:rFonts w:ascii="Arial" w:hAnsi="Arial" w:cs="Arial"/>
          <w:sz w:val="20"/>
          <w:szCs w:val="20"/>
        </w:rPr>
        <w:t>ayant</w:t>
      </w:r>
      <w:r w:rsidR="000E1618">
        <w:rPr>
          <w:rFonts w:ascii="Arial" w:hAnsi="Arial" w:cs="Arial"/>
          <w:sz w:val="20"/>
          <w:szCs w:val="20"/>
        </w:rPr>
        <w:t xml:space="preserve"> fléchi de</w:t>
      </w:r>
      <w:r w:rsidR="006D0B99">
        <w:rPr>
          <w:rFonts w:ascii="Arial" w:hAnsi="Arial" w:cs="Arial"/>
          <w:sz w:val="20"/>
          <w:szCs w:val="20"/>
        </w:rPr>
        <w:t xml:space="preserve"> </w:t>
      </w:r>
      <w:r w:rsidR="004E7B4B">
        <w:rPr>
          <w:rFonts w:ascii="Arial" w:hAnsi="Arial" w:cs="Arial" w:hint="cs"/>
          <w:sz w:val="20"/>
          <w:szCs w:val="20"/>
          <w:rtl/>
        </w:rPr>
        <w:t>8</w:t>
      </w:r>
      <w:r w:rsidR="004E7B4B">
        <w:rPr>
          <w:rFonts w:ascii="Arial" w:hAnsi="Arial" w:cs="Arial"/>
          <w:sz w:val="20"/>
          <w:szCs w:val="20"/>
        </w:rPr>
        <w:t>,</w:t>
      </w:r>
      <w:r w:rsidR="004E7B4B">
        <w:rPr>
          <w:rFonts w:ascii="Arial" w:hAnsi="Arial" w:cs="Arial" w:hint="cs"/>
          <w:sz w:val="20"/>
          <w:szCs w:val="20"/>
          <w:rtl/>
        </w:rPr>
        <w:t>9</w:t>
      </w:r>
      <w:r w:rsidR="006D0B99">
        <w:rPr>
          <w:rFonts w:ascii="Arial" w:hAnsi="Arial" w:cs="Arial"/>
          <w:sz w:val="20"/>
          <w:szCs w:val="20"/>
        </w:rPr>
        <w:t xml:space="preserve">%, </w:t>
      </w:r>
      <w:r w:rsidR="00561E0C">
        <w:rPr>
          <w:rFonts w:ascii="Arial" w:hAnsi="Arial" w:cs="Arial"/>
          <w:sz w:val="20"/>
          <w:szCs w:val="20"/>
        </w:rPr>
        <w:t>au lieu</w:t>
      </w:r>
      <w:r w:rsidR="006D0B99">
        <w:rPr>
          <w:rFonts w:ascii="Arial" w:hAnsi="Arial" w:cs="Arial"/>
          <w:sz w:val="20"/>
          <w:szCs w:val="20"/>
        </w:rPr>
        <w:t xml:space="preserve"> </w:t>
      </w:r>
      <w:r w:rsidR="00561E0C">
        <w:rPr>
          <w:rFonts w:ascii="Arial" w:hAnsi="Arial" w:cs="Arial"/>
          <w:sz w:val="20"/>
          <w:szCs w:val="20"/>
        </w:rPr>
        <w:t>d’</w:t>
      </w:r>
      <w:r w:rsidR="000E1618">
        <w:rPr>
          <w:rFonts w:ascii="Arial" w:hAnsi="Arial" w:cs="Arial"/>
          <w:sz w:val="20"/>
          <w:szCs w:val="20"/>
        </w:rPr>
        <w:t>un</w:t>
      </w:r>
      <w:r w:rsidR="006D0B99">
        <w:rPr>
          <w:rFonts w:ascii="Arial" w:hAnsi="Arial" w:cs="Arial"/>
          <w:sz w:val="20"/>
          <w:szCs w:val="20"/>
        </w:rPr>
        <w:t>e</w:t>
      </w:r>
      <w:r w:rsidR="000E1618">
        <w:rPr>
          <w:rFonts w:ascii="Arial" w:hAnsi="Arial" w:cs="Arial"/>
          <w:sz w:val="20"/>
          <w:szCs w:val="20"/>
        </w:rPr>
        <w:t xml:space="preserve"> hausse de</w:t>
      </w:r>
      <w:r w:rsidR="006D0B99">
        <w:rPr>
          <w:rFonts w:ascii="Arial" w:hAnsi="Arial" w:cs="Arial"/>
          <w:sz w:val="20"/>
          <w:szCs w:val="20"/>
        </w:rPr>
        <w:t xml:space="preserve"> </w:t>
      </w:r>
      <w:r w:rsidR="004E7B4B">
        <w:rPr>
          <w:rFonts w:ascii="Arial" w:hAnsi="Arial" w:cs="Arial"/>
          <w:sz w:val="20"/>
          <w:szCs w:val="20"/>
        </w:rPr>
        <w:t>15</w:t>
      </w:r>
      <w:r w:rsidR="006D0B99">
        <w:rPr>
          <w:rFonts w:ascii="Arial" w:hAnsi="Arial" w:cs="Arial"/>
          <w:sz w:val="20"/>
          <w:szCs w:val="20"/>
        </w:rPr>
        <w:t>%</w:t>
      </w:r>
      <w:r w:rsidR="006A7163">
        <w:rPr>
          <w:rFonts w:ascii="Arial" w:hAnsi="Arial" w:cs="Arial"/>
          <w:sz w:val="20"/>
          <w:szCs w:val="20"/>
        </w:rPr>
        <w:t>,</w:t>
      </w:r>
      <w:r w:rsidR="006D0B99">
        <w:rPr>
          <w:rFonts w:ascii="Arial" w:hAnsi="Arial" w:cs="Arial"/>
          <w:sz w:val="20"/>
          <w:szCs w:val="20"/>
        </w:rPr>
        <w:t xml:space="preserve"> un trimestre auparavant</w:t>
      </w:r>
      <w:r w:rsidR="004F2896">
        <w:rPr>
          <w:rFonts w:ascii="Arial" w:hAnsi="Arial" w:cs="Arial"/>
          <w:sz w:val="20"/>
          <w:szCs w:val="20"/>
        </w:rPr>
        <w:t>.</w:t>
      </w:r>
      <w:r w:rsidR="004F2896" w:rsidRPr="004F2896">
        <w:rPr>
          <w:rFonts w:ascii="Arial" w:hAnsi="Arial" w:cs="Arial"/>
          <w:sz w:val="20"/>
          <w:szCs w:val="20"/>
        </w:rPr>
        <w:t xml:space="preserve"> </w:t>
      </w:r>
    </w:p>
    <w:p w:rsidR="00BD2FA7" w:rsidRPr="00BD2FA7" w:rsidRDefault="00BD2FA7" w:rsidP="00327DAD">
      <w:pPr>
        <w:autoSpaceDE w:val="0"/>
        <w:autoSpaceDN w:val="0"/>
        <w:adjustRightInd w:val="0"/>
        <w:jc w:val="both"/>
        <w:rPr>
          <w:rFonts w:ascii="Arial" w:hAnsi="Arial" w:cs="Arial"/>
          <w:sz w:val="16"/>
          <w:szCs w:val="16"/>
        </w:rPr>
      </w:pPr>
    </w:p>
    <w:p w:rsidR="00177956" w:rsidRPr="00011C2F" w:rsidRDefault="004F2896" w:rsidP="00426712">
      <w:pPr>
        <w:autoSpaceDE w:val="0"/>
        <w:autoSpaceDN w:val="0"/>
        <w:adjustRightInd w:val="0"/>
        <w:jc w:val="both"/>
        <w:rPr>
          <w:rFonts w:ascii="Arial" w:hAnsi="Arial" w:cs="Arial"/>
          <w:bCs/>
          <w:kern w:val="28"/>
          <w:sz w:val="16"/>
          <w:szCs w:val="16"/>
        </w:rPr>
      </w:pPr>
      <w:r w:rsidRPr="00262DFD">
        <w:rPr>
          <w:rFonts w:ascii="Arial" w:hAnsi="Arial" w:cs="Arial"/>
          <w:sz w:val="20"/>
          <w:szCs w:val="20"/>
        </w:rPr>
        <w:t>L</w:t>
      </w:r>
      <w:r w:rsidRPr="00151281">
        <w:rPr>
          <w:rFonts w:ascii="Arial" w:hAnsi="Arial" w:cs="Arial"/>
          <w:b/>
          <w:bCs/>
          <w:sz w:val="20"/>
          <w:szCs w:val="20"/>
        </w:rPr>
        <w:t>’investissement</w:t>
      </w:r>
      <w:r w:rsidRPr="00262DFD">
        <w:rPr>
          <w:rFonts w:ascii="Arial" w:hAnsi="Arial" w:cs="Arial"/>
          <w:sz w:val="20"/>
          <w:szCs w:val="20"/>
        </w:rPr>
        <w:t xml:space="preserve"> productif aurait</w:t>
      </w:r>
      <w:r w:rsidR="00426712">
        <w:rPr>
          <w:rFonts w:ascii="Arial" w:hAnsi="Arial" w:cs="Arial"/>
          <w:sz w:val="20"/>
          <w:szCs w:val="20"/>
        </w:rPr>
        <w:t xml:space="preserve"> enregistré </w:t>
      </w:r>
      <w:r>
        <w:rPr>
          <w:rFonts w:ascii="Arial" w:hAnsi="Arial" w:cs="Arial"/>
          <w:sz w:val="20"/>
          <w:szCs w:val="20"/>
        </w:rPr>
        <w:t xml:space="preserve">une </w:t>
      </w:r>
      <w:r w:rsidR="007C6B83">
        <w:rPr>
          <w:rFonts w:ascii="Arial" w:hAnsi="Arial" w:cs="Arial"/>
          <w:sz w:val="20"/>
          <w:szCs w:val="20"/>
        </w:rPr>
        <w:t>augmentation</w:t>
      </w:r>
      <w:r>
        <w:rPr>
          <w:rFonts w:ascii="Arial" w:hAnsi="Arial" w:cs="Arial"/>
          <w:sz w:val="20"/>
          <w:szCs w:val="20"/>
        </w:rPr>
        <w:t xml:space="preserve"> de </w:t>
      </w:r>
      <w:r w:rsidR="009B0384">
        <w:rPr>
          <w:rFonts w:ascii="Arial" w:hAnsi="Arial" w:cs="Arial"/>
          <w:sz w:val="20"/>
          <w:szCs w:val="20"/>
        </w:rPr>
        <w:t>2,</w:t>
      </w:r>
      <w:r w:rsidR="009D18F9">
        <w:rPr>
          <w:rFonts w:ascii="Arial" w:hAnsi="Arial" w:cs="Arial"/>
          <w:sz w:val="20"/>
          <w:szCs w:val="20"/>
        </w:rPr>
        <w:t>2</w:t>
      </w:r>
      <w:r>
        <w:rPr>
          <w:rFonts w:ascii="Arial" w:hAnsi="Arial" w:cs="Arial"/>
          <w:sz w:val="20"/>
          <w:szCs w:val="20"/>
        </w:rPr>
        <w:t xml:space="preserve">%, en variation annuelle, au lieu de </w:t>
      </w:r>
      <w:r w:rsidR="009D18F9">
        <w:rPr>
          <w:rFonts w:ascii="Arial" w:hAnsi="Arial" w:cs="Arial"/>
          <w:sz w:val="20"/>
          <w:szCs w:val="20"/>
        </w:rPr>
        <w:t>2,5</w:t>
      </w:r>
      <w:r>
        <w:rPr>
          <w:rFonts w:ascii="Arial" w:hAnsi="Arial" w:cs="Arial"/>
          <w:sz w:val="20"/>
          <w:szCs w:val="20"/>
        </w:rPr>
        <w:t>%</w:t>
      </w:r>
      <w:r w:rsidRPr="00262DFD">
        <w:rPr>
          <w:rFonts w:ascii="Arial" w:hAnsi="Arial" w:cs="Arial"/>
          <w:sz w:val="20"/>
          <w:szCs w:val="20"/>
        </w:rPr>
        <w:t xml:space="preserve">, </w:t>
      </w:r>
      <w:r>
        <w:rPr>
          <w:rFonts w:ascii="Arial" w:hAnsi="Arial" w:cs="Arial"/>
          <w:sz w:val="20"/>
          <w:szCs w:val="20"/>
        </w:rPr>
        <w:t xml:space="preserve">un trimestre auparavant. Cette </w:t>
      </w:r>
      <w:r w:rsidR="00304CBB">
        <w:rPr>
          <w:rFonts w:ascii="Arial" w:hAnsi="Arial" w:cs="Arial"/>
          <w:sz w:val="20"/>
          <w:szCs w:val="20"/>
        </w:rPr>
        <w:t>évolut</w:t>
      </w:r>
      <w:r>
        <w:rPr>
          <w:rFonts w:ascii="Arial" w:hAnsi="Arial" w:cs="Arial"/>
          <w:sz w:val="20"/>
          <w:szCs w:val="20"/>
        </w:rPr>
        <w:t>ion serait</w:t>
      </w:r>
      <w:r w:rsidR="007404DE">
        <w:rPr>
          <w:rFonts w:ascii="Arial" w:hAnsi="Arial" w:cs="Arial"/>
          <w:sz w:val="20"/>
          <w:szCs w:val="20"/>
        </w:rPr>
        <w:t>,</w:t>
      </w:r>
      <w:r>
        <w:rPr>
          <w:rFonts w:ascii="Arial" w:hAnsi="Arial" w:cs="Arial"/>
          <w:sz w:val="20"/>
          <w:szCs w:val="20"/>
        </w:rPr>
        <w:t xml:space="preserve"> principalement</w:t>
      </w:r>
      <w:r w:rsidR="007404DE">
        <w:rPr>
          <w:rFonts w:ascii="Arial" w:hAnsi="Arial" w:cs="Arial"/>
          <w:sz w:val="20"/>
          <w:szCs w:val="20"/>
        </w:rPr>
        <w:t>,</w:t>
      </w:r>
      <w:r>
        <w:rPr>
          <w:rFonts w:ascii="Arial" w:hAnsi="Arial" w:cs="Arial"/>
          <w:sz w:val="20"/>
          <w:szCs w:val="20"/>
        </w:rPr>
        <w:t xml:space="preserve"> attribuable à </w:t>
      </w:r>
      <w:r w:rsidR="00E36EF4">
        <w:rPr>
          <w:rFonts w:ascii="Arial" w:hAnsi="Arial" w:cs="Arial"/>
          <w:sz w:val="20"/>
          <w:szCs w:val="20"/>
        </w:rPr>
        <w:t xml:space="preserve">un léger redressement </w:t>
      </w:r>
      <w:r w:rsidRPr="00262DFD">
        <w:rPr>
          <w:rFonts w:ascii="Arial" w:hAnsi="Arial" w:cs="Arial"/>
          <w:sz w:val="20"/>
          <w:szCs w:val="20"/>
        </w:rPr>
        <w:t xml:space="preserve">des investissements </w:t>
      </w:r>
      <w:r w:rsidR="00E36EF4">
        <w:rPr>
          <w:rFonts w:ascii="Arial" w:hAnsi="Arial" w:cs="Arial"/>
          <w:sz w:val="20"/>
          <w:szCs w:val="20"/>
        </w:rPr>
        <w:t>en construction, sur fond d’une augmentation de 5,8% du flux des crédits accordés à l’habitat</w:t>
      </w:r>
      <w:r w:rsidR="005F20FD">
        <w:rPr>
          <w:rFonts w:ascii="Arial" w:hAnsi="Arial" w:cs="Arial"/>
          <w:sz w:val="20"/>
          <w:szCs w:val="20"/>
        </w:rPr>
        <w:t>.</w:t>
      </w:r>
      <w:r w:rsidR="00E36EF4">
        <w:rPr>
          <w:rFonts w:ascii="Arial" w:hAnsi="Arial" w:cs="Arial"/>
          <w:sz w:val="20"/>
          <w:szCs w:val="20"/>
        </w:rPr>
        <w:t xml:space="preserve"> L’investissement en produits </w:t>
      </w:r>
      <w:r>
        <w:rPr>
          <w:rFonts w:ascii="Arial" w:hAnsi="Arial" w:cs="Arial"/>
          <w:sz w:val="20"/>
          <w:szCs w:val="20"/>
        </w:rPr>
        <w:t>industriels</w:t>
      </w:r>
      <w:r w:rsidR="00E36EF4">
        <w:rPr>
          <w:rFonts w:ascii="Arial" w:hAnsi="Arial" w:cs="Arial"/>
          <w:sz w:val="20"/>
          <w:szCs w:val="20"/>
        </w:rPr>
        <w:t xml:space="preserve"> se serait poursuivi</w:t>
      </w:r>
      <w:r>
        <w:rPr>
          <w:rFonts w:ascii="Arial" w:hAnsi="Arial" w:cs="Arial"/>
          <w:sz w:val="20"/>
          <w:szCs w:val="20"/>
        </w:rPr>
        <w:t xml:space="preserve">, </w:t>
      </w:r>
      <w:r w:rsidR="00E36EF4">
        <w:rPr>
          <w:rFonts w:ascii="Arial" w:hAnsi="Arial" w:cs="Arial"/>
          <w:sz w:val="20"/>
          <w:szCs w:val="20"/>
        </w:rPr>
        <w:t xml:space="preserve">pratiquement, au même rythme que le trimestre précédent, </w:t>
      </w:r>
      <w:r>
        <w:rPr>
          <w:rFonts w:ascii="Arial" w:hAnsi="Arial" w:cs="Arial"/>
          <w:sz w:val="20"/>
          <w:szCs w:val="20"/>
        </w:rPr>
        <w:t>comme en atteste le r</w:t>
      </w:r>
      <w:r w:rsidR="000A11E5">
        <w:rPr>
          <w:rFonts w:ascii="Arial" w:hAnsi="Arial" w:cs="Arial"/>
          <w:sz w:val="20"/>
          <w:szCs w:val="20"/>
        </w:rPr>
        <w:t>affermisse</w:t>
      </w:r>
      <w:r>
        <w:rPr>
          <w:rFonts w:ascii="Arial" w:hAnsi="Arial" w:cs="Arial"/>
          <w:sz w:val="20"/>
          <w:szCs w:val="20"/>
        </w:rPr>
        <w:t xml:space="preserve">ment de </w:t>
      </w:r>
      <w:r w:rsidR="008738CC">
        <w:rPr>
          <w:rFonts w:ascii="Arial" w:hAnsi="Arial" w:cs="Arial"/>
          <w:sz w:val="20"/>
          <w:szCs w:val="20"/>
        </w:rPr>
        <w:t>4,2</w:t>
      </w:r>
      <w:r>
        <w:rPr>
          <w:rFonts w:ascii="Arial" w:hAnsi="Arial" w:cs="Arial"/>
          <w:sz w:val="20"/>
          <w:szCs w:val="20"/>
        </w:rPr>
        <w:t xml:space="preserve">% de l’encours des crédits à l’équipement, à fin </w:t>
      </w:r>
      <w:r w:rsidR="0081287C">
        <w:rPr>
          <w:rFonts w:ascii="Arial" w:hAnsi="Arial" w:cs="Arial"/>
          <w:sz w:val="20"/>
          <w:szCs w:val="20"/>
        </w:rPr>
        <w:t>février</w:t>
      </w:r>
      <w:r w:rsidR="00576D98">
        <w:rPr>
          <w:rFonts w:ascii="Arial" w:hAnsi="Arial" w:cs="Arial"/>
          <w:sz w:val="20"/>
          <w:szCs w:val="20"/>
        </w:rPr>
        <w:t xml:space="preserve"> 2015</w:t>
      </w:r>
      <w:r w:rsidR="0081287C">
        <w:rPr>
          <w:rFonts w:ascii="Arial" w:hAnsi="Arial" w:cs="Arial"/>
          <w:sz w:val="20"/>
          <w:szCs w:val="20"/>
        </w:rPr>
        <w:t xml:space="preserve">. </w:t>
      </w:r>
    </w:p>
    <w:p w:rsidR="00C10807" w:rsidRPr="00C10807" w:rsidRDefault="00C10807" w:rsidP="00C10807">
      <w:pPr>
        <w:autoSpaceDE w:val="0"/>
        <w:autoSpaceDN w:val="0"/>
        <w:adjustRightInd w:val="0"/>
        <w:jc w:val="both"/>
        <w:rPr>
          <w:rFonts w:ascii="Arial" w:hAnsi="Arial" w:cs="Arial"/>
          <w:sz w:val="20"/>
          <w:szCs w:val="20"/>
        </w:rPr>
      </w:pPr>
    </w:p>
    <w:p w:rsidR="00364CD1" w:rsidRDefault="00D01362" w:rsidP="00032899">
      <w:pPr>
        <w:jc w:val="both"/>
        <w:rPr>
          <w:rFonts w:ascii="Arial" w:hAnsi="Arial" w:cs="Arial"/>
          <w:sz w:val="20"/>
          <w:szCs w:val="20"/>
        </w:rPr>
      </w:pPr>
      <w:r>
        <w:rPr>
          <w:rFonts w:ascii="Arial" w:hAnsi="Arial" w:cs="Arial"/>
          <w:b/>
          <w:bCs/>
          <w:color w:val="800000"/>
          <w:kern w:val="28"/>
          <w:sz w:val="20"/>
          <w:szCs w:val="20"/>
        </w:rPr>
        <w:t>L</w:t>
      </w:r>
      <w:r w:rsidR="00364CD1">
        <w:rPr>
          <w:rFonts w:ascii="Arial" w:hAnsi="Arial" w:cs="Arial"/>
          <w:b/>
          <w:bCs/>
          <w:color w:val="800000"/>
          <w:kern w:val="28"/>
          <w:sz w:val="20"/>
          <w:szCs w:val="20"/>
        </w:rPr>
        <w:t xml:space="preserve">a croissance </w:t>
      </w:r>
      <w:r w:rsidR="003C0557">
        <w:rPr>
          <w:rFonts w:ascii="Arial" w:hAnsi="Arial" w:cs="Arial"/>
          <w:b/>
          <w:bCs/>
          <w:color w:val="800000"/>
          <w:kern w:val="28"/>
          <w:sz w:val="20"/>
          <w:szCs w:val="20"/>
        </w:rPr>
        <w:t xml:space="preserve">économique </w:t>
      </w:r>
      <w:r w:rsidR="00032899">
        <w:rPr>
          <w:rFonts w:ascii="Arial" w:hAnsi="Arial" w:cs="Arial"/>
          <w:b/>
          <w:bCs/>
          <w:color w:val="800000"/>
          <w:kern w:val="28"/>
          <w:sz w:val="20"/>
          <w:szCs w:val="20"/>
        </w:rPr>
        <w:t>tir</w:t>
      </w:r>
      <w:r w:rsidR="00A140FA">
        <w:rPr>
          <w:rFonts w:ascii="Arial" w:hAnsi="Arial" w:cs="Arial"/>
          <w:b/>
          <w:bCs/>
          <w:color w:val="800000"/>
          <w:kern w:val="28"/>
          <w:sz w:val="20"/>
          <w:szCs w:val="20"/>
        </w:rPr>
        <w:t>ée</w:t>
      </w:r>
      <w:r>
        <w:rPr>
          <w:rFonts w:ascii="Arial" w:hAnsi="Arial" w:cs="Arial"/>
          <w:b/>
          <w:bCs/>
          <w:color w:val="800000"/>
          <w:kern w:val="28"/>
          <w:sz w:val="20"/>
          <w:szCs w:val="20"/>
        </w:rPr>
        <w:t xml:space="preserve"> par la performance de l’activité agricole </w:t>
      </w:r>
    </w:p>
    <w:p w:rsidR="00364CD1" w:rsidRDefault="00364CD1" w:rsidP="00364CD1">
      <w:pPr>
        <w:jc w:val="both"/>
        <w:rPr>
          <w:rFonts w:ascii="Arial" w:hAnsi="Arial" w:cs="Arial"/>
          <w:sz w:val="20"/>
          <w:szCs w:val="20"/>
        </w:rPr>
      </w:pPr>
    </w:p>
    <w:p w:rsidR="00D45FF8" w:rsidRPr="004C74B2" w:rsidRDefault="008C7957" w:rsidP="00463E58">
      <w:pPr>
        <w:jc w:val="both"/>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3949065</wp:posOffset>
            </wp:positionH>
            <wp:positionV relativeFrom="paragraph">
              <wp:posOffset>378460</wp:posOffset>
            </wp:positionV>
            <wp:extent cx="2566035" cy="2067560"/>
            <wp:effectExtent l="0" t="0" r="0" b="0"/>
            <wp:wrapSquare wrapText="bothSides"/>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srcRect/>
                    <a:stretch>
                      <a:fillRect/>
                    </a:stretch>
                  </pic:blipFill>
                  <pic:spPr bwMode="auto">
                    <a:xfrm>
                      <a:off x="0" y="0"/>
                      <a:ext cx="2566035" cy="2067560"/>
                    </a:xfrm>
                    <a:prstGeom prst="rect">
                      <a:avLst/>
                    </a:prstGeom>
                    <a:noFill/>
                    <a:ln w="9525">
                      <a:noFill/>
                      <a:miter lim="800000"/>
                      <a:headEnd/>
                      <a:tailEnd/>
                    </a:ln>
                  </pic:spPr>
                </pic:pic>
              </a:graphicData>
            </a:graphic>
          </wp:anchor>
        </w:drawing>
      </w:r>
      <w:r w:rsidR="00FE5044" w:rsidRPr="00FE5044">
        <w:rPr>
          <w:rFonts w:ascii="Arial" w:hAnsi="Arial" w:cs="Arial"/>
          <w:sz w:val="20"/>
          <w:szCs w:val="20"/>
        </w:rPr>
        <w:t>Les activités agricoles auraient affiché une progression de 12,</w:t>
      </w:r>
      <w:r w:rsidR="001C2196">
        <w:rPr>
          <w:rFonts w:ascii="Arial" w:hAnsi="Arial" w:cs="Arial"/>
          <w:sz w:val="20"/>
          <w:szCs w:val="20"/>
        </w:rPr>
        <w:t>3</w:t>
      </w:r>
      <w:r w:rsidR="00FE5044" w:rsidRPr="00FE5044">
        <w:rPr>
          <w:rFonts w:ascii="Arial" w:hAnsi="Arial" w:cs="Arial"/>
          <w:sz w:val="20"/>
          <w:szCs w:val="20"/>
        </w:rPr>
        <w:t>% au premier trimestre 2015, en variation annuelle, après s’être contractées de 1,8%</w:t>
      </w:r>
      <w:r w:rsidR="005C1B36">
        <w:rPr>
          <w:rFonts w:ascii="Arial" w:hAnsi="Arial" w:cs="Arial"/>
          <w:sz w:val="20"/>
          <w:szCs w:val="20"/>
        </w:rPr>
        <w:t>,</w:t>
      </w:r>
      <w:r w:rsidR="00FE5044" w:rsidRPr="00FE5044">
        <w:rPr>
          <w:rFonts w:ascii="Arial" w:hAnsi="Arial" w:cs="Arial"/>
          <w:sz w:val="20"/>
          <w:szCs w:val="20"/>
        </w:rPr>
        <w:t xml:space="preserve"> un</w:t>
      </w:r>
      <w:r w:rsidR="009C0244">
        <w:rPr>
          <w:rFonts w:ascii="Arial" w:hAnsi="Arial" w:cs="Arial"/>
          <w:sz w:val="20"/>
          <w:szCs w:val="20"/>
        </w:rPr>
        <w:t>e année plus tôt. Cette relance</w:t>
      </w:r>
      <w:r w:rsidR="005C1B36">
        <w:rPr>
          <w:rFonts w:ascii="Arial" w:hAnsi="Arial" w:cs="Arial"/>
          <w:sz w:val="20"/>
          <w:szCs w:val="20"/>
        </w:rPr>
        <w:t>,</w:t>
      </w:r>
      <w:r w:rsidR="00FE5044" w:rsidRPr="00FE5044">
        <w:rPr>
          <w:rFonts w:ascii="Arial" w:hAnsi="Arial" w:cs="Arial"/>
          <w:sz w:val="20"/>
          <w:szCs w:val="20"/>
        </w:rPr>
        <w:t xml:space="preserve"> </w:t>
      </w:r>
      <w:r w:rsidR="00A75CC4">
        <w:rPr>
          <w:rFonts w:ascii="Arial" w:hAnsi="Arial" w:cs="Arial"/>
          <w:sz w:val="20"/>
          <w:szCs w:val="20"/>
        </w:rPr>
        <w:t>attribuable</w:t>
      </w:r>
      <w:r w:rsidR="00FE5044" w:rsidRPr="00FE5044">
        <w:rPr>
          <w:rFonts w:ascii="Arial" w:hAnsi="Arial" w:cs="Arial"/>
          <w:sz w:val="20"/>
          <w:szCs w:val="20"/>
        </w:rPr>
        <w:t xml:space="preserve"> </w:t>
      </w:r>
      <w:r w:rsidR="009C0244">
        <w:rPr>
          <w:rFonts w:ascii="Arial" w:hAnsi="Arial" w:cs="Arial"/>
          <w:sz w:val="20"/>
          <w:szCs w:val="20"/>
        </w:rPr>
        <w:t xml:space="preserve">principalement </w:t>
      </w:r>
      <w:r w:rsidR="00A75CC4">
        <w:rPr>
          <w:rFonts w:ascii="Arial" w:hAnsi="Arial" w:cs="Arial"/>
          <w:sz w:val="20"/>
          <w:szCs w:val="20"/>
        </w:rPr>
        <w:t xml:space="preserve">à </w:t>
      </w:r>
      <w:r w:rsidR="00FE5044" w:rsidRPr="00FE5044">
        <w:rPr>
          <w:rFonts w:ascii="Arial" w:hAnsi="Arial" w:cs="Arial"/>
          <w:sz w:val="20"/>
          <w:szCs w:val="20"/>
        </w:rPr>
        <w:t xml:space="preserve">un redressement de la production végétale et une amélioration des activités d’élevage, aurait été </w:t>
      </w:r>
      <w:r w:rsidR="00A75CC4">
        <w:rPr>
          <w:rFonts w:ascii="Arial" w:hAnsi="Arial" w:cs="Arial"/>
          <w:sz w:val="20"/>
          <w:szCs w:val="20"/>
        </w:rPr>
        <w:t>favorisée par</w:t>
      </w:r>
      <w:r w:rsidR="001222E9">
        <w:rPr>
          <w:rFonts w:ascii="Arial" w:hAnsi="Arial" w:cs="Arial"/>
          <w:sz w:val="20"/>
          <w:szCs w:val="20"/>
        </w:rPr>
        <w:t xml:space="preserve"> une bonne </w:t>
      </w:r>
      <w:r w:rsidR="00FE5044" w:rsidRPr="00FE5044">
        <w:rPr>
          <w:rFonts w:ascii="Arial" w:hAnsi="Arial" w:cs="Arial"/>
          <w:sz w:val="20"/>
          <w:szCs w:val="20"/>
        </w:rPr>
        <w:t>répartition spatiotemporelle des pluies et une amélioration de l’utilisation des intrants. Le cumul pluviométrique</w:t>
      </w:r>
      <w:r w:rsidR="009C0244">
        <w:rPr>
          <w:rFonts w:ascii="Arial" w:hAnsi="Arial" w:cs="Arial"/>
          <w:sz w:val="20"/>
          <w:szCs w:val="20"/>
        </w:rPr>
        <w:t>,</w:t>
      </w:r>
      <w:r w:rsidR="00FE5044" w:rsidRPr="00FE5044">
        <w:rPr>
          <w:rFonts w:ascii="Arial" w:hAnsi="Arial" w:cs="Arial"/>
          <w:sz w:val="20"/>
          <w:szCs w:val="20"/>
        </w:rPr>
        <w:t xml:space="preserve"> reçu au cours des </w:t>
      </w:r>
      <w:r w:rsidR="00463E58">
        <w:rPr>
          <w:rFonts w:ascii="Arial" w:hAnsi="Arial" w:cs="Arial"/>
          <w:sz w:val="20"/>
          <w:szCs w:val="20"/>
        </w:rPr>
        <w:t>cinq</w:t>
      </w:r>
      <w:r w:rsidR="00FE5044" w:rsidRPr="00FE5044">
        <w:rPr>
          <w:rFonts w:ascii="Arial" w:hAnsi="Arial" w:cs="Arial"/>
          <w:sz w:val="20"/>
          <w:szCs w:val="20"/>
        </w:rPr>
        <w:t xml:space="preserve"> premiers mois de la campagne agricole 2014/2015, s</w:t>
      </w:r>
      <w:r w:rsidR="005C1B36">
        <w:rPr>
          <w:rFonts w:ascii="Arial" w:hAnsi="Arial" w:cs="Arial"/>
          <w:sz w:val="20"/>
          <w:szCs w:val="20"/>
        </w:rPr>
        <w:t>e serait</w:t>
      </w:r>
      <w:r w:rsidR="00FE5044" w:rsidRPr="00FE5044">
        <w:rPr>
          <w:rFonts w:ascii="Arial" w:hAnsi="Arial" w:cs="Arial"/>
          <w:sz w:val="20"/>
          <w:szCs w:val="20"/>
        </w:rPr>
        <w:t xml:space="preserve"> accru de 58%, en variation annuelle et les ventes des engrais </w:t>
      </w:r>
      <w:r w:rsidR="005C1B36">
        <w:rPr>
          <w:rFonts w:ascii="Arial" w:hAnsi="Arial" w:cs="Arial"/>
          <w:sz w:val="20"/>
          <w:szCs w:val="20"/>
        </w:rPr>
        <w:t>auraie</w:t>
      </w:r>
      <w:r w:rsidR="00FE5044" w:rsidRPr="00FE5044">
        <w:rPr>
          <w:rFonts w:ascii="Arial" w:hAnsi="Arial" w:cs="Arial"/>
          <w:sz w:val="20"/>
          <w:szCs w:val="20"/>
        </w:rPr>
        <w:t>nt augmenté de 8%. Le potentiel de récolte des cultures précoces</w:t>
      </w:r>
      <w:r w:rsidR="00435537">
        <w:rPr>
          <w:rFonts w:ascii="Arial" w:hAnsi="Arial" w:cs="Arial"/>
          <w:sz w:val="20"/>
          <w:szCs w:val="20"/>
        </w:rPr>
        <w:t>,</w:t>
      </w:r>
      <w:r w:rsidR="00FE5044" w:rsidRPr="00FE5044">
        <w:rPr>
          <w:rFonts w:ascii="Arial" w:hAnsi="Arial" w:cs="Arial"/>
          <w:sz w:val="20"/>
          <w:szCs w:val="20"/>
        </w:rPr>
        <w:t xml:space="preserve"> notamment celui des céréales, des légumineuses et des cultures fourragères, se serait relevé de 8,8%, 4,2% et 3,2%</w:t>
      </w:r>
      <w:r w:rsidR="00435537">
        <w:rPr>
          <w:rFonts w:ascii="Arial" w:hAnsi="Arial" w:cs="Arial"/>
          <w:sz w:val="20"/>
          <w:szCs w:val="20"/>
        </w:rPr>
        <w:t>,</w:t>
      </w:r>
      <w:r w:rsidR="00FE5044" w:rsidRPr="00FE5044">
        <w:rPr>
          <w:rFonts w:ascii="Arial" w:hAnsi="Arial" w:cs="Arial"/>
          <w:sz w:val="20"/>
          <w:szCs w:val="20"/>
        </w:rPr>
        <w:t xml:space="preserve"> respectivement</w:t>
      </w:r>
      <w:r w:rsidR="00435537">
        <w:rPr>
          <w:rFonts w:ascii="Arial" w:hAnsi="Arial" w:cs="Arial"/>
          <w:sz w:val="20"/>
          <w:szCs w:val="20"/>
        </w:rPr>
        <w:t>,</w:t>
      </w:r>
      <w:r w:rsidR="00FE5044" w:rsidRPr="00FE5044">
        <w:rPr>
          <w:rFonts w:ascii="Arial" w:hAnsi="Arial" w:cs="Arial"/>
          <w:sz w:val="20"/>
          <w:szCs w:val="20"/>
        </w:rPr>
        <w:t xml:space="preserve"> en comparaison avec le début de l’année courante. Les cultures sucrières et fruitières, moins dépendantes des fluctuations climatiques</w:t>
      </w:r>
      <w:r w:rsidR="00435537">
        <w:rPr>
          <w:rFonts w:ascii="Arial" w:hAnsi="Arial" w:cs="Arial"/>
          <w:sz w:val="20"/>
          <w:szCs w:val="20"/>
        </w:rPr>
        <w:t>,</w:t>
      </w:r>
      <w:r w:rsidR="00FE5044" w:rsidRPr="00FE5044">
        <w:rPr>
          <w:rFonts w:ascii="Arial" w:hAnsi="Arial" w:cs="Arial"/>
          <w:sz w:val="20"/>
          <w:szCs w:val="20"/>
        </w:rPr>
        <w:t xml:space="preserve"> auraient poursuivi leur </w:t>
      </w:r>
      <w:r w:rsidR="001222E9">
        <w:rPr>
          <w:rFonts w:ascii="Arial" w:hAnsi="Arial" w:cs="Arial"/>
          <w:sz w:val="20"/>
          <w:szCs w:val="20"/>
        </w:rPr>
        <w:t>tendance</w:t>
      </w:r>
      <w:r w:rsidR="00FE5044" w:rsidRPr="00FE5044">
        <w:rPr>
          <w:rFonts w:ascii="Arial" w:hAnsi="Arial" w:cs="Arial"/>
          <w:sz w:val="20"/>
          <w:szCs w:val="20"/>
        </w:rPr>
        <w:t xml:space="preserve"> ascendant</w:t>
      </w:r>
      <w:r w:rsidR="001222E9">
        <w:rPr>
          <w:rFonts w:ascii="Arial" w:hAnsi="Arial" w:cs="Arial"/>
          <w:sz w:val="20"/>
          <w:szCs w:val="20"/>
        </w:rPr>
        <w:t>e</w:t>
      </w:r>
      <w:r w:rsidR="00FE5044" w:rsidRPr="00FE5044">
        <w:rPr>
          <w:rFonts w:ascii="Arial" w:hAnsi="Arial" w:cs="Arial"/>
          <w:sz w:val="20"/>
          <w:szCs w:val="20"/>
        </w:rPr>
        <w:t xml:space="preserve"> pour la tr</w:t>
      </w:r>
      <w:r w:rsidR="007404DE">
        <w:rPr>
          <w:rFonts w:ascii="Arial" w:hAnsi="Arial" w:cs="Arial"/>
          <w:sz w:val="20"/>
          <w:szCs w:val="20"/>
        </w:rPr>
        <w:t>oisième année consécutive. Seul</w:t>
      </w:r>
      <w:r w:rsidR="00FE5044" w:rsidRPr="00FE5044">
        <w:rPr>
          <w:rFonts w:ascii="Arial" w:hAnsi="Arial" w:cs="Arial"/>
          <w:sz w:val="20"/>
          <w:szCs w:val="20"/>
        </w:rPr>
        <w:t>s les agrumes et</w:t>
      </w:r>
      <w:r w:rsidR="005C1B36">
        <w:rPr>
          <w:rFonts w:ascii="Arial" w:hAnsi="Arial" w:cs="Arial"/>
          <w:sz w:val="20"/>
          <w:szCs w:val="20"/>
        </w:rPr>
        <w:t>,</w:t>
      </w:r>
      <w:r w:rsidR="00FE5044" w:rsidRPr="00FE5044">
        <w:rPr>
          <w:rFonts w:ascii="Arial" w:hAnsi="Arial" w:cs="Arial"/>
          <w:sz w:val="20"/>
          <w:szCs w:val="20"/>
        </w:rPr>
        <w:t xml:space="preserve"> dans une moindre mesure</w:t>
      </w:r>
      <w:r w:rsidR="00435537">
        <w:rPr>
          <w:rFonts w:ascii="Arial" w:hAnsi="Arial" w:cs="Arial"/>
          <w:sz w:val="20"/>
          <w:szCs w:val="20"/>
        </w:rPr>
        <w:t>,</w:t>
      </w:r>
      <w:r w:rsidR="00FE5044" w:rsidRPr="00FE5044">
        <w:rPr>
          <w:rFonts w:ascii="Arial" w:hAnsi="Arial" w:cs="Arial"/>
          <w:sz w:val="20"/>
          <w:szCs w:val="20"/>
        </w:rPr>
        <w:t xml:space="preserve"> les oléagineuses s’inscriraient à contre</w:t>
      </w:r>
      <w:r w:rsidR="007404DE">
        <w:rPr>
          <w:rFonts w:ascii="Arial" w:hAnsi="Arial" w:cs="Arial"/>
          <w:sz w:val="20"/>
          <w:szCs w:val="20"/>
        </w:rPr>
        <w:t>-</w:t>
      </w:r>
      <w:r w:rsidR="00FE5044" w:rsidRPr="00FE5044">
        <w:rPr>
          <w:rFonts w:ascii="Arial" w:hAnsi="Arial" w:cs="Arial"/>
          <w:sz w:val="20"/>
          <w:szCs w:val="20"/>
        </w:rPr>
        <w:t>courant, enregistrant une baisse conjuguée de la production et des exportations.</w:t>
      </w:r>
      <w:r w:rsidR="00D45FF8" w:rsidRPr="004C74B2">
        <w:rPr>
          <w:rFonts w:ascii="Arial" w:hAnsi="Arial" w:cs="Arial"/>
          <w:sz w:val="20"/>
          <w:szCs w:val="20"/>
        </w:rPr>
        <w:t xml:space="preserve"> </w:t>
      </w:r>
    </w:p>
    <w:p w:rsidR="00364CD1" w:rsidRPr="00513F8D" w:rsidRDefault="00364CD1" w:rsidP="00364CD1">
      <w:pPr>
        <w:jc w:val="both"/>
        <w:rPr>
          <w:rFonts w:ascii="Arial" w:hAnsi="Arial" w:cs="Arial"/>
          <w:sz w:val="20"/>
          <w:szCs w:val="20"/>
        </w:rPr>
      </w:pPr>
    </w:p>
    <w:p w:rsidR="00645ED5" w:rsidRDefault="002C62E9" w:rsidP="0003420B">
      <w:pPr>
        <w:jc w:val="both"/>
        <w:rPr>
          <w:rFonts w:ascii="Arial" w:hAnsi="Arial" w:cs="Arial"/>
          <w:b/>
          <w:bCs/>
          <w:color w:val="800000"/>
          <w:kern w:val="28"/>
          <w:sz w:val="20"/>
          <w:szCs w:val="20"/>
        </w:rPr>
      </w:pPr>
      <w:r>
        <w:rPr>
          <w:rFonts w:ascii="Arial" w:hAnsi="Arial" w:cs="Arial"/>
          <w:b/>
          <w:bCs/>
          <w:color w:val="800000"/>
          <w:kern w:val="28"/>
          <w:sz w:val="20"/>
          <w:szCs w:val="20"/>
        </w:rPr>
        <w:t>Le</w:t>
      </w:r>
      <w:r w:rsidR="0003420B">
        <w:rPr>
          <w:rFonts w:ascii="Arial" w:hAnsi="Arial" w:cs="Arial"/>
          <w:b/>
          <w:bCs/>
          <w:color w:val="800000"/>
          <w:kern w:val="28"/>
          <w:sz w:val="20"/>
          <w:szCs w:val="20"/>
        </w:rPr>
        <w:t xml:space="preserve"> secteur </w:t>
      </w:r>
      <w:r w:rsidR="00C86895">
        <w:rPr>
          <w:rFonts w:ascii="Arial" w:hAnsi="Arial" w:cs="Arial"/>
          <w:b/>
          <w:bCs/>
          <w:color w:val="800000"/>
          <w:kern w:val="28"/>
          <w:sz w:val="20"/>
          <w:szCs w:val="20"/>
        </w:rPr>
        <w:t>tertiaire</w:t>
      </w:r>
      <w:r>
        <w:rPr>
          <w:rFonts w:ascii="Arial" w:hAnsi="Arial" w:cs="Arial"/>
          <w:b/>
          <w:bCs/>
          <w:color w:val="800000"/>
          <w:kern w:val="28"/>
          <w:sz w:val="20"/>
          <w:szCs w:val="20"/>
        </w:rPr>
        <w:t xml:space="preserve"> </w:t>
      </w:r>
      <w:r w:rsidR="00D44396">
        <w:rPr>
          <w:rFonts w:ascii="Arial" w:hAnsi="Arial" w:cs="Arial"/>
          <w:b/>
          <w:bCs/>
          <w:color w:val="800000"/>
          <w:kern w:val="28"/>
          <w:sz w:val="20"/>
          <w:szCs w:val="20"/>
        </w:rPr>
        <w:t xml:space="preserve">principal </w:t>
      </w:r>
      <w:r>
        <w:rPr>
          <w:rFonts w:ascii="Arial" w:hAnsi="Arial" w:cs="Arial"/>
          <w:b/>
          <w:bCs/>
          <w:color w:val="800000"/>
          <w:kern w:val="28"/>
          <w:sz w:val="20"/>
          <w:szCs w:val="20"/>
        </w:rPr>
        <w:t>moteur</w:t>
      </w:r>
      <w:r w:rsidR="00435537">
        <w:rPr>
          <w:rFonts w:ascii="Arial" w:hAnsi="Arial" w:cs="Arial"/>
          <w:b/>
          <w:bCs/>
          <w:color w:val="800000"/>
          <w:kern w:val="28"/>
          <w:sz w:val="20"/>
          <w:szCs w:val="20"/>
        </w:rPr>
        <w:t xml:space="preserve"> </w:t>
      </w:r>
      <w:r>
        <w:rPr>
          <w:rFonts w:ascii="Arial" w:hAnsi="Arial" w:cs="Arial"/>
          <w:b/>
          <w:bCs/>
          <w:color w:val="800000"/>
          <w:kern w:val="28"/>
          <w:sz w:val="20"/>
          <w:szCs w:val="20"/>
        </w:rPr>
        <w:t>de la croissance hors agriculture</w:t>
      </w:r>
    </w:p>
    <w:p w:rsidR="00645ED5" w:rsidRDefault="00645ED5" w:rsidP="00645ED5">
      <w:pPr>
        <w:jc w:val="both"/>
        <w:rPr>
          <w:rFonts w:ascii="Arial" w:hAnsi="Arial" w:cs="Arial"/>
          <w:b/>
          <w:bCs/>
          <w:color w:val="800000"/>
          <w:kern w:val="28"/>
          <w:sz w:val="20"/>
          <w:szCs w:val="20"/>
        </w:rPr>
      </w:pPr>
    </w:p>
    <w:p w:rsidR="001D3F51" w:rsidRDefault="00645ED5" w:rsidP="00C86895">
      <w:pPr>
        <w:jc w:val="both"/>
        <w:rPr>
          <w:rFonts w:ascii="Arial" w:hAnsi="Arial" w:cs="Arial"/>
          <w:sz w:val="20"/>
          <w:szCs w:val="20"/>
        </w:rPr>
      </w:pPr>
      <w:r>
        <w:rPr>
          <w:rFonts w:ascii="Arial" w:hAnsi="Arial" w:cs="Arial"/>
          <w:sz w:val="20"/>
          <w:szCs w:val="20"/>
        </w:rPr>
        <w:t xml:space="preserve">La valeur ajoutée des activités </w:t>
      </w:r>
      <w:r>
        <w:rPr>
          <w:rFonts w:ascii="Arial" w:hAnsi="Arial" w:cs="Arial"/>
          <w:b/>
          <w:bCs/>
          <w:sz w:val="20"/>
          <w:szCs w:val="20"/>
        </w:rPr>
        <w:t>non-agricoles</w:t>
      </w:r>
      <w:r w:rsidRPr="007F05FB">
        <w:rPr>
          <w:rFonts w:ascii="Arial" w:hAnsi="Arial" w:cs="Arial"/>
          <w:sz w:val="20"/>
          <w:szCs w:val="20"/>
        </w:rPr>
        <w:t xml:space="preserve"> </w:t>
      </w:r>
      <w:r>
        <w:rPr>
          <w:rFonts w:ascii="Arial" w:hAnsi="Arial" w:cs="Arial"/>
          <w:sz w:val="20"/>
          <w:szCs w:val="20"/>
        </w:rPr>
        <w:t xml:space="preserve">aurait </w:t>
      </w:r>
      <w:r w:rsidR="007303F6">
        <w:rPr>
          <w:rFonts w:ascii="Arial" w:hAnsi="Arial" w:cs="Arial"/>
          <w:sz w:val="20"/>
          <w:szCs w:val="20"/>
        </w:rPr>
        <w:t xml:space="preserve">affiché une croissance </w:t>
      </w:r>
      <w:r w:rsidR="00C86895">
        <w:rPr>
          <w:rFonts w:ascii="Arial" w:hAnsi="Arial" w:cs="Arial"/>
          <w:sz w:val="20"/>
          <w:szCs w:val="20"/>
        </w:rPr>
        <w:t>de 3,2%</w:t>
      </w:r>
      <w:r w:rsidR="002B10D9">
        <w:rPr>
          <w:rFonts w:ascii="Arial" w:hAnsi="Arial" w:cs="Arial"/>
          <w:sz w:val="20"/>
          <w:szCs w:val="20"/>
        </w:rPr>
        <w:t xml:space="preserve"> au premier trimestre 2015, en rythme annuel</w:t>
      </w:r>
      <w:r>
        <w:rPr>
          <w:rFonts w:ascii="Arial" w:hAnsi="Arial" w:cs="Arial"/>
          <w:sz w:val="20"/>
          <w:szCs w:val="20"/>
        </w:rPr>
        <w:t xml:space="preserve">. </w:t>
      </w:r>
      <w:r w:rsidR="00216D2A">
        <w:rPr>
          <w:rFonts w:ascii="Arial" w:hAnsi="Arial" w:cs="Arial"/>
          <w:sz w:val="20"/>
          <w:szCs w:val="20"/>
        </w:rPr>
        <w:t>Le</w:t>
      </w:r>
      <w:r w:rsidR="00C86895">
        <w:rPr>
          <w:rFonts w:ascii="Arial" w:hAnsi="Arial" w:cs="Arial"/>
          <w:sz w:val="20"/>
          <w:szCs w:val="20"/>
        </w:rPr>
        <w:t xml:space="preserve"> secteur tertiaire </w:t>
      </w:r>
      <w:r w:rsidR="00CB59C0">
        <w:rPr>
          <w:rFonts w:ascii="Arial" w:hAnsi="Arial" w:cs="Arial"/>
          <w:sz w:val="20"/>
          <w:szCs w:val="20"/>
        </w:rPr>
        <w:t>serait</w:t>
      </w:r>
      <w:r w:rsidR="00CB59C0" w:rsidRPr="00CB59C0">
        <w:rPr>
          <w:rFonts w:ascii="Arial" w:hAnsi="Arial" w:cs="Arial"/>
          <w:sz w:val="20"/>
          <w:szCs w:val="20"/>
        </w:rPr>
        <w:t xml:space="preserve"> </w:t>
      </w:r>
      <w:r w:rsidR="00CB59C0">
        <w:rPr>
          <w:rFonts w:ascii="Arial" w:hAnsi="Arial" w:cs="Arial"/>
          <w:sz w:val="20"/>
          <w:szCs w:val="20"/>
        </w:rPr>
        <w:t xml:space="preserve">resté </w:t>
      </w:r>
      <w:r w:rsidR="00CB59C0" w:rsidRPr="00CB59C0">
        <w:rPr>
          <w:rFonts w:ascii="Arial" w:hAnsi="Arial" w:cs="Arial"/>
          <w:sz w:val="20"/>
          <w:szCs w:val="20"/>
        </w:rPr>
        <w:t>le principa</w:t>
      </w:r>
      <w:r w:rsidR="00435537">
        <w:rPr>
          <w:rFonts w:ascii="Arial" w:hAnsi="Arial" w:cs="Arial"/>
          <w:sz w:val="20"/>
          <w:szCs w:val="20"/>
        </w:rPr>
        <w:t>l</w:t>
      </w:r>
      <w:r w:rsidR="00CB59C0" w:rsidRPr="00CB59C0">
        <w:rPr>
          <w:rFonts w:ascii="Arial" w:hAnsi="Arial" w:cs="Arial"/>
          <w:sz w:val="20"/>
          <w:szCs w:val="20"/>
        </w:rPr>
        <w:t xml:space="preserve"> </w:t>
      </w:r>
      <w:r w:rsidR="00435537">
        <w:rPr>
          <w:rFonts w:ascii="Arial" w:hAnsi="Arial" w:cs="Arial"/>
          <w:sz w:val="20"/>
          <w:szCs w:val="20"/>
        </w:rPr>
        <w:t>socle</w:t>
      </w:r>
      <w:r w:rsidR="00CB59C0" w:rsidRPr="00CB59C0">
        <w:rPr>
          <w:rFonts w:ascii="Arial" w:hAnsi="Arial" w:cs="Arial"/>
          <w:sz w:val="20"/>
          <w:szCs w:val="20"/>
        </w:rPr>
        <w:t xml:space="preserve"> </w:t>
      </w:r>
      <w:r w:rsidR="00CB59C0">
        <w:rPr>
          <w:rFonts w:ascii="Arial" w:hAnsi="Arial" w:cs="Arial"/>
          <w:sz w:val="20"/>
          <w:szCs w:val="20"/>
        </w:rPr>
        <w:t>de la croissance hors agriculture</w:t>
      </w:r>
      <w:r w:rsidR="00F0090D">
        <w:rPr>
          <w:rFonts w:ascii="Arial" w:hAnsi="Arial" w:cs="Arial"/>
          <w:sz w:val="20"/>
          <w:szCs w:val="20"/>
        </w:rPr>
        <w:t xml:space="preserve">, avec une progression de </w:t>
      </w:r>
      <w:r w:rsidR="00CB59C0">
        <w:rPr>
          <w:rFonts w:ascii="Arial" w:hAnsi="Arial" w:cs="Arial"/>
          <w:sz w:val="20"/>
          <w:szCs w:val="20"/>
        </w:rPr>
        <w:t>4%</w:t>
      </w:r>
      <w:r w:rsidR="00CB59C0" w:rsidRPr="00CB59C0">
        <w:rPr>
          <w:rFonts w:ascii="Arial" w:hAnsi="Arial" w:cs="Arial"/>
          <w:sz w:val="20"/>
          <w:szCs w:val="20"/>
        </w:rPr>
        <w:t xml:space="preserve">, contre </w:t>
      </w:r>
      <w:r w:rsidR="00216D2A">
        <w:rPr>
          <w:rFonts w:ascii="Arial" w:hAnsi="Arial" w:cs="Arial"/>
          <w:sz w:val="20"/>
          <w:szCs w:val="20"/>
        </w:rPr>
        <w:t>2,3</w:t>
      </w:r>
      <w:r w:rsidR="00CB59C0" w:rsidRPr="00CB59C0">
        <w:rPr>
          <w:rFonts w:ascii="Arial" w:hAnsi="Arial" w:cs="Arial"/>
          <w:sz w:val="20"/>
          <w:szCs w:val="20"/>
        </w:rPr>
        <w:t xml:space="preserve">% </w:t>
      </w:r>
      <w:r w:rsidR="001D3F51">
        <w:rPr>
          <w:rFonts w:ascii="Arial" w:hAnsi="Arial" w:cs="Arial"/>
          <w:sz w:val="20"/>
          <w:szCs w:val="20"/>
        </w:rPr>
        <w:t xml:space="preserve">seulement </w:t>
      </w:r>
      <w:r w:rsidR="00CB59C0" w:rsidRPr="00CB59C0">
        <w:rPr>
          <w:rFonts w:ascii="Arial" w:hAnsi="Arial" w:cs="Arial"/>
          <w:sz w:val="20"/>
          <w:szCs w:val="20"/>
        </w:rPr>
        <w:t xml:space="preserve">pour </w:t>
      </w:r>
      <w:r w:rsidR="00216D2A">
        <w:rPr>
          <w:rFonts w:ascii="Arial" w:hAnsi="Arial" w:cs="Arial"/>
          <w:sz w:val="20"/>
          <w:szCs w:val="20"/>
        </w:rPr>
        <w:t>les activités secondaires</w:t>
      </w:r>
      <w:r w:rsidR="00CB59C0" w:rsidRPr="00CB59C0">
        <w:rPr>
          <w:rFonts w:ascii="Arial" w:hAnsi="Arial" w:cs="Arial"/>
          <w:sz w:val="20"/>
          <w:szCs w:val="20"/>
        </w:rPr>
        <w:t xml:space="preserve">. </w:t>
      </w:r>
      <w:r w:rsidR="00216D2A">
        <w:rPr>
          <w:rFonts w:ascii="Arial" w:hAnsi="Arial" w:cs="Arial"/>
          <w:sz w:val="20"/>
          <w:szCs w:val="20"/>
        </w:rPr>
        <w:t xml:space="preserve">Ces dernières auraient pâti des faibles performances de la construction et des mines, alors que </w:t>
      </w:r>
      <w:r w:rsidR="009C0244">
        <w:rPr>
          <w:rFonts w:ascii="Arial" w:hAnsi="Arial" w:cs="Arial"/>
          <w:sz w:val="20"/>
          <w:szCs w:val="20"/>
        </w:rPr>
        <w:t>le raffermissement</w:t>
      </w:r>
      <w:r w:rsidR="001D3F51">
        <w:rPr>
          <w:rFonts w:ascii="Arial" w:hAnsi="Arial" w:cs="Arial"/>
          <w:sz w:val="20"/>
          <w:szCs w:val="20"/>
        </w:rPr>
        <w:t xml:space="preserve"> des</w:t>
      </w:r>
      <w:r w:rsidR="00216D2A">
        <w:rPr>
          <w:rFonts w:ascii="Arial" w:hAnsi="Arial" w:cs="Arial"/>
          <w:sz w:val="20"/>
          <w:szCs w:val="20"/>
        </w:rPr>
        <w:t xml:space="preserve"> industries de transformation </w:t>
      </w:r>
      <w:r w:rsidR="009C0244">
        <w:rPr>
          <w:rFonts w:ascii="Arial" w:hAnsi="Arial" w:cs="Arial"/>
          <w:sz w:val="20"/>
          <w:szCs w:val="20"/>
        </w:rPr>
        <w:t xml:space="preserve">serait resté </w:t>
      </w:r>
      <w:r w:rsidR="00976BC8">
        <w:rPr>
          <w:rFonts w:ascii="Arial" w:hAnsi="Arial" w:cs="Arial"/>
          <w:sz w:val="20"/>
          <w:szCs w:val="20"/>
        </w:rPr>
        <w:t>relativement modéré pour</w:t>
      </w:r>
      <w:r w:rsidR="009C0244">
        <w:rPr>
          <w:rFonts w:ascii="Arial" w:hAnsi="Arial" w:cs="Arial"/>
          <w:sz w:val="20"/>
          <w:szCs w:val="20"/>
        </w:rPr>
        <w:t xml:space="preserve"> relancer le reste de l’économie</w:t>
      </w:r>
      <w:r w:rsidR="00216D2A">
        <w:rPr>
          <w:rFonts w:ascii="Arial" w:hAnsi="Arial" w:cs="Arial"/>
          <w:sz w:val="20"/>
          <w:szCs w:val="20"/>
        </w:rPr>
        <w:t>.</w:t>
      </w:r>
    </w:p>
    <w:p w:rsidR="001D3F51" w:rsidRDefault="008C7957" w:rsidP="001D3F51">
      <w:pPr>
        <w:jc w:val="both"/>
        <w:rPr>
          <w:rFonts w:ascii="Arial" w:hAnsi="Arial" w:cs="Arial"/>
          <w:sz w:val="20"/>
          <w:szCs w:val="20"/>
        </w:rPr>
      </w:pPr>
      <w:r>
        <w:rPr>
          <w:rFonts w:ascii="Arial" w:hAnsi="Arial"/>
          <w:noProof/>
          <w:sz w:val="20"/>
          <w:szCs w:val="20"/>
        </w:rPr>
        <w:drawing>
          <wp:anchor distT="0" distB="0" distL="114300" distR="114300" simplePos="0" relativeHeight="251662336" behindDoc="0" locked="0" layoutInCell="1" allowOverlap="1">
            <wp:simplePos x="0" y="0"/>
            <wp:positionH relativeFrom="column">
              <wp:posOffset>4000500</wp:posOffset>
            </wp:positionH>
            <wp:positionV relativeFrom="paragraph">
              <wp:posOffset>10795</wp:posOffset>
            </wp:positionV>
            <wp:extent cx="2514600" cy="2057400"/>
            <wp:effectExtent l="0" t="0" r="0" b="0"/>
            <wp:wrapSquare wrapText="bothSides"/>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srcRect/>
                    <a:stretch>
                      <a:fillRect/>
                    </a:stretch>
                  </pic:blipFill>
                  <pic:spPr bwMode="auto">
                    <a:xfrm>
                      <a:off x="0" y="0"/>
                      <a:ext cx="2514600" cy="2057400"/>
                    </a:xfrm>
                    <a:prstGeom prst="rect">
                      <a:avLst/>
                    </a:prstGeom>
                    <a:noFill/>
                    <a:ln w="9525">
                      <a:noFill/>
                      <a:miter lim="800000"/>
                      <a:headEnd/>
                      <a:tailEnd/>
                    </a:ln>
                  </pic:spPr>
                </pic:pic>
              </a:graphicData>
            </a:graphic>
          </wp:anchor>
        </w:drawing>
      </w:r>
    </w:p>
    <w:p w:rsidR="000728FA" w:rsidRDefault="00CB59C0" w:rsidP="00DA5047">
      <w:pPr>
        <w:jc w:val="both"/>
        <w:rPr>
          <w:rFonts w:ascii="Arial" w:hAnsi="Arial" w:cs="Arial"/>
          <w:sz w:val="20"/>
          <w:szCs w:val="20"/>
        </w:rPr>
      </w:pPr>
      <w:r w:rsidRPr="00CB59C0">
        <w:rPr>
          <w:rFonts w:ascii="Arial" w:hAnsi="Arial" w:cs="Arial"/>
          <w:sz w:val="20"/>
          <w:szCs w:val="20"/>
        </w:rPr>
        <w:t xml:space="preserve">Au sein des </w:t>
      </w:r>
      <w:r w:rsidR="006927E3">
        <w:rPr>
          <w:rFonts w:ascii="Arial" w:hAnsi="Arial" w:cs="Arial"/>
          <w:sz w:val="20"/>
          <w:szCs w:val="20"/>
        </w:rPr>
        <w:t>activité</w:t>
      </w:r>
      <w:r w:rsidRPr="00CB59C0">
        <w:rPr>
          <w:rFonts w:ascii="Arial" w:hAnsi="Arial" w:cs="Arial"/>
          <w:sz w:val="20"/>
          <w:szCs w:val="20"/>
        </w:rPr>
        <w:t xml:space="preserve">s </w:t>
      </w:r>
      <w:r w:rsidR="006927E3">
        <w:rPr>
          <w:rFonts w:ascii="Arial" w:hAnsi="Arial" w:cs="Arial"/>
          <w:sz w:val="20"/>
          <w:szCs w:val="20"/>
        </w:rPr>
        <w:t>tertiaires</w:t>
      </w:r>
      <w:r w:rsidRPr="00CB59C0">
        <w:rPr>
          <w:rFonts w:ascii="Arial" w:hAnsi="Arial" w:cs="Arial"/>
          <w:sz w:val="20"/>
          <w:szCs w:val="20"/>
        </w:rPr>
        <w:t xml:space="preserve">, </w:t>
      </w:r>
      <w:r w:rsidR="001D3F51">
        <w:rPr>
          <w:rFonts w:ascii="Arial" w:hAnsi="Arial" w:cs="Arial"/>
          <w:sz w:val="20"/>
          <w:szCs w:val="20"/>
        </w:rPr>
        <w:t>l</w:t>
      </w:r>
      <w:r w:rsidR="006927E3">
        <w:rPr>
          <w:rFonts w:ascii="Arial" w:hAnsi="Arial" w:cs="Arial"/>
          <w:sz w:val="20"/>
          <w:szCs w:val="20"/>
        </w:rPr>
        <w:t>a</w:t>
      </w:r>
      <w:r w:rsidR="000632C2" w:rsidRPr="000632C2">
        <w:rPr>
          <w:rFonts w:ascii="Arial" w:hAnsi="Arial" w:cs="Arial"/>
          <w:sz w:val="20"/>
          <w:szCs w:val="20"/>
        </w:rPr>
        <w:t xml:space="preserve"> communication, </w:t>
      </w:r>
      <w:r w:rsidR="006927E3">
        <w:rPr>
          <w:rFonts w:ascii="Arial" w:hAnsi="Arial" w:cs="Arial"/>
          <w:sz w:val="20"/>
          <w:szCs w:val="20"/>
        </w:rPr>
        <w:t>le</w:t>
      </w:r>
      <w:r w:rsidR="000632C2" w:rsidRPr="000632C2">
        <w:rPr>
          <w:rFonts w:ascii="Arial" w:hAnsi="Arial" w:cs="Arial"/>
          <w:sz w:val="20"/>
          <w:szCs w:val="20"/>
        </w:rPr>
        <w:t xml:space="preserve"> transport et </w:t>
      </w:r>
      <w:r w:rsidR="006927E3">
        <w:rPr>
          <w:rFonts w:ascii="Arial" w:hAnsi="Arial" w:cs="Arial"/>
          <w:sz w:val="20"/>
          <w:szCs w:val="20"/>
        </w:rPr>
        <w:t>le</w:t>
      </w:r>
      <w:r w:rsidR="000632C2" w:rsidRPr="000632C2">
        <w:rPr>
          <w:rFonts w:ascii="Arial" w:hAnsi="Arial" w:cs="Arial"/>
          <w:sz w:val="20"/>
          <w:szCs w:val="20"/>
        </w:rPr>
        <w:t xml:space="preserve"> commerce </w:t>
      </w:r>
      <w:r w:rsidR="000632C2">
        <w:rPr>
          <w:rFonts w:ascii="Arial" w:hAnsi="Arial" w:cs="Arial"/>
          <w:sz w:val="20"/>
          <w:szCs w:val="20"/>
        </w:rPr>
        <w:t xml:space="preserve">auraient </w:t>
      </w:r>
      <w:r w:rsidRPr="00CB59C0">
        <w:rPr>
          <w:rFonts w:ascii="Arial" w:hAnsi="Arial" w:cs="Arial"/>
          <w:sz w:val="20"/>
          <w:szCs w:val="20"/>
        </w:rPr>
        <w:t>représenté la composante la plus dynamique</w:t>
      </w:r>
      <w:r w:rsidR="006927E3">
        <w:rPr>
          <w:rFonts w:ascii="Arial" w:hAnsi="Arial" w:cs="Arial"/>
          <w:sz w:val="20"/>
          <w:szCs w:val="20"/>
        </w:rPr>
        <w:t xml:space="preserve"> du secteur</w:t>
      </w:r>
      <w:r w:rsidR="001D3F51">
        <w:rPr>
          <w:rFonts w:ascii="Arial" w:hAnsi="Arial" w:cs="Arial"/>
          <w:sz w:val="20"/>
          <w:szCs w:val="20"/>
        </w:rPr>
        <w:t xml:space="preserve">, contribuant pour </w:t>
      </w:r>
      <w:r w:rsidR="001F1F6F">
        <w:rPr>
          <w:rFonts w:ascii="Arial" w:hAnsi="Arial" w:cs="Arial"/>
          <w:sz w:val="20"/>
          <w:szCs w:val="20"/>
        </w:rPr>
        <w:t>1,1</w:t>
      </w:r>
      <w:r w:rsidR="001D3F51">
        <w:rPr>
          <w:rFonts w:ascii="Arial" w:hAnsi="Arial" w:cs="Arial"/>
          <w:sz w:val="20"/>
          <w:szCs w:val="20"/>
        </w:rPr>
        <w:t xml:space="preserve"> point à la croissance économique globale</w:t>
      </w:r>
      <w:r w:rsidR="00DA5047">
        <w:rPr>
          <w:rFonts w:ascii="Arial" w:hAnsi="Arial" w:cs="Arial"/>
          <w:sz w:val="20"/>
          <w:szCs w:val="20"/>
        </w:rPr>
        <w:t>,</w:t>
      </w:r>
      <w:r w:rsidR="00DA5047" w:rsidRPr="00DA5047">
        <w:rPr>
          <w:rFonts w:ascii="Arial" w:hAnsi="Arial" w:cs="Arial"/>
          <w:kern w:val="28"/>
          <w:sz w:val="20"/>
          <w:szCs w:val="20"/>
        </w:rPr>
        <w:t xml:space="preserve"> </w:t>
      </w:r>
      <w:r w:rsidR="00DA5047">
        <w:rPr>
          <w:rFonts w:ascii="Arial" w:hAnsi="Arial" w:cs="Arial"/>
          <w:kern w:val="28"/>
          <w:sz w:val="20"/>
          <w:szCs w:val="20"/>
        </w:rPr>
        <w:t>au premier trimestre 2015</w:t>
      </w:r>
      <w:r w:rsidRPr="00CB59C0">
        <w:rPr>
          <w:rFonts w:ascii="Arial" w:hAnsi="Arial" w:cs="Arial"/>
          <w:sz w:val="20"/>
          <w:szCs w:val="20"/>
        </w:rPr>
        <w:t xml:space="preserve">. </w:t>
      </w:r>
      <w:r w:rsidR="005757BB">
        <w:rPr>
          <w:rFonts w:ascii="Arial" w:hAnsi="Arial" w:cs="Arial"/>
          <w:sz w:val="20"/>
          <w:szCs w:val="20"/>
        </w:rPr>
        <w:t>En revanche,</w:t>
      </w:r>
      <w:r w:rsidR="00645ED5">
        <w:rPr>
          <w:rFonts w:ascii="Arial" w:hAnsi="Arial" w:cs="Arial"/>
          <w:sz w:val="20"/>
          <w:szCs w:val="20"/>
        </w:rPr>
        <w:t xml:space="preserve"> </w:t>
      </w:r>
      <w:r w:rsidR="000728FA" w:rsidRPr="003C6E40">
        <w:rPr>
          <w:rFonts w:ascii="Arial" w:hAnsi="Arial" w:cs="Arial"/>
          <w:kern w:val="28"/>
          <w:sz w:val="20"/>
          <w:szCs w:val="20"/>
        </w:rPr>
        <w:t xml:space="preserve">l’activité </w:t>
      </w:r>
      <w:r w:rsidR="001F1F6F">
        <w:rPr>
          <w:rFonts w:ascii="Arial" w:hAnsi="Arial" w:cs="Arial"/>
          <w:kern w:val="28"/>
          <w:sz w:val="20"/>
          <w:szCs w:val="20"/>
        </w:rPr>
        <w:t xml:space="preserve">de l’hébergement et </w:t>
      </w:r>
      <w:r w:rsidR="005757BB">
        <w:rPr>
          <w:rFonts w:ascii="Arial" w:hAnsi="Arial" w:cs="Arial"/>
          <w:kern w:val="28"/>
          <w:sz w:val="20"/>
          <w:szCs w:val="20"/>
        </w:rPr>
        <w:t xml:space="preserve">de </w:t>
      </w:r>
      <w:r w:rsidR="00976BC8">
        <w:rPr>
          <w:rFonts w:ascii="Arial" w:hAnsi="Arial" w:cs="Arial"/>
          <w:kern w:val="28"/>
          <w:sz w:val="20"/>
          <w:szCs w:val="20"/>
        </w:rPr>
        <w:t xml:space="preserve">la </w:t>
      </w:r>
      <w:r w:rsidR="001F1F6F">
        <w:rPr>
          <w:rFonts w:ascii="Arial" w:hAnsi="Arial" w:cs="Arial"/>
          <w:kern w:val="28"/>
          <w:sz w:val="20"/>
          <w:szCs w:val="20"/>
        </w:rPr>
        <w:t>restauration</w:t>
      </w:r>
      <w:r w:rsidR="000728FA" w:rsidRPr="003C6E40">
        <w:rPr>
          <w:rFonts w:ascii="Arial" w:hAnsi="Arial" w:cs="Arial"/>
          <w:kern w:val="28"/>
          <w:sz w:val="20"/>
          <w:szCs w:val="20"/>
        </w:rPr>
        <w:t xml:space="preserve"> </w:t>
      </w:r>
      <w:r w:rsidR="000632C2">
        <w:rPr>
          <w:rFonts w:ascii="Arial" w:hAnsi="Arial" w:cs="Arial"/>
          <w:kern w:val="28"/>
          <w:sz w:val="20"/>
          <w:szCs w:val="20"/>
        </w:rPr>
        <w:t xml:space="preserve">se serait infléchie de 4,8%, </w:t>
      </w:r>
      <w:r w:rsidR="000728FA" w:rsidRPr="003C6E40">
        <w:rPr>
          <w:rFonts w:ascii="Arial" w:hAnsi="Arial" w:cs="Arial"/>
          <w:kern w:val="28"/>
          <w:sz w:val="20"/>
          <w:szCs w:val="20"/>
        </w:rPr>
        <w:t xml:space="preserve">après </w:t>
      </w:r>
      <w:r w:rsidR="00435537">
        <w:rPr>
          <w:rFonts w:ascii="Arial" w:hAnsi="Arial" w:cs="Arial"/>
          <w:kern w:val="28"/>
          <w:sz w:val="20"/>
          <w:szCs w:val="20"/>
        </w:rPr>
        <w:t xml:space="preserve">avoir </w:t>
      </w:r>
      <w:r w:rsidR="000B4618">
        <w:rPr>
          <w:rFonts w:ascii="Arial" w:hAnsi="Arial" w:cs="Arial"/>
          <w:kern w:val="28"/>
          <w:sz w:val="20"/>
          <w:szCs w:val="20"/>
        </w:rPr>
        <w:t>reflué</w:t>
      </w:r>
      <w:r w:rsidR="000728FA" w:rsidRPr="003C6E40">
        <w:rPr>
          <w:rFonts w:ascii="Arial" w:hAnsi="Arial" w:cs="Arial"/>
          <w:kern w:val="28"/>
          <w:sz w:val="20"/>
          <w:szCs w:val="20"/>
        </w:rPr>
        <w:t xml:space="preserve"> de 3,5% un trimestre plus tôt. </w:t>
      </w:r>
      <w:r w:rsidR="000728FA" w:rsidRPr="003C6E40">
        <w:rPr>
          <w:rFonts w:ascii="Arial" w:hAnsi="Arial" w:cs="Arial"/>
          <w:sz w:val="20"/>
          <w:szCs w:val="20"/>
        </w:rPr>
        <w:t>Ce recul a</w:t>
      </w:r>
      <w:r w:rsidR="000728FA">
        <w:rPr>
          <w:rFonts w:ascii="Arial" w:hAnsi="Arial" w:cs="Arial"/>
          <w:sz w:val="20"/>
          <w:szCs w:val="20"/>
        </w:rPr>
        <w:t>urait</w:t>
      </w:r>
      <w:r w:rsidR="000728FA" w:rsidRPr="003C6E40">
        <w:rPr>
          <w:rFonts w:ascii="Arial" w:hAnsi="Arial" w:cs="Arial"/>
          <w:sz w:val="20"/>
          <w:szCs w:val="20"/>
        </w:rPr>
        <w:t xml:space="preserve"> été</w:t>
      </w:r>
      <w:r w:rsidR="000B4618">
        <w:rPr>
          <w:rFonts w:ascii="Arial" w:hAnsi="Arial" w:cs="Arial"/>
          <w:sz w:val="20"/>
          <w:szCs w:val="20"/>
        </w:rPr>
        <w:t>,</w:t>
      </w:r>
      <w:r w:rsidR="000728FA" w:rsidRPr="003C6E40">
        <w:rPr>
          <w:rFonts w:ascii="Arial" w:hAnsi="Arial" w:cs="Arial"/>
          <w:sz w:val="20"/>
          <w:szCs w:val="20"/>
        </w:rPr>
        <w:t xml:space="preserve"> </w:t>
      </w:r>
      <w:r w:rsidR="000B4618">
        <w:rPr>
          <w:rFonts w:ascii="Arial" w:hAnsi="Arial" w:cs="Arial"/>
          <w:sz w:val="20"/>
          <w:szCs w:val="20"/>
        </w:rPr>
        <w:t xml:space="preserve">principalement, </w:t>
      </w:r>
      <w:r w:rsidR="000728FA" w:rsidRPr="003C6E40">
        <w:rPr>
          <w:rFonts w:ascii="Arial" w:hAnsi="Arial" w:cs="Arial"/>
          <w:sz w:val="20"/>
          <w:szCs w:val="20"/>
        </w:rPr>
        <w:t xml:space="preserve">ressenti au niveau </w:t>
      </w:r>
      <w:r w:rsidR="005757BB">
        <w:rPr>
          <w:rFonts w:ascii="Arial" w:hAnsi="Arial" w:cs="Arial"/>
          <w:sz w:val="20"/>
          <w:szCs w:val="20"/>
        </w:rPr>
        <w:t>des indicateurs de la branche touristique, notamment l</w:t>
      </w:r>
      <w:r w:rsidR="000728FA" w:rsidRPr="003C6E40">
        <w:rPr>
          <w:rFonts w:ascii="Arial" w:hAnsi="Arial" w:cs="Arial"/>
          <w:sz w:val="20"/>
          <w:szCs w:val="20"/>
        </w:rPr>
        <w:t xml:space="preserve">es arrivées </w:t>
      </w:r>
      <w:r w:rsidR="005757BB">
        <w:rPr>
          <w:rFonts w:ascii="Arial" w:hAnsi="Arial" w:cs="Arial"/>
          <w:sz w:val="20"/>
          <w:szCs w:val="20"/>
        </w:rPr>
        <w:t>d</w:t>
      </w:r>
      <w:r w:rsidR="000728FA" w:rsidRPr="003C6E40">
        <w:rPr>
          <w:rFonts w:ascii="Arial" w:hAnsi="Arial" w:cs="Arial"/>
          <w:sz w:val="20"/>
          <w:szCs w:val="20"/>
        </w:rPr>
        <w:t xml:space="preserve">es touristes étrangers </w:t>
      </w:r>
      <w:r w:rsidR="00435537">
        <w:rPr>
          <w:rFonts w:ascii="Arial" w:hAnsi="Arial" w:cs="Arial"/>
          <w:sz w:val="20"/>
          <w:szCs w:val="20"/>
        </w:rPr>
        <w:t xml:space="preserve">et les nuitées </w:t>
      </w:r>
      <w:r w:rsidR="000728FA" w:rsidRPr="003C6E40">
        <w:rPr>
          <w:rFonts w:ascii="Arial" w:hAnsi="Arial" w:cs="Arial"/>
          <w:sz w:val="20"/>
          <w:szCs w:val="20"/>
        </w:rPr>
        <w:t xml:space="preserve">qui se seraient </w:t>
      </w:r>
      <w:r w:rsidR="000B4618">
        <w:rPr>
          <w:rFonts w:ascii="Arial" w:hAnsi="Arial" w:cs="Arial"/>
          <w:sz w:val="20"/>
          <w:szCs w:val="20"/>
        </w:rPr>
        <w:t>inscrites en baisse</w:t>
      </w:r>
      <w:r w:rsidR="00976BC8">
        <w:rPr>
          <w:rFonts w:ascii="Arial" w:hAnsi="Arial" w:cs="Arial"/>
          <w:sz w:val="20"/>
          <w:szCs w:val="20"/>
        </w:rPr>
        <w:t>s</w:t>
      </w:r>
      <w:r w:rsidR="000B4618">
        <w:rPr>
          <w:rFonts w:ascii="Arial" w:hAnsi="Arial" w:cs="Arial"/>
          <w:sz w:val="20"/>
          <w:szCs w:val="20"/>
        </w:rPr>
        <w:t xml:space="preserve"> de </w:t>
      </w:r>
      <w:r w:rsidR="000728FA" w:rsidRPr="003C6E40">
        <w:rPr>
          <w:rFonts w:ascii="Arial" w:hAnsi="Arial" w:cs="Arial"/>
          <w:sz w:val="20"/>
          <w:szCs w:val="20"/>
        </w:rPr>
        <w:t xml:space="preserve">3,2% et 6,5%, </w:t>
      </w:r>
      <w:r w:rsidR="00F0090D" w:rsidRPr="003C6E40">
        <w:rPr>
          <w:rFonts w:ascii="Arial" w:hAnsi="Arial" w:cs="Arial"/>
          <w:sz w:val="20"/>
          <w:szCs w:val="20"/>
        </w:rPr>
        <w:t>respectivement</w:t>
      </w:r>
      <w:r w:rsidR="00F0090D">
        <w:rPr>
          <w:rFonts w:ascii="Arial" w:hAnsi="Arial" w:cs="Arial"/>
          <w:sz w:val="20"/>
          <w:szCs w:val="20"/>
        </w:rPr>
        <w:t>,</w:t>
      </w:r>
      <w:r w:rsidR="00F0090D" w:rsidRPr="003C6E40">
        <w:rPr>
          <w:rFonts w:ascii="Arial" w:hAnsi="Arial" w:cs="Arial"/>
          <w:sz w:val="20"/>
          <w:szCs w:val="20"/>
        </w:rPr>
        <w:t xml:space="preserve"> </w:t>
      </w:r>
      <w:r w:rsidR="000728FA" w:rsidRPr="003C6E40">
        <w:rPr>
          <w:rFonts w:ascii="Arial" w:hAnsi="Arial" w:cs="Arial"/>
          <w:sz w:val="20"/>
          <w:szCs w:val="20"/>
        </w:rPr>
        <w:t>en variations annuelles,</w:t>
      </w:r>
      <w:r w:rsidR="00F0090D">
        <w:rPr>
          <w:rFonts w:ascii="Arial" w:hAnsi="Arial" w:cs="Arial"/>
          <w:sz w:val="20"/>
          <w:szCs w:val="20"/>
        </w:rPr>
        <w:t xml:space="preserve"> </w:t>
      </w:r>
      <w:r w:rsidR="000728FA" w:rsidRPr="003C6E40">
        <w:rPr>
          <w:rFonts w:ascii="Arial" w:hAnsi="Arial" w:cs="Arial"/>
          <w:sz w:val="20"/>
          <w:szCs w:val="20"/>
        </w:rPr>
        <w:t xml:space="preserve">lors de la même période. </w:t>
      </w:r>
    </w:p>
    <w:p w:rsidR="000728FA" w:rsidRDefault="000728FA" w:rsidP="000728FA">
      <w:pPr>
        <w:jc w:val="both"/>
        <w:rPr>
          <w:rFonts w:ascii="Arial" w:hAnsi="Arial" w:cs="Arial"/>
          <w:sz w:val="20"/>
          <w:szCs w:val="20"/>
        </w:rPr>
      </w:pPr>
    </w:p>
    <w:p w:rsidR="00CD578D" w:rsidRDefault="001F1F6F" w:rsidP="00DA5047">
      <w:pPr>
        <w:jc w:val="both"/>
        <w:rPr>
          <w:rFonts w:ascii="Arial" w:hAnsi="Arial"/>
          <w:sz w:val="20"/>
          <w:szCs w:val="20"/>
        </w:rPr>
      </w:pPr>
      <w:r>
        <w:rPr>
          <w:rFonts w:ascii="Arial" w:hAnsi="Arial"/>
          <w:sz w:val="20"/>
          <w:szCs w:val="20"/>
        </w:rPr>
        <w:t xml:space="preserve">L’activité </w:t>
      </w:r>
      <w:r w:rsidRPr="009C02E6">
        <w:rPr>
          <w:rFonts w:ascii="Arial" w:hAnsi="Arial"/>
          <w:b/>
          <w:bCs/>
          <w:sz w:val="20"/>
          <w:szCs w:val="20"/>
        </w:rPr>
        <w:t>industrielle</w:t>
      </w:r>
      <w:r w:rsidRPr="009C02E6">
        <w:rPr>
          <w:rFonts w:ascii="Arial" w:hAnsi="Arial"/>
          <w:sz w:val="20"/>
          <w:szCs w:val="20"/>
        </w:rPr>
        <w:t xml:space="preserve"> </w:t>
      </w:r>
      <w:r w:rsidRPr="002531A0">
        <w:rPr>
          <w:rFonts w:ascii="Arial" w:hAnsi="Arial"/>
          <w:b/>
          <w:bCs/>
          <w:sz w:val="20"/>
          <w:szCs w:val="20"/>
        </w:rPr>
        <w:t>hors raffinage</w:t>
      </w:r>
      <w:r>
        <w:rPr>
          <w:rFonts w:ascii="Arial" w:hAnsi="Arial"/>
          <w:b/>
          <w:bCs/>
          <w:sz w:val="20"/>
          <w:szCs w:val="20"/>
        </w:rPr>
        <w:t xml:space="preserve"> </w:t>
      </w:r>
      <w:r w:rsidR="005757BB">
        <w:rPr>
          <w:rFonts w:ascii="Arial" w:hAnsi="Arial"/>
          <w:sz w:val="20"/>
          <w:szCs w:val="20"/>
        </w:rPr>
        <w:t>se serait affermie</w:t>
      </w:r>
      <w:r w:rsidRPr="001F1F6F">
        <w:rPr>
          <w:rFonts w:ascii="Arial" w:hAnsi="Arial"/>
          <w:sz w:val="20"/>
          <w:szCs w:val="20"/>
        </w:rPr>
        <w:t xml:space="preserve"> de</w:t>
      </w:r>
      <w:r w:rsidR="00CD578D" w:rsidRPr="009C02E6">
        <w:rPr>
          <w:rFonts w:ascii="Arial" w:hAnsi="Arial"/>
          <w:sz w:val="20"/>
          <w:szCs w:val="20"/>
        </w:rPr>
        <w:t xml:space="preserve"> 2,4% au premier trimestre 2015, </w:t>
      </w:r>
      <w:r>
        <w:rPr>
          <w:rFonts w:ascii="Arial" w:hAnsi="Arial"/>
          <w:sz w:val="20"/>
          <w:szCs w:val="20"/>
        </w:rPr>
        <w:t>en variation annuelle</w:t>
      </w:r>
      <w:r w:rsidR="005757BB">
        <w:rPr>
          <w:rFonts w:ascii="Arial" w:hAnsi="Arial"/>
          <w:sz w:val="20"/>
          <w:szCs w:val="20"/>
        </w:rPr>
        <w:t>,</w:t>
      </w:r>
      <w:r w:rsidR="005757BB" w:rsidRPr="005757BB">
        <w:t xml:space="preserve"> </w:t>
      </w:r>
      <w:r w:rsidR="005757BB" w:rsidRPr="005757BB">
        <w:rPr>
          <w:rFonts w:ascii="Arial" w:hAnsi="Arial"/>
          <w:sz w:val="20"/>
          <w:szCs w:val="20"/>
        </w:rPr>
        <w:t>appuyé</w:t>
      </w:r>
      <w:r w:rsidR="005757BB">
        <w:rPr>
          <w:rFonts w:ascii="Arial" w:hAnsi="Arial"/>
          <w:sz w:val="20"/>
          <w:szCs w:val="20"/>
        </w:rPr>
        <w:t>e</w:t>
      </w:r>
      <w:r w:rsidR="005757BB" w:rsidRPr="005757BB">
        <w:rPr>
          <w:rFonts w:ascii="Arial" w:hAnsi="Arial"/>
          <w:sz w:val="20"/>
          <w:szCs w:val="20"/>
        </w:rPr>
        <w:t xml:space="preserve"> </w:t>
      </w:r>
      <w:r w:rsidR="005757BB">
        <w:rPr>
          <w:rFonts w:ascii="Arial" w:hAnsi="Arial"/>
          <w:sz w:val="20"/>
          <w:szCs w:val="20"/>
        </w:rPr>
        <w:t xml:space="preserve">par </w:t>
      </w:r>
      <w:r w:rsidR="005757BB" w:rsidRPr="009C02E6">
        <w:rPr>
          <w:rFonts w:ascii="Arial" w:hAnsi="Arial"/>
          <w:sz w:val="20"/>
          <w:szCs w:val="20"/>
        </w:rPr>
        <w:t xml:space="preserve">une </w:t>
      </w:r>
      <w:r w:rsidR="005757BB">
        <w:rPr>
          <w:rFonts w:ascii="Arial" w:hAnsi="Arial"/>
          <w:sz w:val="20"/>
          <w:szCs w:val="20"/>
        </w:rPr>
        <w:lastRenderedPageBreak/>
        <w:t>demande extérieure favorable</w:t>
      </w:r>
      <w:r w:rsidR="002A6E43">
        <w:rPr>
          <w:rFonts w:ascii="Arial" w:hAnsi="Arial"/>
          <w:sz w:val="20"/>
          <w:szCs w:val="20"/>
        </w:rPr>
        <w:t>ment orientée pour les</w:t>
      </w:r>
      <w:r w:rsidR="005757BB">
        <w:rPr>
          <w:rFonts w:ascii="Arial" w:hAnsi="Arial"/>
          <w:sz w:val="20"/>
          <w:szCs w:val="20"/>
        </w:rPr>
        <w:t xml:space="preserve"> </w:t>
      </w:r>
      <w:r w:rsidR="002A6E43">
        <w:rPr>
          <w:rFonts w:ascii="Arial" w:hAnsi="Arial"/>
          <w:sz w:val="20"/>
          <w:szCs w:val="20"/>
        </w:rPr>
        <w:t>conserves de légumes et de poissons</w:t>
      </w:r>
      <w:r w:rsidR="005757BB">
        <w:rPr>
          <w:rFonts w:ascii="Arial" w:hAnsi="Arial"/>
          <w:sz w:val="20"/>
          <w:szCs w:val="20"/>
        </w:rPr>
        <w:t xml:space="preserve">, </w:t>
      </w:r>
      <w:r w:rsidR="002A6E43">
        <w:rPr>
          <w:rFonts w:ascii="Arial" w:hAnsi="Arial"/>
          <w:sz w:val="20"/>
          <w:szCs w:val="20"/>
        </w:rPr>
        <w:t>les produits de la</w:t>
      </w:r>
      <w:r w:rsidR="005757BB">
        <w:rPr>
          <w:rFonts w:ascii="Arial" w:hAnsi="Arial"/>
          <w:sz w:val="20"/>
          <w:szCs w:val="20"/>
        </w:rPr>
        <w:t xml:space="preserve"> confection et l’automobile.</w:t>
      </w:r>
      <w:r w:rsidR="005757BB" w:rsidRPr="005757BB">
        <w:rPr>
          <w:rFonts w:ascii="Arial" w:hAnsi="Arial"/>
          <w:sz w:val="20"/>
          <w:szCs w:val="20"/>
        </w:rPr>
        <w:t xml:space="preserve"> </w:t>
      </w:r>
      <w:r w:rsidR="005757BB">
        <w:rPr>
          <w:rFonts w:ascii="Arial" w:hAnsi="Arial"/>
          <w:sz w:val="20"/>
          <w:szCs w:val="20"/>
        </w:rPr>
        <w:t>C’est ainsi que l</w:t>
      </w:r>
      <w:r w:rsidR="00CD578D" w:rsidRPr="009C02E6">
        <w:rPr>
          <w:rFonts w:ascii="Arial" w:hAnsi="Arial"/>
          <w:sz w:val="20"/>
          <w:szCs w:val="20"/>
        </w:rPr>
        <w:t xml:space="preserve">es industries </w:t>
      </w:r>
      <w:r w:rsidR="002A6E43">
        <w:rPr>
          <w:rFonts w:ascii="Arial" w:hAnsi="Arial"/>
          <w:sz w:val="20"/>
          <w:szCs w:val="20"/>
        </w:rPr>
        <w:t>de l’</w:t>
      </w:r>
      <w:r w:rsidR="00CD578D" w:rsidRPr="009C02E6">
        <w:rPr>
          <w:rFonts w:ascii="Arial" w:hAnsi="Arial"/>
          <w:sz w:val="20"/>
          <w:szCs w:val="20"/>
        </w:rPr>
        <w:t>agroalimentaire</w:t>
      </w:r>
      <w:r w:rsidR="00CD578D">
        <w:rPr>
          <w:rFonts w:ascii="Arial" w:hAnsi="Arial"/>
          <w:sz w:val="20"/>
          <w:szCs w:val="20"/>
        </w:rPr>
        <w:t>,</w:t>
      </w:r>
      <w:r w:rsidR="00CD578D" w:rsidRPr="009C02E6">
        <w:rPr>
          <w:rFonts w:ascii="Arial" w:hAnsi="Arial"/>
          <w:sz w:val="20"/>
          <w:szCs w:val="20"/>
        </w:rPr>
        <w:t xml:space="preserve"> </w:t>
      </w:r>
      <w:r w:rsidR="002A6E43">
        <w:rPr>
          <w:rFonts w:ascii="Arial" w:hAnsi="Arial"/>
          <w:sz w:val="20"/>
          <w:szCs w:val="20"/>
        </w:rPr>
        <w:t xml:space="preserve">du </w:t>
      </w:r>
      <w:r w:rsidR="00CD578D">
        <w:rPr>
          <w:rFonts w:ascii="Arial" w:hAnsi="Arial"/>
          <w:sz w:val="20"/>
          <w:szCs w:val="20"/>
        </w:rPr>
        <w:t>« textile et cuir »</w:t>
      </w:r>
      <w:r w:rsidR="00CD578D" w:rsidRPr="009C02E6">
        <w:rPr>
          <w:rFonts w:ascii="Arial" w:hAnsi="Arial"/>
          <w:sz w:val="20"/>
          <w:szCs w:val="20"/>
        </w:rPr>
        <w:t xml:space="preserve"> </w:t>
      </w:r>
      <w:r w:rsidR="00CD578D" w:rsidRPr="00315AA2">
        <w:rPr>
          <w:rFonts w:ascii="Arial" w:hAnsi="Arial"/>
          <w:sz w:val="20"/>
          <w:szCs w:val="20"/>
        </w:rPr>
        <w:t>s</w:t>
      </w:r>
      <w:r w:rsidR="00CD578D">
        <w:rPr>
          <w:rFonts w:ascii="Arial" w:hAnsi="Arial"/>
          <w:sz w:val="20"/>
          <w:szCs w:val="20"/>
        </w:rPr>
        <w:t xml:space="preserve">e seraient </w:t>
      </w:r>
      <w:r w:rsidR="00CD578D" w:rsidRPr="00315AA2">
        <w:rPr>
          <w:rFonts w:ascii="Arial" w:hAnsi="Arial"/>
          <w:sz w:val="20"/>
          <w:szCs w:val="20"/>
        </w:rPr>
        <w:t xml:space="preserve">maintenues </w:t>
      </w:r>
      <w:r w:rsidR="00CD578D">
        <w:rPr>
          <w:rFonts w:ascii="Arial" w:hAnsi="Arial"/>
          <w:sz w:val="20"/>
          <w:szCs w:val="20"/>
        </w:rPr>
        <w:t>dans leur</w:t>
      </w:r>
      <w:r w:rsidR="00CD578D" w:rsidRPr="00315AA2">
        <w:rPr>
          <w:rFonts w:ascii="Arial" w:hAnsi="Arial"/>
          <w:sz w:val="20"/>
          <w:szCs w:val="20"/>
        </w:rPr>
        <w:t xml:space="preserve"> phase </w:t>
      </w:r>
      <w:r w:rsidR="00CD578D">
        <w:rPr>
          <w:rFonts w:ascii="Arial" w:hAnsi="Arial"/>
          <w:sz w:val="20"/>
          <w:szCs w:val="20"/>
        </w:rPr>
        <w:t xml:space="preserve">conjoncturelle </w:t>
      </w:r>
      <w:r w:rsidR="00CD578D" w:rsidRPr="00315AA2">
        <w:rPr>
          <w:rFonts w:ascii="Arial" w:hAnsi="Arial"/>
          <w:sz w:val="20"/>
          <w:szCs w:val="20"/>
        </w:rPr>
        <w:t>favorable</w:t>
      </w:r>
      <w:r w:rsidR="000B4618">
        <w:rPr>
          <w:rFonts w:ascii="Arial" w:hAnsi="Arial"/>
          <w:sz w:val="20"/>
          <w:szCs w:val="20"/>
        </w:rPr>
        <w:t>,</w:t>
      </w:r>
      <w:r w:rsidR="00CD578D" w:rsidRPr="009C02E6">
        <w:rPr>
          <w:rFonts w:ascii="Arial" w:hAnsi="Arial"/>
          <w:sz w:val="20"/>
          <w:szCs w:val="20"/>
        </w:rPr>
        <w:t xml:space="preserve"> réalisant </w:t>
      </w:r>
      <w:r w:rsidR="00CD578D">
        <w:rPr>
          <w:rFonts w:ascii="Arial" w:hAnsi="Arial"/>
          <w:sz w:val="20"/>
          <w:szCs w:val="20"/>
        </w:rPr>
        <w:t>des augmentations respectives de</w:t>
      </w:r>
      <w:r w:rsidR="00CD578D" w:rsidRPr="009C02E6">
        <w:rPr>
          <w:rFonts w:ascii="Arial" w:hAnsi="Arial"/>
          <w:sz w:val="20"/>
          <w:szCs w:val="20"/>
        </w:rPr>
        <w:t xml:space="preserve"> 2,4%</w:t>
      </w:r>
      <w:r w:rsidR="002A6E43">
        <w:rPr>
          <w:rFonts w:ascii="Arial" w:hAnsi="Arial"/>
          <w:sz w:val="20"/>
          <w:szCs w:val="20"/>
        </w:rPr>
        <w:t xml:space="preserve"> et</w:t>
      </w:r>
      <w:r w:rsidR="00CD578D" w:rsidRPr="009C02E6">
        <w:rPr>
          <w:rFonts w:ascii="Arial" w:hAnsi="Arial"/>
          <w:sz w:val="20"/>
          <w:szCs w:val="20"/>
        </w:rPr>
        <w:t xml:space="preserve"> 3%</w:t>
      </w:r>
      <w:r w:rsidR="000415AD">
        <w:rPr>
          <w:rFonts w:ascii="Arial" w:hAnsi="Arial"/>
          <w:sz w:val="20"/>
          <w:szCs w:val="20"/>
        </w:rPr>
        <w:t>,</w:t>
      </w:r>
      <w:r w:rsidR="00CD578D">
        <w:rPr>
          <w:rFonts w:ascii="Arial" w:hAnsi="Arial"/>
          <w:sz w:val="20"/>
          <w:szCs w:val="20"/>
        </w:rPr>
        <w:t xml:space="preserve"> en glissements annuels</w:t>
      </w:r>
      <w:r w:rsidR="00CD578D" w:rsidRPr="009C02E6">
        <w:rPr>
          <w:rFonts w:ascii="Arial" w:hAnsi="Arial"/>
          <w:sz w:val="20"/>
          <w:szCs w:val="20"/>
        </w:rPr>
        <w:t xml:space="preserve">. </w:t>
      </w:r>
      <w:r w:rsidR="002A6E43">
        <w:rPr>
          <w:rFonts w:ascii="Arial" w:hAnsi="Arial"/>
          <w:sz w:val="20"/>
          <w:szCs w:val="20"/>
        </w:rPr>
        <w:t xml:space="preserve">Les IMME auraient </w:t>
      </w:r>
      <w:r w:rsidR="00DA5047">
        <w:rPr>
          <w:rFonts w:ascii="Arial" w:hAnsi="Arial"/>
          <w:sz w:val="20"/>
          <w:szCs w:val="20"/>
        </w:rPr>
        <w:t>connu</w:t>
      </w:r>
      <w:r w:rsidR="002A6E43">
        <w:rPr>
          <w:rFonts w:ascii="Arial" w:hAnsi="Arial"/>
          <w:sz w:val="20"/>
          <w:szCs w:val="20"/>
        </w:rPr>
        <w:t xml:space="preserve"> un retournement à la hausse de 3,2%, </w:t>
      </w:r>
      <w:r w:rsidR="000B4618">
        <w:rPr>
          <w:rFonts w:ascii="Arial" w:hAnsi="Arial"/>
          <w:sz w:val="20"/>
          <w:szCs w:val="20"/>
        </w:rPr>
        <w:t xml:space="preserve">en ligne avec </w:t>
      </w:r>
      <w:r w:rsidR="002A6E43">
        <w:rPr>
          <w:rFonts w:ascii="Arial" w:hAnsi="Arial"/>
          <w:sz w:val="20"/>
          <w:szCs w:val="20"/>
        </w:rPr>
        <w:t xml:space="preserve">le renforcement </w:t>
      </w:r>
      <w:r w:rsidR="00A1671D">
        <w:rPr>
          <w:rFonts w:ascii="Arial" w:hAnsi="Arial"/>
          <w:sz w:val="20"/>
          <w:szCs w:val="20"/>
        </w:rPr>
        <w:t>de leurs exportations</w:t>
      </w:r>
      <w:r w:rsidR="002A6E43">
        <w:rPr>
          <w:rFonts w:ascii="Arial" w:hAnsi="Arial"/>
          <w:sz w:val="20"/>
          <w:szCs w:val="20"/>
        </w:rPr>
        <w:t xml:space="preserve">. </w:t>
      </w:r>
      <w:r w:rsidR="00A1671D">
        <w:rPr>
          <w:rFonts w:ascii="Arial" w:hAnsi="Arial"/>
          <w:sz w:val="20"/>
          <w:szCs w:val="20"/>
        </w:rPr>
        <w:t xml:space="preserve">Seules les </w:t>
      </w:r>
      <w:r w:rsidR="00CD578D">
        <w:rPr>
          <w:rFonts w:ascii="Arial" w:hAnsi="Arial"/>
          <w:sz w:val="20"/>
          <w:szCs w:val="20"/>
        </w:rPr>
        <w:t xml:space="preserve">« autres industries » </w:t>
      </w:r>
      <w:r w:rsidR="00A1671D">
        <w:rPr>
          <w:rFonts w:ascii="Arial" w:hAnsi="Arial"/>
          <w:sz w:val="20"/>
          <w:szCs w:val="20"/>
        </w:rPr>
        <w:t xml:space="preserve">auraient réalisé </w:t>
      </w:r>
      <w:r w:rsidR="00CD578D">
        <w:rPr>
          <w:rFonts w:ascii="Arial" w:hAnsi="Arial"/>
          <w:sz w:val="20"/>
          <w:szCs w:val="20"/>
        </w:rPr>
        <w:t>une croissance timide</w:t>
      </w:r>
      <w:r w:rsidR="00435537">
        <w:rPr>
          <w:rFonts w:ascii="Arial" w:hAnsi="Arial"/>
          <w:sz w:val="20"/>
          <w:szCs w:val="20"/>
        </w:rPr>
        <w:t>,</w:t>
      </w:r>
      <w:r w:rsidR="00CD578D">
        <w:rPr>
          <w:rFonts w:ascii="Arial" w:hAnsi="Arial"/>
          <w:sz w:val="20"/>
          <w:szCs w:val="20"/>
        </w:rPr>
        <w:t xml:space="preserve"> </w:t>
      </w:r>
      <w:r w:rsidR="000B4618">
        <w:rPr>
          <w:rFonts w:ascii="Arial" w:hAnsi="Arial"/>
          <w:sz w:val="20"/>
          <w:szCs w:val="20"/>
        </w:rPr>
        <w:t xml:space="preserve">n’excédant pas </w:t>
      </w:r>
      <w:r w:rsidR="00CD578D">
        <w:rPr>
          <w:rFonts w:ascii="Arial" w:hAnsi="Arial"/>
          <w:sz w:val="20"/>
          <w:szCs w:val="20"/>
        </w:rPr>
        <w:t xml:space="preserve">0,2%, </w:t>
      </w:r>
      <w:r w:rsidR="000B4618">
        <w:rPr>
          <w:rFonts w:ascii="Arial" w:hAnsi="Arial"/>
          <w:sz w:val="20"/>
          <w:szCs w:val="20"/>
        </w:rPr>
        <w:t>en variation annuelle</w:t>
      </w:r>
      <w:r w:rsidR="00435537">
        <w:rPr>
          <w:rFonts w:ascii="Arial" w:hAnsi="Arial"/>
          <w:sz w:val="20"/>
          <w:szCs w:val="20"/>
        </w:rPr>
        <w:t>,</w:t>
      </w:r>
      <w:r w:rsidR="000B4618">
        <w:rPr>
          <w:rFonts w:ascii="Arial" w:hAnsi="Arial"/>
          <w:sz w:val="20"/>
          <w:szCs w:val="20"/>
        </w:rPr>
        <w:t xml:space="preserve"> </w:t>
      </w:r>
      <w:r w:rsidR="00DA5047">
        <w:rPr>
          <w:rFonts w:ascii="Arial" w:hAnsi="Arial"/>
          <w:sz w:val="20"/>
          <w:szCs w:val="20"/>
        </w:rPr>
        <w:t xml:space="preserve">pâtissant d’une </w:t>
      </w:r>
      <w:r w:rsidR="00A1671D">
        <w:rPr>
          <w:rFonts w:ascii="Arial" w:hAnsi="Arial"/>
          <w:sz w:val="20"/>
          <w:szCs w:val="20"/>
        </w:rPr>
        <w:t>faiblesse de la demande locale</w:t>
      </w:r>
      <w:r w:rsidR="00CD578D">
        <w:rPr>
          <w:rFonts w:ascii="Arial" w:hAnsi="Arial"/>
          <w:sz w:val="20"/>
          <w:szCs w:val="20"/>
        </w:rPr>
        <w:t>.</w:t>
      </w:r>
    </w:p>
    <w:p w:rsidR="00444CCA" w:rsidRDefault="008C7957" w:rsidP="00691DF8">
      <w:pPr>
        <w:jc w:val="both"/>
        <w:rPr>
          <w:rFonts w:ascii="Arial" w:hAnsi="Arial"/>
          <w:sz w:val="20"/>
          <w:szCs w:val="20"/>
        </w:rPr>
      </w:pPr>
      <w:r>
        <w:rPr>
          <w:noProof/>
        </w:rPr>
        <w:drawing>
          <wp:anchor distT="0" distB="0" distL="114300" distR="114300" simplePos="0" relativeHeight="251658240" behindDoc="0" locked="0" layoutInCell="1" allowOverlap="1">
            <wp:simplePos x="0" y="0"/>
            <wp:positionH relativeFrom="column">
              <wp:posOffset>4044315</wp:posOffset>
            </wp:positionH>
            <wp:positionV relativeFrom="paragraph">
              <wp:posOffset>38100</wp:posOffset>
            </wp:positionV>
            <wp:extent cx="2514600" cy="2323465"/>
            <wp:effectExtent l="0" t="0" r="0" b="0"/>
            <wp:wrapSquare wrapText="bothSides"/>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a:srcRect/>
                    <a:stretch>
                      <a:fillRect/>
                    </a:stretch>
                  </pic:blipFill>
                  <pic:spPr bwMode="auto">
                    <a:xfrm>
                      <a:off x="0" y="0"/>
                      <a:ext cx="2514600" cy="2323465"/>
                    </a:xfrm>
                    <a:prstGeom prst="rect">
                      <a:avLst/>
                    </a:prstGeom>
                    <a:noFill/>
                    <a:ln w="9525">
                      <a:noFill/>
                      <a:miter lim="800000"/>
                      <a:headEnd/>
                      <a:tailEnd/>
                    </a:ln>
                  </pic:spPr>
                </pic:pic>
              </a:graphicData>
            </a:graphic>
          </wp:anchor>
        </w:drawing>
      </w:r>
    </w:p>
    <w:p w:rsidR="00645ED5" w:rsidRDefault="00B306B2" w:rsidP="003E208F">
      <w:pPr>
        <w:jc w:val="both"/>
        <w:rPr>
          <w:rFonts w:ascii="Arial" w:hAnsi="Arial" w:cs="Arial"/>
          <w:sz w:val="20"/>
          <w:szCs w:val="20"/>
        </w:rPr>
      </w:pPr>
      <w:r>
        <w:rPr>
          <w:rFonts w:ascii="Arial" w:hAnsi="Arial" w:cs="Arial"/>
          <w:sz w:val="20"/>
          <w:szCs w:val="20"/>
        </w:rPr>
        <w:t xml:space="preserve">La valeur ajoutée du </w:t>
      </w:r>
      <w:r w:rsidRPr="00B306B2">
        <w:rPr>
          <w:rFonts w:ascii="Arial" w:hAnsi="Arial" w:cs="Arial"/>
          <w:b/>
          <w:bCs/>
          <w:sz w:val="20"/>
          <w:szCs w:val="20"/>
        </w:rPr>
        <w:t>BTP</w:t>
      </w:r>
      <w:r w:rsidRPr="004C74B2">
        <w:rPr>
          <w:rFonts w:ascii="Arial" w:hAnsi="Arial" w:cs="Arial"/>
          <w:sz w:val="20"/>
          <w:szCs w:val="20"/>
        </w:rPr>
        <w:t xml:space="preserve"> </w:t>
      </w:r>
      <w:r>
        <w:rPr>
          <w:rFonts w:ascii="Arial" w:hAnsi="Arial" w:cs="Arial"/>
          <w:sz w:val="20"/>
          <w:szCs w:val="20"/>
        </w:rPr>
        <w:t>aurait affiché une hausse</w:t>
      </w:r>
      <w:r w:rsidRPr="004C74B2">
        <w:rPr>
          <w:rFonts w:ascii="Arial" w:hAnsi="Arial" w:cs="Arial"/>
          <w:sz w:val="20"/>
          <w:szCs w:val="20"/>
        </w:rPr>
        <w:t xml:space="preserve"> de 1,4% </w:t>
      </w:r>
      <w:r>
        <w:rPr>
          <w:rFonts w:ascii="Arial" w:hAnsi="Arial" w:cs="Arial"/>
          <w:sz w:val="20"/>
          <w:szCs w:val="20"/>
        </w:rPr>
        <w:t>au</w:t>
      </w:r>
      <w:r w:rsidRPr="004C74B2">
        <w:rPr>
          <w:rFonts w:ascii="Arial" w:hAnsi="Arial" w:cs="Arial"/>
          <w:sz w:val="20"/>
          <w:szCs w:val="20"/>
        </w:rPr>
        <w:t xml:space="preserve"> premier trimestre 2015</w:t>
      </w:r>
      <w:r>
        <w:rPr>
          <w:rFonts w:ascii="Arial" w:hAnsi="Arial" w:cs="Arial"/>
          <w:sz w:val="20"/>
          <w:szCs w:val="20"/>
        </w:rPr>
        <w:t>, en variation annuelle</w:t>
      </w:r>
      <w:r w:rsidRPr="004C74B2">
        <w:rPr>
          <w:rFonts w:ascii="Arial" w:hAnsi="Arial" w:cs="Arial"/>
          <w:sz w:val="20"/>
          <w:szCs w:val="20"/>
        </w:rPr>
        <w:t xml:space="preserve">. </w:t>
      </w:r>
      <w:r w:rsidR="00135CDC">
        <w:rPr>
          <w:rFonts w:ascii="Arial" w:hAnsi="Arial" w:cs="Arial"/>
          <w:sz w:val="20"/>
          <w:szCs w:val="20"/>
        </w:rPr>
        <w:t>C’est ainsi que les ventes de</w:t>
      </w:r>
      <w:r w:rsidR="00D45FF8" w:rsidRPr="004C74B2">
        <w:rPr>
          <w:rFonts w:ascii="Arial" w:hAnsi="Arial" w:cs="Arial"/>
          <w:sz w:val="20"/>
          <w:szCs w:val="20"/>
        </w:rPr>
        <w:t xml:space="preserve"> ciment se s</w:t>
      </w:r>
      <w:r w:rsidR="00157E9B">
        <w:rPr>
          <w:rFonts w:ascii="Arial" w:hAnsi="Arial" w:cs="Arial"/>
          <w:sz w:val="20"/>
          <w:szCs w:val="20"/>
        </w:rPr>
        <w:t>erai</w:t>
      </w:r>
      <w:r w:rsidR="007C402D">
        <w:rPr>
          <w:rFonts w:ascii="Arial" w:hAnsi="Arial" w:cs="Arial"/>
          <w:sz w:val="20"/>
          <w:szCs w:val="20"/>
        </w:rPr>
        <w:t>ent</w:t>
      </w:r>
      <w:r w:rsidR="00D45FF8" w:rsidRPr="004C74B2">
        <w:rPr>
          <w:rFonts w:ascii="Arial" w:hAnsi="Arial" w:cs="Arial"/>
          <w:sz w:val="20"/>
          <w:szCs w:val="20"/>
        </w:rPr>
        <w:t xml:space="preserve"> accrue</w:t>
      </w:r>
      <w:r w:rsidR="007C402D">
        <w:rPr>
          <w:rFonts w:ascii="Arial" w:hAnsi="Arial" w:cs="Arial"/>
          <w:sz w:val="20"/>
          <w:szCs w:val="20"/>
        </w:rPr>
        <w:t>s</w:t>
      </w:r>
      <w:r w:rsidR="00D45FF8" w:rsidRPr="004C74B2">
        <w:rPr>
          <w:rFonts w:ascii="Arial" w:hAnsi="Arial" w:cs="Arial"/>
          <w:sz w:val="20"/>
          <w:szCs w:val="20"/>
        </w:rPr>
        <w:t xml:space="preserve"> de 0,8% au premier trimestre 2015</w:t>
      </w:r>
      <w:r w:rsidR="00A1671D">
        <w:rPr>
          <w:rFonts w:ascii="Arial" w:hAnsi="Arial" w:cs="Arial"/>
          <w:sz w:val="20"/>
          <w:szCs w:val="20"/>
        </w:rPr>
        <w:t xml:space="preserve">, </w:t>
      </w:r>
      <w:r w:rsidR="00D45FF8" w:rsidRPr="004C74B2">
        <w:rPr>
          <w:rFonts w:ascii="Arial" w:hAnsi="Arial" w:cs="Arial"/>
          <w:sz w:val="20"/>
          <w:szCs w:val="20"/>
        </w:rPr>
        <w:t>après quatre trimestres de baisse</w:t>
      </w:r>
      <w:r w:rsidR="007404DE">
        <w:rPr>
          <w:rFonts w:ascii="Arial" w:hAnsi="Arial" w:cs="Arial"/>
          <w:sz w:val="20"/>
          <w:szCs w:val="20"/>
        </w:rPr>
        <w:t>s</w:t>
      </w:r>
      <w:r w:rsidR="00D45FF8" w:rsidRPr="004C74B2">
        <w:rPr>
          <w:rFonts w:ascii="Arial" w:hAnsi="Arial" w:cs="Arial"/>
          <w:sz w:val="20"/>
          <w:szCs w:val="20"/>
        </w:rPr>
        <w:t xml:space="preserve"> successive</w:t>
      </w:r>
      <w:r w:rsidR="007404DE">
        <w:rPr>
          <w:rFonts w:ascii="Arial" w:hAnsi="Arial" w:cs="Arial"/>
          <w:sz w:val="20"/>
          <w:szCs w:val="20"/>
        </w:rPr>
        <w:t>s</w:t>
      </w:r>
      <w:r w:rsidR="00D45FF8" w:rsidRPr="004C74B2">
        <w:rPr>
          <w:rFonts w:ascii="Arial" w:hAnsi="Arial" w:cs="Arial"/>
          <w:sz w:val="20"/>
          <w:szCs w:val="20"/>
        </w:rPr>
        <w:t xml:space="preserve">. </w:t>
      </w:r>
      <w:r w:rsidR="00F6366D">
        <w:rPr>
          <w:rFonts w:ascii="Arial" w:hAnsi="Arial" w:cs="Arial"/>
          <w:sz w:val="20"/>
          <w:szCs w:val="20"/>
        </w:rPr>
        <w:t>Cette situation incomberait à</w:t>
      </w:r>
      <w:r w:rsidR="00D45FF8" w:rsidRPr="004C74B2">
        <w:rPr>
          <w:rFonts w:ascii="Arial" w:hAnsi="Arial" w:cs="Arial"/>
          <w:sz w:val="20"/>
          <w:szCs w:val="20"/>
        </w:rPr>
        <w:t xml:space="preserve"> </w:t>
      </w:r>
      <w:r w:rsidR="00F6366D">
        <w:rPr>
          <w:rFonts w:ascii="Arial" w:hAnsi="Arial" w:cs="Arial"/>
          <w:sz w:val="20"/>
          <w:szCs w:val="20"/>
        </w:rPr>
        <w:t xml:space="preserve">une </w:t>
      </w:r>
      <w:r w:rsidR="00BD6040">
        <w:rPr>
          <w:rFonts w:ascii="Arial" w:hAnsi="Arial" w:cs="Arial"/>
          <w:sz w:val="20"/>
          <w:szCs w:val="20"/>
        </w:rPr>
        <w:t>légère hausse</w:t>
      </w:r>
      <w:r w:rsidR="00D45FF8" w:rsidRPr="004C74B2">
        <w:rPr>
          <w:rFonts w:ascii="Arial" w:hAnsi="Arial" w:cs="Arial"/>
          <w:sz w:val="20"/>
          <w:szCs w:val="20"/>
        </w:rPr>
        <w:t xml:space="preserve"> </w:t>
      </w:r>
      <w:r w:rsidR="00F6366D">
        <w:rPr>
          <w:rFonts w:ascii="Arial" w:hAnsi="Arial" w:cs="Arial"/>
          <w:sz w:val="20"/>
          <w:szCs w:val="20"/>
        </w:rPr>
        <w:t xml:space="preserve">de la </w:t>
      </w:r>
      <w:r w:rsidR="00D45FF8" w:rsidRPr="004C74B2">
        <w:rPr>
          <w:rFonts w:ascii="Arial" w:hAnsi="Arial" w:cs="Arial"/>
          <w:sz w:val="20"/>
          <w:szCs w:val="20"/>
        </w:rPr>
        <w:t>demande adressée au secteur de l’immobilier</w:t>
      </w:r>
      <w:r w:rsidR="00F6366D">
        <w:rPr>
          <w:rFonts w:ascii="Arial" w:hAnsi="Arial" w:cs="Arial"/>
          <w:sz w:val="20"/>
          <w:szCs w:val="20"/>
        </w:rPr>
        <w:t>, comme le laisse augurer</w:t>
      </w:r>
      <w:r w:rsidR="00D45FF8" w:rsidRPr="004C74B2">
        <w:rPr>
          <w:rFonts w:ascii="Arial" w:hAnsi="Arial" w:cs="Arial"/>
          <w:sz w:val="20"/>
          <w:szCs w:val="20"/>
        </w:rPr>
        <w:t xml:space="preserve"> l’augmentation du flux des crédits à l’habitat et l’affermissement des transactions sur les biens immobiliers. Les anticipations des professionnels du secteur</w:t>
      </w:r>
      <w:r w:rsidR="00BD6040">
        <w:rPr>
          <w:rFonts w:ascii="Arial" w:hAnsi="Arial" w:cs="Arial"/>
          <w:sz w:val="20"/>
          <w:szCs w:val="20"/>
        </w:rPr>
        <w:t>, dans le cadre de la dernière enquête de conjoncture du HCP,</w:t>
      </w:r>
      <w:r w:rsidR="00D45FF8" w:rsidRPr="004C74B2">
        <w:rPr>
          <w:rFonts w:ascii="Arial" w:hAnsi="Arial" w:cs="Arial"/>
          <w:sz w:val="20"/>
          <w:szCs w:val="20"/>
        </w:rPr>
        <w:t xml:space="preserve"> s’inscrivent </w:t>
      </w:r>
      <w:r w:rsidR="00F6366D">
        <w:rPr>
          <w:rFonts w:ascii="Arial" w:hAnsi="Arial" w:cs="Arial"/>
          <w:sz w:val="20"/>
          <w:szCs w:val="20"/>
        </w:rPr>
        <w:t xml:space="preserve">aussi </w:t>
      </w:r>
      <w:r w:rsidR="00D45FF8" w:rsidRPr="004C74B2">
        <w:rPr>
          <w:rFonts w:ascii="Arial" w:hAnsi="Arial" w:cs="Arial"/>
          <w:sz w:val="20"/>
          <w:szCs w:val="20"/>
        </w:rPr>
        <w:t xml:space="preserve">dans cette perspective, avec une hausse </w:t>
      </w:r>
      <w:r w:rsidR="00AA39AB">
        <w:rPr>
          <w:rFonts w:ascii="Arial" w:hAnsi="Arial" w:cs="Arial"/>
          <w:sz w:val="20"/>
          <w:szCs w:val="20"/>
        </w:rPr>
        <w:t>anticipé</w:t>
      </w:r>
      <w:r w:rsidR="00D45FF8" w:rsidRPr="004C74B2">
        <w:rPr>
          <w:rFonts w:ascii="Arial" w:hAnsi="Arial" w:cs="Arial"/>
          <w:sz w:val="20"/>
          <w:szCs w:val="20"/>
        </w:rPr>
        <w:t>e du rythme de production d</w:t>
      </w:r>
      <w:r w:rsidR="00BD6040">
        <w:rPr>
          <w:rFonts w:ascii="Arial" w:hAnsi="Arial" w:cs="Arial"/>
          <w:sz w:val="20"/>
          <w:szCs w:val="20"/>
        </w:rPr>
        <w:t>es</w:t>
      </w:r>
      <w:r w:rsidR="00D45FF8" w:rsidRPr="004C74B2">
        <w:rPr>
          <w:rFonts w:ascii="Arial" w:hAnsi="Arial" w:cs="Arial"/>
          <w:sz w:val="20"/>
          <w:szCs w:val="20"/>
        </w:rPr>
        <w:t xml:space="preserve"> logement</w:t>
      </w:r>
      <w:r w:rsidR="00BD6040">
        <w:rPr>
          <w:rFonts w:ascii="Arial" w:hAnsi="Arial" w:cs="Arial"/>
          <w:sz w:val="20"/>
          <w:szCs w:val="20"/>
        </w:rPr>
        <w:t>s</w:t>
      </w:r>
      <w:r w:rsidR="00D45FF8" w:rsidRPr="004C74B2">
        <w:rPr>
          <w:rFonts w:ascii="Arial" w:hAnsi="Arial" w:cs="Arial"/>
          <w:sz w:val="20"/>
          <w:szCs w:val="20"/>
        </w:rPr>
        <w:t xml:space="preserve">, après avoir baissé </w:t>
      </w:r>
      <w:r w:rsidR="00667FF9" w:rsidRPr="004C74B2">
        <w:rPr>
          <w:rFonts w:ascii="Arial" w:hAnsi="Arial" w:cs="Arial"/>
          <w:sz w:val="20"/>
          <w:szCs w:val="20"/>
        </w:rPr>
        <w:t>de 1,1%</w:t>
      </w:r>
      <w:r w:rsidR="00667FF9">
        <w:rPr>
          <w:rFonts w:ascii="Arial" w:hAnsi="Arial" w:cs="Arial"/>
          <w:sz w:val="20"/>
          <w:szCs w:val="20"/>
        </w:rPr>
        <w:t xml:space="preserve"> </w:t>
      </w:r>
      <w:r w:rsidR="00D45FF8" w:rsidRPr="004C74B2">
        <w:rPr>
          <w:rFonts w:ascii="Arial" w:hAnsi="Arial" w:cs="Arial"/>
          <w:sz w:val="20"/>
          <w:szCs w:val="20"/>
        </w:rPr>
        <w:t xml:space="preserve">tout au long de l’année 2014. Toutefois, cette amélioration de l’activité </w:t>
      </w:r>
      <w:r w:rsidR="00135CDC">
        <w:rPr>
          <w:rFonts w:ascii="Arial" w:hAnsi="Arial" w:cs="Arial"/>
          <w:sz w:val="20"/>
          <w:szCs w:val="20"/>
        </w:rPr>
        <w:t xml:space="preserve">resterait </w:t>
      </w:r>
      <w:r w:rsidR="00D45FF8" w:rsidRPr="004C74B2">
        <w:rPr>
          <w:rFonts w:ascii="Arial" w:hAnsi="Arial" w:cs="Arial"/>
          <w:sz w:val="20"/>
          <w:szCs w:val="20"/>
        </w:rPr>
        <w:t>fragile et sous l’emprise de certains facteurs négatifs, dont la faiblesse de l’investissement privé</w:t>
      </w:r>
      <w:r w:rsidR="00A1671D">
        <w:rPr>
          <w:rFonts w:ascii="Arial" w:hAnsi="Arial" w:cs="Arial"/>
          <w:sz w:val="20"/>
          <w:szCs w:val="20"/>
        </w:rPr>
        <w:t>, compte-tenu</w:t>
      </w:r>
      <w:r w:rsidR="00D45FF8" w:rsidRPr="004C74B2">
        <w:rPr>
          <w:rFonts w:ascii="Arial" w:hAnsi="Arial" w:cs="Arial"/>
          <w:sz w:val="20"/>
          <w:szCs w:val="20"/>
        </w:rPr>
        <w:t xml:space="preserve"> </w:t>
      </w:r>
      <w:r w:rsidR="00A1671D">
        <w:rPr>
          <w:rFonts w:ascii="Arial" w:hAnsi="Arial" w:cs="Arial"/>
          <w:sz w:val="20"/>
          <w:szCs w:val="20"/>
        </w:rPr>
        <w:t>de la poursuite du recul</w:t>
      </w:r>
      <w:r w:rsidR="00D45FF8" w:rsidRPr="004C74B2">
        <w:rPr>
          <w:rFonts w:ascii="Arial" w:hAnsi="Arial" w:cs="Arial"/>
          <w:sz w:val="20"/>
          <w:szCs w:val="20"/>
        </w:rPr>
        <w:t xml:space="preserve"> des crédits bancaires accordés aux promoteurs immobiliers. </w:t>
      </w:r>
    </w:p>
    <w:p w:rsidR="00645ED5" w:rsidRPr="00F016E3" w:rsidRDefault="00645ED5" w:rsidP="00645ED5">
      <w:pPr>
        <w:pStyle w:val="NormalWeb"/>
        <w:spacing w:before="0" w:beforeAutospacing="0" w:after="0" w:afterAutospacing="0"/>
        <w:jc w:val="both"/>
        <w:rPr>
          <w:rFonts w:ascii="Arial" w:hAnsi="Arial" w:cs="Arial"/>
          <w:sz w:val="20"/>
          <w:szCs w:val="20"/>
        </w:rPr>
      </w:pPr>
    </w:p>
    <w:p w:rsidR="00D45FF8" w:rsidRPr="004C74B2" w:rsidRDefault="00D45FF8" w:rsidP="00AA39AB">
      <w:pPr>
        <w:jc w:val="both"/>
        <w:rPr>
          <w:rFonts w:ascii="Arial" w:hAnsi="Arial" w:cs="Arial"/>
          <w:sz w:val="20"/>
          <w:szCs w:val="20"/>
        </w:rPr>
      </w:pPr>
      <w:r w:rsidRPr="004C74B2">
        <w:rPr>
          <w:rFonts w:ascii="Arial" w:hAnsi="Arial" w:cs="Arial"/>
          <w:sz w:val="20"/>
          <w:szCs w:val="20"/>
        </w:rPr>
        <w:t xml:space="preserve">L’activité </w:t>
      </w:r>
      <w:r w:rsidRPr="007239F1">
        <w:rPr>
          <w:rFonts w:ascii="Arial" w:hAnsi="Arial" w:cs="Arial"/>
          <w:b/>
          <w:bCs/>
          <w:sz w:val="20"/>
          <w:szCs w:val="20"/>
        </w:rPr>
        <w:t>minière</w:t>
      </w:r>
      <w:r w:rsidRPr="004C74B2">
        <w:rPr>
          <w:rFonts w:ascii="Arial" w:hAnsi="Arial" w:cs="Arial"/>
          <w:sz w:val="20"/>
          <w:szCs w:val="20"/>
        </w:rPr>
        <w:t xml:space="preserve"> a</w:t>
      </w:r>
      <w:r w:rsidR="00380611">
        <w:rPr>
          <w:rFonts w:ascii="Arial" w:hAnsi="Arial" w:cs="Arial"/>
          <w:sz w:val="20"/>
          <w:szCs w:val="20"/>
        </w:rPr>
        <w:t>urait</w:t>
      </w:r>
      <w:r w:rsidR="00435537">
        <w:rPr>
          <w:rFonts w:ascii="Arial" w:hAnsi="Arial" w:cs="Arial"/>
          <w:sz w:val="20"/>
          <w:szCs w:val="20"/>
        </w:rPr>
        <w:t>, pour sa part,</w:t>
      </w:r>
      <w:r w:rsidRPr="004C74B2">
        <w:rPr>
          <w:rFonts w:ascii="Arial" w:hAnsi="Arial" w:cs="Arial"/>
          <w:sz w:val="20"/>
          <w:szCs w:val="20"/>
        </w:rPr>
        <w:t xml:space="preserve"> progressé</w:t>
      </w:r>
      <w:r w:rsidR="00380611">
        <w:rPr>
          <w:rFonts w:ascii="Arial" w:hAnsi="Arial" w:cs="Arial"/>
          <w:sz w:val="20"/>
          <w:szCs w:val="20"/>
        </w:rPr>
        <w:t>,</w:t>
      </w:r>
      <w:r w:rsidRPr="004C74B2">
        <w:rPr>
          <w:rFonts w:ascii="Arial" w:hAnsi="Arial" w:cs="Arial"/>
          <w:sz w:val="20"/>
          <w:szCs w:val="20"/>
        </w:rPr>
        <w:t xml:space="preserve"> au premier trimestre 2015, de 1,</w:t>
      </w:r>
      <w:r w:rsidR="00A82AFC">
        <w:rPr>
          <w:rFonts w:ascii="Arial" w:hAnsi="Arial" w:cs="Arial"/>
          <w:sz w:val="20"/>
          <w:szCs w:val="20"/>
        </w:rPr>
        <w:t>7</w:t>
      </w:r>
      <w:r w:rsidRPr="004C74B2">
        <w:rPr>
          <w:rFonts w:ascii="Arial" w:hAnsi="Arial" w:cs="Arial"/>
          <w:sz w:val="20"/>
          <w:szCs w:val="20"/>
        </w:rPr>
        <w:t xml:space="preserve">% en variation annuelle, après une </w:t>
      </w:r>
      <w:r w:rsidR="00AA39AB">
        <w:rPr>
          <w:rFonts w:ascii="Arial" w:hAnsi="Arial" w:cs="Arial"/>
          <w:sz w:val="20"/>
          <w:szCs w:val="20"/>
        </w:rPr>
        <w:t>hausse</w:t>
      </w:r>
      <w:r w:rsidRPr="004C74B2">
        <w:rPr>
          <w:rFonts w:ascii="Arial" w:hAnsi="Arial" w:cs="Arial"/>
          <w:sz w:val="20"/>
          <w:szCs w:val="20"/>
        </w:rPr>
        <w:t xml:space="preserve"> de 6,4% au cours de la même</w:t>
      </w:r>
      <w:r w:rsidR="00B0691D">
        <w:rPr>
          <w:rFonts w:ascii="Arial" w:hAnsi="Arial" w:cs="Arial"/>
          <w:sz w:val="20"/>
          <w:szCs w:val="20"/>
        </w:rPr>
        <w:t xml:space="preserve"> période de l’année précédente. Ce </w:t>
      </w:r>
      <w:r w:rsidR="00A51EF8">
        <w:rPr>
          <w:rFonts w:ascii="Arial" w:hAnsi="Arial" w:cs="Arial"/>
          <w:sz w:val="20"/>
          <w:szCs w:val="20"/>
        </w:rPr>
        <w:t>ralentissement</w:t>
      </w:r>
      <w:r w:rsidRPr="004C74B2">
        <w:rPr>
          <w:rFonts w:ascii="Arial" w:hAnsi="Arial" w:cs="Arial"/>
          <w:sz w:val="20"/>
          <w:szCs w:val="20"/>
        </w:rPr>
        <w:t xml:space="preserve"> </w:t>
      </w:r>
      <w:r w:rsidR="00B0691D">
        <w:rPr>
          <w:rFonts w:ascii="Arial" w:hAnsi="Arial" w:cs="Arial"/>
          <w:sz w:val="20"/>
          <w:szCs w:val="20"/>
        </w:rPr>
        <w:t>s’explique</w:t>
      </w:r>
      <w:r w:rsidR="00695EFD">
        <w:rPr>
          <w:rFonts w:ascii="Arial" w:hAnsi="Arial" w:cs="Arial"/>
          <w:sz w:val="20"/>
          <w:szCs w:val="20"/>
        </w:rPr>
        <w:t>rait</w:t>
      </w:r>
      <w:r w:rsidR="00B0691D">
        <w:rPr>
          <w:rFonts w:ascii="Arial" w:hAnsi="Arial" w:cs="Arial"/>
          <w:sz w:val="20"/>
          <w:szCs w:val="20"/>
        </w:rPr>
        <w:t xml:space="preserve"> par</w:t>
      </w:r>
      <w:r w:rsidRPr="004C74B2">
        <w:rPr>
          <w:rFonts w:ascii="Arial" w:hAnsi="Arial" w:cs="Arial"/>
          <w:sz w:val="20"/>
          <w:szCs w:val="20"/>
        </w:rPr>
        <w:t xml:space="preserve"> l’essoufflement de la demande étrangère adressée aux minerais non métalliques. </w:t>
      </w:r>
      <w:r w:rsidR="00AA39AB">
        <w:rPr>
          <w:rFonts w:ascii="Arial" w:hAnsi="Arial" w:cs="Arial"/>
          <w:sz w:val="20"/>
          <w:szCs w:val="20"/>
        </w:rPr>
        <w:t>L</w:t>
      </w:r>
      <w:r w:rsidRPr="004C74B2">
        <w:rPr>
          <w:rFonts w:ascii="Arial" w:hAnsi="Arial" w:cs="Arial"/>
          <w:sz w:val="20"/>
          <w:szCs w:val="20"/>
        </w:rPr>
        <w:t>es export</w:t>
      </w:r>
      <w:r w:rsidR="00AA39AB">
        <w:rPr>
          <w:rFonts w:ascii="Arial" w:hAnsi="Arial" w:cs="Arial"/>
          <w:sz w:val="20"/>
          <w:szCs w:val="20"/>
        </w:rPr>
        <w:t>ation</w:t>
      </w:r>
      <w:r w:rsidRPr="004C74B2">
        <w:rPr>
          <w:rFonts w:ascii="Arial" w:hAnsi="Arial" w:cs="Arial"/>
          <w:sz w:val="20"/>
          <w:szCs w:val="20"/>
        </w:rPr>
        <w:t>s de phosphate brut</w:t>
      </w:r>
      <w:r w:rsidR="00AA39AB">
        <w:rPr>
          <w:rFonts w:ascii="Arial" w:hAnsi="Arial" w:cs="Arial"/>
          <w:sz w:val="20"/>
          <w:szCs w:val="20"/>
        </w:rPr>
        <w:t>,</w:t>
      </w:r>
      <w:r w:rsidRPr="004C74B2">
        <w:rPr>
          <w:rFonts w:ascii="Arial" w:hAnsi="Arial" w:cs="Arial"/>
          <w:sz w:val="20"/>
          <w:szCs w:val="20"/>
        </w:rPr>
        <w:t xml:space="preserve"> qui avaient montré des signes de reprise au début de 2014, se seraient infléchies de 8,7% à fin février 2015, en variation annuelle. Il faudrait souligner que les fertilisants</w:t>
      </w:r>
      <w:r w:rsidR="00F6366D">
        <w:rPr>
          <w:rFonts w:ascii="Arial" w:hAnsi="Arial" w:cs="Arial"/>
          <w:sz w:val="20"/>
          <w:szCs w:val="20"/>
        </w:rPr>
        <w:t xml:space="preserve"> </w:t>
      </w:r>
      <w:r w:rsidR="0010548F">
        <w:rPr>
          <w:rFonts w:ascii="Arial" w:hAnsi="Arial" w:cs="Arial"/>
          <w:sz w:val="20"/>
          <w:szCs w:val="20"/>
        </w:rPr>
        <w:t xml:space="preserve">auraient continué </w:t>
      </w:r>
      <w:r w:rsidRPr="004C74B2">
        <w:rPr>
          <w:rFonts w:ascii="Arial" w:hAnsi="Arial" w:cs="Arial"/>
          <w:sz w:val="20"/>
          <w:szCs w:val="20"/>
        </w:rPr>
        <w:t xml:space="preserve">de faire l’objet d’une vive concurrence entre principaux opérateurs mondiaux pour </w:t>
      </w:r>
      <w:r w:rsidR="00F6366D">
        <w:rPr>
          <w:rFonts w:ascii="Arial" w:hAnsi="Arial" w:cs="Arial"/>
          <w:sz w:val="20"/>
          <w:szCs w:val="20"/>
        </w:rPr>
        <w:t>l’</w:t>
      </w:r>
      <w:r w:rsidRPr="004C74B2">
        <w:rPr>
          <w:rFonts w:ascii="Arial" w:hAnsi="Arial" w:cs="Arial"/>
          <w:sz w:val="20"/>
          <w:szCs w:val="20"/>
        </w:rPr>
        <w:t>amélioration de parts de marché</w:t>
      </w:r>
      <w:r w:rsidR="00A51EF8">
        <w:rPr>
          <w:rFonts w:ascii="Arial" w:hAnsi="Arial" w:cs="Arial"/>
          <w:sz w:val="20"/>
          <w:szCs w:val="20"/>
        </w:rPr>
        <w:t xml:space="preserve"> </w:t>
      </w:r>
      <w:r w:rsidR="0010548F">
        <w:rPr>
          <w:rFonts w:ascii="Arial" w:hAnsi="Arial" w:cs="Arial"/>
          <w:sz w:val="20"/>
          <w:szCs w:val="20"/>
        </w:rPr>
        <w:t xml:space="preserve">et </w:t>
      </w:r>
      <w:r w:rsidR="00F6366D">
        <w:rPr>
          <w:rFonts w:ascii="Arial" w:hAnsi="Arial" w:cs="Arial"/>
          <w:sz w:val="20"/>
          <w:szCs w:val="20"/>
        </w:rPr>
        <w:t>l’</w:t>
      </w:r>
      <w:r w:rsidR="00A51EF8">
        <w:rPr>
          <w:rFonts w:ascii="Arial" w:hAnsi="Arial" w:cs="Arial"/>
          <w:sz w:val="20"/>
          <w:szCs w:val="20"/>
        </w:rPr>
        <w:t>augmen</w:t>
      </w:r>
      <w:r w:rsidR="00F6366D">
        <w:rPr>
          <w:rFonts w:ascii="Arial" w:hAnsi="Arial" w:cs="Arial"/>
          <w:sz w:val="20"/>
          <w:szCs w:val="20"/>
        </w:rPr>
        <w:t>tation des capacités productive</w:t>
      </w:r>
      <w:r w:rsidR="00435537">
        <w:rPr>
          <w:rFonts w:ascii="Arial" w:hAnsi="Arial" w:cs="Arial"/>
          <w:sz w:val="20"/>
          <w:szCs w:val="20"/>
        </w:rPr>
        <w:t>s</w:t>
      </w:r>
      <w:r w:rsidR="00B0691D">
        <w:rPr>
          <w:rFonts w:ascii="Arial" w:hAnsi="Arial" w:cs="Arial"/>
          <w:sz w:val="20"/>
          <w:szCs w:val="20"/>
        </w:rPr>
        <w:t xml:space="preserve">. Cette situation aurait </w:t>
      </w:r>
      <w:r w:rsidR="00A51EF8">
        <w:rPr>
          <w:rFonts w:ascii="Arial" w:hAnsi="Arial" w:cs="Arial"/>
          <w:sz w:val="20"/>
          <w:szCs w:val="20"/>
        </w:rPr>
        <w:t>amputé</w:t>
      </w:r>
      <w:r w:rsidR="00B4235F">
        <w:rPr>
          <w:rFonts w:ascii="Arial" w:hAnsi="Arial" w:cs="Arial"/>
          <w:sz w:val="20"/>
          <w:szCs w:val="20"/>
        </w:rPr>
        <w:t xml:space="preserve"> sensiblement les </w:t>
      </w:r>
      <w:r w:rsidR="00A82AFC">
        <w:rPr>
          <w:rFonts w:ascii="Arial" w:hAnsi="Arial" w:cs="Arial"/>
          <w:sz w:val="20"/>
          <w:szCs w:val="20"/>
        </w:rPr>
        <w:t xml:space="preserve">industries </w:t>
      </w:r>
      <w:r w:rsidR="00B4235F">
        <w:rPr>
          <w:rFonts w:ascii="Arial" w:hAnsi="Arial" w:cs="Arial"/>
          <w:sz w:val="20"/>
          <w:szCs w:val="20"/>
        </w:rPr>
        <w:t xml:space="preserve">de transformation du phosphate brut </w:t>
      </w:r>
      <w:r w:rsidR="00A82AFC">
        <w:rPr>
          <w:rFonts w:ascii="Arial" w:hAnsi="Arial" w:cs="Arial"/>
          <w:sz w:val="20"/>
          <w:szCs w:val="20"/>
        </w:rPr>
        <w:t>à l’échelle</w:t>
      </w:r>
      <w:r w:rsidR="00A51EF8">
        <w:rPr>
          <w:rFonts w:ascii="Arial" w:hAnsi="Arial" w:cs="Arial"/>
          <w:sz w:val="20"/>
          <w:szCs w:val="20"/>
        </w:rPr>
        <w:t xml:space="preserve"> mondial</w:t>
      </w:r>
      <w:r w:rsidR="00A82AFC">
        <w:rPr>
          <w:rFonts w:ascii="Arial" w:hAnsi="Arial" w:cs="Arial"/>
          <w:sz w:val="20"/>
          <w:szCs w:val="20"/>
        </w:rPr>
        <w:t>e</w:t>
      </w:r>
      <w:r w:rsidR="00A51EF8">
        <w:rPr>
          <w:rFonts w:ascii="Arial" w:hAnsi="Arial" w:cs="Arial"/>
          <w:sz w:val="20"/>
          <w:szCs w:val="20"/>
        </w:rPr>
        <w:t xml:space="preserve"> et induit une réduction des</w:t>
      </w:r>
      <w:r w:rsidR="00A51EF8" w:rsidRPr="004C74B2">
        <w:rPr>
          <w:rFonts w:ascii="Arial" w:hAnsi="Arial" w:cs="Arial"/>
          <w:sz w:val="20"/>
          <w:szCs w:val="20"/>
        </w:rPr>
        <w:t xml:space="preserve"> producteurs à coûts élevés</w:t>
      </w:r>
      <w:r w:rsidR="00A51EF8">
        <w:rPr>
          <w:rFonts w:ascii="Arial" w:hAnsi="Arial" w:cs="Arial"/>
          <w:sz w:val="20"/>
          <w:szCs w:val="20"/>
        </w:rPr>
        <w:t>.</w:t>
      </w:r>
      <w:r w:rsidRPr="004C74B2">
        <w:rPr>
          <w:rFonts w:ascii="Arial" w:hAnsi="Arial" w:cs="Arial"/>
          <w:sz w:val="20"/>
          <w:szCs w:val="20"/>
        </w:rPr>
        <w:t xml:space="preserve"> </w:t>
      </w:r>
      <w:r w:rsidR="00A51EF8">
        <w:rPr>
          <w:rFonts w:ascii="Arial" w:hAnsi="Arial" w:cs="Arial"/>
          <w:sz w:val="20"/>
          <w:szCs w:val="20"/>
        </w:rPr>
        <w:t xml:space="preserve">Au niveau des </w:t>
      </w:r>
      <w:r w:rsidRPr="004C74B2">
        <w:rPr>
          <w:rFonts w:ascii="Arial" w:hAnsi="Arial" w:cs="Arial"/>
          <w:sz w:val="20"/>
          <w:szCs w:val="20"/>
        </w:rPr>
        <w:t>minerais métalliques</w:t>
      </w:r>
      <w:r w:rsidR="00A51EF8">
        <w:rPr>
          <w:rFonts w:ascii="Arial" w:hAnsi="Arial" w:cs="Arial"/>
          <w:sz w:val="20"/>
          <w:szCs w:val="20"/>
        </w:rPr>
        <w:t xml:space="preserve">, la production </w:t>
      </w:r>
      <w:r w:rsidR="00F96A77">
        <w:rPr>
          <w:rFonts w:ascii="Arial" w:hAnsi="Arial" w:cs="Arial"/>
          <w:sz w:val="20"/>
          <w:szCs w:val="20"/>
        </w:rPr>
        <w:t>se serait légèrement accélérée</w:t>
      </w:r>
      <w:r w:rsidR="00A51EF8">
        <w:rPr>
          <w:rFonts w:ascii="Arial" w:hAnsi="Arial" w:cs="Arial"/>
          <w:sz w:val="20"/>
          <w:szCs w:val="20"/>
        </w:rPr>
        <w:t xml:space="preserve">, </w:t>
      </w:r>
      <w:r w:rsidR="00F96A77">
        <w:rPr>
          <w:rFonts w:ascii="Arial" w:hAnsi="Arial" w:cs="Arial"/>
          <w:sz w:val="20"/>
          <w:szCs w:val="20"/>
        </w:rPr>
        <w:t>en ligne avec le raffermissement de</w:t>
      </w:r>
      <w:r w:rsidR="00AA39AB">
        <w:rPr>
          <w:rFonts w:ascii="Arial" w:hAnsi="Arial" w:cs="Arial"/>
          <w:sz w:val="20"/>
          <w:szCs w:val="20"/>
        </w:rPr>
        <w:t>s</w:t>
      </w:r>
      <w:r w:rsidR="00F96A77">
        <w:rPr>
          <w:rFonts w:ascii="Arial" w:hAnsi="Arial" w:cs="Arial"/>
          <w:sz w:val="20"/>
          <w:szCs w:val="20"/>
        </w:rPr>
        <w:t xml:space="preserve"> export</w:t>
      </w:r>
      <w:r w:rsidR="00AA39AB">
        <w:rPr>
          <w:rFonts w:ascii="Arial" w:hAnsi="Arial" w:cs="Arial"/>
          <w:sz w:val="20"/>
          <w:szCs w:val="20"/>
        </w:rPr>
        <w:t>ation</w:t>
      </w:r>
      <w:r w:rsidR="00F96A77">
        <w:rPr>
          <w:rFonts w:ascii="Arial" w:hAnsi="Arial" w:cs="Arial"/>
          <w:sz w:val="20"/>
          <w:szCs w:val="20"/>
        </w:rPr>
        <w:t>s, notamment</w:t>
      </w:r>
      <w:r w:rsidRPr="004C74B2">
        <w:rPr>
          <w:rFonts w:ascii="Arial" w:hAnsi="Arial" w:cs="Arial"/>
          <w:sz w:val="20"/>
          <w:szCs w:val="20"/>
        </w:rPr>
        <w:t xml:space="preserve"> </w:t>
      </w:r>
      <w:r w:rsidR="00AA39AB">
        <w:rPr>
          <w:rFonts w:ascii="Arial" w:hAnsi="Arial" w:cs="Arial"/>
          <w:sz w:val="20"/>
          <w:szCs w:val="20"/>
        </w:rPr>
        <w:t>de</w:t>
      </w:r>
      <w:r w:rsidRPr="004C74B2">
        <w:rPr>
          <w:rFonts w:ascii="Arial" w:hAnsi="Arial" w:cs="Arial"/>
          <w:sz w:val="20"/>
          <w:szCs w:val="20"/>
        </w:rPr>
        <w:t xml:space="preserve"> zinc et </w:t>
      </w:r>
      <w:r w:rsidR="00AA39AB">
        <w:rPr>
          <w:rFonts w:ascii="Arial" w:hAnsi="Arial" w:cs="Arial"/>
          <w:sz w:val="20"/>
          <w:szCs w:val="20"/>
        </w:rPr>
        <w:t>de</w:t>
      </w:r>
      <w:r w:rsidR="00380611">
        <w:rPr>
          <w:rFonts w:ascii="Arial" w:hAnsi="Arial" w:cs="Arial"/>
          <w:sz w:val="20"/>
          <w:szCs w:val="20"/>
        </w:rPr>
        <w:t xml:space="preserve"> </w:t>
      </w:r>
      <w:r w:rsidRPr="004C74B2">
        <w:rPr>
          <w:rFonts w:ascii="Arial" w:hAnsi="Arial" w:cs="Arial"/>
          <w:sz w:val="20"/>
          <w:szCs w:val="20"/>
        </w:rPr>
        <w:t>plomb</w:t>
      </w:r>
      <w:r w:rsidR="00AA39AB">
        <w:rPr>
          <w:rFonts w:ascii="Arial" w:hAnsi="Arial" w:cs="Arial"/>
          <w:sz w:val="20"/>
          <w:szCs w:val="20"/>
        </w:rPr>
        <w:t>,</w:t>
      </w:r>
      <w:r w:rsidRPr="004C74B2">
        <w:rPr>
          <w:rFonts w:ascii="Arial" w:hAnsi="Arial" w:cs="Arial"/>
          <w:sz w:val="20"/>
          <w:szCs w:val="20"/>
        </w:rPr>
        <w:t xml:space="preserve"> </w:t>
      </w:r>
      <w:r w:rsidR="00AA39AB" w:rsidRPr="004C74B2">
        <w:rPr>
          <w:rFonts w:ascii="Arial" w:hAnsi="Arial" w:cs="Arial"/>
          <w:sz w:val="20"/>
          <w:szCs w:val="20"/>
        </w:rPr>
        <w:t xml:space="preserve">respectivement, </w:t>
      </w:r>
      <w:r w:rsidRPr="004C74B2">
        <w:rPr>
          <w:rFonts w:ascii="Arial" w:hAnsi="Arial" w:cs="Arial"/>
          <w:sz w:val="20"/>
          <w:szCs w:val="20"/>
        </w:rPr>
        <w:t>de 22% et 14%</w:t>
      </w:r>
      <w:r w:rsidR="00380611">
        <w:rPr>
          <w:rFonts w:ascii="Arial" w:hAnsi="Arial" w:cs="Arial"/>
          <w:sz w:val="20"/>
          <w:szCs w:val="20"/>
        </w:rPr>
        <w:t>,</w:t>
      </w:r>
      <w:r w:rsidRPr="004C74B2">
        <w:rPr>
          <w:rFonts w:ascii="Arial" w:hAnsi="Arial" w:cs="Arial"/>
          <w:sz w:val="20"/>
          <w:szCs w:val="20"/>
        </w:rPr>
        <w:t xml:space="preserve"> au premier trimestre 2015.</w:t>
      </w:r>
    </w:p>
    <w:p w:rsidR="00C3256B" w:rsidRDefault="00C3256B" w:rsidP="003E44E7">
      <w:pPr>
        <w:pStyle w:val="NormalWeb"/>
        <w:spacing w:before="0" w:beforeAutospacing="0" w:after="0" w:afterAutospacing="0"/>
        <w:jc w:val="both"/>
        <w:rPr>
          <w:rFonts w:ascii="Arial" w:hAnsi="Arial" w:cs="Arial"/>
          <w:sz w:val="20"/>
          <w:szCs w:val="20"/>
        </w:rPr>
      </w:pPr>
    </w:p>
    <w:p w:rsidR="00D45FF8" w:rsidRPr="004C74B2" w:rsidRDefault="005149E8" w:rsidP="00AA39AB">
      <w:pPr>
        <w:jc w:val="both"/>
        <w:rPr>
          <w:rFonts w:ascii="Arial" w:hAnsi="Arial" w:cs="Arial"/>
          <w:sz w:val="20"/>
          <w:szCs w:val="20"/>
        </w:rPr>
      </w:pPr>
      <w:r>
        <w:rPr>
          <w:rFonts w:ascii="Arial" w:hAnsi="Arial" w:cs="Arial"/>
          <w:sz w:val="20"/>
          <w:szCs w:val="20"/>
        </w:rPr>
        <w:t>L</w:t>
      </w:r>
      <w:r w:rsidR="00D45FF8" w:rsidRPr="004C74B2">
        <w:rPr>
          <w:rFonts w:ascii="Arial" w:hAnsi="Arial" w:cs="Arial"/>
          <w:sz w:val="20"/>
          <w:szCs w:val="20"/>
        </w:rPr>
        <w:t xml:space="preserve">’activité </w:t>
      </w:r>
      <w:r w:rsidR="00D45FF8" w:rsidRPr="007239F1">
        <w:rPr>
          <w:rFonts w:ascii="Arial" w:hAnsi="Arial" w:cs="Arial"/>
          <w:b/>
          <w:bCs/>
          <w:sz w:val="20"/>
          <w:szCs w:val="20"/>
        </w:rPr>
        <w:t xml:space="preserve">énergétique </w:t>
      </w:r>
      <w:r w:rsidR="00AA39AB">
        <w:rPr>
          <w:rFonts w:ascii="Arial" w:hAnsi="Arial" w:cs="Arial"/>
          <w:sz w:val="20"/>
          <w:szCs w:val="20"/>
        </w:rPr>
        <w:t>aurait été relativement</w:t>
      </w:r>
      <w:r w:rsidR="00D45FF8" w:rsidRPr="004C74B2">
        <w:rPr>
          <w:rFonts w:ascii="Arial" w:hAnsi="Arial" w:cs="Arial"/>
          <w:sz w:val="20"/>
          <w:szCs w:val="20"/>
        </w:rPr>
        <w:t xml:space="preserve"> dynamique au premier trimestre 2015, enregistrant une progression de 4,9%, en variation annuelle. La branche électrique aurait été le principal </w:t>
      </w:r>
      <w:r w:rsidR="0010548F">
        <w:rPr>
          <w:rFonts w:ascii="Arial" w:hAnsi="Arial" w:cs="Arial"/>
          <w:sz w:val="20"/>
          <w:szCs w:val="20"/>
        </w:rPr>
        <w:t>support</w:t>
      </w:r>
      <w:r w:rsidR="00D45FF8" w:rsidRPr="004C74B2">
        <w:rPr>
          <w:rFonts w:ascii="Arial" w:hAnsi="Arial" w:cs="Arial"/>
          <w:sz w:val="20"/>
          <w:szCs w:val="20"/>
        </w:rPr>
        <w:t xml:space="preserve"> de cette </w:t>
      </w:r>
      <w:r w:rsidR="00AA39AB">
        <w:rPr>
          <w:rFonts w:ascii="Arial" w:hAnsi="Arial" w:cs="Arial"/>
          <w:sz w:val="20"/>
          <w:szCs w:val="20"/>
        </w:rPr>
        <w:t>évolution</w:t>
      </w:r>
      <w:r w:rsidR="00D45FF8" w:rsidRPr="004C74B2">
        <w:rPr>
          <w:rFonts w:ascii="Arial" w:hAnsi="Arial" w:cs="Arial"/>
          <w:sz w:val="20"/>
          <w:szCs w:val="20"/>
        </w:rPr>
        <w:t>. La mise en service de deux nouvelles unités thermiques de Jorf LASFAR aurait porté le rythme de croissance de la production d’électricité à 5,4% au premier trimestre. En revanche, la décélération des ventes des carburants, due à l’essoufflement des livraisons du fuel industriel, aurait quelque peu pesé sur les activités de raffinage. Ainsi et en dépit du repli des prix à l’importation du pétrole brut</w:t>
      </w:r>
      <w:r w:rsidR="008E4143">
        <w:rPr>
          <w:rFonts w:ascii="Arial" w:hAnsi="Arial" w:cs="Arial"/>
          <w:sz w:val="20"/>
          <w:szCs w:val="20"/>
        </w:rPr>
        <w:t>,</w:t>
      </w:r>
      <w:r w:rsidR="00D45FF8" w:rsidRPr="004C74B2">
        <w:rPr>
          <w:rFonts w:ascii="Arial" w:hAnsi="Arial" w:cs="Arial"/>
          <w:sz w:val="20"/>
          <w:szCs w:val="20"/>
        </w:rPr>
        <w:t xml:space="preserve"> la production du pétrole raffiné se serait incliné de 9,8%</w:t>
      </w:r>
      <w:r w:rsidR="00380611">
        <w:rPr>
          <w:rFonts w:ascii="Arial" w:hAnsi="Arial" w:cs="Arial"/>
          <w:sz w:val="20"/>
          <w:szCs w:val="20"/>
        </w:rPr>
        <w:t>,</w:t>
      </w:r>
      <w:r w:rsidR="00D45FF8" w:rsidRPr="004C74B2">
        <w:rPr>
          <w:rFonts w:ascii="Arial" w:hAnsi="Arial" w:cs="Arial"/>
          <w:sz w:val="20"/>
          <w:szCs w:val="20"/>
        </w:rPr>
        <w:t xml:space="preserve"> au cours de la même période.</w:t>
      </w:r>
    </w:p>
    <w:p w:rsidR="00D45FF8" w:rsidRDefault="00D45FF8" w:rsidP="003E44E7">
      <w:pPr>
        <w:pStyle w:val="NormalWeb"/>
        <w:spacing w:before="0" w:beforeAutospacing="0" w:after="0" w:afterAutospacing="0"/>
        <w:jc w:val="both"/>
        <w:rPr>
          <w:rFonts w:ascii="Arial" w:hAnsi="Arial" w:cs="Arial"/>
          <w:sz w:val="20"/>
          <w:szCs w:val="20"/>
        </w:rPr>
      </w:pPr>
    </w:p>
    <w:p w:rsidR="00645ED5" w:rsidRPr="004625B7" w:rsidRDefault="00AA39AB" w:rsidP="00AA39AB">
      <w:pPr>
        <w:jc w:val="both"/>
        <w:rPr>
          <w:rFonts w:ascii="Arial" w:hAnsi="Arial" w:cs="Arial"/>
          <w:b/>
          <w:bCs/>
          <w:color w:val="800000"/>
          <w:sz w:val="20"/>
          <w:szCs w:val="20"/>
        </w:rPr>
      </w:pPr>
      <w:r>
        <w:rPr>
          <w:rFonts w:ascii="Arial" w:hAnsi="Arial" w:cs="Arial"/>
          <w:b/>
          <w:bCs/>
          <w:color w:val="800000"/>
          <w:sz w:val="20"/>
          <w:szCs w:val="20"/>
        </w:rPr>
        <w:t>H</w:t>
      </w:r>
      <w:r w:rsidR="00D44396">
        <w:rPr>
          <w:rFonts w:ascii="Arial" w:hAnsi="Arial" w:cs="Arial"/>
          <w:b/>
          <w:bCs/>
          <w:color w:val="800000"/>
          <w:sz w:val="20"/>
          <w:szCs w:val="20"/>
        </w:rPr>
        <w:t>ausse modérée d</w:t>
      </w:r>
      <w:r w:rsidR="00645ED5" w:rsidRPr="004625B7">
        <w:rPr>
          <w:rFonts w:ascii="Arial" w:hAnsi="Arial" w:cs="Arial"/>
          <w:b/>
          <w:bCs/>
          <w:color w:val="800000"/>
          <w:sz w:val="20"/>
          <w:szCs w:val="20"/>
        </w:rPr>
        <w:t>e</w:t>
      </w:r>
      <w:r w:rsidR="00645ED5">
        <w:rPr>
          <w:rFonts w:ascii="Arial" w:hAnsi="Arial" w:cs="Arial"/>
          <w:b/>
          <w:bCs/>
          <w:color w:val="800000"/>
          <w:sz w:val="20"/>
          <w:szCs w:val="20"/>
        </w:rPr>
        <w:t>s prix à la consommation</w:t>
      </w:r>
      <w:r w:rsidR="00645ED5" w:rsidRPr="004625B7">
        <w:rPr>
          <w:rFonts w:ascii="Arial" w:hAnsi="Arial" w:cs="Arial"/>
          <w:b/>
          <w:bCs/>
          <w:color w:val="800000"/>
          <w:sz w:val="20"/>
          <w:szCs w:val="20"/>
        </w:rPr>
        <w:t xml:space="preserve"> </w:t>
      </w:r>
    </w:p>
    <w:p w:rsidR="00645ED5" w:rsidRPr="004625B7" w:rsidRDefault="00645ED5" w:rsidP="00645ED5">
      <w:pPr>
        <w:jc w:val="both"/>
        <w:rPr>
          <w:rFonts w:ascii="Arial" w:hAnsi="Arial" w:cs="Arial"/>
          <w:sz w:val="20"/>
          <w:szCs w:val="20"/>
        </w:rPr>
      </w:pPr>
    </w:p>
    <w:p w:rsidR="00141592" w:rsidRDefault="008C7957" w:rsidP="00A82AFC">
      <w:pPr>
        <w:shd w:val="clear" w:color="auto" w:fill="FFFFFF"/>
        <w:jc w:val="both"/>
        <w:rPr>
          <w:rFonts w:ascii="Arial" w:hAnsi="Arial" w:cs="Arial"/>
          <w:color w:val="000000"/>
          <w:sz w:val="20"/>
          <w:szCs w:val="20"/>
        </w:rPr>
      </w:pPr>
      <w:r>
        <w:rPr>
          <w:rFonts w:ascii="Arial" w:hAnsi="Arial" w:cs="Arial"/>
          <w:noProof/>
          <w:sz w:val="20"/>
          <w:szCs w:val="20"/>
        </w:rPr>
        <w:drawing>
          <wp:anchor distT="0" distB="0" distL="114300" distR="114300" simplePos="0" relativeHeight="251655168" behindDoc="0" locked="0" layoutInCell="1" allowOverlap="1">
            <wp:simplePos x="0" y="0"/>
            <wp:positionH relativeFrom="column">
              <wp:posOffset>3930015</wp:posOffset>
            </wp:positionH>
            <wp:positionV relativeFrom="paragraph">
              <wp:posOffset>322580</wp:posOffset>
            </wp:positionV>
            <wp:extent cx="2628900" cy="2072005"/>
            <wp:effectExtent l="0" t="0" r="0" b="0"/>
            <wp:wrapSquare wrapText="bothSides"/>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a:srcRect/>
                    <a:stretch>
                      <a:fillRect/>
                    </a:stretch>
                  </pic:blipFill>
                  <pic:spPr bwMode="auto">
                    <a:xfrm>
                      <a:off x="0" y="0"/>
                      <a:ext cx="2628900" cy="2072005"/>
                    </a:xfrm>
                    <a:prstGeom prst="rect">
                      <a:avLst/>
                    </a:prstGeom>
                    <a:noFill/>
                    <a:ln w="9525">
                      <a:noFill/>
                      <a:miter lim="800000"/>
                      <a:headEnd/>
                      <a:tailEnd/>
                    </a:ln>
                  </pic:spPr>
                </pic:pic>
              </a:graphicData>
            </a:graphic>
          </wp:anchor>
        </w:drawing>
      </w:r>
      <w:r w:rsidR="00141592" w:rsidRPr="00C52259">
        <w:rPr>
          <w:rFonts w:ascii="Arial" w:hAnsi="Arial" w:cs="Arial"/>
          <w:sz w:val="20"/>
          <w:szCs w:val="20"/>
        </w:rPr>
        <w:t xml:space="preserve">Après une croissance de 1,1%, en variation annuelle, au quatrième trimestre 2014, les </w:t>
      </w:r>
      <w:r w:rsidR="00141592" w:rsidRPr="00676619">
        <w:rPr>
          <w:rFonts w:ascii="Arial" w:hAnsi="Arial" w:cs="Arial"/>
          <w:b/>
          <w:bCs/>
          <w:sz w:val="20"/>
          <w:szCs w:val="20"/>
        </w:rPr>
        <w:t>prix à la consommation</w:t>
      </w:r>
      <w:r w:rsidR="00141592" w:rsidRPr="00C52259">
        <w:rPr>
          <w:rFonts w:ascii="Arial" w:hAnsi="Arial" w:cs="Arial"/>
          <w:sz w:val="20"/>
          <w:szCs w:val="20"/>
        </w:rPr>
        <w:t xml:space="preserve"> auraient augmenté de 1,4% au premier trimestre 2015. Cette progression aurait résulté, essentiellement, de la hausse de 1,9% des prix des produits alimentaires. Les principales contributions à cette hausse proviendraient des prix des produits frais, en particulier les légumes et les fruits frais, ainsi que de ceux des tabacs après l’augmentation de leurs tarifs. </w:t>
      </w:r>
      <w:r w:rsidR="00141592">
        <w:rPr>
          <w:rFonts w:ascii="Arial" w:hAnsi="Arial" w:cs="Arial"/>
          <w:sz w:val="20"/>
          <w:szCs w:val="20"/>
        </w:rPr>
        <w:t>En revanche, le</w:t>
      </w:r>
      <w:r w:rsidR="002667BA">
        <w:rPr>
          <w:rFonts w:ascii="Arial" w:hAnsi="Arial" w:cs="Arial"/>
          <w:sz w:val="20"/>
          <w:szCs w:val="20"/>
        </w:rPr>
        <w:t xml:space="preserve"> rythme de croissance de</w:t>
      </w:r>
      <w:r w:rsidR="00141592">
        <w:rPr>
          <w:rFonts w:ascii="Arial" w:hAnsi="Arial" w:cs="Arial"/>
          <w:sz w:val="20"/>
          <w:szCs w:val="20"/>
        </w:rPr>
        <w:t xml:space="preserve">s prix des produits </w:t>
      </w:r>
      <w:r w:rsidR="00141592" w:rsidRPr="004625B7">
        <w:rPr>
          <w:rFonts w:ascii="Arial" w:hAnsi="Arial" w:cs="Arial"/>
          <w:sz w:val="20"/>
          <w:szCs w:val="20"/>
        </w:rPr>
        <w:t>non-alimentaires</w:t>
      </w:r>
      <w:r w:rsidR="00141592">
        <w:rPr>
          <w:rFonts w:ascii="Arial" w:hAnsi="Arial" w:cs="Arial"/>
          <w:sz w:val="20"/>
          <w:szCs w:val="20"/>
        </w:rPr>
        <w:t xml:space="preserve"> aurait légèrement décéléré, </w:t>
      </w:r>
      <w:r w:rsidR="007404DE">
        <w:rPr>
          <w:rFonts w:ascii="Arial" w:hAnsi="Arial" w:cs="Arial"/>
          <w:sz w:val="20"/>
          <w:szCs w:val="20"/>
        </w:rPr>
        <w:t>pour atteindre</w:t>
      </w:r>
      <w:r w:rsidR="00141592">
        <w:rPr>
          <w:rFonts w:ascii="Arial" w:hAnsi="Arial" w:cs="Arial"/>
          <w:sz w:val="20"/>
          <w:szCs w:val="20"/>
        </w:rPr>
        <w:t xml:space="preserve"> 1%, au lieu de 2% un trimestre auparavant. L</w:t>
      </w:r>
      <w:r w:rsidR="00231716">
        <w:rPr>
          <w:rFonts w:ascii="Arial" w:hAnsi="Arial" w:cs="Arial"/>
          <w:sz w:val="20"/>
          <w:szCs w:val="20"/>
        </w:rPr>
        <w:t>’augmentation</w:t>
      </w:r>
      <w:r w:rsidR="00141592">
        <w:rPr>
          <w:rFonts w:ascii="Arial" w:hAnsi="Arial" w:cs="Arial"/>
          <w:sz w:val="20"/>
          <w:szCs w:val="20"/>
        </w:rPr>
        <w:t xml:space="preserve"> </w:t>
      </w:r>
      <w:r w:rsidR="00141592" w:rsidRPr="00C52259">
        <w:rPr>
          <w:rFonts w:ascii="Arial" w:hAnsi="Arial" w:cs="Arial"/>
          <w:sz w:val="20"/>
          <w:szCs w:val="20"/>
        </w:rPr>
        <w:t>d</w:t>
      </w:r>
      <w:r w:rsidR="00141592">
        <w:rPr>
          <w:rFonts w:ascii="Arial" w:hAnsi="Arial" w:cs="Arial"/>
          <w:sz w:val="20"/>
          <w:szCs w:val="20"/>
        </w:rPr>
        <w:t>es</w:t>
      </w:r>
      <w:r w:rsidR="00141592" w:rsidRPr="00C52259">
        <w:rPr>
          <w:rFonts w:ascii="Arial" w:hAnsi="Arial" w:cs="Arial"/>
          <w:sz w:val="20"/>
          <w:szCs w:val="20"/>
        </w:rPr>
        <w:t xml:space="preserve"> tarif</w:t>
      </w:r>
      <w:r w:rsidR="00141592">
        <w:rPr>
          <w:rFonts w:ascii="Arial" w:hAnsi="Arial" w:cs="Arial"/>
          <w:sz w:val="20"/>
          <w:szCs w:val="20"/>
        </w:rPr>
        <w:t>s</w:t>
      </w:r>
      <w:r w:rsidR="00141592" w:rsidRPr="00C52259">
        <w:rPr>
          <w:rFonts w:ascii="Arial" w:hAnsi="Arial" w:cs="Arial"/>
          <w:sz w:val="20"/>
          <w:szCs w:val="20"/>
        </w:rPr>
        <w:t xml:space="preserve"> de l’électricité aurait été partiellement compensé</w:t>
      </w:r>
      <w:r w:rsidR="00141592">
        <w:rPr>
          <w:rFonts w:ascii="Arial" w:hAnsi="Arial" w:cs="Arial"/>
          <w:sz w:val="20"/>
          <w:szCs w:val="20"/>
        </w:rPr>
        <w:t>e</w:t>
      </w:r>
      <w:r w:rsidR="00141592" w:rsidRPr="00C52259">
        <w:rPr>
          <w:rFonts w:ascii="Arial" w:hAnsi="Arial" w:cs="Arial"/>
          <w:sz w:val="20"/>
          <w:szCs w:val="20"/>
        </w:rPr>
        <w:t xml:space="preserve"> par la baisse de</w:t>
      </w:r>
      <w:r w:rsidR="00141592">
        <w:rPr>
          <w:rFonts w:ascii="Arial" w:hAnsi="Arial" w:cs="Arial"/>
          <w:sz w:val="20"/>
          <w:szCs w:val="20"/>
        </w:rPr>
        <w:t>s</w:t>
      </w:r>
      <w:r w:rsidR="00141592" w:rsidRPr="00C52259">
        <w:rPr>
          <w:rFonts w:ascii="Arial" w:hAnsi="Arial" w:cs="Arial"/>
          <w:sz w:val="20"/>
          <w:szCs w:val="20"/>
        </w:rPr>
        <w:t xml:space="preserve"> prix </w:t>
      </w:r>
      <w:r w:rsidR="00231716" w:rsidRPr="00C52259">
        <w:rPr>
          <w:rFonts w:ascii="Arial" w:hAnsi="Arial" w:cs="Arial"/>
          <w:sz w:val="20"/>
          <w:szCs w:val="20"/>
        </w:rPr>
        <w:t xml:space="preserve">intérieurs </w:t>
      </w:r>
      <w:r w:rsidR="00141592" w:rsidRPr="00C52259">
        <w:rPr>
          <w:rFonts w:ascii="Arial" w:hAnsi="Arial" w:cs="Arial"/>
          <w:sz w:val="20"/>
          <w:szCs w:val="20"/>
        </w:rPr>
        <w:t>des carburants, à l’issue de la chute des cours du pétrole sur le marché international.</w:t>
      </w:r>
      <w:r w:rsidR="00141592" w:rsidRPr="00C52259">
        <w:rPr>
          <w:rFonts w:ascii="Arial" w:hAnsi="Arial" w:cs="Arial"/>
          <w:color w:val="000000"/>
          <w:sz w:val="20"/>
          <w:szCs w:val="20"/>
        </w:rPr>
        <w:t xml:space="preserve"> </w:t>
      </w:r>
      <w:r w:rsidR="00141592" w:rsidRPr="00C52259">
        <w:rPr>
          <w:rFonts w:ascii="Arial" w:hAnsi="Arial" w:cs="Arial"/>
          <w:sz w:val="20"/>
          <w:szCs w:val="20"/>
        </w:rPr>
        <w:t>L’inflation sous-jacente</w:t>
      </w:r>
      <w:r w:rsidR="00A82AFC">
        <w:rPr>
          <w:rFonts w:ascii="Arial" w:hAnsi="Arial" w:cs="Arial"/>
          <w:sz w:val="20"/>
          <w:szCs w:val="20"/>
        </w:rPr>
        <w:t>,</w:t>
      </w:r>
      <w:r w:rsidR="00141592" w:rsidRPr="00C52259">
        <w:rPr>
          <w:rFonts w:ascii="Arial" w:hAnsi="Arial" w:cs="Arial"/>
          <w:sz w:val="20"/>
          <w:szCs w:val="20"/>
        </w:rPr>
        <w:t xml:space="preserve"> qui exclut les tarifs publics, les produits frais et l’énergie, aurait, par contre, connu une légère décélération d</w:t>
      </w:r>
      <w:r w:rsidR="00231716">
        <w:rPr>
          <w:rFonts w:ascii="Arial" w:hAnsi="Arial" w:cs="Arial"/>
          <w:sz w:val="20"/>
          <w:szCs w:val="20"/>
        </w:rPr>
        <w:t>e</w:t>
      </w:r>
      <w:r w:rsidR="00141592" w:rsidRPr="00C52259">
        <w:rPr>
          <w:rFonts w:ascii="Arial" w:hAnsi="Arial" w:cs="Arial"/>
          <w:sz w:val="20"/>
          <w:szCs w:val="20"/>
        </w:rPr>
        <w:t xml:space="preserve"> son rythme de progression (+1,1%, après +1,2% au trimestre précédent), </w:t>
      </w:r>
      <w:r w:rsidR="00231716">
        <w:rPr>
          <w:rFonts w:ascii="Arial" w:hAnsi="Arial" w:cs="Arial"/>
          <w:sz w:val="20"/>
          <w:szCs w:val="20"/>
        </w:rPr>
        <w:t xml:space="preserve">suite </w:t>
      </w:r>
      <w:r w:rsidR="00141592" w:rsidRPr="00C52259">
        <w:rPr>
          <w:rFonts w:ascii="Arial" w:hAnsi="Arial" w:cs="Arial"/>
          <w:color w:val="000000"/>
          <w:sz w:val="20"/>
          <w:szCs w:val="20"/>
        </w:rPr>
        <w:t>au recul des prix des services qui aurait compensé</w:t>
      </w:r>
      <w:r w:rsidR="00141592">
        <w:rPr>
          <w:rFonts w:ascii="Arial" w:hAnsi="Arial" w:cs="Arial"/>
          <w:color w:val="000000"/>
          <w:sz w:val="20"/>
          <w:szCs w:val="20"/>
        </w:rPr>
        <w:t>,</w:t>
      </w:r>
      <w:r w:rsidR="00141592" w:rsidRPr="00C52259">
        <w:rPr>
          <w:rFonts w:ascii="Arial" w:hAnsi="Arial" w:cs="Arial"/>
          <w:color w:val="000000"/>
          <w:sz w:val="20"/>
          <w:szCs w:val="20"/>
        </w:rPr>
        <w:t xml:space="preserve"> en partie</w:t>
      </w:r>
      <w:r w:rsidR="00141592">
        <w:rPr>
          <w:rFonts w:ascii="Arial" w:hAnsi="Arial" w:cs="Arial"/>
          <w:color w:val="000000"/>
          <w:sz w:val="20"/>
          <w:szCs w:val="20"/>
        </w:rPr>
        <w:t>,</w:t>
      </w:r>
      <w:r w:rsidR="00141592" w:rsidRPr="00C52259">
        <w:rPr>
          <w:rFonts w:ascii="Arial" w:hAnsi="Arial" w:cs="Arial"/>
          <w:color w:val="000000"/>
          <w:sz w:val="20"/>
          <w:szCs w:val="20"/>
        </w:rPr>
        <w:t xml:space="preserve"> la hausse de</w:t>
      </w:r>
      <w:r w:rsidR="002667BA">
        <w:rPr>
          <w:rFonts w:ascii="Arial" w:hAnsi="Arial" w:cs="Arial"/>
          <w:color w:val="000000"/>
          <w:sz w:val="20"/>
          <w:szCs w:val="20"/>
        </w:rPr>
        <w:t>s prix</w:t>
      </w:r>
      <w:r w:rsidR="00141592" w:rsidRPr="00C52259">
        <w:rPr>
          <w:rFonts w:ascii="Arial" w:hAnsi="Arial" w:cs="Arial"/>
          <w:color w:val="000000"/>
          <w:sz w:val="20"/>
          <w:szCs w:val="20"/>
        </w:rPr>
        <w:t xml:space="preserve"> des produits hors frais.</w:t>
      </w:r>
    </w:p>
    <w:p w:rsidR="00327DAD" w:rsidRDefault="00327DAD" w:rsidP="00327DAD">
      <w:pPr>
        <w:tabs>
          <w:tab w:val="left" w:pos="5245"/>
        </w:tabs>
        <w:jc w:val="both"/>
        <w:rPr>
          <w:rFonts w:ascii="Arial" w:hAnsi="Arial" w:cs="Arial"/>
          <w:b/>
          <w:bCs/>
          <w:color w:val="800000"/>
          <w:kern w:val="28"/>
          <w:sz w:val="20"/>
          <w:szCs w:val="20"/>
        </w:rPr>
      </w:pPr>
    </w:p>
    <w:p w:rsidR="00CA3520" w:rsidRDefault="00CA3520" w:rsidP="00327DAD">
      <w:pPr>
        <w:tabs>
          <w:tab w:val="left" w:pos="5245"/>
        </w:tabs>
        <w:jc w:val="both"/>
        <w:rPr>
          <w:rFonts w:ascii="Arial" w:hAnsi="Arial" w:cs="Arial" w:hint="cs"/>
          <w:b/>
          <w:bCs/>
          <w:color w:val="800000"/>
          <w:kern w:val="28"/>
          <w:sz w:val="20"/>
          <w:szCs w:val="20"/>
          <w:rtl/>
        </w:rPr>
      </w:pPr>
    </w:p>
    <w:p w:rsidR="003E208F" w:rsidRDefault="003E208F" w:rsidP="00327DAD">
      <w:pPr>
        <w:tabs>
          <w:tab w:val="left" w:pos="5245"/>
        </w:tabs>
        <w:jc w:val="both"/>
        <w:rPr>
          <w:rFonts w:ascii="Arial" w:hAnsi="Arial" w:cs="Arial" w:hint="cs"/>
          <w:b/>
          <w:bCs/>
          <w:color w:val="800000"/>
          <w:kern w:val="28"/>
          <w:sz w:val="20"/>
          <w:szCs w:val="20"/>
          <w:rtl/>
        </w:rPr>
      </w:pPr>
    </w:p>
    <w:p w:rsidR="003E208F" w:rsidRDefault="003E208F" w:rsidP="00327DAD">
      <w:pPr>
        <w:tabs>
          <w:tab w:val="left" w:pos="5245"/>
        </w:tabs>
        <w:jc w:val="both"/>
        <w:rPr>
          <w:rFonts w:ascii="Arial" w:hAnsi="Arial" w:cs="Arial" w:hint="cs"/>
          <w:b/>
          <w:bCs/>
          <w:color w:val="800000"/>
          <w:kern w:val="28"/>
          <w:sz w:val="20"/>
          <w:szCs w:val="20"/>
          <w:rtl/>
        </w:rPr>
      </w:pPr>
    </w:p>
    <w:p w:rsidR="003E208F" w:rsidRDefault="003E208F" w:rsidP="00327DAD">
      <w:pPr>
        <w:tabs>
          <w:tab w:val="left" w:pos="5245"/>
        </w:tabs>
        <w:jc w:val="both"/>
        <w:rPr>
          <w:rFonts w:ascii="Arial" w:hAnsi="Arial" w:cs="Arial" w:hint="cs"/>
          <w:b/>
          <w:bCs/>
          <w:color w:val="800000"/>
          <w:kern w:val="28"/>
          <w:sz w:val="20"/>
          <w:szCs w:val="20"/>
        </w:rPr>
      </w:pPr>
    </w:p>
    <w:p w:rsidR="001640A8" w:rsidRPr="00A44D77" w:rsidRDefault="005D5CE6" w:rsidP="005D5CE6">
      <w:pPr>
        <w:tabs>
          <w:tab w:val="left" w:pos="5245"/>
        </w:tabs>
        <w:jc w:val="both"/>
        <w:rPr>
          <w:rFonts w:ascii="Arial" w:hAnsi="Arial" w:cs="Arial"/>
          <w:b/>
          <w:bCs/>
          <w:color w:val="800000"/>
          <w:kern w:val="28"/>
          <w:sz w:val="20"/>
          <w:szCs w:val="20"/>
        </w:rPr>
      </w:pPr>
      <w:r w:rsidRPr="00A44D77">
        <w:rPr>
          <w:rFonts w:ascii="Arial" w:hAnsi="Arial" w:cs="Arial"/>
          <w:b/>
          <w:bCs/>
          <w:color w:val="800000"/>
          <w:kern w:val="28"/>
          <w:sz w:val="20"/>
          <w:szCs w:val="20"/>
        </w:rPr>
        <w:lastRenderedPageBreak/>
        <w:t xml:space="preserve">Amélioration continue </w:t>
      </w:r>
      <w:r>
        <w:rPr>
          <w:rFonts w:ascii="Arial" w:hAnsi="Arial" w:cs="Arial"/>
          <w:b/>
          <w:bCs/>
          <w:color w:val="800000"/>
          <w:kern w:val="28"/>
          <w:sz w:val="20"/>
          <w:szCs w:val="20"/>
        </w:rPr>
        <w:t>de l</w:t>
      </w:r>
      <w:r w:rsidR="001640A8" w:rsidRPr="00A44D77">
        <w:rPr>
          <w:rFonts w:ascii="Arial" w:hAnsi="Arial" w:cs="Arial"/>
          <w:b/>
          <w:bCs/>
          <w:color w:val="800000"/>
          <w:kern w:val="28"/>
          <w:sz w:val="20"/>
          <w:szCs w:val="20"/>
        </w:rPr>
        <w:t xml:space="preserve">a masse monétaire et </w:t>
      </w:r>
      <w:r>
        <w:rPr>
          <w:rFonts w:ascii="Arial" w:hAnsi="Arial" w:cs="Arial"/>
          <w:b/>
          <w:bCs/>
          <w:color w:val="800000"/>
          <w:kern w:val="28"/>
          <w:sz w:val="20"/>
          <w:szCs w:val="20"/>
        </w:rPr>
        <w:t>d</w:t>
      </w:r>
      <w:r w:rsidR="001640A8" w:rsidRPr="00A44D77">
        <w:rPr>
          <w:rFonts w:ascii="Arial" w:hAnsi="Arial" w:cs="Arial"/>
          <w:b/>
          <w:bCs/>
          <w:color w:val="800000"/>
          <w:kern w:val="28"/>
          <w:sz w:val="20"/>
          <w:szCs w:val="20"/>
        </w:rPr>
        <w:t xml:space="preserve">es crédits à l’économie </w:t>
      </w:r>
    </w:p>
    <w:p w:rsidR="001640A8" w:rsidRPr="00A44D77" w:rsidRDefault="001640A8" w:rsidP="00327DAD">
      <w:pPr>
        <w:jc w:val="both"/>
        <w:rPr>
          <w:rFonts w:ascii="Arial" w:hAnsi="Arial" w:cs="Arial"/>
          <w:sz w:val="20"/>
          <w:szCs w:val="20"/>
        </w:rPr>
      </w:pPr>
    </w:p>
    <w:p w:rsidR="001640A8" w:rsidRPr="00A44D77" w:rsidRDefault="002E0B77" w:rsidP="006F1E4A">
      <w:pPr>
        <w:jc w:val="both"/>
        <w:rPr>
          <w:rFonts w:ascii="Arial" w:hAnsi="Arial" w:cs="Arial"/>
          <w:sz w:val="20"/>
          <w:szCs w:val="20"/>
        </w:rPr>
      </w:pPr>
      <w:r w:rsidRPr="00A44D77">
        <w:rPr>
          <w:rFonts w:ascii="Arial" w:hAnsi="Arial" w:cs="Arial"/>
          <w:sz w:val="20"/>
          <w:szCs w:val="20"/>
        </w:rPr>
        <w:t xml:space="preserve">La masse </w:t>
      </w:r>
      <w:r w:rsidRPr="00A44D77">
        <w:rPr>
          <w:rFonts w:ascii="Arial" w:hAnsi="Arial" w:cs="Arial"/>
          <w:b/>
          <w:bCs/>
          <w:sz w:val="20"/>
          <w:szCs w:val="20"/>
        </w:rPr>
        <w:t xml:space="preserve">monétaire </w:t>
      </w:r>
      <w:r w:rsidRPr="00A44D77">
        <w:rPr>
          <w:rFonts w:ascii="Arial" w:hAnsi="Arial" w:cs="Arial"/>
          <w:sz w:val="20"/>
          <w:szCs w:val="20"/>
        </w:rPr>
        <w:t>aurait poursuivi son mouvement haussier</w:t>
      </w:r>
      <w:r w:rsidR="00591C85">
        <w:rPr>
          <w:rFonts w:ascii="Arial" w:hAnsi="Arial" w:cs="Arial"/>
          <w:sz w:val="20"/>
          <w:szCs w:val="20"/>
        </w:rPr>
        <w:t>,</w:t>
      </w:r>
      <w:r w:rsidRPr="00A44D77">
        <w:rPr>
          <w:rFonts w:ascii="Arial" w:hAnsi="Arial" w:cs="Arial"/>
          <w:sz w:val="20"/>
          <w:szCs w:val="20"/>
        </w:rPr>
        <w:t xml:space="preserve"> entamé à partir du deuxième trimestre 2014. Sa croissance se serait établie à +7,2% au premier trimestre 2015, en glissement annuel, au lieu de +6,6% un trimestre plus tôt et devrait se situer à +6,4% au deuxième trimestre. Parallèlement, les créances sur l’économie auraient poursuivi leur amélioration, marquant une hausse de 5,1% au premier trimestre 2015, et progresserait de 5,2%, au deuxième trimestre.</w:t>
      </w:r>
      <w:r w:rsidR="006F1E4A">
        <w:rPr>
          <w:rFonts w:ascii="Arial" w:hAnsi="Arial" w:cs="Arial"/>
          <w:sz w:val="20"/>
          <w:szCs w:val="20"/>
        </w:rPr>
        <w:t xml:space="preserve"> </w:t>
      </w:r>
      <w:r>
        <w:rPr>
          <w:rFonts w:ascii="Arial" w:hAnsi="Arial" w:cs="Arial"/>
          <w:sz w:val="20"/>
          <w:szCs w:val="20"/>
        </w:rPr>
        <w:t>Toutefois, malgré la hausse de la masse monétaire, l</w:t>
      </w:r>
      <w:r w:rsidR="001640A8" w:rsidRPr="00A44D77">
        <w:rPr>
          <w:rFonts w:ascii="Arial" w:hAnsi="Arial" w:cs="Arial"/>
          <w:sz w:val="20"/>
          <w:szCs w:val="20"/>
        </w:rPr>
        <w:t xml:space="preserve">e déficit de la </w:t>
      </w:r>
      <w:r w:rsidR="001640A8" w:rsidRPr="00A44D77">
        <w:rPr>
          <w:rFonts w:ascii="Arial" w:hAnsi="Arial" w:cs="Arial"/>
          <w:b/>
          <w:bCs/>
          <w:sz w:val="20"/>
          <w:szCs w:val="20"/>
        </w:rPr>
        <w:t xml:space="preserve">liquidité </w:t>
      </w:r>
      <w:r w:rsidR="001640A8" w:rsidRPr="00A44D77">
        <w:rPr>
          <w:rFonts w:ascii="Arial" w:hAnsi="Arial" w:cs="Arial"/>
          <w:sz w:val="20"/>
          <w:szCs w:val="20"/>
        </w:rPr>
        <w:t>des banques se serait légèrement accru au premier trimestre 2015.</w:t>
      </w:r>
      <w:r>
        <w:rPr>
          <w:rFonts w:ascii="Arial" w:hAnsi="Arial" w:cs="Arial"/>
          <w:sz w:val="20"/>
          <w:szCs w:val="20"/>
        </w:rPr>
        <w:t xml:space="preserve"> </w:t>
      </w:r>
      <w:r w:rsidR="00E2612E">
        <w:rPr>
          <w:rFonts w:ascii="Arial" w:hAnsi="Arial" w:cs="Arial"/>
          <w:sz w:val="20"/>
          <w:szCs w:val="20"/>
        </w:rPr>
        <w:t>L</w:t>
      </w:r>
      <w:r w:rsidR="001640A8" w:rsidRPr="00A44D77">
        <w:rPr>
          <w:rFonts w:ascii="Arial" w:hAnsi="Arial" w:cs="Arial"/>
          <w:sz w:val="20"/>
          <w:szCs w:val="20"/>
        </w:rPr>
        <w:t>es opérations de financement du Trésor sur le marché monétaire auraient</w:t>
      </w:r>
      <w:r w:rsidR="00E2612E">
        <w:rPr>
          <w:rFonts w:ascii="Arial" w:hAnsi="Arial" w:cs="Arial"/>
          <w:sz w:val="20"/>
          <w:szCs w:val="20"/>
        </w:rPr>
        <w:t>, quelque peu, atténué</w:t>
      </w:r>
      <w:r w:rsidR="001640A8" w:rsidRPr="00A44D77">
        <w:rPr>
          <w:rFonts w:ascii="Arial" w:hAnsi="Arial" w:cs="Arial"/>
          <w:sz w:val="20"/>
          <w:szCs w:val="20"/>
        </w:rPr>
        <w:t xml:space="preserve"> la hausse de la monnaie fiduciaire et des avoirs extérieurs, entraînant une réduction des liquidités. Dans ce sens, la Banque Centrale a légèrement augmenté ses niveaux d’interventions pour combler l’écart.</w:t>
      </w:r>
    </w:p>
    <w:p w:rsidR="001640A8" w:rsidRPr="00A44D77" w:rsidRDefault="001640A8" w:rsidP="001640A8">
      <w:pPr>
        <w:jc w:val="both"/>
        <w:rPr>
          <w:rFonts w:ascii="Arial" w:hAnsi="Arial" w:cs="Arial"/>
          <w:sz w:val="20"/>
          <w:szCs w:val="20"/>
        </w:rPr>
      </w:pPr>
    </w:p>
    <w:p w:rsidR="001640A8" w:rsidRPr="00A44D77" w:rsidRDefault="002E0B77" w:rsidP="002E0B77">
      <w:pPr>
        <w:jc w:val="both"/>
        <w:rPr>
          <w:rFonts w:ascii="Arial" w:hAnsi="Arial" w:cs="Arial"/>
          <w:sz w:val="20"/>
          <w:szCs w:val="20"/>
        </w:rPr>
      </w:pPr>
      <w:r>
        <w:rPr>
          <w:rFonts w:ascii="Arial" w:hAnsi="Arial" w:cs="Arial"/>
          <w:sz w:val="20"/>
          <w:szCs w:val="20"/>
        </w:rPr>
        <w:t>Pour leur part, l</w:t>
      </w:r>
      <w:r w:rsidR="001640A8" w:rsidRPr="00A44D77">
        <w:rPr>
          <w:rFonts w:ascii="Arial" w:hAnsi="Arial" w:cs="Arial"/>
          <w:sz w:val="20"/>
          <w:szCs w:val="20"/>
        </w:rPr>
        <w:t>es taux d’</w:t>
      </w:r>
      <w:r w:rsidR="001640A8" w:rsidRPr="00A44D77">
        <w:rPr>
          <w:rFonts w:ascii="Arial" w:hAnsi="Arial" w:cs="Arial"/>
          <w:b/>
          <w:bCs/>
          <w:sz w:val="20"/>
          <w:szCs w:val="20"/>
        </w:rPr>
        <w:t>intérêts</w:t>
      </w:r>
      <w:r w:rsidR="001640A8" w:rsidRPr="00A44D77">
        <w:rPr>
          <w:rFonts w:ascii="Arial" w:hAnsi="Arial" w:cs="Arial"/>
          <w:sz w:val="20"/>
          <w:szCs w:val="20"/>
        </w:rPr>
        <w:t xml:space="preserve"> se seraient nettement détendus sur le marché monétaire, au début de l’année en cours. Leur repli se serait accentué</w:t>
      </w:r>
      <w:r w:rsidR="007404DE">
        <w:rPr>
          <w:rFonts w:ascii="Arial" w:hAnsi="Arial" w:cs="Arial"/>
          <w:sz w:val="20"/>
          <w:szCs w:val="20"/>
        </w:rPr>
        <w:t>,</w:t>
      </w:r>
      <w:r w:rsidR="001640A8" w:rsidRPr="00A44D77">
        <w:rPr>
          <w:rFonts w:ascii="Arial" w:hAnsi="Arial" w:cs="Arial"/>
          <w:sz w:val="20"/>
          <w:szCs w:val="20"/>
        </w:rPr>
        <w:t xml:space="preserve"> après les baisses successives du taux directeur de la Banque Centrale en septembre et en décembre 2014. Les taux interbancaires auraient</w:t>
      </w:r>
      <w:r w:rsidR="00B07046">
        <w:rPr>
          <w:rFonts w:ascii="Arial" w:hAnsi="Arial" w:cs="Arial"/>
          <w:sz w:val="20"/>
          <w:szCs w:val="20"/>
        </w:rPr>
        <w:t>, ainsi,</w:t>
      </w:r>
      <w:r w:rsidR="001640A8" w:rsidRPr="00A44D77">
        <w:rPr>
          <w:rFonts w:ascii="Arial" w:hAnsi="Arial" w:cs="Arial"/>
          <w:sz w:val="20"/>
          <w:szCs w:val="20"/>
        </w:rPr>
        <w:t xml:space="preserve"> reculé de plus de 50 points de base au premier trimestre 2015, comparé au même trimestre de l’année antérieure et les taux d’intérêt des adjudications des bons du Trésor à un an auraient baissé de plus de 100 points de base à la même période.</w:t>
      </w:r>
    </w:p>
    <w:p w:rsidR="001640A8" w:rsidRPr="00A44D77" w:rsidRDefault="001640A8" w:rsidP="001640A8">
      <w:pPr>
        <w:jc w:val="both"/>
        <w:rPr>
          <w:rFonts w:ascii="Arial" w:hAnsi="Arial" w:cs="Arial"/>
          <w:sz w:val="20"/>
          <w:szCs w:val="20"/>
        </w:rPr>
      </w:pPr>
    </w:p>
    <w:p w:rsidR="001640A8" w:rsidRPr="001640A8" w:rsidRDefault="00B07046" w:rsidP="00B07046">
      <w:pPr>
        <w:spacing w:line="300" w:lineRule="exact"/>
        <w:jc w:val="both"/>
        <w:rPr>
          <w:rFonts w:ascii="Arial" w:hAnsi="Arial" w:cs="Arial"/>
          <w:b/>
          <w:bCs/>
          <w:color w:val="800000"/>
          <w:kern w:val="28"/>
          <w:sz w:val="20"/>
          <w:szCs w:val="20"/>
        </w:rPr>
      </w:pPr>
      <w:r>
        <w:rPr>
          <w:rFonts w:ascii="Arial" w:hAnsi="Arial" w:cs="Arial"/>
          <w:b/>
          <w:bCs/>
          <w:color w:val="800000"/>
          <w:kern w:val="28"/>
          <w:sz w:val="20"/>
          <w:szCs w:val="20"/>
        </w:rPr>
        <w:t>O</w:t>
      </w:r>
      <w:r w:rsidR="007404DE">
        <w:rPr>
          <w:rFonts w:ascii="Arial" w:hAnsi="Arial" w:cs="Arial"/>
          <w:b/>
          <w:bCs/>
          <w:color w:val="800000"/>
          <w:kern w:val="28"/>
          <w:sz w:val="20"/>
          <w:szCs w:val="20"/>
        </w:rPr>
        <w:t>rientation favorable des indicateurs boursiers</w:t>
      </w:r>
      <w:r w:rsidR="001640A8" w:rsidRPr="001640A8">
        <w:rPr>
          <w:rFonts w:ascii="Arial" w:hAnsi="Arial" w:cs="Arial"/>
          <w:b/>
          <w:bCs/>
          <w:color w:val="800000"/>
          <w:kern w:val="28"/>
          <w:sz w:val="20"/>
          <w:szCs w:val="20"/>
        </w:rPr>
        <w:t xml:space="preserve"> </w:t>
      </w:r>
    </w:p>
    <w:p w:rsidR="001640A8" w:rsidRPr="001640A8" w:rsidRDefault="001640A8" w:rsidP="001640A8">
      <w:pPr>
        <w:jc w:val="both"/>
        <w:rPr>
          <w:rFonts w:ascii="Arial" w:hAnsi="Arial" w:cs="Arial"/>
          <w:sz w:val="20"/>
          <w:szCs w:val="20"/>
        </w:rPr>
      </w:pPr>
    </w:p>
    <w:p w:rsidR="001640A8" w:rsidRPr="001640A8" w:rsidRDefault="008C7957" w:rsidP="007C402D">
      <w:pPr>
        <w:jc w:val="both"/>
        <w:rPr>
          <w:rFonts w:ascii="Arial" w:hAnsi="Arial" w:cs="Arial"/>
          <w:sz w:val="20"/>
          <w:szCs w:val="20"/>
        </w:rPr>
      </w:pPr>
      <w:r>
        <w:rPr>
          <w:noProof/>
        </w:rPr>
        <w:drawing>
          <wp:anchor distT="0" distB="0" distL="114300" distR="114300" simplePos="0" relativeHeight="251656192" behindDoc="0" locked="0" layoutInCell="1" allowOverlap="1">
            <wp:simplePos x="0" y="0"/>
            <wp:positionH relativeFrom="column">
              <wp:posOffset>4000500</wp:posOffset>
            </wp:positionH>
            <wp:positionV relativeFrom="paragraph">
              <wp:posOffset>120650</wp:posOffset>
            </wp:positionV>
            <wp:extent cx="2470785" cy="1969135"/>
            <wp:effectExtent l="0" t="0" r="0" b="0"/>
            <wp:wrapSquare wrapText="bothSides"/>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a:srcRect/>
                    <a:stretch>
                      <a:fillRect/>
                    </a:stretch>
                  </pic:blipFill>
                  <pic:spPr bwMode="auto">
                    <a:xfrm>
                      <a:off x="0" y="0"/>
                      <a:ext cx="2470785" cy="1969135"/>
                    </a:xfrm>
                    <a:prstGeom prst="rect">
                      <a:avLst/>
                    </a:prstGeom>
                    <a:noFill/>
                    <a:ln w="9525">
                      <a:noFill/>
                      <a:miter lim="800000"/>
                      <a:headEnd/>
                      <a:tailEnd/>
                    </a:ln>
                  </pic:spPr>
                </pic:pic>
              </a:graphicData>
            </a:graphic>
          </wp:anchor>
        </w:drawing>
      </w:r>
      <w:r w:rsidR="001640A8" w:rsidRPr="001640A8">
        <w:rPr>
          <w:rFonts w:ascii="Arial" w:hAnsi="Arial" w:cs="Arial"/>
          <w:sz w:val="20"/>
          <w:szCs w:val="20"/>
        </w:rPr>
        <w:t xml:space="preserve">Le marché des </w:t>
      </w:r>
      <w:r w:rsidR="001640A8" w:rsidRPr="001640A8">
        <w:rPr>
          <w:rFonts w:ascii="Arial" w:hAnsi="Arial" w:cs="Arial"/>
          <w:b/>
          <w:bCs/>
          <w:sz w:val="20"/>
          <w:szCs w:val="20"/>
        </w:rPr>
        <w:t>actions</w:t>
      </w:r>
      <w:r w:rsidR="001640A8" w:rsidRPr="001640A8">
        <w:rPr>
          <w:rFonts w:ascii="Arial" w:hAnsi="Arial" w:cs="Arial"/>
          <w:sz w:val="20"/>
          <w:szCs w:val="20"/>
        </w:rPr>
        <w:t xml:space="preserve"> se serait favorablement comporté au premier trimestre 2015. Le cycle haussier marquant l’année 2014 s</w:t>
      </w:r>
      <w:r w:rsidR="007C402D">
        <w:rPr>
          <w:rFonts w:ascii="Arial" w:hAnsi="Arial" w:cs="Arial"/>
          <w:sz w:val="20"/>
          <w:szCs w:val="20"/>
        </w:rPr>
        <w:t xml:space="preserve">e serait </w:t>
      </w:r>
      <w:r w:rsidR="001640A8" w:rsidRPr="001640A8">
        <w:rPr>
          <w:rFonts w:ascii="Arial" w:hAnsi="Arial" w:cs="Arial"/>
          <w:sz w:val="20"/>
          <w:szCs w:val="20"/>
        </w:rPr>
        <w:t xml:space="preserve">prolongé au début de l’année en cours. Les cours boursiers se seraient globalement appréciés, malgré la baisse agrégée des résultats comptables des sociétés cotées. Le repli des taux d’intérêt, notamment ceux des bons du Trésor, aurait facilité l’arbitrage en faveur du marché boursier. </w:t>
      </w:r>
      <w:r w:rsidR="007C402D">
        <w:rPr>
          <w:rFonts w:ascii="Arial" w:hAnsi="Arial" w:cs="Arial"/>
          <w:sz w:val="20"/>
          <w:szCs w:val="20"/>
        </w:rPr>
        <w:t>L</w:t>
      </w:r>
      <w:r w:rsidR="001640A8" w:rsidRPr="001640A8">
        <w:rPr>
          <w:rFonts w:ascii="Arial" w:hAnsi="Arial" w:cs="Arial"/>
          <w:sz w:val="20"/>
          <w:szCs w:val="20"/>
        </w:rPr>
        <w:t xml:space="preserve">’investissement en bourse aurait dégagé un volume des transactions en nette hausse. Les indices MASI et MADEX auraient progressé de 7,9% et 8,6% respectivement, en glissements annuels, au premier trimestre 2015, au lieu de +5,6% et +5,7% un trimestre plus tôt. Pour sa part, la capitalisation boursière se serait appréciée de 10,4%, en raison notamment de la progression des cours des sociétés cotées. Le volume des transactions aurait évolué légèrement au dessus de son niveau potentiel, affichant une augmentation de 71,4% en glissement annuel, au premier trimestre 2015. </w:t>
      </w:r>
    </w:p>
    <w:p w:rsidR="002E7184" w:rsidRPr="001640A8" w:rsidRDefault="002E7184" w:rsidP="002E7184">
      <w:pPr>
        <w:jc w:val="both"/>
        <w:rPr>
          <w:rFonts w:ascii="Arial" w:hAnsi="Arial" w:cs="Arial"/>
          <w:sz w:val="20"/>
          <w:szCs w:val="20"/>
        </w:rPr>
      </w:pPr>
    </w:p>
    <w:p w:rsidR="007469FE" w:rsidRPr="001640A8" w:rsidRDefault="00B07046" w:rsidP="00B07046">
      <w:pPr>
        <w:jc w:val="both"/>
        <w:rPr>
          <w:rFonts w:ascii="Arial" w:hAnsi="Arial" w:cs="Arial"/>
          <w:b/>
          <w:bCs/>
          <w:color w:val="800000"/>
          <w:kern w:val="28"/>
          <w:sz w:val="20"/>
          <w:szCs w:val="20"/>
        </w:rPr>
      </w:pPr>
      <w:r>
        <w:rPr>
          <w:rFonts w:ascii="Arial" w:hAnsi="Arial" w:cs="Arial"/>
          <w:b/>
          <w:bCs/>
          <w:color w:val="800000"/>
          <w:kern w:val="28"/>
          <w:sz w:val="20"/>
          <w:szCs w:val="20"/>
        </w:rPr>
        <w:t xml:space="preserve">Légère </w:t>
      </w:r>
      <w:r w:rsidR="000C3807">
        <w:rPr>
          <w:rFonts w:ascii="Arial" w:hAnsi="Arial" w:cs="Arial"/>
          <w:b/>
          <w:bCs/>
          <w:color w:val="800000"/>
          <w:kern w:val="28"/>
          <w:sz w:val="20"/>
          <w:szCs w:val="20"/>
        </w:rPr>
        <w:t>a</w:t>
      </w:r>
      <w:r w:rsidR="002D54B6" w:rsidRPr="001640A8">
        <w:rPr>
          <w:rFonts w:ascii="Arial" w:hAnsi="Arial" w:cs="Arial"/>
          <w:b/>
          <w:bCs/>
          <w:color w:val="800000"/>
          <w:kern w:val="28"/>
          <w:sz w:val="20"/>
          <w:szCs w:val="20"/>
        </w:rPr>
        <w:t>ccélération</w:t>
      </w:r>
      <w:r w:rsidR="007469FE" w:rsidRPr="001640A8">
        <w:rPr>
          <w:rFonts w:ascii="Arial" w:hAnsi="Arial" w:cs="Arial"/>
          <w:b/>
          <w:bCs/>
          <w:color w:val="800000"/>
          <w:kern w:val="28"/>
          <w:sz w:val="20"/>
          <w:szCs w:val="20"/>
        </w:rPr>
        <w:t xml:space="preserve"> de la croissance au </w:t>
      </w:r>
      <w:r w:rsidR="003F70F5" w:rsidRPr="001640A8">
        <w:rPr>
          <w:rFonts w:ascii="Arial" w:hAnsi="Arial" w:cs="Arial"/>
          <w:b/>
          <w:bCs/>
          <w:color w:val="800000"/>
          <w:kern w:val="28"/>
          <w:sz w:val="20"/>
          <w:szCs w:val="20"/>
        </w:rPr>
        <w:t>deuxième</w:t>
      </w:r>
      <w:r w:rsidR="007469FE" w:rsidRPr="001640A8">
        <w:rPr>
          <w:rFonts w:ascii="Arial" w:hAnsi="Arial" w:cs="Arial"/>
          <w:b/>
          <w:bCs/>
          <w:color w:val="800000"/>
          <w:kern w:val="28"/>
          <w:sz w:val="20"/>
          <w:szCs w:val="20"/>
        </w:rPr>
        <w:t xml:space="preserve"> trimestre </w:t>
      </w:r>
      <w:r w:rsidR="002D54B6" w:rsidRPr="001640A8">
        <w:rPr>
          <w:rFonts w:ascii="Arial" w:hAnsi="Arial" w:cs="Arial"/>
          <w:b/>
          <w:bCs/>
          <w:color w:val="800000"/>
          <w:kern w:val="28"/>
          <w:sz w:val="20"/>
          <w:szCs w:val="20"/>
        </w:rPr>
        <w:t>2015</w:t>
      </w:r>
    </w:p>
    <w:p w:rsidR="007469FE" w:rsidRPr="001640A8" w:rsidRDefault="007469FE" w:rsidP="00C6155E">
      <w:pPr>
        <w:jc w:val="both"/>
        <w:rPr>
          <w:rFonts w:ascii="Arial" w:hAnsi="Arial" w:cs="Arial"/>
          <w:b/>
          <w:bCs/>
          <w:color w:val="800000"/>
          <w:kern w:val="28"/>
          <w:sz w:val="20"/>
          <w:szCs w:val="20"/>
        </w:rPr>
      </w:pPr>
    </w:p>
    <w:p w:rsidR="00363F52" w:rsidRDefault="00645ED5" w:rsidP="0004391D">
      <w:pPr>
        <w:jc w:val="both"/>
        <w:rPr>
          <w:rFonts w:ascii="Arial" w:hAnsi="Arial" w:cs="Arial"/>
          <w:sz w:val="20"/>
          <w:szCs w:val="20"/>
        </w:rPr>
      </w:pPr>
      <w:r>
        <w:rPr>
          <w:rFonts w:ascii="Arial" w:hAnsi="Arial" w:cs="Arial"/>
          <w:sz w:val="20"/>
          <w:szCs w:val="20"/>
        </w:rPr>
        <w:t>L</w:t>
      </w:r>
      <w:r w:rsidR="00AB3660">
        <w:rPr>
          <w:rFonts w:ascii="Arial" w:hAnsi="Arial" w:cs="Arial"/>
          <w:sz w:val="20"/>
          <w:szCs w:val="20"/>
        </w:rPr>
        <w:t xml:space="preserve">e redressement </w:t>
      </w:r>
      <w:r>
        <w:rPr>
          <w:rFonts w:ascii="Arial" w:hAnsi="Arial" w:cs="Arial"/>
          <w:sz w:val="20"/>
          <w:szCs w:val="20"/>
        </w:rPr>
        <w:t xml:space="preserve">de l’économie marocaine </w:t>
      </w:r>
      <w:r w:rsidR="003F70F5">
        <w:rPr>
          <w:rFonts w:ascii="Arial" w:hAnsi="Arial" w:cs="Arial"/>
          <w:sz w:val="20"/>
          <w:szCs w:val="20"/>
        </w:rPr>
        <w:t xml:space="preserve">se poursuivrait </w:t>
      </w:r>
      <w:r>
        <w:rPr>
          <w:rFonts w:ascii="Arial" w:hAnsi="Arial" w:cs="Arial"/>
          <w:sz w:val="20"/>
          <w:szCs w:val="20"/>
        </w:rPr>
        <w:t xml:space="preserve">au </w:t>
      </w:r>
      <w:r w:rsidR="003F70F5">
        <w:rPr>
          <w:rFonts w:ascii="Arial" w:hAnsi="Arial" w:cs="Arial"/>
          <w:sz w:val="20"/>
          <w:szCs w:val="20"/>
        </w:rPr>
        <w:t>deuxième</w:t>
      </w:r>
      <w:r>
        <w:rPr>
          <w:rFonts w:ascii="Arial" w:hAnsi="Arial" w:cs="Arial"/>
          <w:sz w:val="20"/>
          <w:szCs w:val="20"/>
        </w:rPr>
        <w:t xml:space="preserve"> trimestre 2015</w:t>
      </w:r>
      <w:r w:rsidR="007404DE">
        <w:rPr>
          <w:rFonts w:ascii="Arial" w:hAnsi="Arial" w:cs="Arial"/>
          <w:sz w:val="20"/>
          <w:szCs w:val="20"/>
        </w:rPr>
        <w:t>,</w:t>
      </w:r>
      <w:r w:rsidR="00AB3660">
        <w:rPr>
          <w:rFonts w:ascii="Arial" w:hAnsi="Arial" w:cs="Arial"/>
          <w:sz w:val="20"/>
          <w:szCs w:val="20"/>
        </w:rPr>
        <w:t xml:space="preserve"> sous-tendu</w:t>
      </w:r>
      <w:r w:rsidR="008F7807">
        <w:rPr>
          <w:rFonts w:ascii="Arial" w:hAnsi="Arial" w:cs="Arial"/>
          <w:sz w:val="20"/>
          <w:szCs w:val="20"/>
        </w:rPr>
        <w:t xml:space="preserve"> </w:t>
      </w:r>
      <w:r w:rsidR="00AB3660">
        <w:rPr>
          <w:rFonts w:ascii="Arial" w:hAnsi="Arial" w:cs="Arial"/>
          <w:sz w:val="20"/>
          <w:szCs w:val="20"/>
        </w:rPr>
        <w:t xml:space="preserve">par </w:t>
      </w:r>
      <w:r w:rsidR="005C293A">
        <w:rPr>
          <w:rFonts w:ascii="Arial" w:hAnsi="Arial" w:cs="Arial"/>
          <w:sz w:val="20"/>
          <w:szCs w:val="20"/>
        </w:rPr>
        <w:t xml:space="preserve">une </w:t>
      </w:r>
      <w:r w:rsidR="00AB3660">
        <w:rPr>
          <w:rFonts w:ascii="Arial" w:hAnsi="Arial" w:cs="Arial"/>
          <w:sz w:val="20"/>
          <w:szCs w:val="20"/>
        </w:rPr>
        <w:t xml:space="preserve">amélioration </w:t>
      </w:r>
      <w:r w:rsidR="005C293A">
        <w:rPr>
          <w:rFonts w:ascii="Arial" w:hAnsi="Arial" w:cs="Arial"/>
          <w:sz w:val="20"/>
          <w:szCs w:val="20"/>
        </w:rPr>
        <w:t>de 12,9% de</w:t>
      </w:r>
      <w:r w:rsidR="00363F52">
        <w:rPr>
          <w:rFonts w:ascii="Arial" w:hAnsi="Arial" w:cs="Arial"/>
          <w:sz w:val="20"/>
          <w:szCs w:val="20"/>
        </w:rPr>
        <w:t xml:space="preserve"> l</w:t>
      </w:r>
      <w:r w:rsidR="00363F52" w:rsidRPr="004C74B2">
        <w:rPr>
          <w:rFonts w:ascii="Arial" w:hAnsi="Arial" w:cs="Arial"/>
          <w:sz w:val="20"/>
          <w:szCs w:val="20"/>
        </w:rPr>
        <w:t>a valeur ajoutée, en variation annuelle</w:t>
      </w:r>
      <w:r w:rsidR="00A82AFC">
        <w:rPr>
          <w:rFonts w:ascii="Arial" w:hAnsi="Arial" w:cs="Arial"/>
          <w:sz w:val="20"/>
          <w:szCs w:val="20"/>
        </w:rPr>
        <w:t>.</w:t>
      </w:r>
      <w:r w:rsidR="00363F52" w:rsidRPr="004C74B2">
        <w:rPr>
          <w:rFonts w:ascii="Arial" w:hAnsi="Arial" w:cs="Arial"/>
          <w:sz w:val="20"/>
          <w:szCs w:val="20"/>
        </w:rPr>
        <w:t xml:space="preserve"> Ce regain</w:t>
      </w:r>
      <w:r w:rsidR="005C293A">
        <w:rPr>
          <w:rFonts w:ascii="Arial" w:hAnsi="Arial" w:cs="Arial"/>
          <w:sz w:val="20"/>
          <w:szCs w:val="20"/>
        </w:rPr>
        <w:t xml:space="preserve"> de dynamisme</w:t>
      </w:r>
      <w:r w:rsidR="00363F52" w:rsidRPr="004C74B2">
        <w:rPr>
          <w:rFonts w:ascii="Arial" w:hAnsi="Arial" w:cs="Arial"/>
          <w:sz w:val="20"/>
          <w:szCs w:val="20"/>
        </w:rPr>
        <w:t xml:space="preserve">, principalement </w:t>
      </w:r>
      <w:r w:rsidR="0004391D">
        <w:rPr>
          <w:rFonts w:ascii="Arial" w:hAnsi="Arial" w:cs="Arial"/>
          <w:sz w:val="20"/>
          <w:szCs w:val="20"/>
        </w:rPr>
        <w:t>favorisé</w:t>
      </w:r>
      <w:r w:rsidR="00363F52" w:rsidRPr="004C74B2">
        <w:rPr>
          <w:rFonts w:ascii="Arial" w:hAnsi="Arial" w:cs="Arial"/>
          <w:sz w:val="20"/>
          <w:szCs w:val="20"/>
        </w:rPr>
        <w:t xml:space="preserve"> par une hausse des productions végétale et animale, serait accompagné par une réduction du volume des importations agricoles, notamment en produits céréaliers, après une hausse de 14% au cours de la même période de l’année précédente.   </w:t>
      </w:r>
    </w:p>
    <w:p w:rsidR="007404DE" w:rsidRPr="004C74B2" w:rsidRDefault="008C7957" w:rsidP="007404DE">
      <w:pPr>
        <w:jc w:val="both"/>
        <w:rPr>
          <w:rFonts w:ascii="Arial" w:hAnsi="Arial" w:cs="Arial"/>
          <w:sz w:val="20"/>
          <w:szCs w:val="20"/>
        </w:rPr>
      </w:pPr>
      <w:r>
        <w:rPr>
          <w:noProof/>
        </w:rPr>
        <w:drawing>
          <wp:anchor distT="0" distB="0" distL="114300" distR="114300" simplePos="0" relativeHeight="251661312" behindDoc="0" locked="0" layoutInCell="1" allowOverlap="1">
            <wp:simplePos x="0" y="0"/>
            <wp:positionH relativeFrom="column">
              <wp:posOffset>4000500</wp:posOffset>
            </wp:positionH>
            <wp:positionV relativeFrom="paragraph">
              <wp:posOffset>12065</wp:posOffset>
            </wp:positionV>
            <wp:extent cx="2595245" cy="2219960"/>
            <wp:effectExtent l="0" t="0" r="0" b="0"/>
            <wp:wrapSquare wrapText="bothSides"/>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
                    <a:srcRect/>
                    <a:stretch>
                      <a:fillRect/>
                    </a:stretch>
                  </pic:blipFill>
                  <pic:spPr bwMode="auto">
                    <a:xfrm>
                      <a:off x="0" y="0"/>
                      <a:ext cx="2595245" cy="2219960"/>
                    </a:xfrm>
                    <a:prstGeom prst="rect">
                      <a:avLst/>
                    </a:prstGeom>
                    <a:noFill/>
                    <a:ln w="9525">
                      <a:noFill/>
                      <a:miter lim="800000"/>
                      <a:headEnd/>
                      <a:tailEnd/>
                    </a:ln>
                  </pic:spPr>
                </pic:pic>
              </a:graphicData>
            </a:graphic>
          </wp:anchor>
        </w:drawing>
      </w:r>
    </w:p>
    <w:p w:rsidR="00D00B10" w:rsidRPr="00D00B10" w:rsidRDefault="007404DE" w:rsidP="0004391D">
      <w:pPr>
        <w:autoSpaceDE w:val="0"/>
        <w:autoSpaceDN w:val="0"/>
        <w:adjustRightInd w:val="0"/>
        <w:jc w:val="both"/>
      </w:pPr>
      <w:r>
        <w:rPr>
          <w:rFonts w:ascii="Arial" w:hAnsi="Arial" w:cs="Arial"/>
          <w:sz w:val="20"/>
          <w:szCs w:val="20"/>
        </w:rPr>
        <w:t>Par ailleurs</w:t>
      </w:r>
      <w:r w:rsidR="0040014D">
        <w:rPr>
          <w:rFonts w:ascii="Arial" w:hAnsi="Arial" w:cs="Arial"/>
          <w:sz w:val="20"/>
          <w:szCs w:val="20"/>
        </w:rPr>
        <w:t xml:space="preserve">, et dans un contexte </w:t>
      </w:r>
      <w:r w:rsidR="00A82AFC">
        <w:rPr>
          <w:rFonts w:ascii="Arial" w:hAnsi="Arial" w:cs="Arial"/>
          <w:sz w:val="20"/>
          <w:szCs w:val="20"/>
        </w:rPr>
        <w:t xml:space="preserve">de </w:t>
      </w:r>
      <w:r w:rsidR="0040014D">
        <w:rPr>
          <w:rFonts w:ascii="Arial" w:hAnsi="Arial" w:cs="Arial"/>
          <w:sz w:val="20"/>
          <w:szCs w:val="20"/>
        </w:rPr>
        <w:t xml:space="preserve">modération des cours </w:t>
      </w:r>
      <w:r w:rsidR="00A82AFC">
        <w:rPr>
          <w:rFonts w:ascii="Arial" w:hAnsi="Arial" w:cs="Arial"/>
          <w:sz w:val="20"/>
          <w:szCs w:val="20"/>
        </w:rPr>
        <w:t xml:space="preserve">internationaux </w:t>
      </w:r>
      <w:r w:rsidR="0040014D">
        <w:rPr>
          <w:rFonts w:ascii="Arial" w:hAnsi="Arial" w:cs="Arial"/>
          <w:sz w:val="20"/>
          <w:szCs w:val="20"/>
        </w:rPr>
        <w:t xml:space="preserve">du pétrole et d’une amélioration de </w:t>
      </w:r>
      <w:r w:rsidR="00AB3660">
        <w:rPr>
          <w:rFonts w:ascii="Arial" w:hAnsi="Arial" w:cs="Arial"/>
          <w:sz w:val="20"/>
          <w:szCs w:val="20"/>
        </w:rPr>
        <w:t>la conjoncture</w:t>
      </w:r>
      <w:r w:rsidR="0040014D">
        <w:rPr>
          <w:rFonts w:ascii="Arial" w:hAnsi="Arial" w:cs="Arial"/>
          <w:sz w:val="20"/>
          <w:szCs w:val="20"/>
        </w:rPr>
        <w:t xml:space="preserve"> international</w:t>
      </w:r>
      <w:r w:rsidR="00AB3660">
        <w:rPr>
          <w:rFonts w:ascii="Arial" w:hAnsi="Arial" w:cs="Arial"/>
          <w:sz w:val="20"/>
          <w:szCs w:val="20"/>
        </w:rPr>
        <w:t>e</w:t>
      </w:r>
      <w:r w:rsidR="0040014D">
        <w:rPr>
          <w:rFonts w:ascii="Arial" w:hAnsi="Arial" w:cs="Arial"/>
          <w:sz w:val="20"/>
          <w:szCs w:val="20"/>
        </w:rPr>
        <w:t xml:space="preserve">, notamment </w:t>
      </w:r>
      <w:r w:rsidR="00A82AFC">
        <w:rPr>
          <w:rFonts w:ascii="Arial" w:hAnsi="Arial" w:cs="Arial"/>
          <w:sz w:val="20"/>
          <w:szCs w:val="20"/>
        </w:rPr>
        <w:t xml:space="preserve">celle </w:t>
      </w:r>
      <w:r w:rsidR="0040014D">
        <w:rPr>
          <w:rFonts w:ascii="Arial" w:hAnsi="Arial" w:cs="Arial"/>
          <w:sz w:val="20"/>
          <w:szCs w:val="20"/>
        </w:rPr>
        <w:t xml:space="preserve">de la zone euro, </w:t>
      </w:r>
      <w:r w:rsidR="00A82AFC" w:rsidRPr="0087466E">
        <w:rPr>
          <w:rFonts w:ascii="Arial" w:hAnsi="Arial" w:cs="Arial"/>
          <w:sz w:val="20"/>
          <w:szCs w:val="20"/>
        </w:rPr>
        <w:t>la demande mondiale adressée au Maroc</w:t>
      </w:r>
      <w:r w:rsidR="00A82AFC">
        <w:rPr>
          <w:rFonts w:ascii="Arial" w:hAnsi="Arial" w:cs="Arial"/>
          <w:sz w:val="20"/>
          <w:szCs w:val="20"/>
        </w:rPr>
        <w:t xml:space="preserve"> devrait enregistrer </w:t>
      </w:r>
      <w:r w:rsidR="0040014D" w:rsidRPr="0087466E">
        <w:rPr>
          <w:rFonts w:ascii="Arial" w:hAnsi="Arial" w:cs="Arial"/>
          <w:sz w:val="20"/>
          <w:szCs w:val="20"/>
        </w:rPr>
        <w:t xml:space="preserve">une hausse </w:t>
      </w:r>
      <w:r w:rsidR="008D49EC">
        <w:rPr>
          <w:rFonts w:ascii="Arial" w:hAnsi="Arial" w:cs="Arial"/>
          <w:sz w:val="20"/>
          <w:szCs w:val="20"/>
        </w:rPr>
        <w:t>de</w:t>
      </w:r>
      <w:r w:rsidR="0040014D">
        <w:rPr>
          <w:rFonts w:ascii="Arial" w:hAnsi="Arial" w:cs="Arial"/>
          <w:sz w:val="20"/>
          <w:szCs w:val="20"/>
        </w:rPr>
        <w:t xml:space="preserve"> </w:t>
      </w:r>
      <w:r w:rsidR="003A2191">
        <w:rPr>
          <w:rFonts w:ascii="Arial" w:hAnsi="Arial" w:cs="Arial"/>
          <w:sz w:val="20"/>
          <w:szCs w:val="20"/>
        </w:rPr>
        <w:t>5</w:t>
      </w:r>
      <w:r w:rsidR="0040014D" w:rsidRPr="0087466E">
        <w:rPr>
          <w:rFonts w:ascii="Arial" w:hAnsi="Arial" w:cs="Arial"/>
          <w:sz w:val="20"/>
          <w:szCs w:val="20"/>
        </w:rPr>
        <w:t>%</w:t>
      </w:r>
      <w:r w:rsidR="0040014D">
        <w:rPr>
          <w:rFonts w:ascii="Arial" w:hAnsi="Arial" w:cs="Arial"/>
          <w:sz w:val="20"/>
          <w:szCs w:val="20"/>
        </w:rPr>
        <w:t xml:space="preserve">, </w:t>
      </w:r>
      <w:r w:rsidR="008D49EC">
        <w:rPr>
          <w:rFonts w:ascii="Arial" w:hAnsi="Arial" w:cs="Arial"/>
          <w:sz w:val="20"/>
          <w:szCs w:val="20"/>
        </w:rPr>
        <w:t>en variation annuelle</w:t>
      </w:r>
      <w:r w:rsidR="00A82AFC">
        <w:rPr>
          <w:rFonts w:ascii="Arial" w:hAnsi="Arial" w:cs="Arial"/>
          <w:sz w:val="20"/>
          <w:szCs w:val="20"/>
        </w:rPr>
        <w:t>, au deuxième trimestre 2015</w:t>
      </w:r>
      <w:r w:rsidR="003A2191">
        <w:rPr>
          <w:rFonts w:ascii="Arial" w:hAnsi="Arial" w:cs="Arial"/>
          <w:sz w:val="20"/>
          <w:szCs w:val="20"/>
        </w:rPr>
        <w:t xml:space="preserve">. </w:t>
      </w:r>
      <w:r w:rsidR="003A2191" w:rsidRPr="003C6E40">
        <w:rPr>
          <w:rFonts w:ascii="Arial" w:hAnsi="Arial" w:cs="Arial"/>
          <w:iCs/>
          <w:kern w:val="28"/>
          <w:sz w:val="20"/>
          <w:szCs w:val="20"/>
        </w:rPr>
        <w:t>Les exportations marocaines devraient</w:t>
      </w:r>
      <w:r w:rsidR="00952FF8">
        <w:rPr>
          <w:rFonts w:ascii="Arial" w:hAnsi="Arial" w:cs="Arial"/>
          <w:iCs/>
          <w:kern w:val="28"/>
          <w:sz w:val="20"/>
          <w:szCs w:val="20"/>
        </w:rPr>
        <w:t>,</w:t>
      </w:r>
      <w:r w:rsidR="003A2191" w:rsidRPr="003C6E40">
        <w:rPr>
          <w:rFonts w:ascii="Arial" w:hAnsi="Arial" w:cs="Arial"/>
          <w:iCs/>
          <w:kern w:val="28"/>
          <w:sz w:val="20"/>
          <w:szCs w:val="20"/>
        </w:rPr>
        <w:t xml:space="preserve"> </w:t>
      </w:r>
      <w:r w:rsidR="00A82AFC">
        <w:rPr>
          <w:rFonts w:ascii="Arial" w:hAnsi="Arial" w:cs="Arial"/>
          <w:iCs/>
          <w:kern w:val="28"/>
          <w:sz w:val="20"/>
          <w:szCs w:val="20"/>
        </w:rPr>
        <w:t>ainsi</w:t>
      </w:r>
      <w:r w:rsidR="00952FF8">
        <w:rPr>
          <w:rFonts w:ascii="Arial" w:hAnsi="Arial" w:cs="Arial"/>
          <w:iCs/>
          <w:kern w:val="28"/>
          <w:sz w:val="20"/>
          <w:szCs w:val="20"/>
        </w:rPr>
        <w:t>,</w:t>
      </w:r>
      <w:r w:rsidR="00A82AFC">
        <w:rPr>
          <w:rFonts w:ascii="Arial" w:hAnsi="Arial" w:cs="Arial"/>
          <w:iCs/>
          <w:kern w:val="28"/>
          <w:sz w:val="20"/>
          <w:szCs w:val="20"/>
        </w:rPr>
        <w:t xml:space="preserve"> </w:t>
      </w:r>
      <w:r w:rsidR="003A2191" w:rsidRPr="003C6E40">
        <w:rPr>
          <w:rFonts w:ascii="Arial" w:hAnsi="Arial" w:cs="Arial"/>
          <w:iCs/>
          <w:kern w:val="28"/>
          <w:sz w:val="20"/>
          <w:szCs w:val="20"/>
        </w:rPr>
        <w:t xml:space="preserve">continuer de profiter de </w:t>
      </w:r>
      <w:r w:rsidR="0004391D">
        <w:rPr>
          <w:rFonts w:ascii="Arial" w:hAnsi="Arial" w:cs="Arial"/>
          <w:iCs/>
          <w:kern w:val="28"/>
          <w:sz w:val="20"/>
          <w:szCs w:val="20"/>
        </w:rPr>
        <w:t>la demande adressée à l’</w:t>
      </w:r>
      <w:r w:rsidR="003A2191" w:rsidRPr="003C6E40">
        <w:rPr>
          <w:rFonts w:ascii="Arial" w:hAnsi="Arial" w:cs="Arial"/>
          <w:iCs/>
          <w:kern w:val="28"/>
          <w:sz w:val="20"/>
          <w:szCs w:val="20"/>
        </w:rPr>
        <w:t xml:space="preserve">automobile, </w:t>
      </w:r>
      <w:r w:rsidR="0004391D">
        <w:rPr>
          <w:rFonts w:ascii="Arial" w:hAnsi="Arial" w:cs="Arial"/>
          <w:iCs/>
          <w:kern w:val="28"/>
          <w:sz w:val="20"/>
          <w:szCs w:val="20"/>
        </w:rPr>
        <w:t>à l’</w:t>
      </w:r>
      <w:r w:rsidR="003A2191" w:rsidRPr="003C6E40">
        <w:rPr>
          <w:rFonts w:ascii="Arial" w:hAnsi="Arial" w:cs="Arial"/>
          <w:iCs/>
          <w:kern w:val="28"/>
          <w:sz w:val="20"/>
          <w:szCs w:val="20"/>
        </w:rPr>
        <w:t xml:space="preserve">agroalimentaire et </w:t>
      </w:r>
      <w:r w:rsidR="0004391D">
        <w:rPr>
          <w:rFonts w:ascii="Arial" w:hAnsi="Arial" w:cs="Arial"/>
          <w:iCs/>
          <w:kern w:val="28"/>
          <w:sz w:val="20"/>
          <w:szCs w:val="20"/>
        </w:rPr>
        <w:t>à</w:t>
      </w:r>
      <w:r w:rsidR="003A2191" w:rsidRPr="003C6E40">
        <w:rPr>
          <w:rFonts w:ascii="Arial" w:hAnsi="Arial" w:cs="Arial"/>
          <w:iCs/>
          <w:kern w:val="28"/>
          <w:sz w:val="20"/>
          <w:szCs w:val="20"/>
        </w:rPr>
        <w:t xml:space="preserve"> la confection-bonneterie, alors que la stabilisation des cours mondiaux du </w:t>
      </w:r>
      <w:r w:rsidR="0004391D">
        <w:rPr>
          <w:rFonts w:ascii="Arial" w:hAnsi="Arial" w:cs="Arial"/>
          <w:iCs/>
          <w:kern w:val="28"/>
          <w:sz w:val="20"/>
          <w:szCs w:val="20"/>
        </w:rPr>
        <w:t xml:space="preserve">pétrole, </w:t>
      </w:r>
      <w:r w:rsidR="003A2191" w:rsidRPr="003C6E40">
        <w:rPr>
          <w:rFonts w:ascii="Arial" w:hAnsi="Arial" w:cs="Arial"/>
          <w:iCs/>
          <w:kern w:val="28"/>
          <w:sz w:val="20"/>
          <w:szCs w:val="20"/>
        </w:rPr>
        <w:t>aux alentours de 55$/baril</w:t>
      </w:r>
      <w:r w:rsidR="0004391D">
        <w:rPr>
          <w:rFonts w:ascii="Arial" w:hAnsi="Arial" w:cs="Arial"/>
          <w:iCs/>
          <w:kern w:val="28"/>
          <w:sz w:val="20"/>
          <w:szCs w:val="20"/>
        </w:rPr>
        <w:t>,</w:t>
      </w:r>
      <w:r w:rsidR="003A2191" w:rsidRPr="003C6E40">
        <w:rPr>
          <w:rFonts w:ascii="Arial" w:hAnsi="Arial" w:cs="Arial"/>
          <w:iCs/>
          <w:kern w:val="28"/>
          <w:sz w:val="20"/>
          <w:szCs w:val="20"/>
        </w:rPr>
        <w:t xml:space="preserve"> profiterait à la balance commerciale dont le déficit continuerait à s’alléger.</w:t>
      </w:r>
      <w:r w:rsidR="00A82AFC">
        <w:rPr>
          <w:rFonts w:ascii="Arial" w:hAnsi="Arial" w:cs="Arial"/>
          <w:sz w:val="20"/>
          <w:szCs w:val="20"/>
        </w:rPr>
        <w:t xml:space="preserve"> </w:t>
      </w:r>
      <w:r w:rsidR="00952FF8">
        <w:rPr>
          <w:rFonts w:ascii="Arial" w:hAnsi="Arial" w:cs="Arial"/>
          <w:sz w:val="20"/>
          <w:szCs w:val="20"/>
        </w:rPr>
        <w:t>D</w:t>
      </w:r>
      <w:r w:rsidR="00A82AFC">
        <w:rPr>
          <w:rFonts w:ascii="Arial" w:hAnsi="Arial" w:cs="Arial"/>
          <w:sz w:val="20"/>
          <w:szCs w:val="20"/>
        </w:rPr>
        <w:t>ans ce</w:t>
      </w:r>
      <w:r w:rsidR="00952FF8">
        <w:rPr>
          <w:rFonts w:ascii="Arial" w:hAnsi="Arial" w:cs="Arial"/>
          <w:sz w:val="20"/>
          <w:szCs w:val="20"/>
        </w:rPr>
        <w:t xml:space="preserve"> contexte</w:t>
      </w:r>
      <w:r w:rsidR="00A82AFC">
        <w:rPr>
          <w:rFonts w:ascii="Arial" w:hAnsi="Arial" w:cs="Arial"/>
          <w:sz w:val="20"/>
          <w:szCs w:val="20"/>
        </w:rPr>
        <w:t xml:space="preserve">, une amélioration </w:t>
      </w:r>
      <w:r w:rsidR="00952FF8">
        <w:rPr>
          <w:rFonts w:ascii="Arial" w:hAnsi="Arial" w:cs="Arial"/>
          <w:sz w:val="20"/>
          <w:szCs w:val="20"/>
        </w:rPr>
        <w:t xml:space="preserve">de 3,3% </w:t>
      </w:r>
      <w:r w:rsidR="00A82AFC">
        <w:rPr>
          <w:rFonts w:ascii="Arial" w:hAnsi="Arial" w:cs="Arial"/>
          <w:sz w:val="20"/>
          <w:szCs w:val="20"/>
        </w:rPr>
        <w:t>de</w:t>
      </w:r>
      <w:r w:rsidR="00645ED5">
        <w:rPr>
          <w:rFonts w:ascii="Arial" w:hAnsi="Arial" w:cs="Arial"/>
          <w:sz w:val="20"/>
          <w:szCs w:val="20"/>
        </w:rPr>
        <w:t xml:space="preserve"> </w:t>
      </w:r>
      <w:r w:rsidR="008D49EC">
        <w:rPr>
          <w:rFonts w:ascii="Arial" w:hAnsi="Arial" w:cs="Arial"/>
          <w:sz w:val="20"/>
          <w:szCs w:val="20"/>
        </w:rPr>
        <w:t xml:space="preserve">la valeur ajoutée des </w:t>
      </w:r>
      <w:r w:rsidR="008D49EC" w:rsidRPr="00C95F2B">
        <w:rPr>
          <w:rFonts w:ascii="Arial" w:hAnsi="Arial" w:cs="Arial"/>
          <w:sz w:val="20"/>
          <w:szCs w:val="20"/>
        </w:rPr>
        <w:t xml:space="preserve">activités hors agriculture </w:t>
      </w:r>
      <w:r w:rsidR="00952FF8">
        <w:rPr>
          <w:rFonts w:ascii="Arial" w:hAnsi="Arial" w:cs="Arial"/>
          <w:sz w:val="20"/>
          <w:szCs w:val="20"/>
        </w:rPr>
        <w:t>est prévue</w:t>
      </w:r>
      <w:r w:rsidR="008D49EC">
        <w:rPr>
          <w:rFonts w:ascii="Arial" w:hAnsi="Arial" w:cs="Arial"/>
          <w:sz w:val="20"/>
          <w:szCs w:val="20"/>
        </w:rPr>
        <w:t xml:space="preserve"> au </w:t>
      </w:r>
      <w:r w:rsidR="00360207">
        <w:rPr>
          <w:rFonts w:ascii="Arial" w:hAnsi="Arial" w:cs="Arial"/>
          <w:sz w:val="20"/>
          <w:szCs w:val="20"/>
        </w:rPr>
        <w:t xml:space="preserve">deuxième </w:t>
      </w:r>
      <w:r w:rsidR="008D49EC">
        <w:rPr>
          <w:rFonts w:ascii="Arial" w:hAnsi="Arial" w:cs="Arial"/>
          <w:sz w:val="20"/>
          <w:szCs w:val="20"/>
        </w:rPr>
        <w:t>trimestre 2015, en variation annuelle, ce qui situerait la croissance économique globale à 4,</w:t>
      </w:r>
      <w:r w:rsidR="00FD4C31">
        <w:rPr>
          <w:rFonts w:ascii="Arial" w:hAnsi="Arial" w:cs="Arial"/>
          <w:sz w:val="20"/>
          <w:szCs w:val="20"/>
        </w:rPr>
        <w:t>6</w:t>
      </w:r>
      <w:r w:rsidR="008D49EC">
        <w:rPr>
          <w:rFonts w:ascii="Arial" w:hAnsi="Arial" w:cs="Arial"/>
          <w:sz w:val="20"/>
          <w:szCs w:val="20"/>
        </w:rPr>
        <w:t>%</w:t>
      </w:r>
      <w:r w:rsidR="00952FF8">
        <w:rPr>
          <w:rFonts w:ascii="Arial" w:hAnsi="Arial" w:cs="Arial"/>
          <w:sz w:val="20"/>
          <w:szCs w:val="20"/>
        </w:rPr>
        <w:t>,</w:t>
      </w:r>
      <w:r w:rsidR="008D49EC">
        <w:rPr>
          <w:rFonts w:ascii="Arial" w:hAnsi="Arial" w:cs="Arial"/>
          <w:sz w:val="20"/>
          <w:szCs w:val="20"/>
        </w:rPr>
        <w:t xml:space="preserve"> au cours de la même période.  </w:t>
      </w:r>
    </w:p>
    <w:sectPr w:rsidR="00D00B10" w:rsidRPr="00D00B10" w:rsidSect="00D00B10">
      <w:footerReference w:type="even" r:id="rId17"/>
      <w:footerReference w:type="default" r:id="rId18"/>
      <w:headerReference w:type="first" r:id="rId19"/>
      <w:footerReference w:type="first" r:id="rId20"/>
      <w:pgSz w:w="11906" w:h="16838"/>
      <w:pgMar w:top="899" w:right="849" w:bottom="899"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734" w:rsidRDefault="00701734">
      <w:r>
        <w:separator/>
      </w:r>
    </w:p>
  </w:endnote>
  <w:endnote w:type="continuationSeparator" w:id="1">
    <w:p w:rsidR="00701734" w:rsidRDefault="00701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57" w:rsidRDefault="00376957" w:rsidP="00CB05C8">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76957" w:rsidRDefault="0037695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57" w:rsidRPr="006D7FA4" w:rsidRDefault="00376957"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Pr="006D7FA4">
      <w:rPr>
        <w:rStyle w:val="Numrodepage"/>
        <w:sz w:val="20"/>
        <w:szCs w:val="20"/>
      </w:rPr>
      <w:instrText xml:space="preserve">PAGE  </w:instrText>
    </w:r>
    <w:r w:rsidRPr="006D7FA4">
      <w:rPr>
        <w:rStyle w:val="Numrodepage"/>
        <w:sz w:val="20"/>
        <w:szCs w:val="20"/>
      </w:rPr>
      <w:fldChar w:fldCharType="separate"/>
    </w:r>
    <w:r w:rsidR="008C7957">
      <w:rPr>
        <w:rStyle w:val="Numrodepage"/>
        <w:noProof/>
        <w:sz w:val="20"/>
        <w:szCs w:val="20"/>
      </w:rPr>
      <w:t>2</w:t>
    </w:r>
    <w:r w:rsidRPr="006D7FA4">
      <w:rPr>
        <w:rStyle w:val="Numrodepage"/>
        <w:sz w:val="20"/>
        <w:szCs w:val="20"/>
      </w:rPr>
      <w:fldChar w:fldCharType="end"/>
    </w:r>
    <w:r w:rsidRPr="006D7FA4">
      <w:rPr>
        <w:rStyle w:val="Numrodepage"/>
        <w:sz w:val="20"/>
        <w:szCs w:val="20"/>
      </w:rPr>
      <w:t>/</w:t>
    </w:r>
    <w:r w:rsidRPr="006D7FA4">
      <w:rPr>
        <w:rStyle w:val="Numrodepage"/>
        <w:sz w:val="20"/>
        <w:szCs w:val="20"/>
      </w:rPr>
      <w:fldChar w:fldCharType="begin"/>
    </w:r>
    <w:r w:rsidRPr="006D7FA4">
      <w:rPr>
        <w:rStyle w:val="Numrodepage"/>
        <w:sz w:val="20"/>
        <w:szCs w:val="20"/>
      </w:rPr>
      <w:instrText xml:space="preserve"> NUMPAGES </w:instrText>
    </w:r>
    <w:r w:rsidRPr="006D7FA4">
      <w:rPr>
        <w:rStyle w:val="Numrodepage"/>
        <w:sz w:val="20"/>
        <w:szCs w:val="20"/>
      </w:rPr>
      <w:fldChar w:fldCharType="separate"/>
    </w:r>
    <w:r w:rsidR="008C7957">
      <w:rPr>
        <w:rStyle w:val="Numrodepage"/>
        <w:noProof/>
        <w:sz w:val="20"/>
        <w:szCs w:val="20"/>
      </w:rPr>
      <w:t>4</w:t>
    </w:r>
    <w:r w:rsidRPr="006D7FA4">
      <w:rPr>
        <w:rStyle w:val="Numrodepage"/>
        <w:sz w:val="20"/>
        <w:szCs w:val="20"/>
      </w:rPr>
      <w:fldChar w:fldCharType="end"/>
    </w:r>
  </w:p>
  <w:p w:rsidR="00376957" w:rsidRDefault="0037695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57" w:rsidRDefault="00376957">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376957" w:rsidRPr="00350C40" w:rsidRDefault="00376957"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376957" w:rsidRPr="00350C40" w:rsidRDefault="00376957"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376957" w:rsidRPr="00773F09" w:rsidRDefault="00376957"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376957" w:rsidRPr="00350C40" w:rsidRDefault="00376957"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Rabat - Maroc BP : 178 </w:t>
                </w:r>
              </w:p>
              <w:p w:rsidR="00376957" w:rsidRPr="00773F09" w:rsidRDefault="00376957"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376957" w:rsidRPr="00F94487" w:rsidRDefault="00376957"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376957" w:rsidRPr="00350C40" w:rsidRDefault="00376957"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734" w:rsidRDefault="00701734">
      <w:r>
        <w:separator/>
      </w:r>
    </w:p>
  </w:footnote>
  <w:footnote w:type="continuationSeparator" w:id="1">
    <w:p w:rsidR="00701734" w:rsidRDefault="00701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57" w:rsidRDefault="008C7957" w:rsidP="00AB15CA">
    <w:pPr>
      <w:pStyle w:val="En-tte"/>
    </w:pPr>
    <w:r>
      <w:rPr>
        <w:noProof/>
      </w:rPr>
      <w:drawing>
        <wp:anchor distT="0" distB="0" distL="114300" distR="114300" simplePos="0" relativeHeight="251660800" behindDoc="0" locked="0" layoutInCell="1" allowOverlap="1">
          <wp:simplePos x="0" y="0"/>
          <wp:positionH relativeFrom="column">
            <wp:posOffset>-914400</wp:posOffset>
          </wp:positionH>
          <wp:positionV relativeFrom="paragraph">
            <wp:posOffset>-222885</wp:posOffset>
          </wp:positionV>
          <wp:extent cx="8702675" cy="5038725"/>
          <wp:effectExtent l="19050" t="0" r="3175"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rsids>
    <w:rsidRoot w:val="00A7067D"/>
    <w:rsid w:val="000017C7"/>
    <w:rsid w:val="00001D8E"/>
    <w:rsid w:val="000025B3"/>
    <w:rsid w:val="00003123"/>
    <w:rsid w:val="000037BD"/>
    <w:rsid w:val="00005213"/>
    <w:rsid w:val="000064D1"/>
    <w:rsid w:val="00006EDF"/>
    <w:rsid w:val="00007079"/>
    <w:rsid w:val="00007544"/>
    <w:rsid w:val="00007945"/>
    <w:rsid w:val="00007F2B"/>
    <w:rsid w:val="00010C4A"/>
    <w:rsid w:val="000115A6"/>
    <w:rsid w:val="000119BC"/>
    <w:rsid w:val="00011B9F"/>
    <w:rsid w:val="00011C2F"/>
    <w:rsid w:val="00011EB7"/>
    <w:rsid w:val="0001207A"/>
    <w:rsid w:val="0001261B"/>
    <w:rsid w:val="000135FC"/>
    <w:rsid w:val="0001390E"/>
    <w:rsid w:val="000139AC"/>
    <w:rsid w:val="00013A7F"/>
    <w:rsid w:val="00013C22"/>
    <w:rsid w:val="00013D86"/>
    <w:rsid w:val="00013F33"/>
    <w:rsid w:val="000147FB"/>
    <w:rsid w:val="00014C35"/>
    <w:rsid w:val="00014FD6"/>
    <w:rsid w:val="000150B8"/>
    <w:rsid w:val="00015111"/>
    <w:rsid w:val="00015113"/>
    <w:rsid w:val="000151F6"/>
    <w:rsid w:val="000152BC"/>
    <w:rsid w:val="000152DE"/>
    <w:rsid w:val="000162C9"/>
    <w:rsid w:val="000166FE"/>
    <w:rsid w:val="0001761A"/>
    <w:rsid w:val="00017B37"/>
    <w:rsid w:val="00017FF8"/>
    <w:rsid w:val="000205FA"/>
    <w:rsid w:val="00020B70"/>
    <w:rsid w:val="000211C4"/>
    <w:rsid w:val="00021F86"/>
    <w:rsid w:val="000223AA"/>
    <w:rsid w:val="000223DD"/>
    <w:rsid w:val="000229BA"/>
    <w:rsid w:val="0002327D"/>
    <w:rsid w:val="00024095"/>
    <w:rsid w:val="00024268"/>
    <w:rsid w:val="00024574"/>
    <w:rsid w:val="0002477A"/>
    <w:rsid w:val="00024945"/>
    <w:rsid w:val="00024FBE"/>
    <w:rsid w:val="00025026"/>
    <w:rsid w:val="0002516D"/>
    <w:rsid w:val="00025B47"/>
    <w:rsid w:val="000266D8"/>
    <w:rsid w:val="00026D88"/>
    <w:rsid w:val="000270E0"/>
    <w:rsid w:val="000275DD"/>
    <w:rsid w:val="0002766D"/>
    <w:rsid w:val="00027850"/>
    <w:rsid w:val="00031D25"/>
    <w:rsid w:val="00032582"/>
    <w:rsid w:val="00032899"/>
    <w:rsid w:val="0003300A"/>
    <w:rsid w:val="00033123"/>
    <w:rsid w:val="0003420B"/>
    <w:rsid w:val="000348FD"/>
    <w:rsid w:val="00034EE3"/>
    <w:rsid w:val="00034EE5"/>
    <w:rsid w:val="0003559E"/>
    <w:rsid w:val="00036A9C"/>
    <w:rsid w:val="00037668"/>
    <w:rsid w:val="00037B80"/>
    <w:rsid w:val="000408C3"/>
    <w:rsid w:val="00040953"/>
    <w:rsid w:val="00040D62"/>
    <w:rsid w:val="00041285"/>
    <w:rsid w:val="00041524"/>
    <w:rsid w:val="000415AD"/>
    <w:rsid w:val="0004185B"/>
    <w:rsid w:val="000425ED"/>
    <w:rsid w:val="00042974"/>
    <w:rsid w:val="0004311A"/>
    <w:rsid w:val="00043186"/>
    <w:rsid w:val="000431D8"/>
    <w:rsid w:val="0004391D"/>
    <w:rsid w:val="00043DE6"/>
    <w:rsid w:val="0004447B"/>
    <w:rsid w:val="0004487A"/>
    <w:rsid w:val="00044A9F"/>
    <w:rsid w:val="00044D29"/>
    <w:rsid w:val="0004533B"/>
    <w:rsid w:val="00045461"/>
    <w:rsid w:val="0004624E"/>
    <w:rsid w:val="00046322"/>
    <w:rsid w:val="00046404"/>
    <w:rsid w:val="000466FD"/>
    <w:rsid w:val="00046DEC"/>
    <w:rsid w:val="00046F56"/>
    <w:rsid w:val="0004718B"/>
    <w:rsid w:val="000500AF"/>
    <w:rsid w:val="000500E6"/>
    <w:rsid w:val="00050A6E"/>
    <w:rsid w:val="00050B69"/>
    <w:rsid w:val="00051098"/>
    <w:rsid w:val="000510D6"/>
    <w:rsid w:val="00051106"/>
    <w:rsid w:val="00051689"/>
    <w:rsid w:val="00051923"/>
    <w:rsid w:val="0005275C"/>
    <w:rsid w:val="0005286C"/>
    <w:rsid w:val="000528D8"/>
    <w:rsid w:val="00052A57"/>
    <w:rsid w:val="000534D0"/>
    <w:rsid w:val="000543FD"/>
    <w:rsid w:val="00054B65"/>
    <w:rsid w:val="00054F53"/>
    <w:rsid w:val="000550D8"/>
    <w:rsid w:val="000554EE"/>
    <w:rsid w:val="000558C2"/>
    <w:rsid w:val="00055C1A"/>
    <w:rsid w:val="000568AD"/>
    <w:rsid w:val="00056FFA"/>
    <w:rsid w:val="0005775E"/>
    <w:rsid w:val="000579D0"/>
    <w:rsid w:val="00057B97"/>
    <w:rsid w:val="000601D4"/>
    <w:rsid w:val="000602E9"/>
    <w:rsid w:val="00060321"/>
    <w:rsid w:val="00060896"/>
    <w:rsid w:val="00060F0D"/>
    <w:rsid w:val="00061060"/>
    <w:rsid w:val="00061164"/>
    <w:rsid w:val="00061CE4"/>
    <w:rsid w:val="0006264E"/>
    <w:rsid w:val="00062880"/>
    <w:rsid w:val="00062925"/>
    <w:rsid w:val="00062AFD"/>
    <w:rsid w:val="000632C2"/>
    <w:rsid w:val="0006348D"/>
    <w:rsid w:val="0006383C"/>
    <w:rsid w:val="00064386"/>
    <w:rsid w:val="0006442F"/>
    <w:rsid w:val="00064BCC"/>
    <w:rsid w:val="0006553F"/>
    <w:rsid w:val="00065712"/>
    <w:rsid w:val="00065935"/>
    <w:rsid w:val="00065F87"/>
    <w:rsid w:val="00065FE2"/>
    <w:rsid w:val="000674D7"/>
    <w:rsid w:val="00070037"/>
    <w:rsid w:val="00070595"/>
    <w:rsid w:val="00070861"/>
    <w:rsid w:val="00071EFF"/>
    <w:rsid w:val="00072320"/>
    <w:rsid w:val="000723B5"/>
    <w:rsid w:val="000728D2"/>
    <w:rsid w:val="000728FA"/>
    <w:rsid w:val="00072B60"/>
    <w:rsid w:val="00072EBF"/>
    <w:rsid w:val="0007340C"/>
    <w:rsid w:val="00073805"/>
    <w:rsid w:val="00074130"/>
    <w:rsid w:val="000754E3"/>
    <w:rsid w:val="00075B34"/>
    <w:rsid w:val="00075F5C"/>
    <w:rsid w:val="000761D8"/>
    <w:rsid w:val="0007711B"/>
    <w:rsid w:val="0007798B"/>
    <w:rsid w:val="00077D70"/>
    <w:rsid w:val="000801F4"/>
    <w:rsid w:val="0008035D"/>
    <w:rsid w:val="00081456"/>
    <w:rsid w:val="00081BE5"/>
    <w:rsid w:val="000821F2"/>
    <w:rsid w:val="000827BA"/>
    <w:rsid w:val="00082F34"/>
    <w:rsid w:val="0008339B"/>
    <w:rsid w:val="0008388A"/>
    <w:rsid w:val="000847F4"/>
    <w:rsid w:val="0008484E"/>
    <w:rsid w:val="0008495C"/>
    <w:rsid w:val="00084B30"/>
    <w:rsid w:val="00085895"/>
    <w:rsid w:val="000859F9"/>
    <w:rsid w:val="00085E86"/>
    <w:rsid w:val="0008606C"/>
    <w:rsid w:val="000862E0"/>
    <w:rsid w:val="00087F93"/>
    <w:rsid w:val="00090012"/>
    <w:rsid w:val="0009062C"/>
    <w:rsid w:val="000906B8"/>
    <w:rsid w:val="00090769"/>
    <w:rsid w:val="00090C3A"/>
    <w:rsid w:val="00090DED"/>
    <w:rsid w:val="00091A3B"/>
    <w:rsid w:val="00091D36"/>
    <w:rsid w:val="000921CD"/>
    <w:rsid w:val="00093B91"/>
    <w:rsid w:val="00093F9E"/>
    <w:rsid w:val="00094694"/>
    <w:rsid w:val="00094710"/>
    <w:rsid w:val="0009560D"/>
    <w:rsid w:val="00096A77"/>
    <w:rsid w:val="00096CE5"/>
    <w:rsid w:val="00097007"/>
    <w:rsid w:val="0009781A"/>
    <w:rsid w:val="00097D9C"/>
    <w:rsid w:val="000A0205"/>
    <w:rsid w:val="000A0209"/>
    <w:rsid w:val="000A0948"/>
    <w:rsid w:val="000A0D23"/>
    <w:rsid w:val="000A11E5"/>
    <w:rsid w:val="000A141E"/>
    <w:rsid w:val="000A1E2C"/>
    <w:rsid w:val="000A342C"/>
    <w:rsid w:val="000A3468"/>
    <w:rsid w:val="000A3B54"/>
    <w:rsid w:val="000A3BE9"/>
    <w:rsid w:val="000A4141"/>
    <w:rsid w:val="000A4C3D"/>
    <w:rsid w:val="000A4CF5"/>
    <w:rsid w:val="000A4F68"/>
    <w:rsid w:val="000A5547"/>
    <w:rsid w:val="000A62B6"/>
    <w:rsid w:val="000A6449"/>
    <w:rsid w:val="000A66F7"/>
    <w:rsid w:val="000A6F23"/>
    <w:rsid w:val="000A6F7B"/>
    <w:rsid w:val="000A7249"/>
    <w:rsid w:val="000A7281"/>
    <w:rsid w:val="000A79CD"/>
    <w:rsid w:val="000B0102"/>
    <w:rsid w:val="000B08E9"/>
    <w:rsid w:val="000B0F43"/>
    <w:rsid w:val="000B0F81"/>
    <w:rsid w:val="000B106E"/>
    <w:rsid w:val="000B12C2"/>
    <w:rsid w:val="000B1DE6"/>
    <w:rsid w:val="000B28B6"/>
    <w:rsid w:val="000B2A3E"/>
    <w:rsid w:val="000B3183"/>
    <w:rsid w:val="000B31FB"/>
    <w:rsid w:val="000B4618"/>
    <w:rsid w:val="000B46AD"/>
    <w:rsid w:val="000B717A"/>
    <w:rsid w:val="000B71A7"/>
    <w:rsid w:val="000B71DE"/>
    <w:rsid w:val="000B797F"/>
    <w:rsid w:val="000C0879"/>
    <w:rsid w:val="000C0BF6"/>
    <w:rsid w:val="000C111B"/>
    <w:rsid w:val="000C1271"/>
    <w:rsid w:val="000C15E5"/>
    <w:rsid w:val="000C1880"/>
    <w:rsid w:val="000C291A"/>
    <w:rsid w:val="000C29D8"/>
    <w:rsid w:val="000C2F16"/>
    <w:rsid w:val="000C30D9"/>
    <w:rsid w:val="000C36F2"/>
    <w:rsid w:val="000C379A"/>
    <w:rsid w:val="000C3807"/>
    <w:rsid w:val="000C3D76"/>
    <w:rsid w:val="000C3ED5"/>
    <w:rsid w:val="000C3F6E"/>
    <w:rsid w:val="000C4271"/>
    <w:rsid w:val="000C467D"/>
    <w:rsid w:val="000C48BD"/>
    <w:rsid w:val="000C52F2"/>
    <w:rsid w:val="000C52FB"/>
    <w:rsid w:val="000C5E10"/>
    <w:rsid w:val="000C5E54"/>
    <w:rsid w:val="000C6BAB"/>
    <w:rsid w:val="000C7682"/>
    <w:rsid w:val="000C76B5"/>
    <w:rsid w:val="000C7E13"/>
    <w:rsid w:val="000D0202"/>
    <w:rsid w:val="000D13F1"/>
    <w:rsid w:val="000D1585"/>
    <w:rsid w:val="000D1D9A"/>
    <w:rsid w:val="000D1F90"/>
    <w:rsid w:val="000D25AF"/>
    <w:rsid w:val="000D2930"/>
    <w:rsid w:val="000D354F"/>
    <w:rsid w:val="000D3623"/>
    <w:rsid w:val="000D3736"/>
    <w:rsid w:val="000D3FC6"/>
    <w:rsid w:val="000D4277"/>
    <w:rsid w:val="000D5297"/>
    <w:rsid w:val="000D57C6"/>
    <w:rsid w:val="000D5971"/>
    <w:rsid w:val="000D6113"/>
    <w:rsid w:val="000D6400"/>
    <w:rsid w:val="000D6907"/>
    <w:rsid w:val="000D6980"/>
    <w:rsid w:val="000D6F0F"/>
    <w:rsid w:val="000D7ACC"/>
    <w:rsid w:val="000D7B58"/>
    <w:rsid w:val="000D7B8B"/>
    <w:rsid w:val="000D7D65"/>
    <w:rsid w:val="000D7F7C"/>
    <w:rsid w:val="000E05BC"/>
    <w:rsid w:val="000E1618"/>
    <w:rsid w:val="000E1C51"/>
    <w:rsid w:val="000E21D3"/>
    <w:rsid w:val="000E2711"/>
    <w:rsid w:val="000E29D8"/>
    <w:rsid w:val="000E3E08"/>
    <w:rsid w:val="000E41EC"/>
    <w:rsid w:val="000E485F"/>
    <w:rsid w:val="000E4CB6"/>
    <w:rsid w:val="000E4E59"/>
    <w:rsid w:val="000E4FE5"/>
    <w:rsid w:val="000E5A13"/>
    <w:rsid w:val="000E631F"/>
    <w:rsid w:val="000E6811"/>
    <w:rsid w:val="000E698E"/>
    <w:rsid w:val="000E7503"/>
    <w:rsid w:val="000E7614"/>
    <w:rsid w:val="000E7C55"/>
    <w:rsid w:val="000E7D34"/>
    <w:rsid w:val="000E7EFA"/>
    <w:rsid w:val="000F0F00"/>
    <w:rsid w:val="000F0F24"/>
    <w:rsid w:val="000F101D"/>
    <w:rsid w:val="000F129A"/>
    <w:rsid w:val="000F1BCA"/>
    <w:rsid w:val="000F2BD2"/>
    <w:rsid w:val="000F2C69"/>
    <w:rsid w:val="000F3768"/>
    <w:rsid w:val="000F3899"/>
    <w:rsid w:val="000F476D"/>
    <w:rsid w:val="000F605C"/>
    <w:rsid w:val="000F6A4A"/>
    <w:rsid w:val="000F6E2A"/>
    <w:rsid w:val="000F6E40"/>
    <w:rsid w:val="000F765F"/>
    <w:rsid w:val="000F76C6"/>
    <w:rsid w:val="000F7A90"/>
    <w:rsid w:val="000F7C56"/>
    <w:rsid w:val="00100069"/>
    <w:rsid w:val="00100944"/>
    <w:rsid w:val="00100AF5"/>
    <w:rsid w:val="0010121C"/>
    <w:rsid w:val="00101EAA"/>
    <w:rsid w:val="00102385"/>
    <w:rsid w:val="00103353"/>
    <w:rsid w:val="001036A2"/>
    <w:rsid w:val="0010414A"/>
    <w:rsid w:val="001043ED"/>
    <w:rsid w:val="0010454D"/>
    <w:rsid w:val="00104865"/>
    <w:rsid w:val="00104A16"/>
    <w:rsid w:val="00105259"/>
    <w:rsid w:val="0010548F"/>
    <w:rsid w:val="00105497"/>
    <w:rsid w:val="001056ED"/>
    <w:rsid w:val="001063C7"/>
    <w:rsid w:val="00106B8D"/>
    <w:rsid w:val="00106FC0"/>
    <w:rsid w:val="00107113"/>
    <w:rsid w:val="00107751"/>
    <w:rsid w:val="00107A4F"/>
    <w:rsid w:val="00110B8D"/>
    <w:rsid w:val="00111FE3"/>
    <w:rsid w:val="0011266E"/>
    <w:rsid w:val="00113142"/>
    <w:rsid w:val="001134AF"/>
    <w:rsid w:val="00113928"/>
    <w:rsid w:val="00114033"/>
    <w:rsid w:val="00114C6B"/>
    <w:rsid w:val="00114C7E"/>
    <w:rsid w:val="00115490"/>
    <w:rsid w:val="001155EE"/>
    <w:rsid w:val="00115709"/>
    <w:rsid w:val="00115798"/>
    <w:rsid w:val="00116A90"/>
    <w:rsid w:val="00116B4A"/>
    <w:rsid w:val="0011730B"/>
    <w:rsid w:val="001174BE"/>
    <w:rsid w:val="001178E8"/>
    <w:rsid w:val="001201BB"/>
    <w:rsid w:val="0012067C"/>
    <w:rsid w:val="00120AF1"/>
    <w:rsid w:val="00120AF9"/>
    <w:rsid w:val="00120BC3"/>
    <w:rsid w:val="00120BD7"/>
    <w:rsid w:val="00121C07"/>
    <w:rsid w:val="00122001"/>
    <w:rsid w:val="00122298"/>
    <w:rsid w:val="001222E9"/>
    <w:rsid w:val="0012265F"/>
    <w:rsid w:val="00122813"/>
    <w:rsid w:val="001247F6"/>
    <w:rsid w:val="00124CD0"/>
    <w:rsid w:val="00124D01"/>
    <w:rsid w:val="00124D81"/>
    <w:rsid w:val="00124DEE"/>
    <w:rsid w:val="0012515E"/>
    <w:rsid w:val="00126059"/>
    <w:rsid w:val="0012616E"/>
    <w:rsid w:val="0012690A"/>
    <w:rsid w:val="00127635"/>
    <w:rsid w:val="00127B2D"/>
    <w:rsid w:val="00127BB0"/>
    <w:rsid w:val="00127C34"/>
    <w:rsid w:val="00127C36"/>
    <w:rsid w:val="00130421"/>
    <w:rsid w:val="001305AD"/>
    <w:rsid w:val="00130A54"/>
    <w:rsid w:val="00131257"/>
    <w:rsid w:val="00131839"/>
    <w:rsid w:val="001322B6"/>
    <w:rsid w:val="00132700"/>
    <w:rsid w:val="00132AE5"/>
    <w:rsid w:val="00132DD9"/>
    <w:rsid w:val="00132F46"/>
    <w:rsid w:val="00133181"/>
    <w:rsid w:val="0013390F"/>
    <w:rsid w:val="00133C95"/>
    <w:rsid w:val="00134611"/>
    <w:rsid w:val="001348AD"/>
    <w:rsid w:val="00134ACB"/>
    <w:rsid w:val="0013515A"/>
    <w:rsid w:val="0013554E"/>
    <w:rsid w:val="00135CDC"/>
    <w:rsid w:val="00135E71"/>
    <w:rsid w:val="00136243"/>
    <w:rsid w:val="00137652"/>
    <w:rsid w:val="001379C2"/>
    <w:rsid w:val="00137CAD"/>
    <w:rsid w:val="00137D8F"/>
    <w:rsid w:val="001404C2"/>
    <w:rsid w:val="00140CD2"/>
    <w:rsid w:val="00141592"/>
    <w:rsid w:val="0014289F"/>
    <w:rsid w:val="0014338E"/>
    <w:rsid w:val="001437B0"/>
    <w:rsid w:val="00144480"/>
    <w:rsid w:val="00145A0E"/>
    <w:rsid w:val="00145C07"/>
    <w:rsid w:val="00145EE4"/>
    <w:rsid w:val="00145F4D"/>
    <w:rsid w:val="00146C7E"/>
    <w:rsid w:val="0014749F"/>
    <w:rsid w:val="00147EEB"/>
    <w:rsid w:val="0015075E"/>
    <w:rsid w:val="00150C13"/>
    <w:rsid w:val="00151281"/>
    <w:rsid w:val="00151B07"/>
    <w:rsid w:val="00151FA7"/>
    <w:rsid w:val="001522F1"/>
    <w:rsid w:val="001525CA"/>
    <w:rsid w:val="001529A7"/>
    <w:rsid w:val="00153A6D"/>
    <w:rsid w:val="00153DC3"/>
    <w:rsid w:val="00153DC7"/>
    <w:rsid w:val="001545FC"/>
    <w:rsid w:val="001547A3"/>
    <w:rsid w:val="00154A61"/>
    <w:rsid w:val="00154B92"/>
    <w:rsid w:val="00155095"/>
    <w:rsid w:val="00155EBB"/>
    <w:rsid w:val="001563BE"/>
    <w:rsid w:val="001563CC"/>
    <w:rsid w:val="001565C3"/>
    <w:rsid w:val="00156B7B"/>
    <w:rsid w:val="00156C44"/>
    <w:rsid w:val="00156CEC"/>
    <w:rsid w:val="00157569"/>
    <w:rsid w:val="00157DEC"/>
    <w:rsid w:val="00157E9B"/>
    <w:rsid w:val="001600E5"/>
    <w:rsid w:val="00160B88"/>
    <w:rsid w:val="00161678"/>
    <w:rsid w:val="00162421"/>
    <w:rsid w:val="0016271E"/>
    <w:rsid w:val="00162BD9"/>
    <w:rsid w:val="00162E2E"/>
    <w:rsid w:val="001630F0"/>
    <w:rsid w:val="0016342D"/>
    <w:rsid w:val="001634DC"/>
    <w:rsid w:val="0016363C"/>
    <w:rsid w:val="00163F02"/>
    <w:rsid w:val="001640A8"/>
    <w:rsid w:val="001640AC"/>
    <w:rsid w:val="0016504E"/>
    <w:rsid w:val="00165D57"/>
    <w:rsid w:val="0016605D"/>
    <w:rsid w:val="001666F0"/>
    <w:rsid w:val="00167CD8"/>
    <w:rsid w:val="00171065"/>
    <w:rsid w:val="001712FF"/>
    <w:rsid w:val="00171484"/>
    <w:rsid w:val="00171694"/>
    <w:rsid w:val="00171B90"/>
    <w:rsid w:val="00171D37"/>
    <w:rsid w:val="00172514"/>
    <w:rsid w:val="001726B1"/>
    <w:rsid w:val="00172D78"/>
    <w:rsid w:val="001732B6"/>
    <w:rsid w:val="00173482"/>
    <w:rsid w:val="001735DE"/>
    <w:rsid w:val="001736E1"/>
    <w:rsid w:val="00173BFF"/>
    <w:rsid w:val="00173DF2"/>
    <w:rsid w:val="00173E34"/>
    <w:rsid w:val="001741F2"/>
    <w:rsid w:val="00174719"/>
    <w:rsid w:val="00175540"/>
    <w:rsid w:val="00175B80"/>
    <w:rsid w:val="0017603A"/>
    <w:rsid w:val="00176051"/>
    <w:rsid w:val="00176B63"/>
    <w:rsid w:val="00176C25"/>
    <w:rsid w:val="00176CC0"/>
    <w:rsid w:val="00176F41"/>
    <w:rsid w:val="00177956"/>
    <w:rsid w:val="00177C97"/>
    <w:rsid w:val="00177EC0"/>
    <w:rsid w:val="00180277"/>
    <w:rsid w:val="001818AB"/>
    <w:rsid w:val="00181EFF"/>
    <w:rsid w:val="0018221C"/>
    <w:rsid w:val="0018259A"/>
    <w:rsid w:val="001828C4"/>
    <w:rsid w:val="00182DF5"/>
    <w:rsid w:val="00183325"/>
    <w:rsid w:val="001835A9"/>
    <w:rsid w:val="001839FB"/>
    <w:rsid w:val="00185BC2"/>
    <w:rsid w:val="00185D73"/>
    <w:rsid w:val="0018601D"/>
    <w:rsid w:val="00186D74"/>
    <w:rsid w:val="001873B4"/>
    <w:rsid w:val="00187BC3"/>
    <w:rsid w:val="00190068"/>
    <w:rsid w:val="00191FD1"/>
    <w:rsid w:val="00193188"/>
    <w:rsid w:val="00193D92"/>
    <w:rsid w:val="00194390"/>
    <w:rsid w:val="00195392"/>
    <w:rsid w:val="0019592D"/>
    <w:rsid w:val="00196310"/>
    <w:rsid w:val="001969FA"/>
    <w:rsid w:val="00196CF2"/>
    <w:rsid w:val="00196FED"/>
    <w:rsid w:val="001A0449"/>
    <w:rsid w:val="001A1A9C"/>
    <w:rsid w:val="001A1B4C"/>
    <w:rsid w:val="001A1BE0"/>
    <w:rsid w:val="001A3C55"/>
    <w:rsid w:val="001A3E80"/>
    <w:rsid w:val="001A4339"/>
    <w:rsid w:val="001A447C"/>
    <w:rsid w:val="001A4A63"/>
    <w:rsid w:val="001A4DC4"/>
    <w:rsid w:val="001A4FEF"/>
    <w:rsid w:val="001A614A"/>
    <w:rsid w:val="001A68AB"/>
    <w:rsid w:val="001A7093"/>
    <w:rsid w:val="001A711D"/>
    <w:rsid w:val="001A7936"/>
    <w:rsid w:val="001B081E"/>
    <w:rsid w:val="001B0903"/>
    <w:rsid w:val="001B110A"/>
    <w:rsid w:val="001B12AF"/>
    <w:rsid w:val="001B1827"/>
    <w:rsid w:val="001B1A97"/>
    <w:rsid w:val="001B1D9A"/>
    <w:rsid w:val="001B2FF8"/>
    <w:rsid w:val="001B32E2"/>
    <w:rsid w:val="001B355E"/>
    <w:rsid w:val="001B3E09"/>
    <w:rsid w:val="001B401E"/>
    <w:rsid w:val="001B40CB"/>
    <w:rsid w:val="001B42E2"/>
    <w:rsid w:val="001B430A"/>
    <w:rsid w:val="001B4329"/>
    <w:rsid w:val="001B4542"/>
    <w:rsid w:val="001B4E03"/>
    <w:rsid w:val="001B506B"/>
    <w:rsid w:val="001B50DF"/>
    <w:rsid w:val="001B6D9B"/>
    <w:rsid w:val="001B6F64"/>
    <w:rsid w:val="001C006D"/>
    <w:rsid w:val="001C0375"/>
    <w:rsid w:val="001C07A5"/>
    <w:rsid w:val="001C0E3D"/>
    <w:rsid w:val="001C1CF4"/>
    <w:rsid w:val="001C1EDB"/>
    <w:rsid w:val="001C2196"/>
    <w:rsid w:val="001C2B14"/>
    <w:rsid w:val="001C2D08"/>
    <w:rsid w:val="001C2DE1"/>
    <w:rsid w:val="001C2DFD"/>
    <w:rsid w:val="001C2F4A"/>
    <w:rsid w:val="001C3920"/>
    <w:rsid w:val="001C393F"/>
    <w:rsid w:val="001C42B6"/>
    <w:rsid w:val="001C4BE1"/>
    <w:rsid w:val="001C51D8"/>
    <w:rsid w:val="001C58AD"/>
    <w:rsid w:val="001C5963"/>
    <w:rsid w:val="001C5E9E"/>
    <w:rsid w:val="001C6199"/>
    <w:rsid w:val="001C6705"/>
    <w:rsid w:val="001C6D03"/>
    <w:rsid w:val="001C7200"/>
    <w:rsid w:val="001C74AC"/>
    <w:rsid w:val="001D0374"/>
    <w:rsid w:val="001D0712"/>
    <w:rsid w:val="001D07F7"/>
    <w:rsid w:val="001D08BB"/>
    <w:rsid w:val="001D0B13"/>
    <w:rsid w:val="001D0C90"/>
    <w:rsid w:val="001D0F1F"/>
    <w:rsid w:val="001D18E1"/>
    <w:rsid w:val="001D2986"/>
    <w:rsid w:val="001D31CC"/>
    <w:rsid w:val="001D342E"/>
    <w:rsid w:val="001D34E6"/>
    <w:rsid w:val="001D3CEC"/>
    <w:rsid w:val="001D3F51"/>
    <w:rsid w:val="001D479B"/>
    <w:rsid w:val="001D4D7B"/>
    <w:rsid w:val="001D55C1"/>
    <w:rsid w:val="001D57E1"/>
    <w:rsid w:val="001D67FA"/>
    <w:rsid w:val="001D6B6A"/>
    <w:rsid w:val="001D6DD2"/>
    <w:rsid w:val="001D7A90"/>
    <w:rsid w:val="001E0012"/>
    <w:rsid w:val="001E04AA"/>
    <w:rsid w:val="001E05D5"/>
    <w:rsid w:val="001E1405"/>
    <w:rsid w:val="001E1FE8"/>
    <w:rsid w:val="001E2204"/>
    <w:rsid w:val="001E2469"/>
    <w:rsid w:val="001E2E19"/>
    <w:rsid w:val="001E3168"/>
    <w:rsid w:val="001E37B2"/>
    <w:rsid w:val="001E3B10"/>
    <w:rsid w:val="001E3E88"/>
    <w:rsid w:val="001E457D"/>
    <w:rsid w:val="001E46D8"/>
    <w:rsid w:val="001E4A5F"/>
    <w:rsid w:val="001E5C77"/>
    <w:rsid w:val="001E5D17"/>
    <w:rsid w:val="001E6122"/>
    <w:rsid w:val="001E7076"/>
    <w:rsid w:val="001E728E"/>
    <w:rsid w:val="001E75BA"/>
    <w:rsid w:val="001E7BE4"/>
    <w:rsid w:val="001F0B5C"/>
    <w:rsid w:val="001F0ECC"/>
    <w:rsid w:val="001F1343"/>
    <w:rsid w:val="001F14FD"/>
    <w:rsid w:val="001F1B91"/>
    <w:rsid w:val="001F1F6F"/>
    <w:rsid w:val="001F2B62"/>
    <w:rsid w:val="001F2E6F"/>
    <w:rsid w:val="001F3315"/>
    <w:rsid w:val="001F3482"/>
    <w:rsid w:val="001F38DF"/>
    <w:rsid w:val="001F3A25"/>
    <w:rsid w:val="001F4836"/>
    <w:rsid w:val="001F4E0B"/>
    <w:rsid w:val="001F5D94"/>
    <w:rsid w:val="001F632E"/>
    <w:rsid w:val="001F67D5"/>
    <w:rsid w:val="001F6DCA"/>
    <w:rsid w:val="001F6EFC"/>
    <w:rsid w:val="001F6F8A"/>
    <w:rsid w:val="001F760B"/>
    <w:rsid w:val="00200AB3"/>
    <w:rsid w:val="00200C0E"/>
    <w:rsid w:val="00200D02"/>
    <w:rsid w:val="002021D7"/>
    <w:rsid w:val="00202523"/>
    <w:rsid w:val="00202CF1"/>
    <w:rsid w:val="00202CFF"/>
    <w:rsid w:val="00203E48"/>
    <w:rsid w:val="002042CD"/>
    <w:rsid w:val="00204307"/>
    <w:rsid w:val="00204366"/>
    <w:rsid w:val="002048C2"/>
    <w:rsid w:val="00204EAF"/>
    <w:rsid w:val="00204EC8"/>
    <w:rsid w:val="00204F0A"/>
    <w:rsid w:val="0020543C"/>
    <w:rsid w:val="00205A6A"/>
    <w:rsid w:val="002063A8"/>
    <w:rsid w:val="00206591"/>
    <w:rsid w:val="00206659"/>
    <w:rsid w:val="00206BAE"/>
    <w:rsid w:val="00207097"/>
    <w:rsid w:val="002076B5"/>
    <w:rsid w:val="002078F3"/>
    <w:rsid w:val="0021027B"/>
    <w:rsid w:val="002103EF"/>
    <w:rsid w:val="00213134"/>
    <w:rsid w:val="00213925"/>
    <w:rsid w:val="002139B6"/>
    <w:rsid w:val="00213B90"/>
    <w:rsid w:val="0021541E"/>
    <w:rsid w:val="00216D2A"/>
    <w:rsid w:val="00217187"/>
    <w:rsid w:val="0022010C"/>
    <w:rsid w:val="00220131"/>
    <w:rsid w:val="00220739"/>
    <w:rsid w:val="002207AB"/>
    <w:rsid w:val="00220DF6"/>
    <w:rsid w:val="00221087"/>
    <w:rsid w:val="0022116C"/>
    <w:rsid w:val="0022170D"/>
    <w:rsid w:val="00222462"/>
    <w:rsid w:val="0022299E"/>
    <w:rsid w:val="00223B71"/>
    <w:rsid w:val="00223D57"/>
    <w:rsid w:val="00223DAD"/>
    <w:rsid w:val="0022444A"/>
    <w:rsid w:val="0022525E"/>
    <w:rsid w:val="00225611"/>
    <w:rsid w:val="0022597E"/>
    <w:rsid w:val="00226BDC"/>
    <w:rsid w:val="00227F0A"/>
    <w:rsid w:val="0023043F"/>
    <w:rsid w:val="0023061A"/>
    <w:rsid w:val="00230C49"/>
    <w:rsid w:val="00231293"/>
    <w:rsid w:val="002313AF"/>
    <w:rsid w:val="002315AE"/>
    <w:rsid w:val="00231716"/>
    <w:rsid w:val="00232927"/>
    <w:rsid w:val="00232AD6"/>
    <w:rsid w:val="0023322D"/>
    <w:rsid w:val="00233328"/>
    <w:rsid w:val="002333F3"/>
    <w:rsid w:val="0023373D"/>
    <w:rsid w:val="0023442A"/>
    <w:rsid w:val="0023494C"/>
    <w:rsid w:val="00234B63"/>
    <w:rsid w:val="00234CDC"/>
    <w:rsid w:val="00235903"/>
    <w:rsid w:val="00235E22"/>
    <w:rsid w:val="00236272"/>
    <w:rsid w:val="0023650B"/>
    <w:rsid w:val="00236DF3"/>
    <w:rsid w:val="00237269"/>
    <w:rsid w:val="002378E6"/>
    <w:rsid w:val="00240FBB"/>
    <w:rsid w:val="00241064"/>
    <w:rsid w:val="00241484"/>
    <w:rsid w:val="002419BA"/>
    <w:rsid w:val="0024272F"/>
    <w:rsid w:val="00242C76"/>
    <w:rsid w:val="00242CBE"/>
    <w:rsid w:val="0024389A"/>
    <w:rsid w:val="00243C7A"/>
    <w:rsid w:val="00243DBD"/>
    <w:rsid w:val="00243E0E"/>
    <w:rsid w:val="00244218"/>
    <w:rsid w:val="00244367"/>
    <w:rsid w:val="002443AA"/>
    <w:rsid w:val="002444AA"/>
    <w:rsid w:val="00244652"/>
    <w:rsid w:val="00244809"/>
    <w:rsid w:val="00244825"/>
    <w:rsid w:val="00244890"/>
    <w:rsid w:val="00244AAF"/>
    <w:rsid w:val="00244F63"/>
    <w:rsid w:val="0024586A"/>
    <w:rsid w:val="00245D6E"/>
    <w:rsid w:val="002462D7"/>
    <w:rsid w:val="002465D0"/>
    <w:rsid w:val="00247069"/>
    <w:rsid w:val="00247F25"/>
    <w:rsid w:val="00250801"/>
    <w:rsid w:val="00250D0A"/>
    <w:rsid w:val="0025220D"/>
    <w:rsid w:val="00252581"/>
    <w:rsid w:val="00252C3C"/>
    <w:rsid w:val="00252D80"/>
    <w:rsid w:val="00253159"/>
    <w:rsid w:val="002538D1"/>
    <w:rsid w:val="0025503A"/>
    <w:rsid w:val="00255615"/>
    <w:rsid w:val="002558CC"/>
    <w:rsid w:val="00256291"/>
    <w:rsid w:val="00256534"/>
    <w:rsid w:val="00256601"/>
    <w:rsid w:val="002569F2"/>
    <w:rsid w:val="00256B7B"/>
    <w:rsid w:val="00257243"/>
    <w:rsid w:val="002572FD"/>
    <w:rsid w:val="00257470"/>
    <w:rsid w:val="002577A6"/>
    <w:rsid w:val="00260132"/>
    <w:rsid w:val="002601A1"/>
    <w:rsid w:val="002603C8"/>
    <w:rsid w:val="00260557"/>
    <w:rsid w:val="002605EB"/>
    <w:rsid w:val="00260D9F"/>
    <w:rsid w:val="0026130B"/>
    <w:rsid w:val="00261B05"/>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435"/>
    <w:rsid w:val="0026763A"/>
    <w:rsid w:val="00267D1B"/>
    <w:rsid w:val="00270BDF"/>
    <w:rsid w:val="00271092"/>
    <w:rsid w:val="0027114B"/>
    <w:rsid w:val="00271633"/>
    <w:rsid w:val="00271922"/>
    <w:rsid w:val="00271ED8"/>
    <w:rsid w:val="00272739"/>
    <w:rsid w:val="002729D6"/>
    <w:rsid w:val="00272BD9"/>
    <w:rsid w:val="00272D15"/>
    <w:rsid w:val="00272E07"/>
    <w:rsid w:val="00273FAF"/>
    <w:rsid w:val="0027408D"/>
    <w:rsid w:val="002743C5"/>
    <w:rsid w:val="00275817"/>
    <w:rsid w:val="002769D6"/>
    <w:rsid w:val="00276B45"/>
    <w:rsid w:val="00277402"/>
    <w:rsid w:val="00277821"/>
    <w:rsid w:val="002779FE"/>
    <w:rsid w:val="00280244"/>
    <w:rsid w:val="002803E2"/>
    <w:rsid w:val="0028091A"/>
    <w:rsid w:val="00280992"/>
    <w:rsid w:val="00281A57"/>
    <w:rsid w:val="0028280E"/>
    <w:rsid w:val="00282B8C"/>
    <w:rsid w:val="002832B8"/>
    <w:rsid w:val="00283507"/>
    <w:rsid w:val="00283933"/>
    <w:rsid w:val="00283C27"/>
    <w:rsid w:val="002845B4"/>
    <w:rsid w:val="00284880"/>
    <w:rsid w:val="0028501B"/>
    <w:rsid w:val="0028585A"/>
    <w:rsid w:val="00285C4C"/>
    <w:rsid w:val="00285C8D"/>
    <w:rsid w:val="00286104"/>
    <w:rsid w:val="002864D6"/>
    <w:rsid w:val="0028696C"/>
    <w:rsid w:val="00286F23"/>
    <w:rsid w:val="0028778B"/>
    <w:rsid w:val="002907E8"/>
    <w:rsid w:val="002908CB"/>
    <w:rsid w:val="00290B88"/>
    <w:rsid w:val="00290D9E"/>
    <w:rsid w:val="0029139F"/>
    <w:rsid w:val="00291911"/>
    <w:rsid w:val="00292008"/>
    <w:rsid w:val="0029229A"/>
    <w:rsid w:val="0029288F"/>
    <w:rsid w:val="00293C15"/>
    <w:rsid w:val="00293D4A"/>
    <w:rsid w:val="00293ED6"/>
    <w:rsid w:val="00294367"/>
    <w:rsid w:val="00294B02"/>
    <w:rsid w:val="002950AB"/>
    <w:rsid w:val="002958ED"/>
    <w:rsid w:val="00295A86"/>
    <w:rsid w:val="00295A9E"/>
    <w:rsid w:val="00295B5B"/>
    <w:rsid w:val="00295C9F"/>
    <w:rsid w:val="00295CD7"/>
    <w:rsid w:val="00296898"/>
    <w:rsid w:val="00296C29"/>
    <w:rsid w:val="002A1027"/>
    <w:rsid w:val="002A1315"/>
    <w:rsid w:val="002A2203"/>
    <w:rsid w:val="002A281B"/>
    <w:rsid w:val="002A297C"/>
    <w:rsid w:val="002A2ECE"/>
    <w:rsid w:val="002A30E4"/>
    <w:rsid w:val="002A414D"/>
    <w:rsid w:val="002A4202"/>
    <w:rsid w:val="002A570C"/>
    <w:rsid w:val="002A5A7C"/>
    <w:rsid w:val="002A5E39"/>
    <w:rsid w:val="002A5F14"/>
    <w:rsid w:val="002A636A"/>
    <w:rsid w:val="002A688F"/>
    <w:rsid w:val="002A6C31"/>
    <w:rsid w:val="002A6CDA"/>
    <w:rsid w:val="002A6D16"/>
    <w:rsid w:val="002A6E43"/>
    <w:rsid w:val="002A7103"/>
    <w:rsid w:val="002A7770"/>
    <w:rsid w:val="002A7B89"/>
    <w:rsid w:val="002B00AB"/>
    <w:rsid w:val="002B013E"/>
    <w:rsid w:val="002B0505"/>
    <w:rsid w:val="002B0C22"/>
    <w:rsid w:val="002B10D9"/>
    <w:rsid w:val="002B1565"/>
    <w:rsid w:val="002B196E"/>
    <w:rsid w:val="002B216C"/>
    <w:rsid w:val="002B2748"/>
    <w:rsid w:val="002B2A9A"/>
    <w:rsid w:val="002B2C1F"/>
    <w:rsid w:val="002B336E"/>
    <w:rsid w:val="002B396D"/>
    <w:rsid w:val="002B4CFA"/>
    <w:rsid w:val="002B5142"/>
    <w:rsid w:val="002B59B8"/>
    <w:rsid w:val="002B6019"/>
    <w:rsid w:val="002B6922"/>
    <w:rsid w:val="002B6CD7"/>
    <w:rsid w:val="002B7263"/>
    <w:rsid w:val="002B7742"/>
    <w:rsid w:val="002B7A91"/>
    <w:rsid w:val="002B7E07"/>
    <w:rsid w:val="002C02CC"/>
    <w:rsid w:val="002C09B2"/>
    <w:rsid w:val="002C1D8F"/>
    <w:rsid w:val="002C25CA"/>
    <w:rsid w:val="002C268F"/>
    <w:rsid w:val="002C2950"/>
    <w:rsid w:val="002C318B"/>
    <w:rsid w:val="002C336D"/>
    <w:rsid w:val="002C3E10"/>
    <w:rsid w:val="002C3F0E"/>
    <w:rsid w:val="002C3FB3"/>
    <w:rsid w:val="002C44D1"/>
    <w:rsid w:val="002C46B4"/>
    <w:rsid w:val="002C4B20"/>
    <w:rsid w:val="002C55C1"/>
    <w:rsid w:val="002C5766"/>
    <w:rsid w:val="002C57A1"/>
    <w:rsid w:val="002C5A26"/>
    <w:rsid w:val="002C5DCC"/>
    <w:rsid w:val="002C62E9"/>
    <w:rsid w:val="002C6663"/>
    <w:rsid w:val="002C6CA0"/>
    <w:rsid w:val="002C71B8"/>
    <w:rsid w:val="002C784A"/>
    <w:rsid w:val="002D022C"/>
    <w:rsid w:val="002D0A0D"/>
    <w:rsid w:val="002D1138"/>
    <w:rsid w:val="002D115E"/>
    <w:rsid w:val="002D1ABE"/>
    <w:rsid w:val="002D1FE3"/>
    <w:rsid w:val="002D21E5"/>
    <w:rsid w:val="002D23D5"/>
    <w:rsid w:val="002D2CDD"/>
    <w:rsid w:val="002D2D8B"/>
    <w:rsid w:val="002D31D1"/>
    <w:rsid w:val="002D33BF"/>
    <w:rsid w:val="002D3BD2"/>
    <w:rsid w:val="002D417C"/>
    <w:rsid w:val="002D4933"/>
    <w:rsid w:val="002D49EF"/>
    <w:rsid w:val="002D54B6"/>
    <w:rsid w:val="002D5F62"/>
    <w:rsid w:val="002E07D6"/>
    <w:rsid w:val="002E0B77"/>
    <w:rsid w:val="002E0EAB"/>
    <w:rsid w:val="002E164D"/>
    <w:rsid w:val="002E16E5"/>
    <w:rsid w:val="002E1766"/>
    <w:rsid w:val="002E379A"/>
    <w:rsid w:val="002E38E3"/>
    <w:rsid w:val="002E4400"/>
    <w:rsid w:val="002E4A33"/>
    <w:rsid w:val="002E52B0"/>
    <w:rsid w:val="002E5B97"/>
    <w:rsid w:val="002E5BCA"/>
    <w:rsid w:val="002E62F1"/>
    <w:rsid w:val="002E7184"/>
    <w:rsid w:val="002E7900"/>
    <w:rsid w:val="002E7F2B"/>
    <w:rsid w:val="002E7F72"/>
    <w:rsid w:val="002F05C4"/>
    <w:rsid w:val="002F0BE2"/>
    <w:rsid w:val="002F0E31"/>
    <w:rsid w:val="002F15E0"/>
    <w:rsid w:val="002F25EC"/>
    <w:rsid w:val="002F2E3D"/>
    <w:rsid w:val="002F32E7"/>
    <w:rsid w:val="002F356F"/>
    <w:rsid w:val="002F395A"/>
    <w:rsid w:val="002F3B72"/>
    <w:rsid w:val="002F3DD8"/>
    <w:rsid w:val="002F44E9"/>
    <w:rsid w:val="002F4644"/>
    <w:rsid w:val="002F50B8"/>
    <w:rsid w:val="002F5AAD"/>
    <w:rsid w:val="002F5BAF"/>
    <w:rsid w:val="002F5CEF"/>
    <w:rsid w:val="002F628D"/>
    <w:rsid w:val="002F63FB"/>
    <w:rsid w:val="002F64F6"/>
    <w:rsid w:val="002F6773"/>
    <w:rsid w:val="002F6A92"/>
    <w:rsid w:val="00300A3F"/>
    <w:rsid w:val="003010FB"/>
    <w:rsid w:val="00301364"/>
    <w:rsid w:val="003014AC"/>
    <w:rsid w:val="003017FB"/>
    <w:rsid w:val="00301BE0"/>
    <w:rsid w:val="003032D8"/>
    <w:rsid w:val="00303B25"/>
    <w:rsid w:val="00303F4A"/>
    <w:rsid w:val="00304CBB"/>
    <w:rsid w:val="0030605C"/>
    <w:rsid w:val="00306B9D"/>
    <w:rsid w:val="00306D78"/>
    <w:rsid w:val="00310CC9"/>
    <w:rsid w:val="003111EE"/>
    <w:rsid w:val="00311556"/>
    <w:rsid w:val="00311AA0"/>
    <w:rsid w:val="003121A0"/>
    <w:rsid w:val="00312A4F"/>
    <w:rsid w:val="00312A58"/>
    <w:rsid w:val="0031310C"/>
    <w:rsid w:val="00314191"/>
    <w:rsid w:val="00314300"/>
    <w:rsid w:val="00314AE4"/>
    <w:rsid w:val="0031507F"/>
    <w:rsid w:val="0031557D"/>
    <w:rsid w:val="00316030"/>
    <w:rsid w:val="00316A57"/>
    <w:rsid w:val="00316F85"/>
    <w:rsid w:val="0031735D"/>
    <w:rsid w:val="003173FC"/>
    <w:rsid w:val="003174FB"/>
    <w:rsid w:val="00317710"/>
    <w:rsid w:val="003204A1"/>
    <w:rsid w:val="003210B5"/>
    <w:rsid w:val="00321E42"/>
    <w:rsid w:val="00322AF4"/>
    <w:rsid w:val="0032376B"/>
    <w:rsid w:val="00323A39"/>
    <w:rsid w:val="00323F5F"/>
    <w:rsid w:val="0032434D"/>
    <w:rsid w:val="003243B5"/>
    <w:rsid w:val="003244DB"/>
    <w:rsid w:val="003258E3"/>
    <w:rsid w:val="00326623"/>
    <w:rsid w:val="00326824"/>
    <w:rsid w:val="0032687F"/>
    <w:rsid w:val="00326B38"/>
    <w:rsid w:val="00326FCA"/>
    <w:rsid w:val="00327972"/>
    <w:rsid w:val="00327DAD"/>
    <w:rsid w:val="00331569"/>
    <w:rsid w:val="00331693"/>
    <w:rsid w:val="003316B0"/>
    <w:rsid w:val="0033179B"/>
    <w:rsid w:val="003339D9"/>
    <w:rsid w:val="00334273"/>
    <w:rsid w:val="00334574"/>
    <w:rsid w:val="003345E8"/>
    <w:rsid w:val="003347C0"/>
    <w:rsid w:val="003348D8"/>
    <w:rsid w:val="00334B79"/>
    <w:rsid w:val="00334DEF"/>
    <w:rsid w:val="00335D8A"/>
    <w:rsid w:val="003361ED"/>
    <w:rsid w:val="00336336"/>
    <w:rsid w:val="003365E3"/>
    <w:rsid w:val="00336F11"/>
    <w:rsid w:val="0033724B"/>
    <w:rsid w:val="00337546"/>
    <w:rsid w:val="00337638"/>
    <w:rsid w:val="00337B49"/>
    <w:rsid w:val="0034042D"/>
    <w:rsid w:val="00340FB5"/>
    <w:rsid w:val="00341745"/>
    <w:rsid w:val="0034184F"/>
    <w:rsid w:val="00341BE6"/>
    <w:rsid w:val="00341E22"/>
    <w:rsid w:val="00342146"/>
    <w:rsid w:val="0034236C"/>
    <w:rsid w:val="00342938"/>
    <w:rsid w:val="00342DB5"/>
    <w:rsid w:val="00343151"/>
    <w:rsid w:val="0034430A"/>
    <w:rsid w:val="003449BA"/>
    <w:rsid w:val="00344A6C"/>
    <w:rsid w:val="0034539A"/>
    <w:rsid w:val="00345A64"/>
    <w:rsid w:val="00346358"/>
    <w:rsid w:val="003463CC"/>
    <w:rsid w:val="00346B56"/>
    <w:rsid w:val="00346F33"/>
    <w:rsid w:val="00347B61"/>
    <w:rsid w:val="00347E46"/>
    <w:rsid w:val="00350073"/>
    <w:rsid w:val="003501AB"/>
    <w:rsid w:val="00350C40"/>
    <w:rsid w:val="00351A98"/>
    <w:rsid w:val="00351D4C"/>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60207"/>
    <w:rsid w:val="003605CF"/>
    <w:rsid w:val="00360732"/>
    <w:rsid w:val="00360B71"/>
    <w:rsid w:val="00361796"/>
    <w:rsid w:val="00361814"/>
    <w:rsid w:val="003627F1"/>
    <w:rsid w:val="0036288F"/>
    <w:rsid w:val="00363079"/>
    <w:rsid w:val="0036329C"/>
    <w:rsid w:val="00363BCF"/>
    <w:rsid w:val="00363F52"/>
    <w:rsid w:val="0036416B"/>
    <w:rsid w:val="00364B01"/>
    <w:rsid w:val="00364CD1"/>
    <w:rsid w:val="003656A8"/>
    <w:rsid w:val="00365EB4"/>
    <w:rsid w:val="00366246"/>
    <w:rsid w:val="00366569"/>
    <w:rsid w:val="00366C79"/>
    <w:rsid w:val="003671BE"/>
    <w:rsid w:val="0037024F"/>
    <w:rsid w:val="00370A87"/>
    <w:rsid w:val="003711BC"/>
    <w:rsid w:val="00371955"/>
    <w:rsid w:val="003719E6"/>
    <w:rsid w:val="00371C99"/>
    <w:rsid w:val="00371FFD"/>
    <w:rsid w:val="00373371"/>
    <w:rsid w:val="00373477"/>
    <w:rsid w:val="003736E1"/>
    <w:rsid w:val="00374013"/>
    <w:rsid w:val="00374196"/>
    <w:rsid w:val="00374461"/>
    <w:rsid w:val="00374467"/>
    <w:rsid w:val="00374CE1"/>
    <w:rsid w:val="00374EDB"/>
    <w:rsid w:val="00375144"/>
    <w:rsid w:val="003754B5"/>
    <w:rsid w:val="00375CCC"/>
    <w:rsid w:val="00376957"/>
    <w:rsid w:val="00376C2C"/>
    <w:rsid w:val="00376C4A"/>
    <w:rsid w:val="00376C4F"/>
    <w:rsid w:val="00376EDC"/>
    <w:rsid w:val="00377D63"/>
    <w:rsid w:val="00380347"/>
    <w:rsid w:val="00380572"/>
    <w:rsid w:val="00380611"/>
    <w:rsid w:val="003808E5"/>
    <w:rsid w:val="003810A0"/>
    <w:rsid w:val="003814FD"/>
    <w:rsid w:val="00381EEE"/>
    <w:rsid w:val="00382752"/>
    <w:rsid w:val="00382BB0"/>
    <w:rsid w:val="00382F66"/>
    <w:rsid w:val="00382F7F"/>
    <w:rsid w:val="00383005"/>
    <w:rsid w:val="003830C6"/>
    <w:rsid w:val="00383EDF"/>
    <w:rsid w:val="00384882"/>
    <w:rsid w:val="00385013"/>
    <w:rsid w:val="00386634"/>
    <w:rsid w:val="0038715C"/>
    <w:rsid w:val="003875A2"/>
    <w:rsid w:val="00387D8B"/>
    <w:rsid w:val="00390215"/>
    <w:rsid w:val="003902A7"/>
    <w:rsid w:val="00390393"/>
    <w:rsid w:val="0039063A"/>
    <w:rsid w:val="0039082D"/>
    <w:rsid w:val="00391724"/>
    <w:rsid w:val="0039194D"/>
    <w:rsid w:val="003919E2"/>
    <w:rsid w:val="003931C9"/>
    <w:rsid w:val="00393293"/>
    <w:rsid w:val="00393B90"/>
    <w:rsid w:val="00393D84"/>
    <w:rsid w:val="00393EF8"/>
    <w:rsid w:val="003945AC"/>
    <w:rsid w:val="00396D01"/>
    <w:rsid w:val="00397186"/>
    <w:rsid w:val="00397C32"/>
    <w:rsid w:val="00397F3B"/>
    <w:rsid w:val="003A0651"/>
    <w:rsid w:val="003A1006"/>
    <w:rsid w:val="003A14B5"/>
    <w:rsid w:val="003A18EE"/>
    <w:rsid w:val="003A1E9A"/>
    <w:rsid w:val="003A2191"/>
    <w:rsid w:val="003A2441"/>
    <w:rsid w:val="003A2864"/>
    <w:rsid w:val="003A38B6"/>
    <w:rsid w:val="003A3B82"/>
    <w:rsid w:val="003A419F"/>
    <w:rsid w:val="003A472F"/>
    <w:rsid w:val="003A50C7"/>
    <w:rsid w:val="003A562F"/>
    <w:rsid w:val="003A58E2"/>
    <w:rsid w:val="003A5CB2"/>
    <w:rsid w:val="003A5D55"/>
    <w:rsid w:val="003A6281"/>
    <w:rsid w:val="003A62CF"/>
    <w:rsid w:val="003A7B67"/>
    <w:rsid w:val="003B022D"/>
    <w:rsid w:val="003B029A"/>
    <w:rsid w:val="003B09EF"/>
    <w:rsid w:val="003B12E7"/>
    <w:rsid w:val="003B1A1F"/>
    <w:rsid w:val="003B220F"/>
    <w:rsid w:val="003B2F78"/>
    <w:rsid w:val="003B3913"/>
    <w:rsid w:val="003B3BF0"/>
    <w:rsid w:val="003B3C18"/>
    <w:rsid w:val="003B43D2"/>
    <w:rsid w:val="003B455D"/>
    <w:rsid w:val="003B48C1"/>
    <w:rsid w:val="003B48D9"/>
    <w:rsid w:val="003B4E31"/>
    <w:rsid w:val="003B5195"/>
    <w:rsid w:val="003B5812"/>
    <w:rsid w:val="003B5CE3"/>
    <w:rsid w:val="003B6792"/>
    <w:rsid w:val="003B6D25"/>
    <w:rsid w:val="003B7C9A"/>
    <w:rsid w:val="003B7DFF"/>
    <w:rsid w:val="003C010C"/>
    <w:rsid w:val="003C0557"/>
    <w:rsid w:val="003C1975"/>
    <w:rsid w:val="003C2E24"/>
    <w:rsid w:val="003C30C8"/>
    <w:rsid w:val="003C357A"/>
    <w:rsid w:val="003C3D34"/>
    <w:rsid w:val="003C42AE"/>
    <w:rsid w:val="003C441B"/>
    <w:rsid w:val="003C524C"/>
    <w:rsid w:val="003C58C2"/>
    <w:rsid w:val="003C593F"/>
    <w:rsid w:val="003C595B"/>
    <w:rsid w:val="003C5DD2"/>
    <w:rsid w:val="003C6AEF"/>
    <w:rsid w:val="003C6B6B"/>
    <w:rsid w:val="003C6BA6"/>
    <w:rsid w:val="003C6CBD"/>
    <w:rsid w:val="003C6D97"/>
    <w:rsid w:val="003C7428"/>
    <w:rsid w:val="003C7F93"/>
    <w:rsid w:val="003D031E"/>
    <w:rsid w:val="003D0450"/>
    <w:rsid w:val="003D078E"/>
    <w:rsid w:val="003D1281"/>
    <w:rsid w:val="003D1740"/>
    <w:rsid w:val="003D17FE"/>
    <w:rsid w:val="003D18AE"/>
    <w:rsid w:val="003D1B91"/>
    <w:rsid w:val="003D21C3"/>
    <w:rsid w:val="003D21C5"/>
    <w:rsid w:val="003D236F"/>
    <w:rsid w:val="003D2432"/>
    <w:rsid w:val="003D2643"/>
    <w:rsid w:val="003D28BE"/>
    <w:rsid w:val="003D31DC"/>
    <w:rsid w:val="003D3B62"/>
    <w:rsid w:val="003D3F77"/>
    <w:rsid w:val="003D4283"/>
    <w:rsid w:val="003D4A00"/>
    <w:rsid w:val="003D4D47"/>
    <w:rsid w:val="003D501D"/>
    <w:rsid w:val="003D534E"/>
    <w:rsid w:val="003D602D"/>
    <w:rsid w:val="003D64B7"/>
    <w:rsid w:val="003D6EF6"/>
    <w:rsid w:val="003D706E"/>
    <w:rsid w:val="003E0073"/>
    <w:rsid w:val="003E1216"/>
    <w:rsid w:val="003E137C"/>
    <w:rsid w:val="003E1380"/>
    <w:rsid w:val="003E1A40"/>
    <w:rsid w:val="003E1CF4"/>
    <w:rsid w:val="003E208F"/>
    <w:rsid w:val="003E2641"/>
    <w:rsid w:val="003E3169"/>
    <w:rsid w:val="003E3D8C"/>
    <w:rsid w:val="003E44E7"/>
    <w:rsid w:val="003E53D9"/>
    <w:rsid w:val="003E5DDB"/>
    <w:rsid w:val="003E6DA1"/>
    <w:rsid w:val="003E79A3"/>
    <w:rsid w:val="003E7AAD"/>
    <w:rsid w:val="003F019A"/>
    <w:rsid w:val="003F0294"/>
    <w:rsid w:val="003F101D"/>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C35"/>
    <w:rsid w:val="003F660A"/>
    <w:rsid w:val="003F673C"/>
    <w:rsid w:val="003F6B32"/>
    <w:rsid w:val="003F70F5"/>
    <w:rsid w:val="003F71A9"/>
    <w:rsid w:val="003F7E49"/>
    <w:rsid w:val="0040014D"/>
    <w:rsid w:val="004001A2"/>
    <w:rsid w:val="00400B36"/>
    <w:rsid w:val="00400B86"/>
    <w:rsid w:val="004019E3"/>
    <w:rsid w:val="00401D3E"/>
    <w:rsid w:val="004021D5"/>
    <w:rsid w:val="00402579"/>
    <w:rsid w:val="00403870"/>
    <w:rsid w:val="00403A20"/>
    <w:rsid w:val="00403D8A"/>
    <w:rsid w:val="00404420"/>
    <w:rsid w:val="00405111"/>
    <w:rsid w:val="00405428"/>
    <w:rsid w:val="004062D3"/>
    <w:rsid w:val="004068D4"/>
    <w:rsid w:val="00407226"/>
    <w:rsid w:val="0040728C"/>
    <w:rsid w:val="00407302"/>
    <w:rsid w:val="00411314"/>
    <w:rsid w:val="004114D3"/>
    <w:rsid w:val="004117BE"/>
    <w:rsid w:val="00411FE7"/>
    <w:rsid w:val="004126E9"/>
    <w:rsid w:val="00412C11"/>
    <w:rsid w:val="004133BF"/>
    <w:rsid w:val="00413B52"/>
    <w:rsid w:val="004140A0"/>
    <w:rsid w:val="00414557"/>
    <w:rsid w:val="00414B39"/>
    <w:rsid w:val="00415499"/>
    <w:rsid w:val="00415B2B"/>
    <w:rsid w:val="00416455"/>
    <w:rsid w:val="004165BB"/>
    <w:rsid w:val="0041746F"/>
    <w:rsid w:val="00417A5B"/>
    <w:rsid w:val="00417F64"/>
    <w:rsid w:val="0042082C"/>
    <w:rsid w:val="00420961"/>
    <w:rsid w:val="00420BD2"/>
    <w:rsid w:val="0042115D"/>
    <w:rsid w:val="00421A38"/>
    <w:rsid w:val="00422019"/>
    <w:rsid w:val="0042253A"/>
    <w:rsid w:val="00422687"/>
    <w:rsid w:val="00422B18"/>
    <w:rsid w:val="00422F0E"/>
    <w:rsid w:val="00423B4C"/>
    <w:rsid w:val="00424B69"/>
    <w:rsid w:val="00425686"/>
    <w:rsid w:val="00425860"/>
    <w:rsid w:val="004258BD"/>
    <w:rsid w:val="004258BF"/>
    <w:rsid w:val="00425D3E"/>
    <w:rsid w:val="00426712"/>
    <w:rsid w:val="00426BD5"/>
    <w:rsid w:val="00426E3A"/>
    <w:rsid w:val="004275D6"/>
    <w:rsid w:val="00427B8D"/>
    <w:rsid w:val="00427F1E"/>
    <w:rsid w:val="00430414"/>
    <w:rsid w:val="00430C54"/>
    <w:rsid w:val="00431EBB"/>
    <w:rsid w:val="00432557"/>
    <w:rsid w:val="00432916"/>
    <w:rsid w:val="00433CBE"/>
    <w:rsid w:val="00433D4E"/>
    <w:rsid w:val="00433EE1"/>
    <w:rsid w:val="004342E2"/>
    <w:rsid w:val="00435537"/>
    <w:rsid w:val="004364B6"/>
    <w:rsid w:val="004366D6"/>
    <w:rsid w:val="004367EB"/>
    <w:rsid w:val="004375C7"/>
    <w:rsid w:val="00437730"/>
    <w:rsid w:val="00440248"/>
    <w:rsid w:val="00440669"/>
    <w:rsid w:val="0044076F"/>
    <w:rsid w:val="00440876"/>
    <w:rsid w:val="004412B1"/>
    <w:rsid w:val="00441338"/>
    <w:rsid w:val="0044235E"/>
    <w:rsid w:val="004435FA"/>
    <w:rsid w:val="004438E6"/>
    <w:rsid w:val="0044395C"/>
    <w:rsid w:val="004439D7"/>
    <w:rsid w:val="00443CE5"/>
    <w:rsid w:val="00443ECC"/>
    <w:rsid w:val="0044404B"/>
    <w:rsid w:val="0044429D"/>
    <w:rsid w:val="00444AA5"/>
    <w:rsid w:val="00444CCA"/>
    <w:rsid w:val="00445393"/>
    <w:rsid w:val="004459C5"/>
    <w:rsid w:val="00445A8D"/>
    <w:rsid w:val="00445C6A"/>
    <w:rsid w:val="00446509"/>
    <w:rsid w:val="004466E3"/>
    <w:rsid w:val="00446DB7"/>
    <w:rsid w:val="00447FBC"/>
    <w:rsid w:val="00450C21"/>
    <w:rsid w:val="004512B6"/>
    <w:rsid w:val="004528E3"/>
    <w:rsid w:val="0045402C"/>
    <w:rsid w:val="00455C09"/>
    <w:rsid w:val="0045794E"/>
    <w:rsid w:val="00457E66"/>
    <w:rsid w:val="00457E78"/>
    <w:rsid w:val="00460984"/>
    <w:rsid w:val="00461421"/>
    <w:rsid w:val="004617BF"/>
    <w:rsid w:val="00461898"/>
    <w:rsid w:val="004618BB"/>
    <w:rsid w:val="00461AC3"/>
    <w:rsid w:val="00461D0B"/>
    <w:rsid w:val="00461D82"/>
    <w:rsid w:val="004622FB"/>
    <w:rsid w:val="004623A7"/>
    <w:rsid w:val="004625AB"/>
    <w:rsid w:val="004625D3"/>
    <w:rsid w:val="004626C5"/>
    <w:rsid w:val="004629AF"/>
    <w:rsid w:val="00462B75"/>
    <w:rsid w:val="004631BF"/>
    <w:rsid w:val="004634A4"/>
    <w:rsid w:val="00463534"/>
    <w:rsid w:val="00463E58"/>
    <w:rsid w:val="00464D1E"/>
    <w:rsid w:val="00464E9F"/>
    <w:rsid w:val="0046561C"/>
    <w:rsid w:val="00466376"/>
    <w:rsid w:val="004664F3"/>
    <w:rsid w:val="004665B2"/>
    <w:rsid w:val="004672E1"/>
    <w:rsid w:val="00467618"/>
    <w:rsid w:val="00467EA7"/>
    <w:rsid w:val="0047019F"/>
    <w:rsid w:val="004702E6"/>
    <w:rsid w:val="00470FAF"/>
    <w:rsid w:val="0047181D"/>
    <w:rsid w:val="00471CD4"/>
    <w:rsid w:val="0047207F"/>
    <w:rsid w:val="00472290"/>
    <w:rsid w:val="00472940"/>
    <w:rsid w:val="004729E0"/>
    <w:rsid w:val="00472C88"/>
    <w:rsid w:val="00473CB7"/>
    <w:rsid w:val="004744FF"/>
    <w:rsid w:val="00475375"/>
    <w:rsid w:val="004762F5"/>
    <w:rsid w:val="00476BD6"/>
    <w:rsid w:val="004771B9"/>
    <w:rsid w:val="004800BF"/>
    <w:rsid w:val="004802DA"/>
    <w:rsid w:val="0048146B"/>
    <w:rsid w:val="004814EB"/>
    <w:rsid w:val="004816CB"/>
    <w:rsid w:val="00481E24"/>
    <w:rsid w:val="00482D95"/>
    <w:rsid w:val="00483348"/>
    <w:rsid w:val="004834D9"/>
    <w:rsid w:val="004838EF"/>
    <w:rsid w:val="004843D0"/>
    <w:rsid w:val="004845A8"/>
    <w:rsid w:val="00484C20"/>
    <w:rsid w:val="00484E8D"/>
    <w:rsid w:val="00485022"/>
    <w:rsid w:val="0048521D"/>
    <w:rsid w:val="004853D3"/>
    <w:rsid w:val="00485691"/>
    <w:rsid w:val="00485A1F"/>
    <w:rsid w:val="004861BD"/>
    <w:rsid w:val="00486796"/>
    <w:rsid w:val="00486BE7"/>
    <w:rsid w:val="00486C74"/>
    <w:rsid w:val="004901CB"/>
    <w:rsid w:val="00490BCC"/>
    <w:rsid w:val="004910AC"/>
    <w:rsid w:val="00492195"/>
    <w:rsid w:val="00492364"/>
    <w:rsid w:val="004924C0"/>
    <w:rsid w:val="004925E7"/>
    <w:rsid w:val="00492682"/>
    <w:rsid w:val="00492B01"/>
    <w:rsid w:val="00492E2B"/>
    <w:rsid w:val="00493093"/>
    <w:rsid w:val="004932E8"/>
    <w:rsid w:val="004943F7"/>
    <w:rsid w:val="00494A8A"/>
    <w:rsid w:val="00494DA3"/>
    <w:rsid w:val="00495542"/>
    <w:rsid w:val="00496642"/>
    <w:rsid w:val="004966A6"/>
    <w:rsid w:val="00496B37"/>
    <w:rsid w:val="00496F86"/>
    <w:rsid w:val="004973C4"/>
    <w:rsid w:val="004A0525"/>
    <w:rsid w:val="004A10F1"/>
    <w:rsid w:val="004A1173"/>
    <w:rsid w:val="004A225B"/>
    <w:rsid w:val="004A2535"/>
    <w:rsid w:val="004A2542"/>
    <w:rsid w:val="004A2710"/>
    <w:rsid w:val="004A2955"/>
    <w:rsid w:val="004A3487"/>
    <w:rsid w:val="004A352F"/>
    <w:rsid w:val="004A3D3C"/>
    <w:rsid w:val="004A4111"/>
    <w:rsid w:val="004A4332"/>
    <w:rsid w:val="004A4361"/>
    <w:rsid w:val="004A4451"/>
    <w:rsid w:val="004A50BB"/>
    <w:rsid w:val="004A5FD5"/>
    <w:rsid w:val="004A6C23"/>
    <w:rsid w:val="004A73C5"/>
    <w:rsid w:val="004A7B48"/>
    <w:rsid w:val="004A7E5A"/>
    <w:rsid w:val="004A7F99"/>
    <w:rsid w:val="004B0228"/>
    <w:rsid w:val="004B0521"/>
    <w:rsid w:val="004B0EDD"/>
    <w:rsid w:val="004B10AB"/>
    <w:rsid w:val="004B171C"/>
    <w:rsid w:val="004B1B53"/>
    <w:rsid w:val="004B2746"/>
    <w:rsid w:val="004B2EBB"/>
    <w:rsid w:val="004B322C"/>
    <w:rsid w:val="004B3775"/>
    <w:rsid w:val="004B3780"/>
    <w:rsid w:val="004B3B09"/>
    <w:rsid w:val="004B3E33"/>
    <w:rsid w:val="004B42B1"/>
    <w:rsid w:val="004B49E6"/>
    <w:rsid w:val="004B4D2F"/>
    <w:rsid w:val="004B4D92"/>
    <w:rsid w:val="004B4E09"/>
    <w:rsid w:val="004B5569"/>
    <w:rsid w:val="004B5839"/>
    <w:rsid w:val="004B5EDE"/>
    <w:rsid w:val="004B5FB0"/>
    <w:rsid w:val="004B6126"/>
    <w:rsid w:val="004B66EA"/>
    <w:rsid w:val="004B691E"/>
    <w:rsid w:val="004B69E7"/>
    <w:rsid w:val="004B794F"/>
    <w:rsid w:val="004B7AF8"/>
    <w:rsid w:val="004C02A5"/>
    <w:rsid w:val="004C086C"/>
    <w:rsid w:val="004C0DC3"/>
    <w:rsid w:val="004C0E56"/>
    <w:rsid w:val="004C159A"/>
    <w:rsid w:val="004C1793"/>
    <w:rsid w:val="004C2259"/>
    <w:rsid w:val="004C2C6D"/>
    <w:rsid w:val="004C3426"/>
    <w:rsid w:val="004C3F70"/>
    <w:rsid w:val="004C43FD"/>
    <w:rsid w:val="004C4566"/>
    <w:rsid w:val="004C4E85"/>
    <w:rsid w:val="004C51CB"/>
    <w:rsid w:val="004C537A"/>
    <w:rsid w:val="004C54F5"/>
    <w:rsid w:val="004C5776"/>
    <w:rsid w:val="004C7BD9"/>
    <w:rsid w:val="004D053D"/>
    <w:rsid w:val="004D0A4A"/>
    <w:rsid w:val="004D116B"/>
    <w:rsid w:val="004D12FA"/>
    <w:rsid w:val="004D1698"/>
    <w:rsid w:val="004D3330"/>
    <w:rsid w:val="004D35BD"/>
    <w:rsid w:val="004D4335"/>
    <w:rsid w:val="004D44EE"/>
    <w:rsid w:val="004D45A9"/>
    <w:rsid w:val="004D46A3"/>
    <w:rsid w:val="004D5437"/>
    <w:rsid w:val="004D5988"/>
    <w:rsid w:val="004D5CCF"/>
    <w:rsid w:val="004D781F"/>
    <w:rsid w:val="004E0161"/>
    <w:rsid w:val="004E084F"/>
    <w:rsid w:val="004E0FB0"/>
    <w:rsid w:val="004E118B"/>
    <w:rsid w:val="004E1DD2"/>
    <w:rsid w:val="004E21D7"/>
    <w:rsid w:val="004E2F2C"/>
    <w:rsid w:val="004E316F"/>
    <w:rsid w:val="004E36E2"/>
    <w:rsid w:val="004E3BA0"/>
    <w:rsid w:val="004E40EF"/>
    <w:rsid w:val="004E436A"/>
    <w:rsid w:val="004E458B"/>
    <w:rsid w:val="004E46CD"/>
    <w:rsid w:val="004E4A70"/>
    <w:rsid w:val="004E5031"/>
    <w:rsid w:val="004E5333"/>
    <w:rsid w:val="004E579C"/>
    <w:rsid w:val="004E67F8"/>
    <w:rsid w:val="004E6BF1"/>
    <w:rsid w:val="004E7953"/>
    <w:rsid w:val="004E7B4B"/>
    <w:rsid w:val="004F0C84"/>
    <w:rsid w:val="004F0E48"/>
    <w:rsid w:val="004F1302"/>
    <w:rsid w:val="004F165E"/>
    <w:rsid w:val="004F17BB"/>
    <w:rsid w:val="004F2896"/>
    <w:rsid w:val="004F2DD1"/>
    <w:rsid w:val="004F3534"/>
    <w:rsid w:val="004F3CB1"/>
    <w:rsid w:val="004F3CDC"/>
    <w:rsid w:val="004F4F21"/>
    <w:rsid w:val="004F572F"/>
    <w:rsid w:val="004F57F8"/>
    <w:rsid w:val="004F5A08"/>
    <w:rsid w:val="004F5C0C"/>
    <w:rsid w:val="004F5C70"/>
    <w:rsid w:val="004F5DB6"/>
    <w:rsid w:val="004F636D"/>
    <w:rsid w:val="004F749A"/>
    <w:rsid w:val="004F750D"/>
    <w:rsid w:val="004F751F"/>
    <w:rsid w:val="004F7774"/>
    <w:rsid w:val="004F7C39"/>
    <w:rsid w:val="00500B43"/>
    <w:rsid w:val="00500F36"/>
    <w:rsid w:val="005015F7"/>
    <w:rsid w:val="00501998"/>
    <w:rsid w:val="00501BEF"/>
    <w:rsid w:val="00502240"/>
    <w:rsid w:val="00502F61"/>
    <w:rsid w:val="00504604"/>
    <w:rsid w:val="00504969"/>
    <w:rsid w:val="0050508C"/>
    <w:rsid w:val="005052E3"/>
    <w:rsid w:val="00505313"/>
    <w:rsid w:val="00505806"/>
    <w:rsid w:val="00505897"/>
    <w:rsid w:val="00505A0C"/>
    <w:rsid w:val="00505F47"/>
    <w:rsid w:val="00506280"/>
    <w:rsid w:val="0050660F"/>
    <w:rsid w:val="00506918"/>
    <w:rsid w:val="005070B1"/>
    <w:rsid w:val="005070DE"/>
    <w:rsid w:val="005078CD"/>
    <w:rsid w:val="00507ABF"/>
    <w:rsid w:val="00507C14"/>
    <w:rsid w:val="00507EEA"/>
    <w:rsid w:val="00507F00"/>
    <w:rsid w:val="0051018E"/>
    <w:rsid w:val="00511577"/>
    <w:rsid w:val="00511C9B"/>
    <w:rsid w:val="005120A2"/>
    <w:rsid w:val="00512668"/>
    <w:rsid w:val="005126CC"/>
    <w:rsid w:val="005129BA"/>
    <w:rsid w:val="005130B9"/>
    <w:rsid w:val="0051319A"/>
    <w:rsid w:val="00513303"/>
    <w:rsid w:val="0051376C"/>
    <w:rsid w:val="00514856"/>
    <w:rsid w:val="005149E8"/>
    <w:rsid w:val="00514BED"/>
    <w:rsid w:val="005157F8"/>
    <w:rsid w:val="0051581A"/>
    <w:rsid w:val="00515FA3"/>
    <w:rsid w:val="0051620F"/>
    <w:rsid w:val="00516482"/>
    <w:rsid w:val="00516A95"/>
    <w:rsid w:val="00516B16"/>
    <w:rsid w:val="00516EAB"/>
    <w:rsid w:val="00517225"/>
    <w:rsid w:val="005174A3"/>
    <w:rsid w:val="005178FE"/>
    <w:rsid w:val="00517F8F"/>
    <w:rsid w:val="00517FA3"/>
    <w:rsid w:val="00520978"/>
    <w:rsid w:val="00520D97"/>
    <w:rsid w:val="00521796"/>
    <w:rsid w:val="005226AE"/>
    <w:rsid w:val="00523617"/>
    <w:rsid w:val="005239D6"/>
    <w:rsid w:val="00523BEF"/>
    <w:rsid w:val="00524BFD"/>
    <w:rsid w:val="005254B4"/>
    <w:rsid w:val="0052635A"/>
    <w:rsid w:val="00530011"/>
    <w:rsid w:val="00530BE8"/>
    <w:rsid w:val="00530F4A"/>
    <w:rsid w:val="005311B1"/>
    <w:rsid w:val="00531793"/>
    <w:rsid w:val="0053190B"/>
    <w:rsid w:val="00531DB5"/>
    <w:rsid w:val="005322FC"/>
    <w:rsid w:val="0053288F"/>
    <w:rsid w:val="00532F80"/>
    <w:rsid w:val="00533262"/>
    <w:rsid w:val="0053330B"/>
    <w:rsid w:val="005336EB"/>
    <w:rsid w:val="00533A1E"/>
    <w:rsid w:val="00535864"/>
    <w:rsid w:val="00536B5C"/>
    <w:rsid w:val="005374F4"/>
    <w:rsid w:val="00537883"/>
    <w:rsid w:val="00537897"/>
    <w:rsid w:val="00537DE9"/>
    <w:rsid w:val="00537EA3"/>
    <w:rsid w:val="00540A15"/>
    <w:rsid w:val="00540BB9"/>
    <w:rsid w:val="005413B1"/>
    <w:rsid w:val="00541A89"/>
    <w:rsid w:val="00541C46"/>
    <w:rsid w:val="00542043"/>
    <w:rsid w:val="0054221F"/>
    <w:rsid w:val="00542DFE"/>
    <w:rsid w:val="00542E3A"/>
    <w:rsid w:val="00543511"/>
    <w:rsid w:val="00543B65"/>
    <w:rsid w:val="00544472"/>
    <w:rsid w:val="005446B5"/>
    <w:rsid w:val="00544952"/>
    <w:rsid w:val="0054520C"/>
    <w:rsid w:val="005458EF"/>
    <w:rsid w:val="00545C73"/>
    <w:rsid w:val="0054685C"/>
    <w:rsid w:val="00547582"/>
    <w:rsid w:val="00547ECD"/>
    <w:rsid w:val="00550169"/>
    <w:rsid w:val="00550528"/>
    <w:rsid w:val="0055079E"/>
    <w:rsid w:val="005507DA"/>
    <w:rsid w:val="00551750"/>
    <w:rsid w:val="00551AE3"/>
    <w:rsid w:val="0055203D"/>
    <w:rsid w:val="00552881"/>
    <w:rsid w:val="00553984"/>
    <w:rsid w:val="005542EB"/>
    <w:rsid w:val="00554827"/>
    <w:rsid w:val="00554A45"/>
    <w:rsid w:val="00554CB7"/>
    <w:rsid w:val="0055502E"/>
    <w:rsid w:val="00555557"/>
    <w:rsid w:val="00555F15"/>
    <w:rsid w:val="005561FF"/>
    <w:rsid w:val="005565E3"/>
    <w:rsid w:val="005567E5"/>
    <w:rsid w:val="0055689B"/>
    <w:rsid w:val="005578A2"/>
    <w:rsid w:val="00560504"/>
    <w:rsid w:val="00560695"/>
    <w:rsid w:val="0056182D"/>
    <w:rsid w:val="00561A65"/>
    <w:rsid w:val="00561B04"/>
    <w:rsid w:val="00561C23"/>
    <w:rsid w:val="00561E0C"/>
    <w:rsid w:val="0056244F"/>
    <w:rsid w:val="005626F3"/>
    <w:rsid w:val="0056385D"/>
    <w:rsid w:val="0056419F"/>
    <w:rsid w:val="0056469A"/>
    <w:rsid w:val="00564AE3"/>
    <w:rsid w:val="00564B1C"/>
    <w:rsid w:val="00564D2F"/>
    <w:rsid w:val="00565794"/>
    <w:rsid w:val="00565D32"/>
    <w:rsid w:val="005673B5"/>
    <w:rsid w:val="00567FBB"/>
    <w:rsid w:val="005703C0"/>
    <w:rsid w:val="00570561"/>
    <w:rsid w:val="00570A9A"/>
    <w:rsid w:val="00570EAB"/>
    <w:rsid w:val="00571032"/>
    <w:rsid w:val="0057148E"/>
    <w:rsid w:val="0057172D"/>
    <w:rsid w:val="00571918"/>
    <w:rsid w:val="00571AF9"/>
    <w:rsid w:val="00571D9E"/>
    <w:rsid w:val="0057211F"/>
    <w:rsid w:val="00572B0E"/>
    <w:rsid w:val="00572E80"/>
    <w:rsid w:val="005746EB"/>
    <w:rsid w:val="005754A6"/>
    <w:rsid w:val="005757BB"/>
    <w:rsid w:val="00575EE0"/>
    <w:rsid w:val="00576239"/>
    <w:rsid w:val="005762BC"/>
    <w:rsid w:val="00576D98"/>
    <w:rsid w:val="00577110"/>
    <w:rsid w:val="0057727E"/>
    <w:rsid w:val="0057736E"/>
    <w:rsid w:val="00577560"/>
    <w:rsid w:val="0058001A"/>
    <w:rsid w:val="0058097B"/>
    <w:rsid w:val="00581210"/>
    <w:rsid w:val="005814DE"/>
    <w:rsid w:val="00581954"/>
    <w:rsid w:val="00581E80"/>
    <w:rsid w:val="00582403"/>
    <w:rsid w:val="00582577"/>
    <w:rsid w:val="0058284C"/>
    <w:rsid w:val="00583507"/>
    <w:rsid w:val="00583574"/>
    <w:rsid w:val="00583A1E"/>
    <w:rsid w:val="00583E43"/>
    <w:rsid w:val="0058475F"/>
    <w:rsid w:val="00584B44"/>
    <w:rsid w:val="00584B6A"/>
    <w:rsid w:val="00584D39"/>
    <w:rsid w:val="00584F77"/>
    <w:rsid w:val="0058510D"/>
    <w:rsid w:val="00585153"/>
    <w:rsid w:val="00585EC9"/>
    <w:rsid w:val="00585F2C"/>
    <w:rsid w:val="00586595"/>
    <w:rsid w:val="00586691"/>
    <w:rsid w:val="00586BDE"/>
    <w:rsid w:val="00586C79"/>
    <w:rsid w:val="00586E67"/>
    <w:rsid w:val="00586F5E"/>
    <w:rsid w:val="005878DF"/>
    <w:rsid w:val="0059000D"/>
    <w:rsid w:val="00590083"/>
    <w:rsid w:val="005908F5"/>
    <w:rsid w:val="00590E1B"/>
    <w:rsid w:val="00591220"/>
    <w:rsid w:val="00591659"/>
    <w:rsid w:val="00591935"/>
    <w:rsid w:val="00591C85"/>
    <w:rsid w:val="00591CAD"/>
    <w:rsid w:val="0059398E"/>
    <w:rsid w:val="00593A2C"/>
    <w:rsid w:val="00594250"/>
    <w:rsid w:val="00594951"/>
    <w:rsid w:val="00594D60"/>
    <w:rsid w:val="00595235"/>
    <w:rsid w:val="005954D0"/>
    <w:rsid w:val="00595770"/>
    <w:rsid w:val="00595855"/>
    <w:rsid w:val="00595FD2"/>
    <w:rsid w:val="005967D8"/>
    <w:rsid w:val="005968B1"/>
    <w:rsid w:val="00596FDB"/>
    <w:rsid w:val="005974C2"/>
    <w:rsid w:val="00597776"/>
    <w:rsid w:val="00597B7D"/>
    <w:rsid w:val="005A0DE0"/>
    <w:rsid w:val="005A10FB"/>
    <w:rsid w:val="005A1331"/>
    <w:rsid w:val="005A1792"/>
    <w:rsid w:val="005A1C09"/>
    <w:rsid w:val="005A26C1"/>
    <w:rsid w:val="005A2D5B"/>
    <w:rsid w:val="005A2DF4"/>
    <w:rsid w:val="005A35C7"/>
    <w:rsid w:val="005A3943"/>
    <w:rsid w:val="005A3CA5"/>
    <w:rsid w:val="005A41A6"/>
    <w:rsid w:val="005A497F"/>
    <w:rsid w:val="005A53A0"/>
    <w:rsid w:val="005A557B"/>
    <w:rsid w:val="005A69D5"/>
    <w:rsid w:val="005A6F07"/>
    <w:rsid w:val="005A7D60"/>
    <w:rsid w:val="005A7FC1"/>
    <w:rsid w:val="005B01E3"/>
    <w:rsid w:val="005B03EF"/>
    <w:rsid w:val="005B0675"/>
    <w:rsid w:val="005B1E18"/>
    <w:rsid w:val="005B1EA3"/>
    <w:rsid w:val="005B2626"/>
    <w:rsid w:val="005B29E3"/>
    <w:rsid w:val="005B2B0F"/>
    <w:rsid w:val="005B2C05"/>
    <w:rsid w:val="005B2C7A"/>
    <w:rsid w:val="005B32CD"/>
    <w:rsid w:val="005B3AFB"/>
    <w:rsid w:val="005B3B08"/>
    <w:rsid w:val="005B401B"/>
    <w:rsid w:val="005B48EA"/>
    <w:rsid w:val="005B48F5"/>
    <w:rsid w:val="005B5344"/>
    <w:rsid w:val="005B60C2"/>
    <w:rsid w:val="005B6E38"/>
    <w:rsid w:val="005B76BB"/>
    <w:rsid w:val="005B778A"/>
    <w:rsid w:val="005B77E0"/>
    <w:rsid w:val="005B7885"/>
    <w:rsid w:val="005B7D0D"/>
    <w:rsid w:val="005C0A48"/>
    <w:rsid w:val="005C11B9"/>
    <w:rsid w:val="005C179A"/>
    <w:rsid w:val="005C1973"/>
    <w:rsid w:val="005C1B36"/>
    <w:rsid w:val="005C1C71"/>
    <w:rsid w:val="005C1C85"/>
    <w:rsid w:val="005C28E5"/>
    <w:rsid w:val="005C293A"/>
    <w:rsid w:val="005C3179"/>
    <w:rsid w:val="005C4751"/>
    <w:rsid w:val="005C4965"/>
    <w:rsid w:val="005C4E0C"/>
    <w:rsid w:val="005C50F9"/>
    <w:rsid w:val="005C5FA7"/>
    <w:rsid w:val="005C6137"/>
    <w:rsid w:val="005C6181"/>
    <w:rsid w:val="005C63A9"/>
    <w:rsid w:val="005C68C1"/>
    <w:rsid w:val="005C691B"/>
    <w:rsid w:val="005C6A07"/>
    <w:rsid w:val="005C6E1D"/>
    <w:rsid w:val="005C707A"/>
    <w:rsid w:val="005C7D21"/>
    <w:rsid w:val="005D036D"/>
    <w:rsid w:val="005D0550"/>
    <w:rsid w:val="005D113E"/>
    <w:rsid w:val="005D11A4"/>
    <w:rsid w:val="005D14CD"/>
    <w:rsid w:val="005D16E3"/>
    <w:rsid w:val="005D17E6"/>
    <w:rsid w:val="005D1AE7"/>
    <w:rsid w:val="005D1E19"/>
    <w:rsid w:val="005D1F76"/>
    <w:rsid w:val="005D1FC2"/>
    <w:rsid w:val="005D23CD"/>
    <w:rsid w:val="005D2708"/>
    <w:rsid w:val="005D31F4"/>
    <w:rsid w:val="005D3C7D"/>
    <w:rsid w:val="005D3C80"/>
    <w:rsid w:val="005D47FD"/>
    <w:rsid w:val="005D49EC"/>
    <w:rsid w:val="005D5CE6"/>
    <w:rsid w:val="005D69BB"/>
    <w:rsid w:val="005D6AA2"/>
    <w:rsid w:val="005D6D05"/>
    <w:rsid w:val="005D6DA6"/>
    <w:rsid w:val="005D6DF1"/>
    <w:rsid w:val="005D71A1"/>
    <w:rsid w:val="005D72D0"/>
    <w:rsid w:val="005D741C"/>
    <w:rsid w:val="005E03E0"/>
    <w:rsid w:val="005E06A7"/>
    <w:rsid w:val="005E0760"/>
    <w:rsid w:val="005E07BC"/>
    <w:rsid w:val="005E09A6"/>
    <w:rsid w:val="005E0A01"/>
    <w:rsid w:val="005E16F8"/>
    <w:rsid w:val="005E17F8"/>
    <w:rsid w:val="005E1DE6"/>
    <w:rsid w:val="005E35B0"/>
    <w:rsid w:val="005E3BDC"/>
    <w:rsid w:val="005E4078"/>
    <w:rsid w:val="005E4938"/>
    <w:rsid w:val="005E510F"/>
    <w:rsid w:val="005E5645"/>
    <w:rsid w:val="005E5976"/>
    <w:rsid w:val="005E6455"/>
    <w:rsid w:val="005E65F9"/>
    <w:rsid w:val="005E695F"/>
    <w:rsid w:val="005E75D7"/>
    <w:rsid w:val="005F0BF2"/>
    <w:rsid w:val="005F1297"/>
    <w:rsid w:val="005F1682"/>
    <w:rsid w:val="005F1A43"/>
    <w:rsid w:val="005F20FD"/>
    <w:rsid w:val="005F22F2"/>
    <w:rsid w:val="005F2947"/>
    <w:rsid w:val="005F3F2E"/>
    <w:rsid w:val="005F459F"/>
    <w:rsid w:val="005F4BB3"/>
    <w:rsid w:val="005F52E8"/>
    <w:rsid w:val="005F5AB2"/>
    <w:rsid w:val="005F62E3"/>
    <w:rsid w:val="005F659B"/>
    <w:rsid w:val="005F7442"/>
    <w:rsid w:val="005F74A4"/>
    <w:rsid w:val="005F7D05"/>
    <w:rsid w:val="0060033C"/>
    <w:rsid w:val="00600415"/>
    <w:rsid w:val="00600575"/>
    <w:rsid w:val="00602875"/>
    <w:rsid w:val="0060300E"/>
    <w:rsid w:val="006030E6"/>
    <w:rsid w:val="00603BFC"/>
    <w:rsid w:val="006040EB"/>
    <w:rsid w:val="006041ED"/>
    <w:rsid w:val="006041F2"/>
    <w:rsid w:val="006043C0"/>
    <w:rsid w:val="00604836"/>
    <w:rsid w:val="006054F2"/>
    <w:rsid w:val="006061CA"/>
    <w:rsid w:val="0060635C"/>
    <w:rsid w:val="00606B2F"/>
    <w:rsid w:val="00606E05"/>
    <w:rsid w:val="006074E2"/>
    <w:rsid w:val="00610072"/>
    <w:rsid w:val="00610ADF"/>
    <w:rsid w:val="006113B3"/>
    <w:rsid w:val="0061186B"/>
    <w:rsid w:val="006118F0"/>
    <w:rsid w:val="00611B94"/>
    <w:rsid w:val="00611CEE"/>
    <w:rsid w:val="00612159"/>
    <w:rsid w:val="00613644"/>
    <w:rsid w:val="00613A63"/>
    <w:rsid w:val="00613C23"/>
    <w:rsid w:val="00613D9D"/>
    <w:rsid w:val="00614208"/>
    <w:rsid w:val="0061442D"/>
    <w:rsid w:val="006145F0"/>
    <w:rsid w:val="00614943"/>
    <w:rsid w:val="00614AEC"/>
    <w:rsid w:val="00614F78"/>
    <w:rsid w:val="0061640B"/>
    <w:rsid w:val="00616872"/>
    <w:rsid w:val="00616F0F"/>
    <w:rsid w:val="006175B7"/>
    <w:rsid w:val="006201D1"/>
    <w:rsid w:val="00620769"/>
    <w:rsid w:val="0062093D"/>
    <w:rsid w:val="00621F5D"/>
    <w:rsid w:val="0062236C"/>
    <w:rsid w:val="0062262A"/>
    <w:rsid w:val="00622DF5"/>
    <w:rsid w:val="00623932"/>
    <w:rsid w:val="00623CA4"/>
    <w:rsid w:val="0062406F"/>
    <w:rsid w:val="0062482E"/>
    <w:rsid w:val="00625471"/>
    <w:rsid w:val="00625844"/>
    <w:rsid w:val="00625882"/>
    <w:rsid w:val="00625B69"/>
    <w:rsid w:val="00626368"/>
    <w:rsid w:val="006266CD"/>
    <w:rsid w:val="00627AB1"/>
    <w:rsid w:val="006300FE"/>
    <w:rsid w:val="00630D22"/>
    <w:rsid w:val="00630E13"/>
    <w:rsid w:val="00630F3A"/>
    <w:rsid w:val="0063123E"/>
    <w:rsid w:val="00631280"/>
    <w:rsid w:val="0063197B"/>
    <w:rsid w:val="00631984"/>
    <w:rsid w:val="006319A7"/>
    <w:rsid w:val="00632480"/>
    <w:rsid w:val="006326AF"/>
    <w:rsid w:val="00633614"/>
    <w:rsid w:val="00633846"/>
    <w:rsid w:val="00633897"/>
    <w:rsid w:val="006338AB"/>
    <w:rsid w:val="00633BBA"/>
    <w:rsid w:val="00633D84"/>
    <w:rsid w:val="00635566"/>
    <w:rsid w:val="00635AEC"/>
    <w:rsid w:val="00636F25"/>
    <w:rsid w:val="00640680"/>
    <w:rsid w:val="006406CE"/>
    <w:rsid w:val="00640B07"/>
    <w:rsid w:val="00641781"/>
    <w:rsid w:val="006418B5"/>
    <w:rsid w:val="00641E3D"/>
    <w:rsid w:val="00641EAB"/>
    <w:rsid w:val="0064214F"/>
    <w:rsid w:val="00642552"/>
    <w:rsid w:val="00642A16"/>
    <w:rsid w:val="00642D86"/>
    <w:rsid w:val="00643BDC"/>
    <w:rsid w:val="0064406F"/>
    <w:rsid w:val="0064491C"/>
    <w:rsid w:val="00645ED5"/>
    <w:rsid w:val="00646C5B"/>
    <w:rsid w:val="0064707E"/>
    <w:rsid w:val="00647227"/>
    <w:rsid w:val="006476A1"/>
    <w:rsid w:val="00647DBC"/>
    <w:rsid w:val="00647E2C"/>
    <w:rsid w:val="00650073"/>
    <w:rsid w:val="006508D0"/>
    <w:rsid w:val="00650A4D"/>
    <w:rsid w:val="00650B09"/>
    <w:rsid w:val="00650DB0"/>
    <w:rsid w:val="00650FBE"/>
    <w:rsid w:val="0065188B"/>
    <w:rsid w:val="00652513"/>
    <w:rsid w:val="0065295A"/>
    <w:rsid w:val="0065342C"/>
    <w:rsid w:val="00653952"/>
    <w:rsid w:val="00654FD5"/>
    <w:rsid w:val="006558A7"/>
    <w:rsid w:val="006558BE"/>
    <w:rsid w:val="006560C3"/>
    <w:rsid w:val="00656750"/>
    <w:rsid w:val="00656983"/>
    <w:rsid w:val="00656EDF"/>
    <w:rsid w:val="00657EFF"/>
    <w:rsid w:val="0066022E"/>
    <w:rsid w:val="00660337"/>
    <w:rsid w:val="00660463"/>
    <w:rsid w:val="0066053B"/>
    <w:rsid w:val="006616BF"/>
    <w:rsid w:val="00661780"/>
    <w:rsid w:val="00661B0F"/>
    <w:rsid w:val="00661B48"/>
    <w:rsid w:val="00662238"/>
    <w:rsid w:val="00662CB1"/>
    <w:rsid w:val="006633CF"/>
    <w:rsid w:val="00663528"/>
    <w:rsid w:val="006638DC"/>
    <w:rsid w:val="00663991"/>
    <w:rsid w:val="006645C3"/>
    <w:rsid w:val="0066489E"/>
    <w:rsid w:val="00665088"/>
    <w:rsid w:val="00665592"/>
    <w:rsid w:val="0066600D"/>
    <w:rsid w:val="0066627E"/>
    <w:rsid w:val="00666AC9"/>
    <w:rsid w:val="00667150"/>
    <w:rsid w:val="006675F6"/>
    <w:rsid w:val="00667E75"/>
    <w:rsid w:val="00667ECC"/>
    <w:rsid w:val="00667FF9"/>
    <w:rsid w:val="006707C0"/>
    <w:rsid w:val="00670A1C"/>
    <w:rsid w:val="00671C60"/>
    <w:rsid w:val="00672B17"/>
    <w:rsid w:val="00672B1E"/>
    <w:rsid w:val="006732B3"/>
    <w:rsid w:val="0067341D"/>
    <w:rsid w:val="006741C8"/>
    <w:rsid w:val="00674DF2"/>
    <w:rsid w:val="00675E6D"/>
    <w:rsid w:val="00676FF0"/>
    <w:rsid w:val="006800AE"/>
    <w:rsid w:val="006802A9"/>
    <w:rsid w:val="00681327"/>
    <w:rsid w:val="00681765"/>
    <w:rsid w:val="00681DD0"/>
    <w:rsid w:val="00682878"/>
    <w:rsid w:val="00682D4E"/>
    <w:rsid w:val="00682DA0"/>
    <w:rsid w:val="00682F1B"/>
    <w:rsid w:val="0068349F"/>
    <w:rsid w:val="006838A7"/>
    <w:rsid w:val="00683CCD"/>
    <w:rsid w:val="00684832"/>
    <w:rsid w:val="00684D15"/>
    <w:rsid w:val="0068506D"/>
    <w:rsid w:val="006851E2"/>
    <w:rsid w:val="00685418"/>
    <w:rsid w:val="00686344"/>
    <w:rsid w:val="0068647B"/>
    <w:rsid w:val="0068669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2552"/>
    <w:rsid w:val="006927E3"/>
    <w:rsid w:val="00692CF0"/>
    <w:rsid w:val="00692D55"/>
    <w:rsid w:val="00692DED"/>
    <w:rsid w:val="00692E3D"/>
    <w:rsid w:val="00694FF6"/>
    <w:rsid w:val="00695102"/>
    <w:rsid w:val="00695BAE"/>
    <w:rsid w:val="00695EFD"/>
    <w:rsid w:val="00695F98"/>
    <w:rsid w:val="0069682C"/>
    <w:rsid w:val="00696A8C"/>
    <w:rsid w:val="00696B74"/>
    <w:rsid w:val="00696FE6"/>
    <w:rsid w:val="0069702A"/>
    <w:rsid w:val="00697F0E"/>
    <w:rsid w:val="006A0106"/>
    <w:rsid w:val="006A0727"/>
    <w:rsid w:val="006A0946"/>
    <w:rsid w:val="006A0A53"/>
    <w:rsid w:val="006A0B31"/>
    <w:rsid w:val="006A0BDA"/>
    <w:rsid w:val="006A1663"/>
    <w:rsid w:val="006A1D8A"/>
    <w:rsid w:val="006A22D5"/>
    <w:rsid w:val="006A2388"/>
    <w:rsid w:val="006A2763"/>
    <w:rsid w:val="006A2B9C"/>
    <w:rsid w:val="006A3190"/>
    <w:rsid w:val="006A3265"/>
    <w:rsid w:val="006A3883"/>
    <w:rsid w:val="006A41A0"/>
    <w:rsid w:val="006A47BB"/>
    <w:rsid w:val="006A4D68"/>
    <w:rsid w:val="006A58DC"/>
    <w:rsid w:val="006A5B63"/>
    <w:rsid w:val="006A5B68"/>
    <w:rsid w:val="006A6A19"/>
    <w:rsid w:val="006A6A96"/>
    <w:rsid w:val="006A6BE2"/>
    <w:rsid w:val="006A6C52"/>
    <w:rsid w:val="006A6EA1"/>
    <w:rsid w:val="006A6EF1"/>
    <w:rsid w:val="006A7163"/>
    <w:rsid w:val="006A7295"/>
    <w:rsid w:val="006A74F0"/>
    <w:rsid w:val="006B0175"/>
    <w:rsid w:val="006B2238"/>
    <w:rsid w:val="006B2AEC"/>
    <w:rsid w:val="006B395B"/>
    <w:rsid w:val="006B48EB"/>
    <w:rsid w:val="006B4BB6"/>
    <w:rsid w:val="006B5887"/>
    <w:rsid w:val="006B5F68"/>
    <w:rsid w:val="006B635D"/>
    <w:rsid w:val="006B6786"/>
    <w:rsid w:val="006B6844"/>
    <w:rsid w:val="006B6DAD"/>
    <w:rsid w:val="006B7364"/>
    <w:rsid w:val="006B74BC"/>
    <w:rsid w:val="006C11FF"/>
    <w:rsid w:val="006C1861"/>
    <w:rsid w:val="006C3452"/>
    <w:rsid w:val="006C3FF5"/>
    <w:rsid w:val="006C4458"/>
    <w:rsid w:val="006C48D4"/>
    <w:rsid w:val="006C4D6D"/>
    <w:rsid w:val="006C5241"/>
    <w:rsid w:val="006C6113"/>
    <w:rsid w:val="006C6900"/>
    <w:rsid w:val="006C6EF7"/>
    <w:rsid w:val="006C7193"/>
    <w:rsid w:val="006C7993"/>
    <w:rsid w:val="006C7D68"/>
    <w:rsid w:val="006D0575"/>
    <w:rsid w:val="006D0A89"/>
    <w:rsid w:val="006D0B63"/>
    <w:rsid w:val="006D0B99"/>
    <w:rsid w:val="006D173B"/>
    <w:rsid w:val="006D1C0C"/>
    <w:rsid w:val="006D22BC"/>
    <w:rsid w:val="006D31B1"/>
    <w:rsid w:val="006D3342"/>
    <w:rsid w:val="006D34D5"/>
    <w:rsid w:val="006D3DFC"/>
    <w:rsid w:val="006D40D6"/>
    <w:rsid w:val="006D455E"/>
    <w:rsid w:val="006D46BF"/>
    <w:rsid w:val="006D4F49"/>
    <w:rsid w:val="006D636C"/>
    <w:rsid w:val="006D6BDA"/>
    <w:rsid w:val="006D6DF1"/>
    <w:rsid w:val="006D73AF"/>
    <w:rsid w:val="006D78B9"/>
    <w:rsid w:val="006D7ACB"/>
    <w:rsid w:val="006D7AEF"/>
    <w:rsid w:val="006D7FA4"/>
    <w:rsid w:val="006E1163"/>
    <w:rsid w:val="006E124F"/>
    <w:rsid w:val="006E15F6"/>
    <w:rsid w:val="006E1814"/>
    <w:rsid w:val="006E1D54"/>
    <w:rsid w:val="006E2C7A"/>
    <w:rsid w:val="006E32D6"/>
    <w:rsid w:val="006E445C"/>
    <w:rsid w:val="006E456F"/>
    <w:rsid w:val="006E5335"/>
    <w:rsid w:val="006E5679"/>
    <w:rsid w:val="006E57AB"/>
    <w:rsid w:val="006E6405"/>
    <w:rsid w:val="006E6AA0"/>
    <w:rsid w:val="006E6D41"/>
    <w:rsid w:val="006E6E3D"/>
    <w:rsid w:val="006E7909"/>
    <w:rsid w:val="006E7F29"/>
    <w:rsid w:val="006F019B"/>
    <w:rsid w:val="006F0B44"/>
    <w:rsid w:val="006F1041"/>
    <w:rsid w:val="006F172C"/>
    <w:rsid w:val="006F1A05"/>
    <w:rsid w:val="006F1E4A"/>
    <w:rsid w:val="006F266D"/>
    <w:rsid w:val="006F27F1"/>
    <w:rsid w:val="006F33CA"/>
    <w:rsid w:val="006F3447"/>
    <w:rsid w:val="006F3CC9"/>
    <w:rsid w:val="006F4317"/>
    <w:rsid w:val="006F438F"/>
    <w:rsid w:val="006F48C0"/>
    <w:rsid w:val="006F4F6B"/>
    <w:rsid w:val="006F5AB5"/>
    <w:rsid w:val="006F6AAD"/>
    <w:rsid w:val="006F6B84"/>
    <w:rsid w:val="006F6E22"/>
    <w:rsid w:val="00700305"/>
    <w:rsid w:val="00700E75"/>
    <w:rsid w:val="00701175"/>
    <w:rsid w:val="007016D1"/>
    <w:rsid w:val="00701734"/>
    <w:rsid w:val="007017F0"/>
    <w:rsid w:val="00701915"/>
    <w:rsid w:val="00702F08"/>
    <w:rsid w:val="007032B2"/>
    <w:rsid w:val="007033A1"/>
    <w:rsid w:val="00703836"/>
    <w:rsid w:val="00703C35"/>
    <w:rsid w:val="00703D37"/>
    <w:rsid w:val="007042FA"/>
    <w:rsid w:val="007055A7"/>
    <w:rsid w:val="007056F2"/>
    <w:rsid w:val="00705B00"/>
    <w:rsid w:val="00705B44"/>
    <w:rsid w:val="007060C1"/>
    <w:rsid w:val="007066F4"/>
    <w:rsid w:val="007100FB"/>
    <w:rsid w:val="00711F7D"/>
    <w:rsid w:val="0071247E"/>
    <w:rsid w:val="00712A73"/>
    <w:rsid w:val="0071313E"/>
    <w:rsid w:val="00713497"/>
    <w:rsid w:val="00713575"/>
    <w:rsid w:val="00714331"/>
    <w:rsid w:val="00714BC0"/>
    <w:rsid w:val="00714FAA"/>
    <w:rsid w:val="007159BA"/>
    <w:rsid w:val="00716BA3"/>
    <w:rsid w:val="00717906"/>
    <w:rsid w:val="007206D4"/>
    <w:rsid w:val="0072137D"/>
    <w:rsid w:val="00721384"/>
    <w:rsid w:val="007213A3"/>
    <w:rsid w:val="00721647"/>
    <w:rsid w:val="0072179D"/>
    <w:rsid w:val="00721CAE"/>
    <w:rsid w:val="007222F1"/>
    <w:rsid w:val="00722C53"/>
    <w:rsid w:val="00722CD2"/>
    <w:rsid w:val="00722FCA"/>
    <w:rsid w:val="00723EE0"/>
    <w:rsid w:val="007248E6"/>
    <w:rsid w:val="00725508"/>
    <w:rsid w:val="00725C78"/>
    <w:rsid w:val="0072692D"/>
    <w:rsid w:val="0072721B"/>
    <w:rsid w:val="007273F0"/>
    <w:rsid w:val="007275C3"/>
    <w:rsid w:val="007300B9"/>
    <w:rsid w:val="007300C3"/>
    <w:rsid w:val="007303F6"/>
    <w:rsid w:val="00730497"/>
    <w:rsid w:val="00730838"/>
    <w:rsid w:val="00730982"/>
    <w:rsid w:val="00730B63"/>
    <w:rsid w:val="00730CFE"/>
    <w:rsid w:val="00731AEA"/>
    <w:rsid w:val="00731D02"/>
    <w:rsid w:val="007320F2"/>
    <w:rsid w:val="00732D94"/>
    <w:rsid w:val="007331C7"/>
    <w:rsid w:val="00733342"/>
    <w:rsid w:val="0073374C"/>
    <w:rsid w:val="007342C5"/>
    <w:rsid w:val="0073535F"/>
    <w:rsid w:val="00735461"/>
    <w:rsid w:val="00735D5D"/>
    <w:rsid w:val="00736D15"/>
    <w:rsid w:val="00737166"/>
    <w:rsid w:val="00737D26"/>
    <w:rsid w:val="00740015"/>
    <w:rsid w:val="0074037C"/>
    <w:rsid w:val="007404DE"/>
    <w:rsid w:val="0074063B"/>
    <w:rsid w:val="00741292"/>
    <w:rsid w:val="007418E0"/>
    <w:rsid w:val="00741936"/>
    <w:rsid w:val="00741CC4"/>
    <w:rsid w:val="00742312"/>
    <w:rsid w:val="00742349"/>
    <w:rsid w:val="0074247C"/>
    <w:rsid w:val="00742C95"/>
    <w:rsid w:val="00742CA5"/>
    <w:rsid w:val="00742DA6"/>
    <w:rsid w:val="00743846"/>
    <w:rsid w:val="00743B56"/>
    <w:rsid w:val="0074404A"/>
    <w:rsid w:val="0074443B"/>
    <w:rsid w:val="0074486C"/>
    <w:rsid w:val="00745EE9"/>
    <w:rsid w:val="0074646E"/>
    <w:rsid w:val="007469FE"/>
    <w:rsid w:val="00746A5F"/>
    <w:rsid w:val="00746A98"/>
    <w:rsid w:val="00746F9A"/>
    <w:rsid w:val="00747175"/>
    <w:rsid w:val="007503A7"/>
    <w:rsid w:val="007503DB"/>
    <w:rsid w:val="0075089B"/>
    <w:rsid w:val="00751D33"/>
    <w:rsid w:val="00751E14"/>
    <w:rsid w:val="00752224"/>
    <w:rsid w:val="00753393"/>
    <w:rsid w:val="007538A2"/>
    <w:rsid w:val="00754728"/>
    <w:rsid w:val="00755029"/>
    <w:rsid w:val="00755D76"/>
    <w:rsid w:val="007564EE"/>
    <w:rsid w:val="00756B59"/>
    <w:rsid w:val="0075702B"/>
    <w:rsid w:val="007604F1"/>
    <w:rsid w:val="00760A9A"/>
    <w:rsid w:val="00760C00"/>
    <w:rsid w:val="00760F26"/>
    <w:rsid w:val="00761D0E"/>
    <w:rsid w:val="00762594"/>
    <w:rsid w:val="00762728"/>
    <w:rsid w:val="007627CC"/>
    <w:rsid w:val="00763262"/>
    <w:rsid w:val="00763527"/>
    <w:rsid w:val="0076370A"/>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70508"/>
    <w:rsid w:val="007706D4"/>
    <w:rsid w:val="007706DE"/>
    <w:rsid w:val="00770797"/>
    <w:rsid w:val="00771765"/>
    <w:rsid w:val="00771B10"/>
    <w:rsid w:val="00772673"/>
    <w:rsid w:val="00773327"/>
    <w:rsid w:val="00773A7C"/>
    <w:rsid w:val="00773BA7"/>
    <w:rsid w:val="00773F09"/>
    <w:rsid w:val="00774414"/>
    <w:rsid w:val="00774608"/>
    <w:rsid w:val="0077485B"/>
    <w:rsid w:val="00774B41"/>
    <w:rsid w:val="007750A6"/>
    <w:rsid w:val="00775AD2"/>
    <w:rsid w:val="00775E64"/>
    <w:rsid w:val="007760AE"/>
    <w:rsid w:val="00776177"/>
    <w:rsid w:val="00776576"/>
    <w:rsid w:val="00776F25"/>
    <w:rsid w:val="00776F26"/>
    <w:rsid w:val="007775DC"/>
    <w:rsid w:val="00777CDD"/>
    <w:rsid w:val="00777FA8"/>
    <w:rsid w:val="00780464"/>
    <w:rsid w:val="007804D2"/>
    <w:rsid w:val="00780F78"/>
    <w:rsid w:val="00781112"/>
    <w:rsid w:val="00781C86"/>
    <w:rsid w:val="00781DD8"/>
    <w:rsid w:val="00781E98"/>
    <w:rsid w:val="0078204D"/>
    <w:rsid w:val="00782073"/>
    <w:rsid w:val="00782208"/>
    <w:rsid w:val="007824BB"/>
    <w:rsid w:val="00783AA0"/>
    <w:rsid w:val="00783D81"/>
    <w:rsid w:val="007846ED"/>
    <w:rsid w:val="00784724"/>
    <w:rsid w:val="00784DA8"/>
    <w:rsid w:val="00785179"/>
    <w:rsid w:val="00785275"/>
    <w:rsid w:val="00785E90"/>
    <w:rsid w:val="00785EFE"/>
    <w:rsid w:val="00786364"/>
    <w:rsid w:val="00786A04"/>
    <w:rsid w:val="00786CBD"/>
    <w:rsid w:val="00786DFF"/>
    <w:rsid w:val="0078709C"/>
    <w:rsid w:val="00787968"/>
    <w:rsid w:val="00787F11"/>
    <w:rsid w:val="007900CD"/>
    <w:rsid w:val="00790AAA"/>
    <w:rsid w:val="00790B01"/>
    <w:rsid w:val="00790C4F"/>
    <w:rsid w:val="00791486"/>
    <w:rsid w:val="00791D8B"/>
    <w:rsid w:val="00791EB6"/>
    <w:rsid w:val="00792408"/>
    <w:rsid w:val="00792A4A"/>
    <w:rsid w:val="00792C62"/>
    <w:rsid w:val="0079359B"/>
    <w:rsid w:val="00793A20"/>
    <w:rsid w:val="00794197"/>
    <w:rsid w:val="00794B9C"/>
    <w:rsid w:val="00795AE0"/>
    <w:rsid w:val="007962DE"/>
    <w:rsid w:val="00796547"/>
    <w:rsid w:val="007967CB"/>
    <w:rsid w:val="007967CE"/>
    <w:rsid w:val="0079682D"/>
    <w:rsid w:val="00796CD8"/>
    <w:rsid w:val="0079708C"/>
    <w:rsid w:val="007972E1"/>
    <w:rsid w:val="00797362"/>
    <w:rsid w:val="0079799C"/>
    <w:rsid w:val="00797E37"/>
    <w:rsid w:val="007A042E"/>
    <w:rsid w:val="007A0EA5"/>
    <w:rsid w:val="007A1AF2"/>
    <w:rsid w:val="007A1D44"/>
    <w:rsid w:val="007A26A2"/>
    <w:rsid w:val="007A29C6"/>
    <w:rsid w:val="007A32DB"/>
    <w:rsid w:val="007A353D"/>
    <w:rsid w:val="007A36BB"/>
    <w:rsid w:val="007A3834"/>
    <w:rsid w:val="007A3E8E"/>
    <w:rsid w:val="007A4361"/>
    <w:rsid w:val="007A4A18"/>
    <w:rsid w:val="007A4B3D"/>
    <w:rsid w:val="007A4BAD"/>
    <w:rsid w:val="007A50DC"/>
    <w:rsid w:val="007A623B"/>
    <w:rsid w:val="007A6298"/>
    <w:rsid w:val="007A645B"/>
    <w:rsid w:val="007A6AEF"/>
    <w:rsid w:val="007A7277"/>
    <w:rsid w:val="007A739F"/>
    <w:rsid w:val="007A78CA"/>
    <w:rsid w:val="007A7CD4"/>
    <w:rsid w:val="007B0061"/>
    <w:rsid w:val="007B0066"/>
    <w:rsid w:val="007B0BC4"/>
    <w:rsid w:val="007B0C68"/>
    <w:rsid w:val="007B0E89"/>
    <w:rsid w:val="007B19D0"/>
    <w:rsid w:val="007B27BF"/>
    <w:rsid w:val="007B28F1"/>
    <w:rsid w:val="007B3165"/>
    <w:rsid w:val="007B33EC"/>
    <w:rsid w:val="007B41ED"/>
    <w:rsid w:val="007B4208"/>
    <w:rsid w:val="007B4E11"/>
    <w:rsid w:val="007B4F31"/>
    <w:rsid w:val="007B5417"/>
    <w:rsid w:val="007B5A71"/>
    <w:rsid w:val="007B5CF1"/>
    <w:rsid w:val="007B5F3B"/>
    <w:rsid w:val="007B68AF"/>
    <w:rsid w:val="007B68B0"/>
    <w:rsid w:val="007B6986"/>
    <w:rsid w:val="007B70E3"/>
    <w:rsid w:val="007B722B"/>
    <w:rsid w:val="007B72BD"/>
    <w:rsid w:val="007B799E"/>
    <w:rsid w:val="007C01C9"/>
    <w:rsid w:val="007C02F2"/>
    <w:rsid w:val="007C0E32"/>
    <w:rsid w:val="007C146D"/>
    <w:rsid w:val="007C147B"/>
    <w:rsid w:val="007C18A3"/>
    <w:rsid w:val="007C282E"/>
    <w:rsid w:val="007C2F75"/>
    <w:rsid w:val="007C304B"/>
    <w:rsid w:val="007C3480"/>
    <w:rsid w:val="007C402D"/>
    <w:rsid w:val="007C4BD9"/>
    <w:rsid w:val="007C5545"/>
    <w:rsid w:val="007C556E"/>
    <w:rsid w:val="007C59B0"/>
    <w:rsid w:val="007C5B87"/>
    <w:rsid w:val="007C6380"/>
    <w:rsid w:val="007C659C"/>
    <w:rsid w:val="007C6A02"/>
    <w:rsid w:val="007C6B83"/>
    <w:rsid w:val="007C6C82"/>
    <w:rsid w:val="007C78C8"/>
    <w:rsid w:val="007D064B"/>
    <w:rsid w:val="007D20BA"/>
    <w:rsid w:val="007D292B"/>
    <w:rsid w:val="007D295D"/>
    <w:rsid w:val="007D2B6B"/>
    <w:rsid w:val="007D3310"/>
    <w:rsid w:val="007D485D"/>
    <w:rsid w:val="007D4FC1"/>
    <w:rsid w:val="007D5A80"/>
    <w:rsid w:val="007D64FE"/>
    <w:rsid w:val="007D7010"/>
    <w:rsid w:val="007D7087"/>
    <w:rsid w:val="007D7F9B"/>
    <w:rsid w:val="007E035F"/>
    <w:rsid w:val="007E0613"/>
    <w:rsid w:val="007E0656"/>
    <w:rsid w:val="007E0A2E"/>
    <w:rsid w:val="007E0DD3"/>
    <w:rsid w:val="007E1420"/>
    <w:rsid w:val="007E1733"/>
    <w:rsid w:val="007E1CA4"/>
    <w:rsid w:val="007E2265"/>
    <w:rsid w:val="007E278E"/>
    <w:rsid w:val="007E27B9"/>
    <w:rsid w:val="007E2C32"/>
    <w:rsid w:val="007E2D18"/>
    <w:rsid w:val="007E34D7"/>
    <w:rsid w:val="007E3956"/>
    <w:rsid w:val="007E474D"/>
    <w:rsid w:val="007E47FC"/>
    <w:rsid w:val="007E4C1E"/>
    <w:rsid w:val="007E54DE"/>
    <w:rsid w:val="007E6587"/>
    <w:rsid w:val="007E66FB"/>
    <w:rsid w:val="007E691C"/>
    <w:rsid w:val="007F05FB"/>
    <w:rsid w:val="007F39EE"/>
    <w:rsid w:val="007F3D50"/>
    <w:rsid w:val="007F475F"/>
    <w:rsid w:val="007F478E"/>
    <w:rsid w:val="007F4A8D"/>
    <w:rsid w:val="007F5A28"/>
    <w:rsid w:val="007F5E60"/>
    <w:rsid w:val="007F795A"/>
    <w:rsid w:val="007F79CE"/>
    <w:rsid w:val="0080084F"/>
    <w:rsid w:val="00801A48"/>
    <w:rsid w:val="0080308C"/>
    <w:rsid w:val="00803256"/>
    <w:rsid w:val="00803479"/>
    <w:rsid w:val="0080364D"/>
    <w:rsid w:val="008039AD"/>
    <w:rsid w:val="00803FC2"/>
    <w:rsid w:val="008048FE"/>
    <w:rsid w:val="0080511F"/>
    <w:rsid w:val="0080593A"/>
    <w:rsid w:val="00806641"/>
    <w:rsid w:val="008068C9"/>
    <w:rsid w:val="0080690E"/>
    <w:rsid w:val="00807837"/>
    <w:rsid w:val="00807908"/>
    <w:rsid w:val="00807C1A"/>
    <w:rsid w:val="00807DC4"/>
    <w:rsid w:val="0081001D"/>
    <w:rsid w:val="00811055"/>
    <w:rsid w:val="0081112E"/>
    <w:rsid w:val="0081113F"/>
    <w:rsid w:val="00811C0E"/>
    <w:rsid w:val="00811CEF"/>
    <w:rsid w:val="008123C0"/>
    <w:rsid w:val="008127E4"/>
    <w:rsid w:val="0081287C"/>
    <w:rsid w:val="00813679"/>
    <w:rsid w:val="008147CE"/>
    <w:rsid w:val="008148E1"/>
    <w:rsid w:val="0081494C"/>
    <w:rsid w:val="00814C26"/>
    <w:rsid w:val="00814CCD"/>
    <w:rsid w:val="00814E0C"/>
    <w:rsid w:val="00816377"/>
    <w:rsid w:val="0081695C"/>
    <w:rsid w:val="008169DF"/>
    <w:rsid w:val="00817695"/>
    <w:rsid w:val="00817905"/>
    <w:rsid w:val="00817D3A"/>
    <w:rsid w:val="00817FFD"/>
    <w:rsid w:val="00820F53"/>
    <w:rsid w:val="00821A5B"/>
    <w:rsid w:val="00821E69"/>
    <w:rsid w:val="00822386"/>
    <w:rsid w:val="0082247A"/>
    <w:rsid w:val="00823FFD"/>
    <w:rsid w:val="0082437F"/>
    <w:rsid w:val="00824B3B"/>
    <w:rsid w:val="00825039"/>
    <w:rsid w:val="0082570F"/>
    <w:rsid w:val="00825885"/>
    <w:rsid w:val="00825B71"/>
    <w:rsid w:val="00825EED"/>
    <w:rsid w:val="0082660C"/>
    <w:rsid w:val="00826C7C"/>
    <w:rsid w:val="00827337"/>
    <w:rsid w:val="008275B6"/>
    <w:rsid w:val="00827BE1"/>
    <w:rsid w:val="00827FC2"/>
    <w:rsid w:val="00831290"/>
    <w:rsid w:val="00831629"/>
    <w:rsid w:val="00832695"/>
    <w:rsid w:val="008328CD"/>
    <w:rsid w:val="0083531B"/>
    <w:rsid w:val="00835853"/>
    <w:rsid w:val="00835B52"/>
    <w:rsid w:val="00835DAE"/>
    <w:rsid w:val="0083660E"/>
    <w:rsid w:val="00837218"/>
    <w:rsid w:val="008373A3"/>
    <w:rsid w:val="008373FA"/>
    <w:rsid w:val="0083768E"/>
    <w:rsid w:val="008379F0"/>
    <w:rsid w:val="00837A42"/>
    <w:rsid w:val="00837AA7"/>
    <w:rsid w:val="00837D9D"/>
    <w:rsid w:val="00840DC5"/>
    <w:rsid w:val="0084132F"/>
    <w:rsid w:val="00841576"/>
    <w:rsid w:val="0084167F"/>
    <w:rsid w:val="0084269C"/>
    <w:rsid w:val="0084387B"/>
    <w:rsid w:val="008440FA"/>
    <w:rsid w:val="0084411F"/>
    <w:rsid w:val="00844358"/>
    <w:rsid w:val="00844766"/>
    <w:rsid w:val="00844E00"/>
    <w:rsid w:val="00845CE7"/>
    <w:rsid w:val="00846DB2"/>
    <w:rsid w:val="008473BB"/>
    <w:rsid w:val="00847455"/>
    <w:rsid w:val="00847A13"/>
    <w:rsid w:val="00847DF4"/>
    <w:rsid w:val="008523F8"/>
    <w:rsid w:val="00852402"/>
    <w:rsid w:val="008525AC"/>
    <w:rsid w:val="0085297B"/>
    <w:rsid w:val="00852D31"/>
    <w:rsid w:val="0085331E"/>
    <w:rsid w:val="0085351A"/>
    <w:rsid w:val="00853928"/>
    <w:rsid w:val="00853DE4"/>
    <w:rsid w:val="00854343"/>
    <w:rsid w:val="008551B4"/>
    <w:rsid w:val="00855313"/>
    <w:rsid w:val="00856F45"/>
    <w:rsid w:val="008572C1"/>
    <w:rsid w:val="00857C77"/>
    <w:rsid w:val="00857E5F"/>
    <w:rsid w:val="00857F55"/>
    <w:rsid w:val="0086177A"/>
    <w:rsid w:val="00861786"/>
    <w:rsid w:val="008618FA"/>
    <w:rsid w:val="008624FA"/>
    <w:rsid w:val="008627D1"/>
    <w:rsid w:val="00863290"/>
    <w:rsid w:val="00863ED8"/>
    <w:rsid w:val="008649A0"/>
    <w:rsid w:val="00866410"/>
    <w:rsid w:val="008669B3"/>
    <w:rsid w:val="00866B44"/>
    <w:rsid w:val="00866E62"/>
    <w:rsid w:val="00867A30"/>
    <w:rsid w:val="00867ABD"/>
    <w:rsid w:val="00867F82"/>
    <w:rsid w:val="00870033"/>
    <w:rsid w:val="0087042E"/>
    <w:rsid w:val="008705DA"/>
    <w:rsid w:val="0087094D"/>
    <w:rsid w:val="008712A1"/>
    <w:rsid w:val="00871355"/>
    <w:rsid w:val="008716B8"/>
    <w:rsid w:val="00871B7F"/>
    <w:rsid w:val="008721FB"/>
    <w:rsid w:val="00872BB0"/>
    <w:rsid w:val="0087314A"/>
    <w:rsid w:val="0087361F"/>
    <w:rsid w:val="008738CC"/>
    <w:rsid w:val="00873F28"/>
    <w:rsid w:val="00873F8C"/>
    <w:rsid w:val="0087409F"/>
    <w:rsid w:val="00874325"/>
    <w:rsid w:val="0087466E"/>
    <w:rsid w:val="0087498C"/>
    <w:rsid w:val="00874AFE"/>
    <w:rsid w:val="00874CC7"/>
    <w:rsid w:val="00875217"/>
    <w:rsid w:val="008753B1"/>
    <w:rsid w:val="0087551F"/>
    <w:rsid w:val="0087623D"/>
    <w:rsid w:val="008763DC"/>
    <w:rsid w:val="00876419"/>
    <w:rsid w:val="00876F64"/>
    <w:rsid w:val="00876FCC"/>
    <w:rsid w:val="008772ED"/>
    <w:rsid w:val="00877951"/>
    <w:rsid w:val="00877A6C"/>
    <w:rsid w:val="00877E3C"/>
    <w:rsid w:val="0088015C"/>
    <w:rsid w:val="0088110C"/>
    <w:rsid w:val="00881D65"/>
    <w:rsid w:val="00882556"/>
    <w:rsid w:val="00883300"/>
    <w:rsid w:val="0088425B"/>
    <w:rsid w:val="0088425D"/>
    <w:rsid w:val="00884A8F"/>
    <w:rsid w:val="00884BC0"/>
    <w:rsid w:val="00884C20"/>
    <w:rsid w:val="00885516"/>
    <w:rsid w:val="008857D5"/>
    <w:rsid w:val="00885BBB"/>
    <w:rsid w:val="00885D94"/>
    <w:rsid w:val="008860B7"/>
    <w:rsid w:val="00886A65"/>
    <w:rsid w:val="008874E8"/>
    <w:rsid w:val="008875D8"/>
    <w:rsid w:val="00887B0B"/>
    <w:rsid w:val="008901EA"/>
    <w:rsid w:val="00890499"/>
    <w:rsid w:val="0089178E"/>
    <w:rsid w:val="00891B62"/>
    <w:rsid w:val="00892DC6"/>
    <w:rsid w:val="00893205"/>
    <w:rsid w:val="0089356E"/>
    <w:rsid w:val="00893834"/>
    <w:rsid w:val="008938AA"/>
    <w:rsid w:val="00893B46"/>
    <w:rsid w:val="0089451B"/>
    <w:rsid w:val="008946E5"/>
    <w:rsid w:val="00894A15"/>
    <w:rsid w:val="00894C3A"/>
    <w:rsid w:val="00894CDD"/>
    <w:rsid w:val="008951BF"/>
    <w:rsid w:val="00895366"/>
    <w:rsid w:val="0089562E"/>
    <w:rsid w:val="008964D1"/>
    <w:rsid w:val="008970CF"/>
    <w:rsid w:val="008977ED"/>
    <w:rsid w:val="008A2878"/>
    <w:rsid w:val="008A28DB"/>
    <w:rsid w:val="008A2B99"/>
    <w:rsid w:val="008A2CAA"/>
    <w:rsid w:val="008A308B"/>
    <w:rsid w:val="008A3E10"/>
    <w:rsid w:val="008A4459"/>
    <w:rsid w:val="008A452F"/>
    <w:rsid w:val="008A4CF7"/>
    <w:rsid w:val="008A57FE"/>
    <w:rsid w:val="008A5967"/>
    <w:rsid w:val="008A6877"/>
    <w:rsid w:val="008A69D1"/>
    <w:rsid w:val="008A6A9C"/>
    <w:rsid w:val="008A74E0"/>
    <w:rsid w:val="008A76D1"/>
    <w:rsid w:val="008B0EE2"/>
    <w:rsid w:val="008B2234"/>
    <w:rsid w:val="008B2CB8"/>
    <w:rsid w:val="008B3036"/>
    <w:rsid w:val="008B313C"/>
    <w:rsid w:val="008B32BE"/>
    <w:rsid w:val="008B32CA"/>
    <w:rsid w:val="008B3B40"/>
    <w:rsid w:val="008B574F"/>
    <w:rsid w:val="008B61F8"/>
    <w:rsid w:val="008B6643"/>
    <w:rsid w:val="008B6B6B"/>
    <w:rsid w:val="008B75F4"/>
    <w:rsid w:val="008B7AA2"/>
    <w:rsid w:val="008B7EB0"/>
    <w:rsid w:val="008C0193"/>
    <w:rsid w:val="008C0A74"/>
    <w:rsid w:val="008C0B49"/>
    <w:rsid w:val="008C0CED"/>
    <w:rsid w:val="008C0DF1"/>
    <w:rsid w:val="008C0EEE"/>
    <w:rsid w:val="008C11B5"/>
    <w:rsid w:val="008C128A"/>
    <w:rsid w:val="008C14D7"/>
    <w:rsid w:val="008C1989"/>
    <w:rsid w:val="008C22BF"/>
    <w:rsid w:val="008C247E"/>
    <w:rsid w:val="008C2B4C"/>
    <w:rsid w:val="008C2C3C"/>
    <w:rsid w:val="008C317D"/>
    <w:rsid w:val="008C364D"/>
    <w:rsid w:val="008C3CB5"/>
    <w:rsid w:val="008C4E81"/>
    <w:rsid w:val="008C6340"/>
    <w:rsid w:val="008C6ACF"/>
    <w:rsid w:val="008C6B42"/>
    <w:rsid w:val="008C72D1"/>
    <w:rsid w:val="008C7957"/>
    <w:rsid w:val="008C79BB"/>
    <w:rsid w:val="008C7EB5"/>
    <w:rsid w:val="008C7FB1"/>
    <w:rsid w:val="008C7FC5"/>
    <w:rsid w:val="008D00EB"/>
    <w:rsid w:val="008D0E4F"/>
    <w:rsid w:val="008D0FBC"/>
    <w:rsid w:val="008D1B92"/>
    <w:rsid w:val="008D1ED5"/>
    <w:rsid w:val="008D25F8"/>
    <w:rsid w:val="008D2BB8"/>
    <w:rsid w:val="008D36E3"/>
    <w:rsid w:val="008D38D9"/>
    <w:rsid w:val="008D3C8F"/>
    <w:rsid w:val="008D3EFF"/>
    <w:rsid w:val="008D4263"/>
    <w:rsid w:val="008D49EC"/>
    <w:rsid w:val="008D5334"/>
    <w:rsid w:val="008D5342"/>
    <w:rsid w:val="008D635B"/>
    <w:rsid w:val="008D674C"/>
    <w:rsid w:val="008D767F"/>
    <w:rsid w:val="008D7681"/>
    <w:rsid w:val="008E28F1"/>
    <w:rsid w:val="008E2BD5"/>
    <w:rsid w:val="008E34A8"/>
    <w:rsid w:val="008E3724"/>
    <w:rsid w:val="008E3A13"/>
    <w:rsid w:val="008E4143"/>
    <w:rsid w:val="008E42E5"/>
    <w:rsid w:val="008E5564"/>
    <w:rsid w:val="008E5603"/>
    <w:rsid w:val="008E57C2"/>
    <w:rsid w:val="008E5F18"/>
    <w:rsid w:val="008E6723"/>
    <w:rsid w:val="008E7660"/>
    <w:rsid w:val="008E79C3"/>
    <w:rsid w:val="008E79F1"/>
    <w:rsid w:val="008F0775"/>
    <w:rsid w:val="008F097F"/>
    <w:rsid w:val="008F2136"/>
    <w:rsid w:val="008F2340"/>
    <w:rsid w:val="008F3700"/>
    <w:rsid w:val="008F3BD3"/>
    <w:rsid w:val="008F40E0"/>
    <w:rsid w:val="008F416D"/>
    <w:rsid w:val="008F43C3"/>
    <w:rsid w:val="008F4B6B"/>
    <w:rsid w:val="008F4D21"/>
    <w:rsid w:val="008F5900"/>
    <w:rsid w:val="008F612A"/>
    <w:rsid w:val="008F67BB"/>
    <w:rsid w:val="008F6A99"/>
    <w:rsid w:val="008F6AC1"/>
    <w:rsid w:val="008F6D54"/>
    <w:rsid w:val="008F6FAE"/>
    <w:rsid w:val="008F740B"/>
    <w:rsid w:val="008F7807"/>
    <w:rsid w:val="008F7B75"/>
    <w:rsid w:val="008F7C00"/>
    <w:rsid w:val="008F7D89"/>
    <w:rsid w:val="00900744"/>
    <w:rsid w:val="00900B2E"/>
    <w:rsid w:val="0090207E"/>
    <w:rsid w:val="0090211E"/>
    <w:rsid w:val="009021E7"/>
    <w:rsid w:val="009025B4"/>
    <w:rsid w:val="00903E88"/>
    <w:rsid w:val="00904F7F"/>
    <w:rsid w:val="0090577B"/>
    <w:rsid w:val="00905CE4"/>
    <w:rsid w:val="00906159"/>
    <w:rsid w:val="00906472"/>
    <w:rsid w:val="009068B4"/>
    <w:rsid w:val="00906D22"/>
    <w:rsid w:val="009079A0"/>
    <w:rsid w:val="00910044"/>
    <w:rsid w:val="00910184"/>
    <w:rsid w:val="0091058F"/>
    <w:rsid w:val="00910B40"/>
    <w:rsid w:val="009112B8"/>
    <w:rsid w:val="009122EC"/>
    <w:rsid w:val="00912B94"/>
    <w:rsid w:val="00912BDB"/>
    <w:rsid w:val="009134F9"/>
    <w:rsid w:val="00913532"/>
    <w:rsid w:val="00913585"/>
    <w:rsid w:val="0091387C"/>
    <w:rsid w:val="00913DEB"/>
    <w:rsid w:val="009148F7"/>
    <w:rsid w:val="009149E4"/>
    <w:rsid w:val="00914FF7"/>
    <w:rsid w:val="009150FD"/>
    <w:rsid w:val="00915B8E"/>
    <w:rsid w:val="00916038"/>
    <w:rsid w:val="00916AF4"/>
    <w:rsid w:val="00917528"/>
    <w:rsid w:val="00920F94"/>
    <w:rsid w:val="00921818"/>
    <w:rsid w:val="00921DAA"/>
    <w:rsid w:val="0092254A"/>
    <w:rsid w:val="00923174"/>
    <w:rsid w:val="00923232"/>
    <w:rsid w:val="0092366B"/>
    <w:rsid w:val="009243E6"/>
    <w:rsid w:val="009249D8"/>
    <w:rsid w:val="00925211"/>
    <w:rsid w:val="00926A0D"/>
    <w:rsid w:val="00926B15"/>
    <w:rsid w:val="00926C85"/>
    <w:rsid w:val="00926E7C"/>
    <w:rsid w:val="00927429"/>
    <w:rsid w:val="0092763C"/>
    <w:rsid w:val="0093023E"/>
    <w:rsid w:val="0093027B"/>
    <w:rsid w:val="00930BC1"/>
    <w:rsid w:val="00931126"/>
    <w:rsid w:val="009317A2"/>
    <w:rsid w:val="00931B33"/>
    <w:rsid w:val="00931CFC"/>
    <w:rsid w:val="00931D5D"/>
    <w:rsid w:val="00931FA7"/>
    <w:rsid w:val="00932A97"/>
    <w:rsid w:val="00933005"/>
    <w:rsid w:val="009338E5"/>
    <w:rsid w:val="009339FE"/>
    <w:rsid w:val="00933CBA"/>
    <w:rsid w:val="00934B1D"/>
    <w:rsid w:val="00934F3D"/>
    <w:rsid w:val="00935104"/>
    <w:rsid w:val="00935419"/>
    <w:rsid w:val="00935DBB"/>
    <w:rsid w:val="009363AB"/>
    <w:rsid w:val="009367A5"/>
    <w:rsid w:val="0093719F"/>
    <w:rsid w:val="00937937"/>
    <w:rsid w:val="00937BE7"/>
    <w:rsid w:val="00937E8B"/>
    <w:rsid w:val="00940E3E"/>
    <w:rsid w:val="00941A72"/>
    <w:rsid w:val="00944B4F"/>
    <w:rsid w:val="00944B57"/>
    <w:rsid w:val="009450A9"/>
    <w:rsid w:val="00945844"/>
    <w:rsid w:val="00945E96"/>
    <w:rsid w:val="00946382"/>
    <w:rsid w:val="00946B1C"/>
    <w:rsid w:val="00947630"/>
    <w:rsid w:val="009478FD"/>
    <w:rsid w:val="00950A09"/>
    <w:rsid w:val="00950C4E"/>
    <w:rsid w:val="00950C9F"/>
    <w:rsid w:val="0095153B"/>
    <w:rsid w:val="00951C62"/>
    <w:rsid w:val="0095204B"/>
    <w:rsid w:val="00952799"/>
    <w:rsid w:val="00952E01"/>
    <w:rsid w:val="00952FF8"/>
    <w:rsid w:val="009531F3"/>
    <w:rsid w:val="00953434"/>
    <w:rsid w:val="00953DB4"/>
    <w:rsid w:val="00954708"/>
    <w:rsid w:val="00955204"/>
    <w:rsid w:val="0095527C"/>
    <w:rsid w:val="00955806"/>
    <w:rsid w:val="00955975"/>
    <w:rsid w:val="009561B0"/>
    <w:rsid w:val="0095620F"/>
    <w:rsid w:val="00956540"/>
    <w:rsid w:val="00956A6C"/>
    <w:rsid w:val="0095711B"/>
    <w:rsid w:val="00957410"/>
    <w:rsid w:val="009575A1"/>
    <w:rsid w:val="00957AFE"/>
    <w:rsid w:val="00960090"/>
    <w:rsid w:val="00960472"/>
    <w:rsid w:val="00960BE1"/>
    <w:rsid w:val="00960C53"/>
    <w:rsid w:val="00961216"/>
    <w:rsid w:val="00961BB0"/>
    <w:rsid w:val="0096234E"/>
    <w:rsid w:val="009623CD"/>
    <w:rsid w:val="009625B1"/>
    <w:rsid w:val="00962F33"/>
    <w:rsid w:val="00963CDD"/>
    <w:rsid w:val="00964CAB"/>
    <w:rsid w:val="00965092"/>
    <w:rsid w:val="00965163"/>
    <w:rsid w:val="0096540B"/>
    <w:rsid w:val="0096590C"/>
    <w:rsid w:val="00966695"/>
    <w:rsid w:val="00966846"/>
    <w:rsid w:val="00966D90"/>
    <w:rsid w:val="00966E3C"/>
    <w:rsid w:val="009670BB"/>
    <w:rsid w:val="009672CB"/>
    <w:rsid w:val="009700AD"/>
    <w:rsid w:val="00970294"/>
    <w:rsid w:val="00970303"/>
    <w:rsid w:val="00970396"/>
    <w:rsid w:val="00970460"/>
    <w:rsid w:val="009707FE"/>
    <w:rsid w:val="009715A4"/>
    <w:rsid w:val="00971EB3"/>
    <w:rsid w:val="0097238A"/>
    <w:rsid w:val="009727B9"/>
    <w:rsid w:val="00972845"/>
    <w:rsid w:val="009731EC"/>
    <w:rsid w:val="009738E5"/>
    <w:rsid w:val="00973AF0"/>
    <w:rsid w:val="00973B5C"/>
    <w:rsid w:val="00974017"/>
    <w:rsid w:val="009741FD"/>
    <w:rsid w:val="00974B79"/>
    <w:rsid w:val="0097500A"/>
    <w:rsid w:val="009750B7"/>
    <w:rsid w:val="0097514D"/>
    <w:rsid w:val="00975569"/>
    <w:rsid w:val="0097593E"/>
    <w:rsid w:val="00976BC8"/>
    <w:rsid w:val="00976C10"/>
    <w:rsid w:val="009774F2"/>
    <w:rsid w:val="0097770E"/>
    <w:rsid w:val="00977BAC"/>
    <w:rsid w:val="00980122"/>
    <w:rsid w:val="009801E4"/>
    <w:rsid w:val="009802FA"/>
    <w:rsid w:val="00980862"/>
    <w:rsid w:val="00980992"/>
    <w:rsid w:val="00981A52"/>
    <w:rsid w:val="00981DEF"/>
    <w:rsid w:val="0098217D"/>
    <w:rsid w:val="00982368"/>
    <w:rsid w:val="00982B41"/>
    <w:rsid w:val="00982FE8"/>
    <w:rsid w:val="00984042"/>
    <w:rsid w:val="00984091"/>
    <w:rsid w:val="00984371"/>
    <w:rsid w:val="0098446A"/>
    <w:rsid w:val="00984714"/>
    <w:rsid w:val="00984C53"/>
    <w:rsid w:val="009858DF"/>
    <w:rsid w:val="00986187"/>
    <w:rsid w:val="0098630C"/>
    <w:rsid w:val="009871A3"/>
    <w:rsid w:val="00987408"/>
    <w:rsid w:val="0099042F"/>
    <w:rsid w:val="009904CA"/>
    <w:rsid w:val="00990C6F"/>
    <w:rsid w:val="0099141D"/>
    <w:rsid w:val="009914DB"/>
    <w:rsid w:val="009930E8"/>
    <w:rsid w:val="00993BDB"/>
    <w:rsid w:val="00994680"/>
    <w:rsid w:val="009949E2"/>
    <w:rsid w:val="00994E8D"/>
    <w:rsid w:val="009953AB"/>
    <w:rsid w:val="009953B7"/>
    <w:rsid w:val="00995F17"/>
    <w:rsid w:val="0099605F"/>
    <w:rsid w:val="009965BD"/>
    <w:rsid w:val="00996AA9"/>
    <w:rsid w:val="00996F92"/>
    <w:rsid w:val="00996FF8"/>
    <w:rsid w:val="00997349"/>
    <w:rsid w:val="009973FD"/>
    <w:rsid w:val="00997C60"/>
    <w:rsid w:val="009A032A"/>
    <w:rsid w:val="009A0F1A"/>
    <w:rsid w:val="009A1887"/>
    <w:rsid w:val="009A205F"/>
    <w:rsid w:val="009A28DF"/>
    <w:rsid w:val="009A2F32"/>
    <w:rsid w:val="009A3A8A"/>
    <w:rsid w:val="009A3FD6"/>
    <w:rsid w:val="009A3FF2"/>
    <w:rsid w:val="009A4A80"/>
    <w:rsid w:val="009A512F"/>
    <w:rsid w:val="009A54CC"/>
    <w:rsid w:val="009A59AB"/>
    <w:rsid w:val="009A5A93"/>
    <w:rsid w:val="009A5DC0"/>
    <w:rsid w:val="009A680E"/>
    <w:rsid w:val="009A72D2"/>
    <w:rsid w:val="009A7647"/>
    <w:rsid w:val="009B0067"/>
    <w:rsid w:val="009B0212"/>
    <w:rsid w:val="009B0384"/>
    <w:rsid w:val="009B0FBF"/>
    <w:rsid w:val="009B1263"/>
    <w:rsid w:val="009B1B97"/>
    <w:rsid w:val="009B1C97"/>
    <w:rsid w:val="009B2251"/>
    <w:rsid w:val="009B2288"/>
    <w:rsid w:val="009B24B8"/>
    <w:rsid w:val="009B27D8"/>
    <w:rsid w:val="009B29DB"/>
    <w:rsid w:val="009B2B2B"/>
    <w:rsid w:val="009B4A8E"/>
    <w:rsid w:val="009B4DB9"/>
    <w:rsid w:val="009B5040"/>
    <w:rsid w:val="009B5A36"/>
    <w:rsid w:val="009B5E94"/>
    <w:rsid w:val="009B73A5"/>
    <w:rsid w:val="009B7C96"/>
    <w:rsid w:val="009C0244"/>
    <w:rsid w:val="009C06B6"/>
    <w:rsid w:val="009C0882"/>
    <w:rsid w:val="009C0E61"/>
    <w:rsid w:val="009C33C1"/>
    <w:rsid w:val="009C440C"/>
    <w:rsid w:val="009C446B"/>
    <w:rsid w:val="009C5E9E"/>
    <w:rsid w:val="009C605C"/>
    <w:rsid w:val="009C665E"/>
    <w:rsid w:val="009C7A30"/>
    <w:rsid w:val="009C7B37"/>
    <w:rsid w:val="009D0198"/>
    <w:rsid w:val="009D0EEB"/>
    <w:rsid w:val="009D1391"/>
    <w:rsid w:val="009D1867"/>
    <w:rsid w:val="009D18F9"/>
    <w:rsid w:val="009D1F23"/>
    <w:rsid w:val="009D20E0"/>
    <w:rsid w:val="009D2882"/>
    <w:rsid w:val="009D2DDB"/>
    <w:rsid w:val="009D3286"/>
    <w:rsid w:val="009D32E4"/>
    <w:rsid w:val="009D3BE2"/>
    <w:rsid w:val="009D3D1E"/>
    <w:rsid w:val="009D3F74"/>
    <w:rsid w:val="009D4C0D"/>
    <w:rsid w:val="009D5103"/>
    <w:rsid w:val="009D5118"/>
    <w:rsid w:val="009D53B9"/>
    <w:rsid w:val="009D564B"/>
    <w:rsid w:val="009D5876"/>
    <w:rsid w:val="009D6397"/>
    <w:rsid w:val="009D65FB"/>
    <w:rsid w:val="009D664A"/>
    <w:rsid w:val="009D6B76"/>
    <w:rsid w:val="009D77BD"/>
    <w:rsid w:val="009D77FD"/>
    <w:rsid w:val="009D7818"/>
    <w:rsid w:val="009D7CF6"/>
    <w:rsid w:val="009D7DED"/>
    <w:rsid w:val="009D7E14"/>
    <w:rsid w:val="009E0E39"/>
    <w:rsid w:val="009E0F63"/>
    <w:rsid w:val="009E13B8"/>
    <w:rsid w:val="009E1925"/>
    <w:rsid w:val="009E19AC"/>
    <w:rsid w:val="009E2E74"/>
    <w:rsid w:val="009E30D8"/>
    <w:rsid w:val="009E3200"/>
    <w:rsid w:val="009E3665"/>
    <w:rsid w:val="009E4032"/>
    <w:rsid w:val="009E459B"/>
    <w:rsid w:val="009E497A"/>
    <w:rsid w:val="009E4ACE"/>
    <w:rsid w:val="009E4BD5"/>
    <w:rsid w:val="009E4BF9"/>
    <w:rsid w:val="009E4D54"/>
    <w:rsid w:val="009E4F15"/>
    <w:rsid w:val="009E5221"/>
    <w:rsid w:val="009E5FD1"/>
    <w:rsid w:val="009E6F7A"/>
    <w:rsid w:val="009E76B8"/>
    <w:rsid w:val="009E791E"/>
    <w:rsid w:val="009E7C7D"/>
    <w:rsid w:val="009F0008"/>
    <w:rsid w:val="009F0B4F"/>
    <w:rsid w:val="009F1440"/>
    <w:rsid w:val="009F14D3"/>
    <w:rsid w:val="009F179F"/>
    <w:rsid w:val="009F2222"/>
    <w:rsid w:val="009F231A"/>
    <w:rsid w:val="009F2709"/>
    <w:rsid w:val="009F3157"/>
    <w:rsid w:val="009F4274"/>
    <w:rsid w:val="009F427D"/>
    <w:rsid w:val="009F4A78"/>
    <w:rsid w:val="009F4E84"/>
    <w:rsid w:val="009F52BE"/>
    <w:rsid w:val="009F5840"/>
    <w:rsid w:val="009F5937"/>
    <w:rsid w:val="009F594B"/>
    <w:rsid w:val="009F649D"/>
    <w:rsid w:val="009F6B6D"/>
    <w:rsid w:val="009F72A4"/>
    <w:rsid w:val="009F7731"/>
    <w:rsid w:val="009F7A71"/>
    <w:rsid w:val="009F7CAA"/>
    <w:rsid w:val="009F7D31"/>
    <w:rsid w:val="00A001A3"/>
    <w:rsid w:val="00A003D5"/>
    <w:rsid w:val="00A009F9"/>
    <w:rsid w:val="00A028B9"/>
    <w:rsid w:val="00A03537"/>
    <w:rsid w:val="00A0370E"/>
    <w:rsid w:val="00A03BBB"/>
    <w:rsid w:val="00A043D2"/>
    <w:rsid w:val="00A050A2"/>
    <w:rsid w:val="00A05B34"/>
    <w:rsid w:val="00A064DA"/>
    <w:rsid w:val="00A06644"/>
    <w:rsid w:val="00A06843"/>
    <w:rsid w:val="00A06BCD"/>
    <w:rsid w:val="00A06F06"/>
    <w:rsid w:val="00A07B72"/>
    <w:rsid w:val="00A07E32"/>
    <w:rsid w:val="00A104DF"/>
    <w:rsid w:val="00A10E11"/>
    <w:rsid w:val="00A11972"/>
    <w:rsid w:val="00A11B47"/>
    <w:rsid w:val="00A124D3"/>
    <w:rsid w:val="00A1281B"/>
    <w:rsid w:val="00A12C08"/>
    <w:rsid w:val="00A130C7"/>
    <w:rsid w:val="00A13CE9"/>
    <w:rsid w:val="00A140FA"/>
    <w:rsid w:val="00A141D0"/>
    <w:rsid w:val="00A1423C"/>
    <w:rsid w:val="00A14252"/>
    <w:rsid w:val="00A145C7"/>
    <w:rsid w:val="00A14604"/>
    <w:rsid w:val="00A1491A"/>
    <w:rsid w:val="00A14EC1"/>
    <w:rsid w:val="00A151C8"/>
    <w:rsid w:val="00A16299"/>
    <w:rsid w:val="00A165EA"/>
    <w:rsid w:val="00A1671D"/>
    <w:rsid w:val="00A16DEC"/>
    <w:rsid w:val="00A17294"/>
    <w:rsid w:val="00A172DC"/>
    <w:rsid w:val="00A17CEA"/>
    <w:rsid w:val="00A17DC7"/>
    <w:rsid w:val="00A2045C"/>
    <w:rsid w:val="00A20F08"/>
    <w:rsid w:val="00A22283"/>
    <w:rsid w:val="00A225E1"/>
    <w:rsid w:val="00A24009"/>
    <w:rsid w:val="00A24F04"/>
    <w:rsid w:val="00A24F87"/>
    <w:rsid w:val="00A250DB"/>
    <w:rsid w:val="00A2526E"/>
    <w:rsid w:val="00A2546D"/>
    <w:rsid w:val="00A25FE3"/>
    <w:rsid w:val="00A2658E"/>
    <w:rsid w:val="00A26781"/>
    <w:rsid w:val="00A26D97"/>
    <w:rsid w:val="00A273D8"/>
    <w:rsid w:val="00A27F33"/>
    <w:rsid w:val="00A3037C"/>
    <w:rsid w:val="00A30514"/>
    <w:rsid w:val="00A31379"/>
    <w:rsid w:val="00A31479"/>
    <w:rsid w:val="00A31C18"/>
    <w:rsid w:val="00A3223F"/>
    <w:rsid w:val="00A322D1"/>
    <w:rsid w:val="00A32529"/>
    <w:rsid w:val="00A32949"/>
    <w:rsid w:val="00A33577"/>
    <w:rsid w:val="00A33AF2"/>
    <w:rsid w:val="00A340F3"/>
    <w:rsid w:val="00A3434A"/>
    <w:rsid w:val="00A34B80"/>
    <w:rsid w:val="00A35027"/>
    <w:rsid w:val="00A3515A"/>
    <w:rsid w:val="00A35182"/>
    <w:rsid w:val="00A35C04"/>
    <w:rsid w:val="00A3612C"/>
    <w:rsid w:val="00A366E3"/>
    <w:rsid w:val="00A368EB"/>
    <w:rsid w:val="00A37327"/>
    <w:rsid w:val="00A37370"/>
    <w:rsid w:val="00A374D4"/>
    <w:rsid w:val="00A378D4"/>
    <w:rsid w:val="00A37E02"/>
    <w:rsid w:val="00A37E64"/>
    <w:rsid w:val="00A37F6C"/>
    <w:rsid w:val="00A37F6E"/>
    <w:rsid w:val="00A40612"/>
    <w:rsid w:val="00A412CB"/>
    <w:rsid w:val="00A41F8A"/>
    <w:rsid w:val="00A41FD5"/>
    <w:rsid w:val="00A42948"/>
    <w:rsid w:val="00A430DE"/>
    <w:rsid w:val="00A4367A"/>
    <w:rsid w:val="00A44098"/>
    <w:rsid w:val="00A443BB"/>
    <w:rsid w:val="00A44584"/>
    <w:rsid w:val="00A46788"/>
    <w:rsid w:val="00A4709A"/>
    <w:rsid w:val="00A504D3"/>
    <w:rsid w:val="00A505C4"/>
    <w:rsid w:val="00A518BC"/>
    <w:rsid w:val="00A51EF8"/>
    <w:rsid w:val="00A5235C"/>
    <w:rsid w:val="00A52B6A"/>
    <w:rsid w:val="00A530D9"/>
    <w:rsid w:val="00A54073"/>
    <w:rsid w:val="00A543FE"/>
    <w:rsid w:val="00A544E0"/>
    <w:rsid w:val="00A5496C"/>
    <w:rsid w:val="00A54B2F"/>
    <w:rsid w:val="00A5511E"/>
    <w:rsid w:val="00A55770"/>
    <w:rsid w:val="00A56246"/>
    <w:rsid w:val="00A608D2"/>
    <w:rsid w:val="00A60E89"/>
    <w:rsid w:val="00A60EAC"/>
    <w:rsid w:val="00A610E0"/>
    <w:rsid w:val="00A61440"/>
    <w:rsid w:val="00A614AC"/>
    <w:rsid w:val="00A6210F"/>
    <w:rsid w:val="00A62DD4"/>
    <w:rsid w:val="00A62F6B"/>
    <w:rsid w:val="00A63F50"/>
    <w:rsid w:val="00A643DA"/>
    <w:rsid w:val="00A64C36"/>
    <w:rsid w:val="00A654F4"/>
    <w:rsid w:val="00A65A35"/>
    <w:rsid w:val="00A65A3C"/>
    <w:rsid w:val="00A65F6C"/>
    <w:rsid w:val="00A66289"/>
    <w:rsid w:val="00A6665F"/>
    <w:rsid w:val="00A66B5D"/>
    <w:rsid w:val="00A67771"/>
    <w:rsid w:val="00A67950"/>
    <w:rsid w:val="00A67AE3"/>
    <w:rsid w:val="00A67E7D"/>
    <w:rsid w:val="00A7059D"/>
    <w:rsid w:val="00A7067D"/>
    <w:rsid w:val="00A7087C"/>
    <w:rsid w:val="00A708F1"/>
    <w:rsid w:val="00A709D8"/>
    <w:rsid w:val="00A70FE9"/>
    <w:rsid w:val="00A70FEB"/>
    <w:rsid w:val="00A71F2D"/>
    <w:rsid w:val="00A73847"/>
    <w:rsid w:val="00A7488D"/>
    <w:rsid w:val="00A74A2D"/>
    <w:rsid w:val="00A74BBA"/>
    <w:rsid w:val="00A74F2D"/>
    <w:rsid w:val="00A752DA"/>
    <w:rsid w:val="00A75CC4"/>
    <w:rsid w:val="00A765B0"/>
    <w:rsid w:val="00A7666D"/>
    <w:rsid w:val="00A767EE"/>
    <w:rsid w:val="00A76AEE"/>
    <w:rsid w:val="00A76B9F"/>
    <w:rsid w:val="00A76E4B"/>
    <w:rsid w:val="00A76F8C"/>
    <w:rsid w:val="00A7758A"/>
    <w:rsid w:val="00A77A29"/>
    <w:rsid w:val="00A77DEF"/>
    <w:rsid w:val="00A80486"/>
    <w:rsid w:val="00A80931"/>
    <w:rsid w:val="00A8163B"/>
    <w:rsid w:val="00A8189B"/>
    <w:rsid w:val="00A8195B"/>
    <w:rsid w:val="00A81AAE"/>
    <w:rsid w:val="00A821C4"/>
    <w:rsid w:val="00A825CA"/>
    <w:rsid w:val="00A82691"/>
    <w:rsid w:val="00A82A83"/>
    <w:rsid w:val="00A82AFC"/>
    <w:rsid w:val="00A82B64"/>
    <w:rsid w:val="00A8308B"/>
    <w:rsid w:val="00A834E9"/>
    <w:rsid w:val="00A84F26"/>
    <w:rsid w:val="00A8581E"/>
    <w:rsid w:val="00A85D7B"/>
    <w:rsid w:val="00A86236"/>
    <w:rsid w:val="00A862A3"/>
    <w:rsid w:val="00A86B53"/>
    <w:rsid w:val="00A86F50"/>
    <w:rsid w:val="00A872BB"/>
    <w:rsid w:val="00A8775D"/>
    <w:rsid w:val="00A87B84"/>
    <w:rsid w:val="00A90014"/>
    <w:rsid w:val="00A9058A"/>
    <w:rsid w:val="00A9075A"/>
    <w:rsid w:val="00A90F07"/>
    <w:rsid w:val="00A90F91"/>
    <w:rsid w:val="00A9109C"/>
    <w:rsid w:val="00A9152E"/>
    <w:rsid w:val="00A932F3"/>
    <w:rsid w:val="00A9361E"/>
    <w:rsid w:val="00A9400A"/>
    <w:rsid w:val="00A94262"/>
    <w:rsid w:val="00A949DC"/>
    <w:rsid w:val="00A94B9F"/>
    <w:rsid w:val="00A94F47"/>
    <w:rsid w:val="00A9527A"/>
    <w:rsid w:val="00A95917"/>
    <w:rsid w:val="00A95A05"/>
    <w:rsid w:val="00A96016"/>
    <w:rsid w:val="00A96922"/>
    <w:rsid w:val="00A97364"/>
    <w:rsid w:val="00A9751B"/>
    <w:rsid w:val="00A97774"/>
    <w:rsid w:val="00AA0CA6"/>
    <w:rsid w:val="00AA152B"/>
    <w:rsid w:val="00AA186D"/>
    <w:rsid w:val="00AA3221"/>
    <w:rsid w:val="00AA355C"/>
    <w:rsid w:val="00AA39AB"/>
    <w:rsid w:val="00AA3E6A"/>
    <w:rsid w:val="00AA46C6"/>
    <w:rsid w:val="00AA47A8"/>
    <w:rsid w:val="00AA48F7"/>
    <w:rsid w:val="00AA4C64"/>
    <w:rsid w:val="00AA5E79"/>
    <w:rsid w:val="00AA64B6"/>
    <w:rsid w:val="00AA65C3"/>
    <w:rsid w:val="00AA68CB"/>
    <w:rsid w:val="00AA70C8"/>
    <w:rsid w:val="00AA71E0"/>
    <w:rsid w:val="00AA723E"/>
    <w:rsid w:val="00AA747F"/>
    <w:rsid w:val="00AB15CA"/>
    <w:rsid w:val="00AB16AA"/>
    <w:rsid w:val="00AB19DD"/>
    <w:rsid w:val="00AB1A2A"/>
    <w:rsid w:val="00AB1C13"/>
    <w:rsid w:val="00AB1F28"/>
    <w:rsid w:val="00AB1FCD"/>
    <w:rsid w:val="00AB2720"/>
    <w:rsid w:val="00AB2C2B"/>
    <w:rsid w:val="00AB3043"/>
    <w:rsid w:val="00AB32C3"/>
    <w:rsid w:val="00AB33B9"/>
    <w:rsid w:val="00AB3660"/>
    <w:rsid w:val="00AB3C7E"/>
    <w:rsid w:val="00AB4110"/>
    <w:rsid w:val="00AB4339"/>
    <w:rsid w:val="00AB4A34"/>
    <w:rsid w:val="00AB4E07"/>
    <w:rsid w:val="00AB4E19"/>
    <w:rsid w:val="00AB4E34"/>
    <w:rsid w:val="00AB4FCE"/>
    <w:rsid w:val="00AB582D"/>
    <w:rsid w:val="00AB620A"/>
    <w:rsid w:val="00AB6A95"/>
    <w:rsid w:val="00AB72C2"/>
    <w:rsid w:val="00AB78D7"/>
    <w:rsid w:val="00AB7CFD"/>
    <w:rsid w:val="00AC000D"/>
    <w:rsid w:val="00AC0558"/>
    <w:rsid w:val="00AC09CB"/>
    <w:rsid w:val="00AC14A7"/>
    <w:rsid w:val="00AC1651"/>
    <w:rsid w:val="00AC198C"/>
    <w:rsid w:val="00AC30E4"/>
    <w:rsid w:val="00AC3133"/>
    <w:rsid w:val="00AC3ED3"/>
    <w:rsid w:val="00AC3EF4"/>
    <w:rsid w:val="00AC44F5"/>
    <w:rsid w:val="00AC4F83"/>
    <w:rsid w:val="00AC5717"/>
    <w:rsid w:val="00AC5B9D"/>
    <w:rsid w:val="00AC7306"/>
    <w:rsid w:val="00AC7ADA"/>
    <w:rsid w:val="00AD04A7"/>
    <w:rsid w:val="00AD2369"/>
    <w:rsid w:val="00AD2946"/>
    <w:rsid w:val="00AD2B11"/>
    <w:rsid w:val="00AD2CF0"/>
    <w:rsid w:val="00AD3FE4"/>
    <w:rsid w:val="00AD4646"/>
    <w:rsid w:val="00AD4BCD"/>
    <w:rsid w:val="00AD4D58"/>
    <w:rsid w:val="00AD533D"/>
    <w:rsid w:val="00AD53C3"/>
    <w:rsid w:val="00AD67C0"/>
    <w:rsid w:val="00AD6A05"/>
    <w:rsid w:val="00AD6DC7"/>
    <w:rsid w:val="00AD730D"/>
    <w:rsid w:val="00AD7B02"/>
    <w:rsid w:val="00AD7BD5"/>
    <w:rsid w:val="00AD7BD7"/>
    <w:rsid w:val="00AD7D28"/>
    <w:rsid w:val="00AD7DDC"/>
    <w:rsid w:val="00AE0197"/>
    <w:rsid w:val="00AE0310"/>
    <w:rsid w:val="00AE05A7"/>
    <w:rsid w:val="00AE111A"/>
    <w:rsid w:val="00AE138A"/>
    <w:rsid w:val="00AE28FF"/>
    <w:rsid w:val="00AE30BE"/>
    <w:rsid w:val="00AE31CF"/>
    <w:rsid w:val="00AE40F8"/>
    <w:rsid w:val="00AE4320"/>
    <w:rsid w:val="00AE44C7"/>
    <w:rsid w:val="00AE5C67"/>
    <w:rsid w:val="00AE5D87"/>
    <w:rsid w:val="00AE61E0"/>
    <w:rsid w:val="00AE6F67"/>
    <w:rsid w:val="00AF01A8"/>
    <w:rsid w:val="00AF04BB"/>
    <w:rsid w:val="00AF05F1"/>
    <w:rsid w:val="00AF1935"/>
    <w:rsid w:val="00AF20E0"/>
    <w:rsid w:val="00AF20FC"/>
    <w:rsid w:val="00AF2E17"/>
    <w:rsid w:val="00AF3197"/>
    <w:rsid w:val="00AF32D1"/>
    <w:rsid w:val="00AF41C9"/>
    <w:rsid w:val="00AF442C"/>
    <w:rsid w:val="00AF46FA"/>
    <w:rsid w:val="00AF4C0F"/>
    <w:rsid w:val="00AF4C42"/>
    <w:rsid w:val="00AF4C74"/>
    <w:rsid w:val="00AF5415"/>
    <w:rsid w:val="00AF5C86"/>
    <w:rsid w:val="00AF5DB1"/>
    <w:rsid w:val="00AF6440"/>
    <w:rsid w:val="00AF6A18"/>
    <w:rsid w:val="00AF6CF5"/>
    <w:rsid w:val="00AF700E"/>
    <w:rsid w:val="00AF70D9"/>
    <w:rsid w:val="00AF74CA"/>
    <w:rsid w:val="00B006AE"/>
    <w:rsid w:val="00B006F4"/>
    <w:rsid w:val="00B01060"/>
    <w:rsid w:val="00B01F0D"/>
    <w:rsid w:val="00B029CB"/>
    <w:rsid w:val="00B02D65"/>
    <w:rsid w:val="00B02D72"/>
    <w:rsid w:val="00B02E2D"/>
    <w:rsid w:val="00B02FA5"/>
    <w:rsid w:val="00B0377B"/>
    <w:rsid w:val="00B03879"/>
    <w:rsid w:val="00B03CB8"/>
    <w:rsid w:val="00B03D75"/>
    <w:rsid w:val="00B04194"/>
    <w:rsid w:val="00B043FD"/>
    <w:rsid w:val="00B0486D"/>
    <w:rsid w:val="00B0550E"/>
    <w:rsid w:val="00B05BFC"/>
    <w:rsid w:val="00B05DF5"/>
    <w:rsid w:val="00B05F63"/>
    <w:rsid w:val="00B06578"/>
    <w:rsid w:val="00B065DA"/>
    <w:rsid w:val="00B066D4"/>
    <w:rsid w:val="00B0691A"/>
    <w:rsid w:val="00B0691D"/>
    <w:rsid w:val="00B06BAB"/>
    <w:rsid w:val="00B07046"/>
    <w:rsid w:val="00B07808"/>
    <w:rsid w:val="00B07ED4"/>
    <w:rsid w:val="00B10250"/>
    <w:rsid w:val="00B10E05"/>
    <w:rsid w:val="00B115F5"/>
    <w:rsid w:val="00B11F8D"/>
    <w:rsid w:val="00B12082"/>
    <w:rsid w:val="00B12783"/>
    <w:rsid w:val="00B12E19"/>
    <w:rsid w:val="00B12FAC"/>
    <w:rsid w:val="00B13438"/>
    <w:rsid w:val="00B146DE"/>
    <w:rsid w:val="00B148CE"/>
    <w:rsid w:val="00B14A2B"/>
    <w:rsid w:val="00B14FFD"/>
    <w:rsid w:val="00B15566"/>
    <w:rsid w:val="00B15EC2"/>
    <w:rsid w:val="00B15FD7"/>
    <w:rsid w:val="00B17256"/>
    <w:rsid w:val="00B177D7"/>
    <w:rsid w:val="00B17DF2"/>
    <w:rsid w:val="00B17E09"/>
    <w:rsid w:val="00B17E98"/>
    <w:rsid w:val="00B20A18"/>
    <w:rsid w:val="00B21F76"/>
    <w:rsid w:val="00B226CB"/>
    <w:rsid w:val="00B237C2"/>
    <w:rsid w:val="00B247B4"/>
    <w:rsid w:val="00B2495B"/>
    <w:rsid w:val="00B24A65"/>
    <w:rsid w:val="00B25040"/>
    <w:rsid w:val="00B263CF"/>
    <w:rsid w:val="00B264A9"/>
    <w:rsid w:val="00B26676"/>
    <w:rsid w:val="00B26B96"/>
    <w:rsid w:val="00B26D6F"/>
    <w:rsid w:val="00B2723A"/>
    <w:rsid w:val="00B278DF"/>
    <w:rsid w:val="00B3027A"/>
    <w:rsid w:val="00B306B2"/>
    <w:rsid w:val="00B30962"/>
    <w:rsid w:val="00B30BD5"/>
    <w:rsid w:val="00B30DF6"/>
    <w:rsid w:val="00B31022"/>
    <w:rsid w:val="00B316FF"/>
    <w:rsid w:val="00B317EB"/>
    <w:rsid w:val="00B31D24"/>
    <w:rsid w:val="00B31E9B"/>
    <w:rsid w:val="00B3215F"/>
    <w:rsid w:val="00B32835"/>
    <w:rsid w:val="00B329F5"/>
    <w:rsid w:val="00B32C33"/>
    <w:rsid w:val="00B3382F"/>
    <w:rsid w:val="00B3418E"/>
    <w:rsid w:val="00B3432C"/>
    <w:rsid w:val="00B345B7"/>
    <w:rsid w:val="00B34BF5"/>
    <w:rsid w:val="00B34C56"/>
    <w:rsid w:val="00B34CF8"/>
    <w:rsid w:val="00B350D0"/>
    <w:rsid w:val="00B358FC"/>
    <w:rsid w:val="00B35983"/>
    <w:rsid w:val="00B35A48"/>
    <w:rsid w:val="00B35F68"/>
    <w:rsid w:val="00B363CD"/>
    <w:rsid w:val="00B36D7B"/>
    <w:rsid w:val="00B36F81"/>
    <w:rsid w:val="00B372D0"/>
    <w:rsid w:val="00B37459"/>
    <w:rsid w:val="00B37707"/>
    <w:rsid w:val="00B377D6"/>
    <w:rsid w:val="00B3783F"/>
    <w:rsid w:val="00B4007A"/>
    <w:rsid w:val="00B4045A"/>
    <w:rsid w:val="00B408CC"/>
    <w:rsid w:val="00B4097A"/>
    <w:rsid w:val="00B417BE"/>
    <w:rsid w:val="00B41948"/>
    <w:rsid w:val="00B41E3D"/>
    <w:rsid w:val="00B4235F"/>
    <w:rsid w:val="00B42470"/>
    <w:rsid w:val="00B4254C"/>
    <w:rsid w:val="00B42F0C"/>
    <w:rsid w:val="00B42FAE"/>
    <w:rsid w:val="00B43C5F"/>
    <w:rsid w:val="00B43FE2"/>
    <w:rsid w:val="00B44501"/>
    <w:rsid w:val="00B4473D"/>
    <w:rsid w:val="00B453CF"/>
    <w:rsid w:val="00B4570C"/>
    <w:rsid w:val="00B46520"/>
    <w:rsid w:val="00B476C7"/>
    <w:rsid w:val="00B47EB5"/>
    <w:rsid w:val="00B47FC7"/>
    <w:rsid w:val="00B50BDA"/>
    <w:rsid w:val="00B50E75"/>
    <w:rsid w:val="00B5173B"/>
    <w:rsid w:val="00B51919"/>
    <w:rsid w:val="00B52C89"/>
    <w:rsid w:val="00B5364E"/>
    <w:rsid w:val="00B537D4"/>
    <w:rsid w:val="00B5395E"/>
    <w:rsid w:val="00B53C58"/>
    <w:rsid w:val="00B53E99"/>
    <w:rsid w:val="00B5463D"/>
    <w:rsid w:val="00B55737"/>
    <w:rsid w:val="00B5589F"/>
    <w:rsid w:val="00B55FC1"/>
    <w:rsid w:val="00B56261"/>
    <w:rsid w:val="00B56F2F"/>
    <w:rsid w:val="00B57644"/>
    <w:rsid w:val="00B601CE"/>
    <w:rsid w:val="00B6035E"/>
    <w:rsid w:val="00B607B2"/>
    <w:rsid w:val="00B60E17"/>
    <w:rsid w:val="00B610BA"/>
    <w:rsid w:val="00B61AF3"/>
    <w:rsid w:val="00B62EC5"/>
    <w:rsid w:val="00B62ED5"/>
    <w:rsid w:val="00B62F94"/>
    <w:rsid w:val="00B643DC"/>
    <w:rsid w:val="00B64732"/>
    <w:rsid w:val="00B6482C"/>
    <w:rsid w:val="00B64F93"/>
    <w:rsid w:val="00B6516A"/>
    <w:rsid w:val="00B65B60"/>
    <w:rsid w:val="00B663D0"/>
    <w:rsid w:val="00B663E3"/>
    <w:rsid w:val="00B66FB4"/>
    <w:rsid w:val="00B673C2"/>
    <w:rsid w:val="00B674E5"/>
    <w:rsid w:val="00B678FE"/>
    <w:rsid w:val="00B70238"/>
    <w:rsid w:val="00B705A0"/>
    <w:rsid w:val="00B70CE7"/>
    <w:rsid w:val="00B70EBB"/>
    <w:rsid w:val="00B7142B"/>
    <w:rsid w:val="00B71747"/>
    <w:rsid w:val="00B719F9"/>
    <w:rsid w:val="00B71DE4"/>
    <w:rsid w:val="00B7200D"/>
    <w:rsid w:val="00B7319F"/>
    <w:rsid w:val="00B73205"/>
    <w:rsid w:val="00B7326B"/>
    <w:rsid w:val="00B7387C"/>
    <w:rsid w:val="00B7393A"/>
    <w:rsid w:val="00B7412A"/>
    <w:rsid w:val="00B74A9F"/>
    <w:rsid w:val="00B7568C"/>
    <w:rsid w:val="00B7698B"/>
    <w:rsid w:val="00B76B20"/>
    <w:rsid w:val="00B76BF4"/>
    <w:rsid w:val="00B77BBD"/>
    <w:rsid w:val="00B77C1D"/>
    <w:rsid w:val="00B77FA2"/>
    <w:rsid w:val="00B800D1"/>
    <w:rsid w:val="00B8069D"/>
    <w:rsid w:val="00B807D2"/>
    <w:rsid w:val="00B80BF3"/>
    <w:rsid w:val="00B80FCF"/>
    <w:rsid w:val="00B81379"/>
    <w:rsid w:val="00B82378"/>
    <w:rsid w:val="00B825B1"/>
    <w:rsid w:val="00B82BC7"/>
    <w:rsid w:val="00B830C7"/>
    <w:rsid w:val="00B83D55"/>
    <w:rsid w:val="00B83D98"/>
    <w:rsid w:val="00B84099"/>
    <w:rsid w:val="00B8450C"/>
    <w:rsid w:val="00B8462E"/>
    <w:rsid w:val="00B848BA"/>
    <w:rsid w:val="00B84D1B"/>
    <w:rsid w:val="00B85090"/>
    <w:rsid w:val="00B85356"/>
    <w:rsid w:val="00B855EA"/>
    <w:rsid w:val="00B8692F"/>
    <w:rsid w:val="00B86CF5"/>
    <w:rsid w:val="00B87D92"/>
    <w:rsid w:val="00B9087D"/>
    <w:rsid w:val="00B918FD"/>
    <w:rsid w:val="00B91CCA"/>
    <w:rsid w:val="00B92FF0"/>
    <w:rsid w:val="00B937A6"/>
    <w:rsid w:val="00B93A6C"/>
    <w:rsid w:val="00B93BB4"/>
    <w:rsid w:val="00B94055"/>
    <w:rsid w:val="00B94413"/>
    <w:rsid w:val="00B9479E"/>
    <w:rsid w:val="00B94F06"/>
    <w:rsid w:val="00B959A3"/>
    <w:rsid w:val="00B96A21"/>
    <w:rsid w:val="00B9775E"/>
    <w:rsid w:val="00B979B2"/>
    <w:rsid w:val="00BA2354"/>
    <w:rsid w:val="00BA2C67"/>
    <w:rsid w:val="00BA3A12"/>
    <w:rsid w:val="00BA3A2F"/>
    <w:rsid w:val="00BA3B13"/>
    <w:rsid w:val="00BA415E"/>
    <w:rsid w:val="00BA4409"/>
    <w:rsid w:val="00BA45BE"/>
    <w:rsid w:val="00BA48FE"/>
    <w:rsid w:val="00BA5318"/>
    <w:rsid w:val="00BA56A5"/>
    <w:rsid w:val="00BA56AF"/>
    <w:rsid w:val="00BA5D08"/>
    <w:rsid w:val="00BA5F9D"/>
    <w:rsid w:val="00BA7B91"/>
    <w:rsid w:val="00BA7EE2"/>
    <w:rsid w:val="00BB054C"/>
    <w:rsid w:val="00BB0A9C"/>
    <w:rsid w:val="00BB0AFF"/>
    <w:rsid w:val="00BB0B61"/>
    <w:rsid w:val="00BB17F8"/>
    <w:rsid w:val="00BB27CA"/>
    <w:rsid w:val="00BB2BCF"/>
    <w:rsid w:val="00BB3AB1"/>
    <w:rsid w:val="00BB3C89"/>
    <w:rsid w:val="00BB4980"/>
    <w:rsid w:val="00BB5E91"/>
    <w:rsid w:val="00BB5EB6"/>
    <w:rsid w:val="00BB682A"/>
    <w:rsid w:val="00BB6F89"/>
    <w:rsid w:val="00BC0350"/>
    <w:rsid w:val="00BC0430"/>
    <w:rsid w:val="00BC10C2"/>
    <w:rsid w:val="00BC1A3B"/>
    <w:rsid w:val="00BC2D38"/>
    <w:rsid w:val="00BC2E39"/>
    <w:rsid w:val="00BC2EE7"/>
    <w:rsid w:val="00BC30ED"/>
    <w:rsid w:val="00BC32BD"/>
    <w:rsid w:val="00BC3304"/>
    <w:rsid w:val="00BC372D"/>
    <w:rsid w:val="00BC3BC9"/>
    <w:rsid w:val="00BC3CBE"/>
    <w:rsid w:val="00BC3E25"/>
    <w:rsid w:val="00BC42EB"/>
    <w:rsid w:val="00BC481F"/>
    <w:rsid w:val="00BC49B4"/>
    <w:rsid w:val="00BC4DFD"/>
    <w:rsid w:val="00BC5DD5"/>
    <w:rsid w:val="00BC5E4C"/>
    <w:rsid w:val="00BC65C0"/>
    <w:rsid w:val="00BC69D1"/>
    <w:rsid w:val="00BC6BE9"/>
    <w:rsid w:val="00BC6E6E"/>
    <w:rsid w:val="00BC7094"/>
    <w:rsid w:val="00BC70AF"/>
    <w:rsid w:val="00BD0435"/>
    <w:rsid w:val="00BD05AA"/>
    <w:rsid w:val="00BD0640"/>
    <w:rsid w:val="00BD0CBE"/>
    <w:rsid w:val="00BD18CE"/>
    <w:rsid w:val="00BD2022"/>
    <w:rsid w:val="00BD2D56"/>
    <w:rsid w:val="00BD2FA7"/>
    <w:rsid w:val="00BD2FE9"/>
    <w:rsid w:val="00BD3618"/>
    <w:rsid w:val="00BD3B07"/>
    <w:rsid w:val="00BD3DC9"/>
    <w:rsid w:val="00BD41A8"/>
    <w:rsid w:val="00BD4B68"/>
    <w:rsid w:val="00BD58F4"/>
    <w:rsid w:val="00BD6040"/>
    <w:rsid w:val="00BD611F"/>
    <w:rsid w:val="00BD6514"/>
    <w:rsid w:val="00BD658B"/>
    <w:rsid w:val="00BD677D"/>
    <w:rsid w:val="00BD68A9"/>
    <w:rsid w:val="00BD6A9B"/>
    <w:rsid w:val="00BD6F1B"/>
    <w:rsid w:val="00BD73D7"/>
    <w:rsid w:val="00BD7B29"/>
    <w:rsid w:val="00BE0DAA"/>
    <w:rsid w:val="00BE12C8"/>
    <w:rsid w:val="00BE1B5A"/>
    <w:rsid w:val="00BE1C12"/>
    <w:rsid w:val="00BE218B"/>
    <w:rsid w:val="00BE379E"/>
    <w:rsid w:val="00BE4908"/>
    <w:rsid w:val="00BE4CB0"/>
    <w:rsid w:val="00BE4DAF"/>
    <w:rsid w:val="00BE5301"/>
    <w:rsid w:val="00BE53D6"/>
    <w:rsid w:val="00BE5EF9"/>
    <w:rsid w:val="00BE62D5"/>
    <w:rsid w:val="00BE748F"/>
    <w:rsid w:val="00BE7A8A"/>
    <w:rsid w:val="00BE7E58"/>
    <w:rsid w:val="00BF001F"/>
    <w:rsid w:val="00BF00D5"/>
    <w:rsid w:val="00BF0587"/>
    <w:rsid w:val="00BF05A2"/>
    <w:rsid w:val="00BF17BA"/>
    <w:rsid w:val="00BF20F8"/>
    <w:rsid w:val="00BF2AAD"/>
    <w:rsid w:val="00BF3218"/>
    <w:rsid w:val="00BF4A8F"/>
    <w:rsid w:val="00BF52F0"/>
    <w:rsid w:val="00BF54E6"/>
    <w:rsid w:val="00BF6468"/>
    <w:rsid w:val="00BF6541"/>
    <w:rsid w:val="00BF6A3F"/>
    <w:rsid w:val="00BF758A"/>
    <w:rsid w:val="00BF7B43"/>
    <w:rsid w:val="00C005F2"/>
    <w:rsid w:val="00C008F0"/>
    <w:rsid w:val="00C00F89"/>
    <w:rsid w:val="00C02084"/>
    <w:rsid w:val="00C02288"/>
    <w:rsid w:val="00C026CC"/>
    <w:rsid w:val="00C02872"/>
    <w:rsid w:val="00C02BDF"/>
    <w:rsid w:val="00C035B6"/>
    <w:rsid w:val="00C037CF"/>
    <w:rsid w:val="00C03E14"/>
    <w:rsid w:val="00C03EC8"/>
    <w:rsid w:val="00C03ECD"/>
    <w:rsid w:val="00C0419C"/>
    <w:rsid w:val="00C0422A"/>
    <w:rsid w:val="00C04377"/>
    <w:rsid w:val="00C04857"/>
    <w:rsid w:val="00C04C8F"/>
    <w:rsid w:val="00C051F2"/>
    <w:rsid w:val="00C06E56"/>
    <w:rsid w:val="00C072DA"/>
    <w:rsid w:val="00C07A9D"/>
    <w:rsid w:val="00C10294"/>
    <w:rsid w:val="00C10731"/>
    <w:rsid w:val="00C10807"/>
    <w:rsid w:val="00C10BA1"/>
    <w:rsid w:val="00C115E7"/>
    <w:rsid w:val="00C1189E"/>
    <w:rsid w:val="00C11B3A"/>
    <w:rsid w:val="00C12433"/>
    <w:rsid w:val="00C1280E"/>
    <w:rsid w:val="00C1350F"/>
    <w:rsid w:val="00C13C1D"/>
    <w:rsid w:val="00C1406E"/>
    <w:rsid w:val="00C141A1"/>
    <w:rsid w:val="00C14226"/>
    <w:rsid w:val="00C147DD"/>
    <w:rsid w:val="00C14DCE"/>
    <w:rsid w:val="00C15017"/>
    <w:rsid w:val="00C15156"/>
    <w:rsid w:val="00C15313"/>
    <w:rsid w:val="00C154A2"/>
    <w:rsid w:val="00C16D3B"/>
    <w:rsid w:val="00C170B9"/>
    <w:rsid w:val="00C17586"/>
    <w:rsid w:val="00C17DEC"/>
    <w:rsid w:val="00C2072D"/>
    <w:rsid w:val="00C2096F"/>
    <w:rsid w:val="00C21599"/>
    <w:rsid w:val="00C215E1"/>
    <w:rsid w:val="00C22F8C"/>
    <w:rsid w:val="00C23450"/>
    <w:rsid w:val="00C23900"/>
    <w:rsid w:val="00C24420"/>
    <w:rsid w:val="00C244E9"/>
    <w:rsid w:val="00C245BE"/>
    <w:rsid w:val="00C249C0"/>
    <w:rsid w:val="00C24B4F"/>
    <w:rsid w:val="00C25064"/>
    <w:rsid w:val="00C25301"/>
    <w:rsid w:val="00C25A02"/>
    <w:rsid w:val="00C25D09"/>
    <w:rsid w:val="00C26145"/>
    <w:rsid w:val="00C269C3"/>
    <w:rsid w:val="00C30014"/>
    <w:rsid w:val="00C30900"/>
    <w:rsid w:val="00C30E11"/>
    <w:rsid w:val="00C31290"/>
    <w:rsid w:val="00C31B7A"/>
    <w:rsid w:val="00C31EF5"/>
    <w:rsid w:val="00C3256B"/>
    <w:rsid w:val="00C325CB"/>
    <w:rsid w:val="00C3289B"/>
    <w:rsid w:val="00C3457F"/>
    <w:rsid w:val="00C34B8C"/>
    <w:rsid w:val="00C34B9C"/>
    <w:rsid w:val="00C35CE9"/>
    <w:rsid w:val="00C35F2F"/>
    <w:rsid w:val="00C36349"/>
    <w:rsid w:val="00C36CAE"/>
    <w:rsid w:val="00C36D15"/>
    <w:rsid w:val="00C36DEE"/>
    <w:rsid w:val="00C37E49"/>
    <w:rsid w:val="00C37E53"/>
    <w:rsid w:val="00C402EA"/>
    <w:rsid w:val="00C40466"/>
    <w:rsid w:val="00C4073D"/>
    <w:rsid w:val="00C41A54"/>
    <w:rsid w:val="00C423DD"/>
    <w:rsid w:val="00C42763"/>
    <w:rsid w:val="00C42C27"/>
    <w:rsid w:val="00C42FF9"/>
    <w:rsid w:val="00C43AEC"/>
    <w:rsid w:val="00C43B56"/>
    <w:rsid w:val="00C44510"/>
    <w:rsid w:val="00C44661"/>
    <w:rsid w:val="00C455CF"/>
    <w:rsid w:val="00C45986"/>
    <w:rsid w:val="00C45E08"/>
    <w:rsid w:val="00C46873"/>
    <w:rsid w:val="00C47A99"/>
    <w:rsid w:val="00C47C80"/>
    <w:rsid w:val="00C47E4A"/>
    <w:rsid w:val="00C500C2"/>
    <w:rsid w:val="00C50913"/>
    <w:rsid w:val="00C509B9"/>
    <w:rsid w:val="00C51000"/>
    <w:rsid w:val="00C510C4"/>
    <w:rsid w:val="00C51490"/>
    <w:rsid w:val="00C5163E"/>
    <w:rsid w:val="00C51A0B"/>
    <w:rsid w:val="00C52906"/>
    <w:rsid w:val="00C529F0"/>
    <w:rsid w:val="00C52C2C"/>
    <w:rsid w:val="00C540AD"/>
    <w:rsid w:val="00C540CB"/>
    <w:rsid w:val="00C5584A"/>
    <w:rsid w:val="00C5604A"/>
    <w:rsid w:val="00C56391"/>
    <w:rsid w:val="00C564E7"/>
    <w:rsid w:val="00C569B9"/>
    <w:rsid w:val="00C57C29"/>
    <w:rsid w:val="00C57C5C"/>
    <w:rsid w:val="00C57DE2"/>
    <w:rsid w:val="00C605BF"/>
    <w:rsid w:val="00C60971"/>
    <w:rsid w:val="00C60DC5"/>
    <w:rsid w:val="00C6155E"/>
    <w:rsid w:val="00C616F5"/>
    <w:rsid w:val="00C61B88"/>
    <w:rsid w:val="00C61BBC"/>
    <w:rsid w:val="00C6241F"/>
    <w:rsid w:val="00C62563"/>
    <w:rsid w:val="00C628D3"/>
    <w:rsid w:val="00C6311F"/>
    <w:rsid w:val="00C63F03"/>
    <w:rsid w:val="00C64402"/>
    <w:rsid w:val="00C64429"/>
    <w:rsid w:val="00C64BA3"/>
    <w:rsid w:val="00C64E5C"/>
    <w:rsid w:val="00C654AB"/>
    <w:rsid w:val="00C659E7"/>
    <w:rsid w:val="00C66AA2"/>
    <w:rsid w:val="00C67848"/>
    <w:rsid w:val="00C70697"/>
    <w:rsid w:val="00C708B6"/>
    <w:rsid w:val="00C70971"/>
    <w:rsid w:val="00C70B2F"/>
    <w:rsid w:val="00C712F8"/>
    <w:rsid w:val="00C71389"/>
    <w:rsid w:val="00C71606"/>
    <w:rsid w:val="00C71609"/>
    <w:rsid w:val="00C71B88"/>
    <w:rsid w:val="00C71C3C"/>
    <w:rsid w:val="00C72386"/>
    <w:rsid w:val="00C72522"/>
    <w:rsid w:val="00C72D64"/>
    <w:rsid w:val="00C730B8"/>
    <w:rsid w:val="00C73B19"/>
    <w:rsid w:val="00C73D86"/>
    <w:rsid w:val="00C73EEC"/>
    <w:rsid w:val="00C73F39"/>
    <w:rsid w:val="00C74170"/>
    <w:rsid w:val="00C74774"/>
    <w:rsid w:val="00C74868"/>
    <w:rsid w:val="00C74D58"/>
    <w:rsid w:val="00C75915"/>
    <w:rsid w:val="00C76837"/>
    <w:rsid w:val="00C77AA4"/>
    <w:rsid w:val="00C81907"/>
    <w:rsid w:val="00C81B3D"/>
    <w:rsid w:val="00C81CF4"/>
    <w:rsid w:val="00C82BC5"/>
    <w:rsid w:val="00C84161"/>
    <w:rsid w:val="00C84194"/>
    <w:rsid w:val="00C84CBE"/>
    <w:rsid w:val="00C86895"/>
    <w:rsid w:val="00C8692F"/>
    <w:rsid w:val="00C86C48"/>
    <w:rsid w:val="00C87129"/>
    <w:rsid w:val="00C87470"/>
    <w:rsid w:val="00C8753F"/>
    <w:rsid w:val="00C87D3C"/>
    <w:rsid w:val="00C9002C"/>
    <w:rsid w:val="00C90294"/>
    <w:rsid w:val="00C90C69"/>
    <w:rsid w:val="00C91415"/>
    <w:rsid w:val="00C91657"/>
    <w:rsid w:val="00C9206A"/>
    <w:rsid w:val="00C92504"/>
    <w:rsid w:val="00C9298B"/>
    <w:rsid w:val="00C92B11"/>
    <w:rsid w:val="00C92E38"/>
    <w:rsid w:val="00C9303F"/>
    <w:rsid w:val="00C93A23"/>
    <w:rsid w:val="00C9464E"/>
    <w:rsid w:val="00C94AD2"/>
    <w:rsid w:val="00C94D6B"/>
    <w:rsid w:val="00C95639"/>
    <w:rsid w:val="00C95F18"/>
    <w:rsid w:val="00C95F2B"/>
    <w:rsid w:val="00C97627"/>
    <w:rsid w:val="00C976BF"/>
    <w:rsid w:val="00C97D03"/>
    <w:rsid w:val="00CA001B"/>
    <w:rsid w:val="00CA0CAB"/>
    <w:rsid w:val="00CA0D82"/>
    <w:rsid w:val="00CA1188"/>
    <w:rsid w:val="00CA12BF"/>
    <w:rsid w:val="00CA1C56"/>
    <w:rsid w:val="00CA2232"/>
    <w:rsid w:val="00CA228A"/>
    <w:rsid w:val="00CA344A"/>
    <w:rsid w:val="00CA3520"/>
    <w:rsid w:val="00CA377E"/>
    <w:rsid w:val="00CA46B4"/>
    <w:rsid w:val="00CA4DA3"/>
    <w:rsid w:val="00CA5AF0"/>
    <w:rsid w:val="00CA6F30"/>
    <w:rsid w:val="00CA713B"/>
    <w:rsid w:val="00CA77D5"/>
    <w:rsid w:val="00CA78E3"/>
    <w:rsid w:val="00CA7C3D"/>
    <w:rsid w:val="00CB050C"/>
    <w:rsid w:val="00CB05C8"/>
    <w:rsid w:val="00CB1193"/>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4084"/>
    <w:rsid w:val="00CB41B9"/>
    <w:rsid w:val="00CB41C3"/>
    <w:rsid w:val="00CB4578"/>
    <w:rsid w:val="00CB4CE8"/>
    <w:rsid w:val="00CB59C0"/>
    <w:rsid w:val="00CB5BEB"/>
    <w:rsid w:val="00CB5CCE"/>
    <w:rsid w:val="00CB5CCF"/>
    <w:rsid w:val="00CB638E"/>
    <w:rsid w:val="00CB668C"/>
    <w:rsid w:val="00CB690D"/>
    <w:rsid w:val="00CB6998"/>
    <w:rsid w:val="00CB71C9"/>
    <w:rsid w:val="00CB7685"/>
    <w:rsid w:val="00CB7714"/>
    <w:rsid w:val="00CB7A53"/>
    <w:rsid w:val="00CC08FC"/>
    <w:rsid w:val="00CC0D94"/>
    <w:rsid w:val="00CC0DED"/>
    <w:rsid w:val="00CC1232"/>
    <w:rsid w:val="00CC13E8"/>
    <w:rsid w:val="00CC154B"/>
    <w:rsid w:val="00CC15B8"/>
    <w:rsid w:val="00CC1CEA"/>
    <w:rsid w:val="00CC213B"/>
    <w:rsid w:val="00CC277A"/>
    <w:rsid w:val="00CC289A"/>
    <w:rsid w:val="00CC3271"/>
    <w:rsid w:val="00CC35BA"/>
    <w:rsid w:val="00CC39F7"/>
    <w:rsid w:val="00CC43D4"/>
    <w:rsid w:val="00CC4590"/>
    <w:rsid w:val="00CC4810"/>
    <w:rsid w:val="00CC49C2"/>
    <w:rsid w:val="00CC50F5"/>
    <w:rsid w:val="00CC5A17"/>
    <w:rsid w:val="00CC5D38"/>
    <w:rsid w:val="00CC5F3B"/>
    <w:rsid w:val="00CC616B"/>
    <w:rsid w:val="00CC64AB"/>
    <w:rsid w:val="00CC65C4"/>
    <w:rsid w:val="00CC6C8A"/>
    <w:rsid w:val="00CC6F2C"/>
    <w:rsid w:val="00CC6FCF"/>
    <w:rsid w:val="00CC7ABE"/>
    <w:rsid w:val="00CD068D"/>
    <w:rsid w:val="00CD1135"/>
    <w:rsid w:val="00CD1230"/>
    <w:rsid w:val="00CD1FBB"/>
    <w:rsid w:val="00CD2608"/>
    <w:rsid w:val="00CD2ACB"/>
    <w:rsid w:val="00CD2CC7"/>
    <w:rsid w:val="00CD5333"/>
    <w:rsid w:val="00CD578D"/>
    <w:rsid w:val="00CD5E65"/>
    <w:rsid w:val="00CD6E24"/>
    <w:rsid w:val="00CD6E99"/>
    <w:rsid w:val="00CD7813"/>
    <w:rsid w:val="00CD7C5C"/>
    <w:rsid w:val="00CE04F4"/>
    <w:rsid w:val="00CE08CE"/>
    <w:rsid w:val="00CE0AA9"/>
    <w:rsid w:val="00CE1B63"/>
    <w:rsid w:val="00CE1F3A"/>
    <w:rsid w:val="00CE2240"/>
    <w:rsid w:val="00CE2F81"/>
    <w:rsid w:val="00CE2FED"/>
    <w:rsid w:val="00CE3014"/>
    <w:rsid w:val="00CE3AEA"/>
    <w:rsid w:val="00CE3C6F"/>
    <w:rsid w:val="00CE438D"/>
    <w:rsid w:val="00CE4A30"/>
    <w:rsid w:val="00CE5312"/>
    <w:rsid w:val="00CE666D"/>
    <w:rsid w:val="00CE6CDF"/>
    <w:rsid w:val="00CE6F64"/>
    <w:rsid w:val="00CE7027"/>
    <w:rsid w:val="00CE718A"/>
    <w:rsid w:val="00CE7195"/>
    <w:rsid w:val="00CE7367"/>
    <w:rsid w:val="00CE757C"/>
    <w:rsid w:val="00CE7BB5"/>
    <w:rsid w:val="00CF05A5"/>
    <w:rsid w:val="00CF101D"/>
    <w:rsid w:val="00CF1184"/>
    <w:rsid w:val="00CF11AC"/>
    <w:rsid w:val="00CF2541"/>
    <w:rsid w:val="00CF2CFD"/>
    <w:rsid w:val="00CF2D97"/>
    <w:rsid w:val="00CF2E27"/>
    <w:rsid w:val="00CF3217"/>
    <w:rsid w:val="00CF35FF"/>
    <w:rsid w:val="00CF3669"/>
    <w:rsid w:val="00CF522D"/>
    <w:rsid w:val="00CF5996"/>
    <w:rsid w:val="00CF65C3"/>
    <w:rsid w:val="00CF71D8"/>
    <w:rsid w:val="00CF731D"/>
    <w:rsid w:val="00D00728"/>
    <w:rsid w:val="00D00B10"/>
    <w:rsid w:val="00D00CC8"/>
    <w:rsid w:val="00D01031"/>
    <w:rsid w:val="00D01362"/>
    <w:rsid w:val="00D0141D"/>
    <w:rsid w:val="00D01D1A"/>
    <w:rsid w:val="00D026DC"/>
    <w:rsid w:val="00D02EC1"/>
    <w:rsid w:val="00D0351E"/>
    <w:rsid w:val="00D03D68"/>
    <w:rsid w:val="00D03F38"/>
    <w:rsid w:val="00D0402F"/>
    <w:rsid w:val="00D05825"/>
    <w:rsid w:val="00D06185"/>
    <w:rsid w:val="00D06667"/>
    <w:rsid w:val="00D072F4"/>
    <w:rsid w:val="00D0781D"/>
    <w:rsid w:val="00D07982"/>
    <w:rsid w:val="00D07E75"/>
    <w:rsid w:val="00D07F90"/>
    <w:rsid w:val="00D10887"/>
    <w:rsid w:val="00D10F09"/>
    <w:rsid w:val="00D12200"/>
    <w:rsid w:val="00D12D13"/>
    <w:rsid w:val="00D12DEF"/>
    <w:rsid w:val="00D12FA1"/>
    <w:rsid w:val="00D13358"/>
    <w:rsid w:val="00D133DF"/>
    <w:rsid w:val="00D14278"/>
    <w:rsid w:val="00D1491A"/>
    <w:rsid w:val="00D14FCF"/>
    <w:rsid w:val="00D14FF9"/>
    <w:rsid w:val="00D152C8"/>
    <w:rsid w:val="00D155D2"/>
    <w:rsid w:val="00D158E0"/>
    <w:rsid w:val="00D15E0E"/>
    <w:rsid w:val="00D15EC7"/>
    <w:rsid w:val="00D16350"/>
    <w:rsid w:val="00D16B2C"/>
    <w:rsid w:val="00D16E0C"/>
    <w:rsid w:val="00D179D3"/>
    <w:rsid w:val="00D17BB8"/>
    <w:rsid w:val="00D200DC"/>
    <w:rsid w:val="00D200F3"/>
    <w:rsid w:val="00D208E7"/>
    <w:rsid w:val="00D20D3B"/>
    <w:rsid w:val="00D20F77"/>
    <w:rsid w:val="00D2111D"/>
    <w:rsid w:val="00D21C3F"/>
    <w:rsid w:val="00D22184"/>
    <w:rsid w:val="00D224CC"/>
    <w:rsid w:val="00D22999"/>
    <w:rsid w:val="00D22DE7"/>
    <w:rsid w:val="00D231E1"/>
    <w:rsid w:val="00D23770"/>
    <w:rsid w:val="00D24829"/>
    <w:rsid w:val="00D24D4A"/>
    <w:rsid w:val="00D24DA1"/>
    <w:rsid w:val="00D257E2"/>
    <w:rsid w:val="00D267B7"/>
    <w:rsid w:val="00D26EC1"/>
    <w:rsid w:val="00D27D79"/>
    <w:rsid w:val="00D3050E"/>
    <w:rsid w:val="00D30672"/>
    <w:rsid w:val="00D30B74"/>
    <w:rsid w:val="00D311E7"/>
    <w:rsid w:val="00D3131F"/>
    <w:rsid w:val="00D31350"/>
    <w:rsid w:val="00D319BF"/>
    <w:rsid w:val="00D31A68"/>
    <w:rsid w:val="00D32C97"/>
    <w:rsid w:val="00D330C0"/>
    <w:rsid w:val="00D33E43"/>
    <w:rsid w:val="00D3405A"/>
    <w:rsid w:val="00D34F9F"/>
    <w:rsid w:val="00D35F7F"/>
    <w:rsid w:val="00D361D5"/>
    <w:rsid w:val="00D36292"/>
    <w:rsid w:val="00D363F0"/>
    <w:rsid w:val="00D36CDE"/>
    <w:rsid w:val="00D36D13"/>
    <w:rsid w:val="00D36EE5"/>
    <w:rsid w:val="00D37890"/>
    <w:rsid w:val="00D40608"/>
    <w:rsid w:val="00D40AE4"/>
    <w:rsid w:val="00D40F8F"/>
    <w:rsid w:val="00D4167F"/>
    <w:rsid w:val="00D41839"/>
    <w:rsid w:val="00D41993"/>
    <w:rsid w:val="00D41B19"/>
    <w:rsid w:val="00D41D23"/>
    <w:rsid w:val="00D41E9B"/>
    <w:rsid w:val="00D4250B"/>
    <w:rsid w:val="00D42840"/>
    <w:rsid w:val="00D428F0"/>
    <w:rsid w:val="00D429F5"/>
    <w:rsid w:val="00D43788"/>
    <w:rsid w:val="00D4417F"/>
    <w:rsid w:val="00D44396"/>
    <w:rsid w:val="00D44987"/>
    <w:rsid w:val="00D44B7A"/>
    <w:rsid w:val="00D450FB"/>
    <w:rsid w:val="00D45FF8"/>
    <w:rsid w:val="00D46E38"/>
    <w:rsid w:val="00D472BF"/>
    <w:rsid w:val="00D4763E"/>
    <w:rsid w:val="00D52072"/>
    <w:rsid w:val="00D52347"/>
    <w:rsid w:val="00D52A14"/>
    <w:rsid w:val="00D53167"/>
    <w:rsid w:val="00D539BE"/>
    <w:rsid w:val="00D53FD1"/>
    <w:rsid w:val="00D543F6"/>
    <w:rsid w:val="00D548B2"/>
    <w:rsid w:val="00D54CA5"/>
    <w:rsid w:val="00D55152"/>
    <w:rsid w:val="00D554AA"/>
    <w:rsid w:val="00D55605"/>
    <w:rsid w:val="00D574F1"/>
    <w:rsid w:val="00D57770"/>
    <w:rsid w:val="00D60382"/>
    <w:rsid w:val="00D6042E"/>
    <w:rsid w:val="00D6059C"/>
    <w:rsid w:val="00D60DE3"/>
    <w:rsid w:val="00D60E63"/>
    <w:rsid w:val="00D61448"/>
    <w:rsid w:val="00D6155A"/>
    <w:rsid w:val="00D6162F"/>
    <w:rsid w:val="00D6187F"/>
    <w:rsid w:val="00D619C3"/>
    <w:rsid w:val="00D621DA"/>
    <w:rsid w:val="00D62B98"/>
    <w:rsid w:val="00D62DBB"/>
    <w:rsid w:val="00D631A8"/>
    <w:rsid w:val="00D650CC"/>
    <w:rsid w:val="00D668FD"/>
    <w:rsid w:val="00D66ACA"/>
    <w:rsid w:val="00D66B66"/>
    <w:rsid w:val="00D67EA0"/>
    <w:rsid w:val="00D67EA6"/>
    <w:rsid w:val="00D70697"/>
    <w:rsid w:val="00D706CB"/>
    <w:rsid w:val="00D70E59"/>
    <w:rsid w:val="00D712A2"/>
    <w:rsid w:val="00D71FF6"/>
    <w:rsid w:val="00D72040"/>
    <w:rsid w:val="00D72B41"/>
    <w:rsid w:val="00D72BA3"/>
    <w:rsid w:val="00D72CBA"/>
    <w:rsid w:val="00D72D7E"/>
    <w:rsid w:val="00D7367E"/>
    <w:rsid w:val="00D73E40"/>
    <w:rsid w:val="00D73F3A"/>
    <w:rsid w:val="00D73F3E"/>
    <w:rsid w:val="00D73F68"/>
    <w:rsid w:val="00D7458F"/>
    <w:rsid w:val="00D755C5"/>
    <w:rsid w:val="00D756E3"/>
    <w:rsid w:val="00D75918"/>
    <w:rsid w:val="00D763D0"/>
    <w:rsid w:val="00D764F6"/>
    <w:rsid w:val="00D76908"/>
    <w:rsid w:val="00D76E1F"/>
    <w:rsid w:val="00D80889"/>
    <w:rsid w:val="00D80D05"/>
    <w:rsid w:val="00D80E1F"/>
    <w:rsid w:val="00D80E37"/>
    <w:rsid w:val="00D80F6F"/>
    <w:rsid w:val="00D81354"/>
    <w:rsid w:val="00D81490"/>
    <w:rsid w:val="00D820EB"/>
    <w:rsid w:val="00D82174"/>
    <w:rsid w:val="00D82990"/>
    <w:rsid w:val="00D8303A"/>
    <w:rsid w:val="00D83C6D"/>
    <w:rsid w:val="00D8417D"/>
    <w:rsid w:val="00D845B9"/>
    <w:rsid w:val="00D8465F"/>
    <w:rsid w:val="00D84838"/>
    <w:rsid w:val="00D8484A"/>
    <w:rsid w:val="00D852CF"/>
    <w:rsid w:val="00D85606"/>
    <w:rsid w:val="00D8636F"/>
    <w:rsid w:val="00D86806"/>
    <w:rsid w:val="00D869D2"/>
    <w:rsid w:val="00D86BC9"/>
    <w:rsid w:val="00D86DB1"/>
    <w:rsid w:val="00D87989"/>
    <w:rsid w:val="00D87AB3"/>
    <w:rsid w:val="00D90093"/>
    <w:rsid w:val="00D9025B"/>
    <w:rsid w:val="00D905C5"/>
    <w:rsid w:val="00D90683"/>
    <w:rsid w:val="00D9093D"/>
    <w:rsid w:val="00D91539"/>
    <w:rsid w:val="00D9159F"/>
    <w:rsid w:val="00D91A9E"/>
    <w:rsid w:val="00D91ED1"/>
    <w:rsid w:val="00D92905"/>
    <w:rsid w:val="00D92CD8"/>
    <w:rsid w:val="00D931F2"/>
    <w:rsid w:val="00D940AF"/>
    <w:rsid w:val="00D94459"/>
    <w:rsid w:val="00D95505"/>
    <w:rsid w:val="00D95558"/>
    <w:rsid w:val="00D96070"/>
    <w:rsid w:val="00D966C1"/>
    <w:rsid w:val="00D96B6F"/>
    <w:rsid w:val="00D972C7"/>
    <w:rsid w:val="00D97859"/>
    <w:rsid w:val="00DA0034"/>
    <w:rsid w:val="00DA0FA4"/>
    <w:rsid w:val="00DA10DF"/>
    <w:rsid w:val="00DA163F"/>
    <w:rsid w:val="00DA1BA9"/>
    <w:rsid w:val="00DA20B7"/>
    <w:rsid w:val="00DA2776"/>
    <w:rsid w:val="00DA288D"/>
    <w:rsid w:val="00DA2DBF"/>
    <w:rsid w:val="00DA49D4"/>
    <w:rsid w:val="00DA5047"/>
    <w:rsid w:val="00DA5503"/>
    <w:rsid w:val="00DA5B25"/>
    <w:rsid w:val="00DA5F97"/>
    <w:rsid w:val="00DA610C"/>
    <w:rsid w:val="00DA636F"/>
    <w:rsid w:val="00DA6413"/>
    <w:rsid w:val="00DA6948"/>
    <w:rsid w:val="00DA7ECB"/>
    <w:rsid w:val="00DB0147"/>
    <w:rsid w:val="00DB0633"/>
    <w:rsid w:val="00DB119E"/>
    <w:rsid w:val="00DB1B18"/>
    <w:rsid w:val="00DB1F6E"/>
    <w:rsid w:val="00DB25EB"/>
    <w:rsid w:val="00DB26B0"/>
    <w:rsid w:val="00DB27A9"/>
    <w:rsid w:val="00DB293A"/>
    <w:rsid w:val="00DB29B1"/>
    <w:rsid w:val="00DB2F51"/>
    <w:rsid w:val="00DB36F6"/>
    <w:rsid w:val="00DB3D03"/>
    <w:rsid w:val="00DB41D2"/>
    <w:rsid w:val="00DB434E"/>
    <w:rsid w:val="00DB511F"/>
    <w:rsid w:val="00DB54A7"/>
    <w:rsid w:val="00DB5DD0"/>
    <w:rsid w:val="00DB7C3F"/>
    <w:rsid w:val="00DC0C38"/>
    <w:rsid w:val="00DC140E"/>
    <w:rsid w:val="00DC1879"/>
    <w:rsid w:val="00DC2772"/>
    <w:rsid w:val="00DC2AAB"/>
    <w:rsid w:val="00DC3B45"/>
    <w:rsid w:val="00DC3C51"/>
    <w:rsid w:val="00DC3EFD"/>
    <w:rsid w:val="00DC42DF"/>
    <w:rsid w:val="00DC454E"/>
    <w:rsid w:val="00DC509A"/>
    <w:rsid w:val="00DC5330"/>
    <w:rsid w:val="00DC540D"/>
    <w:rsid w:val="00DC5C93"/>
    <w:rsid w:val="00DC63C6"/>
    <w:rsid w:val="00DC687D"/>
    <w:rsid w:val="00DC6CCC"/>
    <w:rsid w:val="00DC75E2"/>
    <w:rsid w:val="00DC7DB3"/>
    <w:rsid w:val="00DC7DE8"/>
    <w:rsid w:val="00DD044E"/>
    <w:rsid w:val="00DD0D9C"/>
    <w:rsid w:val="00DD0E8A"/>
    <w:rsid w:val="00DD1685"/>
    <w:rsid w:val="00DD324B"/>
    <w:rsid w:val="00DD3360"/>
    <w:rsid w:val="00DD340D"/>
    <w:rsid w:val="00DD3967"/>
    <w:rsid w:val="00DD3D8E"/>
    <w:rsid w:val="00DD3F39"/>
    <w:rsid w:val="00DD4344"/>
    <w:rsid w:val="00DD4371"/>
    <w:rsid w:val="00DD4484"/>
    <w:rsid w:val="00DD5082"/>
    <w:rsid w:val="00DD57ED"/>
    <w:rsid w:val="00DD57FF"/>
    <w:rsid w:val="00DD584A"/>
    <w:rsid w:val="00DD5A2F"/>
    <w:rsid w:val="00DD5D24"/>
    <w:rsid w:val="00DD5EBE"/>
    <w:rsid w:val="00DD79B6"/>
    <w:rsid w:val="00DD7B66"/>
    <w:rsid w:val="00DD7C43"/>
    <w:rsid w:val="00DE07AC"/>
    <w:rsid w:val="00DE0E1E"/>
    <w:rsid w:val="00DE12A1"/>
    <w:rsid w:val="00DE1986"/>
    <w:rsid w:val="00DE1ED9"/>
    <w:rsid w:val="00DE1EE4"/>
    <w:rsid w:val="00DE26BD"/>
    <w:rsid w:val="00DE2796"/>
    <w:rsid w:val="00DE2F5C"/>
    <w:rsid w:val="00DE334C"/>
    <w:rsid w:val="00DE3DAE"/>
    <w:rsid w:val="00DE4393"/>
    <w:rsid w:val="00DE4C01"/>
    <w:rsid w:val="00DE55E7"/>
    <w:rsid w:val="00DE61C3"/>
    <w:rsid w:val="00DE635A"/>
    <w:rsid w:val="00DE657E"/>
    <w:rsid w:val="00DE7286"/>
    <w:rsid w:val="00DE7437"/>
    <w:rsid w:val="00DE76B0"/>
    <w:rsid w:val="00DE7A69"/>
    <w:rsid w:val="00DE7B93"/>
    <w:rsid w:val="00DF08B0"/>
    <w:rsid w:val="00DF1AC4"/>
    <w:rsid w:val="00DF1E3C"/>
    <w:rsid w:val="00DF218B"/>
    <w:rsid w:val="00DF29B4"/>
    <w:rsid w:val="00DF2A12"/>
    <w:rsid w:val="00DF2AC5"/>
    <w:rsid w:val="00DF38C9"/>
    <w:rsid w:val="00DF3ED8"/>
    <w:rsid w:val="00DF4653"/>
    <w:rsid w:val="00DF4F4E"/>
    <w:rsid w:val="00DF64CF"/>
    <w:rsid w:val="00DF6BD0"/>
    <w:rsid w:val="00DF7473"/>
    <w:rsid w:val="00DF780D"/>
    <w:rsid w:val="00DF7A21"/>
    <w:rsid w:val="00DF7A73"/>
    <w:rsid w:val="00DF7D17"/>
    <w:rsid w:val="00E00113"/>
    <w:rsid w:val="00E005BE"/>
    <w:rsid w:val="00E005FF"/>
    <w:rsid w:val="00E006DF"/>
    <w:rsid w:val="00E00DDC"/>
    <w:rsid w:val="00E0129D"/>
    <w:rsid w:val="00E0153B"/>
    <w:rsid w:val="00E02240"/>
    <w:rsid w:val="00E022E3"/>
    <w:rsid w:val="00E023BD"/>
    <w:rsid w:val="00E02417"/>
    <w:rsid w:val="00E0283C"/>
    <w:rsid w:val="00E02F29"/>
    <w:rsid w:val="00E03590"/>
    <w:rsid w:val="00E03842"/>
    <w:rsid w:val="00E03AAB"/>
    <w:rsid w:val="00E03B7C"/>
    <w:rsid w:val="00E03C06"/>
    <w:rsid w:val="00E03C08"/>
    <w:rsid w:val="00E052C6"/>
    <w:rsid w:val="00E0535D"/>
    <w:rsid w:val="00E06256"/>
    <w:rsid w:val="00E0656D"/>
    <w:rsid w:val="00E06B73"/>
    <w:rsid w:val="00E07497"/>
    <w:rsid w:val="00E1014B"/>
    <w:rsid w:val="00E10773"/>
    <w:rsid w:val="00E1164B"/>
    <w:rsid w:val="00E1280C"/>
    <w:rsid w:val="00E1478F"/>
    <w:rsid w:val="00E158CF"/>
    <w:rsid w:val="00E1692E"/>
    <w:rsid w:val="00E1711E"/>
    <w:rsid w:val="00E17499"/>
    <w:rsid w:val="00E21660"/>
    <w:rsid w:val="00E21F3B"/>
    <w:rsid w:val="00E22397"/>
    <w:rsid w:val="00E22463"/>
    <w:rsid w:val="00E2252B"/>
    <w:rsid w:val="00E225AC"/>
    <w:rsid w:val="00E228B1"/>
    <w:rsid w:val="00E22ED4"/>
    <w:rsid w:val="00E23194"/>
    <w:rsid w:val="00E240A1"/>
    <w:rsid w:val="00E24BC6"/>
    <w:rsid w:val="00E24DC2"/>
    <w:rsid w:val="00E25D2A"/>
    <w:rsid w:val="00E26006"/>
    <w:rsid w:val="00E2612E"/>
    <w:rsid w:val="00E2668F"/>
    <w:rsid w:val="00E26FB1"/>
    <w:rsid w:val="00E2726B"/>
    <w:rsid w:val="00E273CC"/>
    <w:rsid w:val="00E27587"/>
    <w:rsid w:val="00E27F4D"/>
    <w:rsid w:val="00E30992"/>
    <w:rsid w:val="00E30FA5"/>
    <w:rsid w:val="00E32B34"/>
    <w:rsid w:val="00E32D1F"/>
    <w:rsid w:val="00E32F6A"/>
    <w:rsid w:val="00E33393"/>
    <w:rsid w:val="00E33477"/>
    <w:rsid w:val="00E3371A"/>
    <w:rsid w:val="00E339EB"/>
    <w:rsid w:val="00E33D5D"/>
    <w:rsid w:val="00E33E12"/>
    <w:rsid w:val="00E34243"/>
    <w:rsid w:val="00E343C3"/>
    <w:rsid w:val="00E344F1"/>
    <w:rsid w:val="00E348F5"/>
    <w:rsid w:val="00E35E6F"/>
    <w:rsid w:val="00E36374"/>
    <w:rsid w:val="00E364C6"/>
    <w:rsid w:val="00E365BC"/>
    <w:rsid w:val="00E36EF4"/>
    <w:rsid w:val="00E37047"/>
    <w:rsid w:val="00E375CD"/>
    <w:rsid w:val="00E40104"/>
    <w:rsid w:val="00E403B6"/>
    <w:rsid w:val="00E40EFF"/>
    <w:rsid w:val="00E4118F"/>
    <w:rsid w:val="00E41A5C"/>
    <w:rsid w:val="00E41A7B"/>
    <w:rsid w:val="00E41D4C"/>
    <w:rsid w:val="00E42427"/>
    <w:rsid w:val="00E424BD"/>
    <w:rsid w:val="00E42C26"/>
    <w:rsid w:val="00E42F58"/>
    <w:rsid w:val="00E4370A"/>
    <w:rsid w:val="00E4374C"/>
    <w:rsid w:val="00E43973"/>
    <w:rsid w:val="00E43EE2"/>
    <w:rsid w:val="00E44122"/>
    <w:rsid w:val="00E443E4"/>
    <w:rsid w:val="00E457E3"/>
    <w:rsid w:val="00E45D31"/>
    <w:rsid w:val="00E4691D"/>
    <w:rsid w:val="00E46DA5"/>
    <w:rsid w:val="00E50A0F"/>
    <w:rsid w:val="00E50C58"/>
    <w:rsid w:val="00E511CD"/>
    <w:rsid w:val="00E51374"/>
    <w:rsid w:val="00E517C4"/>
    <w:rsid w:val="00E51FDF"/>
    <w:rsid w:val="00E52033"/>
    <w:rsid w:val="00E526B1"/>
    <w:rsid w:val="00E526E9"/>
    <w:rsid w:val="00E52A17"/>
    <w:rsid w:val="00E54BF6"/>
    <w:rsid w:val="00E54E88"/>
    <w:rsid w:val="00E558E1"/>
    <w:rsid w:val="00E55994"/>
    <w:rsid w:val="00E56954"/>
    <w:rsid w:val="00E57308"/>
    <w:rsid w:val="00E5737F"/>
    <w:rsid w:val="00E6029E"/>
    <w:rsid w:val="00E612DB"/>
    <w:rsid w:val="00E61F5C"/>
    <w:rsid w:val="00E622A2"/>
    <w:rsid w:val="00E62E93"/>
    <w:rsid w:val="00E62EFA"/>
    <w:rsid w:val="00E63126"/>
    <w:rsid w:val="00E63165"/>
    <w:rsid w:val="00E63AD0"/>
    <w:rsid w:val="00E63CDA"/>
    <w:rsid w:val="00E64291"/>
    <w:rsid w:val="00E6440E"/>
    <w:rsid w:val="00E648EC"/>
    <w:rsid w:val="00E65523"/>
    <w:rsid w:val="00E6596F"/>
    <w:rsid w:val="00E65BB8"/>
    <w:rsid w:val="00E65D35"/>
    <w:rsid w:val="00E66DD0"/>
    <w:rsid w:val="00E67561"/>
    <w:rsid w:val="00E67721"/>
    <w:rsid w:val="00E703B9"/>
    <w:rsid w:val="00E7049B"/>
    <w:rsid w:val="00E716FD"/>
    <w:rsid w:val="00E719D0"/>
    <w:rsid w:val="00E7217C"/>
    <w:rsid w:val="00E723B3"/>
    <w:rsid w:val="00E72B74"/>
    <w:rsid w:val="00E73B61"/>
    <w:rsid w:val="00E73C2D"/>
    <w:rsid w:val="00E74131"/>
    <w:rsid w:val="00E7464E"/>
    <w:rsid w:val="00E74CC3"/>
    <w:rsid w:val="00E74EBC"/>
    <w:rsid w:val="00E74F22"/>
    <w:rsid w:val="00E7501A"/>
    <w:rsid w:val="00E771B1"/>
    <w:rsid w:val="00E773FF"/>
    <w:rsid w:val="00E774F8"/>
    <w:rsid w:val="00E77915"/>
    <w:rsid w:val="00E80201"/>
    <w:rsid w:val="00E808D5"/>
    <w:rsid w:val="00E80F18"/>
    <w:rsid w:val="00E80FC9"/>
    <w:rsid w:val="00E81203"/>
    <w:rsid w:val="00E812A7"/>
    <w:rsid w:val="00E81537"/>
    <w:rsid w:val="00E81852"/>
    <w:rsid w:val="00E8197C"/>
    <w:rsid w:val="00E8226D"/>
    <w:rsid w:val="00E8229F"/>
    <w:rsid w:val="00E82517"/>
    <w:rsid w:val="00E82E2E"/>
    <w:rsid w:val="00E82F06"/>
    <w:rsid w:val="00E8324A"/>
    <w:rsid w:val="00E83685"/>
    <w:rsid w:val="00E83993"/>
    <w:rsid w:val="00E83A07"/>
    <w:rsid w:val="00E83C41"/>
    <w:rsid w:val="00E84D02"/>
    <w:rsid w:val="00E85B18"/>
    <w:rsid w:val="00E86900"/>
    <w:rsid w:val="00E8691F"/>
    <w:rsid w:val="00E86FBE"/>
    <w:rsid w:val="00E907F0"/>
    <w:rsid w:val="00E90C05"/>
    <w:rsid w:val="00E91572"/>
    <w:rsid w:val="00E91A7E"/>
    <w:rsid w:val="00E91B22"/>
    <w:rsid w:val="00E923EE"/>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171D"/>
    <w:rsid w:val="00EA1762"/>
    <w:rsid w:val="00EA2086"/>
    <w:rsid w:val="00EA2265"/>
    <w:rsid w:val="00EA2D3A"/>
    <w:rsid w:val="00EA2EB4"/>
    <w:rsid w:val="00EA42D4"/>
    <w:rsid w:val="00EA45C1"/>
    <w:rsid w:val="00EA4998"/>
    <w:rsid w:val="00EA49B7"/>
    <w:rsid w:val="00EA5644"/>
    <w:rsid w:val="00EA5715"/>
    <w:rsid w:val="00EA6559"/>
    <w:rsid w:val="00EA65D6"/>
    <w:rsid w:val="00EA67EA"/>
    <w:rsid w:val="00EA7690"/>
    <w:rsid w:val="00EB04E7"/>
    <w:rsid w:val="00EB2151"/>
    <w:rsid w:val="00EB25C9"/>
    <w:rsid w:val="00EB29CF"/>
    <w:rsid w:val="00EB3ADA"/>
    <w:rsid w:val="00EB497B"/>
    <w:rsid w:val="00EB4C21"/>
    <w:rsid w:val="00EB537F"/>
    <w:rsid w:val="00EB58BF"/>
    <w:rsid w:val="00EB5A8A"/>
    <w:rsid w:val="00EB5AC5"/>
    <w:rsid w:val="00EB6201"/>
    <w:rsid w:val="00EB6F83"/>
    <w:rsid w:val="00EB7741"/>
    <w:rsid w:val="00EB7E3B"/>
    <w:rsid w:val="00EC0842"/>
    <w:rsid w:val="00EC0B62"/>
    <w:rsid w:val="00EC0E04"/>
    <w:rsid w:val="00EC1453"/>
    <w:rsid w:val="00EC17CD"/>
    <w:rsid w:val="00EC1913"/>
    <w:rsid w:val="00EC1EA3"/>
    <w:rsid w:val="00EC2792"/>
    <w:rsid w:val="00EC2A2E"/>
    <w:rsid w:val="00EC2B44"/>
    <w:rsid w:val="00EC3068"/>
    <w:rsid w:val="00EC30DE"/>
    <w:rsid w:val="00EC3344"/>
    <w:rsid w:val="00EC3571"/>
    <w:rsid w:val="00EC35D1"/>
    <w:rsid w:val="00EC3814"/>
    <w:rsid w:val="00EC3EFB"/>
    <w:rsid w:val="00EC41AE"/>
    <w:rsid w:val="00EC4351"/>
    <w:rsid w:val="00EC4B41"/>
    <w:rsid w:val="00EC5185"/>
    <w:rsid w:val="00EC52BC"/>
    <w:rsid w:val="00EC5DC5"/>
    <w:rsid w:val="00EC602E"/>
    <w:rsid w:val="00EC650B"/>
    <w:rsid w:val="00EC67AD"/>
    <w:rsid w:val="00EC6871"/>
    <w:rsid w:val="00EC751C"/>
    <w:rsid w:val="00ED0C1F"/>
    <w:rsid w:val="00ED112B"/>
    <w:rsid w:val="00ED19F6"/>
    <w:rsid w:val="00ED3546"/>
    <w:rsid w:val="00ED35AA"/>
    <w:rsid w:val="00ED36BC"/>
    <w:rsid w:val="00ED38FF"/>
    <w:rsid w:val="00ED4848"/>
    <w:rsid w:val="00ED67C4"/>
    <w:rsid w:val="00ED6E73"/>
    <w:rsid w:val="00ED78A2"/>
    <w:rsid w:val="00EE0006"/>
    <w:rsid w:val="00EE0046"/>
    <w:rsid w:val="00EE04B3"/>
    <w:rsid w:val="00EE09E6"/>
    <w:rsid w:val="00EE0E2F"/>
    <w:rsid w:val="00EE1AAE"/>
    <w:rsid w:val="00EE21B7"/>
    <w:rsid w:val="00EE227C"/>
    <w:rsid w:val="00EE3065"/>
    <w:rsid w:val="00EE3148"/>
    <w:rsid w:val="00EE31EE"/>
    <w:rsid w:val="00EE349A"/>
    <w:rsid w:val="00EE3761"/>
    <w:rsid w:val="00EE4A2A"/>
    <w:rsid w:val="00EE4B8F"/>
    <w:rsid w:val="00EE549F"/>
    <w:rsid w:val="00EE566E"/>
    <w:rsid w:val="00EE5D39"/>
    <w:rsid w:val="00EE5F84"/>
    <w:rsid w:val="00EE5F8A"/>
    <w:rsid w:val="00EE5FEC"/>
    <w:rsid w:val="00EE6605"/>
    <w:rsid w:val="00EE7269"/>
    <w:rsid w:val="00EE76DE"/>
    <w:rsid w:val="00EE7718"/>
    <w:rsid w:val="00EE7A36"/>
    <w:rsid w:val="00EF0C12"/>
    <w:rsid w:val="00EF0E63"/>
    <w:rsid w:val="00EF110D"/>
    <w:rsid w:val="00EF13CA"/>
    <w:rsid w:val="00EF1589"/>
    <w:rsid w:val="00EF1728"/>
    <w:rsid w:val="00EF2623"/>
    <w:rsid w:val="00EF2C08"/>
    <w:rsid w:val="00EF2E98"/>
    <w:rsid w:val="00EF3165"/>
    <w:rsid w:val="00EF31AE"/>
    <w:rsid w:val="00EF39A2"/>
    <w:rsid w:val="00EF3C5D"/>
    <w:rsid w:val="00EF43F9"/>
    <w:rsid w:val="00EF4526"/>
    <w:rsid w:val="00EF4B9F"/>
    <w:rsid w:val="00EF6244"/>
    <w:rsid w:val="00EF6EAC"/>
    <w:rsid w:val="00EF6F59"/>
    <w:rsid w:val="00EF79AB"/>
    <w:rsid w:val="00F00777"/>
    <w:rsid w:val="00F0090D"/>
    <w:rsid w:val="00F016E3"/>
    <w:rsid w:val="00F01A2E"/>
    <w:rsid w:val="00F023EF"/>
    <w:rsid w:val="00F0272D"/>
    <w:rsid w:val="00F02732"/>
    <w:rsid w:val="00F02823"/>
    <w:rsid w:val="00F02AE6"/>
    <w:rsid w:val="00F02DF3"/>
    <w:rsid w:val="00F0345D"/>
    <w:rsid w:val="00F034D5"/>
    <w:rsid w:val="00F03AD9"/>
    <w:rsid w:val="00F040CE"/>
    <w:rsid w:val="00F04275"/>
    <w:rsid w:val="00F058A4"/>
    <w:rsid w:val="00F05F8F"/>
    <w:rsid w:val="00F0655A"/>
    <w:rsid w:val="00F0657A"/>
    <w:rsid w:val="00F0673B"/>
    <w:rsid w:val="00F06A09"/>
    <w:rsid w:val="00F06F50"/>
    <w:rsid w:val="00F0707A"/>
    <w:rsid w:val="00F077D1"/>
    <w:rsid w:val="00F1016F"/>
    <w:rsid w:val="00F10263"/>
    <w:rsid w:val="00F10579"/>
    <w:rsid w:val="00F10D19"/>
    <w:rsid w:val="00F11331"/>
    <w:rsid w:val="00F11837"/>
    <w:rsid w:val="00F11855"/>
    <w:rsid w:val="00F11FB7"/>
    <w:rsid w:val="00F127BD"/>
    <w:rsid w:val="00F13493"/>
    <w:rsid w:val="00F146C7"/>
    <w:rsid w:val="00F14C82"/>
    <w:rsid w:val="00F14CCE"/>
    <w:rsid w:val="00F14DD0"/>
    <w:rsid w:val="00F15464"/>
    <w:rsid w:val="00F15891"/>
    <w:rsid w:val="00F15E3F"/>
    <w:rsid w:val="00F16832"/>
    <w:rsid w:val="00F178F3"/>
    <w:rsid w:val="00F20117"/>
    <w:rsid w:val="00F20653"/>
    <w:rsid w:val="00F209A5"/>
    <w:rsid w:val="00F21106"/>
    <w:rsid w:val="00F21326"/>
    <w:rsid w:val="00F2162D"/>
    <w:rsid w:val="00F21678"/>
    <w:rsid w:val="00F216DB"/>
    <w:rsid w:val="00F21BE3"/>
    <w:rsid w:val="00F23657"/>
    <w:rsid w:val="00F23D0E"/>
    <w:rsid w:val="00F23D50"/>
    <w:rsid w:val="00F243A6"/>
    <w:rsid w:val="00F24784"/>
    <w:rsid w:val="00F24C8F"/>
    <w:rsid w:val="00F24D48"/>
    <w:rsid w:val="00F24D7A"/>
    <w:rsid w:val="00F24F77"/>
    <w:rsid w:val="00F25094"/>
    <w:rsid w:val="00F25239"/>
    <w:rsid w:val="00F2569D"/>
    <w:rsid w:val="00F262EE"/>
    <w:rsid w:val="00F26495"/>
    <w:rsid w:val="00F2651A"/>
    <w:rsid w:val="00F2657B"/>
    <w:rsid w:val="00F2662E"/>
    <w:rsid w:val="00F26CBB"/>
    <w:rsid w:val="00F27878"/>
    <w:rsid w:val="00F27C47"/>
    <w:rsid w:val="00F27E70"/>
    <w:rsid w:val="00F30054"/>
    <w:rsid w:val="00F30486"/>
    <w:rsid w:val="00F30658"/>
    <w:rsid w:val="00F30675"/>
    <w:rsid w:val="00F309E7"/>
    <w:rsid w:val="00F3102B"/>
    <w:rsid w:val="00F3108D"/>
    <w:rsid w:val="00F31832"/>
    <w:rsid w:val="00F31974"/>
    <w:rsid w:val="00F31C2A"/>
    <w:rsid w:val="00F31E86"/>
    <w:rsid w:val="00F32423"/>
    <w:rsid w:val="00F34214"/>
    <w:rsid w:val="00F344DB"/>
    <w:rsid w:val="00F344E5"/>
    <w:rsid w:val="00F34BBC"/>
    <w:rsid w:val="00F34E2E"/>
    <w:rsid w:val="00F3509B"/>
    <w:rsid w:val="00F355A0"/>
    <w:rsid w:val="00F359A8"/>
    <w:rsid w:val="00F35B0B"/>
    <w:rsid w:val="00F35C32"/>
    <w:rsid w:val="00F35F40"/>
    <w:rsid w:val="00F36004"/>
    <w:rsid w:val="00F3606C"/>
    <w:rsid w:val="00F36D09"/>
    <w:rsid w:val="00F37DA7"/>
    <w:rsid w:val="00F40690"/>
    <w:rsid w:val="00F40F4B"/>
    <w:rsid w:val="00F4158C"/>
    <w:rsid w:val="00F41AB2"/>
    <w:rsid w:val="00F428CD"/>
    <w:rsid w:val="00F437A3"/>
    <w:rsid w:val="00F43966"/>
    <w:rsid w:val="00F4496D"/>
    <w:rsid w:val="00F44CBA"/>
    <w:rsid w:val="00F44E13"/>
    <w:rsid w:val="00F45627"/>
    <w:rsid w:val="00F46D78"/>
    <w:rsid w:val="00F4704E"/>
    <w:rsid w:val="00F4730F"/>
    <w:rsid w:val="00F47658"/>
    <w:rsid w:val="00F47A55"/>
    <w:rsid w:val="00F47EC6"/>
    <w:rsid w:val="00F50142"/>
    <w:rsid w:val="00F50473"/>
    <w:rsid w:val="00F50F10"/>
    <w:rsid w:val="00F51740"/>
    <w:rsid w:val="00F52760"/>
    <w:rsid w:val="00F52F2E"/>
    <w:rsid w:val="00F53009"/>
    <w:rsid w:val="00F5304E"/>
    <w:rsid w:val="00F534A6"/>
    <w:rsid w:val="00F53D6B"/>
    <w:rsid w:val="00F549CF"/>
    <w:rsid w:val="00F553B8"/>
    <w:rsid w:val="00F55D13"/>
    <w:rsid w:val="00F55DA1"/>
    <w:rsid w:val="00F566E9"/>
    <w:rsid w:val="00F57091"/>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592"/>
    <w:rsid w:val="00F648C5"/>
    <w:rsid w:val="00F64B79"/>
    <w:rsid w:val="00F6505A"/>
    <w:rsid w:val="00F650C9"/>
    <w:rsid w:val="00F66232"/>
    <w:rsid w:val="00F6714E"/>
    <w:rsid w:val="00F67445"/>
    <w:rsid w:val="00F701E5"/>
    <w:rsid w:val="00F7058C"/>
    <w:rsid w:val="00F71379"/>
    <w:rsid w:val="00F71486"/>
    <w:rsid w:val="00F71795"/>
    <w:rsid w:val="00F72024"/>
    <w:rsid w:val="00F72425"/>
    <w:rsid w:val="00F72EC6"/>
    <w:rsid w:val="00F7355C"/>
    <w:rsid w:val="00F73ABB"/>
    <w:rsid w:val="00F749C2"/>
    <w:rsid w:val="00F74D56"/>
    <w:rsid w:val="00F74FFB"/>
    <w:rsid w:val="00F750F4"/>
    <w:rsid w:val="00F75190"/>
    <w:rsid w:val="00F7533D"/>
    <w:rsid w:val="00F753E2"/>
    <w:rsid w:val="00F75409"/>
    <w:rsid w:val="00F75425"/>
    <w:rsid w:val="00F757A0"/>
    <w:rsid w:val="00F7593D"/>
    <w:rsid w:val="00F759E5"/>
    <w:rsid w:val="00F76269"/>
    <w:rsid w:val="00F76735"/>
    <w:rsid w:val="00F76E10"/>
    <w:rsid w:val="00F76F39"/>
    <w:rsid w:val="00F771FC"/>
    <w:rsid w:val="00F7755C"/>
    <w:rsid w:val="00F77AD4"/>
    <w:rsid w:val="00F80B83"/>
    <w:rsid w:val="00F81CC1"/>
    <w:rsid w:val="00F826BC"/>
    <w:rsid w:val="00F82D37"/>
    <w:rsid w:val="00F82F26"/>
    <w:rsid w:val="00F83A4A"/>
    <w:rsid w:val="00F841D2"/>
    <w:rsid w:val="00F84648"/>
    <w:rsid w:val="00F846BA"/>
    <w:rsid w:val="00F853F7"/>
    <w:rsid w:val="00F85BCC"/>
    <w:rsid w:val="00F86045"/>
    <w:rsid w:val="00F86149"/>
    <w:rsid w:val="00F864B2"/>
    <w:rsid w:val="00F87624"/>
    <w:rsid w:val="00F878EA"/>
    <w:rsid w:val="00F87F23"/>
    <w:rsid w:val="00F900B7"/>
    <w:rsid w:val="00F909B1"/>
    <w:rsid w:val="00F90C11"/>
    <w:rsid w:val="00F90EB4"/>
    <w:rsid w:val="00F92725"/>
    <w:rsid w:val="00F9292E"/>
    <w:rsid w:val="00F92A08"/>
    <w:rsid w:val="00F92F4A"/>
    <w:rsid w:val="00F937F9"/>
    <w:rsid w:val="00F94487"/>
    <w:rsid w:val="00F9461E"/>
    <w:rsid w:val="00F94B38"/>
    <w:rsid w:val="00F94BFA"/>
    <w:rsid w:val="00F94D21"/>
    <w:rsid w:val="00F94D48"/>
    <w:rsid w:val="00F9536D"/>
    <w:rsid w:val="00F9570A"/>
    <w:rsid w:val="00F95A8B"/>
    <w:rsid w:val="00F95D57"/>
    <w:rsid w:val="00F95EE7"/>
    <w:rsid w:val="00F96A77"/>
    <w:rsid w:val="00F96E43"/>
    <w:rsid w:val="00F9737A"/>
    <w:rsid w:val="00F9774B"/>
    <w:rsid w:val="00F97EEE"/>
    <w:rsid w:val="00FA05F0"/>
    <w:rsid w:val="00FA0B7D"/>
    <w:rsid w:val="00FA1111"/>
    <w:rsid w:val="00FA1545"/>
    <w:rsid w:val="00FA1FD9"/>
    <w:rsid w:val="00FA2717"/>
    <w:rsid w:val="00FA2B84"/>
    <w:rsid w:val="00FA3312"/>
    <w:rsid w:val="00FA35ED"/>
    <w:rsid w:val="00FA3E52"/>
    <w:rsid w:val="00FA416F"/>
    <w:rsid w:val="00FA4606"/>
    <w:rsid w:val="00FA4B25"/>
    <w:rsid w:val="00FA4D14"/>
    <w:rsid w:val="00FA57D0"/>
    <w:rsid w:val="00FA5E02"/>
    <w:rsid w:val="00FA5E4D"/>
    <w:rsid w:val="00FA6473"/>
    <w:rsid w:val="00FA6A37"/>
    <w:rsid w:val="00FA6AFC"/>
    <w:rsid w:val="00FA71D6"/>
    <w:rsid w:val="00FA7BC3"/>
    <w:rsid w:val="00FB00B3"/>
    <w:rsid w:val="00FB15D1"/>
    <w:rsid w:val="00FB18F5"/>
    <w:rsid w:val="00FB217F"/>
    <w:rsid w:val="00FB2470"/>
    <w:rsid w:val="00FB274F"/>
    <w:rsid w:val="00FB2840"/>
    <w:rsid w:val="00FB29C2"/>
    <w:rsid w:val="00FB2C55"/>
    <w:rsid w:val="00FB3235"/>
    <w:rsid w:val="00FB3ABE"/>
    <w:rsid w:val="00FB3BD3"/>
    <w:rsid w:val="00FB3F56"/>
    <w:rsid w:val="00FB3FEA"/>
    <w:rsid w:val="00FB4586"/>
    <w:rsid w:val="00FB4688"/>
    <w:rsid w:val="00FB4A99"/>
    <w:rsid w:val="00FB5979"/>
    <w:rsid w:val="00FB5FD8"/>
    <w:rsid w:val="00FB69A5"/>
    <w:rsid w:val="00FB6C63"/>
    <w:rsid w:val="00FB7120"/>
    <w:rsid w:val="00FB7393"/>
    <w:rsid w:val="00FC1261"/>
    <w:rsid w:val="00FC134D"/>
    <w:rsid w:val="00FC1377"/>
    <w:rsid w:val="00FC1620"/>
    <w:rsid w:val="00FC1BEE"/>
    <w:rsid w:val="00FC1D54"/>
    <w:rsid w:val="00FC20C3"/>
    <w:rsid w:val="00FC252B"/>
    <w:rsid w:val="00FC2CD7"/>
    <w:rsid w:val="00FC2CE1"/>
    <w:rsid w:val="00FC320F"/>
    <w:rsid w:val="00FC38F3"/>
    <w:rsid w:val="00FC44F8"/>
    <w:rsid w:val="00FC4779"/>
    <w:rsid w:val="00FC48C2"/>
    <w:rsid w:val="00FC4A26"/>
    <w:rsid w:val="00FC5115"/>
    <w:rsid w:val="00FC585F"/>
    <w:rsid w:val="00FC59E5"/>
    <w:rsid w:val="00FC601C"/>
    <w:rsid w:val="00FC6365"/>
    <w:rsid w:val="00FC63E6"/>
    <w:rsid w:val="00FC6760"/>
    <w:rsid w:val="00FC6C56"/>
    <w:rsid w:val="00FC779A"/>
    <w:rsid w:val="00FD06B2"/>
    <w:rsid w:val="00FD07E0"/>
    <w:rsid w:val="00FD0925"/>
    <w:rsid w:val="00FD0B98"/>
    <w:rsid w:val="00FD0D76"/>
    <w:rsid w:val="00FD0E71"/>
    <w:rsid w:val="00FD0EDB"/>
    <w:rsid w:val="00FD0F47"/>
    <w:rsid w:val="00FD1760"/>
    <w:rsid w:val="00FD1B57"/>
    <w:rsid w:val="00FD2B5E"/>
    <w:rsid w:val="00FD307D"/>
    <w:rsid w:val="00FD3095"/>
    <w:rsid w:val="00FD458C"/>
    <w:rsid w:val="00FD46D2"/>
    <w:rsid w:val="00FD4C31"/>
    <w:rsid w:val="00FD4E57"/>
    <w:rsid w:val="00FD66AE"/>
    <w:rsid w:val="00FD6DF1"/>
    <w:rsid w:val="00FD7373"/>
    <w:rsid w:val="00FD76E2"/>
    <w:rsid w:val="00FD7FA6"/>
    <w:rsid w:val="00FE027C"/>
    <w:rsid w:val="00FE1069"/>
    <w:rsid w:val="00FE16CD"/>
    <w:rsid w:val="00FE18C9"/>
    <w:rsid w:val="00FE1FC9"/>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7CA"/>
    <w:rsid w:val="00FE7A83"/>
    <w:rsid w:val="00FF070B"/>
    <w:rsid w:val="00FF0B11"/>
    <w:rsid w:val="00FF0DB8"/>
    <w:rsid w:val="00FF109E"/>
    <w:rsid w:val="00FF1CA9"/>
    <w:rsid w:val="00FF1CEC"/>
    <w:rsid w:val="00FF29FF"/>
    <w:rsid w:val="00FF2AB0"/>
    <w:rsid w:val="00FF2CA2"/>
    <w:rsid w:val="00FF2EE6"/>
    <w:rsid w:val="00FF380B"/>
    <w:rsid w:val="00FF461C"/>
    <w:rsid w:val="00FF4681"/>
    <w:rsid w:val="00FF5386"/>
    <w:rsid w:val="00FF5D46"/>
    <w:rsid w:val="00FF5E9E"/>
    <w:rsid w:val="00FF67B8"/>
    <w:rsid w:val="00FF6F4D"/>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67D"/>
    <w:rPr>
      <w:sz w:val="24"/>
      <w:szCs w:val="24"/>
    </w:rPr>
  </w:style>
  <w:style w:type="paragraph" w:styleId="Titre2">
    <w:name w:val="heading 2"/>
    <w:basedOn w:val="Normal"/>
    <w:next w:val="Normal"/>
    <w:link w:val="Titre2Car"/>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A7067D"/>
    <w:pPr>
      <w:keepNext/>
      <w:spacing w:before="240" w:after="60"/>
      <w:outlineLvl w:val="2"/>
    </w:pPr>
    <w:rPr>
      <w:rFonts w:ascii="Arial" w:hAnsi="Arial" w:cs="Arial"/>
      <w:b/>
      <w:b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2Car">
    <w:name w:val="Titre 2 Car"/>
    <w:basedOn w:val="Policepardfaut"/>
    <w:link w:val="Titre2"/>
    <w:semiHidden/>
    <w:locked/>
    <w:rsid w:val="000862E0"/>
    <w:rPr>
      <w:rFonts w:ascii="Cambria" w:hAnsi="Cambria" w:cs="Times New Roman"/>
      <w:b/>
      <w:bCs/>
      <w:i/>
      <w:iCs/>
      <w:sz w:val="28"/>
      <w:szCs w:val="28"/>
    </w:rPr>
  </w:style>
  <w:style w:type="character" w:customStyle="1" w:styleId="Titre3Car">
    <w:name w:val="Titre 3 Car"/>
    <w:basedOn w:val="Policepardfaut"/>
    <w:link w:val="Titre3"/>
    <w:semiHidden/>
    <w:locked/>
    <w:rsid w:val="000862E0"/>
    <w:rPr>
      <w:rFonts w:ascii="Cambria" w:hAnsi="Cambria" w:cs="Times New Roman"/>
      <w:b/>
      <w:bCs/>
      <w:sz w:val="26"/>
      <w:szCs w:val="26"/>
    </w:rPr>
  </w:style>
  <w:style w:type="character" w:styleId="Accentuation">
    <w:name w:val="Emphasis"/>
    <w:basedOn w:val="Policepardfaut"/>
    <w:qFormat/>
    <w:rsid w:val="00A7067D"/>
    <w:rPr>
      <w:rFonts w:cs="Times New Roman"/>
      <w:i/>
      <w:iCs/>
    </w:rPr>
  </w:style>
  <w:style w:type="paragraph" w:styleId="NormalWeb">
    <w:name w:val="Normal (Web)"/>
    <w:basedOn w:val="Normal"/>
    <w:rsid w:val="00A7067D"/>
    <w:pPr>
      <w:spacing w:before="100" w:beforeAutospacing="1" w:after="100" w:afterAutospacing="1"/>
    </w:pPr>
  </w:style>
  <w:style w:type="paragraph" w:customStyle="1" w:styleId="spip">
    <w:name w:val="spip"/>
    <w:basedOn w:val="Normal"/>
    <w:rsid w:val="00A37E64"/>
    <w:pPr>
      <w:spacing w:before="100" w:beforeAutospacing="1" w:after="100" w:afterAutospacing="1"/>
    </w:pPr>
  </w:style>
  <w:style w:type="paragraph" w:styleId="Pieddepage">
    <w:name w:val="footer"/>
    <w:basedOn w:val="Normal"/>
    <w:link w:val="PieddepageCar"/>
    <w:rsid w:val="00B855EA"/>
    <w:pPr>
      <w:tabs>
        <w:tab w:val="center" w:pos="4536"/>
        <w:tab w:val="right" w:pos="9072"/>
      </w:tabs>
    </w:pPr>
  </w:style>
  <w:style w:type="character" w:customStyle="1" w:styleId="PieddepageCar">
    <w:name w:val="Pied de page Car"/>
    <w:basedOn w:val="Policepardfaut"/>
    <w:link w:val="Pieddepage"/>
    <w:semiHidden/>
    <w:locked/>
    <w:rsid w:val="000862E0"/>
    <w:rPr>
      <w:rFonts w:cs="Times New Roman"/>
      <w:sz w:val="24"/>
      <w:szCs w:val="24"/>
    </w:rPr>
  </w:style>
  <w:style w:type="character" w:styleId="Numrodepage">
    <w:name w:val="page number"/>
    <w:basedOn w:val="Policepardfaut"/>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basedOn w:val="Policepardfaut"/>
    <w:link w:val="Corpsdetexte"/>
    <w:semiHidden/>
    <w:locked/>
    <w:rsid w:val="000862E0"/>
    <w:rPr>
      <w:rFonts w:cs="Times New Roman"/>
      <w:sz w:val="24"/>
      <w:szCs w:val="24"/>
    </w:rPr>
  </w:style>
  <w:style w:type="paragraph" w:styleId="Titre">
    <w:name w:val="Title"/>
    <w:basedOn w:val="Normal"/>
    <w:link w:val="TitreCar"/>
    <w:qFormat/>
    <w:rsid w:val="00AC3133"/>
    <w:pPr>
      <w:jc w:val="center"/>
    </w:pPr>
    <w:rPr>
      <w:b/>
      <w:bCs/>
      <w:szCs w:val="28"/>
    </w:rPr>
  </w:style>
  <w:style w:type="character" w:customStyle="1" w:styleId="TitreCar">
    <w:name w:val="Titre Car"/>
    <w:basedOn w:val="Policepardfaut"/>
    <w:link w:val="Titre"/>
    <w:locked/>
    <w:rsid w:val="000862E0"/>
    <w:rPr>
      <w:rFonts w:ascii="Cambria" w:hAnsi="Cambria" w:cs="Times New Roman"/>
      <w:b/>
      <w:bCs/>
      <w:kern w:val="28"/>
      <w:sz w:val="32"/>
      <w:szCs w:val="32"/>
    </w:rPr>
  </w:style>
  <w:style w:type="paragraph" w:styleId="En-tte">
    <w:name w:val="header"/>
    <w:basedOn w:val="Normal"/>
    <w:link w:val="En-tteCar"/>
    <w:rsid w:val="002C02CC"/>
    <w:pPr>
      <w:tabs>
        <w:tab w:val="center" w:pos="4536"/>
        <w:tab w:val="right" w:pos="9072"/>
      </w:tabs>
    </w:pPr>
  </w:style>
  <w:style w:type="character" w:customStyle="1" w:styleId="En-tteCar">
    <w:name w:val="En-tête Car"/>
    <w:basedOn w:val="Policepardfaut"/>
    <w:link w:val="En-tte"/>
    <w:semiHidden/>
    <w:locked/>
    <w:rsid w:val="000862E0"/>
    <w:rPr>
      <w:rFonts w:cs="Times New Roman"/>
      <w:sz w:val="24"/>
      <w:szCs w:val="24"/>
    </w:rPr>
  </w:style>
  <w:style w:type="paragraph" w:styleId="Textedebulles">
    <w:name w:val="Balloon Text"/>
    <w:basedOn w:val="Normal"/>
    <w:link w:val="TextedebullesCar"/>
    <w:semiHidden/>
    <w:rsid w:val="001437B0"/>
    <w:rPr>
      <w:rFonts w:ascii="Tahoma" w:hAnsi="Tahoma" w:cs="Tahoma"/>
      <w:sz w:val="16"/>
      <w:szCs w:val="16"/>
    </w:rPr>
  </w:style>
  <w:style w:type="character" w:customStyle="1" w:styleId="TextedebullesCar">
    <w:name w:val="Texte de bulles Car"/>
    <w:basedOn w:val="Policepardfaut"/>
    <w:link w:val="Textedebulles"/>
    <w:semiHidden/>
    <w:locked/>
    <w:rsid w:val="000862E0"/>
    <w:rPr>
      <w:rFonts w:cs="Times New Roman"/>
      <w:sz w:val="2"/>
    </w:rPr>
  </w:style>
  <w:style w:type="character" w:customStyle="1" w:styleId="hps">
    <w:name w:val="hps"/>
    <w:basedOn w:val="Policepardfaut"/>
    <w:rsid w:val="001E2E19"/>
    <w:rPr>
      <w:rFonts w:cs="Times New Roman"/>
    </w:rPr>
  </w:style>
  <w:style w:type="character" w:customStyle="1" w:styleId="hpsatn">
    <w:name w:val="hps atn"/>
    <w:basedOn w:val="Policepardfaut"/>
    <w:rsid w:val="0080084F"/>
    <w:rPr>
      <w:rFonts w:cs="Times New Roman"/>
    </w:rPr>
  </w:style>
  <w:style w:type="character" w:styleId="lev">
    <w:name w:val="Strong"/>
    <w:basedOn w:val="Policepardfaut"/>
    <w:qFormat/>
    <w:locked/>
    <w:rsid w:val="003D4283"/>
    <w:rPr>
      <w:rFonts w:cs="Times New Roman"/>
      <w:b/>
      <w:bCs/>
    </w:rPr>
  </w:style>
  <w:style w:type="paragraph" w:styleId="Notedebasdepage">
    <w:name w:val="footnote text"/>
    <w:basedOn w:val="Normal"/>
    <w:link w:val="NotedebasdepageCar"/>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semiHidden/>
    <w:locked/>
    <w:rsid w:val="00AA46C6"/>
    <w:rPr>
      <w:rFonts w:ascii="Calibri" w:hAnsi="Calibri" w:cs="Arial"/>
      <w:lang w:val="fr-FR" w:eastAsia="en-US" w:bidi="ar-SA"/>
    </w:rPr>
  </w:style>
  <w:style w:type="character" w:styleId="Appelnotedebasdep">
    <w:name w:val="footnote reference"/>
    <w:basedOn w:val="Policepardfaut"/>
    <w:semiHidden/>
    <w:rsid w:val="00AA46C6"/>
    <w:rPr>
      <w:rFonts w:cs="Times New Roman"/>
      <w:vertAlign w:val="superscript"/>
    </w:rPr>
  </w:style>
  <w:style w:type="character" w:customStyle="1" w:styleId="ebo1e">
    <w:name w:val="ebo1e"/>
    <w:basedOn w:val="Policepardfaut"/>
    <w:rsid w:val="001712FF"/>
    <w:rPr>
      <w:rFonts w:cs="Times New Roman"/>
    </w:rPr>
  </w:style>
  <w:style w:type="character" w:customStyle="1" w:styleId="fc0t1x20a">
    <w:name w:val="fc0t1x20a"/>
    <w:basedOn w:val="Policepardfaut"/>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2481</Words>
  <Characters>13650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 </cp:lastModifiedBy>
  <cp:revision>2</cp:revision>
  <cp:lastPrinted>2015-04-08T11:10:00Z</cp:lastPrinted>
  <dcterms:created xsi:type="dcterms:W3CDTF">2015-04-08T12:43:00Z</dcterms:created>
  <dcterms:modified xsi:type="dcterms:W3CDTF">2015-04-08T12:43:00Z</dcterms:modified>
</cp:coreProperties>
</file>