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DB" w:rsidRPr="00B50DCB" w:rsidRDefault="001075E1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Pr="00B50DCB" w:rsidRDefault="00AB04D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AB04DB" w:rsidRPr="00B50DCB" w:rsidRDefault="00AB04D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AB04DB" w:rsidRPr="00B50DCB" w:rsidRDefault="00AB04D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AB04DB" w:rsidRPr="00B50DCB" w:rsidRDefault="00AB04D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AB04DB" w:rsidRPr="00B50DCB" w:rsidRDefault="00AB04DB" w:rsidP="00772ED2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sz w:val="28"/>
          <w:szCs w:val="28"/>
          <w:rtl/>
        </w:rPr>
      </w:pPr>
      <w:r w:rsidRPr="00B50DCB">
        <w:tab/>
      </w:r>
      <w:r w:rsidR="001075E1">
        <w:rPr>
          <w:noProof/>
          <w:rtl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Pr="00B861A9" w:rsidRDefault="00AB04DB" w:rsidP="00B50DCB">
      <w:pPr>
        <w:bidi/>
        <w:spacing w:before="120" w:line="340" w:lineRule="exact"/>
        <w:jc w:val="center"/>
        <w:rPr>
          <w:rFonts w:cs="Arabic Transparent"/>
          <w:b/>
          <w:bCs/>
          <w:sz w:val="20"/>
          <w:szCs w:val="20"/>
        </w:rPr>
      </w:pPr>
    </w:p>
    <w:p w:rsidR="00AB04DB" w:rsidRPr="00B50DCB" w:rsidRDefault="00AB04DB" w:rsidP="007C7C33">
      <w:pPr>
        <w:bidi/>
        <w:spacing w:before="120" w:line="340" w:lineRule="exact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B50DCB">
        <w:rPr>
          <w:rFonts w:cs="Arabic Transparent"/>
          <w:b/>
          <w:bCs/>
          <w:sz w:val="36"/>
          <w:szCs w:val="36"/>
          <w:rtl/>
        </w:rPr>
        <w:t>موجــز الظرفيـــ</w:t>
      </w:r>
      <w:r w:rsidRPr="00B50DCB">
        <w:rPr>
          <w:rFonts w:cs="Arabic Transparent"/>
          <w:b/>
          <w:bCs/>
          <w:sz w:val="36"/>
          <w:szCs w:val="36"/>
          <w:rtl/>
          <w:lang w:bidi="ar-MA"/>
        </w:rPr>
        <w:t>ة</w:t>
      </w:r>
    </w:p>
    <w:p w:rsidR="00AB04DB" w:rsidRPr="00B50DCB" w:rsidRDefault="00AB04DB" w:rsidP="007C7C33">
      <w:pPr>
        <w:bidi/>
        <w:spacing w:line="340" w:lineRule="exact"/>
        <w:jc w:val="center"/>
        <w:rPr>
          <w:rFonts w:cs="Arabic Transparent"/>
          <w:b/>
          <w:bCs/>
          <w:sz w:val="32"/>
          <w:szCs w:val="32"/>
        </w:rPr>
      </w:pPr>
      <w:proofErr w:type="spellStart"/>
      <w:r w:rsidRPr="00B50DCB">
        <w:rPr>
          <w:rFonts w:cs="Arabic Transparent"/>
          <w:b/>
          <w:bCs/>
          <w:sz w:val="32"/>
          <w:szCs w:val="32"/>
          <w:rtl/>
          <w:lang w:bidi="ar-MA"/>
        </w:rPr>
        <w:t>-</w:t>
      </w:r>
      <w:proofErr w:type="spellEnd"/>
      <w:r w:rsidRPr="00B50DCB">
        <w:rPr>
          <w:rFonts w:cs="Arabic Transparent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cs="Arabic Transparent"/>
          <w:b/>
          <w:bCs/>
          <w:sz w:val="32"/>
          <w:szCs w:val="32"/>
          <w:rtl/>
          <w:lang w:bidi="ar-MA"/>
        </w:rPr>
        <w:t>أكتوبر</w:t>
      </w:r>
      <w:proofErr w:type="gramEnd"/>
      <w:r w:rsidRPr="00B50DCB">
        <w:rPr>
          <w:rFonts w:cs="Arabic Transparent"/>
          <w:b/>
          <w:bCs/>
          <w:sz w:val="32"/>
          <w:szCs w:val="32"/>
          <w:rtl/>
        </w:rPr>
        <w:t xml:space="preserve"> 2013</w:t>
      </w:r>
      <w:r w:rsidRPr="00C57613">
        <w:rPr>
          <w:rFonts w:cs="Arabic Transparent"/>
          <w:b/>
          <w:bCs/>
          <w:sz w:val="32"/>
          <w:szCs w:val="32"/>
        </w:rPr>
        <w:t>-</w:t>
      </w:r>
      <w:r w:rsidRPr="00B50DCB">
        <w:rPr>
          <w:rFonts w:cs="Arabic Transparent"/>
          <w:b/>
          <w:bCs/>
          <w:sz w:val="32"/>
          <w:szCs w:val="32"/>
        </w:rPr>
        <w:t xml:space="preserve"> </w:t>
      </w:r>
    </w:p>
    <w:p w:rsidR="00AB04DB" w:rsidRDefault="00AB04DB" w:rsidP="007C7C33">
      <w:pPr>
        <w:spacing w:line="320" w:lineRule="exact"/>
        <w:jc w:val="both"/>
        <w:rPr>
          <w:rStyle w:val="hps"/>
          <w:rFonts w:cs="Arabic Transparent"/>
          <w:sz w:val="28"/>
          <w:szCs w:val="28"/>
          <w:lang w:bidi="ar-MA"/>
        </w:rPr>
      </w:pPr>
    </w:p>
    <w:p w:rsidR="00AB04DB" w:rsidRDefault="00AB04DB" w:rsidP="007C7C33">
      <w:pPr>
        <w:spacing w:line="320" w:lineRule="exact"/>
        <w:jc w:val="both"/>
        <w:rPr>
          <w:rStyle w:val="hps"/>
          <w:rFonts w:cs="Arabic Transparent"/>
          <w:sz w:val="28"/>
          <w:szCs w:val="28"/>
          <w:rtl/>
          <w:lang w:bidi="ar-MA"/>
        </w:rPr>
      </w:pPr>
    </w:p>
    <w:p w:rsidR="00AB04DB" w:rsidRDefault="00AB04DB" w:rsidP="00C565A9">
      <w:pPr>
        <w:bidi/>
        <w:spacing w:line="300" w:lineRule="exact"/>
        <w:jc w:val="both"/>
        <w:rPr>
          <w:rStyle w:val="hps"/>
          <w:rFonts w:cs="Arabic Transparent"/>
          <w:sz w:val="28"/>
          <w:szCs w:val="28"/>
          <w:rtl/>
          <w:lang w:bidi="ar-MA"/>
        </w:rPr>
      </w:pPr>
      <w:r w:rsidRPr="00E92F23">
        <w:rPr>
          <w:rStyle w:val="hps"/>
          <w:rFonts w:cs="Arabic Transparent"/>
          <w:sz w:val="28"/>
          <w:szCs w:val="28"/>
          <w:rtl/>
          <w:lang w:bidi="ar-MA"/>
        </w:rPr>
        <w:t>يتوقع أن ي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واصل 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الاقتصاد الوطني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 تطوره،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خلال الفصل الثا</w:t>
      </w:r>
      <w:r>
        <w:rPr>
          <w:rStyle w:val="hps"/>
          <w:rFonts w:cs="Arabic Transparent"/>
          <w:sz w:val="28"/>
          <w:szCs w:val="28"/>
          <w:rtl/>
        </w:rPr>
        <w:t>لث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2013</w:t>
      </w:r>
      <w:proofErr w:type="spellStart"/>
      <w:r w:rsidRPr="00E92F23">
        <w:rPr>
          <w:rStyle w:val="hps"/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  <w:lang w:bidi="ar-MA"/>
        </w:rPr>
        <w:t xml:space="preserve"> ليحقق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</w:t>
      </w:r>
      <w:r>
        <w:rPr>
          <w:rStyle w:val="hps"/>
          <w:rFonts w:cs="Arabic Transparent"/>
          <w:sz w:val="28"/>
          <w:szCs w:val="28"/>
          <w:rtl/>
        </w:rPr>
        <w:t xml:space="preserve">نموا يقدر ب </w:t>
      </w:r>
      <w:r w:rsidRPr="00E92F23">
        <w:rPr>
          <w:rFonts w:cs="Arabic Transparent"/>
          <w:sz w:val="28"/>
          <w:szCs w:val="28"/>
          <w:rtl/>
          <w:lang w:bidi="ar-MA"/>
        </w:rPr>
        <w:t>4,</w:t>
      </w:r>
      <w:r>
        <w:rPr>
          <w:rFonts w:cs="Arabic Transparent"/>
          <w:sz w:val="28"/>
          <w:szCs w:val="28"/>
          <w:rtl/>
          <w:lang w:bidi="ar-MA"/>
        </w:rPr>
        <w:t>5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،</w:t>
      </w:r>
      <w:proofErr w:type="spellEnd"/>
      <w:r w:rsidRPr="00E92F23">
        <w:rPr>
          <w:rStyle w:val="hps"/>
          <w:rFonts w:cs="Arabic Transparent"/>
          <w:sz w:val="28"/>
          <w:szCs w:val="28"/>
          <w:rtl/>
        </w:rPr>
        <w:t xml:space="preserve"> حسب التغير 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السنوي</w:t>
      </w:r>
      <w:r>
        <w:rPr>
          <w:rStyle w:val="hps"/>
          <w:rFonts w:cs="Arabic Transparent"/>
          <w:sz w:val="28"/>
          <w:szCs w:val="28"/>
          <w:rtl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</w:rPr>
        <w:t xml:space="preserve"> عوض </w:t>
      </w:r>
      <w:r>
        <w:rPr>
          <w:rFonts w:cs="Arabic Transparent"/>
          <w:sz w:val="28"/>
          <w:szCs w:val="28"/>
          <w:rtl/>
          <w:lang w:bidi="ar-MA"/>
        </w:rPr>
        <w:t>2</w:t>
      </w:r>
      <w:r w:rsidRPr="00E92F23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9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</w:rPr>
        <w:t xml:space="preserve"> السنة </w:t>
      </w:r>
      <w:proofErr w:type="spellStart"/>
      <w:r>
        <w:rPr>
          <w:rStyle w:val="hps"/>
          <w:rFonts w:cs="Arabic Transparent"/>
          <w:sz w:val="28"/>
          <w:szCs w:val="28"/>
          <w:rtl/>
        </w:rPr>
        <w:t>الفارطة</w:t>
      </w:r>
      <w:proofErr w:type="spellEnd"/>
      <w:r w:rsidRPr="00E92F23">
        <w:rPr>
          <w:rStyle w:val="hps"/>
          <w:rFonts w:cs="Arabic Transparent"/>
          <w:sz w:val="28"/>
          <w:szCs w:val="28"/>
          <w:rtl/>
        </w:rPr>
        <w:t>. ويعزى هذا الت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طور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بالأساس إلى ارتفاع القيمة المضافة 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الفلاحية،</w:t>
      </w:r>
      <w:proofErr w:type="spellEnd"/>
      <w:r w:rsidRPr="00E92F23">
        <w:rPr>
          <w:rStyle w:val="hps"/>
          <w:rFonts w:cs="Arabic Transparent"/>
          <w:sz w:val="28"/>
          <w:szCs w:val="28"/>
          <w:rtl/>
        </w:rPr>
        <w:t xml:space="preserve"> فيما ستعرف الأنشطة غير 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الفلاحية</w:t>
      </w:r>
      <w:proofErr w:type="spellEnd"/>
      <w:r w:rsidRPr="00E92F23">
        <w:rPr>
          <w:rStyle w:val="hps"/>
          <w:rFonts w:cs="Arabic Transparent"/>
          <w:sz w:val="28"/>
          <w:szCs w:val="28"/>
          <w:rtl/>
        </w:rPr>
        <w:t xml:space="preserve"> 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تباطؤ في وتيرة </w:t>
      </w:r>
      <w:proofErr w:type="spellStart"/>
      <w:r w:rsidRPr="00E92F23">
        <w:rPr>
          <w:rStyle w:val="hps"/>
          <w:rFonts w:cs="Arabic Transparent"/>
          <w:sz w:val="28"/>
          <w:szCs w:val="28"/>
          <w:rtl/>
          <w:lang w:bidi="ar-MA"/>
        </w:rPr>
        <w:t>نموها،</w:t>
      </w:r>
      <w:proofErr w:type="spellEnd"/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مقارنة مع السنة </w:t>
      </w:r>
      <w:proofErr w:type="spellStart"/>
      <w:r>
        <w:rPr>
          <w:rStyle w:val="hps"/>
          <w:rFonts w:cs="Arabic Transparent"/>
          <w:sz w:val="28"/>
          <w:szCs w:val="28"/>
          <w:rtl/>
          <w:lang w:bidi="ar-MA"/>
        </w:rPr>
        <w:t>الفارطة،</w:t>
      </w:r>
      <w:proofErr w:type="spellEnd"/>
      <w:r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بسبب ضعف القطاعات الثانوية. أما خلال الفصل ال</w:t>
      </w:r>
      <w:r>
        <w:rPr>
          <w:rStyle w:val="hps"/>
          <w:rFonts w:cs="Arabic Transparent"/>
          <w:sz w:val="28"/>
          <w:szCs w:val="28"/>
          <w:rtl/>
          <w:lang w:bidi="ar-MA"/>
        </w:rPr>
        <w:t>رابع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 w:rsidRPr="00E92F23">
        <w:rPr>
          <w:rStyle w:val="hps"/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 فستعرف القطاعات غير </w:t>
      </w:r>
      <w:proofErr w:type="spellStart"/>
      <w:r w:rsidRPr="00E92F23">
        <w:rPr>
          <w:rStyle w:val="hps"/>
          <w:rFonts w:cs="Arabic Transparent"/>
          <w:sz w:val="28"/>
          <w:szCs w:val="28"/>
          <w:rtl/>
          <w:lang w:bidi="ar-MA"/>
        </w:rPr>
        <w:t>الفلاحية</w:t>
      </w:r>
      <w:proofErr w:type="spellEnd"/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 نموا يقدر ب </w:t>
      </w:r>
      <w:proofErr w:type="spellStart"/>
      <w:r w:rsidRPr="00E92F23">
        <w:rPr>
          <w:rFonts w:cs="Arabic Transparent"/>
          <w:sz w:val="28"/>
          <w:szCs w:val="28"/>
          <w:rtl/>
          <w:lang w:bidi="ar-MA"/>
        </w:rPr>
        <w:t>2</w:t>
      </w:r>
      <w:r>
        <w:rPr>
          <w:rFonts w:cs="Arabic Transparent"/>
          <w:sz w:val="28"/>
          <w:szCs w:val="28"/>
          <w:rtl/>
          <w:lang w:bidi="ar-MA"/>
        </w:rPr>
        <w:t>,7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 w:rsidRPr="00E92F23">
        <w:rPr>
          <w:rFonts w:cs="Arabic Transparent"/>
          <w:sz w:val="28"/>
          <w:szCs w:val="28"/>
          <w:rtl/>
          <w:lang w:bidi="ar-MA"/>
        </w:rPr>
        <w:t xml:space="preserve"> عوض </w:t>
      </w:r>
      <w:r>
        <w:rPr>
          <w:rFonts w:cs="Arabic Transparent"/>
          <w:sz w:val="28"/>
          <w:szCs w:val="28"/>
          <w:rtl/>
          <w:lang w:bidi="ar-MA"/>
        </w:rPr>
        <w:t>2,4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proofErr w:type="spellStart"/>
      <w:r w:rsidRPr="00E92F23">
        <w:rPr>
          <w:rStyle w:val="hps"/>
          <w:rFonts w:cs="Arabic Transparent"/>
          <w:sz w:val="28"/>
          <w:szCs w:val="28"/>
          <w:rtl/>
        </w:rPr>
        <w:t>،</w:t>
      </w:r>
      <w:proofErr w:type="spellEnd"/>
      <w:r w:rsidRPr="00E92F23">
        <w:rPr>
          <w:rStyle w:val="hps"/>
          <w:rFonts w:cs="Arabic Transparent"/>
          <w:sz w:val="28"/>
          <w:szCs w:val="28"/>
          <w:rtl/>
        </w:rPr>
        <w:t xml:space="preserve"> </w:t>
      </w:r>
      <w:r>
        <w:rPr>
          <w:rStyle w:val="hps"/>
          <w:rFonts w:cs="Arabic Transparent"/>
          <w:sz w:val="28"/>
          <w:szCs w:val="28"/>
          <w:rtl/>
        </w:rPr>
        <w:t>خلال الفصل السابق</w:t>
      </w:r>
      <w:proofErr w:type="spellStart"/>
      <w:r>
        <w:rPr>
          <w:rStyle w:val="hps"/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</w:rPr>
        <w:t xml:space="preserve"> موازاة مع التحسن المرتقب في الطلب الخارجي وتباطؤ أسعار الاستهلاك.</w:t>
      </w:r>
    </w:p>
    <w:p w:rsidR="00AB04DB" w:rsidRPr="00F44DD3" w:rsidRDefault="001075E1" w:rsidP="007C7C33">
      <w:pPr>
        <w:bidi/>
        <w:spacing w:line="300" w:lineRule="exact"/>
        <w:jc w:val="both"/>
        <w:rPr>
          <w:rStyle w:val="hps"/>
          <w:rFonts w:cs="Arabic Transparent"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177800</wp:posOffset>
            </wp:positionV>
            <wp:extent cx="2971800" cy="21717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Pr="00E92F23" w:rsidRDefault="00AB04DB" w:rsidP="008A1CAA">
      <w:pPr>
        <w:bidi/>
        <w:spacing w:line="30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استمرار انتعاش</w:t>
      </w:r>
      <w:r w:rsidRPr="00E92F23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 </w:t>
      </w: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ا</w:t>
      </w:r>
      <w:r w:rsidRPr="00E92F23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لظرفية الاقتصادية الدولية خلال الفصل الثا</w:t>
      </w: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لث</w:t>
      </w:r>
      <w:r w:rsidRPr="00E92F23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 2013</w:t>
      </w:r>
      <w:r w:rsidRPr="00E92F23">
        <w:rPr>
          <w:rFonts w:cs="Arabic Transparent"/>
          <w:b/>
          <w:bCs/>
          <w:color w:val="800000"/>
          <w:sz w:val="28"/>
          <w:szCs w:val="28"/>
          <w:lang w:bidi="ar-MA"/>
        </w:rPr>
        <w:t xml:space="preserve"> </w:t>
      </w:r>
    </w:p>
    <w:p w:rsidR="00AB04DB" w:rsidRPr="00B50DCB" w:rsidRDefault="00AB04DB" w:rsidP="00E92F23">
      <w:pPr>
        <w:bidi/>
        <w:spacing w:line="300" w:lineRule="exact"/>
        <w:jc w:val="both"/>
        <w:rPr>
          <w:rFonts w:cs="Arabic Transparent"/>
          <w:spacing w:val="-2"/>
          <w:sz w:val="28"/>
          <w:szCs w:val="28"/>
          <w:rtl/>
          <w:lang w:bidi="ar-MA"/>
        </w:rPr>
      </w:pPr>
    </w:p>
    <w:p w:rsidR="00AB04DB" w:rsidRPr="00E92F23" w:rsidRDefault="00AB04DB" w:rsidP="00A04650">
      <w:pPr>
        <w:bidi/>
        <w:spacing w:line="300" w:lineRule="exact"/>
        <w:jc w:val="both"/>
        <w:rPr>
          <w:rFonts w:cs="Arabic Transparent"/>
          <w:spacing w:val="-2"/>
          <w:sz w:val="28"/>
          <w:szCs w:val="28"/>
          <w:rtl/>
        </w:rPr>
      </w:pPr>
      <w:r>
        <w:rPr>
          <w:rFonts w:cs="Arabic Transparent"/>
          <w:spacing w:val="-2"/>
          <w:sz w:val="28"/>
          <w:szCs w:val="28"/>
          <w:rtl/>
          <w:lang w:bidi="ar-MA"/>
        </w:rPr>
        <w:t xml:space="preserve">يتوقع أن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يعرف 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اقتصاد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الدول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المتقدمة،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خلال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الفصل الثا</w:t>
      </w:r>
      <w:r>
        <w:rPr>
          <w:rFonts w:cs="Arabic Transparent"/>
          <w:spacing w:val="-2"/>
          <w:sz w:val="28"/>
          <w:szCs w:val="28"/>
          <w:rtl/>
          <w:lang w:bidi="ar-MA"/>
        </w:rPr>
        <w:t>لث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proofErr w:type="spellStart"/>
      <w:r w:rsidRPr="00E92F23">
        <w:rPr>
          <w:rFonts w:cs="Arabic Transparent"/>
          <w:spacing w:val="-2"/>
          <w:sz w:val="28"/>
          <w:szCs w:val="28"/>
          <w:rtl/>
          <w:lang w:bidi="ar-MA"/>
        </w:rPr>
        <w:t>2013،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نموا يقدر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ب </w:t>
      </w:r>
      <w:r w:rsidRPr="00E92F23">
        <w:rPr>
          <w:rFonts w:cs="Arabic Transparent"/>
          <w:spacing w:val="-2"/>
          <w:sz w:val="28"/>
          <w:szCs w:val="28"/>
          <w:lang w:bidi="ar-MA"/>
        </w:rPr>
        <w:t>1,6</w:t>
      </w:r>
      <w:proofErr w:type="spellStart"/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حسب التغير السنوي.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وينتظر أن ي</w:t>
      </w:r>
      <w:r>
        <w:rPr>
          <w:rFonts w:cs="Arabic Transparent"/>
          <w:spacing w:val="-2"/>
          <w:sz w:val="28"/>
          <w:szCs w:val="28"/>
          <w:rtl/>
          <w:lang w:bidi="ar-MA"/>
        </w:rPr>
        <w:t>تطور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اقتصاد الولايات المتحدة الأمريكية بنسبة </w:t>
      </w:r>
      <w:r w:rsidRPr="00E92F23">
        <w:rPr>
          <w:rFonts w:cs="Arabic Transparent"/>
          <w:spacing w:val="-2"/>
          <w:sz w:val="28"/>
          <w:szCs w:val="28"/>
          <w:lang w:bidi="ar-MA"/>
        </w:rPr>
        <w:t>1,6</w:t>
      </w:r>
      <w:proofErr w:type="spellStart"/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</w:t>
      </w:r>
      <w:proofErr w:type="spellEnd"/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مدعوما بتحسن استهلاك الأسر و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ارتفاع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الاستثمار في البناء. في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المقابل،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سي</w:t>
      </w:r>
      <w:r>
        <w:rPr>
          <w:rFonts w:cs="Arabic Transparent"/>
          <w:spacing w:val="-2"/>
          <w:sz w:val="28"/>
          <w:szCs w:val="28"/>
          <w:rtl/>
          <w:lang w:bidi="ar-MA"/>
        </w:rPr>
        <w:t>واصل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اقتصاد منطقة </w:t>
      </w:r>
      <w:proofErr w:type="spellStart"/>
      <w:r w:rsidRPr="00E92F23">
        <w:rPr>
          <w:rFonts w:cs="Arabic Transparent"/>
          <w:spacing w:val="-2"/>
          <w:sz w:val="28"/>
          <w:szCs w:val="28"/>
          <w:rtl/>
          <w:lang w:bidi="ar-MA"/>
        </w:rPr>
        <w:t>الأورو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انتعاشه للفصل الثاني على التوالي ليحقق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ارتفاعا </w:t>
      </w:r>
      <w:r>
        <w:rPr>
          <w:rFonts w:cs="Arabic Transparent"/>
          <w:spacing w:val="-2"/>
          <w:sz w:val="28"/>
          <w:szCs w:val="28"/>
          <w:rtl/>
          <w:lang w:bidi="ar-MA"/>
        </w:rPr>
        <w:t>طفيفا لن يتعدى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lang w:bidi="ar-MA"/>
        </w:rPr>
        <w:t>0,4</w:t>
      </w:r>
      <w:proofErr w:type="spellStart"/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>
        <w:rPr>
          <w:rFonts w:cs="Arabic Transparent"/>
          <w:spacing w:val="-2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في ظرفية تتسم بتباطؤ نسبة التضخم وانتعاش طفيف للطلب الداخلي </w:t>
      </w:r>
      <w:proofErr w:type="spellStart"/>
      <w:r w:rsidRPr="00E92F23">
        <w:rPr>
          <w:rFonts w:cs="Arabic Transparent"/>
          <w:spacing w:val="-2"/>
          <w:sz w:val="28"/>
          <w:szCs w:val="28"/>
          <w:rtl/>
          <w:lang w:bidi="ar-MA"/>
        </w:rPr>
        <w:t>.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</w:p>
    <w:p w:rsidR="00AB04DB" w:rsidRPr="00D11F12" w:rsidRDefault="00AB04DB" w:rsidP="00E92F23">
      <w:pPr>
        <w:bidi/>
        <w:spacing w:line="300" w:lineRule="exact"/>
        <w:jc w:val="both"/>
        <w:rPr>
          <w:rStyle w:val="hps"/>
          <w:rFonts w:cs="Arabic Transparent"/>
          <w:sz w:val="26"/>
          <w:szCs w:val="26"/>
        </w:rPr>
      </w:pPr>
    </w:p>
    <w:p w:rsidR="00AB04DB" w:rsidRPr="00D11D3F" w:rsidRDefault="001075E1" w:rsidP="008A1CAA">
      <w:pPr>
        <w:bidi/>
        <w:spacing w:line="30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25400</wp:posOffset>
            </wp:positionV>
            <wp:extent cx="2971800" cy="205740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4D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تحسن</w:t>
      </w:r>
      <w:r w:rsidR="00AB04DB" w:rsidRPr="00D11D3F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 تدريجي للطلب الخارجي </w:t>
      </w:r>
      <w:r w:rsidR="00AB04D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الموجه للمغرب</w:t>
      </w:r>
    </w:p>
    <w:p w:rsidR="00AB04DB" w:rsidRPr="00F5436D" w:rsidRDefault="00AB04DB" w:rsidP="00E92F23">
      <w:pPr>
        <w:bidi/>
        <w:spacing w:line="300" w:lineRule="exact"/>
        <w:jc w:val="both"/>
        <w:rPr>
          <w:rFonts w:cs="Arabic Transparent"/>
          <w:b/>
          <w:bCs/>
          <w:color w:val="800000"/>
          <w:sz w:val="26"/>
          <w:szCs w:val="26"/>
          <w:rtl/>
        </w:rPr>
      </w:pPr>
    </w:p>
    <w:p w:rsidR="00AB04DB" w:rsidRDefault="00AB04DB" w:rsidP="0040781B">
      <w:pPr>
        <w:bidi/>
        <w:spacing w:line="30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>من المرتقب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أن يساهم انتعاش اقتصاد الدول </w:t>
      </w:r>
      <w:proofErr w:type="spellStart"/>
      <w:r w:rsidRPr="00E92F23">
        <w:rPr>
          <w:rFonts w:cs="Arabic Transparent"/>
          <w:sz w:val="28"/>
          <w:szCs w:val="28"/>
          <w:rtl/>
          <w:lang w:bidi="ar-MA"/>
        </w:rPr>
        <w:t>المتقدمة،</w:t>
      </w:r>
      <w:proofErr w:type="spellEnd"/>
      <w:r w:rsidRPr="00E92F23">
        <w:rPr>
          <w:rFonts w:cs="Arabic Transparent"/>
          <w:sz w:val="28"/>
          <w:szCs w:val="28"/>
          <w:rtl/>
          <w:lang w:bidi="ar-MA"/>
        </w:rPr>
        <w:t xml:space="preserve"> خلال الفصل الثا</w:t>
      </w:r>
      <w:r>
        <w:rPr>
          <w:rFonts w:cs="Arabic Transparent"/>
          <w:sz w:val="28"/>
          <w:szCs w:val="28"/>
          <w:rtl/>
          <w:lang w:bidi="ar-MA"/>
        </w:rPr>
        <w:t>لث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 w:rsidRPr="00E92F23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E92F23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وخاصة منطقة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الأورو،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في </w:t>
      </w:r>
      <w:r>
        <w:rPr>
          <w:rFonts w:cs="Arabic Transparent"/>
          <w:sz w:val="28"/>
          <w:szCs w:val="28"/>
          <w:rtl/>
          <w:lang w:bidi="ar-MA"/>
        </w:rPr>
        <w:t xml:space="preserve">تحسن </w:t>
      </w:r>
      <w:r w:rsidRPr="00E92F23">
        <w:rPr>
          <w:rFonts w:cs="Arabic Transparent"/>
          <w:sz w:val="28"/>
          <w:szCs w:val="28"/>
          <w:rtl/>
          <w:lang w:bidi="ar-MA"/>
        </w:rPr>
        <w:t>التجارة العالمية</w:t>
      </w:r>
      <w:r>
        <w:rPr>
          <w:rFonts w:cs="Arabic Transparent"/>
          <w:sz w:val="28"/>
          <w:szCs w:val="28"/>
          <w:rtl/>
          <w:lang w:bidi="ar-MA"/>
        </w:rPr>
        <w:t xml:space="preserve"> بنسبة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4</w:t>
      </w:r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وكذلك الطلب الخارجي الموجه للمغرب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ليرتفع بنسبة </w:t>
      </w:r>
      <w:r>
        <w:rPr>
          <w:rFonts w:cs="Arabic Transparent"/>
          <w:spacing w:val="-2"/>
          <w:sz w:val="28"/>
          <w:szCs w:val="28"/>
          <w:lang w:bidi="ar-MA"/>
        </w:rPr>
        <w:t>2</w:t>
      </w:r>
      <w:r w:rsidRPr="00E92F23">
        <w:rPr>
          <w:rFonts w:cs="Arabic Transparent"/>
          <w:spacing w:val="-2"/>
          <w:sz w:val="28"/>
          <w:szCs w:val="28"/>
          <w:lang w:bidi="ar-MA"/>
        </w:rPr>
        <w:t>,</w:t>
      </w:r>
      <w:r>
        <w:rPr>
          <w:rFonts w:cs="Arabic Transparent"/>
          <w:spacing w:val="-2"/>
          <w:sz w:val="28"/>
          <w:szCs w:val="28"/>
          <w:lang w:bidi="ar-MA"/>
        </w:rPr>
        <w:t>1</w:t>
      </w:r>
      <w:proofErr w:type="spellStart"/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</w:t>
      </w:r>
      <w:proofErr w:type="spellEnd"/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حسب التغير السنوي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. </w:t>
      </w:r>
      <w:proofErr w:type="gramStart"/>
      <w:r>
        <w:rPr>
          <w:rFonts w:cs="Arabic Transparent"/>
          <w:spacing w:val="-2"/>
          <w:sz w:val="28"/>
          <w:szCs w:val="28"/>
          <w:rtl/>
          <w:lang w:bidi="ar-MA"/>
        </w:rPr>
        <w:t>وسيستفيد</w:t>
      </w:r>
      <w:proofErr w:type="gram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من هذا التطور خاصة 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صادرات </w:t>
      </w:r>
      <w:r>
        <w:rPr>
          <w:rFonts w:cs="Arabic Transparent"/>
          <w:sz w:val="28"/>
          <w:szCs w:val="28"/>
          <w:rtl/>
          <w:lang w:bidi="ar-MA"/>
        </w:rPr>
        <w:t xml:space="preserve">مواد التجهيز و المواد الغذائية. فيما ستعرف صادرات </w:t>
      </w:r>
      <w:proofErr w:type="spellStart"/>
      <w:r w:rsidRPr="00E92F23">
        <w:rPr>
          <w:rFonts w:cs="Arabic Transparent"/>
          <w:sz w:val="28"/>
          <w:szCs w:val="28"/>
          <w:rtl/>
          <w:lang w:bidi="ar-MA"/>
        </w:rPr>
        <w:t>الفوسفاط</w:t>
      </w:r>
      <w:proofErr w:type="spellEnd"/>
      <w:r w:rsidRPr="00E92F23">
        <w:rPr>
          <w:rFonts w:cs="Arabic Transparent"/>
          <w:sz w:val="28"/>
          <w:szCs w:val="28"/>
          <w:rtl/>
          <w:lang w:bidi="ar-MA"/>
        </w:rPr>
        <w:t xml:space="preserve"> ومشتقاته</w:t>
      </w:r>
      <w:r>
        <w:rPr>
          <w:rFonts w:cs="Arabic Transparent"/>
          <w:sz w:val="28"/>
          <w:szCs w:val="28"/>
          <w:rtl/>
          <w:lang w:bidi="ar-MA"/>
        </w:rPr>
        <w:t xml:space="preserve"> بعض التراجع 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في ظرفية </w:t>
      </w:r>
      <w:r>
        <w:rPr>
          <w:rFonts w:cs="Arabic Transparent"/>
          <w:sz w:val="28"/>
          <w:szCs w:val="28"/>
          <w:rtl/>
          <w:lang w:bidi="ar-MA"/>
        </w:rPr>
        <w:t>ت</w:t>
      </w:r>
      <w:r w:rsidRPr="00E92F23">
        <w:rPr>
          <w:rFonts w:cs="Arabic Transparent"/>
          <w:sz w:val="28"/>
          <w:szCs w:val="28"/>
          <w:rtl/>
          <w:lang w:bidi="ar-MA"/>
        </w:rPr>
        <w:t>تسم بت</w:t>
      </w:r>
      <w:r>
        <w:rPr>
          <w:rFonts w:cs="Arabic Transparent"/>
          <w:sz w:val="28"/>
          <w:szCs w:val="28"/>
          <w:rtl/>
          <w:lang w:bidi="ar-MA"/>
        </w:rPr>
        <w:t>قلص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الطلب الموجه لها وانخفاض </w:t>
      </w:r>
      <w:r w:rsidRPr="00E92F23">
        <w:rPr>
          <w:rFonts w:cs="Arabic Transparent"/>
          <w:sz w:val="28"/>
          <w:szCs w:val="28"/>
          <w:rtl/>
          <w:lang w:bidi="ar-MA"/>
        </w:rPr>
        <w:t>أسعارها في الأسواق العالمية</w:t>
      </w:r>
      <w:r>
        <w:rPr>
          <w:rFonts w:cs="Arabic Transparent"/>
          <w:sz w:val="28"/>
          <w:szCs w:val="28"/>
          <w:rtl/>
          <w:lang w:bidi="ar-MA"/>
        </w:rPr>
        <w:t xml:space="preserve">. </w:t>
      </w:r>
    </w:p>
    <w:p w:rsidR="00AB04DB" w:rsidRDefault="00AB04DB" w:rsidP="00D87D25">
      <w:pPr>
        <w:bidi/>
        <w:spacing w:line="30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AB04DB" w:rsidRDefault="00AB04DB" w:rsidP="00EF7018">
      <w:pPr>
        <w:bidi/>
        <w:jc w:val="both"/>
        <w:rPr>
          <w:rFonts w:cs="Arabic Transparent"/>
          <w:sz w:val="28"/>
          <w:szCs w:val="28"/>
          <w:lang w:bidi="ar-MA"/>
        </w:rPr>
      </w:pPr>
      <w:r w:rsidRPr="00B50DCB">
        <w:rPr>
          <w:rFonts w:cs="Arabic Transparent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</w:t>
      </w:r>
      <w:r>
        <w:rPr>
          <w:rFonts w:cs="Arabic Transparent"/>
          <w:b/>
          <w:bCs/>
          <w:sz w:val="20"/>
          <w:szCs w:val="20"/>
          <w:rtl/>
          <w:lang w:bidi="ar-EG"/>
        </w:rPr>
        <w:t>.......................</w:t>
      </w:r>
    </w:p>
    <w:p w:rsidR="00AB04DB" w:rsidRPr="00E92F23" w:rsidRDefault="00AB04DB" w:rsidP="00B87111">
      <w:pPr>
        <w:bidi/>
        <w:jc w:val="both"/>
        <w:rPr>
          <w:rFonts w:cs="Arabic Transparent"/>
          <w:spacing w:val="-2"/>
          <w:rtl/>
          <w:lang w:bidi="ar-MA"/>
        </w:rPr>
      </w:pPr>
      <w:r w:rsidRPr="00E92F23">
        <w:rPr>
          <w:rFonts w:cs="Arabic Transparent"/>
          <w:i/>
          <w:iCs/>
          <w:sz w:val="20"/>
          <w:szCs w:val="20"/>
          <w:rtl/>
        </w:rPr>
        <w:t xml:space="preserve">من اجل الاطلاع على النسخة المفصلة لموجز الظرفية </w:t>
      </w:r>
      <w:proofErr w:type="spellStart"/>
      <w:r w:rsidRPr="00E92F23">
        <w:rPr>
          <w:rFonts w:cs="Arabic Transparent"/>
          <w:i/>
          <w:iCs/>
          <w:sz w:val="20"/>
          <w:szCs w:val="20"/>
          <w:rtl/>
        </w:rPr>
        <w:t>الاقتصادية،</w:t>
      </w:r>
      <w:proofErr w:type="spellEnd"/>
      <w:r w:rsidRPr="00E92F23">
        <w:rPr>
          <w:rFonts w:cs="Arabic Transparent"/>
          <w:i/>
          <w:iCs/>
          <w:sz w:val="20"/>
          <w:szCs w:val="20"/>
          <w:rtl/>
        </w:rPr>
        <w:t xml:space="preserve"> يمكن الرجوع إلى البوابة الالكترونية للمندوبية السامية للتخطيط </w:t>
      </w:r>
      <w:r w:rsidRPr="00E92F23">
        <w:rPr>
          <w:rFonts w:cs="Arabic Transparent"/>
          <w:i/>
          <w:iCs/>
          <w:sz w:val="20"/>
          <w:szCs w:val="20"/>
        </w:rPr>
        <w:t>)</w:t>
      </w:r>
      <w:hyperlink r:id="rId11" w:history="1">
        <w:r w:rsidRPr="00E92F23">
          <w:rPr>
            <w:rFonts w:cs="Arabic Transparent"/>
            <w:sz w:val="20"/>
            <w:szCs w:val="20"/>
          </w:rPr>
          <w:t>www.hcp.ma</w:t>
        </w:r>
      </w:hyperlink>
      <w:r w:rsidRPr="00E92F23">
        <w:rPr>
          <w:rFonts w:cs="Arabic Transparent"/>
          <w:i/>
          <w:iCs/>
          <w:sz w:val="20"/>
          <w:szCs w:val="20"/>
        </w:rPr>
        <w:t>(</w:t>
      </w:r>
      <w:proofErr w:type="spellStart"/>
      <w:r w:rsidRPr="00E92F23">
        <w:rPr>
          <w:rFonts w:cs="Arabic Transparent"/>
          <w:i/>
          <w:iCs/>
          <w:sz w:val="20"/>
          <w:szCs w:val="20"/>
          <w:rtl/>
        </w:rPr>
        <w:t>.</w:t>
      </w:r>
      <w:proofErr w:type="spellEnd"/>
      <w:r w:rsidRPr="00E92F23">
        <w:rPr>
          <w:rFonts w:cs="Arabic Transparent"/>
          <w:i/>
          <w:iCs/>
          <w:sz w:val="20"/>
          <w:szCs w:val="20"/>
        </w:rPr>
        <w:t xml:space="preserve"> </w:t>
      </w:r>
      <w:r w:rsidRPr="00E92F23">
        <w:rPr>
          <w:rFonts w:cs="Arabic Transparent"/>
          <w:i/>
          <w:iCs/>
          <w:sz w:val="20"/>
          <w:szCs w:val="20"/>
          <w:rtl/>
        </w:rPr>
        <w:t>يسمح باستعمال المعلومات التي تتضمنها هذه النشرة مع ضرورة الإشارة إلى المصدر</w:t>
      </w:r>
      <w:r w:rsidRPr="00E92F23">
        <w:rPr>
          <w:rFonts w:cs="Arabic Transparent"/>
          <w:i/>
          <w:iCs/>
          <w:sz w:val="20"/>
          <w:szCs w:val="20"/>
        </w:rPr>
        <w:t>.</w:t>
      </w:r>
    </w:p>
    <w:p w:rsidR="00AB04DB" w:rsidRPr="00B50DCB" w:rsidRDefault="00AB04DB" w:rsidP="00217201">
      <w:pPr>
        <w:bidi/>
        <w:spacing w:line="340" w:lineRule="exact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تحسن طفيف ل</w:t>
      </w: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لطلب الداخلي</w:t>
      </w:r>
    </w:p>
    <w:p w:rsidR="00AB04DB" w:rsidRPr="00857659" w:rsidRDefault="001075E1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12700</wp:posOffset>
            </wp:positionV>
            <wp:extent cx="2970530" cy="217551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17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Default="00AB04DB" w:rsidP="00B60E9A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 xml:space="preserve">من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جهته</w:t>
      </w:r>
      <w:r>
        <w:rPr>
          <w:sz w:val="28"/>
          <w:szCs w:val="28"/>
          <w:rtl/>
          <w:lang w:bidi="ar-MA"/>
        </w:rPr>
        <w:t>٬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س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يواصل تكوين رأس المال </w:t>
      </w:r>
      <w:r>
        <w:rPr>
          <w:rFonts w:cs="Arabic Transparent"/>
          <w:sz w:val="28"/>
          <w:szCs w:val="28"/>
          <w:rtl/>
          <w:lang w:bidi="ar-MA"/>
        </w:rPr>
        <w:t xml:space="preserve">تطوره </w:t>
      </w:r>
      <w:r w:rsidRPr="00B50DCB">
        <w:rPr>
          <w:rFonts w:cs="Arabic Transparent"/>
          <w:sz w:val="28"/>
          <w:szCs w:val="28"/>
          <w:rtl/>
          <w:lang w:bidi="ar-MA"/>
        </w:rPr>
        <w:t>بنسبة تقدر ب</w:t>
      </w:r>
      <w:r>
        <w:rPr>
          <w:rFonts w:cs="Arabic Transparent"/>
          <w:sz w:val="28"/>
          <w:szCs w:val="28"/>
          <w:lang w:bidi="ar-MA"/>
        </w:rPr>
        <w:t>1</w:t>
      </w:r>
      <w:r w:rsidRPr="00B50DCB">
        <w:rPr>
          <w:rFonts w:cs="Arabic Transparent"/>
          <w:sz w:val="28"/>
          <w:szCs w:val="28"/>
          <w:lang w:bidi="ar-MA"/>
        </w:rPr>
        <w:t>,</w:t>
      </w:r>
      <w:r>
        <w:rPr>
          <w:rFonts w:cs="Arabic Transparent"/>
          <w:sz w:val="28"/>
          <w:szCs w:val="28"/>
          <w:lang w:bidi="ar-MA"/>
        </w:rPr>
        <w:t>9</w:t>
      </w:r>
      <w:r w:rsidRPr="00B50DCB">
        <w:rPr>
          <w:rFonts w:cs="Arabic Transparent"/>
          <w:sz w:val="28"/>
          <w:szCs w:val="28"/>
          <w:lang w:bidi="ar-MA"/>
        </w:rPr>
        <w:t xml:space="preserve"> </w:t>
      </w:r>
      <w:proofErr w:type="spell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بعد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زيادة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2,6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خلال 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. ويرجع هذا </w:t>
      </w:r>
      <w:proofErr w:type="gramStart"/>
      <w:r w:rsidRPr="00B50DCB">
        <w:rPr>
          <w:rFonts w:cs="Arabic Transparent"/>
          <w:sz w:val="28"/>
          <w:szCs w:val="28"/>
          <w:rtl/>
          <w:lang w:bidi="ar-MA"/>
        </w:rPr>
        <w:t>الت</w:t>
      </w:r>
      <w:r>
        <w:rPr>
          <w:rFonts w:cs="Arabic Transparent"/>
          <w:sz w:val="28"/>
          <w:szCs w:val="28"/>
          <w:rtl/>
          <w:lang w:bidi="ar-MA"/>
        </w:rPr>
        <w:t>باطؤ</w:t>
      </w:r>
      <w:proofErr w:type="gramEnd"/>
      <w:r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بالأساس إلى </w:t>
      </w:r>
      <w:r>
        <w:rPr>
          <w:rFonts w:cs="Arabic Transparent"/>
          <w:sz w:val="28"/>
          <w:szCs w:val="28"/>
          <w:rtl/>
          <w:lang w:bidi="ar-MA"/>
        </w:rPr>
        <w:t>تقلص ا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لاستثمار في قطاع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البناء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فيما سيواصل الاستثمار في قطاع الصناعة انتعاشه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. أما استهلاك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الأسر،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فيتوقع أن </w:t>
      </w:r>
      <w:r>
        <w:rPr>
          <w:rFonts w:cs="Arabic Transparent"/>
          <w:sz w:val="28"/>
          <w:szCs w:val="28"/>
          <w:rtl/>
          <w:lang w:bidi="ar-MA"/>
        </w:rPr>
        <w:t>يواصل تحسنه ل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يحقق نموا يقدر ب </w:t>
      </w:r>
      <w:r>
        <w:rPr>
          <w:rFonts w:cs="Arabic Transparent"/>
          <w:sz w:val="28"/>
          <w:szCs w:val="28"/>
          <w:lang w:bidi="ar-MA"/>
        </w:rPr>
        <w:t>3,9</w:t>
      </w:r>
      <w:proofErr w:type="spell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موازاة مع ارتفاع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تحويلات المغاربة القاطنين في الخارج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ب</w:t>
      </w:r>
      <w:r>
        <w:rPr>
          <w:rFonts w:cs="Arabic Transparent"/>
          <w:sz w:val="28"/>
          <w:szCs w:val="28"/>
          <w:rtl/>
          <w:lang w:bidi="ar-MA"/>
        </w:rPr>
        <w:t>نسبة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15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و</w:t>
      </w:r>
      <w:r>
        <w:rPr>
          <w:rFonts w:cs="Arabic Transparent"/>
          <w:sz w:val="28"/>
          <w:szCs w:val="28"/>
          <w:rtl/>
          <w:lang w:bidi="ar-MA"/>
        </w:rPr>
        <w:t xml:space="preserve">تراجع </w:t>
      </w:r>
      <w:r w:rsidRPr="00B50DCB">
        <w:rPr>
          <w:rFonts w:cs="Arabic Transparent"/>
          <w:sz w:val="28"/>
          <w:szCs w:val="28"/>
          <w:rtl/>
          <w:lang w:bidi="ar-MA"/>
        </w:rPr>
        <w:t>أسعار</w:t>
      </w:r>
      <w:r w:rsidRPr="00B50DCB">
        <w:rPr>
          <w:rFonts w:cs="Arabic Transparent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الاستهلاك </w:t>
      </w:r>
      <w:r>
        <w:rPr>
          <w:rFonts w:cs="Arabic Transparent"/>
          <w:sz w:val="28"/>
          <w:szCs w:val="28"/>
          <w:rtl/>
          <w:lang w:bidi="ar-MA"/>
        </w:rPr>
        <w:t xml:space="preserve">إلى حدود </w:t>
      </w:r>
      <w:r>
        <w:rPr>
          <w:rFonts w:cs="Arabic Transparent"/>
          <w:sz w:val="28"/>
          <w:szCs w:val="28"/>
          <w:lang w:bidi="ar-MA"/>
        </w:rPr>
        <w:t>1</w:t>
      </w:r>
      <w:r w:rsidRPr="00B50DCB">
        <w:rPr>
          <w:rFonts w:cs="Arabic Transparent"/>
          <w:sz w:val="28"/>
          <w:szCs w:val="28"/>
          <w:lang w:bidi="ar-MA"/>
        </w:rPr>
        <w:t>,</w:t>
      </w:r>
      <w:r>
        <w:rPr>
          <w:rFonts w:cs="Arabic Transparent"/>
          <w:sz w:val="28"/>
          <w:szCs w:val="28"/>
          <w:lang w:bidi="ar-MA"/>
        </w:rPr>
        <w:t>7</w:t>
      </w:r>
      <w:proofErr w:type="spell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عوض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5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الفصل الثاني</w:t>
      </w:r>
      <w:r w:rsidRPr="00B50DCB">
        <w:rPr>
          <w:rFonts w:cs="Arabic Transparent"/>
          <w:sz w:val="28"/>
          <w:szCs w:val="28"/>
          <w:rtl/>
          <w:lang w:bidi="ar-MA"/>
        </w:rPr>
        <w:t>.</w:t>
      </w:r>
    </w:p>
    <w:p w:rsidR="00AB04DB" w:rsidRPr="00F16BBD" w:rsidRDefault="00AB04DB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AB04DB" w:rsidRPr="00B50DCB" w:rsidRDefault="001075E1" w:rsidP="00993119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152400</wp:posOffset>
            </wp:positionV>
            <wp:extent cx="2971800" cy="225552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4DB"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تحسن </w:t>
      </w:r>
      <w:r w:rsidR="00AB04D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أنشطة القطاع الفلاحي</w:t>
      </w:r>
    </w:p>
    <w:p w:rsidR="00AB04DB" w:rsidRPr="00993119" w:rsidRDefault="00AB04DB" w:rsidP="00B50DCB">
      <w:pPr>
        <w:bidi/>
        <w:spacing w:line="340" w:lineRule="exact"/>
        <w:jc w:val="both"/>
        <w:rPr>
          <w:rFonts w:cs="Arabic Transparent"/>
          <w:rtl/>
        </w:rPr>
      </w:pPr>
    </w:p>
    <w:p w:rsidR="00AB04DB" w:rsidRPr="00B50DCB" w:rsidRDefault="00AB04DB" w:rsidP="007E29B4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Style w:val="hps"/>
          <w:rFonts w:cs="Arabic Transparent"/>
          <w:sz w:val="28"/>
          <w:szCs w:val="28"/>
          <w:rtl/>
        </w:rPr>
        <w:t>من المنتظر أن ي</w:t>
      </w:r>
      <w:r w:rsidRPr="00B50DCB">
        <w:rPr>
          <w:rStyle w:val="hps"/>
          <w:rFonts w:cs="Arabic Transparent"/>
          <w:sz w:val="28"/>
          <w:szCs w:val="28"/>
          <w:rtl/>
        </w:rPr>
        <w:t>ساهم القطاع الفلاحي ب 2,</w:t>
      </w:r>
      <w:r>
        <w:rPr>
          <w:rStyle w:val="hps"/>
          <w:rFonts w:cs="Arabic Transparent"/>
          <w:sz w:val="28"/>
          <w:szCs w:val="28"/>
          <w:rtl/>
        </w:rPr>
        <w:t>3</w:t>
      </w:r>
      <w:r w:rsidRPr="00B50DCB">
        <w:rPr>
          <w:rStyle w:val="hps"/>
          <w:rFonts w:cs="Arabic Transparent"/>
          <w:sz w:val="28"/>
          <w:szCs w:val="28"/>
          <w:rtl/>
        </w:rPr>
        <w:t xml:space="preserve"> نقطة في نسبة النمو</w:t>
      </w:r>
      <w:r>
        <w:rPr>
          <w:rStyle w:val="hps"/>
          <w:rFonts w:cs="Arabic Transparent"/>
          <w:sz w:val="28"/>
          <w:szCs w:val="28"/>
          <w:rtl/>
        </w:rPr>
        <w:t xml:space="preserve"> الإجمالي للناتج الداخلي الخام</w:t>
      </w:r>
      <w:r w:rsidRPr="00B50DCB">
        <w:rPr>
          <w:rStyle w:val="hps"/>
          <w:rFonts w:cs="Arabic Transparent"/>
          <w:sz w:val="28"/>
          <w:szCs w:val="28"/>
          <w:rtl/>
        </w:rPr>
        <w:t>.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حيث </w:t>
      </w:r>
      <w:r>
        <w:rPr>
          <w:rFonts w:cs="Arabic Transparent"/>
          <w:sz w:val="28"/>
          <w:szCs w:val="28"/>
          <w:rtl/>
          <w:lang w:bidi="ar-MA"/>
        </w:rPr>
        <w:t>سيس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تفيد </w:t>
      </w:r>
      <w:r>
        <w:rPr>
          <w:rFonts w:cs="Arabic Transparent"/>
          <w:sz w:val="28"/>
          <w:szCs w:val="28"/>
          <w:rtl/>
          <w:lang w:bidi="ar-MA"/>
        </w:rPr>
        <w:t>من ارتفاع إنتاج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الحبوب والمواد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العلفية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وكذلك من تحسن الزراعات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الصناعية،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مما سيساهم في رفع الإنتاج النباتي ب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28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6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مقارنة مع الموسم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. </w:t>
      </w:r>
      <w:proofErr w:type="gramStart"/>
      <w:r>
        <w:rPr>
          <w:rFonts w:cs="Arabic Transparent"/>
          <w:sz w:val="28"/>
          <w:szCs w:val="28"/>
          <w:rtl/>
          <w:lang w:bidi="ar-MA"/>
        </w:rPr>
        <w:t>في</w:t>
      </w:r>
      <w:proofErr w:type="gramEnd"/>
      <w:r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المقابل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ستشهد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أنشطة تربية ال</w:t>
      </w:r>
      <w:r>
        <w:rPr>
          <w:rFonts w:cs="Arabic Transparent"/>
          <w:sz w:val="28"/>
          <w:szCs w:val="28"/>
          <w:rtl/>
          <w:lang w:bidi="ar-MA"/>
        </w:rPr>
        <w:t>مواشي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انتعاشا ملموسا بفضل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توفر الأعلاف وتراجع نسبي لأسعارها. </w:t>
      </w:r>
      <w:r>
        <w:rPr>
          <w:rFonts w:cs="Arabic Transparent"/>
          <w:sz w:val="28"/>
          <w:szCs w:val="28"/>
          <w:rtl/>
          <w:lang w:bidi="ar-MA"/>
        </w:rPr>
        <w:t xml:space="preserve">وعلى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العموم،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ستعرف القيمة المضافة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الفلاحية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نموا يقدر ب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18,9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8,9-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>
        <w:rPr>
          <w:rFonts w:cs="Arabic Transparent"/>
          <w:sz w:val="28"/>
          <w:szCs w:val="28"/>
          <w:rtl/>
          <w:lang w:bidi="ar-MA"/>
        </w:rPr>
        <w:t>.</w:t>
      </w:r>
    </w:p>
    <w:p w:rsidR="00AB04DB" w:rsidRDefault="00AB04DB" w:rsidP="008B4714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AB04DB" w:rsidRPr="00E92F23" w:rsidRDefault="00AB04DB" w:rsidP="00487A6A">
      <w:pPr>
        <w:bidi/>
        <w:spacing w:line="340" w:lineRule="exact"/>
        <w:jc w:val="both"/>
        <w:rPr>
          <w:rFonts w:cs="Arabic Transparent"/>
          <w:b/>
          <w:bCs/>
          <w:color w:val="800000"/>
          <w:rtl/>
        </w:rPr>
      </w:pPr>
      <w:r>
        <w:rPr>
          <w:rFonts w:cs="Arabic Transparent"/>
          <w:b/>
          <w:bCs/>
          <w:color w:val="800000"/>
          <w:sz w:val="28"/>
          <w:szCs w:val="28"/>
          <w:rtl/>
        </w:rPr>
        <w:t xml:space="preserve">تباطؤ </w:t>
      </w:r>
      <w:r w:rsidRPr="00E92F23">
        <w:rPr>
          <w:rFonts w:cs="Arabic Transparent"/>
          <w:b/>
          <w:bCs/>
          <w:color w:val="800000"/>
          <w:sz w:val="28"/>
          <w:szCs w:val="28"/>
          <w:rtl/>
        </w:rPr>
        <w:t xml:space="preserve">القطاعات غير </w:t>
      </w:r>
      <w:proofErr w:type="spellStart"/>
      <w:r w:rsidRPr="00E92F23">
        <w:rPr>
          <w:rFonts w:cs="Arabic Transparent"/>
          <w:b/>
          <w:bCs/>
          <w:color w:val="800000"/>
          <w:sz w:val="28"/>
          <w:szCs w:val="28"/>
          <w:rtl/>
        </w:rPr>
        <w:t>الفلاحية</w:t>
      </w:r>
      <w:proofErr w:type="spellEnd"/>
    </w:p>
    <w:p w:rsidR="00AB04DB" w:rsidRPr="00D11F12" w:rsidRDefault="00AB04DB" w:rsidP="00B50DCB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  <w:rtl/>
        </w:rPr>
      </w:pPr>
    </w:p>
    <w:p w:rsidR="00AB04DB" w:rsidRDefault="00AB04DB" w:rsidP="000226FA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Style w:val="hps"/>
          <w:rFonts w:cs="Arabic Transparent"/>
          <w:sz w:val="28"/>
          <w:szCs w:val="28"/>
          <w:rtl/>
        </w:rPr>
        <w:t xml:space="preserve">في </w:t>
      </w:r>
      <w:proofErr w:type="spellStart"/>
      <w:r>
        <w:rPr>
          <w:rStyle w:val="hps"/>
          <w:rFonts w:cs="Arabic Transparent"/>
          <w:sz w:val="28"/>
          <w:szCs w:val="28"/>
          <w:rtl/>
        </w:rPr>
        <w:t>المقابل،</w:t>
      </w:r>
      <w:proofErr w:type="spellEnd"/>
      <w:r>
        <w:rPr>
          <w:rStyle w:val="hps"/>
          <w:rFonts w:cs="Arabic Transparent"/>
          <w:sz w:val="28"/>
          <w:szCs w:val="28"/>
          <w:rtl/>
        </w:rPr>
        <w:t xml:space="preserve"> يرتقب أن تواصل </w:t>
      </w:r>
      <w:r w:rsidRPr="00B50DCB">
        <w:rPr>
          <w:rStyle w:val="hps"/>
          <w:rFonts w:cs="Arabic Transparent"/>
          <w:sz w:val="28"/>
          <w:szCs w:val="28"/>
          <w:rtl/>
        </w:rPr>
        <w:t xml:space="preserve">الأنشطة غير </w:t>
      </w:r>
      <w:proofErr w:type="spellStart"/>
      <w:r w:rsidRPr="00B50DCB">
        <w:rPr>
          <w:rStyle w:val="hps"/>
          <w:rFonts w:cs="Arabic Transparent"/>
          <w:sz w:val="28"/>
          <w:szCs w:val="28"/>
          <w:rtl/>
        </w:rPr>
        <w:t>الفلاحية</w:t>
      </w:r>
      <w:proofErr w:type="spellEnd"/>
      <w:r w:rsidRPr="00B50DCB">
        <w:rPr>
          <w:rStyle w:val="hps"/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Style w:val="hps"/>
          <w:rFonts w:cs="Arabic Transparent"/>
          <w:sz w:val="28"/>
          <w:szCs w:val="28"/>
          <w:rtl/>
          <w:lang w:bidi="ar-MA"/>
        </w:rPr>
        <w:t>تباطؤها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>
        <w:rPr>
          <w:rStyle w:val="hps"/>
          <w:rFonts w:cs="Arabic Transparent"/>
          <w:sz w:val="28"/>
          <w:szCs w:val="28"/>
          <w:rtl/>
          <w:lang w:bidi="ar-MA"/>
        </w:rPr>
        <w:t>خلال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الفصل الثا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لث </w:t>
      </w:r>
      <w:proofErr w:type="spellStart"/>
      <w:r w:rsidRPr="00B50DCB">
        <w:rPr>
          <w:rStyle w:val="hps"/>
          <w:rFonts w:cs="Arabic Transparent"/>
          <w:sz w:val="28"/>
          <w:szCs w:val="28"/>
          <w:rtl/>
          <w:lang w:bidi="ar-MA"/>
        </w:rPr>
        <w:t>2013</w:t>
      </w:r>
      <w:r>
        <w:rPr>
          <w:rStyle w:val="hps"/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  <w:lang w:bidi="ar-MA"/>
        </w:rPr>
        <w:t xml:space="preserve"> لتحقق زيادة تقدر ب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2,4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عوض</w:t>
      </w:r>
      <w:r>
        <w:rPr>
          <w:rFonts w:cs="Arabic Transparent"/>
          <w:sz w:val="28"/>
          <w:szCs w:val="28"/>
          <w:rtl/>
          <w:lang w:bidi="ar-MA"/>
        </w:rPr>
        <w:t xml:space="preserve"> 4,7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Start"/>
      <w:r w:rsidRPr="00B50DCB">
        <w:rPr>
          <w:rStyle w:val="hps"/>
          <w:rFonts w:cs="Arabic Transparent"/>
          <w:sz w:val="28"/>
          <w:szCs w:val="28"/>
          <w:rtl/>
        </w:rPr>
        <w:t>،</w:t>
      </w:r>
      <w:proofErr w:type="spellEnd"/>
      <w:r w:rsidRPr="00B50DCB">
        <w:rPr>
          <w:rStyle w:val="hps"/>
          <w:rFonts w:cs="Arabic Transparent"/>
          <w:sz w:val="28"/>
          <w:szCs w:val="28"/>
          <w:rtl/>
        </w:rPr>
        <w:t xml:space="preserve"> السنة </w:t>
      </w:r>
      <w:r>
        <w:rPr>
          <w:rStyle w:val="hps"/>
          <w:rFonts w:cs="Arabic Transparent"/>
          <w:sz w:val="28"/>
          <w:szCs w:val="28"/>
          <w:rtl/>
        </w:rPr>
        <w:t>الماضية</w:t>
      </w:r>
      <w:r w:rsidRPr="00B50DCB">
        <w:rPr>
          <w:rStyle w:val="hps"/>
          <w:rFonts w:cs="Arabic Transparent"/>
          <w:sz w:val="28"/>
          <w:szCs w:val="28"/>
          <w:rtl/>
        </w:rPr>
        <w:t xml:space="preserve">. ويرجع هذا </w:t>
      </w:r>
      <w:proofErr w:type="spellStart"/>
      <w:proofErr w:type="gramStart"/>
      <w:r w:rsidRPr="00B50DCB">
        <w:rPr>
          <w:rStyle w:val="hps"/>
          <w:rFonts w:cs="Arabic Transparent"/>
          <w:sz w:val="28"/>
          <w:szCs w:val="28"/>
          <w:rtl/>
        </w:rPr>
        <w:t>الت</w:t>
      </w:r>
      <w:r>
        <w:rPr>
          <w:rStyle w:val="hps"/>
          <w:rFonts w:cs="Arabic Transparent"/>
          <w:sz w:val="28"/>
          <w:szCs w:val="28"/>
          <w:rtl/>
        </w:rPr>
        <w:t>باطؤ</w:t>
      </w:r>
      <w:proofErr w:type="gramEnd"/>
      <w:r>
        <w:rPr>
          <w:rStyle w:val="hps"/>
          <w:rFonts w:cs="Arabic Transparent"/>
          <w:sz w:val="28"/>
          <w:szCs w:val="28"/>
          <w:rtl/>
        </w:rPr>
        <w:t>،</w:t>
      </w:r>
      <w:proofErr w:type="spellEnd"/>
      <w:r>
        <w:rPr>
          <w:rStyle w:val="hps"/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Style w:val="hps"/>
          <w:rFonts w:cs="Arabic Transparent"/>
          <w:sz w:val="28"/>
          <w:szCs w:val="28"/>
          <w:rtl/>
        </w:rPr>
        <w:t>بالأساس،</w:t>
      </w:r>
      <w:proofErr w:type="spellEnd"/>
      <w:r w:rsidRPr="00B50DCB">
        <w:rPr>
          <w:rStyle w:val="hps"/>
          <w:rFonts w:cs="Arabic Transparent"/>
          <w:sz w:val="28"/>
          <w:szCs w:val="28"/>
          <w:rtl/>
        </w:rPr>
        <w:t xml:space="preserve"> إلى 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>ضعف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 الطلب الموجه ل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>لقطاعات الثانوية</w:t>
      </w:r>
      <w:r>
        <w:rPr>
          <w:rStyle w:val="hps"/>
          <w:rFonts w:cs="Arabic Transparent"/>
          <w:sz w:val="28"/>
          <w:szCs w:val="28"/>
          <w:rtl/>
          <w:lang w:bidi="ar-MA"/>
        </w:rPr>
        <w:t xml:space="preserve">. حيث من المنتظر أن تشهد القيمة المضافة لقطاع المعادن انخفاضا يقدر ب </w:t>
      </w:r>
      <w:r>
        <w:rPr>
          <w:rStyle w:val="hps"/>
          <w:rFonts w:cs="Arabic Transparent"/>
          <w:sz w:val="28"/>
          <w:szCs w:val="28"/>
          <w:lang w:bidi="ar-MA"/>
        </w:rPr>
        <w:t>2</w:t>
      </w:r>
      <w:proofErr w:type="gramStart"/>
      <w:r>
        <w:rPr>
          <w:rStyle w:val="hps"/>
          <w:rFonts w:cs="Arabic Transparent"/>
          <w:sz w:val="28"/>
          <w:szCs w:val="28"/>
          <w:lang w:bidi="ar-MA"/>
        </w:rPr>
        <w:t>,1</w:t>
      </w:r>
      <w:proofErr w:type="spellStart"/>
      <w:proofErr w:type="gramEnd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حسب التغير السنوي. ويعزى هذا التراجع إلى تقلص مبيعات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الفوسفاط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الخام الموجه للصناعات التحويلية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المحلية،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موازاة مع انخفاض صادرات الأسمدة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الفوسفاطية</w:t>
      </w:r>
      <w:proofErr w:type="spellEnd"/>
      <w:r>
        <w:rPr>
          <w:rFonts w:cs="Arabic Transparent"/>
          <w:sz w:val="28"/>
          <w:szCs w:val="28"/>
          <w:rtl/>
          <w:lang w:bidi="ar-MA"/>
        </w:rPr>
        <w:t>.</w:t>
      </w:r>
    </w:p>
    <w:p w:rsidR="00AB04DB" w:rsidRDefault="001075E1" w:rsidP="00F0272F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177800</wp:posOffset>
            </wp:positionV>
            <wp:extent cx="2971800" cy="205740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Default="00AB04DB" w:rsidP="003C6352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 xml:space="preserve">كما </w:t>
      </w:r>
      <w:r w:rsidRPr="00B50DCB">
        <w:rPr>
          <w:rFonts w:cs="Arabic Transparent"/>
          <w:sz w:val="28"/>
          <w:szCs w:val="28"/>
          <w:rtl/>
          <w:lang w:bidi="ar-MA"/>
        </w:rPr>
        <w:t>ي</w:t>
      </w:r>
      <w:r>
        <w:rPr>
          <w:rFonts w:cs="Arabic Transparent"/>
          <w:sz w:val="28"/>
          <w:szCs w:val="28"/>
          <w:rtl/>
          <w:lang w:bidi="ar-MA"/>
        </w:rPr>
        <w:t>توقع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أن </w:t>
      </w:r>
      <w:r>
        <w:rPr>
          <w:rFonts w:cs="Arabic Transparent"/>
          <w:sz w:val="28"/>
          <w:szCs w:val="28"/>
          <w:rtl/>
          <w:lang w:bidi="ar-MA"/>
        </w:rPr>
        <w:t xml:space="preserve">يواصل </w:t>
      </w:r>
      <w:r w:rsidRPr="00B50DCB">
        <w:rPr>
          <w:rFonts w:cs="Arabic Transparent"/>
          <w:sz w:val="28"/>
          <w:szCs w:val="28"/>
          <w:rtl/>
          <w:lang w:bidi="ar-MA"/>
        </w:rPr>
        <w:t>قطاع البناء</w:t>
      </w:r>
      <w:r>
        <w:rPr>
          <w:rFonts w:cs="Arabic Transparent"/>
          <w:sz w:val="28"/>
          <w:szCs w:val="28"/>
          <w:rtl/>
          <w:lang w:bidi="ar-MA"/>
        </w:rPr>
        <w:t xml:space="preserve"> والإشغال العمومية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ركوده،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الفصل الثالث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ليتراجع بنسبة تقدر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ب </w:t>
      </w:r>
      <w:r>
        <w:rPr>
          <w:rFonts w:cs="Arabic Transparent"/>
          <w:sz w:val="28"/>
          <w:szCs w:val="28"/>
          <w:lang w:bidi="ar-MA"/>
        </w:rPr>
        <w:t>1</w:t>
      </w:r>
      <w:r w:rsidRPr="00B50DCB">
        <w:rPr>
          <w:rFonts w:cs="Arabic Transparent"/>
          <w:sz w:val="28"/>
          <w:szCs w:val="28"/>
          <w:lang w:bidi="ar-MA"/>
        </w:rPr>
        <w:t>,</w:t>
      </w:r>
      <w:r>
        <w:rPr>
          <w:rFonts w:cs="Arabic Transparent"/>
          <w:sz w:val="28"/>
          <w:szCs w:val="28"/>
          <w:lang w:bidi="ar-MA"/>
        </w:rPr>
        <w:t>9</w:t>
      </w:r>
      <w:proofErr w:type="spell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حسب التغير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السنوي،</w:t>
      </w:r>
      <w:proofErr w:type="spellEnd"/>
      <w:r w:rsidRPr="00B50DCB">
        <w:rPr>
          <w:rFonts w:cs="Arabic Transparent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بعدما تقلص ب </w:t>
      </w:r>
      <w:r>
        <w:rPr>
          <w:rFonts w:cs="Arabic Transparent"/>
          <w:sz w:val="28"/>
          <w:szCs w:val="28"/>
          <w:lang w:bidi="ar-MA"/>
        </w:rPr>
        <w:t>4</w:t>
      </w:r>
      <w:r w:rsidRPr="00B50DCB">
        <w:rPr>
          <w:rFonts w:cs="Arabic Transparent"/>
          <w:sz w:val="28"/>
          <w:szCs w:val="28"/>
          <w:lang w:bidi="ar-MA"/>
        </w:rPr>
        <w:t>,</w:t>
      </w:r>
      <w:r>
        <w:rPr>
          <w:rFonts w:cs="Arabic Transparent"/>
          <w:sz w:val="28"/>
          <w:szCs w:val="28"/>
          <w:lang w:bidi="ar-MA"/>
        </w:rPr>
        <w:t>6</w:t>
      </w:r>
      <w:proofErr w:type="spell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في الفصل السابق. و</w:t>
      </w:r>
      <w:r>
        <w:rPr>
          <w:rFonts w:cs="Arabic Transparent"/>
          <w:sz w:val="28"/>
          <w:szCs w:val="28"/>
          <w:rtl/>
          <w:lang w:bidi="ar-MA"/>
        </w:rPr>
        <w:t xml:space="preserve">بالرغم من ارتفاع طفيف في مبيعات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الاسمنت،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ما زال القطاع يعاني من انخفاض تدفق </w:t>
      </w:r>
      <w:r w:rsidRPr="00B50DCB">
        <w:rPr>
          <w:rFonts w:cs="Arabic Transparent"/>
          <w:sz w:val="28"/>
          <w:szCs w:val="28"/>
          <w:rtl/>
          <w:lang w:bidi="ar-MA"/>
        </w:rPr>
        <w:t>القروض العقار</w:t>
      </w:r>
      <w:r>
        <w:rPr>
          <w:rFonts w:cs="Arabic Transparent"/>
          <w:sz w:val="28"/>
          <w:szCs w:val="28"/>
          <w:rtl/>
          <w:lang w:bidi="ar-MA"/>
        </w:rPr>
        <w:t>ية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الموجهة للخواص وللمنعشين</w:t>
      </w:r>
      <w:r>
        <w:rPr>
          <w:rFonts w:cs="Arabic Transparent"/>
          <w:sz w:val="28"/>
          <w:szCs w:val="28"/>
          <w:rtl/>
          <w:lang w:bidi="ar-MA"/>
        </w:rPr>
        <w:t xml:space="preserve">. كما تشير توقعات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المهنيين،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في إطار البحث الأخير حول ظرفية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القطاع،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إلى تراجع أنشطة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البناء،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حيث يتوقع أن ينخفض المؤشر التركيبي للقطاع بنسبة 1,17 نقطة مقارنة مع 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>
        <w:rPr>
          <w:rFonts w:cs="Arabic Transparent"/>
          <w:sz w:val="28"/>
          <w:szCs w:val="28"/>
          <w:rtl/>
          <w:lang w:bidi="ar-MA"/>
        </w:rPr>
        <w:t>.</w:t>
      </w:r>
    </w:p>
    <w:p w:rsidR="00AB04DB" w:rsidRPr="00CD5B9D" w:rsidRDefault="00AB04DB" w:rsidP="0029143F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AB04DB" w:rsidRPr="00B50DCB" w:rsidRDefault="001075E1" w:rsidP="00993119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190500</wp:posOffset>
            </wp:positionV>
            <wp:extent cx="2971800" cy="2340610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4DB">
        <w:rPr>
          <w:rFonts w:cs="Arabic Transparent"/>
          <w:sz w:val="28"/>
          <w:szCs w:val="28"/>
          <w:rtl/>
          <w:lang w:bidi="ar-MA"/>
        </w:rPr>
        <w:t xml:space="preserve">بدورها ما زالت </w:t>
      </w:r>
      <w:r w:rsidR="00AB04DB" w:rsidRPr="00B50DCB">
        <w:rPr>
          <w:rFonts w:cs="Arabic Transparent"/>
          <w:sz w:val="28"/>
          <w:szCs w:val="28"/>
          <w:rtl/>
          <w:lang w:bidi="ar-MA"/>
        </w:rPr>
        <w:t xml:space="preserve">الصناعات 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التحويلية تواصل تباطؤها مند بداية سنة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2012،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حيث يتوقع أن تشهد قيمتها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المضافة،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خلال الفصل الثالث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ارتفاعا طفيفا يقدر ب </w:t>
      </w:r>
      <w:r w:rsidR="00AB04DB" w:rsidRPr="00B50DCB">
        <w:rPr>
          <w:rFonts w:cs="Arabic Transparent"/>
          <w:sz w:val="28"/>
          <w:szCs w:val="28"/>
          <w:lang w:bidi="ar-MA"/>
        </w:rPr>
        <w:t>1</w:t>
      </w:r>
      <w:proofErr w:type="gramStart"/>
      <w:r w:rsidR="00AB04DB" w:rsidRPr="00B50DCB">
        <w:rPr>
          <w:rFonts w:cs="Arabic Transparent"/>
          <w:sz w:val="28"/>
          <w:szCs w:val="28"/>
          <w:lang w:bidi="ar-MA"/>
        </w:rPr>
        <w:t>,</w:t>
      </w:r>
      <w:r w:rsidR="00AB04DB">
        <w:rPr>
          <w:rFonts w:cs="Arabic Transparent"/>
          <w:sz w:val="28"/>
          <w:szCs w:val="28"/>
          <w:lang w:bidi="ar-MA"/>
        </w:rPr>
        <w:t>2</w:t>
      </w:r>
      <w:proofErr w:type="spellStart"/>
      <w:proofErr w:type="gramEnd"/>
      <w:r w:rsidR="00AB04DB" w:rsidRPr="00B50DCB">
        <w:rPr>
          <w:rFonts w:ascii="Arial" w:hAnsi="Arial" w:cs="Arabic Transparent" w:hint="cs"/>
          <w:sz w:val="28"/>
          <w:szCs w:val="28"/>
          <w:rtl/>
          <w:lang w:bidi="ar-MA"/>
        </w:rPr>
        <w:t>٪</w:t>
      </w:r>
      <w:r w:rsidR="00AB04DB">
        <w:rPr>
          <w:rFonts w:ascii="Arial" w:hAnsi="Arial" w:cs="Arabic Transparent"/>
          <w:sz w:val="28"/>
          <w:szCs w:val="28"/>
          <w:rtl/>
          <w:lang w:bidi="ar-MA"/>
        </w:rPr>
        <w:t>،</w:t>
      </w:r>
      <w:proofErr w:type="spellEnd"/>
      <w:r w:rsidR="00AB04DB" w:rsidRPr="00B50DCB">
        <w:rPr>
          <w:rFonts w:cs="Arabic Transparent"/>
          <w:sz w:val="28"/>
          <w:szCs w:val="28"/>
          <w:rtl/>
          <w:lang w:bidi="ar-MA"/>
        </w:rPr>
        <w:t xml:space="preserve"> عوض 0,</w:t>
      </w:r>
      <w:r w:rsidR="00AB04DB">
        <w:rPr>
          <w:rFonts w:cs="Arabic Transparent"/>
          <w:sz w:val="28"/>
          <w:szCs w:val="28"/>
          <w:rtl/>
        </w:rPr>
        <w:t>9</w:t>
      </w:r>
      <w:r w:rsidR="00AB04DB" w:rsidRPr="00B50DCB">
        <w:rPr>
          <w:rFonts w:cs="Arabic Transparent" w:hint="cs"/>
          <w:sz w:val="28"/>
          <w:szCs w:val="28"/>
          <w:rtl/>
        </w:rPr>
        <w:t>٪</w:t>
      </w:r>
      <w:r w:rsidR="00AB04DB" w:rsidRPr="00B50DCB">
        <w:rPr>
          <w:rFonts w:cs="Arabic Transparent"/>
          <w:sz w:val="28"/>
          <w:szCs w:val="28"/>
          <w:rtl/>
          <w:lang w:bidi="ar-MA"/>
        </w:rPr>
        <w:t xml:space="preserve"> في الفصل </w:t>
      </w:r>
      <w:proofErr w:type="spellStart"/>
      <w:r w:rsidR="00AB04DB" w:rsidRPr="00B50DCB">
        <w:rPr>
          <w:rFonts w:cs="Arabic Transparent"/>
          <w:sz w:val="28"/>
          <w:szCs w:val="28"/>
          <w:rtl/>
          <w:lang w:bidi="ar-MA"/>
        </w:rPr>
        <w:t>ال</w:t>
      </w:r>
      <w:r w:rsidR="00AB04DB">
        <w:rPr>
          <w:rFonts w:cs="Arabic Transparent"/>
          <w:sz w:val="28"/>
          <w:szCs w:val="28"/>
          <w:rtl/>
          <w:lang w:bidi="ar-MA"/>
        </w:rPr>
        <w:t>ثاني،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حسب التغير السنوي. ويتوقع أن تتحسن </w:t>
      </w:r>
      <w:r w:rsidR="00AB04DB" w:rsidRPr="00B50DCB">
        <w:rPr>
          <w:rFonts w:cs="Arabic Transparent"/>
          <w:sz w:val="28"/>
          <w:szCs w:val="28"/>
          <w:rtl/>
          <w:lang w:bidi="ar-MA"/>
        </w:rPr>
        <w:t xml:space="preserve">الصناعات الغذائية 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بنسبة </w:t>
      </w:r>
      <w:r w:rsidR="00AB04DB">
        <w:rPr>
          <w:rFonts w:cs="Arabic Transparent"/>
          <w:sz w:val="28"/>
          <w:szCs w:val="28"/>
          <w:lang w:bidi="ar-MA"/>
        </w:rPr>
        <w:t>3</w:t>
      </w:r>
      <w:proofErr w:type="gramStart"/>
      <w:r w:rsidR="00AB04DB" w:rsidRPr="00B50DCB">
        <w:rPr>
          <w:rFonts w:cs="Arabic Transparent"/>
          <w:sz w:val="28"/>
          <w:szCs w:val="28"/>
          <w:lang w:bidi="ar-MA"/>
        </w:rPr>
        <w:t>,</w:t>
      </w:r>
      <w:r w:rsidR="00AB04DB">
        <w:rPr>
          <w:rFonts w:cs="Arabic Transparent"/>
          <w:sz w:val="28"/>
          <w:szCs w:val="28"/>
          <w:lang w:bidi="ar-MA"/>
        </w:rPr>
        <w:t>2</w:t>
      </w:r>
      <w:proofErr w:type="spellStart"/>
      <w:proofErr w:type="gramEnd"/>
      <w:r w:rsidR="00AB04DB" w:rsidRPr="00B50DCB">
        <w:rPr>
          <w:rFonts w:ascii="Arial" w:hAnsi="Arial" w:cs="Arabic Transparent" w:hint="cs"/>
          <w:sz w:val="28"/>
          <w:szCs w:val="28"/>
          <w:rtl/>
          <w:lang w:bidi="ar-MA"/>
        </w:rPr>
        <w:t>٪</w:t>
      </w:r>
      <w:r w:rsidR="00AB04DB">
        <w:rPr>
          <w:rFonts w:ascii="Arial" w:hAnsi="Arial" w:cs="Arabic Transparent"/>
          <w:sz w:val="28"/>
          <w:szCs w:val="28"/>
          <w:rtl/>
          <w:lang w:bidi="ar-MA"/>
        </w:rPr>
        <w:t>،</w:t>
      </w:r>
      <w:proofErr w:type="spellEnd"/>
      <w:r w:rsidR="00AB04DB">
        <w:rPr>
          <w:rFonts w:ascii="Arial" w:hAnsi="Arial" w:cs="Arabic Transparent"/>
          <w:sz w:val="28"/>
          <w:szCs w:val="28"/>
          <w:rtl/>
          <w:lang w:bidi="ar-MA"/>
        </w:rPr>
        <w:t xml:space="preserve"> فيما ستعرف 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الأنشطة </w:t>
      </w:r>
      <w:r w:rsidR="00AB04DB" w:rsidRPr="00B50DCB">
        <w:rPr>
          <w:rFonts w:cs="Arabic Transparent"/>
          <w:sz w:val="28"/>
          <w:szCs w:val="28"/>
          <w:rtl/>
          <w:lang w:bidi="ar-MA"/>
        </w:rPr>
        <w:t>المرتبطة ب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صناعة الملابس </w:t>
      </w:r>
      <w:r w:rsidR="00AB04DB" w:rsidRPr="00B50DCB">
        <w:rPr>
          <w:rFonts w:cs="Arabic Transparent"/>
          <w:sz w:val="28"/>
          <w:szCs w:val="28"/>
          <w:rtl/>
          <w:lang w:bidi="ar-MA"/>
        </w:rPr>
        <w:t>و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كذلك صناعات مواد البناء بعض التراجع. وفي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المقابل،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يرتقب أن تواصل صناعات تحويل المعادن والصناعات الالكترونية تباطؤها</w:t>
      </w:r>
      <w:r w:rsidR="00AB04DB" w:rsidRPr="00B50DCB">
        <w:rPr>
          <w:rFonts w:cs="Arabic Transparent"/>
          <w:sz w:val="28"/>
          <w:szCs w:val="28"/>
          <w:lang w:bidi="ar-MA"/>
        </w:rPr>
        <w:t>,</w:t>
      </w:r>
      <w:r w:rsidR="00AB04DB">
        <w:rPr>
          <w:rFonts w:cs="Arabic Transparent"/>
          <w:sz w:val="28"/>
          <w:szCs w:val="28"/>
          <w:lang w:bidi="ar-MA"/>
        </w:rPr>
        <w:t>7)</w:t>
      </w:r>
      <w:r w:rsidR="00AB04DB" w:rsidRPr="009B0DB1">
        <w:rPr>
          <w:rFonts w:ascii="Arial" w:hAnsi="Arial" w:cs="Arabic Transparent"/>
          <w:sz w:val="28"/>
          <w:szCs w:val="28"/>
          <w:lang w:bidi="ar-MA"/>
        </w:rPr>
        <w:t xml:space="preserve"> </w:t>
      </w:r>
      <w:proofErr w:type="spellStart"/>
      <w:r w:rsidR="00AB04DB">
        <w:rPr>
          <w:rFonts w:ascii="Arial" w:hAnsi="Arial" w:cs="Arabic Transparent"/>
          <w:sz w:val="28"/>
          <w:szCs w:val="28"/>
          <w:rtl/>
          <w:lang w:bidi="ar-MA"/>
        </w:rPr>
        <w:t>1+</w:t>
      </w:r>
      <w:r w:rsidR="00AB04DB" w:rsidRPr="00B50DCB">
        <w:rPr>
          <w:rFonts w:ascii="Arial" w:hAnsi="Arial" w:cs="Arabic Transparent" w:hint="cs"/>
          <w:sz w:val="28"/>
          <w:szCs w:val="28"/>
          <w:rtl/>
          <w:lang w:bidi="ar-MA"/>
        </w:rPr>
        <w:t>٪</w:t>
      </w:r>
      <w:proofErr w:type="spellEnd"/>
      <w:r w:rsidR="00AB04DB">
        <w:rPr>
          <w:rFonts w:ascii="Arial" w:hAnsi="Arial" w:cs="Arabic Transparent"/>
          <w:sz w:val="28"/>
          <w:szCs w:val="28"/>
          <w:lang w:bidi="ar-MA"/>
        </w:rPr>
        <w:t>(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.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أما</w:t>
      </w:r>
      <w:r w:rsidR="00AB04DB" w:rsidRPr="00B50DCB">
        <w:rPr>
          <w:rFonts w:cs="Arabic Transparent"/>
          <w:sz w:val="28"/>
          <w:szCs w:val="28"/>
          <w:rtl/>
          <w:lang w:bidi="ar-MA"/>
        </w:rPr>
        <w:t xml:space="preserve"> الصناعات الكيميائية </w:t>
      </w:r>
      <w:r w:rsidR="00AB04DB">
        <w:rPr>
          <w:rFonts w:cs="Arabic Transparent"/>
          <w:sz w:val="28"/>
          <w:szCs w:val="28"/>
          <w:rtl/>
          <w:lang w:bidi="ar-MA"/>
        </w:rPr>
        <w:t xml:space="preserve">والشبه </w:t>
      </w:r>
      <w:proofErr w:type="spellStart"/>
      <w:r w:rsidR="00AB04DB" w:rsidRPr="00B50DCB">
        <w:rPr>
          <w:rFonts w:cs="Arabic Transparent"/>
          <w:sz w:val="28"/>
          <w:szCs w:val="28"/>
          <w:rtl/>
          <w:lang w:bidi="ar-MA"/>
        </w:rPr>
        <w:t>كيميائي</w:t>
      </w:r>
      <w:r w:rsidR="00AB04DB">
        <w:rPr>
          <w:rFonts w:cs="Arabic Transparent"/>
          <w:sz w:val="28"/>
          <w:szCs w:val="28"/>
          <w:rtl/>
          <w:lang w:bidi="ar-MA"/>
        </w:rPr>
        <w:t>ة،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فيرتقب أن تعرف بعض التراجع في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ديناميكيتها،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موازاة مع انخفاض الطلب الموجه </w:t>
      </w:r>
      <w:proofErr w:type="spellStart"/>
      <w:r w:rsidR="00AB04DB">
        <w:rPr>
          <w:rFonts w:cs="Arabic Transparent"/>
          <w:sz w:val="28"/>
          <w:szCs w:val="28"/>
          <w:rtl/>
          <w:lang w:bidi="ar-MA"/>
        </w:rPr>
        <w:t>للفوسفاط</w:t>
      </w:r>
      <w:proofErr w:type="spellEnd"/>
      <w:r w:rsidR="00AB04DB">
        <w:rPr>
          <w:rFonts w:cs="Arabic Transparent"/>
          <w:sz w:val="28"/>
          <w:szCs w:val="28"/>
          <w:rtl/>
          <w:lang w:bidi="ar-MA"/>
        </w:rPr>
        <w:t xml:space="preserve"> ومشتقاته وتقلص أسعاره في الأسواق العالمية. </w:t>
      </w:r>
    </w:p>
    <w:p w:rsidR="00AB04DB" w:rsidRPr="003C6352" w:rsidRDefault="001075E1" w:rsidP="00B50DCB">
      <w:pPr>
        <w:bidi/>
        <w:spacing w:line="340" w:lineRule="exact"/>
        <w:jc w:val="both"/>
        <w:rPr>
          <w:rFonts w:cs="Arabic Transparen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76200</wp:posOffset>
            </wp:positionV>
            <wp:extent cx="2971800" cy="2286000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Default="00AB04DB" w:rsidP="000F184D">
      <w:pPr>
        <w:bidi/>
        <w:spacing w:line="340" w:lineRule="exact"/>
        <w:jc w:val="both"/>
        <w:rPr>
          <w:rStyle w:val="hps"/>
          <w:rFonts w:cs="Arabic Transparent"/>
          <w:spacing w:val="-2"/>
          <w:sz w:val="28"/>
          <w:szCs w:val="28"/>
          <w:rtl/>
        </w:rPr>
      </w:pPr>
      <w:r>
        <w:rPr>
          <w:rFonts w:cs="Arabic Transparent"/>
          <w:spacing w:val="-2"/>
          <w:sz w:val="28"/>
          <w:szCs w:val="28"/>
          <w:rtl/>
          <w:lang w:bidi="ar-MA"/>
        </w:rPr>
        <w:t xml:space="preserve">وعلى خلاف القطاع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الثانوي</w:t>
      </w:r>
      <w:r>
        <w:rPr>
          <w:spacing w:val="-2"/>
          <w:sz w:val="28"/>
          <w:szCs w:val="28"/>
          <w:rtl/>
          <w:lang w:bidi="ar-MA"/>
        </w:rPr>
        <w:t>٬</w:t>
      </w:r>
      <w:proofErr w:type="spellEnd"/>
      <w:r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 س</w:t>
      </w:r>
      <w:r>
        <w:rPr>
          <w:rFonts w:cs="Arabic Transparent"/>
          <w:spacing w:val="-2"/>
          <w:sz w:val="28"/>
          <w:szCs w:val="28"/>
          <w:rtl/>
          <w:lang w:bidi="ar-MA"/>
        </w:rPr>
        <w:t>ت</w:t>
      </w:r>
      <w:r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واصل </w:t>
      </w:r>
      <w:r>
        <w:rPr>
          <w:rFonts w:cs="Arabic Transparent"/>
          <w:spacing w:val="-2"/>
          <w:sz w:val="28"/>
          <w:szCs w:val="28"/>
          <w:rtl/>
          <w:lang w:bidi="ar-MA"/>
        </w:rPr>
        <w:t>الأنشطة السياحية تحسنها</w:t>
      </w:r>
      <w:proofErr w:type="spellStart"/>
      <w:r w:rsidRPr="00B50DCB">
        <w:rPr>
          <w:rStyle w:val="hps"/>
          <w:rFonts w:cs="Arabic Transparent"/>
          <w:spacing w:val="-2"/>
          <w:sz w:val="28"/>
          <w:szCs w:val="28"/>
          <w:rtl/>
        </w:rPr>
        <w:t>،</w:t>
      </w:r>
      <w:proofErr w:type="spellEnd"/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خلال الفصل الثا</w:t>
      </w:r>
      <w:r>
        <w:rPr>
          <w:rStyle w:val="hps"/>
          <w:rFonts w:cs="Arabic Transparent"/>
          <w:spacing w:val="-2"/>
          <w:sz w:val="28"/>
          <w:szCs w:val="28"/>
          <w:rtl/>
        </w:rPr>
        <w:t>لث</w:t>
      </w:r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</w:t>
      </w:r>
      <w:proofErr w:type="spellStart"/>
      <w:r w:rsidRPr="00B50DCB">
        <w:rPr>
          <w:rStyle w:val="hps"/>
          <w:rFonts w:cs="Arabic Transparent"/>
          <w:spacing w:val="-2"/>
          <w:sz w:val="28"/>
          <w:szCs w:val="28"/>
          <w:rtl/>
        </w:rPr>
        <w:t>2013،</w:t>
      </w:r>
      <w:proofErr w:type="spellEnd"/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</w:t>
      </w:r>
      <w:r>
        <w:rPr>
          <w:rStyle w:val="hps"/>
          <w:rFonts w:cs="Arabic Transparent"/>
          <w:spacing w:val="-2"/>
          <w:sz w:val="28"/>
          <w:szCs w:val="28"/>
          <w:rtl/>
        </w:rPr>
        <w:t xml:space="preserve">حيث يتوقع أن تحقق قيمتها المضافة </w:t>
      </w:r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نموا يقدر ب </w:t>
      </w:r>
      <w:r w:rsidRPr="009B0DB1">
        <w:rPr>
          <w:rStyle w:val="hps"/>
          <w:rFonts w:cs="Arabic Transparent"/>
          <w:spacing w:val="-2"/>
        </w:rPr>
        <w:t>4</w:t>
      </w:r>
      <w:proofErr w:type="spellStart"/>
      <w:r w:rsidRPr="009B0DB1">
        <w:rPr>
          <w:rStyle w:val="hps"/>
          <w:rFonts w:cs="Arabic Transparent" w:hint="cs"/>
          <w:spacing w:val="-2"/>
          <w:rtl/>
        </w:rPr>
        <w:t>٪</w:t>
      </w:r>
      <w:r w:rsidRPr="009B0DB1">
        <w:rPr>
          <w:rStyle w:val="hps"/>
          <w:rFonts w:cs="Arabic Transparent"/>
          <w:spacing w:val="-2"/>
          <w:rtl/>
        </w:rPr>
        <w:t>،</w:t>
      </w:r>
      <w:proofErr w:type="spellEnd"/>
      <w:r w:rsidRPr="009B0DB1">
        <w:rPr>
          <w:rStyle w:val="hps"/>
          <w:rFonts w:cs="Arabic Transparent"/>
          <w:spacing w:val="-2"/>
          <w:rtl/>
        </w:rPr>
        <w:t xml:space="preserve"> </w:t>
      </w:r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حسب التغير </w:t>
      </w:r>
      <w:proofErr w:type="spellStart"/>
      <w:r w:rsidRPr="00B50DCB">
        <w:rPr>
          <w:rStyle w:val="hps"/>
          <w:rFonts w:cs="Arabic Transparent"/>
          <w:spacing w:val="-2"/>
          <w:sz w:val="28"/>
          <w:szCs w:val="28"/>
          <w:rtl/>
        </w:rPr>
        <w:t>السنوي،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بعد زيادة قدرها </w:t>
      </w:r>
      <w:proofErr w:type="spellStart"/>
      <w:r w:rsidRPr="009B0DB1">
        <w:rPr>
          <w:rStyle w:val="hps"/>
          <w:rFonts w:cs="Arabic Transparent"/>
          <w:spacing w:val="-2"/>
          <w:rtl/>
        </w:rPr>
        <w:t>5</w:t>
      </w:r>
      <w:proofErr w:type="gramStart"/>
      <w:r w:rsidRPr="009B0DB1">
        <w:rPr>
          <w:rStyle w:val="hps"/>
          <w:rFonts w:cs="Arabic Transparent"/>
          <w:spacing w:val="-2"/>
          <w:rtl/>
        </w:rPr>
        <w:t>,1</w:t>
      </w:r>
      <w:proofErr w:type="gramEnd"/>
      <w:r w:rsidRPr="009B0DB1">
        <w:rPr>
          <w:rStyle w:val="hps"/>
          <w:rFonts w:cs="Arabic Transparent" w:hint="cs"/>
          <w:spacing w:val="-2"/>
          <w:rtl/>
        </w:rPr>
        <w:t>٪</w:t>
      </w:r>
      <w:r w:rsidRPr="009B0DB1">
        <w:rPr>
          <w:rStyle w:val="hps"/>
          <w:rFonts w:cs="Arabic Transparent"/>
          <w:spacing w:val="-2"/>
          <w:rtl/>
        </w:rPr>
        <w:t>،</w:t>
      </w:r>
      <w:proofErr w:type="spellEnd"/>
      <w:r w:rsidRPr="009B0DB1">
        <w:rPr>
          <w:rStyle w:val="hps"/>
          <w:rFonts w:cs="Arabic Transparent"/>
          <w:spacing w:val="-2"/>
          <w:rtl/>
        </w:rPr>
        <w:t xml:space="preserve"> </w:t>
      </w:r>
      <w:r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</w:t>
      </w:r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في الفصل </w:t>
      </w:r>
      <w:proofErr w:type="spellStart"/>
      <w:r w:rsidRPr="009B0DB1">
        <w:rPr>
          <w:rStyle w:val="hps"/>
          <w:rFonts w:cs="Arabic Transparent"/>
          <w:spacing w:val="-2"/>
          <w:sz w:val="28"/>
          <w:szCs w:val="28"/>
          <w:rtl/>
        </w:rPr>
        <w:t>الثاني،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مستفيدة من ارتفاع عدد المبيتات والمداخل السياحية بنسب تقدر ب </w:t>
      </w:r>
      <w:proofErr w:type="spellStart"/>
      <w:r w:rsidRPr="009B0DB1">
        <w:rPr>
          <w:rStyle w:val="hps"/>
          <w:rFonts w:cs="Arabic Transparent"/>
          <w:spacing w:val="-2"/>
          <w:sz w:val="28"/>
          <w:szCs w:val="28"/>
          <w:rtl/>
        </w:rPr>
        <w:t>5</w:t>
      </w:r>
      <w:r w:rsidRPr="009B0DB1">
        <w:rPr>
          <w:rStyle w:val="hps"/>
          <w:rFonts w:cs="Arabic Transparent" w:hint="cs"/>
          <w:spacing w:val="-2"/>
          <w:sz w:val="28"/>
          <w:szCs w:val="28"/>
          <w:rtl/>
        </w:rPr>
        <w:t>٪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و </w:t>
      </w:r>
      <w:proofErr w:type="spellStart"/>
      <w:r w:rsidRPr="009B0DB1">
        <w:rPr>
          <w:rStyle w:val="hps"/>
          <w:rFonts w:cs="Arabic Transparent"/>
          <w:spacing w:val="-2"/>
          <w:sz w:val="28"/>
          <w:szCs w:val="28"/>
          <w:rtl/>
        </w:rPr>
        <w:t>13</w:t>
      </w:r>
      <w:r w:rsidRPr="009B0DB1">
        <w:rPr>
          <w:rStyle w:val="hps"/>
          <w:rFonts w:cs="Arabic Transparent" w:hint="cs"/>
          <w:spacing w:val="-2"/>
          <w:sz w:val="28"/>
          <w:szCs w:val="28"/>
          <w:rtl/>
        </w:rPr>
        <w:t>٪</w:t>
      </w:r>
      <w:r w:rsidRPr="009B0DB1">
        <w:rPr>
          <w:rStyle w:val="hps"/>
          <w:rFonts w:cs="Arabic Transparent"/>
          <w:spacing w:val="-2"/>
          <w:sz w:val="28"/>
          <w:szCs w:val="28"/>
          <w:rtl/>
        </w:rPr>
        <w:t>،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على التوالي. هذا التطور سيميز كذلك عدد العابرين للمراكز </w:t>
      </w:r>
      <w:proofErr w:type="spellStart"/>
      <w:r w:rsidRPr="009B0DB1">
        <w:rPr>
          <w:rStyle w:val="hps"/>
          <w:rFonts w:cs="Arabic Transparent"/>
          <w:spacing w:val="-2"/>
          <w:sz w:val="28"/>
          <w:szCs w:val="28"/>
          <w:rtl/>
        </w:rPr>
        <w:t>الحدودية،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وخاصة الأجانب الذين سيرتفع عددهم بنسبة تقدر ب </w:t>
      </w:r>
      <w:proofErr w:type="spellStart"/>
      <w:r w:rsidRPr="009B0DB1">
        <w:rPr>
          <w:rStyle w:val="hps"/>
          <w:rFonts w:cs="Arabic Transparent"/>
          <w:spacing w:val="-2"/>
          <w:sz w:val="28"/>
          <w:szCs w:val="28"/>
          <w:rtl/>
        </w:rPr>
        <w:t>28,5</w:t>
      </w:r>
      <w:r w:rsidRPr="009B0DB1">
        <w:rPr>
          <w:rStyle w:val="hps"/>
          <w:rFonts w:cs="Arabic Transparent" w:hint="cs"/>
          <w:spacing w:val="-2"/>
          <w:sz w:val="28"/>
          <w:szCs w:val="28"/>
          <w:rtl/>
        </w:rPr>
        <w:t>٪</w:t>
      </w:r>
      <w:r w:rsidRPr="009B0DB1">
        <w:rPr>
          <w:rStyle w:val="hps"/>
          <w:rFonts w:cs="Arabic Transparent"/>
          <w:spacing w:val="-2"/>
          <w:sz w:val="28"/>
          <w:szCs w:val="28"/>
          <w:rtl/>
        </w:rPr>
        <w:t>،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بفضل النتائج الايجابية المسجلة خلال شهر غشت المنصرم</w:t>
      </w:r>
      <w:proofErr w:type="spellStart"/>
      <w:r w:rsidRPr="009B0DB1">
        <w:rPr>
          <w:rFonts w:cs="Arabic Transparent"/>
          <w:sz w:val="28"/>
          <w:szCs w:val="28"/>
          <w:rtl/>
          <w:lang w:bidi="ar-MA"/>
        </w:rPr>
        <w:t>.</w:t>
      </w:r>
      <w:proofErr w:type="spellEnd"/>
      <w:r w:rsidRPr="009B0DB1">
        <w:rPr>
          <w:rStyle w:val="hps"/>
          <w:rFonts w:cs="Arabic Transparent"/>
          <w:spacing w:val="-2"/>
          <w:sz w:val="28"/>
          <w:szCs w:val="28"/>
          <w:rtl/>
        </w:rPr>
        <w:t xml:space="preserve"> </w:t>
      </w:r>
    </w:p>
    <w:p w:rsidR="00AB04DB" w:rsidRPr="009B0DB1" w:rsidRDefault="00AB04DB" w:rsidP="003C6352">
      <w:pPr>
        <w:bidi/>
        <w:spacing w:line="340" w:lineRule="exact"/>
        <w:jc w:val="both"/>
        <w:rPr>
          <w:rStyle w:val="hps"/>
          <w:rFonts w:cs="Arabic Transparent"/>
          <w:spacing w:val="-2"/>
          <w:sz w:val="28"/>
          <w:szCs w:val="28"/>
          <w:rtl/>
        </w:rPr>
      </w:pPr>
    </w:p>
    <w:p w:rsidR="00AB04DB" w:rsidRPr="009B0DB1" w:rsidRDefault="00AB04DB" w:rsidP="000226FA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</w:rPr>
      </w:pPr>
      <w:r>
        <w:rPr>
          <w:rFonts w:cs="Arabic Transparent"/>
          <w:spacing w:val="-2"/>
          <w:sz w:val="28"/>
          <w:szCs w:val="28"/>
          <w:rtl/>
          <w:lang w:bidi="ar-MA"/>
        </w:rPr>
        <w:t xml:space="preserve">وعلى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العموم،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وباعتبار المؤشرات الاقتصادية المجمعة إلى غاية شهر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شتنبر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2013،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وكذلك التوقعات القطاعية الخاصة بالفصل </w:t>
      </w:r>
      <w:proofErr w:type="spellStart"/>
      <w:r>
        <w:rPr>
          <w:rFonts w:cs="Arabic Transparent"/>
          <w:spacing w:val="-2"/>
          <w:sz w:val="28"/>
          <w:szCs w:val="28"/>
          <w:rtl/>
          <w:lang w:bidi="ar-MA"/>
        </w:rPr>
        <w:t>الثالث،</w:t>
      </w:r>
      <w:proofErr w:type="spellEnd"/>
      <w:r>
        <w:rPr>
          <w:rFonts w:cs="Arabic Transparent"/>
          <w:spacing w:val="-2"/>
          <w:sz w:val="28"/>
          <w:szCs w:val="28"/>
          <w:rtl/>
          <w:lang w:bidi="ar-MA"/>
        </w:rPr>
        <w:t xml:space="preserve"> </w:t>
      </w:r>
      <w:r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ينتظر أن يحقق الاقتصاد الوطني نموا يقدر ب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4,</w:t>
      </w:r>
      <w:r>
        <w:rPr>
          <w:rFonts w:cs="Arabic Transparent"/>
          <w:sz w:val="28"/>
          <w:szCs w:val="28"/>
          <w:rtl/>
          <w:lang w:bidi="ar-MA"/>
        </w:rPr>
        <w:t>5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خلال الفصل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الثالث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حسب التغير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السنوي،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مقابل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9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>.</w:t>
      </w:r>
    </w:p>
    <w:p w:rsidR="00AB04DB" w:rsidRDefault="00AB04DB" w:rsidP="00267A94">
      <w:pPr>
        <w:bidi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AB04DB" w:rsidRPr="00B50DCB" w:rsidRDefault="001075E1" w:rsidP="003C6352">
      <w:pPr>
        <w:bidi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91440</wp:posOffset>
            </wp:positionV>
            <wp:extent cx="3086100" cy="229108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9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4D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تباطؤ </w:t>
      </w:r>
      <w:r w:rsidR="00AB04DB"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أسعار الاستهلاك في ا</w:t>
      </w:r>
      <w:r w:rsidR="00AB04D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لنصف الثاني 2013</w:t>
      </w:r>
    </w:p>
    <w:p w:rsidR="00AB04DB" w:rsidRPr="00AE561C" w:rsidRDefault="00AB04DB" w:rsidP="00267A94">
      <w:pPr>
        <w:bidi/>
        <w:jc w:val="both"/>
        <w:rPr>
          <w:rFonts w:cs="Arabic Transparent"/>
          <w:b/>
          <w:bCs/>
          <w:color w:val="800000"/>
          <w:sz w:val="28"/>
          <w:szCs w:val="28"/>
        </w:rPr>
      </w:pPr>
    </w:p>
    <w:p w:rsidR="00AB04DB" w:rsidRDefault="00AB04DB" w:rsidP="00883AA4">
      <w:pPr>
        <w:jc w:val="both"/>
        <w:rPr>
          <w:rFonts w:cs="Arabic Transparent"/>
          <w:sz w:val="28"/>
          <w:szCs w:val="28"/>
          <w:rtl/>
          <w:lang w:bidi="ar-MA"/>
        </w:rPr>
      </w:pPr>
      <w:proofErr w:type="gramStart"/>
      <w:r>
        <w:rPr>
          <w:rFonts w:cs="Arabic Transparent"/>
          <w:sz w:val="28"/>
          <w:szCs w:val="28"/>
          <w:rtl/>
          <w:lang w:bidi="ar-MA"/>
        </w:rPr>
        <w:t>يرتقب</w:t>
      </w:r>
      <w:proofErr w:type="gramEnd"/>
      <w:r>
        <w:rPr>
          <w:rFonts w:cs="Arabic Transparent"/>
          <w:sz w:val="28"/>
          <w:szCs w:val="28"/>
          <w:rtl/>
          <w:lang w:bidi="ar-MA"/>
        </w:rPr>
        <w:t xml:space="preserve"> أن تشهد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أسعار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الاستهلاك،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خلال الفصل الثا</w:t>
      </w:r>
      <w:r>
        <w:rPr>
          <w:rFonts w:cs="Arabic Transparent"/>
          <w:sz w:val="28"/>
          <w:szCs w:val="28"/>
          <w:rtl/>
          <w:lang w:bidi="ar-MA"/>
        </w:rPr>
        <w:t xml:space="preserve">لث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انخفاضا في </w:t>
      </w:r>
      <w:r w:rsidRPr="00B50DCB">
        <w:rPr>
          <w:rFonts w:cs="Arabic Transparent"/>
          <w:sz w:val="28"/>
          <w:szCs w:val="28"/>
          <w:rtl/>
          <w:lang w:bidi="ar-MA"/>
        </w:rPr>
        <w:t>وثيرة</w:t>
      </w:r>
      <w:r>
        <w:rPr>
          <w:rFonts w:cs="Arabic Transparent"/>
          <w:sz w:val="28"/>
          <w:szCs w:val="28"/>
          <w:rtl/>
          <w:lang w:bidi="ar-MA"/>
        </w:rPr>
        <w:t xml:space="preserve"> نموها مقارنة مع بداية السنة. هكذا ستتراجع نسبة التضخم إلى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1</w:t>
      </w:r>
      <w:proofErr w:type="gramStart"/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7</w:t>
      </w:r>
      <w:proofErr w:type="gramEnd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/>
          <w:sz w:val="28"/>
          <w:szCs w:val="28"/>
          <w:rtl/>
          <w:lang w:bidi="ar-MA"/>
        </w:rPr>
        <w:t>,4٪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و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2,5٪،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خلال الفصلين الأول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والثاني،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>حسب التغير السنوي. و</w:t>
      </w:r>
      <w:r>
        <w:rPr>
          <w:rFonts w:cs="Arabic Transparent"/>
          <w:sz w:val="28"/>
          <w:szCs w:val="28"/>
          <w:rtl/>
          <w:lang w:bidi="ar-MA"/>
        </w:rPr>
        <w:t xml:space="preserve">قد هم هذا </w:t>
      </w:r>
      <w:r w:rsidRPr="00B50DCB">
        <w:rPr>
          <w:rFonts w:cs="Arabic Transparent"/>
          <w:sz w:val="28"/>
          <w:szCs w:val="28"/>
          <w:rtl/>
          <w:lang w:bidi="ar-MA"/>
        </w:rPr>
        <w:t>الت</w:t>
      </w:r>
      <w:r>
        <w:rPr>
          <w:rFonts w:cs="Arabic Transparent"/>
          <w:sz w:val="28"/>
          <w:szCs w:val="28"/>
          <w:rtl/>
          <w:lang w:bidi="ar-MA"/>
        </w:rPr>
        <w:t xml:space="preserve">باطؤ كل من </w:t>
      </w:r>
      <w:r w:rsidRPr="00B50DCB">
        <w:rPr>
          <w:rFonts w:cs="Arabic Transparent"/>
          <w:sz w:val="28"/>
          <w:szCs w:val="28"/>
          <w:rtl/>
          <w:lang w:bidi="ar-MA"/>
        </w:rPr>
        <w:t>أسعار</w:t>
      </w:r>
      <w:r>
        <w:rPr>
          <w:rFonts w:cs="Arabic Transparent"/>
          <w:sz w:val="28"/>
          <w:szCs w:val="28"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المواد </w:t>
      </w:r>
      <w:r w:rsidRPr="00B50DCB">
        <w:rPr>
          <w:rFonts w:cs="Arabic Transparent"/>
          <w:sz w:val="28"/>
          <w:szCs w:val="28"/>
          <w:rtl/>
          <w:lang w:bidi="ar-MA"/>
        </w:rPr>
        <w:t>الغذائية</w:t>
      </w:r>
      <w:r>
        <w:rPr>
          <w:rFonts w:cs="Arabic Transparent"/>
          <w:sz w:val="28"/>
          <w:szCs w:val="28"/>
          <w:rtl/>
          <w:lang w:bidi="ar-MA"/>
        </w:rPr>
        <w:t xml:space="preserve"> و</w:t>
      </w:r>
      <w:r w:rsidRPr="00427182"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>المواد غير الغذائية</w:t>
      </w:r>
      <w:r>
        <w:rPr>
          <w:rFonts w:cs="Arabic Transparent"/>
          <w:sz w:val="28"/>
          <w:szCs w:val="28"/>
          <w:rtl/>
          <w:lang w:bidi="ar-MA"/>
        </w:rPr>
        <w:t xml:space="preserve"> بزيادات بلغت على التوالي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2,3</w:t>
      </w:r>
      <w:proofErr w:type="gramStart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</w:t>
      </w:r>
      <w:proofErr w:type="gramEnd"/>
      <w:r>
        <w:rPr>
          <w:rFonts w:cs="Arabic Transparent"/>
          <w:sz w:val="28"/>
          <w:szCs w:val="28"/>
          <w:rtl/>
          <w:lang w:bidi="ar-MA"/>
        </w:rPr>
        <w:t xml:space="preserve">و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1,</w:t>
      </w:r>
      <w:r>
        <w:rPr>
          <w:rFonts w:cs="Arabic Transparent"/>
          <w:sz w:val="28"/>
          <w:szCs w:val="28"/>
          <w:rtl/>
          <w:lang w:bidi="ar-MA"/>
        </w:rPr>
        <w:t>3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حسب التغير السنوي. </w:t>
      </w:r>
      <w:r w:rsidRPr="00B50DCB">
        <w:rPr>
          <w:rFonts w:cs="Arabic Transparent"/>
          <w:sz w:val="28"/>
          <w:szCs w:val="28"/>
          <w:rtl/>
          <w:lang w:bidi="ar-MA"/>
        </w:rPr>
        <w:t>ويتوقع أن ت</w:t>
      </w:r>
      <w:r>
        <w:rPr>
          <w:rFonts w:cs="Arabic Transparent"/>
          <w:sz w:val="28"/>
          <w:szCs w:val="28"/>
          <w:rtl/>
          <w:lang w:bidi="ar-MA"/>
        </w:rPr>
        <w:t xml:space="preserve">تراجع وتيرة أسعار المواد الغذائية إلى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الفصل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الرابع،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مقابل استقرارها في حدود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3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بالنسبة لأسعار المواد غير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الغذائية،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لتتراجع نسبة التضخم الكلي إلى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6+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نفس الفترة.</w:t>
      </w:r>
      <w:r w:rsidRPr="0029143F"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وفي نفس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السياق،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>ينتظر أن يشهد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معدل التضخم الكامن</w:t>
      </w:r>
      <w:r>
        <w:rPr>
          <w:rFonts w:cs="Arabic Transparent"/>
          <w:sz w:val="28"/>
          <w:szCs w:val="28"/>
          <w:rtl/>
          <w:lang w:bidi="ar-MA"/>
        </w:rPr>
        <w:t xml:space="preserve"> بعض التباطؤ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ليستقر في حدود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1</w:t>
      </w:r>
      <w:proofErr w:type="gramStart"/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4</w:t>
      </w:r>
      <w:proofErr w:type="gramEnd"/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خلال الفصل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الرابع،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مقابل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8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خلال الفصل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</w:t>
      </w:r>
      <w:r>
        <w:rPr>
          <w:rFonts w:cs="Arabic Transparent"/>
          <w:sz w:val="28"/>
          <w:szCs w:val="28"/>
          <w:rtl/>
          <w:lang w:bidi="ar-MA"/>
        </w:rPr>
        <w:t>ثالث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بفضل استمرار تراجع أسعار المواد الأولية </w:t>
      </w:r>
      <w:r>
        <w:rPr>
          <w:rFonts w:cs="Arabic Transparent"/>
          <w:sz w:val="28"/>
          <w:szCs w:val="28"/>
          <w:rtl/>
          <w:lang w:bidi="ar-MA"/>
        </w:rPr>
        <w:t xml:space="preserve">الغذائية </w:t>
      </w:r>
      <w:r w:rsidRPr="00B50DCB">
        <w:rPr>
          <w:rFonts w:cs="Arabic Transparent"/>
          <w:sz w:val="28"/>
          <w:szCs w:val="28"/>
          <w:rtl/>
          <w:lang w:bidi="ar-MA"/>
        </w:rPr>
        <w:t>و</w:t>
      </w:r>
      <w:r>
        <w:rPr>
          <w:rFonts w:cs="Arabic Transparent"/>
          <w:sz w:val="28"/>
          <w:szCs w:val="28"/>
          <w:rtl/>
          <w:lang w:bidi="ar-MA"/>
        </w:rPr>
        <w:t xml:space="preserve">انخفاض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أسعار </w:t>
      </w:r>
      <w:r>
        <w:rPr>
          <w:rFonts w:cs="Arabic Transparent"/>
          <w:sz w:val="28"/>
          <w:szCs w:val="28"/>
          <w:rtl/>
          <w:lang w:bidi="ar-MA"/>
        </w:rPr>
        <w:t>المواصلات</w:t>
      </w:r>
      <w:r w:rsidRPr="00B50DCB">
        <w:rPr>
          <w:rFonts w:cs="Arabic Transparent"/>
          <w:sz w:val="28"/>
          <w:szCs w:val="28"/>
          <w:rtl/>
          <w:lang w:bidi="ar-MA"/>
        </w:rPr>
        <w:t>.</w:t>
      </w:r>
      <w:r>
        <w:rPr>
          <w:rFonts w:cs="Arabic Transparent"/>
          <w:sz w:val="28"/>
          <w:szCs w:val="28"/>
          <w:rtl/>
          <w:lang w:bidi="ar-MA"/>
        </w:rPr>
        <w:t xml:space="preserve">                                                                                       </w:t>
      </w:r>
    </w:p>
    <w:p w:rsidR="00AB04DB" w:rsidRDefault="00AB04DB" w:rsidP="003533A1">
      <w:pPr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 xml:space="preserve">                                                       </w:t>
      </w:r>
    </w:p>
    <w:p w:rsidR="00AB04DB" w:rsidRDefault="00AB04DB" w:rsidP="003533A1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تباطؤ ا</w:t>
      </w: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لكتلة النقدية</w:t>
      </w: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 والقروض البنكية</w:t>
      </w:r>
    </w:p>
    <w:p w:rsidR="00AB04DB" w:rsidRPr="00B50DCB" w:rsidRDefault="00AB04DB" w:rsidP="001D47F5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AB04DB" w:rsidRPr="00B50DCB" w:rsidRDefault="00AB04DB" w:rsidP="000226FA">
      <w:pPr>
        <w:bidi/>
        <w:spacing w:line="340" w:lineRule="exact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واصلت </w:t>
      </w:r>
      <w:r w:rsidRPr="00B50DCB">
        <w:rPr>
          <w:rFonts w:cs="Arabic Transparent"/>
          <w:sz w:val="28"/>
          <w:szCs w:val="28"/>
          <w:rtl/>
        </w:rPr>
        <w:t>سيولة</w:t>
      </w:r>
      <w:r>
        <w:rPr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Fonts w:cs="Arabic Transparent"/>
          <w:sz w:val="28"/>
          <w:szCs w:val="28"/>
          <w:rtl/>
        </w:rPr>
        <w:t>الأبناك</w:t>
      </w:r>
      <w:proofErr w:type="spellEnd"/>
      <w:r>
        <w:rPr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Fonts w:cs="Arabic Transparent"/>
          <w:sz w:val="28"/>
          <w:szCs w:val="28"/>
          <w:rtl/>
        </w:rPr>
        <w:t>تراجعها</w:t>
      </w:r>
      <w:r w:rsidRPr="00B50DCB">
        <w:rPr>
          <w:rFonts w:cs="Arabic Transparent"/>
          <w:sz w:val="28"/>
          <w:szCs w:val="28"/>
          <w:rtl/>
        </w:rPr>
        <w:t>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خلال الفصل الثا</w:t>
      </w:r>
      <w:r>
        <w:rPr>
          <w:rFonts w:cs="Arabic Transparent"/>
          <w:sz w:val="28"/>
          <w:szCs w:val="28"/>
          <w:rtl/>
        </w:rPr>
        <w:t>لث</w:t>
      </w:r>
      <w:r w:rsidRPr="00B50DCB">
        <w:rPr>
          <w:rFonts w:cs="Arabic Transparent"/>
          <w:sz w:val="28"/>
          <w:szCs w:val="28"/>
          <w:rtl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وذلك بعد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تحسن طفيف</w:t>
      </w:r>
      <w:proofErr w:type="gramStart"/>
      <w:r w:rsidRPr="00B50DCB">
        <w:rPr>
          <w:rFonts w:cs="Arabic Transparent"/>
          <w:sz w:val="28"/>
          <w:szCs w:val="28"/>
          <w:rtl/>
        </w:rPr>
        <w:t xml:space="preserve"> خ</w:t>
      </w:r>
      <w:proofErr w:type="gramEnd"/>
      <w:r w:rsidRPr="00B50DCB">
        <w:rPr>
          <w:rFonts w:cs="Arabic Transparent"/>
          <w:sz w:val="28"/>
          <w:szCs w:val="28"/>
          <w:rtl/>
        </w:rPr>
        <w:t>لال الفصل ال</w:t>
      </w:r>
      <w:r>
        <w:rPr>
          <w:rFonts w:cs="Arabic Transparent"/>
          <w:sz w:val="28"/>
          <w:szCs w:val="28"/>
          <w:rtl/>
        </w:rPr>
        <w:t>ثاني</w:t>
      </w:r>
      <w:r w:rsidRPr="00B50DCB">
        <w:rPr>
          <w:rFonts w:cs="Arabic Transparent"/>
          <w:sz w:val="28"/>
          <w:szCs w:val="28"/>
          <w:rtl/>
        </w:rPr>
        <w:t xml:space="preserve"> 2013. وقد شهدت الكتلة </w:t>
      </w:r>
      <w:proofErr w:type="spellStart"/>
      <w:r w:rsidRPr="00B50DCB">
        <w:rPr>
          <w:rFonts w:cs="Arabic Transparent"/>
          <w:sz w:val="28"/>
          <w:szCs w:val="28"/>
          <w:rtl/>
        </w:rPr>
        <w:t>النقدية،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المصححة من التغيرات</w:t>
      </w:r>
      <w:r w:rsidRPr="00B50DCB">
        <w:rPr>
          <w:rFonts w:cs="Arabic Transparent"/>
          <w:sz w:val="28"/>
          <w:szCs w:val="28"/>
          <w:rtl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</w:rPr>
        <w:t>الموسمية،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ارتفاعا يقدر ب </w:t>
      </w:r>
      <w:proofErr w:type="spellStart"/>
      <w:r w:rsidRPr="00B50DCB">
        <w:rPr>
          <w:rFonts w:cs="Arabic Transparent"/>
          <w:sz w:val="28"/>
          <w:szCs w:val="28"/>
          <w:rtl/>
        </w:rPr>
        <w:t>1,</w:t>
      </w:r>
      <w:r>
        <w:rPr>
          <w:rFonts w:cs="Arabic Transparent"/>
          <w:sz w:val="28"/>
          <w:szCs w:val="28"/>
          <w:rtl/>
        </w:rPr>
        <w:t>4</w:t>
      </w:r>
      <w:r w:rsidRPr="00B50DCB">
        <w:rPr>
          <w:rFonts w:cs="Arabic Transparent" w:hint="cs"/>
          <w:sz w:val="28"/>
          <w:szCs w:val="28"/>
          <w:rtl/>
        </w:rPr>
        <w:t>٪</w:t>
      </w:r>
      <w:proofErr w:type="spellEnd"/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 الفصل الثا</w:t>
      </w:r>
      <w:r>
        <w:rPr>
          <w:rFonts w:cs="Arabic Transparent"/>
          <w:sz w:val="28"/>
          <w:szCs w:val="28"/>
          <w:rtl/>
        </w:rPr>
        <w:t>لث</w:t>
      </w:r>
      <w:r w:rsidRPr="00B50DCB">
        <w:rPr>
          <w:rFonts w:cs="Arabic Transparent"/>
          <w:sz w:val="28"/>
          <w:szCs w:val="28"/>
          <w:rtl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حسب التغير </w:t>
      </w:r>
      <w:proofErr w:type="spellStart"/>
      <w:r w:rsidRPr="00B50DCB">
        <w:rPr>
          <w:rFonts w:cs="Arabic Transparent"/>
          <w:sz w:val="28"/>
          <w:szCs w:val="28"/>
          <w:rtl/>
        </w:rPr>
        <w:t>الفصلي،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فيما يتوقع أن ترتفع ب </w:t>
      </w:r>
      <w:proofErr w:type="spellStart"/>
      <w:r>
        <w:rPr>
          <w:rFonts w:cs="Arabic Transparent"/>
          <w:sz w:val="28"/>
          <w:szCs w:val="28"/>
          <w:rtl/>
        </w:rPr>
        <w:t>1</w:t>
      </w:r>
      <w:r w:rsidRPr="00B50DCB">
        <w:rPr>
          <w:rFonts w:cs="Arabic Transparent"/>
          <w:sz w:val="28"/>
          <w:szCs w:val="28"/>
          <w:rtl/>
        </w:rPr>
        <w:t>,6٪</w:t>
      </w:r>
      <w:proofErr w:type="spellEnd"/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 الفصل ال</w:t>
      </w:r>
      <w:r>
        <w:rPr>
          <w:rFonts w:cs="Arabic Transparent"/>
          <w:sz w:val="28"/>
          <w:szCs w:val="28"/>
          <w:rtl/>
        </w:rPr>
        <w:t>رابع</w:t>
      </w:r>
      <w:r w:rsidRPr="00B50DCB">
        <w:rPr>
          <w:rFonts w:cs="Arabic Transparent"/>
          <w:sz w:val="28"/>
          <w:szCs w:val="28"/>
          <w:rtl/>
        </w:rPr>
        <w:t xml:space="preserve">. </w:t>
      </w:r>
      <w:proofErr w:type="gramStart"/>
      <w:r w:rsidRPr="00B50DCB">
        <w:rPr>
          <w:rFonts w:cs="Arabic Transparent"/>
          <w:sz w:val="28"/>
          <w:szCs w:val="28"/>
          <w:rtl/>
        </w:rPr>
        <w:t>ومن</w:t>
      </w:r>
      <w:proofErr w:type="gramEnd"/>
      <w:r w:rsidRPr="00B50DCB">
        <w:rPr>
          <w:rFonts w:cs="Arabic Transparent"/>
          <w:sz w:val="28"/>
          <w:szCs w:val="28"/>
          <w:rtl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</w:rPr>
        <w:t>جهتها،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عرفت أسعار الفائدة الموجهة استقرار</w:t>
      </w:r>
      <w:r>
        <w:rPr>
          <w:rFonts w:cs="Arabic Transparent"/>
          <w:sz w:val="28"/>
          <w:szCs w:val="28"/>
          <w:rtl/>
        </w:rPr>
        <w:t xml:space="preserve">ا </w:t>
      </w:r>
      <w:r w:rsidRPr="00B50DCB">
        <w:rPr>
          <w:rFonts w:cs="Arabic Transparent"/>
          <w:sz w:val="28"/>
          <w:szCs w:val="28"/>
          <w:rtl/>
        </w:rPr>
        <w:t>في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 xml:space="preserve">الفصل </w:t>
      </w:r>
      <w:proofErr w:type="spellStart"/>
      <w:r w:rsidRPr="00B50DCB">
        <w:rPr>
          <w:rFonts w:cs="Arabic Transparent"/>
          <w:sz w:val="28"/>
          <w:szCs w:val="28"/>
          <w:rtl/>
        </w:rPr>
        <w:t>الثا</w:t>
      </w:r>
      <w:r>
        <w:rPr>
          <w:rFonts w:cs="Arabic Transparent"/>
          <w:sz w:val="28"/>
          <w:szCs w:val="28"/>
          <w:rtl/>
        </w:rPr>
        <w:t>لث</w:t>
      </w:r>
      <w:r w:rsidRPr="00B50DCB">
        <w:rPr>
          <w:rFonts w:cs="Arabic Transparent"/>
          <w:sz w:val="28"/>
          <w:szCs w:val="28"/>
          <w:rtl/>
        </w:rPr>
        <w:t>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فيما </w:t>
      </w:r>
      <w:r>
        <w:rPr>
          <w:rFonts w:cs="Arabic Transparent"/>
          <w:sz w:val="28"/>
          <w:szCs w:val="28"/>
          <w:rtl/>
        </w:rPr>
        <w:t>شهدت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أسعار الفائدة</w:t>
      </w:r>
      <w:r>
        <w:rPr>
          <w:rFonts w:cs="Arabic Transparent"/>
          <w:sz w:val="28"/>
          <w:szCs w:val="28"/>
          <w:rtl/>
        </w:rPr>
        <w:t xml:space="preserve"> بين البنوك وكذلك</w:t>
      </w:r>
      <w:r w:rsidRPr="00B50DCB">
        <w:rPr>
          <w:rFonts w:cs="Arabic Transparent"/>
          <w:sz w:val="28"/>
          <w:szCs w:val="28"/>
          <w:rtl/>
        </w:rPr>
        <w:t xml:space="preserve"> الخاصة بسندات الخزينة</w:t>
      </w:r>
      <w:r>
        <w:rPr>
          <w:rFonts w:cs="Arabic Transparent"/>
          <w:sz w:val="28"/>
          <w:szCs w:val="28"/>
          <w:rtl/>
        </w:rPr>
        <w:t xml:space="preserve"> تراجعا طفيفا. </w:t>
      </w:r>
      <w:proofErr w:type="spellStart"/>
      <w:r>
        <w:rPr>
          <w:rFonts w:cs="Arabic Transparent"/>
          <w:sz w:val="28"/>
          <w:szCs w:val="28"/>
          <w:rtl/>
        </w:rPr>
        <w:t>وبالموازاة</w:t>
      </w:r>
      <w:r w:rsidRPr="00B50DCB">
        <w:rPr>
          <w:rFonts w:cs="Arabic Transparent"/>
          <w:sz w:val="28"/>
          <w:szCs w:val="28"/>
          <w:rtl/>
        </w:rPr>
        <w:t>،</w:t>
      </w:r>
      <w:proofErr w:type="spellEnd"/>
      <w:r w:rsidRPr="00B50DCB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 xml:space="preserve">حققت القروض للاقتصاد نموا متواضعا يقدر ب </w:t>
      </w:r>
      <w:proofErr w:type="spellStart"/>
      <w:r>
        <w:rPr>
          <w:rFonts w:cs="Arabic Transparent"/>
          <w:sz w:val="28"/>
          <w:szCs w:val="28"/>
          <w:rtl/>
        </w:rPr>
        <w:t>0</w:t>
      </w:r>
      <w:r w:rsidRPr="00B50DCB">
        <w:rPr>
          <w:rFonts w:cs="Arabic Transparent"/>
          <w:sz w:val="28"/>
          <w:szCs w:val="28"/>
          <w:rtl/>
        </w:rPr>
        <w:t>,</w:t>
      </w:r>
      <w:r>
        <w:rPr>
          <w:rFonts w:cs="Arabic Transparent"/>
          <w:sz w:val="28"/>
          <w:szCs w:val="28"/>
          <w:rtl/>
        </w:rPr>
        <w:t>5</w:t>
      </w:r>
      <w:r w:rsidRPr="00B50DCB">
        <w:rPr>
          <w:rFonts w:cs="Arabic Transparent" w:hint="cs"/>
          <w:sz w:val="28"/>
          <w:szCs w:val="28"/>
          <w:rtl/>
        </w:rPr>
        <w:t>٪</w:t>
      </w:r>
      <w:proofErr w:type="spellEnd"/>
      <w:r>
        <w:rPr>
          <w:rFonts w:cs="Arabic Transparent"/>
          <w:sz w:val="28"/>
          <w:szCs w:val="28"/>
          <w:rtl/>
        </w:rPr>
        <w:t xml:space="preserve"> ويتوقع أن يرتفع ب</w:t>
      </w:r>
      <w:r w:rsidRPr="00B50DCB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Fonts w:cs="Arabic Transparent"/>
          <w:sz w:val="28"/>
          <w:szCs w:val="28"/>
          <w:rtl/>
        </w:rPr>
        <w:t>0</w:t>
      </w:r>
      <w:r w:rsidRPr="00B50DCB">
        <w:rPr>
          <w:rFonts w:cs="Arabic Transparent"/>
          <w:sz w:val="28"/>
          <w:szCs w:val="28"/>
          <w:rtl/>
        </w:rPr>
        <w:t>,6٪</w:t>
      </w:r>
      <w:proofErr w:type="spellEnd"/>
      <w:r>
        <w:rPr>
          <w:rFonts w:cs="Arabic Transparent"/>
          <w:sz w:val="28"/>
          <w:szCs w:val="28"/>
          <w:rtl/>
        </w:rPr>
        <w:t xml:space="preserve"> </w:t>
      </w:r>
      <w:proofErr w:type="spellStart"/>
      <w:r>
        <w:rPr>
          <w:rFonts w:cs="Arabic Transparent"/>
          <w:sz w:val="28"/>
          <w:szCs w:val="28"/>
          <w:rtl/>
        </w:rPr>
        <w:t>فقط،</w:t>
      </w:r>
      <w:proofErr w:type="spellEnd"/>
      <w:r w:rsidRPr="00B50DCB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 xml:space="preserve">خلال الفصل </w:t>
      </w:r>
      <w:proofErr w:type="spellStart"/>
      <w:r>
        <w:rPr>
          <w:rFonts w:cs="Arabic Transparent"/>
          <w:sz w:val="28"/>
          <w:szCs w:val="28"/>
          <w:rtl/>
        </w:rPr>
        <w:t>الرابع،</w:t>
      </w:r>
      <w:proofErr w:type="spellEnd"/>
      <w:r>
        <w:rPr>
          <w:rFonts w:cs="Arabic Transparent"/>
          <w:sz w:val="28"/>
          <w:szCs w:val="28"/>
          <w:rtl/>
        </w:rPr>
        <w:t xml:space="preserve"> موازاة مع تباطؤ القطاعات غير </w:t>
      </w:r>
      <w:proofErr w:type="spellStart"/>
      <w:r>
        <w:rPr>
          <w:rFonts w:cs="Arabic Transparent"/>
          <w:sz w:val="28"/>
          <w:szCs w:val="28"/>
          <w:rtl/>
        </w:rPr>
        <w:t>الفلاحية</w:t>
      </w:r>
      <w:proofErr w:type="spellEnd"/>
      <w:r>
        <w:rPr>
          <w:rFonts w:cs="Arabic Transparent"/>
          <w:sz w:val="28"/>
          <w:szCs w:val="28"/>
          <w:rtl/>
        </w:rPr>
        <w:t>.</w:t>
      </w:r>
    </w:p>
    <w:p w:rsidR="00AB04DB" w:rsidRPr="00B50DCB" w:rsidRDefault="00AB04DB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AB04DB" w:rsidRPr="00B50DCB" w:rsidRDefault="00AB04DB" w:rsidP="00175830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استمرار تراجع سوق الأسهم </w:t>
      </w:r>
    </w:p>
    <w:p w:rsidR="00AB04DB" w:rsidRPr="00B26ECA" w:rsidRDefault="001075E1" w:rsidP="00B50DCB">
      <w:pPr>
        <w:bidi/>
        <w:spacing w:line="340" w:lineRule="exact"/>
        <w:jc w:val="both"/>
        <w:rPr>
          <w:rFonts w:cs="Arabic Transparen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179705</wp:posOffset>
            </wp:positionV>
            <wp:extent cx="2743200" cy="217170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Default="00AB04DB" w:rsidP="000226FA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>و</w:t>
      </w:r>
      <w:r w:rsidRPr="00B50DCB">
        <w:rPr>
          <w:rFonts w:cs="Arabic Transparent"/>
          <w:sz w:val="28"/>
          <w:szCs w:val="28"/>
          <w:rtl/>
          <w:lang w:bidi="ar-MA"/>
        </w:rPr>
        <w:t>اصل سوق الأسهم</w:t>
      </w:r>
      <w:r w:rsidRPr="00B50DCB">
        <w:rPr>
          <w:rFonts w:cs="Arabic Transparent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>تراجعه خلال الفصل الثا</w:t>
      </w:r>
      <w:r>
        <w:rPr>
          <w:rFonts w:cs="Arabic Transparent"/>
          <w:sz w:val="28"/>
          <w:szCs w:val="28"/>
          <w:rtl/>
          <w:lang w:bidi="ar-MA"/>
        </w:rPr>
        <w:t>لث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مما ساهم في تفاقم خسائره مقارنة مع 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>
        <w:rPr>
          <w:rFonts w:cs="Arabic Transparent"/>
          <w:sz w:val="28"/>
          <w:szCs w:val="28"/>
          <w:rtl/>
          <w:lang w:bidi="ar-MA"/>
        </w:rPr>
        <w:t>. وقد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انخفضت معظم أسهم الشركات المدرجة في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البورصة،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متأثرة </w:t>
      </w:r>
      <w:r>
        <w:rPr>
          <w:rFonts w:cs="Arabic Transparent"/>
          <w:sz w:val="28"/>
          <w:szCs w:val="28"/>
          <w:rtl/>
          <w:lang w:bidi="ar-MA"/>
        </w:rPr>
        <w:t>ب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تباطؤ القطاعات غير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الفلاحية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وكذلك من </w:t>
      </w:r>
      <w:r>
        <w:rPr>
          <w:rFonts w:cs="Arabic Transparent"/>
          <w:sz w:val="28"/>
          <w:szCs w:val="28"/>
          <w:rtl/>
          <w:lang w:bidi="ar-MA"/>
        </w:rPr>
        <w:t xml:space="preserve">تداعيات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الظرفية العالمية. وعلى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العموم،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بلغ انخفاض كل من مؤشري</w:t>
      </w:r>
      <w:r w:rsidRPr="00B50DCB">
        <w:rPr>
          <w:rFonts w:cs="Arabic Transparent"/>
          <w:sz w:val="28"/>
          <w:szCs w:val="28"/>
          <w:lang w:bidi="ar-MA"/>
        </w:rPr>
        <w:t xml:space="preserve">MASI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و </w:t>
      </w:r>
      <w:r w:rsidRPr="00B50DCB">
        <w:rPr>
          <w:rFonts w:cs="Arabic Transparent"/>
          <w:sz w:val="28"/>
          <w:szCs w:val="28"/>
          <w:lang w:bidi="ar-MA"/>
        </w:rPr>
        <w:t>MADEX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خلال الفصل الثا</w:t>
      </w:r>
      <w:r>
        <w:rPr>
          <w:rFonts w:cs="Arabic Transparent"/>
          <w:sz w:val="28"/>
          <w:szCs w:val="28"/>
          <w:rtl/>
          <w:lang w:bidi="ar-MA"/>
        </w:rPr>
        <w:t>لث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4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و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1,</w:t>
      </w:r>
      <w:r w:rsidRPr="00B50DCB">
        <w:rPr>
          <w:rFonts w:cs="Arabic Transparent"/>
          <w:sz w:val="28"/>
          <w:szCs w:val="28"/>
          <w:rtl/>
          <w:lang w:bidi="ar-MA"/>
        </w:rPr>
        <w:t>3٪،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على التوالي حسب التغير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ال</w:t>
      </w:r>
      <w:r>
        <w:rPr>
          <w:rFonts w:cs="Arabic Transparent"/>
          <w:sz w:val="28"/>
          <w:szCs w:val="28"/>
          <w:rtl/>
          <w:lang w:bidi="ar-MA"/>
        </w:rPr>
        <w:t>سنوي،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بعد انخفاض قدره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8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و </w:t>
      </w:r>
      <w:proofErr w:type="spellStart"/>
      <w:r w:rsidRPr="00B50DCB">
        <w:rPr>
          <w:rFonts w:cs="Arabic Transparent"/>
          <w:sz w:val="28"/>
          <w:szCs w:val="28"/>
          <w:rtl/>
          <w:lang w:bidi="ar-MA"/>
        </w:rPr>
        <w:t>3٪،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الفصل الثاني. وقد صاحب هذا التراجع تقلص في حجم المعاملات بنسبة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56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4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مقارنة مع 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>
        <w:rPr>
          <w:rFonts w:cs="Arabic Transparent"/>
          <w:sz w:val="28"/>
          <w:szCs w:val="28"/>
          <w:rtl/>
          <w:lang w:bidi="ar-MA"/>
        </w:rPr>
        <w:t>.</w:t>
      </w:r>
    </w:p>
    <w:p w:rsidR="00AB04DB" w:rsidRDefault="001075E1" w:rsidP="005249E6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2628900" cy="2292985"/>
            <wp:effectExtent l="0" t="0" r="0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9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DB" w:rsidRPr="00B50DCB" w:rsidRDefault="00AB04DB" w:rsidP="00F6345E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AB04DB" w:rsidRPr="00B50DCB" w:rsidRDefault="00AB04DB" w:rsidP="00186656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تـحسن مرتقب خلال ال</w:t>
      </w: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فصل الرابع</w:t>
      </w: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 2013</w:t>
      </w:r>
    </w:p>
    <w:p w:rsidR="00AB04DB" w:rsidRPr="00B50DCB" w:rsidRDefault="00AB04DB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AB04DB" w:rsidRPr="00B50DCB" w:rsidRDefault="00AB04DB" w:rsidP="000226FA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 xml:space="preserve">موازاة مع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تحسن الظرفية </w:t>
      </w:r>
      <w:r>
        <w:rPr>
          <w:rFonts w:cs="Arabic Transparent"/>
          <w:sz w:val="28"/>
          <w:szCs w:val="28"/>
          <w:rtl/>
          <w:lang w:bidi="ar-MA"/>
        </w:rPr>
        <w:t xml:space="preserve">الاقتصادية للدول الشريكة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للمغرب،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خلال الفصل الرابع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2013،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وباعتبار مجموع التوقعات القطاعية والمساهمة الايجابية للقطاع الفلاحي في نمو الناتج الداخلي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الخام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خلال نفس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الفترة،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يرتقب أن يحقق الاقتصاد الوطني نموا يقدر ب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5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3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خلال الفصل ال</w:t>
      </w:r>
      <w:r>
        <w:rPr>
          <w:rFonts w:cs="Arabic Transparent"/>
          <w:sz w:val="28"/>
          <w:szCs w:val="28"/>
          <w:rtl/>
          <w:lang w:bidi="ar-MA"/>
        </w:rPr>
        <w:t>رابع،</w:t>
      </w:r>
      <w:r>
        <w:rPr>
          <w:rFonts w:cs="Arabic Transparent"/>
          <w:sz w:val="28"/>
          <w:szCs w:val="28"/>
          <w:lang w:bidi="ar-MA"/>
        </w:rPr>
        <w:t xml:space="preserve">2013 </w:t>
      </w:r>
      <w:r>
        <w:rPr>
          <w:rFonts w:cs="Arabic Transparent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2</w:t>
      </w:r>
      <w:r w:rsidRPr="00B50DCB">
        <w:rPr>
          <w:rFonts w:cs="Arabic Transparent"/>
          <w:sz w:val="28"/>
          <w:szCs w:val="28"/>
          <w:rtl/>
          <w:lang w:bidi="ar-MA"/>
        </w:rPr>
        <w:t>,</w:t>
      </w:r>
      <w:r>
        <w:rPr>
          <w:rFonts w:cs="Arabic Transparent"/>
          <w:sz w:val="28"/>
          <w:szCs w:val="28"/>
          <w:rtl/>
          <w:lang w:bidi="ar-MA"/>
        </w:rPr>
        <w:t>3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/>
          <w:sz w:val="28"/>
          <w:szCs w:val="28"/>
          <w:rtl/>
          <w:lang w:bidi="ar-MA"/>
        </w:rPr>
        <w:t xml:space="preserve">السنة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الفارطة</w:t>
      </w:r>
      <w:proofErr w:type="spellEnd"/>
      <w:r w:rsidRPr="00B50DCB">
        <w:rPr>
          <w:rFonts w:cs="Arabic Transparent"/>
          <w:sz w:val="28"/>
          <w:szCs w:val="28"/>
          <w:rtl/>
          <w:lang w:bidi="ar-MA"/>
        </w:rPr>
        <w:t xml:space="preserve">. </w:t>
      </w:r>
    </w:p>
    <w:sectPr w:rsidR="00AB04DB" w:rsidRPr="00B50DCB" w:rsidSect="0034788E">
      <w:footerReference w:type="default" r:id="rId20"/>
      <w:headerReference w:type="first" r:id="rId21"/>
      <w:footerReference w:type="first" r:id="rId22"/>
      <w:type w:val="continuous"/>
      <w:pgSz w:w="11906" w:h="16838" w:code="9"/>
      <w:pgMar w:top="1078" w:right="1191" w:bottom="1258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B71" w:rsidRDefault="007A4B71">
      <w:r>
        <w:separator/>
      </w:r>
    </w:p>
  </w:endnote>
  <w:endnote w:type="continuationSeparator" w:id="0">
    <w:p w:rsidR="007A4B71" w:rsidRDefault="007A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DB" w:rsidRPr="006D7FA4" w:rsidRDefault="00E5352D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B04D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5761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B04D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B04D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57613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AB04DB" w:rsidRDefault="00AB04D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DB" w:rsidRDefault="00E5352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AB04DB" w:rsidRPr="00794363" w:rsidRDefault="00AB04D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AB04DB" w:rsidRPr="004463C8" w:rsidRDefault="00AB04D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AB04DB" w:rsidRPr="004463C8" w:rsidRDefault="00AB04D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المغرب   ص.ب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AB04DB" w:rsidRPr="004463C8" w:rsidRDefault="00AB04D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B04DB" w:rsidRPr="004463C8" w:rsidRDefault="00AB04D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AB04DB" w:rsidRPr="004463C8" w:rsidRDefault="00AB04D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الفاكس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AB04DB" w:rsidRPr="004463C8" w:rsidRDefault="00AB04D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B71" w:rsidRDefault="007A4B71">
      <w:r>
        <w:separator/>
      </w:r>
    </w:p>
  </w:footnote>
  <w:footnote w:type="continuationSeparator" w:id="0">
    <w:p w:rsidR="007A4B71" w:rsidRDefault="007A4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DB" w:rsidRDefault="001075E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87F"/>
    <w:rsid w:val="00001E39"/>
    <w:rsid w:val="00002C62"/>
    <w:rsid w:val="00004211"/>
    <w:rsid w:val="00004717"/>
    <w:rsid w:val="00004BF3"/>
    <w:rsid w:val="00004DF7"/>
    <w:rsid w:val="00005227"/>
    <w:rsid w:val="00005284"/>
    <w:rsid w:val="00005C5A"/>
    <w:rsid w:val="00007067"/>
    <w:rsid w:val="0000716A"/>
    <w:rsid w:val="00010734"/>
    <w:rsid w:val="000107AA"/>
    <w:rsid w:val="00011FF9"/>
    <w:rsid w:val="0001261A"/>
    <w:rsid w:val="0001285B"/>
    <w:rsid w:val="0001390E"/>
    <w:rsid w:val="00013A7F"/>
    <w:rsid w:val="00013C22"/>
    <w:rsid w:val="000152BC"/>
    <w:rsid w:val="00015F00"/>
    <w:rsid w:val="00015F49"/>
    <w:rsid w:val="000162A4"/>
    <w:rsid w:val="0001662B"/>
    <w:rsid w:val="00017736"/>
    <w:rsid w:val="000205FA"/>
    <w:rsid w:val="000208A7"/>
    <w:rsid w:val="00020AB1"/>
    <w:rsid w:val="00020DF0"/>
    <w:rsid w:val="00020E73"/>
    <w:rsid w:val="00021216"/>
    <w:rsid w:val="00022143"/>
    <w:rsid w:val="000226FA"/>
    <w:rsid w:val="00024374"/>
    <w:rsid w:val="00024920"/>
    <w:rsid w:val="00024EE5"/>
    <w:rsid w:val="000254C8"/>
    <w:rsid w:val="00025A9E"/>
    <w:rsid w:val="0002653B"/>
    <w:rsid w:val="00027375"/>
    <w:rsid w:val="0002759C"/>
    <w:rsid w:val="00027850"/>
    <w:rsid w:val="0002797D"/>
    <w:rsid w:val="00030187"/>
    <w:rsid w:val="00031D17"/>
    <w:rsid w:val="000324DF"/>
    <w:rsid w:val="00032634"/>
    <w:rsid w:val="00032971"/>
    <w:rsid w:val="00032B65"/>
    <w:rsid w:val="0003435B"/>
    <w:rsid w:val="0003515A"/>
    <w:rsid w:val="00035C54"/>
    <w:rsid w:val="00035D37"/>
    <w:rsid w:val="000363AE"/>
    <w:rsid w:val="00037831"/>
    <w:rsid w:val="00037ADD"/>
    <w:rsid w:val="00040FED"/>
    <w:rsid w:val="0004186E"/>
    <w:rsid w:val="000428B3"/>
    <w:rsid w:val="000435EC"/>
    <w:rsid w:val="00043FD6"/>
    <w:rsid w:val="00044810"/>
    <w:rsid w:val="00044ADA"/>
    <w:rsid w:val="00044F35"/>
    <w:rsid w:val="000458F5"/>
    <w:rsid w:val="000476CC"/>
    <w:rsid w:val="000479C8"/>
    <w:rsid w:val="00047C0F"/>
    <w:rsid w:val="00050A6E"/>
    <w:rsid w:val="000510D3"/>
    <w:rsid w:val="000511C3"/>
    <w:rsid w:val="00051F0C"/>
    <w:rsid w:val="000527E5"/>
    <w:rsid w:val="00053AFC"/>
    <w:rsid w:val="00054876"/>
    <w:rsid w:val="00054D7E"/>
    <w:rsid w:val="000554EE"/>
    <w:rsid w:val="00057A27"/>
    <w:rsid w:val="00057E2B"/>
    <w:rsid w:val="00060321"/>
    <w:rsid w:val="000613F2"/>
    <w:rsid w:val="000614FE"/>
    <w:rsid w:val="00062049"/>
    <w:rsid w:val="0006258C"/>
    <w:rsid w:val="000625CB"/>
    <w:rsid w:val="000629FD"/>
    <w:rsid w:val="000634F2"/>
    <w:rsid w:val="0006402F"/>
    <w:rsid w:val="000640E8"/>
    <w:rsid w:val="000648A0"/>
    <w:rsid w:val="0006553F"/>
    <w:rsid w:val="00065E14"/>
    <w:rsid w:val="00065F08"/>
    <w:rsid w:val="00070037"/>
    <w:rsid w:val="00070B4D"/>
    <w:rsid w:val="00070CDA"/>
    <w:rsid w:val="00070EDA"/>
    <w:rsid w:val="00072139"/>
    <w:rsid w:val="0007320B"/>
    <w:rsid w:val="00074892"/>
    <w:rsid w:val="000749AD"/>
    <w:rsid w:val="00075585"/>
    <w:rsid w:val="000755A1"/>
    <w:rsid w:val="0007574D"/>
    <w:rsid w:val="0007618C"/>
    <w:rsid w:val="000761A4"/>
    <w:rsid w:val="000809B5"/>
    <w:rsid w:val="00081BE5"/>
    <w:rsid w:val="00082B37"/>
    <w:rsid w:val="00083838"/>
    <w:rsid w:val="00083A44"/>
    <w:rsid w:val="00084374"/>
    <w:rsid w:val="00084EA3"/>
    <w:rsid w:val="00085E86"/>
    <w:rsid w:val="00086342"/>
    <w:rsid w:val="00086B87"/>
    <w:rsid w:val="000910D3"/>
    <w:rsid w:val="000918EA"/>
    <w:rsid w:val="000927F4"/>
    <w:rsid w:val="00093251"/>
    <w:rsid w:val="00093D33"/>
    <w:rsid w:val="00093F50"/>
    <w:rsid w:val="00094108"/>
    <w:rsid w:val="000949A8"/>
    <w:rsid w:val="0009553E"/>
    <w:rsid w:val="000956DB"/>
    <w:rsid w:val="000958AC"/>
    <w:rsid w:val="00097122"/>
    <w:rsid w:val="000979B2"/>
    <w:rsid w:val="00097ADD"/>
    <w:rsid w:val="000A130C"/>
    <w:rsid w:val="000A20D6"/>
    <w:rsid w:val="000A28FB"/>
    <w:rsid w:val="000A2C52"/>
    <w:rsid w:val="000A4F34"/>
    <w:rsid w:val="000A4F68"/>
    <w:rsid w:val="000A5A8A"/>
    <w:rsid w:val="000A5FCC"/>
    <w:rsid w:val="000A6308"/>
    <w:rsid w:val="000A64AF"/>
    <w:rsid w:val="000B03F2"/>
    <w:rsid w:val="000B0BEC"/>
    <w:rsid w:val="000B1ED2"/>
    <w:rsid w:val="000B23B7"/>
    <w:rsid w:val="000B2A3E"/>
    <w:rsid w:val="000B5DBC"/>
    <w:rsid w:val="000B7629"/>
    <w:rsid w:val="000B7EFA"/>
    <w:rsid w:val="000C1042"/>
    <w:rsid w:val="000C1058"/>
    <w:rsid w:val="000C1F20"/>
    <w:rsid w:val="000C1FD8"/>
    <w:rsid w:val="000C2F41"/>
    <w:rsid w:val="000C36D3"/>
    <w:rsid w:val="000C532D"/>
    <w:rsid w:val="000C5413"/>
    <w:rsid w:val="000C5453"/>
    <w:rsid w:val="000C5DEF"/>
    <w:rsid w:val="000C5E54"/>
    <w:rsid w:val="000C6DA9"/>
    <w:rsid w:val="000C6ED5"/>
    <w:rsid w:val="000C75F5"/>
    <w:rsid w:val="000C7682"/>
    <w:rsid w:val="000D010D"/>
    <w:rsid w:val="000D0A51"/>
    <w:rsid w:val="000D25AF"/>
    <w:rsid w:val="000D33C9"/>
    <w:rsid w:val="000D44DD"/>
    <w:rsid w:val="000D48C0"/>
    <w:rsid w:val="000D5387"/>
    <w:rsid w:val="000D64C4"/>
    <w:rsid w:val="000D7BAD"/>
    <w:rsid w:val="000E045A"/>
    <w:rsid w:val="000E0703"/>
    <w:rsid w:val="000E1169"/>
    <w:rsid w:val="000E1B6C"/>
    <w:rsid w:val="000E21D3"/>
    <w:rsid w:val="000E2D88"/>
    <w:rsid w:val="000E3587"/>
    <w:rsid w:val="000E451A"/>
    <w:rsid w:val="000E4BF1"/>
    <w:rsid w:val="000E513C"/>
    <w:rsid w:val="000E515E"/>
    <w:rsid w:val="000E529E"/>
    <w:rsid w:val="000E6D2C"/>
    <w:rsid w:val="000E72F6"/>
    <w:rsid w:val="000E7D19"/>
    <w:rsid w:val="000F0E3F"/>
    <w:rsid w:val="000F184D"/>
    <w:rsid w:val="000F1BFF"/>
    <w:rsid w:val="000F240C"/>
    <w:rsid w:val="000F2A80"/>
    <w:rsid w:val="000F3398"/>
    <w:rsid w:val="000F3B91"/>
    <w:rsid w:val="000F4086"/>
    <w:rsid w:val="000F534A"/>
    <w:rsid w:val="000F573A"/>
    <w:rsid w:val="000F5D26"/>
    <w:rsid w:val="000F62CE"/>
    <w:rsid w:val="000F7A15"/>
    <w:rsid w:val="00100AF5"/>
    <w:rsid w:val="00101AE9"/>
    <w:rsid w:val="0010215A"/>
    <w:rsid w:val="00102706"/>
    <w:rsid w:val="00102A78"/>
    <w:rsid w:val="00102FBA"/>
    <w:rsid w:val="001043DE"/>
    <w:rsid w:val="00105316"/>
    <w:rsid w:val="0010595F"/>
    <w:rsid w:val="00105BD6"/>
    <w:rsid w:val="001063C7"/>
    <w:rsid w:val="00107113"/>
    <w:rsid w:val="001075E1"/>
    <w:rsid w:val="00107F23"/>
    <w:rsid w:val="00111B08"/>
    <w:rsid w:val="0011245B"/>
    <w:rsid w:val="00112925"/>
    <w:rsid w:val="00114C71"/>
    <w:rsid w:val="00116442"/>
    <w:rsid w:val="00116504"/>
    <w:rsid w:val="0011681E"/>
    <w:rsid w:val="00116B4A"/>
    <w:rsid w:val="00120AF1"/>
    <w:rsid w:val="001211F1"/>
    <w:rsid w:val="00121BA7"/>
    <w:rsid w:val="0012239D"/>
    <w:rsid w:val="0012258E"/>
    <w:rsid w:val="0012265F"/>
    <w:rsid w:val="00122A50"/>
    <w:rsid w:val="00122DCD"/>
    <w:rsid w:val="00123513"/>
    <w:rsid w:val="00123D8C"/>
    <w:rsid w:val="001240D6"/>
    <w:rsid w:val="00124757"/>
    <w:rsid w:val="00124D0B"/>
    <w:rsid w:val="0012542C"/>
    <w:rsid w:val="00127ABC"/>
    <w:rsid w:val="00127C2C"/>
    <w:rsid w:val="00127D1A"/>
    <w:rsid w:val="0013247A"/>
    <w:rsid w:val="001328A9"/>
    <w:rsid w:val="00132F48"/>
    <w:rsid w:val="001332BB"/>
    <w:rsid w:val="001336B3"/>
    <w:rsid w:val="001357EE"/>
    <w:rsid w:val="00135DED"/>
    <w:rsid w:val="001367D7"/>
    <w:rsid w:val="00136F03"/>
    <w:rsid w:val="00137652"/>
    <w:rsid w:val="001379C2"/>
    <w:rsid w:val="001410DC"/>
    <w:rsid w:val="00141C45"/>
    <w:rsid w:val="00143247"/>
    <w:rsid w:val="001437B0"/>
    <w:rsid w:val="00143829"/>
    <w:rsid w:val="00143EAD"/>
    <w:rsid w:val="0014419E"/>
    <w:rsid w:val="00144457"/>
    <w:rsid w:val="0014457C"/>
    <w:rsid w:val="00146329"/>
    <w:rsid w:val="00146E65"/>
    <w:rsid w:val="001508C0"/>
    <w:rsid w:val="00150CBB"/>
    <w:rsid w:val="0015141C"/>
    <w:rsid w:val="0015191B"/>
    <w:rsid w:val="00151A6C"/>
    <w:rsid w:val="001528C6"/>
    <w:rsid w:val="00153DC3"/>
    <w:rsid w:val="001544B0"/>
    <w:rsid w:val="001544DD"/>
    <w:rsid w:val="00155095"/>
    <w:rsid w:val="00155A22"/>
    <w:rsid w:val="00155D04"/>
    <w:rsid w:val="00155EBB"/>
    <w:rsid w:val="001570EC"/>
    <w:rsid w:val="001610E6"/>
    <w:rsid w:val="0016119B"/>
    <w:rsid w:val="0016169C"/>
    <w:rsid w:val="00161BA0"/>
    <w:rsid w:val="00162D86"/>
    <w:rsid w:val="001630F0"/>
    <w:rsid w:val="0016363C"/>
    <w:rsid w:val="001640AC"/>
    <w:rsid w:val="001644AF"/>
    <w:rsid w:val="0016555B"/>
    <w:rsid w:val="00165B11"/>
    <w:rsid w:val="0016650C"/>
    <w:rsid w:val="001701CD"/>
    <w:rsid w:val="001713B0"/>
    <w:rsid w:val="00173597"/>
    <w:rsid w:val="00173DF2"/>
    <w:rsid w:val="00174719"/>
    <w:rsid w:val="00175830"/>
    <w:rsid w:val="00176A88"/>
    <w:rsid w:val="00176CC0"/>
    <w:rsid w:val="00176FE1"/>
    <w:rsid w:val="00177EC0"/>
    <w:rsid w:val="00181848"/>
    <w:rsid w:val="00181DF9"/>
    <w:rsid w:val="001822E8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56"/>
    <w:rsid w:val="001866FC"/>
    <w:rsid w:val="00186BFC"/>
    <w:rsid w:val="0018714C"/>
    <w:rsid w:val="00187801"/>
    <w:rsid w:val="001905C5"/>
    <w:rsid w:val="001926DC"/>
    <w:rsid w:val="00192AB3"/>
    <w:rsid w:val="0019358F"/>
    <w:rsid w:val="00193C6D"/>
    <w:rsid w:val="001941B9"/>
    <w:rsid w:val="0019429A"/>
    <w:rsid w:val="00196165"/>
    <w:rsid w:val="00197D98"/>
    <w:rsid w:val="001A1560"/>
    <w:rsid w:val="001A16E3"/>
    <w:rsid w:val="001A1A9C"/>
    <w:rsid w:val="001A1ECC"/>
    <w:rsid w:val="001A281C"/>
    <w:rsid w:val="001A2C5A"/>
    <w:rsid w:val="001A6239"/>
    <w:rsid w:val="001A6651"/>
    <w:rsid w:val="001A6D19"/>
    <w:rsid w:val="001A7093"/>
    <w:rsid w:val="001A753E"/>
    <w:rsid w:val="001B0A6D"/>
    <w:rsid w:val="001B3257"/>
    <w:rsid w:val="001B3266"/>
    <w:rsid w:val="001B3B4F"/>
    <w:rsid w:val="001B3C1A"/>
    <w:rsid w:val="001B402F"/>
    <w:rsid w:val="001B4330"/>
    <w:rsid w:val="001B4C9B"/>
    <w:rsid w:val="001B65AB"/>
    <w:rsid w:val="001B6C37"/>
    <w:rsid w:val="001C043F"/>
    <w:rsid w:val="001C11DD"/>
    <w:rsid w:val="001C1EEA"/>
    <w:rsid w:val="001C26B7"/>
    <w:rsid w:val="001C295D"/>
    <w:rsid w:val="001C2A3D"/>
    <w:rsid w:val="001C3920"/>
    <w:rsid w:val="001C41AF"/>
    <w:rsid w:val="001C4B94"/>
    <w:rsid w:val="001C4BE1"/>
    <w:rsid w:val="001C6033"/>
    <w:rsid w:val="001C6191"/>
    <w:rsid w:val="001C68B4"/>
    <w:rsid w:val="001C712E"/>
    <w:rsid w:val="001D0382"/>
    <w:rsid w:val="001D06E9"/>
    <w:rsid w:val="001D07F7"/>
    <w:rsid w:val="001D1203"/>
    <w:rsid w:val="001D1ACA"/>
    <w:rsid w:val="001D1EA8"/>
    <w:rsid w:val="001D24ED"/>
    <w:rsid w:val="001D2CE6"/>
    <w:rsid w:val="001D332B"/>
    <w:rsid w:val="001D34E6"/>
    <w:rsid w:val="001D47F5"/>
    <w:rsid w:val="001D4CE8"/>
    <w:rsid w:val="001D57AD"/>
    <w:rsid w:val="001D57E1"/>
    <w:rsid w:val="001D5DDF"/>
    <w:rsid w:val="001D6404"/>
    <w:rsid w:val="001D6BA6"/>
    <w:rsid w:val="001D6CA2"/>
    <w:rsid w:val="001D6DA1"/>
    <w:rsid w:val="001E05D5"/>
    <w:rsid w:val="001E072F"/>
    <w:rsid w:val="001E2067"/>
    <w:rsid w:val="001E25E2"/>
    <w:rsid w:val="001E3D95"/>
    <w:rsid w:val="001E3EB2"/>
    <w:rsid w:val="001E3F5E"/>
    <w:rsid w:val="001E6295"/>
    <w:rsid w:val="001E7086"/>
    <w:rsid w:val="001E7C47"/>
    <w:rsid w:val="001E7C55"/>
    <w:rsid w:val="001E7FD1"/>
    <w:rsid w:val="001F007B"/>
    <w:rsid w:val="001F0F77"/>
    <w:rsid w:val="001F1343"/>
    <w:rsid w:val="001F1E84"/>
    <w:rsid w:val="001F248F"/>
    <w:rsid w:val="001F2C75"/>
    <w:rsid w:val="001F38B2"/>
    <w:rsid w:val="001F456A"/>
    <w:rsid w:val="001F4836"/>
    <w:rsid w:val="001F4BC3"/>
    <w:rsid w:val="001F4F60"/>
    <w:rsid w:val="001F525E"/>
    <w:rsid w:val="001F5632"/>
    <w:rsid w:val="001F601E"/>
    <w:rsid w:val="001F691A"/>
    <w:rsid w:val="001F6B5D"/>
    <w:rsid w:val="001F707B"/>
    <w:rsid w:val="001F7EAC"/>
    <w:rsid w:val="002012C6"/>
    <w:rsid w:val="0020284D"/>
    <w:rsid w:val="00202BB8"/>
    <w:rsid w:val="00203074"/>
    <w:rsid w:val="00203464"/>
    <w:rsid w:val="0020357C"/>
    <w:rsid w:val="0020447D"/>
    <w:rsid w:val="0020567A"/>
    <w:rsid w:val="00205A6A"/>
    <w:rsid w:val="00206659"/>
    <w:rsid w:val="002066C8"/>
    <w:rsid w:val="00206798"/>
    <w:rsid w:val="002104EC"/>
    <w:rsid w:val="002131FB"/>
    <w:rsid w:val="00214451"/>
    <w:rsid w:val="00214623"/>
    <w:rsid w:val="0021488E"/>
    <w:rsid w:val="00214DAC"/>
    <w:rsid w:val="00215214"/>
    <w:rsid w:val="00215524"/>
    <w:rsid w:val="0021573D"/>
    <w:rsid w:val="00216AB5"/>
    <w:rsid w:val="00217201"/>
    <w:rsid w:val="00217350"/>
    <w:rsid w:val="0022098A"/>
    <w:rsid w:val="00220DF6"/>
    <w:rsid w:val="0022181B"/>
    <w:rsid w:val="00222280"/>
    <w:rsid w:val="0022299E"/>
    <w:rsid w:val="00222A5E"/>
    <w:rsid w:val="00222BD7"/>
    <w:rsid w:val="0022454D"/>
    <w:rsid w:val="002279E1"/>
    <w:rsid w:val="0023043F"/>
    <w:rsid w:val="0023115F"/>
    <w:rsid w:val="00231529"/>
    <w:rsid w:val="00231929"/>
    <w:rsid w:val="00231A11"/>
    <w:rsid w:val="00231D64"/>
    <w:rsid w:val="002320C3"/>
    <w:rsid w:val="0023298C"/>
    <w:rsid w:val="00232D0F"/>
    <w:rsid w:val="0023416A"/>
    <w:rsid w:val="002343AB"/>
    <w:rsid w:val="00234733"/>
    <w:rsid w:val="00234CA9"/>
    <w:rsid w:val="00236731"/>
    <w:rsid w:val="00240B91"/>
    <w:rsid w:val="00241E8D"/>
    <w:rsid w:val="00242772"/>
    <w:rsid w:val="00242C76"/>
    <w:rsid w:val="00242CBE"/>
    <w:rsid w:val="002443AA"/>
    <w:rsid w:val="00244958"/>
    <w:rsid w:val="0024586A"/>
    <w:rsid w:val="00245B15"/>
    <w:rsid w:val="00245EEB"/>
    <w:rsid w:val="00247525"/>
    <w:rsid w:val="00247B5B"/>
    <w:rsid w:val="00247EC0"/>
    <w:rsid w:val="00250841"/>
    <w:rsid w:val="002510F8"/>
    <w:rsid w:val="00251682"/>
    <w:rsid w:val="0025186C"/>
    <w:rsid w:val="00251E44"/>
    <w:rsid w:val="00252DE2"/>
    <w:rsid w:val="002534F0"/>
    <w:rsid w:val="002536DF"/>
    <w:rsid w:val="00254416"/>
    <w:rsid w:val="00254727"/>
    <w:rsid w:val="00254D5E"/>
    <w:rsid w:val="00254E71"/>
    <w:rsid w:val="002555AB"/>
    <w:rsid w:val="00256291"/>
    <w:rsid w:val="002603C8"/>
    <w:rsid w:val="00260E2C"/>
    <w:rsid w:val="00262086"/>
    <w:rsid w:val="002622E1"/>
    <w:rsid w:val="0026257E"/>
    <w:rsid w:val="00262AA7"/>
    <w:rsid w:val="00262F45"/>
    <w:rsid w:val="002630AF"/>
    <w:rsid w:val="00263C89"/>
    <w:rsid w:val="00264D30"/>
    <w:rsid w:val="00265882"/>
    <w:rsid w:val="00267A94"/>
    <w:rsid w:val="0027008C"/>
    <w:rsid w:val="002706CD"/>
    <w:rsid w:val="00270CE1"/>
    <w:rsid w:val="00270F51"/>
    <w:rsid w:val="00271922"/>
    <w:rsid w:val="00271D24"/>
    <w:rsid w:val="00273325"/>
    <w:rsid w:val="00273947"/>
    <w:rsid w:val="00273974"/>
    <w:rsid w:val="00273A82"/>
    <w:rsid w:val="00274324"/>
    <w:rsid w:val="002745ED"/>
    <w:rsid w:val="002755FB"/>
    <w:rsid w:val="00275C91"/>
    <w:rsid w:val="00276FEA"/>
    <w:rsid w:val="00280779"/>
    <w:rsid w:val="00280992"/>
    <w:rsid w:val="00280BED"/>
    <w:rsid w:val="00281172"/>
    <w:rsid w:val="00281D6A"/>
    <w:rsid w:val="002828A8"/>
    <w:rsid w:val="00282B08"/>
    <w:rsid w:val="00284E7E"/>
    <w:rsid w:val="0028505E"/>
    <w:rsid w:val="0028585A"/>
    <w:rsid w:val="002863E1"/>
    <w:rsid w:val="00286BC3"/>
    <w:rsid w:val="00286F23"/>
    <w:rsid w:val="0028790C"/>
    <w:rsid w:val="00287CA4"/>
    <w:rsid w:val="00290AF7"/>
    <w:rsid w:val="0029143F"/>
    <w:rsid w:val="00291661"/>
    <w:rsid w:val="00291C75"/>
    <w:rsid w:val="00291D5A"/>
    <w:rsid w:val="00292610"/>
    <w:rsid w:val="00292E3C"/>
    <w:rsid w:val="00293EA5"/>
    <w:rsid w:val="00294D1F"/>
    <w:rsid w:val="00296625"/>
    <w:rsid w:val="00296BAB"/>
    <w:rsid w:val="00296D9D"/>
    <w:rsid w:val="0029711F"/>
    <w:rsid w:val="00297442"/>
    <w:rsid w:val="00297B4E"/>
    <w:rsid w:val="002A005D"/>
    <w:rsid w:val="002A0A33"/>
    <w:rsid w:val="002A1162"/>
    <w:rsid w:val="002A1456"/>
    <w:rsid w:val="002A281B"/>
    <w:rsid w:val="002A297C"/>
    <w:rsid w:val="002A2FC8"/>
    <w:rsid w:val="002A3051"/>
    <w:rsid w:val="002A3785"/>
    <w:rsid w:val="002A4784"/>
    <w:rsid w:val="002A58C9"/>
    <w:rsid w:val="002A5A7C"/>
    <w:rsid w:val="002A688F"/>
    <w:rsid w:val="002A6E1C"/>
    <w:rsid w:val="002B0ADE"/>
    <w:rsid w:val="002B13A4"/>
    <w:rsid w:val="002B1A12"/>
    <w:rsid w:val="002B1F7E"/>
    <w:rsid w:val="002B21B4"/>
    <w:rsid w:val="002B4610"/>
    <w:rsid w:val="002B58F5"/>
    <w:rsid w:val="002B6169"/>
    <w:rsid w:val="002B6438"/>
    <w:rsid w:val="002B67BB"/>
    <w:rsid w:val="002B6C8A"/>
    <w:rsid w:val="002B7824"/>
    <w:rsid w:val="002C02CC"/>
    <w:rsid w:val="002C0E62"/>
    <w:rsid w:val="002C1441"/>
    <w:rsid w:val="002C1470"/>
    <w:rsid w:val="002C1552"/>
    <w:rsid w:val="002C19F8"/>
    <w:rsid w:val="002C1A8C"/>
    <w:rsid w:val="002C1B8D"/>
    <w:rsid w:val="002C1D10"/>
    <w:rsid w:val="002C2097"/>
    <w:rsid w:val="002C27A8"/>
    <w:rsid w:val="002C4343"/>
    <w:rsid w:val="002C5724"/>
    <w:rsid w:val="002C6A79"/>
    <w:rsid w:val="002C6FFE"/>
    <w:rsid w:val="002C72B3"/>
    <w:rsid w:val="002C7447"/>
    <w:rsid w:val="002C765E"/>
    <w:rsid w:val="002C78DD"/>
    <w:rsid w:val="002D01D8"/>
    <w:rsid w:val="002D022C"/>
    <w:rsid w:val="002D0E2C"/>
    <w:rsid w:val="002D1AA2"/>
    <w:rsid w:val="002D2329"/>
    <w:rsid w:val="002D3688"/>
    <w:rsid w:val="002D3BD2"/>
    <w:rsid w:val="002D3FFF"/>
    <w:rsid w:val="002D40AA"/>
    <w:rsid w:val="002D42E5"/>
    <w:rsid w:val="002D49EF"/>
    <w:rsid w:val="002D4C9A"/>
    <w:rsid w:val="002D70BF"/>
    <w:rsid w:val="002D7465"/>
    <w:rsid w:val="002D7DBB"/>
    <w:rsid w:val="002E0F3D"/>
    <w:rsid w:val="002E11B6"/>
    <w:rsid w:val="002E28D5"/>
    <w:rsid w:val="002E2C22"/>
    <w:rsid w:val="002E2DC4"/>
    <w:rsid w:val="002E38E3"/>
    <w:rsid w:val="002E4B19"/>
    <w:rsid w:val="002E5508"/>
    <w:rsid w:val="002E5E9B"/>
    <w:rsid w:val="002E5ED1"/>
    <w:rsid w:val="002E6C5D"/>
    <w:rsid w:val="002E6EAE"/>
    <w:rsid w:val="002E731F"/>
    <w:rsid w:val="002E7940"/>
    <w:rsid w:val="002E7B2F"/>
    <w:rsid w:val="002F0E4E"/>
    <w:rsid w:val="002F1214"/>
    <w:rsid w:val="002F1683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FB6"/>
    <w:rsid w:val="002F55DC"/>
    <w:rsid w:val="002F7936"/>
    <w:rsid w:val="003003BF"/>
    <w:rsid w:val="00300BD8"/>
    <w:rsid w:val="00300F5E"/>
    <w:rsid w:val="0030252C"/>
    <w:rsid w:val="003025CB"/>
    <w:rsid w:val="00303524"/>
    <w:rsid w:val="00304716"/>
    <w:rsid w:val="00304DAE"/>
    <w:rsid w:val="00305270"/>
    <w:rsid w:val="00305F44"/>
    <w:rsid w:val="0030605C"/>
    <w:rsid w:val="00306A90"/>
    <w:rsid w:val="00307312"/>
    <w:rsid w:val="00310219"/>
    <w:rsid w:val="003112B9"/>
    <w:rsid w:val="0031158A"/>
    <w:rsid w:val="003121A0"/>
    <w:rsid w:val="00312C53"/>
    <w:rsid w:val="003139FC"/>
    <w:rsid w:val="00314191"/>
    <w:rsid w:val="0031509E"/>
    <w:rsid w:val="0031512D"/>
    <w:rsid w:val="003153D8"/>
    <w:rsid w:val="0031735D"/>
    <w:rsid w:val="00320170"/>
    <w:rsid w:val="00320186"/>
    <w:rsid w:val="003202E3"/>
    <w:rsid w:val="00320E76"/>
    <w:rsid w:val="00321335"/>
    <w:rsid w:val="00321E3E"/>
    <w:rsid w:val="0032246E"/>
    <w:rsid w:val="003236D8"/>
    <w:rsid w:val="00325682"/>
    <w:rsid w:val="00325DB8"/>
    <w:rsid w:val="00326824"/>
    <w:rsid w:val="0032748D"/>
    <w:rsid w:val="00327972"/>
    <w:rsid w:val="00327FD3"/>
    <w:rsid w:val="0033059E"/>
    <w:rsid w:val="003316EB"/>
    <w:rsid w:val="00333F55"/>
    <w:rsid w:val="00333F82"/>
    <w:rsid w:val="003343E3"/>
    <w:rsid w:val="003347C0"/>
    <w:rsid w:val="00335C37"/>
    <w:rsid w:val="00336312"/>
    <w:rsid w:val="00337204"/>
    <w:rsid w:val="0033724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6F33"/>
    <w:rsid w:val="0034752B"/>
    <w:rsid w:val="0034756A"/>
    <w:rsid w:val="00347741"/>
    <w:rsid w:val="0034788E"/>
    <w:rsid w:val="00350AA3"/>
    <w:rsid w:val="0035145C"/>
    <w:rsid w:val="00351D4C"/>
    <w:rsid w:val="003533A1"/>
    <w:rsid w:val="0035414F"/>
    <w:rsid w:val="00354F60"/>
    <w:rsid w:val="003550DE"/>
    <w:rsid w:val="003557D2"/>
    <w:rsid w:val="003607CF"/>
    <w:rsid w:val="00360A5B"/>
    <w:rsid w:val="00360F52"/>
    <w:rsid w:val="00361369"/>
    <w:rsid w:val="00361F5C"/>
    <w:rsid w:val="00361FA7"/>
    <w:rsid w:val="00362233"/>
    <w:rsid w:val="00362963"/>
    <w:rsid w:val="00363055"/>
    <w:rsid w:val="003659EF"/>
    <w:rsid w:val="00366862"/>
    <w:rsid w:val="00366AAF"/>
    <w:rsid w:val="00366ADB"/>
    <w:rsid w:val="00367001"/>
    <w:rsid w:val="003671BE"/>
    <w:rsid w:val="003671C3"/>
    <w:rsid w:val="003705ED"/>
    <w:rsid w:val="00371A95"/>
    <w:rsid w:val="003722AB"/>
    <w:rsid w:val="00372653"/>
    <w:rsid w:val="00372670"/>
    <w:rsid w:val="0037290A"/>
    <w:rsid w:val="00372ADB"/>
    <w:rsid w:val="00373089"/>
    <w:rsid w:val="0037363A"/>
    <w:rsid w:val="0037403F"/>
    <w:rsid w:val="00374868"/>
    <w:rsid w:val="00374B06"/>
    <w:rsid w:val="00375D77"/>
    <w:rsid w:val="00375E7F"/>
    <w:rsid w:val="00376C2C"/>
    <w:rsid w:val="00376C4A"/>
    <w:rsid w:val="00376F13"/>
    <w:rsid w:val="0037778E"/>
    <w:rsid w:val="00377B3F"/>
    <w:rsid w:val="003805F1"/>
    <w:rsid w:val="0038276F"/>
    <w:rsid w:val="003829DB"/>
    <w:rsid w:val="00382D64"/>
    <w:rsid w:val="00383554"/>
    <w:rsid w:val="00383B16"/>
    <w:rsid w:val="00385013"/>
    <w:rsid w:val="00385621"/>
    <w:rsid w:val="00386431"/>
    <w:rsid w:val="00387620"/>
    <w:rsid w:val="00387C65"/>
    <w:rsid w:val="0039063A"/>
    <w:rsid w:val="0039128A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4E3"/>
    <w:rsid w:val="00395B9D"/>
    <w:rsid w:val="00395BE0"/>
    <w:rsid w:val="003966FD"/>
    <w:rsid w:val="003A025D"/>
    <w:rsid w:val="003A0B3D"/>
    <w:rsid w:val="003A14B5"/>
    <w:rsid w:val="003A1BFD"/>
    <w:rsid w:val="003A1CAD"/>
    <w:rsid w:val="003A218A"/>
    <w:rsid w:val="003A22C2"/>
    <w:rsid w:val="003A2745"/>
    <w:rsid w:val="003A2DB0"/>
    <w:rsid w:val="003A4724"/>
    <w:rsid w:val="003A52E6"/>
    <w:rsid w:val="003A5353"/>
    <w:rsid w:val="003A536B"/>
    <w:rsid w:val="003A5CB2"/>
    <w:rsid w:val="003A6015"/>
    <w:rsid w:val="003A7359"/>
    <w:rsid w:val="003A7631"/>
    <w:rsid w:val="003B031A"/>
    <w:rsid w:val="003B07AB"/>
    <w:rsid w:val="003B1AE8"/>
    <w:rsid w:val="003B2949"/>
    <w:rsid w:val="003B2E60"/>
    <w:rsid w:val="003B306E"/>
    <w:rsid w:val="003B338E"/>
    <w:rsid w:val="003B38DC"/>
    <w:rsid w:val="003B4238"/>
    <w:rsid w:val="003B4301"/>
    <w:rsid w:val="003B686D"/>
    <w:rsid w:val="003B6B5F"/>
    <w:rsid w:val="003B6B6B"/>
    <w:rsid w:val="003B7C9A"/>
    <w:rsid w:val="003C05FE"/>
    <w:rsid w:val="003C0D84"/>
    <w:rsid w:val="003C1E36"/>
    <w:rsid w:val="003C1EAD"/>
    <w:rsid w:val="003C357A"/>
    <w:rsid w:val="003C441F"/>
    <w:rsid w:val="003C4961"/>
    <w:rsid w:val="003C4ADA"/>
    <w:rsid w:val="003C4B55"/>
    <w:rsid w:val="003C4CA9"/>
    <w:rsid w:val="003C50F9"/>
    <w:rsid w:val="003C5AEA"/>
    <w:rsid w:val="003C6087"/>
    <w:rsid w:val="003C6352"/>
    <w:rsid w:val="003C6743"/>
    <w:rsid w:val="003C683F"/>
    <w:rsid w:val="003C7AA0"/>
    <w:rsid w:val="003C7CB1"/>
    <w:rsid w:val="003D0030"/>
    <w:rsid w:val="003D0C1B"/>
    <w:rsid w:val="003D1363"/>
    <w:rsid w:val="003D245A"/>
    <w:rsid w:val="003D2B96"/>
    <w:rsid w:val="003D310A"/>
    <w:rsid w:val="003D41D8"/>
    <w:rsid w:val="003D47ED"/>
    <w:rsid w:val="003D4ED3"/>
    <w:rsid w:val="003D561F"/>
    <w:rsid w:val="003D5725"/>
    <w:rsid w:val="003D5774"/>
    <w:rsid w:val="003D5B8E"/>
    <w:rsid w:val="003D5BFE"/>
    <w:rsid w:val="003D6495"/>
    <w:rsid w:val="003D68D2"/>
    <w:rsid w:val="003D71CF"/>
    <w:rsid w:val="003D7B7D"/>
    <w:rsid w:val="003E0DA8"/>
    <w:rsid w:val="003E560B"/>
    <w:rsid w:val="003E56FE"/>
    <w:rsid w:val="003E5B05"/>
    <w:rsid w:val="003E5DDB"/>
    <w:rsid w:val="003E6057"/>
    <w:rsid w:val="003E60A2"/>
    <w:rsid w:val="003E6BCD"/>
    <w:rsid w:val="003E7408"/>
    <w:rsid w:val="003E7459"/>
    <w:rsid w:val="003F07AF"/>
    <w:rsid w:val="003F1643"/>
    <w:rsid w:val="003F282B"/>
    <w:rsid w:val="003F28EA"/>
    <w:rsid w:val="003F2B28"/>
    <w:rsid w:val="003F34EE"/>
    <w:rsid w:val="003F59CC"/>
    <w:rsid w:val="003F5EA0"/>
    <w:rsid w:val="003F6139"/>
    <w:rsid w:val="003F645F"/>
    <w:rsid w:val="003F652D"/>
    <w:rsid w:val="003F6676"/>
    <w:rsid w:val="003F708D"/>
    <w:rsid w:val="003F7EDC"/>
    <w:rsid w:val="00400225"/>
    <w:rsid w:val="004008E9"/>
    <w:rsid w:val="004012E5"/>
    <w:rsid w:val="00402646"/>
    <w:rsid w:val="00402697"/>
    <w:rsid w:val="00402E56"/>
    <w:rsid w:val="00402FA4"/>
    <w:rsid w:val="00403A20"/>
    <w:rsid w:val="004043AD"/>
    <w:rsid w:val="00404557"/>
    <w:rsid w:val="004050E3"/>
    <w:rsid w:val="00405597"/>
    <w:rsid w:val="004056C9"/>
    <w:rsid w:val="00405C6D"/>
    <w:rsid w:val="00405F51"/>
    <w:rsid w:val="004061BA"/>
    <w:rsid w:val="0040781B"/>
    <w:rsid w:val="0040794B"/>
    <w:rsid w:val="004112F3"/>
    <w:rsid w:val="00412B72"/>
    <w:rsid w:val="00413B3D"/>
    <w:rsid w:val="00413B7E"/>
    <w:rsid w:val="004146D0"/>
    <w:rsid w:val="00415EAB"/>
    <w:rsid w:val="0041604E"/>
    <w:rsid w:val="00416C42"/>
    <w:rsid w:val="00421581"/>
    <w:rsid w:val="0042259D"/>
    <w:rsid w:val="0042278E"/>
    <w:rsid w:val="0042305F"/>
    <w:rsid w:val="00423E96"/>
    <w:rsid w:val="00424B4C"/>
    <w:rsid w:val="00426683"/>
    <w:rsid w:val="00426DCC"/>
    <w:rsid w:val="00426EFD"/>
    <w:rsid w:val="00427072"/>
    <w:rsid w:val="004270DC"/>
    <w:rsid w:val="00427182"/>
    <w:rsid w:val="004275D6"/>
    <w:rsid w:val="004311D9"/>
    <w:rsid w:val="00432165"/>
    <w:rsid w:val="00433C53"/>
    <w:rsid w:val="004341BB"/>
    <w:rsid w:val="004349CB"/>
    <w:rsid w:val="00434AF1"/>
    <w:rsid w:val="00434B6F"/>
    <w:rsid w:val="00435000"/>
    <w:rsid w:val="00435D48"/>
    <w:rsid w:val="00435F75"/>
    <w:rsid w:val="00436D57"/>
    <w:rsid w:val="00440074"/>
    <w:rsid w:val="00440363"/>
    <w:rsid w:val="00440C6D"/>
    <w:rsid w:val="00440F3B"/>
    <w:rsid w:val="00441561"/>
    <w:rsid w:val="004422E1"/>
    <w:rsid w:val="004437FC"/>
    <w:rsid w:val="004450A4"/>
    <w:rsid w:val="00445512"/>
    <w:rsid w:val="00445846"/>
    <w:rsid w:val="004463C8"/>
    <w:rsid w:val="00446A5A"/>
    <w:rsid w:val="00446DB7"/>
    <w:rsid w:val="00446E7B"/>
    <w:rsid w:val="004473B3"/>
    <w:rsid w:val="00447C4B"/>
    <w:rsid w:val="00447FBC"/>
    <w:rsid w:val="004507F0"/>
    <w:rsid w:val="00451282"/>
    <w:rsid w:val="00451486"/>
    <w:rsid w:val="00452851"/>
    <w:rsid w:val="004536BD"/>
    <w:rsid w:val="00453A2A"/>
    <w:rsid w:val="00454368"/>
    <w:rsid w:val="00454699"/>
    <w:rsid w:val="00455132"/>
    <w:rsid w:val="00455EF1"/>
    <w:rsid w:val="0045720C"/>
    <w:rsid w:val="004572C8"/>
    <w:rsid w:val="004602D7"/>
    <w:rsid w:val="00462134"/>
    <w:rsid w:val="0046249F"/>
    <w:rsid w:val="00462779"/>
    <w:rsid w:val="004640BC"/>
    <w:rsid w:val="00464A20"/>
    <w:rsid w:val="00465B1F"/>
    <w:rsid w:val="004665FA"/>
    <w:rsid w:val="0046781E"/>
    <w:rsid w:val="00470916"/>
    <w:rsid w:val="004720CF"/>
    <w:rsid w:val="00472E52"/>
    <w:rsid w:val="00473067"/>
    <w:rsid w:val="00473196"/>
    <w:rsid w:val="004741B5"/>
    <w:rsid w:val="00474699"/>
    <w:rsid w:val="00474A1C"/>
    <w:rsid w:val="00475C95"/>
    <w:rsid w:val="00475FAB"/>
    <w:rsid w:val="00475FBC"/>
    <w:rsid w:val="004768A4"/>
    <w:rsid w:val="00477382"/>
    <w:rsid w:val="00477500"/>
    <w:rsid w:val="00477E21"/>
    <w:rsid w:val="0048021E"/>
    <w:rsid w:val="00481E24"/>
    <w:rsid w:val="00482630"/>
    <w:rsid w:val="004826FB"/>
    <w:rsid w:val="004837D7"/>
    <w:rsid w:val="0048389E"/>
    <w:rsid w:val="0048398E"/>
    <w:rsid w:val="00483ECD"/>
    <w:rsid w:val="00484074"/>
    <w:rsid w:val="004849BA"/>
    <w:rsid w:val="00484E8D"/>
    <w:rsid w:val="00485C00"/>
    <w:rsid w:val="0048775F"/>
    <w:rsid w:val="00487762"/>
    <w:rsid w:val="00487A6A"/>
    <w:rsid w:val="00487E87"/>
    <w:rsid w:val="00491CEB"/>
    <w:rsid w:val="004923A8"/>
    <w:rsid w:val="00492484"/>
    <w:rsid w:val="004934BF"/>
    <w:rsid w:val="004943FB"/>
    <w:rsid w:val="0049474D"/>
    <w:rsid w:val="004958F9"/>
    <w:rsid w:val="00496E32"/>
    <w:rsid w:val="00497589"/>
    <w:rsid w:val="004A01BA"/>
    <w:rsid w:val="004A0A1E"/>
    <w:rsid w:val="004A0EDC"/>
    <w:rsid w:val="004A10BC"/>
    <w:rsid w:val="004A1173"/>
    <w:rsid w:val="004A1AA5"/>
    <w:rsid w:val="004A1EDB"/>
    <w:rsid w:val="004A225B"/>
    <w:rsid w:val="004A25DE"/>
    <w:rsid w:val="004A351D"/>
    <w:rsid w:val="004A3C74"/>
    <w:rsid w:val="004A517E"/>
    <w:rsid w:val="004A5849"/>
    <w:rsid w:val="004A66FA"/>
    <w:rsid w:val="004A73C5"/>
    <w:rsid w:val="004A7587"/>
    <w:rsid w:val="004A7AC0"/>
    <w:rsid w:val="004B01C3"/>
    <w:rsid w:val="004B12E4"/>
    <w:rsid w:val="004B2016"/>
    <w:rsid w:val="004B2D09"/>
    <w:rsid w:val="004B3780"/>
    <w:rsid w:val="004B3B09"/>
    <w:rsid w:val="004B42B1"/>
    <w:rsid w:val="004B4D2F"/>
    <w:rsid w:val="004B6126"/>
    <w:rsid w:val="004B63B1"/>
    <w:rsid w:val="004B66EA"/>
    <w:rsid w:val="004B68A8"/>
    <w:rsid w:val="004B7E10"/>
    <w:rsid w:val="004C05FA"/>
    <w:rsid w:val="004C1CBA"/>
    <w:rsid w:val="004C22FD"/>
    <w:rsid w:val="004C3803"/>
    <w:rsid w:val="004C3D1D"/>
    <w:rsid w:val="004C3D3F"/>
    <w:rsid w:val="004C43FD"/>
    <w:rsid w:val="004C565B"/>
    <w:rsid w:val="004C6119"/>
    <w:rsid w:val="004C6B2F"/>
    <w:rsid w:val="004C6D1B"/>
    <w:rsid w:val="004C7D01"/>
    <w:rsid w:val="004D0391"/>
    <w:rsid w:val="004D0FA6"/>
    <w:rsid w:val="004D11CC"/>
    <w:rsid w:val="004D1B5B"/>
    <w:rsid w:val="004D2FB4"/>
    <w:rsid w:val="004D3D7A"/>
    <w:rsid w:val="004D3F6A"/>
    <w:rsid w:val="004D42DE"/>
    <w:rsid w:val="004D4664"/>
    <w:rsid w:val="004D4B3F"/>
    <w:rsid w:val="004D5455"/>
    <w:rsid w:val="004D60E7"/>
    <w:rsid w:val="004D6F99"/>
    <w:rsid w:val="004E0ACA"/>
    <w:rsid w:val="004E1502"/>
    <w:rsid w:val="004E17D7"/>
    <w:rsid w:val="004E1E4F"/>
    <w:rsid w:val="004E2379"/>
    <w:rsid w:val="004E2BBE"/>
    <w:rsid w:val="004E3029"/>
    <w:rsid w:val="004E30DD"/>
    <w:rsid w:val="004E3553"/>
    <w:rsid w:val="004E36E2"/>
    <w:rsid w:val="004E41BB"/>
    <w:rsid w:val="004E4250"/>
    <w:rsid w:val="004E4C9C"/>
    <w:rsid w:val="004E5392"/>
    <w:rsid w:val="004E59AD"/>
    <w:rsid w:val="004E67F8"/>
    <w:rsid w:val="004E72B6"/>
    <w:rsid w:val="004E733B"/>
    <w:rsid w:val="004E7DED"/>
    <w:rsid w:val="004F2037"/>
    <w:rsid w:val="004F267E"/>
    <w:rsid w:val="004F3A8B"/>
    <w:rsid w:val="004F4892"/>
    <w:rsid w:val="004F5094"/>
    <w:rsid w:val="004F57F8"/>
    <w:rsid w:val="004F6ABC"/>
    <w:rsid w:val="004F6F50"/>
    <w:rsid w:val="004F7A94"/>
    <w:rsid w:val="004F7B00"/>
    <w:rsid w:val="004F7D16"/>
    <w:rsid w:val="004F7F50"/>
    <w:rsid w:val="00501120"/>
    <w:rsid w:val="005011AC"/>
    <w:rsid w:val="005017E0"/>
    <w:rsid w:val="00503E07"/>
    <w:rsid w:val="00504C5A"/>
    <w:rsid w:val="00504FDC"/>
    <w:rsid w:val="005052E3"/>
    <w:rsid w:val="00505E71"/>
    <w:rsid w:val="00505FE6"/>
    <w:rsid w:val="00506764"/>
    <w:rsid w:val="00510651"/>
    <w:rsid w:val="00510887"/>
    <w:rsid w:val="00510F46"/>
    <w:rsid w:val="00510FF7"/>
    <w:rsid w:val="00512079"/>
    <w:rsid w:val="005126CC"/>
    <w:rsid w:val="00512BB2"/>
    <w:rsid w:val="00513217"/>
    <w:rsid w:val="005137E2"/>
    <w:rsid w:val="00513B86"/>
    <w:rsid w:val="00513FCF"/>
    <w:rsid w:val="0051447D"/>
    <w:rsid w:val="005144C2"/>
    <w:rsid w:val="00514B5B"/>
    <w:rsid w:val="005178FE"/>
    <w:rsid w:val="00520555"/>
    <w:rsid w:val="0052076F"/>
    <w:rsid w:val="0052127C"/>
    <w:rsid w:val="005212D5"/>
    <w:rsid w:val="0052176D"/>
    <w:rsid w:val="00521ACB"/>
    <w:rsid w:val="00521DC9"/>
    <w:rsid w:val="005229AA"/>
    <w:rsid w:val="005233D3"/>
    <w:rsid w:val="00523B1F"/>
    <w:rsid w:val="00523DCF"/>
    <w:rsid w:val="0052430C"/>
    <w:rsid w:val="00524946"/>
    <w:rsid w:val="005249E6"/>
    <w:rsid w:val="00525F2F"/>
    <w:rsid w:val="0052635A"/>
    <w:rsid w:val="005265EB"/>
    <w:rsid w:val="00526BF7"/>
    <w:rsid w:val="00526C8A"/>
    <w:rsid w:val="0053057A"/>
    <w:rsid w:val="005308D9"/>
    <w:rsid w:val="005317DD"/>
    <w:rsid w:val="005322D3"/>
    <w:rsid w:val="00532C77"/>
    <w:rsid w:val="00532F7F"/>
    <w:rsid w:val="00533584"/>
    <w:rsid w:val="00533E32"/>
    <w:rsid w:val="005341FC"/>
    <w:rsid w:val="005355CC"/>
    <w:rsid w:val="00536DF0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735"/>
    <w:rsid w:val="00542E3A"/>
    <w:rsid w:val="00543A67"/>
    <w:rsid w:val="00544B68"/>
    <w:rsid w:val="00545724"/>
    <w:rsid w:val="00545977"/>
    <w:rsid w:val="005471F8"/>
    <w:rsid w:val="00547338"/>
    <w:rsid w:val="00547ECD"/>
    <w:rsid w:val="00550169"/>
    <w:rsid w:val="005511E9"/>
    <w:rsid w:val="0055129B"/>
    <w:rsid w:val="00551570"/>
    <w:rsid w:val="0055265A"/>
    <w:rsid w:val="005539B4"/>
    <w:rsid w:val="005539F4"/>
    <w:rsid w:val="00553AB4"/>
    <w:rsid w:val="00554163"/>
    <w:rsid w:val="00555248"/>
    <w:rsid w:val="0055559E"/>
    <w:rsid w:val="00555D83"/>
    <w:rsid w:val="005566B6"/>
    <w:rsid w:val="005573DD"/>
    <w:rsid w:val="00560BBA"/>
    <w:rsid w:val="00561572"/>
    <w:rsid w:val="00561887"/>
    <w:rsid w:val="00561F9C"/>
    <w:rsid w:val="00562234"/>
    <w:rsid w:val="0056227B"/>
    <w:rsid w:val="0056375B"/>
    <w:rsid w:val="00563A80"/>
    <w:rsid w:val="005646D2"/>
    <w:rsid w:val="005647C4"/>
    <w:rsid w:val="00564964"/>
    <w:rsid w:val="00564AE3"/>
    <w:rsid w:val="00566B58"/>
    <w:rsid w:val="00567B56"/>
    <w:rsid w:val="005701DE"/>
    <w:rsid w:val="0057148E"/>
    <w:rsid w:val="005725C0"/>
    <w:rsid w:val="00573A45"/>
    <w:rsid w:val="005746EB"/>
    <w:rsid w:val="00574D38"/>
    <w:rsid w:val="005760B1"/>
    <w:rsid w:val="005804DD"/>
    <w:rsid w:val="005804EC"/>
    <w:rsid w:val="0058087C"/>
    <w:rsid w:val="005814DE"/>
    <w:rsid w:val="00582403"/>
    <w:rsid w:val="005828E5"/>
    <w:rsid w:val="00582AFB"/>
    <w:rsid w:val="00583574"/>
    <w:rsid w:val="00583E7A"/>
    <w:rsid w:val="0058452C"/>
    <w:rsid w:val="00585019"/>
    <w:rsid w:val="0058729B"/>
    <w:rsid w:val="005877C0"/>
    <w:rsid w:val="005877C4"/>
    <w:rsid w:val="005877D3"/>
    <w:rsid w:val="005879AD"/>
    <w:rsid w:val="00587DE7"/>
    <w:rsid w:val="005903F7"/>
    <w:rsid w:val="00590E1B"/>
    <w:rsid w:val="00593968"/>
    <w:rsid w:val="00594102"/>
    <w:rsid w:val="00594243"/>
    <w:rsid w:val="00594250"/>
    <w:rsid w:val="0059455D"/>
    <w:rsid w:val="00594D60"/>
    <w:rsid w:val="00595235"/>
    <w:rsid w:val="0059592C"/>
    <w:rsid w:val="00595A2B"/>
    <w:rsid w:val="00596220"/>
    <w:rsid w:val="00596277"/>
    <w:rsid w:val="005962C8"/>
    <w:rsid w:val="00597D32"/>
    <w:rsid w:val="005A0275"/>
    <w:rsid w:val="005A05B4"/>
    <w:rsid w:val="005A05D2"/>
    <w:rsid w:val="005A0AA1"/>
    <w:rsid w:val="005A0F3D"/>
    <w:rsid w:val="005A3011"/>
    <w:rsid w:val="005A3614"/>
    <w:rsid w:val="005A3789"/>
    <w:rsid w:val="005A3EF2"/>
    <w:rsid w:val="005A4042"/>
    <w:rsid w:val="005A4051"/>
    <w:rsid w:val="005A4A16"/>
    <w:rsid w:val="005A4C15"/>
    <w:rsid w:val="005A66DE"/>
    <w:rsid w:val="005A7752"/>
    <w:rsid w:val="005B03AE"/>
    <w:rsid w:val="005B0675"/>
    <w:rsid w:val="005B07C0"/>
    <w:rsid w:val="005B086F"/>
    <w:rsid w:val="005B0F24"/>
    <w:rsid w:val="005B22B1"/>
    <w:rsid w:val="005B28AD"/>
    <w:rsid w:val="005B2C76"/>
    <w:rsid w:val="005B3984"/>
    <w:rsid w:val="005B478D"/>
    <w:rsid w:val="005B48EA"/>
    <w:rsid w:val="005B4E1A"/>
    <w:rsid w:val="005B5288"/>
    <w:rsid w:val="005B5770"/>
    <w:rsid w:val="005B60A8"/>
    <w:rsid w:val="005B747A"/>
    <w:rsid w:val="005B7E19"/>
    <w:rsid w:val="005C00EA"/>
    <w:rsid w:val="005C0A09"/>
    <w:rsid w:val="005C100C"/>
    <w:rsid w:val="005C21C6"/>
    <w:rsid w:val="005C272A"/>
    <w:rsid w:val="005C28E5"/>
    <w:rsid w:val="005C3706"/>
    <w:rsid w:val="005C3AFC"/>
    <w:rsid w:val="005C4E20"/>
    <w:rsid w:val="005C707A"/>
    <w:rsid w:val="005C70EA"/>
    <w:rsid w:val="005C7B92"/>
    <w:rsid w:val="005C7CD7"/>
    <w:rsid w:val="005C7D21"/>
    <w:rsid w:val="005D0550"/>
    <w:rsid w:val="005D0E98"/>
    <w:rsid w:val="005D15FE"/>
    <w:rsid w:val="005D1F82"/>
    <w:rsid w:val="005D297A"/>
    <w:rsid w:val="005D30F6"/>
    <w:rsid w:val="005D394C"/>
    <w:rsid w:val="005D3F41"/>
    <w:rsid w:val="005D48BF"/>
    <w:rsid w:val="005D4AEF"/>
    <w:rsid w:val="005D4DF3"/>
    <w:rsid w:val="005D5340"/>
    <w:rsid w:val="005D54C0"/>
    <w:rsid w:val="005D697A"/>
    <w:rsid w:val="005D71A1"/>
    <w:rsid w:val="005D72D0"/>
    <w:rsid w:val="005D7EC7"/>
    <w:rsid w:val="005E092C"/>
    <w:rsid w:val="005E145F"/>
    <w:rsid w:val="005E1967"/>
    <w:rsid w:val="005E1C5A"/>
    <w:rsid w:val="005E1F1E"/>
    <w:rsid w:val="005E27A6"/>
    <w:rsid w:val="005E2D39"/>
    <w:rsid w:val="005E3426"/>
    <w:rsid w:val="005E3BDC"/>
    <w:rsid w:val="005E3D0E"/>
    <w:rsid w:val="005E4938"/>
    <w:rsid w:val="005E765B"/>
    <w:rsid w:val="005E7C54"/>
    <w:rsid w:val="005F0C5F"/>
    <w:rsid w:val="005F1707"/>
    <w:rsid w:val="005F2394"/>
    <w:rsid w:val="005F24C4"/>
    <w:rsid w:val="005F2C4F"/>
    <w:rsid w:val="005F361B"/>
    <w:rsid w:val="005F36AE"/>
    <w:rsid w:val="005F43FA"/>
    <w:rsid w:val="005F5565"/>
    <w:rsid w:val="005F742F"/>
    <w:rsid w:val="005F7526"/>
    <w:rsid w:val="006015D5"/>
    <w:rsid w:val="00601806"/>
    <w:rsid w:val="0060187A"/>
    <w:rsid w:val="00601B9B"/>
    <w:rsid w:val="006020D8"/>
    <w:rsid w:val="00602A38"/>
    <w:rsid w:val="0060307D"/>
    <w:rsid w:val="00603A0C"/>
    <w:rsid w:val="00605F19"/>
    <w:rsid w:val="006063A3"/>
    <w:rsid w:val="00606917"/>
    <w:rsid w:val="00606D21"/>
    <w:rsid w:val="00606DC2"/>
    <w:rsid w:val="006075C2"/>
    <w:rsid w:val="00607A14"/>
    <w:rsid w:val="006107A5"/>
    <w:rsid w:val="00611449"/>
    <w:rsid w:val="006117AC"/>
    <w:rsid w:val="00611B2A"/>
    <w:rsid w:val="00611B94"/>
    <w:rsid w:val="00612B26"/>
    <w:rsid w:val="006131CA"/>
    <w:rsid w:val="00613679"/>
    <w:rsid w:val="0061442D"/>
    <w:rsid w:val="00614B52"/>
    <w:rsid w:val="0061509A"/>
    <w:rsid w:val="00615243"/>
    <w:rsid w:val="00615304"/>
    <w:rsid w:val="00615B91"/>
    <w:rsid w:val="00616B62"/>
    <w:rsid w:val="00616BD8"/>
    <w:rsid w:val="00617AF5"/>
    <w:rsid w:val="00621AB9"/>
    <w:rsid w:val="00621F5D"/>
    <w:rsid w:val="00622D18"/>
    <w:rsid w:val="0062366F"/>
    <w:rsid w:val="00623AD5"/>
    <w:rsid w:val="00623B77"/>
    <w:rsid w:val="00624D44"/>
    <w:rsid w:val="00627185"/>
    <w:rsid w:val="00627F23"/>
    <w:rsid w:val="00630E13"/>
    <w:rsid w:val="0063123E"/>
    <w:rsid w:val="00631702"/>
    <w:rsid w:val="006317FB"/>
    <w:rsid w:val="00631889"/>
    <w:rsid w:val="00632616"/>
    <w:rsid w:val="006333BA"/>
    <w:rsid w:val="00633BBA"/>
    <w:rsid w:val="00633F36"/>
    <w:rsid w:val="0063452C"/>
    <w:rsid w:val="0063598B"/>
    <w:rsid w:val="00635AEC"/>
    <w:rsid w:val="006373F7"/>
    <w:rsid w:val="00637509"/>
    <w:rsid w:val="006418B5"/>
    <w:rsid w:val="006421F9"/>
    <w:rsid w:val="0064333D"/>
    <w:rsid w:val="00644C90"/>
    <w:rsid w:val="00644D2B"/>
    <w:rsid w:val="00644F86"/>
    <w:rsid w:val="00645392"/>
    <w:rsid w:val="0064699E"/>
    <w:rsid w:val="00650FBE"/>
    <w:rsid w:val="00651383"/>
    <w:rsid w:val="0065170C"/>
    <w:rsid w:val="00651DA8"/>
    <w:rsid w:val="006533AF"/>
    <w:rsid w:val="00653789"/>
    <w:rsid w:val="006543BA"/>
    <w:rsid w:val="00654DBF"/>
    <w:rsid w:val="00655395"/>
    <w:rsid w:val="006555A2"/>
    <w:rsid w:val="006570C1"/>
    <w:rsid w:val="0065786C"/>
    <w:rsid w:val="00657E7B"/>
    <w:rsid w:val="00660989"/>
    <w:rsid w:val="006616E6"/>
    <w:rsid w:val="00661B0F"/>
    <w:rsid w:val="00661D8B"/>
    <w:rsid w:val="00662BC3"/>
    <w:rsid w:val="00663DDC"/>
    <w:rsid w:val="00665592"/>
    <w:rsid w:val="006659B0"/>
    <w:rsid w:val="00666DA0"/>
    <w:rsid w:val="00667195"/>
    <w:rsid w:val="00667ECC"/>
    <w:rsid w:val="006707C0"/>
    <w:rsid w:val="00670D2A"/>
    <w:rsid w:val="0067123D"/>
    <w:rsid w:val="00672FBB"/>
    <w:rsid w:val="006732B3"/>
    <w:rsid w:val="006738CB"/>
    <w:rsid w:val="006751D7"/>
    <w:rsid w:val="00675547"/>
    <w:rsid w:val="006758F0"/>
    <w:rsid w:val="006760FF"/>
    <w:rsid w:val="00677A5C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C59"/>
    <w:rsid w:val="00686422"/>
    <w:rsid w:val="006874AB"/>
    <w:rsid w:val="0068790D"/>
    <w:rsid w:val="00687A8F"/>
    <w:rsid w:val="00687ECA"/>
    <w:rsid w:val="006900D9"/>
    <w:rsid w:val="00690941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7298"/>
    <w:rsid w:val="006A12F6"/>
    <w:rsid w:val="006A13BB"/>
    <w:rsid w:val="006A1AAA"/>
    <w:rsid w:val="006A1C22"/>
    <w:rsid w:val="006A280D"/>
    <w:rsid w:val="006A3883"/>
    <w:rsid w:val="006A406A"/>
    <w:rsid w:val="006A5F09"/>
    <w:rsid w:val="006A6D2D"/>
    <w:rsid w:val="006A6ECA"/>
    <w:rsid w:val="006B0A06"/>
    <w:rsid w:val="006B12AB"/>
    <w:rsid w:val="006B1B10"/>
    <w:rsid w:val="006B1C59"/>
    <w:rsid w:val="006B41DC"/>
    <w:rsid w:val="006B5A9E"/>
    <w:rsid w:val="006B5F68"/>
    <w:rsid w:val="006B759C"/>
    <w:rsid w:val="006B7743"/>
    <w:rsid w:val="006B7CE1"/>
    <w:rsid w:val="006C10C6"/>
    <w:rsid w:val="006C126D"/>
    <w:rsid w:val="006C1610"/>
    <w:rsid w:val="006C1C7B"/>
    <w:rsid w:val="006C2CF4"/>
    <w:rsid w:val="006C4023"/>
    <w:rsid w:val="006C40FF"/>
    <w:rsid w:val="006C6299"/>
    <w:rsid w:val="006C7529"/>
    <w:rsid w:val="006C7961"/>
    <w:rsid w:val="006D029A"/>
    <w:rsid w:val="006D1D78"/>
    <w:rsid w:val="006D1F0F"/>
    <w:rsid w:val="006D22BC"/>
    <w:rsid w:val="006D3110"/>
    <w:rsid w:val="006D40D6"/>
    <w:rsid w:val="006D4C89"/>
    <w:rsid w:val="006D4F49"/>
    <w:rsid w:val="006D5F48"/>
    <w:rsid w:val="006D7AEF"/>
    <w:rsid w:val="006D7F35"/>
    <w:rsid w:val="006D7FA4"/>
    <w:rsid w:val="006E14E1"/>
    <w:rsid w:val="006E1551"/>
    <w:rsid w:val="006E2607"/>
    <w:rsid w:val="006E27A8"/>
    <w:rsid w:val="006E2C7A"/>
    <w:rsid w:val="006E2DCD"/>
    <w:rsid w:val="006E2FE0"/>
    <w:rsid w:val="006E3912"/>
    <w:rsid w:val="006E456F"/>
    <w:rsid w:val="006E4F47"/>
    <w:rsid w:val="006E5679"/>
    <w:rsid w:val="006E584F"/>
    <w:rsid w:val="006E7909"/>
    <w:rsid w:val="006F2046"/>
    <w:rsid w:val="006F4BD8"/>
    <w:rsid w:val="006F53F4"/>
    <w:rsid w:val="006F5AD2"/>
    <w:rsid w:val="006F7257"/>
    <w:rsid w:val="007003D2"/>
    <w:rsid w:val="00700496"/>
    <w:rsid w:val="00700E75"/>
    <w:rsid w:val="0070260C"/>
    <w:rsid w:val="00702926"/>
    <w:rsid w:val="00702BDD"/>
    <w:rsid w:val="00703C1B"/>
    <w:rsid w:val="00704535"/>
    <w:rsid w:val="0070492F"/>
    <w:rsid w:val="007054E0"/>
    <w:rsid w:val="00706FC9"/>
    <w:rsid w:val="007077CC"/>
    <w:rsid w:val="007111C2"/>
    <w:rsid w:val="007113B2"/>
    <w:rsid w:val="007123A5"/>
    <w:rsid w:val="00712B4E"/>
    <w:rsid w:val="0071361E"/>
    <w:rsid w:val="00714B1C"/>
    <w:rsid w:val="00714DC9"/>
    <w:rsid w:val="00715460"/>
    <w:rsid w:val="00715597"/>
    <w:rsid w:val="00716134"/>
    <w:rsid w:val="00716E1B"/>
    <w:rsid w:val="00716EB6"/>
    <w:rsid w:val="007171D6"/>
    <w:rsid w:val="007206D4"/>
    <w:rsid w:val="00722BA8"/>
    <w:rsid w:val="00724135"/>
    <w:rsid w:val="007241A5"/>
    <w:rsid w:val="00724CBD"/>
    <w:rsid w:val="0072511D"/>
    <w:rsid w:val="00725420"/>
    <w:rsid w:val="00725BA4"/>
    <w:rsid w:val="007263C3"/>
    <w:rsid w:val="00726571"/>
    <w:rsid w:val="0072664F"/>
    <w:rsid w:val="007274C5"/>
    <w:rsid w:val="007301FE"/>
    <w:rsid w:val="00730D3A"/>
    <w:rsid w:val="00731391"/>
    <w:rsid w:val="00731E8C"/>
    <w:rsid w:val="007320F2"/>
    <w:rsid w:val="00733374"/>
    <w:rsid w:val="00733803"/>
    <w:rsid w:val="00735589"/>
    <w:rsid w:val="0073580B"/>
    <w:rsid w:val="00737D26"/>
    <w:rsid w:val="007408DF"/>
    <w:rsid w:val="00740F11"/>
    <w:rsid w:val="0074130C"/>
    <w:rsid w:val="007418E0"/>
    <w:rsid w:val="00741B1C"/>
    <w:rsid w:val="00741C29"/>
    <w:rsid w:val="00742AC8"/>
    <w:rsid w:val="00742B76"/>
    <w:rsid w:val="007432DC"/>
    <w:rsid w:val="00743A3B"/>
    <w:rsid w:val="00743DB7"/>
    <w:rsid w:val="00743E2E"/>
    <w:rsid w:val="0074430A"/>
    <w:rsid w:val="00746773"/>
    <w:rsid w:val="00750C37"/>
    <w:rsid w:val="0075305E"/>
    <w:rsid w:val="00753122"/>
    <w:rsid w:val="007556B7"/>
    <w:rsid w:val="00755C2D"/>
    <w:rsid w:val="00756D12"/>
    <w:rsid w:val="00757073"/>
    <w:rsid w:val="007571BC"/>
    <w:rsid w:val="00757484"/>
    <w:rsid w:val="00760E00"/>
    <w:rsid w:val="00761C1A"/>
    <w:rsid w:val="00761C46"/>
    <w:rsid w:val="00761EC4"/>
    <w:rsid w:val="00762728"/>
    <w:rsid w:val="00762DA8"/>
    <w:rsid w:val="00763262"/>
    <w:rsid w:val="0076370A"/>
    <w:rsid w:val="00763FEE"/>
    <w:rsid w:val="00764CFD"/>
    <w:rsid w:val="00764F06"/>
    <w:rsid w:val="00765ED4"/>
    <w:rsid w:val="00767A5F"/>
    <w:rsid w:val="00767B46"/>
    <w:rsid w:val="00770052"/>
    <w:rsid w:val="00770A0D"/>
    <w:rsid w:val="0077146A"/>
    <w:rsid w:val="0077161A"/>
    <w:rsid w:val="00772288"/>
    <w:rsid w:val="00772673"/>
    <w:rsid w:val="0077268B"/>
    <w:rsid w:val="00772703"/>
    <w:rsid w:val="00772A2B"/>
    <w:rsid w:val="00772ED2"/>
    <w:rsid w:val="007738A3"/>
    <w:rsid w:val="00773F09"/>
    <w:rsid w:val="00774608"/>
    <w:rsid w:val="007749A0"/>
    <w:rsid w:val="007760AE"/>
    <w:rsid w:val="007768B7"/>
    <w:rsid w:val="00776F26"/>
    <w:rsid w:val="007801AE"/>
    <w:rsid w:val="0078070B"/>
    <w:rsid w:val="00780B75"/>
    <w:rsid w:val="00780F5F"/>
    <w:rsid w:val="0078193D"/>
    <w:rsid w:val="00781AEE"/>
    <w:rsid w:val="00782073"/>
    <w:rsid w:val="007837BE"/>
    <w:rsid w:val="00783E42"/>
    <w:rsid w:val="007844DB"/>
    <w:rsid w:val="0078503B"/>
    <w:rsid w:val="00785529"/>
    <w:rsid w:val="007859E8"/>
    <w:rsid w:val="00786993"/>
    <w:rsid w:val="007903D0"/>
    <w:rsid w:val="00790738"/>
    <w:rsid w:val="00790A7C"/>
    <w:rsid w:val="00790B01"/>
    <w:rsid w:val="007915D0"/>
    <w:rsid w:val="007918D9"/>
    <w:rsid w:val="00791F2B"/>
    <w:rsid w:val="007928A5"/>
    <w:rsid w:val="00794363"/>
    <w:rsid w:val="007946B2"/>
    <w:rsid w:val="007967B1"/>
    <w:rsid w:val="00797C26"/>
    <w:rsid w:val="00797E37"/>
    <w:rsid w:val="00797FFB"/>
    <w:rsid w:val="007A1D5F"/>
    <w:rsid w:val="007A2918"/>
    <w:rsid w:val="007A3834"/>
    <w:rsid w:val="007A49A4"/>
    <w:rsid w:val="007A4B71"/>
    <w:rsid w:val="007A4BAD"/>
    <w:rsid w:val="007A4F04"/>
    <w:rsid w:val="007A56D5"/>
    <w:rsid w:val="007A59A2"/>
    <w:rsid w:val="007A5C30"/>
    <w:rsid w:val="007A6298"/>
    <w:rsid w:val="007A79D0"/>
    <w:rsid w:val="007B052C"/>
    <w:rsid w:val="007B146E"/>
    <w:rsid w:val="007B1A7A"/>
    <w:rsid w:val="007B2DD5"/>
    <w:rsid w:val="007B44B6"/>
    <w:rsid w:val="007B456C"/>
    <w:rsid w:val="007B5A7A"/>
    <w:rsid w:val="007B68AF"/>
    <w:rsid w:val="007B71E5"/>
    <w:rsid w:val="007B769D"/>
    <w:rsid w:val="007B7A5C"/>
    <w:rsid w:val="007B7EEA"/>
    <w:rsid w:val="007C06FA"/>
    <w:rsid w:val="007C0D00"/>
    <w:rsid w:val="007C105B"/>
    <w:rsid w:val="007C136F"/>
    <w:rsid w:val="007C2C6A"/>
    <w:rsid w:val="007C2CEF"/>
    <w:rsid w:val="007C2D48"/>
    <w:rsid w:val="007C38E5"/>
    <w:rsid w:val="007C5D63"/>
    <w:rsid w:val="007C6380"/>
    <w:rsid w:val="007C6E4F"/>
    <w:rsid w:val="007C7C33"/>
    <w:rsid w:val="007D001F"/>
    <w:rsid w:val="007D1246"/>
    <w:rsid w:val="007D1944"/>
    <w:rsid w:val="007D276F"/>
    <w:rsid w:val="007D40B2"/>
    <w:rsid w:val="007D4688"/>
    <w:rsid w:val="007D4E59"/>
    <w:rsid w:val="007D521B"/>
    <w:rsid w:val="007D52B4"/>
    <w:rsid w:val="007D69BC"/>
    <w:rsid w:val="007D6C16"/>
    <w:rsid w:val="007D6F07"/>
    <w:rsid w:val="007D7F9B"/>
    <w:rsid w:val="007E1420"/>
    <w:rsid w:val="007E1577"/>
    <w:rsid w:val="007E1858"/>
    <w:rsid w:val="007E1CA4"/>
    <w:rsid w:val="007E2933"/>
    <w:rsid w:val="007E29B4"/>
    <w:rsid w:val="007E2C25"/>
    <w:rsid w:val="007E2D18"/>
    <w:rsid w:val="007E47FC"/>
    <w:rsid w:val="007E4A37"/>
    <w:rsid w:val="007E50E1"/>
    <w:rsid w:val="007F1AA0"/>
    <w:rsid w:val="007F2601"/>
    <w:rsid w:val="007F262E"/>
    <w:rsid w:val="007F2657"/>
    <w:rsid w:val="007F475F"/>
    <w:rsid w:val="007F478E"/>
    <w:rsid w:val="007F4A8D"/>
    <w:rsid w:val="007F54CB"/>
    <w:rsid w:val="007F5A86"/>
    <w:rsid w:val="007F5DFB"/>
    <w:rsid w:val="007F71E0"/>
    <w:rsid w:val="008006E6"/>
    <w:rsid w:val="00801A5C"/>
    <w:rsid w:val="00802A1F"/>
    <w:rsid w:val="00802CBE"/>
    <w:rsid w:val="00803256"/>
    <w:rsid w:val="00803BC3"/>
    <w:rsid w:val="008055E3"/>
    <w:rsid w:val="0080593A"/>
    <w:rsid w:val="008073F0"/>
    <w:rsid w:val="00807871"/>
    <w:rsid w:val="00807DC4"/>
    <w:rsid w:val="00807E8D"/>
    <w:rsid w:val="0081020F"/>
    <w:rsid w:val="00811946"/>
    <w:rsid w:val="00811DB6"/>
    <w:rsid w:val="008133AA"/>
    <w:rsid w:val="0081403B"/>
    <w:rsid w:val="008148E1"/>
    <w:rsid w:val="00815A14"/>
    <w:rsid w:val="008167C1"/>
    <w:rsid w:val="00817503"/>
    <w:rsid w:val="00817D3A"/>
    <w:rsid w:val="00817EA7"/>
    <w:rsid w:val="0082114F"/>
    <w:rsid w:val="008218CF"/>
    <w:rsid w:val="00822188"/>
    <w:rsid w:val="00822B4A"/>
    <w:rsid w:val="00826E5D"/>
    <w:rsid w:val="00830F87"/>
    <w:rsid w:val="008319CA"/>
    <w:rsid w:val="008322D1"/>
    <w:rsid w:val="008325C1"/>
    <w:rsid w:val="00833359"/>
    <w:rsid w:val="00833B9F"/>
    <w:rsid w:val="00833E38"/>
    <w:rsid w:val="00833FD3"/>
    <w:rsid w:val="0083429B"/>
    <w:rsid w:val="00834B90"/>
    <w:rsid w:val="00835F4F"/>
    <w:rsid w:val="008362ED"/>
    <w:rsid w:val="00836328"/>
    <w:rsid w:val="00836EE8"/>
    <w:rsid w:val="008373A3"/>
    <w:rsid w:val="008379ED"/>
    <w:rsid w:val="0084003B"/>
    <w:rsid w:val="00840798"/>
    <w:rsid w:val="00840E2F"/>
    <w:rsid w:val="00840FD5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4B38"/>
    <w:rsid w:val="00844BE8"/>
    <w:rsid w:val="008459E5"/>
    <w:rsid w:val="00845C74"/>
    <w:rsid w:val="008472E3"/>
    <w:rsid w:val="00847BC9"/>
    <w:rsid w:val="00847F87"/>
    <w:rsid w:val="00850949"/>
    <w:rsid w:val="00851171"/>
    <w:rsid w:val="008511B6"/>
    <w:rsid w:val="00851847"/>
    <w:rsid w:val="008520ED"/>
    <w:rsid w:val="00852817"/>
    <w:rsid w:val="00853776"/>
    <w:rsid w:val="00854666"/>
    <w:rsid w:val="00855057"/>
    <w:rsid w:val="0085530B"/>
    <w:rsid w:val="0085546C"/>
    <w:rsid w:val="0085572E"/>
    <w:rsid w:val="00855EA9"/>
    <w:rsid w:val="0085689E"/>
    <w:rsid w:val="0085708B"/>
    <w:rsid w:val="0085730A"/>
    <w:rsid w:val="00857659"/>
    <w:rsid w:val="00857768"/>
    <w:rsid w:val="0086177A"/>
    <w:rsid w:val="008628F3"/>
    <w:rsid w:val="00863873"/>
    <w:rsid w:val="008648D6"/>
    <w:rsid w:val="008655B2"/>
    <w:rsid w:val="0086576F"/>
    <w:rsid w:val="00865B09"/>
    <w:rsid w:val="00865B72"/>
    <w:rsid w:val="00866410"/>
    <w:rsid w:val="0086798C"/>
    <w:rsid w:val="00867AE9"/>
    <w:rsid w:val="00867B90"/>
    <w:rsid w:val="0087042E"/>
    <w:rsid w:val="0087086C"/>
    <w:rsid w:val="00870FF7"/>
    <w:rsid w:val="008712A1"/>
    <w:rsid w:val="008720DA"/>
    <w:rsid w:val="00872202"/>
    <w:rsid w:val="00872618"/>
    <w:rsid w:val="0087290A"/>
    <w:rsid w:val="0087382A"/>
    <w:rsid w:val="0087402C"/>
    <w:rsid w:val="0087409F"/>
    <w:rsid w:val="00874AF5"/>
    <w:rsid w:val="00874BB8"/>
    <w:rsid w:val="00874C6A"/>
    <w:rsid w:val="00875058"/>
    <w:rsid w:val="00875535"/>
    <w:rsid w:val="00875896"/>
    <w:rsid w:val="00875DD7"/>
    <w:rsid w:val="008760C9"/>
    <w:rsid w:val="00876175"/>
    <w:rsid w:val="00876CA3"/>
    <w:rsid w:val="008776AE"/>
    <w:rsid w:val="00877E3C"/>
    <w:rsid w:val="008808DB"/>
    <w:rsid w:val="00882F1F"/>
    <w:rsid w:val="00883549"/>
    <w:rsid w:val="00883AA4"/>
    <w:rsid w:val="00883B83"/>
    <w:rsid w:val="008848DE"/>
    <w:rsid w:val="00884C20"/>
    <w:rsid w:val="00884D16"/>
    <w:rsid w:val="0088501F"/>
    <w:rsid w:val="008855C3"/>
    <w:rsid w:val="00886630"/>
    <w:rsid w:val="008866BF"/>
    <w:rsid w:val="008870B5"/>
    <w:rsid w:val="008912B0"/>
    <w:rsid w:val="00892288"/>
    <w:rsid w:val="00892B4D"/>
    <w:rsid w:val="00892BDD"/>
    <w:rsid w:val="00892F49"/>
    <w:rsid w:val="00893627"/>
    <w:rsid w:val="008938AA"/>
    <w:rsid w:val="008946E5"/>
    <w:rsid w:val="00894A15"/>
    <w:rsid w:val="00894C3A"/>
    <w:rsid w:val="008951BF"/>
    <w:rsid w:val="008966B4"/>
    <w:rsid w:val="00896B9F"/>
    <w:rsid w:val="00897470"/>
    <w:rsid w:val="008977ED"/>
    <w:rsid w:val="00897CE0"/>
    <w:rsid w:val="008A0CC7"/>
    <w:rsid w:val="008A1972"/>
    <w:rsid w:val="008A1A7F"/>
    <w:rsid w:val="008A1CAA"/>
    <w:rsid w:val="008A2CAA"/>
    <w:rsid w:val="008A2EBC"/>
    <w:rsid w:val="008A2FB7"/>
    <w:rsid w:val="008A341A"/>
    <w:rsid w:val="008A424C"/>
    <w:rsid w:val="008A4B3E"/>
    <w:rsid w:val="008A4CF7"/>
    <w:rsid w:val="008A512A"/>
    <w:rsid w:val="008A65F2"/>
    <w:rsid w:val="008A699C"/>
    <w:rsid w:val="008A6A9C"/>
    <w:rsid w:val="008A726E"/>
    <w:rsid w:val="008B073A"/>
    <w:rsid w:val="008B0DC5"/>
    <w:rsid w:val="008B0E64"/>
    <w:rsid w:val="008B1C21"/>
    <w:rsid w:val="008B1D90"/>
    <w:rsid w:val="008B32BE"/>
    <w:rsid w:val="008B436D"/>
    <w:rsid w:val="008B4709"/>
    <w:rsid w:val="008B4714"/>
    <w:rsid w:val="008B480B"/>
    <w:rsid w:val="008B49A7"/>
    <w:rsid w:val="008B5198"/>
    <w:rsid w:val="008B52D9"/>
    <w:rsid w:val="008B5D87"/>
    <w:rsid w:val="008B6A3C"/>
    <w:rsid w:val="008B6C14"/>
    <w:rsid w:val="008B714C"/>
    <w:rsid w:val="008B7177"/>
    <w:rsid w:val="008B7F3D"/>
    <w:rsid w:val="008C0860"/>
    <w:rsid w:val="008C2B34"/>
    <w:rsid w:val="008C2C3C"/>
    <w:rsid w:val="008C36DC"/>
    <w:rsid w:val="008C3A8F"/>
    <w:rsid w:val="008C49B6"/>
    <w:rsid w:val="008C5531"/>
    <w:rsid w:val="008C5D7D"/>
    <w:rsid w:val="008C6A91"/>
    <w:rsid w:val="008C7360"/>
    <w:rsid w:val="008C79BB"/>
    <w:rsid w:val="008D0203"/>
    <w:rsid w:val="008D04A0"/>
    <w:rsid w:val="008D07FE"/>
    <w:rsid w:val="008D1219"/>
    <w:rsid w:val="008D2871"/>
    <w:rsid w:val="008D338E"/>
    <w:rsid w:val="008D38D9"/>
    <w:rsid w:val="008D3B20"/>
    <w:rsid w:val="008D414F"/>
    <w:rsid w:val="008D48EC"/>
    <w:rsid w:val="008D5403"/>
    <w:rsid w:val="008D5732"/>
    <w:rsid w:val="008D767F"/>
    <w:rsid w:val="008D7D3F"/>
    <w:rsid w:val="008E029A"/>
    <w:rsid w:val="008E1907"/>
    <w:rsid w:val="008E228F"/>
    <w:rsid w:val="008E2A18"/>
    <w:rsid w:val="008E3685"/>
    <w:rsid w:val="008E5189"/>
    <w:rsid w:val="008E57C2"/>
    <w:rsid w:val="008E5E56"/>
    <w:rsid w:val="008E6335"/>
    <w:rsid w:val="008E69A0"/>
    <w:rsid w:val="008E6D16"/>
    <w:rsid w:val="008E7987"/>
    <w:rsid w:val="008E7E1B"/>
    <w:rsid w:val="008E7EFF"/>
    <w:rsid w:val="008F0DA9"/>
    <w:rsid w:val="008F0E0C"/>
    <w:rsid w:val="008F1389"/>
    <w:rsid w:val="008F2E0F"/>
    <w:rsid w:val="008F416D"/>
    <w:rsid w:val="008F5EC0"/>
    <w:rsid w:val="008F662C"/>
    <w:rsid w:val="008F6C60"/>
    <w:rsid w:val="008F6D54"/>
    <w:rsid w:val="008F7046"/>
    <w:rsid w:val="00900744"/>
    <w:rsid w:val="00900B2E"/>
    <w:rsid w:val="00900B73"/>
    <w:rsid w:val="0090133F"/>
    <w:rsid w:val="00901DD2"/>
    <w:rsid w:val="00902286"/>
    <w:rsid w:val="0090245C"/>
    <w:rsid w:val="00902F4F"/>
    <w:rsid w:val="0090302C"/>
    <w:rsid w:val="00903161"/>
    <w:rsid w:val="0090371D"/>
    <w:rsid w:val="00904510"/>
    <w:rsid w:val="00904D03"/>
    <w:rsid w:val="009066B1"/>
    <w:rsid w:val="00906892"/>
    <w:rsid w:val="00907BF2"/>
    <w:rsid w:val="00907F56"/>
    <w:rsid w:val="00907F6A"/>
    <w:rsid w:val="0091156A"/>
    <w:rsid w:val="00911A26"/>
    <w:rsid w:val="00912118"/>
    <w:rsid w:val="009126C8"/>
    <w:rsid w:val="009129AD"/>
    <w:rsid w:val="00913374"/>
    <w:rsid w:val="009133F7"/>
    <w:rsid w:val="009137B4"/>
    <w:rsid w:val="009144BA"/>
    <w:rsid w:val="009149F2"/>
    <w:rsid w:val="00915285"/>
    <w:rsid w:val="00915A6E"/>
    <w:rsid w:val="009167BC"/>
    <w:rsid w:val="00916856"/>
    <w:rsid w:val="00916894"/>
    <w:rsid w:val="00917B5E"/>
    <w:rsid w:val="00917E6D"/>
    <w:rsid w:val="009207E2"/>
    <w:rsid w:val="00920B78"/>
    <w:rsid w:val="00920CD0"/>
    <w:rsid w:val="00922D23"/>
    <w:rsid w:val="009240F3"/>
    <w:rsid w:val="009244FF"/>
    <w:rsid w:val="00924AA2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EBF"/>
    <w:rsid w:val="00932359"/>
    <w:rsid w:val="00933233"/>
    <w:rsid w:val="00933365"/>
    <w:rsid w:val="009344FD"/>
    <w:rsid w:val="00934A6C"/>
    <w:rsid w:val="009355D2"/>
    <w:rsid w:val="00936AB8"/>
    <w:rsid w:val="00941BB6"/>
    <w:rsid w:val="00942917"/>
    <w:rsid w:val="00942BF4"/>
    <w:rsid w:val="00943159"/>
    <w:rsid w:val="00943CCC"/>
    <w:rsid w:val="009447E6"/>
    <w:rsid w:val="00944A4E"/>
    <w:rsid w:val="00944B4F"/>
    <w:rsid w:val="00945719"/>
    <w:rsid w:val="009460FF"/>
    <w:rsid w:val="00946D74"/>
    <w:rsid w:val="0095153B"/>
    <w:rsid w:val="00951F98"/>
    <w:rsid w:val="00953DB4"/>
    <w:rsid w:val="009545BF"/>
    <w:rsid w:val="00954AD5"/>
    <w:rsid w:val="00957A7E"/>
    <w:rsid w:val="00960BE1"/>
    <w:rsid w:val="00961427"/>
    <w:rsid w:val="00961920"/>
    <w:rsid w:val="00961D19"/>
    <w:rsid w:val="00961D8B"/>
    <w:rsid w:val="00962A97"/>
    <w:rsid w:val="00962D63"/>
    <w:rsid w:val="00962E5D"/>
    <w:rsid w:val="0096345C"/>
    <w:rsid w:val="00963783"/>
    <w:rsid w:val="00963A11"/>
    <w:rsid w:val="00964C22"/>
    <w:rsid w:val="00964E5A"/>
    <w:rsid w:val="00965163"/>
    <w:rsid w:val="00965196"/>
    <w:rsid w:val="00965219"/>
    <w:rsid w:val="0096736E"/>
    <w:rsid w:val="0096784B"/>
    <w:rsid w:val="009678FD"/>
    <w:rsid w:val="00967AF5"/>
    <w:rsid w:val="00967CCA"/>
    <w:rsid w:val="00970294"/>
    <w:rsid w:val="009713AC"/>
    <w:rsid w:val="009726D4"/>
    <w:rsid w:val="00974436"/>
    <w:rsid w:val="00974503"/>
    <w:rsid w:val="00974B76"/>
    <w:rsid w:val="009750B7"/>
    <w:rsid w:val="00975F70"/>
    <w:rsid w:val="00976060"/>
    <w:rsid w:val="00976576"/>
    <w:rsid w:val="00977067"/>
    <w:rsid w:val="0097739F"/>
    <w:rsid w:val="00977932"/>
    <w:rsid w:val="009801E4"/>
    <w:rsid w:val="0098024D"/>
    <w:rsid w:val="00981571"/>
    <w:rsid w:val="00981A3F"/>
    <w:rsid w:val="00982D13"/>
    <w:rsid w:val="00982DBD"/>
    <w:rsid w:val="009837D2"/>
    <w:rsid w:val="00984C53"/>
    <w:rsid w:val="00984CE4"/>
    <w:rsid w:val="009856D5"/>
    <w:rsid w:val="00985C5C"/>
    <w:rsid w:val="00986418"/>
    <w:rsid w:val="009871FA"/>
    <w:rsid w:val="00987657"/>
    <w:rsid w:val="0098794C"/>
    <w:rsid w:val="00987FE9"/>
    <w:rsid w:val="00990543"/>
    <w:rsid w:val="00990C6F"/>
    <w:rsid w:val="00992DA9"/>
    <w:rsid w:val="00993119"/>
    <w:rsid w:val="00993A2A"/>
    <w:rsid w:val="00994105"/>
    <w:rsid w:val="00994387"/>
    <w:rsid w:val="00994679"/>
    <w:rsid w:val="00994D08"/>
    <w:rsid w:val="00995C71"/>
    <w:rsid w:val="009961FC"/>
    <w:rsid w:val="00996F92"/>
    <w:rsid w:val="00997C54"/>
    <w:rsid w:val="00997D8A"/>
    <w:rsid w:val="009A082B"/>
    <w:rsid w:val="009A0F94"/>
    <w:rsid w:val="009A1251"/>
    <w:rsid w:val="009A2015"/>
    <w:rsid w:val="009A205F"/>
    <w:rsid w:val="009A211F"/>
    <w:rsid w:val="009A2560"/>
    <w:rsid w:val="009A2896"/>
    <w:rsid w:val="009A29A0"/>
    <w:rsid w:val="009A3A31"/>
    <w:rsid w:val="009A3A8A"/>
    <w:rsid w:val="009A41D4"/>
    <w:rsid w:val="009A7391"/>
    <w:rsid w:val="009A7812"/>
    <w:rsid w:val="009A7E4D"/>
    <w:rsid w:val="009B03D3"/>
    <w:rsid w:val="009B0DB1"/>
    <w:rsid w:val="009B1015"/>
    <w:rsid w:val="009B1510"/>
    <w:rsid w:val="009B1A4B"/>
    <w:rsid w:val="009B272E"/>
    <w:rsid w:val="009B2B2B"/>
    <w:rsid w:val="009B2BEC"/>
    <w:rsid w:val="009B2CFC"/>
    <w:rsid w:val="009B3182"/>
    <w:rsid w:val="009B3AB4"/>
    <w:rsid w:val="009B3D6D"/>
    <w:rsid w:val="009B43AE"/>
    <w:rsid w:val="009B463B"/>
    <w:rsid w:val="009B4AAB"/>
    <w:rsid w:val="009B4E7A"/>
    <w:rsid w:val="009B6BC0"/>
    <w:rsid w:val="009C0E61"/>
    <w:rsid w:val="009C1C42"/>
    <w:rsid w:val="009C1E24"/>
    <w:rsid w:val="009C318A"/>
    <w:rsid w:val="009C3222"/>
    <w:rsid w:val="009C3CEA"/>
    <w:rsid w:val="009C4C1C"/>
    <w:rsid w:val="009C4EE2"/>
    <w:rsid w:val="009C5EB3"/>
    <w:rsid w:val="009C6A79"/>
    <w:rsid w:val="009C7447"/>
    <w:rsid w:val="009D05C8"/>
    <w:rsid w:val="009D0EEB"/>
    <w:rsid w:val="009D1867"/>
    <w:rsid w:val="009D1D6E"/>
    <w:rsid w:val="009D1DB4"/>
    <w:rsid w:val="009D2284"/>
    <w:rsid w:val="009D3F74"/>
    <w:rsid w:val="009D664A"/>
    <w:rsid w:val="009D71E5"/>
    <w:rsid w:val="009D735D"/>
    <w:rsid w:val="009D7E3C"/>
    <w:rsid w:val="009E1695"/>
    <w:rsid w:val="009E17B3"/>
    <w:rsid w:val="009E1925"/>
    <w:rsid w:val="009E1B74"/>
    <w:rsid w:val="009E2944"/>
    <w:rsid w:val="009E2AB6"/>
    <w:rsid w:val="009E2E2F"/>
    <w:rsid w:val="009E2FD1"/>
    <w:rsid w:val="009E36CC"/>
    <w:rsid w:val="009E4027"/>
    <w:rsid w:val="009E435E"/>
    <w:rsid w:val="009E468F"/>
    <w:rsid w:val="009E4BD5"/>
    <w:rsid w:val="009E4C7F"/>
    <w:rsid w:val="009E697A"/>
    <w:rsid w:val="009E7EEF"/>
    <w:rsid w:val="009F06E5"/>
    <w:rsid w:val="009F11D1"/>
    <w:rsid w:val="009F19D4"/>
    <w:rsid w:val="009F32FF"/>
    <w:rsid w:val="009F3396"/>
    <w:rsid w:val="009F35F7"/>
    <w:rsid w:val="009F4108"/>
    <w:rsid w:val="009F440C"/>
    <w:rsid w:val="009F4756"/>
    <w:rsid w:val="009F4AB7"/>
    <w:rsid w:val="009F55C6"/>
    <w:rsid w:val="009F5937"/>
    <w:rsid w:val="009F6091"/>
    <w:rsid w:val="009F66FC"/>
    <w:rsid w:val="009F68CB"/>
    <w:rsid w:val="009F741A"/>
    <w:rsid w:val="00A00383"/>
    <w:rsid w:val="00A028B9"/>
    <w:rsid w:val="00A029CA"/>
    <w:rsid w:val="00A03537"/>
    <w:rsid w:val="00A03612"/>
    <w:rsid w:val="00A03BBB"/>
    <w:rsid w:val="00A03C7F"/>
    <w:rsid w:val="00A03FAB"/>
    <w:rsid w:val="00A04650"/>
    <w:rsid w:val="00A046F6"/>
    <w:rsid w:val="00A04AB1"/>
    <w:rsid w:val="00A0574D"/>
    <w:rsid w:val="00A05CD7"/>
    <w:rsid w:val="00A05DF7"/>
    <w:rsid w:val="00A0670A"/>
    <w:rsid w:val="00A06843"/>
    <w:rsid w:val="00A07353"/>
    <w:rsid w:val="00A0750A"/>
    <w:rsid w:val="00A07E32"/>
    <w:rsid w:val="00A103CE"/>
    <w:rsid w:val="00A112A5"/>
    <w:rsid w:val="00A11719"/>
    <w:rsid w:val="00A11972"/>
    <w:rsid w:val="00A13604"/>
    <w:rsid w:val="00A152D5"/>
    <w:rsid w:val="00A16299"/>
    <w:rsid w:val="00A168D6"/>
    <w:rsid w:val="00A179FF"/>
    <w:rsid w:val="00A17CEA"/>
    <w:rsid w:val="00A217F2"/>
    <w:rsid w:val="00A21B97"/>
    <w:rsid w:val="00A245CA"/>
    <w:rsid w:val="00A250DB"/>
    <w:rsid w:val="00A258C0"/>
    <w:rsid w:val="00A2789D"/>
    <w:rsid w:val="00A31F1D"/>
    <w:rsid w:val="00A322D1"/>
    <w:rsid w:val="00A3266D"/>
    <w:rsid w:val="00A33426"/>
    <w:rsid w:val="00A3486A"/>
    <w:rsid w:val="00A3586B"/>
    <w:rsid w:val="00A358F1"/>
    <w:rsid w:val="00A36010"/>
    <w:rsid w:val="00A36159"/>
    <w:rsid w:val="00A36EDF"/>
    <w:rsid w:val="00A37370"/>
    <w:rsid w:val="00A37B90"/>
    <w:rsid w:val="00A37E02"/>
    <w:rsid w:val="00A37E64"/>
    <w:rsid w:val="00A37F6E"/>
    <w:rsid w:val="00A37FC5"/>
    <w:rsid w:val="00A42344"/>
    <w:rsid w:val="00A433BA"/>
    <w:rsid w:val="00A433E2"/>
    <w:rsid w:val="00A44584"/>
    <w:rsid w:val="00A457FD"/>
    <w:rsid w:val="00A466F1"/>
    <w:rsid w:val="00A46929"/>
    <w:rsid w:val="00A4702A"/>
    <w:rsid w:val="00A51FB7"/>
    <w:rsid w:val="00A5229E"/>
    <w:rsid w:val="00A52555"/>
    <w:rsid w:val="00A54AEC"/>
    <w:rsid w:val="00A54B6D"/>
    <w:rsid w:val="00A554E9"/>
    <w:rsid w:val="00A56D4B"/>
    <w:rsid w:val="00A572BB"/>
    <w:rsid w:val="00A60672"/>
    <w:rsid w:val="00A60746"/>
    <w:rsid w:val="00A6210F"/>
    <w:rsid w:val="00A626E9"/>
    <w:rsid w:val="00A62AAE"/>
    <w:rsid w:val="00A643F8"/>
    <w:rsid w:val="00A66289"/>
    <w:rsid w:val="00A66B5D"/>
    <w:rsid w:val="00A7044A"/>
    <w:rsid w:val="00A7067D"/>
    <w:rsid w:val="00A70DA4"/>
    <w:rsid w:val="00A70FEB"/>
    <w:rsid w:val="00A711E4"/>
    <w:rsid w:val="00A726E2"/>
    <w:rsid w:val="00A74284"/>
    <w:rsid w:val="00A74F2D"/>
    <w:rsid w:val="00A7540D"/>
    <w:rsid w:val="00A75C2B"/>
    <w:rsid w:val="00A766AA"/>
    <w:rsid w:val="00A81B40"/>
    <w:rsid w:val="00A821C4"/>
    <w:rsid w:val="00A829F0"/>
    <w:rsid w:val="00A82D16"/>
    <w:rsid w:val="00A8308B"/>
    <w:rsid w:val="00A834E9"/>
    <w:rsid w:val="00A8362F"/>
    <w:rsid w:val="00A84313"/>
    <w:rsid w:val="00A85421"/>
    <w:rsid w:val="00A874A9"/>
    <w:rsid w:val="00A8761A"/>
    <w:rsid w:val="00A8774F"/>
    <w:rsid w:val="00A87B84"/>
    <w:rsid w:val="00A87E3F"/>
    <w:rsid w:val="00A90888"/>
    <w:rsid w:val="00A90903"/>
    <w:rsid w:val="00A90D66"/>
    <w:rsid w:val="00A911AB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63DD"/>
    <w:rsid w:val="00A967BE"/>
    <w:rsid w:val="00A96C79"/>
    <w:rsid w:val="00A9741D"/>
    <w:rsid w:val="00A97A09"/>
    <w:rsid w:val="00AA248C"/>
    <w:rsid w:val="00AA26CE"/>
    <w:rsid w:val="00AA3917"/>
    <w:rsid w:val="00AA3C2E"/>
    <w:rsid w:val="00AA3E6A"/>
    <w:rsid w:val="00AA446B"/>
    <w:rsid w:val="00AA48F7"/>
    <w:rsid w:val="00AA4A5C"/>
    <w:rsid w:val="00AA587E"/>
    <w:rsid w:val="00AA5CE2"/>
    <w:rsid w:val="00AA5E85"/>
    <w:rsid w:val="00AA6221"/>
    <w:rsid w:val="00AA6826"/>
    <w:rsid w:val="00AA698B"/>
    <w:rsid w:val="00AA6E41"/>
    <w:rsid w:val="00AA7358"/>
    <w:rsid w:val="00AB04DB"/>
    <w:rsid w:val="00AB14C9"/>
    <w:rsid w:val="00AB16AA"/>
    <w:rsid w:val="00AB345F"/>
    <w:rsid w:val="00AB4E07"/>
    <w:rsid w:val="00AB5DF1"/>
    <w:rsid w:val="00AB6A95"/>
    <w:rsid w:val="00AB6AE8"/>
    <w:rsid w:val="00AC1275"/>
    <w:rsid w:val="00AC198C"/>
    <w:rsid w:val="00AC2D6A"/>
    <w:rsid w:val="00AC3133"/>
    <w:rsid w:val="00AC332C"/>
    <w:rsid w:val="00AC3EF4"/>
    <w:rsid w:val="00AC4254"/>
    <w:rsid w:val="00AC44F5"/>
    <w:rsid w:val="00AC49F0"/>
    <w:rsid w:val="00AC4EB5"/>
    <w:rsid w:val="00AC5453"/>
    <w:rsid w:val="00AC67CF"/>
    <w:rsid w:val="00AC68EE"/>
    <w:rsid w:val="00AC76A6"/>
    <w:rsid w:val="00AC7A5F"/>
    <w:rsid w:val="00AD1492"/>
    <w:rsid w:val="00AD161E"/>
    <w:rsid w:val="00AD392B"/>
    <w:rsid w:val="00AD3FE4"/>
    <w:rsid w:val="00AD4B00"/>
    <w:rsid w:val="00AD5620"/>
    <w:rsid w:val="00AD752C"/>
    <w:rsid w:val="00AD7826"/>
    <w:rsid w:val="00AD7D28"/>
    <w:rsid w:val="00AE05A7"/>
    <w:rsid w:val="00AE0B16"/>
    <w:rsid w:val="00AE0FB3"/>
    <w:rsid w:val="00AE33AD"/>
    <w:rsid w:val="00AE4320"/>
    <w:rsid w:val="00AE561C"/>
    <w:rsid w:val="00AE5662"/>
    <w:rsid w:val="00AE5982"/>
    <w:rsid w:val="00AE5CF0"/>
    <w:rsid w:val="00AE61E0"/>
    <w:rsid w:val="00AE6D84"/>
    <w:rsid w:val="00AF033D"/>
    <w:rsid w:val="00AF04DF"/>
    <w:rsid w:val="00AF3C3C"/>
    <w:rsid w:val="00AF42B1"/>
    <w:rsid w:val="00AF442C"/>
    <w:rsid w:val="00AF4627"/>
    <w:rsid w:val="00AF483C"/>
    <w:rsid w:val="00AF4D6A"/>
    <w:rsid w:val="00AF74CA"/>
    <w:rsid w:val="00B00372"/>
    <w:rsid w:val="00B0133C"/>
    <w:rsid w:val="00B01A2B"/>
    <w:rsid w:val="00B02F48"/>
    <w:rsid w:val="00B03879"/>
    <w:rsid w:val="00B04636"/>
    <w:rsid w:val="00B04D29"/>
    <w:rsid w:val="00B05305"/>
    <w:rsid w:val="00B065DA"/>
    <w:rsid w:val="00B06C8B"/>
    <w:rsid w:val="00B07CC7"/>
    <w:rsid w:val="00B10250"/>
    <w:rsid w:val="00B10D92"/>
    <w:rsid w:val="00B111A0"/>
    <w:rsid w:val="00B11634"/>
    <w:rsid w:val="00B12082"/>
    <w:rsid w:val="00B12BD3"/>
    <w:rsid w:val="00B12C10"/>
    <w:rsid w:val="00B1381E"/>
    <w:rsid w:val="00B143AF"/>
    <w:rsid w:val="00B144DC"/>
    <w:rsid w:val="00B15639"/>
    <w:rsid w:val="00B15A81"/>
    <w:rsid w:val="00B1650A"/>
    <w:rsid w:val="00B16AF2"/>
    <w:rsid w:val="00B215EC"/>
    <w:rsid w:val="00B22BE5"/>
    <w:rsid w:val="00B23542"/>
    <w:rsid w:val="00B247B4"/>
    <w:rsid w:val="00B24F30"/>
    <w:rsid w:val="00B24FC9"/>
    <w:rsid w:val="00B26547"/>
    <w:rsid w:val="00B26ECA"/>
    <w:rsid w:val="00B30132"/>
    <w:rsid w:val="00B3065A"/>
    <w:rsid w:val="00B3078F"/>
    <w:rsid w:val="00B309DA"/>
    <w:rsid w:val="00B3138E"/>
    <w:rsid w:val="00B31637"/>
    <w:rsid w:val="00B31644"/>
    <w:rsid w:val="00B31D24"/>
    <w:rsid w:val="00B31D42"/>
    <w:rsid w:val="00B32936"/>
    <w:rsid w:val="00B34B0B"/>
    <w:rsid w:val="00B35064"/>
    <w:rsid w:val="00B36575"/>
    <w:rsid w:val="00B376BC"/>
    <w:rsid w:val="00B37707"/>
    <w:rsid w:val="00B37812"/>
    <w:rsid w:val="00B40BE3"/>
    <w:rsid w:val="00B41110"/>
    <w:rsid w:val="00B41F95"/>
    <w:rsid w:val="00B42470"/>
    <w:rsid w:val="00B433D4"/>
    <w:rsid w:val="00B43C5F"/>
    <w:rsid w:val="00B441BB"/>
    <w:rsid w:val="00B44F81"/>
    <w:rsid w:val="00B45217"/>
    <w:rsid w:val="00B4565B"/>
    <w:rsid w:val="00B4609F"/>
    <w:rsid w:val="00B46652"/>
    <w:rsid w:val="00B4717A"/>
    <w:rsid w:val="00B476C7"/>
    <w:rsid w:val="00B478DC"/>
    <w:rsid w:val="00B47B8C"/>
    <w:rsid w:val="00B501D5"/>
    <w:rsid w:val="00B506AF"/>
    <w:rsid w:val="00B50DCB"/>
    <w:rsid w:val="00B50E8C"/>
    <w:rsid w:val="00B51402"/>
    <w:rsid w:val="00B51906"/>
    <w:rsid w:val="00B51B56"/>
    <w:rsid w:val="00B52109"/>
    <w:rsid w:val="00B527AF"/>
    <w:rsid w:val="00B53366"/>
    <w:rsid w:val="00B53450"/>
    <w:rsid w:val="00B54EFC"/>
    <w:rsid w:val="00B558BD"/>
    <w:rsid w:val="00B56A17"/>
    <w:rsid w:val="00B56B2C"/>
    <w:rsid w:val="00B57845"/>
    <w:rsid w:val="00B57CD5"/>
    <w:rsid w:val="00B60480"/>
    <w:rsid w:val="00B607B2"/>
    <w:rsid w:val="00B60E9A"/>
    <w:rsid w:val="00B62175"/>
    <w:rsid w:val="00B62ED5"/>
    <w:rsid w:val="00B63904"/>
    <w:rsid w:val="00B63ECE"/>
    <w:rsid w:val="00B643DC"/>
    <w:rsid w:val="00B650CE"/>
    <w:rsid w:val="00B65331"/>
    <w:rsid w:val="00B65B79"/>
    <w:rsid w:val="00B65D3D"/>
    <w:rsid w:val="00B66049"/>
    <w:rsid w:val="00B6606A"/>
    <w:rsid w:val="00B662A8"/>
    <w:rsid w:val="00B66FB4"/>
    <w:rsid w:val="00B674E5"/>
    <w:rsid w:val="00B67970"/>
    <w:rsid w:val="00B70238"/>
    <w:rsid w:val="00B70603"/>
    <w:rsid w:val="00B711FA"/>
    <w:rsid w:val="00B71CDC"/>
    <w:rsid w:val="00B72092"/>
    <w:rsid w:val="00B7412A"/>
    <w:rsid w:val="00B74AAB"/>
    <w:rsid w:val="00B74E38"/>
    <w:rsid w:val="00B7568C"/>
    <w:rsid w:val="00B75A85"/>
    <w:rsid w:val="00B7602C"/>
    <w:rsid w:val="00B76118"/>
    <w:rsid w:val="00B769C5"/>
    <w:rsid w:val="00B76B20"/>
    <w:rsid w:val="00B7729A"/>
    <w:rsid w:val="00B800D1"/>
    <w:rsid w:val="00B80D6B"/>
    <w:rsid w:val="00B81485"/>
    <w:rsid w:val="00B81489"/>
    <w:rsid w:val="00B81636"/>
    <w:rsid w:val="00B82071"/>
    <w:rsid w:val="00B8247E"/>
    <w:rsid w:val="00B824FC"/>
    <w:rsid w:val="00B82695"/>
    <w:rsid w:val="00B82B69"/>
    <w:rsid w:val="00B8371F"/>
    <w:rsid w:val="00B83A91"/>
    <w:rsid w:val="00B83CF1"/>
    <w:rsid w:val="00B8450C"/>
    <w:rsid w:val="00B8462E"/>
    <w:rsid w:val="00B84D1B"/>
    <w:rsid w:val="00B84DFD"/>
    <w:rsid w:val="00B8519F"/>
    <w:rsid w:val="00B8524D"/>
    <w:rsid w:val="00B855EA"/>
    <w:rsid w:val="00B861A9"/>
    <w:rsid w:val="00B8685B"/>
    <w:rsid w:val="00B86B67"/>
    <w:rsid w:val="00B86EB0"/>
    <w:rsid w:val="00B87111"/>
    <w:rsid w:val="00B8791D"/>
    <w:rsid w:val="00B90440"/>
    <w:rsid w:val="00B9081E"/>
    <w:rsid w:val="00B91C7E"/>
    <w:rsid w:val="00B91FA9"/>
    <w:rsid w:val="00B9254D"/>
    <w:rsid w:val="00B92EE3"/>
    <w:rsid w:val="00B9389F"/>
    <w:rsid w:val="00B945EC"/>
    <w:rsid w:val="00B94724"/>
    <w:rsid w:val="00B9483D"/>
    <w:rsid w:val="00B94DB9"/>
    <w:rsid w:val="00B955B8"/>
    <w:rsid w:val="00B96195"/>
    <w:rsid w:val="00B961F1"/>
    <w:rsid w:val="00B96656"/>
    <w:rsid w:val="00B97986"/>
    <w:rsid w:val="00B97E48"/>
    <w:rsid w:val="00BA0939"/>
    <w:rsid w:val="00BA0C6E"/>
    <w:rsid w:val="00BA1925"/>
    <w:rsid w:val="00BA2C0F"/>
    <w:rsid w:val="00BA30AD"/>
    <w:rsid w:val="00BA3815"/>
    <w:rsid w:val="00BA3F63"/>
    <w:rsid w:val="00BA54DD"/>
    <w:rsid w:val="00BA5E98"/>
    <w:rsid w:val="00BA5F9D"/>
    <w:rsid w:val="00BA6EF7"/>
    <w:rsid w:val="00BB0391"/>
    <w:rsid w:val="00BB094D"/>
    <w:rsid w:val="00BB0A23"/>
    <w:rsid w:val="00BB1FEF"/>
    <w:rsid w:val="00BB20F9"/>
    <w:rsid w:val="00BB25DF"/>
    <w:rsid w:val="00BB27CA"/>
    <w:rsid w:val="00BB2DD5"/>
    <w:rsid w:val="00BB4CE3"/>
    <w:rsid w:val="00BB57B7"/>
    <w:rsid w:val="00BB626C"/>
    <w:rsid w:val="00BB63FD"/>
    <w:rsid w:val="00BB7530"/>
    <w:rsid w:val="00BC01CA"/>
    <w:rsid w:val="00BC05D1"/>
    <w:rsid w:val="00BC09E1"/>
    <w:rsid w:val="00BC0A4A"/>
    <w:rsid w:val="00BC111C"/>
    <w:rsid w:val="00BC1D98"/>
    <w:rsid w:val="00BC278C"/>
    <w:rsid w:val="00BC2E39"/>
    <w:rsid w:val="00BC2EE7"/>
    <w:rsid w:val="00BC336D"/>
    <w:rsid w:val="00BC3B50"/>
    <w:rsid w:val="00BC4406"/>
    <w:rsid w:val="00BC49B4"/>
    <w:rsid w:val="00BC58A7"/>
    <w:rsid w:val="00BC64B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FEB"/>
    <w:rsid w:val="00BD3618"/>
    <w:rsid w:val="00BD36D3"/>
    <w:rsid w:val="00BD3F66"/>
    <w:rsid w:val="00BD4161"/>
    <w:rsid w:val="00BD611F"/>
    <w:rsid w:val="00BD619F"/>
    <w:rsid w:val="00BD7B29"/>
    <w:rsid w:val="00BE0E81"/>
    <w:rsid w:val="00BE12C8"/>
    <w:rsid w:val="00BE175D"/>
    <w:rsid w:val="00BE2DE1"/>
    <w:rsid w:val="00BE2E4C"/>
    <w:rsid w:val="00BE2FA7"/>
    <w:rsid w:val="00BE3072"/>
    <w:rsid w:val="00BE40B7"/>
    <w:rsid w:val="00BE46C8"/>
    <w:rsid w:val="00BE4DA2"/>
    <w:rsid w:val="00BE692C"/>
    <w:rsid w:val="00BE6E9D"/>
    <w:rsid w:val="00BE72A2"/>
    <w:rsid w:val="00BF15ED"/>
    <w:rsid w:val="00BF298E"/>
    <w:rsid w:val="00BF360F"/>
    <w:rsid w:val="00BF39C5"/>
    <w:rsid w:val="00BF4115"/>
    <w:rsid w:val="00BF41E0"/>
    <w:rsid w:val="00BF5791"/>
    <w:rsid w:val="00BF5C07"/>
    <w:rsid w:val="00BF650A"/>
    <w:rsid w:val="00BF7234"/>
    <w:rsid w:val="00BF73EB"/>
    <w:rsid w:val="00BF76D8"/>
    <w:rsid w:val="00C005F2"/>
    <w:rsid w:val="00C00A26"/>
    <w:rsid w:val="00C02589"/>
    <w:rsid w:val="00C02BDF"/>
    <w:rsid w:val="00C0318E"/>
    <w:rsid w:val="00C03E14"/>
    <w:rsid w:val="00C03E52"/>
    <w:rsid w:val="00C03FDD"/>
    <w:rsid w:val="00C046EB"/>
    <w:rsid w:val="00C05117"/>
    <w:rsid w:val="00C060AA"/>
    <w:rsid w:val="00C06139"/>
    <w:rsid w:val="00C0659D"/>
    <w:rsid w:val="00C068B5"/>
    <w:rsid w:val="00C10731"/>
    <w:rsid w:val="00C10BDD"/>
    <w:rsid w:val="00C10D8C"/>
    <w:rsid w:val="00C11D94"/>
    <w:rsid w:val="00C11DC6"/>
    <w:rsid w:val="00C142A2"/>
    <w:rsid w:val="00C144B6"/>
    <w:rsid w:val="00C14DCE"/>
    <w:rsid w:val="00C1575A"/>
    <w:rsid w:val="00C16DE8"/>
    <w:rsid w:val="00C172AB"/>
    <w:rsid w:val="00C20270"/>
    <w:rsid w:val="00C207EF"/>
    <w:rsid w:val="00C21066"/>
    <w:rsid w:val="00C21484"/>
    <w:rsid w:val="00C2178A"/>
    <w:rsid w:val="00C21AB4"/>
    <w:rsid w:val="00C21C7F"/>
    <w:rsid w:val="00C24814"/>
    <w:rsid w:val="00C24A7A"/>
    <w:rsid w:val="00C26145"/>
    <w:rsid w:val="00C27487"/>
    <w:rsid w:val="00C30146"/>
    <w:rsid w:val="00C302CD"/>
    <w:rsid w:val="00C30503"/>
    <w:rsid w:val="00C3065B"/>
    <w:rsid w:val="00C310D3"/>
    <w:rsid w:val="00C31312"/>
    <w:rsid w:val="00C31D46"/>
    <w:rsid w:val="00C31EF5"/>
    <w:rsid w:val="00C32682"/>
    <w:rsid w:val="00C33053"/>
    <w:rsid w:val="00C33282"/>
    <w:rsid w:val="00C33760"/>
    <w:rsid w:val="00C34457"/>
    <w:rsid w:val="00C3446D"/>
    <w:rsid w:val="00C35645"/>
    <w:rsid w:val="00C35FC2"/>
    <w:rsid w:val="00C36CAE"/>
    <w:rsid w:val="00C408CF"/>
    <w:rsid w:val="00C4107C"/>
    <w:rsid w:val="00C418C7"/>
    <w:rsid w:val="00C41F54"/>
    <w:rsid w:val="00C42938"/>
    <w:rsid w:val="00C429D6"/>
    <w:rsid w:val="00C445A9"/>
    <w:rsid w:val="00C454AB"/>
    <w:rsid w:val="00C455CF"/>
    <w:rsid w:val="00C45B06"/>
    <w:rsid w:val="00C45C4E"/>
    <w:rsid w:val="00C45E08"/>
    <w:rsid w:val="00C46984"/>
    <w:rsid w:val="00C46FB1"/>
    <w:rsid w:val="00C4728A"/>
    <w:rsid w:val="00C47BE5"/>
    <w:rsid w:val="00C5058D"/>
    <w:rsid w:val="00C509B9"/>
    <w:rsid w:val="00C521C8"/>
    <w:rsid w:val="00C5241C"/>
    <w:rsid w:val="00C52E98"/>
    <w:rsid w:val="00C53311"/>
    <w:rsid w:val="00C5556F"/>
    <w:rsid w:val="00C5584A"/>
    <w:rsid w:val="00C55CC6"/>
    <w:rsid w:val="00C55D4D"/>
    <w:rsid w:val="00C56292"/>
    <w:rsid w:val="00C565A9"/>
    <w:rsid w:val="00C569B9"/>
    <w:rsid w:val="00C56E63"/>
    <w:rsid w:val="00C570D9"/>
    <w:rsid w:val="00C573CD"/>
    <w:rsid w:val="00C57613"/>
    <w:rsid w:val="00C57B73"/>
    <w:rsid w:val="00C57DE2"/>
    <w:rsid w:val="00C6022D"/>
    <w:rsid w:val="00C60A27"/>
    <w:rsid w:val="00C61363"/>
    <w:rsid w:val="00C622FA"/>
    <w:rsid w:val="00C6248B"/>
    <w:rsid w:val="00C63A4B"/>
    <w:rsid w:val="00C64395"/>
    <w:rsid w:val="00C64E5E"/>
    <w:rsid w:val="00C67CB6"/>
    <w:rsid w:val="00C70444"/>
    <w:rsid w:val="00C70789"/>
    <w:rsid w:val="00C709CD"/>
    <w:rsid w:val="00C72103"/>
    <w:rsid w:val="00C7471C"/>
    <w:rsid w:val="00C74C95"/>
    <w:rsid w:val="00C7549F"/>
    <w:rsid w:val="00C77AA4"/>
    <w:rsid w:val="00C8057A"/>
    <w:rsid w:val="00C80DBD"/>
    <w:rsid w:val="00C82577"/>
    <w:rsid w:val="00C82AAE"/>
    <w:rsid w:val="00C82EC2"/>
    <w:rsid w:val="00C839AF"/>
    <w:rsid w:val="00C85CCF"/>
    <w:rsid w:val="00C85EC2"/>
    <w:rsid w:val="00C86BC7"/>
    <w:rsid w:val="00C86CE3"/>
    <w:rsid w:val="00C86F21"/>
    <w:rsid w:val="00C871FC"/>
    <w:rsid w:val="00C8757A"/>
    <w:rsid w:val="00C87947"/>
    <w:rsid w:val="00C907AD"/>
    <w:rsid w:val="00C908B5"/>
    <w:rsid w:val="00C92504"/>
    <w:rsid w:val="00C925AE"/>
    <w:rsid w:val="00C92E38"/>
    <w:rsid w:val="00C9330C"/>
    <w:rsid w:val="00C9343C"/>
    <w:rsid w:val="00C94497"/>
    <w:rsid w:val="00C9458F"/>
    <w:rsid w:val="00C9471A"/>
    <w:rsid w:val="00C95BEF"/>
    <w:rsid w:val="00C96DFB"/>
    <w:rsid w:val="00CA0AE6"/>
    <w:rsid w:val="00CA14BC"/>
    <w:rsid w:val="00CA2232"/>
    <w:rsid w:val="00CA2378"/>
    <w:rsid w:val="00CA24DF"/>
    <w:rsid w:val="00CA38D4"/>
    <w:rsid w:val="00CA5281"/>
    <w:rsid w:val="00CA59F5"/>
    <w:rsid w:val="00CA69B5"/>
    <w:rsid w:val="00CA6BFD"/>
    <w:rsid w:val="00CA7229"/>
    <w:rsid w:val="00CA7577"/>
    <w:rsid w:val="00CA7678"/>
    <w:rsid w:val="00CB05C8"/>
    <w:rsid w:val="00CB1B38"/>
    <w:rsid w:val="00CB2463"/>
    <w:rsid w:val="00CB3A44"/>
    <w:rsid w:val="00CB3BAA"/>
    <w:rsid w:val="00CB3FDB"/>
    <w:rsid w:val="00CB4403"/>
    <w:rsid w:val="00CB4902"/>
    <w:rsid w:val="00CB5227"/>
    <w:rsid w:val="00CB57F8"/>
    <w:rsid w:val="00CB5E6E"/>
    <w:rsid w:val="00CB6231"/>
    <w:rsid w:val="00CB75ED"/>
    <w:rsid w:val="00CB7906"/>
    <w:rsid w:val="00CC0B73"/>
    <w:rsid w:val="00CC1051"/>
    <w:rsid w:val="00CC1496"/>
    <w:rsid w:val="00CC149F"/>
    <w:rsid w:val="00CC26C5"/>
    <w:rsid w:val="00CC289A"/>
    <w:rsid w:val="00CC2BF6"/>
    <w:rsid w:val="00CC4E58"/>
    <w:rsid w:val="00CC51E4"/>
    <w:rsid w:val="00CC5A17"/>
    <w:rsid w:val="00CC5F3B"/>
    <w:rsid w:val="00CC625E"/>
    <w:rsid w:val="00CC70D8"/>
    <w:rsid w:val="00CC7222"/>
    <w:rsid w:val="00CC7302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5671"/>
    <w:rsid w:val="00CD5978"/>
    <w:rsid w:val="00CD5B9D"/>
    <w:rsid w:val="00CD681A"/>
    <w:rsid w:val="00CD6DFF"/>
    <w:rsid w:val="00CD6E99"/>
    <w:rsid w:val="00CD7333"/>
    <w:rsid w:val="00CD7C5C"/>
    <w:rsid w:val="00CE0107"/>
    <w:rsid w:val="00CE08CE"/>
    <w:rsid w:val="00CE0E35"/>
    <w:rsid w:val="00CE0F46"/>
    <w:rsid w:val="00CE165F"/>
    <w:rsid w:val="00CE2505"/>
    <w:rsid w:val="00CE2FA3"/>
    <w:rsid w:val="00CE34FB"/>
    <w:rsid w:val="00CE3CC0"/>
    <w:rsid w:val="00CE4288"/>
    <w:rsid w:val="00CE47A7"/>
    <w:rsid w:val="00CE4F03"/>
    <w:rsid w:val="00CE5A43"/>
    <w:rsid w:val="00CE6A9E"/>
    <w:rsid w:val="00CE718A"/>
    <w:rsid w:val="00CE7BB5"/>
    <w:rsid w:val="00CF014E"/>
    <w:rsid w:val="00CF09FB"/>
    <w:rsid w:val="00CF0A4B"/>
    <w:rsid w:val="00CF0CFA"/>
    <w:rsid w:val="00CF3217"/>
    <w:rsid w:val="00CF4F02"/>
    <w:rsid w:val="00CF5046"/>
    <w:rsid w:val="00CF77F2"/>
    <w:rsid w:val="00D00266"/>
    <w:rsid w:val="00D0099C"/>
    <w:rsid w:val="00D00EE7"/>
    <w:rsid w:val="00D01031"/>
    <w:rsid w:val="00D0349E"/>
    <w:rsid w:val="00D04257"/>
    <w:rsid w:val="00D0441C"/>
    <w:rsid w:val="00D06991"/>
    <w:rsid w:val="00D07E75"/>
    <w:rsid w:val="00D10224"/>
    <w:rsid w:val="00D10DC3"/>
    <w:rsid w:val="00D11D26"/>
    <w:rsid w:val="00D11D3F"/>
    <w:rsid w:val="00D11F12"/>
    <w:rsid w:val="00D12FA1"/>
    <w:rsid w:val="00D14903"/>
    <w:rsid w:val="00D167D9"/>
    <w:rsid w:val="00D16E7D"/>
    <w:rsid w:val="00D17582"/>
    <w:rsid w:val="00D2091C"/>
    <w:rsid w:val="00D20C56"/>
    <w:rsid w:val="00D20CDC"/>
    <w:rsid w:val="00D224CC"/>
    <w:rsid w:val="00D252E0"/>
    <w:rsid w:val="00D258D8"/>
    <w:rsid w:val="00D273E0"/>
    <w:rsid w:val="00D30672"/>
    <w:rsid w:val="00D306C2"/>
    <w:rsid w:val="00D307DA"/>
    <w:rsid w:val="00D30B74"/>
    <w:rsid w:val="00D30D0E"/>
    <w:rsid w:val="00D30DE9"/>
    <w:rsid w:val="00D32029"/>
    <w:rsid w:val="00D329EE"/>
    <w:rsid w:val="00D33871"/>
    <w:rsid w:val="00D33AFA"/>
    <w:rsid w:val="00D34E90"/>
    <w:rsid w:val="00D34E9A"/>
    <w:rsid w:val="00D35D3F"/>
    <w:rsid w:val="00D3730C"/>
    <w:rsid w:val="00D37336"/>
    <w:rsid w:val="00D3773C"/>
    <w:rsid w:val="00D37B6E"/>
    <w:rsid w:val="00D402DA"/>
    <w:rsid w:val="00D40687"/>
    <w:rsid w:val="00D40AE4"/>
    <w:rsid w:val="00D41286"/>
    <w:rsid w:val="00D41688"/>
    <w:rsid w:val="00D42729"/>
    <w:rsid w:val="00D436FB"/>
    <w:rsid w:val="00D43A0B"/>
    <w:rsid w:val="00D45839"/>
    <w:rsid w:val="00D46BD9"/>
    <w:rsid w:val="00D47526"/>
    <w:rsid w:val="00D4763E"/>
    <w:rsid w:val="00D47E06"/>
    <w:rsid w:val="00D50A39"/>
    <w:rsid w:val="00D51C1A"/>
    <w:rsid w:val="00D527C7"/>
    <w:rsid w:val="00D52CFD"/>
    <w:rsid w:val="00D5342B"/>
    <w:rsid w:val="00D53852"/>
    <w:rsid w:val="00D547BD"/>
    <w:rsid w:val="00D5487B"/>
    <w:rsid w:val="00D54A29"/>
    <w:rsid w:val="00D5743C"/>
    <w:rsid w:val="00D575EA"/>
    <w:rsid w:val="00D6008F"/>
    <w:rsid w:val="00D60382"/>
    <w:rsid w:val="00D60EF0"/>
    <w:rsid w:val="00D61DF0"/>
    <w:rsid w:val="00D62926"/>
    <w:rsid w:val="00D62A09"/>
    <w:rsid w:val="00D6392F"/>
    <w:rsid w:val="00D63A4F"/>
    <w:rsid w:val="00D655D3"/>
    <w:rsid w:val="00D66BCE"/>
    <w:rsid w:val="00D6707E"/>
    <w:rsid w:val="00D703D5"/>
    <w:rsid w:val="00D70428"/>
    <w:rsid w:val="00D70F4B"/>
    <w:rsid w:val="00D70FAE"/>
    <w:rsid w:val="00D71180"/>
    <w:rsid w:val="00D71E5A"/>
    <w:rsid w:val="00D72152"/>
    <w:rsid w:val="00D740D8"/>
    <w:rsid w:val="00D74821"/>
    <w:rsid w:val="00D7483B"/>
    <w:rsid w:val="00D749FC"/>
    <w:rsid w:val="00D75189"/>
    <w:rsid w:val="00D75DCC"/>
    <w:rsid w:val="00D75E0D"/>
    <w:rsid w:val="00D76573"/>
    <w:rsid w:val="00D76892"/>
    <w:rsid w:val="00D7744E"/>
    <w:rsid w:val="00D77AEE"/>
    <w:rsid w:val="00D77C67"/>
    <w:rsid w:val="00D81163"/>
    <w:rsid w:val="00D820EB"/>
    <w:rsid w:val="00D82635"/>
    <w:rsid w:val="00D8269E"/>
    <w:rsid w:val="00D832EE"/>
    <w:rsid w:val="00D83E8E"/>
    <w:rsid w:val="00D84B15"/>
    <w:rsid w:val="00D84C1B"/>
    <w:rsid w:val="00D8590C"/>
    <w:rsid w:val="00D861E0"/>
    <w:rsid w:val="00D8649F"/>
    <w:rsid w:val="00D867A3"/>
    <w:rsid w:val="00D870A6"/>
    <w:rsid w:val="00D87CCB"/>
    <w:rsid w:val="00D87D25"/>
    <w:rsid w:val="00D90664"/>
    <w:rsid w:val="00D9076A"/>
    <w:rsid w:val="00D91A7E"/>
    <w:rsid w:val="00D930D4"/>
    <w:rsid w:val="00D93684"/>
    <w:rsid w:val="00D93C72"/>
    <w:rsid w:val="00D93D9E"/>
    <w:rsid w:val="00D94197"/>
    <w:rsid w:val="00D94634"/>
    <w:rsid w:val="00D948A9"/>
    <w:rsid w:val="00D954FE"/>
    <w:rsid w:val="00D95A4F"/>
    <w:rsid w:val="00D963A5"/>
    <w:rsid w:val="00DA34C8"/>
    <w:rsid w:val="00DA3D2D"/>
    <w:rsid w:val="00DA4692"/>
    <w:rsid w:val="00DA52B0"/>
    <w:rsid w:val="00DA5613"/>
    <w:rsid w:val="00DA5986"/>
    <w:rsid w:val="00DA648C"/>
    <w:rsid w:val="00DA6B54"/>
    <w:rsid w:val="00DA75B5"/>
    <w:rsid w:val="00DA78A1"/>
    <w:rsid w:val="00DB0F14"/>
    <w:rsid w:val="00DB11AF"/>
    <w:rsid w:val="00DB138B"/>
    <w:rsid w:val="00DB21FA"/>
    <w:rsid w:val="00DB2352"/>
    <w:rsid w:val="00DB27A9"/>
    <w:rsid w:val="00DB293A"/>
    <w:rsid w:val="00DB29D7"/>
    <w:rsid w:val="00DB2F51"/>
    <w:rsid w:val="00DB41D2"/>
    <w:rsid w:val="00DB45AE"/>
    <w:rsid w:val="00DB4AB7"/>
    <w:rsid w:val="00DB5E4A"/>
    <w:rsid w:val="00DB6D09"/>
    <w:rsid w:val="00DB7D2E"/>
    <w:rsid w:val="00DB7EFC"/>
    <w:rsid w:val="00DC052F"/>
    <w:rsid w:val="00DC0C38"/>
    <w:rsid w:val="00DC11F1"/>
    <w:rsid w:val="00DC1A12"/>
    <w:rsid w:val="00DC1DF5"/>
    <w:rsid w:val="00DC2D8F"/>
    <w:rsid w:val="00DC2E50"/>
    <w:rsid w:val="00DC2F94"/>
    <w:rsid w:val="00DC4A16"/>
    <w:rsid w:val="00DC4C00"/>
    <w:rsid w:val="00DC4E48"/>
    <w:rsid w:val="00DC6EBB"/>
    <w:rsid w:val="00DC75CA"/>
    <w:rsid w:val="00DC7C76"/>
    <w:rsid w:val="00DD29C0"/>
    <w:rsid w:val="00DD32A6"/>
    <w:rsid w:val="00DD358F"/>
    <w:rsid w:val="00DD3BFD"/>
    <w:rsid w:val="00DD4344"/>
    <w:rsid w:val="00DD4A1F"/>
    <w:rsid w:val="00DD4AEF"/>
    <w:rsid w:val="00DD54F4"/>
    <w:rsid w:val="00DD5A2F"/>
    <w:rsid w:val="00DD742B"/>
    <w:rsid w:val="00DE146F"/>
    <w:rsid w:val="00DE1986"/>
    <w:rsid w:val="00DE2171"/>
    <w:rsid w:val="00DE39D7"/>
    <w:rsid w:val="00DE56AD"/>
    <w:rsid w:val="00DE635A"/>
    <w:rsid w:val="00DE79AD"/>
    <w:rsid w:val="00DE7C7C"/>
    <w:rsid w:val="00DF0009"/>
    <w:rsid w:val="00DF04EB"/>
    <w:rsid w:val="00DF0A33"/>
    <w:rsid w:val="00DF0B53"/>
    <w:rsid w:val="00DF15B0"/>
    <w:rsid w:val="00DF16AC"/>
    <w:rsid w:val="00DF2E4B"/>
    <w:rsid w:val="00DF44DB"/>
    <w:rsid w:val="00DF5FBE"/>
    <w:rsid w:val="00DF6BD6"/>
    <w:rsid w:val="00E022E3"/>
    <w:rsid w:val="00E02CB0"/>
    <w:rsid w:val="00E02E52"/>
    <w:rsid w:val="00E0329F"/>
    <w:rsid w:val="00E03B7C"/>
    <w:rsid w:val="00E03C43"/>
    <w:rsid w:val="00E052C6"/>
    <w:rsid w:val="00E05317"/>
    <w:rsid w:val="00E05B86"/>
    <w:rsid w:val="00E06D79"/>
    <w:rsid w:val="00E0795C"/>
    <w:rsid w:val="00E1052F"/>
    <w:rsid w:val="00E10773"/>
    <w:rsid w:val="00E10BBD"/>
    <w:rsid w:val="00E10FC0"/>
    <w:rsid w:val="00E12342"/>
    <w:rsid w:val="00E12E21"/>
    <w:rsid w:val="00E1420C"/>
    <w:rsid w:val="00E14777"/>
    <w:rsid w:val="00E14C1A"/>
    <w:rsid w:val="00E16AF7"/>
    <w:rsid w:val="00E17E2D"/>
    <w:rsid w:val="00E202A2"/>
    <w:rsid w:val="00E210CA"/>
    <w:rsid w:val="00E2142D"/>
    <w:rsid w:val="00E2226D"/>
    <w:rsid w:val="00E225AC"/>
    <w:rsid w:val="00E225C2"/>
    <w:rsid w:val="00E23E15"/>
    <w:rsid w:val="00E24DC2"/>
    <w:rsid w:val="00E2507D"/>
    <w:rsid w:val="00E253A3"/>
    <w:rsid w:val="00E26609"/>
    <w:rsid w:val="00E27EDA"/>
    <w:rsid w:val="00E30427"/>
    <w:rsid w:val="00E30992"/>
    <w:rsid w:val="00E31125"/>
    <w:rsid w:val="00E31139"/>
    <w:rsid w:val="00E31A1A"/>
    <w:rsid w:val="00E32D1F"/>
    <w:rsid w:val="00E3335D"/>
    <w:rsid w:val="00E335A2"/>
    <w:rsid w:val="00E343C3"/>
    <w:rsid w:val="00E372A4"/>
    <w:rsid w:val="00E40104"/>
    <w:rsid w:val="00E4037A"/>
    <w:rsid w:val="00E405E5"/>
    <w:rsid w:val="00E40CBB"/>
    <w:rsid w:val="00E42DC5"/>
    <w:rsid w:val="00E43035"/>
    <w:rsid w:val="00E45F18"/>
    <w:rsid w:val="00E46044"/>
    <w:rsid w:val="00E46813"/>
    <w:rsid w:val="00E50900"/>
    <w:rsid w:val="00E513DE"/>
    <w:rsid w:val="00E52A17"/>
    <w:rsid w:val="00E52FFD"/>
    <w:rsid w:val="00E5352D"/>
    <w:rsid w:val="00E55ADD"/>
    <w:rsid w:val="00E565C8"/>
    <w:rsid w:val="00E57308"/>
    <w:rsid w:val="00E57986"/>
    <w:rsid w:val="00E615C3"/>
    <w:rsid w:val="00E62E93"/>
    <w:rsid w:val="00E636A1"/>
    <w:rsid w:val="00E64274"/>
    <w:rsid w:val="00E644D3"/>
    <w:rsid w:val="00E6596F"/>
    <w:rsid w:val="00E65C47"/>
    <w:rsid w:val="00E66706"/>
    <w:rsid w:val="00E66DEC"/>
    <w:rsid w:val="00E67DFF"/>
    <w:rsid w:val="00E704C3"/>
    <w:rsid w:val="00E718D8"/>
    <w:rsid w:val="00E72E91"/>
    <w:rsid w:val="00E738A2"/>
    <w:rsid w:val="00E73F06"/>
    <w:rsid w:val="00E742EF"/>
    <w:rsid w:val="00E74EB1"/>
    <w:rsid w:val="00E767F3"/>
    <w:rsid w:val="00E768DC"/>
    <w:rsid w:val="00E7745B"/>
    <w:rsid w:val="00E7758A"/>
    <w:rsid w:val="00E81203"/>
    <w:rsid w:val="00E81537"/>
    <w:rsid w:val="00E82775"/>
    <w:rsid w:val="00E827D1"/>
    <w:rsid w:val="00E82E2E"/>
    <w:rsid w:val="00E83106"/>
    <w:rsid w:val="00E84833"/>
    <w:rsid w:val="00E84D02"/>
    <w:rsid w:val="00E857E7"/>
    <w:rsid w:val="00E85B18"/>
    <w:rsid w:val="00E86900"/>
    <w:rsid w:val="00E8720E"/>
    <w:rsid w:val="00E876FA"/>
    <w:rsid w:val="00E879D1"/>
    <w:rsid w:val="00E87E27"/>
    <w:rsid w:val="00E9140C"/>
    <w:rsid w:val="00E917C1"/>
    <w:rsid w:val="00E91FC6"/>
    <w:rsid w:val="00E92254"/>
    <w:rsid w:val="00E92F23"/>
    <w:rsid w:val="00E94756"/>
    <w:rsid w:val="00E95B5F"/>
    <w:rsid w:val="00E95C89"/>
    <w:rsid w:val="00E95E5F"/>
    <w:rsid w:val="00E95FF9"/>
    <w:rsid w:val="00E966C7"/>
    <w:rsid w:val="00E9733C"/>
    <w:rsid w:val="00E97AFD"/>
    <w:rsid w:val="00EA07AA"/>
    <w:rsid w:val="00EA2915"/>
    <w:rsid w:val="00EA39E8"/>
    <w:rsid w:val="00EA5644"/>
    <w:rsid w:val="00EA622F"/>
    <w:rsid w:val="00EA6589"/>
    <w:rsid w:val="00EA730A"/>
    <w:rsid w:val="00EB1785"/>
    <w:rsid w:val="00EB504C"/>
    <w:rsid w:val="00EB537F"/>
    <w:rsid w:val="00EB5AC5"/>
    <w:rsid w:val="00EB5F2F"/>
    <w:rsid w:val="00EB7741"/>
    <w:rsid w:val="00EC10F6"/>
    <w:rsid w:val="00EC1779"/>
    <w:rsid w:val="00EC2395"/>
    <w:rsid w:val="00EC23EE"/>
    <w:rsid w:val="00EC2B04"/>
    <w:rsid w:val="00EC2B69"/>
    <w:rsid w:val="00EC3107"/>
    <w:rsid w:val="00EC349F"/>
    <w:rsid w:val="00EC452E"/>
    <w:rsid w:val="00EC50AA"/>
    <w:rsid w:val="00EC54F3"/>
    <w:rsid w:val="00EC59AD"/>
    <w:rsid w:val="00EC5FD4"/>
    <w:rsid w:val="00EC6074"/>
    <w:rsid w:val="00EC70DF"/>
    <w:rsid w:val="00ED0584"/>
    <w:rsid w:val="00ED0E09"/>
    <w:rsid w:val="00ED1168"/>
    <w:rsid w:val="00ED1BF8"/>
    <w:rsid w:val="00ED1D57"/>
    <w:rsid w:val="00ED1D5F"/>
    <w:rsid w:val="00ED314D"/>
    <w:rsid w:val="00ED34C7"/>
    <w:rsid w:val="00ED4C0D"/>
    <w:rsid w:val="00ED67B1"/>
    <w:rsid w:val="00ED6960"/>
    <w:rsid w:val="00ED6FF6"/>
    <w:rsid w:val="00ED721B"/>
    <w:rsid w:val="00ED7DE0"/>
    <w:rsid w:val="00ED7FF7"/>
    <w:rsid w:val="00EE0046"/>
    <w:rsid w:val="00EE05D9"/>
    <w:rsid w:val="00EE0B0D"/>
    <w:rsid w:val="00EE1A38"/>
    <w:rsid w:val="00EE1B30"/>
    <w:rsid w:val="00EE1B6B"/>
    <w:rsid w:val="00EE1EFD"/>
    <w:rsid w:val="00EE24AB"/>
    <w:rsid w:val="00EE2500"/>
    <w:rsid w:val="00EE2AB4"/>
    <w:rsid w:val="00EE4520"/>
    <w:rsid w:val="00EE4F99"/>
    <w:rsid w:val="00EE5469"/>
    <w:rsid w:val="00EE5D39"/>
    <w:rsid w:val="00EE685D"/>
    <w:rsid w:val="00EE6A79"/>
    <w:rsid w:val="00EE716E"/>
    <w:rsid w:val="00EE7A8C"/>
    <w:rsid w:val="00EF0637"/>
    <w:rsid w:val="00EF1264"/>
    <w:rsid w:val="00EF13CA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F73"/>
    <w:rsid w:val="00EF4D7C"/>
    <w:rsid w:val="00EF5024"/>
    <w:rsid w:val="00EF53F2"/>
    <w:rsid w:val="00EF55E3"/>
    <w:rsid w:val="00EF5751"/>
    <w:rsid w:val="00EF5D20"/>
    <w:rsid w:val="00EF65F9"/>
    <w:rsid w:val="00EF6B5E"/>
    <w:rsid w:val="00EF6DC6"/>
    <w:rsid w:val="00EF7018"/>
    <w:rsid w:val="00EF726E"/>
    <w:rsid w:val="00EF74E5"/>
    <w:rsid w:val="00F00D67"/>
    <w:rsid w:val="00F0271E"/>
    <w:rsid w:val="00F0272F"/>
    <w:rsid w:val="00F03B23"/>
    <w:rsid w:val="00F03DBC"/>
    <w:rsid w:val="00F03E31"/>
    <w:rsid w:val="00F03E41"/>
    <w:rsid w:val="00F05645"/>
    <w:rsid w:val="00F05AFA"/>
    <w:rsid w:val="00F06A78"/>
    <w:rsid w:val="00F06D80"/>
    <w:rsid w:val="00F076E2"/>
    <w:rsid w:val="00F07C28"/>
    <w:rsid w:val="00F07DE0"/>
    <w:rsid w:val="00F10020"/>
    <w:rsid w:val="00F10160"/>
    <w:rsid w:val="00F1016F"/>
    <w:rsid w:val="00F1025B"/>
    <w:rsid w:val="00F1061C"/>
    <w:rsid w:val="00F10FF3"/>
    <w:rsid w:val="00F11198"/>
    <w:rsid w:val="00F11331"/>
    <w:rsid w:val="00F12CA7"/>
    <w:rsid w:val="00F13493"/>
    <w:rsid w:val="00F1390E"/>
    <w:rsid w:val="00F13961"/>
    <w:rsid w:val="00F1466E"/>
    <w:rsid w:val="00F148AD"/>
    <w:rsid w:val="00F14AB6"/>
    <w:rsid w:val="00F15B84"/>
    <w:rsid w:val="00F16529"/>
    <w:rsid w:val="00F16832"/>
    <w:rsid w:val="00F16BBD"/>
    <w:rsid w:val="00F174E2"/>
    <w:rsid w:val="00F20674"/>
    <w:rsid w:val="00F21DBB"/>
    <w:rsid w:val="00F241D9"/>
    <w:rsid w:val="00F24784"/>
    <w:rsid w:val="00F24E85"/>
    <w:rsid w:val="00F250E6"/>
    <w:rsid w:val="00F25BB5"/>
    <w:rsid w:val="00F2657B"/>
    <w:rsid w:val="00F267BE"/>
    <w:rsid w:val="00F27210"/>
    <w:rsid w:val="00F2789C"/>
    <w:rsid w:val="00F27C1D"/>
    <w:rsid w:val="00F30486"/>
    <w:rsid w:val="00F30675"/>
    <w:rsid w:val="00F30D4B"/>
    <w:rsid w:val="00F3227F"/>
    <w:rsid w:val="00F34BA9"/>
    <w:rsid w:val="00F35669"/>
    <w:rsid w:val="00F35B0B"/>
    <w:rsid w:val="00F35C32"/>
    <w:rsid w:val="00F35DED"/>
    <w:rsid w:val="00F36620"/>
    <w:rsid w:val="00F3795F"/>
    <w:rsid w:val="00F37E39"/>
    <w:rsid w:val="00F4000F"/>
    <w:rsid w:val="00F40B68"/>
    <w:rsid w:val="00F40ECD"/>
    <w:rsid w:val="00F4294D"/>
    <w:rsid w:val="00F43B1A"/>
    <w:rsid w:val="00F44C1B"/>
    <w:rsid w:val="00F44DD3"/>
    <w:rsid w:val="00F44EA6"/>
    <w:rsid w:val="00F45753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4150"/>
    <w:rsid w:val="00F5436D"/>
    <w:rsid w:val="00F549CF"/>
    <w:rsid w:val="00F5586C"/>
    <w:rsid w:val="00F56644"/>
    <w:rsid w:val="00F566E9"/>
    <w:rsid w:val="00F56FFB"/>
    <w:rsid w:val="00F5749C"/>
    <w:rsid w:val="00F61607"/>
    <w:rsid w:val="00F618ED"/>
    <w:rsid w:val="00F61F8F"/>
    <w:rsid w:val="00F61FE5"/>
    <w:rsid w:val="00F6220F"/>
    <w:rsid w:val="00F62F61"/>
    <w:rsid w:val="00F6345E"/>
    <w:rsid w:val="00F63A4A"/>
    <w:rsid w:val="00F63B2E"/>
    <w:rsid w:val="00F649A1"/>
    <w:rsid w:val="00F6564D"/>
    <w:rsid w:val="00F65697"/>
    <w:rsid w:val="00F66232"/>
    <w:rsid w:val="00F6772C"/>
    <w:rsid w:val="00F67BCF"/>
    <w:rsid w:val="00F67D1E"/>
    <w:rsid w:val="00F67D49"/>
    <w:rsid w:val="00F70756"/>
    <w:rsid w:val="00F709B2"/>
    <w:rsid w:val="00F71DD9"/>
    <w:rsid w:val="00F72EC6"/>
    <w:rsid w:val="00F7375B"/>
    <w:rsid w:val="00F747DB"/>
    <w:rsid w:val="00F74FFB"/>
    <w:rsid w:val="00F750F4"/>
    <w:rsid w:val="00F75190"/>
    <w:rsid w:val="00F751C8"/>
    <w:rsid w:val="00F771FC"/>
    <w:rsid w:val="00F80CFA"/>
    <w:rsid w:val="00F811E8"/>
    <w:rsid w:val="00F818CA"/>
    <w:rsid w:val="00F8243D"/>
    <w:rsid w:val="00F8348D"/>
    <w:rsid w:val="00F85A38"/>
    <w:rsid w:val="00F86045"/>
    <w:rsid w:val="00F86667"/>
    <w:rsid w:val="00F878AC"/>
    <w:rsid w:val="00F87B12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42DE"/>
    <w:rsid w:val="00F94487"/>
    <w:rsid w:val="00F94BFA"/>
    <w:rsid w:val="00F95EDA"/>
    <w:rsid w:val="00F961F5"/>
    <w:rsid w:val="00F96A65"/>
    <w:rsid w:val="00F96BE0"/>
    <w:rsid w:val="00F96CE7"/>
    <w:rsid w:val="00F96D2A"/>
    <w:rsid w:val="00F978E6"/>
    <w:rsid w:val="00FA0DF2"/>
    <w:rsid w:val="00FA18B2"/>
    <w:rsid w:val="00FA1B42"/>
    <w:rsid w:val="00FA1B49"/>
    <w:rsid w:val="00FA1FD9"/>
    <w:rsid w:val="00FA21F1"/>
    <w:rsid w:val="00FA25BC"/>
    <w:rsid w:val="00FA2B84"/>
    <w:rsid w:val="00FA54BE"/>
    <w:rsid w:val="00FA57BE"/>
    <w:rsid w:val="00FA5B25"/>
    <w:rsid w:val="00FA64EE"/>
    <w:rsid w:val="00FA6995"/>
    <w:rsid w:val="00FA6B67"/>
    <w:rsid w:val="00FA7550"/>
    <w:rsid w:val="00FB00B3"/>
    <w:rsid w:val="00FB15D1"/>
    <w:rsid w:val="00FB28B3"/>
    <w:rsid w:val="00FB3187"/>
    <w:rsid w:val="00FB33B1"/>
    <w:rsid w:val="00FB4379"/>
    <w:rsid w:val="00FB43A6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7306"/>
    <w:rsid w:val="00FC11D5"/>
    <w:rsid w:val="00FC1BEE"/>
    <w:rsid w:val="00FC1D54"/>
    <w:rsid w:val="00FC1DA4"/>
    <w:rsid w:val="00FC20C3"/>
    <w:rsid w:val="00FC33DD"/>
    <w:rsid w:val="00FC38F3"/>
    <w:rsid w:val="00FC3ADA"/>
    <w:rsid w:val="00FC3FDE"/>
    <w:rsid w:val="00FC4052"/>
    <w:rsid w:val="00FC5115"/>
    <w:rsid w:val="00FC5BD8"/>
    <w:rsid w:val="00FC601C"/>
    <w:rsid w:val="00FC7263"/>
    <w:rsid w:val="00FD0658"/>
    <w:rsid w:val="00FD09B4"/>
    <w:rsid w:val="00FD1824"/>
    <w:rsid w:val="00FD1F0E"/>
    <w:rsid w:val="00FD21D5"/>
    <w:rsid w:val="00FD2298"/>
    <w:rsid w:val="00FD3095"/>
    <w:rsid w:val="00FD4C58"/>
    <w:rsid w:val="00FD4E57"/>
    <w:rsid w:val="00FD5127"/>
    <w:rsid w:val="00FD5954"/>
    <w:rsid w:val="00FD61C4"/>
    <w:rsid w:val="00FD6AC3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599"/>
    <w:rsid w:val="00FE300E"/>
    <w:rsid w:val="00FE3D7B"/>
    <w:rsid w:val="00FE3E0C"/>
    <w:rsid w:val="00FE5277"/>
    <w:rsid w:val="00FE52D5"/>
    <w:rsid w:val="00FE5900"/>
    <w:rsid w:val="00FE5C2B"/>
    <w:rsid w:val="00FE619F"/>
    <w:rsid w:val="00FE6301"/>
    <w:rsid w:val="00FE6E69"/>
    <w:rsid w:val="00FE7432"/>
    <w:rsid w:val="00FF1BA9"/>
    <w:rsid w:val="00FF1D5C"/>
    <w:rsid w:val="00FF20DA"/>
    <w:rsid w:val="00FF2351"/>
    <w:rsid w:val="00FF29FF"/>
    <w:rsid w:val="00FF36FC"/>
    <w:rsid w:val="00FF4076"/>
    <w:rsid w:val="00FF44EF"/>
    <w:rsid w:val="00FF5010"/>
    <w:rsid w:val="00FF5386"/>
    <w:rsid w:val="00FF54D8"/>
    <w:rsid w:val="00FF54DE"/>
    <w:rsid w:val="00FF5BFA"/>
    <w:rsid w:val="00FF666D"/>
    <w:rsid w:val="00FF6DE2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p.m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6043</Characters>
  <Application>Microsoft Office Word</Application>
  <DocSecurity>0</DocSecurity>
  <Lines>50</Lines>
  <Paragraphs>14</Paragraphs>
  <ScaleCrop>false</ScaleCrop>
  <Company>HP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2013-10-21T13:54:00Z</cp:lastPrinted>
  <dcterms:created xsi:type="dcterms:W3CDTF">2013-10-21T18:02:00Z</dcterms:created>
  <dcterms:modified xsi:type="dcterms:W3CDTF">2013-10-21T18:04:00Z</dcterms:modified>
</cp:coreProperties>
</file>