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E7" w:rsidRPr="00B50DCB" w:rsidRDefault="00B1381E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Pr="00B50DCB" w:rsidRDefault="00E857E7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E857E7" w:rsidRPr="00B50DCB" w:rsidRDefault="00E857E7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E857E7" w:rsidRPr="00B50DCB" w:rsidRDefault="00E857E7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E857E7" w:rsidRPr="00B50DCB" w:rsidRDefault="00E857E7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</w:rPr>
      </w:pPr>
    </w:p>
    <w:p w:rsidR="00E857E7" w:rsidRPr="00B50DCB" w:rsidRDefault="00E857E7" w:rsidP="00772ED2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sz w:val="28"/>
          <w:szCs w:val="28"/>
          <w:rtl/>
        </w:rPr>
      </w:pPr>
      <w:r w:rsidRPr="00B50DCB">
        <w:tab/>
      </w:r>
      <w:r w:rsidR="00B1381E">
        <w:rPr>
          <w:noProof/>
          <w:rtl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Pr="00E92F23" w:rsidRDefault="00E857E7" w:rsidP="00B50DCB">
      <w:pPr>
        <w:bidi/>
        <w:spacing w:before="120" w:line="340" w:lineRule="exact"/>
        <w:jc w:val="center"/>
        <w:rPr>
          <w:rFonts w:cs="Arabic Transparent"/>
          <w:b/>
          <w:bCs/>
          <w:sz w:val="22"/>
          <w:szCs w:val="22"/>
          <w:rtl/>
        </w:rPr>
      </w:pPr>
    </w:p>
    <w:p w:rsidR="00E857E7" w:rsidRPr="00B50DCB" w:rsidRDefault="00E857E7" w:rsidP="00B50DCB">
      <w:pPr>
        <w:bidi/>
        <w:spacing w:before="120" w:line="340" w:lineRule="exact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B50DCB">
        <w:rPr>
          <w:rFonts w:cs="Arabic Transparent"/>
          <w:b/>
          <w:bCs/>
          <w:sz w:val="36"/>
          <w:szCs w:val="36"/>
          <w:rtl/>
        </w:rPr>
        <w:t>موجــز الظرفيـــ</w:t>
      </w:r>
      <w:r w:rsidRPr="00B50DCB">
        <w:rPr>
          <w:rFonts w:cs="Arabic Transparent"/>
          <w:b/>
          <w:bCs/>
          <w:sz w:val="36"/>
          <w:szCs w:val="36"/>
          <w:rtl/>
          <w:lang w:bidi="ar-MA"/>
        </w:rPr>
        <w:t>ة</w:t>
      </w:r>
    </w:p>
    <w:p w:rsidR="00E857E7" w:rsidRPr="00B50DCB" w:rsidRDefault="00E857E7" w:rsidP="00B50DCB">
      <w:pPr>
        <w:bidi/>
        <w:spacing w:line="340" w:lineRule="exact"/>
        <w:jc w:val="center"/>
        <w:rPr>
          <w:rFonts w:cs="Arabic Transparent"/>
          <w:b/>
          <w:bCs/>
          <w:sz w:val="32"/>
          <w:szCs w:val="32"/>
        </w:rPr>
      </w:pPr>
      <w:r w:rsidRPr="00B50DCB">
        <w:rPr>
          <w:rFonts w:cs="Arabic Transparent"/>
          <w:b/>
          <w:bCs/>
          <w:sz w:val="32"/>
          <w:szCs w:val="32"/>
          <w:rtl/>
          <w:lang w:bidi="ar-MA"/>
        </w:rPr>
        <w:t>- يوليوز</w:t>
      </w:r>
      <w:r w:rsidRPr="00B50DCB">
        <w:rPr>
          <w:rFonts w:cs="Arabic Transparent"/>
          <w:b/>
          <w:bCs/>
          <w:sz w:val="32"/>
          <w:szCs w:val="32"/>
          <w:rtl/>
        </w:rPr>
        <w:t xml:space="preserve"> 2013</w:t>
      </w:r>
      <w:r w:rsidRPr="00B50DCB">
        <w:rPr>
          <w:rFonts w:cs="Arabic Transparent"/>
          <w:b/>
          <w:bCs/>
          <w:sz w:val="32"/>
          <w:szCs w:val="32"/>
        </w:rPr>
        <w:t xml:space="preserve">- </w:t>
      </w:r>
    </w:p>
    <w:p w:rsidR="00E857E7" w:rsidRPr="00B50DCB" w:rsidRDefault="00E857E7" w:rsidP="00B50DCB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  <w:lang w:bidi="ar-MA"/>
        </w:rPr>
      </w:pPr>
    </w:p>
    <w:p w:rsidR="00E857E7" w:rsidRPr="00E92F23" w:rsidRDefault="00E857E7" w:rsidP="00E92F23">
      <w:pPr>
        <w:spacing w:line="320" w:lineRule="exact"/>
        <w:jc w:val="both"/>
        <w:rPr>
          <w:rStyle w:val="hps"/>
          <w:rFonts w:cs="Arabic Transparent"/>
          <w:sz w:val="26"/>
          <w:szCs w:val="26"/>
          <w:rtl/>
          <w:lang w:bidi="ar-MA"/>
        </w:rPr>
      </w:pPr>
      <w:r w:rsidRPr="00E92F23">
        <w:rPr>
          <w:rStyle w:val="hps"/>
          <w:rFonts w:cs="Arabic Transparent"/>
          <w:sz w:val="28"/>
          <w:szCs w:val="28"/>
          <w:rtl/>
          <w:lang w:bidi="ar-MA"/>
        </w:rPr>
        <w:t>يتوقع أن يعرف الاقتصاد الوطني بعض ال</w:t>
      </w:r>
      <w:r w:rsidRPr="00E92F23">
        <w:rPr>
          <w:rStyle w:val="hps"/>
          <w:rFonts w:cs="Arabic Transparent"/>
          <w:sz w:val="28"/>
          <w:szCs w:val="28"/>
          <w:rtl/>
        </w:rPr>
        <w:t>تحسن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 w:rsidRPr="00E92F23">
        <w:rPr>
          <w:rStyle w:val="hps"/>
          <w:rFonts w:cs="Arabic Transparent"/>
          <w:sz w:val="28"/>
          <w:szCs w:val="28"/>
          <w:rtl/>
        </w:rPr>
        <w:t>في وتيرة نموه خلال الفصل الثاني 2013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،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ل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ت</w:t>
      </w:r>
      <w:r w:rsidRPr="00E92F23">
        <w:rPr>
          <w:rStyle w:val="hps"/>
          <w:rFonts w:cs="Arabic Transparent"/>
          <w:sz w:val="28"/>
          <w:szCs w:val="28"/>
          <w:rtl/>
        </w:rPr>
        <w:t>ستقر في حدود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4,3٪</w:t>
      </w:r>
      <w:r w:rsidRPr="00E92F23">
        <w:rPr>
          <w:rStyle w:val="hps"/>
          <w:rFonts w:cs="Arabic Transparent"/>
          <w:sz w:val="28"/>
          <w:szCs w:val="28"/>
          <w:rtl/>
        </w:rPr>
        <w:t>، حسب التغير السنوي. ويعزى هذا الت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>طور</w:t>
      </w:r>
      <w:r w:rsidRPr="00E92F23">
        <w:rPr>
          <w:rStyle w:val="hps"/>
          <w:rFonts w:cs="Arabic Transparent"/>
          <w:sz w:val="28"/>
          <w:szCs w:val="28"/>
          <w:rtl/>
        </w:rPr>
        <w:t xml:space="preserve"> بالأساس إلى ارتفاع القيمة المضافة الفلاحية، فيما ستعرف الأنشطة غير الفلاحية 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تباطؤ في وتيرة نموها، بسبب ضعف القطاعات الثانوية وتباطؤ الخدمات الغير مؤدى عليها. أما خلال الفصل الثالث 2013، فستعرف القطاعات غير الفلاحية نموا يقدر ب </w:t>
      </w:r>
      <w:r w:rsidRPr="00E92F23">
        <w:rPr>
          <w:rFonts w:cs="Arabic Transparent"/>
          <w:sz w:val="28"/>
          <w:szCs w:val="28"/>
          <w:rtl/>
          <w:lang w:bidi="ar-MA"/>
        </w:rPr>
        <w:t>2٪ عوض 1,8٪</w:t>
      </w:r>
      <w:r w:rsidRPr="00E92F23">
        <w:rPr>
          <w:rStyle w:val="hps"/>
          <w:rFonts w:cs="Arabic Transparent"/>
          <w:sz w:val="28"/>
          <w:szCs w:val="28"/>
          <w:rtl/>
        </w:rPr>
        <w:t>، في الفصل الذي قبله، موازاة مع استمرار انتعاش الطلب الخارجي وتباطؤ الطلب الداخلي</w:t>
      </w:r>
      <w:r w:rsidRPr="00E92F23">
        <w:rPr>
          <w:rStyle w:val="hps"/>
          <w:rFonts w:cs="Arabic Transparent"/>
          <w:sz w:val="28"/>
          <w:szCs w:val="28"/>
          <w:rtl/>
          <w:lang w:bidi="ar-MA"/>
        </w:rPr>
        <w:t xml:space="preserve">.   </w:t>
      </w:r>
      <w:r w:rsidRPr="00E92F23">
        <w:rPr>
          <w:rStyle w:val="hps"/>
          <w:rFonts w:cs="Arabic Transparent"/>
          <w:sz w:val="26"/>
          <w:szCs w:val="26"/>
          <w:rtl/>
          <w:lang w:bidi="ar-MA"/>
        </w:rPr>
        <w:t xml:space="preserve">                                                                                            </w:t>
      </w:r>
    </w:p>
    <w:p w:rsidR="00E857E7" w:rsidRPr="00E92F23" w:rsidRDefault="00B1381E" w:rsidP="00E92F23">
      <w:pPr>
        <w:bidi/>
        <w:spacing w:line="30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96520</wp:posOffset>
            </wp:positionV>
            <wp:extent cx="2891790" cy="2286000"/>
            <wp:effectExtent l="0" t="0" r="0" b="0"/>
            <wp:wrapTight wrapText="bothSides">
              <wp:wrapPolygon edited="0">
                <wp:start x="142" y="540"/>
                <wp:lineTo x="142" y="20880"/>
                <wp:lineTo x="21344" y="20880"/>
                <wp:lineTo x="21344" y="540"/>
                <wp:lineTo x="142" y="540"/>
              </wp:wrapPolygon>
            </wp:wrapTight>
            <wp:docPr id="1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177" t="-2931" r="-1921" b="-3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7E7" w:rsidRPr="00E92F23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تحسن نسبي للظرفية الاقتصادية الدولية خلال الفصل الثاني 2013</w:t>
      </w:r>
      <w:r w:rsidR="00E857E7" w:rsidRPr="00E92F23">
        <w:rPr>
          <w:rFonts w:cs="Arabic Transparent"/>
          <w:b/>
          <w:bCs/>
          <w:color w:val="800000"/>
          <w:sz w:val="28"/>
          <w:szCs w:val="28"/>
          <w:lang w:bidi="ar-MA"/>
        </w:rPr>
        <w:t xml:space="preserve"> </w:t>
      </w:r>
    </w:p>
    <w:p w:rsidR="00E857E7" w:rsidRPr="00B50DCB" w:rsidRDefault="00E857E7" w:rsidP="00E92F23">
      <w:pPr>
        <w:bidi/>
        <w:spacing w:line="300" w:lineRule="exact"/>
        <w:jc w:val="both"/>
        <w:rPr>
          <w:rFonts w:cs="Arabic Transparent"/>
          <w:spacing w:val="-2"/>
          <w:sz w:val="28"/>
          <w:szCs w:val="28"/>
          <w:rtl/>
          <w:lang w:bidi="ar-MA"/>
        </w:rPr>
      </w:pPr>
    </w:p>
    <w:p w:rsidR="00E857E7" w:rsidRPr="00E92F23" w:rsidRDefault="00E857E7" w:rsidP="00772ED2">
      <w:pPr>
        <w:bidi/>
        <w:spacing w:line="300" w:lineRule="exact"/>
        <w:jc w:val="both"/>
        <w:rPr>
          <w:rFonts w:cs="Arabic Transparent"/>
          <w:spacing w:val="-2"/>
          <w:sz w:val="28"/>
          <w:szCs w:val="28"/>
          <w:rtl/>
        </w:rPr>
      </w:pPr>
      <w:r>
        <w:rPr>
          <w:rFonts w:cs="Arabic Transparent"/>
          <w:spacing w:val="-2"/>
          <w:sz w:val="28"/>
          <w:szCs w:val="28"/>
          <w:rtl/>
          <w:lang w:bidi="ar-MA"/>
        </w:rPr>
        <w:t xml:space="preserve">باعتبار المؤشرات الاقتصادية الخاصة بالشركاء الأساسيين للمغرب، يتوقع أن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يعرف 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اقتصاد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الدولي </w:t>
      </w:r>
      <w:r>
        <w:rPr>
          <w:rFonts w:cs="Arabic Transparent"/>
          <w:spacing w:val="-2"/>
          <w:sz w:val="28"/>
          <w:szCs w:val="28"/>
          <w:rtl/>
          <w:lang w:bidi="ar-MA"/>
        </w:rPr>
        <w:t xml:space="preserve">المتقدمة،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 خلال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الفصل الثاني 2013، نموا يقدر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ب </w:t>
      </w:r>
      <w:r w:rsidRPr="00E92F23">
        <w:rPr>
          <w:rFonts w:cs="Arabic Transparent"/>
          <w:spacing w:val="-2"/>
          <w:sz w:val="28"/>
          <w:szCs w:val="28"/>
          <w:lang w:bidi="ar-MA"/>
        </w:rPr>
        <w:t>1,6</w:t>
      </w:r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 حسب التغير السنوي.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وينتظر أن يشهد اقتصاد الولايات المتحدة الأمريكية نموا بنسبة </w:t>
      </w:r>
      <w:r w:rsidRPr="00E92F23">
        <w:rPr>
          <w:rFonts w:cs="Arabic Transparent"/>
          <w:spacing w:val="-2"/>
          <w:sz w:val="28"/>
          <w:szCs w:val="28"/>
          <w:lang w:bidi="ar-MA"/>
        </w:rPr>
        <w:t>1,6</w:t>
      </w:r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مدعوما بتحسن استهلاك الأسر وتطور الاستثمار في البناء. فيما سيعرف اقتصاد منطقة الأورو ارتفاعا ب </w:t>
      </w:r>
      <w:r w:rsidRPr="00E92F23">
        <w:rPr>
          <w:rFonts w:cs="Arabic Transparent"/>
          <w:spacing w:val="-2"/>
          <w:sz w:val="28"/>
          <w:szCs w:val="28"/>
          <w:lang w:bidi="ar-MA"/>
        </w:rPr>
        <w:t>0,4</w:t>
      </w:r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 xml:space="preserve">بعد انخفاض دام ستة فصول على التوالي. </w:t>
      </w:r>
    </w:p>
    <w:p w:rsidR="00E857E7" w:rsidRPr="00E92F23" w:rsidRDefault="00E857E7" w:rsidP="00E92F23">
      <w:pPr>
        <w:bidi/>
        <w:spacing w:line="300" w:lineRule="exact"/>
        <w:jc w:val="both"/>
        <w:rPr>
          <w:rStyle w:val="hps"/>
          <w:rFonts w:cs="Arabic Transparent"/>
          <w:sz w:val="26"/>
          <w:szCs w:val="26"/>
          <w:lang w:bidi="ar-MA"/>
        </w:rPr>
      </w:pPr>
    </w:p>
    <w:p w:rsidR="00E857E7" w:rsidRPr="00E92F23" w:rsidRDefault="00E857E7" w:rsidP="00E92F23">
      <w:pPr>
        <w:bidi/>
        <w:spacing w:line="300" w:lineRule="exact"/>
        <w:jc w:val="both"/>
        <w:rPr>
          <w:rFonts w:cs="Arabic Transparent"/>
          <w:b/>
          <w:bCs/>
          <w:color w:val="800000"/>
          <w:sz w:val="26"/>
          <w:szCs w:val="26"/>
          <w:rtl/>
          <w:lang w:bidi="ar-MA"/>
        </w:rPr>
      </w:pPr>
      <w:r w:rsidRPr="00E92F23">
        <w:rPr>
          <w:rFonts w:cs="Arabic Transparent"/>
          <w:b/>
          <w:bCs/>
          <w:color w:val="800000"/>
          <w:sz w:val="26"/>
          <w:szCs w:val="26"/>
          <w:rtl/>
          <w:lang w:bidi="ar-MA"/>
        </w:rPr>
        <w:t xml:space="preserve">تراجع العجز التجاري </w:t>
      </w:r>
    </w:p>
    <w:p w:rsidR="00E857E7" w:rsidRPr="00E92F23" w:rsidRDefault="00B1381E" w:rsidP="00E92F23">
      <w:pPr>
        <w:bidi/>
        <w:spacing w:line="300" w:lineRule="exact"/>
        <w:jc w:val="both"/>
        <w:rPr>
          <w:rFonts w:cs="Arabic Transparent"/>
          <w:b/>
          <w:bCs/>
          <w:color w:val="800000"/>
          <w:sz w:val="26"/>
          <w:szCs w:val="26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-3028950</wp:posOffset>
            </wp:positionH>
            <wp:positionV relativeFrom="paragraph">
              <wp:posOffset>175895</wp:posOffset>
            </wp:positionV>
            <wp:extent cx="2971800" cy="2333625"/>
            <wp:effectExtent l="0" t="0" r="0" b="0"/>
            <wp:wrapTight wrapText="bothSides">
              <wp:wrapPolygon edited="0">
                <wp:start x="831" y="529"/>
                <wp:lineTo x="831" y="20454"/>
                <wp:lineTo x="21185" y="20454"/>
                <wp:lineTo x="21185" y="529"/>
                <wp:lineTo x="831" y="529"/>
              </wp:wrapPolygon>
            </wp:wrapTight>
            <wp:docPr id="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5437" t="-2684" r="-2870" b="-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Default="00E857E7" w:rsidP="00603A0C">
      <w:pPr>
        <w:bidi/>
        <w:spacing w:line="30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rFonts w:cs="Arabic Transparent"/>
          <w:sz w:val="28"/>
          <w:szCs w:val="28"/>
          <w:rtl/>
          <w:lang w:bidi="ar-MA"/>
        </w:rPr>
        <w:t xml:space="preserve">من </w:t>
      </w:r>
      <w:r w:rsidR="00603A0C">
        <w:rPr>
          <w:rFonts w:cs="Arabic Transparent" w:hint="cs"/>
          <w:sz w:val="28"/>
          <w:szCs w:val="28"/>
          <w:rtl/>
          <w:lang w:bidi="ar-MA"/>
        </w:rPr>
        <w:t>المرتقب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 أن يساهم انتعاش اقتصاد الدول المتقدمة، خلال الفصل الثاني 2013، في نمو التجارة العالمية ب </w:t>
      </w:r>
      <w:r w:rsidRPr="00E92F23">
        <w:rPr>
          <w:rFonts w:cs="Arabic Transparent"/>
          <w:sz w:val="28"/>
          <w:szCs w:val="28"/>
          <w:lang w:bidi="ar-MA"/>
        </w:rPr>
        <w:t>2,3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، حسب التغير السنوي. وقد ساهم هذا التطور في تحسن الصادرات الوطنية ب </w:t>
      </w:r>
      <w:r w:rsidRPr="00E92F23">
        <w:rPr>
          <w:rFonts w:cs="Arabic Transparent"/>
          <w:spacing w:val="-2"/>
          <w:sz w:val="28"/>
          <w:szCs w:val="28"/>
          <w:lang w:bidi="ar-MA"/>
        </w:rPr>
        <w:t>3,5</w:t>
      </w:r>
      <w:r w:rsidRPr="00E92F23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pacing w:val="-2"/>
          <w:sz w:val="28"/>
          <w:szCs w:val="28"/>
          <w:rtl/>
          <w:lang w:bidi="ar-MA"/>
        </w:rPr>
        <w:t>، حسب التغير السنوي،</w:t>
      </w:r>
      <w:r w:rsidRPr="00E92F23">
        <w:rPr>
          <w:rFonts w:cs="Arabic Transparent"/>
          <w:sz w:val="28"/>
          <w:szCs w:val="28"/>
          <w:lang w:bidi="ar-MA"/>
        </w:rPr>
        <w:t xml:space="preserve"> 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مقابل انخفاض الواردات بنسبة </w:t>
      </w:r>
      <w:r w:rsidRPr="00E92F23">
        <w:rPr>
          <w:rFonts w:cs="Arabic Transparent"/>
          <w:sz w:val="28"/>
          <w:szCs w:val="28"/>
          <w:lang w:bidi="ar-MA"/>
        </w:rPr>
        <w:t>1,5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، ليتراجع العجز التجاري بنسبة </w:t>
      </w:r>
      <w:r w:rsidRPr="00E92F23">
        <w:rPr>
          <w:rFonts w:cs="Arabic Transparent"/>
          <w:sz w:val="28"/>
          <w:szCs w:val="28"/>
          <w:lang w:bidi="ar-MA"/>
        </w:rPr>
        <w:t>5,6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، مستقرا في حدود 53 مليار درهم. ويرجع هذا التحول بالاساس إلى تحسن الصادرات دون الفوسفاط ومشتقاته بنسبة </w:t>
      </w:r>
      <w:r w:rsidRPr="00E92F23">
        <w:rPr>
          <w:rFonts w:cs="Arabic Transparent"/>
          <w:sz w:val="28"/>
          <w:szCs w:val="28"/>
          <w:lang w:bidi="ar-MA"/>
        </w:rPr>
        <w:t>8,3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z w:val="28"/>
          <w:szCs w:val="28"/>
          <w:rtl/>
          <w:lang w:bidi="ar-MA"/>
        </w:rPr>
        <w:t xml:space="preserve">، فيما شهدت صادرات الفوسفاط ومشتقاته انخفاضا ب </w:t>
      </w:r>
      <w:r w:rsidRPr="00E92F23">
        <w:rPr>
          <w:rFonts w:cs="Arabic Transparent"/>
          <w:sz w:val="28"/>
          <w:szCs w:val="28"/>
          <w:lang w:bidi="ar-MA"/>
        </w:rPr>
        <w:t>9,5</w:t>
      </w:r>
      <w:r w:rsidRPr="00E92F23">
        <w:rPr>
          <w:rFonts w:cs="Arabic Transparent" w:hint="cs"/>
          <w:sz w:val="28"/>
          <w:szCs w:val="28"/>
          <w:rtl/>
          <w:lang w:bidi="ar-MA"/>
        </w:rPr>
        <w:t>٪</w:t>
      </w:r>
      <w:r w:rsidRPr="00E92F23">
        <w:rPr>
          <w:rFonts w:cs="Arabic Transparent"/>
          <w:sz w:val="28"/>
          <w:szCs w:val="28"/>
          <w:rtl/>
          <w:lang w:bidi="ar-MA"/>
        </w:rPr>
        <w:t>، في ظرفية اتسمت بتراجع أسعارها في الأسواق العالمية</w:t>
      </w:r>
      <w:r w:rsidRPr="00E92F23">
        <w:rPr>
          <w:rFonts w:cs="Arabic Transparent"/>
          <w:sz w:val="28"/>
          <w:szCs w:val="28"/>
          <w:lang w:bidi="ar-MA"/>
        </w:rPr>
        <w:t>.</w:t>
      </w:r>
      <w:r w:rsidRPr="00E92F23">
        <w:rPr>
          <w:rFonts w:cs="Arabic Transparent"/>
          <w:lang w:bidi="ar-MA"/>
        </w:rPr>
        <w:t xml:space="preserve"> </w:t>
      </w:r>
      <w:r w:rsidRPr="00B50DCB">
        <w:rPr>
          <w:rFonts w:cs="Arabic Transparent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</w:t>
      </w:r>
      <w:r>
        <w:rPr>
          <w:rFonts w:cs="Arabic Transparent"/>
          <w:b/>
          <w:bCs/>
          <w:sz w:val="20"/>
          <w:szCs w:val="20"/>
          <w:rtl/>
          <w:lang w:bidi="ar-EG"/>
        </w:rPr>
        <w:t>.......................</w:t>
      </w:r>
    </w:p>
    <w:p w:rsidR="00E857E7" w:rsidRPr="00E92F23" w:rsidRDefault="00E857E7" w:rsidP="00B50DCB">
      <w:pPr>
        <w:bidi/>
        <w:spacing w:line="340" w:lineRule="exact"/>
        <w:jc w:val="both"/>
        <w:rPr>
          <w:rFonts w:cs="Arabic Transparent"/>
          <w:spacing w:val="-2"/>
          <w:rtl/>
          <w:lang w:bidi="ar-MA"/>
        </w:rPr>
      </w:pPr>
      <w:r w:rsidRPr="00E92F23">
        <w:rPr>
          <w:rFonts w:cs="Arabic Transparent"/>
          <w:i/>
          <w:iCs/>
          <w:sz w:val="20"/>
          <w:szCs w:val="20"/>
          <w:rtl/>
        </w:rPr>
        <w:t xml:space="preserve">من اجل الاطلاع على النسخة المفصلة لموجز الظرفية الاقتصادية، يمكن الرجوع إلى البوابة الالكترونية للمندوبية السامية للتخطيط </w:t>
      </w:r>
      <w:r w:rsidRPr="00E92F23">
        <w:rPr>
          <w:rFonts w:cs="Arabic Transparent"/>
          <w:i/>
          <w:iCs/>
          <w:sz w:val="20"/>
          <w:szCs w:val="20"/>
        </w:rPr>
        <w:t>)</w:t>
      </w:r>
      <w:hyperlink r:id="rId11" w:history="1">
        <w:r w:rsidRPr="00E92F23">
          <w:rPr>
            <w:rFonts w:cs="Arabic Transparent"/>
            <w:sz w:val="20"/>
            <w:szCs w:val="20"/>
          </w:rPr>
          <w:t>www.hcp.ma</w:t>
        </w:r>
      </w:hyperlink>
      <w:r w:rsidRPr="00E92F23">
        <w:rPr>
          <w:rFonts w:cs="Arabic Transparent"/>
          <w:i/>
          <w:iCs/>
          <w:sz w:val="20"/>
          <w:szCs w:val="20"/>
        </w:rPr>
        <w:t>(</w:t>
      </w:r>
      <w:r w:rsidRPr="00E92F23">
        <w:rPr>
          <w:rFonts w:cs="Arabic Transparent"/>
          <w:i/>
          <w:iCs/>
          <w:sz w:val="20"/>
          <w:szCs w:val="20"/>
          <w:rtl/>
        </w:rPr>
        <w:t>.</w:t>
      </w:r>
      <w:r w:rsidRPr="00E92F23">
        <w:rPr>
          <w:rFonts w:cs="Arabic Transparent"/>
          <w:i/>
          <w:iCs/>
          <w:sz w:val="20"/>
          <w:szCs w:val="20"/>
        </w:rPr>
        <w:t xml:space="preserve"> </w:t>
      </w:r>
      <w:r w:rsidRPr="00E92F23">
        <w:rPr>
          <w:rFonts w:cs="Arabic Transparent"/>
          <w:i/>
          <w:iCs/>
          <w:sz w:val="20"/>
          <w:szCs w:val="20"/>
          <w:rtl/>
        </w:rPr>
        <w:t>يسمح باستعمال المعلومات التي تتضمنها هذه النشرة مع ضرورة الإشارة إلى المصدر</w:t>
      </w:r>
      <w:r w:rsidRPr="00E92F23">
        <w:rPr>
          <w:rFonts w:cs="Arabic Transparent"/>
          <w:i/>
          <w:iCs/>
          <w:sz w:val="20"/>
          <w:szCs w:val="20"/>
        </w:rPr>
        <w:t>.</w:t>
      </w:r>
    </w:p>
    <w:p w:rsidR="00E857E7" w:rsidRPr="00B50DCB" w:rsidRDefault="00B1381E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191135</wp:posOffset>
            </wp:positionV>
            <wp:extent cx="3117215" cy="2323465"/>
            <wp:effectExtent l="0" t="0" r="0" b="0"/>
            <wp:wrapTight wrapText="bothSides">
              <wp:wrapPolygon edited="0">
                <wp:start x="132" y="354"/>
                <wp:lineTo x="132" y="21075"/>
                <wp:lineTo x="21120" y="21075"/>
                <wp:lineTo x="21120" y="354"/>
                <wp:lineTo x="132" y="354"/>
              </wp:wrapPolygon>
            </wp:wrapTight>
            <wp:docPr id="13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097" t="-2150" r="-3421" b="-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32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7E7"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تطور متواضع للطلب الداخلي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E857E7" w:rsidRDefault="00603A0C" w:rsidP="00603A0C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rFonts w:cs="Arabic Transparent" w:hint="cs"/>
          <w:sz w:val="28"/>
          <w:szCs w:val="28"/>
          <w:rtl/>
          <w:lang w:bidi="ar-MA"/>
        </w:rPr>
        <w:t xml:space="preserve"> من جهته</w:t>
      </w:r>
      <w:r>
        <w:rPr>
          <w:sz w:val="28"/>
          <w:szCs w:val="28"/>
          <w:rtl/>
          <w:lang w:bidi="ar-MA"/>
        </w:rPr>
        <w:t>٬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>
        <w:rPr>
          <w:rFonts w:cs="Arabic Transparent" w:hint="cs"/>
          <w:sz w:val="28"/>
          <w:szCs w:val="28"/>
          <w:rtl/>
          <w:lang w:bidi="ar-MA"/>
        </w:rPr>
        <w:t>س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يواصل الطلب الداخلي تباطؤه</w:t>
      </w:r>
      <w:r w:rsidR="00E857E7" w:rsidRPr="00B50DCB">
        <w:rPr>
          <w:rFonts w:cs="Arabic Transparent"/>
          <w:sz w:val="28"/>
          <w:szCs w:val="28"/>
          <w:lang w:bidi="ar-MA"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في الفصل الثاني </w:t>
      </w:r>
      <w:r>
        <w:rPr>
          <w:rFonts w:cs="Arabic Transparent" w:hint="cs"/>
          <w:sz w:val="28"/>
          <w:szCs w:val="28"/>
          <w:rtl/>
          <w:lang w:bidi="ar-MA"/>
        </w:rPr>
        <w:t xml:space="preserve">من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2013، متأثرا </w:t>
      </w:r>
      <w:r>
        <w:rPr>
          <w:rFonts w:cs="Arabic Transparent" w:hint="cs"/>
          <w:sz w:val="28"/>
          <w:szCs w:val="28"/>
          <w:rtl/>
          <w:lang w:bidi="ar-MA"/>
        </w:rPr>
        <w:t>ب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انخفاض تكوين رأس المال بنسبة تقدر ب</w:t>
      </w:r>
      <w:r w:rsidR="00E857E7" w:rsidRPr="00B50DCB">
        <w:rPr>
          <w:rFonts w:cs="Arabic Transparent"/>
          <w:sz w:val="28"/>
          <w:szCs w:val="28"/>
          <w:lang w:bidi="ar-MA"/>
        </w:rPr>
        <w:t>2</w:t>
      </w:r>
      <w:proofErr w:type="gramStart"/>
      <w:r w:rsidR="00E857E7" w:rsidRPr="00B50DCB">
        <w:rPr>
          <w:rFonts w:cs="Arabic Transparent"/>
          <w:sz w:val="28"/>
          <w:szCs w:val="28"/>
          <w:lang w:bidi="ar-MA"/>
        </w:rPr>
        <w:t>,7</w:t>
      </w:r>
      <w:proofErr w:type="gramEnd"/>
      <w:r w:rsidR="00E857E7" w:rsidRPr="00B50DCB">
        <w:rPr>
          <w:rFonts w:cs="Arabic Transparent"/>
          <w:sz w:val="28"/>
          <w:szCs w:val="28"/>
          <w:lang w:bidi="ar-MA"/>
        </w:rPr>
        <w:t xml:space="preserve"> 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</w:t>
      </w:r>
      <w:r>
        <w:rPr>
          <w:rFonts w:cs="Arabic Transparent" w:hint="cs"/>
          <w:sz w:val="28"/>
          <w:szCs w:val="28"/>
          <w:rtl/>
          <w:lang w:bidi="ar-MA"/>
        </w:rPr>
        <w:t xml:space="preserve"> بعد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ارتفاعه ب </w:t>
      </w:r>
      <w:r w:rsidR="00E857E7" w:rsidRPr="00B50DCB">
        <w:rPr>
          <w:rFonts w:cs="Arabic Transparent"/>
          <w:sz w:val="28"/>
          <w:szCs w:val="28"/>
          <w:lang w:bidi="ar-MA"/>
        </w:rPr>
        <w:t>4,6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</w:t>
      </w:r>
      <w:r>
        <w:rPr>
          <w:rFonts w:cs="Arabic Transparent" w:hint="cs"/>
          <w:sz w:val="28"/>
          <w:szCs w:val="28"/>
          <w:rtl/>
          <w:lang w:bidi="ar-MA"/>
        </w:rPr>
        <w:t xml:space="preserve">خلال نفس الفترة من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السنة </w:t>
      </w:r>
      <w:r>
        <w:rPr>
          <w:rFonts w:cs="Arabic Transparent" w:hint="cs"/>
          <w:sz w:val="28"/>
          <w:szCs w:val="28"/>
          <w:rtl/>
          <w:lang w:bidi="ar-MA"/>
        </w:rPr>
        <w:t>الماضية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. ويرجع هذا التحول بالأساس إلى تقلص الاستثمار في قطاع البناء، حيث واصلت مبيعات السكن تراجعها بعدما انخفضت ب </w:t>
      </w:r>
      <w:r w:rsidR="00E857E7" w:rsidRPr="00B50DCB">
        <w:rPr>
          <w:rFonts w:cs="Arabic Transparent"/>
          <w:sz w:val="28"/>
          <w:szCs w:val="28"/>
          <w:lang w:bidi="ar-MA"/>
        </w:rPr>
        <w:t>7</w:t>
      </w:r>
      <w:proofErr w:type="gramStart"/>
      <w:r w:rsidR="00E857E7" w:rsidRPr="00B50DCB">
        <w:rPr>
          <w:rFonts w:cs="Arabic Transparent"/>
          <w:sz w:val="28"/>
          <w:szCs w:val="28"/>
          <w:lang w:bidi="ar-MA"/>
        </w:rPr>
        <w:t>,8</w:t>
      </w:r>
      <w:proofErr w:type="gramEnd"/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في الفصل الأول. أما استهلاك الأسر، فيتوقع أن يحقق نموا يقدر ب </w:t>
      </w:r>
      <w:r w:rsidR="00E857E7" w:rsidRPr="00B50DCB">
        <w:rPr>
          <w:rFonts w:cs="Arabic Transparent"/>
          <w:sz w:val="28"/>
          <w:szCs w:val="28"/>
          <w:lang w:bidi="ar-MA"/>
        </w:rPr>
        <w:t>3,9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في ظرفية اتسمت بتحسن المداخيل الخارجية ب </w:t>
      </w:r>
      <w:r w:rsidR="00E857E7" w:rsidRPr="00B50DCB">
        <w:rPr>
          <w:rFonts w:cs="Arabic Transparent"/>
          <w:sz w:val="28"/>
          <w:szCs w:val="28"/>
          <w:lang w:bidi="ar-MA"/>
        </w:rPr>
        <w:t>2,7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، وارتفاع في أسعار</w:t>
      </w:r>
      <w:r w:rsidR="00E857E7" w:rsidRPr="00B50DCB">
        <w:rPr>
          <w:rFonts w:cs="Arabic Transparent"/>
          <w:sz w:val="28"/>
          <w:szCs w:val="28"/>
          <w:lang w:bidi="ar-MA"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الاستهلاك بنسبة </w:t>
      </w:r>
      <w:r w:rsidR="00E857E7" w:rsidRPr="00B50DCB">
        <w:rPr>
          <w:rFonts w:cs="Arabic Transparent"/>
          <w:sz w:val="28"/>
          <w:szCs w:val="28"/>
          <w:lang w:bidi="ar-MA"/>
        </w:rPr>
        <w:t>2,5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، حسب التغير السنوي.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E857E7" w:rsidRPr="00B50DCB" w:rsidRDefault="00B1381E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164465</wp:posOffset>
            </wp:positionV>
            <wp:extent cx="3126740" cy="2260600"/>
            <wp:effectExtent l="0" t="0" r="0" b="0"/>
            <wp:wrapTight wrapText="bothSides">
              <wp:wrapPolygon edited="0">
                <wp:start x="132" y="546"/>
                <wp:lineTo x="132" y="21297"/>
                <wp:lineTo x="20661" y="21297"/>
                <wp:lineTo x="20661" y="546"/>
                <wp:lineTo x="132" y="546"/>
              </wp:wrapPolygon>
            </wp:wrapTight>
            <wp:docPr id="14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138" t="-3177" r="-5399" b="-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26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7E7"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تحسن طفيف في وتيرة النمو الاقتصادي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rtl/>
        </w:rPr>
      </w:pPr>
    </w:p>
    <w:p w:rsidR="00E857E7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4,3٪، خلال الفصل الثاني، حسب التغير السنوي، مقابل 3,8٪، في الفصل الأول. </w:t>
      </w:r>
      <w:r w:rsidRPr="00B50DCB">
        <w:rPr>
          <w:rStyle w:val="hps"/>
          <w:rFonts w:cs="Arabic Transparent"/>
          <w:sz w:val="28"/>
          <w:szCs w:val="28"/>
          <w:rtl/>
        </w:rPr>
        <w:t>ويرجع هذا التحسن بالأساس إلى مساهمة القطاع الفلاحي ب 2,8 نقطة في نسبة النمو.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حيث يتوقع أن تستفيد معظم الزراعات كالحبوب والخ</w:t>
      </w:r>
      <w:proofErr w:type="gramStart"/>
      <w:r w:rsidRPr="00B50DCB">
        <w:rPr>
          <w:rFonts w:cs="Arabic Transparent"/>
          <w:sz w:val="28"/>
          <w:szCs w:val="28"/>
          <w:rtl/>
          <w:lang w:bidi="ar-MA"/>
        </w:rPr>
        <w:t>ضر</w:t>
      </w:r>
      <w:proofErr w:type="gramEnd"/>
      <w:r w:rsidRPr="00B50DCB">
        <w:rPr>
          <w:rFonts w:cs="Arabic Transparent"/>
          <w:sz w:val="28"/>
          <w:szCs w:val="28"/>
          <w:rtl/>
          <w:lang w:bidi="ar-MA"/>
        </w:rPr>
        <w:t xml:space="preserve">وات والمواد العلفية من الظروف المناخية الملائمة لفصل الربيع. وأن تتحسن أنشطة تربية الدواجن بعد انخفاضها ب 5,6٪، السنة الماضية، وكذلك إنتاج اللحوم الحمراء </w:t>
      </w:r>
      <w:r w:rsidRPr="00B50DCB">
        <w:rPr>
          <w:rFonts w:cs="Arabic Transparent"/>
          <w:sz w:val="28"/>
          <w:szCs w:val="28"/>
          <w:lang w:bidi="ar-MA"/>
        </w:rPr>
        <w:t>+4,8)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lang w:bidi="ar-MA"/>
        </w:rPr>
        <w:t>(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، مدعمة بتوفر الأعلاف وتراجع نسبي لأسعارها. 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E857E7" w:rsidRPr="00E92F23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rtl/>
        </w:rPr>
      </w:pPr>
      <w:r w:rsidRPr="00E92F23">
        <w:rPr>
          <w:rFonts w:cs="Arabic Transparent"/>
          <w:b/>
          <w:bCs/>
          <w:color w:val="800000"/>
          <w:sz w:val="28"/>
          <w:szCs w:val="28"/>
          <w:rtl/>
        </w:rPr>
        <w:t>تباطؤ وتيرة نمو القطاعات غير الفلاحية</w:t>
      </w:r>
    </w:p>
    <w:p w:rsidR="00E857E7" w:rsidRPr="00B50DCB" w:rsidRDefault="00E857E7" w:rsidP="00B50DCB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  <w:rtl/>
          <w:lang w:bidi="ar-MA"/>
        </w:rPr>
      </w:pPr>
    </w:p>
    <w:p w:rsidR="00E857E7" w:rsidRDefault="00B1381E" w:rsidP="00603A0C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42545</wp:posOffset>
            </wp:positionV>
            <wp:extent cx="3019425" cy="2657475"/>
            <wp:effectExtent l="0" t="0" r="0" b="0"/>
            <wp:wrapTight wrapText="bothSides">
              <wp:wrapPolygon edited="0">
                <wp:start x="136" y="465"/>
                <wp:lineTo x="136" y="21213"/>
                <wp:lineTo x="20714" y="21213"/>
                <wp:lineTo x="20714" y="465"/>
                <wp:lineTo x="136" y="465"/>
              </wp:wrapPolygon>
            </wp:wrapTight>
            <wp:docPr id="15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45" t="-2155" r="-5759" b="-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3A0C">
        <w:rPr>
          <w:rStyle w:val="hps"/>
          <w:rFonts w:cs="Arabic Transparent" w:hint="cs"/>
          <w:sz w:val="28"/>
          <w:szCs w:val="28"/>
          <w:rtl/>
        </w:rPr>
        <w:t xml:space="preserve">على صعيد </w:t>
      </w:r>
      <w:r w:rsidR="00E857E7" w:rsidRPr="00B50DCB">
        <w:rPr>
          <w:rStyle w:val="hps"/>
          <w:rFonts w:cs="Arabic Transparent"/>
          <w:sz w:val="28"/>
          <w:szCs w:val="28"/>
          <w:rtl/>
        </w:rPr>
        <w:t xml:space="preserve">الأنشطة غير الفلاحية </w:t>
      </w:r>
      <w:r w:rsidR="00603A0C">
        <w:rPr>
          <w:rStyle w:val="hps"/>
          <w:rFonts w:cs="Arabic Transparent" w:hint="cs"/>
          <w:sz w:val="28"/>
          <w:szCs w:val="28"/>
          <w:rtl/>
        </w:rPr>
        <w:t xml:space="preserve"> يرتقب أن يستمر</w:t>
      </w:r>
      <w:r w:rsidR="00603A0C" w:rsidRPr="00B50DCB">
        <w:rPr>
          <w:rStyle w:val="hps"/>
          <w:rFonts w:cs="Arabic Transparent"/>
          <w:sz w:val="28"/>
          <w:szCs w:val="28"/>
          <w:rtl/>
        </w:rPr>
        <w:t xml:space="preserve"> 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>تباطؤ</w:t>
      </w:r>
      <w:r w:rsidR="00603A0C">
        <w:rPr>
          <w:rStyle w:val="hps"/>
          <w:rFonts w:cs="Arabic Transparent" w:hint="cs"/>
          <w:sz w:val="28"/>
          <w:szCs w:val="28"/>
          <w:rtl/>
          <w:lang w:bidi="ar-MA"/>
        </w:rPr>
        <w:t xml:space="preserve"> نموها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، </w:t>
      </w:r>
      <w:r w:rsidR="00603A0C">
        <w:rPr>
          <w:rStyle w:val="hps"/>
          <w:rFonts w:cs="Arabic Transparent" w:hint="cs"/>
          <w:sz w:val="28"/>
          <w:szCs w:val="28"/>
          <w:rtl/>
          <w:lang w:bidi="ar-MA"/>
        </w:rPr>
        <w:t>خلال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الفصل الثاني </w:t>
      </w:r>
      <w:r w:rsidR="00603A0C">
        <w:rPr>
          <w:rStyle w:val="hps"/>
          <w:rFonts w:cs="Arabic Transparent" w:hint="cs"/>
          <w:sz w:val="28"/>
          <w:szCs w:val="28"/>
          <w:rtl/>
          <w:lang w:bidi="ar-MA"/>
        </w:rPr>
        <w:t xml:space="preserve">من </w:t>
      </w:r>
      <w:r w:rsidR="00603A0C" w:rsidRPr="00B50DCB">
        <w:rPr>
          <w:rStyle w:val="hps"/>
          <w:rFonts w:cs="Arabic Transparent"/>
          <w:sz w:val="28"/>
          <w:szCs w:val="28"/>
          <w:rtl/>
          <w:lang w:bidi="ar-MA"/>
        </w:rPr>
        <w:t>2013</w:t>
      </w:r>
      <w:r w:rsidR="00603A0C">
        <w:rPr>
          <w:rStyle w:val="hps"/>
          <w:rFonts w:cs="Arabic Transparent" w:hint="cs"/>
          <w:sz w:val="28"/>
          <w:szCs w:val="28"/>
          <w:rtl/>
          <w:lang w:bidi="ar-MA"/>
        </w:rPr>
        <w:t xml:space="preserve"> ليصل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 w:rsidR="00603A0C">
        <w:rPr>
          <w:rStyle w:val="hps"/>
          <w:rFonts w:cs="Arabic Transparent" w:hint="cs"/>
          <w:sz w:val="28"/>
          <w:szCs w:val="28"/>
          <w:rtl/>
          <w:lang w:bidi="ar-MA"/>
        </w:rPr>
        <w:t>الى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1,8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٪ 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>عوض 4,5٪</w:t>
      </w:r>
      <w:r w:rsidR="00E857E7" w:rsidRPr="00B50DCB">
        <w:rPr>
          <w:rStyle w:val="hps"/>
          <w:rFonts w:cs="Arabic Transparent"/>
          <w:sz w:val="28"/>
          <w:szCs w:val="28"/>
          <w:rtl/>
        </w:rPr>
        <w:t xml:space="preserve">، السنة </w:t>
      </w:r>
      <w:r w:rsidR="00603A0C">
        <w:rPr>
          <w:rStyle w:val="hps"/>
          <w:rFonts w:cs="Arabic Transparent" w:hint="cs"/>
          <w:sz w:val="28"/>
          <w:szCs w:val="28"/>
          <w:rtl/>
        </w:rPr>
        <w:t xml:space="preserve"> الماضية </w:t>
      </w:r>
      <w:r w:rsidR="00E857E7" w:rsidRPr="00B50DCB">
        <w:rPr>
          <w:rStyle w:val="hps"/>
          <w:rFonts w:cs="Arabic Transparent"/>
          <w:sz w:val="28"/>
          <w:szCs w:val="28"/>
          <w:rtl/>
        </w:rPr>
        <w:t xml:space="preserve">. ويرجع هذا التحول إلى </w:t>
      </w:r>
      <w:r w:rsidR="00E857E7" w:rsidRPr="00B50DCB">
        <w:rPr>
          <w:rStyle w:val="hps"/>
          <w:rFonts w:cs="Arabic Transparent"/>
          <w:sz w:val="28"/>
          <w:szCs w:val="28"/>
          <w:rtl/>
          <w:lang w:bidi="ar-MA"/>
        </w:rPr>
        <w:t xml:space="preserve">ضعف القطاعات الثانوية وخاصة أنشطة البناء والأشغال العمومية التي مازالت تأثر سلبا على تطور القطاعات غير الفلاحية. حيث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ينتظر أن يواصل قطاع البناء و الأشغال العمومية انخفاضه، خلال الفصل الثاني 2013، بنسبة تقدر ب </w:t>
      </w:r>
      <w:r w:rsidR="00E857E7" w:rsidRPr="00B50DCB">
        <w:rPr>
          <w:rFonts w:cs="Arabic Transparent"/>
          <w:sz w:val="28"/>
          <w:szCs w:val="28"/>
          <w:lang w:bidi="ar-MA"/>
        </w:rPr>
        <w:t>3,6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، حسب التغير السنوي،</w:t>
      </w:r>
      <w:r w:rsidR="00E857E7" w:rsidRPr="00B50DCB">
        <w:rPr>
          <w:rFonts w:cs="Arabic Transparent"/>
          <w:sz w:val="28"/>
          <w:szCs w:val="28"/>
          <w:lang w:bidi="ar-MA"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بعدما تقلص ب </w:t>
      </w:r>
      <w:r w:rsidR="00E857E7" w:rsidRPr="00B50DCB">
        <w:rPr>
          <w:rFonts w:cs="Arabic Transparent"/>
          <w:sz w:val="28"/>
          <w:szCs w:val="28"/>
          <w:lang w:bidi="ar-MA"/>
        </w:rPr>
        <w:t>5,9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في الفصل السابق. وتشير البيانات الأولية إلى تراجع في مبيعات الاسمنت بنسبة 4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>,1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٪ بعد انخفاضها ب 12٪ في الفصل الأول. كما ستعرف القروض العقار 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>الموجهة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للخواص وللمنعشين بعض التباطؤ، موازاة مع انخفاض المبيعات العقارية.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E857E7" w:rsidRDefault="001D47F5" w:rsidP="00B41F95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Fonts w:cs="Arabic Transparent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191770</wp:posOffset>
            </wp:positionV>
            <wp:extent cx="3076575" cy="2286000"/>
            <wp:effectExtent l="0" t="0" r="0" b="0"/>
            <wp:wrapTight wrapText="bothSides">
              <wp:wrapPolygon edited="0">
                <wp:start x="0" y="720"/>
                <wp:lineTo x="0" y="21240"/>
                <wp:lineTo x="21132" y="21240"/>
                <wp:lineTo x="21132" y="720"/>
                <wp:lineTo x="0" y="720"/>
              </wp:wrapPolygon>
            </wp:wrapTight>
            <wp:docPr id="16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053" t="-3557" r="-3859" b="-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Pr="00B50DCB" w:rsidRDefault="00603A0C" w:rsidP="00603A0C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rFonts w:cs="Arabic Transparent" w:hint="cs"/>
          <w:sz w:val="28"/>
          <w:szCs w:val="28"/>
          <w:rtl/>
          <w:lang w:bidi="ar-MA"/>
        </w:rPr>
        <w:t>وس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يؤثر تراجع قطاع البناء على تطور الصناعات المرتبطة 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>به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وخاصة</w:t>
      </w:r>
      <w:r>
        <w:rPr>
          <w:rFonts w:cs="Arabic Transparent" w:hint="cs"/>
          <w:sz w:val="28"/>
          <w:szCs w:val="28"/>
          <w:rtl/>
          <w:lang w:bidi="ar-MA"/>
        </w:rPr>
        <w:t xml:space="preserve"> المتعلقة بصناعة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مواد البناء. </w:t>
      </w:r>
      <w:r>
        <w:rPr>
          <w:rFonts w:cs="Arabic Transparent" w:hint="cs"/>
          <w:sz w:val="28"/>
          <w:szCs w:val="28"/>
          <w:rtl/>
          <w:lang w:bidi="ar-MA"/>
        </w:rPr>
        <w:t>بينما س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تحقق الصناعات الغذائية والصناعات الكيميائية </w:t>
      </w:r>
      <w:r w:rsidR="00E857E7">
        <w:rPr>
          <w:rFonts w:cs="Arabic Transparent"/>
          <w:sz w:val="28"/>
          <w:szCs w:val="28"/>
          <w:rtl/>
          <w:lang w:bidi="ar-MA"/>
        </w:rPr>
        <w:t xml:space="preserve">والشبه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كيميائي</w:t>
      </w:r>
      <w:r w:rsidR="00E857E7">
        <w:rPr>
          <w:rFonts w:cs="Arabic Transparent"/>
          <w:sz w:val="28"/>
          <w:szCs w:val="28"/>
          <w:rtl/>
          <w:lang w:bidi="ar-MA"/>
        </w:rPr>
        <w:t xml:space="preserve">ة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ارتفاعات تقدر ب 3,4٪ و 7,8٪، على التوالي حسب التغير السنوي. وعلى العموم، ستشهد الصناعات التحويلية زيادة تقدر ب </w:t>
      </w:r>
      <w:r w:rsidR="00E857E7" w:rsidRPr="00B50DCB">
        <w:rPr>
          <w:rFonts w:cs="Arabic Transparent"/>
          <w:sz w:val="28"/>
          <w:szCs w:val="28"/>
          <w:lang w:bidi="ar-MA"/>
        </w:rPr>
        <w:t>1,9</w:t>
      </w:r>
      <w:r w:rsidR="00E857E7" w:rsidRPr="00B50DCB">
        <w:rPr>
          <w:rFonts w:ascii="Arial" w:hAnsi="Arial"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عوض 0,</w:t>
      </w:r>
      <w:r w:rsidR="00E857E7" w:rsidRPr="00B50DCB">
        <w:rPr>
          <w:rFonts w:cs="Arabic Transparent"/>
          <w:sz w:val="28"/>
          <w:szCs w:val="28"/>
          <w:rtl/>
        </w:rPr>
        <w:t>5٪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في الفصل الأول، حسب التغير السنوي. </w:t>
      </w:r>
      <w:r w:rsidR="00E857E7">
        <w:rPr>
          <w:rFonts w:cs="Arabic Transparent"/>
          <w:sz w:val="28"/>
          <w:szCs w:val="28"/>
          <w:rtl/>
          <w:lang w:bidi="ar-MA"/>
        </w:rPr>
        <w:t>ويبدو أن هذا الانتعاش الطفيف لن يمكن قطا</w:t>
      </w:r>
      <w:r>
        <w:rPr>
          <w:rFonts w:cs="Arabic Transparent" w:hint="cs"/>
          <w:sz w:val="28"/>
          <w:szCs w:val="28"/>
          <w:rtl/>
          <w:lang w:bidi="ar-MA"/>
        </w:rPr>
        <w:t>ع</w:t>
      </w:r>
      <w:r w:rsidR="00E857E7">
        <w:rPr>
          <w:rFonts w:cs="Arabic Transparent"/>
          <w:sz w:val="28"/>
          <w:szCs w:val="28"/>
          <w:rtl/>
          <w:lang w:bidi="ar-MA"/>
        </w:rPr>
        <w:t xml:space="preserve"> الصناعات</w:t>
      </w:r>
      <w:r>
        <w:rPr>
          <w:rFonts w:cs="Arabic Transparent" w:hint="cs"/>
          <w:sz w:val="28"/>
          <w:szCs w:val="28"/>
          <w:rtl/>
          <w:lang w:bidi="ar-MA"/>
        </w:rPr>
        <w:t xml:space="preserve"> التحويلية من</w:t>
      </w:r>
      <w:r w:rsidR="00E857E7">
        <w:rPr>
          <w:rFonts w:cs="Arabic Transparent"/>
          <w:sz w:val="28"/>
          <w:szCs w:val="28"/>
          <w:rtl/>
          <w:lang w:bidi="ar-MA"/>
        </w:rPr>
        <w:t xml:space="preserve"> الخروج من </w:t>
      </w:r>
      <w:r>
        <w:rPr>
          <w:rFonts w:cs="Arabic Transparent" w:hint="cs"/>
          <w:sz w:val="28"/>
          <w:szCs w:val="28"/>
          <w:rtl/>
          <w:lang w:bidi="ar-MA"/>
        </w:rPr>
        <w:t xml:space="preserve">فترة </w:t>
      </w:r>
      <w:r w:rsidR="00E857E7">
        <w:rPr>
          <w:rFonts w:cs="Arabic Transparent"/>
          <w:sz w:val="28"/>
          <w:szCs w:val="28"/>
          <w:rtl/>
          <w:lang w:bidi="ar-MA"/>
        </w:rPr>
        <w:t>التباطؤ الظرفي الذي شهد</w:t>
      </w:r>
      <w:r>
        <w:rPr>
          <w:rFonts w:cs="Arabic Transparent" w:hint="cs"/>
          <w:sz w:val="28"/>
          <w:szCs w:val="28"/>
          <w:rtl/>
          <w:lang w:bidi="ar-MA"/>
        </w:rPr>
        <w:t>ت</w:t>
      </w:r>
      <w:r w:rsidR="00E857E7">
        <w:rPr>
          <w:rFonts w:cs="Arabic Transparent"/>
          <w:sz w:val="28"/>
          <w:szCs w:val="28"/>
          <w:rtl/>
          <w:lang w:bidi="ar-MA"/>
        </w:rPr>
        <w:t>ه من</w:t>
      </w:r>
      <w:r>
        <w:rPr>
          <w:rFonts w:cs="Arabic Transparent" w:hint="cs"/>
          <w:sz w:val="28"/>
          <w:szCs w:val="28"/>
          <w:rtl/>
          <w:lang w:bidi="ar-MA"/>
        </w:rPr>
        <w:t>ذ</w:t>
      </w:r>
      <w:r w:rsidR="00E857E7">
        <w:rPr>
          <w:rFonts w:cs="Arabic Transparent"/>
          <w:sz w:val="28"/>
          <w:szCs w:val="28"/>
          <w:rtl/>
          <w:lang w:bidi="ar-MA"/>
        </w:rPr>
        <w:t xml:space="preserve"> بداية سنة 2012. </w:t>
      </w:r>
    </w:p>
    <w:p w:rsidR="00E857E7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E857E7" w:rsidRPr="00B50DCB" w:rsidRDefault="00B1381E" w:rsidP="004A1AA5">
      <w:pPr>
        <w:bidi/>
        <w:spacing w:line="340" w:lineRule="exact"/>
        <w:jc w:val="both"/>
        <w:rPr>
          <w:rStyle w:val="hps"/>
          <w:rFonts w:cs="Arabic Transparent"/>
          <w:spacing w:val="-2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153670</wp:posOffset>
            </wp:positionV>
            <wp:extent cx="3009900" cy="2543175"/>
            <wp:effectExtent l="0" t="0" r="19050" b="0"/>
            <wp:wrapSquare wrapText="bothSides"/>
            <wp:docPr id="17" name="Obje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A1AA5">
        <w:rPr>
          <w:rFonts w:cs="Arabic Transparent" w:hint="cs"/>
          <w:spacing w:val="-2"/>
          <w:sz w:val="28"/>
          <w:szCs w:val="28"/>
          <w:rtl/>
          <w:lang w:bidi="ar-MA"/>
        </w:rPr>
        <w:t xml:space="preserve"> و على خلاف ذلك</w:t>
      </w:r>
      <w:r w:rsidR="004A1AA5">
        <w:rPr>
          <w:spacing w:val="-2"/>
          <w:sz w:val="28"/>
          <w:szCs w:val="28"/>
          <w:rtl/>
          <w:lang w:bidi="ar-MA"/>
        </w:rPr>
        <w:t>٬</w:t>
      </w:r>
      <w:r w:rsidR="00E857E7"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 سيواصل قطاع السياحة انتعاشه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، خلال الفصل الثاني 2013، ليحقق نموا يقدر ب </w:t>
      </w:r>
      <w:r w:rsidR="00E857E7" w:rsidRPr="00B50DCB">
        <w:rPr>
          <w:rFonts w:cs="Arabic Transparent"/>
          <w:sz w:val="28"/>
          <w:szCs w:val="28"/>
          <w:lang w:bidi="ar-MA"/>
        </w:rPr>
        <w:t>4,6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  <w:lang w:bidi="ar-MA"/>
        </w:rPr>
        <w:t xml:space="preserve">حسب التغير السنوي، مستفيدا من ارتفاع عدد السياح 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>والمداخل السياحية ب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  <w:lang w:bidi="ar-MA"/>
        </w:rPr>
        <w:t>نسب تقدر ب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2,2٪ و</w:t>
      </w:r>
      <w:r w:rsidR="00E857E7" w:rsidRPr="00B50DCB">
        <w:rPr>
          <w:rFonts w:cs="Arabic Transparent"/>
          <w:sz w:val="28"/>
          <w:szCs w:val="28"/>
          <w:lang w:bidi="ar-MA"/>
        </w:rPr>
        <w:t xml:space="preserve">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5</w:t>
      </w:r>
      <w:r w:rsidR="00E857E7" w:rsidRPr="00B50DCB">
        <w:rPr>
          <w:rFonts w:cs="Arabic Transparent"/>
          <w:sz w:val="28"/>
          <w:szCs w:val="28"/>
          <w:lang w:bidi="ar-MA"/>
        </w:rPr>
        <w:t>,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5٪، على التوالي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  <w:lang w:bidi="ar-MA"/>
        </w:rPr>
        <w:t>.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هذا التطور سيميز كذلك مجموع</w:t>
      </w:r>
      <w:r w:rsidR="00E857E7" w:rsidRPr="00B50DCB">
        <w:rPr>
          <w:rFonts w:cs="Arabic Transparent"/>
          <w:spacing w:val="-2"/>
          <w:sz w:val="28"/>
          <w:szCs w:val="28"/>
        </w:rPr>
        <w:t xml:space="preserve"> 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المبيتات السياحية التي سترتفع ب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7,4٪،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 وذلك بفضل تحسن مبيتات السياح الانجليز والألمان، فيما ستشهد مبيتات السياح المقيمين </w:t>
      </w:r>
      <w:r w:rsidR="00E857E7">
        <w:rPr>
          <w:rStyle w:val="hps"/>
          <w:rFonts w:cs="Arabic Transparent"/>
          <w:spacing w:val="-2"/>
          <w:sz w:val="28"/>
          <w:szCs w:val="28"/>
          <w:rtl/>
        </w:rPr>
        <w:t>ديناميكية متواضعة</w:t>
      </w:r>
      <w:r w:rsidR="00E857E7" w:rsidRPr="00B50DCB">
        <w:rPr>
          <w:rStyle w:val="hps"/>
          <w:rFonts w:cs="Arabic Transparent"/>
          <w:spacing w:val="-2"/>
          <w:sz w:val="28"/>
          <w:szCs w:val="28"/>
          <w:rtl/>
        </w:rPr>
        <w:t xml:space="preserve">. </w:t>
      </w:r>
    </w:p>
    <w:p w:rsidR="00E857E7" w:rsidRDefault="00E857E7" w:rsidP="00B50DCB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  <w:rtl/>
        </w:rPr>
      </w:pPr>
    </w:p>
    <w:p w:rsidR="00E857E7" w:rsidRPr="00B50DCB" w:rsidRDefault="00E857E7" w:rsidP="00B41F95">
      <w:pPr>
        <w:bidi/>
        <w:spacing w:line="340" w:lineRule="exact"/>
        <w:jc w:val="both"/>
        <w:rPr>
          <w:rStyle w:val="hps"/>
          <w:rFonts w:cs="Arabic Transparent"/>
          <w:sz w:val="28"/>
          <w:szCs w:val="28"/>
          <w:rtl/>
        </w:rPr>
      </w:pP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اس</w:t>
      </w: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تمرار ارتفاع أسعار الاستهلاك في الفصل الثاني</w:t>
      </w:r>
    </w:p>
    <w:p w:rsidR="00E857E7" w:rsidRPr="00FE17ED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</w:rPr>
      </w:pPr>
    </w:p>
    <w:p w:rsidR="00E857E7" w:rsidRDefault="00B1381E" w:rsidP="004A1AA5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-3048000</wp:posOffset>
            </wp:positionH>
            <wp:positionV relativeFrom="paragraph">
              <wp:posOffset>210820</wp:posOffset>
            </wp:positionV>
            <wp:extent cx="3086100" cy="299085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57E7" w:rsidRPr="00B50DCB">
        <w:rPr>
          <w:rFonts w:cs="Arabic Transparent"/>
          <w:sz w:val="28"/>
          <w:szCs w:val="28"/>
          <w:rtl/>
          <w:lang w:bidi="ar-MA"/>
        </w:rPr>
        <w:t>واصلت أسعار الاستهلاك اتجاهها التصاعدي، خلال الفصل الثاني</w:t>
      </w:r>
      <w:r w:rsidR="004A1AA5">
        <w:rPr>
          <w:rFonts w:cs="Arabic Transparent" w:hint="cs"/>
          <w:sz w:val="28"/>
          <w:szCs w:val="28"/>
          <w:rtl/>
          <w:lang w:bidi="ar-MA"/>
        </w:rPr>
        <w:t xml:space="preserve"> من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2013، وبوثيرة أكثر مما كانت عليه في الفصل السابق، لترتفع بنسبة 2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>,5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>٪، حسب التغير السنوي، بعد زيادة قدرها 1,4٪</w:t>
      </w:r>
      <w:r w:rsidR="004A1AA5">
        <w:rPr>
          <w:rFonts w:cs="Arabic Transparent" w:hint="cs"/>
          <w:sz w:val="28"/>
          <w:szCs w:val="28"/>
          <w:rtl/>
          <w:lang w:bidi="ar-MA"/>
        </w:rPr>
        <w:t xml:space="preserve"> خلال نفس الفترة من 2012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. ويعزى هذا التسارع بالأساس إلى ارتفاع أسعار المواد الغذائية</w:t>
      </w:r>
      <w:r w:rsidR="00E857E7" w:rsidRPr="00B50DCB">
        <w:rPr>
          <w:rFonts w:cs="Arabic Transparent"/>
          <w:sz w:val="28"/>
          <w:szCs w:val="28"/>
          <w:lang w:bidi="ar-MA"/>
        </w:rPr>
        <w:t xml:space="preserve">) </w:t>
      </w:r>
      <w:r w:rsidR="00E857E7" w:rsidRPr="00B50DCB">
        <w:rPr>
          <w:rFonts w:cs="Arabic Transparent"/>
          <w:sz w:val="28"/>
          <w:szCs w:val="28"/>
          <w:rtl/>
          <w:lang w:bidi="ar-MA"/>
        </w:rPr>
        <w:t>3</w:t>
      </w:r>
      <w:proofErr w:type="gramStart"/>
      <w:r w:rsidR="00E857E7" w:rsidRPr="00B50DCB">
        <w:rPr>
          <w:rFonts w:cs="Arabic Transparent"/>
          <w:sz w:val="28"/>
          <w:szCs w:val="28"/>
          <w:rtl/>
          <w:lang w:bidi="ar-MA"/>
        </w:rPr>
        <w:t>,4</w:t>
      </w:r>
      <w:r w:rsidR="00E857E7" w:rsidRPr="00B50DCB">
        <w:rPr>
          <w:rFonts w:cs="Arabic Transparent"/>
          <w:sz w:val="28"/>
          <w:szCs w:val="28"/>
          <w:lang w:bidi="ar-MA"/>
        </w:rPr>
        <w:t>+</w:t>
      </w:r>
      <w:proofErr w:type="gramEnd"/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lang w:bidi="ar-MA"/>
        </w:rPr>
        <w:t>(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بسبب زيادة أسعار المواد الغذائية الطرية. أما أسعار المواد غير الغذائية، فقد ارتفعت ب 2٪، ويتوقع أن تواصل ارتفاعها بوثيرة أقل </w:t>
      </w:r>
      <w:r w:rsidR="00E857E7" w:rsidRPr="00B50DCB">
        <w:rPr>
          <w:rFonts w:cs="Arabic Transparent"/>
          <w:sz w:val="28"/>
          <w:szCs w:val="28"/>
          <w:lang w:bidi="ar-MA"/>
        </w:rPr>
        <w:t>(</w:t>
      </w:r>
      <w:r w:rsidR="00E857E7" w:rsidRPr="00B50DCB">
        <w:rPr>
          <w:rFonts w:cs="Arabic Transparent"/>
          <w:lang w:bidi="ar-MA"/>
        </w:rPr>
        <w:t>%</w:t>
      </w:r>
      <w:r w:rsidR="00E857E7" w:rsidRPr="00B50DCB">
        <w:rPr>
          <w:rFonts w:cs="Arabic Transparent"/>
          <w:sz w:val="28"/>
          <w:szCs w:val="28"/>
          <w:lang w:bidi="ar-MA"/>
        </w:rPr>
        <w:t>+1</w:t>
      </w:r>
      <w:proofErr w:type="gramStart"/>
      <w:r w:rsidR="00E857E7" w:rsidRPr="00B50DCB">
        <w:rPr>
          <w:rFonts w:cs="Arabic Transparent"/>
          <w:sz w:val="28"/>
          <w:szCs w:val="28"/>
          <w:lang w:bidi="ar-MA"/>
        </w:rPr>
        <w:t>,6)</w:t>
      </w:r>
      <w:proofErr w:type="gramEnd"/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خلال الفصل الثالث 2013. كما يتوقع أن تشهد أسعار المواد الغذائية</w:t>
      </w:r>
      <w:r w:rsidR="004A1AA5">
        <w:rPr>
          <w:rFonts w:cs="Arabic Transparent" w:hint="cs"/>
          <w:sz w:val="28"/>
          <w:szCs w:val="28"/>
          <w:rtl/>
          <w:lang w:bidi="ar-MA"/>
        </w:rPr>
        <w:t xml:space="preserve"> ارتفاعا ب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</w:t>
      </w:r>
      <w:r w:rsidR="004A1AA5" w:rsidRPr="00B50DCB">
        <w:rPr>
          <w:rFonts w:cs="Arabic Transparent"/>
          <w:sz w:val="28"/>
          <w:szCs w:val="28"/>
          <w:lang w:bidi="ar-MA"/>
        </w:rPr>
        <w:t>3</w:t>
      </w:r>
      <w:proofErr w:type="gramStart"/>
      <w:r w:rsidR="004A1AA5" w:rsidRPr="00B50DCB">
        <w:rPr>
          <w:rFonts w:cs="Arabic Transparent"/>
          <w:sz w:val="28"/>
          <w:szCs w:val="28"/>
          <w:lang w:bidi="ar-MA"/>
        </w:rPr>
        <w:t>,2</w:t>
      </w:r>
      <w:proofErr w:type="gramEnd"/>
      <w:r w:rsidR="004A1AA5">
        <w:rPr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، ليصل معدل التضخم إلى </w:t>
      </w:r>
      <w:r w:rsidR="00E857E7" w:rsidRPr="00B50DCB">
        <w:rPr>
          <w:rFonts w:cs="Arabic Transparent"/>
          <w:sz w:val="28"/>
          <w:szCs w:val="28"/>
          <w:lang w:bidi="ar-MA"/>
        </w:rPr>
        <w:t>2,3</w:t>
      </w:r>
      <w:r w:rsidR="00E857E7"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="00E857E7" w:rsidRPr="00B50DCB">
        <w:rPr>
          <w:rFonts w:cs="Arabic Transparent"/>
          <w:sz w:val="28"/>
          <w:szCs w:val="28"/>
          <w:lang w:bidi="ar-MA"/>
        </w:rPr>
        <w:t>.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وفي نفس السياق، </w:t>
      </w:r>
      <w:r w:rsidR="004A1AA5">
        <w:rPr>
          <w:rFonts w:cs="Arabic Transparent" w:hint="cs"/>
          <w:sz w:val="28"/>
          <w:szCs w:val="28"/>
          <w:rtl/>
          <w:lang w:bidi="ar-MA"/>
        </w:rPr>
        <w:t>ينتظر ان يشهد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معدل التضخم الكامن</w:t>
      </w:r>
      <w:r w:rsidR="004A1AA5">
        <w:rPr>
          <w:rFonts w:cs="Arabic Transparent" w:hint="cs"/>
          <w:sz w:val="28"/>
          <w:szCs w:val="28"/>
          <w:rtl/>
          <w:lang w:bidi="ar-MA"/>
        </w:rPr>
        <w:t xml:space="preserve"> بعض التباطؤ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ليستقر في حدود 1,6٪، مقابل 2,2٪، خلال الفصل الثاني، بفضل استمرار تراجع أسعار المواد الأولية وخاصة الحبوب، و</w:t>
      </w:r>
      <w:r w:rsidR="004A1AA5">
        <w:rPr>
          <w:rFonts w:cs="Arabic Transparent" w:hint="cs"/>
          <w:sz w:val="28"/>
          <w:szCs w:val="28"/>
          <w:rtl/>
          <w:lang w:bidi="ar-MA"/>
        </w:rPr>
        <w:t>تراجع</w:t>
      </w:r>
      <w:r w:rsidR="00E857E7" w:rsidRPr="00B50DCB">
        <w:rPr>
          <w:rFonts w:cs="Arabic Transparent"/>
          <w:sz w:val="28"/>
          <w:szCs w:val="28"/>
          <w:rtl/>
          <w:lang w:bidi="ar-MA"/>
        </w:rPr>
        <w:t xml:space="preserve"> أسعار المواد غير الغذائية.</w:t>
      </w:r>
    </w:p>
    <w:p w:rsidR="004A1AA5" w:rsidRDefault="004A1AA5" w:rsidP="004A1AA5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E857E7" w:rsidRDefault="00E857E7" w:rsidP="00DC7C76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1D47F5" w:rsidRDefault="001D47F5" w:rsidP="001D47F5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E857E7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نمو متواضع للكتلة النقدية</w:t>
      </w:r>
    </w:p>
    <w:p w:rsidR="001D47F5" w:rsidRPr="00B50DCB" w:rsidRDefault="001D47F5" w:rsidP="001D47F5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E857E7" w:rsidRPr="00B50DCB" w:rsidRDefault="00E857E7" w:rsidP="004A1AA5">
      <w:pPr>
        <w:bidi/>
        <w:spacing w:line="340" w:lineRule="exact"/>
        <w:jc w:val="both"/>
        <w:rPr>
          <w:rFonts w:cs="Arabic Transparent"/>
          <w:sz w:val="28"/>
          <w:szCs w:val="28"/>
          <w:rtl/>
        </w:rPr>
      </w:pPr>
      <w:proofErr w:type="gramStart"/>
      <w:r w:rsidRPr="00B50DCB">
        <w:rPr>
          <w:rFonts w:cs="Arabic Transparent"/>
          <w:sz w:val="28"/>
          <w:szCs w:val="28"/>
          <w:rtl/>
        </w:rPr>
        <w:t>عرف</w:t>
      </w:r>
      <w:proofErr w:type="gramEnd"/>
      <w:r w:rsidRPr="00B50DCB">
        <w:rPr>
          <w:rFonts w:cs="Arabic Transparent"/>
          <w:sz w:val="28"/>
          <w:szCs w:val="28"/>
          <w:rtl/>
        </w:rPr>
        <w:t xml:space="preserve"> سوق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المال بعض ال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نقص </w:t>
      </w:r>
      <w:r w:rsidRPr="00B50DCB">
        <w:rPr>
          <w:rFonts w:cs="Arabic Transparent"/>
          <w:sz w:val="28"/>
          <w:szCs w:val="28"/>
          <w:rtl/>
        </w:rPr>
        <w:t>في السيولة، خلال الفصل الثاني 2013، وذلك بعد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 xml:space="preserve">تحسن طفيف خلال الفصل الأول 2013. وقد شهدت الكتلة النقدية، </w:t>
      </w:r>
      <w:r w:rsidR="004A1AA5">
        <w:rPr>
          <w:rFonts w:cs="Arabic Transparent" w:hint="cs"/>
          <w:sz w:val="28"/>
          <w:szCs w:val="28"/>
          <w:rtl/>
        </w:rPr>
        <w:t xml:space="preserve"> المصححة من التغيرات</w:t>
      </w:r>
      <w:r w:rsidRPr="00B50DCB">
        <w:rPr>
          <w:rFonts w:cs="Arabic Transparent"/>
          <w:sz w:val="28"/>
          <w:szCs w:val="28"/>
          <w:rtl/>
        </w:rPr>
        <w:t xml:space="preserve"> الموسمية، ارتفاعا يقدر ب 1</w:t>
      </w:r>
      <w:proofErr w:type="gramStart"/>
      <w:r w:rsidRPr="00B50DCB">
        <w:rPr>
          <w:rFonts w:cs="Arabic Transparent"/>
          <w:sz w:val="28"/>
          <w:szCs w:val="28"/>
          <w:rtl/>
        </w:rPr>
        <w:t>,5</w:t>
      </w:r>
      <w:proofErr w:type="gramEnd"/>
      <w:r w:rsidRPr="00B50DCB">
        <w:rPr>
          <w:rFonts w:cs="Arabic Transparent"/>
          <w:sz w:val="28"/>
          <w:szCs w:val="28"/>
          <w:rtl/>
        </w:rPr>
        <w:t>٪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 الفصل الثاني 2013، حسب التغير الفصلي، فيما يتوقع أن ترتفع ب 0,6٪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 الفصل الثالث. ومن جهتها، عرفت أسعار الفائدة الموجهة استقرارا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الفصل الثاني 2013، فيما ارتفعت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أسعار الفائدة الخاصة بسندات الخزينة، بسبب زيادة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الاحتياجات التمويلية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في سوق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المال، ولم يكن لاقتراض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الخزينة الأخير من الأسواق الدولية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سوى أثر</w:t>
      </w:r>
      <w:r w:rsidRPr="00B50DCB">
        <w:rPr>
          <w:rFonts w:cs="Arabic Transparent"/>
          <w:sz w:val="28"/>
          <w:szCs w:val="28"/>
        </w:rPr>
        <w:t xml:space="preserve"> </w:t>
      </w:r>
      <w:r w:rsidRPr="00B50DCB">
        <w:rPr>
          <w:rFonts w:cs="Arabic Transparent"/>
          <w:sz w:val="28"/>
          <w:szCs w:val="28"/>
          <w:rtl/>
        </w:rPr>
        <w:t>محدود على أسعار الفائدة</w:t>
      </w:r>
      <w:r w:rsidRPr="00B50DCB">
        <w:rPr>
          <w:rFonts w:cs="Arabic Transparent"/>
          <w:sz w:val="28"/>
          <w:szCs w:val="28"/>
        </w:rPr>
        <w:t>.</w:t>
      </w:r>
    </w:p>
    <w:p w:rsidR="00E857E7" w:rsidRPr="00B50DCB" w:rsidRDefault="00B1381E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190500</wp:posOffset>
            </wp:positionV>
            <wp:extent cx="2952750" cy="2252980"/>
            <wp:effectExtent l="19050" t="0" r="0" b="0"/>
            <wp:wrapTight wrapText="bothSides">
              <wp:wrapPolygon edited="0">
                <wp:start x="-139" y="0"/>
                <wp:lineTo x="-139" y="21003"/>
                <wp:lineTo x="21600" y="21003"/>
                <wp:lineTo x="21600" y="0"/>
                <wp:lineTo x="-139" y="0"/>
              </wp:wrapPolygon>
            </wp:wrapTight>
            <wp:docPr id="19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5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استمرار تراجع سوق الأسهم 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lang w:bidi="ar-MA"/>
        </w:rPr>
      </w:pPr>
    </w:p>
    <w:p w:rsidR="00E857E7" w:rsidRDefault="00E857E7" w:rsidP="004A1AA5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 w:rsidRPr="00B50DCB">
        <w:rPr>
          <w:rFonts w:cs="Arabic Transparent"/>
          <w:sz w:val="28"/>
          <w:szCs w:val="28"/>
          <w:rtl/>
          <w:lang w:bidi="ar-MA"/>
        </w:rPr>
        <w:t>واصل سوق الأسهم</w:t>
      </w:r>
      <w:r w:rsidRPr="00B50DCB">
        <w:rPr>
          <w:rFonts w:cs="Arabic Transparent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تراجعه خلال الفصل الثاني 2013، حيث انخفضت معظم أسهم الشركات المدرجة في البورصة، متأثرة </w:t>
      </w:r>
      <w:r w:rsidR="004A1AA5">
        <w:rPr>
          <w:rFonts w:cs="Arabic Transparent" w:hint="cs"/>
          <w:sz w:val="28"/>
          <w:szCs w:val="28"/>
          <w:rtl/>
          <w:lang w:bidi="ar-MA"/>
        </w:rPr>
        <w:t>ب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تباطؤ القطاعات غير الفلاحية وكذلك من </w:t>
      </w:r>
      <w:r w:rsidR="004A1AA5">
        <w:rPr>
          <w:rFonts w:cs="Arabic Transparent" w:hint="cs"/>
          <w:sz w:val="28"/>
          <w:szCs w:val="28"/>
          <w:rtl/>
          <w:lang w:bidi="ar-MA"/>
        </w:rPr>
        <w:t>تقلبات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الظرفية العالمية. وعلى العموم، بلغ انخفاض كل من مؤشري</w:t>
      </w:r>
      <w:r w:rsidRPr="00B50DCB">
        <w:rPr>
          <w:rFonts w:cs="Arabic Transparent"/>
          <w:sz w:val="28"/>
          <w:szCs w:val="28"/>
          <w:lang w:bidi="ar-MA"/>
        </w:rPr>
        <w:t xml:space="preserve">MASI 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و </w:t>
      </w:r>
      <w:r w:rsidRPr="00B50DCB">
        <w:rPr>
          <w:rFonts w:cs="Arabic Transparent"/>
          <w:sz w:val="28"/>
          <w:szCs w:val="28"/>
          <w:lang w:bidi="ar-MA"/>
        </w:rPr>
        <w:t>MADEX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، خلال الفصل الثاني 2013، </w:t>
      </w:r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2,</w:t>
      </w:r>
      <w:r>
        <w:rPr>
          <w:rFonts w:cs="Arabic Transparent"/>
          <w:sz w:val="28"/>
          <w:szCs w:val="28"/>
          <w:rtl/>
          <w:lang w:bidi="ar-MA"/>
        </w:rPr>
        <w:t>6</w:t>
      </w:r>
      <w:r w:rsidRPr="00B50DCB">
        <w:rPr>
          <w:rFonts w:cs="Arabic Transparent" w:hint="cs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و </w:t>
      </w:r>
      <w:r>
        <w:rPr>
          <w:rFonts w:cs="Arabic Transparent"/>
          <w:sz w:val="28"/>
          <w:szCs w:val="28"/>
          <w:rtl/>
          <w:lang w:bidi="ar-MA"/>
        </w:rPr>
        <w:t>1</w:t>
      </w:r>
      <w:r w:rsidRPr="00B50DCB">
        <w:rPr>
          <w:rFonts w:cs="Arabic Transparent"/>
          <w:sz w:val="28"/>
          <w:szCs w:val="28"/>
          <w:rtl/>
          <w:lang w:bidi="ar-MA"/>
        </w:rPr>
        <w:t>3٪، على التوالي حسب التغير ال</w:t>
      </w:r>
      <w:r>
        <w:rPr>
          <w:rFonts w:cs="Arabic Transparent"/>
          <w:sz w:val="28"/>
          <w:szCs w:val="28"/>
          <w:rtl/>
          <w:lang w:bidi="ar-MA"/>
        </w:rPr>
        <w:t>سنوي.</w:t>
      </w:r>
    </w:p>
    <w:p w:rsidR="00E857E7" w:rsidRPr="00B50DCB" w:rsidRDefault="00E857E7" w:rsidP="005249E6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تـحسن </w:t>
      </w:r>
      <w:r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 xml:space="preserve">طفيف </w:t>
      </w:r>
      <w:r w:rsidRPr="00B50DCB">
        <w:rPr>
          <w:rFonts w:cs="Arabic Transparent"/>
          <w:b/>
          <w:bCs/>
          <w:color w:val="800000"/>
          <w:sz w:val="28"/>
          <w:szCs w:val="28"/>
          <w:rtl/>
          <w:lang w:bidi="ar-MA"/>
        </w:rPr>
        <w:t>مرتقب خلال النصف الثاني 2013</w:t>
      </w: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b/>
          <w:bCs/>
          <w:color w:val="800000"/>
          <w:sz w:val="28"/>
          <w:szCs w:val="28"/>
          <w:rtl/>
          <w:lang w:bidi="ar-MA"/>
        </w:rPr>
      </w:pPr>
    </w:p>
    <w:p w:rsidR="00E857E7" w:rsidRPr="00B50DCB" w:rsidRDefault="00E857E7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 w:rsidRPr="00B50DCB">
        <w:rPr>
          <w:rFonts w:cs="Arabic Transparent"/>
          <w:spacing w:val="-2"/>
          <w:sz w:val="28"/>
          <w:szCs w:val="28"/>
          <w:rtl/>
          <w:lang w:bidi="ar-MA"/>
        </w:rPr>
        <w:t>يرتقب أن يحافظ اقتصاد البلدان</w:t>
      </w:r>
      <w:r w:rsidRPr="00B50DCB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pacing w:val="-2"/>
          <w:sz w:val="28"/>
          <w:szCs w:val="28"/>
          <w:rtl/>
          <w:lang w:bidi="ar-MA"/>
        </w:rPr>
        <w:t>المتقدمة على انتعاشه خلال</w:t>
      </w:r>
      <w:r w:rsidRPr="00B50DCB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pacing w:val="-2"/>
          <w:sz w:val="28"/>
          <w:szCs w:val="28"/>
          <w:rtl/>
          <w:lang w:bidi="ar-MA"/>
        </w:rPr>
        <w:t>النصف الثاني 2013، ليحقق نموا يقدر</w:t>
      </w:r>
      <w:r w:rsidRPr="00B50DCB">
        <w:rPr>
          <w:rFonts w:cs="Arabic Transparent"/>
          <w:spacing w:val="-2"/>
          <w:sz w:val="28"/>
          <w:szCs w:val="28"/>
          <w:lang w:bidi="ar-MA"/>
        </w:rPr>
        <w:t xml:space="preserve"> </w:t>
      </w:r>
      <w:r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ب </w:t>
      </w:r>
      <w:r w:rsidRPr="00B50DCB">
        <w:rPr>
          <w:rFonts w:cs="Arabic Transparent"/>
          <w:spacing w:val="-2"/>
          <w:sz w:val="28"/>
          <w:szCs w:val="28"/>
          <w:lang w:bidi="ar-MA"/>
        </w:rPr>
        <w:t>1,6</w:t>
      </w:r>
      <w:r w:rsidRPr="00B50DCB">
        <w:rPr>
          <w:rFonts w:cs="Arabic Transparent" w:hint="cs"/>
          <w:spacing w:val="-2"/>
          <w:sz w:val="28"/>
          <w:szCs w:val="28"/>
          <w:rtl/>
          <w:lang w:bidi="ar-MA"/>
        </w:rPr>
        <w:t>٪</w:t>
      </w:r>
      <w:r w:rsidRPr="00B50DCB">
        <w:rPr>
          <w:rFonts w:cs="Arabic Transparent"/>
          <w:spacing w:val="-2"/>
          <w:sz w:val="28"/>
          <w:szCs w:val="28"/>
          <w:rtl/>
          <w:lang w:bidi="ar-MA"/>
        </w:rPr>
        <w:t>، حسب التغير السنوي</w:t>
      </w:r>
      <w:proofErr w:type="gramStart"/>
      <w:r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. </w:t>
      </w:r>
      <w:proofErr w:type="gramEnd"/>
      <w:r w:rsidRPr="00B50DCB">
        <w:rPr>
          <w:rFonts w:cs="Arabic Transparent"/>
          <w:spacing w:val="-2"/>
          <w:sz w:val="28"/>
          <w:szCs w:val="28"/>
          <w:rtl/>
          <w:lang w:bidi="ar-MA"/>
        </w:rPr>
        <w:t xml:space="preserve">كما ستعرف </w:t>
      </w:r>
      <w:r w:rsidRPr="00B50DCB">
        <w:rPr>
          <w:rFonts w:cs="Arabic Transparent"/>
          <w:sz w:val="28"/>
          <w:szCs w:val="28"/>
          <w:rtl/>
          <w:lang w:bidi="ar-MA"/>
        </w:rPr>
        <w:t>واردات الدول المتقدمة، وخاصة الأوربية، بعض التسارع في وتيرة نموها، مما سيساهم في تطور التجارة العالمية ب 4,1٪ و 4,7٪، خلال الفصلين الثالث والرابع، على التوالي. وموازاة مع هذا التطور، يتوقع أن يتحسن الطلب الخارجي الموجه للمغرب بوتيرة تقدر ب 2</w:t>
      </w:r>
      <w:proofErr w:type="gramStart"/>
      <w:r w:rsidRPr="00B50DCB">
        <w:rPr>
          <w:rFonts w:cs="Arabic Transparent"/>
          <w:sz w:val="28"/>
          <w:szCs w:val="28"/>
          <w:rtl/>
          <w:lang w:bidi="ar-MA"/>
        </w:rPr>
        <w:t>,2</w:t>
      </w:r>
      <w:proofErr w:type="gramEnd"/>
      <w:r w:rsidRPr="00B50DCB">
        <w:rPr>
          <w:rFonts w:cs="Arabic Transparent"/>
          <w:sz w:val="28"/>
          <w:szCs w:val="28"/>
          <w:rtl/>
          <w:lang w:bidi="ar-MA"/>
        </w:rPr>
        <w:t>٪ و 3,4٪، خلال نفس الفترة، حسب التغير السنوي.</w:t>
      </w:r>
    </w:p>
    <w:p w:rsidR="00E857E7" w:rsidRPr="00B50DCB" w:rsidRDefault="00B1381E" w:rsidP="00B50DCB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4445</wp:posOffset>
            </wp:positionV>
            <wp:extent cx="3051810" cy="2119630"/>
            <wp:effectExtent l="19050" t="0" r="0" b="0"/>
            <wp:wrapTight wrapText="bothSides">
              <wp:wrapPolygon edited="0">
                <wp:start x="-135" y="0"/>
                <wp:lineTo x="-135" y="21160"/>
                <wp:lineTo x="21573" y="21160"/>
                <wp:lineTo x="21573" y="0"/>
                <wp:lineTo x="-135" y="0"/>
              </wp:wrapPolygon>
            </wp:wrapTight>
            <wp:docPr id="20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11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7E7" w:rsidRDefault="00E857E7" w:rsidP="004A1AA5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  <w:r w:rsidRPr="00B50DCB">
        <w:rPr>
          <w:rFonts w:cs="Arabic Transparent"/>
          <w:sz w:val="28"/>
          <w:szCs w:val="28"/>
          <w:rtl/>
          <w:lang w:bidi="ar-MA"/>
        </w:rPr>
        <w:t xml:space="preserve">ومع  مواصلة تحسن الظرفية الدولية، يرتقب أن يحقق الاقتصاد الوطني نموا يقدر ب 4,2٪، خلال الفصل الثالث. وباعتبار هذا التطور، </w:t>
      </w:r>
      <w:r w:rsidR="004A1AA5">
        <w:rPr>
          <w:rFonts w:cs="Arabic Transparent" w:hint="cs"/>
          <w:sz w:val="28"/>
          <w:szCs w:val="28"/>
          <w:rtl/>
          <w:lang w:bidi="ar-MA"/>
        </w:rPr>
        <w:t>ينتظر ان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يحقق الاقتصاد الوطني نموا يقدر ب 4,4٪، خلال هذه السنة عوض 2,7٪ السنة ا</w:t>
      </w:r>
      <w:r w:rsidR="004A1AA5">
        <w:rPr>
          <w:rFonts w:cs="Arabic Transparent" w:hint="cs"/>
          <w:sz w:val="28"/>
          <w:szCs w:val="28"/>
          <w:rtl/>
          <w:lang w:bidi="ar-MA"/>
        </w:rPr>
        <w:t>لماضية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، وأن ترتفع القيمة المضافة الفلاحية ب 19,4٪، بعد انخفاضها ب 4,1٪. في المقابل، ستعرف القطاعات غير الفلاحية تباطؤ ملموسا </w:t>
      </w:r>
      <w:r w:rsidR="004A1AA5">
        <w:rPr>
          <w:rFonts w:cs="Arabic Transparent" w:hint="cs"/>
          <w:sz w:val="28"/>
          <w:szCs w:val="28"/>
          <w:rtl/>
          <w:lang w:bidi="ar-MA"/>
        </w:rPr>
        <w:t xml:space="preserve"> حيث سيصل نموها إلى</w:t>
      </w:r>
      <w:r w:rsidRPr="00B50DCB">
        <w:rPr>
          <w:rFonts w:cs="Arabic Transparent"/>
          <w:sz w:val="28"/>
          <w:szCs w:val="28"/>
          <w:rtl/>
          <w:lang w:bidi="ar-MA"/>
        </w:rPr>
        <w:t xml:space="preserve"> 2,1٪ بعد ارتفاع بنسبة 4,3٪ خلال 2012. </w:t>
      </w:r>
    </w:p>
    <w:p w:rsidR="00E857E7" w:rsidRPr="00B50DCB" w:rsidRDefault="00E857E7" w:rsidP="005249E6">
      <w:pPr>
        <w:bidi/>
        <w:spacing w:line="340" w:lineRule="exact"/>
        <w:jc w:val="both"/>
        <w:rPr>
          <w:rFonts w:cs="Arabic Transparent"/>
          <w:sz w:val="28"/>
          <w:szCs w:val="28"/>
          <w:rtl/>
          <w:lang w:bidi="ar-MA"/>
        </w:rPr>
      </w:pPr>
    </w:p>
    <w:sectPr w:rsidR="00E857E7" w:rsidRPr="00B50DCB" w:rsidSect="0034788E">
      <w:footerReference w:type="default" r:id="rId20"/>
      <w:headerReference w:type="first" r:id="rId21"/>
      <w:footerReference w:type="first" r:id="rId22"/>
      <w:type w:val="continuous"/>
      <w:pgSz w:w="11906" w:h="16838" w:code="9"/>
      <w:pgMar w:top="1078" w:right="1191" w:bottom="1258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74" w:rsidRDefault="00E64274">
      <w:r>
        <w:separator/>
      </w:r>
    </w:p>
  </w:endnote>
  <w:endnote w:type="continuationSeparator" w:id="0">
    <w:p w:rsidR="00E64274" w:rsidRDefault="00E6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E7" w:rsidRPr="006D7FA4" w:rsidRDefault="00FE5C2B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E857E7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0F5E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E857E7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E857E7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0F5E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E857E7" w:rsidRDefault="00E857E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E7" w:rsidRDefault="00FE5C2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E857E7" w:rsidRPr="00794363" w:rsidRDefault="00E857E7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E857E7" w:rsidRPr="004463C8" w:rsidRDefault="00E857E7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E857E7" w:rsidRPr="004463C8" w:rsidRDefault="00E857E7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E857E7" w:rsidRPr="004463C8" w:rsidRDefault="00E857E7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E857E7" w:rsidRPr="004463C8" w:rsidRDefault="00E857E7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E857E7" w:rsidRPr="004463C8" w:rsidRDefault="00E857E7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E857E7" w:rsidRPr="004463C8" w:rsidRDefault="00E857E7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74" w:rsidRDefault="00E64274">
      <w:r>
        <w:separator/>
      </w:r>
    </w:p>
  </w:footnote>
  <w:footnote w:type="continuationSeparator" w:id="0">
    <w:p w:rsidR="00E64274" w:rsidRDefault="00E64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E7" w:rsidRDefault="00B1381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87F"/>
    <w:rsid w:val="00002C62"/>
    <w:rsid w:val="00004211"/>
    <w:rsid w:val="00004717"/>
    <w:rsid w:val="00004BF3"/>
    <w:rsid w:val="00004DF7"/>
    <w:rsid w:val="00005227"/>
    <w:rsid w:val="00005284"/>
    <w:rsid w:val="00005C5A"/>
    <w:rsid w:val="00007067"/>
    <w:rsid w:val="0000716A"/>
    <w:rsid w:val="00010734"/>
    <w:rsid w:val="000107AA"/>
    <w:rsid w:val="00011FF9"/>
    <w:rsid w:val="0001261A"/>
    <w:rsid w:val="0001285B"/>
    <w:rsid w:val="0001390E"/>
    <w:rsid w:val="00013A7F"/>
    <w:rsid w:val="00013C22"/>
    <w:rsid w:val="000152BC"/>
    <w:rsid w:val="00015F00"/>
    <w:rsid w:val="000162A4"/>
    <w:rsid w:val="00017736"/>
    <w:rsid w:val="000205FA"/>
    <w:rsid w:val="000208A7"/>
    <w:rsid w:val="00020AB1"/>
    <w:rsid w:val="00020DF0"/>
    <w:rsid w:val="00020E73"/>
    <w:rsid w:val="00021216"/>
    <w:rsid w:val="00022143"/>
    <w:rsid w:val="00024374"/>
    <w:rsid w:val="00024920"/>
    <w:rsid w:val="00024EE5"/>
    <w:rsid w:val="000254C8"/>
    <w:rsid w:val="00025A9E"/>
    <w:rsid w:val="0002653B"/>
    <w:rsid w:val="00027375"/>
    <w:rsid w:val="0002759C"/>
    <w:rsid w:val="00027850"/>
    <w:rsid w:val="0002797D"/>
    <w:rsid w:val="00030187"/>
    <w:rsid w:val="00031D17"/>
    <w:rsid w:val="000324DF"/>
    <w:rsid w:val="00032634"/>
    <w:rsid w:val="00032971"/>
    <w:rsid w:val="00032B65"/>
    <w:rsid w:val="0003435B"/>
    <w:rsid w:val="0003515A"/>
    <w:rsid w:val="00035C54"/>
    <w:rsid w:val="00035D37"/>
    <w:rsid w:val="000363AE"/>
    <w:rsid w:val="00037831"/>
    <w:rsid w:val="00037ADD"/>
    <w:rsid w:val="00040FED"/>
    <w:rsid w:val="0004186E"/>
    <w:rsid w:val="000428B3"/>
    <w:rsid w:val="000435EC"/>
    <w:rsid w:val="00043FD6"/>
    <w:rsid w:val="00044810"/>
    <w:rsid w:val="00044F35"/>
    <w:rsid w:val="000458F5"/>
    <w:rsid w:val="000476CC"/>
    <w:rsid w:val="000479C8"/>
    <w:rsid w:val="00047C0F"/>
    <w:rsid w:val="00050A6E"/>
    <w:rsid w:val="000510D3"/>
    <w:rsid w:val="000511C3"/>
    <w:rsid w:val="00051F0C"/>
    <w:rsid w:val="000527E5"/>
    <w:rsid w:val="00053AFC"/>
    <w:rsid w:val="00054876"/>
    <w:rsid w:val="00054D7E"/>
    <w:rsid w:val="000554EE"/>
    <w:rsid w:val="00057A27"/>
    <w:rsid w:val="00057E2B"/>
    <w:rsid w:val="00060321"/>
    <w:rsid w:val="000613F2"/>
    <w:rsid w:val="000614FE"/>
    <w:rsid w:val="00062049"/>
    <w:rsid w:val="0006258C"/>
    <w:rsid w:val="000625CB"/>
    <w:rsid w:val="000629FD"/>
    <w:rsid w:val="000634F2"/>
    <w:rsid w:val="0006402F"/>
    <w:rsid w:val="000640E8"/>
    <w:rsid w:val="000648A0"/>
    <w:rsid w:val="0006553F"/>
    <w:rsid w:val="00065E14"/>
    <w:rsid w:val="00065F08"/>
    <w:rsid w:val="00070037"/>
    <w:rsid w:val="00070B4D"/>
    <w:rsid w:val="00070CDA"/>
    <w:rsid w:val="00070EDA"/>
    <w:rsid w:val="00072139"/>
    <w:rsid w:val="0007320B"/>
    <w:rsid w:val="00074892"/>
    <w:rsid w:val="000749AD"/>
    <w:rsid w:val="00075585"/>
    <w:rsid w:val="000755A1"/>
    <w:rsid w:val="0007618C"/>
    <w:rsid w:val="000761A4"/>
    <w:rsid w:val="000809B5"/>
    <w:rsid w:val="00081BE5"/>
    <w:rsid w:val="00082B37"/>
    <w:rsid w:val="00083838"/>
    <w:rsid w:val="00084374"/>
    <w:rsid w:val="00085E86"/>
    <w:rsid w:val="00086342"/>
    <w:rsid w:val="00086B87"/>
    <w:rsid w:val="000910D3"/>
    <w:rsid w:val="000918EA"/>
    <w:rsid w:val="000927F4"/>
    <w:rsid w:val="00093251"/>
    <w:rsid w:val="00093D33"/>
    <w:rsid w:val="00093F50"/>
    <w:rsid w:val="00094108"/>
    <w:rsid w:val="000949A8"/>
    <w:rsid w:val="0009553E"/>
    <w:rsid w:val="000956DB"/>
    <w:rsid w:val="000958AC"/>
    <w:rsid w:val="00097122"/>
    <w:rsid w:val="000979B2"/>
    <w:rsid w:val="00097ADD"/>
    <w:rsid w:val="000A130C"/>
    <w:rsid w:val="000A20D6"/>
    <w:rsid w:val="000A28FB"/>
    <w:rsid w:val="000A2C52"/>
    <w:rsid w:val="000A4F34"/>
    <w:rsid w:val="000A4F68"/>
    <w:rsid w:val="000A5A8A"/>
    <w:rsid w:val="000A5FCC"/>
    <w:rsid w:val="000A6308"/>
    <w:rsid w:val="000A64AF"/>
    <w:rsid w:val="000B03F2"/>
    <w:rsid w:val="000B0BEC"/>
    <w:rsid w:val="000B1ED2"/>
    <w:rsid w:val="000B23B7"/>
    <w:rsid w:val="000B2A3E"/>
    <w:rsid w:val="000B5DBC"/>
    <w:rsid w:val="000B7629"/>
    <w:rsid w:val="000B7EFA"/>
    <w:rsid w:val="000C1042"/>
    <w:rsid w:val="000C1058"/>
    <w:rsid w:val="000C1F20"/>
    <w:rsid w:val="000C1FD8"/>
    <w:rsid w:val="000C2F41"/>
    <w:rsid w:val="000C36D3"/>
    <w:rsid w:val="000C532D"/>
    <w:rsid w:val="000C5413"/>
    <w:rsid w:val="000C5453"/>
    <w:rsid w:val="000C5DEF"/>
    <w:rsid w:val="000C5E54"/>
    <w:rsid w:val="000C6DA9"/>
    <w:rsid w:val="000C6ED5"/>
    <w:rsid w:val="000C75F5"/>
    <w:rsid w:val="000C7682"/>
    <w:rsid w:val="000D010D"/>
    <w:rsid w:val="000D0A51"/>
    <w:rsid w:val="000D25AF"/>
    <w:rsid w:val="000D33C9"/>
    <w:rsid w:val="000D44DD"/>
    <w:rsid w:val="000D48C0"/>
    <w:rsid w:val="000D5387"/>
    <w:rsid w:val="000D64C4"/>
    <w:rsid w:val="000D7BAD"/>
    <w:rsid w:val="000E045A"/>
    <w:rsid w:val="000E0703"/>
    <w:rsid w:val="000E1169"/>
    <w:rsid w:val="000E1B6C"/>
    <w:rsid w:val="000E21D3"/>
    <w:rsid w:val="000E2D88"/>
    <w:rsid w:val="000E3587"/>
    <w:rsid w:val="000E451A"/>
    <w:rsid w:val="000E4BF1"/>
    <w:rsid w:val="000E513C"/>
    <w:rsid w:val="000E515E"/>
    <w:rsid w:val="000E529E"/>
    <w:rsid w:val="000E6D2C"/>
    <w:rsid w:val="000E72F6"/>
    <w:rsid w:val="000E7D19"/>
    <w:rsid w:val="000F0E3F"/>
    <w:rsid w:val="000F1BFF"/>
    <w:rsid w:val="000F240C"/>
    <w:rsid w:val="000F2A80"/>
    <w:rsid w:val="000F3398"/>
    <w:rsid w:val="000F4086"/>
    <w:rsid w:val="000F534A"/>
    <w:rsid w:val="000F573A"/>
    <w:rsid w:val="000F5D26"/>
    <w:rsid w:val="000F62CE"/>
    <w:rsid w:val="000F7A15"/>
    <w:rsid w:val="00100AF5"/>
    <w:rsid w:val="00101AE9"/>
    <w:rsid w:val="0010215A"/>
    <w:rsid w:val="00102A78"/>
    <w:rsid w:val="00102FBA"/>
    <w:rsid w:val="001043DE"/>
    <w:rsid w:val="00105316"/>
    <w:rsid w:val="0010595F"/>
    <w:rsid w:val="00105BD6"/>
    <w:rsid w:val="001063C7"/>
    <w:rsid w:val="00107113"/>
    <w:rsid w:val="00107F23"/>
    <w:rsid w:val="00111B08"/>
    <w:rsid w:val="00112925"/>
    <w:rsid w:val="00114C71"/>
    <w:rsid w:val="00116442"/>
    <w:rsid w:val="00116504"/>
    <w:rsid w:val="0011681E"/>
    <w:rsid w:val="00116B4A"/>
    <w:rsid w:val="00120AF1"/>
    <w:rsid w:val="001211F1"/>
    <w:rsid w:val="00121BA7"/>
    <w:rsid w:val="0012239D"/>
    <w:rsid w:val="0012258E"/>
    <w:rsid w:val="0012265F"/>
    <w:rsid w:val="00122A50"/>
    <w:rsid w:val="00122DCD"/>
    <w:rsid w:val="00123513"/>
    <w:rsid w:val="00123D8C"/>
    <w:rsid w:val="001240D6"/>
    <w:rsid w:val="00124757"/>
    <w:rsid w:val="00124D0B"/>
    <w:rsid w:val="0012542C"/>
    <w:rsid w:val="00127ABC"/>
    <w:rsid w:val="00127C2C"/>
    <w:rsid w:val="00127D1A"/>
    <w:rsid w:val="0013247A"/>
    <w:rsid w:val="001328A9"/>
    <w:rsid w:val="00132F48"/>
    <w:rsid w:val="001332BB"/>
    <w:rsid w:val="001336B3"/>
    <w:rsid w:val="001357EE"/>
    <w:rsid w:val="00135DED"/>
    <w:rsid w:val="001367D7"/>
    <w:rsid w:val="00136F03"/>
    <w:rsid w:val="00137652"/>
    <w:rsid w:val="001379C2"/>
    <w:rsid w:val="001410DC"/>
    <w:rsid w:val="00141C45"/>
    <w:rsid w:val="00143247"/>
    <w:rsid w:val="001437B0"/>
    <w:rsid w:val="00143829"/>
    <w:rsid w:val="00143EAD"/>
    <w:rsid w:val="0014419E"/>
    <w:rsid w:val="00144457"/>
    <w:rsid w:val="0014457C"/>
    <w:rsid w:val="00146329"/>
    <w:rsid w:val="00146E65"/>
    <w:rsid w:val="001508C0"/>
    <w:rsid w:val="00150CBB"/>
    <w:rsid w:val="0015141C"/>
    <w:rsid w:val="0015191B"/>
    <w:rsid w:val="00151A6C"/>
    <w:rsid w:val="001528C6"/>
    <w:rsid w:val="00153DC3"/>
    <w:rsid w:val="001544B0"/>
    <w:rsid w:val="001544DD"/>
    <w:rsid w:val="00155095"/>
    <w:rsid w:val="00155A22"/>
    <w:rsid w:val="00155D04"/>
    <w:rsid w:val="00155EBB"/>
    <w:rsid w:val="001570EC"/>
    <w:rsid w:val="001610E6"/>
    <w:rsid w:val="0016119B"/>
    <w:rsid w:val="0016169C"/>
    <w:rsid w:val="00162D86"/>
    <w:rsid w:val="001630F0"/>
    <w:rsid w:val="0016363C"/>
    <w:rsid w:val="001640AC"/>
    <w:rsid w:val="001644AF"/>
    <w:rsid w:val="0016555B"/>
    <w:rsid w:val="00165B11"/>
    <w:rsid w:val="0016650C"/>
    <w:rsid w:val="001701CD"/>
    <w:rsid w:val="001713B0"/>
    <w:rsid w:val="00173597"/>
    <w:rsid w:val="00173DF2"/>
    <w:rsid w:val="00174719"/>
    <w:rsid w:val="00176A88"/>
    <w:rsid w:val="00176CC0"/>
    <w:rsid w:val="00176FE1"/>
    <w:rsid w:val="00177EC0"/>
    <w:rsid w:val="00181848"/>
    <w:rsid w:val="00181DF9"/>
    <w:rsid w:val="001822E8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FC"/>
    <w:rsid w:val="00186BFC"/>
    <w:rsid w:val="0018714C"/>
    <w:rsid w:val="00187801"/>
    <w:rsid w:val="001905C5"/>
    <w:rsid w:val="001926DC"/>
    <w:rsid w:val="00192AB3"/>
    <w:rsid w:val="0019358F"/>
    <w:rsid w:val="00193C6D"/>
    <w:rsid w:val="001941B9"/>
    <w:rsid w:val="00197D98"/>
    <w:rsid w:val="001A1560"/>
    <w:rsid w:val="001A16E3"/>
    <w:rsid w:val="001A1A9C"/>
    <w:rsid w:val="001A1ECC"/>
    <w:rsid w:val="001A281C"/>
    <w:rsid w:val="001A2C5A"/>
    <w:rsid w:val="001A6239"/>
    <w:rsid w:val="001A6651"/>
    <w:rsid w:val="001A6D19"/>
    <w:rsid w:val="001A7093"/>
    <w:rsid w:val="001A753E"/>
    <w:rsid w:val="001B0A6D"/>
    <w:rsid w:val="001B3257"/>
    <w:rsid w:val="001B3266"/>
    <w:rsid w:val="001B3B4F"/>
    <w:rsid w:val="001B3C1A"/>
    <w:rsid w:val="001B402F"/>
    <w:rsid w:val="001B4330"/>
    <w:rsid w:val="001B4C9B"/>
    <w:rsid w:val="001B65AB"/>
    <w:rsid w:val="001B6C37"/>
    <w:rsid w:val="001C043F"/>
    <w:rsid w:val="001C11DD"/>
    <w:rsid w:val="001C1EEA"/>
    <w:rsid w:val="001C26B7"/>
    <w:rsid w:val="001C295D"/>
    <w:rsid w:val="001C2A3D"/>
    <w:rsid w:val="001C3920"/>
    <w:rsid w:val="001C41AF"/>
    <w:rsid w:val="001C4B94"/>
    <w:rsid w:val="001C4BE1"/>
    <w:rsid w:val="001C6033"/>
    <w:rsid w:val="001C6191"/>
    <w:rsid w:val="001C68B4"/>
    <w:rsid w:val="001C712E"/>
    <w:rsid w:val="001D06E9"/>
    <w:rsid w:val="001D07F7"/>
    <w:rsid w:val="001D1203"/>
    <w:rsid w:val="001D1ACA"/>
    <w:rsid w:val="001D1EA8"/>
    <w:rsid w:val="001D24ED"/>
    <w:rsid w:val="001D2CE6"/>
    <w:rsid w:val="001D332B"/>
    <w:rsid w:val="001D34E6"/>
    <w:rsid w:val="001D47F5"/>
    <w:rsid w:val="001D4CE8"/>
    <w:rsid w:val="001D57AD"/>
    <w:rsid w:val="001D57E1"/>
    <w:rsid w:val="001D5DDF"/>
    <w:rsid w:val="001D6404"/>
    <w:rsid w:val="001D6BA6"/>
    <w:rsid w:val="001D6CA2"/>
    <w:rsid w:val="001D6DA1"/>
    <w:rsid w:val="001E05D5"/>
    <w:rsid w:val="001E072F"/>
    <w:rsid w:val="001E2067"/>
    <w:rsid w:val="001E25E2"/>
    <w:rsid w:val="001E3D95"/>
    <w:rsid w:val="001E3EB2"/>
    <w:rsid w:val="001E3F5E"/>
    <w:rsid w:val="001E6295"/>
    <w:rsid w:val="001E7086"/>
    <w:rsid w:val="001E7C47"/>
    <w:rsid w:val="001E7C55"/>
    <w:rsid w:val="001E7FD1"/>
    <w:rsid w:val="001F007B"/>
    <w:rsid w:val="001F0F77"/>
    <w:rsid w:val="001F1343"/>
    <w:rsid w:val="001F1E84"/>
    <w:rsid w:val="001F248F"/>
    <w:rsid w:val="001F2C75"/>
    <w:rsid w:val="001F38B2"/>
    <w:rsid w:val="001F456A"/>
    <w:rsid w:val="001F4836"/>
    <w:rsid w:val="001F4BC3"/>
    <w:rsid w:val="001F4F60"/>
    <w:rsid w:val="001F525E"/>
    <w:rsid w:val="001F5632"/>
    <w:rsid w:val="001F601E"/>
    <w:rsid w:val="001F691A"/>
    <w:rsid w:val="001F6B5D"/>
    <w:rsid w:val="001F7EAC"/>
    <w:rsid w:val="002012C6"/>
    <w:rsid w:val="0020284D"/>
    <w:rsid w:val="00202BB8"/>
    <w:rsid w:val="00203074"/>
    <w:rsid w:val="00203464"/>
    <w:rsid w:val="0020357C"/>
    <w:rsid w:val="0020447D"/>
    <w:rsid w:val="0020567A"/>
    <w:rsid w:val="00205A6A"/>
    <w:rsid w:val="00206659"/>
    <w:rsid w:val="002066C8"/>
    <w:rsid w:val="00206798"/>
    <w:rsid w:val="002104EC"/>
    <w:rsid w:val="002131FB"/>
    <w:rsid w:val="00214451"/>
    <w:rsid w:val="00214623"/>
    <w:rsid w:val="0021488E"/>
    <w:rsid w:val="00214DAC"/>
    <w:rsid w:val="00215214"/>
    <w:rsid w:val="00215524"/>
    <w:rsid w:val="0021573D"/>
    <w:rsid w:val="00216AB5"/>
    <w:rsid w:val="00217350"/>
    <w:rsid w:val="0022098A"/>
    <w:rsid w:val="00220DF6"/>
    <w:rsid w:val="0022181B"/>
    <w:rsid w:val="00222280"/>
    <w:rsid w:val="0022299E"/>
    <w:rsid w:val="00222A5E"/>
    <w:rsid w:val="00222BD7"/>
    <w:rsid w:val="0022454D"/>
    <w:rsid w:val="002279E1"/>
    <w:rsid w:val="0023043F"/>
    <w:rsid w:val="0023115F"/>
    <w:rsid w:val="00231529"/>
    <w:rsid w:val="00231929"/>
    <w:rsid w:val="00231A11"/>
    <w:rsid w:val="00231D64"/>
    <w:rsid w:val="002320C3"/>
    <w:rsid w:val="0023298C"/>
    <w:rsid w:val="00232D0F"/>
    <w:rsid w:val="0023416A"/>
    <w:rsid w:val="002343AB"/>
    <w:rsid w:val="00234733"/>
    <w:rsid w:val="00234CA9"/>
    <w:rsid w:val="00236731"/>
    <w:rsid w:val="00240B91"/>
    <w:rsid w:val="00241E8D"/>
    <w:rsid w:val="00242772"/>
    <w:rsid w:val="00242C76"/>
    <w:rsid w:val="00242CBE"/>
    <w:rsid w:val="002443AA"/>
    <w:rsid w:val="00244958"/>
    <w:rsid w:val="0024586A"/>
    <w:rsid w:val="00245B15"/>
    <w:rsid w:val="00245EEB"/>
    <w:rsid w:val="00247B5B"/>
    <w:rsid w:val="00247EC0"/>
    <w:rsid w:val="00250841"/>
    <w:rsid w:val="002510F8"/>
    <w:rsid w:val="00251682"/>
    <w:rsid w:val="00251E44"/>
    <w:rsid w:val="00252DE2"/>
    <w:rsid w:val="002534F0"/>
    <w:rsid w:val="002536DF"/>
    <w:rsid w:val="00254416"/>
    <w:rsid w:val="00254727"/>
    <w:rsid w:val="00254D5E"/>
    <w:rsid w:val="00254E71"/>
    <w:rsid w:val="00256291"/>
    <w:rsid w:val="002603C8"/>
    <w:rsid w:val="00260E2C"/>
    <w:rsid w:val="00262086"/>
    <w:rsid w:val="002622E1"/>
    <w:rsid w:val="0026257E"/>
    <w:rsid w:val="00262AA7"/>
    <w:rsid w:val="00262F45"/>
    <w:rsid w:val="002630AF"/>
    <w:rsid w:val="00263C89"/>
    <w:rsid w:val="00264D30"/>
    <w:rsid w:val="00265882"/>
    <w:rsid w:val="0027008C"/>
    <w:rsid w:val="002706CD"/>
    <w:rsid w:val="00270CE1"/>
    <w:rsid w:val="00270F51"/>
    <w:rsid w:val="00271922"/>
    <w:rsid w:val="00271D24"/>
    <w:rsid w:val="00273325"/>
    <w:rsid w:val="00273947"/>
    <w:rsid w:val="00273974"/>
    <w:rsid w:val="00273A82"/>
    <w:rsid w:val="00274324"/>
    <w:rsid w:val="002745ED"/>
    <w:rsid w:val="002755FB"/>
    <w:rsid w:val="00275C91"/>
    <w:rsid w:val="00276FEA"/>
    <w:rsid w:val="00280779"/>
    <w:rsid w:val="00280992"/>
    <w:rsid w:val="00280BED"/>
    <w:rsid w:val="00281172"/>
    <w:rsid w:val="00281D6A"/>
    <w:rsid w:val="002828A8"/>
    <w:rsid w:val="00282B08"/>
    <w:rsid w:val="00284E7E"/>
    <w:rsid w:val="0028505E"/>
    <w:rsid w:val="0028585A"/>
    <w:rsid w:val="002863E1"/>
    <w:rsid w:val="00286BC3"/>
    <w:rsid w:val="00286F23"/>
    <w:rsid w:val="0028790C"/>
    <w:rsid w:val="00287CA4"/>
    <w:rsid w:val="00290AF7"/>
    <w:rsid w:val="00291661"/>
    <w:rsid w:val="00291C75"/>
    <w:rsid w:val="00291D5A"/>
    <w:rsid w:val="00292610"/>
    <w:rsid w:val="00292E3C"/>
    <w:rsid w:val="00293EA5"/>
    <w:rsid w:val="00294D1F"/>
    <w:rsid w:val="00296625"/>
    <w:rsid w:val="00296BAB"/>
    <w:rsid w:val="00296D9D"/>
    <w:rsid w:val="0029711F"/>
    <w:rsid w:val="00297442"/>
    <w:rsid w:val="00297B4E"/>
    <w:rsid w:val="002A005D"/>
    <w:rsid w:val="002A0A33"/>
    <w:rsid w:val="002A1162"/>
    <w:rsid w:val="002A1456"/>
    <w:rsid w:val="002A281B"/>
    <w:rsid w:val="002A297C"/>
    <w:rsid w:val="002A2FC8"/>
    <w:rsid w:val="002A3051"/>
    <w:rsid w:val="002A3785"/>
    <w:rsid w:val="002A4784"/>
    <w:rsid w:val="002A58C9"/>
    <w:rsid w:val="002A5A7C"/>
    <w:rsid w:val="002A688F"/>
    <w:rsid w:val="002A6E1C"/>
    <w:rsid w:val="002B0ADE"/>
    <w:rsid w:val="002B13A4"/>
    <w:rsid w:val="002B1A12"/>
    <w:rsid w:val="002B1F7E"/>
    <w:rsid w:val="002B21B4"/>
    <w:rsid w:val="002B4610"/>
    <w:rsid w:val="002B58F5"/>
    <w:rsid w:val="002B6169"/>
    <w:rsid w:val="002B6438"/>
    <w:rsid w:val="002B6C8A"/>
    <w:rsid w:val="002C02CC"/>
    <w:rsid w:val="002C0E62"/>
    <w:rsid w:val="002C1441"/>
    <w:rsid w:val="002C1470"/>
    <w:rsid w:val="002C1552"/>
    <w:rsid w:val="002C19F8"/>
    <w:rsid w:val="002C1A8C"/>
    <w:rsid w:val="002C1B8D"/>
    <w:rsid w:val="002C1D10"/>
    <w:rsid w:val="002C2097"/>
    <w:rsid w:val="002C27A8"/>
    <w:rsid w:val="002C4343"/>
    <w:rsid w:val="002C5724"/>
    <w:rsid w:val="002C6A79"/>
    <w:rsid w:val="002C6FFE"/>
    <w:rsid w:val="002C72B3"/>
    <w:rsid w:val="002C7447"/>
    <w:rsid w:val="002C765E"/>
    <w:rsid w:val="002C78DD"/>
    <w:rsid w:val="002D01D8"/>
    <w:rsid w:val="002D022C"/>
    <w:rsid w:val="002D0E2C"/>
    <w:rsid w:val="002D1AA2"/>
    <w:rsid w:val="002D2329"/>
    <w:rsid w:val="002D3688"/>
    <w:rsid w:val="002D3BD2"/>
    <w:rsid w:val="002D3FFF"/>
    <w:rsid w:val="002D40AA"/>
    <w:rsid w:val="002D42E5"/>
    <w:rsid w:val="002D49EF"/>
    <w:rsid w:val="002D4C9A"/>
    <w:rsid w:val="002D70BF"/>
    <w:rsid w:val="002D7465"/>
    <w:rsid w:val="002D7DBB"/>
    <w:rsid w:val="002E0F3D"/>
    <w:rsid w:val="002E11B6"/>
    <w:rsid w:val="002E28D5"/>
    <w:rsid w:val="002E2C22"/>
    <w:rsid w:val="002E2DC4"/>
    <w:rsid w:val="002E38E3"/>
    <w:rsid w:val="002E4B19"/>
    <w:rsid w:val="002E5508"/>
    <w:rsid w:val="002E5E9B"/>
    <w:rsid w:val="002E5ED1"/>
    <w:rsid w:val="002E6C5D"/>
    <w:rsid w:val="002E6EAE"/>
    <w:rsid w:val="002E731F"/>
    <w:rsid w:val="002E7940"/>
    <w:rsid w:val="002E7B2F"/>
    <w:rsid w:val="002F0E4E"/>
    <w:rsid w:val="002F1683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55DC"/>
    <w:rsid w:val="002F7936"/>
    <w:rsid w:val="003003BF"/>
    <w:rsid w:val="00300BD8"/>
    <w:rsid w:val="00300F5E"/>
    <w:rsid w:val="0030252C"/>
    <w:rsid w:val="003025CB"/>
    <w:rsid w:val="00303524"/>
    <w:rsid w:val="00304716"/>
    <w:rsid w:val="00304DAE"/>
    <w:rsid w:val="00305270"/>
    <w:rsid w:val="00305F44"/>
    <w:rsid w:val="0030605C"/>
    <w:rsid w:val="00306A90"/>
    <w:rsid w:val="00307312"/>
    <w:rsid w:val="00310219"/>
    <w:rsid w:val="003112B9"/>
    <w:rsid w:val="0031158A"/>
    <w:rsid w:val="003121A0"/>
    <w:rsid w:val="003139FC"/>
    <w:rsid w:val="00314191"/>
    <w:rsid w:val="0031509E"/>
    <w:rsid w:val="0031512D"/>
    <w:rsid w:val="003153D8"/>
    <w:rsid w:val="0031735D"/>
    <w:rsid w:val="00320170"/>
    <w:rsid w:val="00320186"/>
    <w:rsid w:val="003202E3"/>
    <w:rsid w:val="00320E76"/>
    <w:rsid w:val="00321335"/>
    <w:rsid w:val="00321E3E"/>
    <w:rsid w:val="0032246E"/>
    <w:rsid w:val="003236D8"/>
    <w:rsid w:val="00325682"/>
    <w:rsid w:val="00325DB8"/>
    <w:rsid w:val="00326824"/>
    <w:rsid w:val="0032748D"/>
    <w:rsid w:val="00327972"/>
    <w:rsid w:val="00327FD3"/>
    <w:rsid w:val="0033059E"/>
    <w:rsid w:val="003316EB"/>
    <w:rsid w:val="00333F55"/>
    <w:rsid w:val="00333F82"/>
    <w:rsid w:val="003343E3"/>
    <w:rsid w:val="003347C0"/>
    <w:rsid w:val="00335C37"/>
    <w:rsid w:val="00337204"/>
    <w:rsid w:val="0033724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6F33"/>
    <w:rsid w:val="0034752B"/>
    <w:rsid w:val="0034756A"/>
    <w:rsid w:val="00347741"/>
    <w:rsid w:val="0034788E"/>
    <w:rsid w:val="00350AA3"/>
    <w:rsid w:val="0035145C"/>
    <w:rsid w:val="00351D4C"/>
    <w:rsid w:val="0035414F"/>
    <w:rsid w:val="00354F60"/>
    <w:rsid w:val="003557D2"/>
    <w:rsid w:val="003607CF"/>
    <w:rsid w:val="00360A5B"/>
    <w:rsid w:val="00360F52"/>
    <w:rsid w:val="00361369"/>
    <w:rsid w:val="00361F5C"/>
    <w:rsid w:val="00361FA7"/>
    <w:rsid w:val="00362963"/>
    <w:rsid w:val="00363055"/>
    <w:rsid w:val="003659EF"/>
    <w:rsid w:val="00366862"/>
    <w:rsid w:val="00366AAF"/>
    <w:rsid w:val="00366ADB"/>
    <w:rsid w:val="00367001"/>
    <w:rsid w:val="003671BE"/>
    <w:rsid w:val="003671C3"/>
    <w:rsid w:val="003705ED"/>
    <w:rsid w:val="00371A95"/>
    <w:rsid w:val="003722AB"/>
    <w:rsid w:val="00372653"/>
    <w:rsid w:val="00372670"/>
    <w:rsid w:val="0037290A"/>
    <w:rsid w:val="00372ADB"/>
    <w:rsid w:val="0037363A"/>
    <w:rsid w:val="0037403F"/>
    <w:rsid w:val="00374868"/>
    <w:rsid w:val="00374B06"/>
    <w:rsid w:val="00375D77"/>
    <w:rsid w:val="00375E7F"/>
    <w:rsid w:val="00376C2C"/>
    <w:rsid w:val="00376C4A"/>
    <w:rsid w:val="00376F13"/>
    <w:rsid w:val="0037778E"/>
    <w:rsid w:val="00377B3F"/>
    <w:rsid w:val="003805F1"/>
    <w:rsid w:val="0038276F"/>
    <w:rsid w:val="003829DB"/>
    <w:rsid w:val="00382D64"/>
    <w:rsid w:val="00383554"/>
    <w:rsid w:val="00383B16"/>
    <w:rsid w:val="00385013"/>
    <w:rsid w:val="00385621"/>
    <w:rsid w:val="00386431"/>
    <w:rsid w:val="00387620"/>
    <w:rsid w:val="00387C65"/>
    <w:rsid w:val="0039063A"/>
    <w:rsid w:val="0039128A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4E3"/>
    <w:rsid w:val="00395B9D"/>
    <w:rsid w:val="00395BE0"/>
    <w:rsid w:val="003966FD"/>
    <w:rsid w:val="003A025D"/>
    <w:rsid w:val="003A0B3D"/>
    <w:rsid w:val="003A14B5"/>
    <w:rsid w:val="003A1BFD"/>
    <w:rsid w:val="003A1CAD"/>
    <w:rsid w:val="003A218A"/>
    <w:rsid w:val="003A22C2"/>
    <w:rsid w:val="003A2DB0"/>
    <w:rsid w:val="003A4724"/>
    <w:rsid w:val="003A52E6"/>
    <w:rsid w:val="003A5353"/>
    <w:rsid w:val="003A536B"/>
    <w:rsid w:val="003A5CB2"/>
    <w:rsid w:val="003A6015"/>
    <w:rsid w:val="003A7359"/>
    <w:rsid w:val="003A7631"/>
    <w:rsid w:val="003B031A"/>
    <w:rsid w:val="003B07AB"/>
    <w:rsid w:val="003B1AE8"/>
    <w:rsid w:val="003B2949"/>
    <w:rsid w:val="003B2E60"/>
    <w:rsid w:val="003B306E"/>
    <w:rsid w:val="003B338E"/>
    <w:rsid w:val="003B38DC"/>
    <w:rsid w:val="003B4238"/>
    <w:rsid w:val="003B4301"/>
    <w:rsid w:val="003B686D"/>
    <w:rsid w:val="003B6B5F"/>
    <w:rsid w:val="003B6B6B"/>
    <w:rsid w:val="003B7C9A"/>
    <w:rsid w:val="003C05FE"/>
    <w:rsid w:val="003C0D84"/>
    <w:rsid w:val="003C1E36"/>
    <w:rsid w:val="003C1EAD"/>
    <w:rsid w:val="003C357A"/>
    <w:rsid w:val="003C441F"/>
    <w:rsid w:val="003C4961"/>
    <w:rsid w:val="003C4ADA"/>
    <w:rsid w:val="003C4B55"/>
    <w:rsid w:val="003C4CA9"/>
    <w:rsid w:val="003C50F9"/>
    <w:rsid w:val="003C5AEA"/>
    <w:rsid w:val="003C6087"/>
    <w:rsid w:val="003C6743"/>
    <w:rsid w:val="003C683F"/>
    <w:rsid w:val="003C7AA0"/>
    <w:rsid w:val="003C7CB1"/>
    <w:rsid w:val="003D0030"/>
    <w:rsid w:val="003D0C1B"/>
    <w:rsid w:val="003D1363"/>
    <w:rsid w:val="003D245A"/>
    <w:rsid w:val="003D2B96"/>
    <w:rsid w:val="003D310A"/>
    <w:rsid w:val="003D41D8"/>
    <w:rsid w:val="003D47ED"/>
    <w:rsid w:val="003D561F"/>
    <w:rsid w:val="003D5725"/>
    <w:rsid w:val="003D5774"/>
    <w:rsid w:val="003D5B8E"/>
    <w:rsid w:val="003D5BFE"/>
    <w:rsid w:val="003D6495"/>
    <w:rsid w:val="003D68D2"/>
    <w:rsid w:val="003D71CF"/>
    <w:rsid w:val="003D7B7D"/>
    <w:rsid w:val="003E0DA8"/>
    <w:rsid w:val="003E560B"/>
    <w:rsid w:val="003E56FE"/>
    <w:rsid w:val="003E5B05"/>
    <w:rsid w:val="003E5DDB"/>
    <w:rsid w:val="003E60A2"/>
    <w:rsid w:val="003E6BCD"/>
    <w:rsid w:val="003E7408"/>
    <w:rsid w:val="003E7459"/>
    <w:rsid w:val="003F07AF"/>
    <w:rsid w:val="003F1643"/>
    <w:rsid w:val="003F282B"/>
    <w:rsid w:val="003F28EA"/>
    <w:rsid w:val="003F2B28"/>
    <w:rsid w:val="003F34EE"/>
    <w:rsid w:val="003F59CC"/>
    <w:rsid w:val="003F5EA0"/>
    <w:rsid w:val="003F6139"/>
    <w:rsid w:val="003F645F"/>
    <w:rsid w:val="003F652D"/>
    <w:rsid w:val="003F6676"/>
    <w:rsid w:val="003F708D"/>
    <w:rsid w:val="003F7EDC"/>
    <w:rsid w:val="00400225"/>
    <w:rsid w:val="004008E9"/>
    <w:rsid w:val="004012E5"/>
    <w:rsid w:val="00402646"/>
    <w:rsid w:val="00402697"/>
    <w:rsid w:val="00402E56"/>
    <w:rsid w:val="00402FA4"/>
    <w:rsid w:val="00403A20"/>
    <w:rsid w:val="004043AD"/>
    <w:rsid w:val="00404557"/>
    <w:rsid w:val="004050E3"/>
    <w:rsid w:val="00405597"/>
    <w:rsid w:val="004056C9"/>
    <w:rsid w:val="00405C6D"/>
    <w:rsid w:val="00405F51"/>
    <w:rsid w:val="004061BA"/>
    <w:rsid w:val="0040794B"/>
    <w:rsid w:val="004112F3"/>
    <w:rsid w:val="00412B72"/>
    <w:rsid w:val="00413B3D"/>
    <w:rsid w:val="00413B7E"/>
    <w:rsid w:val="004146D0"/>
    <w:rsid w:val="00415EAB"/>
    <w:rsid w:val="0041604E"/>
    <w:rsid w:val="00416C42"/>
    <w:rsid w:val="00421581"/>
    <w:rsid w:val="0042278E"/>
    <w:rsid w:val="0042305F"/>
    <w:rsid w:val="00423E96"/>
    <w:rsid w:val="00424B4C"/>
    <w:rsid w:val="00426683"/>
    <w:rsid w:val="00426DCC"/>
    <w:rsid w:val="00426EFD"/>
    <w:rsid w:val="00427072"/>
    <w:rsid w:val="004270DC"/>
    <w:rsid w:val="004275D6"/>
    <w:rsid w:val="004311D9"/>
    <w:rsid w:val="00432165"/>
    <w:rsid w:val="00433C53"/>
    <w:rsid w:val="004341BB"/>
    <w:rsid w:val="004349CB"/>
    <w:rsid w:val="00434AF1"/>
    <w:rsid w:val="00434B6F"/>
    <w:rsid w:val="00435000"/>
    <w:rsid w:val="00435D48"/>
    <w:rsid w:val="00435F75"/>
    <w:rsid w:val="00436D57"/>
    <w:rsid w:val="00440074"/>
    <w:rsid w:val="00440363"/>
    <w:rsid w:val="00440C6D"/>
    <w:rsid w:val="00440F3B"/>
    <w:rsid w:val="00441561"/>
    <w:rsid w:val="004422E1"/>
    <w:rsid w:val="004450A4"/>
    <w:rsid w:val="00445512"/>
    <w:rsid w:val="00445846"/>
    <w:rsid w:val="004463C8"/>
    <w:rsid w:val="00446A5A"/>
    <w:rsid w:val="00446DB7"/>
    <w:rsid w:val="00446E7B"/>
    <w:rsid w:val="004473B3"/>
    <w:rsid w:val="00447C4B"/>
    <w:rsid w:val="00447FBC"/>
    <w:rsid w:val="004507F0"/>
    <w:rsid w:val="00451282"/>
    <w:rsid w:val="00451486"/>
    <w:rsid w:val="00452851"/>
    <w:rsid w:val="004536BD"/>
    <w:rsid w:val="00453A2A"/>
    <w:rsid w:val="00454368"/>
    <w:rsid w:val="00454699"/>
    <w:rsid w:val="00455132"/>
    <w:rsid w:val="00455EF1"/>
    <w:rsid w:val="0045720C"/>
    <w:rsid w:val="004572C8"/>
    <w:rsid w:val="004602D7"/>
    <w:rsid w:val="00462134"/>
    <w:rsid w:val="0046249F"/>
    <w:rsid w:val="00462779"/>
    <w:rsid w:val="004640BC"/>
    <w:rsid w:val="00464A20"/>
    <w:rsid w:val="00465B1F"/>
    <w:rsid w:val="0046781E"/>
    <w:rsid w:val="00470916"/>
    <w:rsid w:val="004720CF"/>
    <w:rsid w:val="00472E52"/>
    <w:rsid w:val="00473067"/>
    <w:rsid w:val="00473196"/>
    <w:rsid w:val="004741B5"/>
    <w:rsid w:val="00474699"/>
    <w:rsid w:val="00474A1C"/>
    <w:rsid w:val="00475C95"/>
    <w:rsid w:val="00475FAB"/>
    <w:rsid w:val="00475FBC"/>
    <w:rsid w:val="004768A4"/>
    <w:rsid w:val="00477382"/>
    <w:rsid w:val="00477500"/>
    <w:rsid w:val="00477E21"/>
    <w:rsid w:val="0048021E"/>
    <w:rsid w:val="00481E24"/>
    <w:rsid w:val="00482630"/>
    <w:rsid w:val="004826FB"/>
    <w:rsid w:val="004837D7"/>
    <w:rsid w:val="0048389E"/>
    <w:rsid w:val="0048398E"/>
    <w:rsid w:val="00483ECD"/>
    <w:rsid w:val="00484074"/>
    <w:rsid w:val="004849BA"/>
    <w:rsid w:val="00484E8D"/>
    <w:rsid w:val="00485C00"/>
    <w:rsid w:val="0048775F"/>
    <w:rsid w:val="00487762"/>
    <w:rsid w:val="00487E87"/>
    <w:rsid w:val="00491CEB"/>
    <w:rsid w:val="004923A8"/>
    <w:rsid w:val="00492484"/>
    <w:rsid w:val="004934BF"/>
    <w:rsid w:val="004943FB"/>
    <w:rsid w:val="0049474D"/>
    <w:rsid w:val="004958F9"/>
    <w:rsid w:val="00496E32"/>
    <w:rsid w:val="00497589"/>
    <w:rsid w:val="004A01BA"/>
    <w:rsid w:val="004A0A1E"/>
    <w:rsid w:val="004A0EDC"/>
    <w:rsid w:val="004A10BC"/>
    <w:rsid w:val="004A1173"/>
    <w:rsid w:val="004A1AA5"/>
    <w:rsid w:val="004A1EDB"/>
    <w:rsid w:val="004A225B"/>
    <w:rsid w:val="004A25DE"/>
    <w:rsid w:val="004A351D"/>
    <w:rsid w:val="004A3C74"/>
    <w:rsid w:val="004A517E"/>
    <w:rsid w:val="004A5849"/>
    <w:rsid w:val="004A66FA"/>
    <w:rsid w:val="004A73C5"/>
    <w:rsid w:val="004A7587"/>
    <w:rsid w:val="004A7AC0"/>
    <w:rsid w:val="004B01C3"/>
    <w:rsid w:val="004B2016"/>
    <w:rsid w:val="004B2D09"/>
    <w:rsid w:val="004B3780"/>
    <w:rsid w:val="004B3B09"/>
    <w:rsid w:val="004B42B1"/>
    <w:rsid w:val="004B4D2F"/>
    <w:rsid w:val="004B6126"/>
    <w:rsid w:val="004B63B1"/>
    <w:rsid w:val="004B66EA"/>
    <w:rsid w:val="004B68A8"/>
    <w:rsid w:val="004B7E10"/>
    <w:rsid w:val="004C05FA"/>
    <w:rsid w:val="004C22FD"/>
    <w:rsid w:val="004C3803"/>
    <w:rsid w:val="004C3D1D"/>
    <w:rsid w:val="004C3D3F"/>
    <w:rsid w:val="004C43FD"/>
    <w:rsid w:val="004C565B"/>
    <w:rsid w:val="004C6119"/>
    <w:rsid w:val="004C6B2F"/>
    <w:rsid w:val="004C6D1B"/>
    <w:rsid w:val="004C7D01"/>
    <w:rsid w:val="004D0391"/>
    <w:rsid w:val="004D0FA6"/>
    <w:rsid w:val="004D11CC"/>
    <w:rsid w:val="004D1B5B"/>
    <w:rsid w:val="004D2FB4"/>
    <w:rsid w:val="004D3D7A"/>
    <w:rsid w:val="004D3F6A"/>
    <w:rsid w:val="004D42DE"/>
    <w:rsid w:val="004D4664"/>
    <w:rsid w:val="004D4B3F"/>
    <w:rsid w:val="004D5455"/>
    <w:rsid w:val="004D60E7"/>
    <w:rsid w:val="004D6F99"/>
    <w:rsid w:val="004E0ACA"/>
    <w:rsid w:val="004E1502"/>
    <w:rsid w:val="004E17D7"/>
    <w:rsid w:val="004E1E4F"/>
    <w:rsid w:val="004E2BBE"/>
    <w:rsid w:val="004E3029"/>
    <w:rsid w:val="004E30DD"/>
    <w:rsid w:val="004E3553"/>
    <w:rsid w:val="004E36E2"/>
    <w:rsid w:val="004E41BB"/>
    <w:rsid w:val="004E4250"/>
    <w:rsid w:val="004E5392"/>
    <w:rsid w:val="004E59AD"/>
    <w:rsid w:val="004E67F8"/>
    <w:rsid w:val="004E72B6"/>
    <w:rsid w:val="004E733B"/>
    <w:rsid w:val="004E7DED"/>
    <w:rsid w:val="004F2037"/>
    <w:rsid w:val="004F267E"/>
    <w:rsid w:val="004F3A8B"/>
    <w:rsid w:val="004F4892"/>
    <w:rsid w:val="004F5094"/>
    <w:rsid w:val="004F57F8"/>
    <w:rsid w:val="004F6ABC"/>
    <w:rsid w:val="004F6F50"/>
    <w:rsid w:val="004F7A94"/>
    <w:rsid w:val="004F7B00"/>
    <w:rsid w:val="004F7D16"/>
    <w:rsid w:val="004F7F50"/>
    <w:rsid w:val="00501120"/>
    <w:rsid w:val="005011AC"/>
    <w:rsid w:val="005017E0"/>
    <w:rsid w:val="00503E07"/>
    <w:rsid w:val="00504C5A"/>
    <w:rsid w:val="00504FDC"/>
    <w:rsid w:val="005052E3"/>
    <w:rsid w:val="00505FE6"/>
    <w:rsid w:val="00506764"/>
    <w:rsid w:val="00510651"/>
    <w:rsid w:val="00510887"/>
    <w:rsid w:val="00510F46"/>
    <w:rsid w:val="00510FF7"/>
    <w:rsid w:val="00512079"/>
    <w:rsid w:val="005126CC"/>
    <w:rsid w:val="00512BB2"/>
    <w:rsid w:val="005137E2"/>
    <w:rsid w:val="00513B86"/>
    <w:rsid w:val="0051447D"/>
    <w:rsid w:val="005144C2"/>
    <w:rsid w:val="00514B5B"/>
    <w:rsid w:val="005178FE"/>
    <w:rsid w:val="00520555"/>
    <w:rsid w:val="0052076F"/>
    <w:rsid w:val="0052127C"/>
    <w:rsid w:val="005212D5"/>
    <w:rsid w:val="0052176D"/>
    <w:rsid w:val="00521ACB"/>
    <w:rsid w:val="00521DC9"/>
    <w:rsid w:val="005229AA"/>
    <w:rsid w:val="005233D3"/>
    <w:rsid w:val="00523B1F"/>
    <w:rsid w:val="00523DCF"/>
    <w:rsid w:val="0052430C"/>
    <w:rsid w:val="00524946"/>
    <w:rsid w:val="005249E6"/>
    <w:rsid w:val="00525F2F"/>
    <w:rsid w:val="0052635A"/>
    <w:rsid w:val="005265EB"/>
    <w:rsid w:val="00526BF7"/>
    <w:rsid w:val="00526C8A"/>
    <w:rsid w:val="0053057A"/>
    <w:rsid w:val="005308D9"/>
    <w:rsid w:val="005317DD"/>
    <w:rsid w:val="005322D3"/>
    <w:rsid w:val="00532C77"/>
    <w:rsid w:val="00532F7F"/>
    <w:rsid w:val="00533584"/>
    <w:rsid w:val="00533E32"/>
    <w:rsid w:val="005341FC"/>
    <w:rsid w:val="005355CC"/>
    <w:rsid w:val="00536DF0"/>
    <w:rsid w:val="00537897"/>
    <w:rsid w:val="005401A2"/>
    <w:rsid w:val="005401B3"/>
    <w:rsid w:val="0054023F"/>
    <w:rsid w:val="005406B3"/>
    <w:rsid w:val="0054129E"/>
    <w:rsid w:val="00541C46"/>
    <w:rsid w:val="00542043"/>
    <w:rsid w:val="00542735"/>
    <w:rsid w:val="00542E3A"/>
    <w:rsid w:val="00543A67"/>
    <w:rsid w:val="00544B68"/>
    <w:rsid w:val="00545724"/>
    <w:rsid w:val="00545977"/>
    <w:rsid w:val="005471F8"/>
    <w:rsid w:val="00547338"/>
    <w:rsid w:val="00547ECD"/>
    <w:rsid w:val="00550169"/>
    <w:rsid w:val="005511E9"/>
    <w:rsid w:val="0055129B"/>
    <w:rsid w:val="00551570"/>
    <w:rsid w:val="0055265A"/>
    <w:rsid w:val="005539B4"/>
    <w:rsid w:val="005539F4"/>
    <w:rsid w:val="00553AB4"/>
    <w:rsid w:val="00554163"/>
    <w:rsid w:val="00555248"/>
    <w:rsid w:val="00555D83"/>
    <w:rsid w:val="005566B6"/>
    <w:rsid w:val="005573DD"/>
    <w:rsid w:val="00560BBA"/>
    <w:rsid w:val="00561572"/>
    <w:rsid w:val="00561887"/>
    <w:rsid w:val="00561F9C"/>
    <w:rsid w:val="00562234"/>
    <w:rsid w:val="0056227B"/>
    <w:rsid w:val="0056375B"/>
    <w:rsid w:val="00563A80"/>
    <w:rsid w:val="005646D2"/>
    <w:rsid w:val="005647C4"/>
    <w:rsid w:val="00564964"/>
    <w:rsid w:val="00564AE3"/>
    <w:rsid w:val="00566B58"/>
    <w:rsid w:val="00567B56"/>
    <w:rsid w:val="005701DE"/>
    <w:rsid w:val="0057148E"/>
    <w:rsid w:val="005725C0"/>
    <w:rsid w:val="00573A45"/>
    <w:rsid w:val="005746EB"/>
    <w:rsid w:val="005760B1"/>
    <w:rsid w:val="005804DD"/>
    <w:rsid w:val="005804EC"/>
    <w:rsid w:val="0058087C"/>
    <w:rsid w:val="005814DE"/>
    <w:rsid w:val="00582403"/>
    <w:rsid w:val="005828E5"/>
    <w:rsid w:val="00582AFB"/>
    <w:rsid w:val="00583574"/>
    <w:rsid w:val="00583E7A"/>
    <w:rsid w:val="0058452C"/>
    <w:rsid w:val="00585019"/>
    <w:rsid w:val="0058729B"/>
    <w:rsid w:val="005877C0"/>
    <w:rsid w:val="005877C4"/>
    <w:rsid w:val="005877D3"/>
    <w:rsid w:val="005879AD"/>
    <w:rsid w:val="00587DE7"/>
    <w:rsid w:val="005903F7"/>
    <w:rsid w:val="00590E1B"/>
    <w:rsid w:val="00593968"/>
    <w:rsid w:val="00594102"/>
    <w:rsid w:val="00594243"/>
    <w:rsid w:val="00594250"/>
    <w:rsid w:val="0059455D"/>
    <w:rsid w:val="00594D60"/>
    <w:rsid w:val="00595235"/>
    <w:rsid w:val="0059592C"/>
    <w:rsid w:val="00595A2B"/>
    <w:rsid w:val="00596220"/>
    <w:rsid w:val="00596277"/>
    <w:rsid w:val="00597D32"/>
    <w:rsid w:val="005A0275"/>
    <w:rsid w:val="005A05B4"/>
    <w:rsid w:val="005A05D2"/>
    <w:rsid w:val="005A0AA1"/>
    <w:rsid w:val="005A0F3D"/>
    <w:rsid w:val="005A3011"/>
    <w:rsid w:val="005A3614"/>
    <w:rsid w:val="005A3789"/>
    <w:rsid w:val="005A3EF2"/>
    <w:rsid w:val="005A4042"/>
    <w:rsid w:val="005A4051"/>
    <w:rsid w:val="005A4A16"/>
    <w:rsid w:val="005A4C15"/>
    <w:rsid w:val="005A66DE"/>
    <w:rsid w:val="005A7752"/>
    <w:rsid w:val="005B03AE"/>
    <w:rsid w:val="005B0675"/>
    <w:rsid w:val="005B07C0"/>
    <w:rsid w:val="005B086F"/>
    <w:rsid w:val="005B0F24"/>
    <w:rsid w:val="005B22B1"/>
    <w:rsid w:val="005B28AD"/>
    <w:rsid w:val="005B2C76"/>
    <w:rsid w:val="005B3984"/>
    <w:rsid w:val="005B478D"/>
    <w:rsid w:val="005B48EA"/>
    <w:rsid w:val="005B4E1A"/>
    <w:rsid w:val="005B5288"/>
    <w:rsid w:val="005B60A8"/>
    <w:rsid w:val="005B747A"/>
    <w:rsid w:val="005B7E19"/>
    <w:rsid w:val="005C00EA"/>
    <w:rsid w:val="005C0A09"/>
    <w:rsid w:val="005C100C"/>
    <w:rsid w:val="005C21C6"/>
    <w:rsid w:val="005C272A"/>
    <w:rsid w:val="005C28E5"/>
    <w:rsid w:val="005C3706"/>
    <w:rsid w:val="005C707A"/>
    <w:rsid w:val="005C70EA"/>
    <w:rsid w:val="005C7B92"/>
    <w:rsid w:val="005C7CD7"/>
    <w:rsid w:val="005C7D21"/>
    <w:rsid w:val="005D0550"/>
    <w:rsid w:val="005D0E98"/>
    <w:rsid w:val="005D15FE"/>
    <w:rsid w:val="005D1F82"/>
    <w:rsid w:val="005D297A"/>
    <w:rsid w:val="005D30F6"/>
    <w:rsid w:val="005D394C"/>
    <w:rsid w:val="005D3F41"/>
    <w:rsid w:val="005D48BF"/>
    <w:rsid w:val="005D4AEF"/>
    <w:rsid w:val="005D4DF3"/>
    <w:rsid w:val="005D5340"/>
    <w:rsid w:val="005D54C0"/>
    <w:rsid w:val="005D697A"/>
    <w:rsid w:val="005D71A1"/>
    <w:rsid w:val="005D72D0"/>
    <w:rsid w:val="005D7EC7"/>
    <w:rsid w:val="005E092C"/>
    <w:rsid w:val="005E145F"/>
    <w:rsid w:val="005E1967"/>
    <w:rsid w:val="005E1C5A"/>
    <w:rsid w:val="005E1F1E"/>
    <w:rsid w:val="005E27A6"/>
    <w:rsid w:val="005E2D39"/>
    <w:rsid w:val="005E3426"/>
    <w:rsid w:val="005E3BDC"/>
    <w:rsid w:val="005E3D0E"/>
    <w:rsid w:val="005E4938"/>
    <w:rsid w:val="005E765B"/>
    <w:rsid w:val="005F0C5F"/>
    <w:rsid w:val="005F1707"/>
    <w:rsid w:val="005F2394"/>
    <w:rsid w:val="005F24C4"/>
    <w:rsid w:val="005F2C4F"/>
    <w:rsid w:val="005F361B"/>
    <w:rsid w:val="005F36AE"/>
    <w:rsid w:val="005F43FA"/>
    <w:rsid w:val="005F5565"/>
    <w:rsid w:val="005F742F"/>
    <w:rsid w:val="005F7526"/>
    <w:rsid w:val="006015D5"/>
    <w:rsid w:val="00601806"/>
    <w:rsid w:val="0060187A"/>
    <w:rsid w:val="00601B9B"/>
    <w:rsid w:val="006020D8"/>
    <w:rsid w:val="00602A38"/>
    <w:rsid w:val="0060307D"/>
    <w:rsid w:val="00603A0C"/>
    <w:rsid w:val="00605F19"/>
    <w:rsid w:val="006063A3"/>
    <w:rsid w:val="00606917"/>
    <w:rsid w:val="00606DC2"/>
    <w:rsid w:val="006075C2"/>
    <w:rsid w:val="00607A14"/>
    <w:rsid w:val="006107A5"/>
    <w:rsid w:val="00611449"/>
    <w:rsid w:val="006117AC"/>
    <w:rsid w:val="00611B2A"/>
    <w:rsid w:val="00611B94"/>
    <w:rsid w:val="00612B26"/>
    <w:rsid w:val="006131CA"/>
    <w:rsid w:val="00613679"/>
    <w:rsid w:val="0061442D"/>
    <w:rsid w:val="00614B52"/>
    <w:rsid w:val="0061509A"/>
    <w:rsid w:val="00615243"/>
    <w:rsid w:val="00615304"/>
    <w:rsid w:val="00615B91"/>
    <w:rsid w:val="00616B62"/>
    <w:rsid w:val="00616BD8"/>
    <w:rsid w:val="00617AF5"/>
    <w:rsid w:val="00621AB9"/>
    <w:rsid w:val="00621F5D"/>
    <w:rsid w:val="00622D18"/>
    <w:rsid w:val="0062366F"/>
    <w:rsid w:val="00623AD5"/>
    <w:rsid w:val="00623B77"/>
    <w:rsid w:val="00624D44"/>
    <w:rsid w:val="00627185"/>
    <w:rsid w:val="00627F23"/>
    <w:rsid w:val="00630E13"/>
    <w:rsid w:val="0063123E"/>
    <w:rsid w:val="00631702"/>
    <w:rsid w:val="006317FB"/>
    <w:rsid w:val="00631889"/>
    <w:rsid w:val="00632616"/>
    <w:rsid w:val="006333BA"/>
    <w:rsid w:val="00633BBA"/>
    <w:rsid w:val="00633F36"/>
    <w:rsid w:val="0063452C"/>
    <w:rsid w:val="0063598B"/>
    <w:rsid w:val="00635AEC"/>
    <w:rsid w:val="006373F7"/>
    <w:rsid w:val="00637509"/>
    <w:rsid w:val="006418B5"/>
    <w:rsid w:val="006421F9"/>
    <w:rsid w:val="0064333D"/>
    <w:rsid w:val="00644C90"/>
    <w:rsid w:val="00644D2B"/>
    <w:rsid w:val="00644F86"/>
    <w:rsid w:val="00645392"/>
    <w:rsid w:val="0064699E"/>
    <w:rsid w:val="00650FBE"/>
    <w:rsid w:val="00651383"/>
    <w:rsid w:val="0065170C"/>
    <w:rsid w:val="00651DA8"/>
    <w:rsid w:val="006533AF"/>
    <w:rsid w:val="00653789"/>
    <w:rsid w:val="006543BA"/>
    <w:rsid w:val="00654DBF"/>
    <w:rsid w:val="00655395"/>
    <w:rsid w:val="006555A2"/>
    <w:rsid w:val="006570C1"/>
    <w:rsid w:val="0065786C"/>
    <w:rsid w:val="00657E7B"/>
    <w:rsid w:val="00660989"/>
    <w:rsid w:val="006616E6"/>
    <w:rsid w:val="00661B0F"/>
    <w:rsid w:val="00661D8B"/>
    <w:rsid w:val="00662BC3"/>
    <w:rsid w:val="00663DDC"/>
    <w:rsid w:val="00665592"/>
    <w:rsid w:val="006659B0"/>
    <w:rsid w:val="00666DA0"/>
    <w:rsid w:val="00667195"/>
    <w:rsid w:val="00667ECC"/>
    <w:rsid w:val="006707C0"/>
    <w:rsid w:val="00670D2A"/>
    <w:rsid w:val="0067123D"/>
    <w:rsid w:val="00672FBB"/>
    <w:rsid w:val="006732B3"/>
    <w:rsid w:val="006738CB"/>
    <w:rsid w:val="006751D7"/>
    <w:rsid w:val="00675547"/>
    <w:rsid w:val="006758F0"/>
    <w:rsid w:val="006760FF"/>
    <w:rsid w:val="00677A5C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C59"/>
    <w:rsid w:val="00686422"/>
    <w:rsid w:val="006874AB"/>
    <w:rsid w:val="0068790D"/>
    <w:rsid w:val="00687A8F"/>
    <w:rsid w:val="00687ECA"/>
    <w:rsid w:val="006900D9"/>
    <w:rsid w:val="00690941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7298"/>
    <w:rsid w:val="006A12F6"/>
    <w:rsid w:val="006A13BB"/>
    <w:rsid w:val="006A1AAA"/>
    <w:rsid w:val="006A3883"/>
    <w:rsid w:val="006A406A"/>
    <w:rsid w:val="006A5F09"/>
    <w:rsid w:val="006A6D2D"/>
    <w:rsid w:val="006B0A06"/>
    <w:rsid w:val="006B12AB"/>
    <w:rsid w:val="006B1B10"/>
    <w:rsid w:val="006B1C59"/>
    <w:rsid w:val="006B41DC"/>
    <w:rsid w:val="006B5A9E"/>
    <w:rsid w:val="006B5F68"/>
    <w:rsid w:val="006B759C"/>
    <w:rsid w:val="006B7743"/>
    <w:rsid w:val="006B7CE1"/>
    <w:rsid w:val="006C10C6"/>
    <w:rsid w:val="006C126D"/>
    <w:rsid w:val="006C1610"/>
    <w:rsid w:val="006C1C7B"/>
    <w:rsid w:val="006C2CF4"/>
    <w:rsid w:val="006C4023"/>
    <w:rsid w:val="006C40FF"/>
    <w:rsid w:val="006C6299"/>
    <w:rsid w:val="006C7529"/>
    <w:rsid w:val="006C7961"/>
    <w:rsid w:val="006D029A"/>
    <w:rsid w:val="006D1D78"/>
    <w:rsid w:val="006D1F0F"/>
    <w:rsid w:val="006D22BC"/>
    <w:rsid w:val="006D3110"/>
    <w:rsid w:val="006D4C89"/>
    <w:rsid w:val="006D4F49"/>
    <w:rsid w:val="006D5F48"/>
    <w:rsid w:val="006D7AEF"/>
    <w:rsid w:val="006D7F35"/>
    <w:rsid w:val="006D7FA4"/>
    <w:rsid w:val="006E14E1"/>
    <w:rsid w:val="006E1551"/>
    <w:rsid w:val="006E2607"/>
    <w:rsid w:val="006E27A8"/>
    <w:rsid w:val="006E2C7A"/>
    <w:rsid w:val="006E2DCD"/>
    <w:rsid w:val="006E2FE0"/>
    <w:rsid w:val="006E456F"/>
    <w:rsid w:val="006E4F47"/>
    <w:rsid w:val="006E5679"/>
    <w:rsid w:val="006E584F"/>
    <w:rsid w:val="006E7909"/>
    <w:rsid w:val="006F2046"/>
    <w:rsid w:val="006F4BD8"/>
    <w:rsid w:val="006F53F4"/>
    <w:rsid w:val="006F5AD2"/>
    <w:rsid w:val="006F7257"/>
    <w:rsid w:val="007003D2"/>
    <w:rsid w:val="00700496"/>
    <w:rsid w:val="00700E75"/>
    <w:rsid w:val="0070260C"/>
    <w:rsid w:val="00702926"/>
    <w:rsid w:val="00702BDD"/>
    <w:rsid w:val="00704535"/>
    <w:rsid w:val="0070492F"/>
    <w:rsid w:val="007054E0"/>
    <w:rsid w:val="00706FC9"/>
    <w:rsid w:val="007077CC"/>
    <w:rsid w:val="007111C2"/>
    <w:rsid w:val="007113B2"/>
    <w:rsid w:val="007123A5"/>
    <w:rsid w:val="00712B4E"/>
    <w:rsid w:val="0071361E"/>
    <w:rsid w:val="00714B1C"/>
    <w:rsid w:val="00715460"/>
    <w:rsid w:val="00715597"/>
    <w:rsid w:val="00716134"/>
    <w:rsid w:val="00716E1B"/>
    <w:rsid w:val="00716EB6"/>
    <w:rsid w:val="007171D6"/>
    <w:rsid w:val="007206D4"/>
    <w:rsid w:val="00722BA8"/>
    <w:rsid w:val="00724135"/>
    <w:rsid w:val="007241A5"/>
    <w:rsid w:val="00724CBD"/>
    <w:rsid w:val="0072511D"/>
    <w:rsid w:val="00725420"/>
    <w:rsid w:val="00725BA4"/>
    <w:rsid w:val="007263C3"/>
    <w:rsid w:val="00726571"/>
    <w:rsid w:val="0072664F"/>
    <w:rsid w:val="007274C5"/>
    <w:rsid w:val="007301FE"/>
    <w:rsid w:val="00730D3A"/>
    <w:rsid w:val="00731391"/>
    <w:rsid w:val="00731E8C"/>
    <w:rsid w:val="007320F2"/>
    <w:rsid w:val="00733374"/>
    <w:rsid w:val="00733803"/>
    <w:rsid w:val="00735589"/>
    <w:rsid w:val="0073580B"/>
    <w:rsid w:val="00737D26"/>
    <w:rsid w:val="007408DF"/>
    <w:rsid w:val="00740F11"/>
    <w:rsid w:val="0074130C"/>
    <w:rsid w:val="007418E0"/>
    <w:rsid w:val="00741B1C"/>
    <w:rsid w:val="00741C29"/>
    <w:rsid w:val="00742AC8"/>
    <w:rsid w:val="00742B76"/>
    <w:rsid w:val="007432DC"/>
    <w:rsid w:val="00743A3B"/>
    <w:rsid w:val="00743DB7"/>
    <w:rsid w:val="00743E2E"/>
    <w:rsid w:val="0074430A"/>
    <w:rsid w:val="00746773"/>
    <w:rsid w:val="00750C37"/>
    <w:rsid w:val="0075305E"/>
    <w:rsid w:val="00753122"/>
    <w:rsid w:val="007556B7"/>
    <w:rsid w:val="00755C2D"/>
    <w:rsid w:val="00756D12"/>
    <w:rsid w:val="00757073"/>
    <w:rsid w:val="007571BC"/>
    <w:rsid w:val="00757484"/>
    <w:rsid w:val="00760E00"/>
    <w:rsid w:val="00761C1A"/>
    <w:rsid w:val="00761C46"/>
    <w:rsid w:val="00761EC4"/>
    <w:rsid w:val="00762728"/>
    <w:rsid w:val="00762DA8"/>
    <w:rsid w:val="00763262"/>
    <w:rsid w:val="0076370A"/>
    <w:rsid w:val="00763FEE"/>
    <w:rsid w:val="00764CFD"/>
    <w:rsid w:val="00764F06"/>
    <w:rsid w:val="00765ED4"/>
    <w:rsid w:val="00767A5F"/>
    <w:rsid w:val="00767B46"/>
    <w:rsid w:val="00770052"/>
    <w:rsid w:val="0077146A"/>
    <w:rsid w:val="0077161A"/>
    <w:rsid w:val="00772288"/>
    <w:rsid w:val="00772673"/>
    <w:rsid w:val="0077268B"/>
    <w:rsid w:val="00772703"/>
    <w:rsid w:val="00772A2B"/>
    <w:rsid w:val="00772ED2"/>
    <w:rsid w:val="007738A3"/>
    <w:rsid w:val="00773F09"/>
    <w:rsid w:val="00774608"/>
    <w:rsid w:val="007749A0"/>
    <w:rsid w:val="007760AE"/>
    <w:rsid w:val="007768B7"/>
    <w:rsid w:val="00776F26"/>
    <w:rsid w:val="007801AE"/>
    <w:rsid w:val="0078070B"/>
    <w:rsid w:val="00780B75"/>
    <w:rsid w:val="00780F5F"/>
    <w:rsid w:val="0078193D"/>
    <w:rsid w:val="00781AEE"/>
    <w:rsid w:val="00782073"/>
    <w:rsid w:val="007837BE"/>
    <w:rsid w:val="00783E42"/>
    <w:rsid w:val="0078503B"/>
    <w:rsid w:val="00785529"/>
    <w:rsid w:val="007859E8"/>
    <w:rsid w:val="00786993"/>
    <w:rsid w:val="007903D0"/>
    <w:rsid w:val="00790738"/>
    <w:rsid w:val="00790A7C"/>
    <w:rsid w:val="00790B01"/>
    <w:rsid w:val="007915D0"/>
    <w:rsid w:val="007918D9"/>
    <w:rsid w:val="00791F2B"/>
    <w:rsid w:val="007928A5"/>
    <w:rsid w:val="00794363"/>
    <w:rsid w:val="007946B2"/>
    <w:rsid w:val="007967B1"/>
    <w:rsid w:val="00797C26"/>
    <w:rsid w:val="00797E37"/>
    <w:rsid w:val="00797FFB"/>
    <w:rsid w:val="007A1D5F"/>
    <w:rsid w:val="007A2918"/>
    <w:rsid w:val="007A3834"/>
    <w:rsid w:val="007A4BAD"/>
    <w:rsid w:val="007A4F04"/>
    <w:rsid w:val="007A56D5"/>
    <w:rsid w:val="007A59A2"/>
    <w:rsid w:val="007A5C30"/>
    <w:rsid w:val="007A6298"/>
    <w:rsid w:val="007A79D0"/>
    <w:rsid w:val="007B052C"/>
    <w:rsid w:val="007B146E"/>
    <w:rsid w:val="007B1A7A"/>
    <w:rsid w:val="007B2DD5"/>
    <w:rsid w:val="007B44B6"/>
    <w:rsid w:val="007B456C"/>
    <w:rsid w:val="007B5A7A"/>
    <w:rsid w:val="007B68AF"/>
    <w:rsid w:val="007B71E5"/>
    <w:rsid w:val="007B769D"/>
    <w:rsid w:val="007B7A5C"/>
    <w:rsid w:val="007B7EEA"/>
    <w:rsid w:val="007C06FA"/>
    <w:rsid w:val="007C0D00"/>
    <w:rsid w:val="007C105B"/>
    <w:rsid w:val="007C136F"/>
    <w:rsid w:val="007C2C6A"/>
    <w:rsid w:val="007C2CEF"/>
    <w:rsid w:val="007C2D48"/>
    <w:rsid w:val="007C38E5"/>
    <w:rsid w:val="007C5D63"/>
    <w:rsid w:val="007C6380"/>
    <w:rsid w:val="007C6E4F"/>
    <w:rsid w:val="007D001F"/>
    <w:rsid w:val="007D1246"/>
    <w:rsid w:val="007D276F"/>
    <w:rsid w:val="007D40B2"/>
    <w:rsid w:val="007D4688"/>
    <w:rsid w:val="007D4E59"/>
    <w:rsid w:val="007D521B"/>
    <w:rsid w:val="007D52B4"/>
    <w:rsid w:val="007D69BC"/>
    <w:rsid w:val="007D6C16"/>
    <w:rsid w:val="007D6F07"/>
    <w:rsid w:val="007D7F9B"/>
    <w:rsid w:val="007E1420"/>
    <w:rsid w:val="007E1577"/>
    <w:rsid w:val="007E1858"/>
    <w:rsid w:val="007E1CA4"/>
    <w:rsid w:val="007E2933"/>
    <w:rsid w:val="007E2C25"/>
    <w:rsid w:val="007E2D18"/>
    <w:rsid w:val="007E47FC"/>
    <w:rsid w:val="007E4A37"/>
    <w:rsid w:val="007E50E1"/>
    <w:rsid w:val="007F1AA0"/>
    <w:rsid w:val="007F2601"/>
    <w:rsid w:val="007F262E"/>
    <w:rsid w:val="007F2657"/>
    <w:rsid w:val="007F475F"/>
    <w:rsid w:val="007F478E"/>
    <w:rsid w:val="007F4A8D"/>
    <w:rsid w:val="007F54CB"/>
    <w:rsid w:val="007F5A86"/>
    <w:rsid w:val="007F5DFB"/>
    <w:rsid w:val="007F71E0"/>
    <w:rsid w:val="008006E6"/>
    <w:rsid w:val="00801A5C"/>
    <w:rsid w:val="00802A1F"/>
    <w:rsid w:val="00802CBE"/>
    <w:rsid w:val="00803256"/>
    <w:rsid w:val="00803BC3"/>
    <w:rsid w:val="008055E3"/>
    <w:rsid w:val="0080593A"/>
    <w:rsid w:val="008073F0"/>
    <w:rsid w:val="00807871"/>
    <w:rsid w:val="00807DC4"/>
    <w:rsid w:val="00807E8D"/>
    <w:rsid w:val="0081020F"/>
    <w:rsid w:val="00811946"/>
    <w:rsid w:val="00811DB6"/>
    <w:rsid w:val="008133AA"/>
    <w:rsid w:val="0081403B"/>
    <w:rsid w:val="008148E1"/>
    <w:rsid w:val="00815A14"/>
    <w:rsid w:val="008167C1"/>
    <w:rsid w:val="00817503"/>
    <w:rsid w:val="00817D3A"/>
    <w:rsid w:val="00817EA7"/>
    <w:rsid w:val="0082114F"/>
    <w:rsid w:val="008218CF"/>
    <w:rsid w:val="00822188"/>
    <w:rsid w:val="00822B4A"/>
    <w:rsid w:val="00826E5D"/>
    <w:rsid w:val="00830F87"/>
    <w:rsid w:val="008319CA"/>
    <w:rsid w:val="008322D1"/>
    <w:rsid w:val="00833359"/>
    <w:rsid w:val="00833B9F"/>
    <w:rsid w:val="00833E38"/>
    <w:rsid w:val="00833FD3"/>
    <w:rsid w:val="0083429B"/>
    <w:rsid w:val="00834B90"/>
    <w:rsid w:val="00835F4F"/>
    <w:rsid w:val="008362ED"/>
    <w:rsid w:val="00836328"/>
    <w:rsid w:val="00836EE8"/>
    <w:rsid w:val="008373A3"/>
    <w:rsid w:val="008379ED"/>
    <w:rsid w:val="0084003B"/>
    <w:rsid w:val="00840798"/>
    <w:rsid w:val="00840E2F"/>
    <w:rsid w:val="00840FD5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4B38"/>
    <w:rsid w:val="00844BE8"/>
    <w:rsid w:val="008459E5"/>
    <w:rsid w:val="00845C74"/>
    <w:rsid w:val="008472E3"/>
    <w:rsid w:val="00847BC9"/>
    <w:rsid w:val="00847F87"/>
    <w:rsid w:val="00850949"/>
    <w:rsid w:val="00851171"/>
    <w:rsid w:val="008511B6"/>
    <w:rsid w:val="00851847"/>
    <w:rsid w:val="008520ED"/>
    <w:rsid w:val="00852817"/>
    <w:rsid w:val="00853776"/>
    <w:rsid w:val="00854666"/>
    <w:rsid w:val="00855057"/>
    <w:rsid w:val="0085530B"/>
    <w:rsid w:val="0085546C"/>
    <w:rsid w:val="0085572E"/>
    <w:rsid w:val="00855EA9"/>
    <w:rsid w:val="0085689E"/>
    <w:rsid w:val="0085708B"/>
    <w:rsid w:val="0085730A"/>
    <w:rsid w:val="00857768"/>
    <w:rsid w:val="0086177A"/>
    <w:rsid w:val="008628F3"/>
    <w:rsid w:val="00863873"/>
    <w:rsid w:val="008648D6"/>
    <w:rsid w:val="008655B2"/>
    <w:rsid w:val="0086576F"/>
    <w:rsid w:val="00865B09"/>
    <w:rsid w:val="00865B72"/>
    <w:rsid w:val="00866410"/>
    <w:rsid w:val="0086798C"/>
    <w:rsid w:val="00867AE9"/>
    <w:rsid w:val="00867B90"/>
    <w:rsid w:val="0087042E"/>
    <w:rsid w:val="0087086C"/>
    <w:rsid w:val="00870FF7"/>
    <w:rsid w:val="008712A1"/>
    <w:rsid w:val="008720DA"/>
    <w:rsid w:val="00872202"/>
    <w:rsid w:val="00872618"/>
    <w:rsid w:val="0087290A"/>
    <w:rsid w:val="0087402C"/>
    <w:rsid w:val="0087409F"/>
    <w:rsid w:val="00874AF5"/>
    <w:rsid w:val="00874BB8"/>
    <w:rsid w:val="00874C6A"/>
    <w:rsid w:val="00875058"/>
    <w:rsid w:val="00875535"/>
    <w:rsid w:val="00875896"/>
    <w:rsid w:val="008760C9"/>
    <w:rsid w:val="00876175"/>
    <w:rsid w:val="00876CA3"/>
    <w:rsid w:val="008776AE"/>
    <w:rsid w:val="00877E3C"/>
    <w:rsid w:val="008808DB"/>
    <w:rsid w:val="00882F1F"/>
    <w:rsid w:val="00883549"/>
    <w:rsid w:val="00883B83"/>
    <w:rsid w:val="008848DE"/>
    <w:rsid w:val="00884C20"/>
    <w:rsid w:val="00884D16"/>
    <w:rsid w:val="0088501F"/>
    <w:rsid w:val="008855C3"/>
    <w:rsid w:val="00886630"/>
    <w:rsid w:val="008866BF"/>
    <w:rsid w:val="008870B5"/>
    <w:rsid w:val="008912B0"/>
    <w:rsid w:val="00892288"/>
    <w:rsid w:val="00892B4D"/>
    <w:rsid w:val="00892F49"/>
    <w:rsid w:val="00893627"/>
    <w:rsid w:val="008938AA"/>
    <w:rsid w:val="008946E5"/>
    <w:rsid w:val="00894A15"/>
    <w:rsid w:val="00894C3A"/>
    <w:rsid w:val="008951BF"/>
    <w:rsid w:val="008966B4"/>
    <w:rsid w:val="00896B9F"/>
    <w:rsid w:val="00897470"/>
    <w:rsid w:val="008977ED"/>
    <w:rsid w:val="00897CE0"/>
    <w:rsid w:val="008A0CC7"/>
    <w:rsid w:val="008A1972"/>
    <w:rsid w:val="008A1A7F"/>
    <w:rsid w:val="008A2CAA"/>
    <w:rsid w:val="008A2EBC"/>
    <w:rsid w:val="008A2FB7"/>
    <w:rsid w:val="008A341A"/>
    <w:rsid w:val="008A424C"/>
    <w:rsid w:val="008A4B3E"/>
    <w:rsid w:val="008A4CF7"/>
    <w:rsid w:val="008A512A"/>
    <w:rsid w:val="008A65F2"/>
    <w:rsid w:val="008A699C"/>
    <w:rsid w:val="008A6A9C"/>
    <w:rsid w:val="008A726E"/>
    <w:rsid w:val="008B073A"/>
    <w:rsid w:val="008B0DC5"/>
    <w:rsid w:val="008B0E64"/>
    <w:rsid w:val="008B1D90"/>
    <w:rsid w:val="008B32BE"/>
    <w:rsid w:val="008B436D"/>
    <w:rsid w:val="008B4709"/>
    <w:rsid w:val="008B480B"/>
    <w:rsid w:val="008B49A7"/>
    <w:rsid w:val="008B5198"/>
    <w:rsid w:val="008B52D9"/>
    <w:rsid w:val="008B5D87"/>
    <w:rsid w:val="008B6A3C"/>
    <w:rsid w:val="008B6C14"/>
    <w:rsid w:val="008B714C"/>
    <w:rsid w:val="008B7177"/>
    <w:rsid w:val="008B7F3D"/>
    <w:rsid w:val="008C0860"/>
    <w:rsid w:val="008C2B34"/>
    <w:rsid w:val="008C2C3C"/>
    <w:rsid w:val="008C36DC"/>
    <w:rsid w:val="008C3A8F"/>
    <w:rsid w:val="008C49B6"/>
    <w:rsid w:val="008C5531"/>
    <w:rsid w:val="008C5D7D"/>
    <w:rsid w:val="008C6A91"/>
    <w:rsid w:val="008C7360"/>
    <w:rsid w:val="008C79BB"/>
    <w:rsid w:val="008D0203"/>
    <w:rsid w:val="008D04A0"/>
    <w:rsid w:val="008D07FE"/>
    <w:rsid w:val="008D1219"/>
    <w:rsid w:val="008D2871"/>
    <w:rsid w:val="008D338E"/>
    <w:rsid w:val="008D38D9"/>
    <w:rsid w:val="008D3B20"/>
    <w:rsid w:val="008D414F"/>
    <w:rsid w:val="008D48EC"/>
    <w:rsid w:val="008D5403"/>
    <w:rsid w:val="008D5732"/>
    <w:rsid w:val="008D767F"/>
    <w:rsid w:val="008D7D3F"/>
    <w:rsid w:val="008E029A"/>
    <w:rsid w:val="008E1907"/>
    <w:rsid w:val="008E228F"/>
    <w:rsid w:val="008E2A18"/>
    <w:rsid w:val="008E3685"/>
    <w:rsid w:val="008E5189"/>
    <w:rsid w:val="008E57C2"/>
    <w:rsid w:val="008E5E56"/>
    <w:rsid w:val="008E6335"/>
    <w:rsid w:val="008E69A0"/>
    <w:rsid w:val="008E6D16"/>
    <w:rsid w:val="008E7987"/>
    <w:rsid w:val="008E7E1B"/>
    <w:rsid w:val="008E7EFF"/>
    <w:rsid w:val="008F0DA9"/>
    <w:rsid w:val="008F0E0C"/>
    <w:rsid w:val="008F1389"/>
    <w:rsid w:val="008F2E0F"/>
    <w:rsid w:val="008F416D"/>
    <w:rsid w:val="008F5EC0"/>
    <w:rsid w:val="008F662C"/>
    <w:rsid w:val="008F6C60"/>
    <w:rsid w:val="008F6D54"/>
    <w:rsid w:val="008F7046"/>
    <w:rsid w:val="00900744"/>
    <w:rsid w:val="00900B2E"/>
    <w:rsid w:val="00900B73"/>
    <w:rsid w:val="00901DD2"/>
    <w:rsid w:val="00902286"/>
    <w:rsid w:val="0090245C"/>
    <w:rsid w:val="00902F4F"/>
    <w:rsid w:val="0090302C"/>
    <w:rsid w:val="00903161"/>
    <w:rsid w:val="0090371D"/>
    <w:rsid w:val="00904510"/>
    <w:rsid w:val="00904D03"/>
    <w:rsid w:val="009066B1"/>
    <w:rsid w:val="00906892"/>
    <w:rsid w:val="00907BF2"/>
    <w:rsid w:val="00907F56"/>
    <w:rsid w:val="00907F6A"/>
    <w:rsid w:val="0091156A"/>
    <w:rsid w:val="00911A26"/>
    <w:rsid w:val="00912118"/>
    <w:rsid w:val="009126C8"/>
    <w:rsid w:val="009129AD"/>
    <w:rsid w:val="00913374"/>
    <w:rsid w:val="009133F7"/>
    <w:rsid w:val="009137B4"/>
    <w:rsid w:val="009144BA"/>
    <w:rsid w:val="009149F2"/>
    <w:rsid w:val="00915285"/>
    <w:rsid w:val="00915A6E"/>
    <w:rsid w:val="009167BC"/>
    <w:rsid w:val="00916856"/>
    <w:rsid w:val="00916894"/>
    <w:rsid w:val="00917B5E"/>
    <w:rsid w:val="00917E6D"/>
    <w:rsid w:val="009207E2"/>
    <w:rsid w:val="00920B78"/>
    <w:rsid w:val="00920CD0"/>
    <w:rsid w:val="00922D23"/>
    <w:rsid w:val="009240F3"/>
    <w:rsid w:val="009244FF"/>
    <w:rsid w:val="00924AA2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EBF"/>
    <w:rsid w:val="00932359"/>
    <w:rsid w:val="00933233"/>
    <w:rsid w:val="00933365"/>
    <w:rsid w:val="009344FD"/>
    <w:rsid w:val="00934A6C"/>
    <w:rsid w:val="009355D2"/>
    <w:rsid w:val="00936AB8"/>
    <w:rsid w:val="00941BB6"/>
    <w:rsid w:val="00942917"/>
    <w:rsid w:val="00942BF4"/>
    <w:rsid w:val="00943159"/>
    <w:rsid w:val="00943CCC"/>
    <w:rsid w:val="009447E6"/>
    <w:rsid w:val="00944A4E"/>
    <w:rsid w:val="00944B4F"/>
    <w:rsid w:val="009460FF"/>
    <w:rsid w:val="00946D74"/>
    <w:rsid w:val="0095153B"/>
    <w:rsid w:val="00951F98"/>
    <w:rsid w:val="00953DB4"/>
    <w:rsid w:val="009545BF"/>
    <w:rsid w:val="00954AD5"/>
    <w:rsid w:val="00957A7E"/>
    <w:rsid w:val="00961427"/>
    <w:rsid w:val="00961920"/>
    <w:rsid w:val="00961D19"/>
    <w:rsid w:val="00962A97"/>
    <w:rsid w:val="00962D63"/>
    <w:rsid w:val="00962E5D"/>
    <w:rsid w:val="0096345C"/>
    <w:rsid w:val="00963783"/>
    <w:rsid w:val="00963A11"/>
    <w:rsid w:val="00964C22"/>
    <w:rsid w:val="00964E5A"/>
    <w:rsid w:val="00965163"/>
    <w:rsid w:val="00965196"/>
    <w:rsid w:val="00965219"/>
    <w:rsid w:val="0096736E"/>
    <w:rsid w:val="0096784B"/>
    <w:rsid w:val="009678FD"/>
    <w:rsid w:val="00967AF5"/>
    <w:rsid w:val="00967CCA"/>
    <w:rsid w:val="00970294"/>
    <w:rsid w:val="009713AC"/>
    <w:rsid w:val="009726D4"/>
    <w:rsid w:val="00974436"/>
    <w:rsid w:val="00974503"/>
    <w:rsid w:val="00974B76"/>
    <w:rsid w:val="009750B7"/>
    <w:rsid w:val="00975F70"/>
    <w:rsid w:val="00976060"/>
    <w:rsid w:val="00976576"/>
    <w:rsid w:val="00977067"/>
    <w:rsid w:val="0097739F"/>
    <w:rsid w:val="00977932"/>
    <w:rsid w:val="009801E4"/>
    <w:rsid w:val="0098024D"/>
    <w:rsid w:val="00981571"/>
    <w:rsid w:val="00981A3F"/>
    <w:rsid w:val="00982D13"/>
    <w:rsid w:val="00982DBD"/>
    <w:rsid w:val="00984C53"/>
    <w:rsid w:val="00984CE4"/>
    <w:rsid w:val="009856D5"/>
    <w:rsid w:val="00985C5C"/>
    <w:rsid w:val="00986418"/>
    <w:rsid w:val="009871FA"/>
    <w:rsid w:val="00987657"/>
    <w:rsid w:val="0098794C"/>
    <w:rsid w:val="00987FE9"/>
    <w:rsid w:val="00990543"/>
    <w:rsid w:val="00990C6F"/>
    <w:rsid w:val="00992DA9"/>
    <w:rsid w:val="00993A2A"/>
    <w:rsid w:val="00994105"/>
    <w:rsid w:val="00994387"/>
    <w:rsid w:val="00994679"/>
    <w:rsid w:val="00994D08"/>
    <w:rsid w:val="00995C71"/>
    <w:rsid w:val="009961FC"/>
    <w:rsid w:val="00996F92"/>
    <w:rsid w:val="00997C54"/>
    <w:rsid w:val="00997D8A"/>
    <w:rsid w:val="009A082B"/>
    <w:rsid w:val="009A0F94"/>
    <w:rsid w:val="009A1251"/>
    <w:rsid w:val="009A2015"/>
    <w:rsid w:val="009A205F"/>
    <w:rsid w:val="009A211F"/>
    <w:rsid w:val="009A2560"/>
    <w:rsid w:val="009A2896"/>
    <w:rsid w:val="009A29A0"/>
    <w:rsid w:val="009A3A31"/>
    <w:rsid w:val="009A3A8A"/>
    <w:rsid w:val="009A41D4"/>
    <w:rsid w:val="009A7391"/>
    <w:rsid w:val="009A7812"/>
    <w:rsid w:val="009A7E4D"/>
    <w:rsid w:val="009B03D3"/>
    <w:rsid w:val="009B1015"/>
    <w:rsid w:val="009B1510"/>
    <w:rsid w:val="009B1A4B"/>
    <w:rsid w:val="009B272E"/>
    <w:rsid w:val="009B2B2B"/>
    <w:rsid w:val="009B2BEC"/>
    <w:rsid w:val="009B2CFC"/>
    <w:rsid w:val="009B3182"/>
    <w:rsid w:val="009B3AB4"/>
    <w:rsid w:val="009B3D6D"/>
    <w:rsid w:val="009B43AE"/>
    <w:rsid w:val="009B463B"/>
    <w:rsid w:val="009B4AAB"/>
    <w:rsid w:val="009B4E7A"/>
    <w:rsid w:val="009B6BC0"/>
    <w:rsid w:val="009C0E61"/>
    <w:rsid w:val="009C1C42"/>
    <w:rsid w:val="009C1E24"/>
    <w:rsid w:val="009C318A"/>
    <w:rsid w:val="009C3222"/>
    <w:rsid w:val="009C3CEA"/>
    <w:rsid w:val="009C4C1C"/>
    <w:rsid w:val="009C4EE2"/>
    <w:rsid w:val="009C5EB3"/>
    <w:rsid w:val="009C6A79"/>
    <w:rsid w:val="009C7447"/>
    <w:rsid w:val="009D05C8"/>
    <w:rsid w:val="009D0EEB"/>
    <w:rsid w:val="009D1867"/>
    <w:rsid w:val="009D1D6E"/>
    <w:rsid w:val="009D1DB4"/>
    <w:rsid w:val="009D2284"/>
    <w:rsid w:val="009D3F74"/>
    <w:rsid w:val="009D664A"/>
    <w:rsid w:val="009D71E5"/>
    <w:rsid w:val="009D735D"/>
    <w:rsid w:val="009E1695"/>
    <w:rsid w:val="009E17B3"/>
    <w:rsid w:val="009E1925"/>
    <w:rsid w:val="009E1B74"/>
    <w:rsid w:val="009E2944"/>
    <w:rsid w:val="009E2AB6"/>
    <w:rsid w:val="009E2E2F"/>
    <w:rsid w:val="009E2FD1"/>
    <w:rsid w:val="009E36CC"/>
    <w:rsid w:val="009E4027"/>
    <w:rsid w:val="009E435E"/>
    <w:rsid w:val="009E468F"/>
    <w:rsid w:val="009E4BD5"/>
    <w:rsid w:val="009E4C7F"/>
    <w:rsid w:val="009E697A"/>
    <w:rsid w:val="009E7EEF"/>
    <w:rsid w:val="009F06E5"/>
    <w:rsid w:val="009F11D1"/>
    <w:rsid w:val="009F19D4"/>
    <w:rsid w:val="009F32FF"/>
    <w:rsid w:val="009F3396"/>
    <w:rsid w:val="009F35F7"/>
    <w:rsid w:val="009F4108"/>
    <w:rsid w:val="009F440C"/>
    <w:rsid w:val="009F4756"/>
    <w:rsid w:val="009F4AB7"/>
    <w:rsid w:val="009F55C6"/>
    <w:rsid w:val="009F5937"/>
    <w:rsid w:val="009F6091"/>
    <w:rsid w:val="009F66FC"/>
    <w:rsid w:val="009F68CB"/>
    <w:rsid w:val="009F741A"/>
    <w:rsid w:val="00A00383"/>
    <w:rsid w:val="00A028B9"/>
    <w:rsid w:val="00A029CA"/>
    <w:rsid w:val="00A03537"/>
    <w:rsid w:val="00A03612"/>
    <w:rsid w:val="00A03BBB"/>
    <w:rsid w:val="00A03C7F"/>
    <w:rsid w:val="00A046F6"/>
    <w:rsid w:val="00A04AB1"/>
    <w:rsid w:val="00A0574D"/>
    <w:rsid w:val="00A05CD7"/>
    <w:rsid w:val="00A05DF7"/>
    <w:rsid w:val="00A0670A"/>
    <w:rsid w:val="00A06843"/>
    <w:rsid w:val="00A07353"/>
    <w:rsid w:val="00A0750A"/>
    <w:rsid w:val="00A07E32"/>
    <w:rsid w:val="00A103CE"/>
    <w:rsid w:val="00A112A5"/>
    <w:rsid w:val="00A11719"/>
    <w:rsid w:val="00A11972"/>
    <w:rsid w:val="00A13604"/>
    <w:rsid w:val="00A152D5"/>
    <w:rsid w:val="00A16299"/>
    <w:rsid w:val="00A168D6"/>
    <w:rsid w:val="00A179FF"/>
    <w:rsid w:val="00A17CEA"/>
    <w:rsid w:val="00A217F2"/>
    <w:rsid w:val="00A21B97"/>
    <w:rsid w:val="00A245CA"/>
    <w:rsid w:val="00A250DB"/>
    <w:rsid w:val="00A258C0"/>
    <w:rsid w:val="00A2789D"/>
    <w:rsid w:val="00A31F1D"/>
    <w:rsid w:val="00A322D1"/>
    <w:rsid w:val="00A3266D"/>
    <w:rsid w:val="00A33426"/>
    <w:rsid w:val="00A3586B"/>
    <w:rsid w:val="00A358F1"/>
    <w:rsid w:val="00A36010"/>
    <w:rsid w:val="00A36159"/>
    <w:rsid w:val="00A36EDF"/>
    <w:rsid w:val="00A37370"/>
    <w:rsid w:val="00A37B90"/>
    <w:rsid w:val="00A37E02"/>
    <w:rsid w:val="00A37E64"/>
    <w:rsid w:val="00A37F6E"/>
    <w:rsid w:val="00A37FC5"/>
    <w:rsid w:val="00A42344"/>
    <w:rsid w:val="00A433BA"/>
    <w:rsid w:val="00A433E2"/>
    <w:rsid w:val="00A44584"/>
    <w:rsid w:val="00A457FD"/>
    <w:rsid w:val="00A466F1"/>
    <w:rsid w:val="00A46929"/>
    <w:rsid w:val="00A4702A"/>
    <w:rsid w:val="00A51FB7"/>
    <w:rsid w:val="00A5229E"/>
    <w:rsid w:val="00A52555"/>
    <w:rsid w:val="00A54AEC"/>
    <w:rsid w:val="00A54B6D"/>
    <w:rsid w:val="00A554E9"/>
    <w:rsid w:val="00A56D4B"/>
    <w:rsid w:val="00A572BB"/>
    <w:rsid w:val="00A60672"/>
    <w:rsid w:val="00A60746"/>
    <w:rsid w:val="00A6210F"/>
    <w:rsid w:val="00A626E9"/>
    <w:rsid w:val="00A62AAE"/>
    <w:rsid w:val="00A643F8"/>
    <w:rsid w:val="00A66289"/>
    <w:rsid w:val="00A66B5D"/>
    <w:rsid w:val="00A7044A"/>
    <w:rsid w:val="00A7067D"/>
    <w:rsid w:val="00A70DA4"/>
    <w:rsid w:val="00A70FEB"/>
    <w:rsid w:val="00A711E4"/>
    <w:rsid w:val="00A726E2"/>
    <w:rsid w:val="00A74284"/>
    <w:rsid w:val="00A74F2D"/>
    <w:rsid w:val="00A7540D"/>
    <w:rsid w:val="00A75C2B"/>
    <w:rsid w:val="00A766AA"/>
    <w:rsid w:val="00A81B40"/>
    <w:rsid w:val="00A821C4"/>
    <w:rsid w:val="00A829F0"/>
    <w:rsid w:val="00A82D16"/>
    <w:rsid w:val="00A8308B"/>
    <w:rsid w:val="00A834E9"/>
    <w:rsid w:val="00A8362F"/>
    <w:rsid w:val="00A84313"/>
    <w:rsid w:val="00A85421"/>
    <w:rsid w:val="00A874A9"/>
    <w:rsid w:val="00A8774F"/>
    <w:rsid w:val="00A87B84"/>
    <w:rsid w:val="00A87E3F"/>
    <w:rsid w:val="00A90888"/>
    <w:rsid w:val="00A90903"/>
    <w:rsid w:val="00A90D66"/>
    <w:rsid w:val="00A911AB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63DD"/>
    <w:rsid w:val="00A967BE"/>
    <w:rsid w:val="00A96C79"/>
    <w:rsid w:val="00A9741D"/>
    <w:rsid w:val="00A97A09"/>
    <w:rsid w:val="00AA248C"/>
    <w:rsid w:val="00AA26CE"/>
    <w:rsid w:val="00AA3917"/>
    <w:rsid w:val="00AA3C2E"/>
    <w:rsid w:val="00AA3E6A"/>
    <w:rsid w:val="00AA446B"/>
    <w:rsid w:val="00AA48F7"/>
    <w:rsid w:val="00AA4A5C"/>
    <w:rsid w:val="00AA587E"/>
    <w:rsid w:val="00AA5CE2"/>
    <w:rsid w:val="00AA5E85"/>
    <w:rsid w:val="00AA6221"/>
    <w:rsid w:val="00AA6826"/>
    <w:rsid w:val="00AA698B"/>
    <w:rsid w:val="00AA6E41"/>
    <w:rsid w:val="00AA7358"/>
    <w:rsid w:val="00AB14C9"/>
    <w:rsid w:val="00AB16AA"/>
    <w:rsid w:val="00AB345F"/>
    <w:rsid w:val="00AB4E07"/>
    <w:rsid w:val="00AB5DF1"/>
    <w:rsid w:val="00AB6A95"/>
    <w:rsid w:val="00AB6AE8"/>
    <w:rsid w:val="00AC1275"/>
    <w:rsid w:val="00AC198C"/>
    <w:rsid w:val="00AC2D6A"/>
    <w:rsid w:val="00AC3133"/>
    <w:rsid w:val="00AC332C"/>
    <w:rsid w:val="00AC3EF4"/>
    <w:rsid w:val="00AC4254"/>
    <w:rsid w:val="00AC44F5"/>
    <w:rsid w:val="00AC49F0"/>
    <w:rsid w:val="00AC4EB5"/>
    <w:rsid w:val="00AC5453"/>
    <w:rsid w:val="00AC67CF"/>
    <w:rsid w:val="00AC68EE"/>
    <w:rsid w:val="00AC76A6"/>
    <w:rsid w:val="00AC7A5F"/>
    <w:rsid w:val="00AD1492"/>
    <w:rsid w:val="00AD161E"/>
    <w:rsid w:val="00AD392B"/>
    <w:rsid w:val="00AD3FE4"/>
    <w:rsid w:val="00AD4B00"/>
    <w:rsid w:val="00AD5620"/>
    <w:rsid w:val="00AD752C"/>
    <w:rsid w:val="00AD7826"/>
    <w:rsid w:val="00AD7D28"/>
    <w:rsid w:val="00AE05A7"/>
    <w:rsid w:val="00AE0B16"/>
    <w:rsid w:val="00AE0FB3"/>
    <w:rsid w:val="00AE33AD"/>
    <w:rsid w:val="00AE4320"/>
    <w:rsid w:val="00AE5662"/>
    <w:rsid w:val="00AE5982"/>
    <w:rsid w:val="00AE5CF0"/>
    <w:rsid w:val="00AE61E0"/>
    <w:rsid w:val="00AF033D"/>
    <w:rsid w:val="00AF04DF"/>
    <w:rsid w:val="00AF3C3C"/>
    <w:rsid w:val="00AF42B1"/>
    <w:rsid w:val="00AF442C"/>
    <w:rsid w:val="00AF4627"/>
    <w:rsid w:val="00AF483C"/>
    <w:rsid w:val="00AF4D6A"/>
    <w:rsid w:val="00AF74CA"/>
    <w:rsid w:val="00B00372"/>
    <w:rsid w:val="00B0133C"/>
    <w:rsid w:val="00B01A2B"/>
    <w:rsid w:val="00B02F48"/>
    <w:rsid w:val="00B03879"/>
    <w:rsid w:val="00B04D29"/>
    <w:rsid w:val="00B05305"/>
    <w:rsid w:val="00B065DA"/>
    <w:rsid w:val="00B06C8B"/>
    <w:rsid w:val="00B07CC7"/>
    <w:rsid w:val="00B10250"/>
    <w:rsid w:val="00B10D92"/>
    <w:rsid w:val="00B111A0"/>
    <w:rsid w:val="00B11634"/>
    <w:rsid w:val="00B12082"/>
    <w:rsid w:val="00B12BD3"/>
    <w:rsid w:val="00B12C10"/>
    <w:rsid w:val="00B1381E"/>
    <w:rsid w:val="00B143AF"/>
    <w:rsid w:val="00B144DC"/>
    <w:rsid w:val="00B15639"/>
    <w:rsid w:val="00B15A81"/>
    <w:rsid w:val="00B1650A"/>
    <w:rsid w:val="00B16AF2"/>
    <w:rsid w:val="00B22BE5"/>
    <w:rsid w:val="00B23542"/>
    <w:rsid w:val="00B247B4"/>
    <w:rsid w:val="00B24F30"/>
    <w:rsid w:val="00B24FC9"/>
    <w:rsid w:val="00B26547"/>
    <w:rsid w:val="00B30132"/>
    <w:rsid w:val="00B3065A"/>
    <w:rsid w:val="00B3078F"/>
    <w:rsid w:val="00B309DA"/>
    <w:rsid w:val="00B3138E"/>
    <w:rsid w:val="00B31637"/>
    <w:rsid w:val="00B31644"/>
    <w:rsid w:val="00B31D24"/>
    <w:rsid w:val="00B31D42"/>
    <w:rsid w:val="00B34B0B"/>
    <w:rsid w:val="00B35064"/>
    <w:rsid w:val="00B36575"/>
    <w:rsid w:val="00B376BC"/>
    <w:rsid w:val="00B37707"/>
    <w:rsid w:val="00B37812"/>
    <w:rsid w:val="00B40BE3"/>
    <w:rsid w:val="00B41110"/>
    <w:rsid w:val="00B41F95"/>
    <w:rsid w:val="00B42470"/>
    <w:rsid w:val="00B43C5F"/>
    <w:rsid w:val="00B441BB"/>
    <w:rsid w:val="00B44F81"/>
    <w:rsid w:val="00B45217"/>
    <w:rsid w:val="00B4565B"/>
    <w:rsid w:val="00B46652"/>
    <w:rsid w:val="00B4717A"/>
    <w:rsid w:val="00B476C7"/>
    <w:rsid w:val="00B478DC"/>
    <w:rsid w:val="00B47B8C"/>
    <w:rsid w:val="00B501D5"/>
    <w:rsid w:val="00B506AF"/>
    <w:rsid w:val="00B50DCB"/>
    <w:rsid w:val="00B50E8C"/>
    <w:rsid w:val="00B51402"/>
    <w:rsid w:val="00B51906"/>
    <w:rsid w:val="00B51B56"/>
    <w:rsid w:val="00B52109"/>
    <w:rsid w:val="00B527AF"/>
    <w:rsid w:val="00B53366"/>
    <w:rsid w:val="00B53450"/>
    <w:rsid w:val="00B54EFC"/>
    <w:rsid w:val="00B558BD"/>
    <w:rsid w:val="00B56A17"/>
    <w:rsid w:val="00B56B2C"/>
    <w:rsid w:val="00B57845"/>
    <w:rsid w:val="00B57CD5"/>
    <w:rsid w:val="00B60480"/>
    <w:rsid w:val="00B607B2"/>
    <w:rsid w:val="00B62175"/>
    <w:rsid w:val="00B62ED5"/>
    <w:rsid w:val="00B63904"/>
    <w:rsid w:val="00B63ECE"/>
    <w:rsid w:val="00B643DC"/>
    <w:rsid w:val="00B650CE"/>
    <w:rsid w:val="00B65331"/>
    <w:rsid w:val="00B65B79"/>
    <w:rsid w:val="00B65D3D"/>
    <w:rsid w:val="00B66049"/>
    <w:rsid w:val="00B6606A"/>
    <w:rsid w:val="00B662A8"/>
    <w:rsid w:val="00B66FB4"/>
    <w:rsid w:val="00B674E5"/>
    <w:rsid w:val="00B67970"/>
    <w:rsid w:val="00B70238"/>
    <w:rsid w:val="00B70603"/>
    <w:rsid w:val="00B711FA"/>
    <w:rsid w:val="00B71CDC"/>
    <w:rsid w:val="00B72092"/>
    <w:rsid w:val="00B7412A"/>
    <w:rsid w:val="00B74AAB"/>
    <w:rsid w:val="00B74E38"/>
    <w:rsid w:val="00B7568C"/>
    <w:rsid w:val="00B75A85"/>
    <w:rsid w:val="00B7602C"/>
    <w:rsid w:val="00B76118"/>
    <w:rsid w:val="00B769C5"/>
    <w:rsid w:val="00B76B20"/>
    <w:rsid w:val="00B7729A"/>
    <w:rsid w:val="00B800D1"/>
    <w:rsid w:val="00B80D6B"/>
    <w:rsid w:val="00B81485"/>
    <w:rsid w:val="00B81489"/>
    <w:rsid w:val="00B81636"/>
    <w:rsid w:val="00B82071"/>
    <w:rsid w:val="00B8247E"/>
    <w:rsid w:val="00B824FC"/>
    <w:rsid w:val="00B82695"/>
    <w:rsid w:val="00B82B69"/>
    <w:rsid w:val="00B8371F"/>
    <w:rsid w:val="00B83A91"/>
    <w:rsid w:val="00B83CF1"/>
    <w:rsid w:val="00B8450C"/>
    <w:rsid w:val="00B8462E"/>
    <w:rsid w:val="00B84D1B"/>
    <w:rsid w:val="00B84DFD"/>
    <w:rsid w:val="00B8519F"/>
    <w:rsid w:val="00B8524D"/>
    <w:rsid w:val="00B855EA"/>
    <w:rsid w:val="00B8685B"/>
    <w:rsid w:val="00B86B67"/>
    <w:rsid w:val="00B86EB0"/>
    <w:rsid w:val="00B8791D"/>
    <w:rsid w:val="00B90440"/>
    <w:rsid w:val="00B9081E"/>
    <w:rsid w:val="00B91C7E"/>
    <w:rsid w:val="00B91FA9"/>
    <w:rsid w:val="00B9254D"/>
    <w:rsid w:val="00B92EE3"/>
    <w:rsid w:val="00B9389F"/>
    <w:rsid w:val="00B945EC"/>
    <w:rsid w:val="00B94724"/>
    <w:rsid w:val="00B9483D"/>
    <w:rsid w:val="00B955B8"/>
    <w:rsid w:val="00B96195"/>
    <w:rsid w:val="00B961F1"/>
    <w:rsid w:val="00B96656"/>
    <w:rsid w:val="00B97986"/>
    <w:rsid w:val="00B97E48"/>
    <w:rsid w:val="00BA0939"/>
    <w:rsid w:val="00BA0C6E"/>
    <w:rsid w:val="00BA1925"/>
    <w:rsid w:val="00BA2C0F"/>
    <w:rsid w:val="00BA30AD"/>
    <w:rsid w:val="00BA3815"/>
    <w:rsid w:val="00BA3F63"/>
    <w:rsid w:val="00BA54DD"/>
    <w:rsid w:val="00BA5E98"/>
    <w:rsid w:val="00BA5F9D"/>
    <w:rsid w:val="00BA6EF7"/>
    <w:rsid w:val="00BB0391"/>
    <w:rsid w:val="00BB094D"/>
    <w:rsid w:val="00BB0A23"/>
    <w:rsid w:val="00BB1FEF"/>
    <w:rsid w:val="00BB20F9"/>
    <w:rsid w:val="00BB25DF"/>
    <w:rsid w:val="00BB27CA"/>
    <w:rsid w:val="00BB2DD5"/>
    <w:rsid w:val="00BB57B7"/>
    <w:rsid w:val="00BB626C"/>
    <w:rsid w:val="00BB63FD"/>
    <w:rsid w:val="00BB7530"/>
    <w:rsid w:val="00BC01CA"/>
    <w:rsid w:val="00BC05D1"/>
    <w:rsid w:val="00BC09E1"/>
    <w:rsid w:val="00BC0A4A"/>
    <w:rsid w:val="00BC111C"/>
    <w:rsid w:val="00BC1D98"/>
    <w:rsid w:val="00BC278C"/>
    <w:rsid w:val="00BC2E39"/>
    <w:rsid w:val="00BC2EE7"/>
    <w:rsid w:val="00BC336D"/>
    <w:rsid w:val="00BC3B50"/>
    <w:rsid w:val="00BC4406"/>
    <w:rsid w:val="00BC49B4"/>
    <w:rsid w:val="00BC58A7"/>
    <w:rsid w:val="00BC64B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FEB"/>
    <w:rsid w:val="00BD3618"/>
    <w:rsid w:val="00BD36D3"/>
    <w:rsid w:val="00BD3F66"/>
    <w:rsid w:val="00BD4161"/>
    <w:rsid w:val="00BD611F"/>
    <w:rsid w:val="00BD619F"/>
    <w:rsid w:val="00BD7B29"/>
    <w:rsid w:val="00BE0E81"/>
    <w:rsid w:val="00BE12C8"/>
    <w:rsid w:val="00BE175D"/>
    <w:rsid w:val="00BE2DE1"/>
    <w:rsid w:val="00BE2E4C"/>
    <w:rsid w:val="00BE2FA7"/>
    <w:rsid w:val="00BE3072"/>
    <w:rsid w:val="00BE40B7"/>
    <w:rsid w:val="00BE46C8"/>
    <w:rsid w:val="00BE4DA2"/>
    <w:rsid w:val="00BE692C"/>
    <w:rsid w:val="00BE6E9D"/>
    <w:rsid w:val="00BE72A2"/>
    <w:rsid w:val="00BF15ED"/>
    <w:rsid w:val="00BF298E"/>
    <w:rsid w:val="00BF360F"/>
    <w:rsid w:val="00BF39C5"/>
    <w:rsid w:val="00BF4115"/>
    <w:rsid w:val="00BF41E0"/>
    <w:rsid w:val="00BF5791"/>
    <w:rsid w:val="00BF5C07"/>
    <w:rsid w:val="00BF650A"/>
    <w:rsid w:val="00BF7234"/>
    <w:rsid w:val="00BF73EB"/>
    <w:rsid w:val="00BF76D8"/>
    <w:rsid w:val="00C005F2"/>
    <w:rsid w:val="00C00A26"/>
    <w:rsid w:val="00C02589"/>
    <w:rsid w:val="00C02BDF"/>
    <w:rsid w:val="00C0318E"/>
    <w:rsid w:val="00C03E14"/>
    <w:rsid w:val="00C03E52"/>
    <w:rsid w:val="00C03FDD"/>
    <w:rsid w:val="00C046EB"/>
    <w:rsid w:val="00C05117"/>
    <w:rsid w:val="00C060AA"/>
    <w:rsid w:val="00C06139"/>
    <w:rsid w:val="00C0659D"/>
    <w:rsid w:val="00C068B5"/>
    <w:rsid w:val="00C10731"/>
    <w:rsid w:val="00C10BDD"/>
    <w:rsid w:val="00C10D8C"/>
    <w:rsid w:val="00C11D94"/>
    <w:rsid w:val="00C11DC6"/>
    <w:rsid w:val="00C142A2"/>
    <w:rsid w:val="00C144B6"/>
    <w:rsid w:val="00C14DCE"/>
    <w:rsid w:val="00C1575A"/>
    <w:rsid w:val="00C172AB"/>
    <w:rsid w:val="00C20270"/>
    <w:rsid w:val="00C207EF"/>
    <w:rsid w:val="00C21066"/>
    <w:rsid w:val="00C21484"/>
    <w:rsid w:val="00C2178A"/>
    <w:rsid w:val="00C21AB4"/>
    <w:rsid w:val="00C21C7F"/>
    <w:rsid w:val="00C24814"/>
    <w:rsid w:val="00C24A7A"/>
    <w:rsid w:val="00C26145"/>
    <w:rsid w:val="00C27487"/>
    <w:rsid w:val="00C30146"/>
    <w:rsid w:val="00C302CD"/>
    <w:rsid w:val="00C30503"/>
    <w:rsid w:val="00C3065B"/>
    <w:rsid w:val="00C310D3"/>
    <w:rsid w:val="00C31312"/>
    <w:rsid w:val="00C31D46"/>
    <w:rsid w:val="00C31EF5"/>
    <w:rsid w:val="00C32682"/>
    <w:rsid w:val="00C33053"/>
    <w:rsid w:val="00C33282"/>
    <w:rsid w:val="00C33760"/>
    <w:rsid w:val="00C34457"/>
    <w:rsid w:val="00C3446D"/>
    <w:rsid w:val="00C35645"/>
    <w:rsid w:val="00C35FC2"/>
    <w:rsid w:val="00C36CAE"/>
    <w:rsid w:val="00C408CF"/>
    <w:rsid w:val="00C4107C"/>
    <w:rsid w:val="00C418C7"/>
    <w:rsid w:val="00C41F54"/>
    <w:rsid w:val="00C42938"/>
    <w:rsid w:val="00C429D6"/>
    <w:rsid w:val="00C445A9"/>
    <w:rsid w:val="00C454AB"/>
    <w:rsid w:val="00C455CF"/>
    <w:rsid w:val="00C45B06"/>
    <w:rsid w:val="00C45C4E"/>
    <w:rsid w:val="00C45E08"/>
    <w:rsid w:val="00C46984"/>
    <w:rsid w:val="00C46FB1"/>
    <w:rsid w:val="00C4728A"/>
    <w:rsid w:val="00C47BE5"/>
    <w:rsid w:val="00C5058D"/>
    <w:rsid w:val="00C509B9"/>
    <w:rsid w:val="00C521C8"/>
    <w:rsid w:val="00C52E98"/>
    <w:rsid w:val="00C53311"/>
    <w:rsid w:val="00C5556F"/>
    <w:rsid w:val="00C5584A"/>
    <w:rsid w:val="00C55CC6"/>
    <w:rsid w:val="00C55D4D"/>
    <w:rsid w:val="00C56292"/>
    <w:rsid w:val="00C569B9"/>
    <w:rsid w:val="00C56E63"/>
    <w:rsid w:val="00C570D9"/>
    <w:rsid w:val="00C573CD"/>
    <w:rsid w:val="00C57B73"/>
    <w:rsid w:val="00C57DE2"/>
    <w:rsid w:val="00C6022D"/>
    <w:rsid w:val="00C60A27"/>
    <w:rsid w:val="00C61363"/>
    <w:rsid w:val="00C622FA"/>
    <w:rsid w:val="00C6248B"/>
    <w:rsid w:val="00C63A4B"/>
    <w:rsid w:val="00C64395"/>
    <w:rsid w:val="00C64E5E"/>
    <w:rsid w:val="00C67CB6"/>
    <w:rsid w:val="00C70444"/>
    <w:rsid w:val="00C70789"/>
    <w:rsid w:val="00C709CD"/>
    <w:rsid w:val="00C72103"/>
    <w:rsid w:val="00C7471C"/>
    <w:rsid w:val="00C74C95"/>
    <w:rsid w:val="00C7549F"/>
    <w:rsid w:val="00C77AA4"/>
    <w:rsid w:val="00C8057A"/>
    <w:rsid w:val="00C80DBD"/>
    <w:rsid w:val="00C82577"/>
    <w:rsid w:val="00C82AAE"/>
    <w:rsid w:val="00C82EC2"/>
    <w:rsid w:val="00C839AF"/>
    <w:rsid w:val="00C85CCF"/>
    <w:rsid w:val="00C85EC2"/>
    <w:rsid w:val="00C86BC7"/>
    <w:rsid w:val="00C86CE3"/>
    <w:rsid w:val="00C86F21"/>
    <w:rsid w:val="00C871FC"/>
    <w:rsid w:val="00C8757A"/>
    <w:rsid w:val="00C87947"/>
    <w:rsid w:val="00C907AD"/>
    <w:rsid w:val="00C908B5"/>
    <w:rsid w:val="00C92504"/>
    <w:rsid w:val="00C925AE"/>
    <w:rsid w:val="00C92E38"/>
    <w:rsid w:val="00C9330C"/>
    <w:rsid w:val="00C9343C"/>
    <w:rsid w:val="00C94497"/>
    <w:rsid w:val="00C9458F"/>
    <w:rsid w:val="00C9471A"/>
    <w:rsid w:val="00C95BEF"/>
    <w:rsid w:val="00C96DFB"/>
    <w:rsid w:val="00CA0AE6"/>
    <w:rsid w:val="00CA14BC"/>
    <w:rsid w:val="00CA2232"/>
    <w:rsid w:val="00CA2378"/>
    <w:rsid w:val="00CA24DF"/>
    <w:rsid w:val="00CA38D4"/>
    <w:rsid w:val="00CA59F5"/>
    <w:rsid w:val="00CA69B5"/>
    <w:rsid w:val="00CA6BFD"/>
    <w:rsid w:val="00CA7229"/>
    <w:rsid w:val="00CA7577"/>
    <w:rsid w:val="00CA7678"/>
    <w:rsid w:val="00CB05C8"/>
    <w:rsid w:val="00CB1B38"/>
    <w:rsid w:val="00CB2463"/>
    <w:rsid w:val="00CB3A44"/>
    <w:rsid w:val="00CB3BAA"/>
    <w:rsid w:val="00CB3FDB"/>
    <w:rsid w:val="00CB4403"/>
    <w:rsid w:val="00CB4902"/>
    <w:rsid w:val="00CB5227"/>
    <w:rsid w:val="00CB57F8"/>
    <w:rsid w:val="00CB5E6E"/>
    <w:rsid w:val="00CB6231"/>
    <w:rsid w:val="00CB75ED"/>
    <w:rsid w:val="00CB7906"/>
    <w:rsid w:val="00CC0B73"/>
    <w:rsid w:val="00CC1051"/>
    <w:rsid w:val="00CC1496"/>
    <w:rsid w:val="00CC149F"/>
    <w:rsid w:val="00CC26C5"/>
    <w:rsid w:val="00CC289A"/>
    <w:rsid w:val="00CC2BF6"/>
    <w:rsid w:val="00CC4E58"/>
    <w:rsid w:val="00CC51E4"/>
    <w:rsid w:val="00CC5A17"/>
    <w:rsid w:val="00CC5F3B"/>
    <w:rsid w:val="00CC625E"/>
    <w:rsid w:val="00CC70D8"/>
    <w:rsid w:val="00CC7222"/>
    <w:rsid w:val="00CC7302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5671"/>
    <w:rsid w:val="00CD5978"/>
    <w:rsid w:val="00CD681A"/>
    <w:rsid w:val="00CD6DFF"/>
    <w:rsid w:val="00CD6E99"/>
    <w:rsid w:val="00CD7333"/>
    <w:rsid w:val="00CD7C5C"/>
    <w:rsid w:val="00CE0107"/>
    <w:rsid w:val="00CE08CE"/>
    <w:rsid w:val="00CE0E35"/>
    <w:rsid w:val="00CE0F46"/>
    <w:rsid w:val="00CE165F"/>
    <w:rsid w:val="00CE2505"/>
    <w:rsid w:val="00CE2FA3"/>
    <w:rsid w:val="00CE34FB"/>
    <w:rsid w:val="00CE4288"/>
    <w:rsid w:val="00CE47A7"/>
    <w:rsid w:val="00CE4F03"/>
    <w:rsid w:val="00CE5A43"/>
    <w:rsid w:val="00CE6A9E"/>
    <w:rsid w:val="00CE718A"/>
    <w:rsid w:val="00CE7BB5"/>
    <w:rsid w:val="00CF014E"/>
    <w:rsid w:val="00CF09FB"/>
    <w:rsid w:val="00CF0A4B"/>
    <w:rsid w:val="00CF0CFA"/>
    <w:rsid w:val="00CF3217"/>
    <w:rsid w:val="00CF4F02"/>
    <w:rsid w:val="00CF5046"/>
    <w:rsid w:val="00CF77F2"/>
    <w:rsid w:val="00D00266"/>
    <w:rsid w:val="00D0099C"/>
    <w:rsid w:val="00D00EE7"/>
    <w:rsid w:val="00D01031"/>
    <w:rsid w:val="00D0349E"/>
    <w:rsid w:val="00D0441C"/>
    <w:rsid w:val="00D06991"/>
    <w:rsid w:val="00D07E75"/>
    <w:rsid w:val="00D10224"/>
    <w:rsid w:val="00D10DC3"/>
    <w:rsid w:val="00D11D26"/>
    <w:rsid w:val="00D12FA1"/>
    <w:rsid w:val="00D167D9"/>
    <w:rsid w:val="00D16E7D"/>
    <w:rsid w:val="00D17582"/>
    <w:rsid w:val="00D2091C"/>
    <w:rsid w:val="00D20C56"/>
    <w:rsid w:val="00D20CDC"/>
    <w:rsid w:val="00D224CC"/>
    <w:rsid w:val="00D252E0"/>
    <w:rsid w:val="00D258D8"/>
    <w:rsid w:val="00D273E0"/>
    <w:rsid w:val="00D30672"/>
    <w:rsid w:val="00D306C2"/>
    <w:rsid w:val="00D307DA"/>
    <w:rsid w:val="00D30B74"/>
    <w:rsid w:val="00D30D0E"/>
    <w:rsid w:val="00D30DE9"/>
    <w:rsid w:val="00D32029"/>
    <w:rsid w:val="00D329EE"/>
    <w:rsid w:val="00D33871"/>
    <w:rsid w:val="00D33AFA"/>
    <w:rsid w:val="00D34E90"/>
    <w:rsid w:val="00D34E9A"/>
    <w:rsid w:val="00D35D3F"/>
    <w:rsid w:val="00D3730C"/>
    <w:rsid w:val="00D37336"/>
    <w:rsid w:val="00D3773C"/>
    <w:rsid w:val="00D37B6E"/>
    <w:rsid w:val="00D402DA"/>
    <w:rsid w:val="00D40687"/>
    <w:rsid w:val="00D40AE4"/>
    <w:rsid w:val="00D41286"/>
    <w:rsid w:val="00D41688"/>
    <w:rsid w:val="00D42729"/>
    <w:rsid w:val="00D436FB"/>
    <w:rsid w:val="00D43A0B"/>
    <w:rsid w:val="00D45839"/>
    <w:rsid w:val="00D46BD9"/>
    <w:rsid w:val="00D47526"/>
    <w:rsid w:val="00D4763E"/>
    <w:rsid w:val="00D47E06"/>
    <w:rsid w:val="00D50A39"/>
    <w:rsid w:val="00D51C1A"/>
    <w:rsid w:val="00D527C7"/>
    <w:rsid w:val="00D52CFD"/>
    <w:rsid w:val="00D5342B"/>
    <w:rsid w:val="00D53852"/>
    <w:rsid w:val="00D547BD"/>
    <w:rsid w:val="00D5487B"/>
    <w:rsid w:val="00D54A29"/>
    <w:rsid w:val="00D5743C"/>
    <w:rsid w:val="00D575EA"/>
    <w:rsid w:val="00D6008F"/>
    <w:rsid w:val="00D60382"/>
    <w:rsid w:val="00D60EF0"/>
    <w:rsid w:val="00D61DF0"/>
    <w:rsid w:val="00D62926"/>
    <w:rsid w:val="00D62A09"/>
    <w:rsid w:val="00D6392F"/>
    <w:rsid w:val="00D63A4F"/>
    <w:rsid w:val="00D655D3"/>
    <w:rsid w:val="00D66BCE"/>
    <w:rsid w:val="00D6707E"/>
    <w:rsid w:val="00D703D5"/>
    <w:rsid w:val="00D70428"/>
    <w:rsid w:val="00D70F4B"/>
    <w:rsid w:val="00D70FAE"/>
    <w:rsid w:val="00D71180"/>
    <w:rsid w:val="00D71E5A"/>
    <w:rsid w:val="00D72152"/>
    <w:rsid w:val="00D74821"/>
    <w:rsid w:val="00D7483B"/>
    <w:rsid w:val="00D749FC"/>
    <w:rsid w:val="00D75189"/>
    <w:rsid w:val="00D75DCC"/>
    <w:rsid w:val="00D75E0D"/>
    <w:rsid w:val="00D76573"/>
    <w:rsid w:val="00D76892"/>
    <w:rsid w:val="00D7744E"/>
    <w:rsid w:val="00D77AEE"/>
    <w:rsid w:val="00D77C67"/>
    <w:rsid w:val="00D81163"/>
    <w:rsid w:val="00D820EB"/>
    <w:rsid w:val="00D82635"/>
    <w:rsid w:val="00D8269E"/>
    <w:rsid w:val="00D832EE"/>
    <w:rsid w:val="00D83E8E"/>
    <w:rsid w:val="00D84B15"/>
    <w:rsid w:val="00D84C1B"/>
    <w:rsid w:val="00D8590C"/>
    <w:rsid w:val="00D861E0"/>
    <w:rsid w:val="00D8649F"/>
    <w:rsid w:val="00D867A3"/>
    <w:rsid w:val="00D870A6"/>
    <w:rsid w:val="00D87CCB"/>
    <w:rsid w:val="00D90664"/>
    <w:rsid w:val="00D9076A"/>
    <w:rsid w:val="00D91A7E"/>
    <w:rsid w:val="00D930D4"/>
    <w:rsid w:val="00D93684"/>
    <w:rsid w:val="00D93C72"/>
    <w:rsid w:val="00D93D9E"/>
    <w:rsid w:val="00D94197"/>
    <w:rsid w:val="00D94634"/>
    <w:rsid w:val="00D948A9"/>
    <w:rsid w:val="00D954FE"/>
    <w:rsid w:val="00D95A4F"/>
    <w:rsid w:val="00D963A5"/>
    <w:rsid w:val="00DA34C8"/>
    <w:rsid w:val="00DA3D2D"/>
    <w:rsid w:val="00DA4692"/>
    <w:rsid w:val="00DA52B0"/>
    <w:rsid w:val="00DA5613"/>
    <w:rsid w:val="00DA5986"/>
    <w:rsid w:val="00DA648C"/>
    <w:rsid w:val="00DA6B54"/>
    <w:rsid w:val="00DA75B5"/>
    <w:rsid w:val="00DA78A1"/>
    <w:rsid w:val="00DB0F14"/>
    <w:rsid w:val="00DB11AF"/>
    <w:rsid w:val="00DB138B"/>
    <w:rsid w:val="00DB21FA"/>
    <w:rsid w:val="00DB2352"/>
    <w:rsid w:val="00DB27A9"/>
    <w:rsid w:val="00DB293A"/>
    <w:rsid w:val="00DB29D7"/>
    <w:rsid w:val="00DB2F51"/>
    <w:rsid w:val="00DB41D2"/>
    <w:rsid w:val="00DB45AE"/>
    <w:rsid w:val="00DB4AB7"/>
    <w:rsid w:val="00DB5E4A"/>
    <w:rsid w:val="00DB7D2E"/>
    <w:rsid w:val="00DB7EFC"/>
    <w:rsid w:val="00DC052F"/>
    <w:rsid w:val="00DC0C38"/>
    <w:rsid w:val="00DC1A12"/>
    <w:rsid w:val="00DC2D8F"/>
    <w:rsid w:val="00DC2F94"/>
    <w:rsid w:val="00DC4C00"/>
    <w:rsid w:val="00DC4E48"/>
    <w:rsid w:val="00DC75CA"/>
    <w:rsid w:val="00DC7C76"/>
    <w:rsid w:val="00DD29C0"/>
    <w:rsid w:val="00DD32A6"/>
    <w:rsid w:val="00DD358F"/>
    <w:rsid w:val="00DD3BFD"/>
    <w:rsid w:val="00DD4344"/>
    <w:rsid w:val="00DD4A1F"/>
    <w:rsid w:val="00DD4AEF"/>
    <w:rsid w:val="00DD54F4"/>
    <w:rsid w:val="00DD5A2F"/>
    <w:rsid w:val="00DD742B"/>
    <w:rsid w:val="00DE146F"/>
    <w:rsid w:val="00DE1986"/>
    <w:rsid w:val="00DE2171"/>
    <w:rsid w:val="00DE39D7"/>
    <w:rsid w:val="00DE56AD"/>
    <w:rsid w:val="00DE635A"/>
    <w:rsid w:val="00DE79AD"/>
    <w:rsid w:val="00DE7C7C"/>
    <w:rsid w:val="00DF0009"/>
    <w:rsid w:val="00DF04EB"/>
    <w:rsid w:val="00DF0A33"/>
    <w:rsid w:val="00DF0B53"/>
    <w:rsid w:val="00DF15B0"/>
    <w:rsid w:val="00DF16AC"/>
    <w:rsid w:val="00DF2E4B"/>
    <w:rsid w:val="00DF44DB"/>
    <w:rsid w:val="00DF5FBE"/>
    <w:rsid w:val="00DF6BD6"/>
    <w:rsid w:val="00E022E3"/>
    <w:rsid w:val="00E02E52"/>
    <w:rsid w:val="00E0329F"/>
    <w:rsid w:val="00E03B7C"/>
    <w:rsid w:val="00E03C43"/>
    <w:rsid w:val="00E052C6"/>
    <w:rsid w:val="00E05317"/>
    <w:rsid w:val="00E05B86"/>
    <w:rsid w:val="00E06D79"/>
    <w:rsid w:val="00E0795C"/>
    <w:rsid w:val="00E10773"/>
    <w:rsid w:val="00E10BBD"/>
    <w:rsid w:val="00E10FC0"/>
    <w:rsid w:val="00E12342"/>
    <w:rsid w:val="00E12E21"/>
    <w:rsid w:val="00E1420C"/>
    <w:rsid w:val="00E14777"/>
    <w:rsid w:val="00E14C1A"/>
    <w:rsid w:val="00E16AF7"/>
    <w:rsid w:val="00E17E2D"/>
    <w:rsid w:val="00E202A2"/>
    <w:rsid w:val="00E210CA"/>
    <w:rsid w:val="00E2142D"/>
    <w:rsid w:val="00E2226D"/>
    <w:rsid w:val="00E225AC"/>
    <w:rsid w:val="00E225C2"/>
    <w:rsid w:val="00E23E15"/>
    <w:rsid w:val="00E24DC2"/>
    <w:rsid w:val="00E2507D"/>
    <w:rsid w:val="00E253A3"/>
    <w:rsid w:val="00E26609"/>
    <w:rsid w:val="00E27EDA"/>
    <w:rsid w:val="00E30427"/>
    <w:rsid w:val="00E30992"/>
    <w:rsid w:val="00E31125"/>
    <w:rsid w:val="00E31139"/>
    <w:rsid w:val="00E31A1A"/>
    <w:rsid w:val="00E32D1F"/>
    <w:rsid w:val="00E3335D"/>
    <w:rsid w:val="00E335A2"/>
    <w:rsid w:val="00E343C3"/>
    <w:rsid w:val="00E372A4"/>
    <w:rsid w:val="00E40104"/>
    <w:rsid w:val="00E4037A"/>
    <w:rsid w:val="00E405E5"/>
    <w:rsid w:val="00E40CBB"/>
    <w:rsid w:val="00E42DC5"/>
    <w:rsid w:val="00E43035"/>
    <w:rsid w:val="00E45F18"/>
    <w:rsid w:val="00E46813"/>
    <w:rsid w:val="00E513DE"/>
    <w:rsid w:val="00E52A17"/>
    <w:rsid w:val="00E52FFD"/>
    <w:rsid w:val="00E55ADD"/>
    <w:rsid w:val="00E565C8"/>
    <w:rsid w:val="00E57308"/>
    <w:rsid w:val="00E57986"/>
    <w:rsid w:val="00E615C3"/>
    <w:rsid w:val="00E62E93"/>
    <w:rsid w:val="00E636A1"/>
    <w:rsid w:val="00E64274"/>
    <w:rsid w:val="00E644D3"/>
    <w:rsid w:val="00E6596F"/>
    <w:rsid w:val="00E65C47"/>
    <w:rsid w:val="00E66706"/>
    <w:rsid w:val="00E66DEC"/>
    <w:rsid w:val="00E67DFF"/>
    <w:rsid w:val="00E704C3"/>
    <w:rsid w:val="00E718D8"/>
    <w:rsid w:val="00E72E91"/>
    <w:rsid w:val="00E738A2"/>
    <w:rsid w:val="00E73F06"/>
    <w:rsid w:val="00E742EF"/>
    <w:rsid w:val="00E74EB1"/>
    <w:rsid w:val="00E767F3"/>
    <w:rsid w:val="00E768DC"/>
    <w:rsid w:val="00E7745B"/>
    <w:rsid w:val="00E7758A"/>
    <w:rsid w:val="00E81203"/>
    <w:rsid w:val="00E81537"/>
    <w:rsid w:val="00E82775"/>
    <w:rsid w:val="00E827D1"/>
    <w:rsid w:val="00E82E2E"/>
    <w:rsid w:val="00E84833"/>
    <w:rsid w:val="00E84D02"/>
    <w:rsid w:val="00E857E7"/>
    <w:rsid w:val="00E85B18"/>
    <w:rsid w:val="00E86900"/>
    <w:rsid w:val="00E8720E"/>
    <w:rsid w:val="00E876FA"/>
    <w:rsid w:val="00E879D1"/>
    <w:rsid w:val="00E87E27"/>
    <w:rsid w:val="00E9140C"/>
    <w:rsid w:val="00E917C1"/>
    <w:rsid w:val="00E91FC6"/>
    <w:rsid w:val="00E92254"/>
    <w:rsid w:val="00E92F23"/>
    <w:rsid w:val="00E94756"/>
    <w:rsid w:val="00E95B5F"/>
    <w:rsid w:val="00E95C89"/>
    <w:rsid w:val="00E95E5F"/>
    <w:rsid w:val="00E95FF9"/>
    <w:rsid w:val="00E966C7"/>
    <w:rsid w:val="00E9733C"/>
    <w:rsid w:val="00E97AFD"/>
    <w:rsid w:val="00EA07AA"/>
    <w:rsid w:val="00EA2915"/>
    <w:rsid w:val="00EA39E8"/>
    <w:rsid w:val="00EA5644"/>
    <w:rsid w:val="00EA622F"/>
    <w:rsid w:val="00EA6589"/>
    <w:rsid w:val="00EA730A"/>
    <w:rsid w:val="00EB1785"/>
    <w:rsid w:val="00EB504C"/>
    <w:rsid w:val="00EB537F"/>
    <w:rsid w:val="00EB5AC5"/>
    <w:rsid w:val="00EB5F2F"/>
    <w:rsid w:val="00EB7741"/>
    <w:rsid w:val="00EC10F6"/>
    <w:rsid w:val="00EC2395"/>
    <w:rsid w:val="00EC23EE"/>
    <w:rsid w:val="00EC2B04"/>
    <w:rsid w:val="00EC2B69"/>
    <w:rsid w:val="00EC3107"/>
    <w:rsid w:val="00EC349F"/>
    <w:rsid w:val="00EC452E"/>
    <w:rsid w:val="00EC54F3"/>
    <w:rsid w:val="00EC59AD"/>
    <w:rsid w:val="00EC5FD4"/>
    <w:rsid w:val="00EC6074"/>
    <w:rsid w:val="00EC70DF"/>
    <w:rsid w:val="00ED0584"/>
    <w:rsid w:val="00ED0E09"/>
    <w:rsid w:val="00ED1168"/>
    <w:rsid w:val="00ED1BF8"/>
    <w:rsid w:val="00ED1D57"/>
    <w:rsid w:val="00ED1D5F"/>
    <w:rsid w:val="00ED314D"/>
    <w:rsid w:val="00ED34C7"/>
    <w:rsid w:val="00ED4C0D"/>
    <w:rsid w:val="00ED67B1"/>
    <w:rsid w:val="00ED6960"/>
    <w:rsid w:val="00ED6FF6"/>
    <w:rsid w:val="00ED721B"/>
    <w:rsid w:val="00ED7DE0"/>
    <w:rsid w:val="00ED7FF7"/>
    <w:rsid w:val="00EE0046"/>
    <w:rsid w:val="00EE05D9"/>
    <w:rsid w:val="00EE0B0D"/>
    <w:rsid w:val="00EE1A38"/>
    <w:rsid w:val="00EE1B30"/>
    <w:rsid w:val="00EE1EFD"/>
    <w:rsid w:val="00EE24AB"/>
    <w:rsid w:val="00EE2500"/>
    <w:rsid w:val="00EE2AB4"/>
    <w:rsid w:val="00EE4520"/>
    <w:rsid w:val="00EE4F99"/>
    <w:rsid w:val="00EE5469"/>
    <w:rsid w:val="00EE5D39"/>
    <w:rsid w:val="00EE685D"/>
    <w:rsid w:val="00EE6A79"/>
    <w:rsid w:val="00EE716E"/>
    <w:rsid w:val="00EE7A8C"/>
    <w:rsid w:val="00EF0637"/>
    <w:rsid w:val="00EF1264"/>
    <w:rsid w:val="00EF13CA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F73"/>
    <w:rsid w:val="00EF4D7C"/>
    <w:rsid w:val="00EF5024"/>
    <w:rsid w:val="00EF53F2"/>
    <w:rsid w:val="00EF55E3"/>
    <w:rsid w:val="00EF5751"/>
    <w:rsid w:val="00EF5D20"/>
    <w:rsid w:val="00EF65F9"/>
    <w:rsid w:val="00EF6B5E"/>
    <w:rsid w:val="00EF6DC6"/>
    <w:rsid w:val="00EF726E"/>
    <w:rsid w:val="00F00D67"/>
    <w:rsid w:val="00F0271E"/>
    <w:rsid w:val="00F03DBC"/>
    <w:rsid w:val="00F03E31"/>
    <w:rsid w:val="00F03E41"/>
    <w:rsid w:val="00F05645"/>
    <w:rsid w:val="00F05AFA"/>
    <w:rsid w:val="00F06A78"/>
    <w:rsid w:val="00F06D80"/>
    <w:rsid w:val="00F076E2"/>
    <w:rsid w:val="00F07C28"/>
    <w:rsid w:val="00F07DE0"/>
    <w:rsid w:val="00F10020"/>
    <w:rsid w:val="00F10160"/>
    <w:rsid w:val="00F1016F"/>
    <w:rsid w:val="00F1025B"/>
    <w:rsid w:val="00F1061C"/>
    <w:rsid w:val="00F10FF3"/>
    <w:rsid w:val="00F11198"/>
    <w:rsid w:val="00F11331"/>
    <w:rsid w:val="00F12CA7"/>
    <w:rsid w:val="00F13493"/>
    <w:rsid w:val="00F1390E"/>
    <w:rsid w:val="00F13961"/>
    <w:rsid w:val="00F1466E"/>
    <w:rsid w:val="00F148AD"/>
    <w:rsid w:val="00F14AB6"/>
    <w:rsid w:val="00F15B84"/>
    <w:rsid w:val="00F16529"/>
    <w:rsid w:val="00F16832"/>
    <w:rsid w:val="00F174E2"/>
    <w:rsid w:val="00F20674"/>
    <w:rsid w:val="00F21DBB"/>
    <w:rsid w:val="00F241D9"/>
    <w:rsid w:val="00F24784"/>
    <w:rsid w:val="00F24E85"/>
    <w:rsid w:val="00F250E6"/>
    <w:rsid w:val="00F25BB5"/>
    <w:rsid w:val="00F2657B"/>
    <w:rsid w:val="00F267BE"/>
    <w:rsid w:val="00F27210"/>
    <w:rsid w:val="00F2789C"/>
    <w:rsid w:val="00F27C1D"/>
    <w:rsid w:val="00F30486"/>
    <w:rsid w:val="00F30675"/>
    <w:rsid w:val="00F30D4B"/>
    <w:rsid w:val="00F3227F"/>
    <w:rsid w:val="00F34BA9"/>
    <w:rsid w:val="00F35669"/>
    <w:rsid w:val="00F35B0B"/>
    <w:rsid w:val="00F35C32"/>
    <w:rsid w:val="00F35DED"/>
    <w:rsid w:val="00F36620"/>
    <w:rsid w:val="00F3795F"/>
    <w:rsid w:val="00F37E39"/>
    <w:rsid w:val="00F4000F"/>
    <w:rsid w:val="00F40B68"/>
    <w:rsid w:val="00F40ECD"/>
    <w:rsid w:val="00F4294D"/>
    <w:rsid w:val="00F44C1B"/>
    <w:rsid w:val="00F44EA6"/>
    <w:rsid w:val="00F46653"/>
    <w:rsid w:val="00F4704E"/>
    <w:rsid w:val="00F474F0"/>
    <w:rsid w:val="00F47664"/>
    <w:rsid w:val="00F4776F"/>
    <w:rsid w:val="00F47EE0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4150"/>
    <w:rsid w:val="00F549CF"/>
    <w:rsid w:val="00F5586C"/>
    <w:rsid w:val="00F56644"/>
    <w:rsid w:val="00F566E9"/>
    <w:rsid w:val="00F56FFB"/>
    <w:rsid w:val="00F5749C"/>
    <w:rsid w:val="00F61607"/>
    <w:rsid w:val="00F618ED"/>
    <w:rsid w:val="00F61F8F"/>
    <w:rsid w:val="00F61FE5"/>
    <w:rsid w:val="00F6220F"/>
    <w:rsid w:val="00F62F61"/>
    <w:rsid w:val="00F63B2E"/>
    <w:rsid w:val="00F649A1"/>
    <w:rsid w:val="00F6564D"/>
    <w:rsid w:val="00F65697"/>
    <w:rsid w:val="00F66232"/>
    <w:rsid w:val="00F6772C"/>
    <w:rsid w:val="00F67BCF"/>
    <w:rsid w:val="00F67D1E"/>
    <w:rsid w:val="00F67D49"/>
    <w:rsid w:val="00F70756"/>
    <w:rsid w:val="00F709B2"/>
    <w:rsid w:val="00F71DD9"/>
    <w:rsid w:val="00F72EC6"/>
    <w:rsid w:val="00F7375B"/>
    <w:rsid w:val="00F747DB"/>
    <w:rsid w:val="00F74FFB"/>
    <w:rsid w:val="00F750F4"/>
    <w:rsid w:val="00F75190"/>
    <w:rsid w:val="00F751C8"/>
    <w:rsid w:val="00F771FC"/>
    <w:rsid w:val="00F80CFA"/>
    <w:rsid w:val="00F811E8"/>
    <w:rsid w:val="00F818CA"/>
    <w:rsid w:val="00F8243D"/>
    <w:rsid w:val="00F8348D"/>
    <w:rsid w:val="00F85A38"/>
    <w:rsid w:val="00F86045"/>
    <w:rsid w:val="00F86667"/>
    <w:rsid w:val="00F878AC"/>
    <w:rsid w:val="00F87B12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42DE"/>
    <w:rsid w:val="00F94487"/>
    <w:rsid w:val="00F94BFA"/>
    <w:rsid w:val="00F95EDA"/>
    <w:rsid w:val="00F961F5"/>
    <w:rsid w:val="00F96A65"/>
    <w:rsid w:val="00F96BE0"/>
    <w:rsid w:val="00F96CE7"/>
    <w:rsid w:val="00F96D2A"/>
    <w:rsid w:val="00FA0DF2"/>
    <w:rsid w:val="00FA18B2"/>
    <w:rsid w:val="00FA1B42"/>
    <w:rsid w:val="00FA1B49"/>
    <w:rsid w:val="00FA1FD9"/>
    <w:rsid w:val="00FA21F1"/>
    <w:rsid w:val="00FA25BC"/>
    <w:rsid w:val="00FA2B84"/>
    <w:rsid w:val="00FA54BE"/>
    <w:rsid w:val="00FA57BE"/>
    <w:rsid w:val="00FA5B25"/>
    <w:rsid w:val="00FA64EE"/>
    <w:rsid w:val="00FA6995"/>
    <w:rsid w:val="00FA6B67"/>
    <w:rsid w:val="00FA7550"/>
    <w:rsid w:val="00FB00B3"/>
    <w:rsid w:val="00FB15D1"/>
    <w:rsid w:val="00FB28B3"/>
    <w:rsid w:val="00FB3187"/>
    <w:rsid w:val="00FB33B1"/>
    <w:rsid w:val="00FB4379"/>
    <w:rsid w:val="00FB43A6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C11D5"/>
    <w:rsid w:val="00FC1BEE"/>
    <w:rsid w:val="00FC1D54"/>
    <w:rsid w:val="00FC1DA4"/>
    <w:rsid w:val="00FC20C3"/>
    <w:rsid w:val="00FC33DD"/>
    <w:rsid w:val="00FC38F3"/>
    <w:rsid w:val="00FC3ADA"/>
    <w:rsid w:val="00FC3FDE"/>
    <w:rsid w:val="00FC4052"/>
    <w:rsid w:val="00FC5115"/>
    <w:rsid w:val="00FC5BD8"/>
    <w:rsid w:val="00FC601C"/>
    <w:rsid w:val="00FC7263"/>
    <w:rsid w:val="00FD0658"/>
    <w:rsid w:val="00FD09B4"/>
    <w:rsid w:val="00FD1824"/>
    <w:rsid w:val="00FD1F0E"/>
    <w:rsid w:val="00FD21D5"/>
    <w:rsid w:val="00FD2298"/>
    <w:rsid w:val="00FD3095"/>
    <w:rsid w:val="00FD4C58"/>
    <w:rsid w:val="00FD4E57"/>
    <w:rsid w:val="00FD5127"/>
    <w:rsid w:val="00FD5954"/>
    <w:rsid w:val="00FD61C4"/>
    <w:rsid w:val="00FD6AC3"/>
    <w:rsid w:val="00FD7901"/>
    <w:rsid w:val="00FD79BC"/>
    <w:rsid w:val="00FE10D4"/>
    <w:rsid w:val="00FE149E"/>
    <w:rsid w:val="00FE17ED"/>
    <w:rsid w:val="00FE18C9"/>
    <w:rsid w:val="00FE1D23"/>
    <w:rsid w:val="00FE1FC9"/>
    <w:rsid w:val="00FE2599"/>
    <w:rsid w:val="00FE300E"/>
    <w:rsid w:val="00FE3D7B"/>
    <w:rsid w:val="00FE3E0C"/>
    <w:rsid w:val="00FE5277"/>
    <w:rsid w:val="00FE52D5"/>
    <w:rsid w:val="00FE5900"/>
    <w:rsid w:val="00FE5C2B"/>
    <w:rsid w:val="00FE619F"/>
    <w:rsid w:val="00FE6301"/>
    <w:rsid w:val="00FE6E69"/>
    <w:rsid w:val="00FE7432"/>
    <w:rsid w:val="00FF1BA9"/>
    <w:rsid w:val="00FF1D5C"/>
    <w:rsid w:val="00FF20DA"/>
    <w:rsid w:val="00FF2351"/>
    <w:rsid w:val="00FF29FF"/>
    <w:rsid w:val="00FF36FC"/>
    <w:rsid w:val="00FF44EF"/>
    <w:rsid w:val="00FF5010"/>
    <w:rsid w:val="00FF5386"/>
    <w:rsid w:val="00FF54D8"/>
    <w:rsid w:val="00FF54DE"/>
    <w:rsid w:val="00FF5BFA"/>
    <w:rsid w:val="00FF666D"/>
    <w:rsid w:val="00FF6DE2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p.m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 sz="1200" b="1" i="0" strike="noStrike">
                <a:solidFill>
                  <a:srgbClr val="800000"/>
                </a:solidFill>
                <a:latin typeface="Arial"/>
                <a:cs typeface="Arial"/>
              </a:rPr>
              <a:t>عائدات الاسفار</a:t>
            </a:r>
            <a:r>
              <a:rPr lang="ar-MA" sz="1200" b="1" i="0" strike="noStrike">
                <a:solidFill>
                  <a:srgbClr val="000000"/>
                </a:solidFill>
                <a:latin typeface="Arial"/>
                <a:cs typeface="Arial"/>
              </a:rPr>
              <a:t> </a:t>
            </a:r>
          </a:p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MA" sz="1200" b="1" i="0" strike="noStrike">
              <a:solidFill>
                <a:srgbClr val="000000"/>
              </a:solidFill>
              <a:latin typeface="Arial"/>
              <a:cs typeface="Arial"/>
            </a:endParaRPr>
          </a:p>
        </c:rich>
      </c:tx>
      <c:overlay val="1"/>
      <c:spPr>
        <a:noFill/>
        <a:ln w="25405">
          <a:noFill/>
        </a:ln>
      </c:spPr>
    </c:title>
    <c:plotArea>
      <c:layout>
        <c:manualLayout>
          <c:layoutTarget val="inner"/>
          <c:xMode val="edge"/>
          <c:yMode val="edge"/>
          <c:x val="0.10224326389581052"/>
          <c:y val="0.10541427076860165"/>
          <c:w val="0.90614886731391664"/>
          <c:h val="0.65354330708661412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800000"/>
            </a:solidFill>
            <a:ln>
              <a:solidFill>
                <a:srgbClr val="800000"/>
              </a:solidFill>
            </a:ln>
          </c:spPr>
          <c:cat>
            <c:strRef>
              <c:f>séries_recettes!$A$7:$A$36</c:f>
              <c:strCache>
                <c:ptCount val="30"/>
                <c:pt idx="0">
                  <c:v>I-06</c:v>
                </c:pt>
                <c:pt idx="1">
                  <c:v>II-06</c:v>
                </c:pt>
                <c:pt idx="2">
                  <c:v>III-06</c:v>
                </c:pt>
                <c:pt idx="3">
                  <c:v>IV-06</c:v>
                </c:pt>
                <c:pt idx="4">
                  <c:v>I-07</c:v>
                </c:pt>
                <c:pt idx="5">
                  <c:v>II-07</c:v>
                </c:pt>
                <c:pt idx="6">
                  <c:v>III-07</c:v>
                </c:pt>
                <c:pt idx="7">
                  <c:v>IV-07</c:v>
                </c:pt>
                <c:pt idx="8">
                  <c:v>I-08</c:v>
                </c:pt>
                <c:pt idx="9">
                  <c:v>II-08</c:v>
                </c:pt>
                <c:pt idx="10">
                  <c:v>III-08</c:v>
                </c:pt>
                <c:pt idx="11">
                  <c:v>IV-08</c:v>
                </c:pt>
                <c:pt idx="12">
                  <c:v>I-09</c:v>
                </c:pt>
                <c:pt idx="13">
                  <c:v>II-09</c:v>
                </c:pt>
                <c:pt idx="14">
                  <c:v>III-09</c:v>
                </c:pt>
                <c:pt idx="15">
                  <c:v>IV-09</c:v>
                </c:pt>
                <c:pt idx="16">
                  <c:v>I-10</c:v>
                </c:pt>
                <c:pt idx="17">
                  <c:v>II-10</c:v>
                </c:pt>
                <c:pt idx="18">
                  <c:v>III-10</c:v>
                </c:pt>
                <c:pt idx="19">
                  <c:v>IV-10</c:v>
                </c:pt>
                <c:pt idx="20">
                  <c:v>I-11</c:v>
                </c:pt>
                <c:pt idx="21">
                  <c:v>II-11</c:v>
                </c:pt>
                <c:pt idx="22">
                  <c:v>III-11</c:v>
                </c:pt>
                <c:pt idx="23">
                  <c:v>IV-11</c:v>
                </c:pt>
                <c:pt idx="24">
                  <c:v>I-12</c:v>
                </c:pt>
                <c:pt idx="25">
                  <c:v>II-12</c:v>
                </c:pt>
                <c:pt idx="26">
                  <c:v>III-12</c:v>
                </c:pt>
                <c:pt idx="27">
                  <c:v>IV-12</c:v>
                </c:pt>
                <c:pt idx="28">
                  <c:v>I-13</c:v>
                </c:pt>
                <c:pt idx="29">
                  <c:v>II-13</c:v>
                </c:pt>
              </c:strCache>
            </c:strRef>
          </c:cat>
          <c:val>
            <c:numRef>
              <c:f>séries_recettes!$L$7:$L$36</c:f>
              <c:numCache>
                <c:formatCode>0.0</c:formatCode>
                <c:ptCount val="30"/>
                <c:pt idx="0">
                  <c:v>21.976232546859237</c:v>
                </c:pt>
                <c:pt idx="1">
                  <c:v>54.008625901890404</c:v>
                </c:pt>
                <c:pt idx="2">
                  <c:v>17.899194252500816</c:v>
                </c:pt>
                <c:pt idx="3">
                  <c:v>30.871061988992835</c:v>
                </c:pt>
                <c:pt idx="4">
                  <c:v>13.476869473006502</c:v>
                </c:pt>
                <c:pt idx="5">
                  <c:v>0.22246649916248859</c:v>
                </c:pt>
                <c:pt idx="6">
                  <c:v>14.884500843696594</c:v>
                </c:pt>
                <c:pt idx="7">
                  <c:v>16.659600058840333</c:v>
                </c:pt>
                <c:pt idx="8">
                  <c:v>-0.84854654073357461</c:v>
                </c:pt>
                <c:pt idx="9">
                  <c:v>9.5021718503817354</c:v>
                </c:pt>
                <c:pt idx="10">
                  <c:v>-8.3425419452271665</c:v>
                </c:pt>
                <c:pt idx="11">
                  <c:v>-17.067942441774207</c:v>
                </c:pt>
                <c:pt idx="12">
                  <c:v>-23.334876088694465</c:v>
                </c:pt>
                <c:pt idx="13">
                  <c:v>-8.1847450216622324</c:v>
                </c:pt>
                <c:pt idx="14">
                  <c:v>-2.4473926126117354</c:v>
                </c:pt>
                <c:pt idx="15">
                  <c:v>14.066846139398475</c:v>
                </c:pt>
                <c:pt idx="16">
                  <c:v>14.04533230887437</c:v>
                </c:pt>
                <c:pt idx="17">
                  <c:v>26.721443475701001</c:v>
                </c:pt>
                <c:pt idx="18">
                  <c:v>3.6818282465743737</c:v>
                </c:pt>
                <c:pt idx="19">
                  <c:v>8.1474395665571464</c:v>
                </c:pt>
                <c:pt idx="20">
                  <c:v>17.054696297436966</c:v>
                </c:pt>
                <c:pt idx="21">
                  <c:v>-9.1574315737691574</c:v>
                </c:pt>
                <c:pt idx="22">
                  <c:v>-1.1398232901409151</c:v>
                </c:pt>
                <c:pt idx="23">
                  <c:v>-0.30015660344527889</c:v>
                </c:pt>
                <c:pt idx="24">
                  <c:v>-1.8672762105228378</c:v>
                </c:pt>
                <c:pt idx="25">
                  <c:v>-3.5341721884189825</c:v>
                </c:pt>
                <c:pt idx="26">
                  <c:v>-6.6073186905934005</c:v>
                </c:pt>
                <c:pt idx="27">
                  <c:v>5.8146806870573275</c:v>
                </c:pt>
                <c:pt idx="28">
                  <c:v>-1.4914118139924586</c:v>
                </c:pt>
                <c:pt idx="29">
                  <c:v>5.4888507718696484</c:v>
                </c:pt>
              </c:numCache>
            </c:numRef>
          </c:val>
        </c:ser>
        <c:axId val="159695232"/>
        <c:axId val="159696768"/>
      </c:barChart>
      <c:catAx>
        <c:axId val="159695232"/>
        <c:scaling>
          <c:orientation val="minMax"/>
        </c:scaling>
        <c:axPos val="b"/>
        <c:majorGridlines/>
        <c:numFmt formatCode="mmm\-yy" sourceLinked="1"/>
        <c:tickLblPos val="low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59696768"/>
        <c:crosses val="autoZero"/>
        <c:auto val="1"/>
        <c:lblAlgn val="ctr"/>
        <c:lblOffset val="100"/>
        <c:tickLblSkip val="4"/>
        <c:tickMarkSkip val="4"/>
      </c:catAx>
      <c:valAx>
        <c:axId val="159696768"/>
        <c:scaling>
          <c:orientation val="minMax"/>
          <c:max val="32"/>
          <c:min val="-24"/>
        </c:scaling>
        <c:axPos val="l"/>
        <c:numFmt formatCode="0" sourceLinked="0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59695232"/>
        <c:crosses val="autoZero"/>
        <c:crossBetween val="between"/>
        <c:majorUnit val="8"/>
      </c:valAx>
      <c:spPr>
        <a:noFill/>
        <a:ln w="25405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0.14275</cdr:x>
      <cdr:y>0.9115</cdr:y>
    </cdr:from>
    <cdr:to>
      <cdr:x>1</cdr:x>
      <cdr:y>1</cdr:y>
    </cdr:to>
    <cdr:sp macro="" textlink="">
      <cdr:nvSpPr>
        <cdr:cNvPr id="420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0145" y="2205238"/>
          <a:ext cx="2523080" cy="2141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0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ar-MA" sz="700" b="0" i="0" strike="noStrike">
              <a:solidFill>
                <a:srgbClr val="000000"/>
              </a:solidFill>
              <a:latin typeface="Times New Roman"/>
              <a:cs typeface="Times New Roman"/>
            </a:rPr>
            <a:t>المصدر : مكتب الصرف ٬ اعداد المندوبية السامية للتخطيط.</a:t>
          </a:r>
        </a:p>
      </cdr:txBody>
    </cdr:sp>
  </cdr:relSizeAnchor>
  <cdr:relSizeAnchor xmlns:cdr="http://schemas.openxmlformats.org/drawingml/2006/chartDrawing">
    <cdr:from>
      <cdr:x>0.08925</cdr:x>
      <cdr:y>0.08425</cdr:y>
    </cdr:from>
    <cdr:to>
      <cdr:x>0.24525</cdr:x>
      <cdr:y>0.146</cdr:y>
    </cdr:to>
    <cdr:sp macro="" textlink="">
      <cdr:nvSpPr>
        <cdr:cNvPr id="4198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8091" y="177434"/>
          <a:ext cx="460633" cy="1306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ar-MA" sz="575" b="0" i="0" strike="noStrike">
              <a:solidFill>
                <a:srgbClr val="000000"/>
              </a:solidFill>
              <a:latin typeface="Arial"/>
              <a:cs typeface="Arial"/>
            </a:rPr>
            <a:t>تغير سنوي ب 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2013-07-23T13:29:00Z</cp:lastPrinted>
  <dcterms:created xsi:type="dcterms:W3CDTF">2013-07-23T14:07:00Z</dcterms:created>
  <dcterms:modified xsi:type="dcterms:W3CDTF">2013-07-23T14:07:00Z</dcterms:modified>
</cp:coreProperties>
</file>