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Default="00511E80" w:rsidP="00F1135D">
      <w:pPr>
        <w:pStyle w:val="Titre"/>
        <w:spacing w:line="400" w:lineRule="exact"/>
        <w:ind w:firstLine="720"/>
        <w:rPr>
          <w:sz w:val="24"/>
          <w:szCs w:val="24"/>
          <w:rtl/>
        </w:rPr>
      </w:pPr>
    </w:p>
    <w:p w:rsidR="00A61590" w:rsidRDefault="00A61590" w:rsidP="00A61590">
      <w:pPr>
        <w:pStyle w:val="Titre"/>
        <w:spacing w:line="400" w:lineRule="exact"/>
        <w:ind w:firstLine="720"/>
        <w:jc w:val="right"/>
        <w:rPr>
          <w:sz w:val="20"/>
          <w:szCs w:val="20"/>
        </w:rPr>
      </w:pPr>
    </w:p>
    <w:p w:rsidR="00A61590" w:rsidRDefault="00AA2BF4" w:rsidP="00A61590">
      <w:pPr>
        <w:pStyle w:val="Titre"/>
        <w:ind w:firstLine="720"/>
        <w:jc w:val="left"/>
        <w:rPr>
          <w:color w:val="0000FF"/>
          <w:sz w:val="32"/>
          <w:szCs w:val="32"/>
        </w:rPr>
      </w:pPr>
      <w:r>
        <w:rPr>
          <w:color w:val="0000FF"/>
          <w:sz w:val="32"/>
          <w:szCs w:val="32"/>
        </w:rPr>
        <w:t xml:space="preserve">                          </w:t>
      </w:r>
    </w:p>
    <w:p w:rsidR="003D5589" w:rsidRDefault="00A61590" w:rsidP="00A61590">
      <w:pPr>
        <w:pStyle w:val="Titre"/>
        <w:ind w:firstLine="720"/>
        <w:jc w:val="left"/>
        <w:rPr>
          <w:color w:val="0000FF"/>
          <w:sz w:val="32"/>
          <w:szCs w:val="32"/>
        </w:rPr>
      </w:pPr>
      <w:r>
        <w:rPr>
          <w:color w:val="0000FF"/>
          <w:sz w:val="32"/>
          <w:szCs w:val="32"/>
        </w:rPr>
        <w:t xml:space="preserve">         </w:t>
      </w: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F21B60">
      <w:pPr>
        <w:pStyle w:val="Titre"/>
        <w:jc w:val="left"/>
        <w:rPr>
          <w:color w:val="0000FF"/>
          <w:sz w:val="32"/>
          <w:szCs w:val="32"/>
        </w:rPr>
      </w:pPr>
    </w:p>
    <w:p w:rsidR="003D5589" w:rsidRDefault="003D5589" w:rsidP="00A61590">
      <w:pPr>
        <w:pStyle w:val="Titre"/>
        <w:ind w:firstLine="720"/>
        <w:jc w:val="left"/>
        <w:rPr>
          <w:color w:val="0000FF"/>
          <w:sz w:val="32"/>
          <w:szCs w:val="32"/>
        </w:rPr>
      </w:pPr>
    </w:p>
    <w:p w:rsidR="003D5589" w:rsidRDefault="003B7C04" w:rsidP="00A61590">
      <w:pPr>
        <w:pStyle w:val="Titre"/>
        <w:ind w:firstLine="720"/>
        <w:jc w:val="left"/>
        <w:rPr>
          <w:color w:val="0000FF"/>
          <w:sz w:val="32"/>
          <w:szCs w:val="32"/>
        </w:rPr>
      </w:pPr>
      <w:r>
        <w:rPr>
          <w:color w:val="0000FF"/>
          <w:sz w:val="32"/>
          <w:szCs w:val="32"/>
        </w:rPr>
        <w:t xml:space="preserve">          </w:t>
      </w:r>
    </w:p>
    <w:p w:rsidR="003D5589" w:rsidRDefault="003D5589" w:rsidP="00A61590">
      <w:pPr>
        <w:pStyle w:val="Titre"/>
        <w:ind w:firstLine="720"/>
        <w:jc w:val="left"/>
        <w:rPr>
          <w:color w:val="0000FF"/>
          <w:sz w:val="32"/>
          <w:szCs w:val="32"/>
        </w:rPr>
      </w:pPr>
    </w:p>
    <w:p w:rsidR="00F21B60" w:rsidRDefault="00F21B60" w:rsidP="00F21B60">
      <w:pPr>
        <w:pStyle w:val="Titre"/>
        <w:widowControl w:val="0"/>
        <w:adjustRightInd w:val="0"/>
        <w:spacing w:after="360"/>
        <w:ind w:firstLine="708"/>
        <w:rPr>
          <w:rFonts w:ascii="Sylfaen" w:hAnsi="Sylfaen"/>
          <w:bCs w:val="0"/>
          <w:sz w:val="48"/>
          <w:szCs w:val="48"/>
        </w:rPr>
      </w:pPr>
    </w:p>
    <w:p w:rsidR="003D5589" w:rsidRPr="003D5589" w:rsidRDefault="003D5589" w:rsidP="00F21B60">
      <w:pPr>
        <w:pStyle w:val="Titre"/>
        <w:widowControl w:val="0"/>
        <w:adjustRightInd w:val="0"/>
        <w:spacing w:after="360"/>
        <w:ind w:firstLine="708"/>
        <w:rPr>
          <w:rFonts w:ascii="Sylfaen" w:hAnsi="Sylfaen"/>
          <w:bCs w:val="0"/>
          <w:sz w:val="48"/>
          <w:szCs w:val="48"/>
        </w:rPr>
      </w:pPr>
      <w:r w:rsidRPr="003D5589">
        <w:rPr>
          <w:rFonts w:ascii="Sylfaen" w:hAnsi="Sylfaen"/>
          <w:bCs w:val="0"/>
          <w:sz w:val="48"/>
          <w:szCs w:val="48"/>
        </w:rPr>
        <w:t xml:space="preserve">Le Budget Economique Exploratoire 2016 </w:t>
      </w:r>
    </w:p>
    <w:p w:rsidR="003D5589" w:rsidRPr="003D5589" w:rsidRDefault="003D5589" w:rsidP="00F21B60">
      <w:pPr>
        <w:pStyle w:val="Titre"/>
        <w:widowControl w:val="0"/>
        <w:adjustRightInd w:val="0"/>
        <w:spacing w:after="360"/>
        <w:ind w:firstLine="708"/>
        <w:rPr>
          <w:rFonts w:ascii="Sylfaen" w:hAnsi="Sylfaen"/>
          <w:bCs w:val="0"/>
          <w:sz w:val="32"/>
          <w:szCs w:val="32"/>
        </w:rPr>
      </w:pPr>
      <w:r w:rsidRPr="003D5589">
        <w:rPr>
          <w:rFonts w:ascii="Sylfaen" w:hAnsi="Sylfaen"/>
          <w:bCs w:val="0"/>
          <w:sz w:val="32"/>
          <w:szCs w:val="32"/>
        </w:rPr>
        <w:t>Présenté par</w:t>
      </w:r>
    </w:p>
    <w:p w:rsidR="00F21B60" w:rsidRDefault="003D5589" w:rsidP="003D5589">
      <w:pPr>
        <w:pStyle w:val="Titre"/>
        <w:widowControl w:val="0"/>
        <w:adjustRightInd w:val="0"/>
        <w:spacing w:after="360"/>
        <w:ind w:firstLine="708"/>
        <w:rPr>
          <w:rFonts w:ascii="Sylfaen" w:hAnsi="Sylfaen"/>
          <w:bCs w:val="0"/>
          <w:sz w:val="32"/>
          <w:szCs w:val="32"/>
        </w:rPr>
      </w:pPr>
      <w:r w:rsidRPr="003D5589">
        <w:rPr>
          <w:rFonts w:ascii="Sylfaen" w:hAnsi="Sylfaen"/>
          <w:bCs w:val="0"/>
          <w:sz w:val="32"/>
          <w:szCs w:val="32"/>
        </w:rPr>
        <w:t xml:space="preserve">M. Ahmed </w:t>
      </w:r>
      <w:proofErr w:type="spellStart"/>
      <w:r w:rsidRPr="003D5589">
        <w:rPr>
          <w:rFonts w:ascii="Sylfaen" w:hAnsi="Sylfaen"/>
          <w:bCs w:val="0"/>
          <w:sz w:val="32"/>
          <w:szCs w:val="32"/>
        </w:rPr>
        <w:t>Lahlimi</w:t>
      </w:r>
      <w:proofErr w:type="spellEnd"/>
      <w:r w:rsidRPr="003D5589">
        <w:rPr>
          <w:rFonts w:ascii="Sylfaen" w:hAnsi="Sylfaen"/>
          <w:bCs w:val="0"/>
          <w:sz w:val="32"/>
          <w:szCs w:val="32"/>
        </w:rPr>
        <w:t xml:space="preserve"> Alami, </w:t>
      </w:r>
    </w:p>
    <w:p w:rsidR="003D5589" w:rsidRPr="003D5589" w:rsidRDefault="003D5589" w:rsidP="006207B3">
      <w:pPr>
        <w:pStyle w:val="Titre"/>
        <w:widowControl w:val="0"/>
        <w:adjustRightInd w:val="0"/>
        <w:spacing w:after="360"/>
        <w:ind w:firstLine="708"/>
        <w:rPr>
          <w:rFonts w:ascii="Sylfaen" w:hAnsi="Sylfaen"/>
          <w:bCs w:val="0"/>
          <w:sz w:val="32"/>
          <w:szCs w:val="32"/>
        </w:rPr>
      </w:pPr>
      <w:r w:rsidRPr="003D5589">
        <w:rPr>
          <w:rFonts w:ascii="Sylfaen" w:hAnsi="Sylfaen"/>
          <w:bCs w:val="0"/>
          <w:sz w:val="32"/>
          <w:szCs w:val="32"/>
        </w:rPr>
        <w:t>Haut</w:t>
      </w:r>
      <w:r w:rsidR="006207B3">
        <w:rPr>
          <w:rFonts w:ascii="Sylfaen" w:hAnsi="Sylfaen"/>
          <w:bCs w:val="0"/>
          <w:sz w:val="32"/>
          <w:szCs w:val="32"/>
        </w:rPr>
        <w:t xml:space="preserve"> C</w:t>
      </w:r>
      <w:r w:rsidRPr="003D5589">
        <w:rPr>
          <w:rFonts w:ascii="Sylfaen" w:hAnsi="Sylfaen"/>
          <w:bCs w:val="0"/>
          <w:sz w:val="32"/>
          <w:szCs w:val="32"/>
        </w:rPr>
        <w:t>ommissaire au Plan</w:t>
      </w: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Pr="003D5589" w:rsidRDefault="006207B3" w:rsidP="006207B3">
      <w:pPr>
        <w:pStyle w:val="Titre"/>
        <w:widowControl w:val="0"/>
        <w:adjustRightInd w:val="0"/>
        <w:spacing w:after="360"/>
        <w:ind w:left="708"/>
        <w:rPr>
          <w:rFonts w:ascii="Book Antiqua" w:hAnsi="Book Antiqua"/>
          <w:bCs w:val="0"/>
        </w:rPr>
      </w:pPr>
      <w:r>
        <w:rPr>
          <w:rFonts w:ascii="Book Antiqua" w:hAnsi="Book Antiqua"/>
          <w:bCs w:val="0"/>
        </w:rPr>
        <w:t xml:space="preserve">– </w:t>
      </w:r>
      <w:r w:rsidR="003D5589" w:rsidRPr="003D5589">
        <w:rPr>
          <w:rFonts w:ascii="Book Antiqua" w:hAnsi="Book Antiqua"/>
          <w:bCs w:val="0"/>
        </w:rPr>
        <w:t>Casablanca</w:t>
      </w:r>
      <w:r>
        <w:rPr>
          <w:rFonts w:ascii="Book Antiqua" w:hAnsi="Book Antiqua"/>
          <w:bCs w:val="0"/>
        </w:rPr>
        <w:t>, le</w:t>
      </w:r>
      <w:r w:rsidR="003D5589" w:rsidRPr="003D5589">
        <w:rPr>
          <w:rFonts w:ascii="Book Antiqua" w:hAnsi="Book Antiqua"/>
          <w:bCs w:val="0"/>
        </w:rPr>
        <w:t xml:space="preserve"> 30 Juin 2015 </w:t>
      </w:r>
      <w:r w:rsidR="003D5589">
        <w:rPr>
          <w:rFonts w:ascii="Book Antiqua" w:hAnsi="Book Antiqua"/>
          <w:bCs w:val="0"/>
        </w:rPr>
        <w:t>–</w:t>
      </w:r>
    </w:p>
    <w:p w:rsidR="003D5589" w:rsidRPr="003D5589" w:rsidRDefault="003D5589" w:rsidP="00F21B60">
      <w:pPr>
        <w:pStyle w:val="Titre"/>
        <w:widowControl w:val="0"/>
        <w:adjustRightInd w:val="0"/>
        <w:spacing w:after="360"/>
        <w:ind w:left="708"/>
        <w:jc w:val="left"/>
        <w:rPr>
          <w:rFonts w:ascii="Book Antiqua" w:hAnsi="Book Antiqua"/>
          <w:bCs w:val="0"/>
        </w:rPr>
      </w:pPr>
      <w:r w:rsidRPr="003D5589">
        <w:rPr>
          <w:color w:val="0000FF"/>
          <w:sz w:val="32"/>
          <w:szCs w:val="32"/>
        </w:rPr>
        <w:t xml:space="preserve">                   </w:t>
      </w:r>
    </w:p>
    <w:p w:rsidR="003D5589" w:rsidRDefault="003D5589" w:rsidP="00A61590">
      <w:pPr>
        <w:pStyle w:val="Titre"/>
        <w:ind w:firstLine="720"/>
        <w:jc w:val="left"/>
        <w:rPr>
          <w:color w:val="0000FF"/>
          <w:sz w:val="32"/>
          <w:szCs w:val="32"/>
        </w:rPr>
      </w:pPr>
    </w:p>
    <w:p w:rsidR="003D5589" w:rsidRDefault="003D5589" w:rsidP="00F21B60">
      <w:pPr>
        <w:pStyle w:val="Titre"/>
        <w:ind w:firstLine="720"/>
        <w:jc w:val="left"/>
        <w:rPr>
          <w:color w:val="0000FF"/>
          <w:sz w:val="32"/>
          <w:szCs w:val="32"/>
        </w:rPr>
      </w:pPr>
    </w:p>
    <w:p w:rsidR="003A784E" w:rsidRPr="009D64E8" w:rsidRDefault="00CB3743" w:rsidP="003D5589">
      <w:pPr>
        <w:pStyle w:val="Titre"/>
        <w:ind w:firstLine="720"/>
        <w:rPr>
          <w:color w:val="0000FF"/>
          <w:sz w:val="32"/>
          <w:szCs w:val="32"/>
        </w:rPr>
      </w:pPr>
      <w:r w:rsidRPr="009D64E8">
        <w:rPr>
          <w:color w:val="0000FF"/>
          <w:sz w:val="32"/>
          <w:szCs w:val="32"/>
        </w:rPr>
        <w:t>L</w:t>
      </w:r>
      <w:r w:rsidR="00605B3C" w:rsidRPr="009D64E8">
        <w:rPr>
          <w:color w:val="0000FF"/>
          <w:sz w:val="32"/>
          <w:szCs w:val="32"/>
        </w:rPr>
        <w:t>es perspectives économi</w:t>
      </w:r>
      <w:r w:rsidRPr="009D64E8">
        <w:rPr>
          <w:color w:val="0000FF"/>
          <w:sz w:val="32"/>
          <w:szCs w:val="32"/>
        </w:rPr>
        <w:t xml:space="preserve">ques </w:t>
      </w:r>
      <w:r w:rsidR="003A784E" w:rsidRPr="009D64E8">
        <w:rPr>
          <w:color w:val="0000FF"/>
          <w:sz w:val="32"/>
          <w:szCs w:val="32"/>
        </w:rPr>
        <w:t>nationales</w:t>
      </w:r>
    </w:p>
    <w:p w:rsidR="00605B3C" w:rsidRPr="009D64E8" w:rsidRDefault="001326B8" w:rsidP="001326B8">
      <w:pPr>
        <w:pStyle w:val="Titre"/>
        <w:rPr>
          <w:color w:val="0000FF"/>
          <w:sz w:val="32"/>
          <w:szCs w:val="32"/>
        </w:rPr>
      </w:pPr>
      <w:proofErr w:type="gramStart"/>
      <w:r>
        <w:rPr>
          <w:color w:val="0000FF"/>
          <w:sz w:val="32"/>
          <w:szCs w:val="32"/>
        </w:rPr>
        <w:t>e</w:t>
      </w:r>
      <w:r w:rsidR="003A784E" w:rsidRPr="009D64E8">
        <w:rPr>
          <w:color w:val="0000FF"/>
          <w:sz w:val="32"/>
          <w:szCs w:val="32"/>
        </w:rPr>
        <w:t>n</w:t>
      </w:r>
      <w:proofErr w:type="gramEnd"/>
      <w:r w:rsidR="003A784E" w:rsidRPr="009D64E8">
        <w:rPr>
          <w:color w:val="0000FF"/>
          <w:sz w:val="32"/>
          <w:szCs w:val="32"/>
        </w:rPr>
        <w:t xml:space="preserve"> 20</w:t>
      </w:r>
      <w:r w:rsidR="00C50B53">
        <w:rPr>
          <w:color w:val="0000FF"/>
          <w:sz w:val="32"/>
          <w:szCs w:val="32"/>
        </w:rPr>
        <w:t>1</w:t>
      </w:r>
      <w:r w:rsidR="00C55802">
        <w:rPr>
          <w:color w:val="0000FF"/>
          <w:sz w:val="32"/>
          <w:szCs w:val="32"/>
        </w:rPr>
        <w:t>5</w:t>
      </w:r>
      <w:r w:rsidR="003A784E" w:rsidRPr="009D64E8">
        <w:rPr>
          <w:color w:val="0000FF"/>
          <w:sz w:val="32"/>
          <w:szCs w:val="32"/>
        </w:rPr>
        <w:t xml:space="preserve"> et</w:t>
      </w:r>
      <w:r w:rsidR="00F92AF7" w:rsidRPr="009D64E8">
        <w:rPr>
          <w:color w:val="0000FF"/>
          <w:sz w:val="32"/>
          <w:szCs w:val="32"/>
        </w:rPr>
        <w:t xml:space="preserve"> </w:t>
      </w:r>
      <w:r w:rsidR="00605B3C" w:rsidRPr="009D64E8">
        <w:rPr>
          <w:color w:val="0000FF"/>
          <w:sz w:val="32"/>
          <w:szCs w:val="32"/>
        </w:rPr>
        <w:t>20</w:t>
      </w:r>
      <w:r w:rsidR="00CB3743" w:rsidRPr="009D64E8">
        <w:rPr>
          <w:color w:val="0000FF"/>
          <w:sz w:val="32"/>
          <w:szCs w:val="32"/>
        </w:rPr>
        <w:t>1</w:t>
      </w:r>
      <w:r w:rsidR="00C55802">
        <w:rPr>
          <w:color w:val="0000FF"/>
          <w:sz w:val="32"/>
          <w:szCs w:val="32"/>
        </w:rPr>
        <w:t>6</w:t>
      </w:r>
    </w:p>
    <w:p w:rsidR="005E47B3" w:rsidRDefault="005E47B3" w:rsidP="005E47B3">
      <w:pPr>
        <w:tabs>
          <w:tab w:val="left" w:pos="9000"/>
        </w:tabs>
        <w:ind w:right="-290"/>
        <w:jc w:val="both"/>
        <w:rPr>
          <w:sz w:val="28"/>
          <w:szCs w:val="28"/>
        </w:rPr>
      </w:pPr>
    </w:p>
    <w:p w:rsidR="006F4410" w:rsidRPr="008456AF" w:rsidRDefault="00A655D8" w:rsidP="00A655D8">
      <w:pPr>
        <w:numPr>
          <w:ilvl w:val="0"/>
          <w:numId w:val="22"/>
        </w:numPr>
        <w:tabs>
          <w:tab w:val="clear" w:pos="1080"/>
          <w:tab w:val="num" w:pos="3195"/>
        </w:tabs>
        <w:spacing w:line="360" w:lineRule="exact"/>
        <w:ind w:left="1066" w:hanging="357"/>
        <w:jc w:val="both"/>
        <w:rPr>
          <w:b w:val="0"/>
          <w:bCs w:val="0"/>
          <w:sz w:val="28"/>
          <w:szCs w:val="28"/>
        </w:rPr>
      </w:pPr>
      <w:r>
        <w:rPr>
          <w:b w:val="0"/>
          <w:bCs w:val="0"/>
          <w:sz w:val="28"/>
          <w:szCs w:val="28"/>
        </w:rPr>
        <w:t xml:space="preserve">Une </w:t>
      </w:r>
      <w:r w:rsidR="006F4410" w:rsidRPr="008456AF">
        <w:rPr>
          <w:b w:val="0"/>
          <w:bCs w:val="0"/>
          <w:sz w:val="28"/>
          <w:szCs w:val="28"/>
        </w:rPr>
        <w:t xml:space="preserve">croissance économique en 2015 </w:t>
      </w:r>
      <w:r>
        <w:rPr>
          <w:b w:val="0"/>
          <w:bCs w:val="0"/>
          <w:sz w:val="28"/>
          <w:szCs w:val="28"/>
        </w:rPr>
        <w:t xml:space="preserve">à </w:t>
      </w:r>
      <w:r w:rsidR="006F4410" w:rsidRPr="008456AF">
        <w:rPr>
          <w:b w:val="0"/>
          <w:bCs w:val="0"/>
          <w:sz w:val="28"/>
          <w:szCs w:val="28"/>
        </w:rPr>
        <w:t>4,3% et à 2,6% en 2016.</w:t>
      </w:r>
    </w:p>
    <w:p w:rsidR="006F4410" w:rsidRPr="008829DB" w:rsidRDefault="00BE3ED9" w:rsidP="00BE3ED9">
      <w:pPr>
        <w:widowControl w:val="0"/>
        <w:numPr>
          <w:ilvl w:val="0"/>
          <w:numId w:val="22"/>
        </w:numPr>
        <w:tabs>
          <w:tab w:val="clear" w:pos="1080"/>
          <w:tab w:val="num" w:pos="3195"/>
        </w:tabs>
        <w:adjustRightInd w:val="0"/>
        <w:spacing w:line="360" w:lineRule="exact"/>
        <w:ind w:left="1066" w:hanging="357"/>
        <w:jc w:val="both"/>
        <w:rPr>
          <w:b w:val="0"/>
          <w:bCs w:val="0"/>
          <w:sz w:val="28"/>
          <w:szCs w:val="28"/>
        </w:rPr>
      </w:pPr>
      <w:r>
        <w:rPr>
          <w:b w:val="0"/>
          <w:bCs w:val="0"/>
          <w:sz w:val="28"/>
          <w:szCs w:val="28"/>
        </w:rPr>
        <w:t xml:space="preserve">Accroissement </w:t>
      </w:r>
      <w:r w:rsidR="006F4410">
        <w:rPr>
          <w:b w:val="0"/>
          <w:bCs w:val="0"/>
          <w:sz w:val="28"/>
          <w:szCs w:val="28"/>
        </w:rPr>
        <w:t>de la valeur ajoutée des activités non agricole</w:t>
      </w:r>
      <w:r>
        <w:rPr>
          <w:b w:val="0"/>
          <w:bCs w:val="0"/>
          <w:sz w:val="28"/>
          <w:szCs w:val="28"/>
        </w:rPr>
        <w:t>s</w:t>
      </w:r>
      <w:r w:rsidR="006F4410">
        <w:rPr>
          <w:b w:val="0"/>
          <w:bCs w:val="0"/>
          <w:sz w:val="28"/>
          <w:szCs w:val="28"/>
        </w:rPr>
        <w:t xml:space="preserve"> de 2,5% en 2015 </w:t>
      </w:r>
      <w:r>
        <w:rPr>
          <w:b w:val="0"/>
          <w:bCs w:val="0"/>
          <w:sz w:val="28"/>
          <w:szCs w:val="28"/>
        </w:rPr>
        <w:t>et de</w:t>
      </w:r>
      <w:r w:rsidR="006F4410">
        <w:rPr>
          <w:b w:val="0"/>
          <w:bCs w:val="0"/>
          <w:sz w:val="28"/>
          <w:szCs w:val="28"/>
        </w:rPr>
        <w:t xml:space="preserve"> 3,1% en 2016</w:t>
      </w:r>
      <w:r w:rsidR="006F4410" w:rsidRPr="008829DB">
        <w:rPr>
          <w:b w:val="0"/>
          <w:bCs w:val="0"/>
          <w:sz w:val="28"/>
          <w:szCs w:val="28"/>
        </w:rPr>
        <w:t xml:space="preserve">; </w:t>
      </w:r>
    </w:p>
    <w:p w:rsidR="006F4410" w:rsidRPr="008829DB" w:rsidRDefault="00A655D8" w:rsidP="00A655D8">
      <w:pPr>
        <w:widowControl w:val="0"/>
        <w:numPr>
          <w:ilvl w:val="0"/>
          <w:numId w:val="22"/>
        </w:numPr>
        <w:tabs>
          <w:tab w:val="clear" w:pos="1080"/>
          <w:tab w:val="num" w:pos="3195"/>
        </w:tabs>
        <w:adjustRightInd w:val="0"/>
        <w:spacing w:line="360" w:lineRule="exact"/>
        <w:ind w:left="1066" w:hanging="357"/>
        <w:jc w:val="both"/>
        <w:rPr>
          <w:b w:val="0"/>
          <w:bCs w:val="0"/>
          <w:sz w:val="28"/>
          <w:szCs w:val="28"/>
        </w:rPr>
      </w:pPr>
      <w:r>
        <w:rPr>
          <w:b w:val="0"/>
          <w:bCs w:val="0"/>
          <w:sz w:val="28"/>
          <w:szCs w:val="28"/>
        </w:rPr>
        <w:t>L</w:t>
      </w:r>
      <w:r w:rsidR="006F4410" w:rsidRPr="008829DB">
        <w:rPr>
          <w:b w:val="0"/>
          <w:bCs w:val="0"/>
          <w:sz w:val="28"/>
          <w:szCs w:val="28"/>
        </w:rPr>
        <w:t xml:space="preserve">’inflation, appréhendée par le prix implicite du PIB, </w:t>
      </w:r>
      <w:r>
        <w:rPr>
          <w:b w:val="0"/>
          <w:bCs w:val="0"/>
          <w:sz w:val="28"/>
          <w:szCs w:val="28"/>
        </w:rPr>
        <w:t xml:space="preserve">en tendance haussière passant </w:t>
      </w:r>
      <w:r w:rsidR="006F4410" w:rsidRPr="008829DB">
        <w:rPr>
          <w:b w:val="0"/>
          <w:bCs w:val="0"/>
          <w:sz w:val="28"/>
          <w:szCs w:val="28"/>
        </w:rPr>
        <w:t xml:space="preserve">de </w:t>
      </w:r>
      <w:r w:rsidR="00BE3ED9">
        <w:rPr>
          <w:b w:val="0"/>
          <w:bCs w:val="0"/>
          <w:sz w:val="28"/>
          <w:szCs w:val="28"/>
        </w:rPr>
        <w:t>0,</w:t>
      </w:r>
      <w:r w:rsidR="00D810A6">
        <w:rPr>
          <w:b w:val="0"/>
          <w:bCs w:val="0"/>
          <w:sz w:val="28"/>
          <w:szCs w:val="28"/>
        </w:rPr>
        <w:t>2</w:t>
      </w:r>
      <w:r w:rsidR="00BE3ED9">
        <w:rPr>
          <w:b w:val="0"/>
          <w:bCs w:val="0"/>
          <w:sz w:val="28"/>
          <w:szCs w:val="28"/>
        </w:rPr>
        <w:t xml:space="preserve">% en 2014 à </w:t>
      </w:r>
      <w:r w:rsidR="006F4410">
        <w:rPr>
          <w:b w:val="0"/>
          <w:bCs w:val="0"/>
          <w:sz w:val="28"/>
          <w:szCs w:val="28"/>
        </w:rPr>
        <w:t>1</w:t>
      </w:r>
      <w:r w:rsidR="006F4410" w:rsidRPr="008829DB">
        <w:rPr>
          <w:b w:val="0"/>
          <w:bCs w:val="0"/>
          <w:sz w:val="28"/>
          <w:szCs w:val="28"/>
        </w:rPr>
        <w:t>% en 201</w:t>
      </w:r>
      <w:r w:rsidR="006F4410">
        <w:rPr>
          <w:b w:val="0"/>
          <w:bCs w:val="0"/>
          <w:sz w:val="28"/>
          <w:szCs w:val="28"/>
        </w:rPr>
        <w:t>5</w:t>
      </w:r>
      <w:r w:rsidR="006F4410" w:rsidRPr="008829DB">
        <w:rPr>
          <w:b w:val="0"/>
          <w:bCs w:val="0"/>
          <w:sz w:val="28"/>
          <w:szCs w:val="28"/>
        </w:rPr>
        <w:t xml:space="preserve"> </w:t>
      </w:r>
      <w:r w:rsidR="00BE3ED9">
        <w:rPr>
          <w:b w:val="0"/>
          <w:bCs w:val="0"/>
          <w:sz w:val="28"/>
          <w:szCs w:val="28"/>
        </w:rPr>
        <w:t xml:space="preserve">et </w:t>
      </w:r>
      <w:r w:rsidR="006F4410" w:rsidRPr="008829DB">
        <w:rPr>
          <w:b w:val="0"/>
          <w:bCs w:val="0"/>
          <w:sz w:val="28"/>
          <w:szCs w:val="28"/>
        </w:rPr>
        <w:t xml:space="preserve">à </w:t>
      </w:r>
      <w:r w:rsidR="006F4410">
        <w:rPr>
          <w:b w:val="0"/>
          <w:bCs w:val="0"/>
          <w:sz w:val="28"/>
          <w:szCs w:val="28"/>
        </w:rPr>
        <w:t>1,3</w:t>
      </w:r>
      <w:r w:rsidR="006F4410" w:rsidRPr="008829DB">
        <w:rPr>
          <w:b w:val="0"/>
          <w:bCs w:val="0"/>
          <w:sz w:val="28"/>
          <w:szCs w:val="28"/>
        </w:rPr>
        <w:t>% en 201</w:t>
      </w:r>
      <w:r w:rsidR="006F4410">
        <w:rPr>
          <w:b w:val="0"/>
          <w:bCs w:val="0"/>
          <w:sz w:val="28"/>
          <w:szCs w:val="28"/>
        </w:rPr>
        <w:t>6</w:t>
      </w:r>
      <w:r w:rsidR="006F4410" w:rsidRPr="008829DB">
        <w:rPr>
          <w:b w:val="0"/>
          <w:bCs w:val="0"/>
          <w:sz w:val="28"/>
          <w:szCs w:val="28"/>
        </w:rPr>
        <w:t xml:space="preserve"> ;</w:t>
      </w:r>
    </w:p>
    <w:p w:rsidR="006F4410" w:rsidRDefault="006F4410" w:rsidP="006F4410">
      <w:pPr>
        <w:numPr>
          <w:ilvl w:val="0"/>
          <w:numId w:val="22"/>
        </w:numPr>
        <w:tabs>
          <w:tab w:val="clear" w:pos="1080"/>
          <w:tab w:val="num" w:pos="3195"/>
        </w:tabs>
        <w:spacing w:line="360" w:lineRule="exact"/>
        <w:ind w:left="1066" w:hanging="357"/>
        <w:jc w:val="both"/>
        <w:rPr>
          <w:b w:val="0"/>
          <w:bCs w:val="0"/>
          <w:sz w:val="28"/>
          <w:szCs w:val="28"/>
        </w:rPr>
      </w:pPr>
      <w:r w:rsidRPr="008829DB">
        <w:rPr>
          <w:b w:val="0"/>
          <w:bCs w:val="0"/>
          <w:sz w:val="28"/>
          <w:szCs w:val="28"/>
        </w:rPr>
        <w:t xml:space="preserve">Allégement du déficit courant des échanges extérieurs, passant  de </w:t>
      </w:r>
      <w:r w:rsidRPr="00324F79">
        <w:rPr>
          <w:b w:val="0"/>
          <w:bCs w:val="0"/>
          <w:sz w:val="28"/>
          <w:szCs w:val="28"/>
        </w:rPr>
        <w:t>5,7%</w:t>
      </w:r>
      <w:r w:rsidRPr="008829DB">
        <w:rPr>
          <w:b w:val="0"/>
          <w:bCs w:val="0"/>
          <w:sz w:val="28"/>
          <w:szCs w:val="28"/>
        </w:rPr>
        <w:t xml:space="preserve"> du PIB en 201</w:t>
      </w:r>
      <w:r>
        <w:rPr>
          <w:b w:val="0"/>
          <w:bCs w:val="0"/>
          <w:sz w:val="28"/>
          <w:szCs w:val="28"/>
        </w:rPr>
        <w:t>4</w:t>
      </w:r>
      <w:r w:rsidRPr="008829DB">
        <w:rPr>
          <w:b w:val="0"/>
          <w:bCs w:val="0"/>
          <w:sz w:val="28"/>
          <w:szCs w:val="28"/>
        </w:rPr>
        <w:t xml:space="preserve"> à </w:t>
      </w:r>
      <w:r w:rsidRPr="00324F79">
        <w:rPr>
          <w:b w:val="0"/>
          <w:bCs w:val="0"/>
          <w:sz w:val="28"/>
          <w:szCs w:val="28"/>
        </w:rPr>
        <w:t>3,3%</w:t>
      </w:r>
      <w:r w:rsidRPr="008829DB">
        <w:rPr>
          <w:b w:val="0"/>
          <w:bCs w:val="0"/>
          <w:sz w:val="28"/>
          <w:szCs w:val="28"/>
        </w:rPr>
        <w:t xml:space="preserve"> en 201</w:t>
      </w:r>
      <w:r>
        <w:rPr>
          <w:b w:val="0"/>
          <w:bCs w:val="0"/>
          <w:sz w:val="28"/>
          <w:szCs w:val="28"/>
        </w:rPr>
        <w:t>5</w:t>
      </w:r>
      <w:r w:rsidRPr="008829DB">
        <w:rPr>
          <w:b w:val="0"/>
          <w:bCs w:val="0"/>
          <w:sz w:val="28"/>
          <w:szCs w:val="28"/>
        </w:rPr>
        <w:t xml:space="preserve"> </w:t>
      </w:r>
      <w:r>
        <w:rPr>
          <w:b w:val="0"/>
          <w:bCs w:val="0"/>
          <w:sz w:val="28"/>
          <w:szCs w:val="28"/>
        </w:rPr>
        <w:t xml:space="preserve">et </w:t>
      </w:r>
      <w:r w:rsidRPr="008829DB">
        <w:rPr>
          <w:b w:val="0"/>
          <w:bCs w:val="0"/>
          <w:sz w:val="28"/>
          <w:szCs w:val="28"/>
        </w:rPr>
        <w:t xml:space="preserve">à </w:t>
      </w:r>
      <w:r w:rsidRPr="00324F79">
        <w:rPr>
          <w:b w:val="0"/>
          <w:bCs w:val="0"/>
          <w:sz w:val="28"/>
          <w:szCs w:val="28"/>
        </w:rPr>
        <w:t>3%</w:t>
      </w:r>
      <w:r w:rsidRPr="008829DB">
        <w:rPr>
          <w:b w:val="0"/>
          <w:bCs w:val="0"/>
          <w:sz w:val="28"/>
          <w:szCs w:val="28"/>
        </w:rPr>
        <w:t xml:space="preserve"> en 201</w:t>
      </w:r>
      <w:r>
        <w:rPr>
          <w:b w:val="0"/>
          <w:bCs w:val="0"/>
          <w:sz w:val="28"/>
          <w:szCs w:val="28"/>
        </w:rPr>
        <w:t>6</w:t>
      </w:r>
      <w:r w:rsidRPr="008829DB">
        <w:rPr>
          <w:b w:val="0"/>
          <w:bCs w:val="0"/>
          <w:sz w:val="28"/>
          <w:szCs w:val="28"/>
        </w:rPr>
        <w:t> ;</w:t>
      </w:r>
    </w:p>
    <w:p w:rsidR="006F4410" w:rsidRPr="006F4410" w:rsidRDefault="00A655D8" w:rsidP="00A655D8">
      <w:pPr>
        <w:numPr>
          <w:ilvl w:val="0"/>
          <w:numId w:val="22"/>
        </w:numPr>
        <w:tabs>
          <w:tab w:val="clear" w:pos="1080"/>
          <w:tab w:val="num" w:pos="3195"/>
        </w:tabs>
        <w:spacing w:line="360" w:lineRule="exact"/>
        <w:ind w:left="1066" w:hanging="357"/>
        <w:jc w:val="both"/>
        <w:rPr>
          <w:b w:val="0"/>
          <w:bCs w:val="0"/>
          <w:sz w:val="28"/>
          <w:szCs w:val="28"/>
        </w:rPr>
      </w:pPr>
      <w:r>
        <w:rPr>
          <w:b w:val="0"/>
          <w:bCs w:val="0"/>
          <w:sz w:val="28"/>
          <w:szCs w:val="28"/>
        </w:rPr>
        <w:t xml:space="preserve">Un taux </w:t>
      </w:r>
      <w:r w:rsidR="006F4410" w:rsidRPr="006F4410">
        <w:rPr>
          <w:b w:val="0"/>
          <w:bCs w:val="0"/>
          <w:sz w:val="28"/>
          <w:szCs w:val="28"/>
        </w:rPr>
        <w:t>d’endettement public global</w:t>
      </w:r>
      <w:r>
        <w:rPr>
          <w:b w:val="0"/>
          <w:bCs w:val="0"/>
          <w:sz w:val="28"/>
          <w:szCs w:val="28"/>
        </w:rPr>
        <w:t xml:space="preserve"> en hausse, passant</w:t>
      </w:r>
      <w:r w:rsidR="006F4410" w:rsidRPr="006F4410">
        <w:rPr>
          <w:b w:val="0"/>
          <w:bCs w:val="0"/>
          <w:sz w:val="28"/>
          <w:szCs w:val="28"/>
        </w:rPr>
        <w:t> </w:t>
      </w:r>
      <w:r w:rsidR="00F659D9" w:rsidRPr="006F4410">
        <w:rPr>
          <w:b w:val="0"/>
          <w:bCs w:val="0"/>
          <w:sz w:val="28"/>
          <w:szCs w:val="28"/>
        </w:rPr>
        <w:t>de 78,2% en 2014</w:t>
      </w:r>
      <w:r w:rsidR="00F659D9">
        <w:rPr>
          <w:b w:val="0"/>
          <w:bCs w:val="0"/>
          <w:sz w:val="28"/>
          <w:szCs w:val="28"/>
        </w:rPr>
        <w:t xml:space="preserve"> à </w:t>
      </w:r>
      <w:r w:rsidR="006F4410" w:rsidRPr="006F4410">
        <w:rPr>
          <w:b w:val="0"/>
          <w:bCs w:val="0"/>
          <w:sz w:val="28"/>
          <w:szCs w:val="28"/>
        </w:rPr>
        <w:t xml:space="preserve">79,6% du PIB en 2015 </w:t>
      </w:r>
      <w:r w:rsidR="00F659D9">
        <w:rPr>
          <w:b w:val="0"/>
          <w:bCs w:val="0"/>
          <w:sz w:val="28"/>
          <w:szCs w:val="28"/>
        </w:rPr>
        <w:t xml:space="preserve">et </w:t>
      </w:r>
      <w:r w:rsidR="006F4410" w:rsidRPr="006F4410">
        <w:rPr>
          <w:b w:val="0"/>
          <w:bCs w:val="0"/>
          <w:sz w:val="28"/>
          <w:szCs w:val="28"/>
        </w:rPr>
        <w:t>à 81,2% en 2016. Cel</w:t>
      </w:r>
      <w:r w:rsidR="00573DF7">
        <w:rPr>
          <w:b w:val="0"/>
          <w:bCs w:val="0"/>
          <w:sz w:val="28"/>
          <w:szCs w:val="28"/>
        </w:rPr>
        <w:t>ui</w:t>
      </w:r>
      <w:r w:rsidR="006F4410" w:rsidRPr="006F4410">
        <w:rPr>
          <w:b w:val="0"/>
          <w:bCs w:val="0"/>
          <w:sz w:val="28"/>
          <w:szCs w:val="28"/>
        </w:rPr>
        <w:t xml:space="preserve"> du Trésor passerait de 63,4% à 63,8% et </w:t>
      </w:r>
      <w:r w:rsidR="00F659D9">
        <w:rPr>
          <w:b w:val="0"/>
          <w:bCs w:val="0"/>
          <w:sz w:val="28"/>
          <w:szCs w:val="28"/>
        </w:rPr>
        <w:t xml:space="preserve">à </w:t>
      </w:r>
      <w:r w:rsidR="006F4410" w:rsidRPr="006F4410">
        <w:rPr>
          <w:b w:val="0"/>
          <w:bCs w:val="0"/>
          <w:sz w:val="28"/>
          <w:szCs w:val="28"/>
        </w:rPr>
        <w:t>64,9% en 2016</w:t>
      </w:r>
      <w:r w:rsidR="00F659D9">
        <w:rPr>
          <w:b w:val="0"/>
          <w:bCs w:val="0"/>
          <w:sz w:val="28"/>
          <w:szCs w:val="28"/>
        </w:rPr>
        <w:t>.</w:t>
      </w:r>
    </w:p>
    <w:p w:rsidR="00B108C8" w:rsidRPr="005231B4" w:rsidRDefault="00BD1A0E" w:rsidP="00A655D8">
      <w:pPr>
        <w:widowControl w:val="0"/>
        <w:autoSpaceDE w:val="0"/>
        <w:autoSpaceDN w:val="0"/>
        <w:adjustRightInd w:val="0"/>
        <w:spacing w:before="100" w:beforeAutospacing="1" w:line="276" w:lineRule="auto"/>
        <w:ind w:right="-23" w:firstLine="708"/>
        <w:jc w:val="both"/>
        <w:rPr>
          <w:rFonts w:ascii="Sylfaen" w:hAnsi="Sylfaen"/>
          <w:b w:val="0"/>
          <w:bCs w:val="0"/>
          <w:sz w:val="28"/>
          <w:szCs w:val="28"/>
        </w:rPr>
      </w:pPr>
      <w:r w:rsidRPr="005231B4">
        <w:rPr>
          <w:rFonts w:ascii="Sylfaen" w:hAnsi="Sylfaen"/>
          <w:b w:val="0"/>
          <w:bCs w:val="0"/>
          <w:sz w:val="28"/>
          <w:szCs w:val="28"/>
        </w:rPr>
        <w:t>Le Haut</w:t>
      </w:r>
      <w:r w:rsidR="00F659D9">
        <w:rPr>
          <w:rFonts w:ascii="Sylfaen" w:hAnsi="Sylfaen"/>
          <w:b w:val="0"/>
          <w:bCs w:val="0"/>
          <w:sz w:val="28"/>
          <w:szCs w:val="28"/>
        </w:rPr>
        <w:t>-c</w:t>
      </w:r>
      <w:r w:rsidRPr="005231B4">
        <w:rPr>
          <w:rFonts w:ascii="Sylfaen" w:hAnsi="Sylfaen"/>
          <w:b w:val="0"/>
          <w:bCs w:val="0"/>
          <w:sz w:val="28"/>
          <w:szCs w:val="28"/>
        </w:rPr>
        <w:t xml:space="preserve">ommissariat au Plan </w:t>
      </w:r>
      <w:r w:rsidR="00AC64C2" w:rsidRPr="005231B4">
        <w:rPr>
          <w:rFonts w:ascii="Sylfaen" w:hAnsi="Sylfaen"/>
          <w:b w:val="0"/>
          <w:bCs w:val="0"/>
          <w:sz w:val="28"/>
          <w:szCs w:val="28"/>
        </w:rPr>
        <w:t xml:space="preserve">a </w:t>
      </w:r>
      <w:r w:rsidR="00C85C0F" w:rsidRPr="005231B4">
        <w:rPr>
          <w:rFonts w:ascii="Sylfaen" w:hAnsi="Sylfaen"/>
          <w:b w:val="0"/>
          <w:bCs w:val="0"/>
          <w:sz w:val="28"/>
          <w:szCs w:val="28"/>
        </w:rPr>
        <w:t>élabor</w:t>
      </w:r>
      <w:r w:rsidR="00AC64C2" w:rsidRPr="005231B4">
        <w:rPr>
          <w:rFonts w:ascii="Sylfaen" w:hAnsi="Sylfaen"/>
          <w:b w:val="0"/>
          <w:bCs w:val="0"/>
          <w:sz w:val="28"/>
          <w:szCs w:val="28"/>
        </w:rPr>
        <w:t>é</w:t>
      </w:r>
      <w:r w:rsidR="00C85C0F" w:rsidRPr="005231B4">
        <w:rPr>
          <w:rFonts w:ascii="Sylfaen" w:hAnsi="Sylfaen"/>
          <w:b w:val="0"/>
          <w:bCs w:val="0"/>
          <w:sz w:val="28"/>
          <w:szCs w:val="28"/>
        </w:rPr>
        <w:t>,</w:t>
      </w:r>
      <w:r w:rsidR="006527D6" w:rsidRPr="005231B4">
        <w:rPr>
          <w:rFonts w:ascii="Sylfaen" w:hAnsi="Sylfaen"/>
          <w:b w:val="0"/>
          <w:bCs w:val="0"/>
          <w:sz w:val="28"/>
          <w:szCs w:val="28"/>
        </w:rPr>
        <w:t xml:space="preserve"> </w:t>
      </w:r>
      <w:r w:rsidR="006F4410" w:rsidRPr="002A0A55">
        <w:rPr>
          <w:rFonts w:ascii="Book Antiqua" w:hAnsi="Book Antiqua"/>
          <w:b w:val="0"/>
          <w:sz w:val="28"/>
          <w:szCs w:val="28"/>
        </w:rPr>
        <w:t>comme chaque année à la veille de la préparation de la loi de finances</w:t>
      </w:r>
      <w:r w:rsidR="00B16B56" w:rsidRPr="005231B4">
        <w:rPr>
          <w:rFonts w:ascii="Sylfaen" w:hAnsi="Sylfaen"/>
          <w:b w:val="0"/>
          <w:bCs w:val="0"/>
          <w:sz w:val="28"/>
          <w:szCs w:val="28"/>
        </w:rPr>
        <w:t>,</w:t>
      </w:r>
      <w:r w:rsidR="006527D6" w:rsidRPr="005231B4">
        <w:rPr>
          <w:rFonts w:ascii="Sylfaen" w:hAnsi="Sylfaen"/>
          <w:b w:val="0"/>
          <w:bCs w:val="0"/>
          <w:sz w:val="28"/>
          <w:szCs w:val="28"/>
        </w:rPr>
        <w:t xml:space="preserve"> le </w:t>
      </w:r>
      <w:r w:rsidRPr="005231B4">
        <w:rPr>
          <w:rFonts w:ascii="Sylfaen" w:hAnsi="Sylfaen"/>
          <w:b w:val="0"/>
          <w:bCs w:val="0"/>
          <w:sz w:val="28"/>
          <w:szCs w:val="28"/>
        </w:rPr>
        <w:t>budget économique explora</w:t>
      </w:r>
      <w:r w:rsidR="00C73F1E" w:rsidRPr="005231B4">
        <w:rPr>
          <w:rFonts w:ascii="Sylfaen" w:hAnsi="Sylfaen"/>
          <w:b w:val="0"/>
          <w:bCs w:val="0"/>
          <w:sz w:val="28"/>
          <w:szCs w:val="28"/>
        </w:rPr>
        <w:t>toire</w:t>
      </w:r>
      <w:r w:rsidRPr="005231B4">
        <w:rPr>
          <w:rFonts w:ascii="Sylfaen" w:hAnsi="Sylfaen"/>
          <w:b w:val="0"/>
          <w:bCs w:val="0"/>
          <w:sz w:val="28"/>
          <w:szCs w:val="28"/>
        </w:rPr>
        <w:t xml:space="preserve"> qui présente une révision de la croissance</w:t>
      </w:r>
      <w:r w:rsidR="006527D6" w:rsidRPr="005231B4">
        <w:rPr>
          <w:rFonts w:ascii="Sylfaen" w:hAnsi="Sylfaen"/>
          <w:b w:val="0"/>
          <w:bCs w:val="0"/>
          <w:sz w:val="28"/>
          <w:szCs w:val="28"/>
        </w:rPr>
        <w:t xml:space="preserve"> </w:t>
      </w:r>
      <w:r w:rsidRPr="005231B4">
        <w:rPr>
          <w:rFonts w:ascii="Sylfaen" w:hAnsi="Sylfaen"/>
          <w:b w:val="0"/>
          <w:bCs w:val="0"/>
          <w:sz w:val="28"/>
          <w:szCs w:val="28"/>
        </w:rPr>
        <w:t xml:space="preserve"> économique nationale </w:t>
      </w:r>
      <w:r w:rsidR="00A655D8">
        <w:rPr>
          <w:rFonts w:ascii="Sylfaen" w:hAnsi="Sylfaen"/>
          <w:b w:val="0"/>
          <w:bCs w:val="0"/>
          <w:sz w:val="28"/>
          <w:szCs w:val="28"/>
        </w:rPr>
        <w:t xml:space="preserve">de l’année en cours </w:t>
      </w:r>
      <w:r w:rsidRPr="005231B4">
        <w:rPr>
          <w:rFonts w:ascii="Sylfaen" w:hAnsi="Sylfaen"/>
          <w:b w:val="0"/>
          <w:bCs w:val="0"/>
          <w:sz w:val="28"/>
          <w:szCs w:val="28"/>
        </w:rPr>
        <w:t xml:space="preserve">ainsi que les perspectives </w:t>
      </w:r>
      <w:r w:rsidR="00DE2A40" w:rsidRPr="005231B4">
        <w:rPr>
          <w:rFonts w:ascii="Sylfaen" w:hAnsi="Sylfaen"/>
          <w:b w:val="0"/>
          <w:bCs w:val="0"/>
          <w:sz w:val="28"/>
          <w:szCs w:val="28"/>
        </w:rPr>
        <w:t>pour l’année</w:t>
      </w:r>
      <w:r w:rsidRPr="005231B4">
        <w:rPr>
          <w:rFonts w:ascii="Sylfaen" w:hAnsi="Sylfaen"/>
          <w:b w:val="0"/>
          <w:bCs w:val="0"/>
          <w:sz w:val="28"/>
          <w:szCs w:val="28"/>
        </w:rPr>
        <w:t xml:space="preserve"> </w:t>
      </w:r>
      <w:r w:rsidR="00A655D8">
        <w:rPr>
          <w:rFonts w:ascii="Sylfaen" w:hAnsi="Sylfaen"/>
          <w:b w:val="0"/>
          <w:bCs w:val="0"/>
          <w:sz w:val="28"/>
          <w:szCs w:val="28"/>
        </w:rPr>
        <w:t>suivante</w:t>
      </w:r>
      <w:r w:rsidRPr="005231B4">
        <w:rPr>
          <w:rFonts w:ascii="Sylfaen" w:hAnsi="Sylfaen"/>
          <w:b w:val="0"/>
          <w:bCs w:val="0"/>
          <w:sz w:val="28"/>
          <w:szCs w:val="28"/>
        </w:rPr>
        <w:t xml:space="preserve">. </w:t>
      </w:r>
    </w:p>
    <w:p w:rsidR="00BD1A0E" w:rsidRDefault="00A655D8" w:rsidP="00A655D8">
      <w:pPr>
        <w:widowControl w:val="0"/>
        <w:autoSpaceDE w:val="0"/>
        <w:autoSpaceDN w:val="0"/>
        <w:adjustRightInd w:val="0"/>
        <w:spacing w:before="100" w:beforeAutospacing="1" w:line="276" w:lineRule="auto"/>
        <w:ind w:right="-23" w:firstLine="708"/>
        <w:jc w:val="both"/>
        <w:rPr>
          <w:rFonts w:ascii="Sylfaen" w:hAnsi="Sylfaen"/>
          <w:b w:val="0"/>
          <w:bCs w:val="0"/>
          <w:sz w:val="28"/>
          <w:szCs w:val="28"/>
        </w:rPr>
      </w:pPr>
      <w:r>
        <w:rPr>
          <w:rFonts w:ascii="Sylfaen" w:hAnsi="Sylfaen"/>
          <w:b w:val="0"/>
          <w:bCs w:val="0"/>
          <w:sz w:val="28"/>
          <w:szCs w:val="28"/>
        </w:rPr>
        <w:t xml:space="preserve">Le présent </w:t>
      </w:r>
      <w:r w:rsidR="00623BA3" w:rsidRPr="005231B4">
        <w:rPr>
          <w:rFonts w:ascii="Sylfaen" w:hAnsi="Sylfaen"/>
          <w:b w:val="0"/>
          <w:bCs w:val="0"/>
          <w:sz w:val="28"/>
          <w:szCs w:val="28"/>
        </w:rPr>
        <w:t>budget économique</w:t>
      </w:r>
      <w:r w:rsidR="00BD1A0E" w:rsidRPr="005231B4">
        <w:rPr>
          <w:rFonts w:ascii="Sylfaen" w:hAnsi="Sylfaen"/>
          <w:b w:val="0"/>
          <w:bCs w:val="0"/>
          <w:sz w:val="28"/>
          <w:szCs w:val="28"/>
        </w:rPr>
        <w:t xml:space="preserve"> </w:t>
      </w:r>
      <w:r w:rsidR="00C56C43" w:rsidRPr="005231B4">
        <w:rPr>
          <w:rFonts w:ascii="Sylfaen" w:hAnsi="Sylfaen"/>
          <w:b w:val="0"/>
          <w:bCs w:val="0"/>
          <w:sz w:val="28"/>
          <w:szCs w:val="28"/>
        </w:rPr>
        <w:t xml:space="preserve">est </w:t>
      </w:r>
      <w:r>
        <w:rPr>
          <w:rFonts w:ascii="Sylfaen" w:hAnsi="Sylfaen"/>
          <w:b w:val="0"/>
          <w:bCs w:val="0"/>
          <w:sz w:val="28"/>
          <w:szCs w:val="28"/>
        </w:rPr>
        <w:t xml:space="preserve">le premier à s’inscrire dans le cadre </w:t>
      </w:r>
      <w:r w:rsidR="00F659D9">
        <w:rPr>
          <w:rFonts w:ascii="Sylfaen" w:hAnsi="Sylfaen"/>
          <w:b w:val="0"/>
          <w:bCs w:val="0"/>
          <w:sz w:val="28"/>
          <w:szCs w:val="28"/>
        </w:rPr>
        <w:t xml:space="preserve">des nouveaux comptes nationaux </w:t>
      </w:r>
      <w:r w:rsidR="00A61590">
        <w:rPr>
          <w:rFonts w:ascii="Sylfaen" w:hAnsi="Sylfaen"/>
          <w:b w:val="0"/>
          <w:bCs w:val="0"/>
          <w:sz w:val="28"/>
          <w:szCs w:val="28"/>
        </w:rPr>
        <w:t>à</w:t>
      </w:r>
      <w:r w:rsidR="00F659D9">
        <w:rPr>
          <w:rFonts w:ascii="Sylfaen" w:hAnsi="Sylfaen"/>
          <w:b w:val="0"/>
          <w:bCs w:val="0"/>
          <w:sz w:val="28"/>
          <w:szCs w:val="28"/>
        </w:rPr>
        <w:t xml:space="preserve"> base </w:t>
      </w:r>
      <w:r w:rsidR="006F4410" w:rsidRPr="005231B4">
        <w:rPr>
          <w:rFonts w:ascii="Sylfaen" w:hAnsi="Sylfaen"/>
          <w:b w:val="0"/>
          <w:bCs w:val="0"/>
          <w:sz w:val="28"/>
          <w:szCs w:val="28"/>
        </w:rPr>
        <w:t>2007</w:t>
      </w:r>
      <w:r w:rsidR="00043EB1" w:rsidRPr="005231B4">
        <w:rPr>
          <w:rFonts w:ascii="Sylfaen" w:hAnsi="Sylfaen"/>
          <w:b w:val="0"/>
          <w:bCs w:val="0"/>
          <w:sz w:val="28"/>
          <w:szCs w:val="28"/>
        </w:rPr>
        <w:t>.</w:t>
      </w:r>
      <w:r w:rsidR="00476DE3" w:rsidRPr="005231B4">
        <w:rPr>
          <w:rFonts w:ascii="Sylfaen" w:hAnsi="Sylfaen"/>
          <w:b w:val="0"/>
          <w:bCs w:val="0"/>
          <w:sz w:val="28"/>
          <w:szCs w:val="28"/>
        </w:rPr>
        <w:t xml:space="preserve"> </w:t>
      </w:r>
      <w:r w:rsidR="00F659D9">
        <w:rPr>
          <w:rFonts w:ascii="Sylfaen" w:hAnsi="Sylfaen"/>
          <w:b w:val="0"/>
          <w:bCs w:val="0"/>
          <w:sz w:val="28"/>
          <w:szCs w:val="28"/>
        </w:rPr>
        <w:t>Il</w:t>
      </w:r>
      <w:r w:rsidR="00230B96" w:rsidRPr="005231B4">
        <w:rPr>
          <w:rFonts w:ascii="Sylfaen" w:hAnsi="Sylfaen"/>
          <w:b w:val="0"/>
          <w:bCs w:val="0"/>
          <w:sz w:val="28"/>
          <w:szCs w:val="28"/>
        </w:rPr>
        <w:t xml:space="preserve"> </w:t>
      </w:r>
      <w:r>
        <w:rPr>
          <w:rFonts w:ascii="Sylfaen" w:hAnsi="Sylfaen"/>
          <w:b w:val="0"/>
          <w:bCs w:val="0"/>
          <w:sz w:val="28"/>
          <w:szCs w:val="28"/>
        </w:rPr>
        <w:t xml:space="preserve">se base sur les </w:t>
      </w:r>
      <w:r w:rsidR="00BD1A0E" w:rsidRPr="005231B4">
        <w:rPr>
          <w:rFonts w:ascii="Sylfaen" w:hAnsi="Sylfaen"/>
          <w:b w:val="0"/>
          <w:bCs w:val="0"/>
          <w:sz w:val="28"/>
          <w:szCs w:val="28"/>
        </w:rPr>
        <w:t>résultats des enquêtes trimestrielles et des travaux de suivi et d’analyse de conjoncture menés par le H</w:t>
      </w:r>
      <w:r w:rsidR="00F659D9">
        <w:rPr>
          <w:rFonts w:ascii="Sylfaen" w:hAnsi="Sylfaen"/>
          <w:b w:val="0"/>
          <w:bCs w:val="0"/>
          <w:sz w:val="28"/>
          <w:szCs w:val="28"/>
        </w:rPr>
        <w:t>CP</w:t>
      </w:r>
      <w:r w:rsidR="00BD1A0E" w:rsidRPr="005231B4">
        <w:rPr>
          <w:rFonts w:ascii="Sylfaen" w:hAnsi="Sylfaen"/>
          <w:b w:val="0"/>
          <w:bCs w:val="0"/>
          <w:sz w:val="28"/>
          <w:szCs w:val="28"/>
        </w:rPr>
        <w:t xml:space="preserve"> durant le premier semestre de l’année 201</w:t>
      </w:r>
      <w:r w:rsidR="00AC64C2" w:rsidRPr="005231B4">
        <w:rPr>
          <w:rFonts w:ascii="Sylfaen" w:hAnsi="Sylfaen"/>
          <w:b w:val="0"/>
          <w:bCs w:val="0"/>
          <w:sz w:val="28"/>
          <w:szCs w:val="28"/>
        </w:rPr>
        <w:t>5</w:t>
      </w:r>
      <w:r>
        <w:rPr>
          <w:rFonts w:ascii="Sylfaen" w:hAnsi="Sylfaen"/>
          <w:b w:val="0"/>
          <w:bCs w:val="0"/>
          <w:sz w:val="28"/>
          <w:szCs w:val="28"/>
        </w:rPr>
        <w:t xml:space="preserve"> et sur </w:t>
      </w:r>
      <w:r w:rsidR="000841F8" w:rsidRPr="005231B4">
        <w:rPr>
          <w:rFonts w:ascii="Sylfaen" w:hAnsi="Sylfaen"/>
          <w:b w:val="0"/>
          <w:bCs w:val="0"/>
          <w:sz w:val="28"/>
          <w:szCs w:val="28"/>
        </w:rPr>
        <w:t>l’impact de l’évolution de l’</w:t>
      </w:r>
      <w:r w:rsidR="002E28FA" w:rsidRPr="005231B4">
        <w:rPr>
          <w:rFonts w:ascii="Sylfaen" w:hAnsi="Sylfaen"/>
          <w:b w:val="0"/>
          <w:bCs w:val="0"/>
          <w:sz w:val="28"/>
          <w:szCs w:val="28"/>
        </w:rPr>
        <w:t>économie mondiale</w:t>
      </w:r>
      <w:r w:rsidR="000841F8" w:rsidRPr="005231B4">
        <w:rPr>
          <w:rFonts w:ascii="Sylfaen" w:hAnsi="Sylfaen"/>
          <w:b w:val="0"/>
          <w:bCs w:val="0"/>
          <w:sz w:val="28"/>
          <w:szCs w:val="28"/>
        </w:rPr>
        <w:t xml:space="preserve"> sur l’activité économique nationale en 201</w:t>
      </w:r>
      <w:r w:rsidR="00032B2C">
        <w:rPr>
          <w:rFonts w:ascii="Sylfaen" w:hAnsi="Sylfaen"/>
          <w:b w:val="0"/>
          <w:bCs w:val="0"/>
          <w:sz w:val="28"/>
          <w:szCs w:val="28"/>
        </w:rPr>
        <w:t>5</w:t>
      </w:r>
      <w:r w:rsidR="000841F8" w:rsidRPr="005231B4">
        <w:rPr>
          <w:rFonts w:ascii="Sylfaen" w:hAnsi="Sylfaen"/>
          <w:b w:val="0"/>
          <w:bCs w:val="0"/>
          <w:sz w:val="28"/>
          <w:szCs w:val="28"/>
        </w:rPr>
        <w:t xml:space="preserve"> et 201</w:t>
      </w:r>
      <w:r w:rsidR="00032B2C">
        <w:rPr>
          <w:rFonts w:ascii="Sylfaen" w:hAnsi="Sylfaen"/>
          <w:b w:val="0"/>
          <w:bCs w:val="0"/>
          <w:sz w:val="28"/>
          <w:szCs w:val="28"/>
        </w:rPr>
        <w:t>6</w:t>
      </w:r>
      <w:r w:rsidR="00BD1A0E" w:rsidRPr="005231B4">
        <w:rPr>
          <w:rFonts w:ascii="Sylfaen" w:hAnsi="Sylfaen"/>
          <w:b w:val="0"/>
          <w:bCs w:val="0"/>
          <w:sz w:val="28"/>
          <w:szCs w:val="28"/>
        </w:rPr>
        <w:t xml:space="preserve">. </w:t>
      </w:r>
    </w:p>
    <w:p w:rsidR="00230B96" w:rsidRDefault="001C1BEC" w:rsidP="00A655D8">
      <w:pPr>
        <w:widowControl w:val="0"/>
        <w:autoSpaceDE w:val="0"/>
        <w:autoSpaceDN w:val="0"/>
        <w:adjustRightInd w:val="0"/>
        <w:spacing w:before="100" w:beforeAutospacing="1" w:line="276" w:lineRule="auto"/>
        <w:ind w:right="-23" w:firstLine="708"/>
        <w:jc w:val="both"/>
        <w:rPr>
          <w:b w:val="0"/>
          <w:bCs w:val="0"/>
          <w:sz w:val="28"/>
          <w:szCs w:val="28"/>
        </w:rPr>
      </w:pPr>
      <w:r w:rsidRPr="00A61590">
        <w:rPr>
          <w:rFonts w:ascii="Sylfaen" w:hAnsi="Sylfaen"/>
          <w:b w:val="0"/>
          <w:bCs w:val="0"/>
          <w:sz w:val="28"/>
          <w:szCs w:val="28"/>
        </w:rPr>
        <w:t>L</w:t>
      </w:r>
      <w:r w:rsidR="00BD1A0E" w:rsidRPr="00A61590">
        <w:rPr>
          <w:rFonts w:ascii="Sylfaen" w:hAnsi="Sylfaen"/>
          <w:b w:val="0"/>
          <w:bCs w:val="0"/>
          <w:sz w:val="28"/>
          <w:szCs w:val="28"/>
        </w:rPr>
        <w:t>e</w:t>
      </w:r>
      <w:r w:rsidR="007A3A88" w:rsidRPr="00A61590">
        <w:rPr>
          <w:rFonts w:ascii="Sylfaen" w:hAnsi="Sylfaen"/>
          <w:b w:val="0"/>
          <w:bCs w:val="0"/>
          <w:sz w:val="28"/>
          <w:szCs w:val="28"/>
        </w:rPr>
        <w:t xml:space="preserve">s </w:t>
      </w:r>
      <w:r w:rsidR="00A655D8" w:rsidRPr="00A61590">
        <w:rPr>
          <w:rFonts w:ascii="Sylfaen" w:hAnsi="Sylfaen"/>
          <w:b w:val="0"/>
          <w:bCs w:val="0"/>
          <w:sz w:val="28"/>
          <w:szCs w:val="28"/>
        </w:rPr>
        <w:t xml:space="preserve">hypothèses </w:t>
      </w:r>
      <w:r w:rsidR="00A655D8">
        <w:rPr>
          <w:rFonts w:ascii="Sylfaen" w:hAnsi="Sylfaen"/>
          <w:b w:val="0"/>
          <w:bCs w:val="0"/>
          <w:sz w:val="28"/>
          <w:szCs w:val="28"/>
        </w:rPr>
        <w:t xml:space="preserve">retenues pour </w:t>
      </w:r>
      <w:r w:rsidR="00F64A35" w:rsidRPr="00A61590">
        <w:rPr>
          <w:rFonts w:ascii="Sylfaen" w:hAnsi="Sylfaen"/>
          <w:b w:val="0"/>
          <w:bCs w:val="0"/>
          <w:sz w:val="28"/>
          <w:szCs w:val="28"/>
        </w:rPr>
        <w:t xml:space="preserve">l’année </w:t>
      </w:r>
      <w:r w:rsidR="0023094A" w:rsidRPr="00A61590">
        <w:rPr>
          <w:rFonts w:ascii="Sylfaen" w:hAnsi="Sylfaen"/>
          <w:b w:val="0"/>
          <w:bCs w:val="0"/>
          <w:sz w:val="28"/>
          <w:szCs w:val="28"/>
        </w:rPr>
        <w:t>201</w:t>
      </w:r>
      <w:r w:rsidR="00AC64C2" w:rsidRPr="00A61590">
        <w:rPr>
          <w:rFonts w:ascii="Sylfaen" w:hAnsi="Sylfaen"/>
          <w:b w:val="0"/>
          <w:bCs w:val="0"/>
          <w:sz w:val="28"/>
          <w:szCs w:val="28"/>
        </w:rPr>
        <w:t>6</w:t>
      </w:r>
      <w:r w:rsidR="00623BA3" w:rsidRPr="00A61590">
        <w:rPr>
          <w:rFonts w:ascii="Sylfaen" w:hAnsi="Sylfaen"/>
          <w:b w:val="0"/>
          <w:bCs w:val="0"/>
          <w:sz w:val="28"/>
          <w:szCs w:val="28"/>
        </w:rPr>
        <w:t xml:space="preserve"> </w:t>
      </w:r>
      <w:r w:rsidR="00A655D8">
        <w:rPr>
          <w:rFonts w:ascii="Sylfaen" w:hAnsi="Sylfaen"/>
          <w:b w:val="0"/>
          <w:bCs w:val="0"/>
          <w:sz w:val="28"/>
          <w:szCs w:val="28"/>
        </w:rPr>
        <w:t xml:space="preserve">portent sur une </w:t>
      </w:r>
      <w:r w:rsidR="0023094A" w:rsidRPr="00A61590">
        <w:rPr>
          <w:rFonts w:ascii="Sylfaen" w:hAnsi="Sylfaen"/>
          <w:b w:val="0"/>
          <w:bCs w:val="0"/>
          <w:sz w:val="28"/>
          <w:szCs w:val="28"/>
        </w:rPr>
        <w:t>production moyenne durant la campagne agricole 201</w:t>
      </w:r>
      <w:r w:rsidR="00AC64C2" w:rsidRPr="00A61590">
        <w:rPr>
          <w:rFonts w:ascii="Sylfaen" w:hAnsi="Sylfaen"/>
          <w:b w:val="0"/>
          <w:bCs w:val="0"/>
          <w:sz w:val="28"/>
          <w:szCs w:val="28"/>
        </w:rPr>
        <w:t>5</w:t>
      </w:r>
      <w:r w:rsidR="0023094A" w:rsidRPr="00A61590">
        <w:rPr>
          <w:rFonts w:ascii="Sylfaen" w:hAnsi="Sylfaen"/>
          <w:b w:val="0"/>
          <w:bCs w:val="0"/>
          <w:sz w:val="28"/>
          <w:szCs w:val="28"/>
        </w:rPr>
        <w:t>/201</w:t>
      </w:r>
      <w:r w:rsidR="00AC64C2" w:rsidRPr="00A61590">
        <w:rPr>
          <w:rFonts w:ascii="Sylfaen" w:hAnsi="Sylfaen"/>
          <w:b w:val="0"/>
          <w:bCs w:val="0"/>
          <w:sz w:val="28"/>
          <w:szCs w:val="28"/>
        </w:rPr>
        <w:t>6</w:t>
      </w:r>
      <w:r w:rsidR="0023094A" w:rsidRPr="00A61590">
        <w:rPr>
          <w:rFonts w:ascii="Sylfaen" w:hAnsi="Sylfaen"/>
          <w:b w:val="0"/>
          <w:bCs w:val="0"/>
          <w:sz w:val="28"/>
          <w:szCs w:val="28"/>
        </w:rPr>
        <w:t xml:space="preserve"> </w:t>
      </w:r>
      <w:r w:rsidR="00BD1A0E" w:rsidRPr="00A61590">
        <w:rPr>
          <w:rFonts w:ascii="Sylfaen" w:hAnsi="Sylfaen"/>
          <w:b w:val="0"/>
          <w:bCs w:val="0"/>
          <w:sz w:val="28"/>
          <w:szCs w:val="28"/>
        </w:rPr>
        <w:t>e</w:t>
      </w:r>
      <w:r w:rsidR="0023094A" w:rsidRPr="00A61590">
        <w:rPr>
          <w:rFonts w:ascii="Sylfaen" w:hAnsi="Sylfaen"/>
          <w:b w:val="0"/>
          <w:bCs w:val="0"/>
          <w:sz w:val="28"/>
          <w:szCs w:val="28"/>
        </w:rPr>
        <w:t>t</w:t>
      </w:r>
      <w:r w:rsidR="00BD1A0E" w:rsidRPr="00A61590">
        <w:rPr>
          <w:rFonts w:ascii="Sylfaen" w:hAnsi="Sylfaen"/>
          <w:b w:val="0"/>
          <w:bCs w:val="0"/>
          <w:sz w:val="28"/>
          <w:szCs w:val="28"/>
        </w:rPr>
        <w:t xml:space="preserve"> </w:t>
      </w:r>
      <w:r w:rsidR="00A655D8">
        <w:rPr>
          <w:rFonts w:ascii="Sylfaen" w:hAnsi="Sylfaen"/>
          <w:b w:val="0"/>
          <w:bCs w:val="0"/>
          <w:sz w:val="28"/>
          <w:szCs w:val="28"/>
        </w:rPr>
        <w:t xml:space="preserve">une </w:t>
      </w:r>
      <w:r w:rsidR="00BD1A0E" w:rsidRPr="00A61590">
        <w:rPr>
          <w:rFonts w:ascii="Sylfaen" w:hAnsi="Sylfaen"/>
          <w:b w:val="0"/>
          <w:bCs w:val="0"/>
          <w:sz w:val="28"/>
          <w:szCs w:val="28"/>
        </w:rPr>
        <w:t xml:space="preserve">reconduction, </w:t>
      </w:r>
      <w:r w:rsidR="00A655D8">
        <w:rPr>
          <w:rFonts w:ascii="Sylfaen" w:hAnsi="Sylfaen"/>
          <w:b w:val="0"/>
          <w:bCs w:val="0"/>
          <w:sz w:val="28"/>
          <w:szCs w:val="28"/>
        </w:rPr>
        <w:t>sur</w:t>
      </w:r>
      <w:r w:rsidR="00BD1A0E" w:rsidRPr="00A61590">
        <w:rPr>
          <w:rFonts w:ascii="Sylfaen" w:hAnsi="Sylfaen"/>
          <w:b w:val="0"/>
          <w:bCs w:val="0"/>
          <w:sz w:val="28"/>
          <w:szCs w:val="28"/>
        </w:rPr>
        <w:t xml:space="preserve"> l’année </w:t>
      </w:r>
      <w:r w:rsidR="00B108C8" w:rsidRPr="00A61590">
        <w:rPr>
          <w:rFonts w:ascii="Sylfaen" w:hAnsi="Sylfaen"/>
          <w:b w:val="0"/>
          <w:bCs w:val="0"/>
          <w:sz w:val="28"/>
          <w:szCs w:val="28"/>
        </w:rPr>
        <w:t>201</w:t>
      </w:r>
      <w:r w:rsidR="00AC64C2" w:rsidRPr="00A61590">
        <w:rPr>
          <w:rFonts w:ascii="Sylfaen" w:hAnsi="Sylfaen"/>
          <w:b w:val="0"/>
          <w:bCs w:val="0"/>
          <w:sz w:val="28"/>
          <w:szCs w:val="28"/>
        </w:rPr>
        <w:t>6</w:t>
      </w:r>
      <w:r w:rsidR="00BD1A0E" w:rsidRPr="00A61590">
        <w:rPr>
          <w:rFonts w:ascii="Sylfaen" w:hAnsi="Sylfaen"/>
          <w:b w:val="0"/>
          <w:bCs w:val="0"/>
          <w:sz w:val="28"/>
          <w:szCs w:val="28"/>
        </w:rPr>
        <w:t xml:space="preserve">, de la politique budgétaire </w:t>
      </w:r>
      <w:r w:rsidR="00AC64C2" w:rsidRPr="00A61590">
        <w:rPr>
          <w:rFonts w:ascii="Sylfaen" w:hAnsi="Sylfaen"/>
          <w:b w:val="0"/>
          <w:bCs w:val="0"/>
          <w:sz w:val="28"/>
          <w:szCs w:val="28"/>
        </w:rPr>
        <w:t>en vigueur</w:t>
      </w:r>
      <w:r w:rsidR="00C56C43" w:rsidRPr="00A61590">
        <w:rPr>
          <w:rFonts w:ascii="Sylfaen" w:hAnsi="Sylfaen"/>
          <w:b w:val="0"/>
          <w:bCs w:val="0"/>
          <w:sz w:val="28"/>
          <w:szCs w:val="28"/>
        </w:rPr>
        <w:t xml:space="preserve"> en 2015</w:t>
      </w:r>
      <w:r w:rsidR="00795214" w:rsidRPr="00A61590">
        <w:rPr>
          <w:rFonts w:ascii="Sylfaen" w:hAnsi="Sylfaen"/>
          <w:b w:val="0"/>
          <w:bCs w:val="0"/>
          <w:sz w:val="28"/>
          <w:szCs w:val="28"/>
        </w:rPr>
        <w:t>,</w:t>
      </w:r>
      <w:r w:rsidR="00A655D8">
        <w:rPr>
          <w:rFonts w:ascii="Sylfaen" w:hAnsi="Sylfaen"/>
          <w:b w:val="0"/>
          <w:bCs w:val="0"/>
          <w:sz w:val="28"/>
          <w:szCs w:val="28"/>
        </w:rPr>
        <w:t xml:space="preserve"> notamment</w:t>
      </w:r>
      <w:r w:rsidR="00C60C79" w:rsidRPr="00A61590">
        <w:rPr>
          <w:rFonts w:ascii="Sylfaen" w:hAnsi="Sylfaen"/>
          <w:b w:val="0"/>
          <w:bCs w:val="0"/>
          <w:sz w:val="28"/>
          <w:szCs w:val="28"/>
        </w:rPr>
        <w:t xml:space="preserve"> </w:t>
      </w:r>
      <w:r w:rsidR="00BD1A0E" w:rsidRPr="00A61590">
        <w:rPr>
          <w:rFonts w:ascii="Sylfaen" w:hAnsi="Sylfaen"/>
          <w:b w:val="0"/>
          <w:bCs w:val="0"/>
          <w:sz w:val="28"/>
          <w:szCs w:val="28"/>
        </w:rPr>
        <w:t>en matière des dépenses</w:t>
      </w:r>
      <w:r w:rsidR="00BD1A0E" w:rsidRPr="00BD1A0E">
        <w:rPr>
          <w:b w:val="0"/>
          <w:bCs w:val="0"/>
          <w:sz w:val="28"/>
          <w:szCs w:val="28"/>
        </w:rPr>
        <w:t xml:space="preserve"> </w:t>
      </w:r>
      <w:r w:rsidR="00F64A35" w:rsidRPr="00BD1A0E">
        <w:rPr>
          <w:b w:val="0"/>
          <w:bCs w:val="0"/>
          <w:sz w:val="28"/>
          <w:szCs w:val="28"/>
        </w:rPr>
        <w:t>d’investissement</w:t>
      </w:r>
      <w:r w:rsidR="00795214">
        <w:rPr>
          <w:b w:val="0"/>
          <w:bCs w:val="0"/>
          <w:sz w:val="28"/>
          <w:szCs w:val="28"/>
        </w:rPr>
        <w:t xml:space="preserve"> et</w:t>
      </w:r>
      <w:r w:rsidR="00F64A35" w:rsidRPr="00BD1A0E">
        <w:rPr>
          <w:b w:val="0"/>
          <w:bCs w:val="0"/>
          <w:sz w:val="28"/>
          <w:szCs w:val="28"/>
        </w:rPr>
        <w:t xml:space="preserve"> </w:t>
      </w:r>
      <w:r w:rsidR="00E9104C">
        <w:rPr>
          <w:b w:val="0"/>
          <w:bCs w:val="0"/>
          <w:sz w:val="28"/>
          <w:szCs w:val="28"/>
        </w:rPr>
        <w:t>de fonctionnement</w:t>
      </w:r>
      <w:r w:rsidR="0021792F">
        <w:rPr>
          <w:b w:val="0"/>
          <w:bCs w:val="0"/>
          <w:sz w:val="28"/>
          <w:szCs w:val="28"/>
        </w:rPr>
        <w:t xml:space="preserve"> et de compensation</w:t>
      </w:r>
      <w:r w:rsidR="00E9104C">
        <w:rPr>
          <w:b w:val="0"/>
          <w:bCs w:val="0"/>
          <w:sz w:val="28"/>
          <w:szCs w:val="28"/>
        </w:rPr>
        <w:t>.</w:t>
      </w:r>
    </w:p>
    <w:p w:rsidR="00A655D8" w:rsidRDefault="00A655D8" w:rsidP="00A655D8">
      <w:pPr>
        <w:widowControl w:val="0"/>
        <w:autoSpaceDE w:val="0"/>
        <w:autoSpaceDN w:val="0"/>
        <w:adjustRightInd w:val="0"/>
        <w:spacing w:before="100" w:beforeAutospacing="1" w:line="276" w:lineRule="auto"/>
        <w:ind w:right="-23" w:firstLine="708"/>
        <w:jc w:val="both"/>
        <w:rPr>
          <w:b w:val="0"/>
          <w:bCs w:val="0"/>
          <w:sz w:val="28"/>
          <w:szCs w:val="28"/>
        </w:rPr>
      </w:pPr>
      <w:r>
        <w:rPr>
          <w:b w:val="0"/>
          <w:bCs w:val="0"/>
          <w:sz w:val="28"/>
          <w:szCs w:val="28"/>
        </w:rPr>
        <w:t>C’est dire qu’elles ont vocation à être révisées au cours du prochain Budget Economique en fin d’année lorsque la Loi de Finances aura été adoptée par le Parlement.</w:t>
      </w:r>
    </w:p>
    <w:p w:rsidR="00F659D9" w:rsidRDefault="00F659D9" w:rsidP="00F659D9">
      <w:pPr>
        <w:widowControl w:val="0"/>
        <w:autoSpaceDE w:val="0"/>
        <w:autoSpaceDN w:val="0"/>
        <w:adjustRightInd w:val="0"/>
        <w:spacing w:before="100" w:beforeAutospacing="1" w:line="276" w:lineRule="auto"/>
        <w:ind w:right="-23" w:firstLine="708"/>
        <w:jc w:val="both"/>
        <w:rPr>
          <w:b w:val="0"/>
          <w:bCs w:val="0"/>
          <w:sz w:val="28"/>
          <w:szCs w:val="28"/>
        </w:rPr>
      </w:pPr>
    </w:p>
    <w:p w:rsidR="00D67948" w:rsidRDefault="00D67948" w:rsidP="00230B96">
      <w:pPr>
        <w:widowControl w:val="0"/>
        <w:adjustRightInd w:val="0"/>
        <w:spacing w:after="360"/>
        <w:jc w:val="lowKashida"/>
        <w:rPr>
          <w:b w:val="0"/>
          <w:bCs w:val="0"/>
          <w:color w:val="0000FF"/>
          <w:sz w:val="28"/>
          <w:szCs w:val="28"/>
        </w:rPr>
      </w:pPr>
      <w:r w:rsidRPr="009D64E8">
        <w:rPr>
          <w:color w:val="0000FF"/>
          <w:sz w:val="30"/>
          <w:szCs w:val="30"/>
          <w:u w:val="single"/>
        </w:rPr>
        <w:t>L’environnement international</w:t>
      </w:r>
      <w:r w:rsidRPr="009D64E8">
        <w:rPr>
          <w:b w:val="0"/>
          <w:bCs w:val="0"/>
          <w:color w:val="0000FF"/>
          <w:sz w:val="28"/>
          <w:szCs w:val="28"/>
        </w:rPr>
        <w:t xml:space="preserve"> </w:t>
      </w:r>
    </w:p>
    <w:p w:rsidR="007E2CC3" w:rsidRDefault="007E2CC3" w:rsidP="007E2CC3">
      <w:pPr>
        <w:widowControl w:val="0"/>
        <w:autoSpaceDE w:val="0"/>
        <w:autoSpaceDN w:val="0"/>
        <w:adjustRightInd w:val="0"/>
        <w:spacing w:before="100" w:beforeAutospacing="1" w:after="100" w:afterAutospacing="1" w:line="200" w:lineRule="exact"/>
        <w:jc w:val="both"/>
        <w:rPr>
          <w:rFonts w:ascii="Sylfaen" w:hAnsi="Sylfaen"/>
          <w:b w:val="0"/>
          <w:bCs w:val="0"/>
          <w:sz w:val="28"/>
          <w:szCs w:val="28"/>
        </w:rPr>
      </w:pPr>
    </w:p>
    <w:p w:rsidR="00C16414" w:rsidRDefault="005231B4" w:rsidP="00A61590">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DB2EF7">
        <w:rPr>
          <w:rFonts w:ascii="Sylfaen" w:hAnsi="Sylfaen"/>
          <w:b w:val="0"/>
          <w:bCs w:val="0"/>
          <w:sz w:val="28"/>
          <w:szCs w:val="28"/>
        </w:rPr>
        <w:t>Selon les dernières perspectives économiques des institutions internationales</w:t>
      </w:r>
      <w:r w:rsidR="00A61590">
        <w:rPr>
          <w:rStyle w:val="Appelnotedebasdep"/>
          <w:rFonts w:ascii="Sylfaen" w:hAnsi="Sylfaen"/>
          <w:b w:val="0"/>
          <w:bCs w:val="0"/>
          <w:sz w:val="28"/>
          <w:szCs w:val="28"/>
        </w:rPr>
        <w:footnoteReference w:id="1"/>
      </w:r>
      <w:r w:rsidRPr="00DB2EF7">
        <w:rPr>
          <w:rFonts w:ascii="Sylfaen" w:hAnsi="Sylfaen"/>
          <w:b w:val="0"/>
          <w:bCs w:val="0"/>
          <w:sz w:val="28"/>
          <w:szCs w:val="28"/>
        </w:rPr>
        <w:t>, l’économie mondiale continuerait de progresser à un rythme modéré en 2015 et 2016, dans un contexte dominé  par la baisse des prix des matières premières</w:t>
      </w:r>
      <w:r w:rsidR="00F659D9">
        <w:rPr>
          <w:rFonts w:ascii="Sylfaen" w:hAnsi="Sylfaen"/>
          <w:b w:val="0"/>
          <w:bCs w:val="0"/>
          <w:sz w:val="28"/>
          <w:szCs w:val="28"/>
        </w:rPr>
        <w:t>,</w:t>
      </w:r>
      <w:r w:rsidRPr="00DB2EF7">
        <w:rPr>
          <w:rFonts w:ascii="Sylfaen" w:hAnsi="Sylfaen"/>
          <w:b w:val="0"/>
          <w:bCs w:val="0"/>
          <w:sz w:val="28"/>
          <w:szCs w:val="28"/>
        </w:rPr>
        <w:t xml:space="preserve"> </w:t>
      </w:r>
      <w:r w:rsidR="00E0028C">
        <w:rPr>
          <w:rFonts w:ascii="Sylfaen" w:hAnsi="Sylfaen"/>
          <w:b w:val="0"/>
          <w:bCs w:val="0"/>
          <w:sz w:val="28"/>
          <w:szCs w:val="28"/>
        </w:rPr>
        <w:t xml:space="preserve"> notamment </w:t>
      </w:r>
      <w:r w:rsidRPr="00DB2EF7">
        <w:rPr>
          <w:rFonts w:ascii="Sylfaen" w:hAnsi="Sylfaen"/>
          <w:b w:val="0"/>
          <w:bCs w:val="0"/>
          <w:sz w:val="28"/>
          <w:szCs w:val="28"/>
        </w:rPr>
        <w:t>du pétrole</w:t>
      </w:r>
      <w:r w:rsidR="00F659D9">
        <w:rPr>
          <w:rFonts w:ascii="Sylfaen" w:hAnsi="Sylfaen"/>
          <w:b w:val="0"/>
          <w:bCs w:val="0"/>
          <w:sz w:val="28"/>
          <w:szCs w:val="28"/>
        </w:rPr>
        <w:t xml:space="preserve"> brut</w:t>
      </w:r>
      <w:r w:rsidRPr="00DB2EF7">
        <w:rPr>
          <w:rFonts w:ascii="Sylfaen" w:hAnsi="Sylfaen"/>
          <w:b w:val="0"/>
          <w:bCs w:val="0"/>
          <w:sz w:val="28"/>
          <w:szCs w:val="28"/>
        </w:rPr>
        <w:t xml:space="preserve"> et par de fortes variations des taux de change.</w:t>
      </w:r>
    </w:p>
    <w:p w:rsidR="005231B4" w:rsidRDefault="00CE6E79" w:rsidP="00583A89">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L</w:t>
      </w:r>
      <w:r w:rsidR="005231B4" w:rsidRPr="00DB2EF7">
        <w:rPr>
          <w:rFonts w:ascii="Sylfaen" w:hAnsi="Sylfaen"/>
          <w:b w:val="0"/>
          <w:bCs w:val="0"/>
          <w:sz w:val="28"/>
          <w:szCs w:val="28"/>
        </w:rPr>
        <w:t xml:space="preserve">a situation macroéconomique resterait impactée </w:t>
      </w:r>
      <w:r>
        <w:rPr>
          <w:rFonts w:ascii="Sylfaen" w:hAnsi="Sylfaen"/>
          <w:b w:val="0"/>
          <w:bCs w:val="0"/>
          <w:sz w:val="28"/>
          <w:szCs w:val="28"/>
        </w:rPr>
        <w:t>d</w:t>
      </w:r>
      <w:r w:rsidRPr="00DB2EF7">
        <w:rPr>
          <w:rFonts w:ascii="Sylfaen" w:hAnsi="Sylfaen"/>
          <w:b w:val="0"/>
          <w:bCs w:val="0"/>
          <w:sz w:val="28"/>
          <w:szCs w:val="28"/>
        </w:rPr>
        <w:t xml:space="preserve">ans plusieurs pays </w:t>
      </w:r>
      <w:r w:rsidR="005231B4" w:rsidRPr="00DB2EF7">
        <w:rPr>
          <w:rFonts w:ascii="Sylfaen" w:hAnsi="Sylfaen"/>
          <w:b w:val="0"/>
          <w:bCs w:val="0"/>
          <w:sz w:val="28"/>
          <w:szCs w:val="28"/>
        </w:rPr>
        <w:t xml:space="preserve">par la baisse du taux de croissance  de  la  production  potentielle, </w:t>
      </w:r>
      <w:r w:rsidR="00A61590">
        <w:rPr>
          <w:rFonts w:ascii="Sylfaen" w:hAnsi="Sylfaen"/>
          <w:b w:val="0"/>
          <w:bCs w:val="0"/>
          <w:sz w:val="28"/>
          <w:szCs w:val="28"/>
        </w:rPr>
        <w:t>sous l’effet</w:t>
      </w:r>
      <w:r w:rsidR="005231B4" w:rsidRPr="00DB2EF7">
        <w:rPr>
          <w:rFonts w:ascii="Sylfaen" w:hAnsi="Sylfaen"/>
          <w:b w:val="0"/>
          <w:bCs w:val="0"/>
          <w:sz w:val="28"/>
          <w:szCs w:val="28"/>
        </w:rPr>
        <w:t xml:space="preserve"> </w:t>
      </w:r>
      <w:r w:rsidR="00A61590">
        <w:rPr>
          <w:rFonts w:ascii="Sylfaen" w:hAnsi="Sylfaen"/>
          <w:b w:val="0"/>
          <w:bCs w:val="0"/>
          <w:sz w:val="28"/>
          <w:szCs w:val="28"/>
        </w:rPr>
        <w:t>de</w:t>
      </w:r>
      <w:r w:rsidR="005231B4" w:rsidRPr="00DB2EF7">
        <w:rPr>
          <w:rFonts w:ascii="Sylfaen" w:hAnsi="Sylfaen"/>
          <w:b w:val="0"/>
          <w:bCs w:val="0"/>
          <w:sz w:val="28"/>
          <w:szCs w:val="28"/>
        </w:rPr>
        <w:t xml:space="preserve"> la baisse de l’investissement et la hausse du chômage structurel. La fragilité des banques et l’endettement élevé d</w:t>
      </w:r>
      <w:r w:rsidR="00014A7A">
        <w:rPr>
          <w:rFonts w:ascii="Sylfaen" w:hAnsi="Sylfaen"/>
          <w:b w:val="0"/>
          <w:bCs w:val="0"/>
          <w:sz w:val="28"/>
          <w:szCs w:val="28"/>
        </w:rPr>
        <w:t>u</w:t>
      </w:r>
      <w:r w:rsidR="005231B4" w:rsidRPr="00DB2EF7">
        <w:rPr>
          <w:rFonts w:ascii="Sylfaen" w:hAnsi="Sylfaen"/>
          <w:b w:val="0"/>
          <w:bCs w:val="0"/>
          <w:sz w:val="28"/>
          <w:szCs w:val="28"/>
        </w:rPr>
        <w:t xml:space="preserve"> secteur public, des entreprises et des ménages, devraient continuer de peser sur l</w:t>
      </w:r>
      <w:r w:rsidR="00F659D9">
        <w:rPr>
          <w:rFonts w:ascii="Sylfaen" w:hAnsi="Sylfaen"/>
          <w:b w:val="0"/>
          <w:bCs w:val="0"/>
          <w:sz w:val="28"/>
          <w:szCs w:val="28"/>
        </w:rPr>
        <w:t>a demande</w:t>
      </w:r>
      <w:r w:rsidR="005231B4" w:rsidRPr="00DB2EF7">
        <w:rPr>
          <w:rFonts w:ascii="Sylfaen" w:hAnsi="Sylfaen"/>
          <w:b w:val="0"/>
          <w:bCs w:val="0"/>
          <w:sz w:val="28"/>
          <w:szCs w:val="28"/>
        </w:rPr>
        <w:t xml:space="preserve">. Dans ce contexte, la croissance mondiale s’établirait à 3,4% en 2015 et </w:t>
      </w:r>
      <w:r w:rsidR="00F659D9">
        <w:rPr>
          <w:rFonts w:ascii="Sylfaen" w:hAnsi="Sylfaen"/>
          <w:b w:val="0"/>
          <w:bCs w:val="0"/>
          <w:sz w:val="28"/>
          <w:szCs w:val="28"/>
        </w:rPr>
        <w:t xml:space="preserve">à </w:t>
      </w:r>
      <w:r w:rsidR="005231B4" w:rsidRPr="00DB2EF7">
        <w:rPr>
          <w:rFonts w:ascii="Sylfaen" w:hAnsi="Sylfaen"/>
          <w:b w:val="0"/>
          <w:bCs w:val="0"/>
          <w:sz w:val="28"/>
          <w:szCs w:val="28"/>
        </w:rPr>
        <w:t>3,9% en 2016</w:t>
      </w:r>
      <w:r w:rsidR="00C16414">
        <w:rPr>
          <w:rFonts w:ascii="Sylfaen" w:hAnsi="Sylfaen"/>
          <w:b w:val="0"/>
          <w:bCs w:val="0"/>
          <w:sz w:val="28"/>
          <w:szCs w:val="28"/>
        </w:rPr>
        <w:t>.</w:t>
      </w:r>
    </w:p>
    <w:p w:rsidR="005231B4" w:rsidRDefault="00FC3F21" w:rsidP="0027716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Aux Etats unis, l’activité </w:t>
      </w:r>
      <w:r w:rsidR="005231B4" w:rsidRPr="00DB2EF7">
        <w:rPr>
          <w:rFonts w:ascii="Sylfaen" w:hAnsi="Sylfaen"/>
          <w:b w:val="0"/>
          <w:bCs w:val="0"/>
          <w:sz w:val="28"/>
          <w:szCs w:val="28"/>
        </w:rPr>
        <w:t>économi</w:t>
      </w:r>
      <w:r>
        <w:rPr>
          <w:rFonts w:ascii="Sylfaen" w:hAnsi="Sylfaen"/>
          <w:b w:val="0"/>
          <w:bCs w:val="0"/>
          <w:sz w:val="28"/>
          <w:szCs w:val="28"/>
        </w:rPr>
        <w:t>qu</w:t>
      </w:r>
      <w:r w:rsidR="005231B4" w:rsidRPr="00DB2EF7">
        <w:rPr>
          <w:rFonts w:ascii="Sylfaen" w:hAnsi="Sylfaen"/>
          <w:b w:val="0"/>
          <w:bCs w:val="0"/>
          <w:sz w:val="28"/>
          <w:szCs w:val="28"/>
        </w:rPr>
        <w:t>e continuerait de croitre à un rythme soutenu de l’ordre de 2,7% en 2015 et de 2,8% en 2016. La demande intérieure sera</w:t>
      </w:r>
      <w:r w:rsidR="005231B4">
        <w:rPr>
          <w:rFonts w:ascii="Sylfaen" w:hAnsi="Sylfaen"/>
          <w:b w:val="0"/>
          <w:bCs w:val="0"/>
          <w:sz w:val="28"/>
          <w:szCs w:val="28"/>
        </w:rPr>
        <w:t>it</w:t>
      </w:r>
      <w:r w:rsidR="005231B4" w:rsidRPr="00DB2EF7">
        <w:rPr>
          <w:rFonts w:ascii="Sylfaen" w:hAnsi="Sylfaen"/>
          <w:b w:val="0"/>
          <w:bCs w:val="0"/>
          <w:sz w:val="28"/>
          <w:szCs w:val="28"/>
        </w:rPr>
        <w:t xml:space="preserve"> </w:t>
      </w:r>
      <w:r w:rsidR="00C16414">
        <w:rPr>
          <w:rFonts w:ascii="Sylfaen" w:hAnsi="Sylfaen"/>
          <w:b w:val="0"/>
          <w:bCs w:val="0"/>
          <w:sz w:val="28"/>
          <w:szCs w:val="28"/>
        </w:rPr>
        <w:t>soutenue</w:t>
      </w:r>
      <w:r w:rsidR="005231B4" w:rsidRPr="00DB2EF7">
        <w:rPr>
          <w:rFonts w:ascii="Sylfaen" w:hAnsi="Sylfaen"/>
          <w:b w:val="0"/>
          <w:bCs w:val="0"/>
          <w:sz w:val="28"/>
          <w:szCs w:val="28"/>
        </w:rPr>
        <w:t xml:space="preserve"> par la baisse du prix du pétrole et par un ajustement budgétaire plus modéré, mais</w:t>
      </w:r>
      <w:r w:rsidR="005231B4">
        <w:rPr>
          <w:rFonts w:ascii="Sylfaen" w:hAnsi="Sylfaen"/>
          <w:b w:val="0"/>
          <w:bCs w:val="0"/>
          <w:sz w:val="28"/>
          <w:szCs w:val="28"/>
        </w:rPr>
        <w:t xml:space="preserve"> elle serait</w:t>
      </w:r>
      <w:r w:rsidR="005231B4" w:rsidRPr="00DB2EF7">
        <w:rPr>
          <w:rFonts w:ascii="Sylfaen" w:hAnsi="Sylfaen"/>
          <w:b w:val="0"/>
          <w:bCs w:val="0"/>
          <w:sz w:val="28"/>
          <w:szCs w:val="28"/>
        </w:rPr>
        <w:t xml:space="preserve"> frein</w:t>
      </w:r>
      <w:r w:rsidR="005231B4">
        <w:rPr>
          <w:rFonts w:ascii="Sylfaen" w:hAnsi="Sylfaen"/>
          <w:b w:val="0"/>
          <w:bCs w:val="0"/>
          <w:sz w:val="28"/>
          <w:szCs w:val="28"/>
        </w:rPr>
        <w:t>ée</w:t>
      </w:r>
      <w:r w:rsidR="005231B4" w:rsidRPr="00DB2EF7">
        <w:rPr>
          <w:rFonts w:ascii="Sylfaen" w:hAnsi="Sylfaen"/>
          <w:b w:val="0"/>
          <w:bCs w:val="0"/>
          <w:sz w:val="28"/>
          <w:szCs w:val="28"/>
        </w:rPr>
        <w:t xml:space="preserve"> par l’appréciation du dollar et </w:t>
      </w:r>
      <w:r w:rsidR="005231B4">
        <w:rPr>
          <w:rFonts w:ascii="Sylfaen" w:hAnsi="Sylfaen"/>
          <w:b w:val="0"/>
          <w:bCs w:val="0"/>
          <w:sz w:val="28"/>
          <w:szCs w:val="28"/>
        </w:rPr>
        <w:t xml:space="preserve">par </w:t>
      </w:r>
      <w:r w:rsidR="005231B4" w:rsidRPr="00DB2EF7">
        <w:rPr>
          <w:rFonts w:ascii="Sylfaen" w:hAnsi="Sylfaen"/>
          <w:b w:val="0"/>
          <w:bCs w:val="0"/>
          <w:sz w:val="28"/>
          <w:szCs w:val="28"/>
        </w:rPr>
        <w:t>une hausse attendue des taux d’intérêt.</w:t>
      </w:r>
    </w:p>
    <w:p w:rsidR="005231B4" w:rsidRPr="00DB2EF7" w:rsidRDefault="005231B4" w:rsidP="00BB2636">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Dans</w:t>
      </w:r>
      <w:r w:rsidRPr="00DB2EF7">
        <w:rPr>
          <w:rFonts w:ascii="Sylfaen" w:hAnsi="Sylfaen"/>
          <w:b w:val="0"/>
          <w:bCs w:val="0"/>
          <w:sz w:val="28"/>
          <w:szCs w:val="28"/>
        </w:rPr>
        <w:t xml:space="preserve"> la zone euro, la croissance devrait s’améliorer pour atteindre 1,5% en 2015 et 1,8% en 2016 grâce notamment aux effets favorables du repli des prix du pétrole et à la dépréciation de l’euro face au dollar américain. Cependant, le niveau élevé de la dette et l</w:t>
      </w:r>
      <w:r w:rsidR="00C16414">
        <w:rPr>
          <w:rFonts w:ascii="Sylfaen" w:hAnsi="Sylfaen"/>
          <w:b w:val="0"/>
          <w:bCs w:val="0"/>
          <w:sz w:val="28"/>
          <w:szCs w:val="28"/>
        </w:rPr>
        <w:t xml:space="preserve">a persistance du </w:t>
      </w:r>
      <w:r w:rsidRPr="00DB2EF7">
        <w:rPr>
          <w:rFonts w:ascii="Sylfaen" w:hAnsi="Sylfaen"/>
          <w:b w:val="0"/>
          <w:bCs w:val="0"/>
          <w:sz w:val="28"/>
          <w:szCs w:val="28"/>
        </w:rPr>
        <w:t>chômage, devraient continuer de peser sur les perspectives de croissance dans la région.</w:t>
      </w:r>
    </w:p>
    <w:p w:rsidR="00F238B8" w:rsidRDefault="005231B4" w:rsidP="00BB2636">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DB2EF7">
        <w:rPr>
          <w:rFonts w:ascii="Sylfaen" w:hAnsi="Sylfaen"/>
          <w:b w:val="0"/>
          <w:bCs w:val="0"/>
          <w:sz w:val="28"/>
          <w:szCs w:val="28"/>
        </w:rPr>
        <w:t xml:space="preserve">De son coté, l’économie du  Japon, devrait se renforcer graduellement </w:t>
      </w:r>
      <w:r>
        <w:rPr>
          <w:rFonts w:ascii="Sylfaen" w:hAnsi="Sylfaen"/>
          <w:b w:val="0"/>
          <w:bCs w:val="0"/>
          <w:sz w:val="28"/>
          <w:szCs w:val="28"/>
        </w:rPr>
        <w:t xml:space="preserve">avec un taux de croissance de 1,7% en 2016 au lieu de 1,1% en 2015, </w:t>
      </w:r>
      <w:r w:rsidRPr="00DB2EF7">
        <w:rPr>
          <w:rFonts w:ascii="Sylfaen" w:hAnsi="Sylfaen"/>
          <w:b w:val="0"/>
          <w:bCs w:val="0"/>
          <w:sz w:val="28"/>
          <w:szCs w:val="28"/>
        </w:rPr>
        <w:t xml:space="preserve">bénéficiant de </w:t>
      </w:r>
      <w:r w:rsidR="00C16414" w:rsidRPr="00DB2EF7">
        <w:rPr>
          <w:rFonts w:ascii="Sylfaen" w:hAnsi="Sylfaen"/>
          <w:b w:val="0"/>
          <w:bCs w:val="0"/>
          <w:sz w:val="28"/>
          <w:szCs w:val="28"/>
        </w:rPr>
        <w:t xml:space="preserve">la hausse des salaires réels </w:t>
      </w:r>
      <w:r w:rsidR="00C16414">
        <w:rPr>
          <w:rFonts w:ascii="Sylfaen" w:hAnsi="Sylfaen"/>
          <w:b w:val="0"/>
          <w:bCs w:val="0"/>
          <w:sz w:val="28"/>
          <w:szCs w:val="28"/>
        </w:rPr>
        <w:t xml:space="preserve">et de </w:t>
      </w:r>
      <w:r w:rsidRPr="00DB2EF7">
        <w:rPr>
          <w:rFonts w:ascii="Sylfaen" w:hAnsi="Sylfaen"/>
          <w:b w:val="0"/>
          <w:bCs w:val="0"/>
          <w:sz w:val="28"/>
          <w:szCs w:val="28"/>
        </w:rPr>
        <w:t>la progression des exportations à la f</w:t>
      </w:r>
      <w:r w:rsidR="00C16414">
        <w:rPr>
          <w:rFonts w:ascii="Sylfaen" w:hAnsi="Sylfaen"/>
          <w:b w:val="0"/>
          <w:bCs w:val="0"/>
          <w:sz w:val="28"/>
          <w:szCs w:val="28"/>
        </w:rPr>
        <w:t>aveur de la dépréciation du yen</w:t>
      </w:r>
      <w:r w:rsidRPr="00DB2EF7">
        <w:rPr>
          <w:rFonts w:ascii="Sylfaen" w:hAnsi="Sylfaen"/>
          <w:b w:val="0"/>
          <w:bCs w:val="0"/>
          <w:sz w:val="28"/>
          <w:szCs w:val="28"/>
        </w:rPr>
        <w:t>.</w:t>
      </w:r>
    </w:p>
    <w:p w:rsidR="005231B4" w:rsidRPr="00DB2EF7" w:rsidRDefault="005231B4" w:rsidP="00BB2636">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DB2EF7">
        <w:rPr>
          <w:rFonts w:ascii="Sylfaen" w:hAnsi="Sylfaen"/>
          <w:b w:val="0"/>
          <w:bCs w:val="0"/>
          <w:sz w:val="28"/>
          <w:szCs w:val="28"/>
        </w:rPr>
        <w:tab/>
      </w:r>
    </w:p>
    <w:p w:rsidR="001B6CFE" w:rsidRDefault="00C16414" w:rsidP="001B6CFE">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Les </w:t>
      </w:r>
      <w:r w:rsidRPr="00DB2EF7">
        <w:rPr>
          <w:rFonts w:ascii="Sylfaen" w:hAnsi="Sylfaen"/>
          <w:b w:val="0"/>
          <w:bCs w:val="0"/>
          <w:sz w:val="28"/>
          <w:szCs w:val="28"/>
        </w:rPr>
        <w:t xml:space="preserve">pays émergents </w:t>
      </w:r>
      <w:r>
        <w:rPr>
          <w:rFonts w:ascii="Sylfaen" w:hAnsi="Sylfaen"/>
          <w:b w:val="0"/>
          <w:bCs w:val="0"/>
          <w:sz w:val="28"/>
          <w:szCs w:val="28"/>
        </w:rPr>
        <w:t>con</w:t>
      </w:r>
      <w:r w:rsidR="005231B4" w:rsidRPr="00DB2EF7">
        <w:rPr>
          <w:rFonts w:ascii="Sylfaen" w:hAnsi="Sylfaen"/>
          <w:b w:val="0"/>
          <w:bCs w:val="0"/>
          <w:sz w:val="28"/>
          <w:szCs w:val="28"/>
        </w:rPr>
        <w:t>tinue</w:t>
      </w:r>
      <w:r>
        <w:rPr>
          <w:rFonts w:ascii="Sylfaen" w:hAnsi="Sylfaen"/>
          <w:b w:val="0"/>
          <w:bCs w:val="0"/>
          <w:sz w:val="28"/>
          <w:szCs w:val="28"/>
        </w:rPr>
        <w:t>raient, toutefois</w:t>
      </w:r>
      <w:r w:rsidR="00D34029">
        <w:rPr>
          <w:rFonts w:ascii="Sylfaen" w:hAnsi="Sylfaen"/>
          <w:b w:val="0"/>
          <w:bCs w:val="0"/>
          <w:sz w:val="28"/>
          <w:szCs w:val="28"/>
        </w:rPr>
        <w:t>,</w:t>
      </w:r>
      <w:r>
        <w:rPr>
          <w:rFonts w:ascii="Sylfaen" w:hAnsi="Sylfaen"/>
          <w:b w:val="0"/>
          <w:bCs w:val="0"/>
          <w:sz w:val="28"/>
          <w:szCs w:val="28"/>
        </w:rPr>
        <w:t xml:space="preserve"> </w:t>
      </w:r>
      <w:r w:rsidR="005231B4" w:rsidRPr="00DB2EF7">
        <w:rPr>
          <w:rFonts w:ascii="Sylfaen" w:hAnsi="Sylfaen"/>
          <w:b w:val="0"/>
          <w:bCs w:val="0"/>
          <w:sz w:val="28"/>
          <w:szCs w:val="28"/>
        </w:rPr>
        <w:t>d’être confrontés à une situation macroéconomique difficile</w:t>
      </w:r>
      <w:r w:rsidR="00226B5C">
        <w:rPr>
          <w:rFonts w:ascii="Sylfaen" w:hAnsi="Sylfaen"/>
          <w:b w:val="0"/>
          <w:bCs w:val="0"/>
          <w:sz w:val="28"/>
          <w:szCs w:val="28"/>
        </w:rPr>
        <w:t xml:space="preserve"> en 2015</w:t>
      </w:r>
      <w:r w:rsidR="00226B5C" w:rsidRPr="00226B5C">
        <w:rPr>
          <w:rFonts w:ascii="Sylfaen" w:hAnsi="Sylfaen"/>
          <w:b w:val="0"/>
          <w:bCs w:val="0"/>
          <w:sz w:val="28"/>
          <w:szCs w:val="28"/>
        </w:rPr>
        <w:t xml:space="preserve"> </w:t>
      </w:r>
      <w:r w:rsidR="005E61E4">
        <w:rPr>
          <w:rFonts w:ascii="Sylfaen" w:hAnsi="Sylfaen"/>
          <w:b w:val="0"/>
          <w:bCs w:val="0"/>
          <w:sz w:val="28"/>
          <w:szCs w:val="28"/>
        </w:rPr>
        <w:t xml:space="preserve">avant de redresser légèrement </w:t>
      </w:r>
      <w:r w:rsidR="00226B5C" w:rsidRPr="00DB2EF7">
        <w:rPr>
          <w:rFonts w:ascii="Sylfaen" w:hAnsi="Sylfaen"/>
          <w:b w:val="0"/>
          <w:bCs w:val="0"/>
          <w:sz w:val="28"/>
          <w:szCs w:val="28"/>
        </w:rPr>
        <w:t>en 2016</w:t>
      </w:r>
      <w:r w:rsidR="00EE6611">
        <w:rPr>
          <w:rFonts w:ascii="Sylfaen" w:hAnsi="Sylfaen"/>
          <w:b w:val="0"/>
          <w:bCs w:val="0"/>
          <w:sz w:val="28"/>
          <w:szCs w:val="28"/>
        </w:rPr>
        <w:t>. E</w:t>
      </w:r>
      <w:r w:rsidR="00EE6611" w:rsidRPr="00DB2EF7">
        <w:rPr>
          <w:rFonts w:ascii="Sylfaen" w:hAnsi="Sylfaen"/>
          <w:b w:val="0"/>
          <w:bCs w:val="0"/>
          <w:sz w:val="28"/>
          <w:szCs w:val="28"/>
        </w:rPr>
        <w:t xml:space="preserve">n </w:t>
      </w:r>
      <w:r w:rsidR="00EE6611">
        <w:rPr>
          <w:rFonts w:ascii="Sylfaen" w:hAnsi="Sylfaen"/>
          <w:b w:val="0"/>
          <w:bCs w:val="0"/>
          <w:sz w:val="28"/>
          <w:szCs w:val="28"/>
        </w:rPr>
        <w:t>C</w:t>
      </w:r>
      <w:r w:rsidR="00EE6611" w:rsidRPr="00D34029">
        <w:rPr>
          <w:rFonts w:ascii="Sylfaen" w:hAnsi="Sylfaen"/>
          <w:b w:val="0"/>
          <w:bCs w:val="0"/>
          <w:sz w:val="28"/>
          <w:szCs w:val="28"/>
        </w:rPr>
        <w:t>hine</w:t>
      </w:r>
      <w:r w:rsidR="00EE6611">
        <w:rPr>
          <w:rFonts w:ascii="Sylfaen" w:hAnsi="Sylfaen"/>
          <w:b w:val="0"/>
          <w:bCs w:val="0"/>
          <w:sz w:val="28"/>
          <w:szCs w:val="28"/>
        </w:rPr>
        <w:t>, l</w:t>
      </w:r>
      <w:r w:rsidR="00EE6611" w:rsidRPr="00DB2EF7">
        <w:rPr>
          <w:rFonts w:ascii="Sylfaen" w:hAnsi="Sylfaen"/>
          <w:b w:val="0"/>
          <w:bCs w:val="0"/>
          <w:sz w:val="28"/>
          <w:szCs w:val="28"/>
        </w:rPr>
        <w:t xml:space="preserve">a croissance économique serait </w:t>
      </w:r>
      <w:r w:rsidR="005E61E4">
        <w:rPr>
          <w:rFonts w:ascii="Sylfaen" w:hAnsi="Sylfaen"/>
          <w:b w:val="0"/>
          <w:bCs w:val="0"/>
          <w:sz w:val="28"/>
          <w:szCs w:val="28"/>
        </w:rPr>
        <w:t>modérée</w:t>
      </w:r>
      <w:r w:rsidR="00EE6611" w:rsidRPr="00DB2EF7">
        <w:rPr>
          <w:rFonts w:ascii="Sylfaen" w:hAnsi="Sylfaen"/>
          <w:b w:val="0"/>
          <w:bCs w:val="0"/>
          <w:sz w:val="28"/>
          <w:szCs w:val="28"/>
        </w:rPr>
        <w:t xml:space="preserve"> </w:t>
      </w:r>
      <w:r w:rsidR="00EE6611">
        <w:rPr>
          <w:rFonts w:ascii="Sylfaen" w:hAnsi="Sylfaen"/>
          <w:b w:val="0"/>
          <w:bCs w:val="0"/>
          <w:sz w:val="28"/>
          <w:szCs w:val="28"/>
        </w:rPr>
        <w:t>suite à</w:t>
      </w:r>
      <w:r w:rsidR="00EE6611" w:rsidRPr="00DB2EF7">
        <w:rPr>
          <w:rFonts w:ascii="Sylfaen" w:hAnsi="Sylfaen"/>
          <w:b w:val="0"/>
          <w:bCs w:val="0"/>
          <w:sz w:val="28"/>
          <w:szCs w:val="28"/>
        </w:rPr>
        <w:t xml:space="preserve"> la morosité du marché immobilier et </w:t>
      </w:r>
      <w:r w:rsidR="001B6CFE">
        <w:rPr>
          <w:rFonts w:ascii="Sylfaen" w:hAnsi="Sylfaen"/>
          <w:b w:val="0"/>
          <w:bCs w:val="0"/>
          <w:sz w:val="28"/>
          <w:szCs w:val="28"/>
        </w:rPr>
        <w:t>à</w:t>
      </w:r>
      <w:r w:rsidR="00EE6611">
        <w:rPr>
          <w:rFonts w:ascii="Sylfaen" w:hAnsi="Sylfaen"/>
          <w:b w:val="0"/>
          <w:bCs w:val="0"/>
          <w:sz w:val="28"/>
          <w:szCs w:val="28"/>
        </w:rPr>
        <w:t xml:space="preserve"> </w:t>
      </w:r>
      <w:r w:rsidR="00EE6611" w:rsidRPr="00DB2EF7">
        <w:rPr>
          <w:rFonts w:ascii="Sylfaen" w:hAnsi="Sylfaen"/>
          <w:b w:val="0"/>
          <w:bCs w:val="0"/>
          <w:sz w:val="28"/>
          <w:szCs w:val="28"/>
        </w:rPr>
        <w:t xml:space="preserve">la baisse des investissements </w:t>
      </w:r>
      <w:r w:rsidR="00EE6611">
        <w:rPr>
          <w:rFonts w:ascii="Sylfaen" w:hAnsi="Sylfaen"/>
          <w:b w:val="0"/>
          <w:bCs w:val="0"/>
          <w:sz w:val="28"/>
          <w:szCs w:val="28"/>
        </w:rPr>
        <w:t xml:space="preserve">induite par </w:t>
      </w:r>
      <w:r w:rsidR="00EE6611" w:rsidRPr="00DB2EF7">
        <w:rPr>
          <w:rFonts w:ascii="Sylfaen" w:hAnsi="Sylfaen"/>
          <w:b w:val="0"/>
          <w:bCs w:val="0"/>
          <w:sz w:val="28"/>
          <w:szCs w:val="28"/>
        </w:rPr>
        <w:t xml:space="preserve">l’importance de flux des capitaux sortant du pays. </w:t>
      </w:r>
      <w:r w:rsidR="005E61E4">
        <w:rPr>
          <w:rFonts w:ascii="Sylfaen" w:hAnsi="Sylfaen"/>
          <w:b w:val="0"/>
          <w:bCs w:val="0"/>
          <w:sz w:val="28"/>
          <w:szCs w:val="28"/>
        </w:rPr>
        <w:t xml:space="preserve">Quant à la Russie, </w:t>
      </w:r>
      <w:r w:rsidR="00EE6611">
        <w:rPr>
          <w:rFonts w:ascii="Sylfaen" w:hAnsi="Sylfaen"/>
          <w:b w:val="0"/>
          <w:bCs w:val="0"/>
          <w:sz w:val="28"/>
          <w:szCs w:val="28"/>
        </w:rPr>
        <w:t>L</w:t>
      </w:r>
      <w:r w:rsidR="005231B4" w:rsidRPr="00DB2EF7">
        <w:rPr>
          <w:rFonts w:ascii="Sylfaen" w:hAnsi="Sylfaen"/>
          <w:b w:val="0"/>
          <w:bCs w:val="0"/>
          <w:sz w:val="28"/>
          <w:szCs w:val="28"/>
        </w:rPr>
        <w:t xml:space="preserve">’activité </w:t>
      </w:r>
      <w:r w:rsidR="00D34029">
        <w:rPr>
          <w:rFonts w:ascii="Sylfaen" w:hAnsi="Sylfaen"/>
          <w:b w:val="0"/>
          <w:bCs w:val="0"/>
          <w:sz w:val="28"/>
          <w:szCs w:val="28"/>
        </w:rPr>
        <w:t xml:space="preserve">économique </w:t>
      </w:r>
      <w:r w:rsidR="00226B5C">
        <w:rPr>
          <w:rFonts w:ascii="Sylfaen" w:hAnsi="Sylfaen"/>
          <w:b w:val="0"/>
          <w:bCs w:val="0"/>
          <w:sz w:val="28"/>
          <w:szCs w:val="28"/>
        </w:rPr>
        <w:t xml:space="preserve">se </w:t>
      </w:r>
      <w:r w:rsidR="005231B4" w:rsidRPr="00DB2EF7">
        <w:rPr>
          <w:rFonts w:ascii="Sylfaen" w:hAnsi="Sylfaen"/>
          <w:b w:val="0"/>
          <w:bCs w:val="0"/>
          <w:sz w:val="28"/>
          <w:szCs w:val="28"/>
        </w:rPr>
        <w:t xml:space="preserve">serait fortement dégradée </w:t>
      </w:r>
      <w:r w:rsidR="00D34029">
        <w:rPr>
          <w:rFonts w:ascii="Sylfaen" w:hAnsi="Sylfaen"/>
          <w:b w:val="0"/>
          <w:bCs w:val="0"/>
          <w:sz w:val="28"/>
          <w:szCs w:val="28"/>
        </w:rPr>
        <w:t>en 2015</w:t>
      </w:r>
      <w:r w:rsidR="00226B5C">
        <w:rPr>
          <w:rFonts w:ascii="Sylfaen" w:hAnsi="Sylfaen"/>
          <w:b w:val="0"/>
          <w:bCs w:val="0"/>
          <w:sz w:val="28"/>
          <w:szCs w:val="28"/>
        </w:rPr>
        <w:t xml:space="preserve">, </w:t>
      </w:r>
      <w:r w:rsidR="001B6CFE">
        <w:rPr>
          <w:rFonts w:ascii="Sylfaen" w:hAnsi="Sylfaen"/>
          <w:b w:val="0"/>
          <w:bCs w:val="0"/>
          <w:sz w:val="28"/>
          <w:szCs w:val="28"/>
        </w:rPr>
        <w:t>impactée</w:t>
      </w:r>
      <w:r w:rsidR="00226B5C">
        <w:rPr>
          <w:rFonts w:ascii="Sylfaen" w:hAnsi="Sylfaen"/>
          <w:b w:val="0"/>
          <w:bCs w:val="0"/>
          <w:sz w:val="28"/>
          <w:szCs w:val="28"/>
        </w:rPr>
        <w:t xml:space="preserve"> </w:t>
      </w:r>
      <w:r w:rsidR="001B6CFE">
        <w:rPr>
          <w:rFonts w:ascii="Sylfaen" w:hAnsi="Sylfaen"/>
          <w:b w:val="0"/>
          <w:bCs w:val="0"/>
          <w:sz w:val="28"/>
          <w:szCs w:val="28"/>
        </w:rPr>
        <w:t>par</w:t>
      </w:r>
      <w:r w:rsidR="00226B5C">
        <w:rPr>
          <w:rFonts w:ascii="Sylfaen" w:hAnsi="Sylfaen"/>
          <w:b w:val="0"/>
          <w:bCs w:val="0"/>
          <w:sz w:val="28"/>
          <w:szCs w:val="28"/>
        </w:rPr>
        <w:t xml:space="preserve"> la </w:t>
      </w:r>
      <w:r w:rsidR="00226B5C" w:rsidRPr="00DB2EF7">
        <w:rPr>
          <w:rFonts w:ascii="Sylfaen" w:hAnsi="Sylfaen"/>
          <w:b w:val="0"/>
          <w:bCs w:val="0"/>
          <w:sz w:val="28"/>
          <w:szCs w:val="28"/>
        </w:rPr>
        <w:t xml:space="preserve">baisse des </w:t>
      </w:r>
      <w:r w:rsidR="00226B5C">
        <w:rPr>
          <w:rFonts w:ascii="Sylfaen" w:hAnsi="Sylfaen"/>
          <w:b w:val="0"/>
          <w:bCs w:val="0"/>
          <w:sz w:val="28"/>
          <w:szCs w:val="28"/>
        </w:rPr>
        <w:t xml:space="preserve">cours </w:t>
      </w:r>
      <w:r w:rsidR="00226B5C" w:rsidRPr="00DB2EF7">
        <w:rPr>
          <w:rFonts w:ascii="Sylfaen" w:hAnsi="Sylfaen"/>
          <w:b w:val="0"/>
          <w:bCs w:val="0"/>
          <w:sz w:val="28"/>
          <w:szCs w:val="28"/>
        </w:rPr>
        <w:t xml:space="preserve">du pétrole et </w:t>
      </w:r>
      <w:r w:rsidR="001B6CFE">
        <w:rPr>
          <w:rFonts w:ascii="Sylfaen" w:hAnsi="Sylfaen"/>
          <w:b w:val="0"/>
          <w:bCs w:val="0"/>
          <w:sz w:val="28"/>
          <w:szCs w:val="28"/>
        </w:rPr>
        <w:t>par</w:t>
      </w:r>
      <w:r w:rsidR="00226B5C">
        <w:rPr>
          <w:rFonts w:ascii="Sylfaen" w:hAnsi="Sylfaen"/>
          <w:b w:val="0"/>
          <w:bCs w:val="0"/>
          <w:sz w:val="28"/>
          <w:szCs w:val="28"/>
        </w:rPr>
        <w:t xml:space="preserve"> </w:t>
      </w:r>
      <w:r w:rsidR="00226B5C" w:rsidRPr="00DB2EF7">
        <w:rPr>
          <w:rFonts w:ascii="Sylfaen" w:hAnsi="Sylfaen"/>
          <w:b w:val="0"/>
          <w:bCs w:val="0"/>
          <w:sz w:val="28"/>
          <w:szCs w:val="28"/>
        </w:rPr>
        <w:t>la montée des tensions géopolitiques</w:t>
      </w:r>
      <w:r w:rsidR="00226B5C">
        <w:rPr>
          <w:rFonts w:ascii="Sylfaen" w:hAnsi="Sylfaen"/>
          <w:b w:val="0"/>
          <w:bCs w:val="0"/>
          <w:sz w:val="28"/>
          <w:szCs w:val="28"/>
        </w:rPr>
        <w:t xml:space="preserve"> dans la région</w:t>
      </w:r>
      <w:r w:rsidR="00EE6611">
        <w:rPr>
          <w:rFonts w:ascii="Sylfaen" w:hAnsi="Sylfaen"/>
          <w:b w:val="0"/>
          <w:bCs w:val="0"/>
          <w:sz w:val="28"/>
          <w:szCs w:val="28"/>
        </w:rPr>
        <w:t>.</w:t>
      </w:r>
      <w:r w:rsidR="00226B5C" w:rsidRPr="00DB2EF7">
        <w:rPr>
          <w:rFonts w:ascii="Sylfaen" w:hAnsi="Sylfaen"/>
          <w:b w:val="0"/>
          <w:bCs w:val="0"/>
          <w:sz w:val="28"/>
          <w:szCs w:val="28"/>
        </w:rPr>
        <w:t xml:space="preserve"> </w:t>
      </w:r>
      <w:r w:rsidR="005231B4" w:rsidRPr="00DB2EF7">
        <w:rPr>
          <w:rFonts w:ascii="Sylfaen" w:hAnsi="Sylfaen"/>
          <w:b w:val="0"/>
          <w:bCs w:val="0"/>
          <w:sz w:val="28"/>
          <w:szCs w:val="28"/>
        </w:rPr>
        <w:t>Seule l’Inde devrait entrer dans un cycle d’expansion rapide, bénéficiant de la chute de prix de pétrole</w:t>
      </w:r>
      <w:r w:rsidR="00D34029">
        <w:rPr>
          <w:rFonts w:ascii="Sylfaen" w:hAnsi="Sylfaen"/>
          <w:b w:val="0"/>
          <w:bCs w:val="0"/>
          <w:sz w:val="28"/>
          <w:szCs w:val="28"/>
        </w:rPr>
        <w:t xml:space="preserve"> et</w:t>
      </w:r>
      <w:r w:rsidR="002B76D3">
        <w:rPr>
          <w:rFonts w:ascii="Sylfaen" w:hAnsi="Sylfaen"/>
          <w:b w:val="0"/>
          <w:bCs w:val="0"/>
          <w:sz w:val="28"/>
          <w:szCs w:val="28"/>
        </w:rPr>
        <w:t xml:space="preserve"> de la </w:t>
      </w:r>
      <w:r w:rsidR="005231B4" w:rsidRPr="00DB2EF7">
        <w:rPr>
          <w:rFonts w:ascii="Sylfaen" w:hAnsi="Sylfaen"/>
          <w:b w:val="0"/>
          <w:bCs w:val="0"/>
          <w:sz w:val="28"/>
          <w:szCs w:val="28"/>
        </w:rPr>
        <w:t xml:space="preserve">relance de l’activité industrielle </w:t>
      </w:r>
      <w:r w:rsidR="00D34029">
        <w:rPr>
          <w:rFonts w:ascii="Sylfaen" w:hAnsi="Sylfaen"/>
          <w:b w:val="0"/>
          <w:bCs w:val="0"/>
          <w:sz w:val="28"/>
          <w:szCs w:val="28"/>
        </w:rPr>
        <w:t xml:space="preserve">induite par les </w:t>
      </w:r>
      <w:r w:rsidR="005231B4" w:rsidRPr="00DB2EF7">
        <w:rPr>
          <w:rFonts w:ascii="Sylfaen" w:hAnsi="Sylfaen"/>
          <w:b w:val="0"/>
          <w:bCs w:val="0"/>
          <w:sz w:val="28"/>
          <w:szCs w:val="28"/>
        </w:rPr>
        <w:t>réformes du climat des affaires</w:t>
      </w:r>
      <w:r w:rsidR="005231B4">
        <w:rPr>
          <w:rFonts w:ascii="Sylfaen" w:hAnsi="Sylfaen"/>
          <w:b w:val="0"/>
          <w:bCs w:val="0"/>
          <w:sz w:val="28"/>
          <w:szCs w:val="28"/>
        </w:rPr>
        <w:t xml:space="preserve">. </w:t>
      </w:r>
    </w:p>
    <w:p w:rsidR="002235F7" w:rsidRDefault="001B6CFE" w:rsidP="001B6CFE">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Au niveau du </w:t>
      </w:r>
      <w:r w:rsidR="005231B4" w:rsidRPr="00973C2D">
        <w:rPr>
          <w:rFonts w:ascii="Sylfaen" w:hAnsi="Sylfaen"/>
          <w:b w:val="0"/>
          <w:bCs w:val="0"/>
          <w:sz w:val="28"/>
          <w:szCs w:val="28"/>
        </w:rPr>
        <w:t>marché mondial des matières premières</w:t>
      </w:r>
      <w:r>
        <w:rPr>
          <w:rFonts w:ascii="Sylfaen" w:hAnsi="Sylfaen"/>
          <w:b w:val="0"/>
          <w:bCs w:val="0"/>
          <w:sz w:val="28"/>
          <w:szCs w:val="28"/>
        </w:rPr>
        <w:t>, celui-ci</w:t>
      </w:r>
      <w:r w:rsidR="00D34029">
        <w:rPr>
          <w:rFonts w:ascii="Sylfaen" w:hAnsi="Sylfaen"/>
          <w:b w:val="0"/>
          <w:bCs w:val="0"/>
          <w:sz w:val="28"/>
          <w:szCs w:val="28"/>
        </w:rPr>
        <w:t xml:space="preserve"> </w:t>
      </w:r>
      <w:r w:rsidR="00B15255">
        <w:rPr>
          <w:rFonts w:ascii="Sylfaen" w:hAnsi="Sylfaen"/>
          <w:b w:val="0"/>
          <w:bCs w:val="0"/>
          <w:sz w:val="28"/>
          <w:szCs w:val="28"/>
        </w:rPr>
        <w:t xml:space="preserve">connaitrait </w:t>
      </w:r>
      <w:r w:rsidR="00D34029" w:rsidRPr="00973C2D">
        <w:rPr>
          <w:rFonts w:ascii="Sylfaen" w:hAnsi="Sylfaen"/>
          <w:b w:val="0"/>
          <w:bCs w:val="0"/>
          <w:sz w:val="28"/>
          <w:szCs w:val="28"/>
        </w:rPr>
        <w:t xml:space="preserve">une hausse progressive des cours </w:t>
      </w:r>
      <w:r w:rsidR="00325B55" w:rsidRPr="00973C2D">
        <w:rPr>
          <w:rFonts w:ascii="Sylfaen" w:hAnsi="Sylfaen"/>
          <w:b w:val="0"/>
          <w:bCs w:val="0"/>
          <w:sz w:val="28"/>
          <w:szCs w:val="28"/>
        </w:rPr>
        <w:t>du pétrole</w:t>
      </w:r>
      <w:r w:rsidR="00325B55">
        <w:rPr>
          <w:rFonts w:ascii="Sylfaen" w:hAnsi="Sylfaen"/>
          <w:b w:val="0"/>
          <w:bCs w:val="0"/>
          <w:sz w:val="28"/>
          <w:szCs w:val="28"/>
        </w:rPr>
        <w:t xml:space="preserve"> brut</w:t>
      </w:r>
      <w:r w:rsidR="00325B55" w:rsidRPr="00973C2D">
        <w:rPr>
          <w:rFonts w:ascii="Sylfaen" w:hAnsi="Sylfaen"/>
          <w:b w:val="0"/>
          <w:bCs w:val="0"/>
          <w:sz w:val="28"/>
          <w:szCs w:val="28"/>
        </w:rPr>
        <w:t xml:space="preserve"> </w:t>
      </w:r>
      <w:r w:rsidR="00D34029" w:rsidRPr="00973C2D">
        <w:rPr>
          <w:rFonts w:ascii="Sylfaen" w:hAnsi="Sylfaen"/>
          <w:b w:val="0"/>
          <w:bCs w:val="0"/>
          <w:sz w:val="28"/>
          <w:szCs w:val="28"/>
        </w:rPr>
        <w:t>en 2016</w:t>
      </w:r>
      <w:r w:rsidR="00325B55">
        <w:rPr>
          <w:rFonts w:ascii="Sylfaen" w:hAnsi="Sylfaen"/>
          <w:b w:val="0"/>
          <w:bCs w:val="0"/>
          <w:sz w:val="28"/>
          <w:szCs w:val="28"/>
        </w:rPr>
        <w:t xml:space="preserve"> sous l’effet de la légère </w:t>
      </w:r>
      <w:r w:rsidR="005231B4" w:rsidRPr="00973C2D">
        <w:rPr>
          <w:rFonts w:ascii="Sylfaen" w:hAnsi="Sylfaen"/>
          <w:b w:val="0"/>
          <w:bCs w:val="0"/>
          <w:sz w:val="28"/>
          <w:szCs w:val="28"/>
        </w:rPr>
        <w:t>reprise de la demande mondiale et d</w:t>
      </w:r>
      <w:r w:rsidR="00325B55">
        <w:rPr>
          <w:rFonts w:ascii="Sylfaen" w:hAnsi="Sylfaen"/>
          <w:b w:val="0"/>
          <w:bCs w:val="0"/>
          <w:sz w:val="28"/>
          <w:szCs w:val="28"/>
        </w:rPr>
        <w:t>e la</w:t>
      </w:r>
      <w:r w:rsidR="005231B4" w:rsidRPr="00973C2D">
        <w:rPr>
          <w:rFonts w:ascii="Sylfaen" w:hAnsi="Sylfaen"/>
          <w:b w:val="0"/>
          <w:bCs w:val="0"/>
          <w:sz w:val="28"/>
          <w:szCs w:val="28"/>
        </w:rPr>
        <w:t xml:space="preserve"> moins forte production pétrolière. Néanmoins</w:t>
      </w:r>
      <w:r w:rsidR="00D34029">
        <w:rPr>
          <w:rFonts w:ascii="Sylfaen" w:hAnsi="Sylfaen"/>
          <w:b w:val="0"/>
          <w:bCs w:val="0"/>
          <w:sz w:val="28"/>
          <w:szCs w:val="28"/>
        </w:rPr>
        <w:t>,</w:t>
      </w:r>
      <w:r w:rsidR="005231B4" w:rsidRPr="00973C2D">
        <w:rPr>
          <w:rFonts w:ascii="Sylfaen" w:hAnsi="Sylfaen"/>
          <w:b w:val="0"/>
          <w:bCs w:val="0"/>
          <w:sz w:val="28"/>
          <w:szCs w:val="28"/>
        </w:rPr>
        <w:t xml:space="preserve"> le prix de pétrole devrait se stabiliser en deçà des </w:t>
      </w:r>
      <w:r w:rsidR="00325B55" w:rsidRPr="00973C2D">
        <w:rPr>
          <w:rFonts w:ascii="Sylfaen" w:hAnsi="Sylfaen"/>
          <w:b w:val="0"/>
          <w:bCs w:val="0"/>
          <w:sz w:val="28"/>
          <w:szCs w:val="28"/>
        </w:rPr>
        <w:t>niveau</w:t>
      </w:r>
      <w:r w:rsidR="005231B4" w:rsidRPr="00973C2D">
        <w:rPr>
          <w:rFonts w:ascii="Sylfaen" w:hAnsi="Sylfaen"/>
          <w:b w:val="0"/>
          <w:bCs w:val="0"/>
          <w:sz w:val="28"/>
          <w:szCs w:val="28"/>
        </w:rPr>
        <w:t xml:space="preserve">x observés durant les trois dernières années. Le cours moyen du pétrole brut devrait ainsi  passer de 58,14 $/baril en 2015 à  65,65$/baril en 2016. Quant aux </w:t>
      </w:r>
      <w:r w:rsidR="00FA08B5">
        <w:rPr>
          <w:rFonts w:ascii="Sylfaen" w:hAnsi="Sylfaen"/>
          <w:b w:val="0"/>
          <w:bCs w:val="0"/>
          <w:sz w:val="28"/>
          <w:szCs w:val="28"/>
        </w:rPr>
        <w:t xml:space="preserve">prix des </w:t>
      </w:r>
      <w:r w:rsidR="005231B4" w:rsidRPr="00973C2D">
        <w:rPr>
          <w:rFonts w:ascii="Sylfaen" w:hAnsi="Sylfaen"/>
          <w:b w:val="0"/>
          <w:bCs w:val="0"/>
          <w:sz w:val="28"/>
          <w:szCs w:val="28"/>
        </w:rPr>
        <w:t xml:space="preserve">matières premières non énergétiques, </w:t>
      </w:r>
      <w:r w:rsidR="00FA08B5">
        <w:rPr>
          <w:rFonts w:ascii="Sylfaen" w:hAnsi="Sylfaen"/>
          <w:b w:val="0"/>
          <w:bCs w:val="0"/>
          <w:sz w:val="28"/>
          <w:szCs w:val="28"/>
        </w:rPr>
        <w:t xml:space="preserve">ils </w:t>
      </w:r>
      <w:r w:rsidR="005231B4" w:rsidRPr="00973C2D">
        <w:rPr>
          <w:rFonts w:ascii="Sylfaen" w:hAnsi="Sylfaen"/>
          <w:b w:val="0"/>
          <w:bCs w:val="0"/>
          <w:sz w:val="28"/>
          <w:szCs w:val="28"/>
        </w:rPr>
        <w:t>devraient enregistrer globalement une baisse de 14% en 2015 avant de se stabiliser en 2016</w:t>
      </w:r>
      <w:r w:rsidR="00FA08B5">
        <w:rPr>
          <w:rFonts w:ascii="Sylfaen" w:hAnsi="Sylfaen"/>
          <w:b w:val="0"/>
          <w:bCs w:val="0"/>
          <w:sz w:val="28"/>
          <w:szCs w:val="28"/>
        </w:rPr>
        <w:t>.</w:t>
      </w:r>
      <w:r w:rsidR="002235F7" w:rsidRPr="002235F7">
        <w:rPr>
          <w:rFonts w:ascii="Sylfaen" w:hAnsi="Sylfaen"/>
          <w:b w:val="0"/>
          <w:bCs w:val="0"/>
          <w:sz w:val="28"/>
          <w:szCs w:val="28"/>
        </w:rPr>
        <w:t xml:space="preserve"> </w:t>
      </w:r>
    </w:p>
    <w:p w:rsidR="002235F7" w:rsidRPr="00DB2EF7" w:rsidRDefault="002235F7" w:rsidP="001B6CFE">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DB2EF7">
        <w:rPr>
          <w:rFonts w:ascii="Sylfaen" w:hAnsi="Sylfaen"/>
          <w:b w:val="0"/>
          <w:bCs w:val="0"/>
          <w:sz w:val="28"/>
          <w:szCs w:val="28"/>
        </w:rPr>
        <w:t>D</w:t>
      </w:r>
      <w:r w:rsidR="001B6CFE">
        <w:rPr>
          <w:rFonts w:ascii="Sylfaen" w:hAnsi="Sylfaen"/>
          <w:b w:val="0"/>
          <w:bCs w:val="0"/>
          <w:sz w:val="28"/>
          <w:szCs w:val="28"/>
        </w:rPr>
        <w:t>e</w:t>
      </w:r>
      <w:r w:rsidRPr="00DB2EF7">
        <w:rPr>
          <w:rFonts w:ascii="Sylfaen" w:hAnsi="Sylfaen"/>
          <w:b w:val="0"/>
          <w:bCs w:val="0"/>
          <w:sz w:val="28"/>
          <w:szCs w:val="28"/>
        </w:rPr>
        <w:t xml:space="preserve"> ce </w:t>
      </w:r>
      <w:r w:rsidR="001B6CFE">
        <w:rPr>
          <w:rFonts w:ascii="Sylfaen" w:hAnsi="Sylfaen"/>
          <w:b w:val="0"/>
          <w:bCs w:val="0"/>
          <w:sz w:val="28"/>
          <w:szCs w:val="28"/>
        </w:rPr>
        <w:t>fait</w:t>
      </w:r>
      <w:r w:rsidRPr="00DB2EF7">
        <w:rPr>
          <w:rFonts w:ascii="Sylfaen" w:hAnsi="Sylfaen"/>
          <w:b w:val="0"/>
          <w:bCs w:val="0"/>
          <w:sz w:val="28"/>
          <w:szCs w:val="28"/>
        </w:rPr>
        <w:t xml:space="preserve">, l’inflation devrait augmenter </w:t>
      </w:r>
      <w:r w:rsidR="002B76D3" w:rsidRPr="00DB2EF7">
        <w:rPr>
          <w:rFonts w:ascii="Sylfaen" w:hAnsi="Sylfaen"/>
          <w:b w:val="0"/>
          <w:bCs w:val="0"/>
          <w:sz w:val="28"/>
          <w:szCs w:val="28"/>
        </w:rPr>
        <w:t xml:space="preserve">de 1,4% </w:t>
      </w:r>
      <w:r w:rsidRPr="00DB2EF7">
        <w:rPr>
          <w:rFonts w:ascii="Sylfaen" w:hAnsi="Sylfaen"/>
          <w:b w:val="0"/>
          <w:bCs w:val="0"/>
          <w:sz w:val="28"/>
          <w:szCs w:val="28"/>
        </w:rPr>
        <w:t>en 2016 dans les pays avancés</w:t>
      </w:r>
      <w:r w:rsidR="00FA08B5">
        <w:rPr>
          <w:rFonts w:ascii="Sylfaen" w:hAnsi="Sylfaen"/>
          <w:b w:val="0"/>
          <w:bCs w:val="0"/>
          <w:sz w:val="28"/>
          <w:szCs w:val="28"/>
        </w:rPr>
        <w:t>,</w:t>
      </w:r>
      <w:r w:rsidRPr="00DB2EF7">
        <w:rPr>
          <w:rFonts w:ascii="Sylfaen" w:hAnsi="Sylfaen"/>
          <w:b w:val="0"/>
          <w:bCs w:val="0"/>
          <w:sz w:val="28"/>
          <w:szCs w:val="28"/>
        </w:rPr>
        <w:t xml:space="preserve"> au lieu de 0,4% en 2015.</w:t>
      </w:r>
      <w:r w:rsidR="00FA08B5">
        <w:rPr>
          <w:rFonts w:ascii="Sylfaen" w:hAnsi="Sylfaen"/>
          <w:b w:val="0"/>
          <w:bCs w:val="0"/>
          <w:sz w:val="28"/>
          <w:szCs w:val="28"/>
        </w:rPr>
        <w:t xml:space="preserve"> Elle devrait être en ralentissement d</w:t>
      </w:r>
      <w:r w:rsidRPr="00DB2EF7">
        <w:rPr>
          <w:rFonts w:ascii="Sylfaen" w:hAnsi="Sylfaen"/>
          <w:b w:val="0"/>
          <w:bCs w:val="0"/>
          <w:sz w:val="28"/>
          <w:szCs w:val="28"/>
        </w:rPr>
        <w:t>ans les pays émergents, passant de 5,4%</w:t>
      </w:r>
      <w:r>
        <w:rPr>
          <w:rFonts w:ascii="Sylfaen" w:hAnsi="Sylfaen"/>
          <w:b w:val="0"/>
          <w:bCs w:val="0"/>
          <w:sz w:val="28"/>
          <w:szCs w:val="28"/>
        </w:rPr>
        <w:t xml:space="preserve"> en 2015</w:t>
      </w:r>
      <w:r w:rsidRPr="00DB2EF7">
        <w:rPr>
          <w:rFonts w:ascii="Sylfaen" w:hAnsi="Sylfaen"/>
          <w:b w:val="0"/>
          <w:bCs w:val="0"/>
          <w:sz w:val="28"/>
          <w:szCs w:val="28"/>
        </w:rPr>
        <w:t xml:space="preserve"> à 4,8%</w:t>
      </w:r>
      <w:r>
        <w:rPr>
          <w:rFonts w:ascii="Sylfaen" w:hAnsi="Sylfaen"/>
          <w:b w:val="0"/>
          <w:bCs w:val="0"/>
          <w:sz w:val="28"/>
          <w:szCs w:val="28"/>
        </w:rPr>
        <w:t xml:space="preserve"> en 2016</w:t>
      </w:r>
      <w:r w:rsidRPr="00DB2EF7">
        <w:rPr>
          <w:rFonts w:ascii="Sylfaen" w:hAnsi="Sylfaen"/>
          <w:b w:val="0"/>
          <w:bCs w:val="0"/>
          <w:sz w:val="28"/>
          <w:szCs w:val="28"/>
        </w:rPr>
        <w:t xml:space="preserve">. Quant à la parité </w:t>
      </w:r>
      <w:proofErr w:type="spellStart"/>
      <w:r w:rsidR="00BB2636">
        <w:rPr>
          <w:rFonts w:ascii="Sylfaen" w:hAnsi="Sylfaen"/>
          <w:b w:val="0"/>
          <w:bCs w:val="0"/>
          <w:sz w:val="28"/>
          <w:szCs w:val="28"/>
        </w:rPr>
        <w:t>E</w:t>
      </w:r>
      <w:r w:rsidR="00BB2636" w:rsidRPr="00DB2EF7">
        <w:rPr>
          <w:rFonts w:ascii="Sylfaen" w:hAnsi="Sylfaen"/>
          <w:b w:val="0"/>
          <w:bCs w:val="0"/>
          <w:sz w:val="28"/>
          <w:szCs w:val="28"/>
        </w:rPr>
        <w:t>uro</w:t>
      </w:r>
      <w:r w:rsidR="00BB2636">
        <w:rPr>
          <w:rFonts w:ascii="Sylfaen" w:hAnsi="Sylfaen"/>
          <w:b w:val="0"/>
          <w:bCs w:val="0"/>
          <w:sz w:val="28"/>
          <w:szCs w:val="28"/>
        </w:rPr>
        <w:t>-D</w:t>
      </w:r>
      <w:r w:rsidR="00BB2636" w:rsidRPr="00DB2EF7">
        <w:rPr>
          <w:rFonts w:ascii="Sylfaen" w:hAnsi="Sylfaen"/>
          <w:b w:val="0"/>
          <w:bCs w:val="0"/>
          <w:sz w:val="28"/>
          <w:szCs w:val="28"/>
        </w:rPr>
        <w:t>ollar</w:t>
      </w:r>
      <w:proofErr w:type="spellEnd"/>
      <w:r w:rsidRPr="00DB2EF7">
        <w:rPr>
          <w:rFonts w:ascii="Sylfaen" w:hAnsi="Sylfaen"/>
          <w:b w:val="0"/>
          <w:bCs w:val="0"/>
          <w:sz w:val="28"/>
          <w:szCs w:val="28"/>
        </w:rPr>
        <w:t>, elle devrait se situer aux alentours de 1,11 en 2015 et en 2016.</w:t>
      </w:r>
    </w:p>
    <w:p w:rsidR="002235F7" w:rsidRPr="00BB2636" w:rsidRDefault="002235F7" w:rsidP="00F60271">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BB2636">
        <w:rPr>
          <w:rFonts w:ascii="Sylfaen" w:hAnsi="Sylfaen"/>
          <w:b w:val="0"/>
          <w:bCs w:val="0"/>
          <w:sz w:val="28"/>
          <w:szCs w:val="28"/>
        </w:rPr>
        <w:t>Dans ce</w:t>
      </w:r>
      <w:r w:rsidR="00BB2636" w:rsidRPr="00BB2636">
        <w:rPr>
          <w:rFonts w:ascii="Sylfaen" w:hAnsi="Sylfaen"/>
          <w:b w:val="0"/>
          <w:bCs w:val="0"/>
          <w:sz w:val="28"/>
          <w:szCs w:val="28"/>
        </w:rPr>
        <w:t>s conditions</w:t>
      </w:r>
      <w:r w:rsidRPr="00BB2636">
        <w:rPr>
          <w:rFonts w:ascii="Sylfaen" w:hAnsi="Sylfaen"/>
          <w:b w:val="0"/>
          <w:bCs w:val="0"/>
          <w:sz w:val="28"/>
          <w:szCs w:val="28"/>
        </w:rPr>
        <w:t xml:space="preserve">, le volume du commerce mondial  devrait </w:t>
      </w:r>
      <w:r w:rsidR="00F60271">
        <w:rPr>
          <w:rFonts w:ascii="Sylfaen" w:hAnsi="Sylfaen"/>
          <w:b w:val="0"/>
          <w:bCs w:val="0"/>
          <w:sz w:val="28"/>
          <w:szCs w:val="28"/>
        </w:rPr>
        <w:t>poursuivre son amélioration,</w:t>
      </w:r>
      <w:r w:rsidR="00BB2636" w:rsidRPr="00BB2636">
        <w:rPr>
          <w:rFonts w:ascii="Sylfaen" w:hAnsi="Sylfaen"/>
          <w:b w:val="0"/>
          <w:bCs w:val="0"/>
          <w:sz w:val="28"/>
          <w:szCs w:val="28"/>
        </w:rPr>
        <w:t xml:space="preserve"> </w:t>
      </w:r>
      <w:r w:rsidRPr="00BB2636">
        <w:rPr>
          <w:rFonts w:ascii="Sylfaen" w:hAnsi="Sylfaen"/>
          <w:b w:val="0"/>
          <w:bCs w:val="0"/>
          <w:sz w:val="28"/>
          <w:szCs w:val="28"/>
        </w:rPr>
        <w:t>passant de 3,6% en 2014 à 4,4% en 2015 et à 4,9% en 2016.</w:t>
      </w:r>
      <w:r w:rsidR="00BB2636" w:rsidRPr="00BB2636">
        <w:rPr>
          <w:rFonts w:ascii="Sylfaen" w:hAnsi="Sylfaen"/>
          <w:b w:val="0"/>
          <w:bCs w:val="0"/>
          <w:sz w:val="28"/>
          <w:szCs w:val="28"/>
        </w:rPr>
        <w:t xml:space="preserve"> I</w:t>
      </w:r>
      <w:r w:rsidRPr="00BB2636">
        <w:rPr>
          <w:rFonts w:ascii="Sylfaen" w:hAnsi="Sylfaen"/>
          <w:b w:val="0"/>
          <w:bCs w:val="0"/>
          <w:sz w:val="28"/>
          <w:szCs w:val="28"/>
        </w:rPr>
        <w:t>l risque d’être freiné</w:t>
      </w:r>
      <w:r w:rsidR="00BB2636" w:rsidRPr="00BB2636">
        <w:rPr>
          <w:rFonts w:ascii="Sylfaen" w:hAnsi="Sylfaen"/>
          <w:b w:val="0"/>
          <w:bCs w:val="0"/>
          <w:sz w:val="28"/>
          <w:szCs w:val="28"/>
        </w:rPr>
        <w:t xml:space="preserve">, toutefois, </w:t>
      </w:r>
      <w:r w:rsidRPr="00BB2636">
        <w:rPr>
          <w:rFonts w:ascii="Sylfaen" w:hAnsi="Sylfaen"/>
          <w:b w:val="0"/>
          <w:bCs w:val="0"/>
          <w:sz w:val="28"/>
          <w:szCs w:val="28"/>
        </w:rPr>
        <w:t xml:space="preserve">par un ensemble de facteurs liés notamment aux tentions géopolitiques, aux fluctuations des taux de change et au ralentissement de la croissance des économies émergentes. </w:t>
      </w:r>
    </w:p>
    <w:p w:rsidR="00722CCB" w:rsidRDefault="00722CCB" w:rsidP="00230B96">
      <w:pPr>
        <w:widowControl w:val="0"/>
        <w:adjustRightInd w:val="0"/>
        <w:spacing w:after="360"/>
        <w:jc w:val="lowKashida"/>
        <w:rPr>
          <w:b w:val="0"/>
          <w:bCs w:val="0"/>
          <w:color w:val="0000FF"/>
          <w:sz w:val="28"/>
          <w:szCs w:val="28"/>
        </w:rPr>
      </w:pPr>
    </w:p>
    <w:p w:rsidR="00A51654" w:rsidRDefault="00A51654" w:rsidP="00230B96">
      <w:pPr>
        <w:widowControl w:val="0"/>
        <w:adjustRightInd w:val="0"/>
        <w:spacing w:after="360"/>
        <w:jc w:val="lowKashida"/>
        <w:rPr>
          <w:b w:val="0"/>
          <w:bCs w:val="0"/>
          <w:color w:val="0000FF"/>
          <w:sz w:val="28"/>
          <w:szCs w:val="28"/>
        </w:rPr>
      </w:pPr>
    </w:p>
    <w:p w:rsidR="005E47B3" w:rsidRPr="00C656CA" w:rsidRDefault="005E47B3" w:rsidP="00C656CA">
      <w:pPr>
        <w:keepNext/>
        <w:keepLines/>
        <w:numPr>
          <w:ilvl w:val="0"/>
          <w:numId w:val="24"/>
        </w:numPr>
        <w:ind w:right="-110"/>
        <w:jc w:val="both"/>
        <w:rPr>
          <w:color w:val="0000FF"/>
          <w:sz w:val="30"/>
          <w:szCs w:val="30"/>
          <w:u w:val="single"/>
        </w:rPr>
      </w:pPr>
      <w:r w:rsidRPr="00C656CA">
        <w:rPr>
          <w:color w:val="0000FF"/>
          <w:sz w:val="30"/>
          <w:szCs w:val="30"/>
          <w:u w:val="single"/>
        </w:rPr>
        <w:t>L’évolution de l’économie nationale</w:t>
      </w:r>
    </w:p>
    <w:p w:rsidR="005E47B3" w:rsidRDefault="005E47B3" w:rsidP="005E47B3">
      <w:pPr>
        <w:ind w:right="-110"/>
        <w:jc w:val="both"/>
        <w:rPr>
          <w:b w:val="0"/>
          <w:bCs w:val="0"/>
          <w:color w:val="0000FF"/>
          <w:sz w:val="28"/>
          <w:szCs w:val="28"/>
        </w:rPr>
      </w:pPr>
    </w:p>
    <w:p w:rsidR="00F238B8" w:rsidRPr="00C656CA" w:rsidRDefault="00F238B8" w:rsidP="005E47B3">
      <w:pPr>
        <w:ind w:right="-110"/>
        <w:jc w:val="both"/>
        <w:rPr>
          <w:b w:val="0"/>
          <w:bCs w:val="0"/>
          <w:color w:val="0000FF"/>
          <w:sz w:val="28"/>
          <w:szCs w:val="28"/>
        </w:rPr>
      </w:pPr>
    </w:p>
    <w:p w:rsidR="005E47B3" w:rsidRPr="00170CD9" w:rsidRDefault="005E47B3" w:rsidP="0023382A">
      <w:pPr>
        <w:ind w:left="708" w:right="-110"/>
        <w:jc w:val="both"/>
        <w:rPr>
          <w:color w:val="0000FF"/>
          <w:sz w:val="28"/>
          <w:szCs w:val="28"/>
          <w:rtl/>
        </w:rPr>
      </w:pPr>
      <w:r w:rsidRPr="00170CD9">
        <w:rPr>
          <w:rFonts w:hint="cs"/>
          <w:color w:val="0000FF"/>
          <w:sz w:val="28"/>
          <w:szCs w:val="28"/>
          <w:rtl/>
        </w:rPr>
        <w:t>1</w:t>
      </w:r>
      <w:r w:rsidRPr="00170CD9">
        <w:rPr>
          <w:color w:val="0000FF"/>
          <w:sz w:val="28"/>
          <w:szCs w:val="28"/>
        </w:rPr>
        <w:t xml:space="preserve">. Croissance économique </w:t>
      </w:r>
      <w:r w:rsidR="0023382A">
        <w:rPr>
          <w:color w:val="0000FF"/>
          <w:sz w:val="28"/>
          <w:szCs w:val="28"/>
        </w:rPr>
        <w:t>en</w:t>
      </w:r>
      <w:r w:rsidRPr="00170CD9">
        <w:rPr>
          <w:color w:val="0000FF"/>
          <w:sz w:val="28"/>
          <w:szCs w:val="28"/>
        </w:rPr>
        <w:t xml:space="preserve"> 201</w:t>
      </w:r>
      <w:r w:rsidR="005201B5">
        <w:rPr>
          <w:color w:val="0000FF"/>
          <w:sz w:val="28"/>
          <w:szCs w:val="28"/>
        </w:rPr>
        <w:t>5</w:t>
      </w:r>
    </w:p>
    <w:p w:rsidR="003F0015" w:rsidRDefault="003F0015" w:rsidP="003F0015">
      <w:pPr>
        <w:widowControl w:val="0"/>
        <w:autoSpaceDE w:val="0"/>
        <w:autoSpaceDN w:val="0"/>
        <w:adjustRightInd w:val="0"/>
        <w:spacing w:before="100" w:beforeAutospacing="1" w:after="100" w:afterAutospacing="1" w:line="276" w:lineRule="auto"/>
        <w:ind w:firstLine="708"/>
        <w:jc w:val="both"/>
        <w:rPr>
          <w:rFonts w:ascii="Sylfaen" w:hAnsi="Sylfaen"/>
          <w:sz w:val="28"/>
          <w:szCs w:val="28"/>
        </w:rPr>
      </w:pPr>
      <w:r w:rsidRPr="005231B4">
        <w:rPr>
          <w:rFonts w:ascii="Sylfaen" w:hAnsi="Sylfaen"/>
          <w:b w:val="0"/>
          <w:bCs w:val="0"/>
          <w:sz w:val="28"/>
          <w:szCs w:val="28"/>
        </w:rPr>
        <w:t xml:space="preserve">L’économie nationale </w:t>
      </w:r>
      <w:r>
        <w:rPr>
          <w:rFonts w:ascii="Sylfaen" w:hAnsi="Sylfaen"/>
          <w:b w:val="0"/>
          <w:bCs w:val="0"/>
          <w:sz w:val="28"/>
          <w:szCs w:val="28"/>
        </w:rPr>
        <w:t>resterait marquée en</w:t>
      </w:r>
      <w:r w:rsidRPr="005231B4">
        <w:rPr>
          <w:rFonts w:ascii="Sylfaen" w:hAnsi="Sylfaen"/>
          <w:b w:val="0"/>
          <w:bCs w:val="0"/>
          <w:sz w:val="28"/>
          <w:szCs w:val="28"/>
        </w:rPr>
        <w:t xml:space="preserve"> 2015 </w:t>
      </w:r>
      <w:r>
        <w:rPr>
          <w:rFonts w:ascii="Sylfaen" w:hAnsi="Sylfaen"/>
          <w:b w:val="0"/>
          <w:bCs w:val="0"/>
          <w:sz w:val="28"/>
          <w:szCs w:val="28"/>
        </w:rPr>
        <w:t>par une légère reprise des activités non agricoles  sous l’effet d’un environnement international peu favorable et d’une demande intérieure moins soutenue.</w:t>
      </w:r>
      <w:r w:rsidRPr="00523365">
        <w:rPr>
          <w:rFonts w:ascii="Sylfaen" w:hAnsi="Sylfaen"/>
          <w:b w:val="0"/>
          <w:bCs w:val="0"/>
          <w:sz w:val="28"/>
          <w:szCs w:val="28"/>
        </w:rPr>
        <w:t xml:space="preserve"> </w:t>
      </w:r>
      <w:r>
        <w:rPr>
          <w:rFonts w:ascii="Sylfaen" w:hAnsi="Sylfaen"/>
          <w:b w:val="0"/>
          <w:bCs w:val="0"/>
          <w:sz w:val="28"/>
          <w:szCs w:val="28"/>
        </w:rPr>
        <w:t xml:space="preserve">Elle bénéficierait toutefois, </w:t>
      </w:r>
      <w:r w:rsidRPr="005231B4">
        <w:rPr>
          <w:rFonts w:ascii="Sylfaen" w:hAnsi="Sylfaen"/>
          <w:b w:val="0"/>
          <w:bCs w:val="0"/>
          <w:sz w:val="28"/>
          <w:szCs w:val="28"/>
        </w:rPr>
        <w:t>d’une bonne campagne agricole 2014/2015</w:t>
      </w:r>
      <w:r>
        <w:rPr>
          <w:rFonts w:ascii="Sylfaen" w:hAnsi="Sylfaen"/>
          <w:b w:val="0"/>
          <w:bCs w:val="0"/>
          <w:sz w:val="28"/>
          <w:szCs w:val="28"/>
        </w:rPr>
        <w:t xml:space="preserve"> </w:t>
      </w:r>
      <w:r w:rsidRPr="005231B4">
        <w:rPr>
          <w:rFonts w:ascii="Sylfaen" w:hAnsi="Sylfaen"/>
          <w:b w:val="0"/>
          <w:bCs w:val="0"/>
          <w:sz w:val="28"/>
          <w:szCs w:val="28"/>
        </w:rPr>
        <w:t xml:space="preserve">et d’une baisse importante des </w:t>
      </w:r>
      <w:r>
        <w:rPr>
          <w:rFonts w:ascii="Sylfaen" w:hAnsi="Sylfaen"/>
          <w:b w:val="0"/>
          <w:bCs w:val="0"/>
          <w:sz w:val="28"/>
          <w:szCs w:val="28"/>
        </w:rPr>
        <w:t xml:space="preserve">prix des matières premières notamment des </w:t>
      </w:r>
      <w:r w:rsidRPr="005231B4">
        <w:rPr>
          <w:rFonts w:ascii="Sylfaen" w:hAnsi="Sylfaen"/>
          <w:b w:val="0"/>
          <w:bCs w:val="0"/>
          <w:sz w:val="28"/>
          <w:szCs w:val="28"/>
        </w:rPr>
        <w:t>prix du pétrole</w:t>
      </w:r>
      <w:r>
        <w:rPr>
          <w:rFonts w:ascii="Sylfaen" w:hAnsi="Sylfaen"/>
          <w:b w:val="0"/>
          <w:bCs w:val="0"/>
          <w:sz w:val="28"/>
          <w:szCs w:val="28"/>
        </w:rPr>
        <w:t>.</w:t>
      </w:r>
    </w:p>
    <w:p w:rsidR="00264BF9" w:rsidRPr="00C656CA" w:rsidRDefault="00264BF9" w:rsidP="005E79D3">
      <w:pPr>
        <w:ind w:left="708" w:right="-110"/>
        <w:jc w:val="both"/>
        <w:rPr>
          <w:b w:val="0"/>
          <w:bCs w:val="0"/>
          <w:color w:val="0000FF"/>
          <w:sz w:val="28"/>
          <w:szCs w:val="28"/>
        </w:rPr>
      </w:pPr>
      <w:r>
        <w:rPr>
          <w:color w:val="0000FF"/>
          <w:sz w:val="28"/>
          <w:szCs w:val="28"/>
        </w:rPr>
        <w:t>2.</w:t>
      </w:r>
      <w:r w:rsidRPr="00170CD9">
        <w:rPr>
          <w:rFonts w:hint="cs"/>
          <w:color w:val="0000FF"/>
          <w:sz w:val="28"/>
          <w:szCs w:val="28"/>
          <w:rtl/>
        </w:rPr>
        <w:t>1</w:t>
      </w:r>
      <w:r w:rsidRPr="00170CD9">
        <w:rPr>
          <w:color w:val="0000FF"/>
          <w:sz w:val="28"/>
          <w:szCs w:val="28"/>
        </w:rPr>
        <w:t xml:space="preserve">. </w:t>
      </w:r>
      <w:r>
        <w:rPr>
          <w:color w:val="0000FF"/>
          <w:sz w:val="28"/>
          <w:szCs w:val="28"/>
        </w:rPr>
        <w:t>L’évolution sectorielle</w:t>
      </w:r>
    </w:p>
    <w:p w:rsidR="005E79D3" w:rsidRDefault="005E79D3"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5231B4">
        <w:rPr>
          <w:rFonts w:ascii="Sylfaen" w:hAnsi="Sylfaen"/>
          <w:b w:val="0"/>
          <w:bCs w:val="0"/>
          <w:sz w:val="28"/>
          <w:szCs w:val="28"/>
        </w:rPr>
        <w:t xml:space="preserve">L’année 2015 bénéficierait des conditions climatiques favorables marquées par une bonne distribution spatio-temporelle de la pluviométrie. </w:t>
      </w:r>
      <w:r>
        <w:rPr>
          <w:rFonts w:ascii="Sylfaen" w:hAnsi="Sylfaen"/>
          <w:b w:val="0"/>
          <w:bCs w:val="0"/>
          <w:sz w:val="28"/>
          <w:szCs w:val="28"/>
        </w:rPr>
        <w:t>L</w:t>
      </w:r>
      <w:r w:rsidRPr="005231B4">
        <w:rPr>
          <w:rFonts w:ascii="Sylfaen" w:hAnsi="Sylfaen"/>
          <w:b w:val="0"/>
          <w:bCs w:val="0"/>
          <w:sz w:val="28"/>
          <w:szCs w:val="28"/>
        </w:rPr>
        <w:t xml:space="preserve">a campagne agricole 2014/2015 dégagerait </w:t>
      </w:r>
      <w:r>
        <w:rPr>
          <w:rFonts w:ascii="Sylfaen" w:hAnsi="Sylfaen"/>
          <w:b w:val="0"/>
          <w:bCs w:val="0"/>
          <w:sz w:val="28"/>
          <w:szCs w:val="28"/>
        </w:rPr>
        <w:t xml:space="preserve">ainsi </w:t>
      </w:r>
      <w:r w:rsidRPr="005231B4">
        <w:rPr>
          <w:rFonts w:ascii="Sylfaen" w:hAnsi="Sylfaen"/>
          <w:b w:val="0"/>
          <w:bCs w:val="0"/>
          <w:sz w:val="28"/>
          <w:szCs w:val="28"/>
        </w:rPr>
        <w:t>une production céréalière d’environ 110 millions de quintaux, en augmentation  de 62% par rapport à 2014. Le contexte climatique bénéfici</w:t>
      </w:r>
      <w:r>
        <w:rPr>
          <w:rFonts w:ascii="Sylfaen" w:hAnsi="Sylfaen"/>
          <w:b w:val="0"/>
          <w:bCs w:val="0"/>
          <w:sz w:val="28"/>
          <w:szCs w:val="28"/>
        </w:rPr>
        <w:t>erait aussi</w:t>
      </w:r>
      <w:r w:rsidRPr="005231B4">
        <w:rPr>
          <w:rFonts w:ascii="Sylfaen" w:hAnsi="Sylfaen"/>
          <w:b w:val="0"/>
          <w:bCs w:val="0"/>
          <w:sz w:val="28"/>
          <w:szCs w:val="28"/>
        </w:rPr>
        <w:t xml:space="preserve"> aux autres cultures non-céréalières notamment les cultures maraichères et fruitières</w:t>
      </w:r>
      <w:r>
        <w:rPr>
          <w:rFonts w:ascii="Sylfaen" w:hAnsi="Sylfaen"/>
          <w:b w:val="0"/>
          <w:bCs w:val="0"/>
          <w:sz w:val="28"/>
          <w:szCs w:val="28"/>
        </w:rPr>
        <w:t xml:space="preserve"> et au secteur de </w:t>
      </w:r>
      <w:r w:rsidRPr="005231B4">
        <w:rPr>
          <w:rFonts w:ascii="Sylfaen" w:hAnsi="Sylfaen"/>
          <w:b w:val="0"/>
          <w:bCs w:val="0"/>
          <w:sz w:val="28"/>
          <w:szCs w:val="28"/>
        </w:rPr>
        <w:t xml:space="preserve"> </w:t>
      </w:r>
      <w:r>
        <w:rPr>
          <w:rFonts w:ascii="Sylfaen" w:hAnsi="Sylfaen"/>
          <w:b w:val="0"/>
          <w:bCs w:val="0"/>
          <w:sz w:val="28"/>
          <w:szCs w:val="28"/>
        </w:rPr>
        <w:t>l’élevage.</w:t>
      </w:r>
      <w:r w:rsidRPr="005231B4">
        <w:rPr>
          <w:rFonts w:ascii="Sylfaen" w:hAnsi="Sylfaen"/>
          <w:b w:val="0"/>
          <w:bCs w:val="0"/>
          <w:sz w:val="28"/>
          <w:szCs w:val="28"/>
        </w:rPr>
        <w:t xml:space="preserve"> </w:t>
      </w:r>
    </w:p>
    <w:p w:rsidR="005D6001" w:rsidRPr="005231B4" w:rsidRDefault="009D25D7"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Tenant compte d’une évolution </w:t>
      </w:r>
      <w:r w:rsidR="008234A6">
        <w:rPr>
          <w:rFonts w:ascii="Sylfaen" w:hAnsi="Sylfaen"/>
          <w:b w:val="0"/>
          <w:bCs w:val="0"/>
          <w:sz w:val="28"/>
          <w:szCs w:val="28"/>
        </w:rPr>
        <w:t xml:space="preserve">favorable </w:t>
      </w:r>
      <w:r w:rsidR="00A07934">
        <w:rPr>
          <w:rFonts w:ascii="Sylfaen" w:hAnsi="Sylfaen"/>
          <w:b w:val="0"/>
          <w:bCs w:val="0"/>
          <w:sz w:val="28"/>
          <w:szCs w:val="28"/>
        </w:rPr>
        <w:t xml:space="preserve">des activités de la </w:t>
      </w:r>
      <w:r w:rsidR="00C921A3" w:rsidRPr="005231B4">
        <w:rPr>
          <w:rFonts w:ascii="Sylfaen" w:hAnsi="Sylfaen"/>
          <w:b w:val="0"/>
          <w:bCs w:val="0"/>
          <w:sz w:val="28"/>
          <w:szCs w:val="28"/>
        </w:rPr>
        <w:t xml:space="preserve">pêche maritime, </w:t>
      </w:r>
      <w:r w:rsidR="008234A6">
        <w:rPr>
          <w:rFonts w:ascii="Sylfaen" w:hAnsi="Sylfaen"/>
          <w:b w:val="0"/>
          <w:bCs w:val="0"/>
          <w:sz w:val="28"/>
          <w:szCs w:val="28"/>
        </w:rPr>
        <w:t>le</w:t>
      </w:r>
      <w:r w:rsidR="00C921A3" w:rsidRPr="005231B4">
        <w:rPr>
          <w:rFonts w:ascii="Sylfaen" w:hAnsi="Sylfaen"/>
          <w:b w:val="0"/>
          <w:bCs w:val="0"/>
          <w:sz w:val="28"/>
          <w:szCs w:val="28"/>
        </w:rPr>
        <w:t xml:space="preserve"> secteur primaire </w:t>
      </w:r>
      <w:r w:rsidR="006A3838">
        <w:rPr>
          <w:rFonts w:ascii="Sylfaen" w:hAnsi="Sylfaen"/>
          <w:b w:val="0"/>
          <w:bCs w:val="0"/>
          <w:sz w:val="28"/>
          <w:szCs w:val="28"/>
        </w:rPr>
        <w:t xml:space="preserve">dégagerait </w:t>
      </w:r>
      <w:r w:rsidR="00C921A3" w:rsidRPr="005231B4">
        <w:rPr>
          <w:rFonts w:ascii="Sylfaen" w:hAnsi="Sylfaen"/>
          <w:b w:val="0"/>
          <w:bCs w:val="0"/>
          <w:sz w:val="28"/>
          <w:szCs w:val="28"/>
        </w:rPr>
        <w:t>une valeur ajoutée en hausse de 1</w:t>
      </w:r>
      <w:r w:rsidR="00A826C4" w:rsidRPr="005231B4">
        <w:rPr>
          <w:rFonts w:ascii="Sylfaen" w:hAnsi="Sylfaen"/>
          <w:b w:val="0"/>
          <w:bCs w:val="0"/>
          <w:sz w:val="28"/>
          <w:szCs w:val="28"/>
        </w:rPr>
        <w:t>3</w:t>
      </w:r>
      <w:r w:rsidR="00C921A3" w:rsidRPr="005231B4">
        <w:rPr>
          <w:rFonts w:ascii="Sylfaen" w:hAnsi="Sylfaen"/>
          <w:b w:val="0"/>
          <w:bCs w:val="0"/>
          <w:sz w:val="28"/>
          <w:szCs w:val="28"/>
        </w:rPr>
        <w:t>,</w:t>
      </w:r>
      <w:r w:rsidR="00973C2D">
        <w:rPr>
          <w:rFonts w:ascii="Sylfaen" w:hAnsi="Sylfaen"/>
          <w:b w:val="0"/>
          <w:bCs w:val="0"/>
          <w:sz w:val="28"/>
          <w:szCs w:val="28"/>
        </w:rPr>
        <w:t>2</w:t>
      </w:r>
      <w:r w:rsidR="00C921A3" w:rsidRPr="005231B4">
        <w:rPr>
          <w:rFonts w:ascii="Sylfaen" w:hAnsi="Sylfaen"/>
          <w:b w:val="0"/>
          <w:bCs w:val="0"/>
          <w:sz w:val="28"/>
          <w:szCs w:val="28"/>
        </w:rPr>
        <w:t xml:space="preserve">%, contribuant, ainsi, pour </w:t>
      </w:r>
      <w:r w:rsidR="002C3F69" w:rsidRPr="005231B4">
        <w:rPr>
          <w:rFonts w:ascii="Sylfaen" w:hAnsi="Sylfaen"/>
          <w:b w:val="0"/>
          <w:bCs w:val="0"/>
          <w:sz w:val="28"/>
          <w:szCs w:val="28"/>
        </w:rPr>
        <w:t xml:space="preserve">1,5 </w:t>
      </w:r>
      <w:r w:rsidR="00C921A3" w:rsidRPr="005231B4">
        <w:rPr>
          <w:rFonts w:ascii="Sylfaen" w:hAnsi="Sylfaen"/>
          <w:b w:val="0"/>
          <w:bCs w:val="0"/>
          <w:sz w:val="28"/>
          <w:szCs w:val="28"/>
        </w:rPr>
        <w:t>point à la croissance du Produit Intérieur Brut (PIB) en 2015</w:t>
      </w:r>
      <w:r w:rsidR="005D6001" w:rsidRPr="005231B4">
        <w:rPr>
          <w:rFonts w:ascii="Sylfaen" w:hAnsi="Sylfaen"/>
          <w:b w:val="0"/>
          <w:bCs w:val="0"/>
          <w:sz w:val="28"/>
          <w:szCs w:val="28"/>
        </w:rPr>
        <w:t>.</w:t>
      </w:r>
    </w:p>
    <w:p w:rsidR="00A973AF" w:rsidRDefault="00A07934"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L</w:t>
      </w:r>
      <w:r w:rsidR="005E47B3" w:rsidRPr="005231B4">
        <w:rPr>
          <w:rFonts w:ascii="Sylfaen" w:hAnsi="Sylfaen"/>
          <w:b w:val="0"/>
          <w:bCs w:val="0"/>
          <w:sz w:val="28"/>
          <w:szCs w:val="28"/>
        </w:rPr>
        <w:t>e</w:t>
      </w:r>
      <w:r w:rsidR="005E40FA" w:rsidRPr="005231B4">
        <w:rPr>
          <w:rFonts w:ascii="Sylfaen" w:hAnsi="Sylfaen"/>
          <w:b w:val="0"/>
          <w:bCs w:val="0"/>
          <w:sz w:val="28"/>
          <w:szCs w:val="28"/>
        </w:rPr>
        <w:t>s</w:t>
      </w:r>
      <w:r w:rsidR="00E115ED" w:rsidRPr="005231B4">
        <w:rPr>
          <w:rFonts w:ascii="Sylfaen" w:hAnsi="Sylfaen"/>
          <w:b w:val="0"/>
          <w:bCs w:val="0"/>
          <w:sz w:val="28"/>
          <w:szCs w:val="28"/>
        </w:rPr>
        <w:t xml:space="preserve"> </w:t>
      </w:r>
      <w:r w:rsidR="00542B53">
        <w:rPr>
          <w:rFonts w:ascii="Sylfaen" w:hAnsi="Sylfaen"/>
          <w:b w:val="0"/>
          <w:bCs w:val="0"/>
          <w:sz w:val="28"/>
          <w:szCs w:val="28"/>
        </w:rPr>
        <w:t>activités</w:t>
      </w:r>
      <w:r w:rsidR="005E40FA" w:rsidRPr="005231B4">
        <w:rPr>
          <w:rFonts w:ascii="Sylfaen" w:hAnsi="Sylfaen"/>
          <w:b w:val="0"/>
          <w:bCs w:val="0"/>
          <w:sz w:val="28"/>
          <w:szCs w:val="28"/>
        </w:rPr>
        <w:t xml:space="preserve"> non agricoles</w:t>
      </w:r>
      <w:r w:rsidR="005E47B3" w:rsidRPr="005231B4">
        <w:rPr>
          <w:rFonts w:ascii="Sylfaen" w:hAnsi="Sylfaen"/>
          <w:b w:val="0"/>
          <w:bCs w:val="0"/>
          <w:sz w:val="28"/>
          <w:szCs w:val="28"/>
        </w:rPr>
        <w:t xml:space="preserve">, </w:t>
      </w:r>
      <w:r>
        <w:rPr>
          <w:rFonts w:ascii="Sylfaen" w:hAnsi="Sylfaen"/>
          <w:b w:val="0"/>
          <w:bCs w:val="0"/>
          <w:sz w:val="28"/>
          <w:szCs w:val="28"/>
        </w:rPr>
        <w:t xml:space="preserve">de leur côté, devraient enregistrer une croissance </w:t>
      </w:r>
      <w:r w:rsidR="00F50281" w:rsidRPr="005231B4">
        <w:rPr>
          <w:rFonts w:ascii="Sylfaen" w:hAnsi="Sylfaen"/>
          <w:b w:val="0"/>
          <w:bCs w:val="0"/>
          <w:sz w:val="28"/>
          <w:szCs w:val="28"/>
        </w:rPr>
        <w:t xml:space="preserve">de </w:t>
      </w:r>
      <w:r w:rsidR="005E40FA" w:rsidRPr="005231B4">
        <w:rPr>
          <w:rFonts w:ascii="Sylfaen" w:hAnsi="Sylfaen"/>
          <w:b w:val="0"/>
          <w:bCs w:val="0"/>
          <w:sz w:val="28"/>
          <w:szCs w:val="28"/>
        </w:rPr>
        <w:t>2</w:t>
      </w:r>
      <w:r w:rsidR="00D60E40" w:rsidRPr="005231B4">
        <w:rPr>
          <w:rFonts w:ascii="Sylfaen" w:hAnsi="Sylfaen"/>
          <w:b w:val="0"/>
          <w:bCs w:val="0"/>
          <w:sz w:val="28"/>
          <w:szCs w:val="28"/>
        </w:rPr>
        <w:t>,</w:t>
      </w:r>
      <w:r w:rsidR="005E40FA" w:rsidRPr="005231B4">
        <w:rPr>
          <w:rFonts w:ascii="Sylfaen" w:hAnsi="Sylfaen"/>
          <w:b w:val="0"/>
          <w:bCs w:val="0"/>
          <w:sz w:val="28"/>
          <w:szCs w:val="28"/>
        </w:rPr>
        <w:t>5</w:t>
      </w:r>
      <w:r w:rsidR="00F50281" w:rsidRPr="005231B4">
        <w:rPr>
          <w:rFonts w:ascii="Sylfaen" w:hAnsi="Sylfaen"/>
          <w:b w:val="0"/>
          <w:bCs w:val="0"/>
          <w:sz w:val="28"/>
          <w:szCs w:val="28"/>
        </w:rPr>
        <w:t xml:space="preserve">% </w:t>
      </w:r>
      <w:r w:rsidR="00151627" w:rsidRPr="005231B4">
        <w:rPr>
          <w:rFonts w:ascii="Sylfaen" w:hAnsi="Sylfaen"/>
          <w:b w:val="0"/>
          <w:bCs w:val="0"/>
          <w:sz w:val="28"/>
          <w:szCs w:val="28"/>
        </w:rPr>
        <w:t>en 201</w:t>
      </w:r>
      <w:r w:rsidR="0053789D" w:rsidRPr="005231B4">
        <w:rPr>
          <w:rFonts w:ascii="Sylfaen" w:hAnsi="Sylfaen"/>
          <w:b w:val="0"/>
          <w:bCs w:val="0"/>
          <w:sz w:val="28"/>
          <w:szCs w:val="28"/>
        </w:rPr>
        <w:t>5</w:t>
      </w:r>
      <w:r w:rsidR="00542B53">
        <w:rPr>
          <w:rFonts w:ascii="Sylfaen" w:hAnsi="Sylfaen"/>
          <w:b w:val="0"/>
          <w:bCs w:val="0"/>
          <w:sz w:val="28"/>
          <w:szCs w:val="28"/>
        </w:rPr>
        <w:t xml:space="preserve">, </w:t>
      </w:r>
      <w:r w:rsidR="00F16746">
        <w:rPr>
          <w:rFonts w:ascii="Sylfaen" w:hAnsi="Sylfaen"/>
          <w:b w:val="0"/>
          <w:bCs w:val="0"/>
          <w:sz w:val="28"/>
          <w:szCs w:val="28"/>
        </w:rPr>
        <w:t>au lieu</w:t>
      </w:r>
      <w:r w:rsidR="00542B53">
        <w:rPr>
          <w:rFonts w:ascii="Sylfaen" w:hAnsi="Sylfaen"/>
          <w:b w:val="0"/>
          <w:bCs w:val="0"/>
          <w:sz w:val="28"/>
          <w:szCs w:val="28"/>
        </w:rPr>
        <w:t xml:space="preserve"> 2% en 2014</w:t>
      </w:r>
      <w:r>
        <w:rPr>
          <w:rFonts w:ascii="Sylfaen" w:hAnsi="Sylfaen"/>
          <w:b w:val="0"/>
          <w:bCs w:val="0"/>
          <w:sz w:val="28"/>
          <w:szCs w:val="28"/>
        </w:rPr>
        <w:t>. Celle-ci serait</w:t>
      </w:r>
      <w:r w:rsidR="00E8165F" w:rsidRPr="00E2715E">
        <w:rPr>
          <w:rFonts w:ascii="Sylfaen" w:hAnsi="Sylfaen"/>
          <w:b w:val="0"/>
          <w:bCs w:val="0"/>
          <w:sz w:val="28"/>
          <w:szCs w:val="28"/>
        </w:rPr>
        <w:t>, cependant, inférieur</w:t>
      </w:r>
      <w:r>
        <w:rPr>
          <w:rFonts w:ascii="Sylfaen" w:hAnsi="Sylfaen"/>
          <w:b w:val="0"/>
          <w:bCs w:val="0"/>
          <w:sz w:val="28"/>
          <w:szCs w:val="28"/>
        </w:rPr>
        <w:t>e</w:t>
      </w:r>
      <w:r w:rsidR="00E8165F" w:rsidRPr="00E2715E">
        <w:rPr>
          <w:rFonts w:ascii="Sylfaen" w:hAnsi="Sylfaen"/>
          <w:b w:val="0"/>
          <w:bCs w:val="0"/>
          <w:sz w:val="28"/>
          <w:szCs w:val="28"/>
        </w:rPr>
        <w:t xml:space="preserve"> à la moyenne de 4</w:t>
      </w:r>
      <w:r w:rsidR="00E8165F">
        <w:rPr>
          <w:rFonts w:ascii="Sylfaen" w:hAnsi="Sylfaen"/>
          <w:b w:val="0"/>
          <w:bCs w:val="0"/>
          <w:sz w:val="28"/>
          <w:szCs w:val="28"/>
        </w:rPr>
        <w:t>,2</w:t>
      </w:r>
      <w:r w:rsidR="00E8165F" w:rsidRPr="00E2715E">
        <w:rPr>
          <w:rFonts w:ascii="Sylfaen" w:hAnsi="Sylfaen"/>
          <w:b w:val="0"/>
          <w:bCs w:val="0"/>
          <w:sz w:val="28"/>
          <w:szCs w:val="28"/>
        </w:rPr>
        <w:t>% enregistré</w:t>
      </w:r>
      <w:r>
        <w:rPr>
          <w:rFonts w:ascii="Sylfaen" w:hAnsi="Sylfaen"/>
          <w:b w:val="0"/>
          <w:bCs w:val="0"/>
          <w:sz w:val="28"/>
          <w:szCs w:val="28"/>
        </w:rPr>
        <w:t>e</w:t>
      </w:r>
      <w:r w:rsidR="00E8165F" w:rsidRPr="00E2715E">
        <w:rPr>
          <w:rFonts w:ascii="Sylfaen" w:hAnsi="Sylfaen"/>
          <w:b w:val="0"/>
          <w:bCs w:val="0"/>
          <w:sz w:val="28"/>
          <w:szCs w:val="28"/>
        </w:rPr>
        <w:t xml:space="preserve"> durant la période 20</w:t>
      </w:r>
      <w:r w:rsidR="00E8165F">
        <w:rPr>
          <w:rFonts w:ascii="Sylfaen" w:hAnsi="Sylfaen"/>
          <w:b w:val="0"/>
          <w:bCs w:val="0"/>
          <w:sz w:val="28"/>
          <w:szCs w:val="28"/>
        </w:rPr>
        <w:t>07</w:t>
      </w:r>
      <w:r w:rsidR="00E8165F" w:rsidRPr="00E2715E">
        <w:rPr>
          <w:rFonts w:ascii="Sylfaen" w:hAnsi="Sylfaen"/>
          <w:b w:val="0"/>
          <w:bCs w:val="0"/>
          <w:sz w:val="28"/>
          <w:szCs w:val="28"/>
        </w:rPr>
        <w:t>-2014</w:t>
      </w:r>
      <w:r w:rsidR="00E8165F">
        <w:rPr>
          <w:rFonts w:ascii="Sylfaen" w:hAnsi="Sylfaen"/>
          <w:b w:val="0"/>
          <w:bCs w:val="0"/>
          <w:sz w:val="28"/>
          <w:szCs w:val="28"/>
        </w:rPr>
        <w:t>.</w:t>
      </w:r>
      <w:r w:rsidR="00F50281" w:rsidRPr="005231B4">
        <w:rPr>
          <w:rFonts w:ascii="Sylfaen" w:hAnsi="Sylfaen"/>
          <w:b w:val="0"/>
          <w:bCs w:val="0"/>
          <w:sz w:val="28"/>
          <w:szCs w:val="28"/>
        </w:rPr>
        <w:t xml:space="preserve"> </w:t>
      </w:r>
      <w:r w:rsidR="00F40548">
        <w:rPr>
          <w:rFonts w:ascii="Sylfaen" w:hAnsi="Sylfaen"/>
          <w:b w:val="0"/>
          <w:bCs w:val="0"/>
          <w:sz w:val="28"/>
          <w:szCs w:val="28"/>
        </w:rPr>
        <w:t xml:space="preserve"> Cette </w:t>
      </w:r>
      <w:r w:rsidR="00E8165F">
        <w:rPr>
          <w:rFonts w:ascii="Sylfaen" w:hAnsi="Sylfaen"/>
          <w:b w:val="0"/>
          <w:bCs w:val="0"/>
          <w:sz w:val="28"/>
          <w:szCs w:val="28"/>
        </w:rPr>
        <w:t>légère</w:t>
      </w:r>
      <w:r w:rsidR="00F40548">
        <w:rPr>
          <w:rFonts w:ascii="Sylfaen" w:hAnsi="Sylfaen"/>
          <w:b w:val="0"/>
          <w:bCs w:val="0"/>
          <w:sz w:val="28"/>
          <w:szCs w:val="28"/>
        </w:rPr>
        <w:t xml:space="preserve"> progression</w:t>
      </w:r>
      <w:r w:rsidR="00EA755E">
        <w:rPr>
          <w:rFonts w:ascii="Sylfaen" w:hAnsi="Sylfaen"/>
          <w:b w:val="0"/>
          <w:bCs w:val="0"/>
          <w:sz w:val="28"/>
          <w:szCs w:val="28"/>
        </w:rPr>
        <w:t xml:space="preserve"> serait due à</w:t>
      </w:r>
      <w:r w:rsidR="00F40548">
        <w:rPr>
          <w:rFonts w:ascii="Sylfaen" w:hAnsi="Sylfaen"/>
          <w:b w:val="0"/>
          <w:bCs w:val="0"/>
          <w:sz w:val="28"/>
          <w:szCs w:val="28"/>
        </w:rPr>
        <w:t xml:space="preserve"> </w:t>
      </w:r>
      <w:r w:rsidR="00F16746">
        <w:rPr>
          <w:rFonts w:ascii="Sylfaen" w:hAnsi="Sylfaen"/>
          <w:b w:val="0"/>
          <w:bCs w:val="0"/>
          <w:sz w:val="28"/>
          <w:szCs w:val="28"/>
        </w:rPr>
        <w:t xml:space="preserve">un accroissement </w:t>
      </w:r>
      <w:r w:rsidR="006A3838">
        <w:rPr>
          <w:rFonts w:ascii="Sylfaen" w:hAnsi="Sylfaen"/>
          <w:b w:val="0"/>
          <w:bCs w:val="0"/>
          <w:sz w:val="28"/>
          <w:szCs w:val="28"/>
        </w:rPr>
        <w:t xml:space="preserve">de </w:t>
      </w:r>
      <w:r w:rsidR="006A3838" w:rsidRPr="00E8165F">
        <w:rPr>
          <w:rFonts w:ascii="Sylfaen" w:hAnsi="Sylfaen"/>
          <w:b w:val="0"/>
          <w:bCs w:val="0"/>
          <w:sz w:val="28"/>
          <w:szCs w:val="28"/>
        </w:rPr>
        <w:t xml:space="preserve">1,9% </w:t>
      </w:r>
      <w:r w:rsidR="00F16746">
        <w:rPr>
          <w:rFonts w:ascii="Sylfaen" w:hAnsi="Sylfaen"/>
          <w:b w:val="0"/>
          <w:bCs w:val="0"/>
          <w:sz w:val="28"/>
          <w:szCs w:val="28"/>
        </w:rPr>
        <w:t xml:space="preserve">des activités secondaires </w:t>
      </w:r>
      <w:r w:rsidR="00F16746" w:rsidRPr="00E8165F">
        <w:rPr>
          <w:rFonts w:ascii="Sylfaen" w:hAnsi="Sylfaen"/>
          <w:b w:val="0"/>
          <w:bCs w:val="0"/>
          <w:sz w:val="28"/>
          <w:szCs w:val="28"/>
        </w:rPr>
        <w:t>au lieu de 1,7% en 2014</w:t>
      </w:r>
      <w:r w:rsidR="00920149" w:rsidRPr="00E8165F">
        <w:rPr>
          <w:rFonts w:ascii="Sylfaen" w:hAnsi="Sylfaen"/>
          <w:b w:val="0"/>
          <w:bCs w:val="0"/>
          <w:sz w:val="28"/>
          <w:szCs w:val="28"/>
        </w:rPr>
        <w:t xml:space="preserve"> et à une </w:t>
      </w:r>
      <w:r w:rsidR="00E8165F" w:rsidRPr="00E8165F">
        <w:rPr>
          <w:rFonts w:ascii="Sylfaen" w:hAnsi="Sylfaen"/>
          <w:b w:val="0"/>
          <w:bCs w:val="0"/>
          <w:sz w:val="28"/>
          <w:szCs w:val="28"/>
        </w:rPr>
        <w:t>amélioration</w:t>
      </w:r>
      <w:r w:rsidR="00920149" w:rsidRPr="00E8165F">
        <w:rPr>
          <w:rFonts w:ascii="Sylfaen" w:hAnsi="Sylfaen"/>
          <w:b w:val="0"/>
          <w:bCs w:val="0"/>
          <w:sz w:val="28"/>
          <w:szCs w:val="28"/>
        </w:rPr>
        <w:t xml:space="preserve"> de 2,</w:t>
      </w:r>
      <w:r>
        <w:rPr>
          <w:rFonts w:ascii="Sylfaen" w:hAnsi="Sylfaen"/>
          <w:b w:val="0"/>
          <w:bCs w:val="0"/>
          <w:sz w:val="28"/>
          <w:szCs w:val="28"/>
        </w:rPr>
        <w:t>7</w:t>
      </w:r>
      <w:r w:rsidR="00920149" w:rsidRPr="00E8165F">
        <w:rPr>
          <w:rFonts w:ascii="Sylfaen" w:hAnsi="Sylfaen"/>
          <w:b w:val="0"/>
          <w:bCs w:val="0"/>
          <w:sz w:val="28"/>
          <w:szCs w:val="28"/>
        </w:rPr>
        <w:t>% des activités tertiaires au lieu de</w:t>
      </w:r>
      <w:r w:rsidR="00CF581C" w:rsidRPr="00E8165F">
        <w:rPr>
          <w:rFonts w:ascii="Sylfaen" w:hAnsi="Sylfaen"/>
          <w:b w:val="0"/>
          <w:bCs w:val="0"/>
          <w:sz w:val="28"/>
          <w:szCs w:val="28"/>
        </w:rPr>
        <w:t xml:space="preserve"> 2,2% en </w:t>
      </w:r>
      <w:r w:rsidR="00E8165F" w:rsidRPr="00E8165F">
        <w:rPr>
          <w:rFonts w:ascii="Sylfaen" w:hAnsi="Sylfaen"/>
          <w:b w:val="0"/>
          <w:bCs w:val="0"/>
          <w:sz w:val="28"/>
          <w:szCs w:val="28"/>
        </w:rPr>
        <w:t xml:space="preserve">2014. </w:t>
      </w:r>
    </w:p>
    <w:p w:rsidR="00C311E0" w:rsidRPr="00C311E0" w:rsidRDefault="00A07934" w:rsidP="00410093">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La croissance de la valeur ajoutée du </w:t>
      </w:r>
      <w:r w:rsidR="00920149">
        <w:rPr>
          <w:rFonts w:ascii="Sylfaen" w:hAnsi="Sylfaen"/>
          <w:b w:val="0"/>
          <w:bCs w:val="0"/>
          <w:sz w:val="28"/>
          <w:szCs w:val="28"/>
        </w:rPr>
        <w:t xml:space="preserve">secteur secondaire </w:t>
      </w:r>
      <w:r w:rsidR="00B836FC" w:rsidRPr="005231B4">
        <w:rPr>
          <w:rFonts w:ascii="Sylfaen" w:hAnsi="Sylfaen"/>
          <w:b w:val="0"/>
          <w:bCs w:val="0"/>
          <w:sz w:val="28"/>
          <w:szCs w:val="28"/>
        </w:rPr>
        <w:t xml:space="preserve">serait </w:t>
      </w:r>
      <w:r w:rsidR="008A5F0E" w:rsidRPr="005231B4">
        <w:rPr>
          <w:rFonts w:ascii="Sylfaen" w:hAnsi="Sylfaen"/>
          <w:b w:val="0"/>
          <w:bCs w:val="0"/>
          <w:sz w:val="28"/>
          <w:szCs w:val="28"/>
        </w:rPr>
        <w:t>attribuable à</w:t>
      </w:r>
      <w:r w:rsidR="007216A1">
        <w:rPr>
          <w:rFonts w:ascii="Sylfaen" w:hAnsi="Sylfaen"/>
          <w:b w:val="0"/>
          <w:bCs w:val="0"/>
          <w:sz w:val="28"/>
          <w:szCs w:val="28"/>
        </w:rPr>
        <w:t xml:space="preserve"> la poursuite de la </w:t>
      </w:r>
      <w:r w:rsidR="00B836FC" w:rsidRPr="005231B4">
        <w:rPr>
          <w:rFonts w:ascii="Sylfaen" w:hAnsi="Sylfaen"/>
          <w:b w:val="0"/>
          <w:bCs w:val="0"/>
          <w:sz w:val="28"/>
          <w:szCs w:val="28"/>
        </w:rPr>
        <w:t>reprise d</w:t>
      </w:r>
      <w:r w:rsidR="00920149">
        <w:rPr>
          <w:rFonts w:ascii="Sylfaen" w:hAnsi="Sylfaen"/>
          <w:b w:val="0"/>
          <w:bCs w:val="0"/>
          <w:sz w:val="28"/>
          <w:szCs w:val="28"/>
        </w:rPr>
        <w:t>es</w:t>
      </w:r>
      <w:r w:rsidR="00CA1B8A" w:rsidRPr="005231B4">
        <w:rPr>
          <w:rFonts w:ascii="Sylfaen" w:hAnsi="Sylfaen"/>
          <w:b w:val="0"/>
          <w:bCs w:val="0"/>
          <w:sz w:val="28"/>
          <w:szCs w:val="28"/>
        </w:rPr>
        <w:t xml:space="preserve"> industries de transformation</w:t>
      </w:r>
      <w:r w:rsidR="007216A1">
        <w:rPr>
          <w:rFonts w:ascii="Sylfaen" w:hAnsi="Sylfaen"/>
          <w:b w:val="0"/>
          <w:bCs w:val="0"/>
          <w:sz w:val="28"/>
          <w:szCs w:val="28"/>
        </w:rPr>
        <w:t xml:space="preserve">, </w:t>
      </w:r>
      <w:r w:rsidR="00CA1B8A" w:rsidRPr="005231B4">
        <w:rPr>
          <w:rFonts w:ascii="Sylfaen" w:hAnsi="Sylfaen"/>
          <w:b w:val="0"/>
          <w:bCs w:val="0"/>
          <w:sz w:val="28"/>
          <w:szCs w:val="28"/>
        </w:rPr>
        <w:t>notamment le</w:t>
      </w:r>
      <w:r w:rsidR="007216A1">
        <w:rPr>
          <w:rFonts w:ascii="Sylfaen" w:hAnsi="Sylfaen"/>
          <w:b w:val="0"/>
          <w:bCs w:val="0"/>
          <w:sz w:val="28"/>
          <w:szCs w:val="28"/>
        </w:rPr>
        <w:t>s</w:t>
      </w:r>
      <w:r w:rsidR="00CA1B8A" w:rsidRPr="005231B4">
        <w:rPr>
          <w:rFonts w:ascii="Sylfaen" w:hAnsi="Sylfaen"/>
          <w:b w:val="0"/>
          <w:bCs w:val="0"/>
          <w:sz w:val="28"/>
          <w:szCs w:val="28"/>
        </w:rPr>
        <w:t xml:space="preserve"> secteur</w:t>
      </w:r>
      <w:r w:rsidR="007216A1">
        <w:rPr>
          <w:rFonts w:ascii="Sylfaen" w:hAnsi="Sylfaen"/>
          <w:b w:val="0"/>
          <w:bCs w:val="0"/>
          <w:sz w:val="28"/>
          <w:szCs w:val="28"/>
        </w:rPr>
        <w:t>s</w:t>
      </w:r>
      <w:r w:rsidR="00CA1B8A" w:rsidRPr="005231B4">
        <w:rPr>
          <w:rFonts w:ascii="Sylfaen" w:hAnsi="Sylfaen"/>
          <w:b w:val="0"/>
          <w:bCs w:val="0"/>
          <w:sz w:val="28"/>
          <w:szCs w:val="28"/>
        </w:rPr>
        <w:t xml:space="preserve"> de l’agroalimentaire</w:t>
      </w:r>
      <w:r w:rsidR="007216A1">
        <w:rPr>
          <w:rFonts w:ascii="Sylfaen" w:hAnsi="Sylfaen"/>
          <w:b w:val="0"/>
          <w:bCs w:val="0"/>
          <w:sz w:val="28"/>
          <w:szCs w:val="28"/>
        </w:rPr>
        <w:t xml:space="preserve">, </w:t>
      </w:r>
      <w:r w:rsidR="00CA1B8A" w:rsidRPr="005231B4">
        <w:rPr>
          <w:rFonts w:ascii="Sylfaen" w:hAnsi="Sylfaen"/>
          <w:b w:val="0"/>
          <w:bCs w:val="0"/>
          <w:sz w:val="28"/>
          <w:szCs w:val="28"/>
        </w:rPr>
        <w:t xml:space="preserve">de l’automobile et </w:t>
      </w:r>
      <w:r w:rsidR="007216A1">
        <w:rPr>
          <w:rFonts w:ascii="Sylfaen" w:hAnsi="Sylfaen"/>
          <w:b w:val="0"/>
          <w:bCs w:val="0"/>
          <w:sz w:val="28"/>
          <w:szCs w:val="28"/>
        </w:rPr>
        <w:t xml:space="preserve">de la </w:t>
      </w:r>
      <w:r w:rsidR="00CA1B8A" w:rsidRPr="005231B4">
        <w:rPr>
          <w:rFonts w:ascii="Sylfaen" w:hAnsi="Sylfaen"/>
          <w:b w:val="0"/>
          <w:bCs w:val="0"/>
          <w:sz w:val="28"/>
          <w:szCs w:val="28"/>
        </w:rPr>
        <w:t>chimi</w:t>
      </w:r>
      <w:r w:rsidR="00973C2D">
        <w:rPr>
          <w:rFonts w:ascii="Sylfaen" w:hAnsi="Sylfaen"/>
          <w:b w:val="0"/>
          <w:bCs w:val="0"/>
          <w:sz w:val="28"/>
          <w:szCs w:val="28"/>
        </w:rPr>
        <w:t>e-</w:t>
      </w:r>
      <w:r w:rsidR="00CA1B8A" w:rsidRPr="005231B4">
        <w:rPr>
          <w:rFonts w:ascii="Sylfaen" w:hAnsi="Sylfaen"/>
          <w:b w:val="0"/>
          <w:bCs w:val="0"/>
          <w:sz w:val="28"/>
          <w:szCs w:val="28"/>
        </w:rPr>
        <w:t>parachimie.</w:t>
      </w:r>
      <w:r w:rsidR="0095555A">
        <w:rPr>
          <w:rFonts w:ascii="Sylfaen" w:hAnsi="Sylfaen"/>
          <w:b w:val="0"/>
          <w:bCs w:val="0"/>
          <w:sz w:val="28"/>
          <w:szCs w:val="28"/>
        </w:rPr>
        <w:t xml:space="preserve"> </w:t>
      </w:r>
      <w:r w:rsidR="00C311E0">
        <w:rPr>
          <w:rFonts w:ascii="Sylfaen" w:hAnsi="Sylfaen"/>
          <w:b w:val="0"/>
          <w:bCs w:val="0"/>
          <w:sz w:val="28"/>
          <w:szCs w:val="28"/>
        </w:rPr>
        <w:t>Le secteur du BTP serait</w:t>
      </w:r>
      <w:r w:rsidR="00C311E0" w:rsidRPr="00C311E0">
        <w:rPr>
          <w:rFonts w:ascii="Sylfaen" w:hAnsi="Sylfaen"/>
          <w:b w:val="0"/>
          <w:bCs w:val="0"/>
          <w:sz w:val="28"/>
          <w:szCs w:val="28"/>
        </w:rPr>
        <w:t xml:space="preserve"> en légère amélioration alors que l’activité minière </w:t>
      </w:r>
      <w:r w:rsidR="00410093">
        <w:rPr>
          <w:rFonts w:ascii="Sylfaen" w:hAnsi="Sylfaen"/>
          <w:b w:val="0"/>
          <w:bCs w:val="0"/>
          <w:sz w:val="28"/>
          <w:szCs w:val="28"/>
        </w:rPr>
        <w:t>devrait enregistrer</w:t>
      </w:r>
      <w:r w:rsidR="00C311E0" w:rsidRPr="00C311E0">
        <w:rPr>
          <w:rFonts w:ascii="Sylfaen" w:hAnsi="Sylfaen"/>
          <w:b w:val="0"/>
          <w:bCs w:val="0"/>
          <w:sz w:val="28"/>
          <w:szCs w:val="28"/>
        </w:rPr>
        <w:t xml:space="preserve"> un net ralentissement par rapport à ses performances de 201</w:t>
      </w:r>
      <w:r w:rsidR="00C311E0">
        <w:rPr>
          <w:rFonts w:ascii="Sylfaen" w:hAnsi="Sylfaen"/>
          <w:b w:val="0"/>
          <w:bCs w:val="0"/>
          <w:sz w:val="28"/>
          <w:szCs w:val="28"/>
        </w:rPr>
        <w:t>4</w:t>
      </w:r>
      <w:r w:rsidR="007216A1">
        <w:rPr>
          <w:rFonts w:ascii="Sylfaen" w:hAnsi="Sylfaen"/>
          <w:b w:val="0"/>
          <w:bCs w:val="0"/>
          <w:sz w:val="28"/>
          <w:szCs w:val="28"/>
        </w:rPr>
        <w:t>.</w:t>
      </w:r>
    </w:p>
    <w:p w:rsidR="005E47B3" w:rsidRPr="005231B4" w:rsidRDefault="007216A1" w:rsidP="00A655D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La croissance de la valeur ajoutée des </w:t>
      </w:r>
      <w:r w:rsidR="000F3F6A" w:rsidRPr="005231B4">
        <w:rPr>
          <w:rFonts w:ascii="Sylfaen" w:hAnsi="Sylfaen"/>
          <w:b w:val="0"/>
          <w:bCs w:val="0"/>
          <w:sz w:val="28"/>
          <w:szCs w:val="28"/>
        </w:rPr>
        <w:t>activités tertiaires</w:t>
      </w:r>
      <w:r>
        <w:rPr>
          <w:rFonts w:ascii="Sylfaen" w:hAnsi="Sylfaen"/>
          <w:b w:val="0"/>
          <w:bCs w:val="0"/>
          <w:sz w:val="28"/>
          <w:szCs w:val="28"/>
        </w:rPr>
        <w:t xml:space="preserve"> </w:t>
      </w:r>
      <w:r w:rsidR="00275246" w:rsidRPr="005231B4">
        <w:rPr>
          <w:rFonts w:ascii="Sylfaen" w:hAnsi="Sylfaen"/>
          <w:b w:val="0"/>
          <w:bCs w:val="0"/>
          <w:sz w:val="28"/>
          <w:szCs w:val="28"/>
        </w:rPr>
        <w:t xml:space="preserve">serait </w:t>
      </w:r>
      <w:r w:rsidR="006143D6">
        <w:rPr>
          <w:rFonts w:ascii="Sylfaen" w:hAnsi="Sylfaen"/>
          <w:b w:val="0"/>
          <w:bCs w:val="0"/>
          <w:sz w:val="28"/>
          <w:szCs w:val="28"/>
        </w:rPr>
        <w:t>tirée</w:t>
      </w:r>
      <w:r>
        <w:rPr>
          <w:rFonts w:ascii="Sylfaen" w:hAnsi="Sylfaen"/>
          <w:b w:val="0"/>
          <w:bCs w:val="0"/>
          <w:sz w:val="28"/>
          <w:szCs w:val="28"/>
        </w:rPr>
        <w:t>,</w:t>
      </w:r>
      <w:r w:rsidR="007D5DE3" w:rsidRPr="005231B4">
        <w:rPr>
          <w:rFonts w:ascii="Sylfaen" w:hAnsi="Sylfaen"/>
          <w:b w:val="0"/>
          <w:bCs w:val="0"/>
          <w:sz w:val="28"/>
          <w:szCs w:val="28"/>
        </w:rPr>
        <w:t xml:space="preserve"> </w:t>
      </w:r>
      <w:r>
        <w:rPr>
          <w:rFonts w:ascii="Sylfaen" w:hAnsi="Sylfaen"/>
          <w:b w:val="0"/>
          <w:bCs w:val="0"/>
          <w:sz w:val="28"/>
          <w:szCs w:val="28"/>
        </w:rPr>
        <w:t xml:space="preserve">en </w:t>
      </w:r>
      <w:r w:rsidR="007D5DE3" w:rsidRPr="005231B4">
        <w:rPr>
          <w:rFonts w:ascii="Sylfaen" w:hAnsi="Sylfaen"/>
          <w:b w:val="0"/>
          <w:bCs w:val="0"/>
          <w:sz w:val="28"/>
          <w:szCs w:val="28"/>
        </w:rPr>
        <w:t>particulier</w:t>
      </w:r>
      <w:r>
        <w:rPr>
          <w:rFonts w:ascii="Sylfaen" w:hAnsi="Sylfaen"/>
          <w:b w:val="0"/>
          <w:bCs w:val="0"/>
          <w:sz w:val="28"/>
          <w:szCs w:val="28"/>
        </w:rPr>
        <w:t>,</w:t>
      </w:r>
      <w:r w:rsidR="007D5DE3" w:rsidRPr="005231B4">
        <w:rPr>
          <w:rFonts w:ascii="Sylfaen" w:hAnsi="Sylfaen"/>
          <w:b w:val="0"/>
          <w:bCs w:val="0"/>
          <w:sz w:val="28"/>
          <w:szCs w:val="28"/>
        </w:rPr>
        <w:t xml:space="preserve"> </w:t>
      </w:r>
      <w:r w:rsidR="006143D6">
        <w:rPr>
          <w:rFonts w:ascii="Sylfaen" w:hAnsi="Sylfaen"/>
          <w:b w:val="0"/>
          <w:bCs w:val="0"/>
          <w:sz w:val="28"/>
          <w:szCs w:val="28"/>
        </w:rPr>
        <w:t>par</w:t>
      </w:r>
      <w:r w:rsidR="008A5F0E" w:rsidRPr="005231B4">
        <w:rPr>
          <w:rFonts w:ascii="Sylfaen" w:hAnsi="Sylfaen"/>
          <w:b w:val="0"/>
          <w:bCs w:val="0"/>
          <w:sz w:val="28"/>
          <w:szCs w:val="28"/>
        </w:rPr>
        <w:t xml:space="preserve"> </w:t>
      </w:r>
      <w:r w:rsidR="006143D6">
        <w:rPr>
          <w:rFonts w:ascii="Sylfaen" w:hAnsi="Sylfaen"/>
          <w:b w:val="0"/>
          <w:bCs w:val="0"/>
          <w:sz w:val="28"/>
          <w:szCs w:val="28"/>
        </w:rPr>
        <w:t xml:space="preserve">un </w:t>
      </w:r>
      <w:r w:rsidR="00626F47" w:rsidRPr="005231B4">
        <w:rPr>
          <w:rFonts w:ascii="Sylfaen" w:hAnsi="Sylfaen"/>
          <w:b w:val="0"/>
          <w:bCs w:val="0"/>
          <w:sz w:val="28"/>
          <w:szCs w:val="28"/>
        </w:rPr>
        <w:t>raffermissement</w:t>
      </w:r>
      <w:r w:rsidR="00F55BCF" w:rsidRPr="005231B4">
        <w:rPr>
          <w:rFonts w:ascii="Sylfaen" w:hAnsi="Sylfaen"/>
          <w:b w:val="0"/>
          <w:bCs w:val="0"/>
          <w:sz w:val="28"/>
          <w:szCs w:val="28"/>
        </w:rPr>
        <w:t xml:space="preserve"> </w:t>
      </w:r>
      <w:r w:rsidR="00CB3570" w:rsidRPr="005231B4">
        <w:rPr>
          <w:rFonts w:ascii="Sylfaen" w:hAnsi="Sylfaen"/>
          <w:b w:val="0"/>
          <w:bCs w:val="0"/>
          <w:sz w:val="28"/>
          <w:szCs w:val="28"/>
        </w:rPr>
        <w:t xml:space="preserve">du secteur des télécommunications de </w:t>
      </w:r>
      <w:r w:rsidR="007D5DE3" w:rsidRPr="005231B4">
        <w:rPr>
          <w:rFonts w:ascii="Sylfaen" w:hAnsi="Sylfaen"/>
          <w:b w:val="0"/>
          <w:bCs w:val="0"/>
          <w:sz w:val="28"/>
          <w:szCs w:val="28"/>
        </w:rPr>
        <w:t xml:space="preserve">près de </w:t>
      </w:r>
      <w:r w:rsidR="0053789D" w:rsidRPr="005231B4">
        <w:rPr>
          <w:rFonts w:ascii="Sylfaen" w:hAnsi="Sylfaen"/>
          <w:b w:val="0"/>
          <w:bCs w:val="0"/>
          <w:sz w:val="28"/>
          <w:szCs w:val="28"/>
        </w:rPr>
        <w:t>6</w:t>
      </w:r>
      <w:r w:rsidR="00B22460">
        <w:rPr>
          <w:rFonts w:ascii="Sylfaen" w:hAnsi="Sylfaen"/>
          <w:b w:val="0"/>
          <w:bCs w:val="0"/>
          <w:sz w:val="28"/>
          <w:szCs w:val="28"/>
        </w:rPr>
        <w:t>,5</w:t>
      </w:r>
      <w:r w:rsidR="007D5DE3" w:rsidRPr="005231B4">
        <w:rPr>
          <w:rFonts w:ascii="Sylfaen" w:hAnsi="Sylfaen"/>
          <w:b w:val="0"/>
          <w:bCs w:val="0"/>
          <w:sz w:val="28"/>
          <w:szCs w:val="28"/>
        </w:rPr>
        <w:t>%</w:t>
      </w:r>
      <w:r w:rsidR="00CB3570" w:rsidRPr="005231B4">
        <w:rPr>
          <w:rFonts w:ascii="Sylfaen" w:hAnsi="Sylfaen"/>
          <w:b w:val="0"/>
          <w:bCs w:val="0"/>
          <w:sz w:val="28"/>
          <w:szCs w:val="28"/>
        </w:rPr>
        <w:t xml:space="preserve">, </w:t>
      </w:r>
      <w:r w:rsidR="00546C1F" w:rsidRPr="005231B4">
        <w:rPr>
          <w:rFonts w:ascii="Sylfaen" w:hAnsi="Sylfaen"/>
          <w:b w:val="0"/>
          <w:bCs w:val="0"/>
          <w:sz w:val="28"/>
          <w:szCs w:val="28"/>
        </w:rPr>
        <w:t xml:space="preserve">et par la consolidation </w:t>
      </w:r>
      <w:r w:rsidR="00410093" w:rsidRPr="005231B4">
        <w:rPr>
          <w:rFonts w:ascii="Sylfaen" w:hAnsi="Sylfaen"/>
          <w:b w:val="0"/>
          <w:bCs w:val="0"/>
          <w:sz w:val="28"/>
          <w:szCs w:val="28"/>
        </w:rPr>
        <w:t xml:space="preserve">des activités sociales </w:t>
      </w:r>
      <w:r w:rsidR="00437B6E">
        <w:rPr>
          <w:rFonts w:ascii="Sylfaen" w:hAnsi="Sylfaen"/>
          <w:b w:val="0"/>
          <w:bCs w:val="0"/>
          <w:sz w:val="28"/>
          <w:szCs w:val="28"/>
        </w:rPr>
        <w:t xml:space="preserve">avec un accroissement </w:t>
      </w:r>
      <w:r w:rsidR="0053789D" w:rsidRPr="005231B4">
        <w:rPr>
          <w:rFonts w:ascii="Sylfaen" w:hAnsi="Sylfaen"/>
          <w:b w:val="0"/>
          <w:bCs w:val="0"/>
          <w:sz w:val="28"/>
          <w:szCs w:val="28"/>
        </w:rPr>
        <w:t>de</w:t>
      </w:r>
      <w:r w:rsidR="008A5F0E" w:rsidRPr="005231B4">
        <w:rPr>
          <w:rFonts w:ascii="Sylfaen" w:hAnsi="Sylfaen"/>
          <w:b w:val="0"/>
          <w:bCs w:val="0"/>
          <w:sz w:val="28"/>
          <w:szCs w:val="28"/>
        </w:rPr>
        <w:t xml:space="preserve"> 5,5%</w:t>
      </w:r>
      <w:r w:rsidR="00166A9B">
        <w:rPr>
          <w:rFonts w:ascii="Sylfaen" w:hAnsi="Sylfaen"/>
          <w:b w:val="0"/>
          <w:bCs w:val="0"/>
          <w:sz w:val="28"/>
          <w:szCs w:val="28"/>
        </w:rPr>
        <w:t xml:space="preserve">. </w:t>
      </w:r>
      <w:r w:rsidR="00A655D8">
        <w:rPr>
          <w:rFonts w:ascii="Sylfaen" w:hAnsi="Sylfaen"/>
          <w:b w:val="0"/>
          <w:bCs w:val="0"/>
          <w:sz w:val="28"/>
          <w:szCs w:val="28"/>
        </w:rPr>
        <w:t>L</w:t>
      </w:r>
      <w:r w:rsidR="00437B6E" w:rsidRPr="00166A9B">
        <w:rPr>
          <w:rFonts w:ascii="Sylfaen" w:hAnsi="Sylfaen"/>
          <w:b w:val="0"/>
          <w:bCs w:val="0"/>
          <w:sz w:val="28"/>
          <w:szCs w:val="28"/>
        </w:rPr>
        <w:t xml:space="preserve">es </w:t>
      </w:r>
      <w:r w:rsidR="00437B6E">
        <w:rPr>
          <w:rFonts w:ascii="Sylfaen" w:hAnsi="Sylfaen"/>
          <w:b w:val="0"/>
          <w:bCs w:val="0"/>
          <w:sz w:val="28"/>
          <w:szCs w:val="28"/>
        </w:rPr>
        <w:t xml:space="preserve">autres </w:t>
      </w:r>
      <w:r w:rsidR="00437B6E" w:rsidRPr="00166A9B">
        <w:rPr>
          <w:rFonts w:ascii="Sylfaen" w:hAnsi="Sylfaen"/>
          <w:b w:val="0"/>
          <w:bCs w:val="0"/>
          <w:sz w:val="28"/>
          <w:szCs w:val="28"/>
        </w:rPr>
        <w:t xml:space="preserve">activités </w:t>
      </w:r>
      <w:r w:rsidR="00437B6E">
        <w:rPr>
          <w:rFonts w:ascii="Sylfaen" w:hAnsi="Sylfaen"/>
          <w:b w:val="0"/>
          <w:bCs w:val="0"/>
          <w:sz w:val="28"/>
          <w:szCs w:val="28"/>
        </w:rPr>
        <w:t>tertiaires</w:t>
      </w:r>
      <w:r w:rsidR="00A655D8">
        <w:rPr>
          <w:rFonts w:ascii="Sylfaen" w:hAnsi="Sylfaen"/>
          <w:b w:val="0"/>
          <w:bCs w:val="0"/>
          <w:sz w:val="28"/>
          <w:szCs w:val="28"/>
        </w:rPr>
        <w:t>, à l’exception des secteurs de transport et du tourisme,</w:t>
      </w:r>
      <w:r w:rsidR="00A655D8" w:rsidRPr="00166A9B">
        <w:rPr>
          <w:rFonts w:ascii="Sylfaen" w:hAnsi="Sylfaen"/>
          <w:b w:val="0"/>
          <w:bCs w:val="0"/>
          <w:sz w:val="28"/>
          <w:szCs w:val="28"/>
        </w:rPr>
        <w:t xml:space="preserve"> </w:t>
      </w:r>
      <w:r w:rsidR="00166A9B" w:rsidRPr="00166A9B">
        <w:rPr>
          <w:rFonts w:ascii="Sylfaen" w:hAnsi="Sylfaen"/>
          <w:b w:val="0"/>
          <w:bCs w:val="0"/>
          <w:sz w:val="28"/>
          <w:szCs w:val="28"/>
        </w:rPr>
        <w:t xml:space="preserve">poursuivraient leur tendance haussière, avec des taux de croissance qui se situeraient pratiquement au même niveau que celui </w:t>
      </w:r>
      <w:r w:rsidR="00166A9B">
        <w:rPr>
          <w:rFonts w:ascii="Sylfaen" w:hAnsi="Sylfaen"/>
          <w:b w:val="0"/>
          <w:bCs w:val="0"/>
          <w:sz w:val="28"/>
          <w:szCs w:val="28"/>
        </w:rPr>
        <w:t xml:space="preserve">de l’année </w:t>
      </w:r>
      <w:r w:rsidR="007D162E">
        <w:rPr>
          <w:rFonts w:ascii="Sylfaen" w:hAnsi="Sylfaen"/>
          <w:b w:val="0"/>
          <w:bCs w:val="0"/>
          <w:sz w:val="28"/>
          <w:szCs w:val="28"/>
        </w:rPr>
        <w:t>précédente</w:t>
      </w:r>
      <w:r w:rsidR="00A655D8">
        <w:rPr>
          <w:rFonts w:ascii="Sylfaen" w:hAnsi="Sylfaen"/>
          <w:b w:val="0"/>
          <w:bCs w:val="0"/>
          <w:sz w:val="28"/>
          <w:szCs w:val="28"/>
        </w:rPr>
        <w:t>.</w:t>
      </w:r>
    </w:p>
    <w:p w:rsidR="005518A7" w:rsidRDefault="00437B6E"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Les activités touristiques, qui ont contribué à la croissance économique des dernières années avec des taux de 5% en moyenne durant la période 2007-2014, connaitrai</w:t>
      </w:r>
      <w:r w:rsidR="00247841">
        <w:rPr>
          <w:rFonts w:ascii="Sylfaen" w:hAnsi="Sylfaen"/>
          <w:b w:val="0"/>
          <w:bCs w:val="0"/>
          <w:sz w:val="28"/>
          <w:szCs w:val="28"/>
        </w:rPr>
        <w:t>en</w:t>
      </w:r>
      <w:r>
        <w:rPr>
          <w:rFonts w:ascii="Sylfaen" w:hAnsi="Sylfaen"/>
          <w:b w:val="0"/>
          <w:bCs w:val="0"/>
          <w:sz w:val="28"/>
          <w:szCs w:val="28"/>
        </w:rPr>
        <w:t xml:space="preserve">t </w:t>
      </w:r>
      <w:r w:rsidR="00D810A6" w:rsidRPr="005231B4">
        <w:rPr>
          <w:rFonts w:ascii="Sylfaen" w:hAnsi="Sylfaen"/>
          <w:b w:val="0"/>
          <w:bCs w:val="0"/>
          <w:sz w:val="28"/>
          <w:szCs w:val="28"/>
        </w:rPr>
        <w:t>pour la première fois</w:t>
      </w:r>
      <w:r w:rsidR="00D810A6">
        <w:rPr>
          <w:rFonts w:ascii="Sylfaen" w:hAnsi="Sylfaen"/>
          <w:b w:val="0"/>
          <w:bCs w:val="0"/>
          <w:sz w:val="28"/>
          <w:szCs w:val="28"/>
        </w:rPr>
        <w:t xml:space="preserve"> </w:t>
      </w:r>
      <w:r w:rsidR="00247841">
        <w:rPr>
          <w:rFonts w:ascii="Sylfaen" w:hAnsi="Sylfaen"/>
          <w:b w:val="0"/>
          <w:bCs w:val="0"/>
          <w:sz w:val="28"/>
          <w:szCs w:val="28"/>
        </w:rPr>
        <w:t xml:space="preserve">une </w:t>
      </w:r>
      <w:r>
        <w:rPr>
          <w:rFonts w:ascii="Sylfaen" w:hAnsi="Sylfaen"/>
          <w:b w:val="0"/>
          <w:bCs w:val="0"/>
          <w:sz w:val="28"/>
          <w:szCs w:val="28"/>
        </w:rPr>
        <w:t>baisse de leur valeur ajoutée</w:t>
      </w:r>
      <w:r w:rsidR="00D810A6">
        <w:rPr>
          <w:rFonts w:ascii="Sylfaen" w:hAnsi="Sylfaen"/>
          <w:b w:val="0"/>
          <w:bCs w:val="0"/>
          <w:sz w:val="28"/>
          <w:szCs w:val="28"/>
        </w:rPr>
        <w:t>,</w:t>
      </w:r>
      <w:r>
        <w:rPr>
          <w:rFonts w:ascii="Sylfaen" w:hAnsi="Sylfaen"/>
          <w:b w:val="0"/>
          <w:bCs w:val="0"/>
          <w:sz w:val="28"/>
          <w:szCs w:val="28"/>
        </w:rPr>
        <w:t xml:space="preserve"> de l’ordre de 2,7%</w:t>
      </w:r>
      <w:r w:rsidRPr="005231B4">
        <w:rPr>
          <w:rFonts w:ascii="Sylfaen" w:hAnsi="Sylfaen"/>
          <w:b w:val="0"/>
          <w:bCs w:val="0"/>
          <w:sz w:val="28"/>
          <w:szCs w:val="28"/>
        </w:rPr>
        <w:t>.</w:t>
      </w:r>
    </w:p>
    <w:p w:rsidR="003B5B6A" w:rsidRPr="00E01BDA" w:rsidRDefault="003555E1" w:rsidP="00DD3578">
      <w:pPr>
        <w:widowControl w:val="0"/>
        <w:autoSpaceDE w:val="0"/>
        <w:autoSpaceDN w:val="0"/>
        <w:adjustRightInd w:val="0"/>
        <w:spacing w:before="100" w:beforeAutospacing="1" w:after="100" w:afterAutospacing="1" w:line="276" w:lineRule="auto"/>
        <w:ind w:firstLine="708"/>
        <w:jc w:val="both"/>
        <w:rPr>
          <w:rFonts w:ascii="Sylfaen" w:hAnsi="Sylfaen"/>
          <w:sz w:val="28"/>
          <w:szCs w:val="28"/>
        </w:rPr>
      </w:pPr>
      <w:r w:rsidRPr="00E01BDA">
        <w:rPr>
          <w:rFonts w:ascii="Sylfaen" w:hAnsi="Sylfaen"/>
          <w:sz w:val="28"/>
          <w:szCs w:val="28"/>
        </w:rPr>
        <w:t xml:space="preserve">Dans ces conditions, </w:t>
      </w:r>
      <w:r w:rsidR="00E37DDB">
        <w:rPr>
          <w:rFonts w:ascii="Sylfaen" w:hAnsi="Sylfaen"/>
          <w:sz w:val="28"/>
          <w:szCs w:val="28"/>
        </w:rPr>
        <w:t xml:space="preserve">après une croissance de </w:t>
      </w:r>
      <w:r w:rsidR="00E37DDB" w:rsidRPr="00E01BDA">
        <w:rPr>
          <w:rFonts w:ascii="Sylfaen" w:hAnsi="Sylfaen"/>
          <w:sz w:val="28"/>
          <w:szCs w:val="28"/>
        </w:rPr>
        <w:t>2,4% en 2014</w:t>
      </w:r>
      <w:r w:rsidR="00E37DDB">
        <w:rPr>
          <w:rFonts w:ascii="Sylfaen" w:hAnsi="Sylfaen"/>
          <w:sz w:val="28"/>
          <w:szCs w:val="28"/>
        </w:rPr>
        <w:t xml:space="preserve">, </w:t>
      </w:r>
      <w:r w:rsidRPr="00E01BDA">
        <w:rPr>
          <w:rFonts w:ascii="Sylfaen" w:hAnsi="Sylfaen"/>
          <w:sz w:val="28"/>
          <w:szCs w:val="28"/>
        </w:rPr>
        <w:t>l</w:t>
      </w:r>
      <w:r w:rsidR="00E37DDB">
        <w:rPr>
          <w:rFonts w:ascii="Sylfaen" w:hAnsi="Sylfaen"/>
          <w:sz w:val="28"/>
          <w:szCs w:val="28"/>
        </w:rPr>
        <w:t xml:space="preserve">e Produit Intérieur Brut devrait </w:t>
      </w:r>
      <w:r w:rsidR="00DD3578">
        <w:rPr>
          <w:rFonts w:ascii="Sylfaen" w:hAnsi="Sylfaen"/>
          <w:sz w:val="28"/>
          <w:szCs w:val="28"/>
        </w:rPr>
        <w:t>enregistrer</w:t>
      </w:r>
      <w:r w:rsidR="00E37DDB">
        <w:rPr>
          <w:rFonts w:ascii="Sylfaen" w:hAnsi="Sylfaen"/>
          <w:sz w:val="28"/>
          <w:szCs w:val="28"/>
        </w:rPr>
        <w:t xml:space="preserve"> un accroissement </w:t>
      </w:r>
      <w:r w:rsidR="003B5B6A" w:rsidRPr="00E01BDA">
        <w:rPr>
          <w:rFonts w:ascii="Sylfaen" w:hAnsi="Sylfaen"/>
          <w:sz w:val="28"/>
          <w:szCs w:val="28"/>
        </w:rPr>
        <w:t xml:space="preserve"> </w:t>
      </w:r>
      <w:r w:rsidR="00E37DDB" w:rsidRPr="00E01BDA">
        <w:rPr>
          <w:rFonts w:ascii="Sylfaen" w:hAnsi="Sylfaen"/>
          <w:sz w:val="28"/>
          <w:szCs w:val="28"/>
        </w:rPr>
        <w:t>4,3% en 2015</w:t>
      </w:r>
      <w:r w:rsidR="00E37DDB">
        <w:rPr>
          <w:rFonts w:ascii="Sylfaen" w:hAnsi="Sylfaen"/>
          <w:sz w:val="28"/>
          <w:szCs w:val="28"/>
        </w:rPr>
        <w:t>, et ce co</w:t>
      </w:r>
      <w:r w:rsidR="003B5B6A" w:rsidRPr="00E01BDA">
        <w:rPr>
          <w:rFonts w:ascii="Sylfaen" w:hAnsi="Sylfaen"/>
          <w:sz w:val="28"/>
          <w:szCs w:val="28"/>
        </w:rPr>
        <w:t>mpte tenu d</w:t>
      </w:r>
      <w:r w:rsidR="00E37DDB">
        <w:rPr>
          <w:rFonts w:ascii="Sylfaen" w:hAnsi="Sylfaen"/>
          <w:sz w:val="28"/>
          <w:szCs w:val="28"/>
        </w:rPr>
        <w:t xml:space="preserve">’une </w:t>
      </w:r>
      <w:r w:rsidR="003B5B6A" w:rsidRPr="00E01BDA">
        <w:rPr>
          <w:rFonts w:ascii="Sylfaen" w:hAnsi="Sylfaen"/>
          <w:sz w:val="28"/>
          <w:szCs w:val="28"/>
        </w:rPr>
        <w:t xml:space="preserve">évolution </w:t>
      </w:r>
      <w:r w:rsidR="00DD3578">
        <w:rPr>
          <w:rFonts w:ascii="Sylfaen" w:hAnsi="Sylfaen"/>
          <w:sz w:val="28"/>
          <w:szCs w:val="28"/>
        </w:rPr>
        <w:t>de 8</w:t>
      </w:r>
      <w:r w:rsidR="00E37DDB" w:rsidRPr="00E01BDA">
        <w:rPr>
          <w:rFonts w:ascii="Sylfaen" w:hAnsi="Sylfaen"/>
          <w:sz w:val="28"/>
          <w:szCs w:val="28"/>
        </w:rPr>
        <w:t xml:space="preserve">%, </w:t>
      </w:r>
      <w:r w:rsidR="003B5B6A" w:rsidRPr="00E01BDA">
        <w:rPr>
          <w:rFonts w:ascii="Sylfaen" w:hAnsi="Sylfaen"/>
          <w:sz w:val="28"/>
          <w:szCs w:val="28"/>
        </w:rPr>
        <w:t>des impôts et taxes sur produits nets de subventions</w:t>
      </w:r>
      <w:r w:rsidR="00E37DDB">
        <w:rPr>
          <w:rFonts w:ascii="Sylfaen" w:hAnsi="Sylfaen"/>
          <w:sz w:val="28"/>
          <w:szCs w:val="28"/>
        </w:rPr>
        <w:t>.</w:t>
      </w:r>
    </w:p>
    <w:p w:rsidR="008561CE" w:rsidRPr="00E01BDA" w:rsidRDefault="008561CE"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E01BDA">
        <w:rPr>
          <w:rFonts w:ascii="Sylfaen" w:hAnsi="Sylfaen"/>
          <w:b w:val="0"/>
          <w:bCs w:val="0"/>
          <w:sz w:val="28"/>
          <w:szCs w:val="28"/>
        </w:rPr>
        <w:t>Concernant l’évolution de</w:t>
      </w:r>
      <w:r w:rsidR="00D810A6" w:rsidRPr="00E01BDA">
        <w:rPr>
          <w:rFonts w:ascii="Sylfaen" w:hAnsi="Sylfaen"/>
          <w:b w:val="0"/>
          <w:bCs w:val="0"/>
          <w:sz w:val="28"/>
          <w:szCs w:val="28"/>
        </w:rPr>
        <w:t>s prix intérieurs</w:t>
      </w:r>
      <w:r w:rsidRPr="00E01BDA">
        <w:rPr>
          <w:rFonts w:ascii="Sylfaen" w:hAnsi="Sylfaen"/>
          <w:b w:val="0"/>
          <w:bCs w:val="0"/>
          <w:sz w:val="28"/>
          <w:szCs w:val="28"/>
        </w:rPr>
        <w:t xml:space="preserve">, la baisse des </w:t>
      </w:r>
      <w:r w:rsidR="00D810A6" w:rsidRPr="00E01BDA">
        <w:rPr>
          <w:rFonts w:ascii="Sylfaen" w:hAnsi="Sylfaen"/>
          <w:b w:val="0"/>
          <w:bCs w:val="0"/>
          <w:sz w:val="28"/>
          <w:szCs w:val="28"/>
        </w:rPr>
        <w:t xml:space="preserve">cours </w:t>
      </w:r>
      <w:r w:rsidRPr="00E01BDA">
        <w:rPr>
          <w:rFonts w:ascii="Sylfaen" w:hAnsi="Sylfaen"/>
          <w:b w:val="0"/>
          <w:bCs w:val="0"/>
          <w:sz w:val="28"/>
          <w:szCs w:val="28"/>
        </w:rPr>
        <w:t xml:space="preserve">des produits </w:t>
      </w:r>
      <w:r w:rsidR="007D162E" w:rsidRPr="00E01BDA">
        <w:rPr>
          <w:rFonts w:ascii="Sylfaen" w:hAnsi="Sylfaen"/>
          <w:b w:val="0"/>
          <w:bCs w:val="0"/>
          <w:sz w:val="28"/>
          <w:szCs w:val="28"/>
        </w:rPr>
        <w:t>énergétiques</w:t>
      </w:r>
      <w:r w:rsidRPr="00E01BDA">
        <w:rPr>
          <w:rFonts w:ascii="Sylfaen" w:hAnsi="Sylfaen"/>
          <w:b w:val="0"/>
          <w:bCs w:val="0"/>
          <w:sz w:val="28"/>
          <w:szCs w:val="28"/>
        </w:rPr>
        <w:t xml:space="preserve"> et des autres matières premières au niveau international</w:t>
      </w:r>
      <w:r w:rsidR="00247841">
        <w:rPr>
          <w:rFonts w:ascii="Sylfaen" w:hAnsi="Sylfaen"/>
          <w:b w:val="0"/>
          <w:bCs w:val="0"/>
          <w:sz w:val="28"/>
          <w:szCs w:val="28"/>
        </w:rPr>
        <w:t>,</w:t>
      </w:r>
      <w:r w:rsidRPr="00E01BDA">
        <w:rPr>
          <w:rFonts w:ascii="Sylfaen" w:hAnsi="Sylfaen"/>
          <w:b w:val="0"/>
          <w:bCs w:val="0"/>
          <w:sz w:val="28"/>
          <w:szCs w:val="28"/>
        </w:rPr>
        <w:t xml:space="preserve"> contribuerait à la modération de l’inflation importée. </w:t>
      </w:r>
      <w:r w:rsidR="00D810A6" w:rsidRPr="00E01BDA">
        <w:rPr>
          <w:rFonts w:ascii="Sylfaen" w:hAnsi="Sylfaen"/>
          <w:b w:val="0"/>
          <w:bCs w:val="0"/>
          <w:sz w:val="28"/>
          <w:szCs w:val="28"/>
        </w:rPr>
        <w:t>De ce fait</w:t>
      </w:r>
      <w:r w:rsidRPr="00E01BDA">
        <w:rPr>
          <w:rFonts w:ascii="Sylfaen" w:hAnsi="Sylfaen"/>
          <w:b w:val="0"/>
          <w:bCs w:val="0"/>
          <w:sz w:val="28"/>
          <w:szCs w:val="28"/>
        </w:rPr>
        <w:t xml:space="preserve">, la hausse du niveau général des prix </w:t>
      </w:r>
      <w:r w:rsidR="00247841">
        <w:rPr>
          <w:rFonts w:ascii="Sylfaen" w:hAnsi="Sylfaen"/>
          <w:b w:val="0"/>
          <w:bCs w:val="0"/>
          <w:sz w:val="28"/>
          <w:szCs w:val="28"/>
        </w:rPr>
        <w:t>resterait modér</w:t>
      </w:r>
      <w:r w:rsidR="00DD3578">
        <w:rPr>
          <w:rFonts w:ascii="Sylfaen" w:hAnsi="Sylfaen"/>
          <w:b w:val="0"/>
          <w:bCs w:val="0"/>
          <w:sz w:val="28"/>
          <w:szCs w:val="28"/>
        </w:rPr>
        <w:t>ée</w:t>
      </w:r>
      <w:r w:rsidR="00247841">
        <w:rPr>
          <w:rFonts w:ascii="Sylfaen" w:hAnsi="Sylfaen"/>
          <w:b w:val="0"/>
          <w:bCs w:val="0"/>
          <w:sz w:val="28"/>
          <w:szCs w:val="28"/>
        </w:rPr>
        <w:t xml:space="preserve"> et </w:t>
      </w:r>
      <w:r w:rsidR="00D810A6" w:rsidRPr="00E01BDA">
        <w:rPr>
          <w:rFonts w:ascii="Sylfaen" w:hAnsi="Sylfaen"/>
          <w:b w:val="0"/>
          <w:bCs w:val="0"/>
          <w:sz w:val="28"/>
          <w:szCs w:val="28"/>
        </w:rPr>
        <w:t xml:space="preserve">se </w:t>
      </w:r>
      <w:r w:rsidRPr="00E01BDA">
        <w:rPr>
          <w:rFonts w:ascii="Sylfaen" w:hAnsi="Sylfaen"/>
          <w:b w:val="0"/>
          <w:bCs w:val="0"/>
          <w:sz w:val="28"/>
          <w:szCs w:val="28"/>
        </w:rPr>
        <w:t>situe</w:t>
      </w:r>
      <w:r w:rsidR="00247841">
        <w:rPr>
          <w:rFonts w:ascii="Sylfaen" w:hAnsi="Sylfaen"/>
          <w:b w:val="0"/>
          <w:bCs w:val="0"/>
          <w:sz w:val="28"/>
          <w:szCs w:val="28"/>
        </w:rPr>
        <w:t>rait</w:t>
      </w:r>
      <w:r w:rsidRPr="00E01BDA">
        <w:rPr>
          <w:rFonts w:ascii="Sylfaen" w:hAnsi="Sylfaen"/>
          <w:b w:val="0"/>
          <w:bCs w:val="0"/>
          <w:sz w:val="28"/>
          <w:szCs w:val="28"/>
        </w:rPr>
        <w:t xml:space="preserve"> aux alentours de </w:t>
      </w:r>
      <w:r w:rsidR="00DD3578">
        <w:rPr>
          <w:rFonts w:ascii="Sylfaen" w:hAnsi="Sylfaen"/>
          <w:b w:val="0"/>
          <w:bCs w:val="0"/>
          <w:sz w:val="28"/>
          <w:szCs w:val="28"/>
        </w:rPr>
        <w:t>1</w:t>
      </w:r>
      <w:r w:rsidRPr="00E01BDA">
        <w:rPr>
          <w:rFonts w:ascii="Sylfaen" w:hAnsi="Sylfaen"/>
          <w:b w:val="0"/>
          <w:bCs w:val="0"/>
          <w:sz w:val="28"/>
          <w:szCs w:val="28"/>
        </w:rPr>
        <w:t xml:space="preserve">% au lieu de 0,2% enregistré en 2014. </w:t>
      </w:r>
    </w:p>
    <w:p w:rsidR="008561CE" w:rsidRDefault="008561CE" w:rsidP="00264BF9">
      <w:pPr>
        <w:ind w:left="708" w:right="-110"/>
        <w:jc w:val="both"/>
        <w:rPr>
          <w:color w:val="0000FF"/>
          <w:sz w:val="28"/>
          <w:szCs w:val="28"/>
        </w:rPr>
      </w:pPr>
    </w:p>
    <w:p w:rsidR="00264BF9" w:rsidRPr="00170CD9" w:rsidRDefault="00264BF9" w:rsidP="00264BF9">
      <w:pPr>
        <w:ind w:left="708" w:right="-110"/>
        <w:jc w:val="both"/>
        <w:rPr>
          <w:color w:val="0000FF"/>
          <w:sz w:val="28"/>
          <w:szCs w:val="28"/>
          <w:rtl/>
        </w:rPr>
      </w:pPr>
      <w:r>
        <w:rPr>
          <w:color w:val="0000FF"/>
          <w:sz w:val="28"/>
          <w:szCs w:val="28"/>
        </w:rPr>
        <w:t>2.2</w:t>
      </w:r>
      <w:r w:rsidRPr="00170CD9">
        <w:rPr>
          <w:color w:val="0000FF"/>
          <w:sz w:val="28"/>
          <w:szCs w:val="28"/>
        </w:rPr>
        <w:t xml:space="preserve">. </w:t>
      </w:r>
      <w:r>
        <w:rPr>
          <w:color w:val="0000FF"/>
          <w:sz w:val="28"/>
          <w:szCs w:val="28"/>
        </w:rPr>
        <w:t>Composantes du PIB</w:t>
      </w:r>
    </w:p>
    <w:p w:rsidR="007D5DE3" w:rsidRDefault="007D5DE3" w:rsidP="00247841">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5231B4">
        <w:rPr>
          <w:rFonts w:ascii="Sylfaen" w:hAnsi="Sylfaen"/>
          <w:b w:val="0"/>
          <w:bCs w:val="0"/>
          <w:sz w:val="28"/>
          <w:szCs w:val="28"/>
        </w:rPr>
        <w:t xml:space="preserve">La demande intérieure </w:t>
      </w:r>
      <w:r w:rsidR="00247841">
        <w:rPr>
          <w:rFonts w:ascii="Sylfaen" w:hAnsi="Sylfaen"/>
          <w:b w:val="0"/>
          <w:bCs w:val="0"/>
          <w:sz w:val="28"/>
          <w:szCs w:val="28"/>
        </w:rPr>
        <w:t>continuerait</w:t>
      </w:r>
      <w:r w:rsidR="00205C78">
        <w:rPr>
          <w:rFonts w:ascii="Sylfaen" w:hAnsi="Sylfaen"/>
          <w:b w:val="0"/>
          <w:bCs w:val="0"/>
          <w:sz w:val="28"/>
          <w:szCs w:val="28"/>
        </w:rPr>
        <w:t xml:space="preserve"> en 2015 </w:t>
      </w:r>
      <w:r w:rsidRPr="005231B4">
        <w:rPr>
          <w:rFonts w:ascii="Sylfaen" w:hAnsi="Sylfaen"/>
          <w:b w:val="0"/>
          <w:bCs w:val="0"/>
          <w:sz w:val="28"/>
          <w:szCs w:val="28"/>
        </w:rPr>
        <w:t xml:space="preserve">de soutenir la croissance économique nationale, avec une contribution </w:t>
      </w:r>
      <w:r w:rsidR="00EA493A" w:rsidRPr="005231B4">
        <w:rPr>
          <w:rFonts w:ascii="Sylfaen" w:hAnsi="Sylfaen"/>
          <w:b w:val="0"/>
          <w:bCs w:val="0"/>
          <w:sz w:val="28"/>
          <w:szCs w:val="28"/>
        </w:rPr>
        <w:t xml:space="preserve">plus </w:t>
      </w:r>
      <w:r w:rsidR="002339FC" w:rsidRPr="005231B4">
        <w:rPr>
          <w:rFonts w:ascii="Sylfaen" w:hAnsi="Sylfaen"/>
          <w:b w:val="0"/>
          <w:bCs w:val="0"/>
          <w:sz w:val="28"/>
          <w:szCs w:val="28"/>
        </w:rPr>
        <w:t>importante</w:t>
      </w:r>
      <w:r w:rsidRPr="005231B4">
        <w:rPr>
          <w:rFonts w:ascii="Sylfaen" w:hAnsi="Sylfaen"/>
          <w:b w:val="0"/>
          <w:bCs w:val="0"/>
          <w:sz w:val="28"/>
          <w:szCs w:val="28"/>
        </w:rPr>
        <w:t xml:space="preserve"> qu’en 201</w:t>
      </w:r>
      <w:r w:rsidR="002339FC" w:rsidRPr="005231B4">
        <w:rPr>
          <w:rFonts w:ascii="Sylfaen" w:hAnsi="Sylfaen"/>
          <w:b w:val="0"/>
          <w:bCs w:val="0"/>
          <w:sz w:val="28"/>
          <w:szCs w:val="28"/>
        </w:rPr>
        <w:t>4</w:t>
      </w:r>
      <w:r w:rsidRPr="005231B4">
        <w:rPr>
          <w:rFonts w:ascii="Sylfaen" w:hAnsi="Sylfaen"/>
          <w:b w:val="0"/>
          <w:bCs w:val="0"/>
          <w:sz w:val="28"/>
          <w:szCs w:val="28"/>
        </w:rPr>
        <w:t xml:space="preserve">. Quant à la demande extérieure nette, sa contribution à la croissance du PIB devrait rester </w:t>
      </w:r>
      <w:r w:rsidR="00143F9D" w:rsidRPr="005231B4">
        <w:rPr>
          <w:rFonts w:ascii="Sylfaen" w:hAnsi="Sylfaen"/>
          <w:b w:val="0"/>
          <w:bCs w:val="0"/>
          <w:sz w:val="28"/>
          <w:szCs w:val="28"/>
        </w:rPr>
        <w:t>positive</w:t>
      </w:r>
      <w:r w:rsidRPr="005231B4">
        <w:rPr>
          <w:rFonts w:ascii="Sylfaen" w:hAnsi="Sylfaen"/>
          <w:b w:val="0"/>
          <w:bCs w:val="0"/>
          <w:sz w:val="28"/>
          <w:szCs w:val="28"/>
        </w:rPr>
        <w:t xml:space="preserve"> en 201</w:t>
      </w:r>
      <w:r w:rsidR="00A96814">
        <w:rPr>
          <w:rFonts w:ascii="Sylfaen" w:hAnsi="Sylfaen"/>
          <w:b w:val="0"/>
          <w:bCs w:val="0"/>
          <w:sz w:val="28"/>
          <w:szCs w:val="28"/>
        </w:rPr>
        <w:t>5</w:t>
      </w:r>
      <w:r w:rsidRPr="005231B4">
        <w:rPr>
          <w:rFonts w:ascii="Sylfaen" w:hAnsi="Sylfaen"/>
          <w:b w:val="0"/>
          <w:bCs w:val="0"/>
          <w:sz w:val="28"/>
          <w:szCs w:val="28"/>
        </w:rPr>
        <w:t xml:space="preserve">, </w:t>
      </w:r>
      <w:r w:rsidR="00143F9D" w:rsidRPr="005231B4">
        <w:rPr>
          <w:rFonts w:ascii="Sylfaen" w:hAnsi="Sylfaen"/>
          <w:b w:val="0"/>
          <w:bCs w:val="0"/>
          <w:sz w:val="28"/>
          <w:szCs w:val="28"/>
        </w:rPr>
        <w:t xml:space="preserve">suite à une augmentation des exportations </w:t>
      </w:r>
      <w:r w:rsidR="00A96814">
        <w:rPr>
          <w:rFonts w:ascii="Sylfaen" w:hAnsi="Sylfaen"/>
          <w:b w:val="0"/>
          <w:bCs w:val="0"/>
          <w:sz w:val="28"/>
          <w:szCs w:val="28"/>
        </w:rPr>
        <w:t xml:space="preserve"> </w:t>
      </w:r>
      <w:r w:rsidR="00143F9D" w:rsidRPr="005231B4">
        <w:rPr>
          <w:rFonts w:ascii="Sylfaen" w:hAnsi="Sylfaen"/>
          <w:b w:val="0"/>
          <w:bCs w:val="0"/>
          <w:sz w:val="28"/>
          <w:szCs w:val="28"/>
        </w:rPr>
        <w:t>plus importante que celle des importations</w:t>
      </w:r>
      <w:r w:rsidRPr="005231B4">
        <w:rPr>
          <w:rFonts w:ascii="Sylfaen" w:hAnsi="Sylfaen"/>
          <w:b w:val="0"/>
          <w:bCs w:val="0"/>
          <w:sz w:val="28"/>
          <w:szCs w:val="28"/>
        </w:rPr>
        <w:t>.</w:t>
      </w:r>
    </w:p>
    <w:p w:rsidR="00946E39" w:rsidRDefault="00A934AD"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bookmarkStart w:id="0" w:name="_Toc328056272"/>
      <w:bookmarkStart w:id="1" w:name="_Toc328056526"/>
      <w:bookmarkStart w:id="2" w:name="_Toc202419673"/>
      <w:r w:rsidRPr="005231B4">
        <w:rPr>
          <w:rFonts w:ascii="Sylfaen" w:hAnsi="Sylfaen"/>
          <w:b w:val="0"/>
          <w:bCs w:val="0"/>
          <w:sz w:val="28"/>
          <w:szCs w:val="28"/>
        </w:rPr>
        <w:t xml:space="preserve">La consommation des ménages résidents, bien qu’elle soit en ralentissement par rapport aux années </w:t>
      </w:r>
      <w:r w:rsidR="00DF09FB" w:rsidRPr="005231B4">
        <w:rPr>
          <w:rFonts w:ascii="Sylfaen" w:hAnsi="Sylfaen"/>
          <w:b w:val="0"/>
          <w:bCs w:val="0"/>
          <w:sz w:val="28"/>
          <w:szCs w:val="28"/>
        </w:rPr>
        <w:t>précédentes</w:t>
      </w:r>
      <w:r w:rsidRPr="005231B4">
        <w:rPr>
          <w:rFonts w:ascii="Sylfaen" w:hAnsi="Sylfaen"/>
          <w:b w:val="0"/>
          <w:bCs w:val="0"/>
          <w:sz w:val="28"/>
          <w:szCs w:val="28"/>
        </w:rPr>
        <w:t xml:space="preserve">,  </w:t>
      </w:r>
      <w:r w:rsidR="00A445BC" w:rsidRPr="005231B4">
        <w:rPr>
          <w:rFonts w:ascii="Sylfaen" w:hAnsi="Sylfaen"/>
          <w:b w:val="0"/>
          <w:bCs w:val="0"/>
          <w:sz w:val="28"/>
          <w:szCs w:val="28"/>
        </w:rPr>
        <w:t xml:space="preserve">resterait </w:t>
      </w:r>
      <w:r w:rsidR="00946E39">
        <w:rPr>
          <w:rFonts w:ascii="Sylfaen" w:hAnsi="Sylfaen"/>
          <w:b w:val="0"/>
          <w:bCs w:val="0"/>
          <w:sz w:val="28"/>
          <w:szCs w:val="28"/>
        </w:rPr>
        <w:t>le moteur</w:t>
      </w:r>
      <w:r w:rsidR="00A445BC" w:rsidRPr="005231B4">
        <w:rPr>
          <w:rFonts w:ascii="Sylfaen" w:hAnsi="Sylfaen"/>
          <w:b w:val="0"/>
          <w:bCs w:val="0"/>
          <w:sz w:val="28"/>
          <w:szCs w:val="28"/>
        </w:rPr>
        <w:t xml:space="preserve"> de </w:t>
      </w:r>
      <w:r w:rsidRPr="005231B4">
        <w:rPr>
          <w:rFonts w:ascii="Sylfaen" w:hAnsi="Sylfaen"/>
          <w:b w:val="0"/>
          <w:bCs w:val="0"/>
          <w:sz w:val="28"/>
          <w:szCs w:val="28"/>
        </w:rPr>
        <w:t>la croissance nationale</w:t>
      </w:r>
      <w:r w:rsidR="00205C78">
        <w:rPr>
          <w:rFonts w:ascii="Sylfaen" w:hAnsi="Sylfaen"/>
          <w:b w:val="0"/>
          <w:bCs w:val="0"/>
          <w:sz w:val="28"/>
          <w:szCs w:val="28"/>
        </w:rPr>
        <w:t>,</w:t>
      </w:r>
      <w:r w:rsidR="00A445BC" w:rsidRPr="005231B4">
        <w:rPr>
          <w:rFonts w:ascii="Sylfaen" w:hAnsi="Sylfaen"/>
          <w:b w:val="0"/>
          <w:bCs w:val="0"/>
          <w:sz w:val="28"/>
          <w:szCs w:val="28"/>
        </w:rPr>
        <w:t xml:space="preserve"> avec </w:t>
      </w:r>
      <w:r w:rsidRPr="005231B4">
        <w:rPr>
          <w:rFonts w:ascii="Sylfaen" w:hAnsi="Sylfaen"/>
          <w:b w:val="0"/>
          <w:bCs w:val="0"/>
          <w:sz w:val="28"/>
          <w:szCs w:val="28"/>
        </w:rPr>
        <w:t xml:space="preserve">un rythme en </w:t>
      </w:r>
      <w:r w:rsidR="00DF09FB" w:rsidRPr="005231B4">
        <w:rPr>
          <w:rFonts w:ascii="Sylfaen" w:hAnsi="Sylfaen"/>
          <w:b w:val="0"/>
          <w:bCs w:val="0"/>
          <w:sz w:val="28"/>
          <w:szCs w:val="28"/>
        </w:rPr>
        <w:t>légère</w:t>
      </w:r>
      <w:r w:rsidRPr="005231B4">
        <w:rPr>
          <w:rFonts w:ascii="Sylfaen" w:hAnsi="Sylfaen"/>
          <w:b w:val="0"/>
          <w:bCs w:val="0"/>
          <w:sz w:val="28"/>
          <w:szCs w:val="28"/>
        </w:rPr>
        <w:t xml:space="preserve"> </w:t>
      </w:r>
      <w:r w:rsidR="00DF09FB" w:rsidRPr="005231B4">
        <w:rPr>
          <w:rFonts w:ascii="Sylfaen" w:hAnsi="Sylfaen"/>
          <w:b w:val="0"/>
          <w:bCs w:val="0"/>
          <w:sz w:val="28"/>
          <w:szCs w:val="28"/>
        </w:rPr>
        <w:t>amélioration</w:t>
      </w:r>
      <w:r w:rsidRPr="005231B4">
        <w:rPr>
          <w:rFonts w:ascii="Sylfaen" w:hAnsi="Sylfaen"/>
          <w:b w:val="0"/>
          <w:bCs w:val="0"/>
          <w:sz w:val="28"/>
          <w:szCs w:val="28"/>
        </w:rPr>
        <w:t xml:space="preserve"> </w:t>
      </w:r>
      <w:r w:rsidR="00D33532" w:rsidRPr="005231B4">
        <w:rPr>
          <w:rFonts w:ascii="Sylfaen" w:hAnsi="Sylfaen"/>
          <w:b w:val="0"/>
          <w:bCs w:val="0"/>
          <w:sz w:val="28"/>
          <w:szCs w:val="28"/>
        </w:rPr>
        <w:t xml:space="preserve">par rapport </w:t>
      </w:r>
      <w:r w:rsidR="001F3E18">
        <w:rPr>
          <w:rFonts w:ascii="Sylfaen" w:hAnsi="Sylfaen"/>
          <w:b w:val="0"/>
          <w:bCs w:val="0"/>
          <w:sz w:val="28"/>
          <w:szCs w:val="28"/>
        </w:rPr>
        <w:t xml:space="preserve">à l’année précédente. La </w:t>
      </w:r>
      <w:r w:rsidR="00E97061">
        <w:rPr>
          <w:rFonts w:ascii="Sylfaen" w:hAnsi="Sylfaen"/>
          <w:b w:val="0"/>
          <w:bCs w:val="0"/>
          <w:sz w:val="28"/>
          <w:szCs w:val="28"/>
        </w:rPr>
        <w:t>consolidation</w:t>
      </w:r>
      <w:r w:rsidRPr="005231B4">
        <w:rPr>
          <w:rFonts w:ascii="Sylfaen" w:hAnsi="Sylfaen"/>
          <w:b w:val="0"/>
          <w:bCs w:val="0"/>
          <w:sz w:val="28"/>
          <w:szCs w:val="28"/>
        </w:rPr>
        <w:t xml:space="preserve"> </w:t>
      </w:r>
      <w:r w:rsidR="00E37DDB">
        <w:rPr>
          <w:rFonts w:ascii="Sylfaen" w:hAnsi="Sylfaen"/>
          <w:b w:val="0"/>
          <w:bCs w:val="0"/>
          <w:sz w:val="28"/>
          <w:szCs w:val="28"/>
        </w:rPr>
        <w:t>du pouvoir d’achat des ménages a été</w:t>
      </w:r>
      <w:r w:rsidR="00E97061">
        <w:rPr>
          <w:rFonts w:ascii="Sylfaen" w:hAnsi="Sylfaen"/>
          <w:b w:val="0"/>
          <w:bCs w:val="0"/>
          <w:sz w:val="28"/>
          <w:szCs w:val="28"/>
        </w:rPr>
        <w:t xml:space="preserve"> confortée par la progression </w:t>
      </w:r>
      <w:r w:rsidR="00D33532" w:rsidRPr="005231B4">
        <w:rPr>
          <w:rFonts w:ascii="Sylfaen" w:hAnsi="Sylfaen"/>
          <w:b w:val="0"/>
          <w:bCs w:val="0"/>
          <w:sz w:val="28"/>
          <w:szCs w:val="28"/>
        </w:rPr>
        <w:t>des</w:t>
      </w:r>
      <w:r w:rsidRPr="005231B4">
        <w:rPr>
          <w:rFonts w:ascii="Sylfaen" w:hAnsi="Sylfaen"/>
          <w:b w:val="0"/>
          <w:bCs w:val="0"/>
          <w:sz w:val="28"/>
          <w:szCs w:val="28"/>
        </w:rPr>
        <w:t xml:space="preserve"> revenus </w:t>
      </w:r>
      <w:r w:rsidR="00D33532" w:rsidRPr="005231B4">
        <w:rPr>
          <w:rFonts w:ascii="Sylfaen" w:hAnsi="Sylfaen"/>
          <w:b w:val="0"/>
          <w:bCs w:val="0"/>
          <w:sz w:val="28"/>
          <w:szCs w:val="28"/>
        </w:rPr>
        <w:t>ruraux</w:t>
      </w:r>
      <w:r w:rsidR="00E97061">
        <w:rPr>
          <w:rFonts w:ascii="Sylfaen" w:hAnsi="Sylfaen"/>
          <w:b w:val="0"/>
          <w:bCs w:val="0"/>
          <w:sz w:val="28"/>
          <w:szCs w:val="28"/>
        </w:rPr>
        <w:t xml:space="preserve"> et par l’amélioration </w:t>
      </w:r>
      <w:r w:rsidR="00DF09FB" w:rsidRPr="005231B4">
        <w:rPr>
          <w:rFonts w:ascii="Sylfaen" w:hAnsi="Sylfaen"/>
          <w:b w:val="0"/>
          <w:bCs w:val="0"/>
          <w:sz w:val="28"/>
          <w:szCs w:val="28"/>
        </w:rPr>
        <w:t>prévisible</w:t>
      </w:r>
      <w:r w:rsidR="00150E84" w:rsidRPr="005231B4">
        <w:rPr>
          <w:rFonts w:ascii="Sylfaen" w:hAnsi="Sylfaen"/>
          <w:b w:val="0"/>
          <w:bCs w:val="0"/>
          <w:sz w:val="28"/>
          <w:szCs w:val="28"/>
        </w:rPr>
        <w:t xml:space="preserve"> </w:t>
      </w:r>
      <w:r w:rsidRPr="005231B4">
        <w:rPr>
          <w:rFonts w:ascii="Sylfaen" w:hAnsi="Sylfaen"/>
          <w:b w:val="0"/>
          <w:bCs w:val="0"/>
          <w:sz w:val="28"/>
          <w:szCs w:val="28"/>
        </w:rPr>
        <w:t>des revenus extérieurs</w:t>
      </w:r>
      <w:r w:rsidR="00205C78">
        <w:rPr>
          <w:rFonts w:ascii="Sylfaen" w:hAnsi="Sylfaen"/>
          <w:b w:val="0"/>
          <w:bCs w:val="0"/>
          <w:sz w:val="28"/>
          <w:szCs w:val="28"/>
        </w:rPr>
        <w:t>,</w:t>
      </w:r>
      <w:r w:rsidR="00D33532" w:rsidRPr="005231B4">
        <w:rPr>
          <w:rFonts w:ascii="Sylfaen" w:hAnsi="Sylfaen"/>
          <w:b w:val="0"/>
          <w:bCs w:val="0"/>
          <w:sz w:val="28"/>
          <w:szCs w:val="28"/>
        </w:rPr>
        <w:t xml:space="preserve"> en particulier des MRE</w:t>
      </w:r>
      <w:r w:rsidR="00A445BC" w:rsidRPr="005231B4">
        <w:rPr>
          <w:rFonts w:ascii="Sylfaen" w:hAnsi="Sylfaen"/>
          <w:b w:val="0"/>
          <w:bCs w:val="0"/>
          <w:sz w:val="28"/>
          <w:szCs w:val="28"/>
        </w:rPr>
        <w:t xml:space="preserve"> d’environ 5%</w:t>
      </w:r>
      <w:r w:rsidR="00E37DDB">
        <w:rPr>
          <w:rFonts w:ascii="Sylfaen" w:hAnsi="Sylfaen"/>
          <w:b w:val="0"/>
          <w:bCs w:val="0"/>
          <w:sz w:val="28"/>
          <w:szCs w:val="28"/>
        </w:rPr>
        <w:t>. Dans ces conditions</w:t>
      </w:r>
      <w:r w:rsidR="00E97061">
        <w:rPr>
          <w:rFonts w:ascii="Sylfaen" w:hAnsi="Sylfaen"/>
          <w:b w:val="0"/>
          <w:bCs w:val="0"/>
          <w:sz w:val="28"/>
          <w:szCs w:val="28"/>
        </w:rPr>
        <w:t xml:space="preserve">, </w:t>
      </w:r>
      <w:r w:rsidRPr="005231B4">
        <w:rPr>
          <w:rFonts w:ascii="Sylfaen" w:hAnsi="Sylfaen"/>
          <w:b w:val="0"/>
          <w:bCs w:val="0"/>
          <w:sz w:val="28"/>
          <w:szCs w:val="28"/>
        </w:rPr>
        <w:t xml:space="preserve">la consommation </w:t>
      </w:r>
      <w:r w:rsidR="00150E84" w:rsidRPr="005231B4">
        <w:rPr>
          <w:rFonts w:ascii="Sylfaen" w:hAnsi="Sylfaen"/>
          <w:b w:val="0"/>
          <w:bCs w:val="0"/>
          <w:sz w:val="28"/>
          <w:szCs w:val="28"/>
        </w:rPr>
        <w:t>finale</w:t>
      </w:r>
      <w:r w:rsidR="00E37DDB">
        <w:rPr>
          <w:rFonts w:ascii="Sylfaen" w:hAnsi="Sylfaen"/>
          <w:b w:val="0"/>
          <w:bCs w:val="0"/>
          <w:sz w:val="28"/>
          <w:szCs w:val="28"/>
        </w:rPr>
        <w:t xml:space="preserve"> </w:t>
      </w:r>
      <w:r w:rsidR="00DD3578">
        <w:rPr>
          <w:rFonts w:ascii="Sylfaen" w:hAnsi="Sylfaen"/>
          <w:b w:val="0"/>
          <w:bCs w:val="0"/>
          <w:sz w:val="28"/>
          <w:szCs w:val="28"/>
        </w:rPr>
        <w:t xml:space="preserve">des ménages </w:t>
      </w:r>
      <w:r w:rsidR="00E37DDB">
        <w:rPr>
          <w:rFonts w:ascii="Sylfaen" w:hAnsi="Sylfaen"/>
          <w:b w:val="0"/>
          <w:bCs w:val="0"/>
          <w:sz w:val="28"/>
          <w:szCs w:val="28"/>
        </w:rPr>
        <w:t xml:space="preserve">devrait s’accroitre de </w:t>
      </w:r>
      <w:r w:rsidR="009F749C">
        <w:rPr>
          <w:rFonts w:ascii="Sylfaen" w:hAnsi="Sylfaen"/>
          <w:b w:val="0"/>
          <w:bCs w:val="0"/>
          <w:sz w:val="28"/>
          <w:szCs w:val="28"/>
        </w:rPr>
        <w:t xml:space="preserve">3,2%, soit le même taux que l’année précédente. </w:t>
      </w:r>
      <w:r w:rsidR="00E37DDB">
        <w:rPr>
          <w:rFonts w:ascii="Sylfaen" w:hAnsi="Sylfaen"/>
          <w:b w:val="0"/>
          <w:bCs w:val="0"/>
          <w:sz w:val="28"/>
          <w:szCs w:val="28"/>
        </w:rPr>
        <w:t>Au total, s</w:t>
      </w:r>
      <w:r w:rsidR="009F749C" w:rsidRPr="009F749C">
        <w:rPr>
          <w:rFonts w:ascii="Sylfaen" w:hAnsi="Sylfaen"/>
          <w:b w:val="0"/>
          <w:bCs w:val="0"/>
          <w:sz w:val="28"/>
          <w:szCs w:val="28"/>
        </w:rPr>
        <w:t xml:space="preserve">a contribution à la croissance serait </w:t>
      </w:r>
      <w:r w:rsidR="00DD3578">
        <w:rPr>
          <w:rFonts w:ascii="Sylfaen" w:hAnsi="Sylfaen"/>
          <w:b w:val="0"/>
          <w:bCs w:val="0"/>
          <w:sz w:val="28"/>
          <w:szCs w:val="28"/>
        </w:rPr>
        <w:t xml:space="preserve">maintenue à </w:t>
      </w:r>
      <w:r w:rsidR="009F749C">
        <w:rPr>
          <w:rFonts w:ascii="Sylfaen" w:hAnsi="Sylfaen"/>
          <w:b w:val="0"/>
          <w:bCs w:val="0"/>
          <w:sz w:val="28"/>
          <w:szCs w:val="28"/>
        </w:rPr>
        <w:t xml:space="preserve"> </w:t>
      </w:r>
      <w:r w:rsidR="00DD3578">
        <w:rPr>
          <w:rFonts w:ascii="Sylfaen" w:hAnsi="Sylfaen"/>
          <w:b w:val="0"/>
          <w:bCs w:val="0"/>
          <w:sz w:val="28"/>
          <w:szCs w:val="28"/>
        </w:rPr>
        <w:t>1,9 point</w:t>
      </w:r>
      <w:r w:rsidR="009F749C" w:rsidRPr="009F749C">
        <w:rPr>
          <w:rFonts w:ascii="Sylfaen" w:hAnsi="Sylfaen"/>
          <w:b w:val="0"/>
          <w:bCs w:val="0"/>
          <w:sz w:val="28"/>
          <w:szCs w:val="28"/>
        </w:rPr>
        <w:t>.</w:t>
      </w:r>
    </w:p>
    <w:p w:rsidR="009F749C" w:rsidRDefault="00F40517"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De s</w:t>
      </w:r>
      <w:r w:rsidR="00E37DDB">
        <w:rPr>
          <w:rFonts w:ascii="Sylfaen" w:hAnsi="Sylfaen"/>
          <w:b w:val="0"/>
          <w:bCs w:val="0"/>
          <w:sz w:val="28"/>
          <w:szCs w:val="28"/>
        </w:rPr>
        <w:t>on côté</w:t>
      </w:r>
      <w:r w:rsidR="00A934AD" w:rsidRPr="005231B4">
        <w:rPr>
          <w:rFonts w:ascii="Sylfaen" w:hAnsi="Sylfaen"/>
          <w:b w:val="0"/>
          <w:bCs w:val="0"/>
          <w:sz w:val="28"/>
          <w:szCs w:val="28"/>
        </w:rPr>
        <w:t xml:space="preserve">, la consommation publique </w:t>
      </w:r>
      <w:r>
        <w:rPr>
          <w:rFonts w:ascii="Sylfaen" w:hAnsi="Sylfaen"/>
          <w:b w:val="0"/>
          <w:bCs w:val="0"/>
          <w:sz w:val="28"/>
          <w:szCs w:val="28"/>
        </w:rPr>
        <w:t>devrait enregistrer</w:t>
      </w:r>
      <w:r w:rsidR="009F749C">
        <w:rPr>
          <w:rFonts w:ascii="Sylfaen" w:hAnsi="Sylfaen"/>
          <w:b w:val="0"/>
          <w:bCs w:val="0"/>
          <w:sz w:val="28"/>
          <w:szCs w:val="28"/>
        </w:rPr>
        <w:t xml:space="preserve"> une amélioration </w:t>
      </w:r>
      <w:r w:rsidR="00A934AD" w:rsidRPr="005231B4">
        <w:rPr>
          <w:rFonts w:ascii="Sylfaen" w:hAnsi="Sylfaen"/>
          <w:b w:val="0"/>
          <w:bCs w:val="0"/>
          <w:sz w:val="28"/>
          <w:szCs w:val="28"/>
        </w:rPr>
        <w:t>sensible</w:t>
      </w:r>
      <w:r w:rsidR="009F749C">
        <w:rPr>
          <w:rFonts w:ascii="Sylfaen" w:hAnsi="Sylfaen"/>
          <w:b w:val="0"/>
          <w:bCs w:val="0"/>
          <w:sz w:val="28"/>
          <w:szCs w:val="28"/>
        </w:rPr>
        <w:t xml:space="preserve"> </w:t>
      </w:r>
      <w:r w:rsidR="00C24AFB" w:rsidRPr="005231B4">
        <w:rPr>
          <w:rFonts w:ascii="Sylfaen" w:hAnsi="Sylfaen"/>
          <w:b w:val="0"/>
          <w:bCs w:val="0"/>
          <w:sz w:val="28"/>
          <w:szCs w:val="28"/>
        </w:rPr>
        <w:t>de 4,</w:t>
      </w:r>
      <w:r w:rsidR="00DD3578">
        <w:rPr>
          <w:rFonts w:ascii="Sylfaen" w:hAnsi="Sylfaen"/>
          <w:b w:val="0"/>
          <w:bCs w:val="0"/>
          <w:sz w:val="28"/>
          <w:szCs w:val="28"/>
        </w:rPr>
        <w:t>2</w:t>
      </w:r>
      <w:r w:rsidR="00C24AFB" w:rsidRPr="005231B4">
        <w:rPr>
          <w:rFonts w:ascii="Sylfaen" w:hAnsi="Sylfaen"/>
          <w:b w:val="0"/>
          <w:bCs w:val="0"/>
          <w:sz w:val="28"/>
          <w:szCs w:val="28"/>
        </w:rPr>
        <w:t xml:space="preserve">% </w:t>
      </w:r>
      <w:r w:rsidR="005518A7" w:rsidRPr="005231B4">
        <w:rPr>
          <w:rFonts w:ascii="Sylfaen" w:hAnsi="Sylfaen"/>
          <w:b w:val="0"/>
          <w:bCs w:val="0"/>
          <w:sz w:val="28"/>
          <w:szCs w:val="28"/>
        </w:rPr>
        <w:t xml:space="preserve">au lieu de </w:t>
      </w:r>
      <w:r w:rsidR="00DD3578">
        <w:rPr>
          <w:rFonts w:ascii="Sylfaen" w:hAnsi="Sylfaen"/>
          <w:b w:val="0"/>
          <w:bCs w:val="0"/>
          <w:sz w:val="28"/>
          <w:szCs w:val="28"/>
        </w:rPr>
        <w:t>1</w:t>
      </w:r>
      <w:r w:rsidR="005518A7" w:rsidRPr="005231B4">
        <w:rPr>
          <w:rFonts w:ascii="Sylfaen" w:hAnsi="Sylfaen"/>
          <w:b w:val="0"/>
          <w:bCs w:val="0"/>
          <w:sz w:val="28"/>
          <w:szCs w:val="28"/>
        </w:rPr>
        <w:t>,</w:t>
      </w:r>
      <w:r w:rsidR="00DD3578">
        <w:rPr>
          <w:rFonts w:ascii="Sylfaen" w:hAnsi="Sylfaen"/>
          <w:b w:val="0"/>
          <w:bCs w:val="0"/>
          <w:sz w:val="28"/>
          <w:szCs w:val="28"/>
        </w:rPr>
        <w:t>8</w:t>
      </w:r>
      <w:r w:rsidR="005518A7" w:rsidRPr="005231B4">
        <w:rPr>
          <w:rFonts w:ascii="Sylfaen" w:hAnsi="Sylfaen"/>
          <w:b w:val="0"/>
          <w:bCs w:val="0"/>
          <w:sz w:val="28"/>
          <w:szCs w:val="28"/>
        </w:rPr>
        <w:t>% en 2014</w:t>
      </w:r>
      <w:r w:rsidR="009F749C">
        <w:rPr>
          <w:rFonts w:ascii="Sylfaen" w:hAnsi="Sylfaen"/>
          <w:b w:val="0"/>
          <w:bCs w:val="0"/>
          <w:sz w:val="28"/>
          <w:szCs w:val="28"/>
        </w:rPr>
        <w:t>,</w:t>
      </w:r>
      <w:r w:rsidR="005518A7" w:rsidRPr="005231B4">
        <w:rPr>
          <w:rFonts w:ascii="Sylfaen" w:hAnsi="Sylfaen"/>
          <w:b w:val="0"/>
          <w:bCs w:val="0"/>
          <w:sz w:val="28"/>
          <w:szCs w:val="28"/>
        </w:rPr>
        <w:t xml:space="preserve"> en r</w:t>
      </w:r>
      <w:r w:rsidR="009F749C">
        <w:rPr>
          <w:rFonts w:ascii="Sylfaen" w:hAnsi="Sylfaen"/>
          <w:b w:val="0"/>
          <w:bCs w:val="0"/>
          <w:sz w:val="28"/>
          <w:szCs w:val="28"/>
        </w:rPr>
        <w:t xml:space="preserve">aison de la </w:t>
      </w:r>
      <w:r w:rsidR="005518A7" w:rsidRPr="005231B4">
        <w:rPr>
          <w:rFonts w:ascii="Sylfaen" w:hAnsi="Sylfaen"/>
          <w:b w:val="0"/>
          <w:bCs w:val="0"/>
          <w:sz w:val="28"/>
          <w:szCs w:val="28"/>
        </w:rPr>
        <w:t xml:space="preserve">hausse de 11,2% des dépenses de </w:t>
      </w:r>
      <w:r w:rsidR="00DF09FB" w:rsidRPr="005231B4">
        <w:rPr>
          <w:rFonts w:ascii="Sylfaen" w:hAnsi="Sylfaen"/>
          <w:b w:val="0"/>
          <w:bCs w:val="0"/>
          <w:sz w:val="28"/>
          <w:szCs w:val="28"/>
        </w:rPr>
        <w:t xml:space="preserve">fonctionnement </w:t>
      </w:r>
      <w:r w:rsidR="005518A7" w:rsidRPr="005231B4">
        <w:rPr>
          <w:rFonts w:ascii="Sylfaen" w:hAnsi="Sylfaen"/>
          <w:b w:val="0"/>
          <w:bCs w:val="0"/>
          <w:sz w:val="28"/>
          <w:szCs w:val="28"/>
        </w:rPr>
        <w:t>en 2015</w:t>
      </w:r>
      <w:r w:rsidR="009F749C">
        <w:rPr>
          <w:rFonts w:ascii="Sylfaen" w:hAnsi="Sylfaen"/>
          <w:b w:val="0"/>
          <w:bCs w:val="0"/>
          <w:sz w:val="28"/>
          <w:szCs w:val="28"/>
        </w:rPr>
        <w:t xml:space="preserve">. </w:t>
      </w:r>
      <w:r w:rsidR="005518A7" w:rsidRPr="005231B4">
        <w:rPr>
          <w:rFonts w:ascii="Sylfaen" w:hAnsi="Sylfaen"/>
          <w:b w:val="0"/>
          <w:bCs w:val="0"/>
          <w:sz w:val="28"/>
          <w:szCs w:val="28"/>
        </w:rPr>
        <w:t xml:space="preserve">Sa contribution à la croissance serait de </w:t>
      </w:r>
      <w:r w:rsidR="00C24AFB" w:rsidRPr="005231B4">
        <w:rPr>
          <w:rFonts w:ascii="Sylfaen" w:hAnsi="Sylfaen"/>
          <w:b w:val="0"/>
          <w:bCs w:val="0"/>
          <w:sz w:val="28"/>
          <w:szCs w:val="28"/>
        </w:rPr>
        <w:t>0,</w:t>
      </w:r>
      <w:r w:rsidR="00946E39">
        <w:rPr>
          <w:rFonts w:ascii="Sylfaen" w:hAnsi="Sylfaen"/>
          <w:b w:val="0"/>
          <w:bCs w:val="0"/>
          <w:sz w:val="28"/>
          <w:szCs w:val="28"/>
        </w:rPr>
        <w:t>8</w:t>
      </w:r>
      <w:r w:rsidR="00C24AFB" w:rsidRPr="005231B4">
        <w:rPr>
          <w:rFonts w:ascii="Sylfaen" w:hAnsi="Sylfaen"/>
          <w:b w:val="0"/>
          <w:bCs w:val="0"/>
          <w:sz w:val="28"/>
          <w:szCs w:val="28"/>
        </w:rPr>
        <w:t xml:space="preserve"> point au lieu de 0,</w:t>
      </w:r>
      <w:r w:rsidR="00946E39">
        <w:rPr>
          <w:rFonts w:ascii="Sylfaen" w:hAnsi="Sylfaen"/>
          <w:b w:val="0"/>
          <w:bCs w:val="0"/>
          <w:sz w:val="28"/>
          <w:szCs w:val="28"/>
        </w:rPr>
        <w:t xml:space="preserve">3 point </w:t>
      </w:r>
      <w:r w:rsidR="00C24AFB" w:rsidRPr="005231B4">
        <w:rPr>
          <w:rFonts w:ascii="Sylfaen" w:hAnsi="Sylfaen"/>
          <w:b w:val="0"/>
          <w:bCs w:val="0"/>
          <w:sz w:val="28"/>
          <w:szCs w:val="28"/>
        </w:rPr>
        <w:t>en 2014</w:t>
      </w:r>
      <w:r w:rsidR="005518A7" w:rsidRPr="005231B4">
        <w:rPr>
          <w:rFonts w:ascii="Sylfaen" w:hAnsi="Sylfaen"/>
          <w:b w:val="0"/>
          <w:bCs w:val="0"/>
          <w:sz w:val="28"/>
          <w:szCs w:val="28"/>
        </w:rPr>
        <w:t>.</w:t>
      </w:r>
      <w:r w:rsidR="00C24AFB" w:rsidRPr="005231B4">
        <w:rPr>
          <w:rFonts w:ascii="Sylfaen" w:hAnsi="Sylfaen"/>
          <w:b w:val="0"/>
          <w:bCs w:val="0"/>
          <w:sz w:val="28"/>
          <w:szCs w:val="28"/>
        </w:rPr>
        <w:t xml:space="preserve"> </w:t>
      </w:r>
    </w:p>
    <w:p w:rsidR="00923D58" w:rsidRPr="005231B4" w:rsidRDefault="00A1560A"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5231B4">
        <w:rPr>
          <w:rFonts w:ascii="Sylfaen" w:hAnsi="Sylfaen"/>
          <w:b w:val="0"/>
          <w:bCs w:val="0"/>
          <w:sz w:val="28"/>
          <w:szCs w:val="28"/>
        </w:rPr>
        <w:t xml:space="preserve">Globalement, la consommation finale nationale devrait </w:t>
      </w:r>
      <w:r w:rsidR="009F749C">
        <w:rPr>
          <w:rFonts w:ascii="Sylfaen" w:hAnsi="Sylfaen"/>
          <w:b w:val="0"/>
          <w:bCs w:val="0"/>
          <w:sz w:val="28"/>
          <w:szCs w:val="28"/>
        </w:rPr>
        <w:t xml:space="preserve">s’accroitre de </w:t>
      </w:r>
      <w:r w:rsidRPr="005231B4">
        <w:rPr>
          <w:rFonts w:ascii="Sylfaen" w:hAnsi="Sylfaen"/>
          <w:b w:val="0"/>
          <w:bCs w:val="0"/>
          <w:sz w:val="28"/>
          <w:szCs w:val="28"/>
        </w:rPr>
        <w:t>3,</w:t>
      </w:r>
      <w:r w:rsidR="00DD3578">
        <w:rPr>
          <w:rFonts w:ascii="Sylfaen" w:hAnsi="Sylfaen"/>
          <w:b w:val="0"/>
          <w:bCs w:val="0"/>
          <w:sz w:val="28"/>
          <w:szCs w:val="28"/>
        </w:rPr>
        <w:t>5</w:t>
      </w:r>
      <w:r w:rsidRPr="005231B4">
        <w:rPr>
          <w:rFonts w:ascii="Sylfaen" w:hAnsi="Sylfaen"/>
          <w:b w:val="0"/>
          <w:bCs w:val="0"/>
          <w:sz w:val="28"/>
          <w:szCs w:val="28"/>
        </w:rPr>
        <w:t xml:space="preserve">%  au lieu de </w:t>
      </w:r>
      <w:r w:rsidR="00DD3578">
        <w:rPr>
          <w:rFonts w:ascii="Sylfaen" w:hAnsi="Sylfaen"/>
          <w:b w:val="0"/>
          <w:bCs w:val="0"/>
          <w:sz w:val="28"/>
          <w:szCs w:val="28"/>
        </w:rPr>
        <w:t>2</w:t>
      </w:r>
      <w:r w:rsidRPr="005231B4">
        <w:rPr>
          <w:rFonts w:ascii="Sylfaen" w:hAnsi="Sylfaen"/>
          <w:b w:val="0"/>
          <w:bCs w:val="0"/>
          <w:sz w:val="28"/>
          <w:szCs w:val="28"/>
        </w:rPr>
        <w:t>,</w:t>
      </w:r>
      <w:r w:rsidR="00DD3578">
        <w:rPr>
          <w:rFonts w:ascii="Sylfaen" w:hAnsi="Sylfaen"/>
          <w:b w:val="0"/>
          <w:bCs w:val="0"/>
          <w:sz w:val="28"/>
          <w:szCs w:val="28"/>
        </w:rPr>
        <w:t>9</w:t>
      </w:r>
      <w:r w:rsidRPr="005231B4">
        <w:rPr>
          <w:rFonts w:ascii="Sylfaen" w:hAnsi="Sylfaen"/>
          <w:b w:val="0"/>
          <w:bCs w:val="0"/>
          <w:sz w:val="28"/>
          <w:szCs w:val="28"/>
        </w:rPr>
        <w:t>% en 201</w:t>
      </w:r>
      <w:r w:rsidR="00DD44B0" w:rsidRPr="005231B4">
        <w:rPr>
          <w:rFonts w:ascii="Sylfaen" w:hAnsi="Sylfaen"/>
          <w:b w:val="0"/>
          <w:bCs w:val="0"/>
          <w:sz w:val="28"/>
          <w:szCs w:val="28"/>
        </w:rPr>
        <w:t>4</w:t>
      </w:r>
      <w:r w:rsidRPr="005231B4">
        <w:rPr>
          <w:rFonts w:ascii="Sylfaen" w:hAnsi="Sylfaen"/>
          <w:b w:val="0"/>
          <w:bCs w:val="0"/>
          <w:sz w:val="28"/>
          <w:szCs w:val="28"/>
        </w:rPr>
        <w:t>. Sa contribution à la croissance serait  de 2,</w:t>
      </w:r>
      <w:r w:rsidR="00DD3578">
        <w:rPr>
          <w:rFonts w:ascii="Sylfaen" w:hAnsi="Sylfaen"/>
          <w:b w:val="0"/>
          <w:bCs w:val="0"/>
          <w:sz w:val="28"/>
          <w:szCs w:val="28"/>
        </w:rPr>
        <w:t xml:space="preserve">8 </w:t>
      </w:r>
      <w:r w:rsidRPr="005231B4">
        <w:rPr>
          <w:rFonts w:ascii="Sylfaen" w:hAnsi="Sylfaen"/>
          <w:b w:val="0"/>
          <w:bCs w:val="0"/>
          <w:sz w:val="28"/>
          <w:szCs w:val="28"/>
        </w:rPr>
        <w:t>points au lieu de 2,</w:t>
      </w:r>
      <w:r w:rsidR="00DD3578">
        <w:rPr>
          <w:rFonts w:ascii="Sylfaen" w:hAnsi="Sylfaen"/>
          <w:b w:val="0"/>
          <w:bCs w:val="0"/>
          <w:sz w:val="28"/>
          <w:szCs w:val="28"/>
        </w:rPr>
        <w:t>9</w:t>
      </w:r>
      <w:r w:rsidRPr="005231B4">
        <w:rPr>
          <w:rFonts w:ascii="Sylfaen" w:hAnsi="Sylfaen"/>
          <w:b w:val="0"/>
          <w:bCs w:val="0"/>
          <w:sz w:val="28"/>
          <w:szCs w:val="28"/>
        </w:rPr>
        <w:t xml:space="preserve"> points en 201</w:t>
      </w:r>
      <w:r w:rsidR="00DD44B0" w:rsidRPr="005231B4">
        <w:rPr>
          <w:rFonts w:ascii="Sylfaen" w:hAnsi="Sylfaen"/>
          <w:b w:val="0"/>
          <w:bCs w:val="0"/>
          <w:sz w:val="28"/>
          <w:szCs w:val="28"/>
        </w:rPr>
        <w:t>4.</w:t>
      </w:r>
    </w:p>
    <w:p w:rsidR="00F706ED" w:rsidRPr="005231B4" w:rsidRDefault="00E37DDB" w:rsidP="00E37DD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Parallèlement</w:t>
      </w:r>
      <w:r w:rsidR="007908EB">
        <w:rPr>
          <w:rFonts w:ascii="Sylfaen" w:hAnsi="Sylfaen"/>
          <w:b w:val="0"/>
          <w:bCs w:val="0"/>
          <w:sz w:val="28"/>
          <w:szCs w:val="28"/>
        </w:rPr>
        <w:t>, l</w:t>
      </w:r>
      <w:r w:rsidR="00F706ED" w:rsidRPr="005231B4">
        <w:rPr>
          <w:rFonts w:ascii="Sylfaen" w:hAnsi="Sylfaen"/>
          <w:b w:val="0"/>
          <w:bCs w:val="0"/>
          <w:sz w:val="28"/>
          <w:szCs w:val="28"/>
        </w:rPr>
        <w:t xml:space="preserve">a </w:t>
      </w:r>
      <w:r w:rsidR="00F706ED" w:rsidRPr="007908EB">
        <w:rPr>
          <w:rFonts w:ascii="Sylfaen" w:hAnsi="Sylfaen"/>
          <w:b w:val="0"/>
          <w:bCs w:val="0"/>
          <w:sz w:val="28"/>
          <w:szCs w:val="28"/>
        </w:rPr>
        <w:t>formation brute du capital fixe</w:t>
      </w:r>
      <w:r w:rsidR="00F706ED" w:rsidRPr="005231B4">
        <w:rPr>
          <w:rFonts w:ascii="Sylfaen" w:hAnsi="Sylfaen"/>
          <w:b w:val="0"/>
          <w:bCs w:val="0"/>
          <w:sz w:val="28"/>
          <w:szCs w:val="28"/>
        </w:rPr>
        <w:t xml:space="preserve">, </w:t>
      </w:r>
      <w:r>
        <w:rPr>
          <w:rFonts w:ascii="Sylfaen" w:hAnsi="Sylfaen"/>
          <w:b w:val="0"/>
          <w:bCs w:val="0"/>
          <w:sz w:val="28"/>
          <w:szCs w:val="28"/>
        </w:rPr>
        <w:t xml:space="preserve">après des </w:t>
      </w:r>
      <w:r w:rsidR="00196752" w:rsidRPr="005231B4">
        <w:rPr>
          <w:rFonts w:ascii="Sylfaen" w:hAnsi="Sylfaen"/>
          <w:b w:val="0"/>
          <w:bCs w:val="0"/>
          <w:sz w:val="28"/>
          <w:szCs w:val="28"/>
        </w:rPr>
        <w:t xml:space="preserve">baisses </w:t>
      </w:r>
      <w:r>
        <w:rPr>
          <w:rFonts w:ascii="Sylfaen" w:hAnsi="Sylfaen"/>
          <w:b w:val="0"/>
          <w:bCs w:val="0"/>
          <w:sz w:val="28"/>
          <w:szCs w:val="28"/>
        </w:rPr>
        <w:t>d</w:t>
      </w:r>
      <w:r w:rsidR="00196752" w:rsidRPr="005231B4">
        <w:rPr>
          <w:rFonts w:ascii="Sylfaen" w:hAnsi="Sylfaen"/>
          <w:b w:val="0"/>
          <w:bCs w:val="0"/>
          <w:sz w:val="28"/>
          <w:szCs w:val="28"/>
        </w:rPr>
        <w:t>e 1,</w:t>
      </w:r>
      <w:r w:rsidR="007908EB">
        <w:rPr>
          <w:rFonts w:ascii="Sylfaen" w:hAnsi="Sylfaen"/>
          <w:b w:val="0"/>
          <w:bCs w:val="0"/>
          <w:sz w:val="28"/>
          <w:szCs w:val="28"/>
        </w:rPr>
        <w:t>5</w:t>
      </w:r>
      <w:r w:rsidR="00196752" w:rsidRPr="005231B4">
        <w:rPr>
          <w:rFonts w:ascii="Sylfaen" w:hAnsi="Sylfaen"/>
          <w:b w:val="0"/>
          <w:bCs w:val="0"/>
          <w:sz w:val="28"/>
          <w:szCs w:val="28"/>
        </w:rPr>
        <w:t xml:space="preserve">% </w:t>
      </w:r>
      <w:r>
        <w:rPr>
          <w:rFonts w:ascii="Sylfaen" w:hAnsi="Sylfaen"/>
          <w:b w:val="0"/>
          <w:bCs w:val="0"/>
          <w:sz w:val="28"/>
          <w:szCs w:val="28"/>
        </w:rPr>
        <w:t xml:space="preserve">en 2013 </w:t>
      </w:r>
      <w:r w:rsidR="00946E39">
        <w:rPr>
          <w:rFonts w:ascii="Sylfaen" w:hAnsi="Sylfaen"/>
          <w:b w:val="0"/>
          <w:bCs w:val="0"/>
          <w:sz w:val="28"/>
          <w:szCs w:val="28"/>
        </w:rPr>
        <w:t xml:space="preserve">et de </w:t>
      </w:r>
      <w:r w:rsidR="00946E39" w:rsidRPr="005231B4">
        <w:rPr>
          <w:rFonts w:ascii="Sylfaen" w:hAnsi="Sylfaen"/>
          <w:b w:val="0"/>
          <w:bCs w:val="0"/>
          <w:sz w:val="28"/>
          <w:szCs w:val="28"/>
        </w:rPr>
        <w:t>0,</w:t>
      </w:r>
      <w:r w:rsidR="007908EB">
        <w:rPr>
          <w:rFonts w:ascii="Sylfaen" w:hAnsi="Sylfaen"/>
          <w:b w:val="0"/>
          <w:bCs w:val="0"/>
          <w:sz w:val="28"/>
          <w:szCs w:val="28"/>
        </w:rPr>
        <w:t>4</w:t>
      </w:r>
      <w:r w:rsidR="00946E39" w:rsidRPr="005231B4">
        <w:rPr>
          <w:rFonts w:ascii="Sylfaen" w:hAnsi="Sylfaen"/>
          <w:b w:val="0"/>
          <w:bCs w:val="0"/>
          <w:sz w:val="28"/>
          <w:szCs w:val="28"/>
        </w:rPr>
        <w:t>%</w:t>
      </w:r>
      <w:r w:rsidR="00946E39">
        <w:rPr>
          <w:rFonts w:ascii="Sylfaen" w:hAnsi="Sylfaen"/>
          <w:b w:val="0"/>
          <w:bCs w:val="0"/>
          <w:sz w:val="28"/>
          <w:szCs w:val="28"/>
        </w:rPr>
        <w:t xml:space="preserve"> </w:t>
      </w:r>
      <w:r>
        <w:rPr>
          <w:rFonts w:ascii="Sylfaen" w:hAnsi="Sylfaen"/>
          <w:b w:val="0"/>
          <w:bCs w:val="0"/>
          <w:sz w:val="28"/>
          <w:szCs w:val="28"/>
        </w:rPr>
        <w:t>en</w:t>
      </w:r>
      <w:r w:rsidR="00196752" w:rsidRPr="005231B4">
        <w:rPr>
          <w:rFonts w:ascii="Sylfaen" w:hAnsi="Sylfaen"/>
          <w:b w:val="0"/>
          <w:bCs w:val="0"/>
          <w:sz w:val="28"/>
          <w:szCs w:val="28"/>
        </w:rPr>
        <w:t xml:space="preserve"> </w:t>
      </w:r>
      <w:r w:rsidR="00A445BC" w:rsidRPr="005231B4">
        <w:rPr>
          <w:rFonts w:ascii="Sylfaen" w:hAnsi="Sylfaen"/>
          <w:b w:val="0"/>
          <w:bCs w:val="0"/>
          <w:sz w:val="28"/>
          <w:szCs w:val="28"/>
        </w:rPr>
        <w:t>2014</w:t>
      </w:r>
      <w:r w:rsidR="00196752" w:rsidRPr="005231B4">
        <w:rPr>
          <w:rFonts w:ascii="Sylfaen" w:hAnsi="Sylfaen"/>
          <w:b w:val="0"/>
          <w:bCs w:val="0"/>
          <w:sz w:val="28"/>
          <w:szCs w:val="28"/>
        </w:rPr>
        <w:t>,</w:t>
      </w:r>
      <w:r w:rsidR="00A445BC" w:rsidRPr="005231B4">
        <w:rPr>
          <w:rFonts w:ascii="Sylfaen" w:hAnsi="Sylfaen"/>
          <w:b w:val="0"/>
          <w:bCs w:val="0"/>
          <w:sz w:val="28"/>
          <w:szCs w:val="28"/>
        </w:rPr>
        <w:t xml:space="preserve"> </w:t>
      </w:r>
      <w:r w:rsidR="00F706ED" w:rsidRPr="005231B4">
        <w:rPr>
          <w:rFonts w:ascii="Sylfaen" w:hAnsi="Sylfaen"/>
          <w:b w:val="0"/>
          <w:bCs w:val="0"/>
          <w:sz w:val="28"/>
          <w:szCs w:val="28"/>
        </w:rPr>
        <w:t xml:space="preserve">devrait </w:t>
      </w:r>
      <w:r w:rsidR="00DD44B0" w:rsidRPr="005231B4">
        <w:rPr>
          <w:rFonts w:ascii="Sylfaen" w:hAnsi="Sylfaen"/>
          <w:b w:val="0"/>
          <w:bCs w:val="0"/>
          <w:sz w:val="28"/>
          <w:szCs w:val="28"/>
        </w:rPr>
        <w:t xml:space="preserve">connaitre une </w:t>
      </w:r>
      <w:r w:rsidR="005518A7" w:rsidRPr="005231B4">
        <w:rPr>
          <w:rFonts w:ascii="Sylfaen" w:hAnsi="Sylfaen"/>
          <w:b w:val="0"/>
          <w:bCs w:val="0"/>
          <w:sz w:val="28"/>
          <w:szCs w:val="28"/>
        </w:rPr>
        <w:t>légère</w:t>
      </w:r>
      <w:r w:rsidR="00DD44B0" w:rsidRPr="005231B4">
        <w:rPr>
          <w:rFonts w:ascii="Sylfaen" w:hAnsi="Sylfaen"/>
          <w:b w:val="0"/>
          <w:bCs w:val="0"/>
          <w:sz w:val="28"/>
          <w:szCs w:val="28"/>
        </w:rPr>
        <w:t xml:space="preserve"> reprise </w:t>
      </w:r>
      <w:r w:rsidR="00F706ED" w:rsidRPr="005231B4">
        <w:rPr>
          <w:rFonts w:ascii="Sylfaen" w:hAnsi="Sylfaen"/>
          <w:b w:val="0"/>
          <w:bCs w:val="0"/>
          <w:sz w:val="28"/>
          <w:szCs w:val="28"/>
        </w:rPr>
        <w:t xml:space="preserve">de </w:t>
      </w:r>
      <w:r w:rsidR="00DD44B0" w:rsidRPr="005231B4">
        <w:rPr>
          <w:rFonts w:ascii="Sylfaen" w:hAnsi="Sylfaen"/>
          <w:b w:val="0"/>
          <w:bCs w:val="0"/>
          <w:sz w:val="28"/>
          <w:szCs w:val="28"/>
        </w:rPr>
        <w:t>0</w:t>
      </w:r>
      <w:r w:rsidR="00F706ED" w:rsidRPr="005231B4">
        <w:rPr>
          <w:rFonts w:ascii="Sylfaen" w:hAnsi="Sylfaen"/>
          <w:b w:val="0"/>
          <w:bCs w:val="0"/>
          <w:sz w:val="28"/>
          <w:szCs w:val="28"/>
        </w:rPr>
        <w:t>,</w:t>
      </w:r>
      <w:r w:rsidR="0088799B">
        <w:rPr>
          <w:rFonts w:ascii="Sylfaen" w:hAnsi="Sylfaen"/>
          <w:b w:val="0"/>
          <w:bCs w:val="0"/>
          <w:sz w:val="28"/>
          <w:szCs w:val="28"/>
        </w:rPr>
        <w:t>2</w:t>
      </w:r>
      <w:r w:rsidR="00F706ED" w:rsidRPr="005231B4">
        <w:rPr>
          <w:rFonts w:ascii="Sylfaen" w:hAnsi="Sylfaen"/>
          <w:b w:val="0"/>
          <w:bCs w:val="0"/>
          <w:sz w:val="28"/>
          <w:szCs w:val="28"/>
        </w:rPr>
        <w:t xml:space="preserve">% </w:t>
      </w:r>
      <w:r w:rsidR="00196752" w:rsidRPr="005231B4">
        <w:rPr>
          <w:rFonts w:ascii="Sylfaen" w:hAnsi="Sylfaen"/>
          <w:b w:val="0"/>
          <w:bCs w:val="0"/>
          <w:sz w:val="28"/>
          <w:szCs w:val="28"/>
        </w:rPr>
        <w:t>en 2015. S</w:t>
      </w:r>
      <w:r w:rsidR="00F706ED" w:rsidRPr="005231B4">
        <w:rPr>
          <w:rFonts w:ascii="Sylfaen" w:hAnsi="Sylfaen"/>
          <w:b w:val="0"/>
          <w:bCs w:val="0"/>
          <w:sz w:val="28"/>
          <w:szCs w:val="28"/>
        </w:rPr>
        <w:t>a contribution à la croissance serait de 0,</w:t>
      </w:r>
      <w:r w:rsidR="007908EB">
        <w:rPr>
          <w:rFonts w:ascii="Sylfaen" w:hAnsi="Sylfaen"/>
          <w:b w:val="0"/>
          <w:bCs w:val="0"/>
          <w:sz w:val="28"/>
          <w:szCs w:val="28"/>
        </w:rPr>
        <w:t>1</w:t>
      </w:r>
      <w:r w:rsidR="00F706ED" w:rsidRPr="005231B4">
        <w:rPr>
          <w:rFonts w:ascii="Sylfaen" w:hAnsi="Sylfaen"/>
          <w:b w:val="0"/>
          <w:bCs w:val="0"/>
          <w:sz w:val="28"/>
          <w:szCs w:val="28"/>
        </w:rPr>
        <w:t xml:space="preserve"> point au lieu d</w:t>
      </w:r>
      <w:r w:rsidR="00614589">
        <w:rPr>
          <w:rFonts w:ascii="Sylfaen" w:hAnsi="Sylfaen"/>
          <w:b w:val="0"/>
          <w:bCs w:val="0"/>
          <w:sz w:val="28"/>
          <w:szCs w:val="28"/>
        </w:rPr>
        <w:t xml:space="preserve">’une contribution négative de </w:t>
      </w:r>
      <w:r w:rsidR="00F706ED" w:rsidRPr="005231B4">
        <w:rPr>
          <w:rFonts w:ascii="Sylfaen" w:hAnsi="Sylfaen"/>
          <w:b w:val="0"/>
          <w:bCs w:val="0"/>
          <w:sz w:val="28"/>
          <w:szCs w:val="28"/>
        </w:rPr>
        <w:t>0,1 point en 201</w:t>
      </w:r>
      <w:r w:rsidR="00DD44B0" w:rsidRPr="005231B4">
        <w:rPr>
          <w:rFonts w:ascii="Sylfaen" w:hAnsi="Sylfaen"/>
          <w:b w:val="0"/>
          <w:bCs w:val="0"/>
          <w:sz w:val="28"/>
          <w:szCs w:val="28"/>
        </w:rPr>
        <w:t>4</w:t>
      </w:r>
      <w:r w:rsidR="00F706ED" w:rsidRPr="005231B4">
        <w:rPr>
          <w:rFonts w:ascii="Sylfaen" w:hAnsi="Sylfaen"/>
          <w:b w:val="0"/>
          <w:bCs w:val="0"/>
          <w:sz w:val="28"/>
          <w:szCs w:val="28"/>
        </w:rPr>
        <w:t xml:space="preserve">. La variation des stocks, quant à elle, </w:t>
      </w:r>
      <w:r w:rsidR="0088799B">
        <w:rPr>
          <w:rFonts w:ascii="Sylfaen" w:hAnsi="Sylfaen"/>
          <w:b w:val="0"/>
          <w:bCs w:val="0"/>
          <w:sz w:val="28"/>
          <w:szCs w:val="28"/>
        </w:rPr>
        <w:t xml:space="preserve">afficherait </w:t>
      </w:r>
      <w:r w:rsidR="00F706ED" w:rsidRPr="005231B4">
        <w:rPr>
          <w:rFonts w:ascii="Sylfaen" w:hAnsi="Sylfaen"/>
          <w:b w:val="0"/>
          <w:bCs w:val="0"/>
          <w:sz w:val="28"/>
          <w:szCs w:val="28"/>
        </w:rPr>
        <w:t xml:space="preserve"> une contribution positive à la croissance, de l’ordre de 0,</w:t>
      </w:r>
      <w:r w:rsidR="007908EB">
        <w:rPr>
          <w:rFonts w:ascii="Sylfaen" w:hAnsi="Sylfaen"/>
          <w:b w:val="0"/>
          <w:bCs w:val="0"/>
          <w:sz w:val="28"/>
          <w:szCs w:val="28"/>
        </w:rPr>
        <w:t>3</w:t>
      </w:r>
      <w:r w:rsidR="00F706ED" w:rsidRPr="005231B4">
        <w:rPr>
          <w:rFonts w:ascii="Sylfaen" w:hAnsi="Sylfaen"/>
          <w:b w:val="0"/>
          <w:bCs w:val="0"/>
          <w:sz w:val="28"/>
          <w:szCs w:val="28"/>
        </w:rPr>
        <w:t xml:space="preserve"> point, après </w:t>
      </w:r>
      <w:r w:rsidR="0088799B">
        <w:rPr>
          <w:rFonts w:ascii="Sylfaen" w:hAnsi="Sylfaen"/>
          <w:b w:val="0"/>
          <w:bCs w:val="0"/>
          <w:sz w:val="28"/>
          <w:szCs w:val="28"/>
        </w:rPr>
        <w:t>une contribution négative d</w:t>
      </w:r>
      <w:r w:rsidR="00303FD8">
        <w:rPr>
          <w:rFonts w:ascii="Sylfaen" w:hAnsi="Sylfaen"/>
          <w:b w:val="0"/>
          <w:bCs w:val="0"/>
          <w:sz w:val="28"/>
          <w:szCs w:val="28"/>
        </w:rPr>
        <w:t>’</w:t>
      </w:r>
      <w:r w:rsidR="0088799B">
        <w:rPr>
          <w:rFonts w:ascii="Sylfaen" w:hAnsi="Sylfaen"/>
          <w:b w:val="0"/>
          <w:bCs w:val="0"/>
          <w:sz w:val="28"/>
          <w:szCs w:val="28"/>
        </w:rPr>
        <w:t xml:space="preserve">un point </w:t>
      </w:r>
      <w:r w:rsidR="00F706ED" w:rsidRPr="005231B4">
        <w:rPr>
          <w:rFonts w:ascii="Sylfaen" w:hAnsi="Sylfaen"/>
          <w:b w:val="0"/>
          <w:bCs w:val="0"/>
          <w:sz w:val="28"/>
          <w:szCs w:val="28"/>
        </w:rPr>
        <w:t>en 201</w:t>
      </w:r>
      <w:r w:rsidR="00DD44B0" w:rsidRPr="005231B4">
        <w:rPr>
          <w:rFonts w:ascii="Sylfaen" w:hAnsi="Sylfaen"/>
          <w:b w:val="0"/>
          <w:bCs w:val="0"/>
          <w:sz w:val="28"/>
          <w:szCs w:val="28"/>
        </w:rPr>
        <w:t>4</w:t>
      </w:r>
      <w:r w:rsidR="00F706ED" w:rsidRPr="005231B4">
        <w:rPr>
          <w:rFonts w:ascii="Sylfaen" w:hAnsi="Sylfaen"/>
          <w:b w:val="0"/>
          <w:bCs w:val="0"/>
          <w:sz w:val="28"/>
          <w:szCs w:val="28"/>
        </w:rPr>
        <w:t xml:space="preserve">. Ainsi, l’investissement brut s’accroîtrait </w:t>
      </w:r>
      <w:r>
        <w:rPr>
          <w:rFonts w:ascii="Sylfaen" w:hAnsi="Sylfaen"/>
          <w:b w:val="0"/>
          <w:bCs w:val="0"/>
          <w:sz w:val="28"/>
          <w:szCs w:val="28"/>
        </w:rPr>
        <w:t>de</w:t>
      </w:r>
      <w:r w:rsidR="00F706ED" w:rsidRPr="005231B4">
        <w:rPr>
          <w:rFonts w:ascii="Sylfaen" w:hAnsi="Sylfaen"/>
          <w:b w:val="0"/>
          <w:bCs w:val="0"/>
          <w:sz w:val="28"/>
          <w:szCs w:val="28"/>
        </w:rPr>
        <w:t xml:space="preserve">  </w:t>
      </w:r>
      <w:r w:rsidR="00DD44B0" w:rsidRPr="005231B4">
        <w:rPr>
          <w:rFonts w:ascii="Sylfaen" w:hAnsi="Sylfaen"/>
          <w:b w:val="0"/>
          <w:bCs w:val="0"/>
          <w:sz w:val="28"/>
          <w:szCs w:val="28"/>
        </w:rPr>
        <w:t>1</w:t>
      </w:r>
      <w:r w:rsidR="00F706ED" w:rsidRPr="005231B4">
        <w:rPr>
          <w:rFonts w:ascii="Sylfaen" w:hAnsi="Sylfaen"/>
          <w:b w:val="0"/>
          <w:bCs w:val="0"/>
          <w:sz w:val="28"/>
          <w:szCs w:val="28"/>
        </w:rPr>
        <w:t>,</w:t>
      </w:r>
      <w:r w:rsidR="00303FD8">
        <w:rPr>
          <w:rFonts w:ascii="Sylfaen" w:hAnsi="Sylfaen"/>
          <w:b w:val="0"/>
          <w:bCs w:val="0"/>
          <w:sz w:val="28"/>
          <w:szCs w:val="28"/>
        </w:rPr>
        <w:t>1</w:t>
      </w:r>
      <w:r w:rsidR="00F706ED" w:rsidRPr="005231B4">
        <w:rPr>
          <w:rFonts w:ascii="Sylfaen" w:hAnsi="Sylfaen"/>
          <w:b w:val="0"/>
          <w:bCs w:val="0"/>
          <w:sz w:val="28"/>
          <w:szCs w:val="28"/>
        </w:rPr>
        <w:t>% en volume contribu</w:t>
      </w:r>
      <w:r w:rsidR="00303FD8">
        <w:rPr>
          <w:rFonts w:ascii="Sylfaen" w:hAnsi="Sylfaen"/>
          <w:b w:val="0"/>
          <w:bCs w:val="0"/>
          <w:sz w:val="28"/>
          <w:szCs w:val="28"/>
        </w:rPr>
        <w:t>ant pour 0</w:t>
      </w:r>
      <w:r w:rsidR="00F706ED" w:rsidRPr="005231B4">
        <w:rPr>
          <w:rFonts w:ascii="Sylfaen" w:hAnsi="Sylfaen"/>
          <w:b w:val="0"/>
          <w:bCs w:val="0"/>
          <w:sz w:val="28"/>
          <w:szCs w:val="28"/>
        </w:rPr>
        <w:t>,</w:t>
      </w:r>
      <w:r w:rsidR="00303FD8">
        <w:rPr>
          <w:rFonts w:ascii="Sylfaen" w:hAnsi="Sylfaen"/>
          <w:b w:val="0"/>
          <w:bCs w:val="0"/>
          <w:sz w:val="28"/>
          <w:szCs w:val="28"/>
        </w:rPr>
        <w:t>4</w:t>
      </w:r>
      <w:r w:rsidR="00F706ED" w:rsidRPr="005231B4">
        <w:rPr>
          <w:rFonts w:ascii="Sylfaen" w:hAnsi="Sylfaen"/>
          <w:b w:val="0"/>
          <w:bCs w:val="0"/>
          <w:sz w:val="28"/>
          <w:szCs w:val="28"/>
        </w:rPr>
        <w:t xml:space="preserve"> point </w:t>
      </w:r>
      <w:r w:rsidR="00303FD8">
        <w:rPr>
          <w:rFonts w:ascii="Sylfaen" w:hAnsi="Sylfaen"/>
          <w:b w:val="0"/>
          <w:bCs w:val="0"/>
          <w:sz w:val="28"/>
          <w:szCs w:val="28"/>
        </w:rPr>
        <w:t xml:space="preserve">à la croissance </w:t>
      </w:r>
      <w:r w:rsidR="00F706ED" w:rsidRPr="005231B4">
        <w:rPr>
          <w:rFonts w:ascii="Sylfaen" w:hAnsi="Sylfaen"/>
          <w:b w:val="0"/>
          <w:bCs w:val="0"/>
          <w:sz w:val="28"/>
          <w:szCs w:val="28"/>
        </w:rPr>
        <w:t xml:space="preserve">au lieu </w:t>
      </w:r>
      <w:r w:rsidR="00303FD8">
        <w:rPr>
          <w:rFonts w:ascii="Sylfaen" w:hAnsi="Sylfaen"/>
          <w:b w:val="0"/>
          <w:bCs w:val="0"/>
          <w:sz w:val="28"/>
          <w:szCs w:val="28"/>
        </w:rPr>
        <w:t>d’une contribution négative de</w:t>
      </w:r>
      <w:r w:rsidR="00F706ED" w:rsidRPr="005231B4">
        <w:rPr>
          <w:rFonts w:ascii="Sylfaen" w:hAnsi="Sylfaen"/>
          <w:b w:val="0"/>
          <w:bCs w:val="0"/>
          <w:sz w:val="28"/>
          <w:szCs w:val="28"/>
        </w:rPr>
        <w:t xml:space="preserve"> </w:t>
      </w:r>
      <w:r w:rsidR="00303FD8">
        <w:rPr>
          <w:rFonts w:ascii="Sylfaen" w:hAnsi="Sylfaen"/>
          <w:b w:val="0"/>
          <w:bCs w:val="0"/>
          <w:sz w:val="28"/>
          <w:szCs w:val="28"/>
        </w:rPr>
        <w:t>1,1</w:t>
      </w:r>
      <w:r w:rsidR="00F706ED" w:rsidRPr="005231B4">
        <w:rPr>
          <w:rFonts w:ascii="Sylfaen" w:hAnsi="Sylfaen"/>
          <w:b w:val="0"/>
          <w:bCs w:val="0"/>
          <w:sz w:val="28"/>
          <w:szCs w:val="28"/>
        </w:rPr>
        <w:t xml:space="preserve"> point en 201</w:t>
      </w:r>
      <w:r w:rsidR="00DD44B0" w:rsidRPr="005231B4">
        <w:rPr>
          <w:rFonts w:ascii="Sylfaen" w:hAnsi="Sylfaen"/>
          <w:b w:val="0"/>
          <w:bCs w:val="0"/>
          <w:sz w:val="28"/>
          <w:szCs w:val="28"/>
        </w:rPr>
        <w:t>4</w:t>
      </w:r>
      <w:r w:rsidR="00F706ED" w:rsidRPr="005231B4">
        <w:rPr>
          <w:rFonts w:ascii="Sylfaen" w:hAnsi="Sylfaen"/>
          <w:b w:val="0"/>
          <w:bCs w:val="0"/>
          <w:sz w:val="28"/>
          <w:szCs w:val="28"/>
        </w:rPr>
        <w:t>.</w:t>
      </w:r>
    </w:p>
    <w:p w:rsidR="00F706ED" w:rsidRPr="005231B4" w:rsidRDefault="00F706ED"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5231B4">
        <w:rPr>
          <w:rFonts w:ascii="Sylfaen" w:hAnsi="Sylfaen"/>
          <w:b w:val="0"/>
          <w:bCs w:val="0"/>
          <w:sz w:val="28"/>
          <w:szCs w:val="28"/>
        </w:rPr>
        <w:t xml:space="preserve">Au total, </w:t>
      </w:r>
      <w:r w:rsidRPr="00E01BDA">
        <w:rPr>
          <w:rFonts w:ascii="Sylfaen" w:hAnsi="Sylfaen"/>
          <w:b w:val="0"/>
          <w:bCs w:val="0"/>
          <w:sz w:val="28"/>
          <w:szCs w:val="28"/>
        </w:rPr>
        <w:t>la demande intérieure</w:t>
      </w:r>
      <w:r w:rsidRPr="005231B4">
        <w:rPr>
          <w:rFonts w:ascii="Sylfaen" w:hAnsi="Sylfaen"/>
          <w:b w:val="0"/>
          <w:bCs w:val="0"/>
          <w:sz w:val="28"/>
          <w:szCs w:val="28"/>
        </w:rPr>
        <w:t xml:space="preserve"> devrait s’accroitre de </w:t>
      </w:r>
      <w:r w:rsidR="00303FD8">
        <w:rPr>
          <w:rFonts w:ascii="Sylfaen" w:hAnsi="Sylfaen"/>
          <w:b w:val="0"/>
          <w:bCs w:val="0"/>
          <w:sz w:val="28"/>
          <w:szCs w:val="28"/>
        </w:rPr>
        <w:t>2</w:t>
      </w:r>
      <w:r w:rsidRPr="005231B4">
        <w:rPr>
          <w:rFonts w:ascii="Sylfaen" w:hAnsi="Sylfaen"/>
          <w:b w:val="0"/>
          <w:bCs w:val="0"/>
          <w:sz w:val="28"/>
          <w:szCs w:val="28"/>
        </w:rPr>
        <w:t>,</w:t>
      </w:r>
      <w:r w:rsidR="00303FD8">
        <w:rPr>
          <w:rFonts w:ascii="Sylfaen" w:hAnsi="Sylfaen"/>
          <w:b w:val="0"/>
          <w:bCs w:val="0"/>
          <w:sz w:val="28"/>
          <w:szCs w:val="28"/>
        </w:rPr>
        <w:t>8</w:t>
      </w:r>
      <w:r w:rsidRPr="005231B4">
        <w:rPr>
          <w:rFonts w:ascii="Sylfaen" w:hAnsi="Sylfaen"/>
          <w:b w:val="0"/>
          <w:bCs w:val="0"/>
          <w:sz w:val="28"/>
          <w:szCs w:val="28"/>
        </w:rPr>
        <w:t xml:space="preserve">% </w:t>
      </w:r>
      <w:r w:rsidR="007908EB">
        <w:rPr>
          <w:rFonts w:ascii="Sylfaen" w:hAnsi="Sylfaen"/>
          <w:b w:val="0"/>
          <w:bCs w:val="0"/>
          <w:sz w:val="28"/>
          <w:szCs w:val="28"/>
        </w:rPr>
        <w:t xml:space="preserve"> </w:t>
      </w:r>
      <w:r w:rsidRPr="005231B4">
        <w:rPr>
          <w:rFonts w:ascii="Sylfaen" w:hAnsi="Sylfaen"/>
          <w:b w:val="0"/>
          <w:bCs w:val="0"/>
          <w:sz w:val="28"/>
          <w:szCs w:val="28"/>
        </w:rPr>
        <w:t xml:space="preserve">en volume, au lieu de </w:t>
      </w:r>
      <w:r w:rsidR="00303FD8">
        <w:rPr>
          <w:rFonts w:ascii="Sylfaen" w:hAnsi="Sylfaen"/>
          <w:b w:val="0"/>
          <w:bCs w:val="0"/>
          <w:sz w:val="28"/>
          <w:szCs w:val="28"/>
        </w:rPr>
        <w:t>1</w:t>
      </w:r>
      <w:r w:rsidRPr="005231B4">
        <w:rPr>
          <w:rFonts w:ascii="Sylfaen" w:hAnsi="Sylfaen"/>
          <w:b w:val="0"/>
          <w:bCs w:val="0"/>
          <w:sz w:val="28"/>
          <w:szCs w:val="28"/>
        </w:rPr>
        <w:t>,</w:t>
      </w:r>
      <w:r w:rsidR="00F21917">
        <w:rPr>
          <w:rFonts w:ascii="Sylfaen" w:hAnsi="Sylfaen"/>
          <w:b w:val="0"/>
          <w:bCs w:val="0"/>
          <w:sz w:val="28"/>
          <w:szCs w:val="28"/>
        </w:rPr>
        <w:t>0</w:t>
      </w:r>
      <w:r w:rsidRPr="005231B4">
        <w:rPr>
          <w:rFonts w:ascii="Sylfaen" w:hAnsi="Sylfaen"/>
          <w:b w:val="0"/>
          <w:bCs w:val="0"/>
          <w:sz w:val="28"/>
          <w:szCs w:val="28"/>
        </w:rPr>
        <w:t>%  en 201</w:t>
      </w:r>
      <w:r w:rsidR="00DD44B0" w:rsidRPr="005231B4">
        <w:rPr>
          <w:rFonts w:ascii="Sylfaen" w:hAnsi="Sylfaen"/>
          <w:b w:val="0"/>
          <w:bCs w:val="0"/>
          <w:sz w:val="28"/>
          <w:szCs w:val="28"/>
        </w:rPr>
        <w:t>4</w:t>
      </w:r>
      <w:r w:rsidRPr="005231B4">
        <w:rPr>
          <w:rFonts w:ascii="Sylfaen" w:hAnsi="Sylfaen"/>
          <w:b w:val="0"/>
          <w:bCs w:val="0"/>
          <w:sz w:val="28"/>
          <w:szCs w:val="28"/>
        </w:rPr>
        <w:t xml:space="preserve"> et </w:t>
      </w:r>
      <w:r w:rsidR="00AD0F11">
        <w:rPr>
          <w:rFonts w:ascii="Sylfaen" w:hAnsi="Sylfaen"/>
          <w:b w:val="0"/>
          <w:bCs w:val="0"/>
          <w:sz w:val="28"/>
          <w:szCs w:val="28"/>
        </w:rPr>
        <w:t>5% par an durant la période 2008-2013. S</w:t>
      </w:r>
      <w:r w:rsidRPr="005231B4">
        <w:rPr>
          <w:rFonts w:ascii="Sylfaen" w:hAnsi="Sylfaen"/>
          <w:b w:val="0"/>
          <w:bCs w:val="0"/>
          <w:sz w:val="28"/>
          <w:szCs w:val="28"/>
        </w:rPr>
        <w:t xml:space="preserve">a contribution à la croissance serait de </w:t>
      </w:r>
      <w:r w:rsidR="00F21917">
        <w:rPr>
          <w:rFonts w:ascii="Sylfaen" w:hAnsi="Sylfaen"/>
          <w:b w:val="0"/>
          <w:bCs w:val="0"/>
          <w:sz w:val="28"/>
          <w:szCs w:val="28"/>
        </w:rPr>
        <w:t>3,1</w:t>
      </w:r>
      <w:r w:rsidRPr="005231B4">
        <w:rPr>
          <w:rFonts w:ascii="Sylfaen" w:hAnsi="Sylfaen"/>
          <w:b w:val="0"/>
          <w:bCs w:val="0"/>
          <w:sz w:val="28"/>
          <w:szCs w:val="28"/>
        </w:rPr>
        <w:t xml:space="preserve"> points, au lieu de </w:t>
      </w:r>
      <w:r w:rsidR="00F21917">
        <w:rPr>
          <w:rFonts w:ascii="Sylfaen" w:hAnsi="Sylfaen"/>
          <w:b w:val="0"/>
          <w:bCs w:val="0"/>
          <w:sz w:val="28"/>
          <w:szCs w:val="28"/>
        </w:rPr>
        <w:t>1</w:t>
      </w:r>
      <w:r w:rsidRPr="005231B4">
        <w:rPr>
          <w:rFonts w:ascii="Sylfaen" w:hAnsi="Sylfaen"/>
          <w:b w:val="0"/>
          <w:bCs w:val="0"/>
          <w:sz w:val="28"/>
          <w:szCs w:val="28"/>
        </w:rPr>
        <w:t>,</w:t>
      </w:r>
      <w:r w:rsidR="00F21917">
        <w:rPr>
          <w:rFonts w:ascii="Sylfaen" w:hAnsi="Sylfaen"/>
          <w:b w:val="0"/>
          <w:bCs w:val="0"/>
          <w:sz w:val="28"/>
          <w:szCs w:val="28"/>
        </w:rPr>
        <w:t>2</w:t>
      </w:r>
      <w:r w:rsidRPr="005231B4">
        <w:rPr>
          <w:rFonts w:ascii="Sylfaen" w:hAnsi="Sylfaen"/>
          <w:b w:val="0"/>
          <w:bCs w:val="0"/>
          <w:sz w:val="28"/>
          <w:szCs w:val="28"/>
        </w:rPr>
        <w:t xml:space="preserve"> point en 201</w:t>
      </w:r>
      <w:r w:rsidR="00DD44B0" w:rsidRPr="005231B4">
        <w:rPr>
          <w:rFonts w:ascii="Sylfaen" w:hAnsi="Sylfaen"/>
          <w:b w:val="0"/>
          <w:bCs w:val="0"/>
          <w:sz w:val="28"/>
          <w:szCs w:val="28"/>
        </w:rPr>
        <w:t>4</w:t>
      </w:r>
      <w:r w:rsidRPr="005231B4">
        <w:rPr>
          <w:rFonts w:ascii="Sylfaen" w:hAnsi="Sylfaen"/>
          <w:b w:val="0"/>
          <w:bCs w:val="0"/>
          <w:sz w:val="28"/>
          <w:szCs w:val="28"/>
        </w:rPr>
        <w:t>.</w:t>
      </w:r>
    </w:p>
    <w:p w:rsidR="006978F0" w:rsidRPr="00E01BDA" w:rsidRDefault="006978F0"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bookmarkStart w:id="3" w:name="_Toc328056275"/>
      <w:bookmarkStart w:id="4" w:name="_Toc328056529"/>
      <w:bookmarkStart w:id="5" w:name="_Toc202419678"/>
      <w:bookmarkEnd w:id="0"/>
      <w:bookmarkEnd w:id="1"/>
      <w:bookmarkEnd w:id="2"/>
      <w:r w:rsidRPr="00E01BDA">
        <w:rPr>
          <w:rFonts w:ascii="Sylfaen" w:hAnsi="Sylfaen"/>
          <w:b w:val="0"/>
          <w:bCs w:val="0"/>
          <w:sz w:val="28"/>
          <w:szCs w:val="28"/>
        </w:rPr>
        <w:t xml:space="preserve">Par ailleurs, </w:t>
      </w:r>
      <w:r w:rsidR="00EE6611" w:rsidRPr="00FB70A1">
        <w:rPr>
          <w:rFonts w:ascii="Sylfaen" w:hAnsi="Sylfaen"/>
          <w:b w:val="0"/>
          <w:bCs w:val="0"/>
          <w:sz w:val="28"/>
          <w:szCs w:val="28"/>
        </w:rPr>
        <w:t xml:space="preserve">les exportations de biens et services devraient s’accroitre de 1,9% en volume alors que les importations  devraient régresser de prés de 1%. </w:t>
      </w:r>
      <w:r w:rsidR="00FB70A1" w:rsidRPr="00FB70A1">
        <w:rPr>
          <w:rFonts w:ascii="Sylfaen" w:hAnsi="Sylfaen"/>
          <w:b w:val="0"/>
          <w:bCs w:val="0"/>
          <w:sz w:val="28"/>
          <w:szCs w:val="28"/>
        </w:rPr>
        <w:t xml:space="preserve">Dans ce cadre, </w:t>
      </w:r>
      <w:r w:rsidRPr="00E01BDA">
        <w:rPr>
          <w:rFonts w:ascii="Sylfaen" w:hAnsi="Sylfaen"/>
          <w:b w:val="0"/>
          <w:bCs w:val="0"/>
          <w:sz w:val="28"/>
          <w:szCs w:val="28"/>
        </w:rPr>
        <w:t>la demande extérieure</w:t>
      </w:r>
      <w:r w:rsidR="00C952F0" w:rsidRPr="00E01BDA">
        <w:rPr>
          <w:rFonts w:ascii="Sylfaen" w:hAnsi="Sylfaen"/>
          <w:b w:val="0"/>
          <w:bCs w:val="0"/>
          <w:sz w:val="28"/>
          <w:szCs w:val="28"/>
        </w:rPr>
        <w:t xml:space="preserve"> devrait enregist</w:t>
      </w:r>
      <w:r w:rsidR="007908EB" w:rsidRPr="00E01BDA">
        <w:rPr>
          <w:rFonts w:ascii="Sylfaen" w:hAnsi="Sylfaen"/>
          <w:b w:val="0"/>
          <w:bCs w:val="0"/>
          <w:sz w:val="28"/>
          <w:szCs w:val="28"/>
        </w:rPr>
        <w:t>r</w:t>
      </w:r>
      <w:r w:rsidR="00C952F0" w:rsidRPr="00E01BDA">
        <w:rPr>
          <w:rFonts w:ascii="Sylfaen" w:hAnsi="Sylfaen"/>
          <w:b w:val="0"/>
          <w:bCs w:val="0"/>
          <w:sz w:val="28"/>
          <w:szCs w:val="28"/>
        </w:rPr>
        <w:t>er</w:t>
      </w:r>
      <w:r w:rsidRPr="00E01BDA">
        <w:rPr>
          <w:rFonts w:ascii="Sylfaen" w:hAnsi="Sylfaen"/>
          <w:b w:val="0"/>
          <w:bCs w:val="0"/>
          <w:sz w:val="28"/>
          <w:szCs w:val="28"/>
        </w:rPr>
        <w:t xml:space="preserve"> </w:t>
      </w:r>
      <w:r w:rsidR="001F3E18" w:rsidRPr="00E01BDA">
        <w:rPr>
          <w:rFonts w:ascii="Sylfaen" w:hAnsi="Sylfaen"/>
          <w:b w:val="0"/>
          <w:bCs w:val="0"/>
          <w:sz w:val="28"/>
          <w:szCs w:val="28"/>
        </w:rPr>
        <w:t xml:space="preserve">pour la deuxième année </w:t>
      </w:r>
      <w:r w:rsidR="007908EB" w:rsidRPr="00E01BDA">
        <w:rPr>
          <w:rFonts w:ascii="Sylfaen" w:hAnsi="Sylfaen"/>
          <w:b w:val="0"/>
          <w:bCs w:val="0"/>
          <w:sz w:val="28"/>
          <w:szCs w:val="28"/>
        </w:rPr>
        <w:t>consécutive</w:t>
      </w:r>
      <w:r w:rsidR="001F3E18" w:rsidRPr="00E01BDA">
        <w:rPr>
          <w:rFonts w:ascii="Sylfaen" w:hAnsi="Sylfaen"/>
          <w:b w:val="0"/>
          <w:bCs w:val="0"/>
          <w:sz w:val="28"/>
          <w:szCs w:val="28"/>
        </w:rPr>
        <w:t xml:space="preserve"> </w:t>
      </w:r>
      <w:r w:rsidRPr="00E01BDA">
        <w:rPr>
          <w:rFonts w:ascii="Sylfaen" w:hAnsi="Sylfaen"/>
          <w:b w:val="0"/>
          <w:bCs w:val="0"/>
          <w:sz w:val="28"/>
          <w:szCs w:val="28"/>
        </w:rPr>
        <w:t>une contribution positive à la croissance</w:t>
      </w:r>
      <w:r w:rsidR="007908EB" w:rsidRPr="00E01BDA">
        <w:rPr>
          <w:rFonts w:ascii="Sylfaen" w:hAnsi="Sylfaen"/>
          <w:b w:val="0"/>
          <w:bCs w:val="0"/>
          <w:sz w:val="28"/>
          <w:szCs w:val="28"/>
        </w:rPr>
        <w:t>,</w:t>
      </w:r>
      <w:r w:rsidRPr="00E01BDA">
        <w:rPr>
          <w:rFonts w:ascii="Sylfaen" w:hAnsi="Sylfaen"/>
          <w:b w:val="0"/>
          <w:bCs w:val="0"/>
          <w:sz w:val="28"/>
          <w:szCs w:val="28"/>
        </w:rPr>
        <w:t xml:space="preserve"> de l’ordre de 1,</w:t>
      </w:r>
      <w:r w:rsidR="00DD3578">
        <w:rPr>
          <w:rFonts w:ascii="Sylfaen" w:hAnsi="Sylfaen"/>
          <w:b w:val="0"/>
          <w:bCs w:val="0"/>
          <w:sz w:val="28"/>
          <w:szCs w:val="28"/>
        </w:rPr>
        <w:t>1</w:t>
      </w:r>
      <w:r w:rsidRPr="00E01BDA">
        <w:rPr>
          <w:rFonts w:ascii="Sylfaen" w:hAnsi="Sylfaen"/>
          <w:b w:val="0"/>
          <w:bCs w:val="0"/>
          <w:sz w:val="28"/>
          <w:szCs w:val="28"/>
        </w:rPr>
        <w:t xml:space="preserve"> point</w:t>
      </w:r>
      <w:r w:rsidR="007908EB" w:rsidRPr="00E01BDA">
        <w:rPr>
          <w:rFonts w:ascii="Sylfaen" w:hAnsi="Sylfaen"/>
          <w:b w:val="0"/>
          <w:bCs w:val="0"/>
          <w:sz w:val="28"/>
          <w:szCs w:val="28"/>
        </w:rPr>
        <w:t xml:space="preserve">. </w:t>
      </w:r>
    </w:p>
    <w:p w:rsidR="00AD0F11" w:rsidRPr="005231B4" w:rsidRDefault="00AD0F11" w:rsidP="00913E14">
      <w:pPr>
        <w:widowControl w:val="0"/>
        <w:adjustRightInd w:val="0"/>
        <w:ind w:firstLine="709"/>
        <w:jc w:val="lowKashida"/>
        <w:rPr>
          <w:rFonts w:ascii="Sylfaen" w:hAnsi="Sylfaen"/>
          <w:b w:val="0"/>
          <w:bCs w:val="0"/>
          <w:sz w:val="28"/>
          <w:szCs w:val="28"/>
        </w:rPr>
      </w:pPr>
    </w:p>
    <w:bookmarkEnd w:id="3"/>
    <w:bookmarkEnd w:id="4"/>
    <w:bookmarkEnd w:id="5"/>
    <w:p w:rsidR="00381F75" w:rsidRDefault="00381F75" w:rsidP="00381F75">
      <w:pPr>
        <w:ind w:left="708" w:right="-110"/>
        <w:jc w:val="both"/>
        <w:rPr>
          <w:color w:val="0000FF"/>
          <w:sz w:val="28"/>
          <w:szCs w:val="28"/>
        </w:rPr>
      </w:pPr>
      <w:r>
        <w:rPr>
          <w:color w:val="0000FF"/>
          <w:sz w:val="28"/>
          <w:szCs w:val="28"/>
        </w:rPr>
        <w:t>2.3</w:t>
      </w:r>
      <w:r w:rsidRPr="00170CD9">
        <w:rPr>
          <w:color w:val="0000FF"/>
          <w:sz w:val="28"/>
          <w:szCs w:val="28"/>
        </w:rPr>
        <w:t xml:space="preserve">. </w:t>
      </w:r>
      <w:r w:rsidR="00AD0F11">
        <w:rPr>
          <w:color w:val="0000FF"/>
          <w:sz w:val="28"/>
          <w:szCs w:val="28"/>
        </w:rPr>
        <w:t>Financement</w:t>
      </w:r>
      <w:r>
        <w:rPr>
          <w:color w:val="0000FF"/>
          <w:sz w:val="28"/>
          <w:szCs w:val="28"/>
        </w:rPr>
        <w:t xml:space="preserve"> de l’économie</w:t>
      </w:r>
    </w:p>
    <w:p w:rsidR="00AD0F11" w:rsidRDefault="00AD0F11"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Avec une hausse de la consommation finale nationale de 4,1% en 2015 et du produit intérieur brut de 5,4%, l’</w:t>
      </w:r>
      <w:r w:rsidR="003D2E03" w:rsidRPr="005231B4">
        <w:rPr>
          <w:rFonts w:ascii="Sylfaen" w:hAnsi="Sylfaen"/>
          <w:b w:val="0"/>
          <w:bCs w:val="0"/>
          <w:sz w:val="28"/>
          <w:szCs w:val="28"/>
        </w:rPr>
        <w:t xml:space="preserve">épargne intérieure devrait </w:t>
      </w:r>
      <w:r w:rsidR="00A96F62" w:rsidRPr="005231B4">
        <w:rPr>
          <w:rFonts w:ascii="Sylfaen" w:hAnsi="Sylfaen"/>
          <w:b w:val="0"/>
          <w:bCs w:val="0"/>
          <w:sz w:val="28"/>
          <w:szCs w:val="28"/>
        </w:rPr>
        <w:t xml:space="preserve">connaitre une </w:t>
      </w:r>
      <w:r w:rsidR="00913E14" w:rsidRPr="005231B4">
        <w:rPr>
          <w:rFonts w:ascii="Sylfaen" w:hAnsi="Sylfaen"/>
          <w:b w:val="0"/>
          <w:bCs w:val="0"/>
          <w:sz w:val="28"/>
          <w:szCs w:val="28"/>
        </w:rPr>
        <w:t>légère</w:t>
      </w:r>
      <w:r w:rsidR="00A96F62" w:rsidRPr="005231B4">
        <w:rPr>
          <w:rFonts w:ascii="Sylfaen" w:hAnsi="Sylfaen"/>
          <w:b w:val="0"/>
          <w:bCs w:val="0"/>
          <w:sz w:val="28"/>
          <w:szCs w:val="28"/>
        </w:rPr>
        <w:t xml:space="preserve"> augmentation </w:t>
      </w:r>
      <w:r>
        <w:rPr>
          <w:rFonts w:ascii="Sylfaen" w:hAnsi="Sylfaen"/>
          <w:b w:val="0"/>
          <w:bCs w:val="0"/>
          <w:sz w:val="28"/>
          <w:szCs w:val="28"/>
        </w:rPr>
        <w:t xml:space="preserve">pour atteindre </w:t>
      </w:r>
      <w:r w:rsidR="00913E14">
        <w:rPr>
          <w:rFonts w:ascii="Sylfaen" w:hAnsi="Sylfaen"/>
          <w:b w:val="0"/>
          <w:bCs w:val="0"/>
          <w:sz w:val="28"/>
          <w:szCs w:val="28"/>
        </w:rPr>
        <w:t>20,8% du PIB  au lieu de 19,</w:t>
      </w:r>
      <w:r w:rsidR="00DD3578">
        <w:rPr>
          <w:rFonts w:ascii="Sylfaen" w:hAnsi="Sylfaen"/>
          <w:b w:val="0"/>
          <w:bCs w:val="0"/>
          <w:sz w:val="28"/>
          <w:szCs w:val="28"/>
        </w:rPr>
        <w:t>8</w:t>
      </w:r>
      <w:r w:rsidR="00913E14">
        <w:rPr>
          <w:rFonts w:ascii="Sylfaen" w:hAnsi="Sylfaen"/>
          <w:b w:val="0"/>
          <w:bCs w:val="0"/>
          <w:sz w:val="28"/>
          <w:szCs w:val="28"/>
        </w:rPr>
        <w:t>% en 2014, restant</w:t>
      </w:r>
      <w:r w:rsidR="00162F1D">
        <w:rPr>
          <w:rFonts w:ascii="Sylfaen" w:hAnsi="Sylfaen"/>
          <w:b w:val="0"/>
          <w:bCs w:val="0"/>
          <w:sz w:val="28"/>
          <w:szCs w:val="28"/>
        </w:rPr>
        <w:t xml:space="preserve"> cependant</w:t>
      </w:r>
      <w:r w:rsidR="00913E14">
        <w:rPr>
          <w:rFonts w:ascii="Sylfaen" w:hAnsi="Sylfaen"/>
          <w:b w:val="0"/>
          <w:bCs w:val="0"/>
          <w:sz w:val="28"/>
          <w:szCs w:val="28"/>
        </w:rPr>
        <w:t xml:space="preserve"> en deçà  des taux</w:t>
      </w:r>
      <w:r>
        <w:rPr>
          <w:rFonts w:ascii="Sylfaen" w:hAnsi="Sylfaen"/>
          <w:b w:val="0"/>
          <w:bCs w:val="0"/>
          <w:sz w:val="28"/>
          <w:szCs w:val="28"/>
        </w:rPr>
        <w:t xml:space="preserve"> </w:t>
      </w:r>
      <w:r w:rsidR="00E37DDB">
        <w:rPr>
          <w:rFonts w:ascii="Sylfaen" w:hAnsi="Sylfaen"/>
          <w:b w:val="0"/>
          <w:bCs w:val="0"/>
          <w:sz w:val="28"/>
          <w:szCs w:val="28"/>
        </w:rPr>
        <w:t xml:space="preserve">annuels moyens </w:t>
      </w:r>
      <w:r>
        <w:rPr>
          <w:rFonts w:ascii="Sylfaen" w:hAnsi="Sylfaen"/>
          <w:b w:val="0"/>
          <w:bCs w:val="0"/>
          <w:sz w:val="28"/>
          <w:szCs w:val="28"/>
        </w:rPr>
        <w:t xml:space="preserve">de 23,7% </w:t>
      </w:r>
      <w:r w:rsidR="00913E14">
        <w:rPr>
          <w:rFonts w:ascii="Sylfaen" w:hAnsi="Sylfaen"/>
          <w:b w:val="0"/>
          <w:bCs w:val="0"/>
          <w:sz w:val="28"/>
          <w:szCs w:val="28"/>
        </w:rPr>
        <w:t xml:space="preserve">enregistrés entre </w:t>
      </w:r>
      <w:r w:rsidR="00602822">
        <w:rPr>
          <w:rFonts w:ascii="Sylfaen" w:hAnsi="Sylfaen"/>
          <w:b w:val="0"/>
          <w:bCs w:val="0"/>
          <w:sz w:val="28"/>
          <w:szCs w:val="28"/>
        </w:rPr>
        <w:t>2007 et 2011.</w:t>
      </w:r>
      <w:r w:rsidR="003D2E03" w:rsidRPr="005231B4">
        <w:rPr>
          <w:rFonts w:ascii="Sylfaen" w:hAnsi="Sylfaen"/>
          <w:b w:val="0"/>
          <w:bCs w:val="0"/>
          <w:sz w:val="28"/>
          <w:szCs w:val="28"/>
        </w:rPr>
        <w:t xml:space="preserve"> </w:t>
      </w:r>
    </w:p>
    <w:p w:rsidR="00A94D0B" w:rsidRPr="00A94D0B" w:rsidRDefault="0027716B" w:rsidP="00E37DD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L</w:t>
      </w:r>
      <w:r w:rsidR="00E37DDB" w:rsidRPr="005231B4">
        <w:rPr>
          <w:rFonts w:ascii="Sylfaen" w:hAnsi="Sylfaen"/>
          <w:b w:val="0"/>
          <w:bCs w:val="0"/>
          <w:sz w:val="28"/>
          <w:szCs w:val="28"/>
        </w:rPr>
        <w:t>’épargne nationale se maintiendrait à prés  de</w:t>
      </w:r>
      <w:r w:rsidR="00E37DDB">
        <w:rPr>
          <w:rFonts w:ascii="Sylfaen" w:hAnsi="Sylfaen"/>
          <w:b w:val="0"/>
          <w:bCs w:val="0"/>
          <w:sz w:val="28"/>
          <w:szCs w:val="28"/>
        </w:rPr>
        <w:t xml:space="preserve"> 26,3% du PIB, c</w:t>
      </w:r>
      <w:r w:rsidR="003D2E03" w:rsidRPr="005231B4">
        <w:rPr>
          <w:rFonts w:ascii="Sylfaen" w:hAnsi="Sylfaen"/>
          <w:b w:val="0"/>
          <w:bCs w:val="0"/>
          <w:sz w:val="28"/>
          <w:szCs w:val="28"/>
        </w:rPr>
        <w:t xml:space="preserve">ompte tenu des revenus nets en provenance du reste du monde, </w:t>
      </w:r>
      <w:r w:rsidR="00E37DDB">
        <w:rPr>
          <w:rFonts w:ascii="Sylfaen" w:hAnsi="Sylfaen"/>
          <w:b w:val="0"/>
          <w:bCs w:val="0"/>
          <w:sz w:val="28"/>
          <w:szCs w:val="28"/>
        </w:rPr>
        <w:t xml:space="preserve">lesquels devraient </w:t>
      </w:r>
      <w:r w:rsidR="003D2E03" w:rsidRPr="005231B4">
        <w:rPr>
          <w:rFonts w:ascii="Sylfaen" w:hAnsi="Sylfaen"/>
          <w:b w:val="0"/>
          <w:bCs w:val="0"/>
          <w:sz w:val="28"/>
          <w:szCs w:val="28"/>
        </w:rPr>
        <w:t>représent</w:t>
      </w:r>
      <w:r w:rsidR="00E37DDB">
        <w:rPr>
          <w:rFonts w:ascii="Sylfaen" w:hAnsi="Sylfaen"/>
          <w:b w:val="0"/>
          <w:bCs w:val="0"/>
          <w:sz w:val="28"/>
          <w:szCs w:val="28"/>
        </w:rPr>
        <w:t xml:space="preserve">er </w:t>
      </w:r>
      <w:r w:rsidR="003D2E03" w:rsidRPr="005231B4">
        <w:rPr>
          <w:rFonts w:ascii="Sylfaen" w:hAnsi="Sylfaen"/>
          <w:b w:val="0"/>
          <w:bCs w:val="0"/>
          <w:sz w:val="28"/>
          <w:szCs w:val="28"/>
        </w:rPr>
        <w:t>5,</w:t>
      </w:r>
      <w:r w:rsidR="00E54CB5" w:rsidRPr="005231B4">
        <w:rPr>
          <w:rFonts w:ascii="Sylfaen" w:hAnsi="Sylfaen"/>
          <w:b w:val="0"/>
          <w:bCs w:val="0"/>
          <w:sz w:val="28"/>
          <w:szCs w:val="28"/>
        </w:rPr>
        <w:t>5</w:t>
      </w:r>
      <w:r w:rsidR="00E37DDB">
        <w:rPr>
          <w:rFonts w:ascii="Sylfaen" w:hAnsi="Sylfaen"/>
          <w:b w:val="0"/>
          <w:bCs w:val="0"/>
          <w:sz w:val="28"/>
          <w:szCs w:val="28"/>
        </w:rPr>
        <w:t>% du PIB</w:t>
      </w:r>
      <w:r w:rsidR="00E54CB5" w:rsidRPr="005231B4">
        <w:rPr>
          <w:rFonts w:ascii="Sylfaen" w:hAnsi="Sylfaen"/>
          <w:b w:val="0"/>
          <w:bCs w:val="0"/>
          <w:sz w:val="28"/>
          <w:szCs w:val="28"/>
        </w:rPr>
        <w:t>.</w:t>
      </w:r>
      <w:r w:rsidR="003D2E03" w:rsidRPr="005231B4">
        <w:rPr>
          <w:rFonts w:ascii="Sylfaen" w:hAnsi="Sylfaen"/>
          <w:b w:val="0"/>
          <w:bCs w:val="0"/>
          <w:sz w:val="28"/>
          <w:szCs w:val="28"/>
        </w:rPr>
        <w:t xml:space="preserve"> </w:t>
      </w:r>
      <w:bookmarkStart w:id="6" w:name="_Toc318191897"/>
      <w:bookmarkStart w:id="7" w:name="_Toc328056277"/>
      <w:bookmarkStart w:id="8" w:name="_Toc328056531"/>
      <w:bookmarkStart w:id="9" w:name="_Toc202419680"/>
      <w:r w:rsidR="00A94D0B" w:rsidRPr="00A94D0B">
        <w:rPr>
          <w:rFonts w:ascii="Sylfaen" w:hAnsi="Sylfaen"/>
          <w:b w:val="0"/>
          <w:bCs w:val="0"/>
          <w:sz w:val="28"/>
          <w:szCs w:val="28"/>
        </w:rPr>
        <w:t xml:space="preserve">L’investissement brut </w:t>
      </w:r>
      <w:r w:rsidR="00A94D0B">
        <w:rPr>
          <w:rFonts w:ascii="Sylfaen" w:hAnsi="Sylfaen"/>
          <w:b w:val="0"/>
          <w:bCs w:val="0"/>
          <w:sz w:val="28"/>
          <w:szCs w:val="28"/>
        </w:rPr>
        <w:t>serait</w:t>
      </w:r>
      <w:r w:rsidR="00A94D0B" w:rsidRPr="00A94D0B">
        <w:rPr>
          <w:rFonts w:ascii="Sylfaen" w:hAnsi="Sylfaen"/>
          <w:b w:val="0"/>
          <w:bCs w:val="0"/>
          <w:sz w:val="28"/>
          <w:szCs w:val="28"/>
        </w:rPr>
        <w:t xml:space="preserve"> en légère baisse pour représenter </w:t>
      </w:r>
      <w:r w:rsidR="00A94D0B" w:rsidRPr="005231B4">
        <w:rPr>
          <w:rFonts w:ascii="Sylfaen" w:hAnsi="Sylfaen"/>
          <w:b w:val="0"/>
          <w:bCs w:val="0"/>
          <w:sz w:val="28"/>
          <w:szCs w:val="28"/>
        </w:rPr>
        <w:t>2</w:t>
      </w:r>
      <w:r w:rsidR="00A94D0B">
        <w:rPr>
          <w:rFonts w:ascii="Sylfaen" w:hAnsi="Sylfaen"/>
          <w:b w:val="0"/>
          <w:bCs w:val="0"/>
          <w:sz w:val="28"/>
          <w:szCs w:val="28"/>
        </w:rPr>
        <w:t>9</w:t>
      </w:r>
      <w:r w:rsidR="00A94D0B" w:rsidRPr="005231B4">
        <w:rPr>
          <w:rFonts w:ascii="Sylfaen" w:hAnsi="Sylfaen"/>
          <w:b w:val="0"/>
          <w:bCs w:val="0"/>
          <w:sz w:val="28"/>
          <w:szCs w:val="28"/>
        </w:rPr>
        <w:t>,</w:t>
      </w:r>
      <w:r w:rsidR="00FA4729">
        <w:rPr>
          <w:rFonts w:ascii="Sylfaen" w:hAnsi="Sylfaen"/>
          <w:b w:val="0"/>
          <w:bCs w:val="0"/>
          <w:sz w:val="28"/>
          <w:szCs w:val="28"/>
        </w:rPr>
        <w:t>6</w:t>
      </w:r>
      <w:r w:rsidR="00A94D0B" w:rsidRPr="005231B4">
        <w:rPr>
          <w:rFonts w:ascii="Sylfaen" w:hAnsi="Sylfaen"/>
          <w:b w:val="0"/>
          <w:bCs w:val="0"/>
          <w:sz w:val="28"/>
          <w:szCs w:val="28"/>
        </w:rPr>
        <w:t>% du PIB</w:t>
      </w:r>
      <w:r w:rsidR="00A94D0B" w:rsidRPr="00A94D0B">
        <w:rPr>
          <w:rFonts w:ascii="Sylfaen" w:hAnsi="Sylfaen"/>
          <w:b w:val="0"/>
          <w:bCs w:val="0"/>
          <w:sz w:val="28"/>
          <w:szCs w:val="28"/>
        </w:rPr>
        <w:t xml:space="preserve"> </w:t>
      </w:r>
      <w:r w:rsidR="00A94D0B">
        <w:rPr>
          <w:rFonts w:ascii="Sylfaen" w:hAnsi="Sylfaen"/>
          <w:b w:val="0"/>
          <w:bCs w:val="0"/>
          <w:sz w:val="28"/>
          <w:szCs w:val="28"/>
        </w:rPr>
        <w:t xml:space="preserve">au lieu de </w:t>
      </w:r>
      <w:r w:rsidR="00A94D0B" w:rsidRPr="00A94D0B">
        <w:rPr>
          <w:rFonts w:ascii="Sylfaen" w:hAnsi="Sylfaen"/>
          <w:b w:val="0"/>
          <w:bCs w:val="0"/>
          <w:sz w:val="28"/>
          <w:szCs w:val="28"/>
        </w:rPr>
        <w:t>32,</w:t>
      </w:r>
      <w:r w:rsidR="00FA4729">
        <w:rPr>
          <w:rFonts w:ascii="Sylfaen" w:hAnsi="Sylfaen"/>
          <w:b w:val="0"/>
          <w:bCs w:val="0"/>
          <w:sz w:val="28"/>
          <w:szCs w:val="28"/>
        </w:rPr>
        <w:t>2</w:t>
      </w:r>
      <w:r w:rsidR="00A94D0B" w:rsidRPr="00A94D0B">
        <w:rPr>
          <w:rFonts w:ascii="Sylfaen" w:hAnsi="Sylfaen"/>
          <w:b w:val="0"/>
          <w:bCs w:val="0"/>
          <w:sz w:val="28"/>
          <w:szCs w:val="28"/>
        </w:rPr>
        <w:t>% du PIB en 2014</w:t>
      </w:r>
      <w:r w:rsidR="00FA4729">
        <w:rPr>
          <w:rFonts w:ascii="Sylfaen" w:hAnsi="Sylfaen"/>
          <w:b w:val="0"/>
          <w:bCs w:val="0"/>
          <w:sz w:val="28"/>
          <w:szCs w:val="28"/>
        </w:rPr>
        <w:t>, en raison</w:t>
      </w:r>
      <w:r w:rsidR="00F40517">
        <w:rPr>
          <w:rFonts w:ascii="Sylfaen" w:hAnsi="Sylfaen"/>
          <w:b w:val="0"/>
          <w:bCs w:val="0"/>
          <w:sz w:val="28"/>
          <w:szCs w:val="28"/>
        </w:rPr>
        <w:t xml:space="preserve"> notamment,</w:t>
      </w:r>
      <w:r w:rsidR="00FA4729">
        <w:rPr>
          <w:rFonts w:ascii="Sylfaen" w:hAnsi="Sylfaen"/>
          <w:b w:val="0"/>
          <w:bCs w:val="0"/>
          <w:sz w:val="28"/>
          <w:szCs w:val="28"/>
        </w:rPr>
        <w:t xml:space="preserve"> de la baisse de la variation de stocks de 3,2% du PIB par an durant 2012-2014 à 1,6% en 2015</w:t>
      </w:r>
      <w:r w:rsidR="00A94D0B" w:rsidRPr="00A94D0B">
        <w:rPr>
          <w:rFonts w:ascii="Sylfaen" w:hAnsi="Sylfaen"/>
          <w:b w:val="0"/>
          <w:bCs w:val="0"/>
          <w:sz w:val="28"/>
          <w:szCs w:val="28"/>
        </w:rPr>
        <w:t>.</w:t>
      </w:r>
      <w:r w:rsidR="00FA4729">
        <w:rPr>
          <w:rFonts w:ascii="Sylfaen" w:hAnsi="Sylfaen"/>
          <w:b w:val="0"/>
          <w:bCs w:val="0"/>
          <w:sz w:val="28"/>
          <w:szCs w:val="28"/>
        </w:rPr>
        <w:t xml:space="preserve"> L</w:t>
      </w:r>
      <w:r w:rsidR="00A94D0B" w:rsidRPr="00A94D0B">
        <w:rPr>
          <w:rFonts w:ascii="Sylfaen" w:hAnsi="Sylfaen"/>
          <w:b w:val="0"/>
          <w:bCs w:val="0"/>
          <w:sz w:val="28"/>
          <w:szCs w:val="28"/>
        </w:rPr>
        <w:t xml:space="preserve">e compte épargne-investissement </w:t>
      </w:r>
      <w:r w:rsidR="00F40517">
        <w:rPr>
          <w:rFonts w:ascii="Sylfaen" w:hAnsi="Sylfaen"/>
          <w:b w:val="0"/>
          <w:bCs w:val="0"/>
          <w:sz w:val="28"/>
          <w:szCs w:val="28"/>
        </w:rPr>
        <w:t>connaitrait</w:t>
      </w:r>
      <w:r w:rsidR="00FA4729">
        <w:rPr>
          <w:rFonts w:ascii="Sylfaen" w:hAnsi="Sylfaen"/>
          <w:b w:val="0"/>
          <w:bCs w:val="0"/>
          <w:sz w:val="28"/>
          <w:szCs w:val="28"/>
        </w:rPr>
        <w:t xml:space="preserve"> en conséquence</w:t>
      </w:r>
      <w:r w:rsidR="00F40517">
        <w:rPr>
          <w:rFonts w:ascii="Sylfaen" w:hAnsi="Sylfaen"/>
          <w:b w:val="0"/>
          <w:bCs w:val="0"/>
          <w:sz w:val="28"/>
          <w:szCs w:val="28"/>
        </w:rPr>
        <w:t>,</w:t>
      </w:r>
      <w:r w:rsidR="00FA4729">
        <w:rPr>
          <w:rFonts w:ascii="Sylfaen" w:hAnsi="Sylfaen"/>
          <w:b w:val="0"/>
          <w:bCs w:val="0"/>
          <w:sz w:val="28"/>
          <w:szCs w:val="28"/>
        </w:rPr>
        <w:t xml:space="preserve"> u</w:t>
      </w:r>
      <w:r w:rsidR="00617D06">
        <w:rPr>
          <w:rFonts w:ascii="Sylfaen" w:hAnsi="Sylfaen"/>
          <w:b w:val="0"/>
          <w:bCs w:val="0"/>
          <w:sz w:val="28"/>
          <w:szCs w:val="28"/>
        </w:rPr>
        <w:t xml:space="preserve">n </w:t>
      </w:r>
      <w:r w:rsidR="00FA4729">
        <w:rPr>
          <w:rFonts w:ascii="Sylfaen" w:hAnsi="Sylfaen"/>
          <w:b w:val="0"/>
          <w:bCs w:val="0"/>
          <w:sz w:val="28"/>
          <w:szCs w:val="28"/>
        </w:rPr>
        <w:t>allégement</w:t>
      </w:r>
      <w:r w:rsidR="00A94D0B" w:rsidRPr="00A94D0B">
        <w:rPr>
          <w:rFonts w:ascii="Sylfaen" w:hAnsi="Sylfaen"/>
          <w:b w:val="0"/>
          <w:bCs w:val="0"/>
          <w:sz w:val="28"/>
          <w:szCs w:val="28"/>
        </w:rPr>
        <w:t xml:space="preserve"> d</w:t>
      </w:r>
      <w:r w:rsidR="00FA4729">
        <w:rPr>
          <w:rFonts w:ascii="Sylfaen" w:hAnsi="Sylfaen"/>
          <w:b w:val="0"/>
          <w:bCs w:val="0"/>
          <w:sz w:val="28"/>
          <w:szCs w:val="28"/>
        </w:rPr>
        <w:t xml:space="preserve">e son </w:t>
      </w:r>
      <w:r w:rsidR="00A94D0B" w:rsidRPr="00A94D0B">
        <w:rPr>
          <w:rFonts w:ascii="Sylfaen" w:hAnsi="Sylfaen"/>
          <w:b w:val="0"/>
          <w:bCs w:val="0"/>
          <w:sz w:val="28"/>
          <w:szCs w:val="28"/>
        </w:rPr>
        <w:t xml:space="preserve">déficit de financement, se situant à </w:t>
      </w:r>
      <w:r w:rsidR="00A94D0B">
        <w:rPr>
          <w:rFonts w:ascii="Sylfaen" w:hAnsi="Sylfaen"/>
          <w:b w:val="0"/>
          <w:bCs w:val="0"/>
          <w:sz w:val="28"/>
          <w:szCs w:val="28"/>
        </w:rPr>
        <w:t>3</w:t>
      </w:r>
      <w:r w:rsidR="00A94D0B" w:rsidRPr="00A94D0B">
        <w:rPr>
          <w:rFonts w:ascii="Sylfaen" w:hAnsi="Sylfaen"/>
          <w:b w:val="0"/>
          <w:bCs w:val="0"/>
          <w:sz w:val="28"/>
          <w:szCs w:val="28"/>
        </w:rPr>
        <w:t>,</w:t>
      </w:r>
      <w:r w:rsidR="00A94D0B">
        <w:rPr>
          <w:rFonts w:ascii="Sylfaen" w:hAnsi="Sylfaen"/>
          <w:b w:val="0"/>
          <w:bCs w:val="0"/>
          <w:sz w:val="28"/>
          <w:szCs w:val="28"/>
        </w:rPr>
        <w:t>3</w:t>
      </w:r>
      <w:r w:rsidR="00A94D0B" w:rsidRPr="00A94D0B">
        <w:rPr>
          <w:rFonts w:ascii="Sylfaen" w:hAnsi="Sylfaen"/>
          <w:b w:val="0"/>
          <w:bCs w:val="0"/>
          <w:sz w:val="28"/>
          <w:szCs w:val="28"/>
        </w:rPr>
        <w:t>% du PIB au lieu de</w:t>
      </w:r>
      <w:r w:rsidR="00A94D0B">
        <w:rPr>
          <w:rFonts w:ascii="Sylfaen" w:hAnsi="Sylfaen"/>
          <w:b w:val="0"/>
          <w:bCs w:val="0"/>
          <w:sz w:val="28"/>
          <w:szCs w:val="28"/>
        </w:rPr>
        <w:t xml:space="preserve"> 5</w:t>
      </w:r>
      <w:r w:rsidR="00A94D0B" w:rsidRPr="00A94D0B">
        <w:rPr>
          <w:rFonts w:ascii="Sylfaen" w:hAnsi="Sylfaen"/>
          <w:b w:val="0"/>
          <w:bCs w:val="0"/>
          <w:sz w:val="28"/>
          <w:szCs w:val="28"/>
        </w:rPr>
        <w:t>,</w:t>
      </w:r>
      <w:r w:rsidR="00FA4729">
        <w:rPr>
          <w:rFonts w:ascii="Sylfaen" w:hAnsi="Sylfaen"/>
          <w:b w:val="0"/>
          <w:bCs w:val="0"/>
          <w:sz w:val="28"/>
          <w:szCs w:val="28"/>
        </w:rPr>
        <w:t>8</w:t>
      </w:r>
      <w:r w:rsidR="00A94D0B" w:rsidRPr="00A94D0B">
        <w:rPr>
          <w:rFonts w:ascii="Sylfaen" w:hAnsi="Sylfaen"/>
          <w:b w:val="0"/>
          <w:bCs w:val="0"/>
          <w:sz w:val="28"/>
          <w:szCs w:val="28"/>
        </w:rPr>
        <w:t>% en 201</w:t>
      </w:r>
      <w:r w:rsidR="001973FE">
        <w:rPr>
          <w:rFonts w:ascii="Sylfaen" w:hAnsi="Sylfaen"/>
          <w:b w:val="0"/>
          <w:bCs w:val="0"/>
          <w:sz w:val="28"/>
          <w:szCs w:val="28"/>
        </w:rPr>
        <w:t>4</w:t>
      </w:r>
      <w:r w:rsidR="00FA4729">
        <w:rPr>
          <w:rFonts w:ascii="Sylfaen" w:hAnsi="Sylfaen"/>
          <w:b w:val="0"/>
          <w:bCs w:val="0"/>
          <w:sz w:val="28"/>
          <w:szCs w:val="28"/>
        </w:rPr>
        <w:t>.</w:t>
      </w:r>
      <w:r w:rsidR="00617D06">
        <w:rPr>
          <w:rFonts w:ascii="Sylfaen" w:hAnsi="Sylfaen"/>
          <w:b w:val="0"/>
          <w:bCs w:val="0"/>
          <w:sz w:val="28"/>
          <w:szCs w:val="28"/>
        </w:rPr>
        <w:t xml:space="preserve"> </w:t>
      </w:r>
    </w:p>
    <w:bookmarkEnd w:id="6"/>
    <w:bookmarkEnd w:id="7"/>
    <w:bookmarkEnd w:id="8"/>
    <w:bookmarkEnd w:id="9"/>
    <w:p w:rsidR="006E6A14" w:rsidRPr="00E01BDA" w:rsidRDefault="006E6A14" w:rsidP="00F40517">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A94D0B">
        <w:rPr>
          <w:rFonts w:ascii="Sylfaen" w:hAnsi="Sylfaen"/>
          <w:b w:val="0"/>
          <w:bCs w:val="0"/>
          <w:sz w:val="28"/>
          <w:szCs w:val="28"/>
        </w:rPr>
        <w:t>Au niveau des finances publiques, l</w:t>
      </w:r>
      <w:r w:rsidR="00C970FC" w:rsidRPr="00A94D0B">
        <w:rPr>
          <w:rFonts w:ascii="Sylfaen" w:hAnsi="Sylfaen"/>
          <w:b w:val="0"/>
          <w:bCs w:val="0"/>
          <w:sz w:val="28"/>
          <w:szCs w:val="28"/>
        </w:rPr>
        <w:t>a</w:t>
      </w:r>
      <w:r w:rsidRPr="00A94D0B">
        <w:rPr>
          <w:rFonts w:ascii="Sylfaen" w:hAnsi="Sylfaen"/>
          <w:b w:val="0"/>
          <w:bCs w:val="0"/>
          <w:sz w:val="28"/>
          <w:szCs w:val="28"/>
        </w:rPr>
        <w:t xml:space="preserve"> réduction des dépenses budgétaires de </w:t>
      </w:r>
      <w:r w:rsidR="00FA4729">
        <w:rPr>
          <w:rFonts w:ascii="Sylfaen" w:hAnsi="Sylfaen"/>
          <w:b w:val="0"/>
          <w:bCs w:val="0"/>
          <w:sz w:val="28"/>
          <w:szCs w:val="28"/>
        </w:rPr>
        <w:t xml:space="preserve">soutien des prix, </w:t>
      </w:r>
      <w:r w:rsidR="00C970FC" w:rsidRPr="00A94D0B">
        <w:rPr>
          <w:rFonts w:ascii="Sylfaen" w:hAnsi="Sylfaen"/>
          <w:b w:val="0"/>
          <w:bCs w:val="0"/>
          <w:sz w:val="28"/>
          <w:szCs w:val="28"/>
        </w:rPr>
        <w:t xml:space="preserve">dans le cadre de la réforme de </w:t>
      </w:r>
      <w:r w:rsidR="00FA4729">
        <w:rPr>
          <w:rFonts w:ascii="Sylfaen" w:hAnsi="Sylfaen"/>
          <w:b w:val="0"/>
          <w:bCs w:val="0"/>
          <w:sz w:val="28"/>
          <w:szCs w:val="28"/>
        </w:rPr>
        <w:t xml:space="preserve">la </w:t>
      </w:r>
      <w:r w:rsidR="00FA4729" w:rsidRPr="00A94D0B">
        <w:rPr>
          <w:rFonts w:ascii="Sylfaen" w:hAnsi="Sylfaen"/>
          <w:b w:val="0"/>
          <w:bCs w:val="0"/>
          <w:sz w:val="28"/>
          <w:szCs w:val="28"/>
        </w:rPr>
        <w:t>compensation</w:t>
      </w:r>
      <w:r w:rsidR="00FA4729">
        <w:rPr>
          <w:rFonts w:ascii="Sylfaen" w:hAnsi="Sylfaen"/>
          <w:b w:val="0"/>
          <w:bCs w:val="0"/>
          <w:sz w:val="28"/>
          <w:szCs w:val="28"/>
        </w:rPr>
        <w:t>,</w:t>
      </w:r>
      <w:r w:rsidR="00FA4729" w:rsidRPr="00A94D0B">
        <w:rPr>
          <w:rFonts w:ascii="Sylfaen" w:hAnsi="Sylfaen"/>
          <w:b w:val="0"/>
          <w:bCs w:val="0"/>
          <w:sz w:val="28"/>
          <w:szCs w:val="28"/>
        </w:rPr>
        <w:t xml:space="preserve"> </w:t>
      </w:r>
      <w:r w:rsidR="00FA4729">
        <w:rPr>
          <w:rFonts w:ascii="Sylfaen" w:hAnsi="Sylfaen"/>
          <w:b w:val="0"/>
          <w:bCs w:val="0"/>
          <w:sz w:val="28"/>
          <w:szCs w:val="28"/>
        </w:rPr>
        <w:t>associée</w:t>
      </w:r>
      <w:r w:rsidRPr="00A94D0B">
        <w:rPr>
          <w:rFonts w:ascii="Sylfaen" w:hAnsi="Sylfaen"/>
          <w:b w:val="0"/>
          <w:bCs w:val="0"/>
          <w:sz w:val="28"/>
          <w:szCs w:val="28"/>
        </w:rPr>
        <w:t xml:space="preserve"> aux efforts </w:t>
      </w:r>
      <w:r w:rsidR="00617D06">
        <w:rPr>
          <w:rFonts w:ascii="Sylfaen" w:hAnsi="Sylfaen"/>
          <w:b w:val="0"/>
          <w:bCs w:val="0"/>
          <w:sz w:val="28"/>
          <w:szCs w:val="28"/>
        </w:rPr>
        <w:t xml:space="preserve">de </w:t>
      </w:r>
      <w:r w:rsidRPr="00A94D0B">
        <w:rPr>
          <w:rFonts w:ascii="Sylfaen" w:hAnsi="Sylfaen"/>
          <w:b w:val="0"/>
          <w:bCs w:val="0"/>
          <w:sz w:val="28"/>
          <w:szCs w:val="28"/>
        </w:rPr>
        <w:t xml:space="preserve">renforcement de la collecte des recettes fiscales, devraient se traduire par </w:t>
      </w:r>
      <w:r w:rsidR="00F40517">
        <w:rPr>
          <w:rFonts w:ascii="Sylfaen" w:hAnsi="Sylfaen"/>
          <w:b w:val="0"/>
          <w:bCs w:val="0"/>
          <w:sz w:val="28"/>
          <w:szCs w:val="28"/>
        </w:rPr>
        <w:t>un allégement du</w:t>
      </w:r>
      <w:r w:rsidRPr="00A94D0B">
        <w:rPr>
          <w:rFonts w:ascii="Sylfaen" w:hAnsi="Sylfaen"/>
          <w:b w:val="0"/>
          <w:bCs w:val="0"/>
          <w:sz w:val="28"/>
          <w:szCs w:val="28"/>
        </w:rPr>
        <w:t xml:space="preserve"> déficit budgétaire qui passerait de 5,2% du PIB en 2014 à 4,</w:t>
      </w:r>
      <w:r w:rsidR="00617D06">
        <w:rPr>
          <w:rFonts w:ascii="Sylfaen" w:hAnsi="Sylfaen"/>
          <w:b w:val="0"/>
          <w:bCs w:val="0"/>
          <w:sz w:val="28"/>
          <w:szCs w:val="28"/>
        </w:rPr>
        <w:t>4</w:t>
      </w:r>
      <w:r w:rsidRPr="00A94D0B">
        <w:rPr>
          <w:rFonts w:ascii="Sylfaen" w:hAnsi="Sylfaen"/>
          <w:b w:val="0"/>
          <w:bCs w:val="0"/>
          <w:sz w:val="28"/>
          <w:szCs w:val="28"/>
        </w:rPr>
        <w:t xml:space="preserve">% en 2015. </w:t>
      </w:r>
      <w:r w:rsidR="00FA4729">
        <w:rPr>
          <w:rFonts w:ascii="Sylfaen" w:hAnsi="Sylfaen"/>
          <w:b w:val="0"/>
          <w:bCs w:val="0"/>
          <w:sz w:val="28"/>
          <w:szCs w:val="28"/>
        </w:rPr>
        <w:t>Dans ces conditions,</w:t>
      </w:r>
      <w:r w:rsidRPr="00E01BDA">
        <w:rPr>
          <w:rFonts w:ascii="Sylfaen" w:hAnsi="Sylfaen"/>
          <w:b w:val="0"/>
          <w:bCs w:val="0"/>
          <w:sz w:val="28"/>
          <w:szCs w:val="28"/>
        </w:rPr>
        <w:t xml:space="preserve"> </w:t>
      </w:r>
      <w:r w:rsidR="00FA4729" w:rsidRPr="00E01BDA">
        <w:rPr>
          <w:rFonts w:ascii="Sylfaen" w:hAnsi="Sylfaen"/>
          <w:b w:val="0"/>
          <w:bCs w:val="0"/>
          <w:sz w:val="28"/>
          <w:szCs w:val="28"/>
        </w:rPr>
        <w:t>l</w:t>
      </w:r>
      <w:r w:rsidRPr="00E01BDA">
        <w:rPr>
          <w:rFonts w:ascii="Sylfaen" w:hAnsi="Sylfaen"/>
          <w:b w:val="0"/>
          <w:bCs w:val="0"/>
          <w:sz w:val="28"/>
          <w:szCs w:val="28"/>
        </w:rPr>
        <w:t xml:space="preserve">’endettement global du trésor devrait </w:t>
      </w:r>
      <w:r w:rsidR="00FA4729" w:rsidRPr="00E01BDA">
        <w:rPr>
          <w:rFonts w:ascii="Sylfaen" w:hAnsi="Sylfaen"/>
          <w:b w:val="0"/>
          <w:bCs w:val="0"/>
          <w:sz w:val="28"/>
          <w:szCs w:val="28"/>
        </w:rPr>
        <w:t>représenter</w:t>
      </w:r>
      <w:r w:rsidRPr="00E01BDA">
        <w:rPr>
          <w:rFonts w:ascii="Sylfaen" w:hAnsi="Sylfaen"/>
          <w:b w:val="0"/>
          <w:bCs w:val="0"/>
          <w:sz w:val="28"/>
          <w:szCs w:val="28"/>
        </w:rPr>
        <w:t xml:space="preserve"> 6</w:t>
      </w:r>
      <w:r w:rsidR="00C970FC" w:rsidRPr="00E01BDA">
        <w:rPr>
          <w:rFonts w:ascii="Sylfaen" w:hAnsi="Sylfaen"/>
          <w:b w:val="0"/>
          <w:bCs w:val="0"/>
          <w:sz w:val="28"/>
          <w:szCs w:val="28"/>
        </w:rPr>
        <w:t>3</w:t>
      </w:r>
      <w:r w:rsidRPr="00E01BDA">
        <w:rPr>
          <w:rFonts w:ascii="Sylfaen" w:hAnsi="Sylfaen"/>
          <w:b w:val="0"/>
          <w:bCs w:val="0"/>
          <w:sz w:val="28"/>
          <w:szCs w:val="28"/>
        </w:rPr>
        <w:t>,</w:t>
      </w:r>
      <w:r w:rsidR="00C970FC" w:rsidRPr="00E01BDA">
        <w:rPr>
          <w:rFonts w:ascii="Sylfaen" w:hAnsi="Sylfaen"/>
          <w:b w:val="0"/>
          <w:bCs w:val="0"/>
          <w:sz w:val="28"/>
          <w:szCs w:val="28"/>
        </w:rPr>
        <w:t>8</w:t>
      </w:r>
      <w:r w:rsidRPr="00E01BDA">
        <w:rPr>
          <w:rFonts w:ascii="Sylfaen" w:hAnsi="Sylfaen"/>
          <w:b w:val="0"/>
          <w:bCs w:val="0"/>
          <w:sz w:val="28"/>
          <w:szCs w:val="28"/>
        </w:rPr>
        <w:t>% du PIB en 2015 au lieu de 63,</w:t>
      </w:r>
      <w:r w:rsidR="00C970FC" w:rsidRPr="00E01BDA">
        <w:rPr>
          <w:rFonts w:ascii="Sylfaen" w:hAnsi="Sylfaen"/>
          <w:b w:val="0"/>
          <w:bCs w:val="0"/>
          <w:sz w:val="28"/>
          <w:szCs w:val="28"/>
        </w:rPr>
        <w:t>4</w:t>
      </w:r>
      <w:r w:rsidRPr="00E01BDA">
        <w:rPr>
          <w:rFonts w:ascii="Sylfaen" w:hAnsi="Sylfaen"/>
          <w:b w:val="0"/>
          <w:bCs w:val="0"/>
          <w:sz w:val="28"/>
          <w:szCs w:val="28"/>
        </w:rPr>
        <w:t>% en 2014.</w:t>
      </w:r>
    </w:p>
    <w:p w:rsidR="00412495" w:rsidRDefault="00412495" w:rsidP="0010781F">
      <w:pPr>
        <w:widowControl w:val="0"/>
        <w:adjustRightInd w:val="0"/>
        <w:spacing w:before="100" w:beforeAutospacing="1" w:after="100" w:afterAutospacing="1" w:line="276" w:lineRule="auto"/>
        <w:ind w:firstLine="709"/>
        <w:jc w:val="both"/>
        <w:rPr>
          <w:rFonts w:ascii="Sylfaen" w:hAnsi="Sylfaen"/>
          <w:b w:val="0"/>
          <w:bCs w:val="0"/>
          <w:sz w:val="28"/>
          <w:szCs w:val="28"/>
        </w:rPr>
      </w:pPr>
      <w:r w:rsidRPr="00412495">
        <w:rPr>
          <w:rFonts w:ascii="Sylfaen" w:hAnsi="Sylfaen"/>
          <w:b w:val="0"/>
          <w:bCs w:val="0"/>
          <w:sz w:val="28"/>
          <w:szCs w:val="28"/>
        </w:rPr>
        <w:t xml:space="preserve">Dans </w:t>
      </w:r>
      <w:r w:rsidR="00A36726">
        <w:rPr>
          <w:rFonts w:ascii="Sylfaen" w:hAnsi="Sylfaen"/>
          <w:b w:val="0"/>
          <w:bCs w:val="0"/>
          <w:sz w:val="28"/>
          <w:szCs w:val="28"/>
        </w:rPr>
        <w:t>c</w:t>
      </w:r>
      <w:r w:rsidRPr="00412495">
        <w:rPr>
          <w:rFonts w:ascii="Sylfaen" w:hAnsi="Sylfaen"/>
          <w:b w:val="0"/>
          <w:bCs w:val="0"/>
          <w:sz w:val="28"/>
          <w:szCs w:val="28"/>
        </w:rPr>
        <w:t>e contexte</w:t>
      </w:r>
      <w:r w:rsidR="00D36074">
        <w:rPr>
          <w:rFonts w:ascii="Sylfaen" w:hAnsi="Sylfaen"/>
          <w:b w:val="0"/>
          <w:bCs w:val="0"/>
          <w:sz w:val="28"/>
          <w:szCs w:val="28"/>
        </w:rPr>
        <w:t>,</w:t>
      </w:r>
      <w:r w:rsidRPr="00412495">
        <w:rPr>
          <w:rFonts w:ascii="Sylfaen" w:hAnsi="Sylfaen"/>
          <w:b w:val="0"/>
          <w:bCs w:val="0"/>
          <w:sz w:val="28"/>
          <w:szCs w:val="28"/>
        </w:rPr>
        <w:t xml:space="preserve"> </w:t>
      </w:r>
      <w:r w:rsidR="00E45FD8">
        <w:rPr>
          <w:rFonts w:ascii="Sylfaen" w:hAnsi="Sylfaen"/>
          <w:b w:val="0"/>
          <w:bCs w:val="0"/>
          <w:sz w:val="28"/>
          <w:szCs w:val="28"/>
        </w:rPr>
        <w:t>l</w:t>
      </w:r>
      <w:r w:rsidRPr="00412495">
        <w:rPr>
          <w:rFonts w:ascii="Sylfaen" w:hAnsi="Sylfaen"/>
          <w:b w:val="0"/>
          <w:bCs w:val="0"/>
          <w:sz w:val="28"/>
          <w:szCs w:val="28"/>
        </w:rPr>
        <w:t xml:space="preserve">e crédit bancaire </w:t>
      </w:r>
      <w:r w:rsidR="009D49B8" w:rsidRPr="00412495">
        <w:rPr>
          <w:rFonts w:ascii="Sylfaen" w:hAnsi="Sylfaen"/>
          <w:b w:val="0"/>
          <w:bCs w:val="0"/>
          <w:sz w:val="28"/>
          <w:szCs w:val="28"/>
        </w:rPr>
        <w:t xml:space="preserve">continuerait d’enregistrer un taux d’accroissement modéré, de l’ordre de </w:t>
      </w:r>
      <w:r w:rsidR="009D49B8">
        <w:rPr>
          <w:rFonts w:ascii="Sylfaen" w:hAnsi="Sylfaen"/>
          <w:b w:val="0"/>
          <w:bCs w:val="0"/>
          <w:sz w:val="28"/>
          <w:szCs w:val="28"/>
        </w:rPr>
        <w:t>2</w:t>
      </w:r>
      <w:r w:rsidR="009D49B8" w:rsidRPr="00412495">
        <w:rPr>
          <w:rFonts w:ascii="Sylfaen" w:hAnsi="Sylfaen"/>
          <w:b w:val="0"/>
          <w:bCs w:val="0"/>
          <w:sz w:val="28"/>
          <w:szCs w:val="28"/>
        </w:rPr>
        <w:t>,</w:t>
      </w:r>
      <w:r w:rsidR="009D49B8">
        <w:rPr>
          <w:rFonts w:ascii="Sylfaen" w:hAnsi="Sylfaen"/>
          <w:b w:val="0"/>
          <w:bCs w:val="0"/>
          <w:sz w:val="28"/>
          <w:szCs w:val="28"/>
        </w:rPr>
        <w:t>8</w:t>
      </w:r>
      <w:r w:rsidR="009D49B8" w:rsidRPr="00412495">
        <w:rPr>
          <w:rFonts w:ascii="Sylfaen" w:hAnsi="Sylfaen"/>
          <w:b w:val="0"/>
          <w:bCs w:val="0"/>
          <w:sz w:val="28"/>
          <w:szCs w:val="28"/>
        </w:rPr>
        <w:t>% au lieu de 2,</w:t>
      </w:r>
      <w:r w:rsidR="009D49B8">
        <w:rPr>
          <w:rFonts w:ascii="Sylfaen" w:hAnsi="Sylfaen"/>
          <w:b w:val="0"/>
          <w:bCs w:val="0"/>
          <w:sz w:val="28"/>
          <w:szCs w:val="28"/>
        </w:rPr>
        <w:t>2</w:t>
      </w:r>
      <w:r w:rsidR="009D49B8" w:rsidRPr="00412495">
        <w:rPr>
          <w:rFonts w:ascii="Sylfaen" w:hAnsi="Sylfaen"/>
          <w:b w:val="0"/>
          <w:bCs w:val="0"/>
          <w:sz w:val="28"/>
          <w:szCs w:val="28"/>
        </w:rPr>
        <w:t>% en 201</w:t>
      </w:r>
      <w:r w:rsidR="009D49B8">
        <w:rPr>
          <w:rFonts w:ascii="Sylfaen" w:hAnsi="Sylfaen"/>
          <w:b w:val="0"/>
          <w:bCs w:val="0"/>
          <w:sz w:val="28"/>
          <w:szCs w:val="28"/>
        </w:rPr>
        <w:t>4</w:t>
      </w:r>
      <w:r w:rsidRPr="00412495">
        <w:rPr>
          <w:rFonts w:ascii="Sylfaen" w:hAnsi="Sylfaen"/>
          <w:b w:val="0"/>
          <w:bCs w:val="0"/>
          <w:sz w:val="28"/>
          <w:szCs w:val="28"/>
        </w:rPr>
        <w:t xml:space="preserve">. </w:t>
      </w:r>
      <w:r w:rsidR="00E45FD8">
        <w:rPr>
          <w:rFonts w:ascii="Sylfaen" w:hAnsi="Sylfaen"/>
          <w:b w:val="0"/>
          <w:bCs w:val="0"/>
          <w:sz w:val="28"/>
          <w:szCs w:val="28"/>
        </w:rPr>
        <w:t>Le</w:t>
      </w:r>
      <w:r w:rsidR="009D49B8" w:rsidRPr="00412495">
        <w:rPr>
          <w:rFonts w:ascii="Sylfaen" w:hAnsi="Sylfaen"/>
          <w:b w:val="0"/>
          <w:bCs w:val="0"/>
          <w:sz w:val="28"/>
          <w:szCs w:val="28"/>
        </w:rPr>
        <w:t xml:space="preserve">s </w:t>
      </w:r>
      <w:r w:rsidR="00E45FD8">
        <w:rPr>
          <w:rFonts w:ascii="Sylfaen" w:hAnsi="Sylfaen"/>
          <w:b w:val="0"/>
          <w:bCs w:val="0"/>
          <w:sz w:val="28"/>
          <w:szCs w:val="28"/>
        </w:rPr>
        <w:t>réserves</w:t>
      </w:r>
      <w:r w:rsidR="009D49B8">
        <w:rPr>
          <w:rFonts w:ascii="Sylfaen" w:hAnsi="Sylfaen"/>
          <w:b w:val="0"/>
          <w:bCs w:val="0"/>
          <w:sz w:val="28"/>
          <w:szCs w:val="28"/>
        </w:rPr>
        <w:t xml:space="preserve"> en devises, </w:t>
      </w:r>
      <w:r w:rsidR="009D49B8" w:rsidRPr="00412495">
        <w:rPr>
          <w:rFonts w:ascii="Sylfaen" w:hAnsi="Sylfaen"/>
          <w:b w:val="0"/>
          <w:bCs w:val="0"/>
          <w:sz w:val="28"/>
          <w:szCs w:val="28"/>
        </w:rPr>
        <w:t xml:space="preserve">devraient  </w:t>
      </w:r>
      <w:r w:rsidR="009D49B8">
        <w:rPr>
          <w:rFonts w:ascii="Sylfaen" w:hAnsi="Sylfaen"/>
          <w:b w:val="0"/>
          <w:bCs w:val="0"/>
          <w:sz w:val="28"/>
          <w:szCs w:val="28"/>
        </w:rPr>
        <w:t>couvrir 5 mois et 24 jours d’importations</w:t>
      </w:r>
      <w:r w:rsidR="00E45FD8">
        <w:rPr>
          <w:rFonts w:ascii="Sylfaen" w:hAnsi="Sylfaen"/>
          <w:b w:val="0"/>
          <w:bCs w:val="0"/>
          <w:sz w:val="28"/>
          <w:szCs w:val="28"/>
        </w:rPr>
        <w:t>.</w:t>
      </w:r>
      <w:r w:rsidR="009D49B8">
        <w:rPr>
          <w:rFonts w:ascii="Sylfaen" w:hAnsi="Sylfaen"/>
          <w:b w:val="0"/>
          <w:bCs w:val="0"/>
          <w:sz w:val="28"/>
          <w:szCs w:val="28"/>
        </w:rPr>
        <w:t xml:space="preserve"> </w:t>
      </w:r>
      <w:r w:rsidRPr="00412495">
        <w:rPr>
          <w:rFonts w:ascii="Sylfaen" w:hAnsi="Sylfaen"/>
          <w:b w:val="0"/>
          <w:bCs w:val="0"/>
          <w:sz w:val="28"/>
          <w:szCs w:val="28"/>
        </w:rPr>
        <w:t>Au total, la masse monétaire</w:t>
      </w:r>
      <w:r w:rsidR="009D49B8">
        <w:rPr>
          <w:rFonts w:ascii="Sylfaen" w:hAnsi="Sylfaen"/>
          <w:b w:val="0"/>
          <w:bCs w:val="0"/>
          <w:sz w:val="28"/>
          <w:szCs w:val="28"/>
        </w:rPr>
        <w:t>, devrait</w:t>
      </w:r>
      <w:r w:rsidR="00A92BD9" w:rsidRPr="009D49B8">
        <w:rPr>
          <w:rFonts w:ascii="Sylfaen" w:hAnsi="Sylfaen"/>
          <w:b w:val="0"/>
          <w:bCs w:val="0"/>
          <w:sz w:val="28"/>
          <w:szCs w:val="28"/>
        </w:rPr>
        <w:t xml:space="preserve"> enregistr</w:t>
      </w:r>
      <w:r w:rsidR="009D49B8">
        <w:rPr>
          <w:rFonts w:ascii="Sylfaen" w:hAnsi="Sylfaen"/>
          <w:b w:val="0"/>
          <w:bCs w:val="0"/>
          <w:sz w:val="28"/>
          <w:szCs w:val="28"/>
        </w:rPr>
        <w:t>er</w:t>
      </w:r>
      <w:r w:rsidR="00A92BD9" w:rsidRPr="009D49B8">
        <w:rPr>
          <w:rFonts w:ascii="Sylfaen" w:hAnsi="Sylfaen"/>
          <w:b w:val="0"/>
          <w:bCs w:val="0"/>
          <w:sz w:val="28"/>
          <w:szCs w:val="28"/>
        </w:rPr>
        <w:t xml:space="preserve"> un ralentissement de son rythme de croissance, passant de 6,</w:t>
      </w:r>
      <w:r w:rsidR="00CA5CBE">
        <w:rPr>
          <w:rFonts w:ascii="Sylfaen" w:hAnsi="Sylfaen"/>
          <w:b w:val="0"/>
          <w:bCs w:val="0"/>
          <w:sz w:val="28"/>
          <w:szCs w:val="28"/>
        </w:rPr>
        <w:t>2</w:t>
      </w:r>
      <w:r w:rsidR="00A92BD9" w:rsidRPr="009D49B8">
        <w:rPr>
          <w:rFonts w:ascii="Sylfaen" w:hAnsi="Sylfaen"/>
          <w:b w:val="0"/>
          <w:bCs w:val="0"/>
          <w:sz w:val="28"/>
          <w:szCs w:val="28"/>
        </w:rPr>
        <w:t>% en 2014 à 5,</w:t>
      </w:r>
      <w:r w:rsidR="0010781F">
        <w:rPr>
          <w:rFonts w:ascii="Sylfaen" w:hAnsi="Sylfaen"/>
          <w:b w:val="0"/>
          <w:bCs w:val="0"/>
          <w:sz w:val="28"/>
          <w:szCs w:val="28"/>
        </w:rPr>
        <w:t>5</w:t>
      </w:r>
      <w:r w:rsidR="00A92BD9" w:rsidRPr="009D49B8">
        <w:rPr>
          <w:rFonts w:ascii="Sylfaen" w:hAnsi="Sylfaen"/>
          <w:b w:val="0"/>
          <w:bCs w:val="0"/>
          <w:sz w:val="28"/>
          <w:szCs w:val="28"/>
        </w:rPr>
        <w:t xml:space="preserve">%. </w:t>
      </w:r>
    </w:p>
    <w:p w:rsidR="005E47B3" w:rsidRPr="001B38AA" w:rsidRDefault="00CA33BE" w:rsidP="005201B5">
      <w:pPr>
        <w:ind w:left="708" w:right="-110"/>
        <w:jc w:val="both"/>
        <w:rPr>
          <w:color w:val="0000FF"/>
          <w:sz w:val="32"/>
          <w:szCs w:val="32"/>
        </w:rPr>
      </w:pPr>
      <w:r w:rsidRPr="001B38AA">
        <w:rPr>
          <w:color w:val="0000FF"/>
          <w:sz w:val="32"/>
          <w:szCs w:val="32"/>
        </w:rPr>
        <w:t>3</w:t>
      </w:r>
      <w:r w:rsidR="005E47B3" w:rsidRPr="001B38AA">
        <w:rPr>
          <w:color w:val="0000FF"/>
          <w:sz w:val="32"/>
          <w:szCs w:val="32"/>
        </w:rPr>
        <w:t>. Perspectives de l’économie nationale en 201</w:t>
      </w:r>
      <w:r w:rsidR="005201B5" w:rsidRPr="001B38AA">
        <w:rPr>
          <w:color w:val="0000FF"/>
          <w:sz w:val="32"/>
          <w:szCs w:val="32"/>
        </w:rPr>
        <w:t>6</w:t>
      </w:r>
    </w:p>
    <w:p w:rsidR="009514AE" w:rsidRPr="001B38AA" w:rsidRDefault="009514AE" w:rsidP="00170CD9">
      <w:pPr>
        <w:ind w:left="708" w:right="-110"/>
        <w:jc w:val="both"/>
        <w:rPr>
          <w:color w:val="0000FF"/>
          <w:sz w:val="32"/>
          <w:szCs w:val="32"/>
        </w:rPr>
      </w:pPr>
    </w:p>
    <w:p w:rsidR="00E2715E" w:rsidRPr="001B38AA" w:rsidRDefault="00E2715E" w:rsidP="00E2715E">
      <w:pPr>
        <w:ind w:left="708" w:right="-110"/>
        <w:jc w:val="both"/>
        <w:rPr>
          <w:color w:val="0000FF"/>
          <w:sz w:val="32"/>
          <w:szCs w:val="32"/>
        </w:rPr>
      </w:pPr>
      <w:r w:rsidRPr="001B38AA">
        <w:rPr>
          <w:color w:val="0000FF"/>
          <w:sz w:val="32"/>
          <w:szCs w:val="32"/>
        </w:rPr>
        <w:t>3.</w:t>
      </w:r>
      <w:r w:rsidRPr="001B38AA">
        <w:rPr>
          <w:rFonts w:hint="cs"/>
          <w:color w:val="0000FF"/>
          <w:sz w:val="32"/>
          <w:szCs w:val="32"/>
          <w:rtl/>
        </w:rPr>
        <w:t>1</w:t>
      </w:r>
      <w:r w:rsidRPr="001B38AA">
        <w:rPr>
          <w:color w:val="0000FF"/>
          <w:sz w:val="32"/>
          <w:szCs w:val="32"/>
        </w:rPr>
        <w:t xml:space="preserve">. Croissance économique </w:t>
      </w:r>
    </w:p>
    <w:p w:rsidR="00E8165F" w:rsidRPr="00E8165F" w:rsidRDefault="00E37DDB" w:rsidP="00B40C1D">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Rappelant tout d’abord que l</w:t>
      </w:r>
      <w:r w:rsidR="00E8165F" w:rsidRPr="00E8165F">
        <w:rPr>
          <w:rFonts w:ascii="Sylfaen" w:hAnsi="Sylfaen"/>
          <w:b w:val="0"/>
          <w:bCs w:val="0"/>
          <w:sz w:val="28"/>
          <w:szCs w:val="28"/>
        </w:rPr>
        <w:t>es perspectives économiques nationales pour 2016 s</w:t>
      </w:r>
      <w:r>
        <w:rPr>
          <w:rFonts w:ascii="Sylfaen" w:hAnsi="Sylfaen"/>
          <w:b w:val="0"/>
          <w:bCs w:val="0"/>
          <w:sz w:val="28"/>
          <w:szCs w:val="28"/>
        </w:rPr>
        <w:t xml:space="preserve">e basent sur </w:t>
      </w:r>
      <w:r w:rsidR="00E8165F" w:rsidRPr="00E8165F">
        <w:rPr>
          <w:rFonts w:ascii="Sylfaen" w:hAnsi="Sylfaen"/>
          <w:b w:val="0"/>
          <w:bCs w:val="0"/>
          <w:sz w:val="28"/>
          <w:szCs w:val="28"/>
        </w:rPr>
        <w:t>des hypothèses afférentes aux nouvelles tendances de l’environnement international</w:t>
      </w:r>
      <w:r w:rsidR="00B35716">
        <w:rPr>
          <w:rFonts w:ascii="Sylfaen" w:hAnsi="Sylfaen"/>
          <w:b w:val="0"/>
          <w:bCs w:val="0"/>
          <w:sz w:val="28"/>
          <w:szCs w:val="28"/>
        </w:rPr>
        <w:t xml:space="preserve">, notamment </w:t>
      </w:r>
      <w:r w:rsidR="000E49E3">
        <w:rPr>
          <w:rFonts w:ascii="Sylfaen" w:hAnsi="Sylfaen"/>
          <w:b w:val="0"/>
          <w:bCs w:val="0"/>
          <w:sz w:val="28"/>
          <w:szCs w:val="28"/>
        </w:rPr>
        <w:t xml:space="preserve">l’évolution des prix des matières premières et de la demande </w:t>
      </w:r>
      <w:r w:rsidR="00B35716">
        <w:rPr>
          <w:rFonts w:ascii="Sylfaen" w:hAnsi="Sylfaen"/>
          <w:b w:val="0"/>
          <w:bCs w:val="0"/>
          <w:sz w:val="28"/>
          <w:szCs w:val="28"/>
        </w:rPr>
        <w:t xml:space="preserve">mondiale </w:t>
      </w:r>
      <w:r w:rsidR="000E49E3">
        <w:rPr>
          <w:rFonts w:ascii="Sylfaen" w:hAnsi="Sylfaen"/>
          <w:b w:val="0"/>
          <w:bCs w:val="0"/>
          <w:sz w:val="28"/>
          <w:szCs w:val="28"/>
        </w:rPr>
        <w:t>adressée au Maroc</w:t>
      </w:r>
      <w:r w:rsidR="006D7292">
        <w:rPr>
          <w:rFonts w:ascii="Sylfaen" w:hAnsi="Sylfaen"/>
          <w:b w:val="0"/>
          <w:bCs w:val="0"/>
          <w:sz w:val="28"/>
          <w:szCs w:val="28"/>
        </w:rPr>
        <w:t>.</w:t>
      </w:r>
      <w:r w:rsidR="00B35716">
        <w:rPr>
          <w:rFonts w:ascii="Sylfaen" w:hAnsi="Sylfaen"/>
          <w:b w:val="0"/>
          <w:bCs w:val="0"/>
          <w:sz w:val="28"/>
          <w:szCs w:val="28"/>
        </w:rPr>
        <w:t xml:space="preserve"> </w:t>
      </w:r>
      <w:r w:rsidR="00B40C1D">
        <w:rPr>
          <w:rFonts w:ascii="Sylfaen" w:hAnsi="Sylfaen"/>
          <w:b w:val="0"/>
          <w:bCs w:val="0"/>
          <w:sz w:val="28"/>
          <w:szCs w:val="28"/>
        </w:rPr>
        <w:t>Comme susmentionné, e</w:t>
      </w:r>
      <w:r w:rsidR="00B35716">
        <w:rPr>
          <w:rFonts w:ascii="Sylfaen" w:hAnsi="Sylfaen"/>
          <w:b w:val="0"/>
          <w:bCs w:val="0"/>
          <w:sz w:val="28"/>
          <w:szCs w:val="28"/>
        </w:rPr>
        <w:t xml:space="preserve">lles supposent, </w:t>
      </w:r>
      <w:r w:rsidR="00E8165F" w:rsidRPr="00E8165F">
        <w:rPr>
          <w:rFonts w:ascii="Sylfaen" w:hAnsi="Sylfaen"/>
          <w:b w:val="0"/>
          <w:bCs w:val="0"/>
          <w:sz w:val="28"/>
          <w:szCs w:val="28"/>
        </w:rPr>
        <w:t>également</w:t>
      </w:r>
      <w:r w:rsidR="00B35716">
        <w:rPr>
          <w:rFonts w:ascii="Sylfaen" w:hAnsi="Sylfaen"/>
          <w:b w:val="0"/>
          <w:bCs w:val="0"/>
          <w:sz w:val="28"/>
          <w:szCs w:val="28"/>
        </w:rPr>
        <w:t>,</w:t>
      </w:r>
      <w:r w:rsidR="00E8165F" w:rsidRPr="00E8165F">
        <w:rPr>
          <w:rFonts w:ascii="Sylfaen" w:hAnsi="Sylfaen"/>
          <w:b w:val="0"/>
          <w:bCs w:val="0"/>
          <w:sz w:val="28"/>
          <w:szCs w:val="28"/>
        </w:rPr>
        <w:t xml:space="preserve"> la reconduction de la politique budgétaire en vigueur en 2015, </w:t>
      </w:r>
      <w:r w:rsidR="006D7292">
        <w:rPr>
          <w:rFonts w:ascii="Sylfaen" w:hAnsi="Sylfaen"/>
          <w:b w:val="0"/>
          <w:bCs w:val="0"/>
          <w:sz w:val="28"/>
          <w:szCs w:val="28"/>
        </w:rPr>
        <w:t xml:space="preserve">et une </w:t>
      </w:r>
      <w:r w:rsidR="006D7292" w:rsidRPr="00BD1675">
        <w:rPr>
          <w:rFonts w:ascii="Sylfaen" w:hAnsi="Sylfaen"/>
          <w:b w:val="0"/>
          <w:bCs w:val="0"/>
          <w:sz w:val="28"/>
          <w:szCs w:val="28"/>
        </w:rPr>
        <w:t>production céréalière moyenne durant la campagne 2015/2016</w:t>
      </w:r>
      <w:r w:rsidR="006D7292">
        <w:rPr>
          <w:rFonts w:ascii="Sylfaen" w:hAnsi="Sylfaen"/>
          <w:b w:val="0"/>
          <w:bCs w:val="0"/>
          <w:sz w:val="28"/>
          <w:szCs w:val="28"/>
        </w:rPr>
        <w:t>.</w:t>
      </w:r>
    </w:p>
    <w:p w:rsidR="00D50DBE" w:rsidRPr="00E2715E" w:rsidRDefault="00D50DBE"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L</w:t>
      </w:r>
      <w:r w:rsidRPr="00E2715E">
        <w:rPr>
          <w:rFonts w:ascii="Sylfaen" w:hAnsi="Sylfaen"/>
          <w:b w:val="0"/>
          <w:bCs w:val="0"/>
          <w:sz w:val="28"/>
          <w:szCs w:val="28"/>
        </w:rPr>
        <w:t xml:space="preserve">es activités non agricoles devraient enregistrer </w:t>
      </w:r>
      <w:r>
        <w:rPr>
          <w:rFonts w:ascii="Sylfaen" w:hAnsi="Sylfaen"/>
          <w:b w:val="0"/>
          <w:bCs w:val="0"/>
          <w:sz w:val="28"/>
          <w:szCs w:val="28"/>
        </w:rPr>
        <w:t>un</w:t>
      </w:r>
      <w:r w:rsidRPr="00E2715E">
        <w:rPr>
          <w:rFonts w:ascii="Sylfaen" w:hAnsi="Sylfaen"/>
          <w:b w:val="0"/>
          <w:bCs w:val="0"/>
          <w:sz w:val="28"/>
          <w:szCs w:val="28"/>
        </w:rPr>
        <w:t xml:space="preserve"> rythme</w:t>
      </w:r>
      <w:r w:rsidR="009A7F3F">
        <w:rPr>
          <w:rFonts w:ascii="Sylfaen" w:hAnsi="Sylfaen"/>
          <w:b w:val="0"/>
          <w:bCs w:val="0"/>
          <w:sz w:val="28"/>
          <w:szCs w:val="28"/>
        </w:rPr>
        <w:t xml:space="preserve"> de croissance</w:t>
      </w:r>
      <w:r w:rsidRPr="00E2715E">
        <w:rPr>
          <w:rFonts w:ascii="Sylfaen" w:hAnsi="Sylfaen"/>
          <w:b w:val="0"/>
          <w:bCs w:val="0"/>
          <w:sz w:val="28"/>
          <w:szCs w:val="28"/>
        </w:rPr>
        <w:t xml:space="preserve"> </w:t>
      </w:r>
      <w:r>
        <w:rPr>
          <w:rFonts w:ascii="Sylfaen" w:hAnsi="Sylfaen"/>
          <w:b w:val="0"/>
          <w:bCs w:val="0"/>
          <w:sz w:val="28"/>
          <w:szCs w:val="28"/>
        </w:rPr>
        <w:t xml:space="preserve">en amélioration de </w:t>
      </w:r>
      <w:r w:rsidRPr="00E2715E">
        <w:rPr>
          <w:rFonts w:ascii="Sylfaen" w:hAnsi="Sylfaen"/>
          <w:b w:val="0"/>
          <w:bCs w:val="0"/>
          <w:sz w:val="28"/>
          <w:szCs w:val="28"/>
        </w:rPr>
        <w:t>3,1%</w:t>
      </w:r>
      <w:r>
        <w:rPr>
          <w:rFonts w:ascii="Sylfaen" w:hAnsi="Sylfaen"/>
          <w:b w:val="0"/>
          <w:bCs w:val="0"/>
          <w:sz w:val="28"/>
          <w:szCs w:val="28"/>
        </w:rPr>
        <w:t xml:space="preserve"> au lieu de 2,5%  en 2015, attribuable</w:t>
      </w:r>
      <w:r w:rsidRPr="00E2715E">
        <w:rPr>
          <w:rFonts w:ascii="Sylfaen" w:hAnsi="Sylfaen"/>
          <w:b w:val="0"/>
          <w:bCs w:val="0"/>
          <w:sz w:val="28"/>
          <w:szCs w:val="28"/>
        </w:rPr>
        <w:t xml:space="preserve"> </w:t>
      </w:r>
      <w:r w:rsidR="009A7F3F">
        <w:rPr>
          <w:rFonts w:ascii="Sylfaen" w:hAnsi="Sylfaen"/>
          <w:b w:val="0"/>
          <w:bCs w:val="0"/>
          <w:sz w:val="28"/>
          <w:szCs w:val="28"/>
        </w:rPr>
        <w:t xml:space="preserve">notamment </w:t>
      </w:r>
      <w:r w:rsidRPr="00E2715E">
        <w:rPr>
          <w:rFonts w:ascii="Sylfaen" w:hAnsi="Sylfaen"/>
          <w:b w:val="0"/>
          <w:bCs w:val="0"/>
          <w:sz w:val="28"/>
          <w:szCs w:val="28"/>
        </w:rPr>
        <w:t xml:space="preserve">à l’amélioration de 3,4% du secteur tertiaire au lieu de 2,7% en 2015. </w:t>
      </w:r>
      <w:r w:rsidR="009A7F3F">
        <w:rPr>
          <w:rFonts w:ascii="Sylfaen" w:hAnsi="Sylfaen"/>
          <w:b w:val="0"/>
          <w:bCs w:val="0"/>
          <w:sz w:val="28"/>
          <w:szCs w:val="28"/>
        </w:rPr>
        <w:t>Quant aux activités du secteur secondaire</w:t>
      </w:r>
      <w:r w:rsidR="006E70DA">
        <w:rPr>
          <w:rFonts w:ascii="Sylfaen" w:hAnsi="Sylfaen"/>
          <w:b w:val="0"/>
          <w:bCs w:val="0"/>
          <w:sz w:val="28"/>
          <w:szCs w:val="28"/>
        </w:rPr>
        <w:t>, elles devraient s’accroitre à un ry</w:t>
      </w:r>
      <w:r w:rsidR="00B35716">
        <w:rPr>
          <w:rFonts w:ascii="Sylfaen" w:hAnsi="Sylfaen"/>
          <w:b w:val="0"/>
          <w:bCs w:val="0"/>
          <w:sz w:val="28"/>
          <w:szCs w:val="28"/>
        </w:rPr>
        <w:t>thme modéré de 2,3%.</w:t>
      </w:r>
    </w:p>
    <w:p w:rsidR="00D67401" w:rsidRDefault="00D50DBE" w:rsidP="00F40517">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D50DBE">
        <w:rPr>
          <w:rFonts w:ascii="Sylfaen" w:hAnsi="Sylfaen"/>
          <w:b w:val="0"/>
          <w:bCs w:val="0"/>
          <w:sz w:val="28"/>
          <w:szCs w:val="28"/>
        </w:rPr>
        <w:t>Le secteur primaire</w:t>
      </w:r>
      <w:r w:rsidR="00B35716">
        <w:rPr>
          <w:rFonts w:ascii="Sylfaen" w:hAnsi="Sylfaen"/>
          <w:b w:val="0"/>
          <w:bCs w:val="0"/>
          <w:sz w:val="28"/>
          <w:szCs w:val="28"/>
        </w:rPr>
        <w:t xml:space="preserve"> </w:t>
      </w:r>
      <w:r w:rsidR="00B35716" w:rsidRPr="00D50DBE">
        <w:rPr>
          <w:rFonts w:ascii="Sylfaen" w:hAnsi="Sylfaen"/>
          <w:b w:val="0"/>
          <w:bCs w:val="0"/>
          <w:sz w:val="28"/>
          <w:szCs w:val="28"/>
        </w:rPr>
        <w:t>(agric</w:t>
      </w:r>
      <w:r w:rsidR="00B35716">
        <w:rPr>
          <w:rFonts w:ascii="Sylfaen" w:hAnsi="Sylfaen"/>
          <w:b w:val="0"/>
          <w:bCs w:val="0"/>
          <w:sz w:val="28"/>
          <w:szCs w:val="28"/>
        </w:rPr>
        <w:t xml:space="preserve">ulture et </w:t>
      </w:r>
      <w:r w:rsidR="00B35716" w:rsidRPr="00D50DBE">
        <w:rPr>
          <w:rFonts w:ascii="Sylfaen" w:hAnsi="Sylfaen"/>
          <w:b w:val="0"/>
          <w:bCs w:val="0"/>
          <w:sz w:val="28"/>
          <w:szCs w:val="28"/>
        </w:rPr>
        <w:t>pêche)</w:t>
      </w:r>
      <w:r w:rsidR="00B35716">
        <w:rPr>
          <w:rFonts w:ascii="Sylfaen" w:hAnsi="Sylfaen"/>
          <w:b w:val="0"/>
          <w:bCs w:val="0"/>
          <w:sz w:val="28"/>
          <w:szCs w:val="28"/>
        </w:rPr>
        <w:t>, en dépit du recul prévisible de la producti</w:t>
      </w:r>
      <w:r w:rsidR="00F40517">
        <w:rPr>
          <w:rFonts w:ascii="Sylfaen" w:hAnsi="Sylfaen"/>
          <w:b w:val="0"/>
          <w:bCs w:val="0"/>
          <w:sz w:val="28"/>
          <w:szCs w:val="28"/>
        </w:rPr>
        <w:t xml:space="preserve">on des cultures céréalières, </w:t>
      </w:r>
      <w:r w:rsidR="00B35716">
        <w:rPr>
          <w:rFonts w:ascii="Sylfaen" w:hAnsi="Sylfaen"/>
          <w:b w:val="0"/>
          <w:bCs w:val="0"/>
          <w:sz w:val="28"/>
          <w:szCs w:val="28"/>
        </w:rPr>
        <w:t xml:space="preserve">continuerait </w:t>
      </w:r>
      <w:r w:rsidR="00B35716" w:rsidRPr="00D50DBE">
        <w:rPr>
          <w:rFonts w:ascii="Sylfaen" w:hAnsi="Sylfaen"/>
          <w:b w:val="0"/>
          <w:bCs w:val="0"/>
          <w:sz w:val="28"/>
          <w:szCs w:val="28"/>
        </w:rPr>
        <w:t>de bénéficier de l</w:t>
      </w:r>
      <w:r w:rsidR="00B35716">
        <w:rPr>
          <w:rFonts w:ascii="Sylfaen" w:hAnsi="Sylfaen"/>
          <w:b w:val="0"/>
          <w:bCs w:val="0"/>
          <w:sz w:val="28"/>
          <w:szCs w:val="28"/>
        </w:rPr>
        <w:t xml:space="preserve">a consolidation des performances </w:t>
      </w:r>
      <w:r w:rsidR="00B35716" w:rsidRPr="00D50DBE">
        <w:rPr>
          <w:rFonts w:ascii="Sylfaen" w:hAnsi="Sylfaen"/>
          <w:b w:val="0"/>
          <w:bCs w:val="0"/>
          <w:sz w:val="28"/>
          <w:szCs w:val="28"/>
        </w:rPr>
        <w:t>des autres cultures agricoles et de l’élevage</w:t>
      </w:r>
      <w:r w:rsidR="00B35716">
        <w:rPr>
          <w:rFonts w:ascii="Sylfaen" w:hAnsi="Sylfaen"/>
          <w:b w:val="0"/>
          <w:bCs w:val="0"/>
          <w:sz w:val="28"/>
          <w:szCs w:val="28"/>
        </w:rPr>
        <w:t xml:space="preserve">. Il </w:t>
      </w:r>
      <w:r w:rsidRPr="00D50DBE">
        <w:rPr>
          <w:rFonts w:ascii="Sylfaen" w:hAnsi="Sylfaen"/>
          <w:b w:val="0"/>
          <w:bCs w:val="0"/>
          <w:sz w:val="28"/>
          <w:szCs w:val="28"/>
        </w:rPr>
        <w:t xml:space="preserve"> dégagerait</w:t>
      </w:r>
      <w:r w:rsidR="00B35716">
        <w:rPr>
          <w:rFonts w:ascii="Sylfaen" w:hAnsi="Sylfaen"/>
          <w:b w:val="0"/>
          <w:bCs w:val="0"/>
          <w:sz w:val="28"/>
          <w:szCs w:val="28"/>
        </w:rPr>
        <w:t>, ainsi,</w:t>
      </w:r>
      <w:r w:rsidRPr="00D50DBE">
        <w:rPr>
          <w:rFonts w:ascii="Sylfaen" w:hAnsi="Sylfaen"/>
          <w:b w:val="0"/>
          <w:bCs w:val="0"/>
          <w:sz w:val="28"/>
          <w:szCs w:val="28"/>
        </w:rPr>
        <w:t xml:space="preserve"> une valeur ajoutée en régression de 1,7% au lieu d’une hausse de 13,2</w:t>
      </w:r>
      <w:r w:rsidR="00F40517">
        <w:rPr>
          <w:rFonts w:ascii="Sylfaen" w:hAnsi="Sylfaen"/>
          <w:b w:val="0"/>
          <w:bCs w:val="0"/>
          <w:sz w:val="28"/>
          <w:szCs w:val="28"/>
        </w:rPr>
        <w:t>%</w:t>
      </w:r>
      <w:r w:rsidRPr="00D50DBE">
        <w:rPr>
          <w:rFonts w:ascii="Sylfaen" w:hAnsi="Sylfaen"/>
          <w:b w:val="0"/>
          <w:bCs w:val="0"/>
          <w:sz w:val="28"/>
          <w:szCs w:val="28"/>
        </w:rPr>
        <w:t xml:space="preserve"> estimée pour 2015.</w:t>
      </w:r>
    </w:p>
    <w:p w:rsidR="00B40C1D" w:rsidRDefault="00B40C1D" w:rsidP="00B40C1D">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Dans ces conditions, le </w:t>
      </w:r>
      <w:r w:rsidRPr="00BD1675">
        <w:rPr>
          <w:rFonts w:ascii="Sylfaen" w:hAnsi="Sylfaen"/>
          <w:b w:val="0"/>
          <w:bCs w:val="0"/>
          <w:sz w:val="28"/>
          <w:szCs w:val="28"/>
        </w:rPr>
        <w:t xml:space="preserve">Produit Intérieur Brut (PIB) devrait enregistrer, une hausse de 2,6% en volume au lieu de 4,3% estimé pour 2015. </w:t>
      </w:r>
      <w:r w:rsidRPr="00E01BDA">
        <w:rPr>
          <w:rFonts w:ascii="Sylfaen" w:hAnsi="Sylfaen"/>
          <w:b w:val="0"/>
          <w:bCs w:val="0"/>
          <w:sz w:val="28"/>
          <w:szCs w:val="28"/>
        </w:rPr>
        <w:t xml:space="preserve">Le taux de </w:t>
      </w:r>
      <w:r w:rsidRPr="000702F7">
        <w:rPr>
          <w:rFonts w:ascii="Sylfaen" w:hAnsi="Sylfaen"/>
          <w:b w:val="0"/>
          <w:bCs w:val="0"/>
          <w:sz w:val="28"/>
          <w:szCs w:val="28"/>
        </w:rPr>
        <w:t>chômage</w:t>
      </w:r>
      <w:r w:rsidRPr="00E01BDA">
        <w:rPr>
          <w:rFonts w:ascii="Sylfaen" w:hAnsi="Sylfaen"/>
          <w:b w:val="0"/>
          <w:bCs w:val="0"/>
          <w:sz w:val="28"/>
          <w:szCs w:val="28"/>
        </w:rPr>
        <w:t xml:space="preserve"> resterait rigide à la baisse et devrait se situer à 9,8% au lieu de 9,6% estimée pour 2015 et 9,9% enregistré en 2014.</w:t>
      </w:r>
    </w:p>
    <w:p w:rsidR="00E2715E" w:rsidRDefault="00E2715E" w:rsidP="00E2715E">
      <w:pPr>
        <w:ind w:left="708" w:right="-110"/>
        <w:jc w:val="both"/>
        <w:rPr>
          <w:color w:val="0000FF"/>
          <w:sz w:val="28"/>
          <w:szCs w:val="28"/>
        </w:rPr>
      </w:pPr>
      <w:r>
        <w:rPr>
          <w:color w:val="0000FF"/>
          <w:sz w:val="28"/>
          <w:szCs w:val="28"/>
        </w:rPr>
        <w:t>3.2</w:t>
      </w:r>
      <w:r w:rsidRPr="00170CD9">
        <w:rPr>
          <w:color w:val="0000FF"/>
          <w:sz w:val="28"/>
          <w:szCs w:val="28"/>
        </w:rPr>
        <w:t xml:space="preserve">. </w:t>
      </w:r>
      <w:r>
        <w:rPr>
          <w:color w:val="0000FF"/>
          <w:sz w:val="28"/>
          <w:szCs w:val="28"/>
        </w:rPr>
        <w:t>Composantes du PIB</w:t>
      </w:r>
    </w:p>
    <w:p w:rsidR="00E2715E" w:rsidRDefault="007A6595"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L</w:t>
      </w:r>
      <w:r w:rsidRPr="007A6595">
        <w:rPr>
          <w:rFonts w:ascii="Sylfaen" w:hAnsi="Sylfaen"/>
          <w:b w:val="0"/>
          <w:bCs w:val="0"/>
          <w:sz w:val="28"/>
          <w:szCs w:val="28"/>
        </w:rPr>
        <w:t>a croissance économique devrait continuer d’être tirée en 2016 par la demande intérieure</w:t>
      </w:r>
      <w:r w:rsidR="005F35FE">
        <w:rPr>
          <w:rFonts w:ascii="Sylfaen" w:hAnsi="Sylfaen"/>
          <w:b w:val="0"/>
          <w:bCs w:val="0"/>
          <w:sz w:val="28"/>
          <w:szCs w:val="28"/>
        </w:rPr>
        <w:t>. Dans ce cadre, l</w:t>
      </w:r>
      <w:r w:rsidR="00E2715E" w:rsidRPr="00E2715E">
        <w:rPr>
          <w:rFonts w:ascii="Sylfaen" w:hAnsi="Sylfaen"/>
          <w:b w:val="0"/>
          <w:bCs w:val="0"/>
          <w:sz w:val="28"/>
          <w:szCs w:val="28"/>
        </w:rPr>
        <w:t xml:space="preserve">a consommation des ménages devrait s’accroitre de 2,9% en volume au lieu de 3,2% en 2015 et sa contribution à la croissance du PIB passerait de 1,9 point en 2015 à 1,7 en 2016. La consommation des administrations publiques, de son côté, augmenterait de 2,4% en 2016 au lieu de 4,2% estimé en 2015 </w:t>
      </w:r>
      <w:r w:rsidR="005F35FE">
        <w:rPr>
          <w:rFonts w:ascii="Sylfaen" w:hAnsi="Sylfaen"/>
          <w:b w:val="0"/>
          <w:bCs w:val="0"/>
          <w:sz w:val="28"/>
          <w:szCs w:val="28"/>
        </w:rPr>
        <w:t xml:space="preserve">et </w:t>
      </w:r>
      <w:r w:rsidR="00E2715E" w:rsidRPr="00E2715E">
        <w:rPr>
          <w:rFonts w:ascii="Sylfaen" w:hAnsi="Sylfaen"/>
          <w:b w:val="0"/>
          <w:bCs w:val="0"/>
          <w:sz w:val="28"/>
          <w:szCs w:val="28"/>
        </w:rPr>
        <w:t xml:space="preserve">sa contribution à la croissance </w:t>
      </w:r>
      <w:r w:rsidR="005F35FE">
        <w:rPr>
          <w:rFonts w:ascii="Sylfaen" w:hAnsi="Sylfaen"/>
          <w:b w:val="0"/>
          <w:bCs w:val="0"/>
          <w:sz w:val="28"/>
          <w:szCs w:val="28"/>
        </w:rPr>
        <w:t>serait</w:t>
      </w:r>
      <w:r w:rsidR="00E2715E" w:rsidRPr="00E2715E">
        <w:rPr>
          <w:rFonts w:ascii="Sylfaen" w:hAnsi="Sylfaen"/>
          <w:b w:val="0"/>
          <w:bCs w:val="0"/>
          <w:sz w:val="28"/>
          <w:szCs w:val="28"/>
        </w:rPr>
        <w:t xml:space="preserve"> de 0,5 point au lieu de 0,8 en 2015. Globalement, la consommation finale nationale devrait être en ralentissement, avec une hausse de 2,8% au lieu de 3,5% en 2015. Sa contribution à la croissance serait de 2,2 points au lieu de 2,8 points en 2015. </w:t>
      </w:r>
    </w:p>
    <w:p w:rsidR="00E2715E" w:rsidRDefault="00E2715E" w:rsidP="00F40517">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E2715E">
        <w:rPr>
          <w:rFonts w:ascii="Sylfaen" w:hAnsi="Sylfaen"/>
          <w:b w:val="0"/>
          <w:bCs w:val="0"/>
          <w:sz w:val="28"/>
          <w:szCs w:val="28"/>
        </w:rPr>
        <w:t xml:space="preserve">La formation brute du capital fixe, pour sa part, devrait s’accroitre légèrement de 0,6% au lieu de 0,2% en 2015 </w:t>
      </w:r>
      <w:r w:rsidR="007A6595">
        <w:rPr>
          <w:rFonts w:ascii="Sylfaen" w:hAnsi="Sylfaen"/>
          <w:b w:val="0"/>
          <w:bCs w:val="0"/>
          <w:sz w:val="28"/>
          <w:szCs w:val="28"/>
        </w:rPr>
        <w:t>contribuant pour</w:t>
      </w:r>
      <w:r w:rsidRPr="00E2715E">
        <w:rPr>
          <w:rFonts w:ascii="Sylfaen" w:hAnsi="Sylfaen"/>
          <w:b w:val="0"/>
          <w:bCs w:val="0"/>
          <w:sz w:val="28"/>
          <w:szCs w:val="28"/>
        </w:rPr>
        <w:t xml:space="preserve"> 0,2 point </w:t>
      </w:r>
      <w:r w:rsidR="007A6595">
        <w:rPr>
          <w:rFonts w:ascii="Sylfaen" w:hAnsi="Sylfaen"/>
          <w:b w:val="0"/>
          <w:bCs w:val="0"/>
          <w:sz w:val="28"/>
          <w:szCs w:val="28"/>
        </w:rPr>
        <w:t>à la croissance</w:t>
      </w:r>
      <w:r w:rsidRPr="00E2715E">
        <w:rPr>
          <w:rFonts w:ascii="Sylfaen" w:hAnsi="Sylfaen"/>
          <w:b w:val="0"/>
          <w:bCs w:val="0"/>
          <w:sz w:val="28"/>
          <w:szCs w:val="28"/>
        </w:rPr>
        <w:t xml:space="preserve">. La variation des stocks, quant à elle, devrait afficher une contribution positive de 0,7 point au lieu de 0,3 en 2015. Ainsi, l’investissement brut (FBCF et variation des stocks) devrait enregistrer un accroissement de 2,8% en 2016 et sa contribution à la croissance serait positive d’environ 0,8 point au lieu 0,3 point en 2015. </w:t>
      </w:r>
    </w:p>
    <w:p w:rsidR="00E2715E" w:rsidRDefault="00E2715E"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E2715E">
        <w:rPr>
          <w:rFonts w:ascii="Sylfaen" w:hAnsi="Sylfaen"/>
          <w:b w:val="0"/>
          <w:bCs w:val="0"/>
          <w:sz w:val="28"/>
          <w:szCs w:val="28"/>
        </w:rPr>
        <w:t xml:space="preserve">Au total, </w:t>
      </w:r>
      <w:r w:rsidRPr="00E01BDA">
        <w:rPr>
          <w:rFonts w:ascii="Sylfaen" w:hAnsi="Sylfaen"/>
          <w:sz w:val="28"/>
          <w:szCs w:val="28"/>
        </w:rPr>
        <w:t>la demande intérieure</w:t>
      </w:r>
      <w:r w:rsidRPr="00E2715E">
        <w:rPr>
          <w:rFonts w:ascii="Sylfaen" w:hAnsi="Sylfaen"/>
          <w:b w:val="0"/>
          <w:bCs w:val="0"/>
          <w:sz w:val="28"/>
          <w:szCs w:val="28"/>
        </w:rPr>
        <w:t xml:space="preserve"> devrait s’accroitre de 2,3% en volume, au lieu de 2,8% en 2015 et sa contribution à la croissance se stabiliserait à 3,1 points en 2016.</w:t>
      </w:r>
    </w:p>
    <w:p w:rsidR="00F13349" w:rsidRDefault="00F13349" w:rsidP="00F8389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F13349">
        <w:rPr>
          <w:rFonts w:ascii="Sylfaen" w:hAnsi="Sylfaen"/>
          <w:b w:val="0"/>
          <w:bCs w:val="0"/>
          <w:sz w:val="28"/>
          <w:szCs w:val="28"/>
        </w:rPr>
        <w:t xml:space="preserve">Quant à </w:t>
      </w:r>
      <w:r w:rsidRPr="00E01BDA">
        <w:rPr>
          <w:rFonts w:ascii="Sylfaen" w:hAnsi="Sylfaen"/>
          <w:sz w:val="28"/>
          <w:szCs w:val="28"/>
        </w:rPr>
        <w:t>la demande extérieure</w:t>
      </w:r>
      <w:r w:rsidRPr="00F13349">
        <w:rPr>
          <w:rFonts w:ascii="Sylfaen" w:hAnsi="Sylfaen"/>
          <w:b w:val="0"/>
          <w:bCs w:val="0"/>
          <w:sz w:val="28"/>
          <w:szCs w:val="28"/>
        </w:rPr>
        <w:t xml:space="preserve"> nette, sa contribution à la croissance économique nationale serait à nouveau négative, d’environ 0,5 point, au lieu d’une contribution positive en 2014 et 2015. Ce résultat serait dû à l</w:t>
      </w:r>
      <w:r w:rsidR="005F35FE">
        <w:rPr>
          <w:rFonts w:ascii="Sylfaen" w:hAnsi="Sylfaen"/>
          <w:b w:val="0"/>
          <w:bCs w:val="0"/>
          <w:sz w:val="28"/>
          <w:szCs w:val="28"/>
        </w:rPr>
        <w:t xml:space="preserve">a hausse </w:t>
      </w:r>
      <w:r>
        <w:rPr>
          <w:rFonts w:ascii="Sylfaen" w:hAnsi="Sylfaen"/>
          <w:b w:val="0"/>
          <w:bCs w:val="0"/>
          <w:sz w:val="28"/>
          <w:szCs w:val="28"/>
        </w:rPr>
        <w:t xml:space="preserve">de </w:t>
      </w:r>
      <w:r w:rsidRPr="00F13349">
        <w:rPr>
          <w:rFonts w:ascii="Sylfaen" w:hAnsi="Sylfaen"/>
          <w:b w:val="0"/>
          <w:bCs w:val="0"/>
          <w:sz w:val="28"/>
          <w:szCs w:val="28"/>
        </w:rPr>
        <w:t xml:space="preserve">3,2% </w:t>
      </w:r>
      <w:r>
        <w:rPr>
          <w:rFonts w:ascii="Sylfaen" w:hAnsi="Sylfaen"/>
          <w:b w:val="0"/>
          <w:bCs w:val="0"/>
          <w:sz w:val="28"/>
          <w:szCs w:val="28"/>
        </w:rPr>
        <w:t xml:space="preserve"> </w:t>
      </w:r>
      <w:r w:rsidRPr="00F13349">
        <w:rPr>
          <w:rFonts w:ascii="Sylfaen" w:hAnsi="Sylfaen"/>
          <w:b w:val="0"/>
          <w:bCs w:val="0"/>
          <w:sz w:val="28"/>
          <w:szCs w:val="28"/>
        </w:rPr>
        <w:t xml:space="preserve">des importations </w:t>
      </w:r>
      <w:r w:rsidR="005F35FE">
        <w:rPr>
          <w:rFonts w:ascii="Sylfaen" w:hAnsi="Sylfaen"/>
          <w:b w:val="0"/>
          <w:bCs w:val="0"/>
          <w:sz w:val="28"/>
          <w:szCs w:val="28"/>
        </w:rPr>
        <w:t xml:space="preserve">de biens et services </w:t>
      </w:r>
      <w:r w:rsidRPr="00F13349">
        <w:rPr>
          <w:rFonts w:ascii="Sylfaen" w:hAnsi="Sylfaen"/>
          <w:b w:val="0"/>
          <w:bCs w:val="0"/>
          <w:sz w:val="28"/>
          <w:szCs w:val="28"/>
        </w:rPr>
        <w:t>en volume au lieu d’une baisse de 1% en</w:t>
      </w:r>
      <w:r>
        <w:rPr>
          <w:rFonts w:ascii="Sylfaen" w:hAnsi="Sylfaen"/>
          <w:b w:val="0"/>
          <w:bCs w:val="0"/>
          <w:sz w:val="28"/>
          <w:szCs w:val="28"/>
        </w:rPr>
        <w:t xml:space="preserve"> </w:t>
      </w:r>
      <w:r w:rsidR="005F35FE">
        <w:rPr>
          <w:rFonts w:ascii="Sylfaen" w:hAnsi="Sylfaen"/>
          <w:b w:val="0"/>
          <w:bCs w:val="0"/>
          <w:sz w:val="28"/>
          <w:szCs w:val="28"/>
        </w:rPr>
        <w:t>2015 et du léger accroissement des exportations de 2,6% au de 1,9</w:t>
      </w:r>
      <w:r w:rsidR="00F83898">
        <w:rPr>
          <w:rFonts w:ascii="Sylfaen" w:hAnsi="Sylfaen"/>
          <w:b w:val="0"/>
          <w:bCs w:val="0"/>
          <w:sz w:val="28"/>
          <w:szCs w:val="28"/>
        </w:rPr>
        <w:t>%</w:t>
      </w:r>
      <w:r w:rsidR="005F35FE">
        <w:rPr>
          <w:rFonts w:ascii="Sylfaen" w:hAnsi="Sylfaen"/>
          <w:b w:val="0"/>
          <w:bCs w:val="0"/>
          <w:sz w:val="28"/>
          <w:szCs w:val="28"/>
        </w:rPr>
        <w:t xml:space="preserve"> en 2015.</w:t>
      </w:r>
    </w:p>
    <w:p w:rsidR="00263620" w:rsidRDefault="00263620" w:rsidP="00263620">
      <w:pPr>
        <w:ind w:left="708" w:right="-110"/>
        <w:jc w:val="both"/>
        <w:rPr>
          <w:color w:val="0000FF"/>
          <w:sz w:val="28"/>
          <w:szCs w:val="28"/>
        </w:rPr>
      </w:pPr>
      <w:r>
        <w:rPr>
          <w:color w:val="0000FF"/>
          <w:sz w:val="28"/>
          <w:szCs w:val="28"/>
        </w:rPr>
        <w:t>3.3</w:t>
      </w:r>
      <w:r w:rsidRPr="00170CD9">
        <w:rPr>
          <w:color w:val="0000FF"/>
          <w:sz w:val="28"/>
          <w:szCs w:val="28"/>
        </w:rPr>
        <w:t xml:space="preserve">. </w:t>
      </w:r>
      <w:r w:rsidR="005F35FE">
        <w:rPr>
          <w:color w:val="0000FF"/>
          <w:sz w:val="28"/>
          <w:szCs w:val="28"/>
        </w:rPr>
        <w:t>Financement</w:t>
      </w:r>
      <w:r>
        <w:rPr>
          <w:color w:val="0000FF"/>
          <w:sz w:val="28"/>
          <w:szCs w:val="28"/>
        </w:rPr>
        <w:t xml:space="preserve"> de l’économie</w:t>
      </w:r>
    </w:p>
    <w:p w:rsidR="00E2715E" w:rsidRDefault="005F35FE" w:rsidP="00B40C1D">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Avec </w:t>
      </w:r>
      <w:r w:rsidRPr="00E2715E">
        <w:rPr>
          <w:rFonts w:ascii="Sylfaen" w:hAnsi="Sylfaen"/>
          <w:b w:val="0"/>
          <w:bCs w:val="0"/>
          <w:sz w:val="28"/>
          <w:szCs w:val="28"/>
        </w:rPr>
        <w:t>une progression plus rapide de la consommation finale nationale</w:t>
      </w:r>
      <w:r>
        <w:rPr>
          <w:rFonts w:ascii="Sylfaen" w:hAnsi="Sylfaen"/>
          <w:b w:val="0"/>
          <w:bCs w:val="0"/>
          <w:sz w:val="28"/>
          <w:szCs w:val="28"/>
        </w:rPr>
        <w:t xml:space="preserve"> que celle </w:t>
      </w:r>
      <w:r w:rsidRPr="00E2715E">
        <w:rPr>
          <w:rFonts w:ascii="Sylfaen" w:hAnsi="Sylfaen"/>
          <w:b w:val="0"/>
          <w:bCs w:val="0"/>
          <w:sz w:val="28"/>
          <w:szCs w:val="28"/>
        </w:rPr>
        <w:t>du PIB</w:t>
      </w:r>
      <w:r w:rsidR="00B05F1F">
        <w:rPr>
          <w:rFonts w:ascii="Sylfaen" w:hAnsi="Sylfaen"/>
          <w:b w:val="0"/>
          <w:bCs w:val="0"/>
          <w:sz w:val="28"/>
          <w:szCs w:val="28"/>
        </w:rPr>
        <w:t xml:space="preserve">, respectivement de </w:t>
      </w:r>
      <w:r w:rsidR="00B05F1F" w:rsidRPr="00E2715E">
        <w:rPr>
          <w:rFonts w:ascii="Sylfaen" w:hAnsi="Sylfaen"/>
          <w:b w:val="0"/>
          <w:bCs w:val="0"/>
          <w:sz w:val="28"/>
          <w:szCs w:val="28"/>
        </w:rPr>
        <w:t xml:space="preserve">4,2% </w:t>
      </w:r>
      <w:r w:rsidR="00B05F1F">
        <w:rPr>
          <w:rFonts w:ascii="Sylfaen" w:hAnsi="Sylfaen"/>
          <w:b w:val="0"/>
          <w:bCs w:val="0"/>
          <w:sz w:val="28"/>
          <w:szCs w:val="28"/>
        </w:rPr>
        <w:t xml:space="preserve">et </w:t>
      </w:r>
      <w:r w:rsidR="00B05F1F" w:rsidRPr="00E2715E">
        <w:rPr>
          <w:rFonts w:ascii="Sylfaen" w:hAnsi="Sylfaen"/>
          <w:b w:val="0"/>
          <w:bCs w:val="0"/>
          <w:sz w:val="28"/>
          <w:szCs w:val="28"/>
        </w:rPr>
        <w:t>3,9%</w:t>
      </w:r>
      <w:r w:rsidR="00B05F1F">
        <w:rPr>
          <w:rFonts w:ascii="Sylfaen" w:hAnsi="Sylfaen"/>
          <w:b w:val="0"/>
          <w:bCs w:val="0"/>
          <w:sz w:val="28"/>
          <w:szCs w:val="28"/>
        </w:rPr>
        <w:t xml:space="preserve"> </w:t>
      </w:r>
      <w:r w:rsidR="00B05F1F" w:rsidRPr="00E2715E">
        <w:rPr>
          <w:rFonts w:ascii="Sylfaen" w:hAnsi="Sylfaen"/>
          <w:b w:val="0"/>
          <w:bCs w:val="0"/>
          <w:sz w:val="28"/>
          <w:szCs w:val="28"/>
        </w:rPr>
        <w:t>aux prix courants</w:t>
      </w:r>
      <w:r w:rsidR="00B05F1F">
        <w:rPr>
          <w:rFonts w:ascii="Sylfaen" w:hAnsi="Sylfaen"/>
          <w:b w:val="0"/>
          <w:bCs w:val="0"/>
          <w:sz w:val="28"/>
          <w:szCs w:val="28"/>
        </w:rPr>
        <w:t>, l</w:t>
      </w:r>
      <w:r w:rsidR="00E2715E" w:rsidRPr="00E2715E">
        <w:rPr>
          <w:rFonts w:ascii="Sylfaen" w:hAnsi="Sylfaen"/>
          <w:b w:val="0"/>
          <w:bCs w:val="0"/>
          <w:sz w:val="28"/>
          <w:szCs w:val="28"/>
        </w:rPr>
        <w:t xml:space="preserve">’épargne intérieure devrait connaitre </w:t>
      </w:r>
      <w:r w:rsidR="00E84ACF">
        <w:rPr>
          <w:rFonts w:ascii="Sylfaen" w:hAnsi="Sylfaen"/>
          <w:b w:val="0"/>
          <w:bCs w:val="0"/>
          <w:sz w:val="28"/>
          <w:szCs w:val="28"/>
        </w:rPr>
        <w:t xml:space="preserve">une </w:t>
      </w:r>
      <w:r w:rsidR="00B05F1F">
        <w:rPr>
          <w:rFonts w:ascii="Sylfaen" w:hAnsi="Sylfaen"/>
          <w:b w:val="0"/>
          <w:bCs w:val="0"/>
          <w:sz w:val="28"/>
          <w:szCs w:val="28"/>
        </w:rPr>
        <w:t xml:space="preserve">légère </w:t>
      </w:r>
      <w:r w:rsidR="00571545">
        <w:rPr>
          <w:rFonts w:ascii="Sylfaen" w:hAnsi="Sylfaen"/>
          <w:b w:val="0"/>
          <w:bCs w:val="0"/>
          <w:sz w:val="28"/>
          <w:szCs w:val="28"/>
        </w:rPr>
        <w:t xml:space="preserve">baisse </w:t>
      </w:r>
      <w:r w:rsidR="00B05F1F">
        <w:rPr>
          <w:rFonts w:ascii="Sylfaen" w:hAnsi="Sylfaen"/>
          <w:b w:val="0"/>
          <w:bCs w:val="0"/>
          <w:sz w:val="28"/>
          <w:szCs w:val="28"/>
        </w:rPr>
        <w:t xml:space="preserve">pour se situer à </w:t>
      </w:r>
      <w:r w:rsidR="00B05F1F" w:rsidRPr="00E2715E">
        <w:rPr>
          <w:rFonts w:ascii="Sylfaen" w:hAnsi="Sylfaen"/>
          <w:b w:val="0"/>
          <w:bCs w:val="0"/>
          <w:sz w:val="28"/>
          <w:szCs w:val="28"/>
        </w:rPr>
        <w:t xml:space="preserve">20,6% </w:t>
      </w:r>
      <w:r w:rsidR="00B05F1F">
        <w:rPr>
          <w:rFonts w:ascii="Sylfaen" w:hAnsi="Sylfaen"/>
          <w:b w:val="0"/>
          <w:bCs w:val="0"/>
          <w:sz w:val="28"/>
          <w:szCs w:val="28"/>
        </w:rPr>
        <w:t xml:space="preserve">au lieu </w:t>
      </w:r>
      <w:r w:rsidR="00E2715E" w:rsidRPr="00E2715E">
        <w:rPr>
          <w:rFonts w:ascii="Sylfaen" w:hAnsi="Sylfaen"/>
          <w:b w:val="0"/>
          <w:bCs w:val="0"/>
          <w:sz w:val="28"/>
          <w:szCs w:val="28"/>
        </w:rPr>
        <w:t xml:space="preserve">de 20,8% du PIB en 2015. </w:t>
      </w:r>
      <w:r w:rsidR="00B40C1D">
        <w:rPr>
          <w:rFonts w:ascii="Sylfaen" w:hAnsi="Sylfaen"/>
          <w:b w:val="0"/>
          <w:bCs w:val="0"/>
          <w:sz w:val="28"/>
          <w:szCs w:val="28"/>
        </w:rPr>
        <w:t>Après, 5,5% du PIB en 2015, l</w:t>
      </w:r>
      <w:r w:rsidR="00E2715E" w:rsidRPr="00E2715E">
        <w:rPr>
          <w:rFonts w:ascii="Sylfaen" w:hAnsi="Sylfaen"/>
          <w:b w:val="0"/>
          <w:bCs w:val="0"/>
          <w:sz w:val="28"/>
          <w:szCs w:val="28"/>
        </w:rPr>
        <w:t>es revenus nets en provenance du reste du monde, devraient représenter 5,3% du PIB</w:t>
      </w:r>
      <w:r w:rsidR="00B40C1D">
        <w:rPr>
          <w:rFonts w:ascii="Sylfaen" w:hAnsi="Sylfaen"/>
          <w:b w:val="0"/>
          <w:bCs w:val="0"/>
          <w:sz w:val="28"/>
          <w:szCs w:val="28"/>
        </w:rPr>
        <w:t xml:space="preserve"> en 2016</w:t>
      </w:r>
      <w:r w:rsidR="00E2715E" w:rsidRPr="00E2715E">
        <w:rPr>
          <w:rFonts w:ascii="Sylfaen" w:hAnsi="Sylfaen"/>
          <w:b w:val="0"/>
          <w:bCs w:val="0"/>
          <w:sz w:val="28"/>
          <w:szCs w:val="28"/>
        </w:rPr>
        <w:t xml:space="preserve">, </w:t>
      </w:r>
      <w:r w:rsidR="00B40C1D">
        <w:rPr>
          <w:rFonts w:ascii="Sylfaen" w:hAnsi="Sylfaen"/>
          <w:b w:val="0"/>
          <w:bCs w:val="0"/>
          <w:sz w:val="28"/>
          <w:szCs w:val="28"/>
        </w:rPr>
        <w:t xml:space="preserve">ce serait </w:t>
      </w:r>
      <w:r w:rsidR="00E84ACF">
        <w:rPr>
          <w:rFonts w:ascii="Sylfaen" w:hAnsi="Sylfaen"/>
          <w:b w:val="0"/>
          <w:bCs w:val="0"/>
          <w:sz w:val="28"/>
          <w:szCs w:val="28"/>
        </w:rPr>
        <w:t xml:space="preserve">le </w:t>
      </w:r>
      <w:r w:rsidR="00E2715E" w:rsidRPr="00E2715E">
        <w:rPr>
          <w:rFonts w:ascii="Sylfaen" w:hAnsi="Sylfaen"/>
          <w:b w:val="0"/>
          <w:bCs w:val="0"/>
          <w:sz w:val="28"/>
          <w:szCs w:val="28"/>
        </w:rPr>
        <w:t xml:space="preserve">niveau le plus bas depuis l’année 2007, </w:t>
      </w:r>
      <w:r w:rsidR="00571545">
        <w:rPr>
          <w:rFonts w:ascii="Sylfaen" w:hAnsi="Sylfaen"/>
          <w:b w:val="0"/>
          <w:bCs w:val="0"/>
          <w:sz w:val="28"/>
          <w:szCs w:val="28"/>
        </w:rPr>
        <w:t xml:space="preserve">en raison de la baisse </w:t>
      </w:r>
      <w:r w:rsidR="00E84ACF">
        <w:rPr>
          <w:rFonts w:ascii="Sylfaen" w:hAnsi="Sylfaen"/>
          <w:b w:val="0"/>
          <w:bCs w:val="0"/>
          <w:sz w:val="28"/>
          <w:szCs w:val="28"/>
        </w:rPr>
        <w:t>prévisible</w:t>
      </w:r>
      <w:r w:rsidR="00571545">
        <w:rPr>
          <w:rFonts w:ascii="Sylfaen" w:hAnsi="Sylfaen"/>
          <w:b w:val="0"/>
          <w:bCs w:val="0"/>
          <w:sz w:val="28"/>
          <w:szCs w:val="28"/>
        </w:rPr>
        <w:t xml:space="preserve"> des recettes des voyages.</w:t>
      </w:r>
      <w:r w:rsidR="00E2715E" w:rsidRPr="00E2715E">
        <w:rPr>
          <w:rFonts w:ascii="Sylfaen" w:hAnsi="Sylfaen"/>
          <w:b w:val="0"/>
          <w:bCs w:val="0"/>
          <w:sz w:val="28"/>
          <w:szCs w:val="28"/>
        </w:rPr>
        <w:t xml:space="preserve"> </w:t>
      </w:r>
      <w:r w:rsidR="00B40C1D">
        <w:rPr>
          <w:rFonts w:ascii="Sylfaen" w:hAnsi="Sylfaen"/>
          <w:b w:val="0"/>
          <w:bCs w:val="0"/>
          <w:sz w:val="28"/>
          <w:szCs w:val="28"/>
        </w:rPr>
        <w:t>L</w:t>
      </w:r>
      <w:r w:rsidR="00E2715E" w:rsidRPr="00E2715E">
        <w:rPr>
          <w:rFonts w:ascii="Sylfaen" w:hAnsi="Sylfaen"/>
          <w:b w:val="0"/>
          <w:bCs w:val="0"/>
          <w:sz w:val="28"/>
          <w:szCs w:val="28"/>
        </w:rPr>
        <w:t xml:space="preserve">’épargne nationale devrait, par conséquent, baisser de 26,3% du PIB en 2015 à 25,9%. </w:t>
      </w:r>
    </w:p>
    <w:p w:rsidR="00E2715E" w:rsidRDefault="00E2715E" w:rsidP="00E01BD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E2715E">
        <w:rPr>
          <w:rFonts w:ascii="Sylfaen" w:hAnsi="Sylfaen"/>
          <w:b w:val="0"/>
          <w:bCs w:val="0"/>
          <w:sz w:val="28"/>
          <w:szCs w:val="28"/>
        </w:rPr>
        <w:t>Par ailleurs, le taux d’investissement brut</w:t>
      </w:r>
      <w:r w:rsidR="009D771C">
        <w:rPr>
          <w:rFonts w:ascii="Sylfaen" w:hAnsi="Sylfaen"/>
          <w:b w:val="0"/>
          <w:bCs w:val="0"/>
          <w:sz w:val="28"/>
          <w:szCs w:val="28"/>
        </w:rPr>
        <w:t xml:space="preserve">, continuant sa tendance à la baisse, devrait se situer </w:t>
      </w:r>
      <w:r w:rsidRPr="00E2715E">
        <w:rPr>
          <w:rFonts w:ascii="Sylfaen" w:hAnsi="Sylfaen"/>
          <w:b w:val="0"/>
          <w:bCs w:val="0"/>
          <w:sz w:val="28"/>
          <w:szCs w:val="28"/>
        </w:rPr>
        <w:t xml:space="preserve">à 28,9% du PIB en 2016, </w:t>
      </w:r>
      <w:r w:rsidR="009D771C">
        <w:rPr>
          <w:rFonts w:ascii="Sylfaen" w:hAnsi="Sylfaen"/>
          <w:b w:val="0"/>
          <w:bCs w:val="0"/>
          <w:sz w:val="28"/>
          <w:szCs w:val="28"/>
        </w:rPr>
        <w:t>au lieu de 29,6% en</w:t>
      </w:r>
      <w:r w:rsidR="005572A4">
        <w:rPr>
          <w:rFonts w:ascii="Sylfaen" w:hAnsi="Sylfaen"/>
          <w:b w:val="0"/>
          <w:bCs w:val="0"/>
          <w:sz w:val="28"/>
          <w:szCs w:val="28"/>
        </w:rPr>
        <w:t xml:space="preserve"> 2015</w:t>
      </w:r>
      <w:r w:rsidR="009D771C">
        <w:rPr>
          <w:rFonts w:ascii="Sylfaen" w:hAnsi="Sylfaen"/>
          <w:b w:val="0"/>
          <w:bCs w:val="0"/>
          <w:sz w:val="28"/>
          <w:szCs w:val="28"/>
        </w:rPr>
        <w:t>. L</w:t>
      </w:r>
      <w:r w:rsidRPr="00E2715E">
        <w:rPr>
          <w:rFonts w:ascii="Sylfaen" w:hAnsi="Sylfaen"/>
          <w:b w:val="0"/>
          <w:bCs w:val="0"/>
          <w:sz w:val="28"/>
          <w:szCs w:val="28"/>
        </w:rPr>
        <w:t>e compte épargne-investissement dégagerait</w:t>
      </w:r>
      <w:r w:rsidR="009D771C">
        <w:rPr>
          <w:rFonts w:ascii="Sylfaen" w:hAnsi="Sylfaen"/>
          <w:b w:val="0"/>
          <w:bCs w:val="0"/>
          <w:sz w:val="28"/>
          <w:szCs w:val="28"/>
        </w:rPr>
        <w:t>,</w:t>
      </w:r>
      <w:r w:rsidRPr="00E2715E">
        <w:rPr>
          <w:rFonts w:ascii="Sylfaen" w:hAnsi="Sylfaen"/>
          <w:b w:val="0"/>
          <w:bCs w:val="0"/>
          <w:sz w:val="28"/>
          <w:szCs w:val="28"/>
        </w:rPr>
        <w:t xml:space="preserve"> </w:t>
      </w:r>
      <w:r w:rsidR="009D771C">
        <w:rPr>
          <w:rFonts w:ascii="Sylfaen" w:hAnsi="Sylfaen"/>
          <w:b w:val="0"/>
          <w:bCs w:val="0"/>
          <w:sz w:val="28"/>
          <w:szCs w:val="28"/>
        </w:rPr>
        <w:t xml:space="preserve">ainsi, </w:t>
      </w:r>
      <w:r w:rsidRPr="00E2715E">
        <w:rPr>
          <w:rFonts w:ascii="Sylfaen" w:hAnsi="Sylfaen"/>
          <w:b w:val="0"/>
          <w:bCs w:val="0"/>
          <w:sz w:val="28"/>
          <w:szCs w:val="28"/>
        </w:rPr>
        <w:t xml:space="preserve">un déficit de 3% du PIB, après avoir été de 3,3% en 2015. </w:t>
      </w:r>
    </w:p>
    <w:p w:rsidR="009D771C" w:rsidRDefault="009D771C" w:rsidP="00DD3578">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F13349">
        <w:rPr>
          <w:rFonts w:ascii="Sylfaen" w:hAnsi="Sylfaen"/>
          <w:b w:val="0"/>
          <w:bCs w:val="0"/>
          <w:sz w:val="28"/>
          <w:szCs w:val="28"/>
        </w:rPr>
        <w:t xml:space="preserve">Au plan </w:t>
      </w:r>
      <w:r>
        <w:rPr>
          <w:rFonts w:ascii="Sylfaen" w:hAnsi="Sylfaen"/>
          <w:b w:val="0"/>
          <w:bCs w:val="0"/>
          <w:sz w:val="28"/>
          <w:szCs w:val="28"/>
        </w:rPr>
        <w:t xml:space="preserve">des finances extérieures, </w:t>
      </w:r>
      <w:r w:rsidRPr="00F13349">
        <w:rPr>
          <w:rFonts w:ascii="Sylfaen" w:hAnsi="Sylfaen"/>
          <w:b w:val="0"/>
          <w:bCs w:val="0"/>
          <w:sz w:val="28"/>
          <w:szCs w:val="28"/>
        </w:rPr>
        <w:t>les exportations de biens et services</w:t>
      </w:r>
      <w:r w:rsidR="00A23823">
        <w:rPr>
          <w:rFonts w:ascii="Sylfaen" w:hAnsi="Sylfaen"/>
          <w:b w:val="0"/>
          <w:bCs w:val="0"/>
          <w:sz w:val="28"/>
          <w:szCs w:val="28"/>
        </w:rPr>
        <w:t xml:space="preserve"> </w:t>
      </w:r>
      <w:r w:rsidR="00D42366">
        <w:rPr>
          <w:rFonts w:ascii="Sylfaen" w:hAnsi="Sylfaen"/>
          <w:b w:val="0"/>
          <w:bCs w:val="0"/>
          <w:sz w:val="28"/>
          <w:szCs w:val="28"/>
        </w:rPr>
        <w:t>connaitraient</w:t>
      </w:r>
      <w:r w:rsidRPr="00F13349">
        <w:rPr>
          <w:rFonts w:ascii="Sylfaen" w:hAnsi="Sylfaen"/>
          <w:b w:val="0"/>
          <w:bCs w:val="0"/>
          <w:sz w:val="28"/>
          <w:szCs w:val="28"/>
        </w:rPr>
        <w:t xml:space="preserve"> une hausse de 5%</w:t>
      </w:r>
      <w:r>
        <w:rPr>
          <w:rFonts w:ascii="Sylfaen" w:hAnsi="Sylfaen"/>
          <w:b w:val="0"/>
          <w:bCs w:val="0"/>
          <w:sz w:val="28"/>
          <w:szCs w:val="28"/>
        </w:rPr>
        <w:t xml:space="preserve"> aux prix courants</w:t>
      </w:r>
      <w:r w:rsidRPr="00F13349">
        <w:rPr>
          <w:rFonts w:ascii="Sylfaen" w:hAnsi="Sylfaen"/>
          <w:b w:val="0"/>
          <w:bCs w:val="0"/>
          <w:sz w:val="28"/>
          <w:szCs w:val="28"/>
        </w:rPr>
        <w:t xml:space="preserve">. Néanmoins, </w:t>
      </w:r>
      <w:r>
        <w:rPr>
          <w:rFonts w:ascii="Sylfaen" w:hAnsi="Sylfaen"/>
          <w:b w:val="0"/>
          <w:bCs w:val="0"/>
          <w:sz w:val="28"/>
          <w:szCs w:val="28"/>
        </w:rPr>
        <w:t>l’augmentation des importations</w:t>
      </w:r>
      <w:r w:rsidRPr="00F13349">
        <w:rPr>
          <w:rFonts w:ascii="Sylfaen" w:hAnsi="Sylfaen"/>
          <w:b w:val="0"/>
          <w:bCs w:val="0"/>
          <w:sz w:val="28"/>
          <w:szCs w:val="28"/>
        </w:rPr>
        <w:t xml:space="preserve">, d’environ 3,5%, se traduirait par </w:t>
      </w:r>
      <w:r w:rsidR="00DD3578">
        <w:rPr>
          <w:rFonts w:ascii="Sylfaen" w:hAnsi="Sylfaen"/>
          <w:b w:val="0"/>
          <w:bCs w:val="0"/>
          <w:sz w:val="28"/>
          <w:szCs w:val="28"/>
        </w:rPr>
        <w:t xml:space="preserve">un </w:t>
      </w:r>
      <w:r w:rsidR="007E2CC3">
        <w:rPr>
          <w:rFonts w:ascii="Sylfaen" w:hAnsi="Sylfaen"/>
          <w:b w:val="0"/>
          <w:bCs w:val="0"/>
          <w:sz w:val="28"/>
          <w:szCs w:val="28"/>
        </w:rPr>
        <w:t>allégement</w:t>
      </w:r>
      <w:r w:rsidRPr="00F13349">
        <w:rPr>
          <w:rFonts w:ascii="Sylfaen" w:hAnsi="Sylfaen"/>
          <w:b w:val="0"/>
          <w:bCs w:val="0"/>
          <w:sz w:val="28"/>
          <w:szCs w:val="28"/>
        </w:rPr>
        <w:t xml:space="preserve"> du déficit en ressources, passant de </w:t>
      </w:r>
      <w:r>
        <w:rPr>
          <w:rFonts w:ascii="Sylfaen" w:hAnsi="Sylfaen"/>
          <w:b w:val="0"/>
          <w:bCs w:val="0"/>
          <w:sz w:val="28"/>
          <w:szCs w:val="28"/>
        </w:rPr>
        <w:t>8,8</w:t>
      </w:r>
      <w:r w:rsidRPr="00F13349">
        <w:rPr>
          <w:rFonts w:ascii="Sylfaen" w:hAnsi="Sylfaen"/>
          <w:b w:val="0"/>
          <w:bCs w:val="0"/>
          <w:sz w:val="28"/>
          <w:szCs w:val="28"/>
        </w:rPr>
        <w:t xml:space="preserve">% du PIB en 2015 </w:t>
      </w:r>
      <w:r>
        <w:rPr>
          <w:rFonts w:ascii="Sylfaen" w:hAnsi="Sylfaen"/>
          <w:b w:val="0"/>
          <w:bCs w:val="0"/>
          <w:sz w:val="28"/>
          <w:szCs w:val="28"/>
        </w:rPr>
        <w:t>à 8,3%</w:t>
      </w:r>
      <w:r w:rsidRPr="00F13349">
        <w:rPr>
          <w:rFonts w:ascii="Sylfaen" w:hAnsi="Sylfaen"/>
          <w:b w:val="0"/>
          <w:bCs w:val="0"/>
          <w:sz w:val="28"/>
          <w:szCs w:val="28"/>
        </w:rPr>
        <w:t xml:space="preserve"> </w:t>
      </w:r>
      <w:r>
        <w:rPr>
          <w:rFonts w:ascii="Sylfaen" w:hAnsi="Sylfaen"/>
          <w:b w:val="0"/>
          <w:bCs w:val="0"/>
          <w:sz w:val="28"/>
          <w:szCs w:val="28"/>
        </w:rPr>
        <w:t xml:space="preserve">en </w:t>
      </w:r>
      <w:r w:rsidRPr="00F13349">
        <w:rPr>
          <w:rFonts w:ascii="Sylfaen" w:hAnsi="Sylfaen"/>
          <w:b w:val="0"/>
          <w:bCs w:val="0"/>
          <w:sz w:val="28"/>
          <w:szCs w:val="28"/>
        </w:rPr>
        <w:t xml:space="preserve">2016. </w:t>
      </w:r>
    </w:p>
    <w:p w:rsidR="006F6590" w:rsidRDefault="00E2715E" w:rsidP="005D0C5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E2715E">
        <w:rPr>
          <w:rFonts w:ascii="Sylfaen" w:hAnsi="Sylfaen"/>
          <w:b w:val="0"/>
          <w:bCs w:val="0"/>
          <w:sz w:val="28"/>
          <w:szCs w:val="28"/>
        </w:rPr>
        <w:t xml:space="preserve">Sur la base de la préservation des stocks en devises </w:t>
      </w:r>
      <w:r w:rsidR="006F6590">
        <w:rPr>
          <w:rFonts w:ascii="Sylfaen" w:hAnsi="Sylfaen"/>
          <w:b w:val="0"/>
          <w:bCs w:val="0"/>
          <w:sz w:val="28"/>
          <w:szCs w:val="28"/>
        </w:rPr>
        <w:t xml:space="preserve">à </w:t>
      </w:r>
      <w:r w:rsidR="00FB70A1" w:rsidRPr="00D42366">
        <w:rPr>
          <w:rFonts w:ascii="Sylfaen" w:hAnsi="Sylfaen"/>
          <w:b w:val="0"/>
          <w:bCs w:val="0"/>
          <w:sz w:val="28"/>
          <w:szCs w:val="28"/>
        </w:rPr>
        <w:t>6</w:t>
      </w:r>
      <w:r w:rsidR="006F6590" w:rsidRPr="00D42366">
        <w:rPr>
          <w:rFonts w:ascii="Sylfaen" w:hAnsi="Sylfaen"/>
          <w:b w:val="0"/>
          <w:bCs w:val="0"/>
          <w:sz w:val="28"/>
          <w:szCs w:val="28"/>
        </w:rPr>
        <w:t>,</w:t>
      </w:r>
      <w:r w:rsidR="00FB70A1">
        <w:rPr>
          <w:rFonts w:ascii="Sylfaen" w:hAnsi="Sylfaen"/>
          <w:b w:val="0"/>
          <w:bCs w:val="0"/>
          <w:sz w:val="28"/>
          <w:szCs w:val="28"/>
        </w:rPr>
        <w:t>1</w:t>
      </w:r>
      <w:r w:rsidR="006F6590">
        <w:rPr>
          <w:rFonts w:ascii="Sylfaen" w:hAnsi="Sylfaen"/>
          <w:b w:val="0"/>
          <w:bCs w:val="0"/>
          <w:sz w:val="28"/>
          <w:szCs w:val="28"/>
        </w:rPr>
        <w:t xml:space="preserve"> mois d’importations, et </w:t>
      </w:r>
      <w:r w:rsidRPr="00E2715E">
        <w:rPr>
          <w:rFonts w:ascii="Sylfaen" w:hAnsi="Sylfaen"/>
          <w:b w:val="0"/>
          <w:bCs w:val="0"/>
          <w:sz w:val="28"/>
          <w:szCs w:val="28"/>
        </w:rPr>
        <w:t>d</w:t>
      </w:r>
      <w:r w:rsidR="006F6590">
        <w:rPr>
          <w:rFonts w:ascii="Sylfaen" w:hAnsi="Sylfaen"/>
          <w:b w:val="0"/>
          <w:bCs w:val="0"/>
          <w:sz w:val="28"/>
          <w:szCs w:val="28"/>
        </w:rPr>
        <w:t>e l’</w:t>
      </w:r>
      <w:r w:rsidRPr="00E2715E">
        <w:rPr>
          <w:rFonts w:ascii="Sylfaen" w:hAnsi="Sylfaen"/>
          <w:b w:val="0"/>
          <w:bCs w:val="0"/>
          <w:sz w:val="28"/>
          <w:szCs w:val="28"/>
        </w:rPr>
        <w:t>hypothèse d’</w:t>
      </w:r>
      <w:r w:rsidR="006F6590">
        <w:rPr>
          <w:rFonts w:ascii="Sylfaen" w:hAnsi="Sylfaen"/>
          <w:b w:val="0"/>
          <w:bCs w:val="0"/>
          <w:sz w:val="28"/>
          <w:szCs w:val="28"/>
        </w:rPr>
        <w:t xml:space="preserve">un </w:t>
      </w:r>
      <w:r w:rsidRPr="00E2715E">
        <w:rPr>
          <w:rFonts w:ascii="Sylfaen" w:hAnsi="Sylfaen"/>
          <w:b w:val="0"/>
          <w:bCs w:val="0"/>
          <w:sz w:val="28"/>
          <w:szCs w:val="28"/>
        </w:rPr>
        <w:t xml:space="preserve">accroissement </w:t>
      </w:r>
      <w:r w:rsidR="00F13349">
        <w:rPr>
          <w:rFonts w:ascii="Sylfaen" w:hAnsi="Sylfaen"/>
          <w:b w:val="0"/>
          <w:bCs w:val="0"/>
          <w:sz w:val="28"/>
          <w:szCs w:val="28"/>
        </w:rPr>
        <w:t>des flux nets</w:t>
      </w:r>
      <w:r w:rsidRPr="00E2715E">
        <w:rPr>
          <w:rFonts w:ascii="Sylfaen" w:hAnsi="Sylfaen"/>
          <w:b w:val="0"/>
          <w:bCs w:val="0"/>
          <w:sz w:val="28"/>
          <w:szCs w:val="28"/>
        </w:rPr>
        <w:t xml:space="preserve"> des investissements directs étrangers </w:t>
      </w:r>
      <w:r w:rsidR="00E84ACF">
        <w:rPr>
          <w:rFonts w:ascii="Sylfaen" w:hAnsi="Sylfaen"/>
          <w:b w:val="0"/>
          <w:bCs w:val="0"/>
          <w:sz w:val="28"/>
          <w:szCs w:val="28"/>
        </w:rPr>
        <w:t xml:space="preserve">de </w:t>
      </w:r>
      <w:r w:rsidR="00E84ACF" w:rsidRPr="00153698">
        <w:rPr>
          <w:rFonts w:ascii="Sylfaen" w:hAnsi="Sylfaen"/>
          <w:b w:val="0"/>
          <w:bCs w:val="0"/>
          <w:sz w:val="28"/>
          <w:szCs w:val="28"/>
        </w:rPr>
        <w:t>1</w:t>
      </w:r>
      <w:r w:rsidR="005D0C5A">
        <w:rPr>
          <w:rFonts w:ascii="Sylfaen" w:hAnsi="Sylfaen"/>
          <w:b w:val="0"/>
          <w:bCs w:val="0"/>
          <w:sz w:val="28"/>
          <w:szCs w:val="28"/>
        </w:rPr>
        <w:t>5</w:t>
      </w:r>
      <w:r w:rsidR="00E84ACF" w:rsidRPr="00153698">
        <w:rPr>
          <w:rFonts w:ascii="Sylfaen" w:hAnsi="Sylfaen"/>
          <w:b w:val="0"/>
          <w:bCs w:val="0"/>
          <w:sz w:val="28"/>
          <w:szCs w:val="28"/>
        </w:rPr>
        <w:t>%</w:t>
      </w:r>
      <w:r w:rsidR="006F6590" w:rsidRPr="00153698">
        <w:rPr>
          <w:rFonts w:ascii="Sylfaen" w:hAnsi="Sylfaen"/>
          <w:b w:val="0"/>
          <w:bCs w:val="0"/>
          <w:sz w:val="28"/>
          <w:szCs w:val="28"/>
        </w:rPr>
        <w:t>,</w:t>
      </w:r>
      <w:r w:rsidR="006F6590">
        <w:rPr>
          <w:rFonts w:ascii="Sylfaen" w:hAnsi="Sylfaen"/>
          <w:b w:val="0"/>
          <w:bCs w:val="0"/>
          <w:sz w:val="28"/>
          <w:szCs w:val="28"/>
        </w:rPr>
        <w:t xml:space="preserve"> le </w:t>
      </w:r>
      <w:r w:rsidRPr="00E2715E">
        <w:rPr>
          <w:rFonts w:ascii="Sylfaen" w:hAnsi="Sylfaen"/>
          <w:b w:val="0"/>
          <w:bCs w:val="0"/>
          <w:sz w:val="28"/>
          <w:szCs w:val="28"/>
        </w:rPr>
        <w:t xml:space="preserve">besoin de financement </w:t>
      </w:r>
      <w:r w:rsidR="006F6590">
        <w:rPr>
          <w:rFonts w:ascii="Sylfaen" w:hAnsi="Sylfaen"/>
          <w:b w:val="0"/>
          <w:bCs w:val="0"/>
          <w:sz w:val="28"/>
          <w:szCs w:val="28"/>
        </w:rPr>
        <w:t xml:space="preserve">complémentaire </w:t>
      </w:r>
      <w:r w:rsidRPr="00E2715E">
        <w:rPr>
          <w:rFonts w:ascii="Sylfaen" w:hAnsi="Sylfaen"/>
          <w:b w:val="0"/>
          <w:bCs w:val="0"/>
          <w:sz w:val="28"/>
          <w:szCs w:val="28"/>
        </w:rPr>
        <w:t>devrait être mobilisé sous forme d’emprunt public sur le marché international</w:t>
      </w:r>
      <w:r w:rsidRPr="00D42366">
        <w:rPr>
          <w:rFonts w:ascii="Sylfaen" w:hAnsi="Sylfaen"/>
          <w:b w:val="0"/>
          <w:bCs w:val="0"/>
          <w:sz w:val="28"/>
          <w:szCs w:val="28"/>
        </w:rPr>
        <w:t>. Dans ces conditions, la dette publique globale devrait atteindre 81,2% du PIB en 2016 au lieu de 79,6% en 2015 et 78,2% en 2014.</w:t>
      </w:r>
      <w:r w:rsidRPr="00E2715E">
        <w:rPr>
          <w:rFonts w:ascii="Sylfaen" w:hAnsi="Sylfaen"/>
          <w:b w:val="0"/>
          <w:bCs w:val="0"/>
          <w:sz w:val="28"/>
          <w:szCs w:val="28"/>
        </w:rPr>
        <w:t xml:space="preserve"> </w:t>
      </w:r>
    </w:p>
    <w:p w:rsidR="00E40643" w:rsidRDefault="00E2715E" w:rsidP="0010781F">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E2715E">
        <w:rPr>
          <w:rFonts w:ascii="Sylfaen" w:hAnsi="Sylfaen"/>
          <w:b w:val="0"/>
          <w:bCs w:val="0"/>
          <w:sz w:val="28"/>
          <w:szCs w:val="28"/>
        </w:rPr>
        <w:t>Au niveau du marché monétaire, et compte tenu des prévisions retenues pour la croissance économique nationale et de la poursuite de la hausse des avoirs extérieurs nets, les tensions sur la liquidité devrait s’alléger et les conditions de financement de l’économie nationale devrait également s’améliorer. Ainsi la masse monétaire devrait s’accroitre de 6,3% au lieu de 5</w:t>
      </w:r>
      <w:r w:rsidR="00E84ACF">
        <w:rPr>
          <w:rFonts w:ascii="Sylfaen" w:hAnsi="Sylfaen"/>
          <w:b w:val="0"/>
          <w:bCs w:val="0"/>
          <w:sz w:val="28"/>
          <w:szCs w:val="28"/>
        </w:rPr>
        <w:t>,</w:t>
      </w:r>
      <w:r w:rsidR="0010781F">
        <w:rPr>
          <w:rFonts w:ascii="Sylfaen" w:hAnsi="Sylfaen"/>
          <w:b w:val="0"/>
          <w:bCs w:val="0"/>
          <w:sz w:val="28"/>
          <w:szCs w:val="28"/>
        </w:rPr>
        <w:t>5</w:t>
      </w:r>
      <w:r w:rsidRPr="00E2715E">
        <w:rPr>
          <w:rFonts w:ascii="Sylfaen" w:hAnsi="Sylfaen"/>
          <w:b w:val="0"/>
          <w:bCs w:val="0"/>
          <w:sz w:val="28"/>
          <w:szCs w:val="28"/>
        </w:rPr>
        <w:t>% en 2015</w:t>
      </w:r>
      <w:r w:rsidR="006758BA">
        <w:rPr>
          <w:rFonts w:ascii="Sylfaen" w:hAnsi="Sylfaen"/>
          <w:b w:val="0"/>
          <w:bCs w:val="0"/>
          <w:sz w:val="28"/>
          <w:szCs w:val="28"/>
        </w:rPr>
        <w:t xml:space="preserve"> et </w:t>
      </w:r>
      <w:r w:rsidRPr="00E2715E">
        <w:rPr>
          <w:rFonts w:ascii="Sylfaen" w:hAnsi="Sylfaen"/>
          <w:b w:val="0"/>
          <w:bCs w:val="0"/>
          <w:sz w:val="28"/>
          <w:szCs w:val="28"/>
        </w:rPr>
        <w:t xml:space="preserve">l’encours des créances sur l’économie </w:t>
      </w:r>
      <w:r w:rsidR="00A23823">
        <w:rPr>
          <w:rFonts w:ascii="Sylfaen" w:hAnsi="Sylfaen"/>
          <w:b w:val="0"/>
          <w:bCs w:val="0"/>
          <w:sz w:val="28"/>
          <w:szCs w:val="28"/>
        </w:rPr>
        <w:t xml:space="preserve"> devrait s’inscrire à</w:t>
      </w:r>
      <w:r w:rsidRPr="00E2715E">
        <w:rPr>
          <w:rFonts w:ascii="Sylfaen" w:hAnsi="Sylfaen"/>
          <w:b w:val="0"/>
          <w:bCs w:val="0"/>
          <w:sz w:val="28"/>
          <w:szCs w:val="28"/>
        </w:rPr>
        <w:t xml:space="preserve"> 3,7% au lieu de 3,1% en 2015.</w:t>
      </w:r>
      <w:r w:rsidR="006758BA">
        <w:rPr>
          <w:rFonts w:ascii="Sylfaen" w:hAnsi="Sylfaen"/>
          <w:b w:val="0"/>
          <w:bCs w:val="0"/>
          <w:sz w:val="28"/>
          <w:szCs w:val="28"/>
        </w:rPr>
        <w:t xml:space="preserve"> </w:t>
      </w:r>
      <w:r w:rsidR="00E40643" w:rsidRPr="00E2715E">
        <w:rPr>
          <w:rFonts w:ascii="Sylfaen" w:hAnsi="Sylfaen"/>
          <w:b w:val="0"/>
          <w:bCs w:val="0"/>
          <w:sz w:val="28"/>
          <w:szCs w:val="28"/>
        </w:rPr>
        <w:t xml:space="preserve">Dans </w:t>
      </w:r>
      <w:r w:rsidR="00E40643">
        <w:rPr>
          <w:rFonts w:ascii="Sylfaen" w:hAnsi="Sylfaen"/>
          <w:b w:val="0"/>
          <w:bCs w:val="0"/>
          <w:sz w:val="28"/>
          <w:szCs w:val="28"/>
        </w:rPr>
        <w:t>c</w:t>
      </w:r>
      <w:r w:rsidR="00E40643" w:rsidRPr="00E2715E">
        <w:rPr>
          <w:rFonts w:ascii="Sylfaen" w:hAnsi="Sylfaen"/>
          <w:b w:val="0"/>
          <w:bCs w:val="0"/>
          <w:sz w:val="28"/>
          <w:szCs w:val="28"/>
        </w:rPr>
        <w:t>es conditions</w:t>
      </w:r>
      <w:r w:rsidR="00E40643">
        <w:rPr>
          <w:rFonts w:ascii="Sylfaen" w:hAnsi="Sylfaen"/>
          <w:b w:val="0"/>
          <w:bCs w:val="0"/>
          <w:sz w:val="28"/>
          <w:szCs w:val="28"/>
        </w:rPr>
        <w:t>,</w:t>
      </w:r>
      <w:r w:rsidR="00E40643" w:rsidRPr="00E2715E">
        <w:rPr>
          <w:rFonts w:ascii="Sylfaen" w:hAnsi="Sylfaen"/>
          <w:b w:val="0"/>
          <w:bCs w:val="0"/>
          <w:sz w:val="28"/>
          <w:szCs w:val="28"/>
        </w:rPr>
        <w:t xml:space="preserve"> l’inflation</w:t>
      </w:r>
      <w:r w:rsidR="00E40643">
        <w:rPr>
          <w:rFonts w:ascii="Sylfaen" w:hAnsi="Sylfaen"/>
          <w:b w:val="0"/>
          <w:bCs w:val="0"/>
          <w:sz w:val="28"/>
          <w:szCs w:val="28"/>
        </w:rPr>
        <w:t xml:space="preserve"> </w:t>
      </w:r>
      <w:r w:rsidR="00E40643" w:rsidRPr="00E2715E">
        <w:rPr>
          <w:rFonts w:ascii="Sylfaen" w:hAnsi="Sylfaen"/>
          <w:b w:val="0"/>
          <w:bCs w:val="0"/>
          <w:sz w:val="28"/>
          <w:szCs w:val="28"/>
        </w:rPr>
        <w:t>appréhendé</w:t>
      </w:r>
      <w:r w:rsidR="00E40643">
        <w:rPr>
          <w:rFonts w:ascii="Sylfaen" w:hAnsi="Sylfaen"/>
          <w:b w:val="0"/>
          <w:bCs w:val="0"/>
          <w:sz w:val="28"/>
          <w:szCs w:val="28"/>
        </w:rPr>
        <w:t>e</w:t>
      </w:r>
      <w:r w:rsidR="00E40643" w:rsidRPr="00E2715E">
        <w:rPr>
          <w:rFonts w:ascii="Sylfaen" w:hAnsi="Sylfaen"/>
          <w:b w:val="0"/>
          <w:bCs w:val="0"/>
          <w:sz w:val="28"/>
          <w:szCs w:val="28"/>
        </w:rPr>
        <w:t xml:space="preserve"> par le prix implicite du PIB</w:t>
      </w:r>
      <w:r w:rsidR="00E40643">
        <w:rPr>
          <w:rFonts w:ascii="Sylfaen" w:hAnsi="Sylfaen"/>
          <w:b w:val="0"/>
          <w:bCs w:val="0"/>
          <w:sz w:val="28"/>
          <w:szCs w:val="28"/>
        </w:rPr>
        <w:t xml:space="preserve"> devrait connaitre</w:t>
      </w:r>
      <w:r w:rsidR="00E40643" w:rsidRPr="00E2715E">
        <w:rPr>
          <w:rFonts w:ascii="Sylfaen" w:hAnsi="Sylfaen"/>
          <w:b w:val="0"/>
          <w:bCs w:val="0"/>
          <w:sz w:val="28"/>
          <w:szCs w:val="28"/>
        </w:rPr>
        <w:t xml:space="preserve"> une hausse de 1,3%</w:t>
      </w:r>
      <w:r w:rsidR="006758BA">
        <w:rPr>
          <w:rFonts w:ascii="Sylfaen" w:hAnsi="Sylfaen"/>
          <w:b w:val="0"/>
          <w:bCs w:val="0"/>
          <w:sz w:val="28"/>
          <w:szCs w:val="28"/>
        </w:rPr>
        <w:t xml:space="preserve"> au lieu de 1% en 2015</w:t>
      </w:r>
      <w:r w:rsidR="00E40643">
        <w:rPr>
          <w:rFonts w:ascii="Sylfaen" w:hAnsi="Sylfaen"/>
          <w:b w:val="0"/>
          <w:bCs w:val="0"/>
          <w:sz w:val="28"/>
          <w:szCs w:val="28"/>
        </w:rPr>
        <w:t>.</w:t>
      </w:r>
    </w:p>
    <w:p w:rsidR="00E01BDA" w:rsidRDefault="00FD11CD" w:rsidP="00E2715E">
      <w:pPr>
        <w:jc w:val="both"/>
        <w:rPr>
          <w:sz w:val="28"/>
          <w:szCs w:val="28"/>
          <w:u w:val="single"/>
        </w:rPr>
      </w:pPr>
      <w:r>
        <w:rPr>
          <w:sz w:val="28"/>
          <w:szCs w:val="28"/>
        </w:rPr>
        <w:br w:type="page"/>
      </w:r>
    </w:p>
    <w:p w:rsidR="00E2715E" w:rsidRPr="00E01BDA" w:rsidRDefault="00E2715E" w:rsidP="00E2715E">
      <w:pPr>
        <w:jc w:val="both"/>
        <w:rPr>
          <w:color w:val="0000FF"/>
          <w:sz w:val="36"/>
          <w:szCs w:val="36"/>
        </w:rPr>
      </w:pPr>
      <w:r w:rsidRPr="00E01BDA">
        <w:rPr>
          <w:color w:val="0000FF"/>
          <w:sz w:val="36"/>
          <w:szCs w:val="36"/>
        </w:rPr>
        <w:t>Conclusion</w:t>
      </w:r>
    </w:p>
    <w:p w:rsidR="006F4410" w:rsidRDefault="006F4410" w:rsidP="00B51C71">
      <w:pPr>
        <w:widowControl w:val="0"/>
        <w:adjustRightInd w:val="0"/>
        <w:spacing w:after="360"/>
        <w:jc w:val="lowKashida"/>
        <w:rPr>
          <w:b w:val="0"/>
          <w:bCs w:val="0"/>
        </w:rPr>
      </w:pP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240A1D">
        <w:rPr>
          <w:rFonts w:ascii="Sylfaen" w:hAnsi="Sylfaen"/>
          <w:b w:val="0"/>
          <w:bCs w:val="0"/>
          <w:sz w:val="28"/>
          <w:szCs w:val="28"/>
        </w:rPr>
        <w:t xml:space="preserve">Depuis, le début des années 2000, </w:t>
      </w:r>
      <w:r>
        <w:rPr>
          <w:rFonts w:ascii="Sylfaen" w:hAnsi="Sylfaen"/>
          <w:b w:val="0"/>
          <w:bCs w:val="0"/>
          <w:sz w:val="28"/>
          <w:szCs w:val="28"/>
        </w:rPr>
        <w:t>le Maroc s’est engagé dans une politique volontariste d’investissement dans l</w:t>
      </w:r>
      <w:r w:rsidRPr="00240A1D">
        <w:rPr>
          <w:rFonts w:ascii="Sylfaen" w:hAnsi="Sylfaen"/>
          <w:b w:val="0"/>
          <w:bCs w:val="0"/>
          <w:sz w:val="28"/>
          <w:szCs w:val="28"/>
        </w:rPr>
        <w:t xml:space="preserve">es </w:t>
      </w:r>
      <w:r>
        <w:rPr>
          <w:rFonts w:ascii="Sylfaen" w:hAnsi="Sylfaen"/>
          <w:b w:val="0"/>
          <w:bCs w:val="0"/>
          <w:sz w:val="28"/>
          <w:szCs w:val="28"/>
        </w:rPr>
        <w:t xml:space="preserve">infrastructures économiques, sociales et territoriales. Il a mis en œuvre </w:t>
      </w:r>
      <w:r w:rsidRPr="00240A1D">
        <w:rPr>
          <w:rFonts w:ascii="Sylfaen" w:hAnsi="Sylfaen"/>
          <w:b w:val="0"/>
          <w:bCs w:val="0"/>
          <w:sz w:val="28"/>
          <w:szCs w:val="28"/>
        </w:rPr>
        <w:t xml:space="preserve">des stratégies de développement sectoriel pour </w:t>
      </w:r>
      <w:r>
        <w:rPr>
          <w:rFonts w:ascii="Sylfaen" w:hAnsi="Sylfaen"/>
          <w:b w:val="0"/>
          <w:bCs w:val="0"/>
          <w:sz w:val="28"/>
          <w:szCs w:val="28"/>
        </w:rPr>
        <w:t xml:space="preserve">assurer une diversification plus avancée </w:t>
      </w:r>
      <w:r w:rsidRPr="00240A1D">
        <w:rPr>
          <w:rFonts w:ascii="Sylfaen" w:hAnsi="Sylfaen"/>
          <w:b w:val="0"/>
          <w:bCs w:val="0"/>
          <w:sz w:val="28"/>
          <w:szCs w:val="28"/>
        </w:rPr>
        <w:t xml:space="preserve">de l’économie et </w:t>
      </w:r>
      <w:r>
        <w:rPr>
          <w:rFonts w:ascii="Sylfaen" w:hAnsi="Sylfaen"/>
          <w:b w:val="0"/>
          <w:bCs w:val="0"/>
          <w:sz w:val="28"/>
          <w:szCs w:val="28"/>
        </w:rPr>
        <w:t>améliorer ainsi sa productivité</w:t>
      </w:r>
      <w:r w:rsidRPr="00240A1D">
        <w:rPr>
          <w:rFonts w:ascii="Sylfaen" w:hAnsi="Sylfaen"/>
          <w:b w:val="0"/>
          <w:bCs w:val="0"/>
          <w:sz w:val="28"/>
          <w:szCs w:val="28"/>
        </w:rPr>
        <w:t>.</w:t>
      </w:r>
      <w:r>
        <w:rPr>
          <w:rFonts w:ascii="Sylfaen" w:hAnsi="Sylfaen"/>
          <w:b w:val="0"/>
          <w:bCs w:val="0"/>
          <w:sz w:val="28"/>
          <w:szCs w:val="28"/>
        </w:rPr>
        <w:t xml:space="preserve"> Le tiers de son PIB (33%) était alloué à l’investissement et les acquis en matière de lutte contre la pauvreté, la vulnérabilité et les inégalités sociales et territoriales aujourd’hui avérées, m</w:t>
      </w:r>
      <w:r w:rsidRPr="003713D0">
        <w:rPr>
          <w:rFonts w:ascii="Sylfaen" w:hAnsi="Sylfaen"/>
          <w:b w:val="0"/>
          <w:bCs w:val="0"/>
          <w:sz w:val="28"/>
          <w:szCs w:val="28"/>
        </w:rPr>
        <w:t>ême si cela s’est réalisé avec une tendance au creusement de ses déficits budgétaire et extérieur.</w:t>
      </w:r>
      <w:r>
        <w:rPr>
          <w:rFonts w:ascii="Sylfaen" w:hAnsi="Sylfaen"/>
          <w:b w:val="0"/>
          <w:bCs w:val="0"/>
          <w:sz w:val="28"/>
          <w:szCs w:val="28"/>
        </w:rPr>
        <w:t xml:space="preserve"> </w:t>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3713D0">
        <w:rPr>
          <w:rFonts w:ascii="Sylfaen" w:hAnsi="Sylfaen"/>
          <w:b w:val="0"/>
          <w:bCs w:val="0"/>
          <w:sz w:val="28"/>
          <w:szCs w:val="28"/>
        </w:rPr>
        <w:t xml:space="preserve">Aujourd’hui, le Maroc connait un environnement économique international favorable marqué par des baisses des cours des produits pétroliers et des autres matières premières non énergétiques. Cette éclaircie a facilité la réforme de la caisse de la compensation sans grands impacts sur les prix intérieurs, largement maitrisées ne dépassant pas 1%. Elle a permis de rétablir les équilibres macroéconomiques, avec </w:t>
      </w:r>
      <w:r w:rsidRPr="00C35631">
        <w:rPr>
          <w:rFonts w:ascii="Sylfaen" w:hAnsi="Sylfaen"/>
          <w:b w:val="0"/>
          <w:bCs w:val="0"/>
          <w:sz w:val="28"/>
          <w:szCs w:val="28"/>
        </w:rPr>
        <w:t>une baisse du déficit de la</w:t>
      </w:r>
      <w:r w:rsidRPr="003713D0">
        <w:rPr>
          <w:rFonts w:ascii="Sylfaen" w:hAnsi="Sylfaen"/>
          <w:b w:val="0"/>
          <w:bCs w:val="0"/>
          <w:sz w:val="28"/>
          <w:szCs w:val="28"/>
        </w:rPr>
        <w:t xml:space="preserve"> balance des paiements à 3,3% du PIB en 2015 et du Trésor </w:t>
      </w:r>
      <w:r>
        <w:rPr>
          <w:rFonts w:ascii="Sylfaen" w:hAnsi="Sylfaen"/>
          <w:b w:val="0"/>
          <w:bCs w:val="0"/>
          <w:sz w:val="28"/>
          <w:szCs w:val="28"/>
        </w:rPr>
        <w:t>à 4,4%.</w:t>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Cependant, au regard des incertitudes économiques, financières et géostratégiques où se situe cette conjoncture, une vigilance méthodologique est de rigueur.</w:t>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Force est de constater, en effet, que malgré la manne provenant de l’évolution, à l’échelle internationale, des prix des produits pétroliers et des matières premières non énergétiques, le rétablissement de ces équilibres, </w:t>
      </w:r>
      <w:r w:rsidRPr="00EB45A0">
        <w:rPr>
          <w:rFonts w:ascii="Sylfaen" w:hAnsi="Sylfaen"/>
          <w:b w:val="0"/>
          <w:bCs w:val="0"/>
          <w:sz w:val="28"/>
          <w:szCs w:val="28"/>
        </w:rPr>
        <w:t>en 2015</w:t>
      </w:r>
      <w:r>
        <w:rPr>
          <w:rFonts w:ascii="Sylfaen" w:hAnsi="Sylfaen"/>
          <w:b w:val="0"/>
          <w:bCs w:val="0"/>
          <w:sz w:val="28"/>
          <w:szCs w:val="28"/>
        </w:rPr>
        <w:t xml:space="preserve">, a du être opéré au détriment de la consommation et de l’investissement. Le taux d’accroissement de la demande intérieure </w:t>
      </w:r>
      <w:r w:rsidRPr="00EB45A0">
        <w:rPr>
          <w:rFonts w:ascii="Sylfaen" w:hAnsi="Sylfaen"/>
          <w:b w:val="0"/>
          <w:bCs w:val="0"/>
          <w:sz w:val="28"/>
          <w:szCs w:val="28"/>
        </w:rPr>
        <w:t>est passé de 6% par an</w:t>
      </w:r>
      <w:r>
        <w:rPr>
          <w:rFonts w:ascii="Sylfaen" w:hAnsi="Sylfaen"/>
          <w:b w:val="0"/>
          <w:bCs w:val="0"/>
          <w:sz w:val="28"/>
          <w:szCs w:val="28"/>
        </w:rPr>
        <w:t>,</w:t>
      </w:r>
      <w:r w:rsidRPr="00EB45A0">
        <w:rPr>
          <w:rFonts w:ascii="Sylfaen" w:hAnsi="Sylfaen"/>
          <w:b w:val="0"/>
          <w:bCs w:val="0"/>
          <w:sz w:val="28"/>
          <w:szCs w:val="28"/>
        </w:rPr>
        <w:t xml:space="preserve"> entre 2000 et 2009</w:t>
      </w:r>
      <w:r>
        <w:rPr>
          <w:rFonts w:ascii="Sylfaen" w:hAnsi="Sylfaen"/>
          <w:b w:val="0"/>
          <w:bCs w:val="0"/>
          <w:sz w:val="28"/>
          <w:szCs w:val="28"/>
        </w:rPr>
        <w:t>,</w:t>
      </w:r>
      <w:r w:rsidRPr="00EB45A0">
        <w:rPr>
          <w:rFonts w:ascii="Sylfaen" w:hAnsi="Sylfaen"/>
          <w:b w:val="0"/>
          <w:bCs w:val="0"/>
          <w:sz w:val="28"/>
          <w:szCs w:val="28"/>
        </w:rPr>
        <w:t xml:space="preserve"> à 3,3% durant les 5 dernières années.</w:t>
      </w:r>
      <w:r>
        <w:rPr>
          <w:rFonts w:ascii="Sylfaen" w:hAnsi="Sylfaen"/>
          <w:b w:val="0"/>
          <w:bCs w:val="0"/>
          <w:sz w:val="28"/>
          <w:szCs w:val="28"/>
        </w:rPr>
        <w:t xml:space="preserve"> Celui de l’investissement est négatif depuis 2013 et devrait se redresser à peine en 2015 et 2016.</w:t>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Plus fondamentalement, l’investissement et la croissance commencent à marquer un essoufflement significatif. La moyenne annuelle de l’investissement dans le PIB s’inscrit dans une tendance baissière qui la porte à moins de 30% après avoir été de l’ordre de 33% pendant une dizaine d’années. La croissance de son côté, connait la même tendance baissière depuis 2008. </w:t>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p>
    <w:p w:rsidR="001A79EB" w:rsidRDefault="003B7C04" w:rsidP="001A79EB">
      <w:pPr>
        <w:widowControl w:val="0"/>
        <w:autoSpaceDE w:val="0"/>
        <w:autoSpaceDN w:val="0"/>
        <w:adjustRightInd w:val="0"/>
        <w:spacing w:before="100" w:beforeAutospacing="1" w:after="100" w:afterAutospacing="1" w:line="276" w:lineRule="auto"/>
        <w:jc w:val="both"/>
        <w:rPr>
          <w:rFonts w:ascii="Sylfaen" w:hAnsi="Sylfaen"/>
          <w:b w:val="0"/>
          <w:bCs w:val="0"/>
          <w:sz w:val="28"/>
          <w:szCs w:val="28"/>
        </w:rPr>
      </w:pPr>
      <w:r>
        <w:rPr>
          <w:rFonts w:ascii="Sylfaen" w:hAnsi="Sylfaen"/>
          <w:b w:val="0"/>
          <w:bCs w:val="0"/>
          <w:noProof/>
          <w:sz w:val="28"/>
          <w:szCs w:val="28"/>
        </w:rPr>
        <w:drawing>
          <wp:inline distT="0" distB="0" distL="0" distR="0">
            <wp:extent cx="5461000" cy="2984500"/>
            <wp:effectExtent l="19050" t="0" r="6350" b="0"/>
            <wp:docPr id="1"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8" cstate="print"/>
                    <a:srcRect b="-43"/>
                    <a:stretch>
                      <a:fillRect/>
                    </a:stretch>
                  </pic:blipFill>
                  <pic:spPr bwMode="auto">
                    <a:xfrm>
                      <a:off x="0" y="0"/>
                      <a:ext cx="5461000" cy="2984500"/>
                    </a:xfrm>
                    <a:prstGeom prst="rect">
                      <a:avLst/>
                    </a:prstGeom>
                    <a:noFill/>
                    <a:ln w="9525">
                      <a:noFill/>
                      <a:miter lim="800000"/>
                      <a:headEnd/>
                      <a:tailEnd/>
                    </a:ln>
                  </pic:spPr>
                </pic:pic>
              </a:graphicData>
            </a:graphic>
          </wp:inline>
        </w:drawing>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8D2A41">
        <w:rPr>
          <w:rFonts w:ascii="Sylfaen" w:hAnsi="Sylfaen"/>
          <w:b w:val="0"/>
          <w:bCs w:val="0"/>
          <w:sz w:val="28"/>
          <w:szCs w:val="28"/>
        </w:rPr>
        <w:t>L’activité non agricole, qui a</w:t>
      </w:r>
      <w:r>
        <w:rPr>
          <w:rFonts w:ascii="Sylfaen" w:hAnsi="Sylfaen"/>
          <w:b w:val="0"/>
          <w:bCs w:val="0"/>
          <w:sz w:val="28"/>
          <w:szCs w:val="28"/>
        </w:rPr>
        <w:t>vait</w:t>
      </w:r>
      <w:r w:rsidRPr="008D2A41">
        <w:rPr>
          <w:rFonts w:ascii="Sylfaen" w:hAnsi="Sylfaen"/>
          <w:b w:val="0"/>
          <w:bCs w:val="0"/>
          <w:sz w:val="28"/>
          <w:szCs w:val="28"/>
        </w:rPr>
        <w:t xml:space="preserve"> porté cette croissance, peine aujourd’hui à consolider ses performances d’avant la crise économique internationale. </w:t>
      </w:r>
      <w:r w:rsidRPr="00B82C9C">
        <w:rPr>
          <w:rFonts w:ascii="Sylfaen" w:hAnsi="Sylfaen"/>
          <w:b w:val="0"/>
          <w:bCs w:val="0"/>
          <w:sz w:val="28"/>
          <w:szCs w:val="28"/>
        </w:rPr>
        <w:t>Sa croissance</w:t>
      </w:r>
      <w:r>
        <w:rPr>
          <w:rFonts w:ascii="Sylfaen" w:hAnsi="Sylfaen"/>
          <w:b w:val="0"/>
          <w:bCs w:val="0"/>
          <w:sz w:val="28"/>
          <w:szCs w:val="28"/>
        </w:rPr>
        <w:t xml:space="preserve"> est </w:t>
      </w:r>
      <w:r w:rsidRPr="008D2A41">
        <w:rPr>
          <w:rFonts w:ascii="Sylfaen" w:hAnsi="Sylfaen"/>
          <w:b w:val="0"/>
          <w:bCs w:val="0"/>
          <w:sz w:val="28"/>
          <w:szCs w:val="28"/>
        </w:rPr>
        <w:t>pass</w:t>
      </w:r>
      <w:r>
        <w:rPr>
          <w:rFonts w:ascii="Sylfaen" w:hAnsi="Sylfaen"/>
          <w:b w:val="0"/>
          <w:bCs w:val="0"/>
          <w:sz w:val="28"/>
          <w:szCs w:val="28"/>
        </w:rPr>
        <w:t>ée</w:t>
      </w:r>
      <w:r w:rsidRPr="008D2A41">
        <w:rPr>
          <w:rFonts w:ascii="Sylfaen" w:hAnsi="Sylfaen"/>
          <w:b w:val="0"/>
          <w:bCs w:val="0"/>
          <w:sz w:val="28"/>
          <w:szCs w:val="28"/>
        </w:rPr>
        <w:t xml:space="preserve"> de 5%</w:t>
      </w:r>
      <w:r>
        <w:rPr>
          <w:rFonts w:ascii="Sylfaen" w:hAnsi="Sylfaen"/>
          <w:b w:val="0"/>
          <w:bCs w:val="0"/>
          <w:sz w:val="28"/>
          <w:szCs w:val="28"/>
        </w:rPr>
        <w:t>,</w:t>
      </w:r>
      <w:r w:rsidRPr="008D2A41">
        <w:rPr>
          <w:rFonts w:ascii="Sylfaen" w:hAnsi="Sylfaen"/>
          <w:b w:val="0"/>
          <w:bCs w:val="0"/>
          <w:sz w:val="28"/>
          <w:szCs w:val="28"/>
        </w:rPr>
        <w:t xml:space="preserve"> entre 2000 et 2007 à 3,2% depuis 2008 et à 2,1% </w:t>
      </w:r>
      <w:r>
        <w:rPr>
          <w:rFonts w:ascii="Sylfaen" w:hAnsi="Sylfaen"/>
          <w:b w:val="0"/>
          <w:bCs w:val="0"/>
          <w:sz w:val="28"/>
          <w:szCs w:val="28"/>
        </w:rPr>
        <w:t xml:space="preserve">au cours des </w:t>
      </w:r>
      <w:r w:rsidRPr="008D2A41">
        <w:rPr>
          <w:rFonts w:ascii="Sylfaen" w:hAnsi="Sylfaen"/>
          <w:b w:val="0"/>
          <w:bCs w:val="0"/>
          <w:sz w:val="28"/>
          <w:szCs w:val="28"/>
        </w:rPr>
        <w:t>trois dernières années.</w:t>
      </w:r>
    </w:p>
    <w:p w:rsidR="00A85A42" w:rsidRDefault="00A85A42" w:rsidP="00E2056A">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sidRPr="008D2A41">
        <w:rPr>
          <w:rFonts w:ascii="Sylfaen" w:hAnsi="Sylfaen"/>
          <w:b w:val="0"/>
          <w:bCs w:val="0"/>
          <w:sz w:val="28"/>
          <w:szCs w:val="28"/>
        </w:rPr>
        <w:t>Le secteur agricole n’a pas pu compenser le fléchissement de l’activité non agricole. Certes</w:t>
      </w:r>
      <w:r w:rsidR="00E2056A">
        <w:rPr>
          <w:rFonts w:ascii="Sylfaen" w:hAnsi="Sylfaen"/>
          <w:b w:val="0"/>
          <w:bCs w:val="0"/>
          <w:sz w:val="28"/>
          <w:szCs w:val="28"/>
        </w:rPr>
        <w:t>, s</w:t>
      </w:r>
      <w:r w:rsidRPr="008D2A41">
        <w:rPr>
          <w:rFonts w:ascii="Sylfaen" w:hAnsi="Sylfaen"/>
          <w:b w:val="0"/>
          <w:bCs w:val="0"/>
          <w:sz w:val="28"/>
          <w:szCs w:val="28"/>
        </w:rPr>
        <w:t>a croissance est en amélioration depuis le début des années 2000, passant de 7% en moyenne annuelle entre 2000 et 2007 à 9,5% entre 2008 et 2015, mais sa part dans le PIB total n’a cessé de baisser ces dernières années, passant de plus de 13% avant 2007 à 10% aujourd’hui.</w:t>
      </w:r>
    </w:p>
    <w:p w:rsidR="001A79EB" w:rsidRDefault="001A79EB" w:rsidP="001A79EB">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 xml:space="preserve">Dans ce contexte, à défaut de réformes structurelles susceptibles d’engager le pays dans un processus profond de diversification de son tissu productif et de valoriser ainsi, la robustesse des options stratégiques adoptées par le Maroc, depuis 2000, nous risquons de réduire les profits que nous offre l’aubaine de la conjoncture internationale actuelle. Nous resterions, alors, dans cette configuration d’une croissance qui effleurerait 4,5 à 5% dans le cas d’une bonne année agricole et de ne guère dépasser 3% dans le cas contraire </w:t>
      </w:r>
    </w:p>
    <w:p w:rsidR="006F4410" w:rsidRPr="00F238B8" w:rsidRDefault="00F238B8" w:rsidP="00A75C01">
      <w:pPr>
        <w:widowControl w:val="0"/>
        <w:autoSpaceDE w:val="0"/>
        <w:autoSpaceDN w:val="0"/>
        <w:adjustRightInd w:val="0"/>
        <w:spacing w:before="100" w:beforeAutospacing="1" w:after="100" w:afterAutospacing="1" w:line="276" w:lineRule="auto"/>
        <w:ind w:firstLine="708"/>
        <w:jc w:val="both"/>
        <w:rPr>
          <w:rFonts w:ascii="Sylfaen" w:hAnsi="Sylfaen"/>
          <w:b w:val="0"/>
          <w:bCs w:val="0"/>
          <w:sz w:val="28"/>
          <w:szCs w:val="28"/>
        </w:rPr>
      </w:pPr>
      <w:r>
        <w:rPr>
          <w:rFonts w:ascii="Sylfaen" w:hAnsi="Sylfaen"/>
          <w:b w:val="0"/>
          <w:bCs w:val="0"/>
          <w:sz w:val="28"/>
          <w:szCs w:val="28"/>
        </w:rPr>
        <w:t>Aussi</w:t>
      </w:r>
      <w:r w:rsidR="006D20C5">
        <w:rPr>
          <w:rFonts w:ascii="Sylfaen" w:hAnsi="Sylfaen"/>
          <w:b w:val="0"/>
          <w:bCs w:val="0"/>
          <w:sz w:val="28"/>
          <w:szCs w:val="28"/>
        </w:rPr>
        <w:t>,</w:t>
      </w:r>
      <w:r>
        <w:rPr>
          <w:rFonts w:ascii="Sylfaen" w:hAnsi="Sylfaen"/>
          <w:b w:val="0"/>
          <w:bCs w:val="0"/>
          <w:sz w:val="28"/>
          <w:szCs w:val="28"/>
        </w:rPr>
        <w:t xml:space="preserve"> est-il pour nous, aujourd’hui, un impératif catégorique de consolider la réforme déjà engagée de la caisse de compensation, de prendre la mesure de l’urgence de la réforme du système des retraites et de revoir en profondeur le mode de gestion actuel de l’administration publique. Cette dernière dont le coût de fonctionnement absorbe plus de 20% du PIB, c’est-à-dire quatre fois plus que la Caisse de Compensation dans ses pires années, pourrait autrement devenir intolérable si ce mode de gestion était dupliqué dans le cadre de la régionalisation. La nécessité d’une amélioration plus systématique du climat des affaires et d’un encouragement ciblé des capitaux privés nationaux et internationaux à s’engager dans l’investissement productif, implique, par ailleurs, de rompre avec les hésitations à entreprendre une réforme profonde et durable du système fiscal national, </w:t>
      </w:r>
      <w:r w:rsidRPr="00A5746E">
        <w:rPr>
          <w:rFonts w:ascii="Sylfaen" w:hAnsi="Sylfaen"/>
          <w:b w:val="0"/>
          <w:bCs w:val="0"/>
          <w:sz w:val="28"/>
          <w:szCs w:val="28"/>
        </w:rPr>
        <w:t>aujourd’hui peu favorable à la productivité des facteurs de production</w:t>
      </w:r>
      <w:r>
        <w:rPr>
          <w:rFonts w:ascii="Sylfaen" w:hAnsi="Sylfaen"/>
          <w:b w:val="0"/>
          <w:bCs w:val="0"/>
          <w:sz w:val="28"/>
          <w:szCs w:val="28"/>
        </w:rPr>
        <w:t xml:space="preserve"> </w:t>
      </w:r>
      <w:r w:rsidRPr="00A5746E">
        <w:rPr>
          <w:rFonts w:ascii="Sylfaen" w:hAnsi="Sylfaen"/>
          <w:b w:val="0"/>
          <w:bCs w:val="0"/>
          <w:sz w:val="28"/>
          <w:szCs w:val="28"/>
        </w:rPr>
        <w:t>e</w:t>
      </w:r>
      <w:r>
        <w:rPr>
          <w:rFonts w:ascii="Sylfaen" w:hAnsi="Sylfaen"/>
          <w:b w:val="0"/>
          <w:bCs w:val="0"/>
          <w:sz w:val="28"/>
          <w:szCs w:val="28"/>
        </w:rPr>
        <w:t>t à l’inscrire dans une perspective d’avenir.</w:t>
      </w:r>
    </w:p>
    <w:p w:rsidR="00F659D9" w:rsidRDefault="006F4410" w:rsidP="006F4410">
      <w:pPr>
        <w:widowControl w:val="0"/>
        <w:tabs>
          <w:tab w:val="left" w:pos="2700"/>
          <w:tab w:val="center" w:pos="4889"/>
        </w:tabs>
        <w:adjustRightInd w:val="0"/>
        <w:spacing w:after="360"/>
        <w:ind w:firstLine="708"/>
      </w:pPr>
      <w:r>
        <w:tab/>
      </w:r>
    </w:p>
    <w:p w:rsidR="00F659D9" w:rsidRDefault="00F659D9">
      <w:r>
        <w:br w:type="page"/>
      </w:r>
    </w:p>
    <w:p w:rsidR="006F4410" w:rsidRPr="00545B73" w:rsidRDefault="006F4410" w:rsidP="00F659D9">
      <w:pPr>
        <w:widowControl w:val="0"/>
        <w:tabs>
          <w:tab w:val="left" w:pos="2700"/>
          <w:tab w:val="center" w:pos="4889"/>
        </w:tabs>
        <w:adjustRightInd w:val="0"/>
        <w:spacing w:after="360"/>
        <w:ind w:firstLine="708"/>
        <w:jc w:val="center"/>
        <w:rPr>
          <w:sz w:val="26"/>
          <w:szCs w:val="26"/>
        </w:rPr>
      </w:pPr>
      <w:r w:rsidRPr="00545B73">
        <w:rPr>
          <w:sz w:val="26"/>
          <w:szCs w:val="26"/>
        </w:rPr>
        <w:t>Evolution du Produit Intérieur Brut</w:t>
      </w:r>
    </w:p>
    <w:p w:rsidR="006F4410" w:rsidRPr="00545B73" w:rsidRDefault="006F4410" w:rsidP="006F4410">
      <w:pPr>
        <w:autoSpaceDE w:val="0"/>
        <w:autoSpaceDN w:val="0"/>
        <w:adjustRightInd w:val="0"/>
        <w:ind w:left="-900" w:right="-288"/>
        <w:jc w:val="center"/>
        <w:rPr>
          <w:sz w:val="26"/>
          <w:szCs w:val="26"/>
        </w:rPr>
      </w:pPr>
      <w:r w:rsidRPr="00545B73">
        <w:rPr>
          <w:sz w:val="26"/>
          <w:szCs w:val="26"/>
        </w:rPr>
        <w:t xml:space="preserve">            En volume selon les prix de l’année précédente (En %)</w:t>
      </w:r>
    </w:p>
    <w:p w:rsidR="006F4410" w:rsidRPr="00735CAD" w:rsidRDefault="006F4410" w:rsidP="006F4410">
      <w:pPr>
        <w:autoSpaceDE w:val="0"/>
        <w:autoSpaceDN w:val="0"/>
        <w:adjustRightInd w:val="0"/>
        <w:ind w:left="-900" w:right="-288"/>
        <w:jc w:val="center"/>
        <w:rPr>
          <w:color w:val="00B050"/>
          <w:sz w:val="26"/>
          <w:szCs w:val="26"/>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89"/>
      </w:tblGrid>
      <w:tr w:rsidR="006F4410" w:rsidRPr="00735CAD" w:rsidTr="006F4410">
        <w:trPr>
          <w:trHeight w:val="343"/>
          <w:jc w:val="center"/>
        </w:trPr>
        <w:tc>
          <w:tcPr>
            <w:tcW w:w="5142" w:type="dxa"/>
          </w:tcPr>
          <w:p w:rsidR="006F4410" w:rsidRPr="00735CAD" w:rsidRDefault="006F4410" w:rsidP="006F4410">
            <w:pPr>
              <w:bidi/>
              <w:spacing w:line="320" w:lineRule="exact"/>
              <w:jc w:val="right"/>
              <w:rPr>
                <w:sz w:val="26"/>
                <w:szCs w:val="26"/>
                <w:lang w:bidi="ar-MA"/>
              </w:rPr>
            </w:pPr>
            <w:r w:rsidRPr="00735CAD">
              <w:rPr>
                <w:sz w:val="26"/>
                <w:szCs w:val="26"/>
                <w:lang w:bidi="ar-MA"/>
              </w:rPr>
              <w:t>Rubriques</w:t>
            </w:r>
          </w:p>
        </w:tc>
        <w:tc>
          <w:tcPr>
            <w:tcW w:w="1032" w:type="dxa"/>
            <w:shd w:val="clear" w:color="auto" w:fill="auto"/>
            <w:vAlign w:val="center"/>
          </w:tcPr>
          <w:p w:rsidR="006F4410" w:rsidRPr="00735CAD" w:rsidRDefault="006F4410" w:rsidP="006F4410">
            <w:pPr>
              <w:bidi/>
              <w:spacing w:line="320" w:lineRule="exact"/>
              <w:jc w:val="right"/>
              <w:rPr>
                <w:sz w:val="26"/>
                <w:szCs w:val="26"/>
                <w:lang w:bidi="ar-MA"/>
              </w:rPr>
            </w:pPr>
            <w:r>
              <w:rPr>
                <w:sz w:val="26"/>
                <w:szCs w:val="26"/>
                <w:lang w:bidi="ar-MA"/>
              </w:rPr>
              <w:t>2013</w:t>
            </w:r>
          </w:p>
        </w:tc>
        <w:tc>
          <w:tcPr>
            <w:tcW w:w="1032" w:type="dxa"/>
            <w:shd w:val="clear" w:color="auto" w:fill="auto"/>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Pr>
                <w:sz w:val="26"/>
                <w:szCs w:val="26"/>
                <w:lang w:bidi="ar-MA"/>
              </w:rPr>
              <w:t>4</w:t>
            </w:r>
          </w:p>
        </w:tc>
        <w:tc>
          <w:tcPr>
            <w:tcW w:w="1032" w:type="dxa"/>
            <w:shd w:val="clear" w:color="auto" w:fill="C6D9F1"/>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Pr>
                <w:sz w:val="26"/>
                <w:szCs w:val="26"/>
                <w:lang w:bidi="ar-MA"/>
              </w:rPr>
              <w:t>5</w:t>
            </w:r>
            <w:r w:rsidRPr="00735CAD">
              <w:rPr>
                <w:sz w:val="26"/>
                <w:szCs w:val="26"/>
                <w:lang w:bidi="ar-MA"/>
              </w:rPr>
              <w:t>*</w:t>
            </w:r>
          </w:p>
        </w:tc>
        <w:tc>
          <w:tcPr>
            <w:tcW w:w="1089" w:type="dxa"/>
            <w:shd w:val="clear" w:color="auto" w:fill="C6D9F1"/>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Pr>
                <w:sz w:val="26"/>
                <w:szCs w:val="26"/>
                <w:lang w:bidi="ar-MA"/>
              </w:rPr>
              <w:t>6</w:t>
            </w:r>
            <w:r w:rsidRPr="00735CAD">
              <w:rPr>
                <w:sz w:val="26"/>
                <w:szCs w:val="26"/>
                <w:lang w:bidi="ar-MA"/>
              </w:rPr>
              <w:t>**</w:t>
            </w:r>
          </w:p>
        </w:tc>
      </w:tr>
      <w:tr w:rsidR="006F4410" w:rsidRPr="00735CAD" w:rsidTr="006F4410">
        <w:trPr>
          <w:trHeight w:val="3195"/>
          <w:jc w:val="center"/>
        </w:trPr>
        <w:tc>
          <w:tcPr>
            <w:tcW w:w="5142" w:type="dxa"/>
          </w:tcPr>
          <w:p w:rsidR="006F4410" w:rsidRPr="00735CAD" w:rsidRDefault="006F4410" w:rsidP="006F4410">
            <w:pPr>
              <w:spacing w:line="320" w:lineRule="exact"/>
              <w:rPr>
                <w:sz w:val="26"/>
                <w:szCs w:val="26"/>
                <w:lang w:bidi="ar-MA"/>
              </w:rPr>
            </w:pPr>
          </w:p>
          <w:p w:rsidR="006F4410" w:rsidRPr="00735CAD" w:rsidRDefault="006F4410" w:rsidP="006F4410">
            <w:pPr>
              <w:numPr>
                <w:ilvl w:val="0"/>
                <w:numId w:val="2"/>
              </w:numPr>
              <w:spacing w:line="320" w:lineRule="exact"/>
              <w:rPr>
                <w:sz w:val="26"/>
                <w:szCs w:val="26"/>
                <w:lang w:bidi="ar-MA"/>
              </w:rPr>
            </w:pPr>
            <w:r w:rsidRPr="00735CAD">
              <w:rPr>
                <w:sz w:val="26"/>
                <w:szCs w:val="26"/>
                <w:lang w:bidi="ar-MA"/>
              </w:rPr>
              <w:t>Valeur ajoutée du secteur Primaire…</w:t>
            </w:r>
          </w:p>
          <w:p w:rsidR="006F4410" w:rsidRPr="00735CAD" w:rsidRDefault="006F4410" w:rsidP="006F4410">
            <w:pPr>
              <w:spacing w:line="320" w:lineRule="exact"/>
              <w:rPr>
                <w:sz w:val="26"/>
                <w:szCs w:val="26"/>
                <w:lang w:bidi="ar-MA"/>
              </w:rPr>
            </w:pPr>
          </w:p>
          <w:p w:rsidR="006F4410" w:rsidRPr="00735CAD" w:rsidRDefault="006F4410" w:rsidP="006F4410">
            <w:pPr>
              <w:numPr>
                <w:ilvl w:val="0"/>
                <w:numId w:val="2"/>
              </w:numPr>
              <w:spacing w:line="320" w:lineRule="exact"/>
              <w:rPr>
                <w:sz w:val="26"/>
                <w:szCs w:val="26"/>
                <w:lang w:bidi="ar-MA"/>
              </w:rPr>
            </w:pPr>
            <w:r w:rsidRPr="00735CAD">
              <w:rPr>
                <w:sz w:val="26"/>
                <w:szCs w:val="26"/>
                <w:lang w:bidi="ar-MA"/>
              </w:rPr>
              <w:t>Valeurs ajoutées non agricoles</w:t>
            </w:r>
            <w:r w:rsidRPr="00735CAD">
              <w:rPr>
                <w:sz w:val="26"/>
                <w:szCs w:val="26"/>
                <w:lang w:val="it-IT" w:bidi="ar-MA"/>
              </w:rPr>
              <w:t>............</w:t>
            </w:r>
          </w:p>
          <w:p w:rsidR="006F4410" w:rsidRPr="00735CAD" w:rsidRDefault="006F4410" w:rsidP="006F4410">
            <w:pPr>
              <w:spacing w:line="320" w:lineRule="exact"/>
              <w:rPr>
                <w:sz w:val="26"/>
                <w:szCs w:val="26"/>
                <w:lang w:bidi="ar-MA"/>
              </w:rPr>
            </w:pPr>
          </w:p>
          <w:p w:rsidR="006F4410" w:rsidRPr="00735CAD" w:rsidRDefault="006F4410" w:rsidP="006F4410">
            <w:pPr>
              <w:numPr>
                <w:ilvl w:val="0"/>
                <w:numId w:val="3"/>
              </w:numPr>
              <w:tabs>
                <w:tab w:val="left" w:pos="-108"/>
              </w:tabs>
              <w:spacing w:line="320" w:lineRule="exact"/>
              <w:rPr>
                <w:b w:val="0"/>
                <w:sz w:val="26"/>
                <w:szCs w:val="26"/>
                <w:lang w:bidi="ar-MA"/>
              </w:rPr>
            </w:pPr>
            <w:r w:rsidRPr="00735CAD">
              <w:rPr>
                <w:b w:val="0"/>
                <w:sz w:val="26"/>
                <w:szCs w:val="26"/>
                <w:lang w:bidi="ar-MA"/>
              </w:rPr>
              <w:t>Secteur Secondaire………………</w:t>
            </w:r>
          </w:p>
          <w:p w:rsidR="006F4410" w:rsidRPr="00735CAD" w:rsidRDefault="006F4410" w:rsidP="006F4410">
            <w:pPr>
              <w:spacing w:line="320" w:lineRule="exact"/>
              <w:ind w:left="360"/>
              <w:rPr>
                <w:b w:val="0"/>
                <w:sz w:val="26"/>
                <w:szCs w:val="26"/>
                <w:lang w:bidi="ar-MA"/>
              </w:rPr>
            </w:pPr>
          </w:p>
          <w:p w:rsidR="006F4410" w:rsidRPr="00735CAD" w:rsidRDefault="006F4410" w:rsidP="006F4410">
            <w:pPr>
              <w:numPr>
                <w:ilvl w:val="0"/>
                <w:numId w:val="3"/>
              </w:numPr>
              <w:spacing w:line="320" w:lineRule="exact"/>
              <w:rPr>
                <w:b w:val="0"/>
                <w:sz w:val="26"/>
                <w:szCs w:val="26"/>
                <w:lang w:bidi="ar-MA"/>
              </w:rPr>
            </w:pPr>
            <w:r w:rsidRPr="00735CAD">
              <w:rPr>
                <w:b w:val="0"/>
                <w:sz w:val="26"/>
                <w:szCs w:val="26"/>
                <w:lang w:bidi="ar-MA"/>
              </w:rPr>
              <w:t>Secteur tertiaire…..……………...</w:t>
            </w:r>
          </w:p>
          <w:p w:rsidR="006F4410" w:rsidRPr="00735CAD" w:rsidRDefault="006F4410" w:rsidP="006F4410">
            <w:pPr>
              <w:spacing w:line="320" w:lineRule="exact"/>
              <w:rPr>
                <w:sz w:val="26"/>
                <w:szCs w:val="26"/>
                <w:lang w:bidi="ar-MA"/>
              </w:rPr>
            </w:pPr>
          </w:p>
        </w:tc>
        <w:tc>
          <w:tcPr>
            <w:tcW w:w="1032" w:type="dxa"/>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sidRPr="00735CAD">
              <w:rPr>
                <w:sz w:val="26"/>
                <w:szCs w:val="26"/>
                <w:lang w:bidi="ar-MA"/>
              </w:rPr>
              <w:t>18,7</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1</w:t>
            </w:r>
            <w:r w:rsidRPr="00735CAD">
              <w:rPr>
                <w:sz w:val="26"/>
                <w:szCs w:val="26"/>
                <w:lang w:bidi="ar-MA"/>
              </w:rPr>
              <w:t>,</w:t>
            </w:r>
            <w:r>
              <w:rPr>
                <w:sz w:val="26"/>
                <w:szCs w:val="26"/>
                <w:lang w:bidi="ar-MA"/>
              </w:rPr>
              <w:t>6</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0</w:t>
            </w:r>
            <w:r w:rsidRPr="00735CAD">
              <w:rPr>
                <w:b w:val="0"/>
                <w:sz w:val="26"/>
                <w:szCs w:val="26"/>
                <w:lang w:bidi="ar-MA"/>
              </w:rPr>
              <w:t>,</w:t>
            </w:r>
            <w:r>
              <w:rPr>
                <w:b w:val="0"/>
                <w:sz w:val="26"/>
                <w:szCs w:val="26"/>
                <w:lang w:bidi="ar-MA"/>
              </w:rPr>
              <w:t>6</w:t>
            </w:r>
          </w:p>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2</w:t>
            </w:r>
            <w:r w:rsidRPr="00735CAD">
              <w:rPr>
                <w:b w:val="0"/>
                <w:sz w:val="26"/>
                <w:szCs w:val="26"/>
                <w:lang w:bidi="ar-MA"/>
              </w:rPr>
              <w:t>,</w:t>
            </w:r>
            <w:r>
              <w:rPr>
                <w:b w:val="0"/>
                <w:sz w:val="26"/>
                <w:szCs w:val="26"/>
                <w:lang w:bidi="ar-MA"/>
              </w:rPr>
              <w:t>1</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p>
        </w:tc>
        <w:tc>
          <w:tcPr>
            <w:tcW w:w="1032" w:type="dxa"/>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-2,6</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2</w:t>
            </w:r>
            <w:r w:rsidRPr="00735CAD">
              <w:rPr>
                <w:sz w:val="26"/>
                <w:szCs w:val="26"/>
                <w:lang w:bidi="ar-MA"/>
              </w:rPr>
              <w:t>,</w:t>
            </w:r>
            <w:r>
              <w:rPr>
                <w:sz w:val="26"/>
                <w:szCs w:val="26"/>
                <w:lang w:bidi="ar-MA"/>
              </w:rPr>
              <w:t>0</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bCs w:val="0"/>
                <w:sz w:val="26"/>
                <w:szCs w:val="26"/>
                <w:lang w:bidi="ar-MA"/>
              </w:rPr>
            </w:pPr>
            <w:r>
              <w:rPr>
                <w:b w:val="0"/>
                <w:bCs w:val="0"/>
                <w:sz w:val="26"/>
                <w:szCs w:val="26"/>
                <w:lang w:bidi="ar-MA"/>
              </w:rPr>
              <w:t>1</w:t>
            </w:r>
            <w:r w:rsidRPr="00735CAD">
              <w:rPr>
                <w:b w:val="0"/>
                <w:bCs w:val="0"/>
                <w:sz w:val="26"/>
                <w:szCs w:val="26"/>
                <w:lang w:bidi="ar-MA"/>
              </w:rPr>
              <w:t>,</w:t>
            </w:r>
            <w:r>
              <w:rPr>
                <w:b w:val="0"/>
                <w:bCs w:val="0"/>
                <w:sz w:val="26"/>
                <w:szCs w:val="26"/>
                <w:lang w:bidi="ar-MA"/>
              </w:rPr>
              <w:t>7</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bCs w:val="0"/>
                <w:sz w:val="26"/>
                <w:szCs w:val="26"/>
                <w:lang w:bidi="ar-MA"/>
              </w:rPr>
            </w:pPr>
            <w:r>
              <w:rPr>
                <w:b w:val="0"/>
                <w:bCs w:val="0"/>
                <w:sz w:val="26"/>
                <w:szCs w:val="26"/>
                <w:lang w:bidi="ar-MA"/>
              </w:rPr>
              <w:t>2</w:t>
            </w:r>
            <w:r w:rsidRPr="00735CAD">
              <w:rPr>
                <w:b w:val="0"/>
                <w:bCs w:val="0"/>
                <w:sz w:val="26"/>
                <w:szCs w:val="26"/>
                <w:lang w:bidi="ar-MA"/>
              </w:rPr>
              <w:t>,</w:t>
            </w:r>
            <w:r>
              <w:rPr>
                <w:b w:val="0"/>
                <w:bCs w:val="0"/>
                <w:sz w:val="26"/>
                <w:szCs w:val="26"/>
                <w:lang w:bidi="ar-MA"/>
              </w:rPr>
              <w:t>2</w:t>
            </w:r>
          </w:p>
          <w:p w:rsidR="006F4410" w:rsidRPr="00735CAD" w:rsidRDefault="006F4410" w:rsidP="006F4410">
            <w:pPr>
              <w:spacing w:line="320" w:lineRule="exact"/>
              <w:jc w:val="center"/>
              <w:rPr>
                <w:sz w:val="26"/>
                <w:szCs w:val="26"/>
                <w:lang w:bidi="ar-MA"/>
              </w:rPr>
            </w:pPr>
          </w:p>
        </w:tc>
        <w:tc>
          <w:tcPr>
            <w:tcW w:w="1032" w:type="dxa"/>
            <w:shd w:val="clear" w:color="auto" w:fill="C6D9F1"/>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13,2</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2</w:t>
            </w:r>
            <w:r w:rsidRPr="00735CAD">
              <w:rPr>
                <w:sz w:val="26"/>
                <w:szCs w:val="26"/>
                <w:lang w:bidi="ar-MA"/>
              </w:rPr>
              <w:t>,</w:t>
            </w:r>
            <w:r>
              <w:rPr>
                <w:sz w:val="26"/>
                <w:szCs w:val="26"/>
                <w:lang w:bidi="ar-MA"/>
              </w:rPr>
              <w:t>5</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bCs w:val="0"/>
                <w:sz w:val="26"/>
                <w:szCs w:val="26"/>
                <w:lang w:bidi="ar-MA"/>
              </w:rPr>
            </w:pPr>
            <w:r>
              <w:rPr>
                <w:b w:val="0"/>
                <w:bCs w:val="0"/>
                <w:sz w:val="26"/>
                <w:szCs w:val="26"/>
                <w:lang w:bidi="ar-MA"/>
              </w:rPr>
              <w:t>1</w:t>
            </w:r>
            <w:r w:rsidRPr="00735CAD">
              <w:rPr>
                <w:b w:val="0"/>
                <w:bCs w:val="0"/>
                <w:sz w:val="26"/>
                <w:szCs w:val="26"/>
                <w:lang w:bidi="ar-MA"/>
              </w:rPr>
              <w:t>,</w:t>
            </w:r>
            <w:r>
              <w:rPr>
                <w:b w:val="0"/>
                <w:bCs w:val="0"/>
                <w:sz w:val="26"/>
                <w:szCs w:val="26"/>
                <w:lang w:bidi="ar-MA"/>
              </w:rPr>
              <w:t>9</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bCs w:val="0"/>
                <w:sz w:val="26"/>
                <w:szCs w:val="26"/>
                <w:lang w:bidi="ar-MA"/>
              </w:rPr>
            </w:pPr>
            <w:r>
              <w:rPr>
                <w:b w:val="0"/>
                <w:bCs w:val="0"/>
                <w:sz w:val="26"/>
                <w:szCs w:val="26"/>
                <w:lang w:bidi="ar-MA"/>
              </w:rPr>
              <w:t>2</w:t>
            </w:r>
            <w:r w:rsidRPr="00735CAD">
              <w:rPr>
                <w:b w:val="0"/>
                <w:bCs w:val="0"/>
                <w:sz w:val="26"/>
                <w:szCs w:val="26"/>
                <w:lang w:bidi="ar-MA"/>
              </w:rPr>
              <w:t>,</w:t>
            </w:r>
            <w:r>
              <w:rPr>
                <w:b w:val="0"/>
                <w:bCs w:val="0"/>
                <w:sz w:val="26"/>
                <w:szCs w:val="26"/>
                <w:lang w:bidi="ar-MA"/>
              </w:rPr>
              <w:t>7</w:t>
            </w:r>
          </w:p>
          <w:p w:rsidR="006F4410" w:rsidRPr="00735CAD" w:rsidRDefault="006F4410" w:rsidP="006F4410">
            <w:pPr>
              <w:spacing w:line="320" w:lineRule="exact"/>
              <w:jc w:val="center"/>
              <w:rPr>
                <w:sz w:val="26"/>
                <w:szCs w:val="26"/>
                <w:lang w:bidi="ar-MA"/>
              </w:rPr>
            </w:pPr>
          </w:p>
        </w:tc>
        <w:tc>
          <w:tcPr>
            <w:tcW w:w="1089" w:type="dxa"/>
            <w:shd w:val="clear" w:color="auto" w:fill="C6D9F1"/>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-1,7</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3</w:t>
            </w:r>
            <w:r w:rsidRPr="00735CAD">
              <w:rPr>
                <w:sz w:val="26"/>
                <w:szCs w:val="26"/>
                <w:lang w:bidi="ar-MA"/>
              </w:rPr>
              <w:t>,</w:t>
            </w:r>
            <w:r>
              <w:rPr>
                <w:sz w:val="26"/>
                <w:szCs w:val="26"/>
                <w:lang w:bidi="ar-MA"/>
              </w:rPr>
              <w:t>1</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bCs w:val="0"/>
                <w:sz w:val="26"/>
                <w:szCs w:val="26"/>
                <w:lang w:bidi="ar-MA"/>
              </w:rPr>
            </w:pPr>
            <w:r>
              <w:rPr>
                <w:b w:val="0"/>
                <w:bCs w:val="0"/>
                <w:sz w:val="26"/>
                <w:szCs w:val="26"/>
                <w:lang w:bidi="ar-MA"/>
              </w:rPr>
              <w:t>2</w:t>
            </w:r>
            <w:r w:rsidRPr="00735CAD">
              <w:rPr>
                <w:b w:val="0"/>
                <w:bCs w:val="0"/>
                <w:sz w:val="26"/>
                <w:szCs w:val="26"/>
                <w:lang w:bidi="ar-MA"/>
              </w:rPr>
              <w:t>,</w:t>
            </w:r>
            <w:r>
              <w:rPr>
                <w:b w:val="0"/>
                <w:bCs w:val="0"/>
                <w:sz w:val="26"/>
                <w:szCs w:val="26"/>
                <w:lang w:bidi="ar-MA"/>
              </w:rPr>
              <w:t>3</w:t>
            </w:r>
          </w:p>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b w:val="0"/>
                <w:bCs w:val="0"/>
                <w:sz w:val="26"/>
                <w:szCs w:val="26"/>
                <w:lang w:bidi="ar-MA"/>
              </w:rPr>
            </w:pPr>
            <w:r>
              <w:rPr>
                <w:b w:val="0"/>
                <w:bCs w:val="0"/>
                <w:sz w:val="26"/>
                <w:szCs w:val="26"/>
                <w:lang w:bidi="ar-MA"/>
              </w:rPr>
              <w:t>3</w:t>
            </w:r>
            <w:r w:rsidRPr="00735CAD">
              <w:rPr>
                <w:b w:val="0"/>
                <w:bCs w:val="0"/>
                <w:sz w:val="26"/>
                <w:szCs w:val="26"/>
                <w:lang w:bidi="ar-MA"/>
              </w:rPr>
              <w:t>,</w:t>
            </w:r>
            <w:r>
              <w:rPr>
                <w:b w:val="0"/>
                <w:bCs w:val="0"/>
                <w:sz w:val="26"/>
                <w:szCs w:val="26"/>
                <w:lang w:bidi="ar-MA"/>
              </w:rPr>
              <w:t>4</w:t>
            </w:r>
          </w:p>
          <w:p w:rsidR="006F4410" w:rsidRPr="00735CAD" w:rsidRDefault="006F4410" w:rsidP="006F4410">
            <w:pPr>
              <w:spacing w:line="320" w:lineRule="exact"/>
              <w:jc w:val="center"/>
              <w:rPr>
                <w:sz w:val="26"/>
                <w:szCs w:val="26"/>
                <w:lang w:bidi="ar-MA"/>
              </w:rPr>
            </w:pPr>
          </w:p>
        </w:tc>
      </w:tr>
      <w:tr w:rsidR="006F4410" w:rsidRPr="00735CAD" w:rsidTr="006F4410">
        <w:trPr>
          <w:trHeight w:val="626"/>
          <w:jc w:val="center"/>
        </w:trPr>
        <w:tc>
          <w:tcPr>
            <w:tcW w:w="5142" w:type="dxa"/>
          </w:tcPr>
          <w:p w:rsidR="006F4410" w:rsidRPr="00735CAD" w:rsidRDefault="006F4410" w:rsidP="006F4410">
            <w:pPr>
              <w:spacing w:line="320" w:lineRule="exact"/>
              <w:rPr>
                <w:sz w:val="26"/>
                <w:szCs w:val="26"/>
                <w:lang w:bidi="ar-MA"/>
              </w:rPr>
            </w:pPr>
            <w:r w:rsidRPr="00735CAD">
              <w:rPr>
                <w:sz w:val="26"/>
                <w:szCs w:val="26"/>
                <w:lang w:bidi="ar-MA"/>
              </w:rPr>
              <w:t>Valeur ajoutée totale………………</w:t>
            </w:r>
          </w:p>
        </w:tc>
        <w:tc>
          <w:tcPr>
            <w:tcW w:w="1032" w:type="dxa"/>
          </w:tcPr>
          <w:p w:rsidR="006F4410" w:rsidRPr="00735CAD" w:rsidRDefault="006F4410" w:rsidP="006F4410">
            <w:pPr>
              <w:spacing w:line="320" w:lineRule="exact"/>
              <w:jc w:val="center"/>
              <w:rPr>
                <w:sz w:val="26"/>
                <w:szCs w:val="26"/>
                <w:lang w:bidi="ar-MA"/>
              </w:rPr>
            </w:pPr>
            <w:r>
              <w:rPr>
                <w:sz w:val="26"/>
                <w:szCs w:val="26"/>
                <w:lang w:bidi="ar-MA"/>
              </w:rPr>
              <w:t>3</w:t>
            </w:r>
            <w:r w:rsidRPr="00735CAD">
              <w:rPr>
                <w:sz w:val="26"/>
                <w:szCs w:val="26"/>
                <w:lang w:bidi="ar-MA"/>
              </w:rPr>
              <w:t>,</w:t>
            </w:r>
            <w:r>
              <w:rPr>
                <w:sz w:val="26"/>
                <w:szCs w:val="26"/>
                <w:lang w:bidi="ar-MA"/>
              </w:rPr>
              <w:t>9</w:t>
            </w:r>
          </w:p>
        </w:tc>
        <w:tc>
          <w:tcPr>
            <w:tcW w:w="1032" w:type="dxa"/>
          </w:tcPr>
          <w:p w:rsidR="006F4410" w:rsidRPr="00735CAD" w:rsidRDefault="006F4410" w:rsidP="006F4410">
            <w:pPr>
              <w:spacing w:line="320" w:lineRule="exact"/>
              <w:jc w:val="center"/>
              <w:rPr>
                <w:sz w:val="26"/>
                <w:szCs w:val="26"/>
                <w:lang w:bidi="ar-MA"/>
              </w:rPr>
            </w:pPr>
            <w:r>
              <w:rPr>
                <w:sz w:val="26"/>
                <w:szCs w:val="26"/>
                <w:lang w:bidi="ar-MA"/>
              </w:rPr>
              <w:t>1</w:t>
            </w:r>
            <w:r w:rsidRPr="00735CAD">
              <w:rPr>
                <w:sz w:val="26"/>
                <w:szCs w:val="26"/>
                <w:lang w:bidi="ar-MA"/>
              </w:rPr>
              <w:t>,</w:t>
            </w:r>
            <w:r>
              <w:rPr>
                <w:sz w:val="26"/>
                <w:szCs w:val="26"/>
                <w:lang w:bidi="ar-MA"/>
              </w:rPr>
              <w:t>4</w:t>
            </w:r>
          </w:p>
        </w:tc>
        <w:tc>
          <w:tcPr>
            <w:tcW w:w="1032" w:type="dxa"/>
            <w:shd w:val="clear" w:color="auto" w:fill="C6D9F1"/>
          </w:tcPr>
          <w:p w:rsidR="006F4410" w:rsidRPr="00735CAD" w:rsidRDefault="006F4410" w:rsidP="006F4410">
            <w:pPr>
              <w:spacing w:line="320" w:lineRule="exact"/>
              <w:jc w:val="center"/>
              <w:rPr>
                <w:sz w:val="26"/>
                <w:szCs w:val="26"/>
                <w:lang w:bidi="ar-MA"/>
              </w:rPr>
            </w:pPr>
            <w:r>
              <w:rPr>
                <w:sz w:val="26"/>
                <w:szCs w:val="26"/>
                <w:lang w:bidi="ar-MA"/>
              </w:rPr>
              <w:t>3,9</w:t>
            </w:r>
          </w:p>
        </w:tc>
        <w:tc>
          <w:tcPr>
            <w:tcW w:w="1089" w:type="dxa"/>
            <w:shd w:val="clear" w:color="auto" w:fill="C6D9F1"/>
          </w:tcPr>
          <w:p w:rsidR="006F4410" w:rsidRPr="00735CAD" w:rsidRDefault="006F4410" w:rsidP="006F4410">
            <w:pPr>
              <w:spacing w:line="320" w:lineRule="exact"/>
              <w:jc w:val="center"/>
              <w:rPr>
                <w:sz w:val="26"/>
                <w:szCs w:val="26"/>
                <w:lang w:bidi="ar-MA"/>
              </w:rPr>
            </w:pPr>
            <w:r>
              <w:rPr>
                <w:sz w:val="26"/>
                <w:szCs w:val="26"/>
                <w:lang w:bidi="ar-MA"/>
              </w:rPr>
              <w:t>2,5</w:t>
            </w:r>
          </w:p>
        </w:tc>
      </w:tr>
      <w:tr w:rsidR="006F4410" w:rsidRPr="00735CAD" w:rsidTr="006F4410">
        <w:trPr>
          <w:trHeight w:val="812"/>
          <w:jc w:val="center"/>
        </w:trPr>
        <w:tc>
          <w:tcPr>
            <w:tcW w:w="5142" w:type="dxa"/>
          </w:tcPr>
          <w:p w:rsidR="006F4410" w:rsidRPr="00735CAD" w:rsidRDefault="006F4410" w:rsidP="006F4410">
            <w:pPr>
              <w:spacing w:line="320" w:lineRule="exact"/>
              <w:rPr>
                <w:b w:val="0"/>
                <w:sz w:val="26"/>
                <w:szCs w:val="26"/>
                <w:lang w:bidi="ar-MA"/>
              </w:rPr>
            </w:pPr>
            <w:r w:rsidRPr="00735CAD">
              <w:rPr>
                <w:b w:val="0"/>
                <w:sz w:val="26"/>
                <w:szCs w:val="26"/>
                <w:lang w:bidi="ar-MA"/>
              </w:rPr>
              <w:t>Impôts et taxes sur produits nets de subventions (ITS)……………………….</w:t>
            </w:r>
          </w:p>
          <w:p w:rsidR="006F4410" w:rsidRPr="00735CAD" w:rsidRDefault="006F4410" w:rsidP="006F4410">
            <w:pPr>
              <w:spacing w:line="320" w:lineRule="exact"/>
              <w:rPr>
                <w:b w:val="0"/>
                <w:sz w:val="26"/>
                <w:szCs w:val="26"/>
                <w:lang w:bidi="ar-MA"/>
              </w:rPr>
            </w:pPr>
          </w:p>
        </w:tc>
        <w:tc>
          <w:tcPr>
            <w:tcW w:w="1032" w:type="dxa"/>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14</w:t>
            </w:r>
            <w:r w:rsidRPr="00735CAD">
              <w:rPr>
                <w:b w:val="0"/>
                <w:sz w:val="26"/>
                <w:szCs w:val="26"/>
                <w:lang w:bidi="ar-MA"/>
              </w:rPr>
              <w:t>,</w:t>
            </w:r>
            <w:r>
              <w:rPr>
                <w:b w:val="0"/>
                <w:sz w:val="26"/>
                <w:szCs w:val="26"/>
                <w:lang w:bidi="ar-MA"/>
              </w:rPr>
              <w:t>7</w:t>
            </w:r>
          </w:p>
        </w:tc>
        <w:tc>
          <w:tcPr>
            <w:tcW w:w="1032" w:type="dxa"/>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13,4</w:t>
            </w:r>
          </w:p>
        </w:tc>
        <w:tc>
          <w:tcPr>
            <w:tcW w:w="1032" w:type="dxa"/>
            <w:shd w:val="clear" w:color="auto" w:fill="C6D9F1"/>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8,0</w:t>
            </w:r>
          </w:p>
        </w:tc>
        <w:tc>
          <w:tcPr>
            <w:tcW w:w="1089" w:type="dxa"/>
            <w:shd w:val="clear" w:color="auto" w:fill="C6D9F1"/>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3,7</w:t>
            </w:r>
          </w:p>
        </w:tc>
      </w:tr>
      <w:tr w:rsidR="006F4410" w:rsidRPr="00735CAD" w:rsidTr="006F4410">
        <w:trPr>
          <w:trHeight w:val="812"/>
          <w:jc w:val="center"/>
        </w:trPr>
        <w:tc>
          <w:tcPr>
            <w:tcW w:w="5142" w:type="dxa"/>
          </w:tcPr>
          <w:p w:rsidR="006F4410" w:rsidRPr="00735CAD" w:rsidRDefault="006F4410" w:rsidP="006F4410">
            <w:pPr>
              <w:spacing w:line="320" w:lineRule="exact"/>
              <w:rPr>
                <w:b w:val="0"/>
                <w:sz w:val="26"/>
                <w:szCs w:val="26"/>
                <w:lang w:val="it-IT" w:bidi="ar-MA"/>
              </w:rPr>
            </w:pPr>
          </w:p>
          <w:p w:rsidR="006F4410" w:rsidRPr="00735CAD" w:rsidRDefault="006F4410" w:rsidP="006F4410">
            <w:pPr>
              <w:spacing w:line="320" w:lineRule="exact"/>
              <w:rPr>
                <w:b w:val="0"/>
                <w:sz w:val="26"/>
                <w:szCs w:val="26"/>
                <w:lang w:val="it-IT" w:bidi="ar-MA"/>
              </w:rPr>
            </w:pPr>
            <w:r w:rsidRPr="00735CAD">
              <w:rPr>
                <w:b w:val="0"/>
                <w:sz w:val="26"/>
                <w:szCs w:val="26"/>
                <w:lang w:val="it-IT" w:bidi="ar-MA"/>
              </w:rPr>
              <w:t>PIB non agricole (VA +ITS).......................</w:t>
            </w:r>
          </w:p>
        </w:tc>
        <w:tc>
          <w:tcPr>
            <w:tcW w:w="1032" w:type="dxa"/>
          </w:tcPr>
          <w:p w:rsidR="006F4410" w:rsidRPr="00735CAD" w:rsidRDefault="006F4410" w:rsidP="006F4410">
            <w:pPr>
              <w:spacing w:line="320" w:lineRule="exact"/>
              <w:jc w:val="center"/>
              <w:rPr>
                <w:b w:val="0"/>
                <w:sz w:val="26"/>
                <w:szCs w:val="26"/>
                <w:lang w:val="it-IT" w:bidi="ar-MA"/>
              </w:rPr>
            </w:pPr>
          </w:p>
          <w:p w:rsidR="006F4410" w:rsidRPr="00735CAD" w:rsidRDefault="006F4410" w:rsidP="006F4410">
            <w:pPr>
              <w:spacing w:line="320" w:lineRule="exact"/>
              <w:jc w:val="center"/>
              <w:rPr>
                <w:b w:val="0"/>
                <w:sz w:val="26"/>
                <w:szCs w:val="26"/>
                <w:lang w:bidi="ar-MA"/>
              </w:rPr>
            </w:pPr>
            <w:r>
              <w:rPr>
                <w:b w:val="0"/>
                <w:sz w:val="26"/>
                <w:szCs w:val="26"/>
                <w:lang w:bidi="ar-MA"/>
              </w:rPr>
              <w:t>2</w:t>
            </w:r>
            <w:r w:rsidRPr="00735CAD">
              <w:rPr>
                <w:b w:val="0"/>
                <w:sz w:val="26"/>
                <w:szCs w:val="26"/>
                <w:lang w:bidi="ar-MA"/>
              </w:rPr>
              <w:t>,</w:t>
            </w:r>
            <w:r>
              <w:rPr>
                <w:b w:val="0"/>
                <w:sz w:val="26"/>
                <w:szCs w:val="26"/>
                <w:lang w:bidi="ar-MA"/>
              </w:rPr>
              <w:t>8</w:t>
            </w:r>
          </w:p>
        </w:tc>
        <w:tc>
          <w:tcPr>
            <w:tcW w:w="1032" w:type="dxa"/>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3,2</w:t>
            </w:r>
          </w:p>
        </w:tc>
        <w:tc>
          <w:tcPr>
            <w:tcW w:w="1032" w:type="dxa"/>
            <w:shd w:val="clear" w:color="auto" w:fill="C6D9F1"/>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3</w:t>
            </w:r>
            <w:r w:rsidRPr="00735CAD">
              <w:rPr>
                <w:b w:val="0"/>
                <w:sz w:val="26"/>
                <w:szCs w:val="26"/>
                <w:lang w:bidi="ar-MA"/>
              </w:rPr>
              <w:t>,</w:t>
            </w:r>
            <w:r>
              <w:rPr>
                <w:b w:val="0"/>
                <w:sz w:val="26"/>
                <w:szCs w:val="26"/>
                <w:lang w:bidi="ar-MA"/>
              </w:rPr>
              <w:t>1</w:t>
            </w:r>
          </w:p>
        </w:tc>
        <w:tc>
          <w:tcPr>
            <w:tcW w:w="1089" w:type="dxa"/>
            <w:shd w:val="clear" w:color="auto" w:fill="C6D9F1"/>
          </w:tcPr>
          <w:p w:rsidR="006F4410" w:rsidRPr="00735CAD" w:rsidRDefault="006F4410" w:rsidP="006F4410">
            <w:pPr>
              <w:spacing w:line="320" w:lineRule="exact"/>
              <w:jc w:val="center"/>
              <w:rPr>
                <w:b w:val="0"/>
                <w:sz w:val="26"/>
                <w:szCs w:val="26"/>
                <w:lang w:bidi="ar-MA"/>
              </w:rPr>
            </w:pPr>
          </w:p>
          <w:p w:rsidR="006F4410" w:rsidRPr="00735CAD" w:rsidRDefault="006F4410" w:rsidP="006F4410">
            <w:pPr>
              <w:spacing w:line="320" w:lineRule="exact"/>
              <w:jc w:val="center"/>
              <w:rPr>
                <w:b w:val="0"/>
                <w:sz w:val="26"/>
                <w:szCs w:val="26"/>
                <w:lang w:bidi="ar-MA"/>
              </w:rPr>
            </w:pPr>
            <w:r>
              <w:rPr>
                <w:b w:val="0"/>
                <w:sz w:val="26"/>
                <w:szCs w:val="26"/>
                <w:lang w:bidi="ar-MA"/>
              </w:rPr>
              <w:t>3</w:t>
            </w:r>
            <w:r w:rsidRPr="00735CAD">
              <w:rPr>
                <w:b w:val="0"/>
                <w:sz w:val="26"/>
                <w:szCs w:val="26"/>
                <w:lang w:bidi="ar-MA"/>
              </w:rPr>
              <w:t>,</w:t>
            </w:r>
            <w:r>
              <w:rPr>
                <w:b w:val="0"/>
                <w:sz w:val="26"/>
                <w:szCs w:val="26"/>
                <w:lang w:bidi="ar-MA"/>
              </w:rPr>
              <w:t>1</w:t>
            </w:r>
          </w:p>
        </w:tc>
      </w:tr>
      <w:tr w:rsidR="006F4410" w:rsidRPr="00735CAD" w:rsidTr="006F4410">
        <w:trPr>
          <w:trHeight w:val="812"/>
          <w:jc w:val="center"/>
        </w:trPr>
        <w:tc>
          <w:tcPr>
            <w:tcW w:w="5142" w:type="dxa"/>
          </w:tcPr>
          <w:p w:rsidR="006F4410" w:rsidRPr="000A356D" w:rsidRDefault="006F4410" w:rsidP="006F4410">
            <w:pPr>
              <w:spacing w:line="320" w:lineRule="exact"/>
              <w:jc w:val="center"/>
              <w:rPr>
                <w:sz w:val="28"/>
                <w:szCs w:val="28"/>
                <w:lang w:bidi="ar-MA"/>
              </w:rPr>
            </w:pPr>
          </w:p>
          <w:p w:rsidR="006F4410" w:rsidRPr="000A356D" w:rsidRDefault="006F4410" w:rsidP="006F4410">
            <w:pPr>
              <w:spacing w:line="320" w:lineRule="exact"/>
              <w:jc w:val="center"/>
              <w:rPr>
                <w:sz w:val="28"/>
                <w:szCs w:val="28"/>
                <w:lang w:bidi="ar-MA"/>
              </w:rPr>
            </w:pPr>
            <w:r w:rsidRPr="000A356D">
              <w:rPr>
                <w:sz w:val="28"/>
                <w:szCs w:val="28"/>
                <w:lang w:bidi="ar-MA"/>
              </w:rPr>
              <w:t>PIB en volume…………………..………..</w:t>
            </w:r>
          </w:p>
          <w:p w:rsidR="006F4410" w:rsidRPr="000A356D" w:rsidRDefault="006F4410" w:rsidP="006F4410">
            <w:pPr>
              <w:spacing w:line="320" w:lineRule="exact"/>
              <w:rPr>
                <w:sz w:val="28"/>
                <w:szCs w:val="28"/>
                <w:lang w:bidi="ar-MA"/>
              </w:rPr>
            </w:pPr>
          </w:p>
        </w:tc>
        <w:tc>
          <w:tcPr>
            <w:tcW w:w="1032" w:type="dxa"/>
          </w:tcPr>
          <w:p w:rsidR="006F4410" w:rsidRPr="000A356D" w:rsidRDefault="006F4410" w:rsidP="006F4410">
            <w:pPr>
              <w:spacing w:line="320" w:lineRule="exact"/>
              <w:jc w:val="center"/>
              <w:rPr>
                <w:sz w:val="28"/>
                <w:szCs w:val="28"/>
                <w:lang w:bidi="ar-MA"/>
              </w:rPr>
            </w:pPr>
          </w:p>
          <w:p w:rsidR="006F4410" w:rsidRPr="000A356D" w:rsidRDefault="006F4410" w:rsidP="006F4410">
            <w:pPr>
              <w:spacing w:line="320" w:lineRule="exact"/>
              <w:jc w:val="center"/>
              <w:rPr>
                <w:sz w:val="28"/>
                <w:szCs w:val="28"/>
                <w:lang w:bidi="ar-MA"/>
              </w:rPr>
            </w:pPr>
            <w:r w:rsidRPr="000A356D">
              <w:rPr>
                <w:sz w:val="28"/>
                <w:szCs w:val="28"/>
                <w:lang w:bidi="ar-MA"/>
              </w:rPr>
              <w:t>4,</w:t>
            </w:r>
            <w:r>
              <w:rPr>
                <w:sz w:val="28"/>
                <w:szCs w:val="28"/>
                <w:lang w:bidi="ar-MA"/>
              </w:rPr>
              <w:t>7</w:t>
            </w:r>
          </w:p>
        </w:tc>
        <w:tc>
          <w:tcPr>
            <w:tcW w:w="1032" w:type="dxa"/>
          </w:tcPr>
          <w:p w:rsidR="006F4410" w:rsidRPr="000A356D" w:rsidRDefault="006F4410" w:rsidP="006F4410">
            <w:pPr>
              <w:spacing w:line="320" w:lineRule="exact"/>
              <w:jc w:val="center"/>
              <w:rPr>
                <w:sz w:val="28"/>
                <w:szCs w:val="28"/>
                <w:lang w:bidi="ar-MA"/>
              </w:rPr>
            </w:pPr>
          </w:p>
          <w:p w:rsidR="006F4410" w:rsidRPr="000A356D" w:rsidRDefault="006F4410" w:rsidP="006F4410">
            <w:pPr>
              <w:spacing w:line="320" w:lineRule="exact"/>
              <w:jc w:val="center"/>
              <w:rPr>
                <w:sz w:val="28"/>
                <w:szCs w:val="28"/>
                <w:lang w:bidi="ar-MA"/>
              </w:rPr>
            </w:pPr>
            <w:r w:rsidRPr="000A356D">
              <w:rPr>
                <w:sz w:val="28"/>
                <w:szCs w:val="28"/>
                <w:lang w:bidi="ar-MA"/>
              </w:rPr>
              <w:t>2,</w:t>
            </w:r>
            <w:r>
              <w:rPr>
                <w:sz w:val="28"/>
                <w:szCs w:val="28"/>
                <w:lang w:bidi="ar-MA"/>
              </w:rPr>
              <w:t>4</w:t>
            </w:r>
          </w:p>
        </w:tc>
        <w:tc>
          <w:tcPr>
            <w:tcW w:w="1032" w:type="dxa"/>
            <w:shd w:val="clear" w:color="auto" w:fill="C6D9F1"/>
          </w:tcPr>
          <w:p w:rsidR="006F4410" w:rsidRPr="000A356D" w:rsidRDefault="006F4410" w:rsidP="006F4410">
            <w:pPr>
              <w:spacing w:line="320" w:lineRule="exact"/>
              <w:jc w:val="center"/>
              <w:rPr>
                <w:sz w:val="28"/>
                <w:szCs w:val="28"/>
                <w:lang w:bidi="ar-MA"/>
              </w:rPr>
            </w:pPr>
          </w:p>
          <w:p w:rsidR="006F4410" w:rsidRPr="000A356D" w:rsidRDefault="006F4410" w:rsidP="006F4410">
            <w:pPr>
              <w:spacing w:line="320" w:lineRule="exact"/>
              <w:jc w:val="center"/>
              <w:rPr>
                <w:sz w:val="28"/>
                <w:szCs w:val="28"/>
                <w:lang w:bidi="ar-MA"/>
              </w:rPr>
            </w:pPr>
            <w:r>
              <w:rPr>
                <w:sz w:val="28"/>
                <w:szCs w:val="28"/>
                <w:lang w:bidi="ar-MA"/>
              </w:rPr>
              <w:t>4,3</w:t>
            </w:r>
          </w:p>
        </w:tc>
        <w:tc>
          <w:tcPr>
            <w:tcW w:w="1089" w:type="dxa"/>
            <w:shd w:val="clear" w:color="auto" w:fill="C6D9F1"/>
          </w:tcPr>
          <w:p w:rsidR="006F4410" w:rsidRPr="000A356D" w:rsidRDefault="006F4410" w:rsidP="006F4410">
            <w:pPr>
              <w:spacing w:line="320" w:lineRule="exact"/>
              <w:jc w:val="center"/>
              <w:rPr>
                <w:sz w:val="28"/>
                <w:szCs w:val="28"/>
                <w:lang w:bidi="ar-MA"/>
              </w:rPr>
            </w:pPr>
          </w:p>
          <w:p w:rsidR="006F4410" w:rsidRPr="000A356D" w:rsidRDefault="006F4410" w:rsidP="006F4410">
            <w:pPr>
              <w:spacing w:line="320" w:lineRule="exact"/>
              <w:jc w:val="center"/>
              <w:rPr>
                <w:sz w:val="28"/>
                <w:szCs w:val="28"/>
                <w:lang w:bidi="ar-MA"/>
              </w:rPr>
            </w:pPr>
            <w:r>
              <w:rPr>
                <w:sz w:val="28"/>
                <w:szCs w:val="28"/>
                <w:lang w:bidi="ar-MA"/>
              </w:rPr>
              <w:t>2,6</w:t>
            </w:r>
          </w:p>
        </w:tc>
      </w:tr>
      <w:tr w:rsidR="006F4410" w:rsidRPr="00735CAD" w:rsidTr="006F4410">
        <w:trPr>
          <w:trHeight w:val="812"/>
          <w:jc w:val="center"/>
        </w:trPr>
        <w:tc>
          <w:tcPr>
            <w:tcW w:w="5142" w:type="dxa"/>
          </w:tcPr>
          <w:p w:rsidR="006F4410" w:rsidRPr="00735CAD" w:rsidRDefault="006F4410" w:rsidP="006F4410">
            <w:pPr>
              <w:spacing w:line="320" w:lineRule="exact"/>
              <w:rPr>
                <w:sz w:val="26"/>
                <w:szCs w:val="26"/>
                <w:lang w:bidi="ar-MA"/>
              </w:rPr>
            </w:pPr>
          </w:p>
          <w:p w:rsidR="006F4410" w:rsidRPr="00735CAD" w:rsidRDefault="006F4410" w:rsidP="006F4410">
            <w:pPr>
              <w:spacing w:line="320" w:lineRule="exact"/>
              <w:rPr>
                <w:sz w:val="26"/>
                <w:szCs w:val="26"/>
                <w:lang w:bidi="ar-MA"/>
              </w:rPr>
            </w:pPr>
            <w:r w:rsidRPr="00735CAD">
              <w:rPr>
                <w:sz w:val="26"/>
                <w:szCs w:val="26"/>
                <w:lang w:bidi="ar-MA"/>
              </w:rPr>
              <w:t>Variation du prix implicite du PIB……..</w:t>
            </w:r>
          </w:p>
        </w:tc>
        <w:tc>
          <w:tcPr>
            <w:tcW w:w="1032" w:type="dxa"/>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sidRPr="00735CAD">
              <w:rPr>
                <w:sz w:val="26"/>
                <w:szCs w:val="26"/>
                <w:lang w:bidi="ar-MA"/>
              </w:rPr>
              <w:t>1,</w:t>
            </w:r>
            <w:r>
              <w:rPr>
                <w:sz w:val="26"/>
                <w:szCs w:val="26"/>
                <w:lang w:bidi="ar-MA"/>
              </w:rPr>
              <w:t>5</w:t>
            </w:r>
          </w:p>
          <w:p w:rsidR="006F4410" w:rsidRPr="00735CAD" w:rsidRDefault="006F4410" w:rsidP="006F4410">
            <w:pPr>
              <w:spacing w:line="320" w:lineRule="exact"/>
              <w:jc w:val="center"/>
              <w:rPr>
                <w:sz w:val="26"/>
                <w:szCs w:val="26"/>
                <w:lang w:bidi="ar-MA"/>
              </w:rPr>
            </w:pPr>
          </w:p>
        </w:tc>
        <w:tc>
          <w:tcPr>
            <w:tcW w:w="1032" w:type="dxa"/>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0,2</w:t>
            </w:r>
          </w:p>
        </w:tc>
        <w:tc>
          <w:tcPr>
            <w:tcW w:w="1032" w:type="dxa"/>
            <w:shd w:val="clear" w:color="auto" w:fill="C6D9F1"/>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1,0</w:t>
            </w:r>
          </w:p>
        </w:tc>
        <w:tc>
          <w:tcPr>
            <w:tcW w:w="1089" w:type="dxa"/>
            <w:shd w:val="clear" w:color="auto" w:fill="C6D9F1"/>
          </w:tcPr>
          <w:p w:rsidR="006F4410" w:rsidRPr="00735CAD" w:rsidRDefault="006F4410" w:rsidP="006F4410">
            <w:pPr>
              <w:spacing w:line="320" w:lineRule="exact"/>
              <w:jc w:val="center"/>
              <w:rPr>
                <w:sz w:val="26"/>
                <w:szCs w:val="26"/>
                <w:lang w:bidi="ar-MA"/>
              </w:rPr>
            </w:pPr>
          </w:p>
          <w:p w:rsidR="006F4410" w:rsidRPr="00735CAD" w:rsidRDefault="006F4410" w:rsidP="006F4410">
            <w:pPr>
              <w:spacing w:line="320" w:lineRule="exact"/>
              <w:jc w:val="center"/>
              <w:rPr>
                <w:sz w:val="26"/>
                <w:szCs w:val="26"/>
                <w:lang w:bidi="ar-MA"/>
              </w:rPr>
            </w:pPr>
            <w:r>
              <w:rPr>
                <w:sz w:val="26"/>
                <w:szCs w:val="26"/>
                <w:lang w:bidi="ar-MA"/>
              </w:rPr>
              <w:t>1,3</w:t>
            </w:r>
          </w:p>
        </w:tc>
      </w:tr>
    </w:tbl>
    <w:p w:rsidR="006F4410" w:rsidRPr="00EE7F4A" w:rsidRDefault="006F4410" w:rsidP="006F4410">
      <w:pPr>
        <w:keepNext/>
        <w:spacing w:line="320" w:lineRule="exact"/>
        <w:rPr>
          <w:b w:val="0"/>
          <w:bCs w:val="0"/>
          <w:sz w:val="20"/>
          <w:szCs w:val="20"/>
        </w:rPr>
      </w:pPr>
      <w:r w:rsidRPr="00EE7F4A">
        <w:rPr>
          <w:b w:val="0"/>
          <w:bCs w:val="0"/>
          <w:sz w:val="20"/>
          <w:szCs w:val="20"/>
        </w:rPr>
        <w:t>(*) : Estimation pour 201</w:t>
      </w:r>
      <w:r>
        <w:rPr>
          <w:b w:val="0"/>
          <w:bCs w:val="0"/>
          <w:sz w:val="20"/>
          <w:szCs w:val="20"/>
        </w:rPr>
        <w:t>5</w:t>
      </w:r>
      <w:r w:rsidRPr="00EE7F4A">
        <w:rPr>
          <w:b w:val="0"/>
          <w:bCs w:val="0"/>
          <w:sz w:val="20"/>
          <w:szCs w:val="20"/>
        </w:rPr>
        <w:t xml:space="preserve">    (**) : Prévision</w:t>
      </w:r>
      <w:r>
        <w:rPr>
          <w:b w:val="0"/>
          <w:bCs w:val="0"/>
          <w:sz w:val="20"/>
          <w:szCs w:val="20"/>
        </w:rPr>
        <w:t>s</w:t>
      </w:r>
      <w:r w:rsidRPr="00EE7F4A">
        <w:rPr>
          <w:b w:val="0"/>
          <w:bCs w:val="0"/>
          <w:sz w:val="20"/>
          <w:szCs w:val="20"/>
          <w:lang w:bidi="ar-MA"/>
        </w:rPr>
        <w:t xml:space="preserve"> établies par le Haut Commissariat au Plan pour 201</w:t>
      </w:r>
      <w:r>
        <w:rPr>
          <w:b w:val="0"/>
          <w:bCs w:val="0"/>
          <w:sz w:val="20"/>
          <w:szCs w:val="20"/>
          <w:lang w:bidi="ar-MA"/>
        </w:rPr>
        <w:t>6</w:t>
      </w:r>
      <w:r w:rsidRPr="00EE7F4A">
        <w:rPr>
          <w:b w:val="0"/>
          <w:bCs w:val="0"/>
          <w:sz w:val="20"/>
          <w:szCs w:val="20"/>
          <w:lang w:bidi="ar-MA"/>
        </w:rPr>
        <w:t xml:space="preserve">. </w:t>
      </w:r>
    </w:p>
    <w:p w:rsidR="006F4410" w:rsidRPr="00735CAD" w:rsidRDefault="006F4410" w:rsidP="006F4410">
      <w:pPr>
        <w:spacing w:line="320" w:lineRule="exact"/>
        <w:jc w:val="center"/>
        <w:rPr>
          <w:sz w:val="26"/>
          <w:szCs w:val="26"/>
        </w:rPr>
      </w:pPr>
      <w:r w:rsidRPr="00735CAD">
        <w:rPr>
          <w:sz w:val="26"/>
          <w:szCs w:val="26"/>
        </w:rPr>
        <w:tab/>
      </w:r>
    </w:p>
    <w:p w:rsidR="006F4410" w:rsidRDefault="006F4410" w:rsidP="006F4410">
      <w:pPr>
        <w:rPr>
          <w:sz w:val="28"/>
          <w:szCs w:val="28"/>
        </w:rPr>
      </w:pPr>
      <w:r>
        <w:rPr>
          <w:sz w:val="28"/>
          <w:szCs w:val="28"/>
        </w:rPr>
        <w:br w:type="page"/>
        <w:t xml:space="preserve">                      </w:t>
      </w:r>
    </w:p>
    <w:p w:rsidR="006F4410" w:rsidRDefault="006F4410" w:rsidP="006F4410">
      <w:pPr>
        <w:rPr>
          <w:sz w:val="28"/>
          <w:szCs w:val="28"/>
        </w:rPr>
      </w:pPr>
    </w:p>
    <w:p w:rsidR="006F4410" w:rsidRPr="007A39B3" w:rsidRDefault="006F4410" w:rsidP="006F4410">
      <w:pPr>
        <w:jc w:val="center"/>
        <w:rPr>
          <w:sz w:val="26"/>
          <w:szCs w:val="26"/>
        </w:rPr>
      </w:pPr>
      <w:r w:rsidRPr="007A39B3">
        <w:rPr>
          <w:sz w:val="26"/>
          <w:szCs w:val="26"/>
        </w:rPr>
        <w:t>Equilibre Ressources-Emplois en volume</w:t>
      </w:r>
    </w:p>
    <w:p w:rsidR="006F4410" w:rsidRPr="007A39B3" w:rsidRDefault="006F4410" w:rsidP="006F4410">
      <w:pPr>
        <w:spacing w:before="240" w:after="120"/>
        <w:ind w:left="357"/>
        <w:jc w:val="center"/>
        <w:rPr>
          <w:sz w:val="26"/>
          <w:szCs w:val="26"/>
        </w:rPr>
      </w:pPr>
      <w:r w:rsidRPr="007A39B3">
        <w:rPr>
          <w:sz w:val="26"/>
          <w:szCs w:val="26"/>
        </w:rPr>
        <w:t>Variation en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318"/>
        <w:gridCol w:w="1394"/>
        <w:gridCol w:w="1355"/>
        <w:gridCol w:w="1423"/>
      </w:tblGrid>
      <w:tr w:rsidR="006F4410" w:rsidRPr="003B56FE" w:rsidTr="006F4410">
        <w:trPr>
          <w:trHeight w:val="298"/>
          <w:jc w:val="center"/>
        </w:trPr>
        <w:tc>
          <w:tcPr>
            <w:tcW w:w="4498" w:type="dxa"/>
          </w:tcPr>
          <w:p w:rsidR="006F4410" w:rsidRPr="003B56FE" w:rsidRDefault="006F4410" w:rsidP="006F4410">
            <w:pPr>
              <w:bidi/>
              <w:spacing w:line="320" w:lineRule="exact"/>
              <w:jc w:val="center"/>
              <w:rPr>
                <w:lang w:bidi="ar-MA"/>
              </w:rPr>
            </w:pPr>
            <w:r w:rsidRPr="003B56FE">
              <w:rPr>
                <w:lang w:bidi="ar-MA"/>
              </w:rPr>
              <w:t>RUBRIQUES</w:t>
            </w:r>
          </w:p>
          <w:p w:rsidR="006F4410" w:rsidRPr="003B56FE" w:rsidRDefault="006F4410" w:rsidP="006F4410">
            <w:pPr>
              <w:bidi/>
              <w:spacing w:line="320" w:lineRule="exact"/>
              <w:jc w:val="center"/>
              <w:rPr>
                <w:lang w:bidi="ar-MA"/>
              </w:rPr>
            </w:pPr>
          </w:p>
        </w:tc>
        <w:tc>
          <w:tcPr>
            <w:tcW w:w="1318" w:type="dxa"/>
            <w:vAlign w:val="center"/>
          </w:tcPr>
          <w:p w:rsidR="006F4410" w:rsidRPr="003B56FE" w:rsidRDefault="006F4410" w:rsidP="006F4410">
            <w:pPr>
              <w:bidi/>
              <w:spacing w:line="320" w:lineRule="exact"/>
              <w:jc w:val="right"/>
              <w:rPr>
                <w:lang w:bidi="ar-MA"/>
              </w:rPr>
            </w:pPr>
            <w:r w:rsidRPr="003B56FE">
              <w:rPr>
                <w:lang w:bidi="ar-MA"/>
              </w:rPr>
              <w:t>201</w:t>
            </w:r>
            <w:r>
              <w:rPr>
                <w:lang w:bidi="ar-MA"/>
              </w:rPr>
              <w:t>3</w:t>
            </w:r>
          </w:p>
        </w:tc>
        <w:tc>
          <w:tcPr>
            <w:tcW w:w="1394" w:type="dxa"/>
            <w:vAlign w:val="center"/>
          </w:tcPr>
          <w:p w:rsidR="006F4410" w:rsidRPr="003B56FE" w:rsidRDefault="006F4410" w:rsidP="006F4410">
            <w:pPr>
              <w:bidi/>
              <w:spacing w:line="320" w:lineRule="exact"/>
              <w:jc w:val="right"/>
              <w:rPr>
                <w:lang w:bidi="ar-MA"/>
              </w:rPr>
            </w:pPr>
            <w:r w:rsidRPr="003B56FE">
              <w:rPr>
                <w:lang w:bidi="ar-MA"/>
              </w:rPr>
              <w:t>201</w:t>
            </w:r>
            <w:r>
              <w:rPr>
                <w:lang w:bidi="ar-MA"/>
              </w:rPr>
              <w:t>4</w:t>
            </w:r>
          </w:p>
        </w:tc>
        <w:tc>
          <w:tcPr>
            <w:tcW w:w="1355" w:type="dxa"/>
            <w:shd w:val="clear" w:color="auto" w:fill="C6D9F1"/>
            <w:vAlign w:val="center"/>
          </w:tcPr>
          <w:p w:rsidR="006F4410" w:rsidRPr="003B56FE" w:rsidRDefault="006F4410" w:rsidP="006F4410">
            <w:pPr>
              <w:bidi/>
              <w:spacing w:line="320" w:lineRule="exact"/>
              <w:jc w:val="right"/>
              <w:rPr>
                <w:lang w:bidi="ar-MA"/>
              </w:rPr>
            </w:pPr>
            <w:r w:rsidRPr="003B56FE">
              <w:rPr>
                <w:lang w:bidi="ar-MA"/>
              </w:rPr>
              <w:t>201</w:t>
            </w:r>
            <w:r>
              <w:rPr>
                <w:lang w:bidi="ar-MA"/>
              </w:rPr>
              <w:t>5</w:t>
            </w:r>
            <w:r w:rsidRPr="003B56FE">
              <w:rPr>
                <w:lang w:bidi="ar-MA"/>
              </w:rPr>
              <w:t>*</w:t>
            </w:r>
          </w:p>
        </w:tc>
        <w:tc>
          <w:tcPr>
            <w:tcW w:w="1423" w:type="dxa"/>
            <w:shd w:val="clear" w:color="auto" w:fill="C6D9F1"/>
            <w:vAlign w:val="center"/>
          </w:tcPr>
          <w:p w:rsidR="006F4410" w:rsidRPr="003B56FE" w:rsidRDefault="006F4410" w:rsidP="006F4410">
            <w:pPr>
              <w:bidi/>
              <w:spacing w:line="320" w:lineRule="exact"/>
              <w:jc w:val="right"/>
              <w:rPr>
                <w:lang w:bidi="ar-MA"/>
              </w:rPr>
            </w:pPr>
            <w:r w:rsidRPr="003B56FE">
              <w:rPr>
                <w:lang w:bidi="ar-MA"/>
              </w:rPr>
              <w:t>201</w:t>
            </w:r>
            <w:r>
              <w:rPr>
                <w:lang w:bidi="ar-MA"/>
              </w:rPr>
              <w:t>6</w:t>
            </w:r>
            <w:r w:rsidRPr="003B56FE">
              <w:rPr>
                <w:lang w:bidi="ar-MA"/>
              </w:rPr>
              <w:t>**</w:t>
            </w:r>
          </w:p>
        </w:tc>
      </w:tr>
      <w:tr w:rsidR="006F4410" w:rsidRPr="003B56FE" w:rsidTr="006F4410">
        <w:trPr>
          <w:trHeight w:val="606"/>
          <w:jc w:val="center"/>
        </w:trPr>
        <w:tc>
          <w:tcPr>
            <w:tcW w:w="4498" w:type="dxa"/>
            <w:tcBorders>
              <w:bottom w:val="nil"/>
            </w:tcBorders>
            <w:vAlign w:val="center"/>
          </w:tcPr>
          <w:p w:rsidR="006F4410" w:rsidRPr="003B56FE" w:rsidRDefault="006F4410" w:rsidP="006F4410">
            <w:pPr>
              <w:keepNext/>
              <w:bidi/>
              <w:spacing w:line="320" w:lineRule="exact"/>
              <w:jc w:val="right"/>
              <w:rPr>
                <w:b w:val="0"/>
                <w:bCs w:val="0"/>
                <w:lang w:bidi="ar-MA"/>
              </w:rPr>
            </w:pPr>
            <w:r w:rsidRPr="003B56FE">
              <w:rPr>
                <w:b w:val="0"/>
                <w:bCs w:val="0"/>
                <w:lang w:bidi="ar-MA"/>
              </w:rPr>
              <w:t>PIB……………………</w:t>
            </w:r>
            <w:r>
              <w:rPr>
                <w:b w:val="0"/>
                <w:bCs w:val="0"/>
                <w:lang w:bidi="ar-MA"/>
              </w:rPr>
              <w:t>………….</w:t>
            </w:r>
            <w:r w:rsidRPr="003B56FE">
              <w:rPr>
                <w:b w:val="0"/>
                <w:bCs w:val="0"/>
                <w:lang w:bidi="ar-MA"/>
              </w:rPr>
              <w:t>………</w:t>
            </w:r>
          </w:p>
        </w:tc>
        <w:tc>
          <w:tcPr>
            <w:tcW w:w="1318" w:type="dxa"/>
            <w:tcBorders>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4,7</w:t>
            </w:r>
          </w:p>
        </w:tc>
        <w:tc>
          <w:tcPr>
            <w:tcW w:w="1394" w:type="dxa"/>
            <w:tcBorders>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2,4</w:t>
            </w:r>
          </w:p>
        </w:tc>
        <w:tc>
          <w:tcPr>
            <w:tcW w:w="1355" w:type="dxa"/>
            <w:tcBorders>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4,3</w:t>
            </w:r>
          </w:p>
        </w:tc>
        <w:tc>
          <w:tcPr>
            <w:tcW w:w="1423" w:type="dxa"/>
            <w:tcBorders>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2,6</w:t>
            </w:r>
          </w:p>
        </w:tc>
      </w:tr>
      <w:tr w:rsidR="006F4410" w:rsidRPr="003B56FE" w:rsidTr="006F4410">
        <w:trPr>
          <w:trHeight w:val="606"/>
          <w:jc w:val="center"/>
        </w:trPr>
        <w:tc>
          <w:tcPr>
            <w:tcW w:w="4498" w:type="dxa"/>
            <w:tcBorders>
              <w:top w:val="nil"/>
              <w:bottom w:val="nil"/>
            </w:tcBorders>
            <w:vAlign w:val="center"/>
          </w:tcPr>
          <w:p w:rsidR="006F4410" w:rsidRPr="003B56FE" w:rsidRDefault="006F4410" w:rsidP="006F4410">
            <w:pPr>
              <w:keepNext/>
              <w:bidi/>
              <w:spacing w:line="320" w:lineRule="exact"/>
              <w:jc w:val="right"/>
              <w:rPr>
                <w:b w:val="0"/>
                <w:bCs w:val="0"/>
                <w:lang w:bidi="ar-MA"/>
              </w:rPr>
            </w:pPr>
            <w:r w:rsidRPr="003B56FE">
              <w:rPr>
                <w:b w:val="0"/>
                <w:bCs w:val="0"/>
                <w:lang w:bidi="ar-MA"/>
              </w:rPr>
              <w:t>Consommation finale, dont:…</w:t>
            </w:r>
            <w:r>
              <w:rPr>
                <w:b w:val="0"/>
                <w:bCs w:val="0"/>
                <w:lang w:bidi="ar-MA"/>
              </w:rPr>
              <w:t>………….</w:t>
            </w:r>
            <w:r w:rsidRPr="003B56FE">
              <w:rPr>
                <w:b w:val="0"/>
                <w:bCs w:val="0"/>
                <w:lang w:bidi="ar-MA"/>
              </w:rPr>
              <w:t>…</w:t>
            </w: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3,8</w:t>
            </w: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2,9</w:t>
            </w: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3,5</w:t>
            </w: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2,8</w:t>
            </w:r>
          </w:p>
        </w:tc>
      </w:tr>
      <w:tr w:rsidR="006F4410" w:rsidRPr="003B56FE" w:rsidTr="006F4410">
        <w:trPr>
          <w:trHeight w:val="725"/>
          <w:jc w:val="center"/>
        </w:trPr>
        <w:tc>
          <w:tcPr>
            <w:tcW w:w="4498" w:type="dxa"/>
            <w:tcBorders>
              <w:top w:val="nil"/>
              <w:bottom w:val="nil"/>
            </w:tcBorders>
            <w:vAlign w:val="center"/>
          </w:tcPr>
          <w:p w:rsidR="006F4410" w:rsidRPr="003B56FE" w:rsidRDefault="006F4410" w:rsidP="006F4410">
            <w:pPr>
              <w:bidi/>
              <w:spacing w:line="320" w:lineRule="exact"/>
              <w:jc w:val="right"/>
              <w:rPr>
                <w:b w:val="0"/>
                <w:bCs w:val="0"/>
                <w:lang w:bidi="ar-MA"/>
              </w:rPr>
            </w:pPr>
            <w:r w:rsidRPr="003B56FE">
              <w:rPr>
                <w:b w:val="0"/>
                <w:bCs w:val="0"/>
                <w:lang w:bidi="ar-MA"/>
              </w:rPr>
              <w:t>-Ménages résidents</w:t>
            </w:r>
            <w:r>
              <w:rPr>
                <w:b w:val="0"/>
                <w:bCs w:val="0"/>
                <w:lang w:bidi="ar-MA"/>
              </w:rPr>
              <w:t>…………………………</w:t>
            </w: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r w:rsidRPr="003B56FE">
              <w:rPr>
                <w:b w:val="0"/>
                <w:bCs w:val="0"/>
                <w:lang w:bidi="ar-MA"/>
              </w:rPr>
              <w:t>3,7</w:t>
            </w: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r w:rsidRPr="003B56FE">
              <w:rPr>
                <w:b w:val="0"/>
                <w:bCs w:val="0"/>
                <w:lang w:bidi="ar-MA"/>
              </w:rPr>
              <w:t>3,</w:t>
            </w:r>
            <w:r>
              <w:rPr>
                <w:b w:val="0"/>
                <w:bCs w:val="0"/>
                <w:lang w:bidi="ar-MA"/>
              </w:rPr>
              <w:t>2</w:t>
            </w: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3,2</w:t>
            </w: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2,9</w:t>
            </w:r>
          </w:p>
        </w:tc>
      </w:tr>
      <w:tr w:rsidR="006F4410" w:rsidRPr="003B56FE" w:rsidTr="006F4410">
        <w:trPr>
          <w:trHeight w:val="606"/>
          <w:jc w:val="center"/>
        </w:trPr>
        <w:tc>
          <w:tcPr>
            <w:tcW w:w="4498" w:type="dxa"/>
            <w:tcBorders>
              <w:top w:val="nil"/>
              <w:bottom w:val="nil"/>
            </w:tcBorders>
            <w:vAlign w:val="center"/>
          </w:tcPr>
          <w:p w:rsidR="006F4410" w:rsidRPr="003B56FE" w:rsidRDefault="006F4410" w:rsidP="006F4410">
            <w:pPr>
              <w:bidi/>
              <w:spacing w:line="320" w:lineRule="exact"/>
              <w:jc w:val="right"/>
              <w:rPr>
                <w:b w:val="0"/>
                <w:bCs w:val="0"/>
                <w:lang w:bidi="ar-MA"/>
              </w:rPr>
            </w:pPr>
            <w:r w:rsidRPr="003B56FE">
              <w:rPr>
                <w:b w:val="0"/>
                <w:bCs w:val="0"/>
                <w:lang w:bidi="ar-MA"/>
              </w:rPr>
              <w:t>-Administrations publiques............</w:t>
            </w:r>
            <w:r>
              <w:rPr>
                <w:b w:val="0"/>
                <w:bCs w:val="0"/>
                <w:lang w:bidi="ar-MA"/>
              </w:rPr>
              <w:t>..............</w:t>
            </w: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4,2</w:t>
            </w: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1,8</w:t>
            </w: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p>
          <w:p w:rsidR="006F4410" w:rsidRPr="003B56FE" w:rsidRDefault="006F4410" w:rsidP="006F4410">
            <w:pPr>
              <w:bidi/>
              <w:spacing w:line="320" w:lineRule="exact"/>
              <w:jc w:val="center"/>
              <w:rPr>
                <w:b w:val="0"/>
                <w:bCs w:val="0"/>
                <w:lang w:bidi="ar-MA"/>
              </w:rPr>
            </w:pPr>
            <w:r>
              <w:rPr>
                <w:b w:val="0"/>
                <w:bCs w:val="0"/>
                <w:lang w:bidi="ar-MA"/>
              </w:rPr>
              <w:t>4,2</w:t>
            </w:r>
          </w:p>
          <w:p w:rsidR="006F4410" w:rsidRPr="003B56FE" w:rsidRDefault="006F4410" w:rsidP="006F4410">
            <w:pPr>
              <w:bidi/>
              <w:spacing w:line="320" w:lineRule="exact"/>
              <w:jc w:val="center"/>
              <w:rPr>
                <w:b w:val="0"/>
                <w:bCs w:val="0"/>
                <w:lang w:bidi="ar-MA"/>
              </w:rPr>
            </w:pP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p>
          <w:p w:rsidR="006F4410" w:rsidRPr="003B56FE" w:rsidRDefault="006F4410" w:rsidP="006F4410">
            <w:pPr>
              <w:bidi/>
              <w:spacing w:line="320" w:lineRule="exact"/>
              <w:jc w:val="center"/>
              <w:rPr>
                <w:b w:val="0"/>
                <w:bCs w:val="0"/>
                <w:lang w:bidi="ar-MA"/>
              </w:rPr>
            </w:pPr>
            <w:r>
              <w:rPr>
                <w:b w:val="0"/>
                <w:bCs w:val="0"/>
                <w:lang w:bidi="ar-MA"/>
              </w:rPr>
              <w:t>2,4</w:t>
            </w:r>
          </w:p>
          <w:p w:rsidR="006F4410" w:rsidRPr="003B56FE" w:rsidRDefault="006F4410" w:rsidP="006F4410">
            <w:pPr>
              <w:bidi/>
              <w:spacing w:line="320" w:lineRule="exact"/>
              <w:jc w:val="center"/>
              <w:rPr>
                <w:b w:val="0"/>
                <w:bCs w:val="0"/>
                <w:lang w:bidi="ar-MA"/>
              </w:rPr>
            </w:pPr>
          </w:p>
        </w:tc>
      </w:tr>
      <w:tr w:rsidR="006F4410" w:rsidRPr="003B56FE" w:rsidTr="006F4410">
        <w:trPr>
          <w:trHeight w:val="606"/>
          <w:jc w:val="center"/>
        </w:trPr>
        <w:tc>
          <w:tcPr>
            <w:tcW w:w="4498" w:type="dxa"/>
            <w:tcBorders>
              <w:top w:val="nil"/>
              <w:bottom w:val="nil"/>
            </w:tcBorders>
            <w:vAlign w:val="center"/>
          </w:tcPr>
          <w:p w:rsidR="006F4410" w:rsidRPr="003B56FE" w:rsidRDefault="006F4410" w:rsidP="006F4410">
            <w:pPr>
              <w:keepNext/>
              <w:bidi/>
              <w:spacing w:line="320" w:lineRule="exact"/>
              <w:jc w:val="right"/>
              <w:rPr>
                <w:b w:val="0"/>
                <w:bCs w:val="0"/>
                <w:lang w:bidi="ar-MA"/>
              </w:rPr>
            </w:pPr>
            <w:r w:rsidRPr="003B56FE">
              <w:rPr>
                <w:b w:val="0"/>
                <w:bCs w:val="0"/>
                <w:lang w:bidi="ar-MA"/>
              </w:rPr>
              <w:t>FBCF…………………………</w:t>
            </w:r>
            <w:r>
              <w:rPr>
                <w:b w:val="0"/>
                <w:bCs w:val="0"/>
                <w:lang w:bidi="ar-MA"/>
              </w:rPr>
              <w:t>………..</w:t>
            </w:r>
            <w:r w:rsidRPr="003B56FE">
              <w:rPr>
                <w:b w:val="0"/>
                <w:bCs w:val="0"/>
                <w:lang w:bidi="ar-MA"/>
              </w:rPr>
              <w:t>…</w:t>
            </w: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-1,5</w:t>
            </w: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-0,4</w:t>
            </w: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0,2</w:t>
            </w: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0,6</w:t>
            </w:r>
          </w:p>
        </w:tc>
      </w:tr>
      <w:tr w:rsidR="006F4410" w:rsidRPr="003B56FE" w:rsidTr="006F4410">
        <w:trPr>
          <w:trHeight w:val="708"/>
          <w:jc w:val="center"/>
        </w:trPr>
        <w:tc>
          <w:tcPr>
            <w:tcW w:w="4498" w:type="dxa"/>
            <w:tcBorders>
              <w:top w:val="nil"/>
              <w:bottom w:val="nil"/>
            </w:tcBorders>
            <w:vAlign w:val="center"/>
          </w:tcPr>
          <w:p w:rsidR="006F4410" w:rsidRPr="003B56FE" w:rsidRDefault="006F4410" w:rsidP="006F4410">
            <w:pPr>
              <w:keepNext/>
              <w:bidi/>
              <w:spacing w:line="320" w:lineRule="exact"/>
              <w:jc w:val="right"/>
              <w:rPr>
                <w:b w:val="0"/>
                <w:bCs w:val="0"/>
                <w:lang w:bidi="ar-MA"/>
              </w:rPr>
            </w:pPr>
            <w:r w:rsidRPr="003B56FE">
              <w:rPr>
                <w:b w:val="0"/>
                <w:bCs w:val="0"/>
                <w:lang w:bidi="ar-MA"/>
              </w:rPr>
              <w:t>Exportations de biens et services</w:t>
            </w:r>
            <w:r>
              <w:rPr>
                <w:b w:val="0"/>
                <w:bCs w:val="0"/>
                <w:lang w:bidi="ar-MA"/>
              </w:rPr>
              <w:t>…………..</w:t>
            </w: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p>
          <w:p w:rsidR="006F4410" w:rsidRPr="003B56FE" w:rsidRDefault="006F4410" w:rsidP="006F4410">
            <w:pPr>
              <w:bidi/>
              <w:spacing w:line="320" w:lineRule="exact"/>
              <w:jc w:val="center"/>
              <w:rPr>
                <w:b w:val="0"/>
                <w:bCs w:val="0"/>
                <w:lang w:bidi="ar-MA"/>
              </w:rPr>
            </w:pPr>
            <w:r>
              <w:rPr>
                <w:b w:val="0"/>
                <w:bCs w:val="0"/>
                <w:lang w:bidi="ar-MA"/>
              </w:rPr>
              <w:t>0,9</w:t>
            </w:r>
          </w:p>
          <w:p w:rsidR="006F4410" w:rsidRPr="003B56FE" w:rsidRDefault="006F4410" w:rsidP="006F4410">
            <w:pPr>
              <w:bidi/>
              <w:spacing w:line="320" w:lineRule="exact"/>
              <w:jc w:val="center"/>
              <w:rPr>
                <w:b w:val="0"/>
                <w:bCs w:val="0"/>
                <w:lang w:bidi="ar-MA"/>
              </w:rPr>
            </w:pP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6,3</w:t>
            </w: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1,9</w:t>
            </w: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2,6</w:t>
            </w:r>
          </w:p>
        </w:tc>
      </w:tr>
      <w:tr w:rsidR="006F4410" w:rsidRPr="003B56FE" w:rsidTr="006F4410">
        <w:trPr>
          <w:trHeight w:val="480"/>
          <w:jc w:val="center"/>
        </w:trPr>
        <w:tc>
          <w:tcPr>
            <w:tcW w:w="4498" w:type="dxa"/>
            <w:tcBorders>
              <w:top w:val="nil"/>
              <w:bottom w:val="nil"/>
            </w:tcBorders>
            <w:vAlign w:val="center"/>
          </w:tcPr>
          <w:p w:rsidR="006F4410" w:rsidRPr="003B56FE" w:rsidRDefault="006F4410" w:rsidP="006F4410">
            <w:pPr>
              <w:keepNext/>
              <w:bidi/>
              <w:spacing w:line="320" w:lineRule="exact"/>
              <w:jc w:val="right"/>
              <w:rPr>
                <w:b w:val="0"/>
                <w:bCs w:val="0"/>
                <w:lang w:bidi="ar-MA"/>
              </w:rPr>
            </w:pPr>
            <w:r w:rsidRPr="003B56FE">
              <w:rPr>
                <w:b w:val="0"/>
                <w:bCs w:val="0"/>
                <w:lang w:bidi="ar-MA"/>
              </w:rPr>
              <w:t>Importations de biens et services</w:t>
            </w:r>
            <w:r>
              <w:rPr>
                <w:b w:val="0"/>
                <w:bCs w:val="0"/>
                <w:lang w:bidi="ar-MA"/>
              </w:rPr>
              <w:t>……….</w:t>
            </w:r>
            <w:r w:rsidRPr="003B56FE">
              <w:rPr>
                <w:b w:val="0"/>
                <w:bCs w:val="0"/>
                <w:lang w:bidi="ar-MA"/>
              </w:rPr>
              <w:t>…</w:t>
            </w: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0,9</w:t>
            </w: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r>
              <w:rPr>
                <w:b w:val="0"/>
                <w:bCs w:val="0"/>
                <w:lang w:bidi="ar-MA"/>
              </w:rPr>
              <w:t>1,8</w:t>
            </w: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-1,0</w:t>
            </w: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r>
              <w:rPr>
                <w:b w:val="0"/>
                <w:bCs w:val="0"/>
                <w:lang w:bidi="ar-MA"/>
              </w:rPr>
              <w:t>3,2</w:t>
            </w:r>
          </w:p>
        </w:tc>
      </w:tr>
      <w:tr w:rsidR="006F4410" w:rsidRPr="003B56FE" w:rsidTr="006F4410">
        <w:trPr>
          <w:trHeight w:val="260"/>
          <w:jc w:val="center"/>
        </w:trPr>
        <w:tc>
          <w:tcPr>
            <w:tcW w:w="4498" w:type="dxa"/>
            <w:tcBorders>
              <w:top w:val="nil"/>
              <w:bottom w:val="nil"/>
            </w:tcBorders>
          </w:tcPr>
          <w:p w:rsidR="006F4410" w:rsidRPr="003B56FE" w:rsidRDefault="006F4410" w:rsidP="006F4410">
            <w:pPr>
              <w:bidi/>
              <w:spacing w:line="320" w:lineRule="exact"/>
              <w:rPr>
                <w:b w:val="0"/>
                <w:bCs w:val="0"/>
                <w:lang w:bidi="ar-MA"/>
              </w:rPr>
            </w:pPr>
          </w:p>
        </w:tc>
        <w:tc>
          <w:tcPr>
            <w:tcW w:w="1318" w:type="dxa"/>
            <w:tcBorders>
              <w:top w:val="nil"/>
              <w:bottom w:val="nil"/>
            </w:tcBorders>
            <w:vAlign w:val="center"/>
          </w:tcPr>
          <w:p w:rsidR="006F4410" w:rsidRPr="003B56FE" w:rsidRDefault="006F4410" w:rsidP="006F4410">
            <w:pPr>
              <w:bidi/>
              <w:spacing w:line="320" w:lineRule="exact"/>
              <w:jc w:val="center"/>
              <w:rPr>
                <w:b w:val="0"/>
                <w:bCs w:val="0"/>
                <w:lang w:bidi="ar-MA"/>
              </w:rPr>
            </w:pP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p>
        </w:tc>
      </w:tr>
      <w:tr w:rsidR="006F4410" w:rsidRPr="003B56FE" w:rsidTr="006F4410">
        <w:trPr>
          <w:trHeight w:val="76"/>
          <w:jc w:val="center"/>
        </w:trPr>
        <w:tc>
          <w:tcPr>
            <w:tcW w:w="4498" w:type="dxa"/>
            <w:tcBorders>
              <w:top w:val="nil"/>
              <w:bottom w:val="nil"/>
            </w:tcBorders>
          </w:tcPr>
          <w:p w:rsidR="006F4410" w:rsidRPr="003B56FE" w:rsidRDefault="006F4410" w:rsidP="006F4410">
            <w:pPr>
              <w:bidi/>
              <w:spacing w:line="320" w:lineRule="exact"/>
              <w:jc w:val="right"/>
              <w:rPr>
                <w:b w:val="0"/>
                <w:bCs w:val="0"/>
                <w:lang w:bidi="ar-MA"/>
              </w:rPr>
            </w:pPr>
          </w:p>
        </w:tc>
        <w:tc>
          <w:tcPr>
            <w:tcW w:w="1318" w:type="dxa"/>
            <w:tcBorders>
              <w:top w:val="nil"/>
              <w:bottom w:val="nil"/>
            </w:tcBorders>
            <w:vAlign w:val="center"/>
          </w:tcPr>
          <w:p w:rsidR="006F4410" w:rsidRPr="003B56FE" w:rsidRDefault="006F4410" w:rsidP="006F4410">
            <w:pPr>
              <w:bidi/>
              <w:jc w:val="center"/>
              <w:rPr>
                <w:b w:val="0"/>
                <w:bCs w:val="0"/>
                <w:lang w:bidi="ar-MA"/>
              </w:rPr>
            </w:pPr>
          </w:p>
        </w:tc>
        <w:tc>
          <w:tcPr>
            <w:tcW w:w="1394" w:type="dxa"/>
            <w:tcBorders>
              <w:top w:val="nil"/>
              <w:bottom w:val="nil"/>
            </w:tcBorders>
            <w:vAlign w:val="center"/>
          </w:tcPr>
          <w:p w:rsidR="006F4410" w:rsidRPr="003B56FE" w:rsidRDefault="006F4410" w:rsidP="006F4410">
            <w:pPr>
              <w:bidi/>
              <w:spacing w:line="320" w:lineRule="exact"/>
              <w:jc w:val="center"/>
              <w:rPr>
                <w:b w:val="0"/>
                <w:bCs w:val="0"/>
                <w:lang w:bidi="ar-MA"/>
              </w:rPr>
            </w:pPr>
          </w:p>
        </w:tc>
        <w:tc>
          <w:tcPr>
            <w:tcW w:w="1355"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p>
        </w:tc>
        <w:tc>
          <w:tcPr>
            <w:tcW w:w="1423" w:type="dxa"/>
            <w:tcBorders>
              <w:top w:val="nil"/>
              <w:bottom w:val="nil"/>
            </w:tcBorders>
            <w:shd w:val="clear" w:color="auto" w:fill="C6D9F1"/>
            <w:vAlign w:val="center"/>
          </w:tcPr>
          <w:p w:rsidR="006F4410" w:rsidRPr="003B56FE" w:rsidRDefault="006F4410" w:rsidP="006F4410">
            <w:pPr>
              <w:bidi/>
              <w:spacing w:line="320" w:lineRule="exact"/>
              <w:jc w:val="center"/>
              <w:rPr>
                <w:b w:val="0"/>
                <w:bCs w:val="0"/>
                <w:lang w:bidi="ar-MA"/>
              </w:rPr>
            </w:pPr>
          </w:p>
        </w:tc>
      </w:tr>
      <w:tr w:rsidR="006F4410" w:rsidRPr="00FD2ADD" w:rsidTr="006F4410">
        <w:trPr>
          <w:trHeight w:val="438"/>
          <w:jc w:val="center"/>
        </w:trPr>
        <w:tc>
          <w:tcPr>
            <w:tcW w:w="4498" w:type="dxa"/>
            <w:tcBorders>
              <w:top w:val="nil"/>
            </w:tcBorders>
          </w:tcPr>
          <w:p w:rsidR="006F4410" w:rsidRPr="00FD2ADD" w:rsidRDefault="006F4410" w:rsidP="006F4410">
            <w:pPr>
              <w:bidi/>
              <w:jc w:val="right"/>
              <w:rPr>
                <w:b w:val="0"/>
                <w:bCs w:val="0"/>
                <w:lang w:bidi="ar-MA"/>
              </w:rPr>
            </w:pPr>
          </w:p>
        </w:tc>
        <w:tc>
          <w:tcPr>
            <w:tcW w:w="1318" w:type="dxa"/>
            <w:tcBorders>
              <w:top w:val="nil"/>
            </w:tcBorders>
          </w:tcPr>
          <w:p w:rsidR="006F4410" w:rsidRPr="00FD2ADD" w:rsidRDefault="006F4410" w:rsidP="006F4410">
            <w:pPr>
              <w:bidi/>
              <w:spacing w:line="320" w:lineRule="exact"/>
              <w:jc w:val="center"/>
              <w:rPr>
                <w:b w:val="0"/>
                <w:bCs w:val="0"/>
                <w:lang w:bidi="ar-MA"/>
              </w:rPr>
            </w:pPr>
          </w:p>
        </w:tc>
        <w:tc>
          <w:tcPr>
            <w:tcW w:w="1394" w:type="dxa"/>
            <w:tcBorders>
              <w:top w:val="nil"/>
            </w:tcBorders>
          </w:tcPr>
          <w:p w:rsidR="006F4410" w:rsidRPr="00FD2ADD" w:rsidRDefault="006F4410" w:rsidP="006F4410">
            <w:pPr>
              <w:bidi/>
              <w:spacing w:line="320" w:lineRule="exact"/>
              <w:jc w:val="center"/>
              <w:rPr>
                <w:b w:val="0"/>
                <w:bCs w:val="0"/>
                <w:lang w:bidi="ar-MA"/>
              </w:rPr>
            </w:pPr>
          </w:p>
        </w:tc>
        <w:tc>
          <w:tcPr>
            <w:tcW w:w="1355" w:type="dxa"/>
            <w:tcBorders>
              <w:top w:val="nil"/>
            </w:tcBorders>
            <w:shd w:val="clear" w:color="auto" w:fill="C6D9F1"/>
          </w:tcPr>
          <w:p w:rsidR="006F4410" w:rsidRPr="00FD2ADD" w:rsidRDefault="006F4410" w:rsidP="006F4410">
            <w:pPr>
              <w:bidi/>
              <w:spacing w:line="320" w:lineRule="exact"/>
              <w:jc w:val="center"/>
              <w:rPr>
                <w:b w:val="0"/>
                <w:bCs w:val="0"/>
                <w:lang w:bidi="ar-MA"/>
              </w:rPr>
            </w:pPr>
          </w:p>
        </w:tc>
        <w:tc>
          <w:tcPr>
            <w:tcW w:w="1423" w:type="dxa"/>
            <w:tcBorders>
              <w:top w:val="nil"/>
            </w:tcBorders>
            <w:shd w:val="clear" w:color="auto" w:fill="C6D9F1"/>
          </w:tcPr>
          <w:p w:rsidR="006F4410" w:rsidRPr="00FD2ADD" w:rsidRDefault="006F4410" w:rsidP="006F4410">
            <w:pPr>
              <w:bidi/>
              <w:spacing w:line="320" w:lineRule="exact"/>
              <w:jc w:val="center"/>
              <w:rPr>
                <w:b w:val="0"/>
                <w:bCs w:val="0"/>
                <w:lang w:bidi="ar-MA"/>
              </w:rPr>
            </w:pPr>
          </w:p>
        </w:tc>
      </w:tr>
    </w:tbl>
    <w:p w:rsidR="006F4410" w:rsidRPr="007A39B3" w:rsidRDefault="006F4410" w:rsidP="006F4410">
      <w:pPr>
        <w:bidi/>
        <w:spacing w:line="320" w:lineRule="exact"/>
        <w:ind w:right="-142"/>
        <w:jc w:val="right"/>
        <w:rPr>
          <w:b w:val="0"/>
          <w:bCs w:val="0"/>
          <w:sz w:val="18"/>
          <w:szCs w:val="18"/>
          <w:lang w:bidi="ar-MA"/>
        </w:rPr>
      </w:pPr>
      <w:r w:rsidRPr="007A39B3">
        <w:rPr>
          <w:b w:val="0"/>
          <w:bCs w:val="0"/>
          <w:sz w:val="18"/>
          <w:szCs w:val="18"/>
          <w:lang w:bidi="ar-MA"/>
        </w:rPr>
        <w:t xml:space="preserve">NB : -Variations en % aux prix de l’année précédente.  </w:t>
      </w:r>
      <w:r w:rsidRPr="007A39B3">
        <w:rPr>
          <w:b w:val="0"/>
          <w:bCs w:val="0"/>
          <w:sz w:val="18"/>
          <w:szCs w:val="18"/>
        </w:rPr>
        <w:t xml:space="preserve">- (*) : Estimations et  (**) : Prévisions </w:t>
      </w:r>
      <w:r w:rsidRPr="007A39B3">
        <w:rPr>
          <w:b w:val="0"/>
          <w:bCs w:val="0"/>
          <w:sz w:val="18"/>
          <w:szCs w:val="18"/>
          <w:lang w:bidi="ar-MA"/>
        </w:rPr>
        <w:t xml:space="preserve"> établies par le Haut Commissariat au Plan. </w:t>
      </w:r>
      <w:r>
        <w:rPr>
          <w:b w:val="0"/>
          <w:bCs w:val="0"/>
          <w:sz w:val="18"/>
          <w:szCs w:val="18"/>
          <w:lang w:bidi="ar-MA"/>
        </w:rPr>
        <w:t>Juin  2015</w:t>
      </w: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widowControl w:val="0"/>
        <w:adjustRightInd w:val="0"/>
        <w:spacing w:after="360"/>
        <w:ind w:firstLine="708"/>
        <w:jc w:val="lowKashida"/>
        <w:rPr>
          <w:b w:val="0"/>
          <w:bCs w:val="0"/>
          <w:sz w:val="15"/>
          <w:szCs w:val="15"/>
          <w:lang w:bidi="ar-MA"/>
        </w:rPr>
      </w:pPr>
    </w:p>
    <w:p w:rsidR="006F4410" w:rsidRDefault="006F4410" w:rsidP="006F4410">
      <w:pPr>
        <w:jc w:val="center"/>
        <w:rPr>
          <w:sz w:val="28"/>
          <w:szCs w:val="28"/>
        </w:rPr>
      </w:pPr>
    </w:p>
    <w:p w:rsidR="006F4410" w:rsidRDefault="006F4410" w:rsidP="006F4410">
      <w:pPr>
        <w:jc w:val="center"/>
        <w:rPr>
          <w:sz w:val="28"/>
          <w:szCs w:val="28"/>
        </w:rPr>
      </w:pPr>
      <w:r w:rsidRPr="007A6016">
        <w:rPr>
          <w:sz w:val="28"/>
          <w:szCs w:val="28"/>
        </w:rPr>
        <w:t>Ratios des autres indicateurs macroéconomiques</w:t>
      </w:r>
    </w:p>
    <w:p w:rsidR="006F4410" w:rsidRDefault="006F4410" w:rsidP="006F4410">
      <w:pPr>
        <w:jc w:val="center"/>
        <w:rPr>
          <w:sz w:val="28"/>
          <w:szCs w:val="28"/>
        </w:rPr>
      </w:pPr>
      <w:proofErr w:type="gramStart"/>
      <w:r>
        <w:rPr>
          <w:sz w:val="28"/>
          <w:szCs w:val="28"/>
        </w:rPr>
        <w:t>en</w:t>
      </w:r>
      <w:proofErr w:type="gramEnd"/>
      <w:r>
        <w:rPr>
          <w:sz w:val="28"/>
          <w:szCs w:val="28"/>
        </w:rPr>
        <w:t xml:space="preserve"> % du PIB</w:t>
      </w:r>
    </w:p>
    <w:p w:rsidR="006F4410" w:rsidRDefault="006F4410" w:rsidP="006F4410">
      <w:pPr>
        <w:rPr>
          <w:sz w:val="28"/>
          <w:szCs w:val="28"/>
        </w:rPr>
      </w:pPr>
    </w:p>
    <w:p w:rsidR="006F4410" w:rsidRPr="00735CAD" w:rsidRDefault="006F4410" w:rsidP="006F4410">
      <w:pPr>
        <w:autoSpaceDE w:val="0"/>
        <w:autoSpaceDN w:val="0"/>
        <w:adjustRightInd w:val="0"/>
        <w:ind w:left="-900" w:right="-288"/>
        <w:jc w:val="center"/>
        <w:rPr>
          <w:color w:val="00B050"/>
          <w:sz w:val="26"/>
          <w:szCs w:val="26"/>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89"/>
      </w:tblGrid>
      <w:tr w:rsidR="006F4410" w:rsidRPr="00735CAD" w:rsidTr="006F4410">
        <w:trPr>
          <w:trHeight w:val="343"/>
          <w:jc w:val="center"/>
        </w:trPr>
        <w:tc>
          <w:tcPr>
            <w:tcW w:w="5142" w:type="dxa"/>
          </w:tcPr>
          <w:p w:rsidR="006F4410" w:rsidRPr="00735CAD" w:rsidRDefault="006F4410" w:rsidP="006F4410">
            <w:pPr>
              <w:bidi/>
              <w:spacing w:line="320" w:lineRule="exact"/>
              <w:jc w:val="right"/>
              <w:rPr>
                <w:sz w:val="26"/>
                <w:szCs w:val="26"/>
                <w:lang w:bidi="ar-MA"/>
              </w:rPr>
            </w:pPr>
            <w:r w:rsidRPr="00735CAD">
              <w:rPr>
                <w:sz w:val="26"/>
                <w:szCs w:val="26"/>
                <w:lang w:bidi="ar-MA"/>
              </w:rPr>
              <w:t>Rubriques</w:t>
            </w:r>
          </w:p>
        </w:tc>
        <w:tc>
          <w:tcPr>
            <w:tcW w:w="1032" w:type="dxa"/>
            <w:shd w:val="clear" w:color="auto" w:fill="auto"/>
            <w:vAlign w:val="center"/>
          </w:tcPr>
          <w:p w:rsidR="006F4410" w:rsidRPr="00735CAD" w:rsidRDefault="006F4410" w:rsidP="006F4410">
            <w:pPr>
              <w:bidi/>
              <w:spacing w:line="320" w:lineRule="exact"/>
              <w:jc w:val="right"/>
              <w:rPr>
                <w:sz w:val="26"/>
                <w:szCs w:val="26"/>
                <w:lang w:bidi="ar-MA"/>
              </w:rPr>
            </w:pPr>
            <w:r>
              <w:rPr>
                <w:sz w:val="26"/>
                <w:szCs w:val="26"/>
                <w:lang w:bidi="ar-MA"/>
              </w:rPr>
              <w:t>2013</w:t>
            </w:r>
          </w:p>
        </w:tc>
        <w:tc>
          <w:tcPr>
            <w:tcW w:w="1032" w:type="dxa"/>
            <w:shd w:val="clear" w:color="auto" w:fill="auto"/>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Pr>
                <w:sz w:val="26"/>
                <w:szCs w:val="26"/>
                <w:lang w:bidi="ar-MA"/>
              </w:rPr>
              <w:t>4</w:t>
            </w:r>
          </w:p>
        </w:tc>
        <w:tc>
          <w:tcPr>
            <w:tcW w:w="1032" w:type="dxa"/>
            <w:shd w:val="clear" w:color="auto" w:fill="C6D9F1"/>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Pr>
                <w:sz w:val="26"/>
                <w:szCs w:val="26"/>
                <w:lang w:bidi="ar-MA"/>
              </w:rPr>
              <w:t>5</w:t>
            </w:r>
            <w:r w:rsidRPr="00735CAD">
              <w:rPr>
                <w:sz w:val="26"/>
                <w:szCs w:val="26"/>
                <w:lang w:bidi="ar-MA"/>
              </w:rPr>
              <w:t>*</w:t>
            </w:r>
          </w:p>
        </w:tc>
        <w:tc>
          <w:tcPr>
            <w:tcW w:w="1089" w:type="dxa"/>
            <w:shd w:val="clear" w:color="auto" w:fill="C6D9F1"/>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Pr>
                <w:sz w:val="26"/>
                <w:szCs w:val="26"/>
                <w:lang w:bidi="ar-MA"/>
              </w:rPr>
              <w:t>6</w:t>
            </w:r>
            <w:r w:rsidRPr="00735CAD">
              <w:rPr>
                <w:sz w:val="26"/>
                <w:szCs w:val="26"/>
                <w:lang w:bidi="ar-MA"/>
              </w:rPr>
              <w:t>**</w:t>
            </w:r>
          </w:p>
        </w:tc>
      </w:tr>
      <w:tr w:rsidR="006F4410" w:rsidRPr="00735CAD" w:rsidTr="006F4410">
        <w:trPr>
          <w:trHeight w:val="3195"/>
          <w:jc w:val="center"/>
        </w:trPr>
        <w:tc>
          <w:tcPr>
            <w:tcW w:w="5142" w:type="dxa"/>
          </w:tcPr>
          <w:p w:rsidR="006F4410" w:rsidRPr="00735CAD" w:rsidRDefault="006F4410" w:rsidP="006F4410">
            <w:pPr>
              <w:spacing w:line="320" w:lineRule="exact"/>
              <w:rPr>
                <w:sz w:val="26"/>
                <w:szCs w:val="26"/>
                <w:lang w:bidi="ar-MA"/>
              </w:rPr>
            </w:pPr>
          </w:p>
          <w:p w:rsidR="006F4410" w:rsidRPr="00735CAD" w:rsidRDefault="006F4410" w:rsidP="006F4410">
            <w:pPr>
              <w:numPr>
                <w:ilvl w:val="0"/>
                <w:numId w:val="2"/>
              </w:numPr>
              <w:spacing w:line="320" w:lineRule="exact"/>
              <w:rPr>
                <w:sz w:val="26"/>
                <w:szCs w:val="26"/>
                <w:lang w:bidi="ar-MA"/>
              </w:rPr>
            </w:pPr>
            <w:r>
              <w:rPr>
                <w:sz w:val="26"/>
                <w:szCs w:val="26"/>
                <w:lang w:bidi="ar-MA"/>
              </w:rPr>
              <w:t>Epargne Intérieure……………………</w:t>
            </w:r>
            <w:r w:rsidRPr="00735CAD">
              <w:rPr>
                <w:sz w:val="26"/>
                <w:szCs w:val="26"/>
                <w:lang w:bidi="ar-MA"/>
              </w:rPr>
              <w:t>…</w:t>
            </w:r>
          </w:p>
          <w:p w:rsidR="006F4410" w:rsidRPr="00735CAD" w:rsidRDefault="006F4410" w:rsidP="006F4410">
            <w:pPr>
              <w:spacing w:line="320" w:lineRule="exact"/>
              <w:rPr>
                <w:sz w:val="26"/>
                <w:szCs w:val="26"/>
                <w:lang w:bidi="ar-MA"/>
              </w:rPr>
            </w:pPr>
          </w:p>
          <w:p w:rsidR="006F4410" w:rsidRDefault="006F4410" w:rsidP="006F4410">
            <w:pPr>
              <w:numPr>
                <w:ilvl w:val="0"/>
                <w:numId w:val="2"/>
              </w:numPr>
              <w:spacing w:line="320" w:lineRule="exact"/>
              <w:rPr>
                <w:sz w:val="26"/>
                <w:szCs w:val="26"/>
                <w:lang w:bidi="ar-MA"/>
              </w:rPr>
            </w:pPr>
            <w:r>
              <w:rPr>
                <w:sz w:val="26"/>
                <w:szCs w:val="26"/>
                <w:lang w:bidi="ar-MA"/>
              </w:rPr>
              <w:t>Epargne Nationale ….…………………</w:t>
            </w:r>
            <w:r w:rsidRPr="00735CAD">
              <w:rPr>
                <w:sz w:val="26"/>
                <w:szCs w:val="26"/>
                <w:lang w:bidi="ar-MA"/>
              </w:rPr>
              <w:t>…</w:t>
            </w:r>
          </w:p>
          <w:p w:rsidR="006F4410" w:rsidRDefault="006F4410" w:rsidP="006F4410">
            <w:pPr>
              <w:spacing w:line="320" w:lineRule="exact"/>
              <w:ind w:left="360"/>
              <w:rPr>
                <w:sz w:val="26"/>
                <w:szCs w:val="26"/>
                <w:lang w:bidi="ar-MA"/>
              </w:rPr>
            </w:pPr>
          </w:p>
          <w:p w:rsidR="006F4410" w:rsidRDefault="006F4410" w:rsidP="006F4410">
            <w:pPr>
              <w:numPr>
                <w:ilvl w:val="0"/>
                <w:numId w:val="2"/>
              </w:numPr>
              <w:spacing w:line="320" w:lineRule="exact"/>
              <w:rPr>
                <w:sz w:val="26"/>
                <w:szCs w:val="26"/>
                <w:lang w:bidi="ar-MA"/>
              </w:rPr>
            </w:pPr>
            <w:r w:rsidRPr="00F02C2F">
              <w:rPr>
                <w:sz w:val="26"/>
                <w:szCs w:val="26"/>
                <w:lang w:bidi="ar-MA"/>
              </w:rPr>
              <w:t>Investissement Brut……………………..</w:t>
            </w:r>
          </w:p>
          <w:p w:rsidR="006F4410" w:rsidRDefault="006F4410" w:rsidP="006F4410">
            <w:pPr>
              <w:spacing w:line="320" w:lineRule="exact"/>
              <w:ind w:left="360"/>
              <w:rPr>
                <w:sz w:val="26"/>
                <w:szCs w:val="26"/>
                <w:lang w:bidi="ar-MA"/>
              </w:rPr>
            </w:pPr>
          </w:p>
          <w:p w:rsidR="006F4410" w:rsidRPr="00F02C2F" w:rsidRDefault="006F4410" w:rsidP="006F4410">
            <w:pPr>
              <w:numPr>
                <w:ilvl w:val="0"/>
                <w:numId w:val="2"/>
              </w:numPr>
              <w:spacing w:line="320" w:lineRule="exact"/>
              <w:rPr>
                <w:sz w:val="26"/>
                <w:szCs w:val="26"/>
                <w:lang w:bidi="ar-MA"/>
              </w:rPr>
            </w:pPr>
            <w:r>
              <w:rPr>
                <w:sz w:val="26"/>
                <w:szCs w:val="26"/>
                <w:lang w:bidi="ar-MA"/>
              </w:rPr>
              <w:t>Solde de financement</w:t>
            </w:r>
            <w:r w:rsidRPr="00F02C2F">
              <w:rPr>
                <w:sz w:val="26"/>
                <w:szCs w:val="26"/>
                <w:lang w:bidi="ar-MA"/>
              </w:rPr>
              <w:t>.……………………</w:t>
            </w:r>
          </w:p>
          <w:p w:rsidR="006F4410" w:rsidRDefault="006F4410" w:rsidP="006F4410">
            <w:pPr>
              <w:spacing w:line="320" w:lineRule="exact"/>
              <w:ind w:left="1068"/>
              <w:rPr>
                <w:sz w:val="26"/>
                <w:szCs w:val="26"/>
                <w:lang w:bidi="ar-MA"/>
              </w:rPr>
            </w:pPr>
          </w:p>
          <w:p w:rsidR="006F4410" w:rsidRDefault="006F4410" w:rsidP="006F4410">
            <w:pPr>
              <w:numPr>
                <w:ilvl w:val="0"/>
                <w:numId w:val="2"/>
              </w:numPr>
              <w:spacing w:line="320" w:lineRule="exact"/>
              <w:rPr>
                <w:sz w:val="26"/>
                <w:szCs w:val="26"/>
                <w:lang w:bidi="ar-MA"/>
              </w:rPr>
            </w:pPr>
            <w:r>
              <w:rPr>
                <w:sz w:val="26"/>
                <w:szCs w:val="26"/>
                <w:lang w:bidi="ar-MA"/>
              </w:rPr>
              <w:t>Déficit budgétaire ….…………………</w:t>
            </w:r>
            <w:r w:rsidRPr="00735CAD">
              <w:rPr>
                <w:sz w:val="26"/>
                <w:szCs w:val="26"/>
                <w:lang w:bidi="ar-MA"/>
              </w:rPr>
              <w:t>…</w:t>
            </w:r>
          </w:p>
          <w:p w:rsidR="006F4410" w:rsidRDefault="006F4410" w:rsidP="006F4410">
            <w:pPr>
              <w:spacing w:line="320" w:lineRule="exact"/>
              <w:ind w:left="1068"/>
              <w:rPr>
                <w:sz w:val="26"/>
                <w:szCs w:val="26"/>
                <w:lang w:bidi="ar-MA"/>
              </w:rPr>
            </w:pPr>
          </w:p>
          <w:p w:rsidR="006F4410" w:rsidRDefault="006F4410" w:rsidP="006F4410">
            <w:pPr>
              <w:numPr>
                <w:ilvl w:val="0"/>
                <w:numId w:val="2"/>
              </w:numPr>
              <w:spacing w:line="320" w:lineRule="exact"/>
              <w:rPr>
                <w:sz w:val="26"/>
                <w:szCs w:val="26"/>
                <w:lang w:bidi="ar-MA"/>
              </w:rPr>
            </w:pPr>
            <w:r>
              <w:rPr>
                <w:sz w:val="26"/>
                <w:szCs w:val="26"/>
                <w:lang w:bidi="ar-MA"/>
              </w:rPr>
              <w:t>Dette Publique globale……………….</w:t>
            </w:r>
            <w:r w:rsidRPr="00735CAD">
              <w:rPr>
                <w:sz w:val="26"/>
                <w:szCs w:val="26"/>
                <w:lang w:bidi="ar-MA"/>
              </w:rPr>
              <w:t>…</w:t>
            </w:r>
          </w:p>
          <w:p w:rsidR="006F4410" w:rsidRDefault="006F4410" w:rsidP="006F4410">
            <w:pPr>
              <w:spacing w:line="320" w:lineRule="exact"/>
              <w:ind w:left="1068"/>
              <w:rPr>
                <w:sz w:val="26"/>
                <w:szCs w:val="26"/>
                <w:lang w:bidi="ar-MA"/>
              </w:rPr>
            </w:pPr>
          </w:p>
          <w:p w:rsidR="006F4410" w:rsidRDefault="006F4410" w:rsidP="006F4410">
            <w:pPr>
              <w:numPr>
                <w:ilvl w:val="0"/>
                <w:numId w:val="2"/>
              </w:numPr>
              <w:spacing w:line="320" w:lineRule="exact"/>
              <w:rPr>
                <w:sz w:val="26"/>
                <w:szCs w:val="26"/>
                <w:lang w:bidi="ar-MA"/>
              </w:rPr>
            </w:pPr>
            <w:r>
              <w:rPr>
                <w:sz w:val="26"/>
                <w:szCs w:val="26"/>
                <w:lang w:bidi="ar-MA"/>
              </w:rPr>
              <w:t>Dette de Trésor……….………………</w:t>
            </w:r>
            <w:r w:rsidRPr="00735CAD">
              <w:rPr>
                <w:sz w:val="26"/>
                <w:szCs w:val="26"/>
                <w:lang w:bidi="ar-MA"/>
              </w:rPr>
              <w:t>…</w:t>
            </w:r>
          </w:p>
          <w:p w:rsidR="006F4410" w:rsidRDefault="006F4410" w:rsidP="006F4410">
            <w:pPr>
              <w:spacing w:line="320" w:lineRule="exact"/>
              <w:ind w:left="1068"/>
              <w:rPr>
                <w:sz w:val="26"/>
                <w:szCs w:val="26"/>
                <w:lang w:bidi="ar-MA"/>
              </w:rPr>
            </w:pPr>
          </w:p>
          <w:p w:rsidR="006F4410" w:rsidRDefault="006F4410" w:rsidP="006F4410">
            <w:pPr>
              <w:numPr>
                <w:ilvl w:val="0"/>
                <w:numId w:val="2"/>
              </w:numPr>
              <w:spacing w:line="320" w:lineRule="exact"/>
              <w:rPr>
                <w:sz w:val="26"/>
                <w:szCs w:val="26"/>
                <w:lang w:bidi="ar-MA"/>
              </w:rPr>
            </w:pPr>
            <w:r>
              <w:rPr>
                <w:sz w:val="26"/>
                <w:szCs w:val="26"/>
                <w:lang w:bidi="ar-MA"/>
              </w:rPr>
              <w:t>Réserves en mois d’importations ……</w:t>
            </w:r>
            <w:r w:rsidRPr="00735CAD">
              <w:rPr>
                <w:sz w:val="26"/>
                <w:szCs w:val="26"/>
                <w:lang w:bidi="ar-MA"/>
              </w:rPr>
              <w:t>…</w:t>
            </w:r>
          </w:p>
          <w:p w:rsidR="006F4410" w:rsidRDefault="006F4410" w:rsidP="006F4410">
            <w:pPr>
              <w:spacing w:line="320" w:lineRule="exact"/>
              <w:ind w:left="1068"/>
              <w:rPr>
                <w:sz w:val="26"/>
                <w:szCs w:val="26"/>
                <w:lang w:bidi="ar-MA"/>
              </w:rPr>
            </w:pPr>
          </w:p>
          <w:p w:rsidR="006F4410" w:rsidRDefault="006F4410" w:rsidP="006F4410">
            <w:pPr>
              <w:spacing w:line="320" w:lineRule="exact"/>
              <w:ind w:left="1068"/>
              <w:rPr>
                <w:sz w:val="26"/>
                <w:szCs w:val="26"/>
                <w:lang w:bidi="ar-MA"/>
              </w:rPr>
            </w:pPr>
          </w:p>
          <w:p w:rsidR="006F4410" w:rsidRPr="00735CAD" w:rsidRDefault="006F4410" w:rsidP="006F4410">
            <w:pPr>
              <w:spacing w:line="320" w:lineRule="exact"/>
              <w:ind w:left="1068"/>
              <w:rPr>
                <w:sz w:val="26"/>
                <w:szCs w:val="26"/>
                <w:lang w:bidi="ar-MA"/>
              </w:rPr>
            </w:pPr>
          </w:p>
        </w:tc>
        <w:tc>
          <w:tcPr>
            <w:tcW w:w="1032" w:type="dxa"/>
          </w:tcPr>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20,3</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27,0</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bCs w:val="0"/>
                <w:sz w:val="26"/>
                <w:szCs w:val="26"/>
                <w:lang w:bidi="ar-MA"/>
              </w:rPr>
            </w:pPr>
            <w:r w:rsidRPr="009C1300">
              <w:rPr>
                <w:bCs w:val="0"/>
                <w:sz w:val="26"/>
                <w:szCs w:val="26"/>
                <w:lang w:bidi="ar-MA"/>
              </w:rPr>
              <w:t>34,7</w:t>
            </w:r>
          </w:p>
          <w:p w:rsidR="006F4410" w:rsidRPr="009C1300" w:rsidRDefault="006F4410" w:rsidP="006F4410">
            <w:pPr>
              <w:spacing w:line="320" w:lineRule="exact"/>
              <w:jc w:val="center"/>
              <w:rPr>
                <w:b w:val="0"/>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-7,7</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-5,7</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73,1</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61,5</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4,3</w:t>
            </w:r>
          </w:p>
        </w:tc>
        <w:tc>
          <w:tcPr>
            <w:tcW w:w="1032" w:type="dxa"/>
          </w:tcPr>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19,8</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26,4</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32,2</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-5,8</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-5,1</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78,2</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63,4</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5,25</w:t>
            </w:r>
          </w:p>
        </w:tc>
        <w:tc>
          <w:tcPr>
            <w:tcW w:w="1032" w:type="dxa"/>
            <w:shd w:val="clear" w:color="auto" w:fill="C6D9F1"/>
          </w:tcPr>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20,8</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26,3</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29,6</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-3,3</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-4,4</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79,6</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63,8</w:t>
            </w:r>
          </w:p>
          <w:p w:rsidR="006F4410" w:rsidRPr="009C1300" w:rsidRDefault="006F4410" w:rsidP="006F4410">
            <w:pPr>
              <w:spacing w:line="320" w:lineRule="exact"/>
              <w:jc w:val="center"/>
              <w:rPr>
                <w:sz w:val="26"/>
                <w:szCs w:val="26"/>
                <w:lang w:bidi="ar-MA"/>
              </w:rPr>
            </w:pPr>
          </w:p>
          <w:p w:rsidR="006F4410" w:rsidRPr="009C1300" w:rsidRDefault="006F4410" w:rsidP="009C1300">
            <w:pPr>
              <w:spacing w:line="320" w:lineRule="exact"/>
              <w:jc w:val="center"/>
              <w:rPr>
                <w:sz w:val="26"/>
                <w:szCs w:val="26"/>
                <w:lang w:bidi="ar-MA"/>
              </w:rPr>
            </w:pPr>
            <w:r w:rsidRPr="009C1300">
              <w:rPr>
                <w:sz w:val="26"/>
                <w:szCs w:val="26"/>
                <w:lang w:bidi="ar-MA"/>
              </w:rPr>
              <w:t>5,</w:t>
            </w:r>
            <w:r w:rsidR="009C1300" w:rsidRPr="009C1300">
              <w:rPr>
                <w:sz w:val="26"/>
                <w:szCs w:val="26"/>
                <w:lang w:bidi="ar-MA"/>
              </w:rPr>
              <w:t>8</w:t>
            </w:r>
          </w:p>
        </w:tc>
        <w:tc>
          <w:tcPr>
            <w:tcW w:w="1089" w:type="dxa"/>
            <w:shd w:val="clear" w:color="auto" w:fill="C6D9F1"/>
          </w:tcPr>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20,6</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25,9</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28,9</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-3,0</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-4,4</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81,2</w:t>
            </w:r>
          </w:p>
          <w:p w:rsidR="006F4410" w:rsidRPr="009C1300" w:rsidRDefault="006F4410" w:rsidP="006F4410">
            <w:pPr>
              <w:spacing w:line="320" w:lineRule="exact"/>
              <w:jc w:val="center"/>
              <w:rPr>
                <w:sz w:val="26"/>
                <w:szCs w:val="26"/>
                <w:lang w:bidi="ar-MA"/>
              </w:rPr>
            </w:pPr>
          </w:p>
          <w:p w:rsidR="006F4410" w:rsidRPr="009C1300" w:rsidRDefault="006F4410" w:rsidP="006F4410">
            <w:pPr>
              <w:spacing w:line="320" w:lineRule="exact"/>
              <w:jc w:val="center"/>
              <w:rPr>
                <w:sz w:val="26"/>
                <w:szCs w:val="26"/>
                <w:lang w:bidi="ar-MA"/>
              </w:rPr>
            </w:pPr>
            <w:r w:rsidRPr="009C1300">
              <w:rPr>
                <w:sz w:val="26"/>
                <w:szCs w:val="26"/>
                <w:lang w:bidi="ar-MA"/>
              </w:rPr>
              <w:t>64,9</w:t>
            </w:r>
          </w:p>
          <w:p w:rsidR="006F4410" w:rsidRPr="009C1300" w:rsidRDefault="006F4410" w:rsidP="006F4410">
            <w:pPr>
              <w:spacing w:line="320" w:lineRule="exact"/>
              <w:jc w:val="center"/>
              <w:rPr>
                <w:sz w:val="26"/>
                <w:szCs w:val="26"/>
                <w:lang w:bidi="ar-MA"/>
              </w:rPr>
            </w:pPr>
          </w:p>
          <w:p w:rsidR="006F4410" w:rsidRPr="009C1300" w:rsidRDefault="006F4410" w:rsidP="009C1300">
            <w:pPr>
              <w:spacing w:line="320" w:lineRule="exact"/>
              <w:jc w:val="center"/>
              <w:rPr>
                <w:sz w:val="26"/>
                <w:szCs w:val="26"/>
                <w:lang w:bidi="ar-MA"/>
              </w:rPr>
            </w:pPr>
            <w:r w:rsidRPr="009C1300">
              <w:rPr>
                <w:sz w:val="26"/>
                <w:szCs w:val="26"/>
                <w:lang w:bidi="ar-MA"/>
              </w:rPr>
              <w:t>6,</w:t>
            </w:r>
            <w:r w:rsidR="009C1300" w:rsidRPr="009C1300">
              <w:rPr>
                <w:sz w:val="26"/>
                <w:szCs w:val="26"/>
                <w:lang w:bidi="ar-MA"/>
              </w:rPr>
              <w:t>1</w:t>
            </w:r>
          </w:p>
        </w:tc>
      </w:tr>
    </w:tbl>
    <w:p w:rsidR="006F4410" w:rsidRPr="00EE7F4A" w:rsidRDefault="006F4410" w:rsidP="006F4410">
      <w:pPr>
        <w:keepNext/>
        <w:spacing w:line="320" w:lineRule="exact"/>
        <w:rPr>
          <w:b w:val="0"/>
          <w:bCs w:val="0"/>
          <w:sz w:val="20"/>
          <w:szCs w:val="20"/>
        </w:rPr>
      </w:pPr>
      <w:r w:rsidRPr="00EE7F4A">
        <w:rPr>
          <w:b w:val="0"/>
          <w:bCs w:val="0"/>
          <w:sz w:val="20"/>
          <w:szCs w:val="20"/>
        </w:rPr>
        <w:t>(*) : Estimation pour 201</w:t>
      </w:r>
      <w:r>
        <w:rPr>
          <w:b w:val="0"/>
          <w:bCs w:val="0"/>
          <w:sz w:val="20"/>
          <w:szCs w:val="20"/>
        </w:rPr>
        <w:t>5</w:t>
      </w:r>
      <w:r w:rsidRPr="00EE7F4A">
        <w:rPr>
          <w:b w:val="0"/>
          <w:bCs w:val="0"/>
          <w:sz w:val="20"/>
          <w:szCs w:val="20"/>
        </w:rPr>
        <w:t xml:space="preserve">    (**) : Prévision</w:t>
      </w:r>
      <w:r>
        <w:rPr>
          <w:b w:val="0"/>
          <w:bCs w:val="0"/>
          <w:sz w:val="20"/>
          <w:szCs w:val="20"/>
        </w:rPr>
        <w:t>s</w:t>
      </w:r>
      <w:r w:rsidRPr="00EE7F4A">
        <w:rPr>
          <w:b w:val="0"/>
          <w:bCs w:val="0"/>
          <w:sz w:val="20"/>
          <w:szCs w:val="20"/>
          <w:lang w:bidi="ar-MA"/>
        </w:rPr>
        <w:t xml:space="preserve"> établies par le Haut Commissariat au Plan pour 201</w:t>
      </w:r>
      <w:r>
        <w:rPr>
          <w:b w:val="0"/>
          <w:bCs w:val="0"/>
          <w:sz w:val="20"/>
          <w:szCs w:val="20"/>
          <w:lang w:bidi="ar-MA"/>
        </w:rPr>
        <w:t>6</w:t>
      </w:r>
      <w:r w:rsidRPr="00EE7F4A">
        <w:rPr>
          <w:b w:val="0"/>
          <w:bCs w:val="0"/>
          <w:sz w:val="20"/>
          <w:szCs w:val="20"/>
          <w:lang w:bidi="ar-MA"/>
        </w:rPr>
        <w:t xml:space="preserve">. </w:t>
      </w:r>
    </w:p>
    <w:p w:rsidR="006F4410" w:rsidRPr="00735CAD" w:rsidRDefault="006F4410" w:rsidP="006F4410">
      <w:pPr>
        <w:spacing w:line="320" w:lineRule="exact"/>
        <w:jc w:val="center"/>
        <w:rPr>
          <w:sz w:val="26"/>
          <w:szCs w:val="26"/>
        </w:rPr>
      </w:pPr>
      <w:r w:rsidRPr="00735CAD">
        <w:rPr>
          <w:sz w:val="26"/>
          <w:szCs w:val="26"/>
        </w:rPr>
        <w:tab/>
      </w:r>
    </w:p>
    <w:p w:rsidR="006F4410" w:rsidRPr="007A6016" w:rsidRDefault="006F4410" w:rsidP="006F4410">
      <w:pPr>
        <w:rPr>
          <w:sz w:val="28"/>
          <w:szCs w:val="28"/>
        </w:rPr>
      </w:pPr>
    </w:p>
    <w:p w:rsidR="006F4410" w:rsidRPr="00170CD9" w:rsidRDefault="00A51654" w:rsidP="00170CD9">
      <w:pPr>
        <w:ind w:left="708" w:right="-110"/>
        <w:jc w:val="both"/>
        <w:rPr>
          <w:color w:val="0000FF"/>
          <w:sz w:val="28"/>
          <w:szCs w:val="28"/>
        </w:rPr>
      </w:pPr>
      <w:r>
        <w:rPr>
          <w:color w:val="0000FF"/>
          <w:sz w:val="28"/>
          <w:szCs w:val="28"/>
        </w:rPr>
        <w:t xml:space="preserve">   </w:t>
      </w:r>
    </w:p>
    <w:sectPr w:rsidR="006F4410" w:rsidRPr="00170CD9" w:rsidSect="000D54D7">
      <w:footerReference w:type="even" r:id="rId9"/>
      <w:footerReference w:type="default" r:id="rId10"/>
      <w:headerReference w:type="first" r:id="rId11"/>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45" w:rsidRDefault="00CC3845">
      <w:r>
        <w:separator/>
      </w:r>
    </w:p>
  </w:endnote>
  <w:endnote w:type="continuationSeparator" w:id="0">
    <w:p w:rsidR="00CC3845" w:rsidRDefault="00CC38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FB0DAA"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end"/>
    </w:r>
  </w:p>
  <w:p w:rsidR="00A07934" w:rsidRDefault="00A079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FB0DAA"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separate"/>
    </w:r>
    <w:r w:rsidR="00A51654">
      <w:rPr>
        <w:rStyle w:val="Numrodepage"/>
        <w:noProof/>
      </w:rPr>
      <w:t>17</w:t>
    </w:r>
    <w:r>
      <w:rPr>
        <w:rStyle w:val="Numrodepage"/>
      </w:rPr>
      <w:fldChar w:fldCharType="end"/>
    </w:r>
  </w:p>
  <w:p w:rsidR="00A07934" w:rsidRDefault="00A079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45" w:rsidRDefault="00CC3845">
      <w:r>
        <w:separator/>
      </w:r>
    </w:p>
  </w:footnote>
  <w:footnote w:type="continuationSeparator" w:id="0">
    <w:p w:rsidR="00CC3845" w:rsidRDefault="00CC3845">
      <w:r>
        <w:continuationSeparator/>
      </w:r>
    </w:p>
  </w:footnote>
  <w:footnote w:id="1">
    <w:p w:rsidR="00A61590" w:rsidRDefault="00A61590">
      <w:pPr>
        <w:pStyle w:val="Notedebasdepage"/>
      </w:pPr>
      <w:r>
        <w:rPr>
          <w:rStyle w:val="Appelnotedebasdep"/>
        </w:rPr>
        <w:footnoteRef/>
      </w:r>
      <w:r>
        <w:t xml:space="preserve"> FMI-OCDE-Banque mondiale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FB0DAA">
    <w:pPr>
      <w:pStyle w:val="En-tte"/>
    </w:pPr>
    <w:r>
      <w:rPr>
        <w:noProof/>
      </w:rPr>
      <w:pict>
        <v:rect id="_x0000_s1025" style="position:absolute;margin-left:-124.9pt;margin-top:-44.45pt;width:685.25pt;height:405.75pt;z-index:251657728" o:preferrelative="t" filled="f" stroked="f" insetpen="t" o:cliptowrap="t">
          <v:imagedata r:id="rId1" o:title=""/>
          <v:path o:extrusionok="f"/>
          <o:lock v:ext="edit" aspectratio="t"/>
          <w10:wrap anchorx="page"/>
        </v:rect>
        <o:OLEObject Type="Embed" ProgID="PBrush" ShapeID="_x0000_s1025" DrawAspect="Content" ObjectID="_1497180819"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0">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1">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23">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23"/>
  </w:num>
  <w:num w:numId="3">
    <w:abstractNumId w:val="7"/>
  </w:num>
  <w:num w:numId="4">
    <w:abstractNumId w:val="0"/>
  </w:num>
  <w:num w:numId="5">
    <w:abstractNumId w:val="26"/>
  </w:num>
  <w:num w:numId="6">
    <w:abstractNumId w:val="2"/>
  </w:num>
  <w:num w:numId="7">
    <w:abstractNumId w:val="22"/>
  </w:num>
  <w:num w:numId="8">
    <w:abstractNumId w:val="25"/>
  </w:num>
  <w:num w:numId="9">
    <w:abstractNumId w:val="9"/>
  </w:num>
  <w:num w:numId="10">
    <w:abstractNumId w:val="21"/>
  </w:num>
  <w:num w:numId="11">
    <w:abstractNumId w:val="24"/>
  </w:num>
  <w:num w:numId="12">
    <w:abstractNumId w:val="1"/>
  </w:num>
  <w:num w:numId="13">
    <w:abstractNumId w:val="3"/>
  </w:num>
  <w:num w:numId="14">
    <w:abstractNumId w:val="19"/>
  </w:num>
  <w:num w:numId="15">
    <w:abstractNumId w:val="15"/>
  </w:num>
  <w:num w:numId="16">
    <w:abstractNumId w:val="4"/>
  </w:num>
  <w:num w:numId="17">
    <w:abstractNumId w:val="18"/>
  </w:num>
  <w:num w:numId="18">
    <w:abstractNumId w:val="13"/>
  </w:num>
  <w:num w:numId="19">
    <w:abstractNumId w:val="8"/>
  </w:num>
  <w:num w:numId="20">
    <w:abstractNumId w:val="17"/>
  </w:num>
  <w:num w:numId="21">
    <w:abstractNumId w:val="11"/>
  </w:num>
  <w:num w:numId="22">
    <w:abstractNumId w:val="5"/>
  </w:num>
  <w:num w:numId="23">
    <w:abstractNumId w:val="6"/>
  </w:num>
  <w:num w:numId="24">
    <w:abstractNumId w:val="14"/>
  </w:num>
  <w:num w:numId="25">
    <w:abstractNumId w:val="10"/>
  </w:num>
  <w:num w:numId="26">
    <w:abstractNumId w:val="20"/>
  </w:num>
  <w:num w:numId="27">
    <w:abstractNumId w:val="28"/>
  </w:num>
  <w:num w:numId="28">
    <w:abstractNumId w:val="1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8194"/>
    <o:shapelayout v:ext="edit">
      <o:idmap v:ext="edit" data="1"/>
    </o:shapelayout>
  </w:hdrShapeDefaults>
  <w:footnotePr>
    <w:footnote w:id="-1"/>
    <w:footnote w:id="0"/>
  </w:footnotePr>
  <w:endnotePr>
    <w:endnote w:id="-1"/>
    <w:endnote w:id="0"/>
  </w:endnotePr>
  <w:compat/>
  <w:rsids>
    <w:rsidRoot w:val="00605B3C"/>
    <w:rsid w:val="00001DCD"/>
    <w:rsid w:val="00003817"/>
    <w:rsid w:val="00003D85"/>
    <w:rsid w:val="0000772D"/>
    <w:rsid w:val="00010D0C"/>
    <w:rsid w:val="00010EC9"/>
    <w:rsid w:val="000123D3"/>
    <w:rsid w:val="00014468"/>
    <w:rsid w:val="00014A7A"/>
    <w:rsid w:val="000159F8"/>
    <w:rsid w:val="000161A7"/>
    <w:rsid w:val="00017F2E"/>
    <w:rsid w:val="000213EE"/>
    <w:rsid w:val="00021ADA"/>
    <w:rsid w:val="000247CD"/>
    <w:rsid w:val="0002765D"/>
    <w:rsid w:val="00027EED"/>
    <w:rsid w:val="00030A63"/>
    <w:rsid w:val="00030AA2"/>
    <w:rsid w:val="00032ACC"/>
    <w:rsid w:val="00032B2C"/>
    <w:rsid w:val="000423A8"/>
    <w:rsid w:val="00043526"/>
    <w:rsid w:val="00043EB1"/>
    <w:rsid w:val="00045358"/>
    <w:rsid w:val="0004656B"/>
    <w:rsid w:val="00046606"/>
    <w:rsid w:val="00050BA0"/>
    <w:rsid w:val="00053CC2"/>
    <w:rsid w:val="00056625"/>
    <w:rsid w:val="00061611"/>
    <w:rsid w:val="00063CA5"/>
    <w:rsid w:val="0006446E"/>
    <w:rsid w:val="0006498B"/>
    <w:rsid w:val="00066A76"/>
    <w:rsid w:val="00067921"/>
    <w:rsid w:val="00067B31"/>
    <w:rsid w:val="000702F7"/>
    <w:rsid w:val="00080AD9"/>
    <w:rsid w:val="000841F8"/>
    <w:rsid w:val="00086CD4"/>
    <w:rsid w:val="000910CF"/>
    <w:rsid w:val="00094349"/>
    <w:rsid w:val="00094853"/>
    <w:rsid w:val="00094BEA"/>
    <w:rsid w:val="00095092"/>
    <w:rsid w:val="00095CBB"/>
    <w:rsid w:val="000966B7"/>
    <w:rsid w:val="00097BCD"/>
    <w:rsid w:val="000A171F"/>
    <w:rsid w:val="000A4885"/>
    <w:rsid w:val="000B03DB"/>
    <w:rsid w:val="000B0F6D"/>
    <w:rsid w:val="000B1A38"/>
    <w:rsid w:val="000B597C"/>
    <w:rsid w:val="000B5DD7"/>
    <w:rsid w:val="000C2F9B"/>
    <w:rsid w:val="000C347A"/>
    <w:rsid w:val="000C4D0B"/>
    <w:rsid w:val="000C52D4"/>
    <w:rsid w:val="000D44B0"/>
    <w:rsid w:val="000D547E"/>
    <w:rsid w:val="000D54D7"/>
    <w:rsid w:val="000D79E2"/>
    <w:rsid w:val="000E49E3"/>
    <w:rsid w:val="000E6E48"/>
    <w:rsid w:val="000F107C"/>
    <w:rsid w:val="000F1725"/>
    <w:rsid w:val="000F2DDF"/>
    <w:rsid w:val="000F3F6A"/>
    <w:rsid w:val="000F4384"/>
    <w:rsid w:val="000F4A3D"/>
    <w:rsid w:val="0010162E"/>
    <w:rsid w:val="001025D0"/>
    <w:rsid w:val="0010301E"/>
    <w:rsid w:val="00103308"/>
    <w:rsid w:val="00106FD5"/>
    <w:rsid w:val="0010781F"/>
    <w:rsid w:val="00111343"/>
    <w:rsid w:val="00115109"/>
    <w:rsid w:val="00122489"/>
    <w:rsid w:val="00122C93"/>
    <w:rsid w:val="00123057"/>
    <w:rsid w:val="00124056"/>
    <w:rsid w:val="0012635A"/>
    <w:rsid w:val="00130C6C"/>
    <w:rsid w:val="00132232"/>
    <w:rsid w:val="001326B8"/>
    <w:rsid w:val="00132EE1"/>
    <w:rsid w:val="00135B28"/>
    <w:rsid w:val="00136F2D"/>
    <w:rsid w:val="0014137B"/>
    <w:rsid w:val="0014366A"/>
    <w:rsid w:val="00143DFD"/>
    <w:rsid w:val="00143E1F"/>
    <w:rsid w:val="00143F9D"/>
    <w:rsid w:val="001445B7"/>
    <w:rsid w:val="0014549D"/>
    <w:rsid w:val="001500E1"/>
    <w:rsid w:val="00150E84"/>
    <w:rsid w:val="00150E8C"/>
    <w:rsid w:val="0015122B"/>
    <w:rsid w:val="00151627"/>
    <w:rsid w:val="00153698"/>
    <w:rsid w:val="0015475A"/>
    <w:rsid w:val="001574AD"/>
    <w:rsid w:val="00160078"/>
    <w:rsid w:val="00160C3E"/>
    <w:rsid w:val="00162937"/>
    <w:rsid w:val="00162F1D"/>
    <w:rsid w:val="001661D3"/>
    <w:rsid w:val="00166A9B"/>
    <w:rsid w:val="00166D06"/>
    <w:rsid w:val="00170A7D"/>
    <w:rsid w:val="00170CD9"/>
    <w:rsid w:val="00170CEB"/>
    <w:rsid w:val="00170F5B"/>
    <w:rsid w:val="0017254F"/>
    <w:rsid w:val="0017284A"/>
    <w:rsid w:val="00172D73"/>
    <w:rsid w:val="00173B1E"/>
    <w:rsid w:val="00173D36"/>
    <w:rsid w:val="001849FC"/>
    <w:rsid w:val="00190151"/>
    <w:rsid w:val="00192B6F"/>
    <w:rsid w:val="00196752"/>
    <w:rsid w:val="001971CE"/>
    <w:rsid w:val="001973FE"/>
    <w:rsid w:val="0019774F"/>
    <w:rsid w:val="001A01E4"/>
    <w:rsid w:val="001A10A3"/>
    <w:rsid w:val="001A2820"/>
    <w:rsid w:val="001A4A8B"/>
    <w:rsid w:val="001A79EB"/>
    <w:rsid w:val="001B38AA"/>
    <w:rsid w:val="001B4499"/>
    <w:rsid w:val="001B6CFE"/>
    <w:rsid w:val="001C00A6"/>
    <w:rsid w:val="001C1BEC"/>
    <w:rsid w:val="001C6898"/>
    <w:rsid w:val="001D066D"/>
    <w:rsid w:val="001D099D"/>
    <w:rsid w:val="001D0B1B"/>
    <w:rsid w:val="001D15BF"/>
    <w:rsid w:val="001D2068"/>
    <w:rsid w:val="001D4286"/>
    <w:rsid w:val="001D531A"/>
    <w:rsid w:val="001D719B"/>
    <w:rsid w:val="001E05C0"/>
    <w:rsid w:val="001E4C29"/>
    <w:rsid w:val="001E53AF"/>
    <w:rsid w:val="001E5505"/>
    <w:rsid w:val="001E621B"/>
    <w:rsid w:val="001F04A9"/>
    <w:rsid w:val="001F2E40"/>
    <w:rsid w:val="001F308F"/>
    <w:rsid w:val="001F350C"/>
    <w:rsid w:val="001F3E18"/>
    <w:rsid w:val="001F5104"/>
    <w:rsid w:val="001F58E8"/>
    <w:rsid w:val="002016EA"/>
    <w:rsid w:val="002027BF"/>
    <w:rsid w:val="00204A93"/>
    <w:rsid w:val="00205C78"/>
    <w:rsid w:val="002106AB"/>
    <w:rsid w:val="002155D4"/>
    <w:rsid w:val="002168A4"/>
    <w:rsid w:val="002169FD"/>
    <w:rsid w:val="0021792F"/>
    <w:rsid w:val="0022029C"/>
    <w:rsid w:val="00220E50"/>
    <w:rsid w:val="00221E43"/>
    <w:rsid w:val="002221F5"/>
    <w:rsid w:val="002235F7"/>
    <w:rsid w:val="002238E0"/>
    <w:rsid w:val="00223E34"/>
    <w:rsid w:val="00225154"/>
    <w:rsid w:val="00226710"/>
    <w:rsid w:val="00226A4B"/>
    <w:rsid w:val="00226B5C"/>
    <w:rsid w:val="0023094A"/>
    <w:rsid w:val="00230B96"/>
    <w:rsid w:val="0023314F"/>
    <w:rsid w:val="0023382A"/>
    <w:rsid w:val="002339FC"/>
    <w:rsid w:val="00235223"/>
    <w:rsid w:val="00237B63"/>
    <w:rsid w:val="00237C11"/>
    <w:rsid w:val="00245D05"/>
    <w:rsid w:val="002464CF"/>
    <w:rsid w:val="00247841"/>
    <w:rsid w:val="00247971"/>
    <w:rsid w:val="002514E2"/>
    <w:rsid w:val="002534C1"/>
    <w:rsid w:val="0025569E"/>
    <w:rsid w:val="0025640B"/>
    <w:rsid w:val="00261281"/>
    <w:rsid w:val="00262E69"/>
    <w:rsid w:val="0026335D"/>
    <w:rsid w:val="002634DA"/>
    <w:rsid w:val="00263620"/>
    <w:rsid w:val="00263AC6"/>
    <w:rsid w:val="00264BF9"/>
    <w:rsid w:val="00266390"/>
    <w:rsid w:val="00266D5C"/>
    <w:rsid w:val="00267023"/>
    <w:rsid w:val="00267EE5"/>
    <w:rsid w:val="00275246"/>
    <w:rsid w:val="0027716B"/>
    <w:rsid w:val="00291167"/>
    <w:rsid w:val="002943A8"/>
    <w:rsid w:val="002944B4"/>
    <w:rsid w:val="002945A4"/>
    <w:rsid w:val="0029586F"/>
    <w:rsid w:val="00296310"/>
    <w:rsid w:val="00297F2F"/>
    <w:rsid w:val="002A196E"/>
    <w:rsid w:val="002A6A34"/>
    <w:rsid w:val="002B167D"/>
    <w:rsid w:val="002B289E"/>
    <w:rsid w:val="002B4C8E"/>
    <w:rsid w:val="002B62FC"/>
    <w:rsid w:val="002B76D3"/>
    <w:rsid w:val="002C0AB2"/>
    <w:rsid w:val="002C1E7C"/>
    <w:rsid w:val="002C33A8"/>
    <w:rsid w:val="002C3F69"/>
    <w:rsid w:val="002C788B"/>
    <w:rsid w:val="002D31DD"/>
    <w:rsid w:val="002D31F5"/>
    <w:rsid w:val="002D68FE"/>
    <w:rsid w:val="002E07C3"/>
    <w:rsid w:val="002E28FA"/>
    <w:rsid w:val="002E3439"/>
    <w:rsid w:val="002E43C3"/>
    <w:rsid w:val="002E48B8"/>
    <w:rsid w:val="002E66AC"/>
    <w:rsid w:val="002E7C89"/>
    <w:rsid w:val="002F1E3E"/>
    <w:rsid w:val="002F210C"/>
    <w:rsid w:val="002F35B6"/>
    <w:rsid w:val="003020EC"/>
    <w:rsid w:val="003037E3"/>
    <w:rsid w:val="00303FD8"/>
    <w:rsid w:val="00303FDA"/>
    <w:rsid w:val="003065CC"/>
    <w:rsid w:val="00306A05"/>
    <w:rsid w:val="00306B6C"/>
    <w:rsid w:val="00311243"/>
    <w:rsid w:val="00311B31"/>
    <w:rsid w:val="003126C7"/>
    <w:rsid w:val="00317E4B"/>
    <w:rsid w:val="0032164F"/>
    <w:rsid w:val="00322C6F"/>
    <w:rsid w:val="00324F79"/>
    <w:rsid w:val="00325B55"/>
    <w:rsid w:val="00327B0F"/>
    <w:rsid w:val="003320D4"/>
    <w:rsid w:val="00340FF7"/>
    <w:rsid w:val="0034132B"/>
    <w:rsid w:val="00341CAF"/>
    <w:rsid w:val="003423D4"/>
    <w:rsid w:val="0034462C"/>
    <w:rsid w:val="003453F6"/>
    <w:rsid w:val="00351611"/>
    <w:rsid w:val="003519B9"/>
    <w:rsid w:val="003555E1"/>
    <w:rsid w:val="00357896"/>
    <w:rsid w:val="00357A78"/>
    <w:rsid w:val="00360AB6"/>
    <w:rsid w:val="00360F19"/>
    <w:rsid w:val="00362082"/>
    <w:rsid w:val="00364726"/>
    <w:rsid w:val="00364AEB"/>
    <w:rsid w:val="00367161"/>
    <w:rsid w:val="003673EF"/>
    <w:rsid w:val="00372100"/>
    <w:rsid w:val="0037626D"/>
    <w:rsid w:val="00380606"/>
    <w:rsid w:val="00381F75"/>
    <w:rsid w:val="00385557"/>
    <w:rsid w:val="003901B4"/>
    <w:rsid w:val="0039591F"/>
    <w:rsid w:val="00395967"/>
    <w:rsid w:val="003966F2"/>
    <w:rsid w:val="00397118"/>
    <w:rsid w:val="003A130A"/>
    <w:rsid w:val="003A1A34"/>
    <w:rsid w:val="003A1F5D"/>
    <w:rsid w:val="003A784E"/>
    <w:rsid w:val="003B259C"/>
    <w:rsid w:val="003B5B6A"/>
    <w:rsid w:val="003B6FC8"/>
    <w:rsid w:val="003B7C04"/>
    <w:rsid w:val="003C00A6"/>
    <w:rsid w:val="003C0FC0"/>
    <w:rsid w:val="003C172B"/>
    <w:rsid w:val="003C1BA1"/>
    <w:rsid w:val="003C411E"/>
    <w:rsid w:val="003C4982"/>
    <w:rsid w:val="003C5920"/>
    <w:rsid w:val="003D0A43"/>
    <w:rsid w:val="003D2182"/>
    <w:rsid w:val="003D2E03"/>
    <w:rsid w:val="003D3198"/>
    <w:rsid w:val="003D4F7E"/>
    <w:rsid w:val="003D5589"/>
    <w:rsid w:val="003D5A2C"/>
    <w:rsid w:val="003D5F51"/>
    <w:rsid w:val="003D635D"/>
    <w:rsid w:val="003D6CFE"/>
    <w:rsid w:val="003D6E05"/>
    <w:rsid w:val="003E3396"/>
    <w:rsid w:val="003E569D"/>
    <w:rsid w:val="003F0015"/>
    <w:rsid w:val="003F298D"/>
    <w:rsid w:val="003F567C"/>
    <w:rsid w:val="003F68B0"/>
    <w:rsid w:val="003F6EBD"/>
    <w:rsid w:val="00401683"/>
    <w:rsid w:val="00401F69"/>
    <w:rsid w:val="004024AF"/>
    <w:rsid w:val="004042E0"/>
    <w:rsid w:val="00406097"/>
    <w:rsid w:val="00406EE0"/>
    <w:rsid w:val="00407C56"/>
    <w:rsid w:val="00410093"/>
    <w:rsid w:val="00412495"/>
    <w:rsid w:val="00412A84"/>
    <w:rsid w:val="00413A87"/>
    <w:rsid w:val="00415779"/>
    <w:rsid w:val="00416445"/>
    <w:rsid w:val="00416721"/>
    <w:rsid w:val="00417501"/>
    <w:rsid w:val="00417E58"/>
    <w:rsid w:val="00417FF1"/>
    <w:rsid w:val="004211EA"/>
    <w:rsid w:val="00421CAC"/>
    <w:rsid w:val="0043234A"/>
    <w:rsid w:val="00433647"/>
    <w:rsid w:val="00433E9C"/>
    <w:rsid w:val="004365A8"/>
    <w:rsid w:val="00437B6E"/>
    <w:rsid w:val="004430AF"/>
    <w:rsid w:val="00444079"/>
    <w:rsid w:val="004441EC"/>
    <w:rsid w:val="004465E0"/>
    <w:rsid w:val="00446DF1"/>
    <w:rsid w:val="004475ED"/>
    <w:rsid w:val="00450351"/>
    <w:rsid w:val="004517ED"/>
    <w:rsid w:val="00453975"/>
    <w:rsid w:val="00453E99"/>
    <w:rsid w:val="00455B78"/>
    <w:rsid w:val="004560AA"/>
    <w:rsid w:val="00457F5C"/>
    <w:rsid w:val="00461BAD"/>
    <w:rsid w:val="00463189"/>
    <w:rsid w:val="00470E30"/>
    <w:rsid w:val="00471B41"/>
    <w:rsid w:val="004721F7"/>
    <w:rsid w:val="00475B80"/>
    <w:rsid w:val="00476DE3"/>
    <w:rsid w:val="00481975"/>
    <w:rsid w:val="004830DF"/>
    <w:rsid w:val="0048529E"/>
    <w:rsid w:val="00492080"/>
    <w:rsid w:val="004935D4"/>
    <w:rsid w:val="00494609"/>
    <w:rsid w:val="00494F1C"/>
    <w:rsid w:val="00497CDD"/>
    <w:rsid w:val="004A0C05"/>
    <w:rsid w:val="004A238A"/>
    <w:rsid w:val="004A6D23"/>
    <w:rsid w:val="004B16DF"/>
    <w:rsid w:val="004B4FD1"/>
    <w:rsid w:val="004C1098"/>
    <w:rsid w:val="004C1830"/>
    <w:rsid w:val="004C3036"/>
    <w:rsid w:val="004C3412"/>
    <w:rsid w:val="004C38F8"/>
    <w:rsid w:val="004C3EC7"/>
    <w:rsid w:val="004D13E1"/>
    <w:rsid w:val="004D6142"/>
    <w:rsid w:val="004E14F9"/>
    <w:rsid w:val="004E2321"/>
    <w:rsid w:val="004E79FD"/>
    <w:rsid w:val="004F00CC"/>
    <w:rsid w:val="004F2DC8"/>
    <w:rsid w:val="004F6E1A"/>
    <w:rsid w:val="005007E1"/>
    <w:rsid w:val="005033C0"/>
    <w:rsid w:val="0050572E"/>
    <w:rsid w:val="005059C8"/>
    <w:rsid w:val="00511CDE"/>
    <w:rsid w:val="00511E80"/>
    <w:rsid w:val="005146C5"/>
    <w:rsid w:val="00514F2C"/>
    <w:rsid w:val="00515CC4"/>
    <w:rsid w:val="005201B5"/>
    <w:rsid w:val="00521097"/>
    <w:rsid w:val="0052189A"/>
    <w:rsid w:val="00521C22"/>
    <w:rsid w:val="005231B4"/>
    <w:rsid w:val="00523365"/>
    <w:rsid w:val="00525377"/>
    <w:rsid w:val="005256D2"/>
    <w:rsid w:val="00526207"/>
    <w:rsid w:val="005267E0"/>
    <w:rsid w:val="00527E22"/>
    <w:rsid w:val="00532FDE"/>
    <w:rsid w:val="00533BDC"/>
    <w:rsid w:val="00535CE6"/>
    <w:rsid w:val="005365F3"/>
    <w:rsid w:val="0053789D"/>
    <w:rsid w:val="00542B53"/>
    <w:rsid w:val="00546C1F"/>
    <w:rsid w:val="005518A7"/>
    <w:rsid w:val="005572A4"/>
    <w:rsid w:val="00562724"/>
    <w:rsid w:val="00563EAD"/>
    <w:rsid w:val="00571545"/>
    <w:rsid w:val="00573DF7"/>
    <w:rsid w:val="005747A1"/>
    <w:rsid w:val="0058351E"/>
    <w:rsid w:val="00583A89"/>
    <w:rsid w:val="0059458F"/>
    <w:rsid w:val="005962C0"/>
    <w:rsid w:val="0059635E"/>
    <w:rsid w:val="0059773B"/>
    <w:rsid w:val="005A19E2"/>
    <w:rsid w:val="005A2759"/>
    <w:rsid w:val="005A3EA4"/>
    <w:rsid w:val="005A4314"/>
    <w:rsid w:val="005A500A"/>
    <w:rsid w:val="005A64ED"/>
    <w:rsid w:val="005B05B9"/>
    <w:rsid w:val="005B2C81"/>
    <w:rsid w:val="005B3B7E"/>
    <w:rsid w:val="005B4D2C"/>
    <w:rsid w:val="005C1191"/>
    <w:rsid w:val="005C179C"/>
    <w:rsid w:val="005C291E"/>
    <w:rsid w:val="005C451C"/>
    <w:rsid w:val="005C4B68"/>
    <w:rsid w:val="005C5C22"/>
    <w:rsid w:val="005C6F87"/>
    <w:rsid w:val="005D0C5A"/>
    <w:rsid w:val="005D1A7D"/>
    <w:rsid w:val="005D25DA"/>
    <w:rsid w:val="005D59BA"/>
    <w:rsid w:val="005D6001"/>
    <w:rsid w:val="005E0512"/>
    <w:rsid w:val="005E387D"/>
    <w:rsid w:val="005E3F7C"/>
    <w:rsid w:val="005E40FA"/>
    <w:rsid w:val="005E47B3"/>
    <w:rsid w:val="005E4C41"/>
    <w:rsid w:val="005E61E4"/>
    <w:rsid w:val="005E6F98"/>
    <w:rsid w:val="005E79D3"/>
    <w:rsid w:val="005F0A3A"/>
    <w:rsid w:val="005F35FE"/>
    <w:rsid w:val="005F73D1"/>
    <w:rsid w:val="006004A5"/>
    <w:rsid w:val="00600CAE"/>
    <w:rsid w:val="006012E0"/>
    <w:rsid w:val="00601499"/>
    <w:rsid w:val="00602822"/>
    <w:rsid w:val="0060523E"/>
    <w:rsid w:val="00605B3C"/>
    <w:rsid w:val="006125F0"/>
    <w:rsid w:val="006127B7"/>
    <w:rsid w:val="00612D78"/>
    <w:rsid w:val="006132AD"/>
    <w:rsid w:val="006137CA"/>
    <w:rsid w:val="006143D6"/>
    <w:rsid w:val="00614559"/>
    <w:rsid w:val="00614589"/>
    <w:rsid w:val="006149FD"/>
    <w:rsid w:val="00617D06"/>
    <w:rsid w:val="006207B3"/>
    <w:rsid w:val="00620C56"/>
    <w:rsid w:val="00621593"/>
    <w:rsid w:val="00621A8E"/>
    <w:rsid w:val="00623BA3"/>
    <w:rsid w:val="006256D0"/>
    <w:rsid w:val="00625996"/>
    <w:rsid w:val="00626F47"/>
    <w:rsid w:val="006302CC"/>
    <w:rsid w:val="00630DF9"/>
    <w:rsid w:val="006324AF"/>
    <w:rsid w:val="00636154"/>
    <w:rsid w:val="0063629A"/>
    <w:rsid w:val="00644796"/>
    <w:rsid w:val="0064552E"/>
    <w:rsid w:val="006479ED"/>
    <w:rsid w:val="006527D6"/>
    <w:rsid w:val="00653026"/>
    <w:rsid w:val="006563F3"/>
    <w:rsid w:val="00661118"/>
    <w:rsid w:val="00666146"/>
    <w:rsid w:val="006755C4"/>
    <w:rsid w:val="006758BA"/>
    <w:rsid w:val="006762DD"/>
    <w:rsid w:val="006773E3"/>
    <w:rsid w:val="006774EB"/>
    <w:rsid w:val="00684328"/>
    <w:rsid w:val="006866EF"/>
    <w:rsid w:val="00686A0B"/>
    <w:rsid w:val="00687047"/>
    <w:rsid w:val="00687A1C"/>
    <w:rsid w:val="00691B1D"/>
    <w:rsid w:val="00691F6C"/>
    <w:rsid w:val="006978F0"/>
    <w:rsid w:val="00697E32"/>
    <w:rsid w:val="006A0979"/>
    <w:rsid w:val="006A11E0"/>
    <w:rsid w:val="006A3838"/>
    <w:rsid w:val="006A6EEE"/>
    <w:rsid w:val="006A79B7"/>
    <w:rsid w:val="006B080D"/>
    <w:rsid w:val="006B0F37"/>
    <w:rsid w:val="006B3067"/>
    <w:rsid w:val="006B4252"/>
    <w:rsid w:val="006B469E"/>
    <w:rsid w:val="006B7AC3"/>
    <w:rsid w:val="006C48F6"/>
    <w:rsid w:val="006C71B9"/>
    <w:rsid w:val="006D1B71"/>
    <w:rsid w:val="006D1E9C"/>
    <w:rsid w:val="006D20C5"/>
    <w:rsid w:val="006D4775"/>
    <w:rsid w:val="006D7292"/>
    <w:rsid w:val="006E4266"/>
    <w:rsid w:val="006E6A14"/>
    <w:rsid w:val="006E70DA"/>
    <w:rsid w:val="006E7B87"/>
    <w:rsid w:val="006F0431"/>
    <w:rsid w:val="006F094F"/>
    <w:rsid w:val="006F2950"/>
    <w:rsid w:val="006F4410"/>
    <w:rsid w:val="006F49FB"/>
    <w:rsid w:val="006F6590"/>
    <w:rsid w:val="006F7223"/>
    <w:rsid w:val="00701B64"/>
    <w:rsid w:val="00707175"/>
    <w:rsid w:val="00707FAC"/>
    <w:rsid w:val="007104D5"/>
    <w:rsid w:val="00710A57"/>
    <w:rsid w:val="00714F29"/>
    <w:rsid w:val="007151FD"/>
    <w:rsid w:val="00716DA5"/>
    <w:rsid w:val="00717C81"/>
    <w:rsid w:val="00721295"/>
    <w:rsid w:val="007216A1"/>
    <w:rsid w:val="00721FE1"/>
    <w:rsid w:val="00722CCB"/>
    <w:rsid w:val="007250CB"/>
    <w:rsid w:val="007250DC"/>
    <w:rsid w:val="00731442"/>
    <w:rsid w:val="00733CC4"/>
    <w:rsid w:val="0073425D"/>
    <w:rsid w:val="007375FD"/>
    <w:rsid w:val="007429BC"/>
    <w:rsid w:val="00745843"/>
    <w:rsid w:val="00746BC8"/>
    <w:rsid w:val="00747C46"/>
    <w:rsid w:val="00752F9A"/>
    <w:rsid w:val="00753078"/>
    <w:rsid w:val="00754A33"/>
    <w:rsid w:val="00756EDA"/>
    <w:rsid w:val="0075759E"/>
    <w:rsid w:val="00761769"/>
    <w:rsid w:val="007624D6"/>
    <w:rsid w:val="00762F84"/>
    <w:rsid w:val="00775B96"/>
    <w:rsid w:val="00777B26"/>
    <w:rsid w:val="00780574"/>
    <w:rsid w:val="007846CA"/>
    <w:rsid w:val="007849B9"/>
    <w:rsid w:val="00786C39"/>
    <w:rsid w:val="0078702E"/>
    <w:rsid w:val="007876CA"/>
    <w:rsid w:val="007908EB"/>
    <w:rsid w:val="00795214"/>
    <w:rsid w:val="007968A1"/>
    <w:rsid w:val="007971CA"/>
    <w:rsid w:val="007A0666"/>
    <w:rsid w:val="007A0D68"/>
    <w:rsid w:val="007A10A1"/>
    <w:rsid w:val="007A1C75"/>
    <w:rsid w:val="007A3A88"/>
    <w:rsid w:val="007A635F"/>
    <w:rsid w:val="007A6595"/>
    <w:rsid w:val="007A70E2"/>
    <w:rsid w:val="007B03E5"/>
    <w:rsid w:val="007B07D4"/>
    <w:rsid w:val="007B0B61"/>
    <w:rsid w:val="007B2ADE"/>
    <w:rsid w:val="007B3624"/>
    <w:rsid w:val="007B43F3"/>
    <w:rsid w:val="007C036F"/>
    <w:rsid w:val="007C052F"/>
    <w:rsid w:val="007C1820"/>
    <w:rsid w:val="007C2117"/>
    <w:rsid w:val="007C5509"/>
    <w:rsid w:val="007C5F86"/>
    <w:rsid w:val="007D0D28"/>
    <w:rsid w:val="007D162E"/>
    <w:rsid w:val="007D313B"/>
    <w:rsid w:val="007D499E"/>
    <w:rsid w:val="007D5DE3"/>
    <w:rsid w:val="007D6AE6"/>
    <w:rsid w:val="007E2CC3"/>
    <w:rsid w:val="007F06B4"/>
    <w:rsid w:val="007F29A4"/>
    <w:rsid w:val="007F46C6"/>
    <w:rsid w:val="007F53C1"/>
    <w:rsid w:val="007F5EDC"/>
    <w:rsid w:val="007F612D"/>
    <w:rsid w:val="007F6B22"/>
    <w:rsid w:val="0080012D"/>
    <w:rsid w:val="00800C94"/>
    <w:rsid w:val="00812137"/>
    <w:rsid w:val="00816998"/>
    <w:rsid w:val="00816FF8"/>
    <w:rsid w:val="0082194D"/>
    <w:rsid w:val="008234A6"/>
    <w:rsid w:val="0082397C"/>
    <w:rsid w:val="00824DD5"/>
    <w:rsid w:val="008307DE"/>
    <w:rsid w:val="00830A41"/>
    <w:rsid w:val="00830A4C"/>
    <w:rsid w:val="0083353F"/>
    <w:rsid w:val="00836803"/>
    <w:rsid w:val="00836B7C"/>
    <w:rsid w:val="00837454"/>
    <w:rsid w:val="00837528"/>
    <w:rsid w:val="008504F3"/>
    <w:rsid w:val="00851157"/>
    <w:rsid w:val="008534E3"/>
    <w:rsid w:val="00853A6E"/>
    <w:rsid w:val="00853C38"/>
    <w:rsid w:val="00855EED"/>
    <w:rsid w:val="008561CE"/>
    <w:rsid w:val="00856AE6"/>
    <w:rsid w:val="008625CE"/>
    <w:rsid w:val="0086426C"/>
    <w:rsid w:val="008718EB"/>
    <w:rsid w:val="00871FF1"/>
    <w:rsid w:val="00873DC4"/>
    <w:rsid w:val="008744FF"/>
    <w:rsid w:val="00874744"/>
    <w:rsid w:val="0087612F"/>
    <w:rsid w:val="0088017B"/>
    <w:rsid w:val="00881E08"/>
    <w:rsid w:val="008836CC"/>
    <w:rsid w:val="008839C6"/>
    <w:rsid w:val="00884068"/>
    <w:rsid w:val="0088599F"/>
    <w:rsid w:val="00886721"/>
    <w:rsid w:val="00886C85"/>
    <w:rsid w:val="0088799B"/>
    <w:rsid w:val="008903C1"/>
    <w:rsid w:val="00892785"/>
    <w:rsid w:val="00894E28"/>
    <w:rsid w:val="00896C4E"/>
    <w:rsid w:val="008A0850"/>
    <w:rsid w:val="008A0E65"/>
    <w:rsid w:val="008A14EF"/>
    <w:rsid w:val="008A3EDA"/>
    <w:rsid w:val="008A4889"/>
    <w:rsid w:val="008A5DE4"/>
    <w:rsid w:val="008A5F0E"/>
    <w:rsid w:val="008B296E"/>
    <w:rsid w:val="008B449C"/>
    <w:rsid w:val="008B504E"/>
    <w:rsid w:val="008B5E1E"/>
    <w:rsid w:val="008B6F35"/>
    <w:rsid w:val="008C46DC"/>
    <w:rsid w:val="008C5200"/>
    <w:rsid w:val="008D1732"/>
    <w:rsid w:val="008D2A41"/>
    <w:rsid w:val="008D3ABD"/>
    <w:rsid w:val="008E0D22"/>
    <w:rsid w:val="008E2687"/>
    <w:rsid w:val="008E56F3"/>
    <w:rsid w:val="008E57BA"/>
    <w:rsid w:val="008F2804"/>
    <w:rsid w:val="008F3418"/>
    <w:rsid w:val="008F4549"/>
    <w:rsid w:val="00911557"/>
    <w:rsid w:val="00913B4B"/>
    <w:rsid w:val="00913E14"/>
    <w:rsid w:val="00914935"/>
    <w:rsid w:val="00914958"/>
    <w:rsid w:val="009178A7"/>
    <w:rsid w:val="00920149"/>
    <w:rsid w:val="00923D58"/>
    <w:rsid w:val="00925525"/>
    <w:rsid w:val="0092765A"/>
    <w:rsid w:val="00930DDF"/>
    <w:rsid w:val="00930EB8"/>
    <w:rsid w:val="009317AA"/>
    <w:rsid w:val="00934022"/>
    <w:rsid w:val="0093513C"/>
    <w:rsid w:val="00944EAE"/>
    <w:rsid w:val="00946E39"/>
    <w:rsid w:val="00947FD5"/>
    <w:rsid w:val="009514AE"/>
    <w:rsid w:val="00954D19"/>
    <w:rsid w:val="0095555A"/>
    <w:rsid w:val="00960AAB"/>
    <w:rsid w:val="009610DC"/>
    <w:rsid w:val="0096213B"/>
    <w:rsid w:val="009639C6"/>
    <w:rsid w:val="00964DDA"/>
    <w:rsid w:val="00965133"/>
    <w:rsid w:val="009654F4"/>
    <w:rsid w:val="00973C2D"/>
    <w:rsid w:val="00973DBC"/>
    <w:rsid w:val="00973EA3"/>
    <w:rsid w:val="00977766"/>
    <w:rsid w:val="009800F8"/>
    <w:rsid w:val="009808A5"/>
    <w:rsid w:val="00982563"/>
    <w:rsid w:val="00982E29"/>
    <w:rsid w:val="009843DF"/>
    <w:rsid w:val="00984596"/>
    <w:rsid w:val="00986EA8"/>
    <w:rsid w:val="00990BC6"/>
    <w:rsid w:val="00993F21"/>
    <w:rsid w:val="009975BA"/>
    <w:rsid w:val="009A2065"/>
    <w:rsid w:val="009A424F"/>
    <w:rsid w:val="009A52BF"/>
    <w:rsid w:val="009A7F3F"/>
    <w:rsid w:val="009B082E"/>
    <w:rsid w:val="009B47F7"/>
    <w:rsid w:val="009B6E8C"/>
    <w:rsid w:val="009B7A22"/>
    <w:rsid w:val="009B7AEF"/>
    <w:rsid w:val="009C1300"/>
    <w:rsid w:val="009C24B6"/>
    <w:rsid w:val="009D25D7"/>
    <w:rsid w:val="009D49B8"/>
    <w:rsid w:val="009D5D64"/>
    <w:rsid w:val="009D64E8"/>
    <w:rsid w:val="009D771C"/>
    <w:rsid w:val="009E1D43"/>
    <w:rsid w:val="009E2232"/>
    <w:rsid w:val="009E4E38"/>
    <w:rsid w:val="009E69E8"/>
    <w:rsid w:val="009E6CDE"/>
    <w:rsid w:val="009F0459"/>
    <w:rsid w:val="009F3F6A"/>
    <w:rsid w:val="009F493F"/>
    <w:rsid w:val="009F4D65"/>
    <w:rsid w:val="009F58F6"/>
    <w:rsid w:val="009F6157"/>
    <w:rsid w:val="009F749C"/>
    <w:rsid w:val="00A04F31"/>
    <w:rsid w:val="00A05901"/>
    <w:rsid w:val="00A062CB"/>
    <w:rsid w:val="00A07934"/>
    <w:rsid w:val="00A110F0"/>
    <w:rsid w:val="00A11234"/>
    <w:rsid w:val="00A13E7D"/>
    <w:rsid w:val="00A1560A"/>
    <w:rsid w:val="00A15B4A"/>
    <w:rsid w:val="00A22E43"/>
    <w:rsid w:val="00A23823"/>
    <w:rsid w:val="00A25A12"/>
    <w:rsid w:val="00A278F0"/>
    <w:rsid w:val="00A34FD5"/>
    <w:rsid w:val="00A36726"/>
    <w:rsid w:val="00A37136"/>
    <w:rsid w:val="00A37BAC"/>
    <w:rsid w:val="00A40664"/>
    <w:rsid w:val="00A41BFC"/>
    <w:rsid w:val="00A43225"/>
    <w:rsid w:val="00A445BC"/>
    <w:rsid w:val="00A44F87"/>
    <w:rsid w:val="00A456A2"/>
    <w:rsid w:val="00A47D32"/>
    <w:rsid w:val="00A51654"/>
    <w:rsid w:val="00A52D5D"/>
    <w:rsid w:val="00A530AD"/>
    <w:rsid w:val="00A536EB"/>
    <w:rsid w:val="00A57076"/>
    <w:rsid w:val="00A60988"/>
    <w:rsid w:val="00A61590"/>
    <w:rsid w:val="00A65568"/>
    <w:rsid w:val="00A655D8"/>
    <w:rsid w:val="00A706AF"/>
    <w:rsid w:val="00A7070B"/>
    <w:rsid w:val="00A71CD4"/>
    <w:rsid w:val="00A73438"/>
    <w:rsid w:val="00A74142"/>
    <w:rsid w:val="00A75C01"/>
    <w:rsid w:val="00A766F6"/>
    <w:rsid w:val="00A81536"/>
    <w:rsid w:val="00A826C4"/>
    <w:rsid w:val="00A833F6"/>
    <w:rsid w:val="00A83966"/>
    <w:rsid w:val="00A85A42"/>
    <w:rsid w:val="00A86EF0"/>
    <w:rsid w:val="00A878EA"/>
    <w:rsid w:val="00A87C54"/>
    <w:rsid w:val="00A91806"/>
    <w:rsid w:val="00A92BD9"/>
    <w:rsid w:val="00A934AD"/>
    <w:rsid w:val="00A93C4E"/>
    <w:rsid w:val="00A94B3D"/>
    <w:rsid w:val="00A94D0B"/>
    <w:rsid w:val="00A96814"/>
    <w:rsid w:val="00A96F62"/>
    <w:rsid w:val="00A97219"/>
    <w:rsid w:val="00A973AF"/>
    <w:rsid w:val="00A97514"/>
    <w:rsid w:val="00AA2BEA"/>
    <w:rsid w:val="00AA2BF4"/>
    <w:rsid w:val="00AA42FE"/>
    <w:rsid w:val="00AA53EF"/>
    <w:rsid w:val="00AA6214"/>
    <w:rsid w:val="00AB09A3"/>
    <w:rsid w:val="00AB10FE"/>
    <w:rsid w:val="00AB48F7"/>
    <w:rsid w:val="00AB7D47"/>
    <w:rsid w:val="00AC2570"/>
    <w:rsid w:val="00AC64C2"/>
    <w:rsid w:val="00AC7879"/>
    <w:rsid w:val="00AC7B02"/>
    <w:rsid w:val="00AD0F11"/>
    <w:rsid w:val="00AD2417"/>
    <w:rsid w:val="00AD3496"/>
    <w:rsid w:val="00AD6855"/>
    <w:rsid w:val="00AE09F2"/>
    <w:rsid w:val="00AE2696"/>
    <w:rsid w:val="00AE2E40"/>
    <w:rsid w:val="00AE663E"/>
    <w:rsid w:val="00AF4B91"/>
    <w:rsid w:val="00AF50AD"/>
    <w:rsid w:val="00AF7861"/>
    <w:rsid w:val="00B05F1F"/>
    <w:rsid w:val="00B076EF"/>
    <w:rsid w:val="00B108C8"/>
    <w:rsid w:val="00B12436"/>
    <w:rsid w:val="00B1467A"/>
    <w:rsid w:val="00B15255"/>
    <w:rsid w:val="00B15D73"/>
    <w:rsid w:val="00B16941"/>
    <w:rsid w:val="00B16B56"/>
    <w:rsid w:val="00B17D00"/>
    <w:rsid w:val="00B20B19"/>
    <w:rsid w:val="00B211C4"/>
    <w:rsid w:val="00B22460"/>
    <w:rsid w:val="00B248C5"/>
    <w:rsid w:val="00B26823"/>
    <w:rsid w:val="00B33865"/>
    <w:rsid w:val="00B35716"/>
    <w:rsid w:val="00B401AC"/>
    <w:rsid w:val="00B40C1D"/>
    <w:rsid w:val="00B42946"/>
    <w:rsid w:val="00B46840"/>
    <w:rsid w:val="00B47E5C"/>
    <w:rsid w:val="00B502F4"/>
    <w:rsid w:val="00B50C68"/>
    <w:rsid w:val="00B51C71"/>
    <w:rsid w:val="00B52A6D"/>
    <w:rsid w:val="00B535CA"/>
    <w:rsid w:val="00B53886"/>
    <w:rsid w:val="00B5438F"/>
    <w:rsid w:val="00B5614E"/>
    <w:rsid w:val="00B62365"/>
    <w:rsid w:val="00B657B4"/>
    <w:rsid w:val="00B662B9"/>
    <w:rsid w:val="00B66789"/>
    <w:rsid w:val="00B67DE8"/>
    <w:rsid w:val="00B75E80"/>
    <w:rsid w:val="00B80FCF"/>
    <w:rsid w:val="00B81488"/>
    <w:rsid w:val="00B836FC"/>
    <w:rsid w:val="00B85AB8"/>
    <w:rsid w:val="00B86364"/>
    <w:rsid w:val="00B87A5A"/>
    <w:rsid w:val="00B91870"/>
    <w:rsid w:val="00B92780"/>
    <w:rsid w:val="00B92CC8"/>
    <w:rsid w:val="00B93901"/>
    <w:rsid w:val="00B95E03"/>
    <w:rsid w:val="00B97D38"/>
    <w:rsid w:val="00BA28BD"/>
    <w:rsid w:val="00BA36E6"/>
    <w:rsid w:val="00BB0CA9"/>
    <w:rsid w:val="00BB2317"/>
    <w:rsid w:val="00BB2636"/>
    <w:rsid w:val="00BB2868"/>
    <w:rsid w:val="00BB677E"/>
    <w:rsid w:val="00BC0695"/>
    <w:rsid w:val="00BC08C5"/>
    <w:rsid w:val="00BC36B7"/>
    <w:rsid w:val="00BC452E"/>
    <w:rsid w:val="00BC5A3F"/>
    <w:rsid w:val="00BD1675"/>
    <w:rsid w:val="00BD1A0E"/>
    <w:rsid w:val="00BD275A"/>
    <w:rsid w:val="00BD2F8B"/>
    <w:rsid w:val="00BD2FCF"/>
    <w:rsid w:val="00BD4BFD"/>
    <w:rsid w:val="00BE2B1C"/>
    <w:rsid w:val="00BE2E88"/>
    <w:rsid w:val="00BE3ED9"/>
    <w:rsid w:val="00BE5D1F"/>
    <w:rsid w:val="00BE6C02"/>
    <w:rsid w:val="00BF46F6"/>
    <w:rsid w:val="00BF6968"/>
    <w:rsid w:val="00C07790"/>
    <w:rsid w:val="00C11E4B"/>
    <w:rsid w:val="00C126AA"/>
    <w:rsid w:val="00C126BE"/>
    <w:rsid w:val="00C12AC9"/>
    <w:rsid w:val="00C13F2E"/>
    <w:rsid w:val="00C16414"/>
    <w:rsid w:val="00C166D3"/>
    <w:rsid w:val="00C17937"/>
    <w:rsid w:val="00C20730"/>
    <w:rsid w:val="00C21AAC"/>
    <w:rsid w:val="00C22346"/>
    <w:rsid w:val="00C2287A"/>
    <w:rsid w:val="00C24AFB"/>
    <w:rsid w:val="00C24B66"/>
    <w:rsid w:val="00C25FF8"/>
    <w:rsid w:val="00C311E0"/>
    <w:rsid w:val="00C32EDB"/>
    <w:rsid w:val="00C3725C"/>
    <w:rsid w:val="00C41886"/>
    <w:rsid w:val="00C422DF"/>
    <w:rsid w:val="00C4318B"/>
    <w:rsid w:val="00C44979"/>
    <w:rsid w:val="00C45158"/>
    <w:rsid w:val="00C47024"/>
    <w:rsid w:val="00C50B53"/>
    <w:rsid w:val="00C519DA"/>
    <w:rsid w:val="00C5255A"/>
    <w:rsid w:val="00C5290A"/>
    <w:rsid w:val="00C55136"/>
    <w:rsid w:val="00C55802"/>
    <w:rsid w:val="00C56C43"/>
    <w:rsid w:val="00C60580"/>
    <w:rsid w:val="00C60C79"/>
    <w:rsid w:val="00C656CA"/>
    <w:rsid w:val="00C66D99"/>
    <w:rsid w:val="00C6738E"/>
    <w:rsid w:val="00C70417"/>
    <w:rsid w:val="00C70459"/>
    <w:rsid w:val="00C712C1"/>
    <w:rsid w:val="00C73402"/>
    <w:rsid w:val="00C73F1E"/>
    <w:rsid w:val="00C75EC9"/>
    <w:rsid w:val="00C7656E"/>
    <w:rsid w:val="00C81FA1"/>
    <w:rsid w:val="00C855DF"/>
    <w:rsid w:val="00C85C0F"/>
    <w:rsid w:val="00C90F6C"/>
    <w:rsid w:val="00C91024"/>
    <w:rsid w:val="00C921A3"/>
    <w:rsid w:val="00C952F0"/>
    <w:rsid w:val="00C96377"/>
    <w:rsid w:val="00C970FC"/>
    <w:rsid w:val="00C97CE5"/>
    <w:rsid w:val="00CA023A"/>
    <w:rsid w:val="00CA1776"/>
    <w:rsid w:val="00CA18BE"/>
    <w:rsid w:val="00CA1B8A"/>
    <w:rsid w:val="00CA3067"/>
    <w:rsid w:val="00CA33BE"/>
    <w:rsid w:val="00CA5CBE"/>
    <w:rsid w:val="00CA61E3"/>
    <w:rsid w:val="00CB06CD"/>
    <w:rsid w:val="00CB191C"/>
    <w:rsid w:val="00CB1F39"/>
    <w:rsid w:val="00CB259D"/>
    <w:rsid w:val="00CB3570"/>
    <w:rsid w:val="00CB3743"/>
    <w:rsid w:val="00CB4279"/>
    <w:rsid w:val="00CC2A7C"/>
    <w:rsid w:val="00CC3845"/>
    <w:rsid w:val="00CC3D0C"/>
    <w:rsid w:val="00CC509F"/>
    <w:rsid w:val="00CC5ACB"/>
    <w:rsid w:val="00CC6053"/>
    <w:rsid w:val="00CC6A52"/>
    <w:rsid w:val="00CC7973"/>
    <w:rsid w:val="00CD00CF"/>
    <w:rsid w:val="00CD7602"/>
    <w:rsid w:val="00CD7AF9"/>
    <w:rsid w:val="00CE0C87"/>
    <w:rsid w:val="00CE362E"/>
    <w:rsid w:val="00CE3CC2"/>
    <w:rsid w:val="00CE5322"/>
    <w:rsid w:val="00CE6E79"/>
    <w:rsid w:val="00CF0A2C"/>
    <w:rsid w:val="00CF247E"/>
    <w:rsid w:val="00CF3CF7"/>
    <w:rsid w:val="00CF415B"/>
    <w:rsid w:val="00CF46A9"/>
    <w:rsid w:val="00CF581C"/>
    <w:rsid w:val="00CF5A64"/>
    <w:rsid w:val="00CF6623"/>
    <w:rsid w:val="00CF710C"/>
    <w:rsid w:val="00CF720B"/>
    <w:rsid w:val="00D013F8"/>
    <w:rsid w:val="00D02178"/>
    <w:rsid w:val="00D05F28"/>
    <w:rsid w:val="00D0618C"/>
    <w:rsid w:val="00D07675"/>
    <w:rsid w:val="00D13B10"/>
    <w:rsid w:val="00D14BF9"/>
    <w:rsid w:val="00D15E64"/>
    <w:rsid w:val="00D20C0B"/>
    <w:rsid w:val="00D20E16"/>
    <w:rsid w:val="00D22DA2"/>
    <w:rsid w:val="00D22FB0"/>
    <w:rsid w:val="00D23341"/>
    <w:rsid w:val="00D32965"/>
    <w:rsid w:val="00D33532"/>
    <w:rsid w:val="00D34029"/>
    <w:rsid w:val="00D36074"/>
    <w:rsid w:val="00D3679B"/>
    <w:rsid w:val="00D42366"/>
    <w:rsid w:val="00D42BD2"/>
    <w:rsid w:val="00D44067"/>
    <w:rsid w:val="00D451B1"/>
    <w:rsid w:val="00D50DBE"/>
    <w:rsid w:val="00D50FED"/>
    <w:rsid w:val="00D55ABE"/>
    <w:rsid w:val="00D57142"/>
    <w:rsid w:val="00D5790E"/>
    <w:rsid w:val="00D57E23"/>
    <w:rsid w:val="00D60E40"/>
    <w:rsid w:val="00D612C8"/>
    <w:rsid w:val="00D618AD"/>
    <w:rsid w:val="00D64747"/>
    <w:rsid w:val="00D669CF"/>
    <w:rsid w:val="00D66D57"/>
    <w:rsid w:val="00D66F16"/>
    <w:rsid w:val="00D67401"/>
    <w:rsid w:val="00D67948"/>
    <w:rsid w:val="00D72C35"/>
    <w:rsid w:val="00D75947"/>
    <w:rsid w:val="00D76311"/>
    <w:rsid w:val="00D810A6"/>
    <w:rsid w:val="00D820C9"/>
    <w:rsid w:val="00D851E5"/>
    <w:rsid w:val="00D918E5"/>
    <w:rsid w:val="00D91990"/>
    <w:rsid w:val="00D93543"/>
    <w:rsid w:val="00D93BF9"/>
    <w:rsid w:val="00D94045"/>
    <w:rsid w:val="00D96312"/>
    <w:rsid w:val="00DA417D"/>
    <w:rsid w:val="00DA5DBF"/>
    <w:rsid w:val="00DA6B9E"/>
    <w:rsid w:val="00DA76B7"/>
    <w:rsid w:val="00DB0183"/>
    <w:rsid w:val="00DB0E76"/>
    <w:rsid w:val="00DC5966"/>
    <w:rsid w:val="00DC7562"/>
    <w:rsid w:val="00DD2899"/>
    <w:rsid w:val="00DD34ED"/>
    <w:rsid w:val="00DD3578"/>
    <w:rsid w:val="00DD3D25"/>
    <w:rsid w:val="00DD44B0"/>
    <w:rsid w:val="00DD4707"/>
    <w:rsid w:val="00DD6B3F"/>
    <w:rsid w:val="00DE0A1C"/>
    <w:rsid w:val="00DE2A40"/>
    <w:rsid w:val="00DE5304"/>
    <w:rsid w:val="00DE7366"/>
    <w:rsid w:val="00DE7883"/>
    <w:rsid w:val="00DF09FB"/>
    <w:rsid w:val="00DF1C37"/>
    <w:rsid w:val="00E0028C"/>
    <w:rsid w:val="00E012AA"/>
    <w:rsid w:val="00E01BDA"/>
    <w:rsid w:val="00E02393"/>
    <w:rsid w:val="00E033DB"/>
    <w:rsid w:val="00E10D96"/>
    <w:rsid w:val="00E115ED"/>
    <w:rsid w:val="00E1518A"/>
    <w:rsid w:val="00E16B19"/>
    <w:rsid w:val="00E2056A"/>
    <w:rsid w:val="00E229F8"/>
    <w:rsid w:val="00E24A57"/>
    <w:rsid w:val="00E2715E"/>
    <w:rsid w:val="00E30B82"/>
    <w:rsid w:val="00E31EFF"/>
    <w:rsid w:val="00E31F97"/>
    <w:rsid w:val="00E35B38"/>
    <w:rsid w:val="00E35C3E"/>
    <w:rsid w:val="00E36C46"/>
    <w:rsid w:val="00E375C7"/>
    <w:rsid w:val="00E37DDB"/>
    <w:rsid w:val="00E40643"/>
    <w:rsid w:val="00E41114"/>
    <w:rsid w:val="00E437DD"/>
    <w:rsid w:val="00E43E44"/>
    <w:rsid w:val="00E44A8E"/>
    <w:rsid w:val="00E45E28"/>
    <w:rsid w:val="00E45FD8"/>
    <w:rsid w:val="00E467DE"/>
    <w:rsid w:val="00E5031F"/>
    <w:rsid w:val="00E50A85"/>
    <w:rsid w:val="00E518C0"/>
    <w:rsid w:val="00E54CB5"/>
    <w:rsid w:val="00E566D7"/>
    <w:rsid w:val="00E5767D"/>
    <w:rsid w:val="00E57DBB"/>
    <w:rsid w:val="00E60390"/>
    <w:rsid w:val="00E60679"/>
    <w:rsid w:val="00E61A48"/>
    <w:rsid w:val="00E650B3"/>
    <w:rsid w:val="00E6615A"/>
    <w:rsid w:val="00E6749C"/>
    <w:rsid w:val="00E7130D"/>
    <w:rsid w:val="00E760EC"/>
    <w:rsid w:val="00E7793D"/>
    <w:rsid w:val="00E8165F"/>
    <w:rsid w:val="00E83878"/>
    <w:rsid w:val="00E83A88"/>
    <w:rsid w:val="00E84ACF"/>
    <w:rsid w:val="00E864AD"/>
    <w:rsid w:val="00E87692"/>
    <w:rsid w:val="00E9104C"/>
    <w:rsid w:val="00E913DC"/>
    <w:rsid w:val="00E9568F"/>
    <w:rsid w:val="00E97061"/>
    <w:rsid w:val="00E9793D"/>
    <w:rsid w:val="00EA3D63"/>
    <w:rsid w:val="00EA493A"/>
    <w:rsid w:val="00EA63D7"/>
    <w:rsid w:val="00EA755E"/>
    <w:rsid w:val="00EB1F6E"/>
    <w:rsid w:val="00EB48F5"/>
    <w:rsid w:val="00EB4F7E"/>
    <w:rsid w:val="00EB7214"/>
    <w:rsid w:val="00EC19C3"/>
    <w:rsid w:val="00EC2581"/>
    <w:rsid w:val="00EC25A9"/>
    <w:rsid w:val="00EC3192"/>
    <w:rsid w:val="00EC4888"/>
    <w:rsid w:val="00EC520B"/>
    <w:rsid w:val="00ED0547"/>
    <w:rsid w:val="00ED1542"/>
    <w:rsid w:val="00ED294C"/>
    <w:rsid w:val="00ED4633"/>
    <w:rsid w:val="00ED6124"/>
    <w:rsid w:val="00ED6560"/>
    <w:rsid w:val="00ED7902"/>
    <w:rsid w:val="00EE4906"/>
    <w:rsid w:val="00EE497F"/>
    <w:rsid w:val="00EE6611"/>
    <w:rsid w:val="00EF406B"/>
    <w:rsid w:val="00EF484A"/>
    <w:rsid w:val="00EF48E5"/>
    <w:rsid w:val="00EF5F80"/>
    <w:rsid w:val="00EF7AB0"/>
    <w:rsid w:val="00F046C5"/>
    <w:rsid w:val="00F05972"/>
    <w:rsid w:val="00F05A7C"/>
    <w:rsid w:val="00F0646D"/>
    <w:rsid w:val="00F07218"/>
    <w:rsid w:val="00F0762D"/>
    <w:rsid w:val="00F10DB9"/>
    <w:rsid w:val="00F1135D"/>
    <w:rsid w:val="00F13349"/>
    <w:rsid w:val="00F135B0"/>
    <w:rsid w:val="00F13675"/>
    <w:rsid w:val="00F13762"/>
    <w:rsid w:val="00F13C58"/>
    <w:rsid w:val="00F161D0"/>
    <w:rsid w:val="00F16746"/>
    <w:rsid w:val="00F16B9F"/>
    <w:rsid w:val="00F16C41"/>
    <w:rsid w:val="00F21917"/>
    <w:rsid w:val="00F21B60"/>
    <w:rsid w:val="00F238B8"/>
    <w:rsid w:val="00F26147"/>
    <w:rsid w:val="00F30E37"/>
    <w:rsid w:val="00F35D4B"/>
    <w:rsid w:val="00F376C8"/>
    <w:rsid w:val="00F37827"/>
    <w:rsid w:val="00F40517"/>
    <w:rsid w:val="00F40548"/>
    <w:rsid w:val="00F4399F"/>
    <w:rsid w:val="00F44D9C"/>
    <w:rsid w:val="00F50281"/>
    <w:rsid w:val="00F52A2F"/>
    <w:rsid w:val="00F53E46"/>
    <w:rsid w:val="00F55BCF"/>
    <w:rsid w:val="00F56395"/>
    <w:rsid w:val="00F60271"/>
    <w:rsid w:val="00F6067B"/>
    <w:rsid w:val="00F607C3"/>
    <w:rsid w:val="00F612C2"/>
    <w:rsid w:val="00F626CC"/>
    <w:rsid w:val="00F6307F"/>
    <w:rsid w:val="00F6336F"/>
    <w:rsid w:val="00F64A35"/>
    <w:rsid w:val="00F659D9"/>
    <w:rsid w:val="00F706ED"/>
    <w:rsid w:val="00F7279C"/>
    <w:rsid w:val="00F747B6"/>
    <w:rsid w:val="00F752D4"/>
    <w:rsid w:val="00F80778"/>
    <w:rsid w:val="00F80C10"/>
    <w:rsid w:val="00F81905"/>
    <w:rsid w:val="00F82B30"/>
    <w:rsid w:val="00F83898"/>
    <w:rsid w:val="00F83ADC"/>
    <w:rsid w:val="00F87EFC"/>
    <w:rsid w:val="00F901D9"/>
    <w:rsid w:val="00F92AF7"/>
    <w:rsid w:val="00F9425E"/>
    <w:rsid w:val="00F960CD"/>
    <w:rsid w:val="00F97D2C"/>
    <w:rsid w:val="00FA08B5"/>
    <w:rsid w:val="00FA0DC0"/>
    <w:rsid w:val="00FA3ADE"/>
    <w:rsid w:val="00FA4572"/>
    <w:rsid w:val="00FA4729"/>
    <w:rsid w:val="00FA6824"/>
    <w:rsid w:val="00FA737C"/>
    <w:rsid w:val="00FA7F68"/>
    <w:rsid w:val="00FB0DAA"/>
    <w:rsid w:val="00FB237B"/>
    <w:rsid w:val="00FB5118"/>
    <w:rsid w:val="00FB56DB"/>
    <w:rsid w:val="00FB70A1"/>
    <w:rsid w:val="00FB73C2"/>
    <w:rsid w:val="00FB7D42"/>
    <w:rsid w:val="00FC242A"/>
    <w:rsid w:val="00FC29FE"/>
    <w:rsid w:val="00FC3F21"/>
    <w:rsid w:val="00FC49C2"/>
    <w:rsid w:val="00FC511A"/>
    <w:rsid w:val="00FC6911"/>
    <w:rsid w:val="00FD11CD"/>
    <w:rsid w:val="00FE529D"/>
    <w:rsid w:val="00FE7911"/>
    <w:rsid w:val="00FF3373"/>
    <w:rsid w:val="00FF3C00"/>
    <w:rsid w:val="00FF5666"/>
    <w:rsid w:val="00FF6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semiHidden/>
    <w:rsid w:val="00605B3C"/>
    <w:rPr>
      <w:b w:val="0"/>
      <w:bCs w:val="0"/>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3DD6-E9A5-4108-8345-BAD361CE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3874</Words>
  <Characters>21310</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user</cp:lastModifiedBy>
  <cp:revision>3</cp:revision>
  <cp:lastPrinted>2015-06-29T16:10:00Z</cp:lastPrinted>
  <dcterms:created xsi:type="dcterms:W3CDTF">2015-06-30T13:44:00Z</dcterms:created>
  <dcterms:modified xsi:type="dcterms:W3CDTF">2015-06-30T13:47:00Z</dcterms:modified>
</cp:coreProperties>
</file>